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66C88" w14:textId="77777777" w:rsidR="006C37C9" w:rsidRPr="0071582F" w:rsidRDefault="006C37C9" w:rsidP="000214BA">
      <w:pPr>
        <w:rPr>
          <w:rFonts w:eastAsia="Calibri" w:cs="Calibri"/>
          <w:b/>
          <w:sz w:val="20"/>
          <w:szCs w:val="20"/>
        </w:rPr>
      </w:pPr>
    </w:p>
    <w:p w14:paraId="0BF403BE" w14:textId="77777777" w:rsidR="00B8717A" w:rsidRDefault="00B8717A" w:rsidP="006C37C9">
      <w:pPr>
        <w:jc w:val="center"/>
        <w:rPr>
          <w:rFonts w:eastAsia="Calibri" w:cs="Calibri"/>
          <w:b/>
          <w:sz w:val="20"/>
          <w:szCs w:val="20"/>
        </w:rPr>
      </w:pPr>
    </w:p>
    <w:p w14:paraId="7CA0D6BB" w14:textId="77777777" w:rsidR="00B8717A" w:rsidRDefault="00B8717A" w:rsidP="006C37C9">
      <w:pPr>
        <w:jc w:val="center"/>
        <w:rPr>
          <w:rFonts w:eastAsia="Calibri" w:cs="Calibri"/>
          <w:b/>
          <w:sz w:val="20"/>
          <w:szCs w:val="20"/>
        </w:rPr>
      </w:pPr>
    </w:p>
    <w:p w14:paraId="3B784DD4" w14:textId="77777777" w:rsidR="005C1A24" w:rsidRDefault="005C1A24" w:rsidP="006C37C9">
      <w:pPr>
        <w:jc w:val="center"/>
        <w:rPr>
          <w:rFonts w:eastAsia="Calibri" w:cs="Calibri"/>
          <w:b/>
          <w:sz w:val="20"/>
          <w:szCs w:val="20"/>
        </w:rPr>
      </w:pPr>
    </w:p>
    <w:p w14:paraId="19EA2B36" w14:textId="77777777" w:rsidR="005C1A24" w:rsidRDefault="005C1A24" w:rsidP="006C37C9">
      <w:pPr>
        <w:jc w:val="center"/>
        <w:rPr>
          <w:rFonts w:eastAsia="Calibri" w:cs="Calibri"/>
          <w:b/>
          <w:sz w:val="20"/>
          <w:szCs w:val="20"/>
        </w:rPr>
      </w:pPr>
    </w:p>
    <w:p w14:paraId="114E90BD" w14:textId="77777777" w:rsidR="005C1A24" w:rsidRDefault="005C1A24" w:rsidP="006C37C9">
      <w:pPr>
        <w:jc w:val="center"/>
        <w:rPr>
          <w:rFonts w:eastAsia="Calibri" w:cs="Calibri"/>
          <w:b/>
          <w:sz w:val="20"/>
          <w:szCs w:val="20"/>
        </w:rPr>
      </w:pPr>
    </w:p>
    <w:p w14:paraId="0E136A85" w14:textId="77777777" w:rsidR="005C1A24" w:rsidRDefault="005C1A24" w:rsidP="006C37C9">
      <w:pPr>
        <w:jc w:val="center"/>
        <w:rPr>
          <w:rFonts w:eastAsia="Calibri" w:cs="Calibri"/>
          <w:b/>
          <w:sz w:val="20"/>
          <w:szCs w:val="20"/>
        </w:rPr>
      </w:pPr>
    </w:p>
    <w:p w14:paraId="0B417FE1" w14:textId="77777777" w:rsidR="00B8717A" w:rsidRDefault="00B8717A" w:rsidP="00B1523A">
      <w:pPr>
        <w:rPr>
          <w:rFonts w:eastAsia="Calibri" w:cs="Calibri"/>
          <w:b/>
          <w:sz w:val="20"/>
          <w:szCs w:val="20"/>
        </w:rPr>
      </w:pPr>
    </w:p>
    <w:p w14:paraId="37BE918C" w14:textId="77777777" w:rsidR="006C37C9" w:rsidRPr="0071582F" w:rsidRDefault="006C37C9" w:rsidP="006C37C9">
      <w:pPr>
        <w:jc w:val="center"/>
        <w:rPr>
          <w:rFonts w:eastAsia="Calibri" w:cs="Calibri"/>
          <w:b/>
          <w:sz w:val="20"/>
          <w:szCs w:val="20"/>
        </w:rPr>
      </w:pPr>
      <w:r w:rsidRPr="0071582F">
        <w:rPr>
          <w:rFonts w:eastAsia="Calibri" w:cs="Calibri"/>
          <w:b/>
          <w:sz w:val="20"/>
          <w:szCs w:val="20"/>
        </w:rPr>
        <w:t>CORTE INTERAMERICANA DE DERECHOS HUMANOS</w:t>
      </w:r>
      <w:r w:rsidR="000012D8" w:rsidRPr="007A72BF">
        <w:rPr>
          <w:rStyle w:val="FootnoteReference"/>
          <w:rFonts w:eastAsia="MS Mincho"/>
        </w:rPr>
        <w:footnoteReference w:customMarkFollows="1" w:id="2"/>
        <w:t>*</w:t>
      </w:r>
    </w:p>
    <w:p w14:paraId="24E2702B" w14:textId="77777777" w:rsidR="006C37C9" w:rsidRPr="0071582F" w:rsidRDefault="006C37C9" w:rsidP="006C37C9">
      <w:pPr>
        <w:tabs>
          <w:tab w:val="left" w:pos="720"/>
        </w:tabs>
        <w:jc w:val="center"/>
        <w:rPr>
          <w:rFonts w:eastAsia="Calibri" w:cs="Verdana"/>
          <w:b/>
          <w:bCs/>
          <w:caps/>
          <w:snapToGrid w:val="0"/>
          <w:sz w:val="20"/>
          <w:szCs w:val="20"/>
          <w:lang w:eastAsia="es-ES"/>
        </w:rPr>
      </w:pPr>
    </w:p>
    <w:p w14:paraId="1DF5DFF7" w14:textId="77777777" w:rsidR="006C37C9" w:rsidRPr="0071582F" w:rsidRDefault="006C37C9" w:rsidP="006C37C9">
      <w:pPr>
        <w:jc w:val="center"/>
        <w:rPr>
          <w:rFonts w:eastAsia="Calibri" w:cs="Calibri"/>
          <w:b/>
          <w:sz w:val="20"/>
          <w:szCs w:val="20"/>
        </w:rPr>
      </w:pPr>
      <w:r w:rsidRPr="0071582F">
        <w:rPr>
          <w:rFonts w:eastAsia="Calibri" w:cs="Calibri"/>
          <w:b/>
          <w:sz w:val="20"/>
          <w:szCs w:val="20"/>
        </w:rPr>
        <w:t xml:space="preserve">CASO </w:t>
      </w:r>
      <w:r w:rsidR="00E80907">
        <w:rPr>
          <w:rFonts w:eastAsia="Calibri" w:cs="Calibri"/>
          <w:b/>
          <w:sz w:val="20"/>
          <w:szCs w:val="20"/>
        </w:rPr>
        <w:t>POBLETE VILCHES Y OTROS</w:t>
      </w:r>
      <w:r w:rsidRPr="0071582F">
        <w:rPr>
          <w:rFonts w:eastAsia="Calibri" w:cs="Calibri"/>
          <w:b/>
          <w:sz w:val="20"/>
          <w:szCs w:val="20"/>
        </w:rPr>
        <w:t xml:space="preserve"> </w:t>
      </w:r>
      <w:r w:rsidRPr="0071582F">
        <w:rPr>
          <w:rFonts w:eastAsia="Calibri" w:cs="Calibri"/>
          <w:b/>
          <w:i/>
          <w:sz w:val="20"/>
          <w:szCs w:val="20"/>
        </w:rPr>
        <w:t>VS</w:t>
      </w:r>
      <w:r w:rsidRPr="0071582F">
        <w:rPr>
          <w:rFonts w:eastAsia="Calibri" w:cs="Calibri"/>
          <w:b/>
          <w:sz w:val="20"/>
          <w:szCs w:val="20"/>
        </w:rPr>
        <w:t xml:space="preserve">. </w:t>
      </w:r>
      <w:r w:rsidR="00E80907">
        <w:rPr>
          <w:rFonts w:eastAsia="Calibri" w:cs="Calibri"/>
          <w:b/>
          <w:sz w:val="20"/>
          <w:szCs w:val="20"/>
        </w:rPr>
        <w:t>CHILE</w:t>
      </w:r>
    </w:p>
    <w:p w14:paraId="7C9DBF00" w14:textId="77777777" w:rsidR="006C37C9" w:rsidRPr="0071582F" w:rsidRDefault="006C37C9" w:rsidP="006C37C9">
      <w:pPr>
        <w:tabs>
          <w:tab w:val="left" w:pos="720"/>
        </w:tabs>
        <w:jc w:val="center"/>
        <w:rPr>
          <w:rFonts w:eastAsia="Calibri" w:cs="Verdana"/>
          <w:b/>
          <w:bCs/>
          <w:caps/>
          <w:snapToGrid w:val="0"/>
          <w:sz w:val="20"/>
          <w:szCs w:val="20"/>
          <w:lang w:eastAsia="es-ES"/>
        </w:rPr>
      </w:pPr>
    </w:p>
    <w:p w14:paraId="4AB54CA6" w14:textId="3E4BF1C3" w:rsidR="006C37C9" w:rsidRPr="0071582F" w:rsidRDefault="006C37C9" w:rsidP="006C37C9">
      <w:pPr>
        <w:tabs>
          <w:tab w:val="left" w:pos="720"/>
        </w:tabs>
        <w:jc w:val="center"/>
        <w:rPr>
          <w:rFonts w:eastAsia="Calibri" w:cs="Verdana"/>
          <w:b/>
          <w:bCs/>
          <w:snapToGrid w:val="0"/>
          <w:sz w:val="20"/>
          <w:szCs w:val="20"/>
          <w:lang w:eastAsia="es-ES"/>
        </w:rPr>
      </w:pPr>
      <w:r w:rsidRPr="0071582F">
        <w:rPr>
          <w:rFonts w:eastAsia="Calibri" w:cs="Verdana"/>
          <w:b/>
          <w:bCs/>
          <w:snapToGrid w:val="0"/>
          <w:sz w:val="20"/>
          <w:szCs w:val="20"/>
          <w:lang w:eastAsia="es-ES"/>
        </w:rPr>
        <w:t>SENTENCIA DE</w:t>
      </w:r>
      <w:r w:rsidRPr="00AE766F">
        <w:rPr>
          <w:rFonts w:eastAsia="Calibri" w:cs="Verdana"/>
          <w:b/>
          <w:bCs/>
          <w:snapToGrid w:val="0"/>
          <w:sz w:val="20"/>
          <w:szCs w:val="20"/>
          <w:lang w:eastAsia="es-ES"/>
        </w:rPr>
        <w:t xml:space="preserve"> </w:t>
      </w:r>
      <w:r w:rsidR="00AE766F" w:rsidRPr="007E5CD5">
        <w:rPr>
          <w:rFonts w:eastAsia="Calibri" w:cs="Verdana"/>
          <w:b/>
          <w:bCs/>
          <w:snapToGrid w:val="0"/>
          <w:sz w:val="20"/>
          <w:szCs w:val="20"/>
          <w:lang w:eastAsia="es-ES"/>
        </w:rPr>
        <w:t>8</w:t>
      </w:r>
      <w:r w:rsidR="00AE766F" w:rsidRPr="00AE766F">
        <w:rPr>
          <w:rFonts w:eastAsia="Calibri" w:cs="Verdana"/>
          <w:b/>
          <w:bCs/>
          <w:snapToGrid w:val="0"/>
          <w:sz w:val="20"/>
          <w:szCs w:val="20"/>
          <w:lang w:eastAsia="es-ES"/>
        </w:rPr>
        <w:t xml:space="preserve"> </w:t>
      </w:r>
      <w:r w:rsidR="007020DF">
        <w:rPr>
          <w:rFonts w:eastAsia="Calibri" w:cs="Verdana"/>
          <w:b/>
          <w:bCs/>
          <w:snapToGrid w:val="0"/>
          <w:sz w:val="20"/>
          <w:szCs w:val="20"/>
          <w:lang w:eastAsia="es-ES"/>
        </w:rPr>
        <w:t>MARZO DE 2018</w:t>
      </w:r>
    </w:p>
    <w:p w14:paraId="284A5A7E" w14:textId="77777777" w:rsidR="006C37C9" w:rsidRPr="0071582F" w:rsidRDefault="006C37C9" w:rsidP="006C37C9">
      <w:pPr>
        <w:tabs>
          <w:tab w:val="left" w:pos="720"/>
        </w:tabs>
        <w:jc w:val="center"/>
        <w:rPr>
          <w:rFonts w:eastAsia="Calibri" w:cs="Verdana"/>
          <w:b/>
          <w:bCs/>
          <w:caps/>
          <w:snapToGrid w:val="0"/>
          <w:sz w:val="20"/>
          <w:szCs w:val="20"/>
          <w:lang w:eastAsia="es-ES"/>
        </w:rPr>
      </w:pPr>
    </w:p>
    <w:p w14:paraId="477E539D" w14:textId="77777777" w:rsidR="006C37C9" w:rsidRPr="0071582F" w:rsidRDefault="006C37C9" w:rsidP="006C37C9">
      <w:pPr>
        <w:tabs>
          <w:tab w:val="left" w:pos="720"/>
        </w:tabs>
        <w:jc w:val="center"/>
        <w:rPr>
          <w:rFonts w:eastAsia="Calibri" w:cs="Verdana"/>
          <w:b/>
          <w:bCs/>
          <w:caps/>
          <w:snapToGrid w:val="0"/>
          <w:sz w:val="20"/>
          <w:szCs w:val="20"/>
          <w:lang w:eastAsia="es-ES"/>
        </w:rPr>
      </w:pPr>
      <w:r w:rsidRPr="0071582F">
        <w:rPr>
          <w:rFonts w:eastAsia="Calibri" w:cs="Verdana"/>
          <w:b/>
          <w:bCs/>
          <w:i/>
          <w:iCs/>
          <w:snapToGrid w:val="0"/>
          <w:sz w:val="20"/>
          <w:szCs w:val="20"/>
          <w:lang w:eastAsia="es-ES"/>
        </w:rPr>
        <w:t>(Fondo, Reparaciones y Costas)</w:t>
      </w:r>
    </w:p>
    <w:p w14:paraId="545A7E95" w14:textId="77777777" w:rsidR="006C37C9" w:rsidRPr="0071582F" w:rsidRDefault="006C37C9" w:rsidP="006C37C9">
      <w:pPr>
        <w:spacing w:before="4" w:line="280" w:lineRule="exact"/>
        <w:rPr>
          <w:rFonts w:ascii="Calibri" w:eastAsia="Calibri" w:hAnsi="Calibri"/>
          <w:sz w:val="28"/>
          <w:szCs w:val="28"/>
        </w:rPr>
      </w:pPr>
    </w:p>
    <w:p w14:paraId="2EB6FE16" w14:textId="77777777" w:rsidR="006C37C9" w:rsidRPr="0071582F" w:rsidRDefault="006C37C9" w:rsidP="006C37C9">
      <w:pPr>
        <w:spacing w:before="4" w:line="280" w:lineRule="exact"/>
        <w:rPr>
          <w:rFonts w:ascii="Calibri" w:eastAsia="Calibri" w:hAnsi="Calibri"/>
          <w:sz w:val="28"/>
          <w:szCs w:val="28"/>
        </w:rPr>
      </w:pPr>
    </w:p>
    <w:p w14:paraId="3D3E514F" w14:textId="77777777" w:rsidR="006C37C9" w:rsidRPr="0071582F" w:rsidRDefault="006C37C9" w:rsidP="006C37C9">
      <w:pPr>
        <w:spacing w:before="4" w:line="280" w:lineRule="exact"/>
        <w:rPr>
          <w:rFonts w:ascii="Calibri" w:eastAsia="Calibri" w:hAnsi="Calibri"/>
          <w:sz w:val="28"/>
          <w:szCs w:val="28"/>
        </w:rPr>
      </w:pPr>
    </w:p>
    <w:p w14:paraId="1AC209D6" w14:textId="77777777" w:rsidR="006C37C9" w:rsidRPr="0071582F" w:rsidRDefault="006C37C9" w:rsidP="006C37C9">
      <w:pPr>
        <w:spacing w:before="4" w:line="280" w:lineRule="exact"/>
        <w:rPr>
          <w:rFonts w:ascii="Calibri" w:eastAsia="Calibri" w:hAnsi="Calibri"/>
          <w:sz w:val="28"/>
          <w:szCs w:val="28"/>
        </w:rPr>
      </w:pPr>
    </w:p>
    <w:p w14:paraId="21000AD2" w14:textId="77777777" w:rsidR="006C37C9" w:rsidRPr="0071582F" w:rsidRDefault="006C37C9" w:rsidP="006C37C9">
      <w:pPr>
        <w:tabs>
          <w:tab w:val="left" w:pos="720"/>
        </w:tabs>
        <w:rPr>
          <w:rFonts w:eastAsia="Verdana" w:cs="Verdana"/>
          <w:sz w:val="20"/>
          <w:szCs w:val="20"/>
        </w:rPr>
      </w:pPr>
      <w:r w:rsidRPr="0071582F">
        <w:rPr>
          <w:rFonts w:eastAsia="Verdana" w:cs="Verdana"/>
          <w:sz w:val="20"/>
          <w:szCs w:val="20"/>
        </w:rPr>
        <w:t xml:space="preserve">En el caso </w:t>
      </w:r>
      <w:r w:rsidR="000012D8">
        <w:rPr>
          <w:rFonts w:eastAsia="Verdana" w:cs="Verdana"/>
          <w:i/>
          <w:sz w:val="20"/>
          <w:szCs w:val="20"/>
        </w:rPr>
        <w:t>Poblete Vilches y otros</w:t>
      </w:r>
      <w:r w:rsidRPr="0071582F">
        <w:rPr>
          <w:rFonts w:eastAsia="Verdana" w:cs="Verdana"/>
          <w:sz w:val="20"/>
          <w:szCs w:val="20"/>
        </w:rPr>
        <w:t>,</w:t>
      </w:r>
    </w:p>
    <w:p w14:paraId="19ABD6FC" w14:textId="77777777" w:rsidR="006C37C9" w:rsidRPr="0071582F" w:rsidRDefault="006C37C9" w:rsidP="006C37C9">
      <w:pPr>
        <w:spacing w:before="4" w:line="240" w:lineRule="exact"/>
        <w:rPr>
          <w:rFonts w:ascii="Calibri" w:eastAsia="Calibri" w:hAnsi="Calibri"/>
        </w:rPr>
      </w:pPr>
    </w:p>
    <w:p w14:paraId="706339F7" w14:textId="77777777" w:rsidR="006C37C9" w:rsidRPr="0071582F" w:rsidRDefault="006C37C9" w:rsidP="006C37C9">
      <w:pPr>
        <w:tabs>
          <w:tab w:val="left" w:pos="720"/>
        </w:tabs>
        <w:rPr>
          <w:rFonts w:eastAsia="Calibri" w:cs="Verdana"/>
          <w:sz w:val="20"/>
          <w:szCs w:val="20"/>
        </w:rPr>
      </w:pPr>
      <w:proofErr w:type="gramStart"/>
      <w:r w:rsidRPr="0071582F">
        <w:rPr>
          <w:rFonts w:eastAsia="Calibri" w:cs="Verdana"/>
          <w:sz w:val="20"/>
          <w:szCs w:val="20"/>
        </w:rPr>
        <w:t>la</w:t>
      </w:r>
      <w:proofErr w:type="gramEnd"/>
      <w:r w:rsidRPr="0071582F">
        <w:rPr>
          <w:rFonts w:eastAsia="Calibri" w:cs="Verdana"/>
          <w:sz w:val="20"/>
          <w:szCs w:val="20"/>
        </w:rPr>
        <w:t xml:space="preserve"> Corte Interamericana de Derechos Humanos (en adelante “la Corte Interamericana”, “la Corte” o “este Tribunal”), integrada por los siguientes jueces:</w:t>
      </w:r>
    </w:p>
    <w:p w14:paraId="29B3B051" w14:textId="77777777" w:rsidR="006C37C9" w:rsidRPr="0071582F" w:rsidRDefault="006C37C9" w:rsidP="006C37C9">
      <w:pPr>
        <w:tabs>
          <w:tab w:val="left" w:pos="720"/>
        </w:tabs>
        <w:rPr>
          <w:rFonts w:eastAsia="Calibri" w:cs="Verdana"/>
          <w:sz w:val="20"/>
          <w:szCs w:val="20"/>
        </w:rPr>
      </w:pPr>
    </w:p>
    <w:p w14:paraId="6D7FE95E" w14:textId="77777777" w:rsidR="006C37C9" w:rsidRPr="00B824B2" w:rsidRDefault="006C37C9" w:rsidP="006C37C9">
      <w:pPr>
        <w:tabs>
          <w:tab w:val="left" w:pos="720"/>
        </w:tabs>
        <w:rPr>
          <w:rFonts w:eastAsia="Calibri" w:cs="Verdana"/>
          <w:sz w:val="20"/>
          <w:szCs w:val="20"/>
          <w:lang w:val="pt-BR"/>
        </w:rPr>
      </w:pPr>
      <w:r w:rsidRPr="00B824B2">
        <w:rPr>
          <w:rFonts w:eastAsia="Calibri" w:cs="Verdana"/>
          <w:sz w:val="20"/>
          <w:szCs w:val="20"/>
          <w:lang w:val="pt-BR"/>
        </w:rPr>
        <w:t xml:space="preserve">Eduardo Ferrer Mac-Gregor Poisot, </w:t>
      </w:r>
      <w:r w:rsidR="007020DF">
        <w:rPr>
          <w:rFonts w:eastAsia="Calibri" w:cs="Verdana"/>
          <w:sz w:val="20"/>
          <w:szCs w:val="20"/>
          <w:lang w:val="pt-BR"/>
        </w:rPr>
        <w:t>P</w:t>
      </w:r>
      <w:r w:rsidRPr="00B824B2">
        <w:rPr>
          <w:rFonts w:eastAsia="Calibri" w:cs="Verdana"/>
          <w:sz w:val="20"/>
          <w:szCs w:val="20"/>
          <w:lang w:val="pt-BR"/>
        </w:rPr>
        <w:t>residente;</w:t>
      </w:r>
    </w:p>
    <w:p w14:paraId="34DF88F3" w14:textId="77777777" w:rsidR="006C37C9" w:rsidRPr="0071582F" w:rsidRDefault="006C37C9" w:rsidP="006C37C9">
      <w:pPr>
        <w:tabs>
          <w:tab w:val="left" w:pos="720"/>
        </w:tabs>
        <w:rPr>
          <w:rFonts w:eastAsia="Calibri" w:cs="Verdana"/>
          <w:sz w:val="20"/>
          <w:szCs w:val="20"/>
        </w:rPr>
      </w:pPr>
      <w:r w:rsidRPr="0071582F">
        <w:rPr>
          <w:rFonts w:eastAsia="Calibri" w:cs="Verdana"/>
          <w:sz w:val="20"/>
          <w:szCs w:val="20"/>
        </w:rPr>
        <w:t>Humberto Antonio Sierra Porto, Juez;</w:t>
      </w:r>
    </w:p>
    <w:p w14:paraId="7E95B362" w14:textId="124723D5" w:rsidR="006C37C9" w:rsidRPr="0071582F" w:rsidRDefault="006C37C9" w:rsidP="007E5CD5">
      <w:pPr>
        <w:tabs>
          <w:tab w:val="left" w:pos="720"/>
          <w:tab w:val="left" w:pos="5760"/>
        </w:tabs>
        <w:rPr>
          <w:rFonts w:eastAsia="Calibri" w:cs="Verdana"/>
          <w:sz w:val="20"/>
          <w:szCs w:val="20"/>
        </w:rPr>
      </w:pPr>
      <w:r w:rsidRPr="0071582F">
        <w:rPr>
          <w:rFonts w:eastAsia="Calibri" w:cs="Verdana"/>
          <w:sz w:val="20"/>
          <w:szCs w:val="20"/>
        </w:rPr>
        <w:t>Elizabeth Odio Benito, Jueza;</w:t>
      </w:r>
      <w:r w:rsidR="007E5CD5">
        <w:rPr>
          <w:rFonts w:eastAsia="Calibri" w:cs="Verdana"/>
          <w:sz w:val="20"/>
          <w:szCs w:val="20"/>
        </w:rPr>
        <w:tab/>
      </w:r>
    </w:p>
    <w:p w14:paraId="500FA006" w14:textId="77777777" w:rsidR="006C37C9" w:rsidRPr="0071582F" w:rsidRDefault="006C37C9" w:rsidP="006C37C9">
      <w:pPr>
        <w:tabs>
          <w:tab w:val="left" w:pos="720"/>
        </w:tabs>
        <w:rPr>
          <w:rFonts w:eastAsia="Calibri" w:cs="Verdana"/>
          <w:sz w:val="20"/>
          <w:szCs w:val="20"/>
        </w:rPr>
      </w:pPr>
      <w:r w:rsidRPr="0071582F">
        <w:rPr>
          <w:rFonts w:eastAsia="Calibri" w:cs="Verdana"/>
          <w:sz w:val="20"/>
          <w:szCs w:val="20"/>
        </w:rPr>
        <w:t xml:space="preserve">Eugenio Raúl </w:t>
      </w:r>
      <w:proofErr w:type="spellStart"/>
      <w:r w:rsidRPr="0071582F">
        <w:rPr>
          <w:rFonts w:eastAsia="Calibri" w:cs="Verdana"/>
          <w:sz w:val="20"/>
          <w:szCs w:val="20"/>
        </w:rPr>
        <w:t>Zaffaroni</w:t>
      </w:r>
      <w:proofErr w:type="spellEnd"/>
      <w:r w:rsidRPr="0071582F">
        <w:rPr>
          <w:rFonts w:eastAsia="Calibri" w:cs="Verdana"/>
          <w:sz w:val="20"/>
          <w:szCs w:val="20"/>
        </w:rPr>
        <w:t>, Juez, y</w:t>
      </w:r>
    </w:p>
    <w:p w14:paraId="027AF5E7" w14:textId="77777777" w:rsidR="006C37C9" w:rsidRPr="0071582F" w:rsidRDefault="006C37C9" w:rsidP="006C37C9">
      <w:pPr>
        <w:tabs>
          <w:tab w:val="left" w:pos="720"/>
        </w:tabs>
        <w:rPr>
          <w:rFonts w:eastAsia="Calibri" w:cs="Verdana"/>
          <w:sz w:val="20"/>
          <w:szCs w:val="20"/>
        </w:rPr>
      </w:pPr>
      <w:r w:rsidRPr="0071582F">
        <w:rPr>
          <w:rFonts w:eastAsia="Calibri" w:cs="Verdana"/>
          <w:sz w:val="20"/>
          <w:szCs w:val="20"/>
        </w:rPr>
        <w:t>L. Patricio Pazmiño Freire, Juez;</w:t>
      </w:r>
    </w:p>
    <w:p w14:paraId="42384BBA" w14:textId="77777777" w:rsidR="006C37C9" w:rsidRPr="0071582F" w:rsidRDefault="006C37C9" w:rsidP="006C37C9">
      <w:pPr>
        <w:tabs>
          <w:tab w:val="left" w:pos="720"/>
        </w:tabs>
        <w:rPr>
          <w:rFonts w:eastAsia="Calibri" w:cs="Verdana"/>
          <w:sz w:val="20"/>
          <w:szCs w:val="20"/>
        </w:rPr>
      </w:pPr>
    </w:p>
    <w:p w14:paraId="04BDE9E1" w14:textId="77777777" w:rsidR="006C37C9" w:rsidRPr="0071582F" w:rsidRDefault="006C37C9" w:rsidP="006C37C9">
      <w:pPr>
        <w:tabs>
          <w:tab w:val="left" w:pos="720"/>
        </w:tabs>
        <w:rPr>
          <w:rFonts w:eastAsia="Calibri" w:cs="Verdana"/>
          <w:sz w:val="20"/>
          <w:szCs w:val="20"/>
        </w:rPr>
      </w:pPr>
      <w:proofErr w:type="gramStart"/>
      <w:r w:rsidRPr="0071582F">
        <w:rPr>
          <w:rFonts w:eastAsia="Calibri" w:cs="Verdana"/>
          <w:sz w:val="20"/>
          <w:szCs w:val="20"/>
        </w:rPr>
        <w:t>presente</w:t>
      </w:r>
      <w:proofErr w:type="gramEnd"/>
      <w:r w:rsidRPr="0071582F">
        <w:rPr>
          <w:rFonts w:eastAsia="Calibri" w:cs="Verdana"/>
          <w:sz w:val="20"/>
          <w:szCs w:val="20"/>
        </w:rPr>
        <w:t xml:space="preserve"> además</w:t>
      </w:r>
      <w:r w:rsidR="00746759" w:rsidRPr="007A72BF">
        <w:rPr>
          <w:rStyle w:val="FootnoteReference"/>
          <w:rFonts w:eastAsia="MS Mincho"/>
        </w:rPr>
        <w:footnoteReference w:customMarkFollows="1" w:id="3"/>
        <w:t>*</w:t>
      </w:r>
      <w:r w:rsidR="00746759" w:rsidRPr="007A72BF">
        <w:rPr>
          <w:rStyle w:val="FootnoteReference"/>
          <w:rFonts w:eastAsia="MS Mincho"/>
        </w:rPr>
        <w:footnoteReference w:customMarkFollows="1" w:id="4"/>
        <w:t>*</w:t>
      </w:r>
      <w:r w:rsidRPr="0071582F">
        <w:rPr>
          <w:rFonts w:eastAsia="Calibri" w:cs="Verdana"/>
          <w:sz w:val="20"/>
          <w:szCs w:val="20"/>
        </w:rPr>
        <w:t>,</w:t>
      </w:r>
    </w:p>
    <w:p w14:paraId="04C215EA" w14:textId="77777777" w:rsidR="006C37C9" w:rsidRPr="0071582F" w:rsidRDefault="006C37C9" w:rsidP="006C37C9">
      <w:pPr>
        <w:tabs>
          <w:tab w:val="left" w:pos="720"/>
        </w:tabs>
        <w:rPr>
          <w:rFonts w:eastAsia="Calibri" w:cs="Verdana"/>
          <w:sz w:val="20"/>
          <w:szCs w:val="20"/>
        </w:rPr>
      </w:pPr>
    </w:p>
    <w:p w14:paraId="24CF55D3" w14:textId="77777777" w:rsidR="006C37C9" w:rsidRPr="0071582F" w:rsidRDefault="006C37C9" w:rsidP="006C37C9">
      <w:pPr>
        <w:tabs>
          <w:tab w:val="left" w:pos="720"/>
        </w:tabs>
        <w:rPr>
          <w:rFonts w:eastAsia="Calibri" w:cs="Verdana"/>
          <w:sz w:val="20"/>
          <w:szCs w:val="20"/>
        </w:rPr>
      </w:pPr>
      <w:r w:rsidRPr="0071582F">
        <w:rPr>
          <w:rFonts w:eastAsia="Calibri" w:cs="Verdana"/>
          <w:sz w:val="20"/>
          <w:szCs w:val="20"/>
          <w:lang w:eastAsia="es-MX"/>
        </w:rPr>
        <w:t>Emilia Segares Rodríguez, Secretaria Adjunta,</w:t>
      </w:r>
    </w:p>
    <w:p w14:paraId="411C52C0" w14:textId="77777777" w:rsidR="006C37C9" w:rsidRPr="0071582F" w:rsidRDefault="006C37C9" w:rsidP="006C37C9">
      <w:pPr>
        <w:tabs>
          <w:tab w:val="left" w:pos="720"/>
        </w:tabs>
        <w:rPr>
          <w:rFonts w:eastAsia="Calibri" w:cs="Verdana"/>
          <w:sz w:val="20"/>
          <w:szCs w:val="20"/>
        </w:rPr>
      </w:pPr>
    </w:p>
    <w:p w14:paraId="769F5415" w14:textId="727F2950" w:rsidR="006C37C9" w:rsidRPr="0071582F" w:rsidRDefault="006C37C9" w:rsidP="006C37C9">
      <w:pPr>
        <w:tabs>
          <w:tab w:val="left" w:pos="720"/>
        </w:tabs>
        <w:rPr>
          <w:rFonts w:eastAsia="Calibri" w:cs="Verdana"/>
          <w:sz w:val="20"/>
          <w:szCs w:val="20"/>
        </w:rPr>
      </w:pPr>
      <w:proofErr w:type="gramStart"/>
      <w:r w:rsidRPr="0071582F">
        <w:rPr>
          <w:rFonts w:eastAsia="Calibri" w:cs="Verdana"/>
          <w:sz w:val="20"/>
          <w:szCs w:val="20"/>
        </w:rPr>
        <w:t>de</w:t>
      </w:r>
      <w:proofErr w:type="gramEnd"/>
      <w:r w:rsidRPr="0071582F">
        <w:rPr>
          <w:rFonts w:eastAsia="Calibri" w:cs="Verdana"/>
          <w:sz w:val="20"/>
          <w:szCs w:val="20"/>
        </w:rPr>
        <w:t xml:space="preserve"> conformidad con los artículos 62.3 y 63.1 de la Convención Americana </w:t>
      </w:r>
      <w:r w:rsidR="00A4129C">
        <w:rPr>
          <w:rFonts w:eastAsia="Calibri" w:cs="Verdana"/>
          <w:sz w:val="20"/>
          <w:szCs w:val="20"/>
        </w:rPr>
        <w:t>sobre</w:t>
      </w:r>
      <w:r w:rsidRPr="0071582F">
        <w:rPr>
          <w:rFonts w:eastAsia="Calibri" w:cs="Verdana"/>
          <w:sz w:val="20"/>
          <w:szCs w:val="20"/>
        </w:rPr>
        <w:t xml:space="preserve"> Derechos Humanos (en adelante “la Convención Americana” o “la Convención</w:t>
      </w:r>
      <w:r w:rsidR="000012D8">
        <w:rPr>
          <w:rFonts w:eastAsia="Calibri" w:cs="Verdana"/>
          <w:sz w:val="20"/>
          <w:szCs w:val="20"/>
        </w:rPr>
        <w:t xml:space="preserve">”) y con los artículos 31, 32, </w:t>
      </w:r>
      <w:r w:rsidR="00221693">
        <w:rPr>
          <w:rFonts w:eastAsia="Calibri" w:cs="Verdana"/>
          <w:sz w:val="20"/>
          <w:szCs w:val="20"/>
        </w:rPr>
        <w:t xml:space="preserve">62, </w:t>
      </w:r>
      <w:r w:rsidRPr="0071582F">
        <w:rPr>
          <w:rFonts w:eastAsia="Calibri" w:cs="Verdana"/>
          <w:sz w:val="20"/>
          <w:szCs w:val="20"/>
        </w:rPr>
        <w:t xml:space="preserve">65 y 67 del Reglamento de la Corte </w:t>
      </w:r>
      <w:r w:rsidR="00780558">
        <w:rPr>
          <w:rFonts w:eastAsia="Calibri" w:cs="Verdana"/>
          <w:sz w:val="20"/>
          <w:szCs w:val="20"/>
        </w:rPr>
        <w:t xml:space="preserve">Interamericana </w:t>
      </w:r>
      <w:r w:rsidRPr="0071582F">
        <w:rPr>
          <w:rFonts w:eastAsia="Calibri" w:cs="Verdana"/>
          <w:sz w:val="20"/>
          <w:szCs w:val="20"/>
        </w:rPr>
        <w:t>(en adelante “el Reglamento” o “Reglamento de la Corte”), dicta la presente Sentencia, que se estructura en el siguiente orden:</w:t>
      </w:r>
    </w:p>
    <w:p w14:paraId="59699CA5" w14:textId="77777777" w:rsidR="006C37C9" w:rsidRPr="0071582F" w:rsidRDefault="006C37C9" w:rsidP="006C37C9">
      <w:pPr>
        <w:spacing w:before="1" w:line="235" w:lineRule="exact"/>
        <w:ind w:left="100" w:right="-1085"/>
        <w:rPr>
          <w:rFonts w:eastAsia="Verdana" w:cs="Verdana"/>
          <w:position w:val="-1"/>
          <w:sz w:val="20"/>
          <w:szCs w:val="20"/>
        </w:rPr>
      </w:pPr>
    </w:p>
    <w:p w14:paraId="43AB38E3" w14:textId="77777777" w:rsidR="006C37C9" w:rsidRPr="0071582F" w:rsidRDefault="006C37C9" w:rsidP="006C37C9">
      <w:pPr>
        <w:spacing w:before="1" w:line="235" w:lineRule="exact"/>
        <w:ind w:left="100" w:right="-20"/>
        <w:rPr>
          <w:rFonts w:eastAsia="Verdana" w:cs="Verdana"/>
          <w:position w:val="-1"/>
          <w:sz w:val="20"/>
          <w:szCs w:val="20"/>
        </w:rPr>
      </w:pPr>
    </w:p>
    <w:p w14:paraId="424A3AF7" w14:textId="0E573203" w:rsidR="009F7F67" w:rsidRDefault="006C37C9" w:rsidP="00BE6F31">
      <w:pPr>
        <w:rPr>
          <w:rFonts w:eastAsia="Verdana" w:cs="Verdana"/>
          <w:position w:val="-1"/>
          <w:sz w:val="20"/>
          <w:szCs w:val="20"/>
        </w:rPr>
      </w:pPr>
      <w:r w:rsidRPr="0071582F">
        <w:rPr>
          <w:rFonts w:eastAsia="Verdana" w:cs="Verdana"/>
          <w:position w:val="-1"/>
          <w:sz w:val="20"/>
          <w:szCs w:val="20"/>
        </w:rPr>
        <w:br w:type="page"/>
      </w:r>
    </w:p>
    <w:sdt>
      <w:sdtPr>
        <w:rPr>
          <w:rFonts w:ascii="Verdana" w:eastAsia="Times New Roman" w:hAnsi="Verdana" w:cs="Times New Roman"/>
          <w:b w:val="0"/>
          <w:bCs w:val="0"/>
          <w:color w:val="auto"/>
          <w:sz w:val="20"/>
          <w:szCs w:val="20"/>
          <w:lang w:val="es-CR" w:eastAsia="es-CR"/>
        </w:rPr>
        <w:id w:val="-1331666852"/>
        <w:docPartObj>
          <w:docPartGallery w:val="Table of Contents"/>
          <w:docPartUnique/>
        </w:docPartObj>
      </w:sdtPr>
      <w:sdtEndPr>
        <w:rPr>
          <w:noProof/>
        </w:rPr>
      </w:sdtEndPr>
      <w:sdtContent>
        <w:p w14:paraId="34C4E7DA" w14:textId="77777777" w:rsidR="009F7F67" w:rsidRPr="009F4015" w:rsidRDefault="009F7F67" w:rsidP="00760A6C">
          <w:pPr>
            <w:pStyle w:val="TOCHeading"/>
            <w:spacing w:before="0" w:line="240" w:lineRule="auto"/>
            <w:jc w:val="center"/>
            <w:rPr>
              <w:rFonts w:ascii="Verdana" w:hAnsi="Verdana"/>
              <w:color w:val="auto"/>
              <w:sz w:val="20"/>
              <w:szCs w:val="20"/>
            </w:rPr>
          </w:pPr>
          <w:r w:rsidRPr="008D6B5C">
            <w:rPr>
              <w:rFonts w:ascii="Verdana" w:hAnsi="Verdana"/>
              <w:color w:val="auto"/>
              <w:sz w:val="20"/>
              <w:szCs w:val="20"/>
            </w:rPr>
            <w:t>TABLA DE CONTENIDOS</w:t>
          </w:r>
        </w:p>
        <w:p w14:paraId="30478E62" w14:textId="77777777" w:rsidR="00760A6C" w:rsidRPr="009F4015" w:rsidRDefault="00760A6C" w:rsidP="002A64C9">
          <w:pPr>
            <w:rPr>
              <w:sz w:val="20"/>
              <w:szCs w:val="20"/>
            </w:rPr>
          </w:pPr>
        </w:p>
        <w:p w14:paraId="29DF301B" w14:textId="77777777" w:rsidR="009F4015" w:rsidRPr="008D6B5C" w:rsidRDefault="009F7F67" w:rsidP="00C004B1">
          <w:pPr>
            <w:pStyle w:val="TOC1"/>
            <w:rPr>
              <w:rFonts w:ascii="Verdana" w:eastAsiaTheme="minorEastAsia" w:hAnsi="Verdana" w:cstheme="minorBidi"/>
              <w:noProof/>
            </w:rPr>
          </w:pPr>
          <w:r w:rsidRPr="009F4015">
            <w:rPr>
              <w:smallCaps/>
            </w:rPr>
            <w:fldChar w:fldCharType="begin"/>
          </w:r>
          <w:r w:rsidRPr="009F4015">
            <w:rPr>
              <w:smallCaps/>
            </w:rPr>
            <w:instrText xml:space="preserve"> TOC \h \z \t "Heading 1,2,Heading 2,3,Heading 3,4,Heading 4,5,Title,1,Body 1,1" </w:instrText>
          </w:r>
          <w:r w:rsidRPr="009F4015">
            <w:rPr>
              <w:smallCaps/>
            </w:rPr>
            <w:fldChar w:fldCharType="separate"/>
          </w:r>
          <w:hyperlink w:anchor="_Toc513644440" w:history="1">
            <w:r w:rsidR="009F4015" w:rsidRPr="008D6B5C">
              <w:rPr>
                <w:rStyle w:val="Hyperlink"/>
                <w:rFonts w:ascii="Verdana" w:hAnsi="Verdana"/>
                <w:noProof/>
              </w:rPr>
              <w:t>I INTRODUCCIÓN DE LA CAUSA Y OBJETO DE LA CONTROVERSIA</w:t>
            </w:r>
            <w:r w:rsidR="009F4015" w:rsidRPr="008D6B5C">
              <w:rPr>
                <w:rFonts w:ascii="Verdana" w:hAnsi="Verdana"/>
                <w:noProof/>
                <w:webHidden/>
              </w:rPr>
              <w:tab/>
            </w:r>
            <w:r w:rsidR="009F4015" w:rsidRPr="008D6B5C">
              <w:rPr>
                <w:rFonts w:ascii="Verdana" w:hAnsi="Verdana"/>
                <w:b w:val="0"/>
                <w:noProof/>
                <w:webHidden/>
              </w:rPr>
              <w:fldChar w:fldCharType="begin"/>
            </w:r>
            <w:r w:rsidR="009F4015" w:rsidRPr="008D6B5C">
              <w:rPr>
                <w:rFonts w:ascii="Verdana" w:hAnsi="Verdana"/>
                <w:b w:val="0"/>
                <w:noProof/>
                <w:webHidden/>
              </w:rPr>
              <w:instrText xml:space="preserve"> PAGEREF _Toc513644440 \h </w:instrText>
            </w:r>
            <w:r w:rsidR="009F4015" w:rsidRPr="008D6B5C">
              <w:rPr>
                <w:rFonts w:ascii="Verdana" w:hAnsi="Verdana"/>
                <w:b w:val="0"/>
                <w:noProof/>
                <w:webHidden/>
              </w:rPr>
            </w:r>
            <w:r w:rsidR="009F4015" w:rsidRPr="008D6B5C">
              <w:rPr>
                <w:rFonts w:ascii="Verdana" w:hAnsi="Verdana"/>
                <w:b w:val="0"/>
                <w:noProof/>
                <w:webHidden/>
              </w:rPr>
              <w:fldChar w:fldCharType="separate"/>
            </w:r>
            <w:r w:rsidR="00B263FD">
              <w:rPr>
                <w:rFonts w:ascii="Verdana" w:hAnsi="Verdana"/>
                <w:b w:val="0"/>
                <w:noProof/>
                <w:webHidden/>
              </w:rPr>
              <w:t>4</w:t>
            </w:r>
            <w:r w:rsidR="009F4015" w:rsidRPr="008D6B5C">
              <w:rPr>
                <w:rFonts w:ascii="Verdana" w:hAnsi="Verdana"/>
                <w:b w:val="0"/>
                <w:noProof/>
                <w:webHidden/>
              </w:rPr>
              <w:fldChar w:fldCharType="end"/>
            </w:r>
          </w:hyperlink>
        </w:p>
        <w:p w14:paraId="72455066" w14:textId="77777777" w:rsidR="009F4015" w:rsidRPr="008D6B5C" w:rsidRDefault="00BE7922" w:rsidP="00C004B1">
          <w:pPr>
            <w:pStyle w:val="TOC1"/>
            <w:rPr>
              <w:rFonts w:ascii="Verdana" w:eastAsiaTheme="minorEastAsia" w:hAnsi="Verdana" w:cstheme="minorBidi"/>
              <w:noProof/>
            </w:rPr>
          </w:pPr>
          <w:hyperlink w:anchor="_Toc513644441" w:history="1">
            <w:r w:rsidR="009F4015" w:rsidRPr="008D6B5C">
              <w:rPr>
                <w:rStyle w:val="Hyperlink"/>
                <w:rFonts w:ascii="Verdana" w:hAnsi="Verdana"/>
                <w:noProof/>
              </w:rPr>
              <w:t>II PROCEDIMIENTO ANTE LA CORTE</w:t>
            </w:r>
            <w:r w:rsidR="009F4015" w:rsidRPr="008D6B5C">
              <w:rPr>
                <w:rFonts w:ascii="Verdana" w:hAnsi="Verdana"/>
                <w:noProof/>
                <w:webHidden/>
              </w:rPr>
              <w:tab/>
            </w:r>
            <w:r w:rsidR="009F4015" w:rsidRPr="008D6B5C">
              <w:rPr>
                <w:rFonts w:ascii="Verdana" w:hAnsi="Verdana"/>
                <w:b w:val="0"/>
                <w:noProof/>
                <w:webHidden/>
              </w:rPr>
              <w:fldChar w:fldCharType="begin"/>
            </w:r>
            <w:r w:rsidR="009F4015" w:rsidRPr="008D6B5C">
              <w:rPr>
                <w:rFonts w:ascii="Verdana" w:hAnsi="Verdana"/>
                <w:b w:val="0"/>
                <w:noProof/>
                <w:webHidden/>
              </w:rPr>
              <w:instrText xml:space="preserve"> PAGEREF _Toc513644441 \h </w:instrText>
            </w:r>
            <w:r w:rsidR="009F4015" w:rsidRPr="008D6B5C">
              <w:rPr>
                <w:rFonts w:ascii="Verdana" w:hAnsi="Verdana"/>
                <w:b w:val="0"/>
                <w:noProof/>
                <w:webHidden/>
              </w:rPr>
            </w:r>
            <w:r w:rsidR="009F4015" w:rsidRPr="008D6B5C">
              <w:rPr>
                <w:rFonts w:ascii="Verdana" w:hAnsi="Verdana"/>
                <w:b w:val="0"/>
                <w:noProof/>
                <w:webHidden/>
              </w:rPr>
              <w:fldChar w:fldCharType="separate"/>
            </w:r>
            <w:r w:rsidR="00B263FD">
              <w:rPr>
                <w:rFonts w:ascii="Verdana" w:hAnsi="Verdana"/>
                <w:b w:val="0"/>
                <w:noProof/>
                <w:webHidden/>
              </w:rPr>
              <w:t>6</w:t>
            </w:r>
            <w:r w:rsidR="009F4015" w:rsidRPr="008D6B5C">
              <w:rPr>
                <w:rFonts w:ascii="Verdana" w:hAnsi="Verdana"/>
                <w:b w:val="0"/>
                <w:noProof/>
                <w:webHidden/>
              </w:rPr>
              <w:fldChar w:fldCharType="end"/>
            </w:r>
          </w:hyperlink>
        </w:p>
        <w:p w14:paraId="682A5C07" w14:textId="77777777" w:rsidR="009F4015" w:rsidRPr="008D6B5C" w:rsidRDefault="00BE7922" w:rsidP="00C004B1">
          <w:pPr>
            <w:pStyle w:val="TOC1"/>
            <w:rPr>
              <w:rFonts w:ascii="Verdana" w:eastAsiaTheme="minorEastAsia" w:hAnsi="Verdana" w:cstheme="minorBidi"/>
              <w:noProof/>
            </w:rPr>
          </w:pPr>
          <w:hyperlink w:anchor="_Toc513644442" w:history="1">
            <w:r w:rsidR="009F4015" w:rsidRPr="008D6B5C">
              <w:rPr>
                <w:rStyle w:val="Hyperlink"/>
                <w:rFonts w:ascii="Verdana" w:hAnsi="Verdana"/>
                <w:noProof/>
              </w:rPr>
              <w:t>III COMPETENCIA</w:t>
            </w:r>
            <w:r w:rsidR="009F4015" w:rsidRPr="008D6B5C">
              <w:rPr>
                <w:rFonts w:ascii="Verdana" w:hAnsi="Verdana"/>
                <w:noProof/>
                <w:webHidden/>
              </w:rPr>
              <w:tab/>
            </w:r>
            <w:r w:rsidR="009F4015" w:rsidRPr="008D6B5C">
              <w:rPr>
                <w:rFonts w:ascii="Verdana" w:hAnsi="Verdana"/>
                <w:b w:val="0"/>
                <w:noProof/>
                <w:webHidden/>
              </w:rPr>
              <w:fldChar w:fldCharType="begin"/>
            </w:r>
            <w:r w:rsidR="009F4015" w:rsidRPr="008D6B5C">
              <w:rPr>
                <w:rFonts w:ascii="Verdana" w:hAnsi="Verdana"/>
                <w:b w:val="0"/>
                <w:noProof/>
                <w:webHidden/>
              </w:rPr>
              <w:instrText xml:space="preserve"> PAGEREF _Toc513644442 \h </w:instrText>
            </w:r>
            <w:r w:rsidR="009F4015" w:rsidRPr="008D6B5C">
              <w:rPr>
                <w:rFonts w:ascii="Verdana" w:hAnsi="Verdana"/>
                <w:b w:val="0"/>
                <w:noProof/>
                <w:webHidden/>
              </w:rPr>
            </w:r>
            <w:r w:rsidR="009F4015" w:rsidRPr="008D6B5C">
              <w:rPr>
                <w:rFonts w:ascii="Verdana" w:hAnsi="Verdana"/>
                <w:b w:val="0"/>
                <w:noProof/>
                <w:webHidden/>
              </w:rPr>
              <w:fldChar w:fldCharType="separate"/>
            </w:r>
            <w:r w:rsidR="00B263FD">
              <w:rPr>
                <w:rFonts w:ascii="Verdana" w:hAnsi="Verdana"/>
                <w:b w:val="0"/>
                <w:noProof/>
                <w:webHidden/>
              </w:rPr>
              <w:t>7</w:t>
            </w:r>
            <w:r w:rsidR="009F4015" w:rsidRPr="008D6B5C">
              <w:rPr>
                <w:rFonts w:ascii="Verdana" w:hAnsi="Verdana"/>
                <w:b w:val="0"/>
                <w:noProof/>
                <w:webHidden/>
              </w:rPr>
              <w:fldChar w:fldCharType="end"/>
            </w:r>
          </w:hyperlink>
        </w:p>
        <w:p w14:paraId="3C1965DD" w14:textId="77777777" w:rsidR="009F4015" w:rsidRPr="009F4015" w:rsidRDefault="00BE7922" w:rsidP="00C004B1">
          <w:pPr>
            <w:pStyle w:val="TOC1"/>
            <w:rPr>
              <w:rFonts w:eastAsiaTheme="minorEastAsia" w:cstheme="minorBidi"/>
              <w:noProof/>
            </w:rPr>
          </w:pPr>
          <w:hyperlink w:anchor="_Toc513644443" w:history="1">
            <w:r w:rsidR="009F4015" w:rsidRPr="009F4015">
              <w:rPr>
                <w:rStyle w:val="Hyperlink"/>
                <w:rFonts w:ascii="Verdana" w:hAnsi="Verdana"/>
                <w:noProof/>
              </w:rPr>
              <w:t>IV RECONOCIMIENTO PARCIAL DE RESPONSABILIDAD INTERNACIONAL DEL ESTADO</w:t>
            </w:r>
            <w:r w:rsidR="009F4015" w:rsidRPr="009F4015">
              <w:rPr>
                <w:noProof/>
                <w:webHidden/>
              </w:rPr>
              <w:tab/>
            </w:r>
            <w:r w:rsidR="009F4015" w:rsidRPr="008D6B5C">
              <w:rPr>
                <w:rFonts w:ascii="Verdana" w:hAnsi="Verdana"/>
                <w:b w:val="0"/>
                <w:noProof/>
                <w:webHidden/>
              </w:rPr>
              <w:fldChar w:fldCharType="begin"/>
            </w:r>
            <w:r w:rsidR="009F4015" w:rsidRPr="008D6B5C">
              <w:rPr>
                <w:rFonts w:ascii="Verdana" w:hAnsi="Verdana"/>
                <w:b w:val="0"/>
                <w:noProof/>
                <w:webHidden/>
              </w:rPr>
              <w:instrText xml:space="preserve"> PAGEREF _Toc513644443 \h </w:instrText>
            </w:r>
            <w:r w:rsidR="009F4015" w:rsidRPr="008D6B5C">
              <w:rPr>
                <w:rFonts w:ascii="Verdana" w:hAnsi="Verdana"/>
                <w:b w:val="0"/>
                <w:noProof/>
                <w:webHidden/>
              </w:rPr>
            </w:r>
            <w:r w:rsidR="009F4015" w:rsidRPr="008D6B5C">
              <w:rPr>
                <w:rFonts w:ascii="Verdana" w:hAnsi="Verdana"/>
                <w:b w:val="0"/>
                <w:noProof/>
                <w:webHidden/>
              </w:rPr>
              <w:fldChar w:fldCharType="separate"/>
            </w:r>
            <w:r w:rsidR="00B263FD">
              <w:rPr>
                <w:rFonts w:ascii="Verdana" w:hAnsi="Verdana"/>
                <w:b w:val="0"/>
                <w:noProof/>
                <w:webHidden/>
              </w:rPr>
              <w:t>7</w:t>
            </w:r>
            <w:r w:rsidR="009F4015" w:rsidRPr="008D6B5C">
              <w:rPr>
                <w:rFonts w:ascii="Verdana" w:hAnsi="Verdana"/>
                <w:b w:val="0"/>
                <w:noProof/>
                <w:webHidden/>
              </w:rPr>
              <w:fldChar w:fldCharType="end"/>
            </w:r>
          </w:hyperlink>
        </w:p>
        <w:p w14:paraId="3565A9A6" w14:textId="77777777" w:rsidR="009F4015" w:rsidRPr="009F4015" w:rsidRDefault="00BE7922" w:rsidP="009F4015">
          <w:pPr>
            <w:pStyle w:val="TOC3"/>
            <w:rPr>
              <w:rFonts w:eastAsiaTheme="minorEastAsia" w:cstheme="minorBidi"/>
              <w:iCs w:val="0"/>
            </w:rPr>
          </w:pPr>
          <w:hyperlink w:anchor="_Toc513644444" w:history="1">
            <w:r w:rsidR="009F4015" w:rsidRPr="009F4015">
              <w:rPr>
                <w:rStyle w:val="Hyperlink"/>
              </w:rPr>
              <w:t>A.</w:t>
            </w:r>
            <w:r w:rsidR="009F4015" w:rsidRPr="009F4015">
              <w:rPr>
                <w:rFonts w:eastAsiaTheme="minorEastAsia" w:cstheme="minorBidi"/>
                <w:iCs w:val="0"/>
              </w:rPr>
              <w:tab/>
            </w:r>
            <w:r w:rsidR="009F4015" w:rsidRPr="009F4015">
              <w:rPr>
                <w:rStyle w:val="Hyperlink"/>
              </w:rPr>
              <w:t>Posiciones respecto del Reconocimiento Parcial de responsabilidad del Estado</w:t>
            </w:r>
            <w:r w:rsidR="009F4015" w:rsidRPr="009F4015">
              <w:rPr>
                <w:webHidden/>
              </w:rPr>
              <w:tab/>
            </w:r>
            <w:r w:rsidR="009F4015" w:rsidRPr="009F4015">
              <w:rPr>
                <w:webHidden/>
              </w:rPr>
              <w:fldChar w:fldCharType="begin"/>
            </w:r>
            <w:r w:rsidR="009F4015" w:rsidRPr="009F4015">
              <w:rPr>
                <w:webHidden/>
              </w:rPr>
              <w:instrText xml:space="preserve"> PAGEREF _Toc513644444 \h </w:instrText>
            </w:r>
            <w:r w:rsidR="009F4015" w:rsidRPr="009F4015">
              <w:rPr>
                <w:webHidden/>
              </w:rPr>
            </w:r>
            <w:r w:rsidR="009F4015" w:rsidRPr="009F4015">
              <w:rPr>
                <w:webHidden/>
              </w:rPr>
              <w:fldChar w:fldCharType="separate"/>
            </w:r>
            <w:r w:rsidR="00B263FD">
              <w:rPr>
                <w:webHidden/>
              </w:rPr>
              <w:t>7</w:t>
            </w:r>
            <w:r w:rsidR="009F4015" w:rsidRPr="009F4015">
              <w:rPr>
                <w:webHidden/>
              </w:rPr>
              <w:fldChar w:fldCharType="end"/>
            </w:r>
          </w:hyperlink>
        </w:p>
        <w:p w14:paraId="182A2165" w14:textId="77777777" w:rsidR="009F4015" w:rsidRPr="009F4015" w:rsidRDefault="00BE7922" w:rsidP="009F4015">
          <w:pPr>
            <w:pStyle w:val="TOC3"/>
            <w:rPr>
              <w:rFonts w:eastAsiaTheme="minorEastAsia" w:cstheme="minorBidi"/>
              <w:iCs w:val="0"/>
            </w:rPr>
          </w:pPr>
          <w:hyperlink w:anchor="_Toc513644445" w:history="1">
            <w:r w:rsidR="009F4015" w:rsidRPr="009F4015">
              <w:rPr>
                <w:rStyle w:val="Hyperlink"/>
              </w:rPr>
              <w:t>B.</w:t>
            </w:r>
            <w:r w:rsidR="009F4015" w:rsidRPr="009F4015">
              <w:rPr>
                <w:rFonts w:eastAsiaTheme="minorEastAsia" w:cstheme="minorBidi"/>
                <w:iCs w:val="0"/>
              </w:rPr>
              <w:tab/>
            </w:r>
            <w:r w:rsidR="009F4015" w:rsidRPr="009F4015">
              <w:rPr>
                <w:rStyle w:val="Hyperlink"/>
              </w:rPr>
              <w:t>Consideraciones de la Corte</w:t>
            </w:r>
            <w:r w:rsidR="009F4015" w:rsidRPr="009F4015">
              <w:rPr>
                <w:webHidden/>
              </w:rPr>
              <w:tab/>
            </w:r>
            <w:r w:rsidR="009F4015" w:rsidRPr="009F4015">
              <w:rPr>
                <w:webHidden/>
              </w:rPr>
              <w:fldChar w:fldCharType="begin"/>
            </w:r>
            <w:r w:rsidR="009F4015" w:rsidRPr="009F4015">
              <w:rPr>
                <w:webHidden/>
              </w:rPr>
              <w:instrText xml:space="preserve"> PAGEREF _Toc513644445 \h </w:instrText>
            </w:r>
            <w:r w:rsidR="009F4015" w:rsidRPr="009F4015">
              <w:rPr>
                <w:webHidden/>
              </w:rPr>
            </w:r>
            <w:r w:rsidR="009F4015" w:rsidRPr="009F4015">
              <w:rPr>
                <w:webHidden/>
              </w:rPr>
              <w:fldChar w:fldCharType="separate"/>
            </w:r>
            <w:r w:rsidR="00B263FD">
              <w:rPr>
                <w:webHidden/>
              </w:rPr>
              <w:t>10</w:t>
            </w:r>
            <w:r w:rsidR="009F4015" w:rsidRPr="009F4015">
              <w:rPr>
                <w:webHidden/>
              </w:rPr>
              <w:fldChar w:fldCharType="end"/>
            </w:r>
          </w:hyperlink>
        </w:p>
        <w:p w14:paraId="234FDC3C" w14:textId="77777777" w:rsidR="009F4015" w:rsidRPr="009F4015" w:rsidRDefault="00BE7922" w:rsidP="009F4015">
          <w:pPr>
            <w:pStyle w:val="TOC4"/>
            <w:tabs>
              <w:tab w:val="left" w:pos="1200"/>
              <w:tab w:val="right" w:leader="dot" w:pos="9736"/>
            </w:tabs>
            <w:rPr>
              <w:rFonts w:ascii="Verdana" w:eastAsiaTheme="minorEastAsia" w:hAnsi="Verdana" w:cstheme="minorBidi"/>
              <w:noProof/>
              <w:sz w:val="20"/>
              <w:szCs w:val="20"/>
            </w:rPr>
          </w:pPr>
          <w:hyperlink w:anchor="_Toc513644446" w:history="1">
            <w:r w:rsidR="009F4015" w:rsidRPr="009F4015">
              <w:rPr>
                <w:rStyle w:val="Hyperlink"/>
                <w:rFonts w:ascii="Verdana" w:hAnsi="Verdana"/>
                <w:noProof/>
                <w:sz w:val="20"/>
                <w:szCs w:val="20"/>
              </w:rPr>
              <w:t xml:space="preserve">1. </w:t>
            </w:r>
            <w:r w:rsidR="009F4015" w:rsidRPr="009F4015">
              <w:rPr>
                <w:rFonts w:ascii="Verdana" w:eastAsiaTheme="minorEastAsia" w:hAnsi="Verdana" w:cstheme="minorBidi"/>
                <w:noProof/>
                <w:sz w:val="20"/>
                <w:szCs w:val="20"/>
              </w:rPr>
              <w:tab/>
            </w:r>
            <w:r w:rsidR="009F4015" w:rsidRPr="009F4015">
              <w:rPr>
                <w:rStyle w:val="Hyperlink"/>
                <w:rFonts w:ascii="Verdana" w:hAnsi="Verdana"/>
                <w:noProof/>
                <w:sz w:val="20"/>
                <w:szCs w:val="20"/>
              </w:rPr>
              <w:t>En cuanto a los hechos</w:t>
            </w:r>
            <w:r w:rsidR="009F4015" w:rsidRPr="009F4015">
              <w:rPr>
                <w:rFonts w:ascii="Verdana" w:hAnsi="Verdana"/>
                <w:noProof/>
                <w:webHidden/>
                <w:sz w:val="20"/>
                <w:szCs w:val="20"/>
              </w:rPr>
              <w:tab/>
            </w:r>
            <w:r w:rsidR="009F4015" w:rsidRPr="009F4015">
              <w:rPr>
                <w:rFonts w:ascii="Verdana" w:hAnsi="Verdana"/>
                <w:noProof/>
                <w:webHidden/>
                <w:sz w:val="20"/>
                <w:szCs w:val="20"/>
              </w:rPr>
              <w:fldChar w:fldCharType="begin"/>
            </w:r>
            <w:r w:rsidR="009F4015" w:rsidRPr="009F4015">
              <w:rPr>
                <w:rFonts w:ascii="Verdana" w:hAnsi="Verdana"/>
                <w:noProof/>
                <w:webHidden/>
                <w:sz w:val="20"/>
                <w:szCs w:val="20"/>
              </w:rPr>
              <w:instrText xml:space="preserve"> PAGEREF _Toc513644446 \h </w:instrText>
            </w:r>
            <w:r w:rsidR="009F4015" w:rsidRPr="009F4015">
              <w:rPr>
                <w:rFonts w:ascii="Verdana" w:hAnsi="Verdana"/>
                <w:noProof/>
                <w:webHidden/>
                <w:sz w:val="20"/>
                <w:szCs w:val="20"/>
              </w:rPr>
            </w:r>
            <w:r w:rsidR="009F4015" w:rsidRPr="009F4015">
              <w:rPr>
                <w:rFonts w:ascii="Verdana" w:hAnsi="Verdana"/>
                <w:noProof/>
                <w:webHidden/>
                <w:sz w:val="20"/>
                <w:szCs w:val="20"/>
              </w:rPr>
              <w:fldChar w:fldCharType="separate"/>
            </w:r>
            <w:r w:rsidR="00B263FD">
              <w:rPr>
                <w:rFonts w:ascii="Verdana" w:hAnsi="Verdana"/>
                <w:noProof/>
                <w:webHidden/>
                <w:sz w:val="20"/>
                <w:szCs w:val="20"/>
              </w:rPr>
              <w:t>11</w:t>
            </w:r>
            <w:r w:rsidR="009F4015" w:rsidRPr="009F4015">
              <w:rPr>
                <w:rFonts w:ascii="Verdana" w:hAnsi="Verdana"/>
                <w:noProof/>
                <w:webHidden/>
                <w:sz w:val="20"/>
                <w:szCs w:val="20"/>
              </w:rPr>
              <w:fldChar w:fldCharType="end"/>
            </w:r>
          </w:hyperlink>
        </w:p>
        <w:p w14:paraId="49C0BAA5" w14:textId="77777777" w:rsidR="009F4015" w:rsidRPr="009F4015" w:rsidRDefault="00BE7922" w:rsidP="009F4015">
          <w:pPr>
            <w:pStyle w:val="TOC4"/>
            <w:tabs>
              <w:tab w:val="left" w:pos="1200"/>
              <w:tab w:val="right" w:leader="dot" w:pos="9736"/>
            </w:tabs>
            <w:rPr>
              <w:rFonts w:ascii="Verdana" w:eastAsiaTheme="minorEastAsia" w:hAnsi="Verdana" w:cstheme="minorBidi"/>
              <w:noProof/>
              <w:sz w:val="20"/>
              <w:szCs w:val="20"/>
            </w:rPr>
          </w:pPr>
          <w:hyperlink w:anchor="_Toc513644447" w:history="1">
            <w:r w:rsidR="009F4015" w:rsidRPr="009F4015">
              <w:rPr>
                <w:rStyle w:val="Hyperlink"/>
                <w:rFonts w:ascii="Verdana" w:hAnsi="Verdana"/>
                <w:noProof/>
                <w:sz w:val="20"/>
                <w:szCs w:val="20"/>
              </w:rPr>
              <w:t xml:space="preserve">2. </w:t>
            </w:r>
            <w:r w:rsidR="009F4015" w:rsidRPr="009F4015">
              <w:rPr>
                <w:rFonts w:ascii="Verdana" w:eastAsiaTheme="minorEastAsia" w:hAnsi="Verdana" w:cstheme="minorBidi"/>
                <w:noProof/>
                <w:sz w:val="20"/>
                <w:szCs w:val="20"/>
              </w:rPr>
              <w:tab/>
            </w:r>
            <w:r w:rsidR="009F4015" w:rsidRPr="009F4015">
              <w:rPr>
                <w:rStyle w:val="Hyperlink"/>
                <w:rFonts w:ascii="Verdana" w:hAnsi="Verdana"/>
                <w:noProof/>
                <w:sz w:val="20"/>
                <w:szCs w:val="20"/>
              </w:rPr>
              <w:t>En cuanto a las pretensiones de derecho</w:t>
            </w:r>
            <w:r w:rsidR="009F4015" w:rsidRPr="009F4015">
              <w:rPr>
                <w:rFonts w:ascii="Verdana" w:hAnsi="Verdana"/>
                <w:noProof/>
                <w:webHidden/>
                <w:sz w:val="20"/>
                <w:szCs w:val="20"/>
              </w:rPr>
              <w:tab/>
            </w:r>
            <w:r w:rsidR="009F4015" w:rsidRPr="009F4015">
              <w:rPr>
                <w:rFonts w:ascii="Verdana" w:hAnsi="Verdana"/>
                <w:noProof/>
                <w:webHidden/>
                <w:sz w:val="20"/>
                <w:szCs w:val="20"/>
              </w:rPr>
              <w:fldChar w:fldCharType="begin"/>
            </w:r>
            <w:r w:rsidR="009F4015" w:rsidRPr="009F4015">
              <w:rPr>
                <w:rFonts w:ascii="Verdana" w:hAnsi="Verdana"/>
                <w:noProof/>
                <w:webHidden/>
                <w:sz w:val="20"/>
                <w:szCs w:val="20"/>
              </w:rPr>
              <w:instrText xml:space="preserve"> PAGEREF _Toc513644447 \h </w:instrText>
            </w:r>
            <w:r w:rsidR="009F4015" w:rsidRPr="009F4015">
              <w:rPr>
                <w:rFonts w:ascii="Verdana" w:hAnsi="Verdana"/>
                <w:noProof/>
                <w:webHidden/>
                <w:sz w:val="20"/>
                <w:szCs w:val="20"/>
              </w:rPr>
            </w:r>
            <w:r w:rsidR="009F4015" w:rsidRPr="009F4015">
              <w:rPr>
                <w:rFonts w:ascii="Verdana" w:hAnsi="Verdana"/>
                <w:noProof/>
                <w:webHidden/>
                <w:sz w:val="20"/>
                <w:szCs w:val="20"/>
              </w:rPr>
              <w:fldChar w:fldCharType="separate"/>
            </w:r>
            <w:r w:rsidR="00B263FD">
              <w:rPr>
                <w:rFonts w:ascii="Verdana" w:hAnsi="Verdana"/>
                <w:noProof/>
                <w:webHidden/>
                <w:sz w:val="20"/>
                <w:szCs w:val="20"/>
              </w:rPr>
              <w:t>11</w:t>
            </w:r>
            <w:r w:rsidR="009F4015" w:rsidRPr="009F4015">
              <w:rPr>
                <w:rFonts w:ascii="Verdana" w:hAnsi="Verdana"/>
                <w:noProof/>
                <w:webHidden/>
                <w:sz w:val="20"/>
                <w:szCs w:val="20"/>
              </w:rPr>
              <w:fldChar w:fldCharType="end"/>
            </w:r>
          </w:hyperlink>
        </w:p>
        <w:p w14:paraId="01C52569" w14:textId="77777777" w:rsidR="009F4015" w:rsidRPr="009F4015" w:rsidRDefault="00BE7922" w:rsidP="009F4015">
          <w:pPr>
            <w:pStyle w:val="TOC4"/>
            <w:tabs>
              <w:tab w:val="left" w:pos="1200"/>
              <w:tab w:val="right" w:leader="dot" w:pos="9736"/>
            </w:tabs>
            <w:rPr>
              <w:rFonts w:ascii="Verdana" w:eastAsiaTheme="minorEastAsia" w:hAnsi="Verdana" w:cstheme="minorBidi"/>
              <w:noProof/>
              <w:sz w:val="20"/>
              <w:szCs w:val="20"/>
            </w:rPr>
          </w:pPr>
          <w:hyperlink w:anchor="_Toc513644448" w:history="1">
            <w:r w:rsidR="009F4015" w:rsidRPr="009F4015">
              <w:rPr>
                <w:rStyle w:val="Hyperlink"/>
                <w:rFonts w:ascii="Verdana" w:hAnsi="Verdana"/>
                <w:noProof/>
                <w:sz w:val="20"/>
                <w:szCs w:val="20"/>
              </w:rPr>
              <w:t xml:space="preserve">3. </w:t>
            </w:r>
            <w:r w:rsidR="009F4015" w:rsidRPr="009F4015">
              <w:rPr>
                <w:rFonts w:ascii="Verdana" w:eastAsiaTheme="minorEastAsia" w:hAnsi="Verdana" w:cstheme="minorBidi"/>
                <w:noProof/>
                <w:sz w:val="20"/>
                <w:szCs w:val="20"/>
              </w:rPr>
              <w:tab/>
            </w:r>
            <w:r w:rsidR="009F4015" w:rsidRPr="009F4015">
              <w:rPr>
                <w:rStyle w:val="Hyperlink"/>
                <w:rFonts w:ascii="Verdana" w:hAnsi="Verdana"/>
                <w:noProof/>
                <w:sz w:val="20"/>
                <w:szCs w:val="20"/>
              </w:rPr>
              <w:t>En cuanto a las reparaciones</w:t>
            </w:r>
            <w:r w:rsidR="009F4015" w:rsidRPr="009F4015">
              <w:rPr>
                <w:rFonts w:ascii="Verdana" w:hAnsi="Verdana"/>
                <w:noProof/>
                <w:webHidden/>
                <w:sz w:val="20"/>
                <w:szCs w:val="20"/>
              </w:rPr>
              <w:tab/>
            </w:r>
            <w:r w:rsidR="009F4015" w:rsidRPr="009F4015">
              <w:rPr>
                <w:rFonts w:ascii="Verdana" w:hAnsi="Verdana"/>
                <w:noProof/>
                <w:webHidden/>
                <w:sz w:val="20"/>
                <w:szCs w:val="20"/>
              </w:rPr>
              <w:fldChar w:fldCharType="begin"/>
            </w:r>
            <w:r w:rsidR="009F4015" w:rsidRPr="009F4015">
              <w:rPr>
                <w:rFonts w:ascii="Verdana" w:hAnsi="Verdana"/>
                <w:noProof/>
                <w:webHidden/>
                <w:sz w:val="20"/>
                <w:szCs w:val="20"/>
              </w:rPr>
              <w:instrText xml:space="preserve"> PAGEREF _Toc513644448 \h </w:instrText>
            </w:r>
            <w:r w:rsidR="009F4015" w:rsidRPr="009F4015">
              <w:rPr>
                <w:rFonts w:ascii="Verdana" w:hAnsi="Verdana"/>
                <w:noProof/>
                <w:webHidden/>
                <w:sz w:val="20"/>
                <w:szCs w:val="20"/>
              </w:rPr>
            </w:r>
            <w:r w:rsidR="009F4015" w:rsidRPr="009F4015">
              <w:rPr>
                <w:rFonts w:ascii="Verdana" w:hAnsi="Verdana"/>
                <w:noProof/>
                <w:webHidden/>
                <w:sz w:val="20"/>
                <w:szCs w:val="20"/>
              </w:rPr>
              <w:fldChar w:fldCharType="separate"/>
            </w:r>
            <w:r w:rsidR="00B263FD">
              <w:rPr>
                <w:rFonts w:ascii="Verdana" w:hAnsi="Verdana"/>
                <w:noProof/>
                <w:webHidden/>
                <w:sz w:val="20"/>
                <w:szCs w:val="20"/>
              </w:rPr>
              <w:t>12</w:t>
            </w:r>
            <w:r w:rsidR="009F4015" w:rsidRPr="009F4015">
              <w:rPr>
                <w:rFonts w:ascii="Verdana" w:hAnsi="Verdana"/>
                <w:noProof/>
                <w:webHidden/>
                <w:sz w:val="20"/>
                <w:szCs w:val="20"/>
              </w:rPr>
              <w:fldChar w:fldCharType="end"/>
            </w:r>
          </w:hyperlink>
        </w:p>
        <w:p w14:paraId="0338DBFB" w14:textId="77777777" w:rsidR="009F4015" w:rsidRPr="009F4015" w:rsidRDefault="00BE7922" w:rsidP="009F4015">
          <w:pPr>
            <w:pStyle w:val="TOC4"/>
            <w:tabs>
              <w:tab w:val="left" w:pos="1200"/>
              <w:tab w:val="right" w:leader="dot" w:pos="9736"/>
            </w:tabs>
            <w:rPr>
              <w:rFonts w:ascii="Verdana" w:eastAsiaTheme="minorEastAsia" w:hAnsi="Verdana" w:cstheme="minorBidi"/>
              <w:noProof/>
              <w:sz w:val="20"/>
              <w:szCs w:val="20"/>
            </w:rPr>
          </w:pPr>
          <w:hyperlink w:anchor="_Toc513644449" w:history="1">
            <w:r w:rsidR="009F4015" w:rsidRPr="009F4015">
              <w:rPr>
                <w:rStyle w:val="Hyperlink"/>
                <w:rFonts w:ascii="Verdana" w:hAnsi="Verdana"/>
                <w:noProof/>
                <w:sz w:val="20"/>
                <w:szCs w:val="20"/>
              </w:rPr>
              <w:t xml:space="preserve">4. </w:t>
            </w:r>
            <w:r w:rsidR="009F4015" w:rsidRPr="009F4015">
              <w:rPr>
                <w:rFonts w:ascii="Verdana" w:eastAsiaTheme="minorEastAsia" w:hAnsi="Verdana" w:cstheme="minorBidi"/>
                <w:noProof/>
                <w:sz w:val="20"/>
                <w:szCs w:val="20"/>
              </w:rPr>
              <w:tab/>
            </w:r>
            <w:r w:rsidR="009F4015" w:rsidRPr="009F4015">
              <w:rPr>
                <w:rStyle w:val="Hyperlink"/>
                <w:rFonts w:ascii="Verdana" w:hAnsi="Verdana"/>
                <w:noProof/>
                <w:sz w:val="20"/>
                <w:szCs w:val="20"/>
              </w:rPr>
              <w:t>Valoración del alcance del reconocimiento parcial de responsabilidad</w:t>
            </w:r>
            <w:r w:rsidR="009F4015" w:rsidRPr="009F4015">
              <w:rPr>
                <w:rFonts w:ascii="Verdana" w:hAnsi="Verdana"/>
                <w:noProof/>
                <w:webHidden/>
                <w:sz w:val="20"/>
                <w:szCs w:val="20"/>
              </w:rPr>
              <w:tab/>
            </w:r>
            <w:r w:rsidR="009F4015" w:rsidRPr="009F4015">
              <w:rPr>
                <w:rFonts w:ascii="Verdana" w:hAnsi="Verdana"/>
                <w:noProof/>
                <w:webHidden/>
                <w:sz w:val="20"/>
                <w:szCs w:val="20"/>
              </w:rPr>
              <w:fldChar w:fldCharType="begin"/>
            </w:r>
            <w:r w:rsidR="009F4015" w:rsidRPr="009F4015">
              <w:rPr>
                <w:rFonts w:ascii="Verdana" w:hAnsi="Verdana"/>
                <w:noProof/>
                <w:webHidden/>
                <w:sz w:val="20"/>
                <w:szCs w:val="20"/>
              </w:rPr>
              <w:instrText xml:space="preserve"> PAGEREF _Toc513644449 \h </w:instrText>
            </w:r>
            <w:r w:rsidR="009F4015" w:rsidRPr="009F4015">
              <w:rPr>
                <w:rFonts w:ascii="Verdana" w:hAnsi="Verdana"/>
                <w:noProof/>
                <w:webHidden/>
                <w:sz w:val="20"/>
                <w:szCs w:val="20"/>
              </w:rPr>
            </w:r>
            <w:r w:rsidR="009F4015" w:rsidRPr="009F4015">
              <w:rPr>
                <w:rFonts w:ascii="Verdana" w:hAnsi="Verdana"/>
                <w:noProof/>
                <w:webHidden/>
                <w:sz w:val="20"/>
                <w:szCs w:val="20"/>
              </w:rPr>
              <w:fldChar w:fldCharType="separate"/>
            </w:r>
            <w:r w:rsidR="00B263FD">
              <w:rPr>
                <w:rFonts w:ascii="Verdana" w:hAnsi="Verdana"/>
                <w:noProof/>
                <w:webHidden/>
                <w:sz w:val="20"/>
                <w:szCs w:val="20"/>
              </w:rPr>
              <w:t>12</w:t>
            </w:r>
            <w:r w:rsidR="009F4015" w:rsidRPr="009F4015">
              <w:rPr>
                <w:rFonts w:ascii="Verdana" w:hAnsi="Verdana"/>
                <w:noProof/>
                <w:webHidden/>
                <w:sz w:val="20"/>
                <w:szCs w:val="20"/>
              </w:rPr>
              <w:fldChar w:fldCharType="end"/>
            </w:r>
          </w:hyperlink>
        </w:p>
        <w:p w14:paraId="375BCD74" w14:textId="77777777" w:rsidR="009F4015" w:rsidRPr="008D6B5C" w:rsidRDefault="00BE7922" w:rsidP="00C004B1">
          <w:pPr>
            <w:pStyle w:val="TOC1"/>
            <w:rPr>
              <w:rFonts w:ascii="Verdana" w:eastAsiaTheme="minorEastAsia" w:hAnsi="Verdana" w:cstheme="minorBidi"/>
              <w:noProof/>
            </w:rPr>
          </w:pPr>
          <w:hyperlink w:anchor="_Toc513644450" w:history="1">
            <w:r w:rsidR="009F4015" w:rsidRPr="008D6B5C">
              <w:rPr>
                <w:rStyle w:val="Hyperlink"/>
                <w:rFonts w:ascii="Verdana" w:hAnsi="Verdana"/>
                <w:noProof/>
              </w:rPr>
              <w:t>V PRUEBA</w:t>
            </w:r>
            <w:r w:rsidR="009F4015" w:rsidRPr="008D6B5C">
              <w:rPr>
                <w:rFonts w:ascii="Verdana" w:hAnsi="Verdana"/>
                <w:noProof/>
                <w:webHidden/>
              </w:rPr>
              <w:tab/>
            </w:r>
            <w:r w:rsidR="009F4015" w:rsidRPr="008D6B5C">
              <w:rPr>
                <w:rFonts w:ascii="Verdana" w:hAnsi="Verdana"/>
                <w:b w:val="0"/>
                <w:noProof/>
                <w:webHidden/>
              </w:rPr>
              <w:fldChar w:fldCharType="begin"/>
            </w:r>
            <w:r w:rsidR="009F4015" w:rsidRPr="008D6B5C">
              <w:rPr>
                <w:rFonts w:ascii="Verdana" w:hAnsi="Verdana"/>
                <w:b w:val="0"/>
                <w:noProof/>
                <w:webHidden/>
              </w:rPr>
              <w:instrText xml:space="preserve"> PAGEREF _Toc513644450 \h </w:instrText>
            </w:r>
            <w:r w:rsidR="009F4015" w:rsidRPr="008D6B5C">
              <w:rPr>
                <w:rFonts w:ascii="Verdana" w:hAnsi="Verdana"/>
                <w:b w:val="0"/>
                <w:noProof/>
                <w:webHidden/>
              </w:rPr>
            </w:r>
            <w:r w:rsidR="009F4015" w:rsidRPr="008D6B5C">
              <w:rPr>
                <w:rFonts w:ascii="Verdana" w:hAnsi="Verdana"/>
                <w:b w:val="0"/>
                <w:noProof/>
                <w:webHidden/>
              </w:rPr>
              <w:fldChar w:fldCharType="separate"/>
            </w:r>
            <w:r w:rsidR="00B263FD">
              <w:rPr>
                <w:rFonts w:ascii="Verdana" w:hAnsi="Verdana"/>
                <w:b w:val="0"/>
                <w:noProof/>
                <w:webHidden/>
              </w:rPr>
              <w:t>12</w:t>
            </w:r>
            <w:r w:rsidR="009F4015" w:rsidRPr="008D6B5C">
              <w:rPr>
                <w:rFonts w:ascii="Verdana" w:hAnsi="Verdana"/>
                <w:b w:val="0"/>
                <w:noProof/>
                <w:webHidden/>
              </w:rPr>
              <w:fldChar w:fldCharType="end"/>
            </w:r>
          </w:hyperlink>
        </w:p>
        <w:p w14:paraId="57E5BE7D" w14:textId="77777777" w:rsidR="009F4015" w:rsidRPr="008D6B5C" w:rsidRDefault="00BE7922" w:rsidP="009F4015">
          <w:pPr>
            <w:pStyle w:val="TOC3"/>
            <w:rPr>
              <w:rFonts w:eastAsiaTheme="minorEastAsia" w:cstheme="minorBidi"/>
              <w:iCs w:val="0"/>
            </w:rPr>
          </w:pPr>
          <w:hyperlink w:anchor="_Toc513644451" w:history="1">
            <w:r w:rsidR="009F4015" w:rsidRPr="008D6B5C">
              <w:rPr>
                <w:rStyle w:val="Hyperlink"/>
              </w:rPr>
              <w:t>A.</w:t>
            </w:r>
            <w:r w:rsidR="009F4015" w:rsidRPr="008D6B5C">
              <w:rPr>
                <w:rFonts w:eastAsiaTheme="minorEastAsia" w:cstheme="minorBidi"/>
                <w:iCs w:val="0"/>
              </w:rPr>
              <w:tab/>
            </w:r>
            <w:r w:rsidR="009F4015" w:rsidRPr="008D6B5C">
              <w:rPr>
                <w:rStyle w:val="Hyperlink"/>
              </w:rPr>
              <w:t>Prueba documental, testimonial y pericial</w:t>
            </w:r>
            <w:r w:rsidR="009F4015" w:rsidRPr="008D6B5C">
              <w:rPr>
                <w:webHidden/>
              </w:rPr>
              <w:tab/>
            </w:r>
            <w:r w:rsidR="009F4015" w:rsidRPr="008D6B5C">
              <w:rPr>
                <w:webHidden/>
              </w:rPr>
              <w:fldChar w:fldCharType="begin"/>
            </w:r>
            <w:r w:rsidR="009F4015" w:rsidRPr="008D6B5C">
              <w:rPr>
                <w:webHidden/>
              </w:rPr>
              <w:instrText xml:space="preserve"> PAGEREF _Toc513644451 \h </w:instrText>
            </w:r>
            <w:r w:rsidR="009F4015" w:rsidRPr="008D6B5C">
              <w:rPr>
                <w:webHidden/>
              </w:rPr>
            </w:r>
            <w:r w:rsidR="009F4015" w:rsidRPr="008D6B5C">
              <w:rPr>
                <w:webHidden/>
              </w:rPr>
              <w:fldChar w:fldCharType="separate"/>
            </w:r>
            <w:r w:rsidR="00B263FD">
              <w:rPr>
                <w:webHidden/>
              </w:rPr>
              <w:t>12</w:t>
            </w:r>
            <w:r w:rsidR="009F4015" w:rsidRPr="008D6B5C">
              <w:rPr>
                <w:webHidden/>
              </w:rPr>
              <w:fldChar w:fldCharType="end"/>
            </w:r>
          </w:hyperlink>
        </w:p>
        <w:p w14:paraId="23C9B46D" w14:textId="77777777" w:rsidR="009F4015" w:rsidRPr="008D6B5C" w:rsidRDefault="00BE7922" w:rsidP="009F4015">
          <w:pPr>
            <w:pStyle w:val="TOC3"/>
            <w:rPr>
              <w:rFonts w:eastAsiaTheme="minorEastAsia" w:cstheme="minorBidi"/>
              <w:iCs w:val="0"/>
            </w:rPr>
          </w:pPr>
          <w:hyperlink w:anchor="_Toc513644452" w:history="1">
            <w:r w:rsidR="009F4015" w:rsidRPr="008D6B5C">
              <w:rPr>
                <w:rStyle w:val="Hyperlink"/>
              </w:rPr>
              <w:t>B.</w:t>
            </w:r>
            <w:r w:rsidR="009F4015" w:rsidRPr="008D6B5C">
              <w:rPr>
                <w:rFonts w:eastAsiaTheme="minorEastAsia" w:cstheme="minorBidi"/>
                <w:iCs w:val="0"/>
              </w:rPr>
              <w:tab/>
            </w:r>
            <w:r w:rsidR="009F4015" w:rsidRPr="008D6B5C">
              <w:rPr>
                <w:rStyle w:val="Hyperlink"/>
              </w:rPr>
              <w:t>Admisión de la prueba</w:t>
            </w:r>
            <w:r w:rsidR="009F4015" w:rsidRPr="008D6B5C">
              <w:rPr>
                <w:webHidden/>
              </w:rPr>
              <w:tab/>
            </w:r>
            <w:r w:rsidR="009F4015" w:rsidRPr="008D6B5C">
              <w:rPr>
                <w:webHidden/>
              </w:rPr>
              <w:fldChar w:fldCharType="begin"/>
            </w:r>
            <w:r w:rsidR="009F4015" w:rsidRPr="008D6B5C">
              <w:rPr>
                <w:webHidden/>
              </w:rPr>
              <w:instrText xml:space="preserve"> PAGEREF _Toc513644452 \h </w:instrText>
            </w:r>
            <w:r w:rsidR="009F4015" w:rsidRPr="008D6B5C">
              <w:rPr>
                <w:webHidden/>
              </w:rPr>
            </w:r>
            <w:r w:rsidR="009F4015" w:rsidRPr="008D6B5C">
              <w:rPr>
                <w:webHidden/>
              </w:rPr>
              <w:fldChar w:fldCharType="separate"/>
            </w:r>
            <w:r w:rsidR="00B263FD">
              <w:rPr>
                <w:webHidden/>
              </w:rPr>
              <w:t>13</w:t>
            </w:r>
            <w:r w:rsidR="009F4015" w:rsidRPr="008D6B5C">
              <w:rPr>
                <w:webHidden/>
              </w:rPr>
              <w:fldChar w:fldCharType="end"/>
            </w:r>
          </w:hyperlink>
        </w:p>
        <w:p w14:paraId="0C1B8C79" w14:textId="77777777" w:rsidR="009F4015" w:rsidRPr="008D6B5C" w:rsidRDefault="00BE7922" w:rsidP="009F4015">
          <w:pPr>
            <w:pStyle w:val="TOC3"/>
            <w:rPr>
              <w:rFonts w:eastAsiaTheme="minorEastAsia" w:cstheme="minorBidi"/>
              <w:iCs w:val="0"/>
            </w:rPr>
          </w:pPr>
          <w:hyperlink w:anchor="_Toc513644453" w:history="1">
            <w:r w:rsidR="009F4015" w:rsidRPr="008D6B5C">
              <w:rPr>
                <w:rStyle w:val="Hyperlink"/>
              </w:rPr>
              <w:t>C.</w:t>
            </w:r>
            <w:r w:rsidR="009F4015" w:rsidRPr="008D6B5C">
              <w:rPr>
                <w:rFonts w:eastAsiaTheme="minorEastAsia" w:cstheme="minorBidi"/>
                <w:iCs w:val="0"/>
              </w:rPr>
              <w:tab/>
            </w:r>
            <w:r w:rsidR="009F4015" w:rsidRPr="008D6B5C">
              <w:rPr>
                <w:rStyle w:val="Hyperlink"/>
              </w:rPr>
              <w:t>Valoración de la prueba</w:t>
            </w:r>
            <w:r w:rsidR="009F4015" w:rsidRPr="008D6B5C">
              <w:rPr>
                <w:webHidden/>
              </w:rPr>
              <w:tab/>
            </w:r>
            <w:r w:rsidR="009F4015" w:rsidRPr="008D6B5C">
              <w:rPr>
                <w:webHidden/>
              </w:rPr>
              <w:fldChar w:fldCharType="begin"/>
            </w:r>
            <w:r w:rsidR="009F4015" w:rsidRPr="008D6B5C">
              <w:rPr>
                <w:webHidden/>
              </w:rPr>
              <w:instrText xml:space="preserve"> PAGEREF _Toc513644453 \h </w:instrText>
            </w:r>
            <w:r w:rsidR="009F4015" w:rsidRPr="008D6B5C">
              <w:rPr>
                <w:webHidden/>
              </w:rPr>
            </w:r>
            <w:r w:rsidR="009F4015" w:rsidRPr="008D6B5C">
              <w:rPr>
                <w:webHidden/>
              </w:rPr>
              <w:fldChar w:fldCharType="separate"/>
            </w:r>
            <w:r w:rsidR="00B263FD">
              <w:rPr>
                <w:webHidden/>
              </w:rPr>
              <w:t>13</w:t>
            </w:r>
            <w:r w:rsidR="009F4015" w:rsidRPr="008D6B5C">
              <w:rPr>
                <w:webHidden/>
              </w:rPr>
              <w:fldChar w:fldCharType="end"/>
            </w:r>
          </w:hyperlink>
        </w:p>
        <w:p w14:paraId="545087FB" w14:textId="0E27E5D1" w:rsidR="009F4015" w:rsidRPr="008D6B5C" w:rsidRDefault="00BE7922" w:rsidP="00C004B1">
          <w:pPr>
            <w:pStyle w:val="TOC1"/>
            <w:rPr>
              <w:rFonts w:ascii="Verdana" w:eastAsiaTheme="minorEastAsia" w:hAnsi="Verdana" w:cstheme="minorBidi"/>
              <w:noProof/>
            </w:rPr>
          </w:pPr>
          <w:hyperlink w:anchor="_Toc513644454" w:history="1">
            <w:r w:rsidR="009F4015" w:rsidRPr="008D6B5C">
              <w:rPr>
                <w:rStyle w:val="Hyperlink"/>
                <w:rFonts w:ascii="Verdana" w:hAnsi="Verdana"/>
                <w:noProof/>
              </w:rPr>
              <w:t>VI</w:t>
            </w:r>
          </w:hyperlink>
          <w:r w:rsidR="00C004B1" w:rsidRPr="008D6B5C">
            <w:rPr>
              <w:rStyle w:val="Hyperlink"/>
              <w:rFonts w:ascii="Verdana" w:hAnsi="Verdana"/>
              <w:noProof/>
              <w:u w:val="none"/>
            </w:rPr>
            <w:t xml:space="preserve"> </w:t>
          </w:r>
          <w:hyperlink w:anchor="_Toc513644455" w:history="1">
            <w:r w:rsidR="009F4015" w:rsidRPr="008D6B5C">
              <w:rPr>
                <w:rStyle w:val="Hyperlink"/>
                <w:rFonts w:ascii="Verdana" w:hAnsi="Verdana"/>
                <w:noProof/>
              </w:rPr>
              <w:t>HECHOS</w:t>
            </w:r>
            <w:r w:rsidR="009F4015" w:rsidRPr="008D6B5C">
              <w:rPr>
                <w:rFonts w:ascii="Verdana" w:hAnsi="Verdana"/>
                <w:noProof/>
                <w:webHidden/>
              </w:rPr>
              <w:tab/>
            </w:r>
            <w:r w:rsidR="009F4015" w:rsidRPr="008D6B5C">
              <w:rPr>
                <w:rFonts w:ascii="Verdana" w:hAnsi="Verdana"/>
                <w:b w:val="0"/>
                <w:noProof/>
                <w:webHidden/>
              </w:rPr>
              <w:fldChar w:fldCharType="begin"/>
            </w:r>
            <w:r w:rsidR="009F4015" w:rsidRPr="008D6B5C">
              <w:rPr>
                <w:rFonts w:ascii="Verdana" w:hAnsi="Verdana"/>
                <w:b w:val="0"/>
                <w:noProof/>
                <w:webHidden/>
              </w:rPr>
              <w:instrText xml:space="preserve"> PAGEREF _Toc513644455 \h </w:instrText>
            </w:r>
            <w:r w:rsidR="009F4015" w:rsidRPr="008D6B5C">
              <w:rPr>
                <w:rFonts w:ascii="Verdana" w:hAnsi="Verdana"/>
                <w:b w:val="0"/>
                <w:noProof/>
                <w:webHidden/>
              </w:rPr>
            </w:r>
            <w:r w:rsidR="009F4015" w:rsidRPr="008D6B5C">
              <w:rPr>
                <w:rFonts w:ascii="Verdana" w:hAnsi="Verdana"/>
                <w:b w:val="0"/>
                <w:noProof/>
                <w:webHidden/>
              </w:rPr>
              <w:fldChar w:fldCharType="separate"/>
            </w:r>
            <w:r w:rsidR="00B263FD">
              <w:rPr>
                <w:rFonts w:ascii="Verdana" w:hAnsi="Verdana"/>
                <w:b w:val="0"/>
                <w:noProof/>
                <w:webHidden/>
              </w:rPr>
              <w:t>14</w:t>
            </w:r>
            <w:r w:rsidR="009F4015" w:rsidRPr="008D6B5C">
              <w:rPr>
                <w:rFonts w:ascii="Verdana" w:hAnsi="Verdana"/>
                <w:b w:val="0"/>
                <w:noProof/>
                <w:webHidden/>
              </w:rPr>
              <w:fldChar w:fldCharType="end"/>
            </w:r>
          </w:hyperlink>
        </w:p>
        <w:p w14:paraId="58BB7FD1" w14:textId="0C86EBAE" w:rsidR="009F4015" w:rsidRPr="008D6B5C" w:rsidRDefault="00BE7922" w:rsidP="00C004B1">
          <w:pPr>
            <w:pStyle w:val="TOC1"/>
            <w:rPr>
              <w:rFonts w:ascii="Verdana" w:eastAsiaTheme="minorEastAsia" w:hAnsi="Verdana" w:cstheme="minorBidi"/>
              <w:noProof/>
            </w:rPr>
          </w:pPr>
          <w:hyperlink w:anchor="_Toc513644456" w:history="1">
            <w:r w:rsidR="009F4015" w:rsidRPr="008D6B5C">
              <w:rPr>
                <w:rStyle w:val="Hyperlink"/>
                <w:rFonts w:ascii="Verdana" w:hAnsi="Verdana"/>
                <w:noProof/>
              </w:rPr>
              <w:t>VII</w:t>
            </w:r>
          </w:hyperlink>
          <w:r w:rsidR="00C004B1" w:rsidRPr="008D6B5C">
            <w:rPr>
              <w:rStyle w:val="Hyperlink"/>
              <w:rFonts w:ascii="Verdana" w:hAnsi="Verdana"/>
              <w:noProof/>
              <w:u w:val="none"/>
            </w:rPr>
            <w:t xml:space="preserve"> </w:t>
          </w:r>
          <w:hyperlink w:anchor="_Toc513644457" w:history="1">
            <w:r w:rsidR="009F4015" w:rsidRPr="008D6B5C">
              <w:rPr>
                <w:rStyle w:val="Hyperlink"/>
                <w:rFonts w:ascii="Verdana" w:hAnsi="Verdana"/>
                <w:noProof/>
              </w:rPr>
              <w:t>FONDO</w:t>
            </w:r>
            <w:r w:rsidR="009F4015" w:rsidRPr="008D6B5C">
              <w:rPr>
                <w:rFonts w:ascii="Verdana" w:hAnsi="Verdana"/>
                <w:noProof/>
                <w:webHidden/>
              </w:rPr>
              <w:tab/>
            </w:r>
            <w:r w:rsidR="009F4015" w:rsidRPr="008D6B5C">
              <w:rPr>
                <w:rFonts w:ascii="Verdana" w:hAnsi="Verdana"/>
                <w:b w:val="0"/>
                <w:noProof/>
                <w:webHidden/>
              </w:rPr>
              <w:fldChar w:fldCharType="begin"/>
            </w:r>
            <w:r w:rsidR="009F4015" w:rsidRPr="008D6B5C">
              <w:rPr>
                <w:rFonts w:ascii="Verdana" w:hAnsi="Verdana"/>
                <w:b w:val="0"/>
                <w:noProof/>
                <w:webHidden/>
              </w:rPr>
              <w:instrText xml:space="preserve"> PAGEREF _Toc513644457 \h </w:instrText>
            </w:r>
            <w:r w:rsidR="009F4015" w:rsidRPr="008D6B5C">
              <w:rPr>
                <w:rFonts w:ascii="Verdana" w:hAnsi="Verdana"/>
                <w:b w:val="0"/>
                <w:noProof/>
                <w:webHidden/>
              </w:rPr>
            </w:r>
            <w:r w:rsidR="009F4015" w:rsidRPr="008D6B5C">
              <w:rPr>
                <w:rFonts w:ascii="Verdana" w:hAnsi="Verdana"/>
                <w:b w:val="0"/>
                <w:noProof/>
                <w:webHidden/>
              </w:rPr>
              <w:fldChar w:fldCharType="separate"/>
            </w:r>
            <w:r w:rsidR="00B263FD">
              <w:rPr>
                <w:rFonts w:ascii="Verdana" w:hAnsi="Verdana"/>
                <w:b w:val="0"/>
                <w:noProof/>
                <w:webHidden/>
              </w:rPr>
              <w:t>25</w:t>
            </w:r>
            <w:r w:rsidR="009F4015" w:rsidRPr="008D6B5C">
              <w:rPr>
                <w:rFonts w:ascii="Verdana" w:hAnsi="Verdana"/>
                <w:b w:val="0"/>
                <w:noProof/>
                <w:webHidden/>
              </w:rPr>
              <w:fldChar w:fldCharType="end"/>
            </w:r>
          </w:hyperlink>
        </w:p>
        <w:p w14:paraId="3E0103BF" w14:textId="49277497" w:rsidR="009F4015" w:rsidRPr="009F4015" w:rsidRDefault="00BE7922" w:rsidP="00C004B1">
          <w:pPr>
            <w:pStyle w:val="TOC1"/>
            <w:rPr>
              <w:rFonts w:eastAsiaTheme="minorEastAsia" w:cstheme="minorBidi"/>
              <w:noProof/>
            </w:rPr>
          </w:pPr>
          <w:hyperlink w:anchor="_Toc513644458" w:history="1">
            <w:r w:rsidR="009F4015" w:rsidRPr="009F4015">
              <w:rPr>
                <w:rStyle w:val="Hyperlink"/>
                <w:rFonts w:ascii="Verdana" w:hAnsi="Verdana"/>
                <w:noProof/>
              </w:rPr>
              <w:t>VII-1</w:t>
            </w:r>
          </w:hyperlink>
          <w:r w:rsidR="00C004B1" w:rsidRPr="00C004B1">
            <w:rPr>
              <w:rStyle w:val="Hyperlink"/>
              <w:rFonts w:ascii="Verdana" w:hAnsi="Verdana"/>
              <w:noProof/>
              <w:u w:val="none"/>
            </w:rPr>
            <w:t xml:space="preserve"> </w:t>
          </w:r>
          <w:hyperlink w:anchor="_Toc513644459" w:history="1">
            <w:r w:rsidR="009F4015" w:rsidRPr="009F4015">
              <w:rPr>
                <w:rStyle w:val="Hyperlink"/>
                <w:rFonts w:ascii="Verdana" w:hAnsi="Verdana"/>
                <w:noProof/>
              </w:rPr>
              <w:t>DERECHOS A LA SALUD, VIDA, INTEGRIDAD Y ACCESO A LA INFORMACIÓN</w:t>
            </w:r>
            <w:r w:rsidR="009F4015" w:rsidRPr="009F4015">
              <w:rPr>
                <w:noProof/>
                <w:webHidden/>
              </w:rPr>
              <w:tab/>
            </w:r>
          </w:hyperlink>
          <w:hyperlink w:anchor="_Toc513644460" w:history="1">
            <w:r w:rsidR="009F4015" w:rsidRPr="009F4015">
              <w:rPr>
                <w:rStyle w:val="Hyperlink"/>
                <w:rFonts w:ascii="Verdana" w:hAnsi="Verdana"/>
                <w:noProof/>
              </w:rPr>
              <w:t>(ARTÍCULOS 26, 1.1, 4, 5, 13, 7 Y 11 DE LA CONVENCIÓN AMERICANA)</w:t>
            </w:r>
            <w:r w:rsidR="009F4015" w:rsidRPr="009F4015">
              <w:rPr>
                <w:noProof/>
                <w:webHidden/>
              </w:rPr>
              <w:tab/>
            </w:r>
            <w:r w:rsidR="009F4015" w:rsidRPr="008D6B5C">
              <w:rPr>
                <w:rFonts w:ascii="Verdana" w:hAnsi="Verdana"/>
                <w:b w:val="0"/>
                <w:noProof/>
                <w:webHidden/>
              </w:rPr>
              <w:fldChar w:fldCharType="begin"/>
            </w:r>
            <w:r w:rsidR="009F4015" w:rsidRPr="008D6B5C">
              <w:rPr>
                <w:rFonts w:ascii="Verdana" w:hAnsi="Verdana"/>
                <w:b w:val="0"/>
                <w:noProof/>
                <w:webHidden/>
              </w:rPr>
              <w:instrText xml:space="preserve"> PAGEREF _Toc513644460 \h </w:instrText>
            </w:r>
            <w:r w:rsidR="009F4015" w:rsidRPr="008D6B5C">
              <w:rPr>
                <w:rFonts w:ascii="Verdana" w:hAnsi="Verdana"/>
                <w:b w:val="0"/>
                <w:noProof/>
                <w:webHidden/>
              </w:rPr>
            </w:r>
            <w:r w:rsidR="009F4015" w:rsidRPr="008D6B5C">
              <w:rPr>
                <w:rFonts w:ascii="Verdana" w:hAnsi="Verdana"/>
                <w:b w:val="0"/>
                <w:noProof/>
                <w:webHidden/>
              </w:rPr>
              <w:fldChar w:fldCharType="separate"/>
            </w:r>
            <w:r w:rsidR="00B263FD">
              <w:rPr>
                <w:rFonts w:ascii="Verdana" w:hAnsi="Verdana"/>
                <w:b w:val="0"/>
                <w:noProof/>
                <w:webHidden/>
              </w:rPr>
              <w:t>26</w:t>
            </w:r>
            <w:r w:rsidR="009F4015" w:rsidRPr="008D6B5C">
              <w:rPr>
                <w:rFonts w:ascii="Verdana" w:hAnsi="Verdana"/>
                <w:b w:val="0"/>
                <w:noProof/>
                <w:webHidden/>
              </w:rPr>
              <w:fldChar w:fldCharType="end"/>
            </w:r>
          </w:hyperlink>
        </w:p>
        <w:p w14:paraId="47F982AA" w14:textId="77777777" w:rsidR="009F4015" w:rsidRPr="009F4015" w:rsidRDefault="00BE7922" w:rsidP="009F4015">
          <w:pPr>
            <w:pStyle w:val="TOC3"/>
            <w:rPr>
              <w:rFonts w:eastAsiaTheme="minorEastAsia" w:cstheme="minorBidi"/>
              <w:iCs w:val="0"/>
            </w:rPr>
          </w:pPr>
          <w:hyperlink w:anchor="_Toc513644461" w:history="1">
            <w:r w:rsidR="009F4015" w:rsidRPr="009F4015">
              <w:rPr>
                <w:rStyle w:val="Hyperlink"/>
              </w:rPr>
              <w:t>A.</w:t>
            </w:r>
            <w:r w:rsidR="009F4015" w:rsidRPr="009F4015">
              <w:rPr>
                <w:rFonts w:eastAsiaTheme="minorEastAsia" w:cstheme="minorBidi"/>
                <w:iCs w:val="0"/>
              </w:rPr>
              <w:tab/>
            </w:r>
            <w:r w:rsidR="009F4015" w:rsidRPr="009F4015">
              <w:rPr>
                <w:rStyle w:val="Hyperlink"/>
              </w:rPr>
              <w:t>Argumentos de las partes y de la Comisión</w:t>
            </w:r>
            <w:r w:rsidR="009F4015" w:rsidRPr="009F4015">
              <w:rPr>
                <w:webHidden/>
              </w:rPr>
              <w:tab/>
            </w:r>
            <w:r w:rsidR="009F4015" w:rsidRPr="009F4015">
              <w:rPr>
                <w:webHidden/>
              </w:rPr>
              <w:fldChar w:fldCharType="begin"/>
            </w:r>
            <w:r w:rsidR="009F4015" w:rsidRPr="009F4015">
              <w:rPr>
                <w:webHidden/>
              </w:rPr>
              <w:instrText xml:space="preserve"> PAGEREF _Toc513644461 \h </w:instrText>
            </w:r>
            <w:r w:rsidR="009F4015" w:rsidRPr="009F4015">
              <w:rPr>
                <w:webHidden/>
              </w:rPr>
            </w:r>
            <w:r w:rsidR="009F4015" w:rsidRPr="009F4015">
              <w:rPr>
                <w:webHidden/>
              </w:rPr>
              <w:fldChar w:fldCharType="separate"/>
            </w:r>
            <w:r w:rsidR="00B263FD">
              <w:rPr>
                <w:webHidden/>
              </w:rPr>
              <w:t>26</w:t>
            </w:r>
            <w:r w:rsidR="009F4015" w:rsidRPr="009F4015">
              <w:rPr>
                <w:webHidden/>
              </w:rPr>
              <w:fldChar w:fldCharType="end"/>
            </w:r>
          </w:hyperlink>
        </w:p>
        <w:p w14:paraId="4A168A26" w14:textId="77777777" w:rsidR="009F4015" w:rsidRPr="00C004B1" w:rsidRDefault="00BE7922" w:rsidP="009F4015">
          <w:pPr>
            <w:pStyle w:val="TOC4"/>
            <w:tabs>
              <w:tab w:val="left" w:pos="1200"/>
              <w:tab w:val="right" w:leader="dot" w:pos="9736"/>
            </w:tabs>
            <w:rPr>
              <w:rFonts w:ascii="Verdana" w:eastAsiaTheme="minorEastAsia" w:hAnsi="Verdana" w:cstheme="minorBidi"/>
              <w:noProof/>
              <w:sz w:val="20"/>
              <w:szCs w:val="20"/>
            </w:rPr>
          </w:pPr>
          <w:hyperlink w:anchor="_Toc513644462" w:history="1">
            <w:r w:rsidR="009F4015" w:rsidRPr="00C004B1">
              <w:rPr>
                <w:rStyle w:val="Hyperlink"/>
                <w:rFonts w:ascii="Verdana" w:hAnsi="Verdana"/>
                <w:noProof/>
                <w:sz w:val="20"/>
                <w:szCs w:val="20"/>
              </w:rPr>
              <w:t>1.</w:t>
            </w:r>
            <w:r w:rsidR="009F4015" w:rsidRPr="00C004B1">
              <w:rPr>
                <w:rFonts w:ascii="Verdana" w:eastAsiaTheme="minorEastAsia" w:hAnsi="Verdana" w:cstheme="minorBidi"/>
                <w:noProof/>
                <w:sz w:val="20"/>
                <w:szCs w:val="20"/>
              </w:rPr>
              <w:tab/>
            </w:r>
            <w:r w:rsidR="009F4015" w:rsidRPr="00C004B1">
              <w:rPr>
                <w:rStyle w:val="Hyperlink"/>
                <w:rFonts w:ascii="Verdana" w:hAnsi="Verdana"/>
                <w:noProof/>
                <w:sz w:val="20"/>
                <w:szCs w:val="20"/>
              </w:rPr>
              <w:t>Relativos al derecho a la salud</w:t>
            </w:r>
            <w:r w:rsidR="009F4015" w:rsidRPr="00C004B1">
              <w:rPr>
                <w:rFonts w:ascii="Verdana" w:hAnsi="Verdana"/>
                <w:noProof/>
                <w:webHidden/>
                <w:sz w:val="20"/>
                <w:szCs w:val="20"/>
              </w:rPr>
              <w:tab/>
            </w:r>
            <w:r w:rsidR="009F4015" w:rsidRPr="00C004B1">
              <w:rPr>
                <w:rFonts w:ascii="Verdana" w:hAnsi="Verdana"/>
                <w:noProof/>
                <w:webHidden/>
                <w:sz w:val="20"/>
                <w:szCs w:val="20"/>
              </w:rPr>
              <w:fldChar w:fldCharType="begin"/>
            </w:r>
            <w:r w:rsidR="009F4015" w:rsidRPr="00C004B1">
              <w:rPr>
                <w:rFonts w:ascii="Verdana" w:hAnsi="Verdana"/>
                <w:noProof/>
                <w:webHidden/>
                <w:sz w:val="20"/>
                <w:szCs w:val="20"/>
              </w:rPr>
              <w:instrText xml:space="preserve"> PAGEREF _Toc513644462 \h </w:instrText>
            </w:r>
            <w:r w:rsidR="009F4015" w:rsidRPr="00C004B1">
              <w:rPr>
                <w:rFonts w:ascii="Verdana" w:hAnsi="Verdana"/>
                <w:noProof/>
                <w:webHidden/>
                <w:sz w:val="20"/>
                <w:szCs w:val="20"/>
              </w:rPr>
            </w:r>
            <w:r w:rsidR="009F4015" w:rsidRPr="00C004B1">
              <w:rPr>
                <w:rFonts w:ascii="Verdana" w:hAnsi="Verdana"/>
                <w:noProof/>
                <w:webHidden/>
                <w:sz w:val="20"/>
                <w:szCs w:val="20"/>
              </w:rPr>
              <w:fldChar w:fldCharType="separate"/>
            </w:r>
            <w:r w:rsidR="00B263FD">
              <w:rPr>
                <w:rFonts w:ascii="Verdana" w:hAnsi="Verdana"/>
                <w:noProof/>
                <w:webHidden/>
                <w:sz w:val="20"/>
                <w:szCs w:val="20"/>
              </w:rPr>
              <w:t>26</w:t>
            </w:r>
            <w:r w:rsidR="009F4015" w:rsidRPr="00C004B1">
              <w:rPr>
                <w:rFonts w:ascii="Verdana" w:hAnsi="Verdana"/>
                <w:noProof/>
                <w:webHidden/>
                <w:sz w:val="20"/>
                <w:szCs w:val="20"/>
              </w:rPr>
              <w:fldChar w:fldCharType="end"/>
            </w:r>
          </w:hyperlink>
        </w:p>
        <w:p w14:paraId="5DBEBE34" w14:textId="77777777" w:rsidR="009F4015" w:rsidRPr="00C004B1" w:rsidRDefault="00BE7922" w:rsidP="009F4015">
          <w:pPr>
            <w:pStyle w:val="TOC4"/>
            <w:tabs>
              <w:tab w:val="left" w:pos="1200"/>
              <w:tab w:val="right" w:leader="dot" w:pos="9736"/>
            </w:tabs>
            <w:rPr>
              <w:rFonts w:ascii="Verdana" w:eastAsiaTheme="minorEastAsia" w:hAnsi="Verdana" w:cstheme="minorBidi"/>
              <w:noProof/>
              <w:sz w:val="20"/>
              <w:szCs w:val="20"/>
            </w:rPr>
          </w:pPr>
          <w:hyperlink w:anchor="_Toc513644463" w:history="1">
            <w:r w:rsidR="009F4015" w:rsidRPr="00C004B1">
              <w:rPr>
                <w:rStyle w:val="Hyperlink"/>
                <w:rFonts w:ascii="Verdana" w:hAnsi="Verdana"/>
                <w:noProof/>
                <w:sz w:val="20"/>
                <w:szCs w:val="20"/>
              </w:rPr>
              <w:t>2.</w:t>
            </w:r>
            <w:r w:rsidR="009F4015" w:rsidRPr="00C004B1">
              <w:rPr>
                <w:rFonts w:ascii="Verdana" w:eastAsiaTheme="minorEastAsia" w:hAnsi="Verdana" w:cstheme="minorBidi"/>
                <w:noProof/>
                <w:sz w:val="20"/>
                <w:szCs w:val="20"/>
              </w:rPr>
              <w:tab/>
            </w:r>
            <w:r w:rsidR="009F4015" w:rsidRPr="00C004B1">
              <w:rPr>
                <w:rStyle w:val="Hyperlink"/>
                <w:rFonts w:ascii="Verdana" w:hAnsi="Verdana"/>
                <w:noProof/>
                <w:sz w:val="20"/>
                <w:szCs w:val="20"/>
              </w:rPr>
              <w:t>Relativos a la vida y a la integridad personal</w:t>
            </w:r>
            <w:r w:rsidR="009F4015" w:rsidRPr="00C004B1">
              <w:rPr>
                <w:rFonts w:ascii="Verdana" w:hAnsi="Verdana"/>
                <w:noProof/>
                <w:webHidden/>
                <w:sz w:val="20"/>
                <w:szCs w:val="20"/>
              </w:rPr>
              <w:tab/>
            </w:r>
            <w:r w:rsidR="009F4015" w:rsidRPr="00C004B1">
              <w:rPr>
                <w:rFonts w:ascii="Verdana" w:hAnsi="Verdana"/>
                <w:noProof/>
                <w:webHidden/>
                <w:sz w:val="20"/>
                <w:szCs w:val="20"/>
              </w:rPr>
              <w:fldChar w:fldCharType="begin"/>
            </w:r>
            <w:r w:rsidR="009F4015" w:rsidRPr="00C004B1">
              <w:rPr>
                <w:rFonts w:ascii="Verdana" w:hAnsi="Verdana"/>
                <w:noProof/>
                <w:webHidden/>
                <w:sz w:val="20"/>
                <w:szCs w:val="20"/>
              </w:rPr>
              <w:instrText xml:space="preserve"> PAGEREF _Toc513644463 \h </w:instrText>
            </w:r>
            <w:r w:rsidR="009F4015" w:rsidRPr="00C004B1">
              <w:rPr>
                <w:rFonts w:ascii="Verdana" w:hAnsi="Verdana"/>
                <w:noProof/>
                <w:webHidden/>
                <w:sz w:val="20"/>
                <w:szCs w:val="20"/>
              </w:rPr>
            </w:r>
            <w:r w:rsidR="009F4015" w:rsidRPr="00C004B1">
              <w:rPr>
                <w:rFonts w:ascii="Verdana" w:hAnsi="Verdana"/>
                <w:noProof/>
                <w:webHidden/>
                <w:sz w:val="20"/>
                <w:szCs w:val="20"/>
              </w:rPr>
              <w:fldChar w:fldCharType="separate"/>
            </w:r>
            <w:r w:rsidR="00B263FD">
              <w:rPr>
                <w:rFonts w:ascii="Verdana" w:hAnsi="Verdana"/>
                <w:noProof/>
                <w:webHidden/>
                <w:sz w:val="20"/>
                <w:szCs w:val="20"/>
              </w:rPr>
              <w:t>27</w:t>
            </w:r>
            <w:r w:rsidR="009F4015" w:rsidRPr="00C004B1">
              <w:rPr>
                <w:rFonts w:ascii="Verdana" w:hAnsi="Verdana"/>
                <w:noProof/>
                <w:webHidden/>
                <w:sz w:val="20"/>
                <w:szCs w:val="20"/>
              </w:rPr>
              <w:fldChar w:fldCharType="end"/>
            </w:r>
          </w:hyperlink>
        </w:p>
        <w:p w14:paraId="7993A807" w14:textId="77777777" w:rsidR="009F4015" w:rsidRPr="00C004B1" w:rsidRDefault="00BE7922" w:rsidP="009F4015">
          <w:pPr>
            <w:pStyle w:val="TOC4"/>
            <w:tabs>
              <w:tab w:val="left" w:pos="1200"/>
              <w:tab w:val="right" w:leader="dot" w:pos="9736"/>
            </w:tabs>
            <w:rPr>
              <w:rFonts w:ascii="Verdana" w:eastAsiaTheme="minorEastAsia" w:hAnsi="Verdana" w:cstheme="minorBidi"/>
              <w:noProof/>
              <w:sz w:val="20"/>
              <w:szCs w:val="20"/>
            </w:rPr>
          </w:pPr>
          <w:hyperlink w:anchor="_Toc513644464" w:history="1">
            <w:r w:rsidR="009F4015" w:rsidRPr="00C004B1">
              <w:rPr>
                <w:rStyle w:val="Hyperlink"/>
                <w:rFonts w:ascii="Verdana" w:hAnsi="Verdana"/>
                <w:noProof/>
                <w:sz w:val="20"/>
                <w:szCs w:val="20"/>
              </w:rPr>
              <w:t>3.</w:t>
            </w:r>
            <w:r w:rsidR="009F4015" w:rsidRPr="00C004B1">
              <w:rPr>
                <w:rFonts w:ascii="Verdana" w:eastAsiaTheme="minorEastAsia" w:hAnsi="Verdana" w:cstheme="minorBidi"/>
                <w:noProof/>
                <w:sz w:val="20"/>
                <w:szCs w:val="20"/>
              </w:rPr>
              <w:tab/>
            </w:r>
            <w:r w:rsidR="009F4015" w:rsidRPr="00C004B1">
              <w:rPr>
                <w:rStyle w:val="Hyperlink"/>
                <w:rFonts w:ascii="Verdana" w:hAnsi="Verdana"/>
                <w:noProof/>
                <w:sz w:val="20"/>
                <w:szCs w:val="20"/>
              </w:rPr>
              <w:t>Relativos al consentimiento informado</w:t>
            </w:r>
            <w:r w:rsidR="009F4015" w:rsidRPr="00C004B1">
              <w:rPr>
                <w:rFonts w:ascii="Verdana" w:hAnsi="Verdana"/>
                <w:noProof/>
                <w:webHidden/>
                <w:sz w:val="20"/>
                <w:szCs w:val="20"/>
              </w:rPr>
              <w:tab/>
            </w:r>
            <w:r w:rsidR="009F4015" w:rsidRPr="00C004B1">
              <w:rPr>
                <w:rFonts w:ascii="Verdana" w:hAnsi="Verdana"/>
                <w:noProof/>
                <w:webHidden/>
                <w:sz w:val="20"/>
                <w:szCs w:val="20"/>
              </w:rPr>
              <w:fldChar w:fldCharType="begin"/>
            </w:r>
            <w:r w:rsidR="009F4015" w:rsidRPr="00C004B1">
              <w:rPr>
                <w:rFonts w:ascii="Verdana" w:hAnsi="Verdana"/>
                <w:noProof/>
                <w:webHidden/>
                <w:sz w:val="20"/>
                <w:szCs w:val="20"/>
              </w:rPr>
              <w:instrText xml:space="preserve"> PAGEREF _Toc513644464 \h </w:instrText>
            </w:r>
            <w:r w:rsidR="009F4015" w:rsidRPr="00C004B1">
              <w:rPr>
                <w:rFonts w:ascii="Verdana" w:hAnsi="Verdana"/>
                <w:noProof/>
                <w:webHidden/>
                <w:sz w:val="20"/>
                <w:szCs w:val="20"/>
              </w:rPr>
            </w:r>
            <w:r w:rsidR="009F4015" w:rsidRPr="00C004B1">
              <w:rPr>
                <w:rFonts w:ascii="Verdana" w:hAnsi="Verdana"/>
                <w:noProof/>
                <w:webHidden/>
                <w:sz w:val="20"/>
                <w:szCs w:val="20"/>
              </w:rPr>
              <w:fldChar w:fldCharType="separate"/>
            </w:r>
            <w:r w:rsidR="00B263FD">
              <w:rPr>
                <w:rFonts w:ascii="Verdana" w:hAnsi="Verdana"/>
                <w:noProof/>
                <w:webHidden/>
                <w:sz w:val="20"/>
                <w:szCs w:val="20"/>
              </w:rPr>
              <w:t>29</w:t>
            </w:r>
            <w:r w:rsidR="009F4015" w:rsidRPr="00C004B1">
              <w:rPr>
                <w:rFonts w:ascii="Verdana" w:hAnsi="Verdana"/>
                <w:noProof/>
                <w:webHidden/>
                <w:sz w:val="20"/>
                <w:szCs w:val="20"/>
              </w:rPr>
              <w:fldChar w:fldCharType="end"/>
            </w:r>
          </w:hyperlink>
        </w:p>
        <w:p w14:paraId="30A21E43" w14:textId="77777777" w:rsidR="009F4015" w:rsidRPr="009F4015" w:rsidRDefault="00BE7922" w:rsidP="009F4015">
          <w:pPr>
            <w:pStyle w:val="TOC3"/>
            <w:rPr>
              <w:rFonts w:eastAsiaTheme="minorEastAsia" w:cstheme="minorBidi"/>
              <w:iCs w:val="0"/>
            </w:rPr>
          </w:pPr>
          <w:hyperlink w:anchor="_Toc513644465" w:history="1">
            <w:r w:rsidR="009F4015" w:rsidRPr="009F4015">
              <w:rPr>
                <w:rStyle w:val="Hyperlink"/>
              </w:rPr>
              <w:t>B.</w:t>
            </w:r>
            <w:r w:rsidR="009F4015" w:rsidRPr="009F4015">
              <w:rPr>
                <w:rFonts w:eastAsiaTheme="minorEastAsia" w:cstheme="minorBidi"/>
                <w:iCs w:val="0"/>
              </w:rPr>
              <w:tab/>
            </w:r>
            <w:r w:rsidR="009F4015" w:rsidRPr="009F4015">
              <w:rPr>
                <w:rStyle w:val="Hyperlink"/>
              </w:rPr>
              <w:t>Consideraciones de la Corte</w:t>
            </w:r>
            <w:r w:rsidR="009F4015" w:rsidRPr="009F4015">
              <w:rPr>
                <w:webHidden/>
              </w:rPr>
              <w:tab/>
            </w:r>
            <w:r w:rsidR="009F4015" w:rsidRPr="009F4015">
              <w:rPr>
                <w:webHidden/>
              </w:rPr>
              <w:fldChar w:fldCharType="begin"/>
            </w:r>
            <w:r w:rsidR="009F4015" w:rsidRPr="009F4015">
              <w:rPr>
                <w:webHidden/>
              </w:rPr>
              <w:instrText xml:space="preserve"> PAGEREF _Toc513644465 \h </w:instrText>
            </w:r>
            <w:r w:rsidR="009F4015" w:rsidRPr="009F4015">
              <w:rPr>
                <w:webHidden/>
              </w:rPr>
            </w:r>
            <w:r w:rsidR="009F4015" w:rsidRPr="009F4015">
              <w:rPr>
                <w:webHidden/>
              </w:rPr>
              <w:fldChar w:fldCharType="separate"/>
            </w:r>
            <w:r w:rsidR="00B263FD">
              <w:rPr>
                <w:webHidden/>
              </w:rPr>
              <w:t>31</w:t>
            </w:r>
            <w:r w:rsidR="009F4015" w:rsidRPr="009F4015">
              <w:rPr>
                <w:webHidden/>
              </w:rPr>
              <w:fldChar w:fldCharType="end"/>
            </w:r>
          </w:hyperlink>
        </w:p>
        <w:p w14:paraId="566FC4A2" w14:textId="77777777" w:rsidR="009F4015" w:rsidRPr="00C004B1" w:rsidRDefault="00BE7922" w:rsidP="009F4015">
          <w:pPr>
            <w:pStyle w:val="TOC4"/>
            <w:tabs>
              <w:tab w:val="left" w:pos="1200"/>
              <w:tab w:val="right" w:leader="dot" w:pos="9736"/>
            </w:tabs>
            <w:rPr>
              <w:rFonts w:ascii="Verdana" w:eastAsiaTheme="minorEastAsia" w:hAnsi="Verdana" w:cstheme="minorBidi"/>
              <w:noProof/>
              <w:sz w:val="20"/>
              <w:szCs w:val="20"/>
            </w:rPr>
          </w:pPr>
          <w:hyperlink w:anchor="_Toc513644466" w:history="1">
            <w:r w:rsidR="009F4015" w:rsidRPr="00C004B1">
              <w:rPr>
                <w:rStyle w:val="Hyperlink"/>
                <w:rFonts w:ascii="Verdana" w:hAnsi="Verdana"/>
                <w:smallCaps/>
                <w:noProof/>
                <w:sz w:val="20"/>
                <w:szCs w:val="20"/>
              </w:rPr>
              <w:t>1.</w:t>
            </w:r>
            <w:r w:rsidR="009F4015" w:rsidRPr="00C004B1">
              <w:rPr>
                <w:rFonts w:ascii="Verdana" w:eastAsiaTheme="minorEastAsia" w:hAnsi="Verdana" w:cstheme="minorBidi"/>
                <w:noProof/>
                <w:sz w:val="20"/>
                <w:szCs w:val="20"/>
              </w:rPr>
              <w:tab/>
            </w:r>
            <w:r w:rsidR="009F4015" w:rsidRPr="00C004B1">
              <w:rPr>
                <w:rStyle w:val="Hyperlink"/>
                <w:rFonts w:ascii="Verdana" w:hAnsi="Verdana"/>
                <w:noProof/>
                <w:sz w:val="20"/>
                <w:szCs w:val="20"/>
              </w:rPr>
              <w:t>El Derecho a la Salud</w:t>
            </w:r>
            <w:r w:rsidR="009F4015" w:rsidRPr="00C004B1">
              <w:rPr>
                <w:rFonts w:ascii="Verdana" w:hAnsi="Verdana"/>
                <w:noProof/>
                <w:webHidden/>
                <w:sz w:val="20"/>
                <w:szCs w:val="20"/>
              </w:rPr>
              <w:tab/>
            </w:r>
            <w:r w:rsidR="009F4015" w:rsidRPr="00C004B1">
              <w:rPr>
                <w:rFonts w:ascii="Verdana" w:hAnsi="Verdana"/>
                <w:noProof/>
                <w:webHidden/>
                <w:sz w:val="20"/>
                <w:szCs w:val="20"/>
              </w:rPr>
              <w:fldChar w:fldCharType="begin"/>
            </w:r>
            <w:r w:rsidR="009F4015" w:rsidRPr="00C004B1">
              <w:rPr>
                <w:rFonts w:ascii="Verdana" w:hAnsi="Verdana"/>
                <w:noProof/>
                <w:webHidden/>
                <w:sz w:val="20"/>
                <w:szCs w:val="20"/>
              </w:rPr>
              <w:instrText xml:space="preserve"> PAGEREF _Toc513644466 \h </w:instrText>
            </w:r>
            <w:r w:rsidR="009F4015" w:rsidRPr="00C004B1">
              <w:rPr>
                <w:rFonts w:ascii="Verdana" w:hAnsi="Verdana"/>
                <w:noProof/>
                <w:webHidden/>
                <w:sz w:val="20"/>
                <w:szCs w:val="20"/>
              </w:rPr>
            </w:r>
            <w:r w:rsidR="009F4015" w:rsidRPr="00C004B1">
              <w:rPr>
                <w:rFonts w:ascii="Verdana" w:hAnsi="Verdana"/>
                <w:noProof/>
                <w:webHidden/>
                <w:sz w:val="20"/>
                <w:szCs w:val="20"/>
              </w:rPr>
              <w:fldChar w:fldCharType="separate"/>
            </w:r>
            <w:r w:rsidR="00B263FD">
              <w:rPr>
                <w:rFonts w:ascii="Verdana" w:hAnsi="Verdana"/>
                <w:noProof/>
                <w:webHidden/>
                <w:sz w:val="20"/>
                <w:szCs w:val="20"/>
              </w:rPr>
              <w:t>31</w:t>
            </w:r>
            <w:r w:rsidR="009F4015" w:rsidRPr="00C004B1">
              <w:rPr>
                <w:rFonts w:ascii="Verdana" w:hAnsi="Verdana"/>
                <w:noProof/>
                <w:webHidden/>
                <w:sz w:val="20"/>
                <w:szCs w:val="20"/>
              </w:rPr>
              <w:fldChar w:fldCharType="end"/>
            </w:r>
          </w:hyperlink>
        </w:p>
        <w:p w14:paraId="18D761F5" w14:textId="77777777" w:rsidR="009F4015" w:rsidRPr="00C004B1" w:rsidRDefault="00BE7922" w:rsidP="009F4015">
          <w:pPr>
            <w:pStyle w:val="TOC5"/>
            <w:tabs>
              <w:tab w:val="right" w:leader="dot" w:pos="9736"/>
            </w:tabs>
            <w:rPr>
              <w:rFonts w:ascii="Verdana" w:eastAsiaTheme="minorEastAsia" w:hAnsi="Verdana" w:cstheme="minorBidi"/>
              <w:noProof/>
              <w:sz w:val="20"/>
              <w:szCs w:val="20"/>
            </w:rPr>
          </w:pPr>
          <w:hyperlink w:anchor="_Toc513644467" w:history="1">
            <w:r w:rsidR="009F4015" w:rsidRPr="00C004B1">
              <w:rPr>
                <w:rStyle w:val="Hyperlink"/>
                <w:rFonts w:ascii="Verdana" w:eastAsia="Calibri" w:hAnsi="Verdana"/>
                <w:noProof/>
                <w:sz w:val="20"/>
                <w:szCs w:val="20"/>
                <w:lang w:val="es-ES_tradnl" w:eastAsia="en-US"/>
              </w:rPr>
              <w:t>1.1 El derecho a la salud protegido por el artículo 26 de la Convención</w:t>
            </w:r>
            <w:r w:rsidR="009F4015" w:rsidRPr="00C004B1">
              <w:rPr>
                <w:rFonts w:ascii="Verdana" w:hAnsi="Verdana"/>
                <w:noProof/>
                <w:webHidden/>
                <w:sz w:val="20"/>
                <w:szCs w:val="20"/>
              </w:rPr>
              <w:tab/>
            </w:r>
            <w:r w:rsidR="009F4015" w:rsidRPr="00C004B1">
              <w:rPr>
                <w:rFonts w:ascii="Verdana" w:hAnsi="Verdana"/>
                <w:noProof/>
                <w:webHidden/>
                <w:sz w:val="20"/>
                <w:szCs w:val="20"/>
              </w:rPr>
              <w:fldChar w:fldCharType="begin"/>
            </w:r>
            <w:r w:rsidR="009F4015" w:rsidRPr="00C004B1">
              <w:rPr>
                <w:rFonts w:ascii="Verdana" w:hAnsi="Verdana"/>
                <w:noProof/>
                <w:webHidden/>
                <w:sz w:val="20"/>
                <w:szCs w:val="20"/>
              </w:rPr>
              <w:instrText xml:space="preserve"> PAGEREF _Toc513644467 \h </w:instrText>
            </w:r>
            <w:r w:rsidR="009F4015" w:rsidRPr="00C004B1">
              <w:rPr>
                <w:rFonts w:ascii="Verdana" w:hAnsi="Verdana"/>
                <w:noProof/>
                <w:webHidden/>
                <w:sz w:val="20"/>
                <w:szCs w:val="20"/>
              </w:rPr>
            </w:r>
            <w:r w:rsidR="009F4015" w:rsidRPr="00C004B1">
              <w:rPr>
                <w:rFonts w:ascii="Verdana" w:hAnsi="Verdana"/>
                <w:noProof/>
                <w:webHidden/>
                <w:sz w:val="20"/>
                <w:szCs w:val="20"/>
              </w:rPr>
              <w:fldChar w:fldCharType="separate"/>
            </w:r>
            <w:r w:rsidR="00B263FD">
              <w:rPr>
                <w:rFonts w:ascii="Verdana" w:hAnsi="Verdana"/>
                <w:noProof/>
                <w:webHidden/>
                <w:sz w:val="20"/>
                <w:szCs w:val="20"/>
              </w:rPr>
              <w:t>31</w:t>
            </w:r>
            <w:r w:rsidR="009F4015" w:rsidRPr="00C004B1">
              <w:rPr>
                <w:rFonts w:ascii="Verdana" w:hAnsi="Verdana"/>
                <w:noProof/>
                <w:webHidden/>
                <w:sz w:val="20"/>
                <w:szCs w:val="20"/>
              </w:rPr>
              <w:fldChar w:fldCharType="end"/>
            </w:r>
          </w:hyperlink>
        </w:p>
        <w:p w14:paraId="19D5A516" w14:textId="77777777" w:rsidR="009F4015" w:rsidRPr="00C004B1" w:rsidRDefault="00BE7922" w:rsidP="009F4015">
          <w:pPr>
            <w:pStyle w:val="TOC5"/>
            <w:tabs>
              <w:tab w:val="right" w:leader="dot" w:pos="9736"/>
            </w:tabs>
            <w:rPr>
              <w:rFonts w:ascii="Verdana" w:eastAsiaTheme="minorEastAsia" w:hAnsi="Verdana" w:cstheme="minorBidi"/>
              <w:noProof/>
              <w:sz w:val="20"/>
              <w:szCs w:val="20"/>
            </w:rPr>
          </w:pPr>
          <w:hyperlink w:anchor="_Toc513644468" w:history="1">
            <w:r w:rsidR="009F4015" w:rsidRPr="00C004B1">
              <w:rPr>
                <w:rStyle w:val="Hyperlink"/>
                <w:rFonts w:ascii="Verdana" w:eastAsia="Calibri" w:hAnsi="Verdana"/>
                <w:noProof/>
                <w:sz w:val="20"/>
                <w:szCs w:val="20"/>
                <w:lang w:val="es-MX" w:eastAsia="en-US"/>
              </w:rPr>
              <w:t>1.1.1 Estándares sobre el derecho a la salud aplicables a situaciones de urgencia médica</w:t>
            </w:r>
            <w:r w:rsidR="009F4015" w:rsidRPr="00C004B1">
              <w:rPr>
                <w:rFonts w:ascii="Verdana" w:hAnsi="Verdana"/>
                <w:noProof/>
                <w:webHidden/>
                <w:sz w:val="20"/>
                <w:szCs w:val="20"/>
              </w:rPr>
              <w:tab/>
            </w:r>
            <w:r w:rsidR="009F4015" w:rsidRPr="00C004B1">
              <w:rPr>
                <w:rFonts w:ascii="Verdana" w:hAnsi="Verdana"/>
                <w:noProof/>
                <w:webHidden/>
                <w:sz w:val="20"/>
                <w:szCs w:val="20"/>
              </w:rPr>
              <w:fldChar w:fldCharType="begin"/>
            </w:r>
            <w:r w:rsidR="009F4015" w:rsidRPr="00C004B1">
              <w:rPr>
                <w:rFonts w:ascii="Verdana" w:hAnsi="Verdana"/>
                <w:noProof/>
                <w:webHidden/>
                <w:sz w:val="20"/>
                <w:szCs w:val="20"/>
              </w:rPr>
              <w:instrText xml:space="preserve"> PAGEREF _Toc513644468 \h </w:instrText>
            </w:r>
            <w:r w:rsidR="009F4015" w:rsidRPr="00C004B1">
              <w:rPr>
                <w:rFonts w:ascii="Verdana" w:hAnsi="Verdana"/>
                <w:noProof/>
                <w:webHidden/>
                <w:sz w:val="20"/>
                <w:szCs w:val="20"/>
              </w:rPr>
            </w:r>
            <w:r w:rsidR="009F4015" w:rsidRPr="00C004B1">
              <w:rPr>
                <w:rFonts w:ascii="Verdana" w:hAnsi="Verdana"/>
                <w:noProof/>
                <w:webHidden/>
                <w:sz w:val="20"/>
                <w:szCs w:val="20"/>
              </w:rPr>
              <w:fldChar w:fldCharType="separate"/>
            </w:r>
            <w:r w:rsidR="00B263FD">
              <w:rPr>
                <w:rFonts w:ascii="Verdana" w:hAnsi="Verdana"/>
                <w:noProof/>
                <w:webHidden/>
                <w:sz w:val="20"/>
                <w:szCs w:val="20"/>
              </w:rPr>
              <w:t>39</w:t>
            </w:r>
            <w:r w:rsidR="009F4015" w:rsidRPr="00C004B1">
              <w:rPr>
                <w:rFonts w:ascii="Verdana" w:hAnsi="Verdana"/>
                <w:noProof/>
                <w:webHidden/>
                <w:sz w:val="20"/>
                <w:szCs w:val="20"/>
              </w:rPr>
              <w:fldChar w:fldCharType="end"/>
            </w:r>
          </w:hyperlink>
        </w:p>
        <w:p w14:paraId="342AEF7F" w14:textId="77777777" w:rsidR="009F4015" w:rsidRPr="00C004B1" w:rsidRDefault="00BE7922" w:rsidP="009F4015">
          <w:pPr>
            <w:pStyle w:val="TOC5"/>
            <w:tabs>
              <w:tab w:val="right" w:leader="dot" w:pos="9736"/>
            </w:tabs>
            <w:rPr>
              <w:rFonts w:ascii="Verdana" w:eastAsiaTheme="minorEastAsia" w:hAnsi="Verdana" w:cstheme="minorBidi"/>
              <w:noProof/>
              <w:sz w:val="20"/>
              <w:szCs w:val="20"/>
            </w:rPr>
          </w:pPr>
          <w:hyperlink w:anchor="_Toc513644469" w:history="1">
            <w:r w:rsidR="009F4015" w:rsidRPr="00C004B1">
              <w:rPr>
                <w:rStyle w:val="Hyperlink"/>
                <w:rFonts w:ascii="Verdana" w:eastAsia="Calibri" w:hAnsi="Verdana"/>
                <w:noProof/>
                <w:sz w:val="20"/>
                <w:szCs w:val="20"/>
                <w:lang w:val="es-MX" w:eastAsia="en-US"/>
              </w:rPr>
              <w:t>1.1.2  Respecto de las personas mayores en materia de salud</w:t>
            </w:r>
            <w:r w:rsidR="009F4015" w:rsidRPr="00C004B1">
              <w:rPr>
                <w:rFonts w:ascii="Verdana" w:hAnsi="Verdana"/>
                <w:noProof/>
                <w:webHidden/>
                <w:sz w:val="20"/>
                <w:szCs w:val="20"/>
              </w:rPr>
              <w:tab/>
            </w:r>
            <w:r w:rsidR="009F4015" w:rsidRPr="00C004B1">
              <w:rPr>
                <w:rFonts w:ascii="Verdana" w:hAnsi="Verdana"/>
                <w:noProof/>
                <w:webHidden/>
                <w:sz w:val="20"/>
                <w:szCs w:val="20"/>
              </w:rPr>
              <w:fldChar w:fldCharType="begin"/>
            </w:r>
            <w:r w:rsidR="009F4015" w:rsidRPr="00C004B1">
              <w:rPr>
                <w:rFonts w:ascii="Verdana" w:hAnsi="Verdana"/>
                <w:noProof/>
                <w:webHidden/>
                <w:sz w:val="20"/>
                <w:szCs w:val="20"/>
              </w:rPr>
              <w:instrText xml:space="preserve"> PAGEREF _Toc513644469 \h </w:instrText>
            </w:r>
            <w:r w:rsidR="009F4015" w:rsidRPr="00C004B1">
              <w:rPr>
                <w:rFonts w:ascii="Verdana" w:hAnsi="Verdana"/>
                <w:noProof/>
                <w:webHidden/>
                <w:sz w:val="20"/>
                <w:szCs w:val="20"/>
              </w:rPr>
            </w:r>
            <w:r w:rsidR="009F4015" w:rsidRPr="00C004B1">
              <w:rPr>
                <w:rFonts w:ascii="Verdana" w:hAnsi="Verdana"/>
                <w:noProof/>
                <w:webHidden/>
                <w:sz w:val="20"/>
                <w:szCs w:val="20"/>
              </w:rPr>
              <w:fldChar w:fldCharType="separate"/>
            </w:r>
            <w:r w:rsidR="00B263FD">
              <w:rPr>
                <w:rFonts w:ascii="Verdana" w:hAnsi="Verdana"/>
                <w:noProof/>
                <w:webHidden/>
                <w:sz w:val="20"/>
                <w:szCs w:val="20"/>
              </w:rPr>
              <w:t>41</w:t>
            </w:r>
            <w:r w:rsidR="009F4015" w:rsidRPr="00C004B1">
              <w:rPr>
                <w:rFonts w:ascii="Verdana" w:hAnsi="Verdana"/>
                <w:noProof/>
                <w:webHidden/>
                <w:sz w:val="20"/>
                <w:szCs w:val="20"/>
              </w:rPr>
              <w:fldChar w:fldCharType="end"/>
            </w:r>
          </w:hyperlink>
        </w:p>
        <w:p w14:paraId="6E329EF2" w14:textId="77777777" w:rsidR="009F4015" w:rsidRPr="00C004B1" w:rsidRDefault="00BE7922" w:rsidP="009F4015">
          <w:pPr>
            <w:pStyle w:val="TOC5"/>
            <w:tabs>
              <w:tab w:val="right" w:leader="dot" w:pos="9736"/>
            </w:tabs>
            <w:rPr>
              <w:rFonts w:ascii="Verdana" w:eastAsiaTheme="minorEastAsia" w:hAnsi="Verdana" w:cstheme="minorBidi"/>
              <w:noProof/>
              <w:sz w:val="20"/>
              <w:szCs w:val="20"/>
            </w:rPr>
          </w:pPr>
          <w:hyperlink w:anchor="_Toc513644470" w:history="1">
            <w:r w:rsidR="009F4015" w:rsidRPr="00C004B1">
              <w:rPr>
                <w:rStyle w:val="Hyperlink"/>
                <w:rFonts w:ascii="Verdana" w:eastAsia="Calibri" w:hAnsi="Verdana"/>
                <w:noProof/>
                <w:sz w:val="20"/>
                <w:szCs w:val="20"/>
                <w:lang w:val="es-MX" w:eastAsia="en-US"/>
              </w:rPr>
              <w:t>1.1.3  Análisis del presente caso</w:t>
            </w:r>
            <w:r w:rsidR="009F4015" w:rsidRPr="00C004B1">
              <w:rPr>
                <w:rFonts w:ascii="Verdana" w:hAnsi="Verdana"/>
                <w:noProof/>
                <w:webHidden/>
                <w:sz w:val="20"/>
                <w:szCs w:val="20"/>
              </w:rPr>
              <w:tab/>
            </w:r>
            <w:r w:rsidR="009F4015" w:rsidRPr="00C004B1">
              <w:rPr>
                <w:rFonts w:ascii="Verdana" w:hAnsi="Verdana"/>
                <w:noProof/>
                <w:webHidden/>
                <w:sz w:val="20"/>
                <w:szCs w:val="20"/>
              </w:rPr>
              <w:fldChar w:fldCharType="begin"/>
            </w:r>
            <w:r w:rsidR="009F4015" w:rsidRPr="00C004B1">
              <w:rPr>
                <w:rFonts w:ascii="Verdana" w:hAnsi="Verdana"/>
                <w:noProof/>
                <w:webHidden/>
                <w:sz w:val="20"/>
                <w:szCs w:val="20"/>
              </w:rPr>
              <w:instrText xml:space="preserve"> PAGEREF _Toc513644470 \h </w:instrText>
            </w:r>
            <w:r w:rsidR="009F4015" w:rsidRPr="00C004B1">
              <w:rPr>
                <w:rFonts w:ascii="Verdana" w:hAnsi="Verdana"/>
                <w:noProof/>
                <w:webHidden/>
                <w:sz w:val="20"/>
                <w:szCs w:val="20"/>
              </w:rPr>
            </w:r>
            <w:r w:rsidR="009F4015" w:rsidRPr="00C004B1">
              <w:rPr>
                <w:rFonts w:ascii="Verdana" w:hAnsi="Verdana"/>
                <w:noProof/>
                <w:webHidden/>
                <w:sz w:val="20"/>
                <w:szCs w:val="20"/>
              </w:rPr>
              <w:fldChar w:fldCharType="separate"/>
            </w:r>
            <w:r w:rsidR="00B263FD">
              <w:rPr>
                <w:rFonts w:ascii="Verdana" w:hAnsi="Verdana"/>
                <w:noProof/>
                <w:webHidden/>
                <w:sz w:val="20"/>
                <w:szCs w:val="20"/>
              </w:rPr>
              <w:t>45</w:t>
            </w:r>
            <w:r w:rsidR="009F4015" w:rsidRPr="00C004B1">
              <w:rPr>
                <w:rFonts w:ascii="Verdana" w:hAnsi="Verdana"/>
                <w:noProof/>
                <w:webHidden/>
                <w:sz w:val="20"/>
                <w:szCs w:val="20"/>
              </w:rPr>
              <w:fldChar w:fldCharType="end"/>
            </w:r>
          </w:hyperlink>
        </w:p>
        <w:p w14:paraId="27089284" w14:textId="77777777" w:rsidR="009F4015" w:rsidRPr="00C004B1" w:rsidRDefault="00BE7922" w:rsidP="009F4015">
          <w:pPr>
            <w:pStyle w:val="TOC5"/>
            <w:tabs>
              <w:tab w:val="right" w:leader="dot" w:pos="9736"/>
            </w:tabs>
            <w:rPr>
              <w:rFonts w:ascii="Verdana" w:eastAsiaTheme="minorEastAsia" w:hAnsi="Verdana" w:cstheme="minorBidi"/>
              <w:noProof/>
              <w:sz w:val="20"/>
              <w:szCs w:val="20"/>
            </w:rPr>
          </w:pPr>
          <w:hyperlink w:anchor="_Toc513644471" w:history="1">
            <w:r w:rsidR="009F4015" w:rsidRPr="00C004B1">
              <w:rPr>
                <w:rStyle w:val="Hyperlink"/>
                <w:rFonts w:ascii="Verdana" w:eastAsia="Calibri" w:hAnsi="Verdana"/>
                <w:noProof/>
                <w:sz w:val="20"/>
                <w:szCs w:val="20"/>
                <w:lang w:val="es-ES_tradnl" w:eastAsia="en-US"/>
              </w:rPr>
              <w:t>1.2  Derechos a la vida e integridad personal</w:t>
            </w:r>
            <w:r w:rsidR="009F4015" w:rsidRPr="00C004B1">
              <w:rPr>
                <w:rFonts w:ascii="Verdana" w:hAnsi="Verdana"/>
                <w:noProof/>
                <w:webHidden/>
                <w:sz w:val="20"/>
                <w:szCs w:val="20"/>
              </w:rPr>
              <w:tab/>
            </w:r>
            <w:r w:rsidR="009F4015" w:rsidRPr="00C004B1">
              <w:rPr>
                <w:rFonts w:ascii="Verdana" w:hAnsi="Verdana"/>
                <w:noProof/>
                <w:webHidden/>
                <w:sz w:val="20"/>
                <w:szCs w:val="20"/>
              </w:rPr>
              <w:fldChar w:fldCharType="begin"/>
            </w:r>
            <w:r w:rsidR="009F4015" w:rsidRPr="00C004B1">
              <w:rPr>
                <w:rFonts w:ascii="Verdana" w:hAnsi="Verdana"/>
                <w:noProof/>
                <w:webHidden/>
                <w:sz w:val="20"/>
                <w:szCs w:val="20"/>
              </w:rPr>
              <w:instrText xml:space="preserve"> PAGEREF _Toc513644471 \h </w:instrText>
            </w:r>
            <w:r w:rsidR="009F4015" w:rsidRPr="00C004B1">
              <w:rPr>
                <w:rFonts w:ascii="Verdana" w:hAnsi="Verdana"/>
                <w:noProof/>
                <w:webHidden/>
                <w:sz w:val="20"/>
                <w:szCs w:val="20"/>
              </w:rPr>
            </w:r>
            <w:r w:rsidR="009F4015" w:rsidRPr="00C004B1">
              <w:rPr>
                <w:rFonts w:ascii="Verdana" w:hAnsi="Verdana"/>
                <w:noProof/>
                <w:webHidden/>
                <w:sz w:val="20"/>
                <w:szCs w:val="20"/>
              </w:rPr>
              <w:fldChar w:fldCharType="separate"/>
            </w:r>
            <w:r w:rsidR="00B263FD">
              <w:rPr>
                <w:rFonts w:ascii="Verdana" w:hAnsi="Verdana"/>
                <w:noProof/>
                <w:webHidden/>
                <w:sz w:val="20"/>
                <w:szCs w:val="20"/>
              </w:rPr>
              <w:t>48</w:t>
            </w:r>
            <w:r w:rsidR="009F4015" w:rsidRPr="00C004B1">
              <w:rPr>
                <w:rFonts w:ascii="Verdana" w:hAnsi="Verdana"/>
                <w:noProof/>
                <w:webHidden/>
                <w:sz w:val="20"/>
                <w:szCs w:val="20"/>
              </w:rPr>
              <w:fldChar w:fldCharType="end"/>
            </w:r>
          </w:hyperlink>
        </w:p>
        <w:p w14:paraId="0EE99B50" w14:textId="77777777" w:rsidR="009F4015" w:rsidRPr="00C004B1" w:rsidRDefault="00BE7922" w:rsidP="009F4015">
          <w:pPr>
            <w:pStyle w:val="TOC5"/>
            <w:tabs>
              <w:tab w:val="right" w:leader="dot" w:pos="9736"/>
            </w:tabs>
            <w:rPr>
              <w:rFonts w:ascii="Verdana" w:eastAsiaTheme="minorEastAsia" w:hAnsi="Verdana" w:cstheme="minorBidi"/>
              <w:noProof/>
              <w:sz w:val="20"/>
              <w:szCs w:val="20"/>
            </w:rPr>
          </w:pPr>
          <w:hyperlink w:anchor="_Toc513644472" w:history="1">
            <w:r w:rsidR="009F4015" w:rsidRPr="00C004B1">
              <w:rPr>
                <w:rStyle w:val="Hyperlink"/>
                <w:rFonts w:ascii="Verdana" w:eastAsia="Calibri" w:hAnsi="Verdana"/>
                <w:noProof/>
                <w:sz w:val="20"/>
                <w:szCs w:val="20"/>
                <w:lang w:val="es-ES_tradnl" w:eastAsia="en-US"/>
              </w:rPr>
              <w:t>1.3 Derecho al consentimiento informado en materia de salud y  acceso a la información</w:t>
            </w:r>
            <w:r w:rsidR="009F4015" w:rsidRPr="00C004B1">
              <w:rPr>
                <w:rFonts w:ascii="Verdana" w:hAnsi="Verdana"/>
                <w:noProof/>
                <w:webHidden/>
                <w:sz w:val="20"/>
                <w:szCs w:val="20"/>
              </w:rPr>
              <w:tab/>
            </w:r>
            <w:r w:rsidR="009F4015" w:rsidRPr="00C004B1">
              <w:rPr>
                <w:rFonts w:ascii="Verdana" w:hAnsi="Verdana"/>
                <w:noProof/>
                <w:webHidden/>
                <w:sz w:val="20"/>
                <w:szCs w:val="20"/>
              </w:rPr>
              <w:fldChar w:fldCharType="begin"/>
            </w:r>
            <w:r w:rsidR="009F4015" w:rsidRPr="00C004B1">
              <w:rPr>
                <w:rFonts w:ascii="Verdana" w:hAnsi="Verdana"/>
                <w:noProof/>
                <w:webHidden/>
                <w:sz w:val="20"/>
                <w:szCs w:val="20"/>
              </w:rPr>
              <w:instrText xml:space="preserve"> PAGEREF _Toc513644472 \h </w:instrText>
            </w:r>
            <w:r w:rsidR="009F4015" w:rsidRPr="00C004B1">
              <w:rPr>
                <w:rFonts w:ascii="Verdana" w:hAnsi="Verdana"/>
                <w:noProof/>
                <w:webHidden/>
                <w:sz w:val="20"/>
                <w:szCs w:val="20"/>
              </w:rPr>
            </w:r>
            <w:r w:rsidR="009F4015" w:rsidRPr="00C004B1">
              <w:rPr>
                <w:rFonts w:ascii="Verdana" w:hAnsi="Verdana"/>
                <w:noProof/>
                <w:webHidden/>
                <w:sz w:val="20"/>
                <w:szCs w:val="20"/>
              </w:rPr>
              <w:fldChar w:fldCharType="separate"/>
            </w:r>
            <w:r w:rsidR="00B263FD">
              <w:rPr>
                <w:rFonts w:ascii="Verdana" w:hAnsi="Verdana"/>
                <w:noProof/>
                <w:webHidden/>
                <w:sz w:val="20"/>
                <w:szCs w:val="20"/>
              </w:rPr>
              <w:t>51</w:t>
            </w:r>
            <w:r w:rsidR="009F4015" w:rsidRPr="00C004B1">
              <w:rPr>
                <w:rFonts w:ascii="Verdana" w:hAnsi="Verdana"/>
                <w:noProof/>
                <w:webHidden/>
                <w:sz w:val="20"/>
                <w:szCs w:val="20"/>
              </w:rPr>
              <w:fldChar w:fldCharType="end"/>
            </w:r>
          </w:hyperlink>
        </w:p>
        <w:p w14:paraId="32F7F8DF" w14:textId="09E64F7A" w:rsidR="009F4015" w:rsidRPr="00C004B1" w:rsidRDefault="00BE7922" w:rsidP="009F4015">
          <w:pPr>
            <w:pStyle w:val="TOC5"/>
            <w:tabs>
              <w:tab w:val="right" w:leader="dot" w:pos="9736"/>
            </w:tabs>
            <w:rPr>
              <w:rFonts w:ascii="Verdana" w:eastAsiaTheme="minorEastAsia" w:hAnsi="Verdana" w:cstheme="minorBidi"/>
              <w:noProof/>
              <w:sz w:val="20"/>
              <w:szCs w:val="20"/>
            </w:rPr>
          </w:pPr>
          <w:hyperlink w:anchor="_Toc513644473" w:history="1">
            <w:r w:rsidR="009F4015" w:rsidRPr="00C004B1">
              <w:rPr>
                <w:rStyle w:val="Hyperlink"/>
                <w:rFonts w:ascii="Verdana" w:eastAsia="Calibri" w:hAnsi="Verdana"/>
                <w:noProof/>
                <w:sz w:val="20"/>
                <w:szCs w:val="20"/>
                <w:lang w:val="es-ES_tradnl" w:eastAsia="en-US"/>
              </w:rPr>
              <w:t>1.3.1. Respecto del señor Vinicio Poblete</w:t>
            </w:r>
            <w:r w:rsidR="00C004B1">
              <w:rPr>
                <w:rStyle w:val="Hyperlink"/>
                <w:rFonts w:ascii="Verdana" w:eastAsia="Calibri" w:hAnsi="Verdana"/>
                <w:noProof/>
                <w:sz w:val="20"/>
                <w:szCs w:val="20"/>
                <w:lang w:val="es-ES_tradnl" w:eastAsia="en-US"/>
              </w:rPr>
              <w:t xml:space="preserve"> y el reconocimiento parcial de </w:t>
            </w:r>
            <w:r w:rsidR="009F4015" w:rsidRPr="00C004B1">
              <w:rPr>
                <w:rStyle w:val="Hyperlink"/>
                <w:rFonts w:ascii="Verdana" w:eastAsia="Calibri" w:hAnsi="Verdana"/>
                <w:noProof/>
                <w:sz w:val="20"/>
                <w:szCs w:val="20"/>
                <w:lang w:val="es-ES_tradnl" w:eastAsia="en-US"/>
              </w:rPr>
              <w:t>responsabilidad del Estado</w:t>
            </w:r>
            <w:r w:rsidR="009F4015" w:rsidRPr="00C004B1">
              <w:rPr>
                <w:rFonts w:ascii="Verdana" w:hAnsi="Verdana"/>
                <w:noProof/>
                <w:webHidden/>
                <w:sz w:val="20"/>
                <w:szCs w:val="20"/>
              </w:rPr>
              <w:tab/>
            </w:r>
            <w:r w:rsidR="009F4015" w:rsidRPr="00C004B1">
              <w:rPr>
                <w:rFonts w:ascii="Verdana" w:hAnsi="Verdana"/>
                <w:noProof/>
                <w:webHidden/>
                <w:sz w:val="20"/>
                <w:szCs w:val="20"/>
              </w:rPr>
              <w:fldChar w:fldCharType="begin"/>
            </w:r>
            <w:r w:rsidR="009F4015" w:rsidRPr="00C004B1">
              <w:rPr>
                <w:rFonts w:ascii="Verdana" w:hAnsi="Verdana"/>
                <w:noProof/>
                <w:webHidden/>
                <w:sz w:val="20"/>
                <w:szCs w:val="20"/>
              </w:rPr>
              <w:instrText xml:space="preserve"> PAGEREF _Toc513644473 \h </w:instrText>
            </w:r>
            <w:r w:rsidR="009F4015" w:rsidRPr="00C004B1">
              <w:rPr>
                <w:rFonts w:ascii="Verdana" w:hAnsi="Verdana"/>
                <w:noProof/>
                <w:webHidden/>
                <w:sz w:val="20"/>
                <w:szCs w:val="20"/>
              </w:rPr>
            </w:r>
            <w:r w:rsidR="009F4015" w:rsidRPr="00C004B1">
              <w:rPr>
                <w:rFonts w:ascii="Verdana" w:hAnsi="Verdana"/>
                <w:noProof/>
                <w:webHidden/>
                <w:sz w:val="20"/>
                <w:szCs w:val="20"/>
              </w:rPr>
              <w:fldChar w:fldCharType="separate"/>
            </w:r>
            <w:r w:rsidR="00B263FD">
              <w:rPr>
                <w:rFonts w:ascii="Verdana" w:hAnsi="Verdana"/>
                <w:noProof/>
                <w:webHidden/>
                <w:sz w:val="20"/>
                <w:szCs w:val="20"/>
              </w:rPr>
              <w:t>51</w:t>
            </w:r>
            <w:r w:rsidR="009F4015" w:rsidRPr="00C004B1">
              <w:rPr>
                <w:rFonts w:ascii="Verdana" w:hAnsi="Verdana"/>
                <w:noProof/>
                <w:webHidden/>
                <w:sz w:val="20"/>
                <w:szCs w:val="20"/>
              </w:rPr>
              <w:fldChar w:fldCharType="end"/>
            </w:r>
          </w:hyperlink>
        </w:p>
        <w:p w14:paraId="6E134E50" w14:textId="77777777" w:rsidR="009F4015" w:rsidRPr="00C004B1" w:rsidRDefault="00BE7922" w:rsidP="009F4015">
          <w:pPr>
            <w:pStyle w:val="TOC5"/>
            <w:tabs>
              <w:tab w:val="right" w:leader="dot" w:pos="9736"/>
            </w:tabs>
            <w:rPr>
              <w:rFonts w:ascii="Verdana" w:eastAsiaTheme="minorEastAsia" w:hAnsi="Verdana" w:cstheme="minorBidi"/>
              <w:noProof/>
              <w:sz w:val="20"/>
              <w:szCs w:val="20"/>
            </w:rPr>
          </w:pPr>
          <w:hyperlink w:anchor="_Toc513644474" w:history="1">
            <w:r w:rsidR="009F4015" w:rsidRPr="00C004B1">
              <w:rPr>
                <w:rStyle w:val="Hyperlink"/>
                <w:rFonts w:ascii="Verdana" w:eastAsia="Calibri" w:hAnsi="Verdana"/>
                <w:noProof/>
                <w:sz w:val="20"/>
                <w:szCs w:val="20"/>
                <w:lang w:val="es-ES_tradnl" w:eastAsia="en-US"/>
              </w:rPr>
              <w:t>1.3.2 Consentimiento por sustitución y acceso a la información en materia de salud a favor de los familiares</w:t>
            </w:r>
            <w:r w:rsidR="009F4015" w:rsidRPr="00C004B1">
              <w:rPr>
                <w:rFonts w:ascii="Verdana" w:hAnsi="Verdana"/>
                <w:noProof/>
                <w:webHidden/>
                <w:sz w:val="20"/>
                <w:szCs w:val="20"/>
              </w:rPr>
              <w:tab/>
            </w:r>
            <w:r w:rsidR="009F4015" w:rsidRPr="00C004B1">
              <w:rPr>
                <w:rFonts w:ascii="Verdana" w:hAnsi="Verdana"/>
                <w:noProof/>
                <w:webHidden/>
                <w:sz w:val="20"/>
                <w:szCs w:val="20"/>
              </w:rPr>
              <w:fldChar w:fldCharType="begin"/>
            </w:r>
            <w:r w:rsidR="009F4015" w:rsidRPr="00C004B1">
              <w:rPr>
                <w:rFonts w:ascii="Verdana" w:hAnsi="Verdana"/>
                <w:noProof/>
                <w:webHidden/>
                <w:sz w:val="20"/>
                <w:szCs w:val="20"/>
              </w:rPr>
              <w:instrText xml:space="preserve"> PAGEREF _Toc513644474 \h </w:instrText>
            </w:r>
            <w:r w:rsidR="009F4015" w:rsidRPr="00C004B1">
              <w:rPr>
                <w:rFonts w:ascii="Verdana" w:hAnsi="Verdana"/>
                <w:noProof/>
                <w:webHidden/>
                <w:sz w:val="20"/>
                <w:szCs w:val="20"/>
              </w:rPr>
            </w:r>
            <w:r w:rsidR="009F4015" w:rsidRPr="00C004B1">
              <w:rPr>
                <w:rFonts w:ascii="Verdana" w:hAnsi="Verdana"/>
                <w:noProof/>
                <w:webHidden/>
                <w:sz w:val="20"/>
                <w:szCs w:val="20"/>
              </w:rPr>
              <w:fldChar w:fldCharType="separate"/>
            </w:r>
            <w:r w:rsidR="00B263FD">
              <w:rPr>
                <w:rFonts w:ascii="Verdana" w:hAnsi="Verdana"/>
                <w:noProof/>
                <w:webHidden/>
                <w:sz w:val="20"/>
                <w:szCs w:val="20"/>
              </w:rPr>
              <w:t>52</w:t>
            </w:r>
            <w:r w:rsidR="009F4015" w:rsidRPr="00C004B1">
              <w:rPr>
                <w:rFonts w:ascii="Verdana" w:hAnsi="Verdana"/>
                <w:noProof/>
                <w:webHidden/>
                <w:sz w:val="20"/>
                <w:szCs w:val="20"/>
              </w:rPr>
              <w:fldChar w:fldCharType="end"/>
            </w:r>
          </w:hyperlink>
        </w:p>
        <w:p w14:paraId="75B041F4" w14:textId="77777777" w:rsidR="009F4015" w:rsidRPr="00C004B1" w:rsidRDefault="00BE7922" w:rsidP="009F4015">
          <w:pPr>
            <w:pStyle w:val="TOC5"/>
            <w:tabs>
              <w:tab w:val="right" w:leader="dot" w:pos="9736"/>
            </w:tabs>
            <w:rPr>
              <w:rFonts w:ascii="Verdana" w:eastAsiaTheme="minorEastAsia" w:hAnsi="Verdana" w:cstheme="minorBidi"/>
              <w:noProof/>
              <w:sz w:val="20"/>
              <w:szCs w:val="20"/>
            </w:rPr>
          </w:pPr>
          <w:hyperlink w:anchor="_Toc513644475" w:history="1">
            <w:r w:rsidR="009F4015" w:rsidRPr="00C004B1">
              <w:rPr>
                <w:rStyle w:val="Hyperlink"/>
                <w:rFonts w:ascii="Verdana" w:eastAsia="Calibri" w:hAnsi="Verdana"/>
                <w:noProof/>
                <w:sz w:val="20"/>
                <w:szCs w:val="20"/>
                <w:lang w:val="es-ES_tradnl" w:eastAsia="en-US"/>
              </w:rPr>
              <w:t>1.4 Conclusión general sobre el derecho a la salud</w:t>
            </w:r>
            <w:r w:rsidR="009F4015" w:rsidRPr="00C004B1">
              <w:rPr>
                <w:rFonts w:ascii="Verdana" w:hAnsi="Verdana"/>
                <w:noProof/>
                <w:webHidden/>
                <w:sz w:val="20"/>
                <w:szCs w:val="20"/>
              </w:rPr>
              <w:tab/>
            </w:r>
            <w:r w:rsidR="009F4015" w:rsidRPr="00C004B1">
              <w:rPr>
                <w:rFonts w:ascii="Verdana" w:hAnsi="Verdana"/>
                <w:noProof/>
                <w:webHidden/>
                <w:sz w:val="20"/>
                <w:szCs w:val="20"/>
              </w:rPr>
              <w:fldChar w:fldCharType="begin"/>
            </w:r>
            <w:r w:rsidR="009F4015" w:rsidRPr="00C004B1">
              <w:rPr>
                <w:rFonts w:ascii="Verdana" w:hAnsi="Verdana"/>
                <w:noProof/>
                <w:webHidden/>
                <w:sz w:val="20"/>
                <w:szCs w:val="20"/>
              </w:rPr>
              <w:instrText xml:space="preserve"> PAGEREF _Toc513644475 \h </w:instrText>
            </w:r>
            <w:r w:rsidR="009F4015" w:rsidRPr="00C004B1">
              <w:rPr>
                <w:rFonts w:ascii="Verdana" w:hAnsi="Verdana"/>
                <w:noProof/>
                <w:webHidden/>
                <w:sz w:val="20"/>
                <w:szCs w:val="20"/>
              </w:rPr>
            </w:r>
            <w:r w:rsidR="009F4015" w:rsidRPr="00C004B1">
              <w:rPr>
                <w:rFonts w:ascii="Verdana" w:hAnsi="Verdana"/>
                <w:noProof/>
                <w:webHidden/>
                <w:sz w:val="20"/>
                <w:szCs w:val="20"/>
              </w:rPr>
              <w:fldChar w:fldCharType="separate"/>
            </w:r>
            <w:r w:rsidR="00B263FD">
              <w:rPr>
                <w:rFonts w:ascii="Verdana" w:hAnsi="Verdana"/>
                <w:noProof/>
                <w:webHidden/>
                <w:sz w:val="20"/>
                <w:szCs w:val="20"/>
              </w:rPr>
              <w:t>56</w:t>
            </w:r>
            <w:r w:rsidR="009F4015" w:rsidRPr="00C004B1">
              <w:rPr>
                <w:rFonts w:ascii="Verdana" w:hAnsi="Verdana"/>
                <w:noProof/>
                <w:webHidden/>
                <w:sz w:val="20"/>
                <w:szCs w:val="20"/>
              </w:rPr>
              <w:fldChar w:fldCharType="end"/>
            </w:r>
          </w:hyperlink>
        </w:p>
        <w:p w14:paraId="5CF19498" w14:textId="4965F263" w:rsidR="009F4015" w:rsidRPr="009F4015" w:rsidRDefault="00BE7922" w:rsidP="00C004B1">
          <w:pPr>
            <w:pStyle w:val="TOC1"/>
            <w:rPr>
              <w:rFonts w:eastAsiaTheme="minorEastAsia" w:cstheme="minorBidi"/>
              <w:noProof/>
            </w:rPr>
          </w:pPr>
          <w:hyperlink w:anchor="_Toc513644476" w:history="1">
            <w:r w:rsidR="009F4015" w:rsidRPr="009F4015">
              <w:rPr>
                <w:rStyle w:val="Hyperlink"/>
                <w:rFonts w:ascii="Verdana" w:hAnsi="Verdana"/>
                <w:noProof/>
              </w:rPr>
              <w:t>VII-2</w:t>
            </w:r>
            <w:r w:rsidR="009F4015" w:rsidRPr="009F4015">
              <w:rPr>
                <w:noProof/>
                <w:webHidden/>
              </w:rPr>
              <w:tab/>
            </w:r>
          </w:hyperlink>
          <w:r w:rsidR="00C004B1" w:rsidRPr="00C004B1">
            <w:rPr>
              <w:rStyle w:val="Hyperlink"/>
              <w:rFonts w:ascii="Verdana" w:hAnsi="Verdana"/>
              <w:noProof/>
              <w:u w:val="none"/>
            </w:rPr>
            <w:t xml:space="preserve"> </w:t>
          </w:r>
          <w:hyperlink w:anchor="_Toc513644477" w:history="1">
            <w:r w:rsidR="009F4015" w:rsidRPr="009F4015">
              <w:rPr>
                <w:rStyle w:val="Hyperlink"/>
                <w:rFonts w:ascii="Verdana" w:hAnsi="Verdana"/>
                <w:noProof/>
              </w:rPr>
              <w:t>DERECHOS A LAS GARANTÍAS JUDICIALES Y A LA PROTECCIÓN JUDICIAL (ARTÍCULOS 8 Y 25 DE LA CONVENCIÓN AMERICANA)</w:t>
            </w:r>
            <w:r w:rsidR="009F4015" w:rsidRPr="009F4015">
              <w:rPr>
                <w:noProof/>
                <w:webHidden/>
              </w:rPr>
              <w:tab/>
            </w:r>
            <w:r w:rsidR="009F4015" w:rsidRPr="008D6B5C">
              <w:rPr>
                <w:rFonts w:ascii="Verdana" w:hAnsi="Verdana"/>
                <w:b w:val="0"/>
                <w:noProof/>
                <w:webHidden/>
              </w:rPr>
              <w:fldChar w:fldCharType="begin"/>
            </w:r>
            <w:r w:rsidR="009F4015" w:rsidRPr="008D6B5C">
              <w:rPr>
                <w:rFonts w:ascii="Verdana" w:hAnsi="Verdana"/>
                <w:b w:val="0"/>
                <w:noProof/>
                <w:webHidden/>
              </w:rPr>
              <w:instrText xml:space="preserve"> PAGEREF _Toc513644477 \h </w:instrText>
            </w:r>
            <w:r w:rsidR="009F4015" w:rsidRPr="008D6B5C">
              <w:rPr>
                <w:rFonts w:ascii="Verdana" w:hAnsi="Verdana"/>
                <w:b w:val="0"/>
                <w:noProof/>
                <w:webHidden/>
              </w:rPr>
            </w:r>
            <w:r w:rsidR="009F4015" w:rsidRPr="008D6B5C">
              <w:rPr>
                <w:rFonts w:ascii="Verdana" w:hAnsi="Verdana"/>
                <w:b w:val="0"/>
                <w:noProof/>
                <w:webHidden/>
              </w:rPr>
              <w:fldChar w:fldCharType="separate"/>
            </w:r>
            <w:r w:rsidR="00B263FD">
              <w:rPr>
                <w:rFonts w:ascii="Verdana" w:hAnsi="Verdana"/>
                <w:b w:val="0"/>
                <w:noProof/>
                <w:webHidden/>
              </w:rPr>
              <w:t>57</w:t>
            </w:r>
            <w:r w:rsidR="009F4015" w:rsidRPr="008D6B5C">
              <w:rPr>
                <w:rFonts w:ascii="Verdana" w:hAnsi="Verdana"/>
                <w:b w:val="0"/>
                <w:noProof/>
                <w:webHidden/>
              </w:rPr>
              <w:fldChar w:fldCharType="end"/>
            </w:r>
          </w:hyperlink>
        </w:p>
        <w:p w14:paraId="3ADE7CF6" w14:textId="77777777" w:rsidR="009F4015" w:rsidRPr="009F4015" w:rsidRDefault="00BE7922" w:rsidP="009F4015">
          <w:pPr>
            <w:pStyle w:val="TOC3"/>
            <w:rPr>
              <w:rFonts w:eastAsiaTheme="minorEastAsia" w:cstheme="minorBidi"/>
              <w:iCs w:val="0"/>
            </w:rPr>
          </w:pPr>
          <w:hyperlink w:anchor="_Toc513644478" w:history="1">
            <w:r w:rsidR="009F4015" w:rsidRPr="009F4015">
              <w:rPr>
                <w:rStyle w:val="Hyperlink"/>
              </w:rPr>
              <w:t>A.</w:t>
            </w:r>
            <w:r w:rsidR="009F4015" w:rsidRPr="009F4015">
              <w:rPr>
                <w:rFonts w:eastAsiaTheme="minorEastAsia" w:cstheme="minorBidi"/>
                <w:iCs w:val="0"/>
              </w:rPr>
              <w:tab/>
            </w:r>
            <w:r w:rsidR="009F4015" w:rsidRPr="009F4015">
              <w:rPr>
                <w:rStyle w:val="Hyperlink"/>
              </w:rPr>
              <w:t>Argumentos de las partes y de la Comisión</w:t>
            </w:r>
            <w:r w:rsidR="009F4015" w:rsidRPr="009F4015">
              <w:rPr>
                <w:webHidden/>
              </w:rPr>
              <w:tab/>
            </w:r>
            <w:r w:rsidR="009F4015" w:rsidRPr="009F4015">
              <w:rPr>
                <w:webHidden/>
              </w:rPr>
              <w:fldChar w:fldCharType="begin"/>
            </w:r>
            <w:r w:rsidR="009F4015" w:rsidRPr="009F4015">
              <w:rPr>
                <w:webHidden/>
              </w:rPr>
              <w:instrText xml:space="preserve"> PAGEREF _Toc513644478 \h </w:instrText>
            </w:r>
            <w:r w:rsidR="009F4015" w:rsidRPr="009F4015">
              <w:rPr>
                <w:webHidden/>
              </w:rPr>
            </w:r>
            <w:r w:rsidR="009F4015" w:rsidRPr="009F4015">
              <w:rPr>
                <w:webHidden/>
              </w:rPr>
              <w:fldChar w:fldCharType="separate"/>
            </w:r>
            <w:r w:rsidR="00B263FD">
              <w:rPr>
                <w:webHidden/>
              </w:rPr>
              <w:t>57</w:t>
            </w:r>
            <w:r w:rsidR="009F4015" w:rsidRPr="009F4015">
              <w:rPr>
                <w:webHidden/>
              </w:rPr>
              <w:fldChar w:fldCharType="end"/>
            </w:r>
          </w:hyperlink>
        </w:p>
        <w:p w14:paraId="046CB8DF" w14:textId="77777777" w:rsidR="009F4015" w:rsidRPr="009F4015" w:rsidRDefault="00BE7922" w:rsidP="009F4015">
          <w:pPr>
            <w:pStyle w:val="TOC3"/>
            <w:rPr>
              <w:rFonts w:eastAsiaTheme="minorEastAsia" w:cstheme="minorBidi"/>
              <w:iCs w:val="0"/>
            </w:rPr>
          </w:pPr>
          <w:hyperlink w:anchor="_Toc513644479" w:history="1">
            <w:r w:rsidR="009F4015" w:rsidRPr="009F4015">
              <w:rPr>
                <w:rStyle w:val="Hyperlink"/>
              </w:rPr>
              <w:t>B.</w:t>
            </w:r>
            <w:r w:rsidR="009F4015" w:rsidRPr="009F4015">
              <w:rPr>
                <w:rFonts w:eastAsiaTheme="minorEastAsia" w:cstheme="minorBidi"/>
                <w:iCs w:val="0"/>
              </w:rPr>
              <w:tab/>
            </w:r>
            <w:r w:rsidR="009F4015" w:rsidRPr="009F4015">
              <w:rPr>
                <w:rStyle w:val="Hyperlink"/>
              </w:rPr>
              <w:t>Consideraciones de la Corte</w:t>
            </w:r>
            <w:r w:rsidR="009F4015" w:rsidRPr="009F4015">
              <w:rPr>
                <w:webHidden/>
              </w:rPr>
              <w:tab/>
            </w:r>
            <w:r w:rsidR="009F4015" w:rsidRPr="009F4015">
              <w:rPr>
                <w:webHidden/>
              </w:rPr>
              <w:fldChar w:fldCharType="begin"/>
            </w:r>
            <w:r w:rsidR="009F4015" w:rsidRPr="009F4015">
              <w:rPr>
                <w:webHidden/>
              </w:rPr>
              <w:instrText xml:space="preserve"> PAGEREF _Toc513644479 \h </w:instrText>
            </w:r>
            <w:r w:rsidR="009F4015" w:rsidRPr="009F4015">
              <w:rPr>
                <w:webHidden/>
              </w:rPr>
            </w:r>
            <w:r w:rsidR="009F4015" w:rsidRPr="009F4015">
              <w:rPr>
                <w:webHidden/>
              </w:rPr>
              <w:fldChar w:fldCharType="separate"/>
            </w:r>
            <w:r w:rsidR="00B263FD">
              <w:rPr>
                <w:webHidden/>
              </w:rPr>
              <w:t>59</w:t>
            </w:r>
            <w:r w:rsidR="009F4015" w:rsidRPr="009F4015">
              <w:rPr>
                <w:webHidden/>
              </w:rPr>
              <w:fldChar w:fldCharType="end"/>
            </w:r>
          </w:hyperlink>
        </w:p>
        <w:p w14:paraId="59FCEBC5" w14:textId="77777777" w:rsidR="009F4015" w:rsidRPr="00C004B1" w:rsidRDefault="00BE7922" w:rsidP="009F4015">
          <w:pPr>
            <w:pStyle w:val="TOC4"/>
            <w:tabs>
              <w:tab w:val="right" w:leader="dot" w:pos="9736"/>
            </w:tabs>
            <w:rPr>
              <w:rFonts w:ascii="Verdana" w:eastAsiaTheme="minorEastAsia" w:hAnsi="Verdana" w:cstheme="minorBidi"/>
              <w:noProof/>
              <w:sz w:val="20"/>
              <w:szCs w:val="20"/>
            </w:rPr>
          </w:pPr>
          <w:hyperlink w:anchor="_Toc513644480" w:history="1">
            <w:r w:rsidR="009F4015" w:rsidRPr="00C004B1">
              <w:rPr>
                <w:rStyle w:val="Hyperlink"/>
                <w:rFonts w:ascii="Verdana" w:hAnsi="Verdana"/>
                <w:noProof/>
                <w:sz w:val="20"/>
                <w:szCs w:val="20"/>
              </w:rPr>
              <w:t>1. Respecto de la debida diligencia</w:t>
            </w:r>
            <w:r w:rsidR="009F4015" w:rsidRPr="00C004B1">
              <w:rPr>
                <w:rFonts w:ascii="Verdana" w:hAnsi="Verdana"/>
                <w:noProof/>
                <w:webHidden/>
                <w:sz w:val="20"/>
                <w:szCs w:val="20"/>
              </w:rPr>
              <w:tab/>
            </w:r>
            <w:r w:rsidR="009F4015" w:rsidRPr="00C004B1">
              <w:rPr>
                <w:rFonts w:ascii="Verdana" w:hAnsi="Verdana"/>
                <w:noProof/>
                <w:webHidden/>
                <w:sz w:val="20"/>
                <w:szCs w:val="20"/>
              </w:rPr>
              <w:fldChar w:fldCharType="begin"/>
            </w:r>
            <w:r w:rsidR="009F4015" w:rsidRPr="00C004B1">
              <w:rPr>
                <w:rFonts w:ascii="Verdana" w:hAnsi="Verdana"/>
                <w:noProof/>
                <w:webHidden/>
                <w:sz w:val="20"/>
                <w:szCs w:val="20"/>
              </w:rPr>
              <w:instrText xml:space="preserve"> PAGEREF _Toc513644480 \h </w:instrText>
            </w:r>
            <w:r w:rsidR="009F4015" w:rsidRPr="00C004B1">
              <w:rPr>
                <w:rFonts w:ascii="Verdana" w:hAnsi="Verdana"/>
                <w:noProof/>
                <w:webHidden/>
                <w:sz w:val="20"/>
                <w:szCs w:val="20"/>
              </w:rPr>
            </w:r>
            <w:r w:rsidR="009F4015" w:rsidRPr="00C004B1">
              <w:rPr>
                <w:rFonts w:ascii="Verdana" w:hAnsi="Verdana"/>
                <w:noProof/>
                <w:webHidden/>
                <w:sz w:val="20"/>
                <w:szCs w:val="20"/>
              </w:rPr>
              <w:fldChar w:fldCharType="separate"/>
            </w:r>
            <w:r w:rsidR="00B263FD">
              <w:rPr>
                <w:rFonts w:ascii="Verdana" w:hAnsi="Verdana"/>
                <w:noProof/>
                <w:webHidden/>
                <w:sz w:val="20"/>
                <w:szCs w:val="20"/>
              </w:rPr>
              <w:t>59</w:t>
            </w:r>
            <w:r w:rsidR="009F4015" w:rsidRPr="00C004B1">
              <w:rPr>
                <w:rFonts w:ascii="Verdana" w:hAnsi="Verdana"/>
                <w:noProof/>
                <w:webHidden/>
                <w:sz w:val="20"/>
                <w:szCs w:val="20"/>
              </w:rPr>
              <w:fldChar w:fldCharType="end"/>
            </w:r>
          </w:hyperlink>
        </w:p>
        <w:p w14:paraId="56EDDD93" w14:textId="77777777" w:rsidR="009F4015" w:rsidRPr="00C004B1" w:rsidRDefault="00BE7922" w:rsidP="009F4015">
          <w:pPr>
            <w:pStyle w:val="TOC4"/>
            <w:tabs>
              <w:tab w:val="right" w:leader="dot" w:pos="9736"/>
            </w:tabs>
            <w:rPr>
              <w:rFonts w:ascii="Verdana" w:eastAsiaTheme="minorEastAsia" w:hAnsi="Verdana" w:cstheme="minorBidi"/>
              <w:noProof/>
              <w:sz w:val="20"/>
              <w:szCs w:val="20"/>
            </w:rPr>
          </w:pPr>
          <w:hyperlink w:anchor="_Toc513644481" w:history="1">
            <w:r w:rsidR="009F4015" w:rsidRPr="00C004B1">
              <w:rPr>
                <w:rStyle w:val="Hyperlink"/>
                <w:rFonts w:ascii="Verdana" w:hAnsi="Verdana"/>
                <w:noProof/>
                <w:sz w:val="20"/>
                <w:szCs w:val="20"/>
              </w:rPr>
              <w:t>2. Respecto de la imparcialidad judicial</w:t>
            </w:r>
            <w:r w:rsidR="009F4015" w:rsidRPr="00C004B1">
              <w:rPr>
                <w:rFonts w:ascii="Verdana" w:hAnsi="Verdana"/>
                <w:noProof/>
                <w:webHidden/>
                <w:sz w:val="20"/>
                <w:szCs w:val="20"/>
              </w:rPr>
              <w:tab/>
            </w:r>
            <w:r w:rsidR="009F4015" w:rsidRPr="00C004B1">
              <w:rPr>
                <w:rFonts w:ascii="Verdana" w:hAnsi="Verdana"/>
                <w:noProof/>
                <w:webHidden/>
                <w:sz w:val="20"/>
                <w:szCs w:val="20"/>
              </w:rPr>
              <w:fldChar w:fldCharType="begin"/>
            </w:r>
            <w:r w:rsidR="009F4015" w:rsidRPr="00C004B1">
              <w:rPr>
                <w:rFonts w:ascii="Verdana" w:hAnsi="Verdana"/>
                <w:noProof/>
                <w:webHidden/>
                <w:sz w:val="20"/>
                <w:szCs w:val="20"/>
              </w:rPr>
              <w:instrText xml:space="preserve"> PAGEREF _Toc513644481 \h </w:instrText>
            </w:r>
            <w:r w:rsidR="009F4015" w:rsidRPr="00C004B1">
              <w:rPr>
                <w:rFonts w:ascii="Verdana" w:hAnsi="Verdana"/>
                <w:noProof/>
                <w:webHidden/>
                <w:sz w:val="20"/>
                <w:szCs w:val="20"/>
              </w:rPr>
            </w:r>
            <w:r w:rsidR="009F4015" w:rsidRPr="00C004B1">
              <w:rPr>
                <w:rFonts w:ascii="Verdana" w:hAnsi="Verdana"/>
                <w:noProof/>
                <w:webHidden/>
                <w:sz w:val="20"/>
                <w:szCs w:val="20"/>
              </w:rPr>
              <w:fldChar w:fldCharType="separate"/>
            </w:r>
            <w:r w:rsidR="00B263FD">
              <w:rPr>
                <w:rFonts w:ascii="Verdana" w:hAnsi="Verdana"/>
                <w:noProof/>
                <w:webHidden/>
                <w:sz w:val="20"/>
                <w:szCs w:val="20"/>
              </w:rPr>
              <w:t>62</w:t>
            </w:r>
            <w:r w:rsidR="009F4015" w:rsidRPr="00C004B1">
              <w:rPr>
                <w:rFonts w:ascii="Verdana" w:hAnsi="Verdana"/>
                <w:noProof/>
                <w:webHidden/>
                <w:sz w:val="20"/>
                <w:szCs w:val="20"/>
              </w:rPr>
              <w:fldChar w:fldCharType="end"/>
            </w:r>
          </w:hyperlink>
        </w:p>
        <w:p w14:paraId="714D880E" w14:textId="09B0A9CA" w:rsidR="009F4015" w:rsidRPr="009F4015" w:rsidRDefault="00BE7922" w:rsidP="00C004B1">
          <w:pPr>
            <w:pStyle w:val="TOC1"/>
            <w:rPr>
              <w:rFonts w:eastAsiaTheme="minorEastAsia" w:cstheme="minorBidi"/>
              <w:noProof/>
            </w:rPr>
          </w:pPr>
          <w:hyperlink w:anchor="_Toc513644482" w:history="1">
            <w:r w:rsidR="009F4015" w:rsidRPr="009F4015">
              <w:rPr>
                <w:rStyle w:val="Hyperlink"/>
                <w:rFonts w:ascii="Verdana" w:hAnsi="Verdana"/>
                <w:noProof/>
              </w:rPr>
              <w:t>VII-3</w:t>
            </w:r>
            <w:r w:rsidR="009F4015" w:rsidRPr="009F4015">
              <w:rPr>
                <w:noProof/>
                <w:webHidden/>
              </w:rPr>
              <w:tab/>
            </w:r>
          </w:hyperlink>
          <w:r w:rsidR="00C004B1">
            <w:rPr>
              <w:rFonts w:eastAsiaTheme="minorEastAsia" w:cstheme="minorBidi"/>
              <w:noProof/>
            </w:rPr>
            <w:t xml:space="preserve"> </w:t>
          </w:r>
          <w:hyperlink w:anchor="_Toc513644483" w:history="1">
            <w:r w:rsidR="009F4015" w:rsidRPr="009F4015">
              <w:rPr>
                <w:rStyle w:val="Hyperlink"/>
                <w:rFonts w:ascii="Verdana" w:hAnsi="Verdana"/>
                <w:noProof/>
              </w:rPr>
              <w:t>DERECHO A LA INTEGRIDAD PERSONAL DE LOS FAMILIARES</w:t>
            </w:r>
            <w:r w:rsidR="009F4015" w:rsidRPr="009F4015">
              <w:rPr>
                <w:noProof/>
                <w:webHidden/>
              </w:rPr>
              <w:tab/>
            </w:r>
          </w:hyperlink>
          <w:hyperlink w:anchor="_Toc513644484" w:history="1">
            <w:r w:rsidR="009F4015" w:rsidRPr="009F4015">
              <w:rPr>
                <w:rStyle w:val="Hyperlink"/>
                <w:rFonts w:ascii="Verdana" w:hAnsi="Verdana"/>
                <w:noProof/>
              </w:rPr>
              <w:t>(ARTÍCULO 5.1 DE LA CONVENCIÓN AMERICANA)</w:t>
            </w:r>
            <w:r w:rsidR="009F4015" w:rsidRPr="009F4015">
              <w:rPr>
                <w:noProof/>
                <w:webHidden/>
              </w:rPr>
              <w:tab/>
            </w:r>
            <w:r w:rsidR="009F4015" w:rsidRPr="008D6B5C">
              <w:rPr>
                <w:rFonts w:ascii="Verdana" w:hAnsi="Verdana"/>
                <w:b w:val="0"/>
                <w:noProof/>
                <w:webHidden/>
              </w:rPr>
              <w:fldChar w:fldCharType="begin"/>
            </w:r>
            <w:r w:rsidR="009F4015" w:rsidRPr="008D6B5C">
              <w:rPr>
                <w:rFonts w:ascii="Verdana" w:hAnsi="Verdana"/>
                <w:b w:val="0"/>
                <w:noProof/>
                <w:webHidden/>
              </w:rPr>
              <w:instrText xml:space="preserve"> PAGEREF _Toc513644484 \h </w:instrText>
            </w:r>
            <w:r w:rsidR="009F4015" w:rsidRPr="008D6B5C">
              <w:rPr>
                <w:rFonts w:ascii="Verdana" w:hAnsi="Verdana"/>
                <w:b w:val="0"/>
                <w:noProof/>
                <w:webHidden/>
              </w:rPr>
            </w:r>
            <w:r w:rsidR="009F4015" w:rsidRPr="008D6B5C">
              <w:rPr>
                <w:rFonts w:ascii="Verdana" w:hAnsi="Verdana"/>
                <w:b w:val="0"/>
                <w:noProof/>
                <w:webHidden/>
              </w:rPr>
              <w:fldChar w:fldCharType="separate"/>
            </w:r>
            <w:r w:rsidR="00B263FD">
              <w:rPr>
                <w:rFonts w:ascii="Verdana" w:hAnsi="Verdana"/>
                <w:b w:val="0"/>
                <w:noProof/>
                <w:webHidden/>
              </w:rPr>
              <w:t>63</w:t>
            </w:r>
            <w:r w:rsidR="009F4015" w:rsidRPr="008D6B5C">
              <w:rPr>
                <w:rFonts w:ascii="Verdana" w:hAnsi="Verdana"/>
                <w:b w:val="0"/>
                <w:noProof/>
                <w:webHidden/>
              </w:rPr>
              <w:fldChar w:fldCharType="end"/>
            </w:r>
          </w:hyperlink>
        </w:p>
        <w:p w14:paraId="466972FA" w14:textId="77777777" w:rsidR="009F4015" w:rsidRPr="009F4015" w:rsidRDefault="00BE7922" w:rsidP="009F4015">
          <w:pPr>
            <w:pStyle w:val="TOC3"/>
            <w:rPr>
              <w:rFonts w:eastAsiaTheme="minorEastAsia" w:cstheme="minorBidi"/>
              <w:iCs w:val="0"/>
            </w:rPr>
          </w:pPr>
          <w:hyperlink w:anchor="_Toc513644485" w:history="1">
            <w:r w:rsidR="009F4015" w:rsidRPr="009F4015">
              <w:rPr>
                <w:rStyle w:val="Hyperlink"/>
              </w:rPr>
              <w:t>A.</w:t>
            </w:r>
            <w:r w:rsidR="009F4015" w:rsidRPr="009F4015">
              <w:rPr>
                <w:rFonts w:eastAsiaTheme="minorEastAsia" w:cstheme="minorBidi"/>
                <w:iCs w:val="0"/>
              </w:rPr>
              <w:tab/>
            </w:r>
            <w:r w:rsidR="009F4015" w:rsidRPr="009F4015">
              <w:rPr>
                <w:rStyle w:val="Hyperlink"/>
              </w:rPr>
              <w:t>Argumentos de la Comisión y de las partes</w:t>
            </w:r>
            <w:r w:rsidR="009F4015" w:rsidRPr="009F4015">
              <w:rPr>
                <w:webHidden/>
              </w:rPr>
              <w:tab/>
            </w:r>
            <w:r w:rsidR="009F4015" w:rsidRPr="009F4015">
              <w:rPr>
                <w:webHidden/>
              </w:rPr>
              <w:fldChar w:fldCharType="begin"/>
            </w:r>
            <w:r w:rsidR="009F4015" w:rsidRPr="009F4015">
              <w:rPr>
                <w:webHidden/>
              </w:rPr>
              <w:instrText xml:space="preserve"> PAGEREF _Toc513644485 \h </w:instrText>
            </w:r>
            <w:r w:rsidR="009F4015" w:rsidRPr="009F4015">
              <w:rPr>
                <w:webHidden/>
              </w:rPr>
            </w:r>
            <w:r w:rsidR="009F4015" w:rsidRPr="009F4015">
              <w:rPr>
                <w:webHidden/>
              </w:rPr>
              <w:fldChar w:fldCharType="separate"/>
            </w:r>
            <w:r w:rsidR="00B263FD">
              <w:rPr>
                <w:webHidden/>
              </w:rPr>
              <w:t>63</w:t>
            </w:r>
            <w:r w:rsidR="009F4015" w:rsidRPr="009F4015">
              <w:rPr>
                <w:webHidden/>
              </w:rPr>
              <w:fldChar w:fldCharType="end"/>
            </w:r>
          </w:hyperlink>
        </w:p>
        <w:p w14:paraId="566CBE41" w14:textId="77777777" w:rsidR="009F4015" w:rsidRPr="009F4015" w:rsidRDefault="00BE7922" w:rsidP="009F4015">
          <w:pPr>
            <w:pStyle w:val="TOC3"/>
            <w:rPr>
              <w:rFonts w:eastAsiaTheme="minorEastAsia" w:cstheme="minorBidi"/>
              <w:iCs w:val="0"/>
            </w:rPr>
          </w:pPr>
          <w:hyperlink w:anchor="_Toc513644486" w:history="1">
            <w:r w:rsidR="009F4015" w:rsidRPr="009F4015">
              <w:rPr>
                <w:rStyle w:val="Hyperlink"/>
              </w:rPr>
              <w:t>B.</w:t>
            </w:r>
            <w:r w:rsidR="009F4015" w:rsidRPr="009F4015">
              <w:rPr>
                <w:rFonts w:eastAsiaTheme="minorEastAsia" w:cstheme="minorBidi"/>
                <w:iCs w:val="0"/>
              </w:rPr>
              <w:tab/>
            </w:r>
            <w:r w:rsidR="009F4015" w:rsidRPr="009F4015">
              <w:rPr>
                <w:rStyle w:val="Hyperlink"/>
              </w:rPr>
              <w:t>Consideraciones de la Corte</w:t>
            </w:r>
            <w:r w:rsidR="009F4015" w:rsidRPr="009F4015">
              <w:rPr>
                <w:webHidden/>
              </w:rPr>
              <w:tab/>
            </w:r>
            <w:r w:rsidR="009F4015" w:rsidRPr="009F4015">
              <w:rPr>
                <w:webHidden/>
              </w:rPr>
              <w:fldChar w:fldCharType="begin"/>
            </w:r>
            <w:r w:rsidR="009F4015" w:rsidRPr="009F4015">
              <w:rPr>
                <w:webHidden/>
              </w:rPr>
              <w:instrText xml:space="preserve"> PAGEREF _Toc513644486 \h </w:instrText>
            </w:r>
            <w:r w:rsidR="009F4015" w:rsidRPr="009F4015">
              <w:rPr>
                <w:webHidden/>
              </w:rPr>
            </w:r>
            <w:r w:rsidR="009F4015" w:rsidRPr="009F4015">
              <w:rPr>
                <w:webHidden/>
              </w:rPr>
              <w:fldChar w:fldCharType="separate"/>
            </w:r>
            <w:r w:rsidR="00B263FD">
              <w:rPr>
                <w:webHidden/>
              </w:rPr>
              <w:t>64</w:t>
            </w:r>
            <w:r w:rsidR="009F4015" w:rsidRPr="009F4015">
              <w:rPr>
                <w:webHidden/>
              </w:rPr>
              <w:fldChar w:fldCharType="end"/>
            </w:r>
          </w:hyperlink>
        </w:p>
        <w:p w14:paraId="5BBAF2A2" w14:textId="1BB453CF" w:rsidR="009F4015" w:rsidRPr="009F4015" w:rsidRDefault="00BE7922" w:rsidP="00C004B1">
          <w:pPr>
            <w:pStyle w:val="TOC1"/>
            <w:rPr>
              <w:rFonts w:eastAsiaTheme="minorEastAsia" w:cstheme="minorBidi"/>
              <w:noProof/>
            </w:rPr>
          </w:pPr>
          <w:hyperlink w:anchor="_Toc513644487" w:history="1">
            <w:r w:rsidR="009F4015" w:rsidRPr="009F4015">
              <w:rPr>
                <w:rStyle w:val="Hyperlink"/>
                <w:rFonts w:ascii="Verdana" w:hAnsi="Verdana"/>
                <w:noProof/>
              </w:rPr>
              <w:t>VIII</w:t>
            </w:r>
          </w:hyperlink>
          <w:r w:rsidR="00C004B1" w:rsidRPr="00C004B1">
            <w:rPr>
              <w:rStyle w:val="Hyperlink"/>
              <w:rFonts w:ascii="Verdana" w:hAnsi="Verdana"/>
              <w:noProof/>
              <w:u w:val="none"/>
            </w:rPr>
            <w:t xml:space="preserve"> </w:t>
          </w:r>
          <w:hyperlink w:anchor="_Toc513644488" w:history="1">
            <w:r w:rsidR="009F4015" w:rsidRPr="009F4015">
              <w:rPr>
                <w:rStyle w:val="Hyperlink"/>
                <w:rFonts w:ascii="Verdana" w:hAnsi="Verdana"/>
                <w:noProof/>
              </w:rPr>
              <w:t>REPARACIONES</w:t>
            </w:r>
            <w:r w:rsidR="009F4015" w:rsidRPr="009F4015">
              <w:rPr>
                <w:noProof/>
                <w:webHidden/>
              </w:rPr>
              <w:tab/>
            </w:r>
          </w:hyperlink>
          <w:r w:rsidR="00C004B1">
            <w:rPr>
              <w:rFonts w:eastAsiaTheme="minorEastAsia" w:cstheme="minorBidi"/>
              <w:noProof/>
            </w:rPr>
            <w:t xml:space="preserve"> </w:t>
          </w:r>
          <w:hyperlink w:anchor="_Toc513644489" w:history="1">
            <w:r w:rsidR="009F4015" w:rsidRPr="009F4015">
              <w:rPr>
                <w:rStyle w:val="Hyperlink"/>
                <w:rFonts w:ascii="Verdana" w:hAnsi="Verdana"/>
                <w:noProof/>
              </w:rPr>
              <w:t>(</w:t>
            </w:r>
            <w:r w:rsidR="009F4015" w:rsidRPr="009F4015">
              <w:rPr>
                <w:rStyle w:val="Hyperlink"/>
                <w:rFonts w:ascii="Verdana" w:hAnsi="Verdana"/>
                <w:i/>
                <w:noProof/>
              </w:rPr>
              <w:t>APLICACIÓN DEL ARTÍCULO 63.1 DE LA CONVENCIÓN AMERICANA</w:t>
            </w:r>
            <w:r w:rsidR="009F4015" w:rsidRPr="009F4015">
              <w:rPr>
                <w:rStyle w:val="Hyperlink"/>
                <w:rFonts w:ascii="Verdana" w:hAnsi="Verdana"/>
                <w:noProof/>
              </w:rPr>
              <w:t>)</w:t>
            </w:r>
            <w:r w:rsidR="009F4015" w:rsidRPr="009F4015">
              <w:rPr>
                <w:noProof/>
                <w:webHidden/>
              </w:rPr>
              <w:tab/>
            </w:r>
            <w:r w:rsidR="009F4015" w:rsidRPr="008D6B5C">
              <w:rPr>
                <w:rFonts w:ascii="Verdana" w:hAnsi="Verdana"/>
                <w:b w:val="0"/>
                <w:noProof/>
                <w:webHidden/>
              </w:rPr>
              <w:fldChar w:fldCharType="begin"/>
            </w:r>
            <w:r w:rsidR="009F4015" w:rsidRPr="008D6B5C">
              <w:rPr>
                <w:rFonts w:ascii="Verdana" w:hAnsi="Verdana"/>
                <w:b w:val="0"/>
                <w:noProof/>
                <w:webHidden/>
              </w:rPr>
              <w:instrText xml:space="preserve"> PAGEREF _Toc513644489 \h </w:instrText>
            </w:r>
            <w:r w:rsidR="009F4015" w:rsidRPr="008D6B5C">
              <w:rPr>
                <w:rFonts w:ascii="Verdana" w:hAnsi="Verdana"/>
                <w:b w:val="0"/>
                <w:noProof/>
                <w:webHidden/>
              </w:rPr>
            </w:r>
            <w:r w:rsidR="009F4015" w:rsidRPr="008D6B5C">
              <w:rPr>
                <w:rFonts w:ascii="Verdana" w:hAnsi="Verdana"/>
                <w:b w:val="0"/>
                <w:noProof/>
                <w:webHidden/>
              </w:rPr>
              <w:fldChar w:fldCharType="separate"/>
            </w:r>
            <w:r w:rsidR="00B263FD">
              <w:rPr>
                <w:rFonts w:ascii="Verdana" w:hAnsi="Verdana"/>
                <w:b w:val="0"/>
                <w:noProof/>
                <w:webHidden/>
              </w:rPr>
              <w:t>66</w:t>
            </w:r>
            <w:r w:rsidR="009F4015" w:rsidRPr="008D6B5C">
              <w:rPr>
                <w:rFonts w:ascii="Verdana" w:hAnsi="Verdana"/>
                <w:b w:val="0"/>
                <w:noProof/>
                <w:webHidden/>
              </w:rPr>
              <w:fldChar w:fldCharType="end"/>
            </w:r>
          </w:hyperlink>
        </w:p>
        <w:p w14:paraId="2DFB1362" w14:textId="77777777" w:rsidR="009F4015" w:rsidRPr="009F4015" w:rsidRDefault="00BE7922" w:rsidP="009F4015">
          <w:pPr>
            <w:pStyle w:val="TOC3"/>
            <w:rPr>
              <w:rFonts w:eastAsiaTheme="minorEastAsia" w:cstheme="minorBidi"/>
              <w:iCs w:val="0"/>
            </w:rPr>
          </w:pPr>
          <w:hyperlink w:anchor="_Toc513644490" w:history="1">
            <w:r w:rsidR="009F4015" w:rsidRPr="009F4015">
              <w:rPr>
                <w:rStyle w:val="Hyperlink"/>
              </w:rPr>
              <w:t>A.</w:t>
            </w:r>
            <w:r w:rsidR="009F4015" w:rsidRPr="009F4015">
              <w:rPr>
                <w:rFonts w:eastAsiaTheme="minorEastAsia" w:cstheme="minorBidi"/>
                <w:iCs w:val="0"/>
              </w:rPr>
              <w:tab/>
            </w:r>
            <w:r w:rsidR="009F4015" w:rsidRPr="009F4015">
              <w:rPr>
                <w:rStyle w:val="Hyperlink"/>
              </w:rPr>
              <w:t>Parte lesionada</w:t>
            </w:r>
            <w:r w:rsidR="009F4015" w:rsidRPr="009F4015">
              <w:rPr>
                <w:webHidden/>
              </w:rPr>
              <w:tab/>
            </w:r>
            <w:r w:rsidR="009F4015" w:rsidRPr="009F4015">
              <w:rPr>
                <w:webHidden/>
              </w:rPr>
              <w:fldChar w:fldCharType="begin"/>
            </w:r>
            <w:r w:rsidR="009F4015" w:rsidRPr="009F4015">
              <w:rPr>
                <w:webHidden/>
              </w:rPr>
              <w:instrText xml:space="preserve"> PAGEREF _Toc513644490 \h </w:instrText>
            </w:r>
            <w:r w:rsidR="009F4015" w:rsidRPr="009F4015">
              <w:rPr>
                <w:webHidden/>
              </w:rPr>
            </w:r>
            <w:r w:rsidR="009F4015" w:rsidRPr="009F4015">
              <w:rPr>
                <w:webHidden/>
              </w:rPr>
              <w:fldChar w:fldCharType="separate"/>
            </w:r>
            <w:r w:rsidR="00B263FD">
              <w:rPr>
                <w:webHidden/>
              </w:rPr>
              <w:t>67</w:t>
            </w:r>
            <w:r w:rsidR="009F4015" w:rsidRPr="009F4015">
              <w:rPr>
                <w:webHidden/>
              </w:rPr>
              <w:fldChar w:fldCharType="end"/>
            </w:r>
          </w:hyperlink>
        </w:p>
        <w:p w14:paraId="14236AF9" w14:textId="77777777" w:rsidR="009F4015" w:rsidRPr="009F4015" w:rsidRDefault="00BE7922" w:rsidP="009F4015">
          <w:pPr>
            <w:pStyle w:val="TOC3"/>
            <w:rPr>
              <w:rFonts w:eastAsiaTheme="minorEastAsia" w:cstheme="minorBidi"/>
              <w:iCs w:val="0"/>
            </w:rPr>
          </w:pPr>
          <w:hyperlink w:anchor="_Toc513644491" w:history="1">
            <w:r w:rsidR="009F4015" w:rsidRPr="009F4015">
              <w:rPr>
                <w:rStyle w:val="Hyperlink"/>
              </w:rPr>
              <w:t>B.</w:t>
            </w:r>
            <w:r w:rsidR="009F4015" w:rsidRPr="009F4015">
              <w:rPr>
                <w:rFonts w:eastAsiaTheme="minorEastAsia" w:cstheme="minorBidi"/>
                <w:iCs w:val="0"/>
              </w:rPr>
              <w:tab/>
            </w:r>
            <w:r w:rsidR="009F4015" w:rsidRPr="009F4015">
              <w:rPr>
                <w:rStyle w:val="Hyperlink"/>
              </w:rPr>
              <w:t>Investigación</w:t>
            </w:r>
            <w:r w:rsidR="009F4015" w:rsidRPr="009F4015">
              <w:rPr>
                <w:webHidden/>
              </w:rPr>
              <w:tab/>
            </w:r>
            <w:r w:rsidR="009F4015" w:rsidRPr="009F4015">
              <w:rPr>
                <w:webHidden/>
              </w:rPr>
              <w:fldChar w:fldCharType="begin"/>
            </w:r>
            <w:r w:rsidR="009F4015" w:rsidRPr="009F4015">
              <w:rPr>
                <w:webHidden/>
              </w:rPr>
              <w:instrText xml:space="preserve"> PAGEREF _Toc513644491 \h </w:instrText>
            </w:r>
            <w:r w:rsidR="009F4015" w:rsidRPr="009F4015">
              <w:rPr>
                <w:webHidden/>
              </w:rPr>
            </w:r>
            <w:r w:rsidR="009F4015" w:rsidRPr="009F4015">
              <w:rPr>
                <w:webHidden/>
              </w:rPr>
              <w:fldChar w:fldCharType="separate"/>
            </w:r>
            <w:r w:rsidR="00B263FD">
              <w:rPr>
                <w:webHidden/>
              </w:rPr>
              <w:t>67</w:t>
            </w:r>
            <w:r w:rsidR="009F4015" w:rsidRPr="009F4015">
              <w:rPr>
                <w:webHidden/>
              </w:rPr>
              <w:fldChar w:fldCharType="end"/>
            </w:r>
          </w:hyperlink>
        </w:p>
        <w:p w14:paraId="2DCB9A2A" w14:textId="77777777" w:rsidR="009F4015" w:rsidRPr="009F4015" w:rsidRDefault="00BE7922" w:rsidP="009F4015">
          <w:pPr>
            <w:pStyle w:val="TOC3"/>
            <w:rPr>
              <w:rFonts w:eastAsiaTheme="minorEastAsia" w:cstheme="minorBidi"/>
              <w:iCs w:val="0"/>
            </w:rPr>
          </w:pPr>
          <w:hyperlink w:anchor="_Toc513644492" w:history="1">
            <w:r w:rsidR="009F4015" w:rsidRPr="009F4015">
              <w:rPr>
                <w:rStyle w:val="Hyperlink"/>
              </w:rPr>
              <w:t>C.</w:t>
            </w:r>
            <w:r w:rsidR="009F4015" w:rsidRPr="009F4015">
              <w:rPr>
                <w:rFonts w:eastAsiaTheme="minorEastAsia" w:cstheme="minorBidi"/>
                <w:iCs w:val="0"/>
              </w:rPr>
              <w:tab/>
            </w:r>
            <w:r w:rsidR="009F4015" w:rsidRPr="009F4015">
              <w:rPr>
                <w:rStyle w:val="Hyperlink"/>
              </w:rPr>
              <w:t>Satisfacción</w:t>
            </w:r>
            <w:r w:rsidR="009F4015" w:rsidRPr="009F4015">
              <w:rPr>
                <w:webHidden/>
              </w:rPr>
              <w:tab/>
            </w:r>
            <w:r w:rsidR="009F4015" w:rsidRPr="009F4015">
              <w:rPr>
                <w:webHidden/>
              </w:rPr>
              <w:fldChar w:fldCharType="begin"/>
            </w:r>
            <w:r w:rsidR="009F4015" w:rsidRPr="009F4015">
              <w:rPr>
                <w:webHidden/>
              </w:rPr>
              <w:instrText xml:space="preserve"> PAGEREF _Toc513644492 \h </w:instrText>
            </w:r>
            <w:r w:rsidR="009F4015" w:rsidRPr="009F4015">
              <w:rPr>
                <w:webHidden/>
              </w:rPr>
            </w:r>
            <w:r w:rsidR="009F4015" w:rsidRPr="009F4015">
              <w:rPr>
                <w:webHidden/>
              </w:rPr>
              <w:fldChar w:fldCharType="separate"/>
            </w:r>
            <w:r w:rsidR="00B263FD">
              <w:rPr>
                <w:webHidden/>
              </w:rPr>
              <w:t>68</w:t>
            </w:r>
            <w:r w:rsidR="009F4015" w:rsidRPr="009F4015">
              <w:rPr>
                <w:webHidden/>
              </w:rPr>
              <w:fldChar w:fldCharType="end"/>
            </w:r>
          </w:hyperlink>
        </w:p>
        <w:p w14:paraId="76E61093" w14:textId="77777777" w:rsidR="009F4015" w:rsidRPr="009F4015" w:rsidRDefault="00BE7922" w:rsidP="009F4015">
          <w:pPr>
            <w:pStyle w:val="TOC3"/>
            <w:rPr>
              <w:rFonts w:eastAsiaTheme="minorEastAsia" w:cstheme="minorBidi"/>
              <w:iCs w:val="0"/>
            </w:rPr>
          </w:pPr>
          <w:hyperlink w:anchor="_Toc513644493" w:history="1">
            <w:r w:rsidR="009F4015" w:rsidRPr="009F4015">
              <w:rPr>
                <w:rStyle w:val="Hyperlink"/>
              </w:rPr>
              <w:t>D.</w:t>
            </w:r>
            <w:r w:rsidR="009F4015" w:rsidRPr="009F4015">
              <w:rPr>
                <w:rFonts w:eastAsiaTheme="minorEastAsia" w:cstheme="minorBidi"/>
                <w:iCs w:val="0"/>
              </w:rPr>
              <w:tab/>
            </w:r>
            <w:r w:rsidR="009F4015" w:rsidRPr="009F4015">
              <w:rPr>
                <w:rStyle w:val="Hyperlink"/>
              </w:rPr>
              <w:t>Rehabilitación</w:t>
            </w:r>
            <w:r w:rsidR="009F4015" w:rsidRPr="009F4015">
              <w:rPr>
                <w:webHidden/>
              </w:rPr>
              <w:tab/>
            </w:r>
            <w:r w:rsidR="009F4015" w:rsidRPr="009F4015">
              <w:rPr>
                <w:webHidden/>
              </w:rPr>
              <w:fldChar w:fldCharType="begin"/>
            </w:r>
            <w:r w:rsidR="009F4015" w:rsidRPr="009F4015">
              <w:rPr>
                <w:webHidden/>
              </w:rPr>
              <w:instrText xml:space="preserve"> PAGEREF _Toc513644493 \h </w:instrText>
            </w:r>
            <w:r w:rsidR="009F4015" w:rsidRPr="009F4015">
              <w:rPr>
                <w:webHidden/>
              </w:rPr>
            </w:r>
            <w:r w:rsidR="009F4015" w:rsidRPr="009F4015">
              <w:rPr>
                <w:webHidden/>
              </w:rPr>
              <w:fldChar w:fldCharType="separate"/>
            </w:r>
            <w:r w:rsidR="00B263FD">
              <w:rPr>
                <w:webHidden/>
              </w:rPr>
              <w:t>69</w:t>
            </w:r>
            <w:r w:rsidR="009F4015" w:rsidRPr="009F4015">
              <w:rPr>
                <w:webHidden/>
              </w:rPr>
              <w:fldChar w:fldCharType="end"/>
            </w:r>
          </w:hyperlink>
        </w:p>
        <w:p w14:paraId="7316D701" w14:textId="77777777" w:rsidR="009F4015" w:rsidRPr="009F4015" w:rsidRDefault="00BE7922" w:rsidP="009F4015">
          <w:pPr>
            <w:pStyle w:val="TOC3"/>
            <w:rPr>
              <w:rFonts w:eastAsiaTheme="minorEastAsia" w:cstheme="minorBidi"/>
              <w:iCs w:val="0"/>
            </w:rPr>
          </w:pPr>
          <w:hyperlink w:anchor="_Toc513644494" w:history="1">
            <w:r w:rsidR="009F4015" w:rsidRPr="009F4015">
              <w:rPr>
                <w:rStyle w:val="Hyperlink"/>
              </w:rPr>
              <w:t>E.</w:t>
            </w:r>
            <w:r w:rsidR="009F4015" w:rsidRPr="009F4015">
              <w:rPr>
                <w:rFonts w:eastAsiaTheme="minorEastAsia" w:cstheme="minorBidi"/>
                <w:iCs w:val="0"/>
              </w:rPr>
              <w:tab/>
            </w:r>
            <w:r w:rsidR="009F4015" w:rsidRPr="009F4015">
              <w:rPr>
                <w:rStyle w:val="Hyperlink"/>
              </w:rPr>
              <w:t>Garantías de no repetición</w:t>
            </w:r>
            <w:r w:rsidR="009F4015" w:rsidRPr="009F4015">
              <w:rPr>
                <w:webHidden/>
              </w:rPr>
              <w:tab/>
            </w:r>
            <w:r w:rsidR="009F4015" w:rsidRPr="009F4015">
              <w:rPr>
                <w:webHidden/>
              </w:rPr>
              <w:fldChar w:fldCharType="begin"/>
            </w:r>
            <w:r w:rsidR="009F4015" w:rsidRPr="009F4015">
              <w:rPr>
                <w:webHidden/>
              </w:rPr>
              <w:instrText xml:space="preserve"> PAGEREF _Toc513644494 \h </w:instrText>
            </w:r>
            <w:r w:rsidR="009F4015" w:rsidRPr="009F4015">
              <w:rPr>
                <w:webHidden/>
              </w:rPr>
            </w:r>
            <w:r w:rsidR="009F4015" w:rsidRPr="009F4015">
              <w:rPr>
                <w:webHidden/>
              </w:rPr>
              <w:fldChar w:fldCharType="separate"/>
            </w:r>
            <w:r w:rsidR="00B263FD">
              <w:rPr>
                <w:webHidden/>
              </w:rPr>
              <w:t>69</w:t>
            </w:r>
            <w:r w:rsidR="009F4015" w:rsidRPr="009F4015">
              <w:rPr>
                <w:webHidden/>
              </w:rPr>
              <w:fldChar w:fldCharType="end"/>
            </w:r>
          </w:hyperlink>
        </w:p>
        <w:p w14:paraId="4E432817" w14:textId="77777777" w:rsidR="009F4015" w:rsidRPr="009F4015" w:rsidRDefault="00BE7922" w:rsidP="009F4015">
          <w:pPr>
            <w:pStyle w:val="TOC3"/>
            <w:rPr>
              <w:rFonts w:eastAsiaTheme="minorEastAsia" w:cstheme="minorBidi"/>
              <w:iCs w:val="0"/>
            </w:rPr>
          </w:pPr>
          <w:hyperlink w:anchor="_Toc513644495" w:history="1">
            <w:r w:rsidR="009F4015" w:rsidRPr="009F4015">
              <w:rPr>
                <w:rStyle w:val="Hyperlink"/>
              </w:rPr>
              <w:t>F.</w:t>
            </w:r>
            <w:r w:rsidR="009F4015" w:rsidRPr="009F4015">
              <w:rPr>
                <w:rFonts w:eastAsiaTheme="minorEastAsia" w:cstheme="minorBidi"/>
                <w:iCs w:val="0"/>
              </w:rPr>
              <w:tab/>
            </w:r>
            <w:r w:rsidR="009F4015" w:rsidRPr="009F4015">
              <w:rPr>
                <w:rStyle w:val="Hyperlink"/>
              </w:rPr>
              <w:t>Indemnización compensatoria</w:t>
            </w:r>
            <w:r w:rsidR="009F4015" w:rsidRPr="009F4015">
              <w:rPr>
                <w:webHidden/>
              </w:rPr>
              <w:tab/>
            </w:r>
            <w:r w:rsidR="009F4015" w:rsidRPr="009F4015">
              <w:rPr>
                <w:webHidden/>
              </w:rPr>
              <w:fldChar w:fldCharType="begin"/>
            </w:r>
            <w:r w:rsidR="009F4015" w:rsidRPr="009F4015">
              <w:rPr>
                <w:webHidden/>
              </w:rPr>
              <w:instrText xml:space="preserve"> PAGEREF _Toc513644495 \h </w:instrText>
            </w:r>
            <w:r w:rsidR="009F4015" w:rsidRPr="009F4015">
              <w:rPr>
                <w:webHidden/>
              </w:rPr>
            </w:r>
            <w:r w:rsidR="009F4015" w:rsidRPr="009F4015">
              <w:rPr>
                <w:webHidden/>
              </w:rPr>
              <w:fldChar w:fldCharType="separate"/>
            </w:r>
            <w:r w:rsidR="00B263FD">
              <w:rPr>
                <w:webHidden/>
              </w:rPr>
              <w:t>72</w:t>
            </w:r>
            <w:r w:rsidR="009F4015" w:rsidRPr="009F4015">
              <w:rPr>
                <w:webHidden/>
              </w:rPr>
              <w:fldChar w:fldCharType="end"/>
            </w:r>
          </w:hyperlink>
        </w:p>
        <w:p w14:paraId="0165D566" w14:textId="77777777" w:rsidR="009F4015" w:rsidRPr="00C004B1" w:rsidRDefault="00BE7922" w:rsidP="009F4015">
          <w:pPr>
            <w:pStyle w:val="TOC4"/>
            <w:tabs>
              <w:tab w:val="right" w:leader="dot" w:pos="9736"/>
            </w:tabs>
            <w:rPr>
              <w:rFonts w:ascii="Verdana" w:eastAsiaTheme="minorEastAsia" w:hAnsi="Verdana" w:cstheme="minorBidi"/>
              <w:noProof/>
              <w:sz w:val="20"/>
              <w:szCs w:val="20"/>
            </w:rPr>
          </w:pPr>
          <w:hyperlink w:anchor="_Toc513644496" w:history="1">
            <w:r w:rsidR="009F4015" w:rsidRPr="00C004B1">
              <w:rPr>
                <w:rStyle w:val="Hyperlink"/>
                <w:rFonts w:ascii="Verdana" w:hAnsi="Verdana"/>
                <w:noProof/>
                <w:sz w:val="20"/>
                <w:szCs w:val="20"/>
              </w:rPr>
              <w:t>1. Daño Material</w:t>
            </w:r>
            <w:r w:rsidR="009F4015" w:rsidRPr="00C004B1">
              <w:rPr>
                <w:rFonts w:ascii="Verdana" w:hAnsi="Verdana"/>
                <w:noProof/>
                <w:webHidden/>
                <w:sz w:val="20"/>
                <w:szCs w:val="20"/>
              </w:rPr>
              <w:tab/>
            </w:r>
            <w:r w:rsidR="009F4015" w:rsidRPr="00C004B1">
              <w:rPr>
                <w:rFonts w:ascii="Verdana" w:hAnsi="Verdana"/>
                <w:noProof/>
                <w:webHidden/>
                <w:sz w:val="20"/>
                <w:szCs w:val="20"/>
              </w:rPr>
              <w:fldChar w:fldCharType="begin"/>
            </w:r>
            <w:r w:rsidR="009F4015" w:rsidRPr="00C004B1">
              <w:rPr>
                <w:rFonts w:ascii="Verdana" w:hAnsi="Verdana"/>
                <w:noProof/>
                <w:webHidden/>
                <w:sz w:val="20"/>
                <w:szCs w:val="20"/>
              </w:rPr>
              <w:instrText xml:space="preserve"> PAGEREF _Toc513644496 \h </w:instrText>
            </w:r>
            <w:r w:rsidR="009F4015" w:rsidRPr="00C004B1">
              <w:rPr>
                <w:rFonts w:ascii="Verdana" w:hAnsi="Verdana"/>
                <w:noProof/>
                <w:webHidden/>
                <w:sz w:val="20"/>
                <w:szCs w:val="20"/>
              </w:rPr>
            </w:r>
            <w:r w:rsidR="009F4015" w:rsidRPr="00C004B1">
              <w:rPr>
                <w:rFonts w:ascii="Verdana" w:hAnsi="Verdana"/>
                <w:noProof/>
                <w:webHidden/>
                <w:sz w:val="20"/>
                <w:szCs w:val="20"/>
              </w:rPr>
              <w:fldChar w:fldCharType="separate"/>
            </w:r>
            <w:r w:rsidR="00B263FD">
              <w:rPr>
                <w:rFonts w:ascii="Verdana" w:hAnsi="Verdana"/>
                <w:noProof/>
                <w:webHidden/>
                <w:sz w:val="20"/>
                <w:szCs w:val="20"/>
              </w:rPr>
              <w:t>74</w:t>
            </w:r>
            <w:r w:rsidR="009F4015" w:rsidRPr="00C004B1">
              <w:rPr>
                <w:rFonts w:ascii="Verdana" w:hAnsi="Verdana"/>
                <w:noProof/>
                <w:webHidden/>
                <w:sz w:val="20"/>
                <w:szCs w:val="20"/>
              </w:rPr>
              <w:fldChar w:fldCharType="end"/>
            </w:r>
          </w:hyperlink>
        </w:p>
        <w:p w14:paraId="3AB851C4" w14:textId="77777777" w:rsidR="009F4015" w:rsidRPr="00C004B1" w:rsidRDefault="00BE7922" w:rsidP="009F4015">
          <w:pPr>
            <w:pStyle w:val="TOC4"/>
            <w:tabs>
              <w:tab w:val="right" w:leader="dot" w:pos="9736"/>
            </w:tabs>
            <w:rPr>
              <w:rFonts w:ascii="Verdana" w:eastAsiaTheme="minorEastAsia" w:hAnsi="Verdana" w:cstheme="minorBidi"/>
              <w:noProof/>
              <w:sz w:val="20"/>
              <w:szCs w:val="20"/>
            </w:rPr>
          </w:pPr>
          <w:hyperlink w:anchor="_Toc513644497" w:history="1">
            <w:r w:rsidR="009F4015" w:rsidRPr="00C004B1">
              <w:rPr>
                <w:rStyle w:val="Hyperlink"/>
                <w:rFonts w:ascii="Verdana" w:hAnsi="Verdana"/>
                <w:noProof/>
                <w:sz w:val="20"/>
                <w:szCs w:val="20"/>
              </w:rPr>
              <w:t>2. Daño Inmaterial</w:t>
            </w:r>
            <w:r w:rsidR="009F4015" w:rsidRPr="00C004B1">
              <w:rPr>
                <w:rFonts w:ascii="Verdana" w:hAnsi="Verdana"/>
                <w:noProof/>
                <w:webHidden/>
                <w:sz w:val="20"/>
                <w:szCs w:val="20"/>
              </w:rPr>
              <w:tab/>
            </w:r>
            <w:r w:rsidR="009F4015" w:rsidRPr="00C004B1">
              <w:rPr>
                <w:rFonts w:ascii="Verdana" w:hAnsi="Verdana"/>
                <w:noProof/>
                <w:webHidden/>
                <w:sz w:val="20"/>
                <w:szCs w:val="20"/>
              </w:rPr>
              <w:fldChar w:fldCharType="begin"/>
            </w:r>
            <w:r w:rsidR="009F4015" w:rsidRPr="00C004B1">
              <w:rPr>
                <w:rFonts w:ascii="Verdana" w:hAnsi="Verdana"/>
                <w:noProof/>
                <w:webHidden/>
                <w:sz w:val="20"/>
                <w:szCs w:val="20"/>
              </w:rPr>
              <w:instrText xml:space="preserve"> PAGEREF _Toc513644497 \h </w:instrText>
            </w:r>
            <w:r w:rsidR="009F4015" w:rsidRPr="00C004B1">
              <w:rPr>
                <w:rFonts w:ascii="Verdana" w:hAnsi="Verdana"/>
                <w:noProof/>
                <w:webHidden/>
                <w:sz w:val="20"/>
                <w:szCs w:val="20"/>
              </w:rPr>
            </w:r>
            <w:r w:rsidR="009F4015" w:rsidRPr="00C004B1">
              <w:rPr>
                <w:rFonts w:ascii="Verdana" w:hAnsi="Verdana"/>
                <w:noProof/>
                <w:webHidden/>
                <w:sz w:val="20"/>
                <w:szCs w:val="20"/>
              </w:rPr>
              <w:fldChar w:fldCharType="separate"/>
            </w:r>
            <w:r w:rsidR="00B263FD">
              <w:rPr>
                <w:rFonts w:ascii="Verdana" w:hAnsi="Verdana"/>
                <w:noProof/>
                <w:webHidden/>
                <w:sz w:val="20"/>
                <w:szCs w:val="20"/>
              </w:rPr>
              <w:t>74</w:t>
            </w:r>
            <w:r w:rsidR="009F4015" w:rsidRPr="00C004B1">
              <w:rPr>
                <w:rFonts w:ascii="Verdana" w:hAnsi="Verdana"/>
                <w:noProof/>
                <w:webHidden/>
                <w:sz w:val="20"/>
                <w:szCs w:val="20"/>
              </w:rPr>
              <w:fldChar w:fldCharType="end"/>
            </w:r>
          </w:hyperlink>
        </w:p>
        <w:p w14:paraId="4C25B062" w14:textId="77777777" w:rsidR="009F4015" w:rsidRPr="009F4015" w:rsidRDefault="00BE7922" w:rsidP="009F4015">
          <w:pPr>
            <w:pStyle w:val="TOC3"/>
            <w:rPr>
              <w:rFonts w:eastAsiaTheme="minorEastAsia" w:cstheme="minorBidi"/>
              <w:iCs w:val="0"/>
            </w:rPr>
          </w:pPr>
          <w:hyperlink w:anchor="_Toc513644498" w:history="1">
            <w:r w:rsidR="009F4015" w:rsidRPr="009F4015">
              <w:rPr>
                <w:rStyle w:val="Hyperlink"/>
              </w:rPr>
              <w:t>G.</w:t>
            </w:r>
            <w:r w:rsidR="009F4015" w:rsidRPr="009F4015">
              <w:rPr>
                <w:rFonts w:eastAsiaTheme="minorEastAsia" w:cstheme="minorBidi"/>
                <w:iCs w:val="0"/>
              </w:rPr>
              <w:tab/>
            </w:r>
            <w:r w:rsidR="009F4015" w:rsidRPr="009F4015">
              <w:rPr>
                <w:rStyle w:val="Hyperlink"/>
              </w:rPr>
              <w:t>Gastos y Costas</w:t>
            </w:r>
            <w:r w:rsidR="009F4015" w:rsidRPr="009F4015">
              <w:rPr>
                <w:webHidden/>
              </w:rPr>
              <w:tab/>
            </w:r>
            <w:r w:rsidR="009F4015" w:rsidRPr="009F4015">
              <w:rPr>
                <w:webHidden/>
              </w:rPr>
              <w:fldChar w:fldCharType="begin"/>
            </w:r>
            <w:r w:rsidR="009F4015" w:rsidRPr="009F4015">
              <w:rPr>
                <w:webHidden/>
              </w:rPr>
              <w:instrText xml:space="preserve"> PAGEREF _Toc513644498 \h </w:instrText>
            </w:r>
            <w:r w:rsidR="009F4015" w:rsidRPr="009F4015">
              <w:rPr>
                <w:webHidden/>
              </w:rPr>
            </w:r>
            <w:r w:rsidR="009F4015" w:rsidRPr="009F4015">
              <w:rPr>
                <w:webHidden/>
              </w:rPr>
              <w:fldChar w:fldCharType="separate"/>
            </w:r>
            <w:r w:rsidR="00B263FD">
              <w:rPr>
                <w:webHidden/>
              </w:rPr>
              <w:t>75</w:t>
            </w:r>
            <w:r w:rsidR="009F4015" w:rsidRPr="009F4015">
              <w:rPr>
                <w:webHidden/>
              </w:rPr>
              <w:fldChar w:fldCharType="end"/>
            </w:r>
          </w:hyperlink>
        </w:p>
        <w:p w14:paraId="5CEC7F49" w14:textId="77777777" w:rsidR="009F4015" w:rsidRPr="009F4015" w:rsidRDefault="00BE7922" w:rsidP="009F4015">
          <w:pPr>
            <w:pStyle w:val="TOC3"/>
            <w:rPr>
              <w:rFonts w:eastAsiaTheme="minorEastAsia" w:cstheme="minorBidi"/>
              <w:iCs w:val="0"/>
            </w:rPr>
          </w:pPr>
          <w:hyperlink w:anchor="_Toc513644499" w:history="1">
            <w:r w:rsidR="009F4015" w:rsidRPr="009F4015">
              <w:rPr>
                <w:rStyle w:val="Hyperlink"/>
              </w:rPr>
              <w:t>H.</w:t>
            </w:r>
            <w:r w:rsidR="009F4015" w:rsidRPr="009F4015">
              <w:rPr>
                <w:rFonts w:eastAsiaTheme="minorEastAsia" w:cstheme="minorBidi"/>
                <w:iCs w:val="0"/>
              </w:rPr>
              <w:tab/>
            </w:r>
            <w:r w:rsidR="009F4015" w:rsidRPr="009F4015">
              <w:rPr>
                <w:rStyle w:val="Hyperlink"/>
              </w:rPr>
              <w:t>Reintegro de los gastos al Fondo de Asistencia Legal de Víctimas</w:t>
            </w:r>
            <w:r w:rsidR="009F4015" w:rsidRPr="009F4015">
              <w:rPr>
                <w:webHidden/>
              </w:rPr>
              <w:tab/>
            </w:r>
            <w:r w:rsidR="009F4015" w:rsidRPr="009F4015">
              <w:rPr>
                <w:webHidden/>
              </w:rPr>
              <w:fldChar w:fldCharType="begin"/>
            </w:r>
            <w:r w:rsidR="009F4015" w:rsidRPr="009F4015">
              <w:rPr>
                <w:webHidden/>
              </w:rPr>
              <w:instrText xml:space="preserve"> PAGEREF _Toc513644499 \h </w:instrText>
            </w:r>
            <w:r w:rsidR="009F4015" w:rsidRPr="009F4015">
              <w:rPr>
                <w:webHidden/>
              </w:rPr>
            </w:r>
            <w:r w:rsidR="009F4015" w:rsidRPr="009F4015">
              <w:rPr>
                <w:webHidden/>
              </w:rPr>
              <w:fldChar w:fldCharType="separate"/>
            </w:r>
            <w:r w:rsidR="00B263FD">
              <w:rPr>
                <w:webHidden/>
              </w:rPr>
              <w:t>76</w:t>
            </w:r>
            <w:r w:rsidR="009F4015" w:rsidRPr="009F4015">
              <w:rPr>
                <w:webHidden/>
              </w:rPr>
              <w:fldChar w:fldCharType="end"/>
            </w:r>
          </w:hyperlink>
        </w:p>
        <w:p w14:paraId="77DBEBA2" w14:textId="77777777" w:rsidR="009F4015" w:rsidRPr="009F4015" w:rsidRDefault="00BE7922" w:rsidP="009F4015">
          <w:pPr>
            <w:pStyle w:val="TOC3"/>
            <w:rPr>
              <w:rFonts w:eastAsiaTheme="minorEastAsia" w:cstheme="minorBidi"/>
              <w:iCs w:val="0"/>
            </w:rPr>
          </w:pPr>
          <w:hyperlink w:anchor="_Toc513644500" w:history="1">
            <w:r w:rsidR="009F4015" w:rsidRPr="009F4015">
              <w:rPr>
                <w:rStyle w:val="Hyperlink"/>
              </w:rPr>
              <w:t>I.</w:t>
            </w:r>
            <w:r w:rsidR="009F4015" w:rsidRPr="009F4015">
              <w:rPr>
                <w:rFonts w:eastAsiaTheme="minorEastAsia" w:cstheme="minorBidi"/>
                <w:iCs w:val="0"/>
              </w:rPr>
              <w:tab/>
            </w:r>
            <w:r w:rsidR="009F4015" w:rsidRPr="009F4015">
              <w:rPr>
                <w:rStyle w:val="Hyperlink"/>
              </w:rPr>
              <w:t>Modalidad de cumplimiento de los pagos ordenados</w:t>
            </w:r>
            <w:r w:rsidR="009F4015" w:rsidRPr="009F4015">
              <w:rPr>
                <w:webHidden/>
              </w:rPr>
              <w:tab/>
            </w:r>
            <w:r w:rsidR="009F4015" w:rsidRPr="009F4015">
              <w:rPr>
                <w:webHidden/>
              </w:rPr>
              <w:fldChar w:fldCharType="begin"/>
            </w:r>
            <w:r w:rsidR="009F4015" w:rsidRPr="009F4015">
              <w:rPr>
                <w:webHidden/>
              </w:rPr>
              <w:instrText xml:space="preserve"> PAGEREF _Toc513644500 \h </w:instrText>
            </w:r>
            <w:r w:rsidR="009F4015" w:rsidRPr="009F4015">
              <w:rPr>
                <w:webHidden/>
              </w:rPr>
            </w:r>
            <w:r w:rsidR="009F4015" w:rsidRPr="009F4015">
              <w:rPr>
                <w:webHidden/>
              </w:rPr>
              <w:fldChar w:fldCharType="separate"/>
            </w:r>
            <w:r w:rsidR="00B263FD">
              <w:rPr>
                <w:webHidden/>
              </w:rPr>
              <w:t>77</w:t>
            </w:r>
            <w:r w:rsidR="009F4015" w:rsidRPr="009F4015">
              <w:rPr>
                <w:webHidden/>
              </w:rPr>
              <w:fldChar w:fldCharType="end"/>
            </w:r>
          </w:hyperlink>
        </w:p>
        <w:p w14:paraId="4B0F52B3" w14:textId="45538098" w:rsidR="009F4015" w:rsidRPr="009F4015" w:rsidRDefault="008D6B5C" w:rsidP="00C004B1">
          <w:pPr>
            <w:pStyle w:val="TOC1"/>
            <w:rPr>
              <w:rFonts w:eastAsiaTheme="minorEastAsia" w:cstheme="minorBidi"/>
              <w:noProof/>
            </w:rPr>
          </w:pPr>
          <w:r w:rsidRPr="008D6B5C">
            <w:rPr>
              <w:rStyle w:val="Hyperlink"/>
              <w:rFonts w:ascii="Verdana" w:hAnsi="Verdana"/>
              <w:noProof/>
              <w:color w:val="auto"/>
              <w:u w:val="none"/>
            </w:rPr>
            <w:t xml:space="preserve">ix </w:t>
          </w:r>
          <w:hyperlink w:anchor="_Toc513644502" w:history="1">
            <w:r w:rsidR="00C004B1">
              <w:rPr>
                <w:rStyle w:val="Hyperlink"/>
                <w:rFonts w:ascii="Verdana" w:hAnsi="Verdana"/>
                <w:noProof/>
              </w:rPr>
              <w:t>PUNTOS</w:t>
            </w:r>
            <w:r>
              <w:rPr>
                <w:rStyle w:val="Hyperlink"/>
                <w:rFonts w:ascii="Verdana" w:hAnsi="Verdana"/>
                <w:noProof/>
              </w:rPr>
              <w:t xml:space="preserve"> resolutivos</w:t>
            </w:r>
            <w:r w:rsidR="009F4015" w:rsidRPr="009F4015">
              <w:rPr>
                <w:noProof/>
                <w:webHidden/>
              </w:rPr>
              <w:tab/>
            </w:r>
            <w:r w:rsidR="009F4015" w:rsidRPr="008D6B5C">
              <w:rPr>
                <w:rFonts w:ascii="Verdana" w:hAnsi="Verdana"/>
                <w:b w:val="0"/>
                <w:noProof/>
                <w:webHidden/>
              </w:rPr>
              <w:fldChar w:fldCharType="begin"/>
            </w:r>
            <w:r w:rsidR="009F4015" w:rsidRPr="008D6B5C">
              <w:rPr>
                <w:rFonts w:ascii="Verdana" w:hAnsi="Verdana"/>
                <w:b w:val="0"/>
                <w:noProof/>
                <w:webHidden/>
              </w:rPr>
              <w:instrText xml:space="preserve"> PAGEREF _Toc513644502 \h </w:instrText>
            </w:r>
            <w:r w:rsidR="009F4015" w:rsidRPr="008D6B5C">
              <w:rPr>
                <w:rFonts w:ascii="Verdana" w:hAnsi="Verdana"/>
                <w:b w:val="0"/>
                <w:noProof/>
                <w:webHidden/>
              </w:rPr>
            </w:r>
            <w:r w:rsidR="009F4015" w:rsidRPr="008D6B5C">
              <w:rPr>
                <w:rFonts w:ascii="Verdana" w:hAnsi="Verdana"/>
                <w:b w:val="0"/>
                <w:noProof/>
                <w:webHidden/>
              </w:rPr>
              <w:fldChar w:fldCharType="separate"/>
            </w:r>
            <w:r w:rsidR="00B263FD">
              <w:rPr>
                <w:rFonts w:ascii="Verdana" w:hAnsi="Verdana"/>
                <w:b w:val="0"/>
                <w:noProof/>
                <w:webHidden/>
              </w:rPr>
              <w:t>78</w:t>
            </w:r>
            <w:r w:rsidR="009F4015" w:rsidRPr="008D6B5C">
              <w:rPr>
                <w:rFonts w:ascii="Verdana" w:hAnsi="Verdana"/>
                <w:b w:val="0"/>
                <w:noProof/>
                <w:webHidden/>
              </w:rPr>
              <w:fldChar w:fldCharType="end"/>
            </w:r>
          </w:hyperlink>
        </w:p>
        <w:p w14:paraId="1EA953EB" w14:textId="77777777" w:rsidR="009F7F67" w:rsidRPr="002A64C9" w:rsidRDefault="009F7F67" w:rsidP="009F4015">
          <w:pPr>
            <w:rPr>
              <w:sz w:val="20"/>
              <w:szCs w:val="20"/>
            </w:rPr>
          </w:pPr>
          <w:r w:rsidRPr="009F4015">
            <w:rPr>
              <w:smallCaps/>
              <w:sz w:val="20"/>
              <w:szCs w:val="20"/>
            </w:rPr>
            <w:fldChar w:fldCharType="end"/>
          </w:r>
        </w:p>
      </w:sdtContent>
    </w:sdt>
    <w:p w14:paraId="61051BF6" w14:textId="77777777" w:rsidR="009F7F67" w:rsidRPr="00760A6C" w:rsidRDefault="009F7F67" w:rsidP="009F4015">
      <w:pPr>
        <w:rPr>
          <w:rFonts w:eastAsia="Verdana" w:cs="Verdana"/>
          <w:position w:val="-1"/>
          <w:sz w:val="20"/>
          <w:szCs w:val="20"/>
        </w:rPr>
      </w:pPr>
    </w:p>
    <w:p w14:paraId="1C0EA90D" w14:textId="77777777" w:rsidR="001C4462" w:rsidRPr="00BE23A5" w:rsidRDefault="001C4462" w:rsidP="00BE23A5">
      <w:pPr>
        <w:rPr>
          <w:rFonts w:eastAsia="Verdana" w:cs="Verdana"/>
          <w:position w:val="-1"/>
          <w:sz w:val="20"/>
          <w:szCs w:val="20"/>
        </w:rPr>
      </w:pPr>
      <w:r w:rsidRPr="00BE23A5">
        <w:rPr>
          <w:rFonts w:eastAsia="Verdana" w:cs="Verdana"/>
          <w:position w:val="-1"/>
          <w:sz w:val="20"/>
          <w:szCs w:val="20"/>
        </w:rPr>
        <w:br w:type="page"/>
      </w:r>
    </w:p>
    <w:p w14:paraId="797814C9" w14:textId="77777777" w:rsidR="006C37C9" w:rsidRPr="00BC17B7" w:rsidRDefault="006C37C9" w:rsidP="006B2A4D">
      <w:pPr>
        <w:pStyle w:val="Title"/>
      </w:pPr>
      <w:bookmarkStart w:id="0" w:name="_Toc373093233"/>
      <w:bookmarkStart w:id="1" w:name="_Toc373350045"/>
      <w:bookmarkStart w:id="2" w:name="_Toc375560891"/>
      <w:bookmarkStart w:id="3" w:name="_Toc401931877"/>
      <w:bookmarkStart w:id="4" w:name="_Toc428369976"/>
      <w:bookmarkStart w:id="5" w:name="_Toc459158092"/>
      <w:bookmarkStart w:id="6" w:name="_Toc470180032"/>
      <w:bookmarkStart w:id="7" w:name="_Toc513644440"/>
      <w:r w:rsidRPr="00B4445F">
        <w:lastRenderedPageBreak/>
        <w:t>I</w:t>
      </w:r>
      <w:bookmarkStart w:id="8" w:name="_Toc375062709"/>
      <w:bookmarkStart w:id="9" w:name="_Toc375140859"/>
      <w:bookmarkStart w:id="10" w:name="_Toc375504818"/>
      <w:bookmarkStart w:id="11" w:name="_Toc375560892"/>
      <w:bookmarkEnd w:id="0"/>
      <w:bookmarkEnd w:id="1"/>
      <w:bookmarkEnd w:id="2"/>
      <w:r w:rsidRPr="00B4445F">
        <w:br/>
      </w:r>
      <w:r w:rsidRPr="00BC17B7">
        <w:t xml:space="preserve">INTRODUCCIÓN DE LA CAUSA </w:t>
      </w:r>
      <w:r w:rsidR="00DE732C" w:rsidRPr="00BC17B7">
        <w:t>Y</w:t>
      </w:r>
      <w:r w:rsidRPr="00BC17B7">
        <w:t xml:space="preserve"> OBJETO DE LA CONTROVERSIA</w:t>
      </w:r>
      <w:bookmarkEnd w:id="3"/>
      <w:bookmarkEnd w:id="4"/>
      <w:bookmarkEnd w:id="5"/>
      <w:bookmarkEnd w:id="6"/>
      <w:bookmarkEnd w:id="8"/>
      <w:bookmarkEnd w:id="9"/>
      <w:bookmarkEnd w:id="10"/>
      <w:bookmarkEnd w:id="11"/>
      <w:bookmarkEnd w:id="7"/>
    </w:p>
    <w:p w14:paraId="0EC264A6" w14:textId="77777777" w:rsidR="006C37C9" w:rsidRPr="00BC17B7" w:rsidRDefault="006C37C9" w:rsidP="00F3026E">
      <w:pPr>
        <w:spacing w:line="240" w:lineRule="exact"/>
        <w:rPr>
          <w:rFonts w:ascii="Calibri" w:eastAsia="Calibri" w:hAnsi="Calibri"/>
        </w:rPr>
      </w:pPr>
    </w:p>
    <w:p w14:paraId="529BF0EC" w14:textId="2F9CA542" w:rsidR="006C37C9" w:rsidRPr="0059117C" w:rsidRDefault="006C37C9" w:rsidP="0059117C">
      <w:pPr>
        <w:numPr>
          <w:ilvl w:val="0"/>
          <w:numId w:val="2"/>
        </w:numPr>
        <w:tabs>
          <w:tab w:val="left" w:pos="567"/>
          <w:tab w:val="num" w:pos="12305"/>
        </w:tabs>
        <w:ind w:left="0" w:firstLine="0"/>
        <w:rPr>
          <w:rFonts w:eastAsia="Calibri" w:cs="Arial"/>
          <w:szCs w:val="20"/>
        </w:rPr>
      </w:pPr>
      <w:r w:rsidRPr="00BC17B7">
        <w:rPr>
          <w:rFonts w:eastAsia="Verdana" w:cs="Verdana"/>
          <w:i/>
          <w:sz w:val="20"/>
          <w:szCs w:val="20"/>
        </w:rPr>
        <w:t xml:space="preserve">El caso sometido a la Corte. – </w:t>
      </w:r>
      <w:r w:rsidR="00DE732C" w:rsidRPr="00BC17B7">
        <w:rPr>
          <w:rFonts w:eastAsia="Verdana" w:cs="Verdana"/>
          <w:sz w:val="20"/>
          <w:szCs w:val="20"/>
        </w:rPr>
        <w:t>El 26</w:t>
      </w:r>
      <w:r w:rsidRPr="00BC17B7">
        <w:rPr>
          <w:rFonts w:eastAsia="Verdana" w:cs="Verdana"/>
          <w:sz w:val="20"/>
          <w:szCs w:val="20"/>
        </w:rPr>
        <w:t xml:space="preserve"> de a</w:t>
      </w:r>
      <w:r w:rsidR="0058113B" w:rsidRPr="00BC17B7">
        <w:rPr>
          <w:rFonts w:eastAsia="Verdana" w:cs="Verdana"/>
          <w:sz w:val="20"/>
          <w:szCs w:val="20"/>
        </w:rPr>
        <w:t>gosto de 2016</w:t>
      </w:r>
      <w:r w:rsidRPr="00BC17B7">
        <w:rPr>
          <w:rFonts w:eastAsia="Verdana" w:cs="Verdana"/>
          <w:sz w:val="20"/>
          <w:szCs w:val="20"/>
        </w:rPr>
        <w:t xml:space="preserve"> la Comisión Interamericana de Derechos Humanos (en adelante “la Comisión</w:t>
      </w:r>
      <w:r w:rsidR="006A1285" w:rsidRPr="00BC17B7">
        <w:rPr>
          <w:rFonts w:eastAsia="Verdana" w:cs="Verdana"/>
          <w:sz w:val="20"/>
          <w:szCs w:val="20"/>
        </w:rPr>
        <w:t xml:space="preserve"> </w:t>
      </w:r>
      <w:r w:rsidRPr="00BC17B7">
        <w:rPr>
          <w:rFonts w:eastAsia="Verdana" w:cs="Verdana"/>
          <w:sz w:val="20"/>
          <w:szCs w:val="20"/>
        </w:rPr>
        <w:t xml:space="preserve">Interamericana” o “la Comisión”) sometió a la jurisdicción de la Corte el caso </w:t>
      </w:r>
      <w:r w:rsidR="0058113B" w:rsidRPr="00BC17B7">
        <w:rPr>
          <w:rFonts w:eastAsia="Verdana" w:cs="Verdana"/>
          <w:i/>
          <w:sz w:val="20"/>
          <w:szCs w:val="20"/>
        </w:rPr>
        <w:t>“</w:t>
      </w:r>
      <w:r w:rsidR="00DE732C" w:rsidRPr="00BC17B7">
        <w:rPr>
          <w:rFonts w:eastAsia="Verdana" w:cs="Verdana"/>
          <w:i/>
          <w:sz w:val="20"/>
          <w:szCs w:val="20"/>
        </w:rPr>
        <w:t>Poblete Vilches y otros</w:t>
      </w:r>
      <w:r w:rsidRPr="00BC17B7">
        <w:rPr>
          <w:rFonts w:eastAsia="Verdana" w:cs="Verdana"/>
          <w:i/>
          <w:sz w:val="20"/>
          <w:szCs w:val="20"/>
        </w:rPr>
        <w:t>”</w:t>
      </w:r>
      <w:r w:rsidRPr="00BC17B7">
        <w:rPr>
          <w:rFonts w:eastAsia="Verdana" w:cs="Verdana"/>
          <w:sz w:val="20"/>
          <w:szCs w:val="20"/>
        </w:rPr>
        <w:t xml:space="preserve"> contra </w:t>
      </w:r>
      <w:r w:rsidR="0058113B" w:rsidRPr="00BC17B7">
        <w:rPr>
          <w:rFonts w:eastAsia="Verdana" w:cs="Verdana"/>
          <w:sz w:val="20"/>
          <w:szCs w:val="20"/>
        </w:rPr>
        <w:t xml:space="preserve">la República de </w:t>
      </w:r>
      <w:r w:rsidR="00DE732C" w:rsidRPr="00BC17B7">
        <w:rPr>
          <w:rFonts w:eastAsia="Verdana" w:cs="Verdana"/>
          <w:sz w:val="20"/>
          <w:szCs w:val="20"/>
        </w:rPr>
        <w:t>Chile</w:t>
      </w:r>
      <w:r w:rsidRPr="00BC17B7">
        <w:rPr>
          <w:rFonts w:eastAsia="Verdana" w:cs="Verdana"/>
          <w:sz w:val="20"/>
          <w:szCs w:val="20"/>
        </w:rPr>
        <w:t xml:space="preserve"> (en adelante “el Estado de </w:t>
      </w:r>
      <w:r w:rsidR="00DE732C" w:rsidRPr="00BC17B7">
        <w:rPr>
          <w:rFonts w:eastAsia="Verdana" w:cs="Verdana"/>
          <w:sz w:val="20"/>
          <w:szCs w:val="20"/>
        </w:rPr>
        <w:t>Chile</w:t>
      </w:r>
      <w:r w:rsidRPr="00BC17B7">
        <w:rPr>
          <w:rFonts w:eastAsia="Verdana" w:cs="Verdana"/>
          <w:sz w:val="20"/>
          <w:szCs w:val="20"/>
        </w:rPr>
        <w:t xml:space="preserve">”, “el Estado </w:t>
      </w:r>
      <w:r w:rsidR="00DE732C" w:rsidRPr="00BC17B7">
        <w:rPr>
          <w:rFonts w:eastAsia="Verdana" w:cs="Verdana"/>
          <w:sz w:val="20"/>
          <w:szCs w:val="20"/>
        </w:rPr>
        <w:t>chileno</w:t>
      </w:r>
      <w:r w:rsidRPr="00BC17B7">
        <w:rPr>
          <w:rFonts w:eastAsia="Verdana" w:cs="Verdana"/>
          <w:sz w:val="20"/>
          <w:szCs w:val="20"/>
        </w:rPr>
        <w:t>” o “</w:t>
      </w:r>
      <w:r w:rsidR="00082399" w:rsidRPr="00BC17B7">
        <w:rPr>
          <w:rFonts w:eastAsia="Verdana" w:cs="Verdana"/>
          <w:sz w:val="20"/>
          <w:szCs w:val="20"/>
        </w:rPr>
        <w:t>Chile</w:t>
      </w:r>
      <w:r w:rsidRPr="00BC17B7">
        <w:rPr>
          <w:rFonts w:eastAsia="Verdana" w:cs="Verdana"/>
          <w:sz w:val="20"/>
          <w:szCs w:val="20"/>
        </w:rPr>
        <w:t>”). De acuerdo con lo indicado por la Comisión, el caso se refiere a la</w:t>
      </w:r>
      <w:r w:rsidR="00F14674" w:rsidRPr="00BC17B7">
        <w:rPr>
          <w:rFonts w:eastAsia="Calibri" w:cs="Arial"/>
          <w:sz w:val="20"/>
          <w:szCs w:val="20"/>
        </w:rPr>
        <w:t xml:space="preserve"> alegada responsabilidad internacional del Estado de </w:t>
      </w:r>
      <w:r w:rsidR="004E1443" w:rsidRPr="00BC17B7">
        <w:rPr>
          <w:rFonts w:eastAsia="Calibri" w:cs="Arial"/>
          <w:sz w:val="20"/>
          <w:szCs w:val="20"/>
        </w:rPr>
        <w:t xml:space="preserve">Chile por las acciones y omisiones que tuvieron lugar entre el 17 de enero y el 7 de febrero de 2001, fechas en las cuales Vinicio Antonio Poblete Vilches, quien era un adulto mayor, ingresó en dos oportunidades al hospital público </w:t>
      </w:r>
      <w:proofErr w:type="spellStart"/>
      <w:r w:rsidR="004E1443" w:rsidRPr="00BC17B7">
        <w:rPr>
          <w:rFonts w:eastAsia="Calibri" w:cs="Arial"/>
          <w:sz w:val="20"/>
          <w:szCs w:val="20"/>
        </w:rPr>
        <w:t>Sótero</w:t>
      </w:r>
      <w:proofErr w:type="spellEnd"/>
      <w:r w:rsidR="004E1443" w:rsidRPr="00BC17B7">
        <w:rPr>
          <w:rFonts w:eastAsia="Calibri" w:cs="Arial"/>
          <w:sz w:val="20"/>
          <w:szCs w:val="20"/>
        </w:rPr>
        <w:t xml:space="preserve"> del Río, donde falleció en la última fecha. La Comisión estableció que en dos momentos el personal médico del hospital se abstuvo de obtener el consentimiento informado para la toma de decisiones en materia de salud. Específicamente, en el marco de un procedimiento realizado el 26 de enero de 2001 durante el primer ingreso al hospital, así como en la decisión de mantenerlo en “tratamiento intermedio” en las horas anteriores a su muerte en el segundo ingreso al hospital. La Comisión concluyó que existen suficientes elementos para considerar que la decisión de dar de alta a Vinicio Antonio Poblete Vilches y la manera en que la misma se realizó, pudo tener incidencia en el rápido deterioro que sufrió en los días inmediatamente posteriores a su salida del hospital y su posterior muerte cuando ingresó nuevamente en grave estado de salud. Asimismo, determinó la responsabilidad estatal por </w:t>
      </w:r>
      <w:r w:rsidR="002A5452">
        <w:rPr>
          <w:rFonts w:eastAsia="Calibri" w:cs="Arial"/>
          <w:sz w:val="20"/>
          <w:szCs w:val="20"/>
        </w:rPr>
        <w:t xml:space="preserve">no haberle brindado </w:t>
      </w:r>
      <w:r w:rsidR="004E1443" w:rsidRPr="00BC17B7">
        <w:rPr>
          <w:rFonts w:eastAsia="Calibri" w:cs="Arial"/>
          <w:sz w:val="20"/>
          <w:szCs w:val="20"/>
        </w:rPr>
        <w:t xml:space="preserve">el tratamiento intensivo que requería en su segundo </w:t>
      </w:r>
      <w:r w:rsidR="004E1443" w:rsidRPr="00BC17B7">
        <w:rPr>
          <w:rFonts w:eastAsia="Calibri" w:cs="Arial"/>
          <w:bCs/>
          <w:sz w:val="20"/>
          <w:szCs w:val="20"/>
        </w:rPr>
        <w:t xml:space="preserve">ingreso </w:t>
      </w:r>
      <w:r w:rsidR="004E1443" w:rsidRPr="00BC17B7">
        <w:rPr>
          <w:rFonts w:eastAsia="Calibri" w:cs="Arial"/>
          <w:sz w:val="20"/>
          <w:szCs w:val="20"/>
        </w:rPr>
        <w:t>al hospital, y que las investigaciones a nivel interno no fueron realizadas con la debida diligencia y en un plazo razonable.</w:t>
      </w:r>
      <w:r w:rsidR="00F14674" w:rsidRPr="00BC17B7">
        <w:rPr>
          <w:rFonts w:eastAsia="Calibri" w:cs="Arial"/>
          <w:sz w:val="20"/>
          <w:szCs w:val="20"/>
        </w:rPr>
        <w:t xml:space="preserve"> </w:t>
      </w:r>
      <w:r w:rsidR="00BC17B7" w:rsidRPr="0059117C">
        <w:rPr>
          <w:sz w:val="20"/>
          <w:szCs w:val="16"/>
        </w:rPr>
        <w:t xml:space="preserve">Las presuntas víctimas en este caso, además del señor Vinicio Antonio Poblete Vilches, son: </w:t>
      </w:r>
      <w:r w:rsidR="00E32C7B" w:rsidRPr="00B1523A">
        <w:rPr>
          <w:sz w:val="20"/>
          <w:szCs w:val="16"/>
        </w:rPr>
        <w:t>su esposa,</w:t>
      </w:r>
      <w:r w:rsidR="00E32C7B" w:rsidRPr="001736E4">
        <w:rPr>
          <w:sz w:val="20"/>
          <w:szCs w:val="16"/>
        </w:rPr>
        <w:t xml:space="preserve"> </w:t>
      </w:r>
      <w:r w:rsidR="00BC17B7" w:rsidRPr="001736E4">
        <w:rPr>
          <w:sz w:val="20"/>
          <w:szCs w:val="16"/>
          <w:lang w:val="es-ES"/>
        </w:rPr>
        <w:t>Blanca Tapia Encina (fallecida),</w:t>
      </w:r>
      <w:r w:rsidR="008F36CB" w:rsidRPr="001736E4">
        <w:rPr>
          <w:sz w:val="20"/>
          <w:szCs w:val="16"/>
          <w:lang w:val="es-ES"/>
        </w:rPr>
        <w:t xml:space="preserve"> </w:t>
      </w:r>
      <w:r w:rsidR="008F36CB" w:rsidRPr="00B1523A">
        <w:rPr>
          <w:sz w:val="20"/>
          <w:szCs w:val="16"/>
          <w:lang w:val="es-ES"/>
        </w:rPr>
        <w:t>y sus hijos e hija,</w:t>
      </w:r>
      <w:r w:rsidR="008F36CB">
        <w:rPr>
          <w:sz w:val="20"/>
          <w:szCs w:val="16"/>
          <w:lang w:val="es-ES"/>
        </w:rPr>
        <w:t xml:space="preserve"> </w:t>
      </w:r>
      <w:r w:rsidR="00BC17B7" w:rsidRPr="00BC17B7">
        <w:rPr>
          <w:rFonts w:eastAsia="Calibri"/>
          <w:sz w:val="20"/>
          <w:szCs w:val="20"/>
          <w:lang w:eastAsia="en-US"/>
        </w:rPr>
        <w:t>Gonzalo Poblete Tapia</w:t>
      </w:r>
      <w:r w:rsidR="00BC17B7" w:rsidRPr="0059117C">
        <w:rPr>
          <w:rFonts w:eastAsia="Calibri"/>
          <w:sz w:val="20"/>
          <w:szCs w:val="20"/>
          <w:lang w:val="es-ES" w:eastAsia="es-ES"/>
        </w:rPr>
        <w:t xml:space="preserve"> (fallecido),</w:t>
      </w:r>
      <w:r w:rsidR="00E32C7B">
        <w:rPr>
          <w:rFonts w:eastAsia="Calibri"/>
          <w:sz w:val="20"/>
          <w:szCs w:val="20"/>
          <w:lang w:val="es-ES" w:eastAsia="es-ES"/>
        </w:rPr>
        <w:t xml:space="preserve"> </w:t>
      </w:r>
      <w:r w:rsidR="00BC17B7" w:rsidRPr="0059117C">
        <w:rPr>
          <w:sz w:val="20"/>
          <w:szCs w:val="16"/>
          <w:lang w:val="es-ES"/>
        </w:rPr>
        <w:t>Vinicio Marco Poblete Tapia y</w:t>
      </w:r>
      <w:r w:rsidR="00E32C7B">
        <w:rPr>
          <w:sz w:val="20"/>
          <w:szCs w:val="16"/>
          <w:lang w:val="es-ES"/>
        </w:rPr>
        <w:t xml:space="preserve"> </w:t>
      </w:r>
      <w:proofErr w:type="spellStart"/>
      <w:r w:rsidR="00BC17B7" w:rsidRPr="0059117C">
        <w:rPr>
          <w:sz w:val="20"/>
          <w:szCs w:val="16"/>
          <w:lang w:val="es-ES"/>
        </w:rPr>
        <w:t>Cesia</w:t>
      </w:r>
      <w:proofErr w:type="spellEnd"/>
      <w:r w:rsidR="00BC17B7" w:rsidRPr="0059117C">
        <w:rPr>
          <w:sz w:val="20"/>
          <w:szCs w:val="16"/>
          <w:lang w:val="es-ES"/>
        </w:rPr>
        <w:t xml:space="preserve"> Poblete Tapia.</w:t>
      </w:r>
    </w:p>
    <w:p w14:paraId="4376658D" w14:textId="77777777" w:rsidR="00BC17B7" w:rsidRPr="00BC17B7" w:rsidRDefault="00BC17B7" w:rsidP="00BC17B7">
      <w:pPr>
        <w:tabs>
          <w:tab w:val="left" w:pos="567"/>
        </w:tabs>
        <w:rPr>
          <w:rFonts w:eastAsia="Calibri" w:cs="Arial"/>
          <w:sz w:val="20"/>
          <w:szCs w:val="20"/>
        </w:rPr>
      </w:pPr>
    </w:p>
    <w:p w14:paraId="3022A791" w14:textId="77777777" w:rsidR="006C37C9" w:rsidRPr="0071582F" w:rsidRDefault="006C37C9" w:rsidP="00F3026E">
      <w:pPr>
        <w:numPr>
          <w:ilvl w:val="0"/>
          <w:numId w:val="2"/>
        </w:numPr>
        <w:tabs>
          <w:tab w:val="left" w:pos="567"/>
          <w:tab w:val="num" w:pos="12305"/>
        </w:tabs>
        <w:ind w:left="0" w:firstLine="0"/>
        <w:rPr>
          <w:rFonts w:eastAsia="Calibri" w:cs="Arial"/>
          <w:sz w:val="20"/>
          <w:szCs w:val="20"/>
        </w:rPr>
      </w:pPr>
      <w:r w:rsidRPr="0071582F">
        <w:rPr>
          <w:rFonts w:eastAsia="Verdana" w:cs="Verdana"/>
          <w:i/>
          <w:sz w:val="20"/>
          <w:szCs w:val="20"/>
        </w:rPr>
        <w:t xml:space="preserve">Trámite ante la Comisión. – </w:t>
      </w:r>
      <w:r w:rsidRPr="0071582F">
        <w:rPr>
          <w:rFonts w:eastAsia="Verdana" w:cs="Verdana"/>
          <w:sz w:val="20"/>
          <w:szCs w:val="20"/>
        </w:rPr>
        <w:t>El trámite ante la Comisión fue el siguiente:</w:t>
      </w:r>
    </w:p>
    <w:p w14:paraId="3C833B3F" w14:textId="77777777" w:rsidR="006C37C9" w:rsidRPr="0071582F" w:rsidRDefault="006C37C9" w:rsidP="00F3026E">
      <w:pPr>
        <w:rPr>
          <w:rFonts w:eastAsia="Calibri"/>
          <w:sz w:val="20"/>
          <w:szCs w:val="20"/>
        </w:rPr>
      </w:pPr>
    </w:p>
    <w:p w14:paraId="1184A400" w14:textId="7F20003E" w:rsidR="006C37C9" w:rsidRPr="0071582F" w:rsidRDefault="006C37C9" w:rsidP="00F3026E">
      <w:pPr>
        <w:numPr>
          <w:ilvl w:val="0"/>
          <w:numId w:val="3"/>
        </w:numPr>
        <w:ind w:right="144"/>
        <w:contextualSpacing/>
        <w:rPr>
          <w:rFonts w:eastAsia="Verdana" w:cs="Verdana"/>
          <w:sz w:val="20"/>
          <w:szCs w:val="20"/>
        </w:rPr>
      </w:pPr>
      <w:r w:rsidRPr="0071582F">
        <w:rPr>
          <w:rFonts w:eastAsia="Verdana" w:cs="Verdana"/>
          <w:i/>
          <w:sz w:val="20"/>
          <w:szCs w:val="20"/>
        </w:rPr>
        <w:t xml:space="preserve">Petición. – </w:t>
      </w:r>
      <w:r w:rsidRPr="0071582F">
        <w:rPr>
          <w:rFonts w:eastAsia="Verdana" w:cs="Verdana"/>
          <w:sz w:val="20"/>
          <w:szCs w:val="20"/>
        </w:rPr>
        <w:t xml:space="preserve">El </w:t>
      </w:r>
      <w:r w:rsidR="004E1443">
        <w:rPr>
          <w:rFonts w:eastAsia="Verdana" w:cs="Verdana"/>
          <w:sz w:val="20"/>
          <w:szCs w:val="20"/>
        </w:rPr>
        <w:t>15</w:t>
      </w:r>
      <w:r w:rsidRPr="0071582F">
        <w:rPr>
          <w:rFonts w:eastAsia="Verdana" w:cs="Verdana"/>
          <w:sz w:val="20"/>
          <w:szCs w:val="20"/>
        </w:rPr>
        <w:t xml:space="preserve"> de </w:t>
      </w:r>
      <w:r w:rsidR="004E1443">
        <w:rPr>
          <w:rFonts w:eastAsia="Verdana" w:cs="Verdana"/>
          <w:sz w:val="20"/>
          <w:szCs w:val="20"/>
        </w:rPr>
        <w:t>mayo</w:t>
      </w:r>
      <w:r w:rsidRPr="0071582F">
        <w:rPr>
          <w:rFonts w:eastAsia="Verdana" w:cs="Verdana"/>
          <w:sz w:val="20"/>
          <w:szCs w:val="20"/>
        </w:rPr>
        <w:t xml:space="preserve"> d</w:t>
      </w:r>
      <w:r w:rsidR="00F14674">
        <w:rPr>
          <w:rFonts w:eastAsia="Verdana" w:cs="Verdana"/>
          <w:sz w:val="20"/>
          <w:szCs w:val="20"/>
        </w:rPr>
        <w:t>e 2002</w:t>
      </w:r>
      <w:r w:rsidRPr="0071582F">
        <w:rPr>
          <w:rFonts w:eastAsia="Verdana" w:cs="Verdana"/>
          <w:sz w:val="20"/>
          <w:szCs w:val="20"/>
        </w:rPr>
        <w:t xml:space="preserve"> </w:t>
      </w:r>
      <w:r w:rsidR="00F14674">
        <w:rPr>
          <w:rFonts w:eastAsia="Verdana" w:cs="Verdana"/>
          <w:sz w:val="20"/>
          <w:szCs w:val="20"/>
        </w:rPr>
        <w:t>la</w:t>
      </w:r>
      <w:r w:rsidR="004E1443">
        <w:rPr>
          <w:rFonts w:eastAsia="Verdana" w:cs="Verdana"/>
          <w:sz w:val="20"/>
          <w:szCs w:val="20"/>
        </w:rPr>
        <w:t>s</w:t>
      </w:r>
      <w:r w:rsidR="00F14674">
        <w:rPr>
          <w:rFonts w:eastAsia="Verdana" w:cs="Verdana"/>
          <w:sz w:val="20"/>
          <w:szCs w:val="20"/>
        </w:rPr>
        <w:t xml:space="preserve"> señora</w:t>
      </w:r>
      <w:r w:rsidR="004E1443">
        <w:rPr>
          <w:rFonts w:eastAsia="Verdana" w:cs="Verdana"/>
          <w:sz w:val="20"/>
          <w:szCs w:val="20"/>
        </w:rPr>
        <w:t>s</w:t>
      </w:r>
      <w:r w:rsidR="00F14674">
        <w:rPr>
          <w:rFonts w:eastAsia="Verdana" w:cs="Verdana"/>
          <w:sz w:val="20"/>
          <w:szCs w:val="20"/>
        </w:rPr>
        <w:t xml:space="preserve"> </w:t>
      </w:r>
      <w:r w:rsidR="004E1443">
        <w:rPr>
          <w:rFonts w:eastAsia="Verdana" w:cs="Verdana"/>
          <w:sz w:val="20"/>
          <w:szCs w:val="20"/>
        </w:rPr>
        <w:t>Blanca Margarita Tapia Encina</w:t>
      </w:r>
      <w:r w:rsidR="001736E4">
        <w:rPr>
          <w:rFonts w:eastAsia="Verdana" w:cs="Verdana"/>
          <w:sz w:val="20"/>
          <w:szCs w:val="20"/>
        </w:rPr>
        <w:t>, así como</w:t>
      </w:r>
      <w:r w:rsidR="004E1443">
        <w:rPr>
          <w:rFonts w:eastAsia="Verdana" w:cs="Verdana"/>
          <w:sz w:val="20"/>
          <w:szCs w:val="20"/>
        </w:rPr>
        <w:t xml:space="preserve"> </w:t>
      </w:r>
      <w:proofErr w:type="spellStart"/>
      <w:r w:rsidR="004E1443">
        <w:rPr>
          <w:rFonts w:eastAsia="Verdana" w:cs="Verdana"/>
          <w:sz w:val="20"/>
          <w:szCs w:val="20"/>
        </w:rPr>
        <w:t>Cesia</w:t>
      </w:r>
      <w:proofErr w:type="spellEnd"/>
      <w:r w:rsidR="004E1443">
        <w:rPr>
          <w:rFonts w:eastAsia="Verdana" w:cs="Verdana"/>
          <w:sz w:val="20"/>
          <w:szCs w:val="20"/>
        </w:rPr>
        <w:t xml:space="preserve"> </w:t>
      </w:r>
      <w:proofErr w:type="spellStart"/>
      <w:r w:rsidR="004E1443">
        <w:rPr>
          <w:rFonts w:eastAsia="Verdana" w:cs="Verdana"/>
          <w:sz w:val="20"/>
          <w:szCs w:val="20"/>
        </w:rPr>
        <w:t>Leyla</w:t>
      </w:r>
      <w:proofErr w:type="spellEnd"/>
      <w:r w:rsidR="004E1443">
        <w:rPr>
          <w:rFonts w:eastAsia="Verdana" w:cs="Verdana"/>
          <w:sz w:val="20"/>
          <w:szCs w:val="20"/>
        </w:rPr>
        <w:t xml:space="preserve"> Poblete Tapia, y el señor Vinicio Antonio Poblete Tapia </w:t>
      </w:r>
      <w:r w:rsidRPr="0071582F">
        <w:rPr>
          <w:rFonts w:eastAsia="Verdana" w:cs="Verdana"/>
          <w:sz w:val="20"/>
          <w:szCs w:val="20"/>
        </w:rPr>
        <w:t>(en adelante “</w:t>
      </w:r>
      <w:r w:rsidR="004E1443">
        <w:rPr>
          <w:rFonts w:eastAsia="Verdana" w:cs="Verdana"/>
          <w:sz w:val="20"/>
          <w:szCs w:val="20"/>
        </w:rPr>
        <w:t>los peticionarios</w:t>
      </w:r>
      <w:r w:rsidRPr="0071582F">
        <w:rPr>
          <w:rFonts w:eastAsia="Verdana" w:cs="Verdana"/>
          <w:sz w:val="20"/>
          <w:szCs w:val="20"/>
        </w:rPr>
        <w:t>”</w:t>
      </w:r>
      <w:r w:rsidR="004E1443">
        <w:rPr>
          <w:rFonts w:eastAsia="Verdana" w:cs="Verdana"/>
          <w:sz w:val="20"/>
          <w:szCs w:val="20"/>
        </w:rPr>
        <w:t xml:space="preserve">) </w:t>
      </w:r>
      <w:r w:rsidRPr="0071582F">
        <w:rPr>
          <w:rFonts w:eastAsia="Verdana" w:cs="Verdana"/>
          <w:sz w:val="20"/>
          <w:szCs w:val="20"/>
        </w:rPr>
        <w:t>present</w:t>
      </w:r>
      <w:r w:rsidR="004E1443">
        <w:rPr>
          <w:rFonts w:eastAsia="Verdana" w:cs="Verdana"/>
          <w:sz w:val="20"/>
          <w:szCs w:val="20"/>
        </w:rPr>
        <w:t>aron</w:t>
      </w:r>
      <w:r w:rsidRPr="0071582F">
        <w:rPr>
          <w:rFonts w:eastAsia="Verdana" w:cs="Verdana"/>
          <w:sz w:val="20"/>
          <w:szCs w:val="20"/>
        </w:rPr>
        <w:t xml:space="preserve"> la petición inicial ante la Comisión</w:t>
      </w:r>
      <w:r w:rsidR="000F5ADD">
        <w:rPr>
          <w:rFonts w:eastAsia="Verdana" w:cs="Verdana"/>
          <w:sz w:val="20"/>
          <w:szCs w:val="20"/>
        </w:rPr>
        <w:t xml:space="preserve"> en la cual se alegó la responsabilidad internacional de </w:t>
      </w:r>
      <w:r w:rsidR="004E1443">
        <w:rPr>
          <w:rFonts w:eastAsia="Verdana" w:cs="Verdana"/>
          <w:sz w:val="20"/>
          <w:szCs w:val="20"/>
        </w:rPr>
        <w:t>Chile</w:t>
      </w:r>
      <w:r w:rsidR="000F5ADD">
        <w:rPr>
          <w:rFonts w:eastAsia="Verdana" w:cs="Verdana"/>
          <w:sz w:val="20"/>
          <w:szCs w:val="20"/>
        </w:rPr>
        <w:t xml:space="preserve"> </w:t>
      </w:r>
      <w:r w:rsidR="004E1443">
        <w:rPr>
          <w:rFonts w:eastAsia="Verdana" w:cs="Verdana"/>
          <w:sz w:val="20"/>
          <w:szCs w:val="20"/>
        </w:rPr>
        <w:t>en relación con la muerte del señor Vinicio Antonio Poblete Vilches, acaecida el 7 de febrero de 2001 en un hospital público de la ciudad de Santiago</w:t>
      </w:r>
      <w:r w:rsidR="000F5ADD">
        <w:rPr>
          <w:rFonts w:eastAsia="Verdana" w:cs="Verdana"/>
          <w:sz w:val="20"/>
          <w:szCs w:val="20"/>
        </w:rPr>
        <w:t>.</w:t>
      </w:r>
      <w:r w:rsidR="004D7E7A">
        <w:rPr>
          <w:rFonts w:eastAsia="Verdana" w:cs="Verdana"/>
          <w:sz w:val="20"/>
          <w:szCs w:val="20"/>
        </w:rPr>
        <w:t xml:space="preserve"> </w:t>
      </w:r>
    </w:p>
    <w:p w14:paraId="28944BC0" w14:textId="77777777" w:rsidR="006C37C9" w:rsidRPr="0071582F" w:rsidRDefault="006C37C9" w:rsidP="00F3026E">
      <w:pPr>
        <w:ind w:left="818" w:right="144"/>
        <w:contextualSpacing/>
        <w:rPr>
          <w:rFonts w:eastAsia="Verdana" w:cs="Verdana"/>
          <w:sz w:val="20"/>
          <w:szCs w:val="20"/>
        </w:rPr>
      </w:pPr>
    </w:p>
    <w:p w14:paraId="5C2ABD9F" w14:textId="060F7BDC" w:rsidR="006C37C9" w:rsidRPr="0071582F" w:rsidRDefault="006C37C9" w:rsidP="00F3026E">
      <w:pPr>
        <w:numPr>
          <w:ilvl w:val="0"/>
          <w:numId w:val="3"/>
        </w:numPr>
        <w:ind w:right="144"/>
        <w:contextualSpacing/>
        <w:rPr>
          <w:rFonts w:eastAsia="Verdana" w:cs="Verdana"/>
          <w:sz w:val="20"/>
          <w:szCs w:val="20"/>
        </w:rPr>
      </w:pPr>
      <w:r w:rsidRPr="0071582F">
        <w:rPr>
          <w:rFonts w:eastAsia="Verdana" w:cs="Verdana"/>
          <w:i/>
          <w:sz w:val="20"/>
          <w:szCs w:val="20"/>
        </w:rPr>
        <w:t xml:space="preserve">Informe de Admisibilidad. – </w:t>
      </w:r>
      <w:r w:rsidRPr="0071582F">
        <w:rPr>
          <w:rFonts w:eastAsia="Verdana" w:cs="Verdana"/>
          <w:sz w:val="20"/>
          <w:szCs w:val="20"/>
        </w:rPr>
        <w:t xml:space="preserve">El </w:t>
      </w:r>
      <w:r w:rsidR="000F5ADD">
        <w:rPr>
          <w:rFonts w:eastAsia="Verdana" w:cs="Verdana"/>
          <w:sz w:val="20"/>
          <w:szCs w:val="20"/>
        </w:rPr>
        <w:t>1</w:t>
      </w:r>
      <w:r w:rsidR="004E1443">
        <w:rPr>
          <w:rFonts w:eastAsia="Verdana" w:cs="Verdana"/>
          <w:sz w:val="20"/>
          <w:szCs w:val="20"/>
        </w:rPr>
        <w:t>9</w:t>
      </w:r>
      <w:r w:rsidRPr="0071582F">
        <w:rPr>
          <w:rFonts w:eastAsia="Verdana" w:cs="Verdana"/>
          <w:sz w:val="20"/>
          <w:szCs w:val="20"/>
        </w:rPr>
        <w:t xml:space="preserve"> de </w:t>
      </w:r>
      <w:r w:rsidR="004E1443">
        <w:rPr>
          <w:rFonts w:eastAsia="Verdana" w:cs="Verdana"/>
          <w:sz w:val="20"/>
          <w:szCs w:val="20"/>
        </w:rPr>
        <w:t>marzo</w:t>
      </w:r>
      <w:r w:rsidR="000F5ADD">
        <w:rPr>
          <w:rFonts w:eastAsia="Verdana" w:cs="Verdana"/>
          <w:sz w:val="20"/>
          <w:szCs w:val="20"/>
        </w:rPr>
        <w:t xml:space="preserve"> de 2009</w:t>
      </w:r>
      <w:r w:rsidRPr="0071582F">
        <w:rPr>
          <w:rFonts w:eastAsia="Verdana" w:cs="Verdana"/>
          <w:sz w:val="20"/>
          <w:szCs w:val="20"/>
        </w:rPr>
        <w:t xml:space="preserve"> la Comisión aprobó el Informe de </w:t>
      </w:r>
      <w:r w:rsidRPr="0071582F">
        <w:rPr>
          <w:rFonts w:eastAsia="Verdana" w:cs="Verdana"/>
          <w:position w:val="-1"/>
          <w:sz w:val="20"/>
          <w:szCs w:val="20"/>
        </w:rPr>
        <w:t xml:space="preserve">Admisibilidad No. </w:t>
      </w:r>
      <w:r w:rsidR="004E1443">
        <w:rPr>
          <w:rFonts w:eastAsia="Verdana" w:cs="Verdana"/>
          <w:position w:val="-1"/>
          <w:sz w:val="20"/>
          <w:szCs w:val="20"/>
        </w:rPr>
        <w:t>1</w:t>
      </w:r>
      <w:r w:rsidR="000F5ADD">
        <w:rPr>
          <w:rFonts w:eastAsia="Verdana" w:cs="Verdana"/>
          <w:position w:val="-1"/>
          <w:sz w:val="20"/>
          <w:szCs w:val="20"/>
        </w:rPr>
        <w:t>3/09</w:t>
      </w:r>
      <w:r w:rsidRPr="0071582F">
        <w:rPr>
          <w:rFonts w:eastAsia="Verdana" w:cs="Verdana"/>
          <w:position w:val="-1"/>
          <w:sz w:val="20"/>
          <w:szCs w:val="20"/>
        </w:rPr>
        <w:t xml:space="preserve"> </w:t>
      </w:r>
      <w:r w:rsidRPr="0071582F">
        <w:rPr>
          <w:rFonts w:cs="Verdana"/>
          <w:sz w:val="20"/>
          <w:szCs w:val="20"/>
        </w:rPr>
        <w:t xml:space="preserve">en el que concluyó que la </w:t>
      </w:r>
      <w:r w:rsidRPr="003A6303">
        <w:rPr>
          <w:rFonts w:cs="Verdana"/>
          <w:sz w:val="20"/>
          <w:szCs w:val="20"/>
        </w:rPr>
        <w:t xml:space="preserve">petición </w:t>
      </w:r>
      <w:r w:rsidR="004E1443">
        <w:rPr>
          <w:rFonts w:cs="Verdana"/>
          <w:sz w:val="20"/>
          <w:szCs w:val="20"/>
        </w:rPr>
        <w:t>339</w:t>
      </w:r>
      <w:r w:rsidR="003A6303" w:rsidRPr="003A6303">
        <w:rPr>
          <w:rFonts w:cs="Verdana"/>
          <w:sz w:val="20"/>
          <w:szCs w:val="20"/>
        </w:rPr>
        <w:t>-02</w:t>
      </w:r>
      <w:r w:rsidRPr="0071582F">
        <w:rPr>
          <w:rFonts w:cs="Verdana"/>
          <w:sz w:val="20"/>
          <w:szCs w:val="20"/>
        </w:rPr>
        <w:t xml:space="preserve"> era admisible</w:t>
      </w:r>
      <w:r w:rsidRPr="0071582F">
        <w:rPr>
          <w:rStyle w:val="FootnoteReference"/>
          <w:rFonts w:eastAsia="Verdana" w:cs="Verdana"/>
          <w:position w:val="-1"/>
          <w:sz w:val="20"/>
          <w:szCs w:val="20"/>
        </w:rPr>
        <w:footnoteReference w:id="5"/>
      </w:r>
      <w:r w:rsidRPr="0071582F">
        <w:rPr>
          <w:rFonts w:eastAsia="Verdana" w:cs="Verdana"/>
          <w:position w:val="-1"/>
          <w:sz w:val="20"/>
          <w:szCs w:val="20"/>
        </w:rPr>
        <w:t>.</w:t>
      </w:r>
      <w:r w:rsidR="004D7E7A">
        <w:rPr>
          <w:rFonts w:eastAsia="Verdana" w:cs="Verdana"/>
          <w:position w:val="-1"/>
          <w:sz w:val="20"/>
          <w:szCs w:val="20"/>
        </w:rPr>
        <w:t xml:space="preserve"> </w:t>
      </w:r>
    </w:p>
    <w:p w14:paraId="6EB9516E" w14:textId="77777777" w:rsidR="006C37C9" w:rsidRPr="0071582F" w:rsidRDefault="006C37C9" w:rsidP="00F3026E">
      <w:pPr>
        <w:ind w:left="818" w:right="144"/>
        <w:contextualSpacing/>
        <w:rPr>
          <w:rFonts w:eastAsia="Verdana" w:cs="Verdana"/>
          <w:sz w:val="20"/>
          <w:szCs w:val="20"/>
        </w:rPr>
      </w:pPr>
    </w:p>
    <w:p w14:paraId="5675CC8A" w14:textId="360908B3" w:rsidR="006C37C9" w:rsidRDefault="006C37C9" w:rsidP="00F3026E">
      <w:pPr>
        <w:numPr>
          <w:ilvl w:val="0"/>
          <w:numId w:val="3"/>
        </w:numPr>
        <w:ind w:right="144"/>
        <w:contextualSpacing/>
        <w:rPr>
          <w:rFonts w:eastAsia="Verdana" w:cs="Verdana"/>
          <w:sz w:val="20"/>
          <w:szCs w:val="20"/>
        </w:rPr>
      </w:pPr>
      <w:r w:rsidRPr="0071582F">
        <w:rPr>
          <w:rFonts w:eastAsia="Verdana" w:cs="Verdana"/>
          <w:i/>
          <w:sz w:val="20"/>
          <w:szCs w:val="20"/>
        </w:rPr>
        <w:t xml:space="preserve">Informe de Fondo. – </w:t>
      </w:r>
      <w:r w:rsidR="003A6303">
        <w:rPr>
          <w:rFonts w:eastAsia="Verdana" w:cs="Verdana"/>
          <w:sz w:val="20"/>
          <w:szCs w:val="20"/>
        </w:rPr>
        <w:t>El 13</w:t>
      </w:r>
      <w:r w:rsidRPr="0071582F">
        <w:rPr>
          <w:rFonts w:eastAsia="Verdana" w:cs="Verdana"/>
          <w:sz w:val="20"/>
          <w:szCs w:val="20"/>
        </w:rPr>
        <w:t xml:space="preserve"> de a</w:t>
      </w:r>
      <w:r w:rsidR="003A6303">
        <w:rPr>
          <w:rFonts w:eastAsia="Verdana" w:cs="Verdana"/>
          <w:sz w:val="20"/>
          <w:szCs w:val="20"/>
        </w:rPr>
        <w:t>bril de 2016</w:t>
      </w:r>
      <w:r w:rsidRPr="0071582F">
        <w:rPr>
          <w:rFonts w:eastAsia="Verdana" w:cs="Verdana"/>
          <w:sz w:val="20"/>
          <w:szCs w:val="20"/>
        </w:rPr>
        <w:t xml:space="preserve"> la Comisión aprobó el Informe de Fondo No. </w:t>
      </w:r>
      <w:r w:rsidR="004D7E7A">
        <w:rPr>
          <w:rFonts w:eastAsia="Verdana" w:cs="Verdana"/>
          <w:sz w:val="20"/>
          <w:szCs w:val="20"/>
        </w:rPr>
        <w:t>1</w:t>
      </w:r>
      <w:r w:rsidR="003A6303">
        <w:rPr>
          <w:rFonts w:eastAsia="Verdana" w:cs="Verdana"/>
          <w:sz w:val="20"/>
          <w:szCs w:val="20"/>
        </w:rPr>
        <w:t>/16</w:t>
      </w:r>
      <w:r w:rsidRPr="0071582F">
        <w:rPr>
          <w:rFonts w:eastAsia="Verdana" w:cs="Verdana"/>
          <w:sz w:val="20"/>
          <w:szCs w:val="20"/>
        </w:rPr>
        <w:t xml:space="preserve">, de conformidad con el artículo 50 de la Convención (en adelante también “el </w:t>
      </w:r>
      <w:r w:rsidR="00C00A35" w:rsidRPr="0071582F">
        <w:rPr>
          <w:rFonts w:eastAsia="Verdana" w:cs="Verdana"/>
          <w:sz w:val="20"/>
          <w:szCs w:val="20"/>
        </w:rPr>
        <w:t>I</w:t>
      </w:r>
      <w:r w:rsidRPr="0071582F">
        <w:rPr>
          <w:rFonts w:eastAsia="Verdana" w:cs="Verdana"/>
          <w:sz w:val="20"/>
          <w:szCs w:val="20"/>
        </w:rPr>
        <w:t xml:space="preserve">nforme de </w:t>
      </w:r>
      <w:r w:rsidR="00C00A35" w:rsidRPr="0071582F">
        <w:rPr>
          <w:rFonts w:eastAsia="Verdana" w:cs="Verdana"/>
          <w:sz w:val="20"/>
          <w:szCs w:val="20"/>
        </w:rPr>
        <w:t>F</w:t>
      </w:r>
      <w:r w:rsidRPr="0071582F">
        <w:rPr>
          <w:rFonts w:eastAsia="Verdana" w:cs="Verdana"/>
          <w:sz w:val="20"/>
          <w:szCs w:val="20"/>
        </w:rPr>
        <w:t xml:space="preserve">ondo” o “el </w:t>
      </w:r>
      <w:r w:rsidR="00C00A35" w:rsidRPr="0071582F">
        <w:rPr>
          <w:rFonts w:eastAsia="Verdana" w:cs="Verdana"/>
          <w:sz w:val="20"/>
          <w:szCs w:val="20"/>
        </w:rPr>
        <w:t>I</w:t>
      </w:r>
      <w:r w:rsidRPr="0071582F">
        <w:rPr>
          <w:rFonts w:eastAsia="Verdana" w:cs="Verdana"/>
          <w:sz w:val="20"/>
          <w:szCs w:val="20"/>
        </w:rPr>
        <w:t xml:space="preserve">nforme No. </w:t>
      </w:r>
      <w:r w:rsidR="004D7E7A">
        <w:rPr>
          <w:rFonts w:eastAsia="Verdana" w:cs="Verdana"/>
          <w:sz w:val="20"/>
          <w:szCs w:val="20"/>
        </w:rPr>
        <w:t>1</w:t>
      </w:r>
      <w:r w:rsidR="003A6303">
        <w:rPr>
          <w:rFonts w:eastAsia="Verdana" w:cs="Verdana"/>
          <w:sz w:val="20"/>
          <w:szCs w:val="20"/>
        </w:rPr>
        <w:t>/16</w:t>
      </w:r>
      <w:r w:rsidRPr="0071582F">
        <w:rPr>
          <w:rFonts w:eastAsia="Verdana" w:cs="Verdana"/>
          <w:sz w:val="20"/>
          <w:szCs w:val="20"/>
        </w:rPr>
        <w:t>”), en el cual llegó a una serie de conclusiones y formuló varias recomendaciones al Estado.</w:t>
      </w:r>
    </w:p>
    <w:p w14:paraId="0034B369" w14:textId="77777777" w:rsidR="004D7E7A" w:rsidRPr="0071582F" w:rsidRDefault="004D7E7A" w:rsidP="00F3026E">
      <w:pPr>
        <w:ind w:left="818" w:right="144"/>
        <w:contextualSpacing/>
        <w:rPr>
          <w:rFonts w:eastAsia="Verdana" w:cs="Verdana"/>
          <w:sz w:val="20"/>
          <w:szCs w:val="20"/>
        </w:rPr>
      </w:pPr>
    </w:p>
    <w:p w14:paraId="00D37E7E" w14:textId="6AB4AA9D" w:rsidR="004D7E7A" w:rsidRDefault="004D7E7A" w:rsidP="00F3026E">
      <w:pPr>
        <w:pStyle w:val="ListParagraph"/>
        <w:numPr>
          <w:ilvl w:val="0"/>
          <w:numId w:val="6"/>
        </w:numPr>
        <w:ind w:right="148"/>
        <w:contextualSpacing/>
        <w:rPr>
          <w:sz w:val="20"/>
          <w:szCs w:val="20"/>
        </w:rPr>
      </w:pPr>
      <w:r w:rsidRPr="004D7E7A">
        <w:rPr>
          <w:rFonts w:eastAsia="Verdana" w:cs="Verdana"/>
          <w:i/>
          <w:sz w:val="20"/>
          <w:szCs w:val="20"/>
        </w:rPr>
        <w:t>Conclusiones</w:t>
      </w:r>
      <w:r w:rsidRPr="0071582F">
        <w:rPr>
          <w:rFonts w:eastAsia="Verdana" w:cs="Verdana"/>
          <w:i/>
          <w:sz w:val="20"/>
          <w:szCs w:val="20"/>
        </w:rPr>
        <w:t xml:space="preserve">. – </w:t>
      </w:r>
      <w:r w:rsidRPr="004D7E7A">
        <w:rPr>
          <w:rFonts w:eastAsia="Verdana" w:cs="Verdana"/>
          <w:sz w:val="20"/>
          <w:szCs w:val="20"/>
        </w:rPr>
        <w:t xml:space="preserve"> </w:t>
      </w:r>
      <w:r w:rsidRPr="004D7E7A">
        <w:rPr>
          <w:sz w:val="20"/>
          <w:szCs w:val="20"/>
        </w:rPr>
        <w:t>La Comisión concluyó que el Estado era responsable por la alegada violación a los siguientes derechos humanos establecidos en la Convención Americana:</w:t>
      </w:r>
    </w:p>
    <w:p w14:paraId="4CA855DB" w14:textId="77777777" w:rsidR="00F42643" w:rsidRPr="004D7E7A" w:rsidRDefault="00F42643" w:rsidP="00F42643">
      <w:pPr>
        <w:pStyle w:val="ListParagraph"/>
        <w:ind w:left="1900" w:right="148"/>
        <w:contextualSpacing/>
        <w:rPr>
          <w:sz w:val="20"/>
          <w:szCs w:val="20"/>
        </w:rPr>
      </w:pPr>
    </w:p>
    <w:p w14:paraId="70F28F9B" w14:textId="77777777" w:rsidR="004D7E7A" w:rsidRPr="000214BA" w:rsidRDefault="00F42643" w:rsidP="00F3026E">
      <w:pPr>
        <w:pStyle w:val="ListParagraph"/>
        <w:numPr>
          <w:ilvl w:val="0"/>
          <w:numId w:val="4"/>
        </w:numPr>
        <w:autoSpaceDE w:val="0"/>
        <w:autoSpaceDN w:val="0"/>
        <w:ind w:left="2404" w:hanging="357"/>
        <w:rPr>
          <w:sz w:val="18"/>
          <w:szCs w:val="18"/>
        </w:rPr>
      </w:pPr>
      <w:r w:rsidRPr="000214BA">
        <w:rPr>
          <w:sz w:val="18"/>
          <w:szCs w:val="18"/>
        </w:rPr>
        <w:t>[l]</w:t>
      </w:r>
      <w:r w:rsidR="004D7E7A" w:rsidRPr="000214BA">
        <w:rPr>
          <w:sz w:val="18"/>
          <w:szCs w:val="18"/>
        </w:rPr>
        <w:t>a violación del derecho de acceso a la información en materia de salud establecido en el artículo 13 de la Convención, en relaci</w:t>
      </w:r>
      <w:r w:rsidRPr="000214BA">
        <w:rPr>
          <w:sz w:val="18"/>
          <w:szCs w:val="18"/>
        </w:rPr>
        <w:t xml:space="preserve">ón con los derechos a la </w:t>
      </w:r>
      <w:r w:rsidRPr="000214BA">
        <w:rPr>
          <w:sz w:val="18"/>
          <w:szCs w:val="18"/>
        </w:rPr>
        <w:lastRenderedPageBreak/>
        <w:t>vida, i</w:t>
      </w:r>
      <w:r w:rsidR="004D7E7A" w:rsidRPr="000214BA">
        <w:rPr>
          <w:sz w:val="18"/>
          <w:szCs w:val="18"/>
        </w:rPr>
        <w:t>ntegridad personal y salud establecidos</w:t>
      </w:r>
      <w:r w:rsidRPr="000214BA">
        <w:rPr>
          <w:sz w:val="18"/>
          <w:szCs w:val="18"/>
        </w:rPr>
        <w:t xml:space="preserve"> </w:t>
      </w:r>
      <w:r w:rsidR="004D7E7A" w:rsidRPr="000214BA">
        <w:rPr>
          <w:sz w:val="18"/>
          <w:szCs w:val="18"/>
        </w:rPr>
        <w:t xml:space="preserve">en los artículos 4 y 5 de la Convención, y con las obligaciones establecidas en el </w:t>
      </w:r>
      <w:r w:rsidRPr="000214BA">
        <w:rPr>
          <w:sz w:val="18"/>
          <w:szCs w:val="18"/>
        </w:rPr>
        <w:t>artículo</w:t>
      </w:r>
      <w:r w:rsidR="004D7E7A" w:rsidRPr="000214BA">
        <w:rPr>
          <w:sz w:val="18"/>
          <w:szCs w:val="18"/>
        </w:rPr>
        <w:t xml:space="preserve"> 1.1 del</w:t>
      </w:r>
      <w:r w:rsidRPr="000214BA">
        <w:rPr>
          <w:sz w:val="18"/>
          <w:szCs w:val="18"/>
        </w:rPr>
        <w:t xml:space="preserve"> </w:t>
      </w:r>
      <w:r w:rsidR="004D7E7A" w:rsidRPr="000214BA">
        <w:rPr>
          <w:sz w:val="18"/>
          <w:szCs w:val="18"/>
        </w:rPr>
        <w:t>mismo i</w:t>
      </w:r>
      <w:r w:rsidRPr="000214BA">
        <w:rPr>
          <w:sz w:val="18"/>
          <w:szCs w:val="18"/>
        </w:rPr>
        <w:t>nstrumento, en perjuicio de Vini</w:t>
      </w:r>
      <w:r w:rsidR="004D7E7A" w:rsidRPr="000214BA">
        <w:rPr>
          <w:sz w:val="18"/>
          <w:szCs w:val="18"/>
        </w:rPr>
        <w:t>cio Antonio Poblete Vilches y sus familiares</w:t>
      </w:r>
      <w:r w:rsidR="00F44B67" w:rsidRPr="000214BA">
        <w:rPr>
          <w:sz w:val="18"/>
          <w:szCs w:val="18"/>
        </w:rPr>
        <w:t>[</w:t>
      </w:r>
      <w:r w:rsidR="004D7E7A" w:rsidRPr="000214BA">
        <w:rPr>
          <w:sz w:val="18"/>
          <w:szCs w:val="18"/>
        </w:rPr>
        <w:t>;</w:t>
      </w:r>
      <w:r w:rsidR="00F44B67" w:rsidRPr="000214BA">
        <w:rPr>
          <w:sz w:val="18"/>
          <w:szCs w:val="18"/>
        </w:rPr>
        <w:t>]</w:t>
      </w:r>
    </w:p>
    <w:p w14:paraId="247C1875" w14:textId="596E5132" w:rsidR="004D7E7A" w:rsidRPr="000214BA" w:rsidRDefault="00F42643" w:rsidP="00F3026E">
      <w:pPr>
        <w:pStyle w:val="ListParagraph"/>
        <w:numPr>
          <w:ilvl w:val="0"/>
          <w:numId w:val="4"/>
        </w:numPr>
        <w:autoSpaceDE w:val="0"/>
        <w:autoSpaceDN w:val="0"/>
        <w:ind w:left="2404" w:hanging="357"/>
        <w:rPr>
          <w:sz w:val="18"/>
          <w:szCs w:val="18"/>
        </w:rPr>
      </w:pPr>
      <w:r w:rsidRPr="000214BA">
        <w:rPr>
          <w:sz w:val="18"/>
          <w:szCs w:val="18"/>
        </w:rPr>
        <w:t>[l]</w:t>
      </w:r>
      <w:r w:rsidR="004D7E7A" w:rsidRPr="000214BA">
        <w:rPr>
          <w:sz w:val="18"/>
          <w:szCs w:val="18"/>
        </w:rPr>
        <w:t>a violación de los derechos a la vida, integridad pe</w:t>
      </w:r>
      <w:r w:rsidRPr="000214BA">
        <w:rPr>
          <w:sz w:val="18"/>
          <w:szCs w:val="18"/>
        </w:rPr>
        <w:t>r</w:t>
      </w:r>
      <w:r w:rsidR="004D7E7A" w:rsidRPr="000214BA">
        <w:rPr>
          <w:sz w:val="18"/>
          <w:szCs w:val="18"/>
        </w:rPr>
        <w:t>sonal y salud establecidos en los articulas 4 y</w:t>
      </w:r>
      <w:r w:rsidRPr="000214BA">
        <w:rPr>
          <w:sz w:val="18"/>
          <w:szCs w:val="18"/>
        </w:rPr>
        <w:t xml:space="preserve"> </w:t>
      </w:r>
      <w:r w:rsidR="004D7E7A" w:rsidRPr="000214BA">
        <w:rPr>
          <w:sz w:val="18"/>
          <w:szCs w:val="18"/>
        </w:rPr>
        <w:t>5 de la Convención Americana, en relación con las obligaciones establecidas en el artículo 1.1 del</w:t>
      </w:r>
      <w:r w:rsidRPr="000214BA">
        <w:rPr>
          <w:sz w:val="18"/>
          <w:szCs w:val="18"/>
        </w:rPr>
        <w:t xml:space="preserve"> </w:t>
      </w:r>
      <w:r w:rsidR="004D7E7A" w:rsidRPr="000214BA">
        <w:rPr>
          <w:sz w:val="18"/>
          <w:szCs w:val="18"/>
        </w:rPr>
        <w:t>mismo instrumento, en perjuicio de Vinicio Antonio Poblete Vilches</w:t>
      </w:r>
      <w:r w:rsidR="003B52C8">
        <w:rPr>
          <w:sz w:val="18"/>
          <w:szCs w:val="18"/>
        </w:rPr>
        <w:t>,</w:t>
      </w:r>
      <w:r w:rsidRPr="000214BA">
        <w:rPr>
          <w:sz w:val="18"/>
          <w:szCs w:val="18"/>
        </w:rPr>
        <w:t xml:space="preserve"> [y] </w:t>
      </w:r>
    </w:p>
    <w:p w14:paraId="47C3109A" w14:textId="5AE0A7DC" w:rsidR="004D7E7A" w:rsidRPr="000214BA" w:rsidRDefault="00F42643" w:rsidP="00F3026E">
      <w:pPr>
        <w:pStyle w:val="ListParagraph"/>
        <w:numPr>
          <w:ilvl w:val="0"/>
          <w:numId w:val="4"/>
        </w:numPr>
        <w:autoSpaceDE w:val="0"/>
        <w:autoSpaceDN w:val="0"/>
        <w:ind w:left="2404" w:hanging="357"/>
        <w:rPr>
          <w:sz w:val="18"/>
          <w:szCs w:val="18"/>
        </w:rPr>
      </w:pPr>
      <w:r w:rsidRPr="000214BA">
        <w:rPr>
          <w:sz w:val="18"/>
          <w:szCs w:val="18"/>
        </w:rPr>
        <w:t>[l]</w:t>
      </w:r>
      <w:r w:rsidR="004D7E7A" w:rsidRPr="000214BA">
        <w:rPr>
          <w:sz w:val="18"/>
          <w:szCs w:val="18"/>
        </w:rPr>
        <w:t>a violación de los derechos a la integridad personal, garantías judiciales y protección judicial</w:t>
      </w:r>
      <w:r w:rsidRPr="000214BA">
        <w:rPr>
          <w:sz w:val="18"/>
          <w:szCs w:val="18"/>
        </w:rPr>
        <w:t xml:space="preserve"> </w:t>
      </w:r>
      <w:r w:rsidR="004D7E7A" w:rsidRPr="000214BA">
        <w:rPr>
          <w:sz w:val="18"/>
          <w:szCs w:val="18"/>
        </w:rPr>
        <w:t>establecidos en los artículos 5, 8 y 25 de la Convención A</w:t>
      </w:r>
      <w:r w:rsidRPr="000214BA">
        <w:rPr>
          <w:sz w:val="18"/>
          <w:szCs w:val="18"/>
        </w:rPr>
        <w:t>mericana</w:t>
      </w:r>
      <w:r w:rsidR="00C12427">
        <w:rPr>
          <w:sz w:val="18"/>
          <w:szCs w:val="18"/>
        </w:rPr>
        <w:t>,</w:t>
      </w:r>
      <w:r w:rsidRPr="000214BA">
        <w:rPr>
          <w:sz w:val="18"/>
          <w:szCs w:val="18"/>
        </w:rPr>
        <w:t xml:space="preserve"> en relación con el artí</w:t>
      </w:r>
      <w:r w:rsidR="004D7E7A" w:rsidRPr="000214BA">
        <w:rPr>
          <w:sz w:val="18"/>
          <w:szCs w:val="18"/>
        </w:rPr>
        <w:t>culo 1.1 del</w:t>
      </w:r>
      <w:r w:rsidRPr="000214BA">
        <w:rPr>
          <w:sz w:val="18"/>
          <w:szCs w:val="18"/>
        </w:rPr>
        <w:t xml:space="preserve"> </w:t>
      </w:r>
      <w:r w:rsidR="004D7E7A" w:rsidRPr="000214BA">
        <w:rPr>
          <w:sz w:val="18"/>
          <w:szCs w:val="18"/>
        </w:rPr>
        <w:t>mismo instrumento, en perjuicio de los familiares del señor Vi</w:t>
      </w:r>
      <w:r w:rsidRPr="000214BA">
        <w:rPr>
          <w:sz w:val="18"/>
          <w:szCs w:val="18"/>
        </w:rPr>
        <w:t>nicio</w:t>
      </w:r>
      <w:r w:rsidR="004D7E7A" w:rsidRPr="000214BA">
        <w:rPr>
          <w:sz w:val="18"/>
          <w:szCs w:val="18"/>
        </w:rPr>
        <w:t xml:space="preserve"> Antonio Poblete </w:t>
      </w:r>
      <w:r w:rsidRPr="000214BA">
        <w:rPr>
          <w:sz w:val="18"/>
          <w:szCs w:val="18"/>
        </w:rPr>
        <w:t>Vilches</w:t>
      </w:r>
      <w:r w:rsidR="00F44B67" w:rsidRPr="000214BA">
        <w:rPr>
          <w:sz w:val="18"/>
          <w:szCs w:val="18"/>
        </w:rPr>
        <w:t>.</w:t>
      </w:r>
    </w:p>
    <w:p w14:paraId="2160C475" w14:textId="77777777" w:rsidR="006C37C9" w:rsidRPr="0071582F" w:rsidRDefault="006C37C9" w:rsidP="00F3026E">
      <w:pPr>
        <w:pStyle w:val="ListParagraph"/>
        <w:ind w:left="1900" w:right="148"/>
        <w:rPr>
          <w:rFonts w:eastAsia="Verdana" w:cs="Verdana"/>
          <w:sz w:val="20"/>
          <w:szCs w:val="20"/>
        </w:rPr>
      </w:pPr>
    </w:p>
    <w:p w14:paraId="185D6E2F" w14:textId="23FAE052" w:rsidR="006C37C9" w:rsidRPr="0071582F" w:rsidRDefault="006C37C9" w:rsidP="00F3026E">
      <w:pPr>
        <w:pStyle w:val="ListParagraph"/>
        <w:numPr>
          <w:ilvl w:val="0"/>
          <w:numId w:val="6"/>
        </w:numPr>
        <w:ind w:right="148"/>
        <w:contextualSpacing/>
        <w:rPr>
          <w:rFonts w:eastAsia="Verdana" w:cs="Verdana"/>
          <w:sz w:val="20"/>
          <w:szCs w:val="20"/>
        </w:rPr>
      </w:pPr>
      <w:r w:rsidRPr="0071582F">
        <w:rPr>
          <w:rFonts w:eastAsia="Verdana" w:cs="Verdana"/>
          <w:i/>
          <w:sz w:val="20"/>
          <w:szCs w:val="20"/>
        </w:rPr>
        <w:t xml:space="preserve">Recomendaciones. </w:t>
      </w:r>
      <w:r w:rsidRPr="000214BA">
        <w:rPr>
          <w:rFonts w:eastAsia="Verdana" w:cs="Verdana"/>
          <w:sz w:val="20"/>
          <w:szCs w:val="20"/>
        </w:rPr>
        <w:t>– En consecuencia, la Comisión hizo al Estado</w:t>
      </w:r>
      <w:r w:rsidRPr="0071582F">
        <w:rPr>
          <w:rFonts w:eastAsia="Verdana" w:cs="Verdana"/>
          <w:sz w:val="20"/>
          <w:szCs w:val="20"/>
        </w:rPr>
        <w:t xml:space="preserve"> una serie de recomendaciones:</w:t>
      </w:r>
    </w:p>
    <w:p w14:paraId="5358C4F5" w14:textId="77777777" w:rsidR="006C37C9" w:rsidRPr="0071582F" w:rsidRDefault="006C37C9" w:rsidP="00F3026E">
      <w:pPr>
        <w:pStyle w:val="ListParagraph"/>
        <w:ind w:left="1900" w:right="148"/>
        <w:rPr>
          <w:rFonts w:eastAsia="Verdana" w:cs="Verdana"/>
          <w:sz w:val="20"/>
          <w:szCs w:val="20"/>
        </w:rPr>
      </w:pPr>
    </w:p>
    <w:p w14:paraId="0F88DA93" w14:textId="77777777" w:rsidR="00F42643" w:rsidRPr="000214BA" w:rsidRDefault="00F42643" w:rsidP="00F3026E">
      <w:pPr>
        <w:pStyle w:val="ListParagraph"/>
        <w:numPr>
          <w:ilvl w:val="0"/>
          <w:numId w:val="5"/>
        </w:numPr>
        <w:autoSpaceDE w:val="0"/>
        <w:autoSpaceDN w:val="0"/>
        <w:rPr>
          <w:sz w:val="18"/>
          <w:szCs w:val="18"/>
        </w:rPr>
      </w:pPr>
      <w:r w:rsidRPr="000214BA">
        <w:rPr>
          <w:sz w:val="18"/>
          <w:szCs w:val="18"/>
        </w:rPr>
        <w:t>[r]</w:t>
      </w:r>
      <w:proofErr w:type="spellStart"/>
      <w:r w:rsidRPr="000214BA">
        <w:rPr>
          <w:sz w:val="18"/>
          <w:szCs w:val="18"/>
        </w:rPr>
        <w:t>eparar</w:t>
      </w:r>
      <w:proofErr w:type="spellEnd"/>
      <w:r w:rsidRPr="000214BA">
        <w:rPr>
          <w:sz w:val="18"/>
          <w:szCs w:val="18"/>
        </w:rPr>
        <w:t xml:space="preserve"> integralmente a los familiares del señor Vinicio Antonio Poblete Vilches por las violaciones de derechos humanos declaradas en el presente informe, incluyendo una debida compensación por el da</w:t>
      </w:r>
      <w:r w:rsidR="00CA683F" w:rsidRPr="000214BA">
        <w:rPr>
          <w:sz w:val="18"/>
          <w:szCs w:val="18"/>
        </w:rPr>
        <w:t>ño material y moral causado, así</w:t>
      </w:r>
      <w:r w:rsidRPr="000214BA">
        <w:rPr>
          <w:sz w:val="18"/>
          <w:szCs w:val="18"/>
        </w:rPr>
        <w:t xml:space="preserve"> como otras medidas de satisfacción moral[;]</w:t>
      </w:r>
    </w:p>
    <w:p w14:paraId="1035FEA4" w14:textId="782DC872" w:rsidR="00F42643" w:rsidRPr="000214BA" w:rsidRDefault="00F42643" w:rsidP="00F3026E">
      <w:pPr>
        <w:pStyle w:val="ListParagraph"/>
        <w:numPr>
          <w:ilvl w:val="0"/>
          <w:numId w:val="5"/>
        </w:numPr>
        <w:autoSpaceDE w:val="0"/>
        <w:autoSpaceDN w:val="0"/>
        <w:rPr>
          <w:sz w:val="18"/>
          <w:szCs w:val="18"/>
        </w:rPr>
      </w:pPr>
      <w:r w:rsidRPr="000214BA">
        <w:rPr>
          <w:sz w:val="18"/>
          <w:szCs w:val="18"/>
        </w:rPr>
        <w:t>[r]</w:t>
      </w:r>
      <w:proofErr w:type="spellStart"/>
      <w:r w:rsidRPr="000214BA">
        <w:rPr>
          <w:sz w:val="18"/>
          <w:szCs w:val="18"/>
        </w:rPr>
        <w:t>ealizar</w:t>
      </w:r>
      <w:proofErr w:type="spellEnd"/>
      <w:r w:rsidRPr="000214BA">
        <w:rPr>
          <w:sz w:val="18"/>
          <w:szCs w:val="18"/>
        </w:rPr>
        <w:t xml:space="preserve"> una investigación completa y efectiva de las violaciones de derechos humanos</w:t>
      </w:r>
      <w:r w:rsidR="00337C65" w:rsidRPr="000214BA">
        <w:rPr>
          <w:sz w:val="18"/>
          <w:szCs w:val="18"/>
        </w:rPr>
        <w:t xml:space="preserve"> </w:t>
      </w:r>
      <w:r w:rsidRPr="000214BA">
        <w:rPr>
          <w:sz w:val="18"/>
          <w:szCs w:val="18"/>
        </w:rPr>
        <w:t>declaradas en el presente informe, a fin de que los familiares del señor Poblete Vilches cuenten con un</w:t>
      </w:r>
      <w:r w:rsidR="00337C65" w:rsidRPr="000214BA">
        <w:rPr>
          <w:sz w:val="18"/>
          <w:szCs w:val="18"/>
        </w:rPr>
        <w:t xml:space="preserve"> </w:t>
      </w:r>
      <w:r w:rsidRPr="000214BA">
        <w:rPr>
          <w:sz w:val="18"/>
          <w:szCs w:val="18"/>
        </w:rPr>
        <w:t>esclarecimiento de lo sucedido y, de se</w:t>
      </w:r>
      <w:r w:rsidR="00F44B67" w:rsidRPr="000214BA">
        <w:rPr>
          <w:sz w:val="18"/>
          <w:szCs w:val="18"/>
        </w:rPr>
        <w:t>r</w:t>
      </w:r>
      <w:r w:rsidRPr="000214BA">
        <w:rPr>
          <w:sz w:val="18"/>
          <w:szCs w:val="18"/>
        </w:rPr>
        <w:t xml:space="preserve"> el caso, se impongan las sanciones correspondientes. Para tal efecto,</w:t>
      </w:r>
      <w:r w:rsidR="00337C65" w:rsidRPr="000214BA">
        <w:rPr>
          <w:sz w:val="18"/>
          <w:szCs w:val="18"/>
        </w:rPr>
        <w:t xml:space="preserve"> </w:t>
      </w:r>
      <w:r w:rsidRPr="000214BA">
        <w:rPr>
          <w:sz w:val="18"/>
          <w:szCs w:val="18"/>
        </w:rPr>
        <w:t>el Estado deberá continuar la investigación reabierta en el año 2008 o, de ser el caso, iniciar una nueva</w:t>
      </w:r>
      <w:r w:rsidR="00337C65" w:rsidRPr="000214BA">
        <w:rPr>
          <w:sz w:val="18"/>
          <w:szCs w:val="18"/>
        </w:rPr>
        <w:t xml:space="preserve"> investigación con el objetivo de superar los obstáculos identificados en el presente informe que han impedido la obtención de justicia</w:t>
      </w:r>
      <w:r w:rsidR="003B52C8">
        <w:rPr>
          <w:sz w:val="18"/>
          <w:szCs w:val="18"/>
        </w:rPr>
        <w:t>,</w:t>
      </w:r>
      <w:r w:rsidR="00337C65" w:rsidRPr="000214BA">
        <w:rPr>
          <w:sz w:val="18"/>
          <w:szCs w:val="18"/>
        </w:rPr>
        <w:t xml:space="preserve"> [y]</w:t>
      </w:r>
    </w:p>
    <w:p w14:paraId="027686C4" w14:textId="0F5CF5B1" w:rsidR="00337C65" w:rsidRDefault="00337C65" w:rsidP="00F3026E">
      <w:pPr>
        <w:pStyle w:val="ListParagraph"/>
        <w:numPr>
          <w:ilvl w:val="0"/>
          <w:numId w:val="5"/>
        </w:numPr>
        <w:autoSpaceDE w:val="0"/>
        <w:autoSpaceDN w:val="0"/>
        <w:rPr>
          <w:sz w:val="18"/>
          <w:szCs w:val="18"/>
        </w:rPr>
      </w:pPr>
      <w:r w:rsidRPr="000214BA">
        <w:rPr>
          <w:sz w:val="18"/>
          <w:szCs w:val="18"/>
        </w:rPr>
        <w:t xml:space="preserve">Disponer mecanismos de no repetición que incluyan: i) las medidas legislativas, administrativas y de otra índole que se requieran para la implementación del consentimiento informado en materia de salud de conformidad con los estándares establecidos en el presente informe; ii) las medidas necesarias, incluyendo medidas </w:t>
      </w:r>
      <w:r w:rsidR="008D1152" w:rsidRPr="000214BA">
        <w:rPr>
          <w:sz w:val="18"/>
          <w:szCs w:val="18"/>
        </w:rPr>
        <w:t>presupuest</w:t>
      </w:r>
      <w:r w:rsidR="008D1152">
        <w:rPr>
          <w:sz w:val="18"/>
          <w:szCs w:val="18"/>
        </w:rPr>
        <w:t>arias</w:t>
      </w:r>
      <w:r w:rsidRPr="000214BA">
        <w:rPr>
          <w:sz w:val="18"/>
          <w:szCs w:val="18"/>
        </w:rPr>
        <w:t xml:space="preserve">, para asegurar que el Hospital </w:t>
      </w:r>
      <w:proofErr w:type="spellStart"/>
      <w:r w:rsidRPr="000214BA">
        <w:rPr>
          <w:sz w:val="18"/>
          <w:szCs w:val="18"/>
        </w:rPr>
        <w:t>Sótero</w:t>
      </w:r>
      <w:proofErr w:type="spellEnd"/>
      <w:r w:rsidRPr="000214BA">
        <w:rPr>
          <w:sz w:val="18"/>
          <w:szCs w:val="18"/>
        </w:rPr>
        <w:t xml:space="preserve"> del Río cuente con los medios e infraestructura necesarios para brindar una atención adecuada, particularmente cuando se requiera terapia intensiva; y iii) las medidas de capacitación y entrenamiento a los operadores judiciales en cuanto al deber de investigar posibles responsabilidades derivadas de la muerte de una persona como consecuencia de una atención inadecuada en salud.</w:t>
      </w:r>
    </w:p>
    <w:p w14:paraId="181CAEA0" w14:textId="77777777" w:rsidR="00F3026E" w:rsidRPr="000214BA" w:rsidRDefault="00F3026E" w:rsidP="00F3026E">
      <w:pPr>
        <w:pStyle w:val="ListParagraph"/>
        <w:autoSpaceDE w:val="0"/>
        <w:autoSpaceDN w:val="0"/>
        <w:ind w:left="2407"/>
        <w:rPr>
          <w:sz w:val="18"/>
          <w:szCs w:val="18"/>
        </w:rPr>
      </w:pPr>
    </w:p>
    <w:p w14:paraId="1F63E40E" w14:textId="5749312C" w:rsidR="006C37C9" w:rsidRDefault="006C37C9" w:rsidP="00F3026E">
      <w:pPr>
        <w:numPr>
          <w:ilvl w:val="0"/>
          <w:numId w:val="3"/>
        </w:numPr>
        <w:ind w:right="144"/>
        <w:contextualSpacing/>
        <w:rPr>
          <w:rFonts w:eastAsia="Verdana" w:cs="Verdana"/>
          <w:sz w:val="20"/>
          <w:szCs w:val="20"/>
        </w:rPr>
      </w:pPr>
      <w:r w:rsidRPr="0071582F">
        <w:rPr>
          <w:rFonts w:eastAsia="Verdana" w:cs="Verdana"/>
          <w:i/>
          <w:sz w:val="20"/>
          <w:szCs w:val="20"/>
        </w:rPr>
        <w:t xml:space="preserve">Notificación al Estado. – </w:t>
      </w:r>
      <w:r w:rsidRPr="0071582F">
        <w:rPr>
          <w:rFonts w:eastAsia="Verdana" w:cs="Verdana"/>
          <w:sz w:val="20"/>
          <w:szCs w:val="20"/>
        </w:rPr>
        <w:t xml:space="preserve">El </w:t>
      </w:r>
      <w:r w:rsidR="00221693">
        <w:rPr>
          <w:rFonts w:eastAsia="Verdana" w:cs="Verdana"/>
          <w:sz w:val="20"/>
          <w:szCs w:val="20"/>
        </w:rPr>
        <w:t>I</w:t>
      </w:r>
      <w:r w:rsidRPr="0071582F">
        <w:rPr>
          <w:rFonts w:eastAsia="Verdana" w:cs="Verdana"/>
          <w:sz w:val="20"/>
          <w:szCs w:val="20"/>
        </w:rPr>
        <w:t xml:space="preserve">nforme de </w:t>
      </w:r>
      <w:r w:rsidR="00221693">
        <w:rPr>
          <w:rFonts w:eastAsia="Verdana" w:cs="Verdana"/>
          <w:sz w:val="20"/>
          <w:szCs w:val="20"/>
        </w:rPr>
        <w:t>F</w:t>
      </w:r>
      <w:r w:rsidRPr="0071582F">
        <w:rPr>
          <w:rFonts w:eastAsia="Verdana" w:cs="Verdana"/>
          <w:sz w:val="20"/>
          <w:szCs w:val="20"/>
        </w:rPr>
        <w:t xml:space="preserve">ondo fue notificado al Estado </w:t>
      </w:r>
      <w:r w:rsidR="000C3D54">
        <w:rPr>
          <w:rFonts w:eastAsia="Verdana" w:cs="Verdana"/>
          <w:sz w:val="20"/>
          <w:szCs w:val="20"/>
        </w:rPr>
        <w:t xml:space="preserve">el </w:t>
      </w:r>
      <w:r w:rsidR="00EF57B6">
        <w:rPr>
          <w:rFonts w:eastAsia="Verdana" w:cs="Verdana"/>
          <w:sz w:val="20"/>
          <w:szCs w:val="20"/>
        </w:rPr>
        <w:t>2</w:t>
      </w:r>
      <w:r w:rsidR="000C3D54">
        <w:rPr>
          <w:rFonts w:eastAsia="Verdana" w:cs="Verdana"/>
          <w:sz w:val="20"/>
          <w:szCs w:val="20"/>
        </w:rPr>
        <w:t>7</w:t>
      </w:r>
      <w:r w:rsidR="00EF57B6">
        <w:rPr>
          <w:rFonts w:eastAsia="Verdana" w:cs="Verdana"/>
          <w:sz w:val="20"/>
          <w:szCs w:val="20"/>
        </w:rPr>
        <w:t xml:space="preserve"> de mayo de 201</w:t>
      </w:r>
      <w:r w:rsidR="004D67BE">
        <w:rPr>
          <w:rFonts w:eastAsia="Verdana" w:cs="Verdana"/>
          <w:sz w:val="20"/>
          <w:szCs w:val="20"/>
        </w:rPr>
        <w:t>6</w:t>
      </w:r>
      <w:r w:rsidRPr="0071582F">
        <w:rPr>
          <w:rFonts w:eastAsia="Verdana" w:cs="Verdana"/>
          <w:sz w:val="20"/>
          <w:szCs w:val="20"/>
        </w:rPr>
        <w:t>, otorgándole un plazo de dos meses para informar sobre el cumplimiento de las recomendaciones.</w:t>
      </w:r>
    </w:p>
    <w:p w14:paraId="5630B2D8" w14:textId="77777777" w:rsidR="00B4445F" w:rsidRPr="0071582F" w:rsidRDefault="00B4445F" w:rsidP="00F3026E">
      <w:pPr>
        <w:ind w:left="818" w:right="144"/>
        <w:contextualSpacing/>
        <w:rPr>
          <w:rFonts w:eastAsia="Verdana" w:cs="Verdana"/>
          <w:sz w:val="20"/>
          <w:szCs w:val="20"/>
        </w:rPr>
      </w:pPr>
    </w:p>
    <w:p w14:paraId="2549E66E" w14:textId="2DE69ED4" w:rsidR="006C37C9" w:rsidRPr="000C3D54" w:rsidRDefault="006C37C9" w:rsidP="00F3026E">
      <w:pPr>
        <w:numPr>
          <w:ilvl w:val="0"/>
          <w:numId w:val="3"/>
        </w:numPr>
        <w:ind w:right="144"/>
        <w:contextualSpacing/>
        <w:rPr>
          <w:sz w:val="20"/>
          <w:szCs w:val="20"/>
        </w:rPr>
      </w:pPr>
      <w:r w:rsidRPr="0071582F">
        <w:rPr>
          <w:rFonts w:eastAsia="Verdana" w:cs="Verdana"/>
          <w:i/>
          <w:sz w:val="20"/>
          <w:szCs w:val="20"/>
        </w:rPr>
        <w:t xml:space="preserve">Informes sobre las recomendaciones de la Comisión. – </w:t>
      </w:r>
      <w:r w:rsidR="000C3D54" w:rsidRPr="0001748B">
        <w:rPr>
          <w:sz w:val="20"/>
          <w:szCs w:val="20"/>
        </w:rPr>
        <w:t xml:space="preserve">El Estado </w:t>
      </w:r>
      <w:r w:rsidR="00FB4EEF">
        <w:rPr>
          <w:sz w:val="20"/>
          <w:szCs w:val="20"/>
        </w:rPr>
        <w:t>chileno</w:t>
      </w:r>
      <w:r w:rsidR="000C3D54" w:rsidRPr="0001748B">
        <w:rPr>
          <w:sz w:val="20"/>
          <w:szCs w:val="20"/>
        </w:rPr>
        <w:t xml:space="preserve"> no dio respuesta alguna al </w:t>
      </w:r>
      <w:r w:rsidR="00221693">
        <w:rPr>
          <w:sz w:val="20"/>
          <w:szCs w:val="20"/>
        </w:rPr>
        <w:t>I</w:t>
      </w:r>
      <w:r w:rsidR="000C3D54" w:rsidRPr="0001748B">
        <w:rPr>
          <w:sz w:val="20"/>
          <w:szCs w:val="20"/>
        </w:rPr>
        <w:t>nforme de</w:t>
      </w:r>
      <w:r w:rsidR="00221693">
        <w:rPr>
          <w:sz w:val="20"/>
          <w:szCs w:val="20"/>
        </w:rPr>
        <w:t xml:space="preserve"> F</w:t>
      </w:r>
      <w:r w:rsidR="000C3D54" w:rsidRPr="0001748B">
        <w:rPr>
          <w:sz w:val="20"/>
          <w:szCs w:val="20"/>
        </w:rPr>
        <w:t>ondo de la Comisión.</w:t>
      </w:r>
    </w:p>
    <w:p w14:paraId="1F19DB43" w14:textId="77777777" w:rsidR="006C37C9" w:rsidRPr="0071582F" w:rsidRDefault="006C37C9" w:rsidP="00F3026E">
      <w:pPr>
        <w:ind w:left="818" w:right="144"/>
        <w:contextualSpacing/>
        <w:rPr>
          <w:rFonts w:eastAsia="Verdana" w:cs="Verdana"/>
          <w:sz w:val="20"/>
          <w:szCs w:val="20"/>
        </w:rPr>
      </w:pPr>
    </w:p>
    <w:p w14:paraId="3DFD4FE3" w14:textId="219A56D4" w:rsidR="006C37C9" w:rsidRPr="0071582F" w:rsidRDefault="006C37C9" w:rsidP="00F3026E">
      <w:pPr>
        <w:numPr>
          <w:ilvl w:val="0"/>
          <w:numId w:val="2"/>
        </w:numPr>
        <w:tabs>
          <w:tab w:val="left" w:pos="567"/>
          <w:tab w:val="num" w:pos="12305"/>
        </w:tabs>
        <w:ind w:left="0" w:firstLine="0"/>
        <w:rPr>
          <w:rFonts w:cs="Arial"/>
          <w:sz w:val="20"/>
          <w:szCs w:val="20"/>
        </w:rPr>
      </w:pPr>
      <w:r w:rsidRPr="0071582F">
        <w:rPr>
          <w:rFonts w:eastAsia="Verdana" w:cs="Verdana"/>
          <w:i/>
          <w:sz w:val="20"/>
          <w:szCs w:val="20"/>
        </w:rPr>
        <w:t xml:space="preserve">Sometimiento a la Corte. </w:t>
      </w:r>
      <w:r w:rsidR="00EF57B6">
        <w:rPr>
          <w:rFonts w:eastAsia="Verdana" w:cs="Verdana"/>
          <w:sz w:val="20"/>
          <w:szCs w:val="20"/>
        </w:rPr>
        <w:t>– El 2</w:t>
      </w:r>
      <w:r w:rsidR="000C3D54">
        <w:rPr>
          <w:rFonts w:eastAsia="Verdana" w:cs="Verdana"/>
          <w:sz w:val="20"/>
          <w:szCs w:val="20"/>
        </w:rPr>
        <w:t>6</w:t>
      </w:r>
      <w:r w:rsidRPr="0071582F">
        <w:rPr>
          <w:rFonts w:eastAsia="Verdana" w:cs="Verdana"/>
          <w:sz w:val="20"/>
          <w:szCs w:val="20"/>
        </w:rPr>
        <w:t xml:space="preserve"> de a</w:t>
      </w:r>
      <w:r w:rsidR="00EF57B6">
        <w:rPr>
          <w:rFonts w:eastAsia="Verdana" w:cs="Verdana"/>
          <w:sz w:val="20"/>
          <w:szCs w:val="20"/>
        </w:rPr>
        <w:t>gosto de 2016</w:t>
      </w:r>
      <w:r w:rsidRPr="0071582F">
        <w:rPr>
          <w:rFonts w:eastAsia="Verdana" w:cs="Verdana"/>
          <w:sz w:val="20"/>
          <w:szCs w:val="20"/>
        </w:rPr>
        <w:t xml:space="preserve">, la Comisión sometió a la jurisdicción de la Corte Interamericana la totalidad de los hechos y violaciones de derechos humanos descritos en el </w:t>
      </w:r>
      <w:r w:rsidR="00221693">
        <w:rPr>
          <w:rFonts w:eastAsia="Verdana" w:cs="Verdana"/>
          <w:sz w:val="20"/>
          <w:szCs w:val="20"/>
        </w:rPr>
        <w:t>I</w:t>
      </w:r>
      <w:r w:rsidRPr="0071582F">
        <w:rPr>
          <w:rFonts w:eastAsia="Verdana" w:cs="Verdana"/>
          <w:sz w:val="20"/>
          <w:szCs w:val="20"/>
        </w:rPr>
        <w:t xml:space="preserve">nforme de </w:t>
      </w:r>
      <w:r w:rsidR="00221693">
        <w:rPr>
          <w:rFonts w:eastAsia="Verdana" w:cs="Verdana"/>
          <w:sz w:val="20"/>
          <w:szCs w:val="20"/>
        </w:rPr>
        <w:t>F</w:t>
      </w:r>
      <w:r w:rsidRPr="0071582F">
        <w:rPr>
          <w:rFonts w:eastAsia="Verdana" w:cs="Verdana"/>
          <w:sz w:val="20"/>
          <w:szCs w:val="20"/>
        </w:rPr>
        <w:t>ondo “ante la necesidad de obtención de justicia”</w:t>
      </w:r>
      <w:r w:rsidR="00EB3F3D" w:rsidRPr="0071582F">
        <w:rPr>
          <w:rStyle w:val="FootnoteReference"/>
          <w:rFonts w:eastAsia="Verdana" w:cs="Verdana"/>
          <w:sz w:val="20"/>
          <w:szCs w:val="20"/>
        </w:rPr>
        <w:footnoteReference w:id="6"/>
      </w:r>
      <w:r w:rsidR="004D67BE">
        <w:rPr>
          <w:rFonts w:eastAsia="Verdana" w:cs="Verdana"/>
          <w:sz w:val="20"/>
          <w:szCs w:val="20"/>
        </w:rPr>
        <w:t>.</w:t>
      </w:r>
    </w:p>
    <w:p w14:paraId="39EE9A4C" w14:textId="77777777" w:rsidR="006C37C9" w:rsidRPr="0071582F" w:rsidRDefault="006C37C9" w:rsidP="00F3026E">
      <w:pPr>
        <w:ind w:left="818" w:right="144"/>
        <w:contextualSpacing/>
        <w:rPr>
          <w:rFonts w:cs="Arial"/>
          <w:sz w:val="20"/>
          <w:szCs w:val="20"/>
        </w:rPr>
      </w:pPr>
    </w:p>
    <w:p w14:paraId="11A21F7E" w14:textId="77777777" w:rsidR="006C37C9" w:rsidRPr="0071582F" w:rsidRDefault="006C37C9" w:rsidP="00F3026E">
      <w:pPr>
        <w:numPr>
          <w:ilvl w:val="0"/>
          <w:numId w:val="2"/>
        </w:numPr>
        <w:tabs>
          <w:tab w:val="left" w:pos="567"/>
          <w:tab w:val="num" w:pos="12305"/>
        </w:tabs>
        <w:ind w:left="0" w:firstLine="0"/>
        <w:rPr>
          <w:rFonts w:eastAsia="Verdana" w:cs="Verdana"/>
          <w:sz w:val="20"/>
          <w:szCs w:val="20"/>
        </w:rPr>
      </w:pPr>
      <w:r w:rsidRPr="0071582F">
        <w:rPr>
          <w:rFonts w:eastAsia="Verdana" w:cs="Verdana"/>
          <w:i/>
          <w:sz w:val="20"/>
          <w:szCs w:val="20"/>
        </w:rPr>
        <w:t xml:space="preserve">Solicitudes de la Comisión Interamericana. – </w:t>
      </w:r>
      <w:r w:rsidRPr="0071582F">
        <w:rPr>
          <w:rFonts w:eastAsia="Verdana" w:cs="Verdana"/>
          <w:sz w:val="20"/>
          <w:szCs w:val="20"/>
        </w:rPr>
        <w:t xml:space="preserve">Con base en lo anterior, la Comisión solicitó a la Corte que declarara la responsabilidad internacional del Estado por las mismas violaciones señaladas en su </w:t>
      </w:r>
      <w:r w:rsidR="00221693">
        <w:rPr>
          <w:rFonts w:eastAsia="Verdana" w:cs="Verdana"/>
          <w:sz w:val="20"/>
          <w:szCs w:val="20"/>
        </w:rPr>
        <w:t>I</w:t>
      </w:r>
      <w:r w:rsidRPr="0071582F">
        <w:rPr>
          <w:rFonts w:eastAsia="Verdana" w:cs="Verdana"/>
          <w:sz w:val="20"/>
          <w:szCs w:val="20"/>
        </w:rPr>
        <w:t xml:space="preserve">nforme de </w:t>
      </w:r>
      <w:r w:rsidR="00221693">
        <w:rPr>
          <w:rFonts w:eastAsia="Verdana" w:cs="Verdana"/>
          <w:sz w:val="20"/>
          <w:szCs w:val="20"/>
        </w:rPr>
        <w:t>F</w:t>
      </w:r>
      <w:r w:rsidRPr="0071582F">
        <w:rPr>
          <w:rFonts w:eastAsia="Verdana" w:cs="Verdana"/>
          <w:sz w:val="20"/>
          <w:szCs w:val="20"/>
        </w:rPr>
        <w:t xml:space="preserve">ondo </w:t>
      </w:r>
      <w:r w:rsidRPr="0071582F">
        <w:rPr>
          <w:rFonts w:cs="Verdana"/>
          <w:sz w:val="20"/>
          <w:szCs w:val="20"/>
        </w:rPr>
        <w:t>(</w:t>
      </w:r>
      <w:r w:rsidR="00062586" w:rsidRPr="00062586">
        <w:rPr>
          <w:rFonts w:cs="Verdana"/>
          <w:i/>
          <w:iCs/>
          <w:sz w:val="20"/>
          <w:szCs w:val="20"/>
        </w:rPr>
        <w:t>supra</w:t>
      </w:r>
      <w:r w:rsidRPr="0071582F">
        <w:rPr>
          <w:rFonts w:cs="Verdana"/>
          <w:i/>
          <w:iCs/>
          <w:sz w:val="20"/>
          <w:szCs w:val="20"/>
        </w:rPr>
        <w:t xml:space="preserve"> </w:t>
      </w:r>
      <w:r w:rsidR="003568FC">
        <w:rPr>
          <w:rFonts w:cs="Verdana"/>
          <w:sz w:val="20"/>
          <w:szCs w:val="20"/>
        </w:rPr>
        <w:t>párr. 2. c.</w:t>
      </w:r>
      <w:r w:rsidRPr="0071582F">
        <w:rPr>
          <w:rFonts w:cs="Verdana"/>
          <w:sz w:val="20"/>
          <w:szCs w:val="20"/>
        </w:rPr>
        <w:t>)</w:t>
      </w:r>
      <w:r w:rsidRPr="0071582F">
        <w:rPr>
          <w:rFonts w:eastAsia="Verdana" w:cs="Verdana"/>
          <w:sz w:val="20"/>
          <w:szCs w:val="20"/>
        </w:rPr>
        <w:t xml:space="preserve">. Asimismo, la Comisión solicitó a la </w:t>
      </w:r>
      <w:r w:rsidRPr="0071582F">
        <w:rPr>
          <w:rFonts w:eastAsia="Calibri" w:cs="Arial"/>
          <w:sz w:val="20"/>
          <w:szCs w:val="20"/>
        </w:rPr>
        <w:t>Corte</w:t>
      </w:r>
      <w:r w:rsidRPr="0071582F">
        <w:rPr>
          <w:rFonts w:eastAsia="Verdana" w:cs="Verdana"/>
          <w:sz w:val="20"/>
          <w:szCs w:val="20"/>
        </w:rPr>
        <w:t xml:space="preserve"> que ordenara al Estado determinadas medidas de reparación, las cuales se detallan y analizan en el Capítulo </w:t>
      </w:r>
      <w:r w:rsidR="00F4682C">
        <w:rPr>
          <w:rFonts w:eastAsia="Verdana" w:cs="Verdana"/>
          <w:sz w:val="20"/>
          <w:szCs w:val="20"/>
        </w:rPr>
        <w:t>VIII</w:t>
      </w:r>
      <w:r w:rsidRPr="0071582F">
        <w:rPr>
          <w:rFonts w:eastAsia="Verdana" w:cs="Verdana"/>
          <w:sz w:val="20"/>
          <w:szCs w:val="20"/>
        </w:rPr>
        <w:t xml:space="preserve"> de la presente Sentencia.</w:t>
      </w:r>
    </w:p>
    <w:p w14:paraId="139EDC00" w14:textId="74635867" w:rsidR="006C37C9" w:rsidRPr="0071582F" w:rsidRDefault="006C37C9" w:rsidP="006C37C9">
      <w:pPr>
        <w:pStyle w:val="ListParagraph"/>
        <w:autoSpaceDE w:val="0"/>
        <w:autoSpaceDN w:val="0"/>
        <w:ind w:left="709"/>
        <w:rPr>
          <w:rFonts w:eastAsia="Verdana" w:cs="Verdana"/>
          <w:sz w:val="20"/>
          <w:szCs w:val="20"/>
        </w:rPr>
      </w:pPr>
    </w:p>
    <w:p w14:paraId="506A9A74" w14:textId="77777777" w:rsidR="003568FC" w:rsidRDefault="006C37C9" w:rsidP="006B2A4D">
      <w:pPr>
        <w:pStyle w:val="Title"/>
      </w:pPr>
      <w:bookmarkStart w:id="12" w:name="_Toc372568229"/>
      <w:bookmarkStart w:id="13" w:name="_Toc373093235"/>
      <w:bookmarkStart w:id="14" w:name="_Toc373350047"/>
      <w:bookmarkStart w:id="15" w:name="_Toc375560893"/>
      <w:bookmarkStart w:id="16" w:name="_Toc401931878"/>
      <w:bookmarkStart w:id="17" w:name="_Toc428369977"/>
      <w:bookmarkStart w:id="18" w:name="_Toc459158093"/>
      <w:bookmarkStart w:id="19" w:name="_Toc470180033"/>
      <w:bookmarkStart w:id="20" w:name="_Toc513644441"/>
      <w:r w:rsidRPr="0071582F">
        <w:t>II</w:t>
      </w:r>
      <w:bookmarkStart w:id="21" w:name="_Toc375062711"/>
      <w:bookmarkStart w:id="22" w:name="_Toc375140861"/>
      <w:bookmarkStart w:id="23" w:name="_Toc375504820"/>
      <w:bookmarkStart w:id="24" w:name="_Toc375560894"/>
      <w:bookmarkEnd w:id="12"/>
      <w:bookmarkEnd w:id="13"/>
      <w:bookmarkEnd w:id="14"/>
      <w:bookmarkEnd w:id="15"/>
      <w:r w:rsidRPr="0071582F">
        <w:br/>
        <w:t>PROCEDIMIENTO ANTE LA CORTE</w:t>
      </w:r>
      <w:bookmarkEnd w:id="16"/>
      <w:bookmarkEnd w:id="17"/>
      <w:bookmarkEnd w:id="18"/>
      <w:bookmarkEnd w:id="19"/>
      <w:bookmarkEnd w:id="20"/>
      <w:bookmarkEnd w:id="21"/>
      <w:bookmarkEnd w:id="22"/>
      <w:bookmarkEnd w:id="23"/>
      <w:bookmarkEnd w:id="24"/>
    </w:p>
    <w:p w14:paraId="24B445A9" w14:textId="77777777" w:rsidR="00F3026E" w:rsidRPr="00F3026E" w:rsidRDefault="00F3026E" w:rsidP="00F3026E">
      <w:pPr>
        <w:rPr>
          <w:rFonts w:eastAsia="Verdana"/>
          <w:sz w:val="20"/>
          <w:szCs w:val="20"/>
        </w:rPr>
      </w:pPr>
    </w:p>
    <w:p w14:paraId="32E11EFD" w14:textId="139661C2" w:rsidR="006C37C9" w:rsidRPr="003568FC" w:rsidRDefault="006C37C9" w:rsidP="00F3026E">
      <w:pPr>
        <w:numPr>
          <w:ilvl w:val="0"/>
          <w:numId w:val="2"/>
        </w:numPr>
        <w:tabs>
          <w:tab w:val="left" w:pos="567"/>
          <w:tab w:val="num" w:pos="12305"/>
        </w:tabs>
        <w:ind w:left="0" w:firstLine="0"/>
        <w:rPr>
          <w:rFonts w:eastAsia="Verdana" w:cs="Verdana"/>
          <w:sz w:val="16"/>
          <w:szCs w:val="16"/>
        </w:rPr>
      </w:pPr>
      <w:r w:rsidRPr="0071582F">
        <w:rPr>
          <w:rFonts w:eastAsia="Verdana" w:cs="Verdana"/>
          <w:i/>
          <w:sz w:val="20"/>
          <w:szCs w:val="20"/>
        </w:rPr>
        <w:t>Notificación a la</w:t>
      </w:r>
      <w:r w:rsidR="008D1152">
        <w:rPr>
          <w:rFonts w:eastAsia="Verdana" w:cs="Verdana"/>
          <w:i/>
          <w:sz w:val="20"/>
          <w:szCs w:val="20"/>
        </w:rPr>
        <w:t>s</w:t>
      </w:r>
      <w:r w:rsidRPr="0071582F">
        <w:rPr>
          <w:rFonts w:eastAsia="Verdana" w:cs="Verdana"/>
          <w:i/>
          <w:sz w:val="20"/>
          <w:szCs w:val="20"/>
        </w:rPr>
        <w:t xml:space="preserve"> representante</w:t>
      </w:r>
      <w:r w:rsidR="008D1152">
        <w:rPr>
          <w:rFonts w:eastAsia="Verdana" w:cs="Verdana"/>
          <w:i/>
          <w:sz w:val="20"/>
          <w:szCs w:val="20"/>
        </w:rPr>
        <w:t>s</w:t>
      </w:r>
      <w:r w:rsidR="00A26F4E" w:rsidRPr="0071582F">
        <w:rPr>
          <w:rFonts w:eastAsia="Verdana" w:cs="Verdana"/>
          <w:i/>
          <w:sz w:val="20"/>
          <w:szCs w:val="20"/>
        </w:rPr>
        <w:t xml:space="preserve"> y al Estado</w:t>
      </w:r>
      <w:r w:rsidRPr="0071582F">
        <w:rPr>
          <w:rFonts w:eastAsia="Verdana" w:cs="Verdana"/>
          <w:i/>
          <w:sz w:val="20"/>
          <w:szCs w:val="20"/>
        </w:rPr>
        <w:t xml:space="preserve">. – </w:t>
      </w:r>
      <w:r w:rsidRPr="0071582F">
        <w:rPr>
          <w:rFonts w:eastAsia="Verdana" w:cs="Verdana"/>
          <w:sz w:val="20"/>
          <w:szCs w:val="20"/>
        </w:rPr>
        <w:t>El sometimiento del caso por parte de la Comisió</w:t>
      </w:r>
      <w:r w:rsidR="003568FC">
        <w:rPr>
          <w:rFonts w:eastAsia="Verdana" w:cs="Verdana"/>
          <w:sz w:val="20"/>
          <w:szCs w:val="20"/>
        </w:rPr>
        <w:t xml:space="preserve">n fue notificado por la Corte a los representantes de las presuntas víctimas, Nicolás </w:t>
      </w:r>
      <w:proofErr w:type="spellStart"/>
      <w:r w:rsidR="003568FC">
        <w:rPr>
          <w:rFonts w:eastAsia="Verdana" w:cs="Verdana"/>
          <w:sz w:val="20"/>
          <w:szCs w:val="20"/>
        </w:rPr>
        <w:t>Daneri</w:t>
      </w:r>
      <w:proofErr w:type="spellEnd"/>
      <w:r w:rsidR="003568FC">
        <w:rPr>
          <w:rFonts w:eastAsia="Verdana" w:cs="Verdana"/>
          <w:sz w:val="20"/>
          <w:szCs w:val="20"/>
        </w:rPr>
        <w:t xml:space="preserve"> </w:t>
      </w:r>
      <w:proofErr w:type="spellStart"/>
      <w:r w:rsidR="003568FC">
        <w:rPr>
          <w:rFonts w:eastAsia="Verdana" w:cs="Verdana"/>
          <w:sz w:val="20"/>
          <w:szCs w:val="20"/>
        </w:rPr>
        <w:t>Bascuña</w:t>
      </w:r>
      <w:proofErr w:type="spellEnd"/>
      <w:r w:rsidR="003568FC">
        <w:rPr>
          <w:rFonts w:eastAsia="Verdana" w:cs="Verdana"/>
          <w:sz w:val="20"/>
          <w:szCs w:val="20"/>
        </w:rPr>
        <w:t xml:space="preserve"> y Vinicio </w:t>
      </w:r>
      <w:r w:rsidR="00F4682C">
        <w:rPr>
          <w:rFonts w:eastAsia="Verdana" w:cs="Verdana"/>
          <w:sz w:val="20"/>
          <w:szCs w:val="20"/>
        </w:rPr>
        <w:t xml:space="preserve">Marco </w:t>
      </w:r>
      <w:r w:rsidR="003568FC">
        <w:rPr>
          <w:rFonts w:eastAsia="Verdana" w:cs="Verdana"/>
          <w:sz w:val="20"/>
          <w:szCs w:val="20"/>
        </w:rPr>
        <w:t>Poblete Tapia</w:t>
      </w:r>
      <w:r w:rsidR="00F4682C">
        <w:rPr>
          <w:rFonts w:eastAsia="Verdana" w:cs="Verdana"/>
          <w:sz w:val="20"/>
          <w:szCs w:val="20"/>
        </w:rPr>
        <w:t>,</w:t>
      </w:r>
      <w:r w:rsidR="003568FC">
        <w:rPr>
          <w:rFonts w:eastAsia="Verdana" w:cs="Verdana"/>
          <w:sz w:val="20"/>
          <w:szCs w:val="20"/>
        </w:rPr>
        <w:t xml:space="preserve"> </w:t>
      </w:r>
      <w:r w:rsidRPr="0071582F">
        <w:rPr>
          <w:rFonts w:eastAsia="Verdana" w:cs="Verdana"/>
          <w:sz w:val="20"/>
          <w:szCs w:val="20"/>
        </w:rPr>
        <w:t>y al Estado</w:t>
      </w:r>
      <w:r w:rsidR="007C786B">
        <w:rPr>
          <w:rFonts w:eastAsia="Verdana" w:cs="Verdana"/>
          <w:sz w:val="20"/>
          <w:szCs w:val="20"/>
        </w:rPr>
        <w:t>,</w:t>
      </w:r>
      <w:r w:rsidRPr="0071582F">
        <w:rPr>
          <w:rFonts w:eastAsia="Verdana" w:cs="Verdana"/>
          <w:sz w:val="20"/>
          <w:szCs w:val="20"/>
        </w:rPr>
        <w:t xml:space="preserve"> el </w:t>
      </w:r>
      <w:r w:rsidR="00B4445F">
        <w:rPr>
          <w:rFonts w:eastAsia="Verdana" w:cs="Verdana"/>
          <w:sz w:val="20"/>
          <w:szCs w:val="20"/>
        </w:rPr>
        <w:t>17</w:t>
      </w:r>
      <w:r w:rsidRPr="0071582F">
        <w:rPr>
          <w:rFonts w:eastAsia="Verdana" w:cs="Verdana"/>
          <w:sz w:val="20"/>
          <w:szCs w:val="20"/>
        </w:rPr>
        <w:t xml:space="preserve"> de</w:t>
      </w:r>
      <w:r w:rsidR="00B4445F">
        <w:rPr>
          <w:rFonts w:eastAsia="Verdana" w:cs="Verdana"/>
          <w:sz w:val="20"/>
          <w:szCs w:val="20"/>
        </w:rPr>
        <w:t xml:space="preserve"> octubre</w:t>
      </w:r>
      <w:r w:rsidR="004B6D26">
        <w:rPr>
          <w:rFonts w:eastAsia="Verdana" w:cs="Verdana"/>
          <w:sz w:val="20"/>
          <w:szCs w:val="20"/>
        </w:rPr>
        <w:t xml:space="preserve"> de 2016</w:t>
      </w:r>
      <w:r w:rsidRPr="0071582F">
        <w:rPr>
          <w:rFonts w:eastAsia="Verdana" w:cs="Verdana"/>
          <w:sz w:val="20"/>
          <w:szCs w:val="20"/>
        </w:rPr>
        <w:t>.</w:t>
      </w:r>
      <w:r w:rsidR="00962981">
        <w:rPr>
          <w:rFonts w:eastAsia="Verdana" w:cs="Verdana"/>
          <w:sz w:val="20"/>
          <w:szCs w:val="20"/>
        </w:rPr>
        <w:t xml:space="preserve"> </w:t>
      </w:r>
    </w:p>
    <w:p w14:paraId="016EAB67" w14:textId="77777777" w:rsidR="003568FC" w:rsidRPr="0071582F" w:rsidRDefault="003568FC" w:rsidP="00F3026E">
      <w:pPr>
        <w:tabs>
          <w:tab w:val="left" w:pos="567"/>
        </w:tabs>
        <w:rPr>
          <w:rFonts w:eastAsia="Verdana" w:cs="Verdana"/>
          <w:sz w:val="16"/>
          <w:szCs w:val="16"/>
        </w:rPr>
      </w:pPr>
    </w:p>
    <w:p w14:paraId="0DB23994" w14:textId="62588300" w:rsidR="003568FC" w:rsidRDefault="003568FC" w:rsidP="00F3026E">
      <w:pPr>
        <w:numPr>
          <w:ilvl w:val="0"/>
          <w:numId w:val="2"/>
        </w:numPr>
        <w:tabs>
          <w:tab w:val="left" w:pos="567"/>
          <w:tab w:val="num" w:pos="12305"/>
        </w:tabs>
        <w:ind w:left="0" w:firstLine="0"/>
        <w:rPr>
          <w:rFonts w:eastAsia="Verdana" w:cs="Verdana"/>
          <w:sz w:val="20"/>
          <w:szCs w:val="20"/>
        </w:rPr>
      </w:pPr>
      <w:r w:rsidRPr="00B4445F">
        <w:rPr>
          <w:rFonts w:eastAsia="Verdana" w:cs="Verdana"/>
          <w:i/>
          <w:sz w:val="20"/>
          <w:szCs w:val="20"/>
        </w:rPr>
        <w:t>Designación de Defensores Públicos Interamericanos</w:t>
      </w:r>
      <w:r w:rsidRPr="00B4445F">
        <w:rPr>
          <w:rFonts w:eastAsia="Verdana" w:cs="Verdana"/>
          <w:sz w:val="20"/>
          <w:szCs w:val="20"/>
        </w:rPr>
        <w:t xml:space="preserve">. – </w:t>
      </w:r>
      <w:r>
        <w:rPr>
          <w:rFonts w:eastAsia="Verdana" w:cs="Verdana"/>
          <w:sz w:val="20"/>
          <w:szCs w:val="20"/>
        </w:rPr>
        <w:t xml:space="preserve">El 23 de noviembre de 2016 el señor Vinicio Poblete Tapia señaló que el señor Nicolás </w:t>
      </w:r>
      <w:proofErr w:type="spellStart"/>
      <w:r>
        <w:rPr>
          <w:rFonts w:eastAsia="Verdana" w:cs="Verdana"/>
          <w:sz w:val="20"/>
          <w:szCs w:val="20"/>
        </w:rPr>
        <w:t>Daneri</w:t>
      </w:r>
      <w:proofErr w:type="spellEnd"/>
      <w:r>
        <w:rPr>
          <w:rFonts w:eastAsia="Verdana" w:cs="Verdana"/>
          <w:sz w:val="20"/>
          <w:szCs w:val="20"/>
        </w:rPr>
        <w:t xml:space="preserve"> </w:t>
      </w:r>
      <w:proofErr w:type="spellStart"/>
      <w:r>
        <w:rPr>
          <w:rFonts w:eastAsia="Verdana" w:cs="Verdana"/>
          <w:sz w:val="20"/>
          <w:szCs w:val="20"/>
        </w:rPr>
        <w:t>Bascuña</w:t>
      </w:r>
      <w:proofErr w:type="spellEnd"/>
      <w:r>
        <w:rPr>
          <w:rFonts w:eastAsia="Verdana" w:cs="Verdana"/>
          <w:sz w:val="20"/>
          <w:szCs w:val="20"/>
        </w:rPr>
        <w:t xml:space="preserve"> no continuaría con la representación legal del caso ante la Corte, información que fue confirmada por el señor </w:t>
      </w:r>
      <w:proofErr w:type="spellStart"/>
      <w:r>
        <w:rPr>
          <w:rFonts w:eastAsia="Verdana" w:cs="Verdana"/>
          <w:sz w:val="20"/>
          <w:szCs w:val="20"/>
        </w:rPr>
        <w:t>Daneri</w:t>
      </w:r>
      <w:proofErr w:type="spellEnd"/>
      <w:r w:rsidRPr="00B4445F">
        <w:rPr>
          <w:rFonts w:eastAsia="Verdana" w:cs="Verdana"/>
          <w:sz w:val="20"/>
          <w:szCs w:val="20"/>
        </w:rPr>
        <w:t>.</w:t>
      </w:r>
      <w:r w:rsidR="00962981" w:rsidRPr="00962981">
        <w:rPr>
          <w:b/>
          <w:sz w:val="18"/>
          <w:szCs w:val="18"/>
        </w:rPr>
        <w:t xml:space="preserve"> </w:t>
      </w:r>
      <w:r w:rsidRPr="00B4445F">
        <w:rPr>
          <w:rFonts w:eastAsia="Verdana" w:cs="Verdana"/>
          <w:sz w:val="20"/>
          <w:szCs w:val="20"/>
        </w:rPr>
        <w:t>Luego de una comunicación remitida por la Secretaría, siguiendo instrucciones del Presidente de la Corte, el 2</w:t>
      </w:r>
      <w:r>
        <w:rPr>
          <w:rFonts w:eastAsia="Verdana" w:cs="Verdana"/>
          <w:sz w:val="20"/>
          <w:szCs w:val="20"/>
        </w:rPr>
        <w:t>4</w:t>
      </w:r>
      <w:r w:rsidRPr="00B4445F">
        <w:rPr>
          <w:rFonts w:eastAsia="Verdana" w:cs="Verdana"/>
          <w:sz w:val="20"/>
          <w:szCs w:val="20"/>
        </w:rPr>
        <w:t xml:space="preserve"> de </w:t>
      </w:r>
      <w:r>
        <w:rPr>
          <w:rFonts w:eastAsia="Verdana" w:cs="Verdana"/>
          <w:sz w:val="20"/>
          <w:szCs w:val="20"/>
        </w:rPr>
        <w:t>noviembre</w:t>
      </w:r>
      <w:r w:rsidRPr="00B4445F">
        <w:rPr>
          <w:rFonts w:eastAsia="Verdana" w:cs="Verdana"/>
          <w:sz w:val="20"/>
          <w:szCs w:val="20"/>
        </w:rPr>
        <w:t xml:space="preserve"> de 201</w:t>
      </w:r>
      <w:r>
        <w:rPr>
          <w:rFonts w:eastAsia="Verdana" w:cs="Verdana"/>
          <w:sz w:val="20"/>
          <w:szCs w:val="20"/>
        </w:rPr>
        <w:t>6</w:t>
      </w:r>
      <w:r w:rsidRPr="00B4445F">
        <w:rPr>
          <w:rFonts w:eastAsia="Verdana" w:cs="Verdana"/>
          <w:sz w:val="20"/>
          <w:szCs w:val="20"/>
        </w:rPr>
        <w:t xml:space="preserve"> el señor </w:t>
      </w:r>
      <w:r>
        <w:rPr>
          <w:rFonts w:eastAsia="Verdana" w:cs="Verdana"/>
          <w:sz w:val="20"/>
          <w:szCs w:val="20"/>
        </w:rPr>
        <w:t>Poblete Tapia</w:t>
      </w:r>
      <w:r w:rsidRPr="00B4445F">
        <w:rPr>
          <w:rFonts w:eastAsia="Verdana" w:cs="Verdana"/>
          <w:sz w:val="20"/>
          <w:szCs w:val="20"/>
        </w:rPr>
        <w:t xml:space="preserve"> solicitó la designación de un Defensor Público Interamericano.</w:t>
      </w:r>
      <w:r w:rsidR="00962981" w:rsidRPr="00962981">
        <w:rPr>
          <w:b/>
          <w:sz w:val="18"/>
          <w:szCs w:val="18"/>
        </w:rPr>
        <w:t xml:space="preserve"> </w:t>
      </w:r>
      <w:r>
        <w:rPr>
          <w:rFonts w:eastAsia="Verdana" w:cs="Verdana"/>
          <w:sz w:val="20"/>
          <w:szCs w:val="20"/>
        </w:rPr>
        <w:t xml:space="preserve">Mediante Resolución del Presidente de 25 de noviembre de 2017 se suspendió el plazo de dos meses para la presentación del escrito </w:t>
      </w:r>
      <w:r w:rsidR="009F637A" w:rsidRPr="0071582F">
        <w:rPr>
          <w:rFonts w:eastAsia="Verdana" w:cs="Verdana"/>
          <w:sz w:val="20"/>
          <w:szCs w:val="20"/>
        </w:rPr>
        <w:t>de solicitudes, argumentos y pruebas (en adelante “escrito de solicitudes y argumentos”)</w:t>
      </w:r>
      <w:r w:rsidR="009F637A">
        <w:rPr>
          <w:rFonts w:eastAsia="Verdana" w:cs="Verdana"/>
          <w:sz w:val="20"/>
          <w:szCs w:val="20"/>
        </w:rPr>
        <w:t xml:space="preserve"> hasta que se notificara la nueva representación, de conformidad con el artículo 40 del Reglamento de la Corte</w:t>
      </w:r>
      <w:r w:rsidR="009F637A">
        <w:rPr>
          <w:rStyle w:val="FootnoteReference"/>
          <w:rFonts w:eastAsia="Verdana" w:cs="Verdana"/>
          <w:sz w:val="20"/>
          <w:szCs w:val="20"/>
        </w:rPr>
        <w:footnoteReference w:id="7"/>
      </w:r>
      <w:r w:rsidR="009F637A">
        <w:rPr>
          <w:rFonts w:eastAsia="Verdana" w:cs="Verdana"/>
          <w:sz w:val="20"/>
          <w:szCs w:val="20"/>
        </w:rPr>
        <w:t xml:space="preserve">. </w:t>
      </w:r>
      <w:r w:rsidRPr="00B4445F">
        <w:rPr>
          <w:rFonts w:eastAsia="Verdana" w:cs="Verdana"/>
          <w:sz w:val="20"/>
          <w:szCs w:val="20"/>
        </w:rPr>
        <w:t xml:space="preserve">Luego de las respectivas comunicaciones con la Asociación Interamericana de Defensorías Públicas (AIDEF), el </w:t>
      </w:r>
      <w:r w:rsidR="009F637A">
        <w:rPr>
          <w:rFonts w:eastAsia="Verdana" w:cs="Verdana"/>
          <w:sz w:val="20"/>
          <w:szCs w:val="20"/>
        </w:rPr>
        <w:t>7</w:t>
      </w:r>
      <w:r w:rsidRPr="00B4445F">
        <w:rPr>
          <w:rFonts w:eastAsia="Verdana" w:cs="Verdana"/>
          <w:sz w:val="20"/>
          <w:szCs w:val="20"/>
        </w:rPr>
        <w:t xml:space="preserve"> de </w:t>
      </w:r>
      <w:r w:rsidR="009F637A">
        <w:rPr>
          <w:rFonts w:eastAsia="Verdana" w:cs="Verdana"/>
          <w:sz w:val="20"/>
          <w:szCs w:val="20"/>
        </w:rPr>
        <w:t>diciembre de 2017 el Coordinador</w:t>
      </w:r>
      <w:r w:rsidRPr="00B4445F">
        <w:rPr>
          <w:rFonts w:eastAsia="Verdana" w:cs="Verdana"/>
          <w:sz w:val="20"/>
          <w:szCs w:val="20"/>
        </w:rPr>
        <w:t xml:space="preserve"> General de dicha Asociación comunicó a la Corte que la se</w:t>
      </w:r>
      <w:r w:rsidR="00C133E5">
        <w:rPr>
          <w:rFonts w:eastAsia="Verdana" w:cs="Verdana"/>
          <w:sz w:val="20"/>
          <w:szCs w:val="20"/>
        </w:rPr>
        <w:t>ñora Silvia Martínez</w:t>
      </w:r>
      <w:r w:rsidRPr="00B4445F">
        <w:rPr>
          <w:rFonts w:eastAsia="Verdana" w:cs="Verdana"/>
          <w:sz w:val="20"/>
          <w:szCs w:val="20"/>
        </w:rPr>
        <w:t xml:space="preserve"> y </w:t>
      </w:r>
      <w:r w:rsidR="009F637A">
        <w:rPr>
          <w:rFonts w:eastAsia="Verdana" w:cs="Verdana"/>
          <w:sz w:val="20"/>
          <w:szCs w:val="20"/>
        </w:rPr>
        <w:t>la</w:t>
      </w:r>
      <w:r w:rsidRPr="00B4445F">
        <w:rPr>
          <w:rFonts w:eastAsia="Verdana" w:cs="Verdana"/>
          <w:sz w:val="20"/>
          <w:szCs w:val="20"/>
        </w:rPr>
        <w:t xml:space="preserve"> señor</w:t>
      </w:r>
      <w:r w:rsidR="009F637A">
        <w:rPr>
          <w:rFonts w:eastAsia="Verdana" w:cs="Verdana"/>
          <w:sz w:val="20"/>
          <w:szCs w:val="20"/>
        </w:rPr>
        <w:t>a</w:t>
      </w:r>
      <w:r w:rsidRPr="00B4445F">
        <w:rPr>
          <w:rFonts w:eastAsia="Verdana" w:cs="Verdana"/>
          <w:sz w:val="20"/>
          <w:szCs w:val="20"/>
        </w:rPr>
        <w:t xml:space="preserve"> </w:t>
      </w:r>
      <w:proofErr w:type="spellStart"/>
      <w:r w:rsidR="009F637A">
        <w:rPr>
          <w:rFonts w:eastAsia="Verdana" w:cs="Verdana"/>
          <w:sz w:val="20"/>
          <w:szCs w:val="20"/>
        </w:rPr>
        <w:t>Rivana</w:t>
      </w:r>
      <w:proofErr w:type="spellEnd"/>
      <w:r w:rsidR="009F637A">
        <w:rPr>
          <w:rFonts w:eastAsia="Verdana" w:cs="Verdana"/>
          <w:sz w:val="20"/>
          <w:szCs w:val="20"/>
        </w:rPr>
        <w:t xml:space="preserve"> Barreto Ricarte de Oliveira</w:t>
      </w:r>
      <w:r w:rsidR="00C133E5">
        <w:rPr>
          <w:rFonts w:eastAsia="Verdana" w:cs="Verdana"/>
          <w:sz w:val="20"/>
          <w:szCs w:val="20"/>
        </w:rPr>
        <w:t xml:space="preserve"> </w:t>
      </w:r>
      <w:r w:rsidRPr="00B4445F">
        <w:rPr>
          <w:rFonts w:eastAsia="Verdana" w:cs="Verdana"/>
          <w:sz w:val="20"/>
          <w:szCs w:val="20"/>
        </w:rPr>
        <w:t>había</w:t>
      </w:r>
      <w:r w:rsidR="009F637A">
        <w:rPr>
          <w:rFonts w:eastAsia="Verdana" w:cs="Verdana"/>
          <w:sz w:val="20"/>
          <w:szCs w:val="20"/>
        </w:rPr>
        <w:t>n sido designados como defensoras públicas interamericana</w:t>
      </w:r>
      <w:r w:rsidRPr="00B4445F">
        <w:rPr>
          <w:rFonts w:eastAsia="Verdana" w:cs="Verdana"/>
          <w:sz w:val="20"/>
          <w:szCs w:val="20"/>
        </w:rPr>
        <w:t>s para ejercer la representación legal de la</w:t>
      </w:r>
      <w:r w:rsidR="006D1797">
        <w:rPr>
          <w:rFonts w:eastAsia="Verdana" w:cs="Verdana"/>
          <w:sz w:val="20"/>
          <w:szCs w:val="20"/>
        </w:rPr>
        <w:t>s</w:t>
      </w:r>
      <w:r w:rsidRPr="00B4445F">
        <w:rPr>
          <w:rFonts w:eastAsia="Verdana" w:cs="Verdana"/>
          <w:sz w:val="20"/>
          <w:szCs w:val="20"/>
        </w:rPr>
        <w:t xml:space="preserve"> presunta</w:t>
      </w:r>
      <w:r w:rsidR="006D1797">
        <w:rPr>
          <w:rFonts w:eastAsia="Verdana" w:cs="Verdana"/>
          <w:sz w:val="20"/>
          <w:szCs w:val="20"/>
        </w:rPr>
        <w:t>s</w:t>
      </w:r>
      <w:r w:rsidRPr="00B4445F">
        <w:rPr>
          <w:rFonts w:eastAsia="Verdana" w:cs="Verdana"/>
          <w:sz w:val="20"/>
          <w:szCs w:val="20"/>
        </w:rPr>
        <w:t xml:space="preserve"> vícti</w:t>
      </w:r>
      <w:r w:rsidR="009F637A">
        <w:rPr>
          <w:rFonts w:eastAsia="Verdana" w:cs="Verdana"/>
          <w:sz w:val="20"/>
          <w:szCs w:val="20"/>
        </w:rPr>
        <w:t>ma</w:t>
      </w:r>
      <w:r w:rsidR="006D1797">
        <w:rPr>
          <w:rFonts w:eastAsia="Verdana" w:cs="Verdana"/>
          <w:sz w:val="20"/>
          <w:szCs w:val="20"/>
        </w:rPr>
        <w:t>s</w:t>
      </w:r>
      <w:r w:rsidR="009F637A">
        <w:rPr>
          <w:rFonts w:eastAsia="Verdana" w:cs="Verdana"/>
          <w:sz w:val="20"/>
          <w:szCs w:val="20"/>
        </w:rPr>
        <w:t xml:space="preserve"> en este caso (en adelante “la</w:t>
      </w:r>
      <w:r w:rsidRPr="00B4445F">
        <w:rPr>
          <w:rFonts w:eastAsia="Verdana" w:cs="Verdana"/>
          <w:sz w:val="20"/>
          <w:szCs w:val="20"/>
        </w:rPr>
        <w:t xml:space="preserve">s </w:t>
      </w:r>
      <w:r w:rsidR="009F637A">
        <w:rPr>
          <w:rFonts w:eastAsia="Verdana" w:cs="Verdana"/>
          <w:sz w:val="20"/>
          <w:szCs w:val="20"/>
        </w:rPr>
        <w:t>defensoras interamericanas</w:t>
      </w:r>
      <w:r w:rsidRPr="00B4445F">
        <w:rPr>
          <w:rFonts w:eastAsia="Verdana" w:cs="Verdana"/>
          <w:sz w:val="20"/>
          <w:szCs w:val="20"/>
        </w:rPr>
        <w:t>”</w:t>
      </w:r>
      <w:r w:rsidR="009F637A">
        <w:rPr>
          <w:rFonts w:eastAsia="Verdana" w:cs="Verdana"/>
          <w:sz w:val="20"/>
          <w:szCs w:val="20"/>
        </w:rPr>
        <w:t xml:space="preserve"> o “las representantes”</w:t>
      </w:r>
      <w:r w:rsidRPr="00B4445F">
        <w:rPr>
          <w:rFonts w:eastAsia="Verdana" w:cs="Verdana"/>
          <w:sz w:val="20"/>
          <w:szCs w:val="20"/>
        </w:rPr>
        <w:t>).</w:t>
      </w:r>
      <w:r w:rsidR="00962981">
        <w:rPr>
          <w:rFonts w:eastAsia="Verdana" w:cs="Verdana"/>
          <w:sz w:val="20"/>
          <w:szCs w:val="20"/>
        </w:rPr>
        <w:t xml:space="preserve"> </w:t>
      </w:r>
    </w:p>
    <w:p w14:paraId="0957AE39" w14:textId="77777777" w:rsidR="006C37C9" w:rsidRPr="0071582F" w:rsidRDefault="006C37C9" w:rsidP="00F3026E"/>
    <w:p w14:paraId="03C37C51" w14:textId="78A67315" w:rsidR="006C37C9" w:rsidRPr="008D0F8E" w:rsidRDefault="006C37C9" w:rsidP="00F3026E">
      <w:pPr>
        <w:numPr>
          <w:ilvl w:val="0"/>
          <w:numId w:val="2"/>
        </w:numPr>
        <w:tabs>
          <w:tab w:val="left" w:pos="567"/>
          <w:tab w:val="num" w:pos="12305"/>
        </w:tabs>
        <w:ind w:left="0" w:firstLine="0"/>
        <w:rPr>
          <w:rFonts w:eastAsia="Verdana" w:cs="Verdana"/>
          <w:sz w:val="20"/>
          <w:szCs w:val="20"/>
          <w:u w:val="single"/>
        </w:rPr>
      </w:pPr>
      <w:r w:rsidRPr="0071582F">
        <w:rPr>
          <w:rFonts w:eastAsia="Verdana" w:cs="Verdana"/>
          <w:i/>
          <w:sz w:val="20"/>
          <w:szCs w:val="20"/>
        </w:rPr>
        <w:t xml:space="preserve">Escrito de solicitudes, argumentos y pruebas. – </w:t>
      </w:r>
      <w:r w:rsidRPr="0071582F">
        <w:rPr>
          <w:rFonts w:eastAsia="Verdana" w:cs="Verdana"/>
          <w:sz w:val="20"/>
          <w:szCs w:val="20"/>
        </w:rPr>
        <w:t xml:space="preserve">El </w:t>
      </w:r>
      <w:r w:rsidR="004B6D26">
        <w:rPr>
          <w:rFonts w:eastAsia="Verdana" w:cs="Verdana"/>
          <w:sz w:val="20"/>
          <w:szCs w:val="20"/>
        </w:rPr>
        <w:t>27</w:t>
      </w:r>
      <w:r w:rsidRPr="0071582F">
        <w:rPr>
          <w:rFonts w:eastAsia="Verdana" w:cs="Verdana"/>
          <w:sz w:val="20"/>
          <w:szCs w:val="20"/>
        </w:rPr>
        <w:t xml:space="preserve"> de </w:t>
      </w:r>
      <w:r w:rsidR="004B6D26">
        <w:rPr>
          <w:rFonts w:eastAsia="Verdana" w:cs="Verdana"/>
          <w:sz w:val="20"/>
          <w:szCs w:val="20"/>
        </w:rPr>
        <w:t>enero de 2017</w:t>
      </w:r>
      <w:r w:rsidRPr="0071582F">
        <w:rPr>
          <w:rFonts w:eastAsia="Verdana" w:cs="Verdana"/>
          <w:sz w:val="20"/>
          <w:szCs w:val="20"/>
        </w:rPr>
        <w:t xml:space="preserve"> la</w:t>
      </w:r>
      <w:r w:rsidR="004B6D26">
        <w:rPr>
          <w:rFonts w:eastAsia="Verdana" w:cs="Verdana"/>
          <w:sz w:val="20"/>
          <w:szCs w:val="20"/>
        </w:rPr>
        <w:t>s</w:t>
      </w:r>
      <w:r w:rsidRPr="0071582F">
        <w:rPr>
          <w:rFonts w:eastAsia="Verdana" w:cs="Verdana"/>
          <w:sz w:val="20"/>
          <w:szCs w:val="20"/>
        </w:rPr>
        <w:t xml:space="preserve"> </w:t>
      </w:r>
      <w:r w:rsidR="004B6D26">
        <w:rPr>
          <w:rFonts w:eastAsia="Calibri" w:cs="Arial"/>
          <w:sz w:val="20"/>
          <w:szCs w:val="20"/>
        </w:rPr>
        <w:t>defensoras interamericanas</w:t>
      </w:r>
      <w:r w:rsidRPr="0071582F">
        <w:rPr>
          <w:rFonts w:eastAsia="Verdana" w:cs="Verdana"/>
          <w:sz w:val="20"/>
          <w:szCs w:val="20"/>
        </w:rPr>
        <w:t xml:space="preserve"> present</w:t>
      </w:r>
      <w:r w:rsidR="004B6D26">
        <w:rPr>
          <w:rFonts w:eastAsia="Verdana" w:cs="Verdana"/>
          <w:sz w:val="20"/>
          <w:szCs w:val="20"/>
        </w:rPr>
        <w:t>aron</w:t>
      </w:r>
      <w:r w:rsidRPr="0071582F">
        <w:rPr>
          <w:rFonts w:eastAsia="Verdana" w:cs="Verdana"/>
          <w:sz w:val="20"/>
          <w:szCs w:val="20"/>
        </w:rPr>
        <w:t xml:space="preserve"> ante la </w:t>
      </w:r>
      <w:r w:rsidR="006D1797">
        <w:rPr>
          <w:rFonts w:eastAsia="Verdana" w:cs="Verdana"/>
          <w:sz w:val="20"/>
          <w:szCs w:val="20"/>
        </w:rPr>
        <w:t>Corte su escrito de solicitudes y argumentos</w:t>
      </w:r>
      <w:r w:rsidRPr="0071582F">
        <w:rPr>
          <w:rFonts w:eastAsia="Verdana" w:cs="Verdana"/>
          <w:sz w:val="20"/>
          <w:szCs w:val="20"/>
        </w:rPr>
        <w:t>. La</w:t>
      </w:r>
      <w:r w:rsidR="008D1152">
        <w:rPr>
          <w:rFonts w:eastAsia="Verdana" w:cs="Verdana"/>
          <w:sz w:val="20"/>
          <w:szCs w:val="20"/>
        </w:rPr>
        <w:t>s</w:t>
      </w:r>
      <w:r w:rsidRPr="0071582F">
        <w:rPr>
          <w:rFonts w:eastAsia="Verdana" w:cs="Verdana"/>
          <w:sz w:val="20"/>
          <w:szCs w:val="20"/>
        </w:rPr>
        <w:t xml:space="preserve"> representante</w:t>
      </w:r>
      <w:r w:rsidR="008D1152">
        <w:rPr>
          <w:rFonts w:eastAsia="Verdana" w:cs="Verdana"/>
          <w:sz w:val="20"/>
          <w:szCs w:val="20"/>
        </w:rPr>
        <w:t>s</w:t>
      </w:r>
      <w:r w:rsidRPr="0071582F">
        <w:rPr>
          <w:rFonts w:eastAsia="Verdana" w:cs="Verdana"/>
          <w:sz w:val="20"/>
          <w:szCs w:val="20"/>
        </w:rPr>
        <w:t xml:space="preserve"> coincid</w:t>
      </w:r>
      <w:r w:rsidR="008D1152">
        <w:rPr>
          <w:rFonts w:eastAsia="Verdana" w:cs="Verdana"/>
          <w:sz w:val="20"/>
          <w:szCs w:val="20"/>
        </w:rPr>
        <w:t>ieron</w:t>
      </w:r>
      <w:r w:rsidRPr="0071582F">
        <w:rPr>
          <w:rFonts w:eastAsia="Verdana" w:cs="Verdana"/>
          <w:sz w:val="20"/>
          <w:szCs w:val="20"/>
        </w:rPr>
        <w:t xml:space="preserve"> sustancialmente con los alegatos de la Comisión y solicit</w:t>
      </w:r>
      <w:r w:rsidR="008D1152">
        <w:rPr>
          <w:rFonts w:eastAsia="Verdana" w:cs="Verdana"/>
          <w:sz w:val="20"/>
          <w:szCs w:val="20"/>
        </w:rPr>
        <w:t>aron</w:t>
      </w:r>
      <w:r w:rsidRPr="0071582F">
        <w:rPr>
          <w:rFonts w:eastAsia="Verdana" w:cs="Verdana"/>
          <w:sz w:val="20"/>
          <w:szCs w:val="20"/>
        </w:rPr>
        <w:t xml:space="preserve"> a la Corte que declarara la responsabilidad internacional del Estado por la violación de los artículos </w:t>
      </w:r>
      <w:r w:rsidR="008D0F8E">
        <w:rPr>
          <w:rFonts w:eastAsia="Verdana" w:cs="Verdana"/>
          <w:sz w:val="20"/>
          <w:szCs w:val="20"/>
        </w:rPr>
        <w:t xml:space="preserve">4.1, 5.1, 26, 8, 25, 13.1, 11 y 7 </w:t>
      </w:r>
      <w:r w:rsidRPr="0071582F">
        <w:rPr>
          <w:rFonts w:eastAsia="Verdana" w:cs="Verdana"/>
          <w:sz w:val="20"/>
          <w:szCs w:val="20"/>
        </w:rPr>
        <w:t xml:space="preserve">de la Convención Americana, en conexión con el artículo 1.1 </w:t>
      </w:r>
      <w:r w:rsidR="008D0F8E">
        <w:rPr>
          <w:rFonts w:eastAsia="Verdana" w:cs="Verdana"/>
          <w:sz w:val="20"/>
          <w:szCs w:val="20"/>
        </w:rPr>
        <w:t>y 2 del mismo instrumento</w:t>
      </w:r>
      <w:r w:rsidR="00C133E5">
        <w:rPr>
          <w:rFonts w:eastAsia="Verdana" w:cs="Verdana"/>
          <w:sz w:val="20"/>
          <w:szCs w:val="20"/>
        </w:rPr>
        <w:t>,</w:t>
      </w:r>
      <w:r w:rsidR="008D0F8E">
        <w:rPr>
          <w:rFonts w:eastAsia="Verdana" w:cs="Verdana"/>
          <w:sz w:val="20"/>
          <w:szCs w:val="20"/>
        </w:rPr>
        <w:t xml:space="preserve"> en perjuicio del señor Vinicio Antonio Poblete Vilches y sus familiares.</w:t>
      </w:r>
      <w:r w:rsidR="00962981" w:rsidRPr="00962981">
        <w:rPr>
          <w:b/>
          <w:sz w:val="18"/>
          <w:szCs w:val="18"/>
        </w:rPr>
        <w:t xml:space="preserve"> </w:t>
      </w:r>
      <w:r w:rsidRPr="008D0F8E">
        <w:rPr>
          <w:rFonts w:eastAsia="Verdana" w:cs="Verdana"/>
          <w:sz w:val="20"/>
          <w:szCs w:val="20"/>
        </w:rPr>
        <w:t>Asimismo, la</w:t>
      </w:r>
      <w:r w:rsidR="008D0F8E">
        <w:rPr>
          <w:rFonts w:eastAsia="Verdana" w:cs="Verdana"/>
          <w:sz w:val="20"/>
          <w:szCs w:val="20"/>
        </w:rPr>
        <w:t>s defensoras interamericanas solicitaron</w:t>
      </w:r>
      <w:r w:rsidRPr="008D0F8E">
        <w:rPr>
          <w:rFonts w:eastAsia="Verdana" w:cs="Verdana"/>
          <w:sz w:val="20"/>
          <w:szCs w:val="20"/>
        </w:rPr>
        <w:t xml:space="preserve"> acogerse al Fondo de Asistencia Legal de Víctimas de la Corte Interamericana (en adelante el “Fondo de Asistencia de la Corte” o el “Fondo”). Finalmente, solicit</w:t>
      </w:r>
      <w:r w:rsidR="008D1152">
        <w:rPr>
          <w:rFonts w:eastAsia="Verdana" w:cs="Verdana"/>
          <w:sz w:val="20"/>
          <w:szCs w:val="20"/>
        </w:rPr>
        <w:t>aron</w:t>
      </w:r>
      <w:r w:rsidRPr="008D0F8E">
        <w:rPr>
          <w:rFonts w:eastAsia="Verdana" w:cs="Verdana"/>
          <w:sz w:val="20"/>
          <w:szCs w:val="20"/>
        </w:rPr>
        <w:t xml:space="preserve"> a la Corte que ordenara al Estado la adopción de diversas medidas de reparación y el reintegro de determinadas costas y gastos.</w:t>
      </w:r>
      <w:r w:rsidR="00962981" w:rsidRPr="00962981">
        <w:rPr>
          <w:b/>
          <w:sz w:val="18"/>
          <w:szCs w:val="18"/>
        </w:rPr>
        <w:t xml:space="preserve"> </w:t>
      </w:r>
    </w:p>
    <w:p w14:paraId="7D84E2B6" w14:textId="77777777" w:rsidR="006C37C9" w:rsidRPr="0071582F" w:rsidRDefault="006C37C9" w:rsidP="00F3026E">
      <w:pPr>
        <w:rPr>
          <w:sz w:val="20"/>
          <w:szCs w:val="20"/>
        </w:rPr>
      </w:pPr>
    </w:p>
    <w:p w14:paraId="6DFA59E9" w14:textId="400A7B5E" w:rsidR="006C37C9" w:rsidRPr="00D823EA" w:rsidRDefault="006C37C9" w:rsidP="00F3026E">
      <w:pPr>
        <w:numPr>
          <w:ilvl w:val="0"/>
          <w:numId w:val="2"/>
        </w:numPr>
        <w:tabs>
          <w:tab w:val="left" w:pos="567"/>
          <w:tab w:val="num" w:pos="12305"/>
        </w:tabs>
        <w:ind w:left="0" w:firstLine="0"/>
        <w:rPr>
          <w:rFonts w:eastAsia="Verdana" w:cs="Verdana"/>
          <w:i/>
          <w:sz w:val="20"/>
          <w:szCs w:val="20"/>
        </w:rPr>
      </w:pPr>
      <w:r w:rsidRPr="0071582F">
        <w:rPr>
          <w:rFonts w:eastAsia="Verdana" w:cs="Verdana"/>
          <w:i/>
          <w:sz w:val="20"/>
          <w:szCs w:val="20"/>
        </w:rPr>
        <w:t xml:space="preserve">Escrito de contestación. – </w:t>
      </w:r>
      <w:r w:rsidRPr="0071582F">
        <w:rPr>
          <w:rFonts w:eastAsia="Verdana" w:cs="Verdana"/>
          <w:sz w:val="20"/>
          <w:szCs w:val="20"/>
        </w:rPr>
        <w:t xml:space="preserve">El </w:t>
      </w:r>
      <w:r w:rsidR="008D0F8E">
        <w:rPr>
          <w:rFonts w:eastAsia="Verdana" w:cs="Verdana"/>
          <w:sz w:val="20"/>
          <w:szCs w:val="20"/>
        </w:rPr>
        <w:t>21</w:t>
      </w:r>
      <w:r w:rsidRPr="0071582F">
        <w:rPr>
          <w:rFonts w:eastAsia="Verdana" w:cs="Verdana"/>
          <w:sz w:val="20"/>
          <w:szCs w:val="20"/>
        </w:rPr>
        <w:t xml:space="preserve"> de </w:t>
      </w:r>
      <w:r w:rsidR="008D0F8E">
        <w:rPr>
          <w:rFonts w:eastAsia="Verdana" w:cs="Verdana"/>
          <w:sz w:val="20"/>
          <w:szCs w:val="20"/>
        </w:rPr>
        <w:t>abril</w:t>
      </w:r>
      <w:r w:rsidRPr="0071582F">
        <w:rPr>
          <w:rFonts w:eastAsia="Verdana" w:cs="Verdana"/>
          <w:sz w:val="20"/>
          <w:szCs w:val="20"/>
        </w:rPr>
        <w:t xml:space="preserve"> de 201</w:t>
      </w:r>
      <w:r w:rsidR="008D0F8E">
        <w:rPr>
          <w:rFonts w:eastAsia="Verdana" w:cs="Verdana"/>
          <w:sz w:val="20"/>
          <w:szCs w:val="20"/>
        </w:rPr>
        <w:t>7</w:t>
      </w:r>
      <w:r w:rsidRPr="0071582F">
        <w:rPr>
          <w:rFonts w:eastAsia="Verdana" w:cs="Verdana"/>
          <w:sz w:val="20"/>
          <w:szCs w:val="20"/>
        </w:rPr>
        <w:t xml:space="preserve"> el Estado</w:t>
      </w:r>
      <w:r w:rsidR="00EB3F3D" w:rsidRPr="0071582F">
        <w:rPr>
          <w:rStyle w:val="FootnoteReference"/>
          <w:rFonts w:eastAsia="Verdana" w:cs="Verdana"/>
          <w:sz w:val="20"/>
          <w:szCs w:val="20"/>
        </w:rPr>
        <w:footnoteReference w:id="8"/>
      </w:r>
      <w:r w:rsidRPr="0071582F">
        <w:rPr>
          <w:rFonts w:eastAsia="Verdana" w:cs="Verdana"/>
          <w:sz w:val="20"/>
          <w:szCs w:val="20"/>
        </w:rPr>
        <w:t xml:space="preserve"> presentó ante la Corte su </w:t>
      </w:r>
      <w:r w:rsidRPr="0071582F">
        <w:rPr>
          <w:rFonts w:eastAsia="Calibri" w:cs="Arial"/>
          <w:sz w:val="20"/>
          <w:szCs w:val="20"/>
        </w:rPr>
        <w:t>escrito</w:t>
      </w:r>
      <w:r w:rsidRPr="0071582F">
        <w:rPr>
          <w:rFonts w:eastAsia="Verdana" w:cs="Verdana"/>
          <w:sz w:val="20"/>
          <w:szCs w:val="20"/>
        </w:rPr>
        <w:t xml:space="preserve"> de contestación al sometimiento </w:t>
      </w:r>
      <w:r w:rsidR="008D1152">
        <w:rPr>
          <w:rFonts w:eastAsia="Verdana" w:cs="Verdana"/>
          <w:sz w:val="20"/>
          <w:szCs w:val="20"/>
        </w:rPr>
        <w:t xml:space="preserve">del caso </w:t>
      </w:r>
      <w:r w:rsidRPr="0071582F">
        <w:rPr>
          <w:rFonts w:eastAsia="Verdana" w:cs="Verdana"/>
          <w:sz w:val="20"/>
          <w:szCs w:val="20"/>
        </w:rPr>
        <w:t xml:space="preserve">e </w:t>
      </w:r>
      <w:r w:rsidR="00221693">
        <w:rPr>
          <w:rFonts w:eastAsia="Verdana" w:cs="Verdana"/>
          <w:sz w:val="20"/>
          <w:szCs w:val="20"/>
        </w:rPr>
        <w:t>I</w:t>
      </w:r>
      <w:r w:rsidRPr="0071582F">
        <w:rPr>
          <w:rFonts w:eastAsia="Verdana" w:cs="Verdana"/>
          <w:sz w:val="20"/>
          <w:szCs w:val="20"/>
        </w:rPr>
        <w:t xml:space="preserve">nforme de </w:t>
      </w:r>
      <w:r w:rsidR="00221693">
        <w:rPr>
          <w:rFonts w:eastAsia="Verdana" w:cs="Verdana"/>
          <w:sz w:val="20"/>
          <w:szCs w:val="20"/>
        </w:rPr>
        <w:t>F</w:t>
      </w:r>
      <w:r w:rsidRPr="0071582F">
        <w:rPr>
          <w:rFonts w:eastAsia="Verdana" w:cs="Verdana"/>
          <w:sz w:val="20"/>
          <w:szCs w:val="20"/>
        </w:rPr>
        <w:t>ondo de la Comisión Interamericana y al escrito de solicitudes</w:t>
      </w:r>
      <w:r w:rsidR="008D0F8E">
        <w:rPr>
          <w:rFonts w:eastAsia="Verdana" w:cs="Verdana"/>
          <w:sz w:val="20"/>
          <w:szCs w:val="20"/>
        </w:rPr>
        <w:t xml:space="preserve"> y argumentos</w:t>
      </w:r>
      <w:r w:rsidRPr="0071582F">
        <w:rPr>
          <w:rFonts w:eastAsia="Verdana" w:cs="Verdana"/>
          <w:sz w:val="20"/>
          <w:szCs w:val="20"/>
        </w:rPr>
        <w:t xml:space="preserve">. En dicho escrito el Estado </w:t>
      </w:r>
      <w:r w:rsidR="00D823EA">
        <w:rPr>
          <w:rFonts w:eastAsia="Verdana" w:cs="Verdana"/>
          <w:sz w:val="20"/>
          <w:szCs w:val="20"/>
        </w:rPr>
        <w:t>realizó un reconocimiento parcial de responsabilidad internacional.</w:t>
      </w:r>
      <w:r w:rsidR="00962981" w:rsidRPr="00962981">
        <w:rPr>
          <w:b/>
          <w:sz w:val="18"/>
          <w:szCs w:val="18"/>
        </w:rPr>
        <w:t xml:space="preserve"> </w:t>
      </w:r>
    </w:p>
    <w:p w14:paraId="3858368E" w14:textId="77777777" w:rsidR="00D823EA" w:rsidRPr="00D823EA" w:rsidRDefault="00D823EA" w:rsidP="00F3026E">
      <w:pPr>
        <w:tabs>
          <w:tab w:val="left" w:pos="567"/>
        </w:tabs>
        <w:rPr>
          <w:rFonts w:eastAsia="Verdana" w:cs="Verdana"/>
          <w:i/>
          <w:sz w:val="20"/>
          <w:szCs w:val="20"/>
        </w:rPr>
      </w:pPr>
    </w:p>
    <w:p w14:paraId="2B31C99E" w14:textId="7914B079" w:rsidR="00D823EA" w:rsidRPr="0071582F" w:rsidRDefault="00D823EA" w:rsidP="00F3026E">
      <w:pPr>
        <w:numPr>
          <w:ilvl w:val="0"/>
          <w:numId w:val="2"/>
        </w:numPr>
        <w:tabs>
          <w:tab w:val="left" w:pos="567"/>
          <w:tab w:val="num" w:pos="12305"/>
        </w:tabs>
        <w:ind w:left="0" w:firstLine="0"/>
        <w:rPr>
          <w:rFonts w:eastAsia="Verdana" w:cs="Verdana"/>
          <w:i/>
          <w:sz w:val="20"/>
          <w:szCs w:val="20"/>
        </w:rPr>
      </w:pPr>
      <w:r>
        <w:rPr>
          <w:rFonts w:eastAsia="Verdana" w:cs="Verdana"/>
          <w:i/>
          <w:sz w:val="20"/>
          <w:szCs w:val="20"/>
        </w:rPr>
        <w:t>Observaciones al Reconocimiento Parcial de Responsabilidad Internacional del Estado</w:t>
      </w:r>
      <w:r w:rsidRPr="0071582F">
        <w:rPr>
          <w:rFonts w:eastAsia="Verdana" w:cs="Verdana"/>
          <w:i/>
          <w:sz w:val="20"/>
          <w:szCs w:val="20"/>
        </w:rPr>
        <w:t>. –</w:t>
      </w:r>
      <w:r>
        <w:rPr>
          <w:rFonts w:eastAsia="Verdana" w:cs="Verdana"/>
          <w:sz w:val="20"/>
          <w:szCs w:val="20"/>
        </w:rPr>
        <w:t xml:space="preserve"> El 3 de julio de 2017 las defensoras interamericanas y la Comisión Interamericana presentaron sus observaciones al reconocimiento parcial de responsabilidad internacional presentado por el Estado de Chile.</w:t>
      </w:r>
      <w:r w:rsidR="00962981" w:rsidRPr="00962981">
        <w:rPr>
          <w:b/>
          <w:sz w:val="18"/>
          <w:szCs w:val="18"/>
        </w:rPr>
        <w:t xml:space="preserve"> </w:t>
      </w:r>
    </w:p>
    <w:p w14:paraId="301078AF" w14:textId="77777777" w:rsidR="006C37C9" w:rsidRPr="0071582F" w:rsidRDefault="006C37C9" w:rsidP="00F3026E">
      <w:pPr>
        <w:autoSpaceDE w:val="0"/>
        <w:autoSpaceDN w:val="0"/>
        <w:rPr>
          <w:rFonts w:eastAsia="Verdana" w:cs="Verdana"/>
          <w:sz w:val="20"/>
          <w:szCs w:val="20"/>
        </w:rPr>
      </w:pPr>
    </w:p>
    <w:p w14:paraId="02F29397" w14:textId="5D8F2DE7" w:rsidR="006C37C9" w:rsidRPr="0071582F" w:rsidRDefault="006C37C9" w:rsidP="00F3026E">
      <w:pPr>
        <w:numPr>
          <w:ilvl w:val="0"/>
          <w:numId w:val="2"/>
        </w:numPr>
        <w:tabs>
          <w:tab w:val="left" w:pos="567"/>
          <w:tab w:val="num" w:pos="12305"/>
        </w:tabs>
        <w:ind w:left="0" w:firstLine="0"/>
        <w:rPr>
          <w:rFonts w:eastAsia="Verdana" w:cs="Verdana"/>
          <w:sz w:val="20"/>
          <w:szCs w:val="20"/>
        </w:rPr>
      </w:pPr>
      <w:r w:rsidRPr="0071582F">
        <w:rPr>
          <w:rFonts w:eastAsia="Verdana" w:cs="Verdana"/>
          <w:i/>
          <w:position w:val="-1"/>
          <w:sz w:val="20"/>
          <w:szCs w:val="20"/>
        </w:rPr>
        <w:t xml:space="preserve">Audiencia Pública - </w:t>
      </w:r>
      <w:r w:rsidRPr="0071582F">
        <w:rPr>
          <w:rFonts w:eastAsia="Verdana" w:cs="Verdana"/>
          <w:position w:val="-1"/>
          <w:sz w:val="20"/>
          <w:szCs w:val="20"/>
        </w:rPr>
        <w:t>Mediante Resolución de 2</w:t>
      </w:r>
      <w:r w:rsidR="005C56F6">
        <w:rPr>
          <w:rFonts w:eastAsia="Verdana" w:cs="Verdana"/>
          <w:position w:val="-1"/>
          <w:sz w:val="20"/>
          <w:szCs w:val="20"/>
        </w:rPr>
        <w:t>1</w:t>
      </w:r>
      <w:r w:rsidRPr="0071582F">
        <w:rPr>
          <w:rFonts w:eastAsia="Verdana" w:cs="Verdana"/>
          <w:position w:val="-1"/>
          <w:sz w:val="20"/>
          <w:szCs w:val="20"/>
        </w:rPr>
        <w:t xml:space="preserve"> de </w:t>
      </w:r>
      <w:r w:rsidR="005C56F6">
        <w:rPr>
          <w:rFonts w:eastAsia="Verdana" w:cs="Verdana"/>
          <w:position w:val="-1"/>
          <w:sz w:val="20"/>
          <w:szCs w:val="20"/>
        </w:rPr>
        <w:t>septiembre de 2017</w:t>
      </w:r>
      <w:r w:rsidRPr="0071582F">
        <w:rPr>
          <w:rStyle w:val="FootnoteReference"/>
          <w:rFonts w:eastAsia="Verdana" w:cs="Verdana"/>
          <w:position w:val="-1"/>
          <w:sz w:val="20"/>
          <w:szCs w:val="20"/>
        </w:rPr>
        <w:footnoteReference w:id="9"/>
      </w:r>
      <w:r w:rsidRPr="0071582F">
        <w:rPr>
          <w:rFonts w:eastAsia="Verdana" w:cs="Verdana"/>
          <w:position w:val="-1"/>
          <w:sz w:val="20"/>
          <w:szCs w:val="20"/>
        </w:rPr>
        <w:t xml:space="preserve"> el Presidente convocó a las partes y a la Comisión Interamericana a una audiencia pública para recibir sus </w:t>
      </w:r>
      <w:r w:rsidRPr="0071582F">
        <w:rPr>
          <w:rFonts w:eastAsia="Verdana" w:cs="Verdana"/>
          <w:position w:val="-1"/>
          <w:sz w:val="20"/>
          <w:szCs w:val="20"/>
        </w:rPr>
        <w:lastRenderedPageBreak/>
        <w:t xml:space="preserve">alegatos y observaciones finales orales sobre </w:t>
      </w:r>
      <w:r w:rsidR="005C56F6">
        <w:rPr>
          <w:rFonts w:eastAsia="Verdana" w:cs="Verdana"/>
          <w:position w:val="-1"/>
          <w:sz w:val="20"/>
          <w:szCs w:val="20"/>
        </w:rPr>
        <w:t>el fondo y eventuales</w:t>
      </w:r>
      <w:r w:rsidRPr="0071582F">
        <w:rPr>
          <w:rFonts w:eastAsia="Verdana" w:cs="Verdana"/>
          <w:position w:val="-1"/>
          <w:sz w:val="20"/>
          <w:szCs w:val="20"/>
        </w:rPr>
        <w:t xml:space="preserve"> reparaciones y costas, así como para recibir las declaraciones </w:t>
      </w:r>
      <w:r w:rsidRPr="0071582F">
        <w:rPr>
          <w:rFonts w:eastAsia="Verdana" w:cs="Verdana"/>
          <w:sz w:val="20"/>
          <w:szCs w:val="20"/>
        </w:rPr>
        <w:t xml:space="preserve">de </w:t>
      </w:r>
      <w:r w:rsidR="005C56F6">
        <w:rPr>
          <w:rFonts w:eastAsia="Verdana" w:cs="Verdana"/>
          <w:sz w:val="20"/>
          <w:szCs w:val="20"/>
        </w:rPr>
        <w:t xml:space="preserve">una </w:t>
      </w:r>
      <w:r w:rsidRPr="0071582F">
        <w:rPr>
          <w:rFonts w:eastAsia="Verdana" w:cs="Verdana"/>
          <w:sz w:val="20"/>
          <w:szCs w:val="20"/>
        </w:rPr>
        <w:t xml:space="preserve">presunta víctima, </w:t>
      </w:r>
      <w:r w:rsidR="00A32354" w:rsidRPr="0071582F">
        <w:rPr>
          <w:rFonts w:eastAsia="Verdana" w:cs="Verdana"/>
          <w:sz w:val="20"/>
          <w:szCs w:val="20"/>
        </w:rPr>
        <w:t xml:space="preserve">de </w:t>
      </w:r>
      <w:r w:rsidRPr="0071582F">
        <w:rPr>
          <w:rFonts w:eastAsia="Verdana" w:cs="Verdana"/>
          <w:position w:val="-1"/>
          <w:sz w:val="20"/>
          <w:szCs w:val="20"/>
        </w:rPr>
        <w:t xml:space="preserve">un testigo propuesto por el Estado y de </w:t>
      </w:r>
      <w:r w:rsidR="005C56F6">
        <w:rPr>
          <w:rFonts w:eastAsia="Verdana" w:cs="Verdana"/>
          <w:position w:val="-1"/>
          <w:sz w:val="20"/>
          <w:szCs w:val="20"/>
        </w:rPr>
        <w:t>dos</w:t>
      </w:r>
      <w:r w:rsidRPr="0071582F">
        <w:rPr>
          <w:rFonts w:eastAsia="Verdana" w:cs="Verdana"/>
          <w:position w:val="-1"/>
          <w:sz w:val="20"/>
          <w:szCs w:val="20"/>
        </w:rPr>
        <w:t xml:space="preserve"> peritos ofrecidos por la </w:t>
      </w:r>
      <w:r w:rsidR="005C56F6">
        <w:rPr>
          <w:rFonts w:eastAsia="Verdana" w:cs="Verdana"/>
          <w:position w:val="-1"/>
          <w:sz w:val="20"/>
          <w:szCs w:val="20"/>
        </w:rPr>
        <w:t>Comisión y las defensoras interamericanas</w:t>
      </w:r>
      <w:r w:rsidRPr="0071582F">
        <w:rPr>
          <w:rFonts w:eastAsia="Verdana" w:cs="Verdana"/>
          <w:position w:val="-1"/>
          <w:sz w:val="20"/>
          <w:szCs w:val="20"/>
        </w:rPr>
        <w:t xml:space="preserve">. </w:t>
      </w:r>
      <w:r w:rsidRPr="0071582F">
        <w:rPr>
          <w:rFonts w:eastAsia="Verdana" w:cs="Verdana"/>
          <w:sz w:val="20"/>
          <w:szCs w:val="20"/>
        </w:rPr>
        <w:t xml:space="preserve">La audiencia pública fue celebrada el </w:t>
      </w:r>
      <w:r w:rsidR="005C56F6">
        <w:rPr>
          <w:rFonts w:eastAsia="Verdana" w:cs="Verdana"/>
          <w:sz w:val="20"/>
          <w:szCs w:val="20"/>
        </w:rPr>
        <w:t>19</w:t>
      </w:r>
      <w:r w:rsidRPr="0071582F">
        <w:rPr>
          <w:rFonts w:eastAsia="Verdana" w:cs="Verdana"/>
          <w:sz w:val="20"/>
          <w:szCs w:val="20"/>
        </w:rPr>
        <w:t xml:space="preserve"> de </w:t>
      </w:r>
      <w:r w:rsidR="005C56F6">
        <w:rPr>
          <w:rFonts w:eastAsia="Verdana" w:cs="Verdana"/>
          <w:sz w:val="20"/>
          <w:szCs w:val="20"/>
        </w:rPr>
        <w:t>octubre de 2017</w:t>
      </w:r>
      <w:r w:rsidRPr="0071582F">
        <w:rPr>
          <w:rFonts w:eastAsia="Verdana" w:cs="Verdana"/>
          <w:sz w:val="20"/>
          <w:szCs w:val="20"/>
        </w:rPr>
        <w:t xml:space="preserve">, durante el </w:t>
      </w:r>
      <w:r w:rsidR="005C56F6">
        <w:rPr>
          <w:rFonts w:eastAsia="Verdana" w:cs="Verdana"/>
          <w:sz w:val="20"/>
          <w:szCs w:val="20"/>
        </w:rPr>
        <w:t>58° Período Extrao</w:t>
      </w:r>
      <w:r w:rsidRPr="0071582F">
        <w:rPr>
          <w:rFonts w:eastAsia="Verdana" w:cs="Verdana"/>
          <w:sz w:val="20"/>
          <w:szCs w:val="20"/>
        </w:rPr>
        <w:t xml:space="preserve">rdinario de Sesiones de la Corte, llevado a cabo en </w:t>
      </w:r>
      <w:r w:rsidR="00C12427">
        <w:rPr>
          <w:rFonts w:eastAsia="Verdana" w:cs="Verdana"/>
          <w:sz w:val="20"/>
          <w:szCs w:val="20"/>
        </w:rPr>
        <w:t xml:space="preserve">la </w:t>
      </w:r>
      <w:r w:rsidR="005C56F6">
        <w:rPr>
          <w:rFonts w:eastAsia="Verdana" w:cs="Verdana"/>
          <w:sz w:val="20"/>
          <w:szCs w:val="20"/>
        </w:rPr>
        <w:t>Ciudad de Panamá</w:t>
      </w:r>
      <w:r w:rsidRPr="0071582F">
        <w:rPr>
          <w:rStyle w:val="FootnoteReference"/>
          <w:rFonts w:eastAsia="Verdana" w:cs="Verdana"/>
          <w:sz w:val="20"/>
          <w:szCs w:val="20"/>
        </w:rPr>
        <w:footnoteReference w:id="10"/>
      </w:r>
      <w:r w:rsidRPr="0071582F">
        <w:rPr>
          <w:rFonts w:eastAsia="Verdana" w:cs="Verdana"/>
          <w:sz w:val="20"/>
          <w:szCs w:val="20"/>
        </w:rPr>
        <w:t>. En la audiencia se recibió la declara</w:t>
      </w:r>
      <w:r w:rsidR="005C56F6">
        <w:rPr>
          <w:rFonts w:eastAsia="Verdana" w:cs="Verdana"/>
          <w:sz w:val="20"/>
          <w:szCs w:val="20"/>
        </w:rPr>
        <w:t>ción de la presunta víctima Vinicio Marco Antonio Poblete Tapia</w:t>
      </w:r>
      <w:r w:rsidRPr="0071582F">
        <w:rPr>
          <w:rFonts w:eastAsia="Verdana" w:cs="Verdana"/>
          <w:sz w:val="20"/>
          <w:szCs w:val="20"/>
        </w:rPr>
        <w:t xml:space="preserve">, del testigo </w:t>
      </w:r>
      <w:r w:rsidR="005C56F6">
        <w:rPr>
          <w:rFonts w:eastAsia="Verdana" w:cs="Verdana"/>
          <w:sz w:val="20"/>
          <w:szCs w:val="20"/>
        </w:rPr>
        <w:t xml:space="preserve">Rodrigo Avendaño </w:t>
      </w:r>
      <w:proofErr w:type="spellStart"/>
      <w:r w:rsidR="005C56F6">
        <w:rPr>
          <w:rFonts w:eastAsia="Verdana" w:cs="Verdana"/>
          <w:sz w:val="20"/>
          <w:szCs w:val="20"/>
        </w:rPr>
        <w:t>Brandeis</w:t>
      </w:r>
      <w:proofErr w:type="spellEnd"/>
      <w:r w:rsidRPr="0071582F">
        <w:rPr>
          <w:rFonts w:eastAsia="Verdana" w:cs="Verdana"/>
          <w:sz w:val="20"/>
          <w:szCs w:val="20"/>
        </w:rPr>
        <w:t xml:space="preserve"> y de los peritos </w:t>
      </w:r>
      <w:r w:rsidR="005C56F6">
        <w:rPr>
          <w:rFonts w:eastAsia="Verdana" w:cs="Verdana"/>
          <w:sz w:val="20"/>
          <w:szCs w:val="20"/>
        </w:rPr>
        <w:t xml:space="preserve">Alicia Ely </w:t>
      </w:r>
      <w:proofErr w:type="spellStart"/>
      <w:r w:rsidR="005C56F6">
        <w:rPr>
          <w:rFonts w:eastAsia="Verdana" w:cs="Verdana"/>
          <w:sz w:val="20"/>
          <w:szCs w:val="20"/>
        </w:rPr>
        <w:t>Yemin</w:t>
      </w:r>
      <w:proofErr w:type="spellEnd"/>
      <w:r w:rsidRPr="0071582F">
        <w:rPr>
          <w:rFonts w:eastAsia="Verdana" w:cs="Verdana"/>
          <w:sz w:val="20"/>
          <w:szCs w:val="20"/>
        </w:rPr>
        <w:t xml:space="preserve"> y </w:t>
      </w:r>
      <w:r w:rsidR="005C56F6">
        <w:rPr>
          <w:rFonts w:eastAsia="Verdana" w:cs="Verdana"/>
          <w:sz w:val="20"/>
          <w:szCs w:val="20"/>
        </w:rPr>
        <w:t>Javier Alejandro Santos</w:t>
      </w:r>
      <w:r w:rsidRPr="0071582F">
        <w:rPr>
          <w:rFonts w:eastAsia="Verdana" w:cs="Verdana"/>
          <w:sz w:val="20"/>
          <w:szCs w:val="20"/>
        </w:rPr>
        <w:t xml:space="preserve">. </w:t>
      </w:r>
      <w:r w:rsidR="0011543E" w:rsidRPr="0071582F">
        <w:rPr>
          <w:sz w:val="20"/>
          <w:szCs w:val="20"/>
          <w:lang w:eastAsia="es-ES"/>
        </w:rPr>
        <w:t>Asimismo, la Corte requirió a las partes que presentaran determinada información y documentación</w:t>
      </w:r>
      <w:r w:rsidR="004D67BE">
        <w:rPr>
          <w:sz w:val="20"/>
          <w:szCs w:val="20"/>
          <w:lang w:eastAsia="es-ES"/>
        </w:rPr>
        <w:t xml:space="preserve">. </w:t>
      </w:r>
      <w:r w:rsidRPr="0071582F">
        <w:rPr>
          <w:rFonts w:eastAsia="Verdana" w:cs="Verdana"/>
          <w:position w:val="-1"/>
          <w:sz w:val="20"/>
          <w:szCs w:val="20"/>
        </w:rPr>
        <w:t xml:space="preserve">Las declaraciones solicitadas ante fedatario público fueron recibidas los días </w:t>
      </w:r>
      <w:r w:rsidR="00C07280">
        <w:rPr>
          <w:rFonts w:eastAsia="Verdana" w:cs="Verdana"/>
          <w:position w:val="-1"/>
          <w:sz w:val="20"/>
          <w:szCs w:val="20"/>
        </w:rPr>
        <w:t>10 y 11</w:t>
      </w:r>
      <w:r w:rsidRPr="0071582F">
        <w:rPr>
          <w:rFonts w:eastAsia="Verdana" w:cs="Verdana"/>
          <w:position w:val="-1"/>
          <w:sz w:val="20"/>
          <w:szCs w:val="20"/>
        </w:rPr>
        <w:t xml:space="preserve"> de </w:t>
      </w:r>
      <w:r w:rsidR="00C07280">
        <w:rPr>
          <w:rFonts w:eastAsia="Verdana" w:cs="Verdana"/>
          <w:position w:val="-1"/>
          <w:sz w:val="20"/>
          <w:szCs w:val="20"/>
        </w:rPr>
        <w:t>octubre de 2017</w:t>
      </w:r>
      <w:r w:rsidRPr="0071582F">
        <w:rPr>
          <w:rFonts w:eastAsia="Verdana" w:cs="Verdana"/>
          <w:position w:val="-1"/>
          <w:sz w:val="20"/>
          <w:szCs w:val="20"/>
        </w:rPr>
        <w:t>.</w:t>
      </w:r>
    </w:p>
    <w:p w14:paraId="2F14BC4E" w14:textId="77777777" w:rsidR="003765A7" w:rsidRPr="0071582F" w:rsidRDefault="003765A7" w:rsidP="00F3026E">
      <w:pPr>
        <w:autoSpaceDE w:val="0"/>
        <w:autoSpaceDN w:val="0"/>
        <w:rPr>
          <w:rFonts w:eastAsia="Verdana" w:cs="Verdana"/>
          <w:sz w:val="20"/>
          <w:szCs w:val="20"/>
        </w:rPr>
      </w:pPr>
    </w:p>
    <w:p w14:paraId="4988DBDF" w14:textId="46B7D17D" w:rsidR="006C37C9" w:rsidRPr="0071582F" w:rsidRDefault="006C37C9" w:rsidP="00F3026E">
      <w:pPr>
        <w:numPr>
          <w:ilvl w:val="0"/>
          <w:numId w:val="2"/>
        </w:numPr>
        <w:tabs>
          <w:tab w:val="left" w:pos="567"/>
          <w:tab w:val="num" w:pos="12305"/>
        </w:tabs>
        <w:ind w:left="0" w:firstLine="0"/>
        <w:rPr>
          <w:rFonts w:cs="Verdana"/>
          <w:snapToGrid w:val="0"/>
          <w:sz w:val="20"/>
          <w:szCs w:val="20"/>
          <w:lang w:eastAsia="es-ES"/>
        </w:rPr>
      </w:pPr>
      <w:bookmarkStart w:id="25" w:name="_Ref354147731"/>
      <w:r w:rsidRPr="0071582F">
        <w:rPr>
          <w:rFonts w:cs="Verdana"/>
          <w:i/>
          <w:sz w:val="20"/>
          <w:szCs w:val="20"/>
        </w:rPr>
        <w:t>Alegatos y observaciones finales escrit</w:t>
      </w:r>
      <w:r w:rsidR="00C12427">
        <w:rPr>
          <w:rFonts w:cs="Verdana"/>
          <w:i/>
          <w:sz w:val="20"/>
          <w:szCs w:val="20"/>
        </w:rPr>
        <w:t>a</w:t>
      </w:r>
      <w:r w:rsidRPr="0071582F">
        <w:rPr>
          <w:rFonts w:cs="Verdana"/>
          <w:i/>
          <w:sz w:val="20"/>
          <w:szCs w:val="20"/>
        </w:rPr>
        <w:t xml:space="preserve">s. </w:t>
      </w:r>
      <w:bookmarkEnd w:id="25"/>
      <w:r w:rsidRPr="0071582F">
        <w:rPr>
          <w:rFonts w:cs="Verdana"/>
          <w:i/>
          <w:sz w:val="20"/>
          <w:szCs w:val="20"/>
        </w:rPr>
        <w:t xml:space="preserve">- </w:t>
      </w:r>
      <w:r w:rsidR="00EB2C98" w:rsidRPr="000214BA">
        <w:rPr>
          <w:rFonts w:eastAsia="Verdana" w:cs="Verdana"/>
          <w:position w:val="-1"/>
          <w:sz w:val="20"/>
          <w:szCs w:val="20"/>
        </w:rPr>
        <w:t xml:space="preserve">El </w:t>
      </w:r>
      <w:r w:rsidR="00EB2C98">
        <w:rPr>
          <w:rFonts w:eastAsia="Verdana" w:cs="Verdana"/>
          <w:position w:val="-1"/>
          <w:sz w:val="20"/>
          <w:szCs w:val="20"/>
        </w:rPr>
        <w:t>20</w:t>
      </w:r>
      <w:r w:rsidR="00EB2C98" w:rsidRPr="000214BA">
        <w:rPr>
          <w:rFonts w:eastAsia="Verdana" w:cs="Verdana"/>
          <w:position w:val="-1"/>
          <w:sz w:val="20"/>
          <w:szCs w:val="20"/>
        </w:rPr>
        <w:t xml:space="preserve"> de </w:t>
      </w:r>
      <w:r w:rsidR="00EB2C98">
        <w:rPr>
          <w:rFonts w:eastAsia="Verdana" w:cs="Verdana"/>
          <w:position w:val="-1"/>
          <w:sz w:val="20"/>
          <w:szCs w:val="20"/>
        </w:rPr>
        <w:t>noviembre</w:t>
      </w:r>
      <w:r w:rsidR="00EB2C98" w:rsidRPr="000214BA">
        <w:rPr>
          <w:rFonts w:eastAsia="Verdana" w:cs="Verdana"/>
          <w:position w:val="-1"/>
          <w:sz w:val="20"/>
          <w:szCs w:val="20"/>
        </w:rPr>
        <w:t xml:space="preserve"> de 201</w:t>
      </w:r>
      <w:r w:rsidR="00EB2C98">
        <w:rPr>
          <w:rFonts w:eastAsia="Verdana" w:cs="Verdana"/>
          <w:position w:val="-1"/>
          <w:sz w:val="20"/>
          <w:szCs w:val="20"/>
        </w:rPr>
        <w:t>7</w:t>
      </w:r>
      <w:r w:rsidR="00EB2C98" w:rsidRPr="000214BA">
        <w:rPr>
          <w:rFonts w:eastAsia="Verdana" w:cs="Verdana"/>
          <w:position w:val="-1"/>
          <w:sz w:val="20"/>
          <w:szCs w:val="20"/>
        </w:rPr>
        <w:t xml:space="preserve"> el Estado y l</w:t>
      </w:r>
      <w:r w:rsidR="00C12427">
        <w:rPr>
          <w:rFonts w:eastAsia="Verdana" w:cs="Verdana"/>
          <w:position w:val="-1"/>
          <w:sz w:val="20"/>
          <w:szCs w:val="20"/>
        </w:rPr>
        <w:t>a</w:t>
      </w:r>
      <w:r w:rsidR="00EB2C98" w:rsidRPr="000214BA">
        <w:rPr>
          <w:rFonts w:eastAsia="Verdana" w:cs="Verdana"/>
          <w:position w:val="-1"/>
          <w:sz w:val="20"/>
          <w:szCs w:val="20"/>
        </w:rPr>
        <w:t>s representantes presentaron sus alegatos finales escritos y sus anexos, así como la Comisión presentó sus observaciones finales escritas. El</w:t>
      </w:r>
      <w:r w:rsidR="00EB2C98">
        <w:rPr>
          <w:rFonts w:eastAsia="Verdana" w:cs="Verdana"/>
          <w:position w:val="-1"/>
          <w:sz w:val="20"/>
          <w:szCs w:val="20"/>
        </w:rPr>
        <w:t xml:space="preserve"> 27 </w:t>
      </w:r>
      <w:r w:rsidR="00EB2C98" w:rsidRPr="000214BA">
        <w:rPr>
          <w:rFonts w:eastAsia="Verdana" w:cs="Verdana"/>
          <w:position w:val="-1"/>
          <w:sz w:val="20"/>
          <w:szCs w:val="20"/>
        </w:rPr>
        <w:t xml:space="preserve">de </w:t>
      </w:r>
      <w:r w:rsidR="00EB2C98">
        <w:rPr>
          <w:rFonts w:eastAsia="Verdana" w:cs="Verdana"/>
          <w:position w:val="-1"/>
          <w:sz w:val="20"/>
          <w:szCs w:val="20"/>
        </w:rPr>
        <w:t>noviembre</w:t>
      </w:r>
      <w:r w:rsidR="00EB2C98" w:rsidRPr="000214BA">
        <w:rPr>
          <w:rFonts w:eastAsia="Verdana" w:cs="Verdana"/>
          <w:position w:val="-1"/>
          <w:sz w:val="20"/>
          <w:szCs w:val="20"/>
        </w:rPr>
        <w:t xml:space="preserve"> de 2017 la Secretaría de la Corte remitió </w:t>
      </w:r>
      <w:r w:rsidR="00EB2C98">
        <w:rPr>
          <w:rFonts w:eastAsia="Verdana" w:cs="Verdana"/>
          <w:position w:val="-1"/>
          <w:sz w:val="20"/>
          <w:szCs w:val="20"/>
        </w:rPr>
        <w:t>el</w:t>
      </w:r>
      <w:r w:rsidR="00EB2C98" w:rsidRPr="00EB2C98">
        <w:rPr>
          <w:rFonts w:eastAsia="Verdana" w:cs="Verdana"/>
          <w:position w:val="-1"/>
          <w:sz w:val="20"/>
          <w:szCs w:val="20"/>
        </w:rPr>
        <w:t xml:space="preserve"> anexo</w:t>
      </w:r>
      <w:r w:rsidR="00EB2C98" w:rsidRPr="000214BA">
        <w:rPr>
          <w:rFonts w:eastAsia="Verdana" w:cs="Verdana"/>
          <w:position w:val="-1"/>
          <w:sz w:val="20"/>
          <w:szCs w:val="20"/>
        </w:rPr>
        <w:t xml:space="preserve"> a los alegatos finales escritos </w:t>
      </w:r>
      <w:r w:rsidR="00EB2C98">
        <w:rPr>
          <w:rFonts w:eastAsia="Verdana" w:cs="Verdana"/>
          <w:position w:val="-1"/>
          <w:sz w:val="20"/>
          <w:szCs w:val="20"/>
        </w:rPr>
        <w:t xml:space="preserve">de las representantes </w:t>
      </w:r>
      <w:r w:rsidR="00EB2C98" w:rsidRPr="000214BA">
        <w:rPr>
          <w:rFonts w:eastAsia="Verdana" w:cs="Verdana"/>
          <w:position w:val="-1"/>
          <w:sz w:val="20"/>
          <w:szCs w:val="20"/>
        </w:rPr>
        <w:t xml:space="preserve">y solicitó </w:t>
      </w:r>
      <w:r w:rsidR="00EB2C98">
        <w:rPr>
          <w:rFonts w:eastAsia="Verdana" w:cs="Verdana"/>
          <w:position w:val="-1"/>
          <w:sz w:val="20"/>
          <w:szCs w:val="20"/>
        </w:rPr>
        <w:t>al Estado</w:t>
      </w:r>
      <w:r w:rsidR="00EB2C98" w:rsidRPr="000214BA">
        <w:rPr>
          <w:rFonts w:eastAsia="Verdana" w:cs="Verdana"/>
          <w:position w:val="-1"/>
          <w:sz w:val="20"/>
          <w:szCs w:val="20"/>
        </w:rPr>
        <w:t xml:space="preserve"> las observaciones que estimaren pertinentes. Mediante comunicación de </w:t>
      </w:r>
      <w:r w:rsidR="00EB2C98">
        <w:rPr>
          <w:rFonts w:eastAsia="Verdana" w:cs="Verdana"/>
          <w:position w:val="-1"/>
          <w:sz w:val="20"/>
          <w:szCs w:val="20"/>
        </w:rPr>
        <w:t>4</w:t>
      </w:r>
      <w:r w:rsidR="00EB2C98" w:rsidRPr="000214BA">
        <w:rPr>
          <w:rFonts w:eastAsia="Verdana" w:cs="Verdana"/>
          <w:position w:val="-1"/>
          <w:sz w:val="20"/>
          <w:szCs w:val="20"/>
        </w:rPr>
        <w:t xml:space="preserve"> de </w:t>
      </w:r>
      <w:r w:rsidR="00EB2C98">
        <w:rPr>
          <w:rFonts w:eastAsia="Verdana" w:cs="Verdana"/>
          <w:position w:val="-1"/>
          <w:sz w:val="20"/>
          <w:szCs w:val="20"/>
        </w:rPr>
        <w:t>diciembre</w:t>
      </w:r>
      <w:r w:rsidR="00EB2C98" w:rsidRPr="000214BA">
        <w:rPr>
          <w:rFonts w:eastAsia="Verdana" w:cs="Verdana"/>
          <w:position w:val="-1"/>
          <w:sz w:val="20"/>
          <w:szCs w:val="20"/>
        </w:rPr>
        <w:t xml:space="preserve"> de 2017, </w:t>
      </w:r>
      <w:r w:rsidR="00F4682C">
        <w:rPr>
          <w:rFonts w:eastAsia="Verdana" w:cs="Verdana"/>
          <w:position w:val="-1"/>
          <w:sz w:val="20"/>
          <w:szCs w:val="20"/>
        </w:rPr>
        <w:t>e</w:t>
      </w:r>
      <w:r w:rsidR="00EB2C98">
        <w:rPr>
          <w:rFonts w:eastAsia="Verdana" w:cs="Verdana"/>
          <w:position w:val="-1"/>
          <w:sz w:val="20"/>
          <w:szCs w:val="20"/>
        </w:rPr>
        <w:t xml:space="preserve">l Estado presentó </w:t>
      </w:r>
      <w:r w:rsidR="00EB2C98" w:rsidRPr="000214BA">
        <w:rPr>
          <w:rFonts w:eastAsia="Verdana" w:cs="Verdana"/>
          <w:position w:val="-1"/>
          <w:sz w:val="20"/>
          <w:szCs w:val="20"/>
        </w:rPr>
        <w:t xml:space="preserve">observaciones sobre </w:t>
      </w:r>
      <w:r w:rsidR="00EB2C98">
        <w:rPr>
          <w:rFonts w:eastAsia="Verdana" w:cs="Verdana"/>
          <w:position w:val="-1"/>
          <w:sz w:val="20"/>
          <w:szCs w:val="20"/>
        </w:rPr>
        <w:t>el anexo presentado por las representantes</w:t>
      </w:r>
      <w:r w:rsidR="00EB2C98" w:rsidRPr="000214BA">
        <w:rPr>
          <w:rFonts w:eastAsia="Verdana" w:cs="Verdana"/>
          <w:position w:val="-1"/>
          <w:sz w:val="20"/>
          <w:szCs w:val="20"/>
        </w:rPr>
        <w:t>.</w:t>
      </w:r>
    </w:p>
    <w:p w14:paraId="2267DB32" w14:textId="77777777" w:rsidR="006C37C9" w:rsidRPr="0071582F" w:rsidRDefault="006C37C9" w:rsidP="00F3026E">
      <w:pPr>
        <w:autoSpaceDE w:val="0"/>
        <w:autoSpaceDN w:val="0"/>
        <w:rPr>
          <w:rFonts w:eastAsia="Batang"/>
          <w:sz w:val="20"/>
        </w:rPr>
      </w:pPr>
    </w:p>
    <w:p w14:paraId="0550D732" w14:textId="23D19C8C" w:rsidR="00C92904" w:rsidRPr="0071582F" w:rsidRDefault="00C92904" w:rsidP="00F3026E">
      <w:pPr>
        <w:numPr>
          <w:ilvl w:val="0"/>
          <w:numId w:val="2"/>
        </w:numPr>
        <w:tabs>
          <w:tab w:val="left" w:pos="567"/>
          <w:tab w:val="num" w:pos="12305"/>
        </w:tabs>
        <w:ind w:left="0" w:firstLine="0"/>
        <w:rPr>
          <w:rFonts w:eastAsia="Batang"/>
          <w:sz w:val="20"/>
        </w:rPr>
      </w:pPr>
      <w:r w:rsidRPr="0071582F">
        <w:rPr>
          <w:rFonts w:eastAsia="Batang"/>
          <w:i/>
          <w:sz w:val="20"/>
        </w:rPr>
        <w:t xml:space="preserve">Prueba para mejor resolver. – </w:t>
      </w:r>
      <w:r w:rsidR="00E41319">
        <w:rPr>
          <w:rFonts w:eastAsia="Batang"/>
          <w:sz w:val="20"/>
        </w:rPr>
        <w:t>El 2</w:t>
      </w:r>
      <w:r w:rsidR="004D7592">
        <w:rPr>
          <w:rFonts w:eastAsia="Batang"/>
          <w:sz w:val="20"/>
        </w:rPr>
        <w:t>7</w:t>
      </w:r>
      <w:r w:rsidR="00E41319">
        <w:rPr>
          <w:rFonts w:eastAsia="Batang"/>
          <w:sz w:val="20"/>
        </w:rPr>
        <w:t xml:space="preserve"> de noviembre de 2017</w:t>
      </w:r>
      <w:r w:rsidR="00C12427">
        <w:rPr>
          <w:rFonts w:eastAsia="Batang"/>
          <w:sz w:val="20"/>
        </w:rPr>
        <w:t xml:space="preserve"> y 26 de enero de 2018</w:t>
      </w:r>
      <w:r w:rsidR="00E41319">
        <w:rPr>
          <w:rFonts w:eastAsia="Batang"/>
          <w:sz w:val="20"/>
        </w:rPr>
        <w:t xml:space="preserve"> se solicitó al Estado prueba para mejor resolver. </w:t>
      </w:r>
      <w:r w:rsidR="00E41319" w:rsidRPr="00E41319">
        <w:rPr>
          <w:rFonts w:eastAsia="Batang"/>
          <w:sz w:val="20"/>
        </w:rPr>
        <w:t xml:space="preserve">El </w:t>
      </w:r>
      <w:r w:rsidR="00E41319">
        <w:rPr>
          <w:rFonts w:eastAsia="Batang"/>
          <w:sz w:val="20"/>
        </w:rPr>
        <w:t xml:space="preserve">22 de diciembre de 2017 </w:t>
      </w:r>
      <w:r w:rsidR="00C12427">
        <w:rPr>
          <w:rFonts w:eastAsia="Batang"/>
          <w:sz w:val="20"/>
        </w:rPr>
        <w:t xml:space="preserve">y 12 de febrero de 2018 </w:t>
      </w:r>
      <w:r w:rsidR="004D67BE">
        <w:rPr>
          <w:rFonts w:eastAsia="Batang"/>
          <w:sz w:val="20"/>
        </w:rPr>
        <w:t>e</w:t>
      </w:r>
      <w:r w:rsidR="004D7592">
        <w:rPr>
          <w:rFonts w:eastAsia="Batang"/>
          <w:sz w:val="20"/>
        </w:rPr>
        <w:t>l E</w:t>
      </w:r>
      <w:r w:rsidR="00E41319">
        <w:rPr>
          <w:rFonts w:eastAsia="Batang"/>
          <w:sz w:val="20"/>
        </w:rPr>
        <w:t>stado</w:t>
      </w:r>
      <w:r w:rsidR="00E41319" w:rsidRPr="00E41319">
        <w:rPr>
          <w:rFonts w:eastAsia="Batang"/>
          <w:sz w:val="20"/>
        </w:rPr>
        <w:t xml:space="preserve"> remiti</w:t>
      </w:r>
      <w:r w:rsidR="00E41319">
        <w:rPr>
          <w:rFonts w:eastAsia="Batang"/>
          <w:sz w:val="20"/>
        </w:rPr>
        <w:t>ó</w:t>
      </w:r>
      <w:r w:rsidR="00E41319" w:rsidRPr="00E41319">
        <w:rPr>
          <w:rFonts w:eastAsia="Batang"/>
          <w:sz w:val="20"/>
        </w:rPr>
        <w:t xml:space="preserve"> la información solicitada.</w:t>
      </w:r>
    </w:p>
    <w:p w14:paraId="095C5E54" w14:textId="77777777" w:rsidR="006C37C9" w:rsidRPr="0071582F" w:rsidRDefault="006C37C9" w:rsidP="00F3026E">
      <w:pPr>
        <w:tabs>
          <w:tab w:val="left" w:pos="567"/>
          <w:tab w:val="left" w:pos="1134"/>
          <w:tab w:val="num" w:pos="6042"/>
        </w:tabs>
        <w:autoSpaceDE w:val="0"/>
        <w:autoSpaceDN w:val="0"/>
        <w:rPr>
          <w:rFonts w:eastAsia="Calibri" w:cs="Verdana"/>
          <w:snapToGrid w:val="0"/>
          <w:sz w:val="20"/>
          <w:szCs w:val="20"/>
          <w:lang w:eastAsia="es-ES"/>
        </w:rPr>
      </w:pPr>
    </w:p>
    <w:p w14:paraId="379B62BB" w14:textId="5172D5BB" w:rsidR="004D67BE" w:rsidRPr="000214BA" w:rsidRDefault="006C37C9" w:rsidP="00F3026E">
      <w:pPr>
        <w:numPr>
          <w:ilvl w:val="0"/>
          <w:numId w:val="2"/>
        </w:numPr>
        <w:tabs>
          <w:tab w:val="left" w:pos="567"/>
          <w:tab w:val="num" w:pos="12305"/>
        </w:tabs>
        <w:ind w:left="0" w:firstLine="0"/>
        <w:rPr>
          <w:rFonts w:eastAsia="Verdana" w:cs="Verdana"/>
          <w:position w:val="-1"/>
          <w:sz w:val="20"/>
          <w:szCs w:val="20"/>
        </w:rPr>
      </w:pPr>
      <w:r w:rsidRPr="0071582F">
        <w:rPr>
          <w:rFonts w:cs="Verdana"/>
          <w:i/>
          <w:snapToGrid w:val="0"/>
          <w:sz w:val="20"/>
          <w:szCs w:val="20"/>
          <w:lang w:eastAsia="es-ES"/>
        </w:rPr>
        <w:t>Erogaciones en aplicación del Fondo de Asistencia.</w:t>
      </w:r>
      <w:r w:rsidRPr="0071582F">
        <w:rPr>
          <w:rFonts w:cs="Verdana"/>
          <w:snapToGrid w:val="0"/>
          <w:sz w:val="20"/>
          <w:szCs w:val="20"/>
          <w:lang w:eastAsia="es-ES"/>
        </w:rPr>
        <w:t xml:space="preserve"> </w:t>
      </w:r>
      <w:r w:rsidRPr="0071582F">
        <w:rPr>
          <w:rFonts w:cs="Verdana"/>
          <w:iCs/>
          <w:snapToGrid w:val="0"/>
          <w:sz w:val="20"/>
          <w:szCs w:val="20"/>
          <w:lang w:eastAsia="es-ES"/>
        </w:rPr>
        <w:t>–</w:t>
      </w:r>
      <w:r w:rsidR="004D67BE" w:rsidRPr="004D67BE">
        <w:rPr>
          <w:rFonts w:eastAsia="Calibri"/>
          <w:sz w:val="20"/>
          <w:szCs w:val="20"/>
          <w:lang w:val="es-ES_tradnl" w:eastAsia="en-US"/>
        </w:rPr>
        <w:t xml:space="preserve"> </w:t>
      </w:r>
      <w:r w:rsidR="004D67BE" w:rsidRPr="000214BA">
        <w:rPr>
          <w:rFonts w:eastAsia="Verdana" w:cs="Verdana"/>
          <w:position w:val="-1"/>
          <w:sz w:val="20"/>
          <w:szCs w:val="20"/>
        </w:rPr>
        <w:t xml:space="preserve">El </w:t>
      </w:r>
      <w:r w:rsidR="00C12427" w:rsidRPr="00B1523A">
        <w:rPr>
          <w:rFonts w:eastAsia="Verdana" w:cs="Verdana"/>
          <w:position w:val="-1"/>
          <w:sz w:val="20"/>
          <w:szCs w:val="20"/>
        </w:rPr>
        <w:t>26 de enero de 2018</w:t>
      </w:r>
      <w:r w:rsidR="004D67BE" w:rsidRPr="000214BA">
        <w:rPr>
          <w:rFonts w:eastAsia="Verdana" w:cs="Verdana"/>
          <w:position w:val="-1"/>
          <w:sz w:val="20"/>
          <w:szCs w:val="20"/>
        </w:rPr>
        <w:t xml:space="preserve"> la Secretaría, siguiendo instrucciones del Presidente de la Corte, remitió información al Estado sobre las erogaciones efectuadas en aplicación del Fondo de Asistencia en el presente caso y, según lo dispuesto en el artículo 5 del Reglamento de la Corte sobre el Funcionamiento del referido Fondo, le otorgó un plazo para presentar las observaciones que estimara pertinentes. El Estado presentó observaciones el </w:t>
      </w:r>
      <w:r w:rsidR="00C12427">
        <w:rPr>
          <w:rFonts w:eastAsia="Verdana" w:cs="Verdana"/>
          <w:position w:val="-1"/>
          <w:sz w:val="20"/>
          <w:szCs w:val="20"/>
        </w:rPr>
        <w:t>2</w:t>
      </w:r>
      <w:r w:rsidR="008D1152">
        <w:rPr>
          <w:rFonts w:eastAsia="Verdana" w:cs="Verdana"/>
          <w:position w:val="-1"/>
          <w:sz w:val="20"/>
          <w:szCs w:val="20"/>
        </w:rPr>
        <w:t xml:space="preserve"> de febrero de 2018</w:t>
      </w:r>
      <w:r w:rsidR="004D67BE" w:rsidRPr="000214BA">
        <w:rPr>
          <w:rFonts w:eastAsia="Verdana" w:cs="Verdana"/>
          <w:position w:val="-1"/>
          <w:sz w:val="20"/>
          <w:szCs w:val="20"/>
        </w:rPr>
        <w:t>.</w:t>
      </w:r>
    </w:p>
    <w:p w14:paraId="5F276BD6" w14:textId="77777777" w:rsidR="006C37C9" w:rsidRPr="0071582F" w:rsidRDefault="006C37C9" w:rsidP="00F3026E">
      <w:pPr>
        <w:tabs>
          <w:tab w:val="left" w:pos="567"/>
          <w:tab w:val="left" w:pos="1134"/>
          <w:tab w:val="num" w:pos="6042"/>
        </w:tabs>
        <w:autoSpaceDE w:val="0"/>
        <w:autoSpaceDN w:val="0"/>
        <w:rPr>
          <w:rFonts w:eastAsia="Calibri" w:cs="Verdana"/>
          <w:snapToGrid w:val="0"/>
          <w:sz w:val="20"/>
          <w:szCs w:val="20"/>
          <w:lang w:eastAsia="es-ES"/>
        </w:rPr>
      </w:pPr>
    </w:p>
    <w:p w14:paraId="0660CAA9" w14:textId="2FB5BB89" w:rsidR="006C37C9" w:rsidRPr="00C27894" w:rsidRDefault="006C37C9" w:rsidP="00C27894">
      <w:pPr>
        <w:numPr>
          <w:ilvl w:val="0"/>
          <w:numId w:val="2"/>
        </w:numPr>
        <w:tabs>
          <w:tab w:val="left" w:pos="567"/>
          <w:tab w:val="num" w:pos="12305"/>
        </w:tabs>
        <w:ind w:left="0" w:firstLine="0"/>
        <w:rPr>
          <w:rFonts w:eastAsia="Verdana" w:cs="Verdana"/>
          <w:sz w:val="20"/>
          <w:szCs w:val="20"/>
        </w:rPr>
      </w:pPr>
      <w:r w:rsidRPr="0071582F">
        <w:rPr>
          <w:rFonts w:cs="Verdana"/>
          <w:i/>
          <w:snapToGrid w:val="0"/>
          <w:sz w:val="20"/>
          <w:szCs w:val="20"/>
          <w:lang w:eastAsia="es-ES"/>
        </w:rPr>
        <w:t>Deliberación</w:t>
      </w:r>
      <w:r w:rsidRPr="0071582F">
        <w:rPr>
          <w:rFonts w:cs="Verdana"/>
          <w:i/>
          <w:iCs/>
          <w:snapToGrid w:val="0"/>
          <w:sz w:val="20"/>
          <w:szCs w:val="20"/>
          <w:lang w:eastAsia="es-ES"/>
        </w:rPr>
        <w:t xml:space="preserve"> del presente caso. -</w:t>
      </w:r>
      <w:r w:rsidR="004D67BE">
        <w:rPr>
          <w:rFonts w:cs="Verdana"/>
          <w:i/>
          <w:iCs/>
          <w:snapToGrid w:val="0"/>
          <w:sz w:val="20"/>
          <w:szCs w:val="20"/>
          <w:lang w:eastAsia="es-ES"/>
        </w:rPr>
        <w:t xml:space="preserve"> </w:t>
      </w:r>
      <w:r w:rsidR="004D67BE" w:rsidRPr="000214BA">
        <w:rPr>
          <w:rFonts w:cs="Verdana"/>
          <w:iCs/>
          <w:snapToGrid w:val="0"/>
          <w:sz w:val="20"/>
          <w:szCs w:val="20"/>
          <w:lang w:val="es-ES_tradnl" w:eastAsia="es-ES"/>
        </w:rPr>
        <w:t xml:space="preserve">La Corte inició la deliberación de la presente Sentencia el </w:t>
      </w:r>
      <w:r w:rsidR="00C12427">
        <w:rPr>
          <w:rFonts w:cs="Verdana"/>
          <w:iCs/>
          <w:snapToGrid w:val="0"/>
          <w:sz w:val="20"/>
          <w:szCs w:val="20"/>
          <w:lang w:val="es-ES_tradnl" w:eastAsia="es-ES"/>
        </w:rPr>
        <w:t>5 de marzo</w:t>
      </w:r>
      <w:r w:rsidR="00094BE6">
        <w:rPr>
          <w:rFonts w:cs="Verdana"/>
          <w:iCs/>
          <w:snapToGrid w:val="0"/>
          <w:sz w:val="20"/>
          <w:szCs w:val="20"/>
          <w:lang w:val="es-ES_tradnl" w:eastAsia="es-ES"/>
        </w:rPr>
        <w:t xml:space="preserve"> de 2018. </w:t>
      </w:r>
    </w:p>
    <w:p w14:paraId="4A4B67AC" w14:textId="77777777" w:rsidR="006C37C9" w:rsidRPr="0071582F" w:rsidRDefault="006C37C9" w:rsidP="006B2A4D">
      <w:pPr>
        <w:pStyle w:val="Title"/>
      </w:pPr>
      <w:bookmarkStart w:id="26" w:name="_Toc470180034"/>
      <w:bookmarkStart w:id="27" w:name="_Toc513644442"/>
      <w:r w:rsidRPr="0071582F">
        <w:t>III</w:t>
      </w:r>
      <w:r w:rsidRPr="0071582F">
        <w:br/>
        <w:t>COMPETENCIA</w:t>
      </w:r>
      <w:bookmarkEnd w:id="26"/>
      <w:bookmarkEnd w:id="27"/>
    </w:p>
    <w:p w14:paraId="49D506C1" w14:textId="77777777" w:rsidR="006C37C9" w:rsidRPr="0071582F" w:rsidRDefault="006C37C9" w:rsidP="00F3026E"/>
    <w:p w14:paraId="0C70E8B7" w14:textId="77777777" w:rsidR="00342270" w:rsidRDefault="00FB4EEF" w:rsidP="00F3026E">
      <w:pPr>
        <w:numPr>
          <w:ilvl w:val="0"/>
          <w:numId w:val="2"/>
        </w:numPr>
        <w:tabs>
          <w:tab w:val="left" w:pos="567"/>
          <w:tab w:val="num" w:pos="12305"/>
        </w:tabs>
        <w:ind w:left="0" w:firstLine="0"/>
        <w:rPr>
          <w:sz w:val="20"/>
          <w:lang w:val="es-ES"/>
        </w:rPr>
      </w:pPr>
      <w:r w:rsidRPr="00FB4EEF">
        <w:rPr>
          <w:sz w:val="20"/>
          <w:lang w:val="es-ES"/>
        </w:rPr>
        <w:t xml:space="preserve">La Corte es competente para conocer del presente caso, en los términos del artículo 62.3 de la Convención, en razón de que Chile es Estado Parte de la Convención desde el 21 de agosto de 1990 y reconoció la competencia contenciosa de la Corte en esa misma fecha. </w:t>
      </w:r>
    </w:p>
    <w:p w14:paraId="629C7CB6" w14:textId="77777777" w:rsidR="00542AD4" w:rsidRDefault="00542AD4" w:rsidP="00C27894">
      <w:pPr>
        <w:tabs>
          <w:tab w:val="left" w:pos="567"/>
        </w:tabs>
        <w:rPr>
          <w:sz w:val="20"/>
          <w:lang w:val="es-ES"/>
        </w:rPr>
      </w:pPr>
    </w:p>
    <w:p w14:paraId="28692FDB" w14:textId="77777777" w:rsidR="00542AD4" w:rsidRDefault="00542AD4" w:rsidP="00542AD4">
      <w:pPr>
        <w:pStyle w:val="Title"/>
      </w:pPr>
      <w:bookmarkStart w:id="28" w:name="_Toc513644443"/>
      <w:r>
        <w:t>I</w:t>
      </w:r>
      <w:r w:rsidRPr="0001748B">
        <w:t>V</w:t>
      </w:r>
      <w:r w:rsidRPr="0001748B">
        <w:br/>
      </w:r>
      <w:r w:rsidRPr="00C27894">
        <w:t>RECONOCIMIENTO PARCIAL DE RESPONSABILIDAD INTERNACIONAL DEL ESTADO</w:t>
      </w:r>
      <w:bookmarkEnd w:id="28"/>
    </w:p>
    <w:p w14:paraId="665DA0F3" w14:textId="77777777" w:rsidR="00542AD4" w:rsidRPr="00F3026E" w:rsidRDefault="00542AD4" w:rsidP="00542AD4">
      <w:pPr>
        <w:rPr>
          <w:sz w:val="20"/>
          <w:szCs w:val="20"/>
        </w:rPr>
      </w:pPr>
    </w:p>
    <w:p w14:paraId="30F4738E" w14:textId="77777777" w:rsidR="00542AD4" w:rsidRPr="00225E59" w:rsidRDefault="00542AD4" w:rsidP="002726E0">
      <w:pPr>
        <w:pStyle w:val="Heading2"/>
        <w:numPr>
          <w:ilvl w:val="0"/>
          <w:numId w:val="9"/>
        </w:numPr>
      </w:pPr>
      <w:bookmarkStart w:id="29" w:name="_Toc513644444"/>
      <w:r>
        <w:t xml:space="preserve">Posiciones respecto del </w:t>
      </w:r>
      <w:r w:rsidRPr="00225E59">
        <w:t>Reconocimiento Parcial de responsabilidad del Estado</w:t>
      </w:r>
      <w:bookmarkEnd w:id="29"/>
      <w:r w:rsidRPr="00225E59">
        <w:t xml:space="preserve"> </w:t>
      </w:r>
    </w:p>
    <w:p w14:paraId="2D01C9EE" w14:textId="77777777" w:rsidR="00542AD4" w:rsidRPr="0001748B" w:rsidRDefault="00542AD4" w:rsidP="00542AD4">
      <w:pPr>
        <w:autoSpaceDE w:val="0"/>
        <w:autoSpaceDN w:val="0"/>
        <w:rPr>
          <w:rFonts w:eastAsia="Calibri" w:cs="Verdana"/>
          <w:snapToGrid w:val="0"/>
          <w:sz w:val="20"/>
          <w:szCs w:val="20"/>
          <w:lang w:eastAsia="es-ES"/>
        </w:rPr>
      </w:pPr>
    </w:p>
    <w:p w14:paraId="38AC83E8" w14:textId="0745116A" w:rsidR="00542AD4" w:rsidRPr="000214BA" w:rsidRDefault="00542AD4" w:rsidP="00542AD4">
      <w:pPr>
        <w:numPr>
          <w:ilvl w:val="0"/>
          <w:numId w:val="2"/>
        </w:numPr>
        <w:tabs>
          <w:tab w:val="left" w:pos="567"/>
          <w:tab w:val="num" w:pos="12305"/>
        </w:tabs>
        <w:ind w:left="0" w:firstLine="0"/>
        <w:rPr>
          <w:rFonts w:eastAsia="Batang"/>
          <w:sz w:val="20"/>
          <w:szCs w:val="20"/>
          <w:lang w:eastAsia="en-US"/>
        </w:rPr>
      </w:pPr>
      <w:r w:rsidRPr="0001748B">
        <w:rPr>
          <w:rFonts w:eastAsia="Batang"/>
          <w:sz w:val="20"/>
          <w:szCs w:val="20"/>
          <w:lang w:eastAsia="en-US"/>
        </w:rPr>
        <w:t xml:space="preserve">El </w:t>
      </w:r>
      <w:r w:rsidRPr="0001748B">
        <w:rPr>
          <w:rFonts w:eastAsia="Batang"/>
          <w:b/>
          <w:i/>
          <w:sz w:val="20"/>
          <w:szCs w:val="20"/>
          <w:lang w:eastAsia="en-US"/>
        </w:rPr>
        <w:t>Estado</w:t>
      </w:r>
      <w:r w:rsidRPr="0001748B">
        <w:rPr>
          <w:rFonts w:eastAsia="Batang"/>
          <w:sz w:val="20"/>
          <w:szCs w:val="20"/>
          <w:lang w:eastAsia="en-US"/>
        </w:rPr>
        <w:t xml:space="preserve"> </w:t>
      </w:r>
      <w:r>
        <w:rPr>
          <w:rFonts w:eastAsia="Batang"/>
          <w:sz w:val="20"/>
          <w:szCs w:val="20"/>
          <w:lang w:eastAsia="en-US"/>
        </w:rPr>
        <w:t>reconoció su responsabilidad internacional por la</w:t>
      </w:r>
      <w:r w:rsidRPr="004B73A1">
        <w:rPr>
          <w:rFonts w:eastAsia="Batang"/>
          <w:sz w:val="20"/>
          <w:szCs w:val="20"/>
          <w:lang w:eastAsia="en-US"/>
        </w:rPr>
        <w:t xml:space="preserve"> </w:t>
      </w:r>
      <w:r>
        <w:rPr>
          <w:rFonts w:eastAsia="Batang"/>
          <w:sz w:val="20"/>
          <w:szCs w:val="20"/>
          <w:lang w:eastAsia="en-US"/>
        </w:rPr>
        <w:t>“</w:t>
      </w:r>
      <w:r w:rsidRPr="004B73A1">
        <w:rPr>
          <w:rFonts w:eastAsia="Batang"/>
          <w:sz w:val="20"/>
          <w:szCs w:val="20"/>
          <w:lang w:eastAsia="en-US"/>
        </w:rPr>
        <w:t>afectación</w:t>
      </w:r>
      <w:r>
        <w:rPr>
          <w:rFonts w:eastAsia="Batang"/>
          <w:sz w:val="20"/>
          <w:szCs w:val="20"/>
          <w:lang w:eastAsia="en-US"/>
        </w:rPr>
        <w:t xml:space="preserve"> al derecho a la integridad </w:t>
      </w:r>
      <w:proofErr w:type="gramStart"/>
      <w:r>
        <w:rPr>
          <w:rFonts w:eastAsia="Batang"/>
          <w:sz w:val="20"/>
          <w:szCs w:val="20"/>
          <w:lang w:eastAsia="en-US"/>
        </w:rPr>
        <w:t>personal[</w:t>
      </w:r>
      <w:proofErr w:type="gramEnd"/>
      <w:r>
        <w:rPr>
          <w:rFonts w:eastAsia="Batang"/>
          <w:sz w:val="20"/>
          <w:szCs w:val="20"/>
          <w:lang w:eastAsia="en-US"/>
        </w:rPr>
        <w:t xml:space="preserve">, del] </w:t>
      </w:r>
      <w:r w:rsidRPr="004B73A1">
        <w:rPr>
          <w:rFonts w:eastAsia="Batang"/>
          <w:sz w:val="20"/>
          <w:szCs w:val="20"/>
          <w:lang w:eastAsia="en-US"/>
        </w:rPr>
        <w:t>artículo</w:t>
      </w:r>
      <w:r>
        <w:rPr>
          <w:rFonts w:eastAsia="Batang"/>
          <w:sz w:val="20"/>
          <w:szCs w:val="20"/>
          <w:lang w:eastAsia="en-US"/>
        </w:rPr>
        <w:t xml:space="preserve"> 5 [de la Convección Americana]</w:t>
      </w:r>
      <w:r w:rsidRPr="004B73A1">
        <w:rPr>
          <w:rFonts w:eastAsia="Batang"/>
          <w:sz w:val="20"/>
          <w:szCs w:val="20"/>
          <w:lang w:eastAsia="en-US"/>
        </w:rPr>
        <w:t xml:space="preserve">, integridad corporal[, del] </w:t>
      </w:r>
      <w:r w:rsidRPr="004B73A1">
        <w:rPr>
          <w:rFonts w:eastAsia="Batang"/>
          <w:sz w:val="20"/>
          <w:szCs w:val="20"/>
          <w:lang w:eastAsia="en-US"/>
        </w:rPr>
        <w:lastRenderedPageBreak/>
        <w:t>artículo 5 [</w:t>
      </w:r>
      <w:r>
        <w:rPr>
          <w:rFonts w:eastAsia="Batang"/>
          <w:sz w:val="20"/>
          <w:szCs w:val="20"/>
          <w:lang w:eastAsia="en-US"/>
        </w:rPr>
        <w:t>del mismo instrumento</w:t>
      </w:r>
      <w:r w:rsidRPr="004B73A1">
        <w:rPr>
          <w:rFonts w:eastAsia="Batang"/>
          <w:sz w:val="20"/>
          <w:szCs w:val="20"/>
          <w:lang w:eastAsia="en-US"/>
        </w:rPr>
        <w:t>]</w:t>
      </w:r>
      <w:r>
        <w:rPr>
          <w:rFonts w:eastAsia="Batang"/>
          <w:sz w:val="20"/>
          <w:szCs w:val="20"/>
          <w:lang w:eastAsia="en-US"/>
        </w:rPr>
        <w:t xml:space="preserve"> y el derecho a la salud, en relación al artículo 1.1 de la [Convención] en perjuicio del [señor] Vinicio Poblete”. </w:t>
      </w:r>
      <w:r w:rsidRPr="004B73A1">
        <w:rPr>
          <w:rFonts w:eastAsia="Batang"/>
          <w:sz w:val="20"/>
          <w:szCs w:val="20"/>
          <w:lang w:eastAsia="en-US"/>
        </w:rPr>
        <w:t xml:space="preserve">Sin embargo, el derecho a la vida del señor Vinicio Poblete, consagrado en el artículo 4 de la Convención, no fue reconocido por el Estado. Además, el Estado reconoció </w:t>
      </w:r>
      <w:r>
        <w:rPr>
          <w:rFonts w:eastAsia="Batang"/>
          <w:sz w:val="20"/>
          <w:szCs w:val="20"/>
          <w:lang w:eastAsia="en-US"/>
        </w:rPr>
        <w:t>“</w:t>
      </w:r>
      <w:r w:rsidRPr="004B73A1">
        <w:rPr>
          <w:rFonts w:eastAsia="Batang"/>
          <w:sz w:val="20"/>
          <w:szCs w:val="20"/>
          <w:lang w:eastAsia="en-US"/>
        </w:rPr>
        <w:t xml:space="preserve">la vulneración del derecho </w:t>
      </w:r>
      <w:r>
        <w:rPr>
          <w:rFonts w:eastAsia="Batang"/>
          <w:sz w:val="20"/>
          <w:szCs w:val="20"/>
          <w:lang w:eastAsia="en-US"/>
        </w:rPr>
        <w:t>al</w:t>
      </w:r>
      <w:r w:rsidRPr="004B73A1">
        <w:rPr>
          <w:rFonts w:eastAsia="Batang"/>
          <w:sz w:val="20"/>
          <w:szCs w:val="20"/>
          <w:lang w:eastAsia="en-US"/>
        </w:rPr>
        <w:t xml:space="preserve"> acceso a la información en materia de salud, establecido </w:t>
      </w:r>
      <w:r>
        <w:rPr>
          <w:rFonts w:eastAsia="Batang"/>
          <w:sz w:val="20"/>
          <w:szCs w:val="20"/>
          <w:lang w:eastAsia="en-US"/>
        </w:rPr>
        <w:t>[</w:t>
      </w:r>
      <w:r w:rsidRPr="004B73A1">
        <w:rPr>
          <w:rFonts w:eastAsia="Batang"/>
          <w:sz w:val="20"/>
          <w:szCs w:val="20"/>
          <w:lang w:eastAsia="en-US"/>
        </w:rPr>
        <w:t>en el artículo 13 de la Convención</w:t>
      </w:r>
      <w:r>
        <w:rPr>
          <w:rFonts w:eastAsia="Batang"/>
          <w:sz w:val="20"/>
          <w:szCs w:val="20"/>
          <w:lang w:eastAsia="en-US"/>
        </w:rPr>
        <w:t>]</w:t>
      </w:r>
      <w:r w:rsidRPr="004B73A1">
        <w:rPr>
          <w:rFonts w:eastAsia="Batang"/>
          <w:sz w:val="20"/>
          <w:szCs w:val="20"/>
          <w:lang w:eastAsia="en-US"/>
        </w:rPr>
        <w:t xml:space="preserve">, </w:t>
      </w:r>
      <w:r>
        <w:rPr>
          <w:rFonts w:eastAsia="Batang"/>
          <w:sz w:val="20"/>
          <w:szCs w:val="20"/>
          <w:lang w:eastAsia="en-US"/>
        </w:rPr>
        <w:t>en conexión con los derechos a la vida, integridad personal y salud</w:t>
      </w:r>
      <w:r w:rsidRPr="00AF53B6">
        <w:rPr>
          <w:rFonts w:eastAsia="Batang"/>
          <w:sz w:val="20"/>
          <w:szCs w:val="20"/>
          <w:lang w:eastAsia="en-US"/>
        </w:rPr>
        <w:t xml:space="preserve">, </w:t>
      </w:r>
      <w:r>
        <w:rPr>
          <w:rFonts w:eastAsia="Batang"/>
          <w:sz w:val="20"/>
          <w:szCs w:val="20"/>
          <w:lang w:eastAsia="en-US"/>
        </w:rPr>
        <w:t>[</w:t>
      </w:r>
      <w:r w:rsidRPr="00AF53B6">
        <w:rPr>
          <w:rFonts w:eastAsia="Batang"/>
          <w:sz w:val="20"/>
          <w:szCs w:val="20"/>
          <w:lang w:eastAsia="en-US"/>
        </w:rPr>
        <w:t>previstos en los artículos 4 y 5 de la Convención Americana</w:t>
      </w:r>
      <w:r>
        <w:rPr>
          <w:rFonts w:eastAsia="Batang"/>
          <w:sz w:val="20"/>
          <w:szCs w:val="20"/>
          <w:lang w:eastAsia="en-US"/>
        </w:rPr>
        <w:t>]</w:t>
      </w:r>
      <w:r w:rsidRPr="00AF53B6">
        <w:rPr>
          <w:rFonts w:eastAsia="Batang"/>
          <w:sz w:val="20"/>
          <w:szCs w:val="20"/>
          <w:lang w:eastAsia="en-US"/>
        </w:rPr>
        <w:t>, en relación con las obligaciones establecidas en los artículos 1.1 y 2 del mismo instrumento, en perjuicio de</w:t>
      </w:r>
      <w:r>
        <w:rPr>
          <w:rFonts w:eastAsia="Batang"/>
          <w:sz w:val="20"/>
          <w:szCs w:val="20"/>
          <w:lang w:eastAsia="en-US"/>
        </w:rPr>
        <w:t>l señor</w:t>
      </w:r>
      <w:r w:rsidRPr="00AF53B6">
        <w:rPr>
          <w:rFonts w:eastAsia="Batang"/>
          <w:sz w:val="20"/>
          <w:szCs w:val="20"/>
          <w:lang w:eastAsia="en-US"/>
        </w:rPr>
        <w:t xml:space="preserve"> Vinicio Antonio Poblete Vilches y sus familiares</w:t>
      </w:r>
      <w:r>
        <w:rPr>
          <w:rFonts w:eastAsia="Batang"/>
          <w:sz w:val="20"/>
          <w:szCs w:val="20"/>
          <w:lang w:eastAsia="en-US"/>
        </w:rPr>
        <w:t>”</w:t>
      </w:r>
      <w:r w:rsidRPr="00AF53B6">
        <w:rPr>
          <w:rFonts w:eastAsia="Batang"/>
          <w:sz w:val="20"/>
          <w:szCs w:val="20"/>
          <w:lang w:eastAsia="en-US"/>
        </w:rPr>
        <w:t xml:space="preserve">. </w:t>
      </w:r>
      <w:r>
        <w:rPr>
          <w:rFonts w:eastAsia="Batang"/>
          <w:sz w:val="20"/>
          <w:szCs w:val="20"/>
          <w:lang w:eastAsia="en-US"/>
        </w:rPr>
        <w:t>Asimismo,</w:t>
      </w:r>
      <w:r w:rsidRPr="00AF53B6">
        <w:rPr>
          <w:rFonts w:eastAsia="Batang"/>
          <w:sz w:val="20"/>
          <w:szCs w:val="20"/>
          <w:lang w:eastAsia="en-US"/>
        </w:rPr>
        <w:t xml:space="preserve"> reconoció </w:t>
      </w:r>
      <w:r w:rsidRPr="00AF53B6">
        <w:rPr>
          <w:rFonts w:eastAsia="Batang"/>
          <w:sz w:val="20"/>
          <w:lang w:eastAsia="en-US"/>
        </w:rPr>
        <w:t>en los términos previstos en los artículos 11 y 7 de la Convención Americana, la violación del derecho a la dignidad y autodeterminación del señor Vinicio Poblete Vilches</w:t>
      </w:r>
      <w:r>
        <w:rPr>
          <w:rFonts w:eastAsia="Batang"/>
          <w:sz w:val="20"/>
          <w:lang w:eastAsia="en-US"/>
        </w:rPr>
        <w:t>, pero no respecto de sus familiares</w:t>
      </w:r>
      <w:r w:rsidRPr="00AF53B6">
        <w:rPr>
          <w:rFonts w:eastAsia="Batang"/>
          <w:sz w:val="20"/>
          <w:lang w:eastAsia="en-US"/>
        </w:rPr>
        <w:t xml:space="preserve">. </w:t>
      </w:r>
      <w:r w:rsidRPr="00AF53B6">
        <w:rPr>
          <w:sz w:val="20"/>
          <w:szCs w:val="20"/>
        </w:rPr>
        <w:t xml:space="preserve">Por último, </w:t>
      </w:r>
      <w:r w:rsidRPr="00AF53B6">
        <w:rPr>
          <w:sz w:val="20"/>
          <w:szCs w:val="20"/>
          <w:lang w:val="es-ES"/>
        </w:rPr>
        <w:t>conforme a lo establecido en los artículos 8 y 25 de la C</w:t>
      </w:r>
      <w:r>
        <w:rPr>
          <w:sz w:val="20"/>
          <w:szCs w:val="20"/>
          <w:lang w:val="es-ES"/>
        </w:rPr>
        <w:t>onvención Americana,</w:t>
      </w:r>
      <w:r w:rsidRPr="00AF53B6">
        <w:rPr>
          <w:b/>
          <w:bCs/>
          <w:sz w:val="20"/>
          <w:szCs w:val="20"/>
          <w:lang w:val="es-ES"/>
        </w:rPr>
        <w:t xml:space="preserve"> </w:t>
      </w:r>
      <w:r w:rsidRPr="00AF53B6">
        <w:rPr>
          <w:bCs/>
          <w:sz w:val="20"/>
          <w:szCs w:val="20"/>
          <w:lang w:val="es-ES"/>
        </w:rPr>
        <w:t xml:space="preserve">el Estado </w:t>
      </w:r>
      <w:r w:rsidRPr="00AF53B6">
        <w:rPr>
          <w:sz w:val="20"/>
          <w:szCs w:val="20"/>
          <w:lang w:val="es-ES"/>
        </w:rPr>
        <w:t>reconoció responsabilidad en lo referente al incumplimiento de la obligación de desarrollar su actuación jurisdiccional dentro de un plazo razonable</w:t>
      </w:r>
      <w:r>
        <w:rPr>
          <w:sz w:val="20"/>
          <w:szCs w:val="20"/>
          <w:lang w:val="es-ES"/>
        </w:rPr>
        <w:t>, pero no respecto de la debida diligencia</w:t>
      </w:r>
      <w:r w:rsidRPr="00AF53B6">
        <w:rPr>
          <w:sz w:val="20"/>
          <w:szCs w:val="20"/>
          <w:lang w:val="es-ES"/>
        </w:rPr>
        <w:t>.</w:t>
      </w:r>
    </w:p>
    <w:p w14:paraId="4D4D29F5" w14:textId="77777777" w:rsidR="00542AD4" w:rsidRDefault="00542AD4" w:rsidP="00542AD4">
      <w:pPr>
        <w:tabs>
          <w:tab w:val="left" w:pos="567"/>
        </w:tabs>
        <w:rPr>
          <w:sz w:val="20"/>
          <w:szCs w:val="20"/>
          <w:lang w:val="es-ES"/>
        </w:rPr>
      </w:pPr>
    </w:p>
    <w:p w14:paraId="244F6B35" w14:textId="77777777" w:rsidR="00542AD4" w:rsidRDefault="00542AD4" w:rsidP="00542AD4">
      <w:pPr>
        <w:numPr>
          <w:ilvl w:val="0"/>
          <w:numId w:val="2"/>
        </w:numPr>
        <w:tabs>
          <w:tab w:val="left" w:pos="567"/>
          <w:tab w:val="num" w:pos="12305"/>
        </w:tabs>
        <w:ind w:left="0" w:firstLine="0"/>
        <w:rPr>
          <w:sz w:val="20"/>
          <w:szCs w:val="20"/>
          <w:lang w:val="es-ES"/>
        </w:rPr>
      </w:pPr>
      <w:r>
        <w:rPr>
          <w:sz w:val="20"/>
          <w:szCs w:val="20"/>
          <w:lang w:val="es-ES"/>
        </w:rPr>
        <w:t>El Estado consideró que los hechos que violaron los derechos del señor Poblete Vilches fueron los siguientes:</w:t>
      </w:r>
    </w:p>
    <w:p w14:paraId="15D08382" w14:textId="77777777" w:rsidR="00542AD4" w:rsidRPr="00DA4185" w:rsidRDefault="00542AD4" w:rsidP="00542AD4">
      <w:pPr>
        <w:tabs>
          <w:tab w:val="left" w:pos="567"/>
        </w:tabs>
        <w:rPr>
          <w:sz w:val="20"/>
          <w:szCs w:val="20"/>
          <w:lang w:val="es-ES"/>
        </w:rPr>
      </w:pPr>
    </w:p>
    <w:p w14:paraId="7B51CEFD" w14:textId="77777777" w:rsidR="00542AD4" w:rsidRDefault="00542AD4" w:rsidP="00542AD4">
      <w:pPr>
        <w:ind w:left="720" w:right="720"/>
        <w:rPr>
          <w:sz w:val="18"/>
          <w:szCs w:val="18"/>
          <w:lang w:val="es-ES" w:eastAsia="en-US"/>
        </w:rPr>
      </w:pPr>
      <w:r w:rsidRPr="000214BA">
        <w:rPr>
          <w:sz w:val="18"/>
          <w:szCs w:val="18"/>
          <w:lang w:val="es-ES" w:eastAsia="en-US"/>
        </w:rPr>
        <w:t xml:space="preserve">[L]a decisión de alta médica del Señor Vinicio Poblete [Vilches] constituyó un obstáculo en el acceso a condiciones que le </w:t>
      </w:r>
      <w:proofErr w:type="gramStart"/>
      <w:r w:rsidRPr="000214BA">
        <w:rPr>
          <w:sz w:val="18"/>
          <w:szCs w:val="18"/>
          <w:lang w:val="es-ES" w:eastAsia="en-US"/>
        </w:rPr>
        <w:t>garantiza[</w:t>
      </w:r>
      <w:proofErr w:type="spellStart"/>
      <w:proofErr w:type="gramEnd"/>
      <w:r w:rsidRPr="000214BA">
        <w:rPr>
          <w:sz w:val="18"/>
          <w:szCs w:val="18"/>
          <w:lang w:val="es-ES" w:eastAsia="en-US"/>
        </w:rPr>
        <w:t>ran</w:t>
      </w:r>
      <w:proofErr w:type="spellEnd"/>
      <w:r w:rsidRPr="000214BA">
        <w:rPr>
          <w:sz w:val="18"/>
          <w:szCs w:val="18"/>
          <w:lang w:val="es-ES" w:eastAsia="en-US"/>
        </w:rPr>
        <w:t xml:space="preserve">] su derecho a la integridad corporal y, además </w:t>
      </w:r>
      <w:r w:rsidRPr="00B1523A">
        <w:rPr>
          <w:sz w:val="18"/>
          <w:szCs w:val="18"/>
          <w:lang w:val="es-ES" w:eastAsia="en-US"/>
        </w:rPr>
        <w:t>a su salud</w:t>
      </w:r>
      <w:r w:rsidRPr="000214BA">
        <w:rPr>
          <w:sz w:val="18"/>
          <w:szCs w:val="18"/>
          <w:lang w:val="es-ES" w:eastAsia="en-US"/>
        </w:rPr>
        <w:t xml:space="preserve">. En efecto, esto fue así dado que el alta tuvo lugar aún </w:t>
      </w:r>
      <w:proofErr w:type="spellStart"/>
      <w:r w:rsidRPr="000214BA">
        <w:rPr>
          <w:sz w:val="18"/>
          <w:szCs w:val="18"/>
          <w:lang w:val="es-ES" w:eastAsia="en-US"/>
        </w:rPr>
        <w:t>cu</w:t>
      </w:r>
      <w:proofErr w:type="spellEnd"/>
      <w:r w:rsidRPr="000214BA">
        <w:rPr>
          <w:sz w:val="18"/>
          <w:szCs w:val="18"/>
          <w:lang w:val="es-ES" w:eastAsia="en-US"/>
        </w:rPr>
        <w:t>[a]</w:t>
      </w:r>
      <w:proofErr w:type="spellStart"/>
      <w:r w:rsidRPr="000214BA">
        <w:rPr>
          <w:sz w:val="18"/>
          <w:szCs w:val="18"/>
          <w:lang w:val="es-ES" w:eastAsia="en-US"/>
        </w:rPr>
        <w:t>ndo</w:t>
      </w:r>
      <w:proofErr w:type="spellEnd"/>
      <w:r w:rsidRPr="000214BA">
        <w:rPr>
          <w:sz w:val="18"/>
          <w:szCs w:val="18"/>
          <w:lang w:val="es-ES" w:eastAsia="en-US"/>
        </w:rPr>
        <w:t xml:space="preserve"> la información que constaba se </w:t>
      </w:r>
      <w:proofErr w:type="spellStart"/>
      <w:r w:rsidRPr="000214BA">
        <w:rPr>
          <w:sz w:val="18"/>
          <w:szCs w:val="18"/>
          <w:lang w:val="es-ES" w:eastAsia="en-US"/>
        </w:rPr>
        <w:t>desprend</w:t>
      </w:r>
      <w:proofErr w:type="spellEnd"/>
      <w:r w:rsidRPr="000214BA">
        <w:rPr>
          <w:sz w:val="18"/>
          <w:szCs w:val="18"/>
          <w:lang w:val="es-ES" w:eastAsia="en-US"/>
        </w:rPr>
        <w:t xml:space="preserve"> [</w:t>
      </w:r>
      <w:proofErr w:type="spellStart"/>
      <w:r w:rsidRPr="000214BA">
        <w:rPr>
          <w:sz w:val="18"/>
          <w:szCs w:val="18"/>
          <w:lang w:val="es-ES" w:eastAsia="en-US"/>
        </w:rPr>
        <w:t>ió</w:t>
      </w:r>
      <w:proofErr w:type="spellEnd"/>
      <w:r w:rsidRPr="000214BA">
        <w:rPr>
          <w:sz w:val="18"/>
          <w:szCs w:val="18"/>
          <w:lang w:val="es-ES" w:eastAsia="en-US"/>
        </w:rPr>
        <w:t xml:space="preserve">] que no era una medida pertinente. A lo anterior, se suma el hecho de que cuando </w:t>
      </w:r>
      <w:proofErr w:type="spellStart"/>
      <w:r w:rsidRPr="000214BA">
        <w:rPr>
          <w:sz w:val="18"/>
          <w:szCs w:val="18"/>
          <w:lang w:val="es-ES" w:eastAsia="en-US"/>
        </w:rPr>
        <w:t>el</w:t>
      </w:r>
      <w:proofErr w:type="spellEnd"/>
      <w:r w:rsidRPr="000214BA">
        <w:rPr>
          <w:sz w:val="18"/>
          <w:szCs w:val="18"/>
          <w:lang w:val="es-ES" w:eastAsia="en-US"/>
        </w:rPr>
        <w:t xml:space="preserve"> [señor] Vinicio Poblete reingresó al Hospital, no fue tratado en la Unidad de Cuidados Intensivos (UCI), a pesar que la misma ficha médica indicaba que era la Unidad adecuada para su debido tratamiento en razón de los síntomas que presentaba.</w:t>
      </w:r>
    </w:p>
    <w:p w14:paraId="0C7ECC08" w14:textId="77777777" w:rsidR="00542AD4" w:rsidRPr="000214BA" w:rsidRDefault="00542AD4" w:rsidP="00542AD4">
      <w:pPr>
        <w:ind w:left="720" w:right="720"/>
        <w:rPr>
          <w:sz w:val="18"/>
          <w:szCs w:val="18"/>
          <w:lang w:val="es-ES" w:eastAsia="en-US"/>
        </w:rPr>
      </w:pPr>
    </w:p>
    <w:p w14:paraId="7765F5A4" w14:textId="1645FA88" w:rsidR="00542AD4" w:rsidRDefault="00542AD4" w:rsidP="00542AD4">
      <w:pPr>
        <w:ind w:left="720" w:right="720"/>
        <w:rPr>
          <w:b/>
          <w:sz w:val="18"/>
          <w:szCs w:val="18"/>
          <w:lang w:val="es-ES" w:eastAsia="en-US"/>
        </w:rPr>
      </w:pPr>
      <w:r w:rsidRPr="000214BA">
        <w:rPr>
          <w:sz w:val="18"/>
          <w:szCs w:val="18"/>
          <w:lang w:val="es-ES" w:eastAsia="en-US"/>
        </w:rPr>
        <w:t xml:space="preserve">[E]l Estado de Chile </w:t>
      </w:r>
      <w:proofErr w:type="spellStart"/>
      <w:proofErr w:type="gramStart"/>
      <w:r w:rsidRPr="00C27894">
        <w:rPr>
          <w:sz w:val="18"/>
          <w:szCs w:val="18"/>
          <w:lang w:val="es-ES" w:eastAsia="en-US"/>
        </w:rPr>
        <w:t>entend</w:t>
      </w:r>
      <w:proofErr w:type="spellEnd"/>
      <w:r w:rsidRPr="00C27894">
        <w:rPr>
          <w:sz w:val="18"/>
          <w:szCs w:val="18"/>
          <w:lang w:val="es-ES" w:eastAsia="en-US"/>
        </w:rPr>
        <w:t>[</w:t>
      </w:r>
      <w:proofErr w:type="spellStart"/>
      <w:proofErr w:type="gramEnd"/>
      <w:r w:rsidR="004D2BDB" w:rsidRPr="00C27894">
        <w:rPr>
          <w:sz w:val="18"/>
          <w:szCs w:val="18"/>
          <w:lang w:val="es-ES" w:eastAsia="en-US"/>
        </w:rPr>
        <w:t>i</w:t>
      </w:r>
      <w:r w:rsidRPr="00C27894">
        <w:rPr>
          <w:sz w:val="18"/>
          <w:szCs w:val="18"/>
          <w:lang w:val="es-ES" w:eastAsia="en-US"/>
        </w:rPr>
        <w:t>ó</w:t>
      </w:r>
      <w:proofErr w:type="spellEnd"/>
      <w:r w:rsidRPr="00C27894">
        <w:rPr>
          <w:sz w:val="18"/>
          <w:szCs w:val="18"/>
          <w:lang w:val="es-ES" w:eastAsia="en-US"/>
        </w:rPr>
        <w:t>]</w:t>
      </w:r>
      <w:r w:rsidRPr="000214BA">
        <w:rPr>
          <w:sz w:val="18"/>
          <w:szCs w:val="18"/>
          <w:lang w:val="es-ES" w:eastAsia="en-US"/>
        </w:rPr>
        <w:t xml:space="preserve"> que, dada las circunstancias fácticas del presente caso, en especial la hospitalización en el Hospital </w:t>
      </w:r>
      <w:proofErr w:type="spellStart"/>
      <w:r w:rsidRPr="000214BA">
        <w:rPr>
          <w:sz w:val="18"/>
          <w:szCs w:val="18"/>
          <w:lang w:val="es-ES" w:eastAsia="en-US"/>
        </w:rPr>
        <w:t>Sótero</w:t>
      </w:r>
      <w:proofErr w:type="spellEnd"/>
      <w:r w:rsidRPr="000214BA">
        <w:rPr>
          <w:sz w:val="18"/>
          <w:szCs w:val="18"/>
          <w:lang w:val="es-ES" w:eastAsia="en-US"/>
        </w:rPr>
        <w:t xml:space="preserve"> del R[í]o, en una unidad de cuidado distinta de la recomendada en la ficha clínica, debido a la ausencia de camas y la falta de diligencias por parte del Estado para gestionar su traslado a otro centro de salud, </w:t>
      </w:r>
      <w:proofErr w:type="spellStart"/>
      <w:r w:rsidRPr="000214BA">
        <w:rPr>
          <w:sz w:val="18"/>
          <w:szCs w:val="18"/>
          <w:lang w:val="es-ES" w:eastAsia="en-US"/>
        </w:rPr>
        <w:t>implic</w:t>
      </w:r>
      <w:proofErr w:type="spellEnd"/>
      <w:r w:rsidRPr="000214BA">
        <w:rPr>
          <w:sz w:val="18"/>
          <w:szCs w:val="18"/>
          <w:lang w:val="es-ES" w:eastAsia="en-US"/>
        </w:rPr>
        <w:t>[</w:t>
      </w:r>
      <w:proofErr w:type="spellStart"/>
      <w:r w:rsidRPr="000214BA">
        <w:rPr>
          <w:sz w:val="18"/>
          <w:szCs w:val="18"/>
          <w:lang w:val="es-ES" w:eastAsia="en-US"/>
        </w:rPr>
        <w:t>ó</w:t>
      </w:r>
      <w:proofErr w:type="spellEnd"/>
      <w:r w:rsidRPr="000214BA">
        <w:rPr>
          <w:sz w:val="18"/>
          <w:szCs w:val="18"/>
          <w:lang w:val="es-ES" w:eastAsia="en-US"/>
        </w:rPr>
        <w:t xml:space="preserve">] vulneraciones al derecho a la integridad corporal en </w:t>
      </w:r>
      <w:r w:rsidRPr="00B1523A">
        <w:rPr>
          <w:sz w:val="18"/>
          <w:szCs w:val="18"/>
          <w:lang w:val="es-ES" w:eastAsia="en-US"/>
        </w:rPr>
        <w:t>relación al derecho a la salud</w:t>
      </w:r>
      <w:r w:rsidR="00C12427">
        <w:rPr>
          <w:sz w:val="18"/>
          <w:szCs w:val="18"/>
          <w:lang w:val="es-ES" w:eastAsia="en-US"/>
        </w:rPr>
        <w:t>.</w:t>
      </w:r>
    </w:p>
    <w:p w14:paraId="1D8D9143" w14:textId="77777777" w:rsidR="00542AD4" w:rsidRPr="000214BA" w:rsidRDefault="00542AD4" w:rsidP="00542AD4">
      <w:pPr>
        <w:ind w:left="720" w:right="720"/>
        <w:rPr>
          <w:b/>
          <w:sz w:val="18"/>
          <w:szCs w:val="18"/>
          <w:lang w:val="es-ES" w:eastAsia="en-US"/>
        </w:rPr>
      </w:pPr>
    </w:p>
    <w:p w14:paraId="5B0A7468" w14:textId="47C324ED" w:rsidR="00542AD4" w:rsidRPr="00E41031" w:rsidRDefault="00542AD4" w:rsidP="00542AD4">
      <w:pPr>
        <w:numPr>
          <w:ilvl w:val="0"/>
          <w:numId w:val="2"/>
        </w:numPr>
        <w:tabs>
          <w:tab w:val="left" w:pos="567"/>
        </w:tabs>
        <w:ind w:left="0" w:firstLine="0"/>
        <w:rPr>
          <w:rFonts w:eastAsia="Batang"/>
          <w:sz w:val="20"/>
          <w:szCs w:val="20"/>
          <w:lang w:eastAsia="en-US"/>
        </w:rPr>
      </w:pPr>
      <w:r w:rsidRPr="00E41031">
        <w:rPr>
          <w:rFonts w:eastAsia="Batang"/>
          <w:sz w:val="20"/>
          <w:szCs w:val="20"/>
          <w:lang w:eastAsia="en-US"/>
        </w:rPr>
        <w:t>El Estado también reconoció los siguientes hechos</w:t>
      </w:r>
      <w:r>
        <w:rPr>
          <w:rFonts w:eastAsia="Batang"/>
          <w:sz w:val="20"/>
          <w:szCs w:val="20"/>
          <w:lang w:eastAsia="en-US"/>
        </w:rPr>
        <w:t xml:space="preserve"> ante la Corte</w:t>
      </w:r>
      <w:r w:rsidRPr="00E41031">
        <w:rPr>
          <w:rFonts w:eastAsia="Batang"/>
          <w:sz w:val="20"/>
          <w:szCs w:val="20"/>
          <w:lang w:eastAsia="en-US"/>
        </w:rPr>
        <w:t>: “i) la presunta víctima se encontraba inconsciente al momento en que se decidiera su intervención quirúrgica y por ello, no estaba en condiciones de consentir ningún tipo de procedimiento; ii) los familiares no fueron debidamente informados del procedimiento que se le realizaría a la presunta víctima; iii) la única referencia a la existencia de un supuesto consentimiento por parte de la familia se encuentra en el expediente clínico, el cual a su vez, plantea dudas sobre la manera en que fue obtenido y su autenticidad; iv) de la historia clínica no resulta información o registro alguno que permita entender que el supuesto consentimiento informado fue brindado de acuerdo a los requisitos establecidos por el derecho internacional</w:t>
      </w:r>
      <w:r w:rsidR="008D1152">
        <w:rPr>
          <w:rFonts w:eastAsia="Batang"/>
          <w:sz w:val="20"/>
          <w:szCs w:val="20"/>
          <w:lang w:eastAsia="en-US"/>
        </w:rPr>
        <w:t>,</w:t>
      </w:r>
      <w:r w:rsidRPr="00E41031">
        <w:rPr>
          <w:rFonts w:eastAsia="Batang"/>
          <w:sz w:val="20"/>
          <w:szCs w:val="20"/>
          <w:lang w:eastAsia="en-US"/>
        </w:rPr>
        <w:t xml:space="preserve"> y v) en el expediente médico existen dudas sobre si los familiares comprendieron la situación en la que se encontraba l</w:t>
      </w:r>
      <w:r>
        <w:rPr>
          <w:rFonts w:eastAsia="Batang"/>
          <w:sz w:val="20"/>
          <w:szCs w:val="20"/>
          <w:lang w:eastAsia="en-US"/>
        </w:rPr>
        <w:t xml:space="preserve">a presunta víctima”. Respecto de las actuaciones de las autoridades judiciales, el Estado chileno reconoció que no fueron llevadas a cabo en un plazo razonable. </w:t>
      </w:r>
    </w:p>
    <w:p w14:paraId="3B20950B" w14:textId="77777777" w:rsidR="00542AD4" w:rsidRPr="00E41031" w:rsidRDefault="00542AD4" w:rsidP="00542AD4">
      <w:pPr>
        <w:autoSpaceDE w:val="0"/>
        <w:autoSpaceDN w:val="0"/>
        <w:rPr>
          <w:rFonts w:eastAsia="Batang"/>
          <w:sz w:val="20"/>
          <w:lang w:val="es-ES" w:eastAsia="en-US"/>
        </w:rPr>
      </w:pPr>
    </w:p>
    <w:p w14:paraId="7E5F9D84" w14:textId="246C7396" w:rsidR="005A65DF" w:rsidRDefault="00542AD4" w:rsidP="00B1523A">
      <w:pPr>
        <w:numPr>
          <w:ilvl w:val="0"/>
          <w:numId w:val="2"/>
        </w:numPr>
        <w:tabs>
          <w:tab w:val="left" w:pos="567"/>
          <w:tab w:val="num" w:pos="12305"/>
        </w:tabs>
        <w:autoSpaceDE w:val="0"/>
        <w:autoSpaceDN w:val="0"/>
        <w:ind w:left="0" w:firstLine="0"/>
        <w:rPr>
          <w:rFonts w:eastAsia="Calibri" w:cs="Verdana"/>
          <w:snapToGrid w:val="0"/>
          <w:sz w:val="20"/>
          <w:szCs w:val="20"/>
          <w:lang w:eastAsia="es-ES"/>
        </w:rPr>
      </w:pPr>
      <w:r w:rsidRPr="005A65DF">
        <w:rPr>
          <w:rFonts w:eastAsia="Calibri" w:cs="Verdana"/>
          <w:snapToGrid w:val="0"/>
          <w:sz w:val="20"/>
          <w:szCs w:val="20"/>
          <w:lang w:eastAsia="es-ES"/>
        </w:rPr>
        <w:t xml:space="preserve">Respecto a las reparaciones, el Estado no reconoció las reparaciones solicitadas por las </w:t>
      </w:r>
      <w:r w:rsidR="009A7BFF" w:rsidRPr="007143B1">
        <w:rPr>
          <w:rFonts w:eastAsia="Calibri" w:cs="Verdana"/>
          <w:snapToGrid w:val="0"/>
          <w:sz w:val="20"/>
          <w:szCs w:val="20"/>
          <w:lang w:eastAsia="es-ES"/>
        </w:rPr>
        <w:t>presunta</w:t>
      </w:r>
      <w:r w:rsidR="009A7BFF" w:rsidRPr="00A86D37">
        <w:rPr>
          <w:rFonts w:eastAsia="Calibri" w:cs="Verdana"/>
          <w:snapToGrid w:val="0"/>
          <w:sz w:val="20"/>
          <w:szCs w:val="20"/>
          <w:lang w:eastAsia="es-ES"/>
        </w:rPr>
        <w:t xml:space="preserve">s </w:t>
      </w:r>
      <w:r w:rsidRPr="00A82826">
        <w:rPr>
          <w:rFonts w:eastAsia="Calibri" w:cs="Verdana"/>
          <w:snapToGrid w:val="0"/>
          <w:sz w:val="20"/>
          <w:szCs w:val="20"/>
          <w:lang w:eastAsia="es-ES"/>
        </w:rPr>
        <w:t xml:space="preserve">víctimas, ya que consideró que las reparaciones estaban relacionadas con la violación al derecho a la vida. </w:t>
      </w:r>
      <w:r w:rsidRPr="00874307">
        <w:rPr>
          <w:rFonts w:eastAsia="Calibri" w:cs="Verdana"/>
          <w:snapToGrid w:val="0"/>
          <w:sz w:val="20"/>
          <w:szCs w:val="20"/>
          <w:lang w:eastAsia="es-ES"/>
        </w:rPr>
        <w:t>Sin embargo, el Estado solicitó a la Corte que a efectos de determinar las reparaciones que en estos aspectos sean procedentes, se to</w:t>
      </w:r>
      <w:r w:rsidRPr="007F108A">
        <w:rPr>
          <w:rFonts w:eastAsia="Calibri" w:cs="Verdana"/>
          <w:snapToGrid w:val="0"/>
          <w:sz w:val="20"/>
          <w:szCs w:val="20"/>
          <w:lang w:eastAsia="es-ES"/>
        </w:rPr>
        <w:t xml:space="preserve">men en consideración los planteamientos del Estado, prescindiendo de aquellos factores y consideraciones que no tienen relación con la comisión de un ilícito internacional o que carecen nexo causal entre la vulneración y el daño a reparar. </w:t>
      </w:r>
    </w:p>
    <w:p w14:paraId="3D3FB3A3" w14:textId="77777777" w:rsidR="00542AD4" w:rsidRPr="005A65DF" w:rsidRDefault="00542AD4" w:rsidP="00B1523A">
      <w:pPr>
        <w:tabs>
          <w:tab w:val="left" w:pos="567"/>
        </w:tabs>
        <w:autoSpaceDE w:val="0"/>
        <w:autoSpaceDN w:val="0"/>
        <w:rPr>
          <w:rFonts w:eastAsia="Calibri" w:cs="Verdana"/>
          <w:snapToGrid w:val="0"/>
          <w:sz w:val="20"/>
          <w:szCs w:val="20"/>
          <w:lang w:eastAsia="es-ES"/>
        </w:rPr>
      </w:pPr>
    </w:p>
    <w:p w14:paraId="4FDB498F" w14:textId="2FF849C6" w:rsidR="00542AD4" w:rsidRPr="00D935C5" w:rsidRDefault="00542AD4" w:rsidP="00542AD4">
      <w:pPr>
        <w:numPr>
          <w:ilvl w:val="0"/>
          <w:numId w:val="2"/>
        </w:numPr>
        <w:tabs>
          <w:tab w:val="left" w:pos="567"/>
          <w:tab w:val="num" w:pos="12305"/>
        </w:tabs>
        <w:ind w:left="0" w:firstLine="0"/>
        <w:rPr>
          <w:rFonts w:eastAsia="Batang"/>
          <w:sz w:val="20"/>
          <w:szCs w:val="20"/>
          <w:lang w:eastAsia="en-US"/>
        </w:rPr>
      </w:pPr>
      <w:r>
        <w:rPr>
          <w:rFonts w:eastAsia="Batang"/>
          <w:sz w:val="20"/>
          <w:szCs w:val="20"/>
          <w:lang w:eastAsia="en-US"/>
        </w:rPr>
        <w:t>En sus alegatos finales escritos, el Estado señaló que los puntos sobre los cuales no reconoce haber incurrido en responsabilidad internacional son que: “i) [l]</w:t>
      </w:r>
      <w:r w:rsidRPr="00F153BF">
        <w:rPr>
          <w:rFonts w:eastAsia="Batang"/>
          <w:sz w:val="20"/>
          <w:szCs w:val="20"/>
          <w:lang w:eastAsia="en-US"/>
        </w:rPr>
        <w:t xml:space="preserve">os tribunales chilenos </w:t>
      </w:r>
      <w:r w:rsidRPr="00F153BF">
        <w:rPr>
          <w:rFonts w:eastAsia="Batang"/>
          <w:sz w:val="20"/>
          <w:szCs w:val="20"/>
          <w:lang w:eastAsia="en-US"/>
        </w:rPr>
        <w:lastRenderedPageBreak/>
        <w:t>llevaron a cabo una investigación sustantiva sobre los hechos</w:t>
      </w:r>
      <w:r>
        <w:rPr>
          <w:rFonts w:eastAsia="Batang"/>
          <w:sz w:val="20"/>
          <w:szCs w:val="20"/>
          <w:lang w:eastAsia="en-US"/>
        </w:rPr>
        <w:t xml:space="preserve"> </w:t>
      </w:r>
      <w:r w:rsidRPr="00F153BF">
        <w:rPr>
          <w:rFonts w:eastAsia="Batang"/>
          <w:sz w:val="20"/>
          <w:szCs w:val="20"/>
          <w:lang w:eastAsia="en-US"/>
        </w:rPr>
        <w:t>que dan lugar a esta causa, cumpliendo con el estándar internacional de debida</w:t>
      </w:r>
      <w:r>
        <w:rPr>
          <w:rFonts w:eastAsia="Batang"/>
          <w:sz w:val="20"/>
          <w:szCs w:val="20"/>
          <w:lang w:eastAsia="en-US"/>
        </w:rPr>
        <w:t xml:space="preserve"> </w:t>
      </w:r>
      <w:r w:rsidRPr="00F153BF">
        <w:rPr>
          <w:rFonts w:eastAsia="Batang"/>
          <w:sz w:val="20"/>
          <w:szCs w:val="20"/>
          <w:lang w:eastAsia="en-US"/>
        </w:rPr>
        <w:t>diligencia;</w:t>
      </w:r>
      <w:r>
        <w:rPr>
          <w:rFonts w:eastAsia="Batang"/>
          <w:sz w:val="20"/>
          <w:szCs w:val="20"/>
          <w:lang w:eastAsia="en-US"/>
        </w:rPr>
        <w:t xml:space="preserve"> ii) [d]</w:t>
      </w:r>
      <w:r w:rsidRPr="00F153BF">
        <w:rPr>
          <w:rFonts w:eastAsia="Batang"/>
          <w:sz w:val="20"/>
          <w:szCs w:val="20"/>
          <w:lang w:eastAsia="en-US"/>
        </w:rPr>
        <w:t>e los hechos de la causa no se puede identificar, de acuerdo a los estándares fijados</w:t>
      </w:r>
      <w:r>
        <w:rPr>
          <w:rFonts w:eastAsia="Batang"/>
          <w:sz w:val="20"/>
          <w:szCs w:val="20"/>
          <w:lang w:eastAsia="en-US"/>
        </w:rPr>
        <w:t xml:space="preserve"> </w:t>
      </w:r>
      <w:r w:rsidRPr="00F153BF">
        <w:rPr>
          <w:rFonts w:eastAsia="Batang"/>
          <w:sz w:val="20"/>
          <w:szCs w:val="20"/>
          <w:lang w:eastAsia="en-US"/>
        </w:rPr>
        <w:t>por esta misma Corte, vulneración al derecho a ser juzgado por un tribunal imparcial,</w:t>
      </w:r>
      <w:r>
        <w:rPr>
          <w:rFonts w:eastAsia="Batang"/>
          <w:sz w:val="20"/>
          <w:szCs w:val="20"/>
          <w:lang w:eastAsia="en-US"/>
        </w:rPr>
        <w:t xml:space="preserve"> </w:t>
      </w:r>
      <w:r w:rsidRPr="00F153BF">
        <w:rPr>
          <w:rFonts w:eastAsia="Batang"/>
          <w:sz w:val="20"/>
          <w:szCs w:val="20"/>
          <w:lang w:eastAsia="en-US"/>
        </w:rPr>
        <w:t>ya sea en su variante subjetiva como objetiva;</w:t>
      </w:r>
      <w:r>
        <w:rPr>
          <w:rFonts w:eastAsia="Batang"/>
          <w:sz w:val="20"/>
          <w:szCs w:val="20"/>
          <w:lang w:eastAsia="en-US"/>
        </w:rPr>
        <w:t xml:space="preserve"> iii) [n]</w:t>
      </w:r>
      <w:r w:rsidRPr="00F153BF">
        <w:rPr>
          <w:rFonts w:eastAsia="Batang"/>
          <w:sz w:val="20"/>
          <w:szCs w:val="20"/>
          <w:lang w:eastAsia="en-US"/>
        </w:rPr>
        <w:t xml:space="preserve">o se puede imputar el fallecimiento del </w:t>
      </w:r>
      <w:r>
        <w:rPr>
          <w:rFonts w:eastAsia="Batang"/>
          <w:sz w:val="20"/>
          <w:szCs w:val="20"/>
          <w:lang w:eastAsia="en-US"/>
        </w:rPr>
        <w:t>señor</w:t>
      </w:r>
      <w:r w:rsidRPr="00F153BF">
        <w:rPr>
          <w:rFonts w:eastAsia="Batang"/>
          <w:sz w:val="20"/>
          <w:szCs w:val="20"/>
          <w:lang w:eastAsia="en-US"/>
        </w:rPr>
        <w:t xml:space="preserve"> Poblete Vilches al Estado de Chile, por</w:t>
      </w:r>
      <w:r>
        <w:rPr>
          <w:rFonts w:eastAsia="Batang"/>
          <w:sz w:val="20"/>
          <w:szCs w:val="20"/>
          <w:lang w:eastAsia="en-US"/>
        </w:rPr>
        <w:t xml:space="preserve"> </w:t>
      </w:r>
      <w:r w:rsidRPr="00F153BF">
        <w:rPr>
          <w:rFonts w:eastAsia="Batang"/>
          <w:sz w:val="20"/>
          <w:szCs w:val="20"/>
          <w:lang w:eastAsia="en-US"/>
        </w:rPr>
        <w:t>cuanto su muerte es atribu</w:t>
      </w:r>
      <w:r>
        <w:rPr>
          <w:rFonts w:eastAsia="Batang"/>
          <w:sz w:val="20"/>
          <w:szCs w:val="20"/>
          <w:lang w:eastAsia="en-US"/>
        </w:rPr>
        <w:t>ible a su grave estado de salud; iv) [q]</w:t>
      </w:r>
      <w:proofErr w:type="spellStart"/>
      <w:r w:rsidRPr="00F153BF">
        <w:rPr>
          <w:rFonts w:eastAsia="Batang"/>
          <w:sz w:val="20"/>
          <w:szCs w:val="20"/>
          <w:lang w:eastAsia="en-US"/>
        </w:rPr>
        <w:t>ue</w:t>
      </w:r>
      <w:proofErr w:type="spellEnd"/>
      <w:r w:rsidRPr="00F153BF">
        <w:rPr>
          <w:rFonts w:eastAsia="Batang"/>
          <w:sz w:val="20"/>
          <w:szCs w:val="20"/>
          <w:lang w:eastAsia="en-US"/>
        </w:rPr>
        <w:t xml:space="preserve"> Chile, a la luz del artículo 26 de la Convención, sí ha adoptado diversas medidas</w:t>
      </w:r>
      <w:r>
        <w:rPr>
          <w:rFonts w:eastAsia="Batang"/>
          <w:sz w:val="20"/>
          <w:szCs w:val="20"/>
          <w:lang w:eastAsia="en-US"/>
        </w:rPr>
        <w:t xml:space="preserve"> </w:t>
      </w:r>
      <w:r w:rsidRPr="00F153BF">
        <w:rPr>
          <w:rFonts w:eastAsia="Batang"/>
          <w:sz w:val="20"/>
          <w:szCs w:val="20"/>
          <w:lang w:eastAsia="en-US"/>
        </w:rPr>
        <w:t>para garantizar el desarrollo progresivo de los derechos económicos, sociales y</w:t>
      </w:r>
      <w:r>
        <w:rPr>
          <w:rFonts w:eastAsia="Batang"/>
          <w:sz w:val="20"/>
          <w:szCs w:val="20"/>
          <w:lang w:eastAsia="en-US"/>
        </w:rPr>
        <w:t xml:space="preserve"> </w:t>
      </w:r>
      <w:r w:rsidRPr="00F153BF">
        <w:rPr>
          <w:rFonts w:eastAsia="Batang"/>
          <w:sz w:val="20"/>
          <w:szCs w:val="20"/>
          <w:lang w:eastAsia="en-US"/>
        </w:rPr>
        <w:t>culturales, en</w:t>
      </w:r>
      <w:r>
        <w:rPr>
          <w:rFonts w:eastAsia="Batang"/>
          <w:sz w:val="20"/>
          <w:szCs w:val="20"/>
          <w:lang w:eastAsia="en-US"/>
        </w:rPr>
        <w:t>tre ellos el derecho a la salud; v) [r]</w:t>
      </w:r>
      <w:proofErr w:type="spellStart"/>
      <w:r w:rsidRPr="00F153BF">
        <w:rPr>
          <w:rFonts w:eastAsia="Batang"/>
          <w:sz w:val="20"/>
          <w:szCs w:val="20"/>
          <w:lang w:eastAsia="en-US"/>
        </w:rPr>
        <w:t>especto</w:t>
      </w:r>
      <w:proofErr w:type="spellEnd"/>
      <w:r w:rsidRPr="00F153BF">
        <w:rPr>
          <w:rFonts w:eastAsia="Batang"/>
          <w:sz w:val="20"/>
          <w:szCs w:val="20"/>
          <w:lang w:eastAsia="en-US"/>
        </w:rPr>
        <w:t xml:space="preserve"> a los familiares, el Estado no es responsable internacionalmente ni por la</w:t>
      </w:r>
      <w:r>
        <w:rPr>
          <w:rFonts w:eastAsia="Batang"/>
          <w:sz w:val="20"/>
          <w:szCs w:val="20"/>
          <w:lang w:eastAsia="en-US"/>
        </w:rPr>
        <w:t xml:space="preserve"> </w:t>
      </w:r>
      <w:r w:rsidRPr="00F153BF">
        <w:rPr>
          <w:rFonts w:eastAsia="Batang"/>
          <w:sz w:val="20"/>
          <w:szCs w:val="20"/>
          <w:lang w:eastAsia="en-US"/>
        </w:rPr>
        <w:t>supuesta vulneración a su integridad personal ni al derecho a la dignidad y</w:t>
      </w:r>
      <w:r>
        <w:rPr>
          <w:rFonts w:eastAsia="Batang"/>
          <w:sz w:val="20"/>
          <w:szCs w:val="20"/>
          <w:lang w:eastAsia="en-US"/>
        </w:rPr>
        <w:t xml:space="preserve"> </w:t>
      </w:r>
      <w:r w:rsidRPr="00F153BF">
        <w:rPr>
          <w:rFonts w:eastAsia="Batang"/>
          <w:sz w:val="20"/>
          <w:szCs w:val="20"/>
          <w:lang w:eastAsia="en-US"/>
        </w:rPr>
        <w:t>autodeterminación en relación al derecho a tomar decisiones libres en materia de</w:t>
      </w:r>
      <w:r>
        <w:rPr>
          <w:rFonts w:eastAsia="Batang"/>
          <w:sz w:val="20"/>
          <w:szCs w:val="20"/>
          <w:lang w:eastAsia="en-US"/>
        </w:rPr>
        <w:t xml:space="preserve"> </w:t>
      </w:r>
      <w:r w:rsidRPr="00F153BF">
        <w:rPr>
          <w:rFonts w:eastAsia="Batang"/>
          <w:sz w:val="20"/>
          <w:szCs w:val="20"/>
          <w:lang w:eastAsia="en-US"/>
        </w:rPr>
        <w:t>salud en referencia al derecho al consentimiento informado</w:t>
      </w:r>
      <w:r>
        <w:rPr>
          <w:rFonts w:eastAsia="Batang"/>
          <w:sz w:val="20"/>
          <w:szCs w:val="20"/>
          <w:lang w:eastAsia="en-US"/>
        </w:rPr>
        <w:t>”</w:t>
      </w:r>
      <w:r w:rsidRPr="00F153BF">
        <w:rPr>
          <w:rFonts w:eastAsia="Batang"/>
          <w:sz w:val="20"/>
          <w:szCs w:val="20"/>
          <w:lang w:eastAsia="en-US"/>
        </w:rPr>
        <w:t>.</w:t>
      </w:r>
      <w:r>
        <w:rPr>
          <w:rFonts w:eastAsia="Batang"/>
          <w:sz w:val="20"/>
          <w:szCs w:val="20"/>
          <w:lang w:eastAsia="en-US"/>
        </w:rPr>
        <w:t xml:space="preserve"> </w:t>
      </w:r>
    </w:p>
    <w:p w14:paraId="2AA1C885" w14:textId="77777777" w:rsidR="00542AD4" w:rsidRPr="0001748B" w:rsidRDefault="00542AD4" w:rsidP="00542AD4">
      <w:pPr>
        <w:autoSpaceDE w:val="0"/>
        <w:autoSpaceDN w:val="0"/>
        <w:rPr>
          <w:rFonts w:eastAsia="Batang"/>
          <w:sz w:val="20"/>
          <w:lang w:eastAsia="en-US"/>
        </w:rPr>
      </w:pPr>
    </w:p>
    <w:p w14:paraId="1B965A6E" w14:textId="3400C97A" w:rsidR="00542AD4" w:rsidRPr="009B5F5A" w:rsidRDefault="00542AD4" w:rsidP="00542AD4">
      <w:pPr>
        <w:numPr>
          <w:ilvl w:val="0"/>
          <w:numId w:val="2"/>
        </w:numPr>
        <w:tabs>
          <w:tab w:val="left" w:pos="567"/>
          <w:tab w:val="num" w:pos="1569"/>
          <w:tab w:val="num" w:pos="12305"/>
        </w:tabs>
        <w:ind w:left="0" w:firstLine="0"/>
        <w:rPr>
          <w:rFonts w:eastAsia="Calibri" w:cs="Verdana"/>
          <w:snapToGrid w:val="0"/>
          <w:sz w:val="20"/>
          <w:szCs w:val="20"/>
          <w:lang w:eastAsia="es-ES"/>
        </w:rPr>
      </w:pPr>
      <w:r w:rsidRPr="0001748B">
        <w:rPr>
          <w:rFonts w:eastAsia="Calibri" w:cs="Verdana"/>
          <w:snapToGrid w:val="0"/>
          <w:sz w:val="20"/>
          <w:szCs w:val="20"/>
          <w:lang w:eastAsia="es-ES"/>
        </w:rPr>
        <w:t xml:space="preserve">La </w:t>
      </w:r>
      <w:r w:rsidRPr="0001748B">
        <w:rPr>
          <w:rFonts w:eastAsia="Calibri" w:cs="Verdana"/>
          <w:b/>
          <w:i/>
          <w:snapToGrid w:val="0"/>
          <w:sz w:val="20"/>
          <w:szCs w:val="20"/>
          <w:lang w:eastAsia="es-ES"/>
        </w:rPr>
        <w:t>Comisión</w:t>
      </w:r>
      <w:r w:rsidRPr="0001748B">
        <w:rPr>
          <w:rFonts w:eastAsia="Calibri" w:cs="Verdana"/>
          <w:snapToGrid w:val="0"/>
          <w:sz w:val="20"/>
          <w:szCs w:val="20"/>
          <w:lang w:eastAsia="es-ES"/>
        </w:rPr>
        <w:t xml:space="preserve"> </w:t>
      </w:r>
      <w:r>
        <w:rPr>
          <w:rFonts w:eastAsia="Calibri" w:cs="Verdana"/>
          <w:snapToGrid w:val="0"/>
          <w:sz w:val="20"/>
          <w:szCs w:val="20"/>
          <w:lang w:eastAsia="es-ES"/>
        </w:rPr>
        <w:t xml:space="preserve">valoró positivamente </w:t>
      </w:r>
      <w:r w:rsidRPr="0001748B">
        <w:rPr>
          <w:rFonts w:eastAsia="Calibri" w:cs="Verdana"/>
          <w:snapToGrid w:val="0"/>
          <w:sz w:val="20"/>
          <w:szCs w:val="20"/>
          <w:lang w:eastAsia="es-ES"/>
        </w:rPr>
        <w:t xml:space="preserve">el reconocimiento de responsabilidad formulado por el Estado de </w:t>
      </w:r>
      <w:r>
        <w:rPr>
          <w:rFonts w:eastAsia="Calibri" w:cs="Verdana"/>
          <w:snapToGrid w:val="0"/>
          <w:sz w:val="20"/>
          <w:szCs w:val="20"/>
          <w:lang w:eastAsia="es-ES"/>
        </w:rPr>
        <w:t>Chile</w:t>
      </w:r>
      <w:r w:rsidRPr="0001748B">
        <w:rPr>
          <w:rFonts w:eastAsia="Calibri" w:cs="Verdana"/>
          <w:snapToGrid w:val="0"/>
          <w:sz w:val="20"/>
          <w:szCs w:val="20"/>
          <w:lang w:eastAsia="es-ES"/>
        </w:rPr>
        <w:t xml:space="preserve">, en relación con: i) </w:t>
      </w:r>
      <w:r>
        <w:rPr>
          <w:rFonts w:eastAsia="Calibri" w:cs="Verdana"/>
          <w:snapToGrid w:val="0"/>
          <w:sz w:val="20"/>
          <w:szCs w:val="20"/>
          <w:lang w:eastAsia="es-ES"/>
        </w:rPr>
        <w:t>los hechos relativos al alta médica y la falta de atención médica adecuada durante el reingreso al hospital</w:t>
      </w:r>
      <w:r w:rsidRPr="0001748B">
        <w:rPr>
          <w:rFonts w:eastAsia="Calibri" w:cs="Verdana"/>
          <w:snapToGrid w:val="0"/>
          <w:sz w:val="20"/>
          <w:szCs w:val="20"/>
          <w:lang w:eastAsia="es-ES"/>
        </w:rPr>
        <w:t xml:space="preserve">; ii) la violación de los derechos </w:t>
      </w:r>
      <w:r>
        <w:rPr>
          <w:rFonts w:eastAsia="Calibri" w:cs="Verdana"/>
          <w:snapToGrid w:val="0"/>
          <w:sz w:val="20"/>
          <w:szCs w:val="20"/>
          <w:lang w:eastAsia="es-ES"/>
        </w:rPr>
        <w:t>de acceso a la información en materia de salud</w:t>
      </w:r>
      <w:r w:rsidRPr="0001748B">
        <w:rPr>
          <w:rFonts w:eastAsia="Calibri" w:cs="Verdana"/>
          <w:snapToGrid w:val="0"/>
          <w:sz w:val="20"/>
          <w:szCs w:val="20"/>
          <w:lang w:eastAsia="es-ES"/>
        </w:rPr>
        <w:t xml:space="preserve">, </w:t>
      </w:r>
      <w:r>
        <w:rPr>
          <w:rFonts w:eastAsia="Calibri" w:cs="Verdana"/>
          <w:snapToGrid w:val="0"/>
          <w:sz w:val="20"/>
          <w:szCs w:val="20"/>
          <w:lang w:eastAsia="es-ES"/>
        </w:rPr>
        <w:t>en relación con</w:t>
      </w:r>
      <w:r w:rsidRPr="0001748B">
        <w:rPr>
          <w:rFonts w:eastAsia="Calibri" w:cs="Verdana"/>
          <w:snapToGrid w:val="0"/>
          <w:sz w:val="20"/>
          <w:szCs w:val="20"/>
          <w:lang w:eastAsia="es-ES"/>
        </w:rPr>
        <w:t xml:space="preserve"> los artículos </w:t>
      </w:r>
      <w:r>
        <w:rPr>
          <w:rFonts w:eastAsia="Calibri" w:cs="Verdana"/>
          <w:snapToGrid w:val="0"/>
          <w:sz w:val="20"/>
          <w:szCs w:val="20"/>
          <w:lang w:eastAsia="es-ES"/>
        </w:rPr>
        <w:t>4, 5</w:t>
      </w:r>
      <w:r w:rsidRPr="0001748B">
        <w:rPr>
          <w:rFonts w:eastAsia="Calibri" w:cs="Verdana"/>
          <w:snapToGrid w:val="0"/>
          <w:sz w:val="20"/>
          <w:szCs w:val="20"/>
          <w:lang w:eastAsia="es-ES"/>
        </w:rPr>
        <w:t xml:space="preserve"> y </w:t>
      </w:r>
      <w:r>
        <w:rPr>
          <w:rFonts w:eastAsia="Calibri" w:cs="Verdana"/>
          <w:snapToGrid w:val="0"/>
          <w:sz w:val="20"/>
          <w:szCs w:val="20"/>
          <w:lang w:eastAsia="es-ES"/>
        </w:rPr>
        <w:t>13</w:t>
      </w:r>
      <w:r w:rsidRPr="0001748B">
        <w:rPr>
          <w:rFonts w:eastAsia="Calibri" w:cs="Verdana"/>
          <w:snapToGrid w:val="0"/>
          <w:sz w:val="20"/>
          <w:szCs w:val="20"/>
          <w:lang w:eastAsia="es-ES"/>
        </w:rPr>
        <w:t xml:space="preserve"> de la Convención Americana</w:t>
      </w:r>
      <w:r>
        <w:rPr>
          <w:rFonts w:eastAsia="Calibri" w:cs="Verdana"/>
          <w:snapToGrid w:val="0"/>
          <w:sz w:val="20"/>
          <w:szCs w:val="20"/>
          <w:lang w:eastAsia="es-ES"/>
        </w:rPr>
        <w:t xml:space="preserve"> y las obligaciones establecidas en los artículos 1.1 y 2 de dicho instrumento</w:t>
      </w:r>
      <w:r w:rsidRPr="0001748B">
        <w:rPr>
          <w:rFonts w:eastAsia="Calibri" w:cs="Verdana"/>
          <w:snapToGrid w:val="0"/>
          <w:sz w:val="20"/>
          <w:szCs w:val="20"/>
          <w:lang w:eastAsia="es-ES"/>
        </w:rPr>
        <w:t xml:space="preserve">, </w:t>
      </w:r>
      <w:r>
        <w:rPr>
          <w:rFonts w:eastAsia="Calibri" w:cs="Verdana"/>
          <w:snapToGrid w:val="0"/>
          <w:sz w:val="20"/>
          <w:szCs w:val="20"/>
          <w:lang w:eastAsia="es-ES"/>
        </w:rPr>
        <w:t xml:space="preserve">en perjuicio del señor Vinicio Poblete Vilches y sus familiares, así como los hechos vinculados a dicha afectación. </w:t>
      </w:r>
    </w:p>
    <w:p w14:paraId="7217E5B4" w14:textId="77777777" w:rsidR="00542AD4" w:rsidRPr="009B5F5A" w:rsidRDefault="00542AD4" w:rsidP="00542AD4">
      <w:pPr>
        <w:tabs>
          <w:tab w:val="left" w:pos="567"/>
        </w:tabs>
        <w:rPr>
          <w:rFonts w:eastAsia="Calibri" w:cs="Verdana"/>
          <w:snapToGrid w:val="0"/>
          <w:sz w:val="20"/>
          <w:szCs w:val="20"/>
          <w:lang w:eastAsia="es-ES"/>
        </w:rPr>
      </w:pPr>
    </w:p>
    <w:p w14:paraId="19D42FFE" w14:textId="4F1BE63F" w:rsidR="00542AD4" w:rsidRPr="009B5F5A" w:rsidRDefault="00542AD4" w:rsidP="00542AD4">
      <w:pPr>
        <w:numPr>
          <w:ilvl w:val="0"/>
          <w:numId w:val="2"/>
        </w:numPr>
        <w:tabs>
          <w:tab w:val="left" w:pos="567"/>
          <w:tab w:val="num" w:pos="1569"/>
          <w:tab w:val="num" w:pos="12305"/>
        </w:tabs>
        <w:ind w:left="0" w:firstLine="0"/>
        <w:rPr>
          <w:rFonts w:eastAsia="Calibri" w:cs="Verdana"/>
          <w:snapToGrid w:val="0"/>
          <w:sz w:val="20"/>
          <w:szCs w:val="20"/>
          <w:lang w:eastAsia="es-ES"/>
        </w:rPr>
      </w:pPr>
      <w:r>
        <w:rPr>
          <w:rFonts w:eastAsia="Calibri" w:cs="Verdana"/>
          <w:snapToGrid w:val="0"/>
          <w:sz w:val="20"/>
          <w:szCs w:val="20"/>
          <w:lang w:eastAsia="es-ES"/>
        </w:rPr>
        <w:t xml:space="preserve">Sin embargo, la Comisión consideró que se mantiene controversia respecto de las violaciones a los familiares del </w:t>
      </w:r>
      <w:r w:rsidRPr="008359D7">
        <w:rPr>
          <w:rFonts w:eastAsia="Calibri" w:cs="Verdana"/>
          <w:snapToGrid w:val="0"/>
          <w:sz w:val="20"/>
          <w:szCs w:val="20"/>
          <w:lang w:val="es-ES" w:eastAsia="es-ES"/>
        </w:rPr>
        <w:t>señor Poblete Vilches conforme a los artículos 8, 25 y 5 de la C</w:t>
      </w:r>
      <w:r>
        <w:rPr>
          <w:rFonts w:eastAsia="Calibri" w:cs="Verdana"/>
          <w:snapToGrid w:val="0"/>
          <w:sz w:val="20"/>
          <w:szCs w:val="20"/>
          <w:lang w:val="es-ES" w:eastAsia="es-ES"/>
        </w:rPr>
        <w:t>onvención Americana, en lo relativo a la denegación de justicia</w:t>
      </w:r>
      <w:r w:rsidRPr="008359D7">
        <w:rPr>
          <w:rFonts w:eastAsia="Calibri" w:cs="Verdana"/>
          <w:snapToGrid w:val="0"/>
          <w:sz w:val="20"/>
          <w:szCs w:val="20"/>
          <w:lang w:val="es-ES" w:eastAsia="es-ES"/>
        </w:rPr>
        <w:t xml:space="preserve">. </w:t>
      </w:r>
      <w:r>
        <w:rPr>
          <w:rFonts w:eastAsia="Calibri" w:cs="Verdana"/>
          <w:snapToGrid w:val="0"/>
          <w:sz w:val="20"/>
          <w:szCs w:val="20"/>
          <w:lang w:val="es-ES" w:eastAsia="es-ES"/>
        </w:rPr>
        <w:t>Respecto de</w:t>
      </w:r>
      <w:r w:rsidRPr="008359D7">
        <w:rPr>
          <w:rFonts w:eastAsia="Calibri" w:cs="Verdana"/>
          <w:snapToGrid w:val="0"/>
          <w:sz w:val="20"/>
          <w:szCs w:val="20"/>
          <w:lang w:val="es-ES" w:eastAsia="es-ES"/>
        </w:rPr>
        <w:t xml:space="preserve"> la violación del artículo 4 de la C</w:t>
      </w:r>
      <w:r>
        <w:rPr>
          <w:rFonts w:eastAsia="Calibri" w:cs="Verdana"/>
          <w:snapToGrid w:val="0"/>
          <w:sz w:val="20"/>
          <w:szCs w:val="20"/>
          <w:lang w:val="es-ES" w:eastAsia="es-ES"/>
        </w:rPr>
        <w:t>onvención Americana</w:t>
      </w:r>
      <w:r w:rsidRPr="008359D7">
        <w:rPr>
          <w:rFonts w:eastAsia="Calibri" w:cs="Verdana"/>
          <w:snapToGrid w:val="0"/>
          <w:sz w:val="20"/>
          <w:szCs w:val="20"/>
          <w:lang w:val="es-ES" w:eastAsia="es-ES"/>
        </w:rPr>
        <w:t>, la Comisión consideró que “se desprende que subsistirá la controversia respecto de partes importantes del Informe de Fondo y que no estarían cubiertas por el reconocimiento del Estado”. Además</w:t>
      </w:r>
      <w:r w:rsidR="005A65DF">
        <w:rPr>
          <w:rFonts w:eastAsia="Calibri" w:cs="Verdana"/>
          <w:snapToGrid w:val="0"/>
          <w:sz w:val="20"/>
          <w:szCs w:val="20"/>
          <w:lang w:val="es-ES" w:eastAsia="es-ES"/>
        </w:rPr>
        <w:t>,</w:t>
      </w:r>
      <w:r w:rsidRPr="008359D7">
        <w:rPr>
          <w:rFonts w:eastAsia="Calibri" w:cs="Verdana"/>
          <w:snapToGrid w:val="0"/>
          <w:sz w:val="20"/>
          <w:szCs w:val="20"/>
          <w:lang w:val="es-ES" w:eastAsia="es-ES"/>
        </w:rPr>
        <w:t xml:space="preserve"> “la Comisión </w:t>
      </w:r>
      <w:proofErr w:type="spellStart"/>
      <w:r w:rsidRPr="008359D7">
        <w:rPr>
          <w:rFonts w:eastAsia="Calibri" w:cs="Verdana"/>
          <w:snapToGrid w:val="0"/>
          <w:sz w:val="20"/>
          <w:szCs w:val="20"/>
          <w:lang w:val="es-ES" w:eastAsia="es-ES"/>
        </w:rPr>
        <w:t>consider</w:t>
      </w:r>
      <w:proofErr w:type="spellEnd"/>
      <w:r w:rsidRPr="008359D7">
        <w:rPr>
          <w:rFonts w:eastAsia="Calibri" w:cs="Verdana"/>
          <w:snapToGrid w:val="0"/>
          <w:sz w:val="20"/>
          <w:szCs w:val="20"/>
          <w:lang w:val="es-ES" w:eastAsia="es-ES"/>
        </w:rPr>
        <w:t>[</w:t>
      </w:r>
      <w:proofErr w:type="spellStart"/>
      <w:r w:rsidRPr="008359D7">
        <w:rPr>
          <w:rFonts w:eastAsia="Calibri" w:cs="Verdana"/>
          <w:snapToGrid w:val="0"/>
          <w:sz w:val="20"/>
          <w:szCs w:val="20"/>
          <w:lang w:val="es-ES" w:eastAsia="es-ES"/>
        </w:rPr>
        <w:t>ó</w:t>
      </w:r>
      <w:proofErr w:type="spellEnd"/>
      <w:r w:rsidRPr="008359D7">
        <w:rPr>
          <w:rFonts w:eastAsia="Calibri" w:cs="Verdana"/>
          <w:snapToGrid w:val="0"/>
          <w:sz w:val="20"/>
          <w:szCs w:val="20"/>
          <w:lang w:val="es-ES" w:eastAsia="es-ES"/>
        </w:rPr>
        <w:t>] que la Corte debe realizar la determinación de hechos correspondientes, establecer las consecuencias jurídicas de los mismos y las reparaciones respectivas, de acuerdo con la gravedad y naturaleza de las violaciones ocurridas en este caso”.</w:t>
      </w:r>
      <w:r>
        <w:rPr>
          <w:rFonts w:eastAsia="Calibri" w:cs="Verdana"/>
          <w:snapToGrid w:val="0"/>
          <w:sz w:val="20"/>
          <w:szCs w:val="20"/>
          <w:lang w:val="es-ES" w:eastAsia="es-ES"/>
        </w:rPr>
        <w:t xml:space="preserve"> </w:t>
      </w:r>
      <w:r>
        <w:rPr>
          <w:rFonts w:eastAsia="Calibri" w:cs="Verdana"/>
          <w:snapToGrid w:val="0"/>
          <w:sz w:val="20"/>
          <w:szCs w:val="20"/>
          <w:lang w:eastAsia="es-ES"/>
        </w:rPr>
        <w:t>Por otra parte, la Comisión indicó en sus alegatos finales que es pertinente tener en cuenta la relación de interdependencia e indivisibilidad entre los derechos civiles y políticos y los derechos económicos, sociales y culturales, y el impacto que tienen tanto en el derecho a la vida como en la integridad personal y la prestación inadecuada de los servicios de salud.</w:t>
      </w:r>
    </w:p>
    <w:p w14:paraId="7C41D1A7" w14:textId="77777777" w:rsidR="00542AD4" w:rsidRPr="009B5F5A" w:rsidRDefault="00542AD4" w:rsidP="00542AD4">
      <w:pPr>
        <w:tabs>
          <w:tab w:val="left" w:pos="567"/>
        </w:tabs>
        <w:rPr>
          <w:rFonts w:eastAsia="Calibri" w:cs="Verdana"/>
          <w:snapToGrid w:val="0"/>
          <w:sz w:val="20"/>
          <w:szCs w:val="20"/>
          <w:lang w:eastAsia="es-ES"/>
        </w:rPr>
      </w:pPr>
    </w:p>
    <w:p w14:paraId="0414DE38" w14:textId="7C5CEFBA" w:rsidR="00542AD4" w:rsidRPr="009B5F5A" w:rsidRDefault="00542AD4" w:rsidP="00542AD4">
      <w:pPr>
        <w:numPr>
          <w:ilvl w:val="0"/>
          <w:numId w:val="2"/>
        </w:numPr>
        <w:tabs>
          <w:tab w:val="left" w:pos="567"/>
          <w:tab w:val="num" w:pos="1569"/>
          <w:tab w:val="num" w:pos="12305"/>
        </w:tabs>
        <w:ind w:left="0" w:firstLine="0"/>
        <w:rPr>
          <w:rFonts w:eastAsia="Calibri" w:cs="Verdana"/>
          <w:snapToGrid w:val="0"/>
          <w:sz w:val="20"/>
          <w:szCs w:val="20"/>
          <w:lang w:eastAsia="es-ES"/>
        </w:rPr>
      </w:pPr>
      <w:r w:rsidRPr="004E6AED">
        <w:rPr>
          <w:rFonts w:eastAsia="Calibri" w:cs="Verdana"/>
          <w:snapToGrid w:val="0"/>
          <w:sz w:val="20"/>
          <w:szCs w:val="20"/>
          <w:lang w:eastAsia="es-ES"/>
        </w:rPr>
        <w:t xml:space="preserve">La </w:t>
      </w:r>
      <w:r>
        <w:rPr>
          <w:rFonts w:eastAsia="Calibri" w:cs="Verdana"/>
          <w:snapToGrid w:val="0"/>
          <w:sz w:val="20"/>
          <w:szCs w:val="20"/>
          <w:lang w:eastAsia="es-ES"/>
        </w:rPr>
        <w:t xml:space="preserve">Comisión resaltó que un aspecto fundamental del análisis permanece en controversia, </w:t>
      </w:r>
      <w:r w:rsidRPr="004E6AED">
        <w:rPr>
          <w:rFonts w:eastAsia="Calibri" w:cs="Verdana"/>
          <w:snapToGrid w:val="0"/>
          <w:sz w:val="20"/>
          <w:szCs w:val="20"/>
          <w:lang w:eastAsia="es-ES"/>
        </w:rPr>
        <w:t xml:space="preserve">específicamente </w:t>
      </w:r>
      <w:r w:rsidRPr="004E6AED">
        <w:rPr>
          <w:rFonts w:eastAsia="Calibri" w:cs="Verdana"/>
          <w:snapToGrid w:val="0"/>
          <w:sz w:val="20"/>
          <w:szCs w:val="20"/>
          <w:lang w:val="es-ES" w:eastAsia="es-ES"/>
        </w:rPr>
        <w:t>la falta de adopción de medidas adecuadas por parte del personal médico de un Hospital Público chileno indistintamente de cuál hubiese sido el impacto final que dichas medidas tuvieran en la salud del señor Poblete Vilches y sus posibilidades de sobrevivir</w:t>
      </w:r>
      <w:r>
        <w:rPr>
          <w:rFonts w:eastAsia="Calibri" w:cs="Verdana"/>
          <w:snapToGrid w:val="0"/>
          <w:sz w:val="20"/>
          <w:szCs w:val="20"/>
          <w:lang w:val="es-ES" w:eastAsia="es-ES"/>
        </w:rPr>
        <w:t xml:space="preserve">. </w:t>
      </w:r>
      <w:r w:rsidRPr="009B5F5A">
        <w:rPr>
          <w:rFonts w:eastAsia="Calibri" w:cs="Verdana"/>
          <w:snapToGrid w:val="0"/>
          <w:sz w:val="20"/>
          <w:szCs w:val="20"/>
          <w:lang w:val="es-ES" w:eastAsia="es-ES"/>
        </w:rPr>
        <w:t xml:space="preserve">Por otra parte, la Comisión destacó la posible inconsistencia en algunos aspectos del reconocimiento, como el hecho de que el Estado reconoció la violación del derecho a la integridad personal, pero al referirse a los mismos hechos a la luz del derecho a la vida, pareciera efectuar valoraciones diferentes sobre ellos cuanto la respuesta estatal fue adecuada o no. Por último, la Comisión solicitó analizar el alcance del reconocimiento, en cuanto al derecho al consentimiento informado y los artículos 4, 5 y 13 de la Convención, ya que en el </w:t>
      </w:r>
      <w:r>
        <w:rPr>
          <w:rFonts w:eastAsia="Calibri" w:cs="Verdana"/>
          <w:snapToGrid w:val="0"/>
          <w:sz w:val="20"/>
          <w:szCs w:val="20"/>
          <w:lang w:val="es-ES" w:eastAsia="es-ES"/>
        </w:rPr>
        <w:t>I</w:t>
      </w:r>
      <w:r w:rsidRPr="009B5F5A">
        <w:rPr>
          <w:rFonts w:eastAsia="Calibri" w:cs="Verdana"/>
          <w:snapToGrid w:val="0"/>
          <w:sz w:val="20"/>
          <w:szCs w:val="20"/>
          <w:lang w:val="es-ES" w:eastAsia="es-ES"/>
        </w:rPr>
        <w:t xml:space="preserve">nforme de </w:t>
      </w:r>
      <w:r>
        <w:rPr>
          <w:rFonts w:eastAsia="Calibri" w:cs="Verdana"/>
          <w:snapToGrid w:val="0"/>
          <w:sz w:val="20"/>
          <w:szCs w:val="20"/>
          <w:lang w:val="es-ES" w:eastAsia="es-ES"/>
        </w:rPr>
        <w:t>F</w:t>
      </w:r>
      <w:r w:rsidRPr="009B5F5A">
        <w:rPr>
          <w:rFonts w:eastAsia="Calibri" w:cs="Verdana"/>
          <w:snapToGrid w:val="0"/>
          <w:sz w:val="20"/>
          <w:szCs w:val="20"/>
          <w:lang w:val="es-ES" w:eastAsia="es-ES"/>
        </w:rPr>
        <w:t>ondo se analizaron también “respecto a la falta de adopción de medidas adecuadas por parte del personal médico para garantizar el acceso a la información tanto al señor Poblete Vilches como a sus familiares”.</w:t>
      </w:r>
    </w:p>
    <w:p w14:paraId="2F9DC90F" w14:textId="77777777" w:rsidR="00542AD4" w:rsidRPr="00C54437" w:rsidRDefault="00542AD4" w:rsidP="00542AD4">
      <w:pPr>
        <w:tabs>
          <w:tab w:val="left" w:pos="567"/>
          <w:tab w:val="num" w:pos="12305"/>
        </w:tabs>
        <w:autoSpaceDE w:val="0"/>
        <w:autoSpaceDN w:val="0"/>
        <w:rPr>
          <w:rFonts w:eastAsia="Calibri" w:cs="Verdana"/>
          <w:snapToGrid w:val="0"/>
          <w:sz w:val="20"/>
          <w:szCs w:val="20"/>
          <w:lang w:eastAsia="es-ES"/>
        </w:rPr>
      </w:pPr>
    </w:p>
    <w:p w14:paraId="53371F90" w14:textId="42C00BBC" w:rsidR="00542AD4" w:rsidRPr="009E4E49" w:rsidRDefault="00542AD4" w:rsidP="00542AD4">
      <w:pPr>
        <w:numPr>
          <w:ilvl w:val="0"/>
          <w:numId w:val="2"/>
        </w:numPr>
        <w:tabs>
          <w:tab w:val="left" w:pos="567"/>
          <w:tab w:val="num" w:pos="1569"/>
          <w:tab w:val="num" w:pos="12305"/>
        </w:tabs>
        <w:autoSpaceDE w:val="0"/>
        <w:autoSpaceDN w:val="0"/>
        <w:ind w:left="0" w:firstLine="0"/>
        <w:rPr>
          <w:rFonts w:eastAsia="Calibri" w:cs="Verdana"/>
          <w:i/>
          <w:snapToGrid w:val="0"/>
          <w:sz w:val="20"/>
          <w:szCs w:val="20"/>
          <w:lang w:eastAsia="es-ES"/>
        </w:rPr>
      </w:pPr>
      <w:r w:rsidRPr="00235BA3">
        <w:rPr>
          <w:rFonts w:eastAsia="Calibri" w:cs="Verdana"/>
          <w:snapToGrid w:val="0"/>
          <w:sz w:val="20"/>
          <w:szCs w:val="20"/>
          <w:lang w:eastAsia="es-ES"/>
        </w:rPr>
        <w:t xml:space="preserve">Las </w:t>
      </w:r>
      <w:r w:rsidRPr="00235BA3">
        <w:rPr>
          <w:rFonts w:eastAsia="Calibri" w:cs="Verdana"/>
          <w:b/>
          <w:i/>
          <w:snapToGrid w:val="0"/>
          <w:sz w:val="20"/>
          <w:szCs w:val="20"/>
          <w:lang w:eastAsia="es-ES"/>
        </w:rPr>
        <w:t>representantes</w:t>
      </w:r>
      <w:r w:rsidRPr="00235BA3">
        <w:rPr>
          <w:rFonts w:eastAsia="Calibri" w:cs="Verdana"/>
          <w:snapToGrid w:val="0"/>
          <w:sz w:val="20"/>
          <w:szCs w:val="20"/>
          <w:lang w:eastAsia="es-ES"/>
        </w:rPr>
        <w:t xml:space="preserve"> también valoraron positivamente el reconocimiento parcial del Estado chileno respecto de la violación al derecho a la integridad personal y derecho a la salud</w:t>
      </w:r>
      <w:r>
        <w:rPr>
          <w:rFonts w:eastAsia="Calibri" w:cs="Verdana"/>
          <w:snapToGrid w:val="0"/>
          <w:sz w:val="20"/>
          <w:szCs w:val="20"/>
          <w:lang w:eastAsia="es-ES"/>
        </w:rPr>
        <w:t xml:space="preserve"> del señor Poblete Vilches</w:t>
      </w:r>
      <w:r w:rsidRPr="00235BA3">
        <w:rPr>
          <w:rFonts w:eastAsia="Calibri" w:cs="Verdana"/>
          <w:snapToGrid w:val="0"/>
          <w:sz w:val="20"/>
          <w:szCs w:val="20"/>
          <w:lang w:eastAsia="es-ES"/>
        </w:rPr>
        <w:t>, en relación con el artículo 1.1 de la Convención</w:t>
      </w:r>
      <w:r>
        <w:rPr>
          <w:rFonts w:eastAsia="Calibri" w:cs="Verdana"/>
          <w:snapToGrid w:val="0"/>
          <w:sz w:val="20"/>
          <w:szCs w:val="20"/>
          <w:lang w:eastAsia="es-ES"/>
        </w:rPr>
        <w:t>;</w:t>
      </w:r>
      <w:r w:rsidRPr="00235BA3">
        <w:rPr>
          <w:rFonts w:eastAsia="Calibri" w:cs="Verdana"/>
          <w:snapToGrid w:val="0"/>
          <w:sz w:val="20"/>
          <w:szCs w:val="20"/>
          <w:lang w:eastAsia="es-ES"/>
        </w:rPr>
        <w:t xml:space="preserve"> el derecho de acceso a la información en materia de salud en perjuicio del señor Poblete Vilches y su familia</w:t>
      </w:r>
      <w:r>
        <w:rPr>
          <w:rFonts w:eastAsia="Calibri" w:cs="Verdana"/>
          <w:snapToGrid w:val="0"/>
          <w:sz w:val="20"/>
          <w:szCs w:val="20"/>
          <w:lang w:eastAsia="es-ES"/>
        </w:rPr>
        <w:t>, y los artículos 11 y 7 de la Convención en perjuicio del señor Poblete Vilches</w:t>
      </w:r>
      <w:r w:rsidRPr="00235BA3">
        <w:rPr>
          <w:rFonts w:eastAsia="Calibri" w:cs="Verdana"/>
          <w:snapToGrid w:val="0"/>
          <w:sz w:val="20"/>
          <w:szCs w:val="20"/>
          <w:lang w:eastAsia="es-ES"/>
        </w:rPr>
        <w:t xml:space="preserve">. </w:t>
      </w:r>
      <w:r w:rsidRPr="00235BA3">
        <w:rPr>
          <w:sz w:val="20"/>
          <w:szCs w:val="20"/>
          <w:lang w:val="es-ES" w:eastAsia="en-US"/>
        </w:rPr>
        <w:t xml:space="preserve">En cuanto a los </w:t>
      </w:r>
      <w:r w:rsidRPr="00235BA3">
        <w:rPr>
          <w:sz w:val="20"/>
          <w:szCs w:val="20"/>
          <w:lang w:val="es-ES" w:eastAsia="en-US"/>
        </w:rPr>
        <w:lastRenderedPageBreak/>
        <w:t>artículos 8.1 y 25 en relación con el 1.1 de la C</w:t>
      </w:r>
      <w:r>
        <w:rPr>
          <w:sz w:val="20"/>
          <w:szCs w:val="20"/>
          <w:lang w:val="es-ES" w:eastAsia="en-US"/>
        </w:rPr>
        <w:t>onvención Americana</w:t>
      </w:r>
      <w:r w:rsidRPr="00235BA3">
        <w:rPr>
          <w:sz w:val="20"/>
          <w:szCs w:val="20"/>
          <w:lang w:val="es-ES" w:eastAsia="en-US"/>
        </w:rPr>
        <w:t xml:space="preserve">, las representantes </w:t>
      </w:r>
      <w:r>
        <w:rPr>
          <w:sz w:val="20"/>
          <w:szCs w:val="20"/>
          <w:lang w:val="es-ES" w:eastAsia="en-US"/>
        </w:rPr>
        <w:t>indicaron</w:t>
      </w:r>
      <w:r w:rsidRPr="00235BA3">
        <w:rPr>
          <w:sz w:val="20"/>
          <w:szCs w:val="20"/>
          <w:lang w:val="es-ES" w:eastAsia="en-US"/>
        </w:rPr>
        <w:t xml:space="preserve"> que el Estado negó su responsabilidad a la afectación al derecho a la debida diligencia y al derecho a un tribunal imparcial, pero aceptó responsabilidad en cuanto a que el caso no se llevó en un plazo razonable.</w:t>
      </w:r>
      <w:r>
        <w:rPr>
          <w:sz w:val="20"/>
          <w:szCs w:val="20"/>
          <w:lang w:val="es-ES" w:eastAsia="en-US"/>
        </w:rPr>
        <w:t xml:space="preserve"> Además, l</w:t>
      </w:r>
      <w:r w:rsidRPr="009E4E49">
        <w:rPr>
          <w:sz w:val="20"/>
          <w:szCs w:val="20"/>
          <w:lang w:val="es-ES" w:eastAsia="en-US"/>
        </w:rPr>
        <w:t>as representantes notaron que en la contestación del Estado en el capítulo de consideraciones finales, sólo se menciona la afectación al derecho a la integridad personal y al derecho al consentimiento informado en perjuicio del señor Poblete Vilches; pero no menciona las violaciones al derecho a la dignidad y autodeterminación, el derecho a tomar decisiones libres ni el derecho a un plazo razonable, todos reconocidos anteriormente en diferentes partes del escrito.</w:t>
      </w:r>
      <w:r>
        <w:rPr>
          <w:sz w:val="20"/>
          <w:szCs w:val="20"/>
          <w:lang w:val="es-ES" w:eastAsia="en-US"/>
        </w:rPr>
        <w:t xml:space="preserve"> Por lo que las representantes señalaron que subsisten varios hechos que no fueron reconocidos por el Estado y existen discrepancias respecto de la significación jurídica de los hechos reconocidos, como ejemplo de esto</w:t>
      </w:r>
      <w:r w:rsidRPr="009E4E49">
        <w:rPr>
          <w:sz w:val="20"/>
          <w:szCs w:val="20"/>
          <w:lang w:val="es-ES" w:eastAsia="en-US"/>
        </w:rPr>
        <w:t xml:space="preserve"> </w:t>
      </w:r>
      <w:r>
        <w:rPr>
          <w:sz w:val="20"/>
          <w:szCs w:val="20"/>
          <w:lang w:val="es-ES" w:eastAsia="en-US"/>
        </w:rPr>
        <w:t>“</w:t>
      </w:r>
      <w:r w:rsidRPr="009E4E49">
        <w:rPr>
          <w:sz w:val="20"/>
          <w:szCs w:val="20"/>
          <w:lang w:val="es-ES" w:eastAsia="en-US"/>
        </w:rPr>
        <w:t>la enorme diferencia existente entre las partes respecto del significado jurídico de los hechos que afectaron la integridad personal y la salud del señor Vinicio Antonio Poblete Vilches, a los que el Estado ha vinculado solamente con la violación del art</w:t>
      </w:r>
      <w:r>
        <w:rPr>
          <w:sz w:val="20"/>
          <w:szCs w:val="20"/>
          <w:lang w:val="es-ES" w:eastAsia="en-US"/>
        </w:rPr>
        <w:t>[</w:t>
      </w:r>
      <w:proofErr w:type="spellStart"/>
      <w:r>
        <w:rPr>
          <w:sz w:val="20"/>
          <w:szCs w:val="20"/>
          <w:lang w:val="es-ES" w:eastAsia="en-US"/>
        </w:rPr>
        <w:t>ículo</w:t>
      </w:r>
      <w:proofErr w:type="spellEnd"/>
      <w:r>
        <w:rPr>
          <w:sz w:val="20"/>
          <w:szCs w:val="20"/>
          <w:lang w:val="es-ES" w:eastAsia="en-US"/>
        </w:rPr>
        <w:t>]</w:t>
      </w:r>
      <w:r w:rsidRPr="009E4E49">
        <w:rPr>
          <w:sz w:val="20"/>
          <w:szCs w:val="20"/>
          <w:lang w:val="es-ES" w:eastAsia="en-US"/>
        </w:rPr>
        <w:t xml:space="preserve"> 5 de la C</w:t>
      </w:r>
      <w:r>
        <w:rPr>
          <w:sz w:val="20"/>
          <w:szCs w:val="20"/>
          <w:lang w:val="es-ES" w:eastAsia="en-US"/>
        </w:rPr>
        <w:t>[</w:t>
      </w:r>
      <w:proofErr w:type="spellStart"/>
      <w:r>
        <w:rPr>
          <w:sz w:val="20"/>
          <w:szCs w:val="20"/>
          <w:lang w:val="es-ES" w:eastAsia="en-US"/>
        </w:rPr>
        <w:t>onvención</w:t>
      </w:r>
      <w:proofErr w:type="spellEnd"/>
      <w:r>
        <w:rPr>
          <w:sz w:val="20"/>
          <w:szCs w:val="20"/>
          <w:lang w:val="es-ES" w:eastAsia="en-US"/>
        </w:rPr>
        <w:t>]</w:t>
      </w:r>
      <w:r w:rsidRPr="009E4E49">
        <w:rPr>
          <w:sz w:val="20"/>
          <w:szCs w:val="20"/>
          <w:lang w:val="es-ES" w:eastAsia="en-US"/>
        </w:rPr>
        <w:t xml:space="preserve"> y esta pa</w:t>
      </w:r>
      <w:r w:rsidR="00C133E5">
        <w:rPr>
          <w:sz w:val="20"/>
          <w:szCs w:val="20"/>
          <w:lang w:val="es-ES" w:eastAsia="en-US"/>
        </w:rPr>
        <w:t>rte por el contrario, ent</w:t>
      </w:r>
      <w:r w:rsidRPr="009E4E49">
        <w:rPr>
          <w:sz w:val="20"/>
          <w:szCs w:val="20"/>
          <w:lang w:val="es-ES" w:eastAsia="en-US"/>
        </w:rPr>
        <w:t>e</w:t>
      </w:r>
      <w:r w:rsidR="00C133E5">
        <w:rPr>
          <w:sz w:val="20"/>
          <w:szCs w:val="20"/>
          <w:lang w:val="es-ES" w:eastAsia="en-US"/>
        </w:rPr>
        <w:t>[</w:t>
      </w:r>
      <w:proofErr w:type="spellStart"/>
      <w:r w:rsidRPr="009E4E49">
        <w:rPr>
          <w:sz w:val="20"/>
          <w:szCs w:val="20"/>
          <w:lang w:val="es-ES" w:eastAsia="en-US"/>
        </w:rPr>
        <w:t>nd</w:t>
      </w:r>
      <w:r w:rsidR="00C133E5">
        <w:rPr>
          <w:sz w:val="20"/>
          <w:szCs w:val="20"/>
          <w:lang w:val="es-ES" w:eastAsia="en-US"/>
        </w:rPr>
        <w:t>ió</w:t>
      </w:r>
      <w:proofErr w:type="spellEnd"/>
      <w:r w:rsidR="00C133E5">
        <w:rPr>
          <w:sz w:val="20"/>
          <w:szCs w:val="20"/>
          <w:lang w:val="es-ES" w:eastAsia="en-US"/>
        </w:rPr>
        <w:t>]</w:t>
      </w:r>
      <w:r w:rsidRPr="009E4E49">
        <w:rPr>
          <w:sz w:val="20"/>
          <w:szCs w:val="20"/>
          <w:lang w:val="es-ES" w:eastAsia="en-US"/>
        </w:rPr>
        <w:t xml:space="preserve"> que más allá de la violación del art</w:t>
      </w:r>
      <w:r>
        <w:rPr>
          <w:sz w:val="20"/>
          <w:szCs w:val="20"/>
          <w:lang w:val="es-ES" w:eastAsia="en-US"/>
        </w:rPr>
        <w:t>[</w:t>
      </w:r>
      <w:proofErr w:type="spellStart"/>
      <w:r>
        <w:rPr>
          <w:sz w:val="20"/>
          <w:szCs w:val="20"/>
          <w:lang w:val="es-ES" w:eastAsia="en-US"/>
        </w:rPr>
        <w:t>ículo</w:t>
      </w:r>
      <w:proofErr w:type="spellEnd"/>
      <w:r>
        <w:rPr>
          <w:sz w:val="20"/>
          <w:szCs w:val="20"/>
          <w:lang w:val="es-ES" w:eastAsia="en-US"/>
        </w:rPr>
        <w:t>]</w:t>
      </w:r>
      <w:r w:rsidRPr="009E4E49">
        <w:rPr>
          <w:sz w:val="20"/>
          <w:szCs w:val="20"/>
          <w:lang w:val="es-ES" w:eastAsia="en-US"/>
        </w:rPr>
        <w:t xml:space="preserve"> 5, los hechos también</w:t>
      </w:r>
      <w:r>
        <w:rPr>
          <w:sz w:val="20"/>
          <w:szCs w:val="20"/>
          <w:lang w:val="es-ES" w:eastAsia="en-US"/>
        </w:rPr>
        <w:t xml:space="preserve"> resultaron violatorios del art[</w:t>
      </w:r>
      <w:proofErr w:type="spellStart"/>
      <w:r>
        <w:rPr>
          <w:sz w:val="20"/>
          <w:szCs w:val="20"/>
          <w:lang w:val="es-ES" w:eastAsia="en-US"/>
        </w:rPr>
        <w:t>ículo</w:t>
      </w:r>
      <w:proofErr w:type="spellEnd"/>
      <w:r>
        <w:rPr>
          <w:sz w:val="20"/>
          <w:szCs w:val="20"/>
          <w:lang w:val="es-ES" w:eastAsia="en-US"/>
        </w:rPr>
        <w:t xml:space="preserve">] 4, </w:t>
      </w:r>
      <w:r w:rsidRPr="009E4E49">
        <w:rPr>
          <w:sz w:val="20"/>
          <w:szCs w:val="20"/>
          <w:lang w:val="es-ES" w:eastAsia="en-US"/>
        </w:rPr>
        <w:t>derecho a la v</w:t>
      </w:r>
      <w:r>
        <w:rPr>
          <w:sz w:val="20"/>
          <w:szCs w:val="20"/>
          <w:lang w:val="es-ES" w:eastAsia="en-US"/>
        </w:rPr>
        <w:t>ida,</w:t>
      </w:r>
      <w:r w:rsidRPr="009E4E49">
        <w:rPr>
          <w:sz w:val="20"/>
          <w:szCs w:val="20"/>
          <w:lang w:val="es-ES" w:eastAsia="en-US"/>
        </w:rPr>
        <w:t xml:space="preserve"> y adicionalmente importaron la violación autónoma del derecho a la salud y a la seguridad social reconocidos en el art</w:t>
      </w:r>
      <w:r>
        <w:rPr>
          <w:sz w:val="20"/>
          <w:szCs w:val="20"/>
          <w:lang w:val="es-ES" w:eastAsia="en-US"/>
        </w:rPr>
        <w:t>[</w:t>
      </w:r>
      <w:proofErr w:type="spellStart"/>
      <w:r>
        <w:rPr>
          <w:sz w:val="20"/>
          <w:szCs w:val="20"/>
          <w:lang w:val="es-ES" w:eastAsia="en-US"/>
        </w:rPr>
        <w:t>ículo</w:t>
      </w:r>
      <w:proofErr w:type="spellEnd"/>
      <w:r>
        <w:rPr>
          <w:sz w:val="20"/>
          <w:szCs w:val="20"/>
          <w:lang w:val="es-ES" w:eastAsia="en-US"/>
        </w:rPr>
        <w:t>]</w:t>
      </w:r>
      <w:r w:rsidRPr="009E4E49">
        <w:rPr>
          <w:sz w:val="20"/>
          <w:szCs w:val="20"/>
          <w:lang w:val="es-ES" w:eastAsia="en-US"/>
        </w:rPr>
        <w:t xml:space="preserve"> 26 de la</w:t>
      </w:r>
      <w:r>
        <w:rPr>
          <w:sz w:val="20"/>
          <w:szCs w:val="20"/>
          <w:lang w:val="es-ES" w:eastAsia="en-US"/>
        </w:rPr>
        <w:t xml:space="preserve"> [Convención]”. </w:t>
      </w:r>
    </w:p>
    <w:p w14:paraId="04C2AC5C" w14:textId="77777777" w:rsidR="00542AD4" w:rsidRPr="00235BA3" w:rsidRDefault="00542AD4" w:rsidP="00542AD4">
      <w:pPr>
        <w:tabs>
          <w:tab w:val="left" w:pos="567"/>
          <w:tab w:val="num" w:pos="12305"/>
        </w:tabs>
        <w:autoSpaceDE w:val="0"/>
        <w:autoSpaceDN w:val="0"/>
        <w:rPr>
          <w:rFonts w:eastAsia="Calibri" w:cs="Verdana"/>
          <w:i/>
          <w:snapToGrid w:val="0"/>
          <w:sz w:val="20"/>
          <w:szCs w:val="20"/>
          <w:lang w:eastAsia="es-ES"/>
        </w:rPr>
      </w:pPr>
    </w:p>
    <w:p w14:paraId="3B5AFF1E" w14:textId="77777777" w:rsidR="00542AD4" w:rsidRPr="00225E59" w:rsidRDefault="00542AD4" w:rsidP="002726E0">
      <w:pPr>
        <w:pStyle w:val="Heading2"/>
        <w:numPr>
          <w:ilvl w:val="0"/>
          <w:numId w:val="9"/>
        </w:numPr>
      </w:pPr>
      <w:bookmarkStart w:id="30" w:name="_Toc513644445"/>
      <w:r w:rsidRPr="00225E59">
        <w:t>Consideraciones de la Corte</w:t>
      </w:r>
      <w:bookmarkEnd w:id="30"/>
    </w:p>
    <w:p w14:paraId="2CF9F67E" w14:textId="77777777" w:rsidR="00542AD4" w:rsidRPr="0001748B" w:rsidRDefault="00542AD4" w:rsidP="00542AD4">
      <w:pPr>
        <w:autoSpaceDE w:val="0"/>
        <w:autoSpaceDN w:val="0"/>
        <w:rPr>
          <w:rFonts w:eastAsia="Batang"/>
          <w:sz w:val="20"/>
          <w:lang w:eastAsia="en-US"/>
        </w:rPr>
      </w:pPr>
    </w:p>
    <w:p w14:paraId="0C721C63" w14:textId="77777777" w:rsidR="00542AD4" w:rsidRPr="008D5A60" w:rsidRDefault="00542AD4" w:rsidP="00542AD4">
      <w:pPr>
        <w:numPr>
          <w:ilvl w:val="0"/>
          <w:numId w:val="2"/>
        </w:numPr>
        <w:tabs>
          <w:tab w:val="left" w:pos="567"/>
          <w:tab w:val="num" w:pos="1569"/>
          <w:tab w:val="num" w:pos="12305"/>
        </w:tabs>
        <w:autoSpaceDE w:val="0"/>
        <w:autoSpaceDN w:val="0"/>
        <w:ind w:left="0" w:firstLine="0"/>
        <w:rPr>
          <w:rFonts w:eastAsia="Calibri" w:cs="Verdana"/>
          <w:snapToGrid w:val="0"/>
          <w:sz w:val="20"/>
          <w:szCs w:val="20"/>
          <w:lang w:eastAsia="es-ES"/>
        </w:rPr>
      </w:pPr>
      <w:r w:rsidRPr="008D5A60">
        <w:rPr>
          <w:rFonts w:eastAsia="Calibri" w:cs="Verdana"/>
          <w:snapToGrid w:val="0"/>
          <w:sz w:val="20"/>
          <w:szCs w:val="20"/>
          <w:lang w:eastAsia="es-ES"/>
        </w:rPr>
        <w:t>En este sentido, el Tribunal estima que el reconocimiento parcial de responsabilidad efectuado por el Estado constituye una contribución positiva al desarrollo de este proceso y a la vigencia de los principios que inspiran la Convención Americana</w:t>
      </w:r>
      <w:r w:rsidRPr="002A64C9">
        <w:rPr>
          <w:rStyle w:val="FootnoteReference"/>
          <w:rFonts w:eastAsia="Calibri" w:cs="Verdana"/>
          <w:snapToGrid w:val="0"/>
          <w:sz w:val="22"/>
          <w:lang w:eastAsia="es-ES"/>
        </w:rPr>
        <w:footnoteReference w:id="11"/>
      </w:r>
      <w:r w:rsidRPr="008D5A60">
        <w:rPr>
          <w:rFonts w:eastAsia="Calibri" w:cs="Verdana"/>
          <w:snapToGrid w:val="0"/>
          <w:sz w:val="20"/>
          <w:szCs w:val="20"/>
          <w:lang w:eastAsia="es-ES"/>
        </w:rPr>
        <w:t>. Asimismo, la Corte considera, como en otros casos</w:t>
      </w:r>
      <w:r w:rsidRPr="008D5A60">
        <w:rPr>
          <w:rStyle w:val="FootnoteReference"/>
          <w:rFonts w:eastAsia="Calibri" w:cs="Verdana"/>
          <w:snapToGrid w:val="0"/>
          <w:sz w:val="22"/>
          <w:lang w:eastAsia="es-ES"/>
        </w:rPr>
        <w:footnoteReference w:id="12"/>
      </w:r>
      <w:r w:rsidRPr="008D5A60">
        <w:rPr>
          <w:rFonts w:eastAsia="Calibri" w:cs="Verdana"/>
          <w:snapToGrid w:val="0"/>
          <w:sz w:val="20"/>
          <w:szCs w:val="20"/>
          <w:lang w:eastAsia="es-ES"/>
        </w:rPr>
        <w:t>, que tal reconocimiento produce plenos efectos jurídicos en el presente caso.</w:t>
      </w:r>
    </w:p>
    <w:p w14:paraId="10B7C8ED" w14:textId="77777777" w:rsidR="00542AD4" w:rsidRPr="0001748B" w:rsidRDefault="00542AD4" w:rsidP="00542AD4">
      <w:pPr>
        <w:autoSpaceDE w:val="0"/>
        <w:autoSpaceDN w:val="0"/>
        <w:rPr>
          <w:rFonts w:eastAsia="Calibri" w:cs="Verdana"/>
          <w:snapToGrid w:val="0"/>
          <w:sz w:val="20"/>
          <w:szCs w:val="20"/>
          <w:lang w:eastAsia="es-ES"/>
        </w:rPr>
      </w:pPr>
    </w:p>
    <w:p w14:paraId="75A3E018" w14:textId="06571C66" w:rsidR="00542AD4" w:rsidRPr="007C02F1" w:rsidRDefault="00542AD4" w:rsidP="00542AD4">
      <w:pPr>
        <w:numPr>
          <w:ilvl w:val="0"/>
          <w:numId w:val="2"/>
        </w:numPr>
        <w:tabs>
          <w:tab w:val="left" w:pos="567"/>
          <w:tab w:val="num" w:pos="1569"/>
          <w:tab w:val="num" w:pos="12305"/>
        </w:tabs>
        <w:ind w:left="0" w:firstLine="0"/>
        <w:rPr>
          <w:rFonts w:eastAsia="Times" w:cs="Verdana"/>
          <w:snapToGrid w:val="0"/>
          <w:sz w:val="20"/>
          <w:szCs w:val="20"/>
          <w:lang w:eastAsia="es-ES"/>
        </w:rPr>
      </w:pPr>
      <w:r w:rsidRPr="0001748B">
        <w:rPr>
          <w:rFonts w:eastAsia="Calibri" w:cs="Verdana"/>
          <w:snapToGrid w:val="0"/>
          <w:sz w:val="20"/>
          <w:szCs w:val="20"/>
          <w:lang w:eastAsia="es-ES"/>
        </w:rPr>
        <w:t>Sin perjuicio de lo anterior, de conformidad con los artículos 62</w:t>
      </w:r>
      <w:r w:rsidRPr="0001748B">
        <w:rPr>
          <w:rFonts w:eastAsia="Calibri" w:cs="Verdana"/>
          <w:snapToGrid w:val="0"/>
          <w:sz w:val="20"/>
          <w:szCs w:val="20"/>
          <w:vertAlign w:val="superscript"/>
          <w:lang w:eastAsia="es-ES"/>
        </w:rPr>
        <w:footnoteReference w:id="13"/>
      </w:r>
      <w:r w:rsidRPr="0001748B">
        <w:rPr>
          <w:rFonts w:eastAsia="Calibri" w:cs="Verdana"/>
          <w:snapToGrid w:val="0"/>
          <w:sz w:val="20"/>
          <w:szCs w:val="20"/>
          <w:lang w:eastAsia="es-ES"/>
        </w:rPr>
        <w:t xml:space="preserve"> y 64</w:t>
      </w:r>
      <w:r w:rsidRPr="0001748B">
        <w:rPr>
          <w:rFonts w:eastAsia="Calibri" w:cs="Verdana"/>
          <w:snapToGrid w:val="0"/>
          <w:sz w:val="20"/>
          <w:szCs w:val="20"/>
          <w:vertAlign w:val="superscript"/>
          <w:lang w:eastAsia="es-ES"/>
        </w:rPr>
        <w:footnoteReference w:id="14"/>
      </w:r>
      <w:r w:rsidRPr="0001748B">
        <w:rPr>
          <w:rFonts w:eastAsia="Calibri" w:cs="Verdana"/>
          <w:snapToGrid w:val="0"/>
          <w:sz w:val="20"/>
          <w:szCs w:val="20"/>
          <w:lang w:eastAsia="es-ES"/>
        </w:rPr>
        <w:t xml:space="preserve"> del Reglamento</w:t>
      </w:r>
      <w:r w:rsidR="00C133E5">
        <w:rPr>
          <w:rFonts w:eastAsia="Calibri" w:cs="Verdana"/>
          <w:snapToGrid w:val="0"/>
          <w:sz w:val="20"/>
          <w:szCs w:val="20"/>
          <w:lang w:eastAsia="es-ES"/>
        </w:rPr>
        <w:t>, así como</w:t>
      </w:r>
      <w:r w:rsidRPr="0001748B">
        <w:rPr>
          <w:rFonts w:eastAsia="Calibri" w:cs="Verdana"/>
          <w:snapToGrid w:val="0"/>
          <w:sz w:val="20"/>
          <w:szCs w:val="20"/>
          <w:lang w:eastAsia="es-ES"/>
        </w:rPr>
        <w:t xml:space="preserve"> en ejercicio de sus poderes de tutela judicial internacional de derechos humanos, cuestión de orden público internacional que trasciende la voluntad de las partes, incumbe al Tribunal velar porque los actos de allanamiento resulten aceptables para los fines que busca cumplir el sistema interamericano. En esta tarea no se limita únicamente a tomar nota del reconocimiento efectuado por el Estado, o a verificar las condiciones formales de los mencionados actos, sino que los debe confrontar con la naturaleza y gravedad de las violaciones alegadas, las exigencias e interés de la justicia, las circunstancias particulares del caso concreto y la actitud y posición de las partes</w:t>
      </w:r>
      <w:r w:rsidRPr="0001748B">
        <w:rPr>
          <w:rFonts w:eastAsia="Calibri" w:cs="Verdana"/>
          <w:snapToGrid w:val="0"/>
          <w:sz w:val="20"/>
          <w:szCs w:val="20"/>
          <w:vertAlign w:val="superscript"/>
          <w:lang w:eastAsia="es-ES"/>
        </w:rPr>
        <w:footnoteReference w:id="15"/>
      </w:r>
      <w:r w:rsidRPr="0001748B">
        <w:rPr>
          <w:rFonts w:eastAsia="Calibri" w:cs="Verdana"/>
          <w:snapToGrid w:val="0"/>
          <w:sz w:val="20"/>
          <w:szCs w:val="20"/>
          <w:lang w:eastAsia="es-ES"/>
        </w:rPr>
        <w:t>, de manera tal que pueda precisar, en cuanto sea posible y en el ejercicio de su competencia, la verdad de lo acontecido</w:t>
      </w:r>
      <w:r w:rsidRPr="0001748B">
        <w:rPr>
          <w:rFonts w:eastAsia="Calibri" w:cs="Verdana"/>
          <w:snapToGrid w:val="0"/>
          <w:sz w:val="20"/>
          <w:szCs w:val="20"/>
          <w:vertAlign w:val="superscript"/>
          <w:lang w:eastAsia="es-ES"/>
        </w:rPr>
        <w:footnoteReference w:id="16"/>
      </w:r>
      <w:r w:rsidRPr="0001748B">
        <w:rPr>
          <w:rFonts w:eastAsia="Calibri" w:cs="Verdana"/>
          <w:snapToGrid w:val="0"/>
          <w:sz w:val="20"/>
          <w:szCs w:val="20"/>
          <w:lang w:eastAsia="es-ES"/>
        </w:rPr>
        <w:t xml:space="preserve">. En tal </w:t>
      </w:r>
      <w:r w:rsidRPr="0001748B">
        <w:rPr>
          <w:rFonts w:eastAsia="Calibri" w:cs="Verdana"/>
          <w:snapToGrid w:val="0"/>
          <w:sz w:val="20"/>
          <w:szCs w:val="20"/>
          <w:lang w:eastAsia="es-ES"/>
        </w:rPr>
        <w:lastRenderedPageBreak/>
        <w:t>sentido, el reconocimiento no puede tener por consecuencia limitar, directa o indirectamente, el ejercicio de las facultades de la Corte de conocer el caso que le ha sido sometido</w:t>
      </w:r>
      <w:r w:rsidRPr="0001748B">
        <w:rPr>
          <w:rFonts w:eastAsia="Calibri" w:cs="Verdana"/>
          <w:snapToGrid w:val="0"/>
          <w:sz w:val="20"/>
          <w:szCs w:val="20"/>
          <w:vertAlign w:val="superscript"/>
          <w:lang w:eastAsia="es-ES"/>
        </w:rPr>
        <w:footnoteReference w:id="17"/>
      </w:r>
      <w:r w:rsidRPr="0001748B">
        <w:rPr>
          <w:rFonts w:eastAsia="Calibri" w:cs="Verdana"/>
          <w:snapToGrid w:val="0"/>
          <w:sz w:val="20"/>
          <w:szCs w:val="20"/>
          <w:lang w:eastAsia="es-ES"/>
        </w:rPr>
        <w:t xml:space="preserve"> y decidir si, al respecto, hubo violación de un derecho o libertad protegidos en la Convención</w:t>
      </w:r>
      <w:r w:rsidRPr="0001748B">
        <w:rPr>
          <w:rFonts w:eastAsia="Calibri" w:cs="Verdana"/>
          <w:snapToGrid w:val="0"/>
          <w:sz w:val="20"/>
          <w:szCs w:val="20"/>
          <w:vertAlign w:val="superscript"/>
          <w:lang w:eastAsia="es-ES"/>
        </w:rPr>
        <w:footnoteReference w:id="18"/>
      </w:r>
      <w:r w:rsidRPr="0001748B">
        <w:rPr>
          <w:rFonts w:eastAsia="Calibri" w:cs="Verdana"/>
          <w:snapToGrid w:val="0"/>
          <w:sz w:val="20"/>
          <w:szCs w:val="20"/>
          <w:lang w:eastAsia="es-ES"/>
        </w:rPr>
        <w:t xml:space="preserve">. </w:t>
      </w:r>
      <w:r w:rsidRPr="0001748B">
        <w:rPr>
          <w:rFonts w:eastAsia="Times" w:cs="Verdana"/>
          <w:snapToGrid w:val="0"/>
          <w:sz w:val="20"/>
          <w:szCs w:val="20"/>
          <w:lang w:eastAsia="es-ES"/>
        </w:rPr>
        <w:t>Para estos efectos, el Tribunal analiza la situación planteada en cada caso concreto</w:t>
      </w:r>
      <w:r w:rsidRPr="0001748B">
        <w:rPr>
          <w:rFonts w:eastAsia="Calibri" w:cs="Verdana"/>
          <w:snapToGrid w:val="0"/>
          <w:color w:val="000000"/>
          <w:sz w:val="20"/>
          <w:szCs w:val="20"/>
          <w:vertAlign w:val="superscript"/>
          <w:lang w:eastAsia="es-ES"/>
        </w:rPr>
        <w:footnoteReference w:id="19"/>
      </w:r>
      <w:r w:rsidRPr="0001748B">
        <w:rPr>
          <w:rFonts w:eastAsia="Times" w:cs="Verdana"/>
          <w:snapToGrid w:val="0"/>
          <w:sz w:val="20"/>
          <w:szCs w:val="20"/>
          <w:lang w:eastAsia="es-ES"/>
        </w:rPr>
        <w:t>.</w:t>
      </w:r>
    </w:p>
    <w:p w14:paraId="2AD8FB2C" w14:textId="77777777" w:rsidR="00542AD4" w:rsidRPr="007C02F1" w:rsidRDefault="00542AD4" w:rsidP="00542AD4">
      <w:pPr>
        <w:autoSpaceDE w:val="0"/>
        <w:autoSpaceDN w:val="0"/>
        <w:rPr>
          <w:rFonts w:eastAsia="Calibri" w:cs="Verdana"/>
          <w:snapToGrid w:val="0"/>
          <w:sz w:val="20"/>
          <w:szCs w:val="20"/>
          <w:lang w:eastAsia="es-ES"/>
        </w:rPr>
      </w:pPr>
    </w:p>
    <w:p w14:paraId="6128839A" w14:textId="67CCB640" w:rsidR="00542AD4" w:rsidRPr="00164C05" w:rsidRDefault="00542AD4" w:rsidP="00542AD4">
      <w:pPr>
        <w:pStyle w:val="Heading3"/>
        <w:rPr>
          <w:b/>
        </w:rPr>
      </w:pPr>
      <w:bookmarkStart w:id="31" w:name="_Toc513644446"/>
      <w:r w:rsidRPr="00164C05">
        <w:rPr>
          <w:b/>
        </w:rPr>
        <w:t>1</w:t>
      </w:r>
      <w:r w:rsidR="00386E16">
        <w:rPr>
          <w:b/>
        </w:rPr>
        <w:t>.</w:t>
      </w:r>
      <w:r w:rsidRPr="00164C05">
        <w:rPr>
          <w:b/>
        </w:rPr>
        <w:t xml:space="preserve"> </w:t>
      </w:r>
      <w:r w:rsidRPr="00164C05">
        <w:rPr>
          <w:b/>
        </w:rPr>
        <w:tab/>
        <w:t>En cuanto a los hechos</w:t>
      </w:r>
      <w:bookmarkEnd w:id="31"/>
    </w:p>
    <w:p w14:paraId="6A4D82C2" w14:textId="77777777" w:rsidR="00542AD4" w:rsidRPr="007C02F1" w:rsidRDefault="00542AD4" w:rsidP="00542AD4">
      <w:pPr>
        <w:autoSpaceDE w:val="0"/>
        <w:autoSpaceDN w:val="0"/>
        <w:ind w:left="708"/>
        <w:rPr>
          <w:rFonts w:eastAsia="Calibri" w:cs="Verdana"/>
          <w:snapToGrid w:val="0"/>
          <w:sz w:val="20"/>
          <w:szCs w:val="20"/>
          <w:lang w:eastAsia="es-ES"/>
        </w:rPr>
      </w:pPr>
    </w:p>
    <w:p w14:paraId="3A9E482F" w14:textId="6EBCD0DD" w:rsidR="00542AD4" w:rsidRPr="0001748B" w:rsidRDefault="00542AD4" w:rsidP="00542AD4">
      <w:pPr>
        <w:numPr>
          <w:ilvl w:val="0"/>
          <w:numId w:val="2"/>
        </w:numPr>
        <w:tabs>
          <w:tab w:val="left" w:pos="567"/>
          <w:tab w:val="num" w:pos="1569"/>
          <w:tab w:val="num" w:pos="12305"/>
        </w:tabs>
        <w:ind w:left="0" w:firstLine="0"/>
        <w:rPr>
          <w:rFonts w:eastAsia="Calibri" w:cs="Verdana"/>
          <w:bCs/>
          <w:snapToGrid w:val="0"/>
          <w:sz w:val="20"/>
          <w:szCs w:val="20"/>
          <w:lang w:eastAsia="es-ES"/>
        </w:rPr>
      </w:pPr>
      <w:r w:rsidRPr="007C02F1">
        <w:rPr>
          <w:rFonts w:eastAsia="Calibri" w:cs="Verdana"/>
          <w:snapToGrid w:val="0"/>
          <w:sz w:val="20"/>
          <w:szCs w:val="20"/>
          <w:lang w:eastAsia="es-ES"/>
        </w:rPr>
        <w:t xml:space="preserve">En el presente caso, el Estado planteó </w:t>
      </w:r>
      <w:r w:rsidRPr="0001748B">
        <w:rPr>
          <w:rFonts w:eastAsia="Calibri" w:cs="Verdana"/>
          <w:snapToGrid w:val="0"/>
          <w:sz w:val="20"/>
          <w:szCs w:val="20"/>
          <w:lang w:eastAsia="es-ES"/>
        </w:rPr>
        <w:t>su reconocimiento parcial de responsabilidad en torno a l</w:t>
      </w:r>
      <w:r>
        <w:rPr>
          <w:rFonts w:eastAsia="Calibri" w:cs="Verdana"/>
          <w:snapToGrid w:val="0"/>
          <w:sz w:val="20"/>
          <w:szCs w:val="20"/>
          <w:lang w:eastAsia="es-ES"/>
        </w:rPr>
        <w:t xml:space="preserve">os hechos referentes a: i) la decisión de alta médica; ii) el reingreso al Hospital del señor Poblete Vilches y la falta de diligencia del Estado durante su hospitalización, relacionada con las medidas que se debieron haber tomados para hacerle frente a su situación, </w:t>
      </w:r>
      <w:r w:rsidRPr="00B1523A">
        <w:rPr>
          <w:rFonts w:eastAsia="Calibri" w:cs="Verdana"/>
          <w:snapToGrid w:val="0"/>
          <w:sz w:val="20"/>
          <w:szCs w:val="20"/>
          <w:lang w:eastAsia="es-ES"/>
        </w:rPr>
        <w:t xml:space="preserve">la </w:t>
      </w:r>
      <w:r w:rsidR="00E32C7B" w:rsidRPr="00B1523A">
        <w:rPr>
          <w:rFonts w:eastAsia="Calibri" w:cs="Verdana"/>
          <w:snapToGrid w:val="0"/>
          <w:sz w:val="20"/>
          <w:szCs w:val="20"/>
          <w:lang w:eastAsia="es-ES"/>
        </w:rPr>
        <w:t xml:space="preserve">falta </w:t>
      </w:r>
      <w:r w:rsidRPr="005A65DF">
        <w:rPr>
          <w:rFonts w:eastAsia="Calibri" w:cs="Verdana"/>
          <w:snapToGrid w:val="0"/>
          <w:sz w:val="20"/>
          <w:szCs w:val="20"/>
          <w:lang w:eastAsia="es-ES"/>
        </w:rPr>
        <w:t xml:space="preserve">de camas </w:t>
      </w:r>
      <w:r w:rsidR="00E32C7B" w:rsidRPr="00B1523A">
        <w:rPr>
          <w:rFonts w:eastAsia="Calibri" w:cs="Verdana"/>
          <w:snapToGrid w:val="0"/>
          <w:sz w:val="20"/>
          <w:szCs w:val="20"/>
          <w:lang w:eastAsia="es-ES"/>
        </w:rPr>
        <w:t>disponibles</w:t>
      </w:r>
      <w:r w:rsidR="00E32C7B">
        <w:rPr>
          <w:rFonts w:eastAsia="Calibri" w:cs="Verdana"/>
          <w:snapToGrid w:val="0"/>
          <w:sz w:val="20"/>
          <w:szCs w:val="20"/>
          <w:lang w:eastAsia="es-ES"/>
        </w:rPr>
        <w:t xml:space="preserve"> </w:t>
      </w:r>
      <w:r>
        <w:rPr>
          <w:rFonts w:eastAsia="Calibri" w:cs="Verdana"/>
          <w:snapToGrid w:val="0"/>
          <w:sz w:val="20"/>
          <w:szCs w:val="20"/>
          <w:lang w:eastAsia="es-ES"/>
        </w:rPr>
        <w:t xml:space="preserve">en el hospital y el hecho de que el señor Poblete Vilches no fue trasladado a otro Hospital; iii) las falencias relativas al consentimiento informado en relación con la intervención quirúrgica realizada al señor Poblete Vilches, y iv) que las actuaciones de autoridades judiciales </w:t>
      </w:r>
      <w:r>
        <w:rPr>
          <w:rFonts w:eastAsia="Batang"/>
          <w:sz w:val="20"/>
          <w:szCs w:val="20"/>
          <w:lang w:eastAsia="en-US"/>
        </w:rPr>
        <w:t>no fueron llevadas a cabo en un plazo razonable</w:t>
      </w:r>
      <w:r>
        <w:rPr>
          <w:rFonts w:eastAsia="Calibri" w:cs="Verdana"/>
          <w:snapToGrid w:val="0"/>
          <w:sz w:val="20"/>
          <w:szCs w:val="20"/>
          <w:lang w:eastAsia="es-ES"/>
        </w:rPr>
        <w:t xml:space="preserve">. </w:t>
      </w:r>
    </w:p>
    <w:p w14:paraId="654408A4" w14:textId="77777777" w:rsidR="00542AD4" w:rsidRPr="0001748B" w:rsidRDefault="00542AD4" w:rsidP="00542AD4">
      <w:pPr>
        <w:tabs>
          <w:tab w:val="left" w:pos="567"/>
        </w:tabs>
        <w:rPr>
          <w:rFonts w:eastAsia="Calibri" w:cs="Verdana"/>
          <w:bCs/>
          <w:snapToGrid w:val="0"/>
          <w:sz w:val="20"/>
          <w:szCs w:val="20"/>
          <w:lang w:eastAsia="es-ES"/>
        </w:rPr>
      </w:pPr>
    </w:p>
    <w:p w14:paraId="7E0C660C" w14:textId="77777777" w:rsidR="00542AD4" w:rsidRPr="0001748B" w:rsidRDefault="00542AD4" w:rsidP="00542AD4">
      <w:pPr>
        <w:numPr>
          <w:ilvl w:val="0"/>
          <w:numId w:val="2"/>
        </w:numPr>
        <w:tabs>
          <w:tab w:val="left" w:pos="567"/>
          <w:tab w:val="num" w:pos="1569"/>
          <w:tab w:val="num" w:pos="12305"/>
        </w:tabs>
        <w:ind w:left="0" w:firstLine="0"/>
        <w:rPr>
          <w:rFonts w:eastAsia="Calibri" w:cs="Verdana"/>
          <w:bCs/>
          <w:snapToGrid w:val="0"/>
          <w:sz w:val="20"/>
          <w:szCs w:val="20"/>
          <w:lang w:eastAsia="es-ES"/>
        </w:rPr>
      </w:pPr>
      <w:r w:rsidRPr="0001748B">
        <w:rPr>
          <w:rFonts w:eastAsia="Calibri" w:cs="Verdana"/>
          <w:bCs/>
          <w:snapToGrid w:val="0"/>
          <w:sz w:val="20"/>
          <w:szCs w:val="20"/>
          <w:lang w:eastAsia="es-ES"/>
        </w:rPr>
        <w:t>En</w:t>
      </w:r>
      <w:r>
        <w:rPr>
          <w:rFonts w:eastAsia="Calibri" w:cs="Verdana"/>
          <w:bCs/>
          <w:snapToGrid w:val="0"/>
          <w:sz w:val="20"/>
          <w:szCs w:val="20"/>
          <w:lang w:eastAsia="es-ES"/>
        </w:rPr>
        <w:t xml:space="preserve"> particular, la Corte nota que subsisten</w:t>
      </w:r>
      <w:r w:rsidRPr="0001748B">
        <w:rPr>
          <w:rFonts w:eastAsia="Calibri" w:cs="Verdana"/>
          <w:bCs/>
          <w:snapToGrid w:val="0"/>
          <w:sz w:val="20"/>
          <w:szCs w:val="20"/>
          <w:lang w:eastAsia="es-ES"/>
        </w:rPr>
        <w:t xml:space="preserve"> </w:t>
      </w:r>
      <w:r>
        <w:rPr>
          <w:rFonts w:eastAsia="Calibri" w:cs="Verdana"/>
          <w:bCs/>
          <w:snapToGrid w:val="0"/>
          <w:sz w:val="20"/>
          <w:szCs w:val="20"/>
          <w:lang w:eastAsia="es-ES"/>
        </w:rPr>
        <w:t>algunas</w:t>
      </w:r>
      <w:r w:rsidRPr="0001748B">
        <w:rPr>
          <w:rFonts w:eastAsia="Calibri" w:cs="Verdana"/>
          <w:bCs/>
          <w:snapToGrid w:val="0"/>
          <w:sz w:val="20"/>
          <w:szCs w:val="20"/>
          <w:lang w:eastAsia="es-ES"/>
        </w:rPr>
        <w:t xml:space="preserve"> controversia</w:t>
      </w:r>
      <w:r>
        <w:rPr>
          <w:rFonts w:eastAsia="Calibri" w:cs="Verdana"/>
          <w:bCs/>
          <w:snapToGrid w:val="0"/>
          <w:sz w:val="20"/>
          <w:szCs w:val="20"/>
          <w:lang w:eastAsia="es-ES"/>
        </w:rPr>
        <w:t>s</w:t>
      </w:r>
      <w:r w:rsidRPr="0001748B">
        <w:rPr>
          <w:rFonts w:eastAsia="Calibri" w:cs="Verdana"/>
          <w:bCs/>
          <w:snapToGrid w:val="0"/>
          <w:sz w:val="20"/>
          <w:szCs w:val="20"/>
          <w:lang w:eastAsia="es-ES"/>
        </w:rPr>
        <w:t xml:space="preserve"> respecto </w:t>
      </w:r>
      <w:r>
        <w:rPr>
          <w:rFonts w:eastAsia="Calibri" w:cs="Verdana"/>
          <w:bCs/>
          <w:snapToGrid w:val="0"/>
          <w:sz w:val="20"/>
          <w:szCs w:val="20"/>
          <w:lang w:eastAsia="es-ES"/>
        </w:rPr>
        <w:t xml:space="preserve">de algunos hechos no reconocidos por el Estado, específicamente los hechos relacionados con las actuaciones del personal médico y su impacto en la salud del señor Poblete Vilches, especialmente la relación con su muerte, la obtención del consentimiento para la práctica de la intervención quirúrgica y el tratamiento del personal médico a los familiares. Por lo que la Corte considera oportuno realizar un análisis de los hechos controvertidos en los hechos probados de la presente Sentencia en el Capítulo VI. </w:t>
      </w:r>
    </w:p>
    <w:p w14:paraId="3CB3DED5" w14:textId="77777777" w:rsidR="00542AD4" w:rsidRPr="00B71F3F" w:rsidRDefault="00542AD4" w:rsidP="00542AD4">
      <w:pPr>
        <w:autoSpaceDE w:val="0"/>
        <w:autoSpaceDN w:val="0"/>
        <w:rPr>
          <w:rFonts w:eastAsia="Calibri" w:cs="Verdana"/>
          <w:bCs/>
          <w:snapToGrid w:val="0"/>
          <w:sz w:val="20"/>
          <w:szCs w:val="20"/>
          <w:lang w:eastAsia="es-ES"/>
        </w:rPr>
      </w:pPr>
    </w:p>
    <w:p w14:paraId="5B78709D" w14:textId="18ED3F1C" w:rsidR="00542AD4" w:rsidRPr="00164C05" w:rsidRDefault="00542AD4" w:rsidP="00542AD4">
      <w:pPr>
        <w:pStyle w:val="Heading3"/>
        <w:rPr>
          <w:b/>
        </w:rPr>
      </w:pPr>
      <w:bookmarkStart w:id="32" w:name="_Toc513644447"/>
      <w:r w:rsidRPr="00164C05">
        <w:rPr>
          <w:b/>
        </w:rPr>
        <w:t>2</w:t>
      </w:r>
      <w:r w:rsidR="00386E16">
        <w:rPr>
          <w:b/>
        </w:rPr>
        <w:t>.</w:t>
      </w:r>
      <w:r w:rsidRPr="00164C05">
        <w:rPr>
          <w:b/>
        </w:rPr>
        <w:t xml:space="preserve"> </w:t>
      </w:r>
      <w:r w:rsidRPr="00164C05">
        <w:rPr>
          <w:b/>
        </w:rPr>
        <w:tab/>
        <w:t>En cuanto a las pretensiones de derecho</w:t>
      </w:r>
      <w:bookmarkEnd w:id="32"/>
    </w:p>
    <w:p w14:paraId="36850BB4" w14:textId="77777777" w:rsidR="00542AD4" w:rsidRPr="004D1125" w:rsidRDefault="00542AD4" w:rsidP="00542AD4">
      <w:pPr>
        <w:tabs>
          <w:tab w:val="left" w:pos="567"/>
        </w:tabs>
        <w:rPr>
          <w:rFonts w:eastAsia="Calibri" w:cs="Verdana"/>
          <w:snapToGrid w:val="0"/>
          <w:sz w:val="20"/>
          <w:szCs w:val="20"/>
          <w:lang w:eastAsia="es-ES"/>
        </w:rPr>
      </w:pPr>
    </w:p>
    <w:p w14:paraId="291EDBF9" w14:textId="62E1AF15" w:rsidR="00542AD4" w:rsidRPr="0046233B" w:rsidRDefault="00542AD4" w:rsidP="00542AD4">
      <w:pPr>
        <w:numPr>
          <w:ilvl w:val="0"/>
          <w:numId w:val="2"/>
        </w:numPr>
        <w:tabs>
          <w:tab w:val="left" w:pos="567"/>
          <w:tab w:val="num" w:pos="1569"/>
          <w:tab w:val="num" w:pos="12305"/>
        </w:tabs>
        <w:ind w:left="0" w:firstLine="0"/>
        <w:rPr>
          <w:rFonts w:eastAsia="Calibri" w:cs="Verdana"/>
          <w:snapToGrid w:val="0"/>
          <w:sz w:val="20"/>
          <w:szCs w:val="20"/>
          <w:lang w:eastAsia="es-ES"/>
        </w:rPr>
      </w:pPr>
      <w:r>
        <w:rPr>
          <w:rFonts w:eastAsia="Calibri" w:cs="Verdana"/>
          <w:snapToGrid w:val="0"/>
          <w:sz w:val="20"/>
          <w:szCs w:val="20"/>
          <w:lang w:eastAsia="es-ES"/>
        </w:rPr>
        <w:t>La Corte constata que el Estado reconoció su responsabilidad internacional por la violación al artículo 13 en conexión con los artículos 4 y 5 de la Convención Americana y</w:t>
      </w:r>
      <w:r w:rsidRPr="00BF1289">
        <w:rPr>
          <w:rFonts w:eastAsia="Batang"/>
          <w:sz w:val="20"/>
          <w:szCs w:val="20"/>
          <w:lang w:eastAsia="en-US"/>
        </w:rPr>
        <w:t xml:space="preserve"> </w:t>
      </w:r>
      <w:r w:rsidRPr="00AF53B6">
        <w:rPr>
          <w:rFonts w:eastAsia="Batang"/>
          <w:sz w:val="20"/>
          <w:szCs w:val="20"/>
          <w:lang w:eastAsia="en-US"/>
        </w:rPr>
        <w:t>en relación con las obligaciones establecidas en los artículos 1.1 y 2 del mismo instrumento</w:t>
      </w:r>
      <w:r>
        <w:rPr>
          <w:rFonts w:eastAsia="Calibri" w:cs="Verdana"/>
          <w:snapToGrid w:val="0"/>
          <w:sz w:val="20"/>
          <w:szCs w:val="20"/>
          <w:lang w:eastAsia="es-ES"/>
        </w:rPr>
        <w:t xml:space="preserve">, en perjuicio del señor Poblete Vilches y de su familia. Además consideró que se vulneraron los artículos 5, 7 y 11 de la Convención en perjuicio del señor Poblete Vilches. Por último, reconoció que hubo una violación a los artículos 8 y 25, al haber una infracción al </w:t>
      </w:r>
      <w:r w:rsidRPr="00B1523A">
        <w:rPr>
          <w:rFonts w:eastAsia="Calibri" w:cs="Verdana"/>
          <w:snapToGrid w:val="0"/>
          <w:sz w:val="20"/>
          <w:szCs w:val="20"/>
          <w:lang w:eastAsia="es-ES"/>
        </w:rPr>
        <w:t>p</w:t>
      </w:r>
      <w:r w:rsidR="00E32C7B" w:rsidRPr="00B1523A">
        <w:rPr>
          <w:rFonts w:eastAsia="Calibri" w:cs="Verdana"/>
          <w:snapToGrid w:val="0"/>
          <w:sz w:val="20"/>
          <w:szCs w:val="20"/>
          <w:lang w:eastAsia="es-ES"/>
        </w:rPr>
        <w:t>l</w:t>
      </w:r>
      <w:r w:rsidRPr="00B1523A">
        <w:rPr>
          <w:rFonts w:eastAsia="Calibri" w:cs="Verdana"/>
          <w:snapToGrid w:val="0"/>
          <w:sz w:val="20"/>
          <w:szCs w:val="20"/>
          <w:lang w:eastAsia="es-ES"/>
        </w:rPr>
        <w:t>azo</w:t>
      </w:r>
      <w:r>
        <w:rPr>
          <w:rFonts w:eastAsia="Calibri" w:cs="Verdana"/>
          <w:snapToGrid w:val="0"/>
          <w:sz w:val="20"/>
          <w:szCs w:val="20"/>
          <w:lang w:eastAsia="es-ES"/>
        </w:rPr>
        <w:t xml:space="preserve"> razonable por parte de las autoridades chilenas. </w:t>
      </w:r>
    </w:p>
    <w:p w14:paraId="1FE9A24C" w14:textId="77777777" w:rsidR="00542AD4" w:rsidRDefault="00542AD4" w:rsidP="00542AD4">
      <w:pPr>
        <w:tabs>
          <w:tab w:val="left" w:pos="567"/>
        </w:tabs>
        <w:rPr>
          <w:rFonts w:eastAsia="Calibri" w:cs="Verdana"/>
          <w:snapToGrid w:val="0"/>
          <w:sz w:val="20"/>
          <w:szCs w:val="20"/>
          <w:lang w:eastAsia="es-ES"/>
        </w:rPr>
      </w:pPr>
      <w:r>
        <w:rPr>
          <w:rFonts w:eastAsia="Calibri" w:cs="Verdana"/>
          <w:snapToGrid w:val="0"/>
          <w:sz w:val="20"/>
          <w:szCs w:val="20"/>
          <w:lang w:eastAsia="es-ES"/>
        </w:rPr>
        <w:t xml:space="preserve"> </w:t>
      </w:r>
    </w:p>
    <w:p w14:paraId="6103F1FC" w14:textId="77777777" w:rsidR="00542AD4" w:rsidRPr="0001748B" w:rsidRDefault="00542AD4" w:rsidP="00542AD4">
      <w:pPr>
        <w:numPr>
          <w:ilvl w:val="0"/>
          <w:numId w:val="2"/>
        </w:numPr>
        <w:tabs>
          <w:tab w:val="left" w:pos="567"/>
          <w:tab w:val="num" w:pos="1569"/>
          <w:tab w:val="num" w:pos="12305"/>
        </w:tabs>
        <w:ind w:left="0" w:firstLine="0"/>
        <w:rPr>
          <w:rFonts w:eastAsia="Calibri" w:cs="Verdana"/>
          <w:snapToGrid w:val="0"/>
          <w:sz w:val="20"/>
          <w:szCs w:val="20"/>
          <w:lang w:eastAsia="es-ES"/>
        </w:rPr>
      </w:pPr>
      <w:r w:rsidRPr="004D1125">
        <w:rPr>
          <w:rFonts w:eastAsia="Calibri" w:cs="Verdana"/>
          <w:snapToGrid w:val="0"/>
          <w:sz w:val="20"/>
          <w:szCs w:val="20"/>
          <w:lang w:eastAsia="es-ES"/>
        </w:rPr>
        <w:t xml:space="preserve">En lo que se refiere a los alcances de la responsabilidad </w:t>
      </w:r>
      <w:r w:rsidRPr="0001748B">
        <w:rPr>
          <w:rFonts w:eastAsia="Calibri" w:cs="Verdana"/>
          <w:snapToGrid w:val="0"/>
          <w:sz w:val="20"/>
          <w:szCs w:val="20"/>
          <w:lang w:eastAsia="es-ES"/>
        </w:rPr>
        <w:t>del Estado por la violación de</w:t>
      </w:r>
      <w:r>
        <w:rPr>
          <w:rFonts w:eastAsia="Calibri" w:cs="Verdana"/>
          <w:snapToGrid w:val="0"/>
          <w:sz w:val="20"/>
          <w:szCs w:val="20"/>
          <w:lang w:eastAsia="es-ES"/>
        </w:rPr>
        <w:t xml:space="preserve"> los</w:t>
      </w:r>
      <w:r w:rsidRPr="0001748B">
        <w:rPr>
          <w:rFonts w:eastAsia="Calibri" w:cs="Verdana"/>
          <w:snapToGrid w:val="0"/>
          <w:sz w:val="20"/>
          <w:szCs w:val="20"/>
          <w:lang w:eastAsia="es-ES"/>
        </w:rPr>
        <w:t xml:space="preserve"> artículo</w:t>
      </w:r>
      <w:r>
        <w:rPr>
          <w:rFonts w:eastAsia="Calibri" w:cs="Verdana"/>
          <w:snapToGrid w:val="0"/>
          <w:sz w:val="20"/>
          <w:szCs w:val="20"/>
          <w:lang w:eastAsia="es-ES"/>
        </w:rPr>
        <w:t>s</w:t>
      </w:r>
      <w:r w:rsidRPr="0001748B">
        <w:rPr>
          <w:rFonts w:eastAsia="Calibri" w:cs="Verdana"/>
          <w:snapToGrid w:val="0"/>
          <w:sz w:val="20"/>
          <w:szCs w:val="20"/>
          <w:lang w:eastAsia="es-ES"/>
        </w:rPr>
        <w:t xml:space="preserve"> </w:t>
      </w:r>
      <w:r>
        <w:rPr>
          <w:rFonts w:eastAsia="Calibri" w:cs="Verdana"/>
          <w:snapToGrid w:val="0"/>
          <w:sz w:val="20"/>
          <w:szCs w:val="20"/>
          <w:lang w:eastAsia="es-ES"/>
        </w:rPr>
        <w:t>5, 7 y 11 de la Convención, el Estado se refirió únicamente a la vulneración del señor Poblete Vilches pero no de sus familiares. Además, el Estado no reconoció responsabilidad por los artículos 4 y 26 de la Convención. Respecto de los artículos 8 y 25</w:t>
      </w:r>
      <w:r w:rsidRPr="0001748B">
        <w:rPr>
          <w:rFonts w:eastAsia="Calibri" w:cs="Verdana"/>
          <w:snapToGrid w:val="0"/>
          <w:sz w:val="20"/>
          <w:szCs w:val="20"/>
          <w:lang w:eastAsia="es-ES"/>
        </w:rPr>
        <w:t xml:space="preserve"> de la Convención</w:t>
      </w:r>
      <w:r>
        <w:rPr>
          <w:rFonts w:eastAsia="Calibri" w:cs="Verdana"/>
          <w:snapToGrid w:val="0"/>
          <w:sz w:val="20"/>
          <w:szCs w:val="20"/>
          <w:lang w:eastAsia="es-ES"/>
        </w:rPr>
        <w:t xml:space="preserve"> Americana, la Corte nota</w:t>
      </w:r>
      <w:r w:rsidRPr="0001748B">
        <w:rPr>
          <w:rFonts w:eastAsia="Calibri" w:cs="Verdana"/>
          <w:snapToGrid w:val="0"/>
          <w:sz w:val="20"/>
          <w:szCs w:val="20"/>
          <w:lang w:eastAsia="es-ES"/>
        </w:rPr>
        <w:t xml:space="preserve"> que, al reconocer su responsabilidad</w:t>
      </w:r>
      <w:r w:rsidRPr="00AD6FD8">
        <w:rPr>
          <w:rFonts w:eastAsia="Calibri" w:cs="Verdana"/>
          <w:snapToGrid w:val="0"/>
          <w:sz w:val="20"/>
          <w:szCs w:val="20"/>
          <w:lang w:eastAsia="es-ES"/>
        </w:rPr>
        <w:t>, el Estado se centró en el hecho de que</w:t>
      </w:r>
      <w:r w:rsidRPr="0001748B">
        <w:rPr>
          <w:rFonts w:eastAsia="Calibri" w:cs="Verdana"/>
          <w:snapToGrid w:val="0"/>
          <w:sz w:val="20"/>
          <w:szCs w:val="20"/>
          <w:lang w:eastAsia="es-ES"/>
        </w:rPr>
        <w:t xml:space="preserve"> las </w:t>
      </w:r>
      <w:r>
        <w:rPr>
          <w:rFonts w:eastAsia="Calibri" w:cs="Verdana"/>
          <w:snapToGrid w:val="0"/>
          <w:sz w:val="20"/>
          <w:szCs w:val="20"/>
          <w:lang w:eastAsia="es-ES"/>
        </w:rPr>
        <w:t xml:space="preserve">actuaciones de </w:t>
      </w:r>
      <w:r w:rsidRPr="0001748B">
        <w:rPr>
          <w:rFonts w:eastAsia="Calibri" w:cs="Verdana"/>
          <w:snapToGrid w:val="0"/>
          <w:sz w:val="20"/>
          <w:szCs w:val="20"/>
          <w:lang w:eastAsia="es-ES"/>
        </w:rPr>
        <w:t xml:space="preserve">autoridades </w:t>
      </w:r>
      <w:r>
        <w:rPr>
          <w:rFonts w:eastAsia="Calibri" w:cs="Verdana"/>
          <w:snapToGrid w:val="0"/>
          <w:sz w:val="20"/>
          <w:szCs w:val="20"/>
          <w:lang w:eastAsia="es-ES"/>
        </w:rPr>
        <w:t xml:space="preserve">judiciales no fueron realizadas en un plazo razonable pero </w:t>
      </w:r>
      <w:r w:rsidRPr="00CE407E">
        <w:rPr>
          <w:rFonts w:eastAsia="Calibri" w:cs="Verdana"/>
          <w:snapToGrid w:val="0"/>
          <w:sz w:val="20"/>
          <w:szCs w:val="20"/>
          <w:lang w:val="es-ES" w:eastAsia="es-ES"/>
        </w:rPr>
        <w:t xml:space="preserve">negó su responsabilidad </w:t>
      </w:r>
      <w:r>
        <w:rPr>
          <w:rFonts w:eastAsia="Calibri" w:cs="Verdana"/>
          <w:snapToGrid w:val="0"/>
          <w:sz w:val="20"/>
          <w:szCs w:val="20"/>
          <w:lang w:val="es-ES" w:eastAsia="es-ES"/>
        </w:rPr>
        <w:t>por</w:t>
      </w:r>
      <w:r w:rsidRPr="00CE407E">
        <w:rPr>
          <w:rFonts w:eastAsia="Calibri" w:cs="Verdana"/>
          <w:snapToGrid w:val="0"/>
          <w:sz w:val="20"/>
          <w:szCs w:val="20"/>
          <w:lang w:val="es-ES" w:eastAsia="es-ES"/>
        </w:rPr>
        <w:t xml:space="preserve"> la afectación al derecho a la debida diligencia y al derecho a un tribunal imparcial</w:t>
      </w:r>
      <w:r>
        <w:rPr>
          <w:rFonts w:eastAsia="Calibri" w:cs="Verdana"/>
          <w:snapToGrid w:val="0"/>
          <w:sz w:val="20"/>
          <w:szCs w:val="20"/>
          <w:lang w:val="es-ES" w:eastAsia="es-ES"/>
        </w:rPr>
        <w:t xml:space="preserve">. </w:t>
      </w:r>
    </w:p>
    <w:p w14:paraId="6F67291C" w14:textId="77777777" w:rsidR="00542AD4" w:rsidRPr="0001748B" w:rsidRDefault="00542AD4" w:rsidP="00542AD4">
      <w:pPr>
        <w:autoSpaceDE w:val="0"/>
        <w:autoSpaceDN w:val="0"/>
        <w:rPr>
          <w:rFonts w:eastAsia="Batang"/>
          <w:bCs/>
          <w:sz w:val="20"/>
          <w:lang w:eastAsia="en-US"/>
        </w:rPr>
      </w:pPr>
    </w:p>
    <w:p w14:paraId="63A10BD5" w14:textId="77777777" w:rsidR="00542AD4" w:rsidRPr="000409C6" w:rsidRDefault="00542AD4" w:rsidP="00542AD4">
      <w:pPr>
        <w:numPr>
          <w:ilvl w:val="0"/>
          <w:numId w:val="2"/>
        </w:numPr>
        <w:tabs>
          <w:tab w:val="left" w:pos="567"/>
          <w:tab w:val="num" w:pos="1569"/>
          <w:tab w:val="num" w:pos="12305"/>
        </w:tabs>
        <w:ind w:left="0" w:firstLine="0"/>
        <w:rPr>
          <w:rFonts w:eastAsia="Calibri" w:cs="Verdana"/>
          <w:snapToGrid w:val="0"/>
          <w:sz w:val="20"/>
          <w:szCs w:val="20"/>
          <w:lang w:eastAsia="es-ES"/>
        </w:rPr>
      </w:pPr>
      <w:r>
        <w:rPr>
          <w:rFonts w:eastAsia="Batang"/>
          <w:sz w:val="20"/>
          <w:lang w:eastAsia="en-US"/>
        </w:rPr>
        <w:t xml:space="preserve">Por último, </w:t>
      </w:r>
      <w:r w:rsidRPr="000409C6">
        <w:rPr>
          <w:rFonts w:eastAsia="Calibri" w:cs="Verdana"/>
          <w:snapToGrid w:val="0"/>
          <w:sz w:val="20"/>
          <w:szCs w:val="20"/>
          <w:lang w:eastAsia="es-ES"/>
        </w:rPr>
        <w:t xml:space="preserve">teniendo en cuenta las violaciones reconocidas por el Estado, así como las observaciones de las representantes y de la Comisión, la Corte considera que este reconocimiento del Estado constituye un allanamiento parcial a las pretensiones de derecho de </w:t>
      </w:r>
      <w:r w:rsidRPr="000409C6">
        <w:rPr>
          <w:rFonts w:eastAsia="Calibri" w:cs="Verdana"/>
          <w:snapToGrid w:val="0"/>
          <w:sz w:val="20"/>
          <w:szCs w:val="20"/>
          <w:lang w:eastAsia="es-ES"/>
        </w:rPr>
        <w:lastRenderedPageBreak/>
        <w:t>la Comisión y de las representantes.</w:t>
      </w:r>
      <w:r>
        <w:rPr>
          <w:rFonts w:eastAsia="Calibri" w:cs="Verdana"/>
          <w:snapToGrid w:val="0"/>
          <w:sz w:val="20"/>
          <w:szCs w:val="20"/>
          <w:lang w:eastAsia="es-ES"/>
        </w:rPr>
        <w:t xml:space="preserve"> Sin perjuicio de lo anterior y al subsistir controversias al respecto, el Tribunal considera oportuno hacer algunas consideraciones respecto de tales derechos en el Capítulo VII de la Sentencia.</w:t>
      </w:r>
    </w:p>
    <w:p w14:paraId="344FE38A" w14:textId="77777777" w:rsidR="00542AD4" w:rsidRPr="00A4189F" w:rsidRDefault="00542AD4" w:rsidP="00542AD4">
      <w:pPr>
        <w:autoSpaceDE w:val="0"/>
        <w:autoSpaceDN w:val="0"/>
        <w:rPr>
          <w:rFonts w:eastAsia="Batang"/>
          <w:bCs/>
          <w:sz w:val="20"/>
          <w:lang w:eastAsia="en-US"/>
        </w:rPr>
      </w:pPr>
    </w:p>
    <w:p w14:paraId="77D8F3F4" w14:textId="5D7EF437" w:rsidR="00542AD4" w:rsidRPr="00164C05" w:rsidRDefault="00542AD4" w:rsidP="00542AD4">
      <w:pPr>
        <w:pStyle w:val="Heading3"/>
        <w:rPr>
          <w:b/>
        </w:rPr>
      </w:pPr>
      <w:bookmarkStart w:id="33" w:name="_Toc513644448"/>
      <w:r w:rsidRPr="00164C05">
        <w:rPr>
          <w:b/>
        </w:rPr>
        <w:t>3</w:t>
      </w:r>
      <w:r w:rsidR="00386E16">
        <w:rPr>
          <w:b/>
        </w:rPr>
        <w:t>.</w:t>
      </w:r>
      <w:r w:rsidRPr="00164C05">
        <w:rPr>
          <w:b/>
        </w:rPr>
        <w:t xml:space="preserve"> </w:t>
      </w:r>
      <w:r w:rsidRPr="00164C05">
        <w:rPr>
          <w:b/>
        </w:rPr>
        <w:tab/>
        <w:t>En cuanto a las reparaciones</w:t>
      </w:r>
      <w:bookmarkEnd w:id="33"/>
    </w:p>
    <w:p w14:paraId="5913DB23" w14:textId="77777777" w:rsidR="00542AD4" w:rsidRPr="00A4189F" w:rsidRDefault="00542AD4" w:rsidP="00542AD4">
      <w:pPr>
        <w:autoSpaceDE w:val="0"/>
        <w:autoSpaceDN w:val="0"/>
        <w:rPr>
          <w:rFonts w:eastAsia="Batang"/>
          <w:bCs/>
          <w:sz w:val="20"/>
          <w:lang w:eastAsia="en-US"/>
        </w:rPr>
      </w:pPr>
    </w:p>
    <w:p w14:paraId="69CAC586" w14:textId="4DC4F94C" w:rsidR="00542AD4" w:rsidRPr="0048663A" w:rsidRDefault="00542AD4" w:rsidP="00542AD4">
      <w:pPr>
        <w:numPr>
          <w:ilvl w:val="0"/>
          <w:numId w:val="2"/>
        </w:numPr>
        <w:tabs>
          <w:tab w:val="left" w:pos="567"/>
          <w:tab w:val="num" w:pos="1569"/>
          <w:tab w:val="num" w:pos="12305"/>
        </w:tabs>
        <w:ind w:left="0" w:firstLine="0"/>
        <w:rPr>
          <w:rFonts w:eastAsia="Batang"/>
          <w:sz w:val="20"/>
          <w:szCs w:val="20"/>
          <w:lang w:eastAsia="en-US"/>
        </w:rPr>
      </w:pPr>
      <w:r w:rsidRPr="0048663A">
        <w:rPr>
          <w:rFonts w:eastAsia="Batang"/>
          <w:sz w:val="20"/>
          <w:lang w:eastAsia="en-US"/>
        </w:rPr>
        <w:t xml:space="preserve">En lo que se refiere a las medidas de reparación, la Corte constata que el Estado </w:t>
      </w:r>
      <w:r>
        <w:rPr>
          <w:rFonts w:eastAsia="Batang"/>
          <w:sz w:val="20"/>
          <w:lang w:eastAsia="en-US"/>
        </w:rPr>
        <w:t xml:space="preserve">no reconoció las medidas solicitadas por las defensoras interamericanas. </w:t>
      </w:r>
      <w:r w:rsidRPr="0048663A">
        <w:rPr>
          <w:rFonts w:eastAsia="Batang"/>
          <w:sz w:val="20"/>
          <w:lang w:eastAsia="en-US"/>
        </w:rPr>
        <w:t xml:space="preserve">Por lo tanto, </w:t>
      </w:r>
      <w:r w:rsidRPr="0048663A">
        <w:rPr>
          <w:rFonts w:eastAsia="Batang"/>
          <w:bCs/>
          <w:sz w:val="20"/>
          <w:lang w:eastAsia="en-US"/>
        </w:rPr>
        <w:t xml:space="preserve">en el capítulo </w:t>
      </w:r>
      <w:r>
        <w:rPr>
          <w:rFonts w:eastAsia="Batang"/>
          <w:bCs/>
          <w:sz w:val="20"/>
          <w:lang w:eastAsia="en-US"/>
        </w:rPr>
        <w:t>VIII,</w:t>
      </w:r>
      <w:r w:rsidRPr="0048663A">
        <w:rPr>
          <w:rFonts w:eastAsia="Batang"/>
          <w:sz w:val="20"/>
          <w:lang w:eastAsia="en-US"/>
        </w:rPr>
        <w:t xml:space="preserve"> el Tribunal resolverá lo conducente en torno a las reparaciones</w:t>
      </w:r>
      <w:r w:rsidRPr="0048663A">
        <w:rPr>
          <w:rFonts w:eastAsia="Batang"/>
          <w:bCs/>
          <w:sz w:val="20"/>
          <w:lang w:eastAsia="en-US"/>
        </w:rPr>
        <w:t xml:space="preserve"> solicitadas por la Comisión y las representantes</w:t>
      </w:r>
      <w:r>
        <w:rPr>
          <w:rFonts w:eastAsia="Batang"/>
          <w:bCs/>
          <w:sz w:val="20"/>
          <w:lang w:eastAsia="en-US"/>
        </w:rPr>
        <w:t xml:space="preserve"> y analizará la existencia del nexo causal entre las violaciones declaradas y los daños </w:t>
      </w:r>
      <w:r w:rsidR="00C133E5">
        <w:rPr>
          <w:rFonts w:eastAsia="Batang"/>
          <w:bCs/>
          <w:sz w:val="20"/>
          <w:lang w:eastAsia="en-US"/>
        </w:rPr>
        <w:t>y medidas alegada</w:t>
      </w:r>
      <w:r>
        <w:rPr>
          <w:rFonts w:eastAsia="Batang"/>
          <w:bCs/>
          <w:sz w:val="20"/>
          <w:lang w:eastAsia="en-US"/>
        </w:rPr>
        <w:t xml:space="preserve">s por las </w:t>
      </w:r>
      <w:r w:rsidR="00C133E5">
        <w:rPr>
          <w:rFonts w:eastAsia="Batang"/>
          <w:bCs/>
          <w:sz w:val="20"/>
          <w:lang w:eastAsia="en-US"/>
        </w:rPr>
        <w:t>partes</w:t>
      </w:r>
      <w:r w:rsidRPr="0048663A">
        <w:rPr>
          <w:rFonts w:eastAsia="Batang"/>
          <w:bCs/>
          <w:sz w:val="20"/>
          <w:lang w:eastAsia="en-US"/>
        </w:rPr>
        <w:t>.</w:t>
      </w:r>
    </w:p>
    <w:p w14:paraId="23089088" w14:textId="77777777" w:rsidR="00542AD4" w:rsidRPr="00580B71" w:rsidRDefault="00542AD4" w:rsidP="00542AD4">
      <w:pPr>
        <w:autoSpaceDE w:val="0"/>
        <w:autoSpaceDN w:val="0"/>
        <w:rPr>
          <w:rFonts w:eastAsia="Calibri" w:cs="Verdana"/>
          <w:snapToGrid w:val="0"/>
          <w:sz w:val="20"/>
          <w:szCs w:val="20"/>
          <w:lang w:eastAsia="es-ES"/>
        </w:rPr>
      </w:pPr>
    </w:p>
    <w:p w14:paraId="1A9D65A2" w14:textId="117A53E2" w:rsidR="00542AD4" w:rsidRPr="00164C05" w:rsidRDefault="00542AD4" w:rsidP="00542AD4">
      <w:pPr>
        <w:pStyle w:val="Heading3"/>
        <w:rPr>
          <w:b/>
        </w:rPr>
      </w:pPr>
      <w:bookmarkStart w:id="34" w:name="_Toc513644449"/>
      <w:r w:rsidRPr="00164C05">
        <w:rPr>
          <w:b/>
        </w:rPr>
        <w:t>4</w:t>
      </w:r>
      <w:r w:rsidR="00386E16">
        <w:rPr>
          <w:b/>
        </w:rPr>
        <w:t>.</w:t>
      </w:r>
      <w:r w:rsidRPr="00164C05">
        <w:rPr>
          <w:b/>
        </w:rPr>
        <w:t xml:space="preserve"> </w:t>
      </w:r>
      <w:r w:rsidRPr="00164C05">
        <w:rPr>
          <w:b/>
        </w:rPr>
        <w:tab/>
        <w:t>Valoración del alcance del reconocimiento parcial de responsabilidad</w:t>
      </w:r>
      <w:bookmarkEnd w:id="34"/>
    </w:p>
    <w:p w14:paraId="2350C27B" w14:textId="77777777" w:rsidR="00542AD4" w:rsidRPr="0001748B" w:rsidRDefault="00542AD4" w:rsidP="00542AD4">
      <w:pPr>
        <w:autoSpaceDE w:val="0"/>
        <w:autoSpaceDN w:val="0"/>
        <w:rPr>
          <w:rFonts w:eastAsia="Batang"/>
          <w:sz w:val="20"/>
          <w:lang w:eastAsia="en-US"/>
        </w:rPr>
      </w:pPr>
    </w:p>
    <w:p w14:paraId="6C41BF39" w14:textId="5A9FF8D7" w:rsidR="00542AD4" w:rsidRPr="0001748B" w:rsidRDefault="00542AD4" w:rsidP="00542AD4">
      <w:pPr>
        <w:numPr>
          <w:ilvl w:val="0"/>
          <w:numId w:val="2"/>
        </w:numPr>
        <w:tabs>
          <w:tab w:val="left" w:pos="567"/>
          <w:tab w:val="num" w:pos="1569"/>
          <w:tab w:val="num" w:pos="12305"/>
        </w:tabs>
        <w:ind w:left="0" w:firstLine="0"/>
        <w:rPr>
          <w:rFonts w:eastAsia="Calibri" w:cs="Verdana"/>
          <w:bCs/>
          <w:snapToGrid w:val="0"/>
          <w:sz w:val="20"/>
          <w:szCs w:val="20"/>
          <w:lang w:eastAsia="es-ES"/>
        </w:rPr>
      </w:pPr>
      <w:r w:rsidRPr="0001748B">
        <w:rPr>
          <w:rFonts w:eastAsia="Calibri" w:cs="Verdana"/>
          <w:snapToGrid w:val="0"/>
          <w:sz w:val="20"/>
          <w:szCs w:val="20"/>
          <w:lang w:eastAsia="es-ES"/>
        </w:rPr>
        <w:t>En virtud de lo anterior y de las atribuciones que le incumben como órgano internacional de protección de los derechos humanos, la Corte estima necesario, en atención a las particularidades de los hechos sucedidos en el presente caso</w:t>
      </w:r>
      <w:r w:rsidRPr="0001748B">
        <w:rPr>
          <w:rFonts w:eastAsia="Calibri" w:cs="Verdana"/>
          <w:bCs/>
          <w:snapToGrid w:val="0"/>
          <w:sz w:val="20"/>
          <w:szCs w:val="20"/>
          <w:lang w:eastAsia="es-ES"/>
        </w:rPr>
        <w:t xml:space="preserve"> y</w:t>
      </w:r>
      <w:r w:rsidRPr="0001748B">
        <w:rPr>
          <w:rFonts w:eastAsia="Calibri" w:cs="Verdana"/>
          <w:snapToGrid w:val="0"/>
          <w:sz w:val="20"/>
          <w:szCs w:val="20"/>
          <w:lang w:eastAsia="es-ES"/>
        </w:rPr>
        <w:t xml:space="preserve"> a la forma como se ha desarrollado la </w:t>
      </w:r>
      <w:r>
        <w:rPr>
          <w:rFonts w:eastAsia="Calibri" w:cs="Verdana"/>
          <w:snapToGrid w:val="0"/>
          <w:sz w:val="20"/>
          <w:szCs w:val="20"/>
          <w:lang w:eastAsia="es-ES"/>
        </w:rPr>
        <w:t>controversia, dictar una S</w:t>
      </w:r>
      <w:r w:rsidRPr="0001748B">
        <w:rPr>
          <w:rFonts w:eastAsia="Calibri" w:cs="Verdana"/>
          <w:snapToGrid w:val="0"/>
          <w:sz w:val="20"/>
          <w:szCs w:val="20"/>
          <w:lang w:eastAsia="es-ES"/>
        </w:rPr>
        <w:t xml:space="preserve">entencia en la cual se determinen los hechos ocurridos de acuerdo a la prueba recabada en el proceso ante este Tribunal, que se repitan hechos similares y a satisfacer, en suma, los fines de la jurisdicción </w:t>
      </w:r>
      <w:r w:rsidR="00BB4919" w:rsidRPr="0001748B">
        <w:rPr>
          <w:rFonts w:eastAsia="Calibri" w:cs="Times"/>
          <w:snapToGrid w:val="0"/>
          <w:sz w:val="20"/>
          <w:szCs w:val="20"/>
          <w:lang w:eastAsia="es-ES"/>
        </w:rPr>
        <w:t>toda</w:t>
      </w:r>
      <w:r w:rsidR="00BB4919" w:rsidRPr="0001748B">
        <w:rPr>
          <w:rFonts w:eastAsia="Calibri" w:cs="Verdana"/>
          <w:snapToGrid w:val="0"/>
          <w:sz w:val="20"/>
          <w:szCs w:val="20"/>
          <w:lang w:eastAsia="es-ES"/>
        </w:rPr>
        <w:t xml:space="preserve"> vez que ello contribuye a la reparación de los familiares del señor </w:t>
      </w:r>
      <w:r w:rsidR="00BB4919">
        <w:rPr>
          <w:rFonts w:eastAsia="Calibri" w:cs="Verdana"/>
          <w:snapToGrid w:val="0"/>
          <w:sz w:val="20"/>
          <w:szCs w:val="20"/>
          <w:lang w:eastAsia="es-ES"/>
        </w:rPr>
        <w:t>Poblete Vilches</w:t>
      </w:r>
      <w:r w:rsidR="00BB4919" w:rsidRPr="0001748B">
        <w:rPr>
          <w:rFonts w:eastAsia="Calibri" w:cs="Verdana"/>
          <w:snapToGrid w:val="0"/>
          <w:sz w:val="20"/>
          <w:szCs w:val="20"/>
          <w:lang w:eastAsia="es-ES"/>
        </w:rPr>
        <w:t xml:space="preserve">, a evitar </w:t>
      </w:r>
      <w:r w:rsidRPr="0001748B">
        <w:rPr>
          <w:rFonts w:eastAsia="Calibri" w:cs="Verdana"/>
          <w:snapToGrid w:val="0"/>
          <w:sz w:val="20"/>
          <w:szCs w:val="20"/>
          <w:lang w:eastAsia="es-ES"/>
        </w:rPr>
        <w:t>interamericana sobre derechos humanos</w:t>
      </w:r>
      <w:r>
        <w:rPr>
          <w:rStyle w:val="FootnoteReference"/>
          <w:rFonts w:eastAsia="Calibri" w:cs="Verdana"/>
          <w:snapToGrid w:val="0"/>
          <w:sz w:val="20"/>
          <w:szCs w:val="20"/>
          <w:lang w:eastAsia="es-ES"/>
        </w:rPr>
        <w:footnoteReference w:id="20"/>
      </w:r>
      <w:r w:rsidRPr="0001748B">
        <w:rPr>
          <w:rFonts w:eastAsia="Calibri" w:cs="Verdana"/>
          <w:snapToGrid w:val="0"/>
          <w:sz w:val="20"/>
          <w:szCs w:val="20"/>
          <w:lang w:eastAsia="es-ES"/>
        </w:rPr>
        <w:t>.</w:t>
      </w:r>
    </w:p>
    <w:p w14:paraId="3151E60B" w14:textId="77777777" w:rsidR="00542AD4" w:rsidRPr="0001748B" w:rsidRDefault="00542AD4" w:rsidP="00542AD4">
      <w:pPr>
        <w:autoSpaceDE w:val="0"/>
        <w:autoSpaceDN w:val="0"/>
        <w:rPr>
          <w:rFonts w:eastAsia="Calibri" w:cs="Verdana"/>
          <w:snapToGrid w:val="0"/>
          <w:sz w:val="20"/>
          <w:szCs w:val="20"/>
          <w:lang w:eastAsia="es-ES"/>
        </w:rPr>
      </w:pPr>
    </w:p>
    <w:p w14:paraId="2DF302E6" w14:textId="77777777" w:rsidR="00342270" w:rsidRPr="00C27894" w:rsidRDefault="00542AD4" w:rsidP="00C27894">
      <w:pPr>
        <w:numPr>
          <w:ilvl w:val="0"/>
          <w:numId w:val="2"/>
        </w:numPr>
        <w:tabs>
          <w:tab w:val="left" w:pos="567"/>
          <w:tab w:val="num" w:pos="1569"/>
          <w:tab w:val="num" w:pos="12305"/>
        </w:tabs>
        <w:ind w:left="0" w:firstLine="0"/>
        <w:rPr>
          <w:sz w:val="20"/>
        </w:rPr>
      </w:pPr>
      <w:r w:rsidRPr="0001748B">
        <w:rPr>
          <w:rFonts w:eastAsia="Calibri" w:cs="Verdana"/>
          <w:snapToGrid w:val="0"/>
          <w:sz w:val="20"/>
          <w:szCs w:val="20"/>
          <w:lang w:eastAsia="es-ES"/>
        </w:rPr>
        <w:t xml:space="preserve">De igual forma y </w:t>
      </w:r>
      <w:r w:rsidRPr="0001748B">
        <w:rPr>
          <w:rFonts w:eastAsia="Batang"/>
          <w:sz w:val="20"/>
          <w:lang w:eastAsia="en-US"/>
        </w:rPr>
        <w:t xml:space="preserve">en aras de asegurar una mejor comprensión de la responsabilidad internacional estatal en el presente caso y del nexo causal entre las violaciones establecidas y las reparaciones que se ordenarán, la Corte estima pertinente precisar </w:t>
      </w:r>
      <w:r>
        <w:rPr>
          <w:rFonts w:eastAsia="Batang"/>
          <w:sz w:val="20"/>
          <w:lang w:eastAsia="en-US"/>
        </w:rPr>
        <w:t xml:space="preserve">el alcance y clasificación de </w:t>
      </w:r>
      <w:r w:rsidRPr="0001748B">
        <w:rPr>
          <w:rFonts w:eastAsia="Batang"/>
          <w:sz w:val="20"/>
          <w:lang w:eastAsia="en-US"/>
        </w:rPr>
        <w:t>las violaciones a los derechos humanos que</w:t>
      </w:r>
      <w:r>
        <w:rPr>
          <w:rFonts w:eastAsia="Batang"/>
          <w:sz w:val="20"/>
          <w:lang w:eastAsia="en-US"/>
        </w:rPr>
        <w:t xml:space="preserve"> acontecieron en el presente caso</w:t>
      </w:r>
      <w:r>
        <w:rPr>
          <w:rStyle w:val="FootnoteReference"/>
          <w:rFonts w:eastAsia="Batang"/>
          <w:sz w:val="20"/>
          <w:lang w:eastAsia="en-US"/>
        </w:rPr>
        <w:footnoteReference w:id="21"/>
      </w:r>
      <w:r w:rsidRPr="0001748B">
        <w:rPr>
          <w:rFonts w:eastAsia="Batang"/>
          <w:sz w:val="20"/>
          <w:lang w:eastAsia="en-US"/>
        </w:rPr>
        <w:t>.</w:t>
      </w:r>
    </w:p>
    <w:p w14:paraId="5EC2EF4B" w14:textId="77777777" w:rsidR="00342270" w:rsidRPr="00342270" w:rsidRDefault="00342270" w:rsidP="00342270">
      <w:pPr>
        <w:tabs>
          <w:tab w:val="left" w:pos="720"/>
        </w:tabs>
        <w:ind w:right="-90"/>
        <w:rPr>
          <w:sz w:val="20"/>
          <w:lang w:val="es-ES"/>
        </w:rPr>
      </w:pPr>
    </w:p>
    <w:p w14:paraId="776303DB" w14:textId="77777777" w:rsidR="007A1A14" w:rsidRDefault="007A1A14" w:rsidP="006B2A4D">
      <w:pPr>
        <w:pStyle w:val="Title"/>
      </w:pPr>
      <w:bookmarkStart w:id="35" w:name="_Toc375517114"/>
      <w:bookmarkStart w:id="36" w:name="_Toc459158102"/>
      <w:bookmarkStart w:id="37" w:name="_Toc470180046"/>
      <w:bookmarkStart w:id="38" w:name="_Toc513644450"/>
      <w:r w:rsidRPr="0071582F">
        <w:t>V</w:t>
      </w:r>
      <w:r w:rsidRPr="0071582F">
        <w:br/>
        <w:t>PRUEBA</w:t>
      </w:r>
      <w:bookmarkEnd w:id="35"/>
      <w:bookmarkEnd w:id="36"/>
      <w:bookmarkEnd w:id="37"/>
      <w:bookmarkEnd w:id="38"/>
    </w:p>
    <w:p w14:paraId="2C97F32D" w14:textId="77777777" w:rsidR="00F3026E" w:rsidRPr="00F3026E" w:rsidRDefault="00F3026E" w:rsidP="00F3026E">
      <w:pPr>
        <w:rPr>
          <w:sz w:val="20"/>
          <w:szCs w:val="20"/>
        </w:rPr>
      </w:pPr>
    </w:p>
    <w:p w14:paraId="5C58E089" w14:textId="77777777" w:rsidR="007A1A14" w:rsidRPr="0071582F" w:rsidRDefault="007A1A14" w:rsidP="00C27894">
      <w:pPr>
        <w:pStyle w:val="Heading2"/>
        <w:numPr>
          <w:ilvl w:val="0"/>
          <w:numId w:val="21"/>
        </w:numPr>
      </w:pPr>
      <w:bookmarkStart w:id="39" w:name="_Toc375517115"/>
      <w:bookmarkStart w:id="40" w:name="_Toc459158103"/>
      <w:bookmarkStart w:id="41" w:name="_Toc470180047"/>
      <w:bookmarkStart w:id="42" w:name="_Toc513644451"/>
      <w:r w:rsidRPr="0071582F">
        <w:t>Prueba documental, testimonial y pericial</w:t>
      </w:r>
      <w:bookmarkEnd w:id="39"/>
      <w:bookmarkEnd w:id="40"/>
      <w:bookmarkEnd w:id="41"/>
      <w:bookmarkEnd w:id="42"/>
    </w:p>
    <w:p w14:paraId="58AAC3C8" w14:textId="77777777" w:rsidR="007A1A14" w:rsidRPr="0071582F" w:rsidRDefault="007A1A14" w:rsidP="00F3026E">
      <w:pPr>
        <w:tabs>
          <w:tab w:val="left" w:pos="567"/>
        </w:tabs>
        <w:autoSpaceDE w:val="0"/>
        <w:autoSpaceDN w:val="0"/>
        <w:rPr>
          <w:rFonts w:cs="Verdana"/>
          <w:sz w:val="20"/>
          <w:szCs w:val="20"/>
          <w:lang w:eastAsia="en-US"/>
        </w:rPr>
      </w:pPr>
    </w:p>
    <w:p w14:paraId="2A25AB98" w14:textId="0B8F2848" w:rsidR="00D96547" w:rsidRPr="00C133E5" w:rsidRDefault="007A1A14" w:rsidP="006B458C">
      <w:pPr>
        <w:numPr>
          <w:ilvl w:val="0"/>
          <w:numId w:val="2"/>
        </w:numPr>
        <w:tabs>
          <w:tab w:val="left" w:pos="567"/>
          <w:tab w:val="num" w:pos="1569"/>
          <w:tab w:val="num" w:pos="12305"/>
        </w:tabs>
        <w:ind w:left="0" w:firstLine="0"/>
        <w:rPr>
          <w:sz w:val="22"/>
          <w:szCs w:val="22"/>
        </w:rPr>
      </w:pPr>
      <w:r w:rsidRPr="00D96547">
        <w:rPr>
          <w:sz w:val="20"/>
          <w:szCs w:val="20"/>
        </w:rPr>
        <w:t>La Corte recibió diversos documentos presentados como prueba por el Estado, la</w:t>
      </w:r>
      <w:r w:rsidR="00310187" w:rsidRPr="00D96547">
        <w:rPr>
          <w:sz w:val="20"/>
          <w:szCs w:val="20"/>
        </w:rPr>
        <w:t>s</w:t>
      </w:r>
      <w:r w:rsidRPr="00D96547">
        <w:rPr>
          <w:sz w:val="20"/>
          <w:szCs w:val="20"/>
        </w:rPr>
        <w:t xml:space="preserve"> representante</w:t>
      </w:r>
      <w:r w:rsidR="00310187" w:rsidRPr="00D96547">
        <w:rPr>
          <w:sz w:val="20"/>
          <w:szCs w:val="20"/>
        </w:rPr>
        <w:t>s</w:t>
      </w:r>
      <w:r w:rsidRPr="00D96547">
        <w:rPr>
          <w:sz w:val="20"/>
          <w:szCs w:val="20"/>
        </w:rPr>
        <w:t xml:space="preserve"> y la Comisión Interamericana, adjuntos a sus escritos principales y de alegatos finales (</w:t>
      </w:r>
      <w:r w:rsidR="00062586" w:rsidRPr="00062586">
        <w:rPr>
          <w:i/>
          <w:sz w:val="20"/>
          <w:szCs w:val="20"/>
        </w:rPr>
        <w:t>supra</w:t>
      </w:r>
      <w:r w:rsidRPr="00D96547">
        <w:rPr>
          <w:sz w:val="20"/>
          <w:szCs w:val="20"/>
        </w:rPr>
        <w:t xml:space="preserve"> </w:t>
      </w:r>
      <w:proofErr w:type="spellStart"/>
      <w:r w:rsidRPr="00D96547">
        <w:rPr>
          <w:sz w:val="20"/>
          <w:szCs w:val="20"/>
        </w:rPr>
        <w:t>párrs</w:t>
      </w:r>
      <w:proofErr w:type="spellEnd"/>
      <w:r w:rsidRPr="00D96547">
        <w:rPr>
          <w:sz w:val="20"/>
          <w:szCs w:val="20"/>
        </w:rPr>
        <w:t xml:space="preserve">. </w:t>
      </w:r>
      <w:r w:rsidR="005A65DF">
        <w:rPr>
          <w:sz w:val="20"/>
          <w:szCs w:val="20"/>
        </w:rPr>
        <w:t>5 a 13</w:t>
      </w:r>
      <w:r w:rsidRPr="00D96547">
        <w:rPr>
          <w:sz w:val="20"/>
          <w:szCs w:val="20"/>
        </w:rPr>
        <w:t>). Asimismo, la Corte recibió las declaraciones rendidas ante fedatario público (</w:t>
      </w:r>
      <w:r w:rsidRPr="00D96547">
        <w:rPr>
          <w:i/>
          <w:iCs/>
          <w:sz w:val="20"/>
          <w:szCs w:val="20"/>
        </w:rPr>
        <w:t>a</w:t>
      </w:r>
      <w:r w:rsidR="009D01BA" w:rsidRPr="00D96547">
        <w:rPr>
          <w:i/>
          <w:iCs/>
          <w:sz w:val="20"/>
          <w:szCs w:val="20"/>
        </w:rPr>
        <w:t>f</w:t>
      </w:r>
      <w:r w:rsidRPr="00D96547">
        <w:rPr>
          <w:i/>
          <w:iCs/>
          <w:sz w:val="20"/>
          <w:szCs w:val="20"/>
        </w:rPr>
        <w:t>fidávit</w:t>
      </w:r>
      <w:r w:rsidRPr="00D96547">
        <w:rPr>
          <w:sz w:val="20"/>
          <w:szCs w:val="20"/>
        </w:rPr>
        <w:t xml:space="preserve">) </w:t>
      </w:r>
      <w:r w:rsidR="00310187" w:rsidRPr="00D96547">
        <w:rPr>
          <w:sz w:val="20"/>
          <w:szCs w:val="20"/>
        </w:rPr>
        <w:t>de</w:t>
      </w:r>
      <w:r w:rsidRPr="00D96547">
        <w:rPr>
          <w:sz w:val="20"/>
          <w:szCs w:val="20"/>
        </w:rPr>
        <w:t xml:space="preserve"> </w:t>
      </w:r>
      <w:proofErr w:type="spellStart"/>
      <w:r w:rsidR="00310187" w:rsidRPr="00D96547">
        <w:rPr>
          <w:sz w:val="20"/>
          <w:szCs w:val="20"/>
        </w:rPr>
        <w:t>Cesia</w:t>
      </w:r>
      <w:proofErr w:type="spellEnd"/>
      <w:r w:rsidR="00310187" w:rsidRPr="00D96547">
        <w:rPr>
          <w:sz w:val="20"/>
          <w:szCs w:val="20"/>
        </w:rPr>
        <w:t xml:space="preserve"> Leila Poblete Tapia, Alejandra Marcela Fuentes Poblete y Sandra </w:t>
      </w:r>
      <w:proofErr w:type="spellStart"/>
      <w:r w:rsidR="00310187" w:rsidRPr="00D96547">
        <w:rPr>
          <w:sz w:val="20"/>
          <w:szCs w:val="20"/>
        </w:rPr>
        <w:t>Momtufar</w:t>
      </w:r>
      <w:proofErr w:type="spellEnd"/>
      <w:r w:rsidR="00310187" w:rsidRPr="00D96547">
        <w:rPr>
          <w:sz w:val="20"/>
          <w:szCs w:val="20"/>
        </w:rPr>
        <w:t xml:space="preserve"> Castillo, propuestas por las defensoras interamericanas y Patricia Isabel Navarrete y Osvaldo Salgado Zepeda, propuestos por el Estado</w:t>
      </w:r>
      <w:r w:rsidRPr="00D96547">
        <w:rPr>
          <w:sz w:val="20"/>
          <w:szCs w:val="20"/>
        </w:rPr>
        <w:t>. De igual for</w:t>
      </w:r>
      <w:r w:rsidR="00310187" w:rsidRPr="00D96547">
        <w:rPr>
          <w:sz w:val="20"/>
          <w:szCs w:val="20"/>
        </w:rPr>
        <w:t>ma, recibió los dictámenes de los perito</w:t>
      </w:r>
      <w:r w:rsidRPr="00D96547">
        <w:rPr>
          <w:sz w:val="20"/>
          <w:szCs w:val="20"/>
        </w:rPr>
        <w:t xml:space="preserve">s </w:t>
      </w:r>
      <w:r w:rsidR="00310187" w:rsidRPr="00D96547">
        <w:rPr>
          <w:sz w:val="20"/>
          <w:szCs w:val="20"/>
        </w:rPr>
        <w:t xml:space="preserve">Fernando </w:t>
      </w:r>
      <w:proofErr w:type="spellStart"/>
      <w:r w:rsidR="00310187" w:rsidRPr="00D96547">
        <w:rPr>
          <w:sz w:val="20"/>
          <w:szCs w:val="20"/>
        </w:rPr>
        <w:t>Mussa</w:t>
      </w:r>
      <w:proofErr w:type="spellEnd"/>
      <w:r w:rsidR="00310187" w:rsidRPr="00D96547">
        <w:rPr>
          <w:sz w:val="20"/>
          <w:szCs w:val="20"/>
        </w:rPr>
        <w:t xml:space="preserve"> </w:t>
      </w:r>
      <w:proofErr w:type="spellStart"/>
      <w:r w:rsidR="00310187" w:rsidRPr="00D96547">
        <w:rPr>
          <w:sz w:val="20"/>
          <w:szCs w:val="20"/>
        </w:rPr>
        <w:t>Abujamra</w:t>
      </w:r>
      <w:proofErr w:type="spellEnd"/>
      <w:r w:rsidR="00310187" w:rsidRPr="00D96547">
        <w:rPr>
          <w:sz w:val="20"/>
          <w:szCs w:val="20"/>
        </w:rPr>
        <w:t xml:space="preserve"> </w:t>
      </w:r>
      <w:proofErr w:type="spellStart"/>
      <w:r w:rsidR="00310187" w:rsidRPr="00D96547">
        <w:rPr>
          <w:sz w:val="20"/>
          <w:szCs w:val="20"/>
        </w:rPr>
        <w:t>Aith</w:t>
      </w:r>
      <w:proofErr w:type="spellEnd"/>
      <w:r w:rsidR="00310187" w:rsidRPr="00D96547">
        <w:rPr>
          <w:sz w:val="20"/>
          <w:szCs w:val="20"/>
        </w:rPr>
        <w:t xml:space="preserve"> y Hernán Víctor </w:t>
      </w:r>
      <w:proofErr w:type="spellStart"/>
      <w:r w:rsidR="00310187" w:rsidRPr="00D96547">
        <w:rPr>
          <w:sz w:val="20"/>
          <w:szCs w:val="20"/>
        </w:rPr>
        <w:t>Gullco</w:t>
      </w:r>
      <w:proofErr w:type="spellEnd"/>
      <w:r w:rsidR="00310187" w:rsidRPr="00D96547">
        <w:rPr>
          <w:sz w:val="20"/>
          <w:szCs w:val="20"/>
        </w:rPr>
        <w:t>, propuestos por las defensoras interamericanas y Claudio Fuentes, propuesto por el Estado</w:t>
      </w:r>
      <w:r w:rsidRPr="00D96547">
        <w:rPr>
          <w:sz w:val="20"/>
          <w:szCs w:val="20"/>
        </w:rPr>
        <w:t xml:space="preserve">. En cuanto a la prueba rendida en audiencia pública, la Corte recibió las declaraciones de la presunta víctima </w:t>
      </w:r>
      <w:r w:rsidR="00342270" w:rsidRPr="00D96547">
        <w:rPr>
          <w:rFonts w:cs="Arial"/>
          <w:iCs/>
          <w:sz w:val="20"/>
          <w:szCs w:val="20"/>
        </w:rPr>
        <w:t>Vinicio Marco Antonio Poblete Tapia</w:t>
      </w:r>
      <w:r w:rsidRPr="00D96547">
        <w:rPr>
          <w:rFonts w:cs="Arial"/>
          <w:iCs/>
          <w:sz w:val="20"/>
          <w:szCs w:val="20"/>
        </w:rPr>
        <w:t xml:space="preserve"> y del testigo </w:t>
      </w:r>
      <w:r w:rsidR="00342270" w:rsidRPr="00D96547">
        <w:rPr>
          <w:rFonts w:cs="Arial"/>
          <w:iCs/>
          <w:sz w:val="20"/>
          <w:szCs w:val="20"/>
        </w:rPr>
        <w:t xml:space="preserve">Rodrigo Avendaño </w:t>
      </w:r>
      <w:proofErr w:type="spellStart"/>
      <w:r w:rsidR="00342270" w:rsidRPr="00D96547">
        <w:rPr>
          <w:rFonts w:cs="Arial"/>
          <w:iCs/>
          <w:sz w:val="20"/>
          <w:szCs w:val="20"/>
        </w:rPr>
        <w:t>Brandeis</w:t>
      </w:r>
      <w:proofErr w:type="spellEnd"/>
      <w:r w:rsidRPr="00D96547">
        <w:rPr>
          <w:rFonts w:cs="Arial"/>
          <w:iCs/>
          <w:sz w:val="20"/>
          <w:szCs w:val="20"/>
        </w:rPr>
        <w:t xml:space="preserve">, </w:t>
      </w:r>
      <w:r w:rsidR="00342270" w:rsidRPr="00D96547">
        <w:rPr>
          <w:rFonts w:cs="Arial"/>
          <w:iCs/>
          <w:sz w:val="20"/>
          <w:szCs w:val="20"/>
        </w:rPr>
        <w:t xml:space="preserve">propuesto por el Estado; </w:t>
      </w:r>
      <w:r w:rsidRPr="00D96547">
        <w:rPr>
          <w:rFonts w:cs="Arial"/>
          <w:iCs/>
          <w:sz w:val="20"/>
          <w:szCs w:val="20"/>
        </w:rPr>
        <w:t xml:space="preserve">así como de los peritos </w:t>
      </w:r>
      <w:r w:rsidR="00342270" w:rsidRPr="00D96547">
        <w:rPr>
          <w:rFonts w:cs="Arial"/>
          <w:iCs/>
          <w:sz w:val="20"/>
          <w:szCs w:val="20"/>
        </w:rPr>
        <w:t xml:space="preserve">Alicia Ely </w:t>
      </w:r>
      <w:proofErr w:type="spellStart"/>
      <w:r w:rsidR="00342270" w:rsidRPr="00D96547">
        <w:rPr>
          <w:rFonts w:cs="Arial"/>
          <w:iCs/>
          <w:sz w:val="20"/>
          <w:szCs w:val="20"/>
        </w:rPr>
        <w:t>Yemin</w:t>
      </w:r>
      <w:proofErr w:type="spellEnd"/>
      <w:r w:rsidR="00342270" w:rsidRPr="00D96547">
        <w:rPr>
          <w:rFonts w:cs="Arial"/>
          <w:iCs/>
          <w:sz w:val="20"/>
          <w:szCs w:val="20"/>
        </w:rPr>
        <w:t>, propuesta por la Comisión</w:t>
      </w:r>
      <w:r w:rsidRPr="00D96547">
        <w:rPr>
          <w:rFonts w:cs="Arial"/>
          <w:iCs/>
          <w:sz w:val="20"/>
          <w:szCs w:val="20"/>
        </w:rPr>
        <w:t xml:space="preserve"> y </w:t>
      </w:r>
      <w:r w:rsidR="00342270" w:rsidRPr="00D96547">
        <w:rPr>
          <w:rFonts w:cs="Arial"/>
          <w:iCs/>
          <w:sz w:val="20"/>
          <w:szCs w:val="20"/>
        </w:rPr>
        <w:t>Javier Alejandro Santos, propuesto por las defensoras interamericanas</w:t>
      </w:r>
      <w:r w:rsidRPr="00D96547">
        <w:rPr>
          <w:sz w:val="20"/>
          <w:szCs w:val="20"/>
        </w:rPr>
        <w:t>.</w:t>
      </w:r>
      <w:r w:rsidR="00342270" w:rsidRPr="00D96547">
        <w:rPr>
          <w:sz w:val="20"/>
          <w:szCs w:val="20"/>
        </w:rPr>
        <w:t xml:space="preserve"> </w:t>
      </w:r>
      <w:r w:rsidR="009A7BFF" w:rsidRPr="00D96547">
        <w:rPr>
          <w:sz w:val="20"/>
          <w:szCs w:val="20"/>
        </w:rPr>
        <w:t xml:space="preserve">Por otra parte, </w:t>
      </w:r>
      <w:r w:rsidR="002A5452" w:rsidRPr="006B458C">
        <w:rPr>
          <w:sz w:val="20"/>
          <w:szCs w:val="20"/>
        </w:rPr>
        <w:t>de conformidad con el artículo 59. b) del Reglamento</w:t>
      </w:r>
      <w:r w:rsidR="002A5452">
        <w:rPr>
          <w:sz w:val="20"/>
          <w:szCs w:val="20"/>
        </w:rPr>
        <w:t>,</w:t>
      </w:r>
      <w:r w:rsidR="002A5452" w:rsidRPr="006B458C">
        <w:rPr>
          <w:sz w:val="20"/>
          <w:szCs w:val="20"/>
        </w:rPr>
        <w:t xml:space="preserve"> </w:t>
      </w:r>
      <w:r w:rsidR="009A7BFF" w:rsidRPr="00D96547">
        <w:rPr>
          <w:sz w:val="20"/>
          <w:szCs w:val="20"/>
        </w:rPr>
        <w:t xml:space="preserve">la Corte </w:t>
      </w:r>
      <w:r w:rsidR="00D96547" w:rsidRPr="00D96547">
        <w:rPr>
          <w:sz w:val="20"/>
          <w:szCs w:val="20"/>
        </w:rPr>
        <w:t>solicitó</w:t>
      </w:r>
      <w:r w:rsidR="009A7BFF" w:rsidRPr="00D96547">
        <w:rPr>
          <w:sz w:val="20"/>
          <w:szCs w:val="20"/>
        </w:rPr>
        <w:t xml:space="preserve"> como prueba para mejor resolver “</w:t>
      </w:r>
      <w:r w:rsidR="009A7BFF" w:rsidRPr="0059117C">
        <w:rPr>
          <w:sz w:val="20"/>
          <w:szCs w:val="20"/>
        </w:rPr>
        <w:t>el Oficio No. 02609 de la Dirección del Servicio Metropolitano Sur Oriente dirigido al Ministerio de Salud de Chile</w:t>
      </w:r>
      <w:r w:rsidR="009A7BFF" w:rsidRPr="00D96547">
        <w:rPr>
          <w:sz w:val="20"/>
          <w:szCs w:val="20"/>
        </w:rPr>
        <w:t xml:space="preserve">” </w:t>
      </w:r>
      <w:r w:rsidR="00D92C77" w:rsidRPr="00D96547">
        <w:rPr>
          <w:sz w:val="20"/>
          <w:szCs w:val="20"/>
        </w:rPr>
        <w:t>y la “Resolución de la Suprema Corte de Justicia de 14 de agosto de 2014”</w:t>
      </w:r>
      <w:r w:rsidR="007D1C3E">
        <w:rPr>
          <w:sz w:val="20"/>
          <w:szCs w:val="20"/>
        </w:rPr>
        <w:t xml:space="preserve">. El Estado </w:t>
      </w:r>
      <w:r w:rsidR="007D1C3E">
        <w:rPr>
          <w:sz w:val="20"/>
          <w:szCs w:val="20"/>
        </w:rPr>
        <w:lastRenderedPageBreak/>
        <w:t>presentó dicha documentación mediante comunicación de</w:t>
      </w:r>
      <w:r w:rsidR="002A75B3">
        <w:rPr>
          <w:sz w:val="20"/>
          <w:szCs w:val="20"/>
        </w:rPr>
        <w:t xml:space="preserve"> 22 de diciembre de 2017 y de </w:t>
      </w:r>
      <w:r w:rsidR="002A75B3" w:rsidRPr="00C133E5">
        <w:rPr>
          <w:sz w:val="20"/>
          <w:szCs w:val="20"/>
        </w:rPr>
        <w:t>13</w:t>
      </w:r>
      <w:r w:rsidR="007D1C3E" w:rsidRPr="00C133E5">
        <w:rPr>
          <w:sz w:val="20"/>
          <w:szCs w:val="20"/>
        </w:rPr>
        <w:t xml:space="preserve"> de febrero de 2018</w:t>
      </w:r>
      <w:r w:rsidR="002A5452" w:rsidRPr="00C133E5">
        <w:rPr>
          <w:rStyle w:val="FootnoteReference"/>
          <w:sz w:val="20"/>
          <w:szCs w:val="20"/>
        </w:rPr>
        <w:footnoteReference w:id="22"/>
      </w:r>
      <w:r w:rsidR="002A5452" w:rsidRPr="00C133E5">
        <w:rPr>
          <w:sz w:val="20"/>
          <w:szCs w:val="20"/>
        </w:rPr>
        <w:t xml:space="preserve">, la cual fue transmitida a las </w:t>
      </w:r>
      <w:r w:rsidR="00226E9B" w:rsidRPr="00C133E5">
        <w:rPr>
          <w:sz w:val="20"/>
          <w:szCs w:val="20"/>
        </w:rPr>
        <w:t>representantes</w:t>
      </w:r>
      <w:r w:rsidR="002A5452" w:rsidRPr="00C133E5">
        <w:rPr>
          <w:sz w:val="20"/>
          <w:szCs w:val="20"/>
        </w:rPr>
        <w:t xml:space="preserve"> y</w:t>
      </w:r>
      <w:r w:rsidR="00226E9B" w:rsidRPr="00C133E5">
        <w:rPr>
          <w:sz w:val="20"/>
          <w:szCs w:val="20"/>
        </w:rPr>
        <w:t xml:space="preserve"> a</w:t>
      </w:r>
      <w:r w:rsidR="002A5452" w:rsidRPr="00C133E5">
        <w:rPr>
          <w:sz w:val="20"/>
          <w:szCs w:val="20"/>
        </w:rPr>
        <w:t xml:space="preserve"> la Comisión.</w:t>
      </w:r>
    </w:p>
    <w:p w14:paraId="0234BB31" w14:textId="77777777" w:rsidR="007A1A14" w:rsidRPr="00D96547" w:rsidRDefault="007A1A14" w:rsidP="00F3026E">
      <w:pPr>
        <w:autoSpaceDE w:val="0"/>
        <w:autoSpaceDN w:val="0"/>
        <w:rPr>
          <w:sz w:val="20"/>
          <w:szCs w:val="20"/>
        </w:rPr>
      </w:pPr>
    </w:p>
    <w:p w14:paraId="195A88C3" w14:textId="7A96DE07" w:rsidR="007A1A14" w:rsidRDefault="007A1A14" w:rsidP="002C6D1C">
      <w:pPr>
        <w:pStyle w:val="Heading2"/>
      </w:pPr>
      <w:bookmarkStart w:id="43" w:name="_Toc375517116"/>
      <w:bookmarkStart w:id="44" w:name="_Toc459158104"/>
      <w:bookmarkStart w:id="45" w:name="_Toc470180048"/>
      <w:bookmarkStart w:id="46" w:name="_Toc513644452"/>
      <w:r w:rsidRPr="0071582F">
        <w:t>Admisión de la prueba</w:t>
      </w:r>
      <w:bookmarkEnd w:id="43"/>
      <w:bookmarkEnd w:id="44"/>
      <w:bookmarkEnd w:id="45"/>
      <w:bookmarkEnd w:id="46"/>
    </w:p>
    <w:p w14:paraId="192DF556" w14:textId="77777777" w:rsidR="002C6D1C" w:rsidRPr="002C6D1C" w:rsidRDefault="002C6D1C" w:rsidP="002C6D1C"/>
    <w:p w14:paraId="413D6DB7" w14:textId="77777777" w:rsidR="007A1A14" w:rsidRPr="002C11BA" w:rsidRDefault="003700C4" w:rsidP="00B73DC6">
      <w:pPr>
        <w:numPr>
          <w:ilvl w:val="0"/>
          <w:numId w:val="2"/>
        </w:numPr>
        <w:tabs>
          <w:tab w:val="left" w:pos="567"/>
          <w:tab w:val="num" w:pos="12305"/>
        </w:tabs>
        <w:ind w:left="0" w:firstLine="0"/>
        <w:rPr>
          <w:sz w:val="20"/>
          <w:szCs w:val="20"/>
        </w:rPr>
      </w:pPr>
      <w:r>
        <w:rPr>
          <w:sz w:val="20"/>
          <w:szCs w:val="20"/>
        </w:rPr>
        <w:t>El</w:t>
      </w:r>
      <w:r w:rsidR="007A1A14" w:rsidRPr="0071582F">
        <w:rPr>
          <w:sz w:val="20"/>
          <w:szCs w:val="20"/>
        </w:rPr>
        <w:t xml:space="preserve"> Tribunal admite el valor probatorio de aquellos documentos presentados en la debida oportunidad procesal por las partes y la Comisión que no fueron controvertidos ni objetados, y cuya autenticidad no fue puesta en duda</w:t>
      </w:r>
      <w:r w:rsidR="007A1A14" w:rsidRPr="0071582F">
        <w:rPr>
          <w:sz w:val="20"/>
          <w:szCs w:val="20"/>
          <w:vertAlign w:val="superscript"/>
        </w:rPr>
        <w:footnoteReference w:id="23"/>
      </w:r>
      <w:r w:rsidR="007A1A14" w:rsidRPr="0071582F">
        <w:rPr>
          <w:sz w:val="20"/>
          <w:szCs w:val="20"/>
        </w:rPr>
        <w:t>.</w:t>
      </w:r>
      <w:r w:rsidR="00C56E9D">
        <w:rPr>
          <w:sz w:val="20"/>
          <w:szCs w:val="20"/>
        </w:rPr>
        <w:t xml:space="preserve"> </w:t>
      </w:r>
      <w:r w:rsidR="00C56E9D" w:rsidRPr="0071582F">
        <w:rPr>
          <w:sz w:val="20"/>
          <w:szCs w:val="20"/>
        </w:rPr>
        <w:t>La Corte estima pertinente admitir las declaraciones y dictámenes rendidos en audiencia pública y mediante declaraciones ante fedatario público, en cuanto se ajusten al objeto definido por el Presidente en la Resolución que ordenó recibirlos</w:t>
      </w:r>
      <w:r w:rsidR="00C56E9D" w:rsidRPr="0071582F">
        <w:rPr>
          <w:sz w:val="20"/>
          <w:szCs w:val="20"/>
          <w:vertAlign w:val="superscript"/>
        </w:rPr>
        <w:footnoteReference w:id="24"/>
      </w:r>
      <w:r w:rsidR="00C56E9D" w:rsidRPr="0071582F">
        <w:rPr>
          <w:sz w:val="20"/>
          <w:szCs w:val="20"/>
        </w:rPr>
        <w:t xml:space="preserve"> y al objeto del presente caso.</w:t>
      </w:r>
    </w:p>
    <w:p w14:paraId="6CA6ED41" w14:textId="77777777" w:rsidR="007A1A14" w:rsidRPr="0071582F" w:rsidRDefault="007A1A14" w:rsidP="00F3026E">
      <w:pPr>
        <w:autoSpaceDE w:val="0"/>
        <w:autoSpaceDN w:val="0"/>
        <w:rPr>
          <w:sz w:val="20"/>
          <w:szCs w:val="20"/>
        </w:rPr>
      </w:pPr>
    </w:p>
    <w:p w14:paraId="5AE8C668" w14:textId="77777777" w:rsidR="007A1A14" w:rsidRDefault="007A1A14" w:rsidP="00F3026E">
      <w:pPr>
        <w:numPr>
          <w:ilvl w:val="0"/>
          <w:numId w:val="2"/>
        </w:numPr>
        <w:tabs>
          <w:tab w:val="left" w:pos="567"/>
          <w:tab w:val="num" w:pos="12305"/>
        </w:tabs>
        <w:ind w:left="0" w:firstLine="0"/>
        <w:rPr>
          <w:sz w:val="20"/>
          <w:szCs w:val="20"/>
          <w:lang w:eastAsia="es-ES"/>
        </w:rPr>
      </w:pPr>
      <w:r w:rsidRPr="0071582F">
        <w:rPr>
          <w:sz w:val="20"/>
          <w:szCs w:val="20"/>
        </w:rPr>
        <w:t>Ahora</w:t>
      </w:r>
      <w:r w:rsidRPr="0071582F">
        <w:rPr>
          <w:sz w:val="20"/>
          <w:szCs w:val="20"/>
          <w:lang w:eastAsia="es-ES"/>
        </w:rPr>
        <w:t xml:space="preserve"> bien, en lo que se refiere a la oportunidad procesal para la presentación de prueba documental, de conformidad con el artículo 57.2 del Reglamento, ésta debe ser presentada, en general, junto con los escritos de sometimiento del caso, de solicitudes y argumentos o de contestación, según corresponda. La Corte recuerda que no es admisible la prueba remitida fuera de las debidas oportunidades procesales, salvo en las excepciones establecidas en el referido artículo 57.2 del Reglamento, a saber, fuerza mayor, impedimento grave o si se tratare de un hecho ocurrido con posterioridad a los citados momentos procesales</w:t>
      </w:r>
      <w:r w:rsidRPr="0071582F">
        <w:rPr>
          <w:sz w:val="20"/>
          <w:szCs w:val="20"/>
          <w:vertAlign w:val="superscript"/>
          <w:lang w:eastAsia="es-ES"/>
        </w:rPr>
        <w:footnoteReference w:id="25"/>
      </w:r>
      <w:r w:rsidRPr="0071582F">
        <w:rPr>
          <w:sz w:val="20"/>
          <w:szCs w:val="20"/>
          <w:lang w:eastAsia="es-ES"/>
        </w:rPr>
        <w:t>.</w:t>
      </w:r>
    </w:p>
    <w:p w14:paraId="2F105DEC" w14:textId="77777777" w:rsidR="00B05B1D" w:rsidRDefault="00B05B1D" w:rsidP="00F3026E">
      <w:pPr>
        <w:tabs>
          <w:tab w:val="left" w:pos="567"/>
        </w:tabs>
        <w:rPr>
          <w:sz w:val="20"/>
          <w:szCs w:val="20"/>
          <w:lang w:eastAsia="es-ES"/>
        </w:rPr>
      </w:pPr>
    </w:p>
    <w:p w14:paraId="21EFEDEB" w14:textId="37F60058" w:rsidR="00B05B1D" w:rsidRPr="00B05B1D" w:rsidRDefault="00F4682C" w:rsidP="00F3026E">
      <w:pPr>
        <w:numPr>
          <w:ilvl w:val="0"/>
          <w:numId w:val="2"/>
        </w:numPr>
        <w:tabs>
          <w:tab w:val="left" w:pos="567"/>
          <w:tab w:val="num" w:pos="12305"/>
        </w:tabs>
        <w:ind w:left="0" w:firstLine="0"/>
        <w:rPr>
          <w:sz w:val="20"/>
          <w:szCs w:val="20"/>
          <w:lang w:eastAsia="es-ES"/>
        </w:rPr>
      </w:pPr>
      <w:r>
        <w:rPr>
          <w:sz w:val="20"/>
          <w:szCs w:val="20"/>
          <w:lang w:eastAsia="es-ES"/>
        </w:rPr>
        <w:t>Mediante</w:t>
      </w:r>
      <w:r w:rsidRPr="00B05B1D">
        <w:rPr>
          <w:sz w:val="20"/>
          <w:szCs w:val="20"/>
          <w:lang w:eastAsia="es-ES"/>
        </w:rPr>
        <w:t xml:space="preserve"> </w:t>
      </w:r>
      <w:r w:rsidR="00A30348">
        <w:rPr>
          <w:sz w:val="20"/>
          <w:szCs w:val="20"/>
          <w:lang w:eastAsia="es-ES"/>
        </w:rPr>
        <w:t>comunicación de 24 de octubre de 2017</w:t>
      </w:r>
      <w:r w:rsidR="00B05B1D" w:rsidRPr="00B05B1D">
        <w:rPr>
          <w:sz w:val="20"/>
          <w:szCs w:val="20"/>
          <w:lang w:eastAsia="es-ES"/>
        </w:rPr>
        <w:t xml:space="preserve">, </w:t>
      </w:r>
      <w:r w:rsidR="00A30348">
        <w:rPr>
          <w:sz w:val="20"/>
          <w:szCs w:val="20"/>
          <w:lang w:eastAsia="es-ES"/>
        </w:rPr>
        <w:t xml:space="preserve">la perita Alicia Ely </w:t>
      </w:r>
      <w:proofErr w:type="spellStart"/>
      <w:r w:rsidR="00A30348">
        <w:rPr>
          <w:sz w:val="20"/>
          <w:szCs w:val="20"/>
          <w:lang w:eastAsia="es-ES"/>
        </w:rPr>
        <w:t>Yemin</w:t>
      </w:r>
      <w:proofErr w:type="spellEnd"/>
      <w:r w:rsidR="00B05B1D" w:rsidRPr="00B05B1D">
        <w:rPr>
          <w:sz w:val="20"/>
          <w:szCs w:val="20"/>
          <w:lang w:eastAsia="es-ES"/>
        </w:rPr>
        <w:t xml:space="preserve"> presentó </w:t>
      </w:r>
      <w:r w:rsidR="00CA683F">
        <w:rPr>
          <w:sz w:val="20"/>
          <w:szCs w:val="20"/>
          <w:lang w:eastAsia="es-ES"/>
        </w:rPr>
        <w:t xml:space="preserve">un documento correspondiente a </w:t>
      </w:r>
      <w:r w:rsidR="00A30348">
        <w:rPr>
          <w:sz w:val="20"/>
          <w:szCs w:val="20"/>
          <w:lang w:eastAsia="es-ES"/>
        </w:rPr>
        <w:t>información complementaria a su declaración pericial</w:t>
      </w:r>
      <w:r w:rsidR="00B05B1D" w:rsidRPr="00B05B1D">
        <w:rPr>
          <w:sz w:val="20"/>
          <w:szCs w:val="20"/>
          <w:lang w:eastAsia="es-ES"/>
        </w:rPr>
        <w:t xml:space="preserve">. </w:t>
      </w:r>
      <w:r w:rsidR="004D67BE">
        <w:rPr>
          <w:sz w:val="20"/>
          <w:szCs w:val="20"/>
          <w:lang w:eastAsia="es-ES"/>
        </w:rPr>
        <w:t>Dicho documento</w:t>
      </w:r>
      <w:r w:rsidR="00B05B1D" w:rsidRPr="00B05B1D">
        <w:rPr>
          <w:sz w:val="20"/>
          <w:szCs w:val="20"/>
          <w:lang w:eastAsia="es-ES"/>
        </w:rPr>
        <w:t xml:space="preserve"> quedó incorporado al trámite y resulta pertinente para la resolución del presente caso</w:t>
      </w:r>
      <w:r w:rsidR="001C2FCF">
        <w:rPr>
          <w:rStyle w:val="FootnoteReference"/>
          <w:sz w:val="20"/>
          <w:szCs w:val="20"/>
          <w:lang w:eastAsia="es-ES"/>
        </w:rPr>
        <w:footnoteReference w:id="26"/>
      </w:r>
      <w:r w:rsidR="004D67BE">
        <w:rPr>
          <w:sz w:val="20"/>
          <w:szCs w:val="20"/>
          <w:lang w:eastAsia="es-ES"/>
        </w:rPr>
        <w:t>, mismo que no fue objetado por el Estado</w:t>
      </w:r>
      <w:r w:rsidR="00B05B1D" w:rsidRPr="00B05B1D">
        <w:rPr>
          <w:sz w:val="20"/>
          <w:szCs w:val="20"/>
          <w:lang w:eastAsia="es-ES"/>
        </w:rPr>
        <w:t xml:space="preserve">. </w:t>
      </w:r>
    </w:p>
    <w:p w14:paraId="283F13FC" w14:textId="77777777" w:rsidR="00A05606" w:rsidRPr="00A05606" w:rsidRDefault="00A05606" w:rsidP="00F3026E">
      <w:pPr>
        <w:tabs>
          <w:tab w:val="left" w:pos="567"/>
        </w:tabs>
        <w:ind w:right="-90"/>
        <w:rPr>
          <w:sz w:val="20"/>
          <w:szCs w:val="20"/>
        </w:rPr>
      </w:pPr>
    </w:p>
    <w:p w14:paraId="16EE70D5" w14:textId="3486ACE1" w:rsidR="007A1A14" w:rsidRPr="0071582F" w:rsidRDefault="00D941A0" w:rsidP="00C27894">
      <w:pPr>
        <w:numPr>
          <w:ilvl w:val="0"/>
          <w:numId w:val="2"/>
        </w:numPr>
        <w:tabs>
          <w:tab w:val="left" w:pos="567"/>
          <w:tab w:val="num" w:pos="12305"/>
        </w:tabs>
        <w:ind w:left="0" w:firstLine="0"/>
      </w:pPr>
      <w:r>
        <w:rPr>
          <w:rFonts w:cs="Verdana"/>
          <w:sz w:val="20"/>
          <w:szCs w:val="20"/>
        </w:rPr>
        <w:t>El 20 de noviembre de 2017 las representantes remitieron, junto a sus alegatos finales escritos, un</w:t>
      </w:r>
      <w:r>
        <w:rPr>
          <w:sz w:val="20"/>
          <w:szCs w:val="20"/>
        </w:rPr>
        <w:t xml:space="preserve"> anexo referente a una factura por concepto de honorarios del perito Fernando </w:t>
      </w:r>
      <w:proofErr w:type="spellStart"/>
      <w:r>
        <w:rPr>
          <w:sz w:val="20"/>
          <w:szCs w:val="20"/>
        </w:rPr>
        <w:t>Mussa</w:t>
      </w:r>
      <w:proofErr w:type="spellEnd"/>
      <w:r>
        <w:rPr>
          <w:sz w:val="20"/>
          <w:szCs w:val="20"/>
        </w:rPr>
        <w:t xml:space="preserve"> </w:t>
      </w:r>
      <w:proofErr w:type="spellStart"/>
      <w:r>
        <w:rPr>
          <w:sz w:val="20"/>
          <w:szCs w:val="20"/>
        </w:rPr>
        <w:t>Abujamra</w:t>
      </w:r>
      <w:proofErr w:type="spellEnd"/>
      <w:r>
        <w:rPr>
          <w:sz w:val="20"/>
          <w:szCs w:val="20"/>
        </w:rPr>
        <w:t xml:space="preserve"> </w:t>
      </w:r>
      <w:proofErr w:type="spellStart"/>
      <w:r>
        <w:rPr>
          <w:sz w:val="20"/>
          <w:szCs w:val="20"/>
        </w:rPr>
        <w:t>Aith</w:t>
      </w:r>
      <w:proofErr w:type="spellEnd"/>
      <w:r w:rsidR="007A1A14" w:rsidRPr="0071582F">
        <w:rPr>
          <w:sz w:val="20"/>
          <w:szCs w:val="20"/>
        </w:rPr>
        <w:t xml:space="preserve">. </w:t>
      </w:r>
      <w:r>
        <w:rPr>
          <w:sz w:val="20"/>
          <w:szCs w:val="20"/>
        </w:rPr>
        <w:t>Al respecto, mediante comunicación de 4 de diciembre de 2017, el Estado presentó sus observaciones al anexo correspondiente y señaló que dicho anexo se remitió de forma extemporánea</w:t>
      </w:r>
      <w:r w:rsidR="00D50AE7">
        <w:rPr>
          <w:sz w:val="20"/>
          <w:szCs w:val="20"/>
        </w:rPr>
        <w:t>,</w:t>
      </w:r>
      <w:r>
        <w:rPr>
          <w:sz w:val="20"/>
          <w:szCs w:val="20"/>
        </w:rPr>
        <w:t xml:space="preserve"> al no haber sido presentado junto con los restantes gastos que pudo haber incurrido la contraparte y además dicho documento no podría ser reconocido ya que carece de los elementos esenciales para ser incorporado como factura válida para el fondo de asistencia a víctimas</w:t>
      </w:r>
      <w:r w:rsidR="00D50AE7">
        <w:rPr>
          <w:sz w:val="20"/>
          <w:szCs w:val="20"/>
        </w:rPr>
        <w:t xml:space="preserve">. </w:t>
      </w:r>
      <w:r w:rsidR="008B3AF7">
        <w:rPr>
          <w:sz w:val="20"/>
          <w:szCs w:val="20"/>
        </w:rPr>
        <w:t>Al respecto, la Corte observa que</w:t>
      </w:r>
      <w:r w:rsidR="00F4682C">
        <w:rPr>
          <w:sz w:val="20"/>
          <w:szCs w:val="20"/>
        </w:rPr>
        <w:t>, pese a las prórrogas concedidas,</w:t>
      </w:r>
      <w:r w:rsidR="008B3AF7">
        <w:rPr>
          <w:sz w:val="20"/>
          <w:szCs w:val="20"/>
        </w:rPr>
        <w:t xml:space="preserve"> las representantes no presentaron la factura original solicitada por la Corte el 12 de diciembre de 2017</w:t>
      </w:r>
      <w:r w:rsidR="004408F1">
        <w:rPr>
          <w:sz w:val="20"/>
          <w:szCs w:val="20"/>
        </w:rPr>
        <w:t xml:space="preserve"> con el fin de subsanar los defectos de dicha documentación</w:t>
      </w:r>
      <w:r w:rsidR="00F4682C">
        <w:rPr>
          <w:sz w:val="20"/>
          <w:szCs w:val="20"/>
        </w:rPr>
        <w:t>,</w:t>
      </w:r>
      <w:r w:rsidR="008B3AF7">
        <w:rPr>
          <w:sz w:val="20"/>
          <w:szCs w:val="20"/>
        </w:rPr>
        <w:t xml:space="preserve"> por lo que </w:t>
      </w:r>
      <w:r w:rsidR="00920CDE">
        <w:rPr>
          <w:sz w:val="20"/>
          <w:szCs w:val="20"/>
        </w:rPr>
        <w:t xml:space="preserve">dicha documentación </w:t>
      </w:r>
      <w:r w:rsidR="008F36CB" w:rsidRPr="00B1523A">
        <w:rPr>
          <w:sz w:val="20"/>
          <w:szCs w:val="20"/>
        </w:rPr>
        <w:t>relativa al recibo de cobro</w:t>
      </w:r>
      <w:r w:rsidR="008F36CB" w:rsidRPr="00AB1E03">
        <w:rPr>
          <w:b/>
          <w:sz w:val="20"/>
          <w:szCs w:val="20"/>
        </w:rPr>
        <w:t xml:space="preserve"> </w:t>
      </w:r>
      <w:r w:rsidR="00920CDE">
        <w:rPr>
          <w:sz w:val="20"/>
          <w:szCs w:val="20"/>
        </w:rPr>
        <w:t>es inadmisible</w:t>
      </w:r>
      <w:r w:rsidR="008B3AF7">
        <w:rPr>
          <w:sz w:val="20"/>
          <w:szCs w:val="20"/>
        </w:rPr>
        <w:t xml:space="preserve">.   </w:t>
      </w:r>
    </w:p>
    <w:p w14:paraId="546B5D64" w14:textId="77777777" w:rsidR="007A1A14" w:rsidRPr="0071582F" w:rsidRDefault="007A1A14" w:rsidP="00F3026E">
      <w:pPr>
        <w:pStyle w:val="ListParagraph"/>
        <w:ind w:left="0"/>
        <w:rPr>
          <w:rFonts w:cs="Verdana"/>
          <w:sz w:val="20"/>
          <w:szCs w:val="20"/>
          <w:lang w:eastAsia="es-MX"/>
        </w:rPr>
      </w:pPr>
    </w:p>
    <w:p w14:paraId="35EAA024" w14:textId="77777777" w:rsidR="007A1A14" w:rsidRPr="000D4A1F" w:rsidRDefault="000D4A1F" w:rsidP="002726E0">
      <w:pPr>
        <w:pStyle w:val="Heading2"/>
      </w:pPr>
      <w:bookmarkStart w:id="47" w:name="_Toc405857807"/>
      <w:bookmarkStart w:id="48" w:name="_Toc423107375"/>
      <w:bookmarkStart w:id="49" w:name="_Toc438113881"/>
      <w:bookmarkStart w:id="50" w:name="_Toc459158107"/>
      <w:bookmarkStart w:id="51" w:name="_Toc470180051"/>
      <w:r>
        <w:t xml:space="preserve"> </w:t>
      </w:r>
      <w:bookmarkStart w:id="52" w:name="_Toc513644453"/>
      <w:r w:rsidR="007A1A14" w:rsidRPr="000D4A1F">
        <w:t>Valoración de la prueba</w:t>
      </w:r>
      <w:bookmarkEnd w:id="47"/>
      <w:bookmarkEnd w:id="48"/>
      <w:bookmarkEnd w:id="49"/>
      <w:bookmarkEnd w:id="50"/>
      <w:bookmarkEnd w:id="51"/>
      <w:bookmarkEnd w:id="52"/>
    </w:p>
    <w:p w14:paraId="050E649E" w14:textId="77777777" w:rsidR="007A1A14" w:rsidRPr="0071582F" w:rsidRDefault="007A1A14" w:rsidP="00F3026E">
      <w:pPr>
        <w:rPr>
          <w:sz w:val="20"/>
          <w:szCs w:val="20"/>
          <w:lang w:eastAsia="es-MX"/>
        </w:rPr>
      </w:pPr>
      <w:bookmarkStart w:id="53" w:name="_Ref402038868"/>
    </w:p>
    <w:p w14:paraId="1436A538" w14:textId="77777777" w:rsidR="007A1A14" w:rsidRPr="00244879" w:rsidRDefault="007A1A14" w:rsidP="00F3026E">
      <w:pPr>
        <w:numPr>
          <w:ilvl w:val="0"/>
          <w:numId w:val="2"/>
        </w:numPr>
        <w:tabs>
          <w:tab w:val="left" w:pos="567"/>
          <w:tab w:val="num" w:pos="12305"/>
        </w:tabs>
        <w:ind w:left="0" w:firstLine="0"/>
        <w:rPr>
          <w:rFonts w:cs="Verdana"/>
          <w:sz w:val="20"/>
          <w:szCs w:val="20"/>
          <w:lang w:eastAsia="es-MX"/>
        </w:rPr>
      </w:pPr>
      <w:r w:rsidRPr="0071582F">
        <w:rPr>
          <w:rFonts w:cs="Verdana"/>
          <w:sz w:val="20"/>
          <w:szCs w:val="20"/>
          <w:lang w:eastAsia="es-MX"/>
        </w:rPr>
        <w:t xml:space="preserve">Con base en su jurisprudencia constante respecto de la prueba y su apreciación, la Corte examinará y valorará los elementos probatorios documentales remitidos por las partes y la </w:t>
      </w:r>
      <w:r w:rsidRPr="0071582F">
        <w:rPr>
          <w:rFonts w:cs="Verdana"/>
          <w:sz w:val="20"/>
          <w:szCs w:val="20"/>
          <w:lang w:eastAsia="es-MX"/>
        </w:rPr>
        <w:lastRenderedPageBreak/>
        <w:t>Comisión que fueron incorporados por este Tribunal, así como las declaraciones y dictámenes periciales, al establecer los hechos del caso y pronunciarse sobre el fondo. Para ello se sujeta a los principios de la sana crítica, dentro del marco normativo correspondiente, teniendo en cuenta el conjunto del acervo probatorio y lo alegado en la causa</w:t>
      </w:r>
      <w:r w:rsidRPr="0071582F">
        <w:rPr>
          <w:rFonts w:cs="Verdana"/>
          <w:sz w:val="20"/>
          <w:szCs w:val="20"/>
          <w:vertAlign w:val="superscript"/>
          <w:lang w:eastAsia="es-MX"/>
        </w:rPr>
        <w:footnoteReference w:id="27"/>
      </w:r>
      <w:r w:rsidRPr="0071582F">
        <w:rPr>
          <w:rFonts w:cs="Verdana"/>
          <w:sz w:val="20"/>
          <w:szCs w:val="20"/>
          <w:lang w:eastAsia="es-MX"/>
        </w:rPr>
        <w:t>.</w:t>
      </w:r>
      <w:bookmarkStart w:id="54" w:name="_Ref402038884"/>
      <w:bookmarkEnd w:id="53"/>
      <w:r w:rsidR="00244879">
        <w:rPr>
          <w:rFonts w:cs="Verdana"/>
          <w:sz w:val="20"/>
          <w:szCs w:val="20"/>
          <w:lang w:eastAsia="es-MX"/>
        </w:rPr>
        <w:t xml:space="preserve"> </w:t>
      </w:r>
      <w:r w:rsidRPr="00244879">
        <w:rPr>
          <w:rFonts w:cs="Verdana"/>
          <w:sz w:val="20"/>
          <w:szCs w:val="20"/>
          <w:lang w:eastAsia="es-MX"/>
        </w:rPr>
        <w:t>Finalmente, conforme a la jurisprudencia de este Tribunal, la Corte recuerda que las declaraciones rendidas por las presuntas víctimas no pueden ser valoradas aisladamente sino dentro del conjunto de las pruebas del proceso, en la medida en que pueden proporcionar mayor información sobre las presuntas violaciones y sus consecuencias</w:t>
      </w:r>
      <w:r w:rsidRPr="0071582F">
        <w:rPr>
          <w:rFonts w:cs="Verdana"/>
          <w:sz w:val="20"/>
          <w:szCs w:val="20"/>
          <w:vertAlign w:val="superscript"/>
          <w:lang w:eastAsia="es-MX"/>
        </w:rPr>
        <w:footnoteReference w:id="28"/>
      </w:r>
      <w:r w:rsidRPr="00244879">
        <w:rPr>
          <w:rFonts w:cs="Verdana"/>
          <w:sz w:val="20"/>
          <w:szCs w:val="20"/>
          <w:lang w:eastAsia="es-MX"/>
        </w:rPr>
        <w:t>.</w:t>
      </w:r>
      <w:bookmarkEnd w:id="54"/>
    </w:p>
    <w:p w14:paraId="0F6D0214" w14:textId="77777777" w:rsidR="004931B5" w:rsidRPr="0001748B" w:rsidRDefault="004931B5" w:rsidP="00F3026E">
      <w:pPr>
        <w:autoSpaceDE w:val="0"/>
        <w:autoSpaceDN w:val="0"/>
        <w:rPr>
          <w:rFonts w:eastAsia="Batang"/>
          <w:bCs/>
          <w:sz w:val="20"/>
          <w:lang w:eastAsia="en-US"/>
        </w:rPr>
      </w:pPr>
      <w:bookmarkStart w:id="55" w:name="_Ref405769497"/>
    </w:p>
    <w:p w14:paraId="63F57D99" w14:textId="77777777" w:rsidR="00F3026E" w:rsidRDefault="00F3026E" w:rsidP="006B2A4D">
      <w:pPr>
        <w:pStyle w:val="Title"/>
      </w:pPr>
      <w:bookmarkStart w:id="56" w:name="_Toc504484518"/>
      <w:bookmarkStart w:id="57" w:name="_Toc506807357"/>
      <w:bookmarkStart w:id="58" w:name="_Toc513643933"/>
      <w:bookmarkStart w:id="59" w:name="_Toc513644454"/>
      <w:bookmarkStart w:id="60" w:name="_Toc494123977"/>
      <w:bookmarkStart w:id="61" w:name="_Toc499050337"/>
      <w:bookmarkEnd w:id="55"/>
      <w:r>
        <w:t>VI</w:t>
      </w:r>
      <w:bookmarkEnd w:id="56"/>
      <w:bookmarkEnd w:id="57"/>
      <w:bookmarkEnd w:id="58"/>
      <w:bookmarkEnd w:id="59"/>
      <w:r>
        <w:t xml:space="preserve"> </w:t>
      </w:r>
    </w:p>
    <w:p w14:paraId="5BE04998" w14:textId="77777777" w:rsidR="000214BA" w:rsidRPr="00F3026E" w:rsidRDefault="000214BA" w:rsidP="006B2A4D">
      <w:pPr>
        <w:pStyle w:val="Title"/>
      </w:pPr>
      <w:bookmarkStart w:id="62" w:name="_Toc513644455"/>
      <w:r w:rsidRPr="00F3026E">
        <w:t>HECHOS</w:t>
      </w:r>
      <w:bookmarkEnd w:id="62"/>
    </w:p>
    <w:bookmarkEnd w:id="60"/>
    <w:bookmarkEnd w:id="61"/>
    <w:p w14:paraId="46744574" w14:textId="77777777" w:rsidR="000214BA" w:rsidRDefault="000214BA" w:rsidP="00F3026E">
      <w:pPr>
        <w:contextualSpacing/>
        <w:rPr>
          <w:rFonts w:eastAsia="Calibri"/>
          <w:sz w:val="20"/>
          <w:szCs w:val="20"/>
          <w:lang w:eastAsia="en-US"/>
        </w:rPr>
      </w:pPr>
    </w:p>
    <w:p w14:paraId="759948EE" w14:textId="4457F628" w:rsidR="00E22B60" w:rsidRPr="00E47EFA" w:rsidRDefault="00E22B60" w:rsidP="00E22B60">
      <w:pPr>
        <w:numPr>
          <w:ilvl w:val="0"/>
          <w:numId w:val="2"/>
        </w:numPr>
        <w:tabs>
          <w:tab w:val="left" w:pos="630"/>
          <w:tab w:val="left" w:pos="1530"/>
          <w:tab w:val="left" w:pos="1620"/>
        </w:tabs>
        <w:ind w:left="0" w:right="-360" w:firstLine="0"/>
        <w:rPr>
          <w:rFonts w:eastAsia="Calibri"/>
          <w:sz w:val="20"/>
          <w:szCs w:val="20"/>
        </w:rPr>
      </w:pPr>
      <w:r w:rsidRPr="00E47EFA">
        <w:rPr>
          <w:rFonts w:eastAsia="Calibri"/>
          <w:sz w:val="20"/>
          <w:szCs w:val="20"/>
        </w:rPr>
        <w:t>En este capítulo se establecerán los hechos del presente caso, con base en el marco fáctico sometido al conocimiento de la Corte por la Comisión, tomando en consideración el acervo probatorio del caso, lo alegado por l</w:t>
      </w:r>
      <w:r w:rsidR="005A65DF">
        <w:rPr>
          <w:rFonts w:eastAsia="Calibri"/>
          <w:sz w:val="20"/>
          <w:szCs w:val="20"/>
        </w:rPr>
        <w:t>a</w:t>
      </w:r>
      <w:r w:rsidRPr="00E47EFA">
        <w:rPr>
          <w:rFonts w:eastAsia="Calibri"/>
          <w:sz w:val="20"/>
          <w:szCs w:val="20"/>
        </w:rPr>
        <w:t>s representantes y el Estado, así como tomando en cuenta los hechos reconocidos por el Estado y demás que no han sido controvertidos por las partes</w:t>
      </w:r>
      <w:r w:rsidR="008F36CB">
        <w:rPr>
          <w:rFonts w:eastAsia="Calibri"/>
          <w:sz w:val="20"/>
          <w:szCs w:val="20"/>
        </w:rPr>
        <w:t xml:space="preserve"> (</w:t>
      </w:r>
      <w:r w:rsidR="008F36CB" w:rsidRPr="00AB1E03">
        <w:rPr>
          <w:rFonts w:eastAsia="Calibri"/>
          <w:i/>
          <w:sz w:val="20"/>
          <w:szCs w:val="20"/>
        </w:rPr>
        <w:t>supra</w:t>
      </w:r>
      <w:r w:rsidR="008F36CB">
        <w:rPr>
          <w:rFonts w:eastAsia="Calibri"/>
          <w:sz w:val="20"/>
          <w:szCs w:val="20"/>
        </w:rPr>
        <w:t xml:space="preserve"> </w:t>
      </w:r>
      <w:proofErr w:type="spellStart"/>
      <w:r w:rsidR="00BC48F3">
        <w:rPr>
          <w:rFonts w:eastAsia="Calibri"/>
          <w:sz w:val="20"/>
          <w:szCs w:val="20"/>
        </w:rPr>
        <w:t>párr</w:t>
      </w:r>
      <w:r w:rsidR="005A65DF">
        <w:rPr>
          <w:rFonts w:eastAsia="Calibri"/>
          <w:sz w:val="20"/>
          <w:szCs w:val="20"/>
        </w:rPr>
        <w:t>s</w:t>
      </w:r>
      <w:proofErr w:type="spellEnd"/>
      <w:r w:rsidR="00BC48F3">
        <w:rPr>
          <w:rFonts w:eastAsia="Calibri"/>
          <w:sz w:val="20"/>
          <w:szCs w:val="20"/>
        </w:rPr>
        <w:t xml:space="preserve">. </w:t>
      </w:r>
      <w:r w:rsidR="005A65DF">
        <w:rPr>
          <w:rFonts w:eastAsia="Calibri"/>
          <w:sz w:val="20"/>
          <w:szCs w:val="20"/>
        </w:rPr>
        <w:t>16 a 20</w:t>
      </w:r>
      <w:r w:rsidR="008F36CB">
        <w:rPr>
          <w:rFonts w:eastAsia="Calibri"/>
          <w:sz w:val="20"/>
          <w:szCs w:val="20"/>
        </w:rPr>
        <w:t>)</w:t>
      </w:r>
      <w:r w:rsidRPr="00E47EFA">
        <w:rPr>
          <w:rFonts w:eastAsia="Calibri"/>
          <w:sz w:val="20"/>
          <w:szCs w:val="20"/>
        </w:rPr>
        <w:t xml:space="preserve">. De esta forma, los mismos serán expuestos en los siguientes apartados: a) Sobre el señor Vinicio Antonio Poblete Vilches; b) Primer ingreso del Señor Vinicio Antonio Poblete Vilches al Hospital </w:t>
      </w:r>
      <w:proofErr w:type="spellStart"/>
      <w:r w:rsidRPr="00E47EFA">
        <w:rPr>
          <w:rFonts w:eastAsia="Calibri"/>
          <w:sz w:val="20"/>
          <w:szCs w:val="20"/>
        </w:rPr>
        <w:t>Sótero</w:t>
      </w:r>
      <w:proofErr w:type="spellEnd"/>
      <w:r w:rsidRPr="00E47EFA">
        <w:rPr>
          <w:rFonts w:eastAsia="Calibri"/>
          <w:sz w:val="20"/>
          <w:szCs w:val="20"/>
        </w:rPr>
        <w:t xml:space="preserve"> del Río; c) Segundo ingreso del Señor Vinicio Antonio Poblete Vilches al Hospital </w:t>
      </w:r>
      <w:proofErr w:type="spellStart"/>
      <w:r w:rsidRPr="00E47EFA">
        <w:rPr>
          <w:rFonts w:eastAsia="Calibri"/>
          <w:sz w:val="20"/>
          <w:szCs w:val="20"/>
        </w:rPr>
        <w:t>Sótero</w:t>
      </w:r>
      <w:proofErr w:type="spellEnd"/>
      <w:r w:rsidRPr="00E47EFA">
        <w:rPr>
          <w:rFonts w:eastAsia="Calibri"/>
          <w:sz w:val="20"/>
          <w:szCs w:val="20"/>
        </w:rPr>
        <w:t xml:space="preserve"> del Río, y d) Actuaciones de los familiares ante los órganos estatales.</w:t>
      </w:r>
    </w:p>
    <w:p w14:paraId="148FD1D8" w14:textId="77777777" w:rsidR="00E22B60" w:rsidRPr="00E47EFA" w:rsidRDefault="00E22B60" w:rsidP="00E22B60">
      <w:pPr>
        <w:tabs>
          <w:tab w:val="left" w:pos="630"/>
          <w:tab w:val="left" w:pos="810"/>
          <w:tab w:val="left" w:pos="1530"/>
          <w:tab w:val="left" w:pos="1620"/>
        </w:tabs>
        <w:ind w:right="-360" w:hanging="825"/>
        <w:contextualSpacing/>
        <w:rPr>
          <w:rFonts w:eastAsia="Calibri"/>
          <w:sz w:val="20"/>
          <w:szCs w:val="20"/>
        </w:rPr>
      </w:pPr>
    </w:p>
    <w:p w14:paraId="6C71F6DA" w14:textId="77777777" w:rsidR="00E22B60" w:rsidRPr="00C64243" w:rsidRDefault="00E22B60" w:rsidP="00E22B60">
      <w:pPr>
        <w:pStyle w:val="ListParagraph"/>
        <w:keepNext/>
        <w:keepLines/>
        <w:numPr>
          <w:ilvl w:val="0"/>
          <w:numId w:val="29"/>
        </w:numPr>
        <w:tabs>
          <w:tab w:val="left" w:pos="630"/>
          <w:tab w:val="left" w:pos="810"/>
          <w:tab w:val="left" w:pos="1530"/>
          <w:tab w:val="left" w:pos="1620"/>
        </w:tabs>
        <w:ind w:left="1080" w:right="-360"/>
        <w:contextualSpacing/>
        <w:outlineLvl w:val="1"/>
        <w:rPr>
          <w:rFonts w:eastAsia="MS Mincho"/>
          <w:b/>
          <w:i/>
          <w:sz w:val="20"/>
          <w:szCs w:val="26"/>
        </w:rPr>
      </w:pPr>
      <w:r w:rsidRPr="00C64243">
        <w:rPr>
          <w:rFonts w:eastAsia="MS Mincho"/>
          <w:b/>
          <w:i/>
          <w:sz w:val="20"/>
          <w:szCs w:val="26"/>
        </w:rPr>
        <w:t>Sobre el señor Vinicio Antonio Poblete Vilches</w:t>
      </w:r>
    </w:p>
    <w:p w14:paraId="6B17E98D" w14:textId="77777777" w:rsidR="00E22B60" w:rsidRPr="00E47EFA" w:rsidRDefault="00E22B60" w:rsidP="00E22B60">
      <w:pPr>
        <w:tabs>
          <w:tab w:val="left" w:pos="630"/>
          <w:tab w:val="left" w:pos="810"/>
          <w:tab w:val="left" w:pos="1530"/>
          <w:tab w:val="left" w:pos="1620"/>
        </w:tabs>
        <w:ind w:right="-360" w:hanging="825"/>
        <w:rPr>
          <w:rFonts w:eastAsia="Calibri"/>
          <w:sz w:val="20"/>
          <w:szCs w:val="20"/>
        </w:rPr>
      </w:pPr>
    </w:p>
    <w:p w14:paraId="0F67B6B1" w14:textId="77777777" w:rsidR="00E22B60" w:rsidRPr="00C64243" w:rsidRDefault="00E22B60" w:rsidP="00E22B60">
      <w:pPr>
        <w:numPr>
          <w:ilvl w:val="0"/>
          <w:numId w:val="2"/>
        </w:numPr>
        <w:tabs>
          <w:tab w:val="left" w:pos="630"/>
          <w:tab w:val="left" w:pos="900"/>
          <w:tab w:val="left" w:pos="1530"/>
          <w:tab w:val="left" w:pos="1620"/>
        </w:tabs>
        <w:ind w:left="0" w:right="-360" w:firstLine="0"/>
        <w:rPr>
          <w:rFonts w:eastAsia="Calibri"/>
          <w:b/>
          <w:i/>
          <w:sz w:val="20"/>
          <w:szCs w:val="20"/>
        </w:rPr>
      </w:pPr>
      <w:r w:rsidRPr="00E47EFA">
        <w:rPr>
          <w:rFonts w:eastAsia="Calibri"/>
          <w:sz w:val="20"/>
          <w:szCs w:val="20"/>
        </w:rPr>
        <w:t>El señor Poblete Vilches nació el 22 de mayo de 1924 y al momento de su muerte, el 7 de febrero de 2001, tenía 76 años</w:t>
      </w:r>
      <w:r w:rsidRPr="00E47EFA">
        <w:rPr>
          <w:rFonts w:eastAsia="Calibri"/>
          <w:sz w:val="20"/>
          <w:szCs w:val="20"/>
          <w:vertAlign w:val="superscript"/>
        </w:rPr>
        <w:footnoteReference w:id="29"/>
      </w:r>
      <w:r w:rsidRPr="00E47EFA">
        <w:rPr>
          <w:rFonts w:eastAsia="Calibri"/>
          <w:sz w:val="20"/>
          <w:szCs w:val="20"/>
        </w:rPr>
        <w:t xml:space="preserve">. El señor Poblete Vilches vivía junto con su esposa, Blanca Tapia Encina y sus tres hijos: </w:t>
      </w:r>
      <w:proofErr w:type="spellStart"/>
      <w:r w:rsidRPr="00E47EFA">
        <w:rPr>
          <w:rFonts w:eastAsia="Calibri"/>
          <w:sz w:val="20"/>
          <w:szCs w:val="20"/>
        </w:rPr>
        <w:t>Cesia</w:t>
      </w:r>
      <w:proofErr w:type="spellEnd"/>
      <w:r w:rsidRPr="00E47EFA">
        <w:rPr>
          <w:rFonts w:eastAsia="Calibri"/>
          <w:sz w:val="20"/>
          <w:szCs w:val="20"/>
        </w:rPr>
        <w:t xml:space="preserve"> Leila Siria Poblete Tapia, Vinicio Marco Antonio Poblete Tapia y Gonzalo Poblete Tapia</w:t>
      </w:r>
      <w:r w:rsidRPr="00E47EFA">
        <w:rPr>
          <w:rFonts w:eastAsia="Calibri"/>
          <w:sz w:val="20"/>
          <w:szCs w:val="20"/>
          <w:vertAlign w:val="superscript"/>
        </w:rPr>
        <w:footnoteReference w:id="30"/>
      </w:r>
      <w:r w:rsidRPr="00E47EFA">
        <w:rPr>
          <w:rFonts w:eastAsia="Calibri"/>
          <w:sz w:val="20"/>
          <w:szCs w:val="20"/>
        </w:rPr>
        <w:t>.</w:t>
      </w:r>
    </w:p>
    <w:p w14:paraId="18D87081" w14:textId="77777777" w:rsidR="00E22B60" w:rsidRDefault="00E22B60" w:rsidP="00E22B60">
      <w:pPr>
        <w:tabs>
          <w:tab w:val="left" w:pos="630"/>
          <w:tab w:val="left" w:pos="900"/>
          <w:tab w:val="left" w:pos="1530"/>
          <w:tab w:val="left" w:pos="1620"/>
        </w:tabs>
        <w:ind w:right="-360"/>
        <w:rPr>
          <w:rFonts w:eastAsia="Calibri"/>
          <w:sz w:val="20"/>
          <w:szCs w:val="20"/>
        </w:rPr>
      </w:pPr>
    </w:p>
    <w:p w14:paraId="4260D44A" w14:textId="77777777" w:rsidR="00CA76E0" w:rsidRPr="00E47EFA" w:rsidRDefault="00CA76E0" w:rsidP="00E22B60">
      <w:pPr>
        <w:tabs>
          <w:tab w:val="left" w:pos="630"/>
          <w:tab w:val="left" w:pos="900"/>
          <w:tab w:val="left" w:pos="1530"/>
          <w:tab w:val="left" w:pos="1620"/>
        </w:tabs>
        <w:ind w:right="-360"/>
        <w:rPr>
          <w:rFonts w:eastAsia="Calibri"/>
          <w:b/>
          <w:i/>
          <w:sz w:val="20"/>
          <w:szCs w:val="20"/>
        </w:rPr>
      </w:pPr>
    </w:p>
    <w:p w14:paraId="17BCE30B" w14:textId="77777777" w:rsidR="00E22B60" w:rsidRPr="00C64243" w:rsidRDefault="00E22B60" w:rsidP="00E22B60">
      <w:pPr>
        <w:pStyle w:val="ListParagraph"/>
        <w:keepNext/>
        <w:keepLines/>
        <w:numPr>
          <w:ilvl w:val="0"/>
          <w:numId w:val="29"/>
        </w:numPr>
        <w:tabs>
          <w:tab w:val="left" w:pos="630"/>
          <w:tab w:val="left" w:pos="810"/>
          <w:tab w:val="left" w:pos="1530"/>
          <w:tab w:val="left" w:pos="1620"/>
        </w:tabs>
        <w:ind w:left="1080" w:right="-360"/>
        <w:contextualSpacing/>
        <w:outlineLvl w:val="1"/>
        <w:rPr>
          <w:rFonts w:eastAsia="MS Mincho"/>
          <w:b/>
          <w:bCs/>
          <w:i/>
          <w:snapToGrid w:val="0"/>
          <w:sz w:val="20"/>
          <w:szCs w:val="28"/>
        </w:rPr>
      </w:pPr>
      <w:r w:rsidRPr="00C64243">
        <w:rPr>
          <w:rFonts w:eastAsia="MS Mincho"/>
          <w:b/>
          <w:i/>
          <w:sz w:val="20"/>
          <w:szCs w:val="26"/>
        </w:rPr>
        <w:t xml:space="preserve">Primer ingreso del señor Vinicio Antonio Poblete Vilches al </w:t>
      </w:r>
      <w:r>
        <w:rPr>
          <w:rFonts w:eastAsia="MS Mincho"/>
          <w:b/>
          <w:i/>
          <w:sz w:val="20"/>
          <w:szCs w:val="26"/>
        </w:rPr>
        <w:t>H</w:t>
      </w:r>
      <w:r w:rsidRPr="00C64243">
        <w:rPr>
          <w:rFonts w:eastAsia="MS Mincho"/>
          <w:b/>
          <w:i/>
          <w:sz w:val="20"/>
          <w:szCs w:val="26"/>
        </w:rPr>
        <w:t xml:space="preserve">ospital </w:t>
      </w:r>
      <w:proofErr w:type="spellStart"/>
      <w:r w:rsidRPr="00C64243">
        <w:rPr>
          <w:rFonts w:eastAsia="MS Mincho"/>
          <w:b/>
          <w:i/>
          <w:sz w:val="20"/>
          <w:szCs w:val="26"/>
        </w:rPr>
        <w:t>Sótero</w:t>
      </w:r>
      <w:proofErr w:type="spellEnd"/>
      <w:r w:rsidRPr="00C64243">
        <w:rPr>
          <w:rFonts w:eastAsia="MS Mincho"/>
          <w:b/>
          <w:i/>
          <w:sz w:val="20"/>
          <w:szCs w:val="26"/>
        </w:rPr>
        <w:t xml:space="preserve"> del Río</w:t>
      </w:r>
    </w:p>
    <w:p w14:paraId="445ECD66" w14:textId="77777777" w:rsidR="00E22B60" w:rsidRPr="00E47EFA" w:rsidRDefault="00E22B60" w:rsidP="00E22B60">
      <w:pPr>
        <w:tabs>
          <w:tab w:val="left" w:pos="630"/>
          <w:tab w:val="left" w:pos="810"/>
          <w:tab w:val="left" w:pos="1530"/>
          <w:tab w:val="left" w:pos="1620"/>
        </w:tabs>
        <w:ind w:right="-360" w:hanging="825"/>
        <w:contextualSpacing/>
        <w:rPr>
          <w:rFonts w:eastAsia="Calibri"/>
          <w:sz w:val="20"/>
          <w:szCs w:val="20"/>
        </w:rPr>
      </w:pPr>
    </w:p>
    <w:p w14:paraId="3767FDA7" w14:textId="02637F7B" w:rsidR="00E22B60" w:rsidRPr="00CA76E0" w:rsidRDefault="00E22B60" w:rsidP="00CA76E0">
      <w:pPr>
        <w:numPr>
          <w:ilvl w:val="0"/>
          <w:numId w:val="2"/>
        </w:numPr>
        <w:tabs>
          <w:tab w:val="left" w:pos="567"/>
          <w:tab w:val="left" w:pos="630"/>
          <w:tab w:val="left" w:pos="810"/>
          <w:tab w:val="left" w:pos="1530"/>
          <w:tab w:val="left" w:pos="1620"/>
        </w:tabs>
        <w:ind w:left="0" w:right="-360" w:firstLine="0"/>
        <w:rPr>
          <w:rFonts w:eastAsia="Calibri"/>
          <w:b/>
          <w:i/>
          <w:sz w:val="20"/>
          <w:szCs w:val="20"/>
        </w:rPr>
      </w:pPr>
      <w:r w:rsidRPr="00E47EFA">
        <w:rPr>
          <w:rFonts w:eastAsia="Calibri"/>
          <w:sz w:val="20"/>
          <w:szCs w:val="20"/>
        </w:rPr>
        <w:t xml:space="preserve">El 17 de enero de 2001 el señor Poblete Vilches ingresó al Hospital </w:t>
      </w:r>
      <w:proofErr w:type="spellStart"/>
      <w:r w:rsidRPr="00E47EFA">
        <w:rPr>
          <w:rFonts w:eastAsia="Calibri"/>
          <w:sz w:val="20"/>
          <w:szCs w:val="20"/>
        </w:rPr>
        <w:t>Sótero</w:t>
      </w:r>
      <w:proofErr w:type="spellEnd"/>
      <w:r w:rsidRPr="00E47EFA">
        <w:rPr>
          <w:rFonts w:eastAsia="Calibri"/>
          <w:sz w:val="20"/>
          <w:szCs w:val="20"/>
        </w:rPr>
        <w:t xml:space="preserve"> del Río a causa de una insuficiencia respiratoria grave</w:t>
      </w:r>
      <w:r w:rsidRPr="00E47EFA">
        <w:rPr>
          <w:rFonts w:eastAsia="Calibri"/>
          <w:sz w:val="20"/>
          <w:szCs w:val="20"/>
          <w:vertAlign w:val="superscript"/>
        </w:rPr>
        <w:footnoteReference w:id="31"/>
      </w:r>
      <w:r w:rsidRPr="00E47EFA">
        <w:rPr>
          <w:rFonts w:eastAsia="Calibri"/>
          <w:sz w:val="20"/>
          <w:szCs w:val="20"/>
        </w:rPr>
        <w:t xml:space="preserve">. De conformidad con un informe ministerial que hace alusión a </w:t>
      </w:r>
      <w:r w:rsidRPr="00E47EFA">
        <w:rPr>
          <w:rFonts w:eastAsia="Calibri"/>
          <w:sz w:val="20"/>
          <w:szCs w:val="20"/>
        </w:rPr>
        <w:lastRenderedPageBreak/>
        <w:t>la ficha clínica</w:t>
      </w:r>
      <w:r w:rsidRPr="00E47EFA">
        <w:rPr>
          <w:rFonts w:eastAsia="Calibri"/>
          <w:sz w:val="20"/>
          <w:szCs w:val="20"/>
          <w:vertAlign w:val="superscript"/>
        </w:rPr>
        <w:footnoteReference w:id="32"/>
      </w:r>
      <w:r w:rsidRPr="00E47EFA">
        <w:rPr>
          <w:rFonts w:eastAsia="Calibri"/>
          <w:sz w:val="20"/>
          <w:szCs w:val="20"/>
        </w:rPr>
        <w:t xml:space="preserve"> se precisó que “el [p]</w:t>
      </w:r>
      <w:proofErr w:type="spellStart"/>
      <w:r w:rsidRPr="00E47EFA">
        <w:rPr>
          <w:rFonts w:eastAsia="Calibri"/>
          <w:sz w:val="20"/>
          <w:szCs w:val="20"/>
        </w:rPr>
        <w:t>aciente</w:t>
      </w:r>
      <w:proofErr w:type="spellEnd"/>
      <w:r w:rsidRPr="00E47EFA">
        <w:rPr>
          <w:rFonts w:eastAsia="Calibri"/>
          <w:sz w:val="20"/>
          <w:szCs w:val="20"/>
        </w:rPr>
        <w:t xml:space="preserve"> ingres[</w:t>
      </w:r>
      <w:proofErr w:type="spellStart"/>
      <w:r w:rsidRPr="00E47EFA">
        <w:rPr>
          <w:rFonts w:eastAsia="Calibri"/>
          <w:sz w:val="20"/>
          <w:szCs w:val="20"/>
        </w:rPr>
        <w:t>ó</w:t>
      </w:r>
      <w:proofErr w:type="spellEnd"/>
      <w:r w:rsidRPr="00E47EFA">
        <w:rPr>
          <w:rFonts w:eastAsia="Calibri"/>
          <w:sz w:val="20"/>
          <w:szCs w:val="20"/>
        </w:rPr>
        <w:t xml:space="preserve">] en […] muy mal estado general, </w:t>
      </w:r>
      <w:proofErr w:type="spellStart"/>
      <w:r w:rsidRPr="00E47EFA">
        <w:rPr>
          <w:rFonts w:eastAsia="Calibri"/>
          <w:sz w:val="20"/>
          <w:szCs w:val="20"/>
        </w:rPr>
        <w:t>polipnéico</w:t>
      </w:r>
      <w:proofErr w:type="spellEnd"/>
      <w:r w:rsidRPr="00E47EFA">
        <w:rPr>
          <w:rFonts w:eastAsia="Calibri"/>
          <w:sz w:val="20"/>
          <w:szCs w:val="20"/>
        </w:rPr>
        <w:t xml:space="preserve">, con compromiso de conciencia. Diabetes en tratamiento, arritmia no precisada, tratada con </w:t>
      </w:r>
      <w:proofErr w:type="spellStart"/>
      <w:r w:rsidRPr="00E47EFA">
        <w:rPr>
          <w:rFonts w:eastAsia="Calibri"/>
          <w:sz w:val="20"/>
          <w:szCs w:val="20"/>
        </w:rPr>
        <w:t>Amiodarona</w:t>
      </w:r>
      <w:proofErr w:type="spellEnd"/>
      <w:r w:rsidRPr="00E47EFA">
        <w:rPr>
          <w:rFonts w:eastAsia="Calibri"/>
          <w:sz w:val="20"/>
          <w:szCs w:val="20"/>
        </w:rPr>
        <w:t xml:space="preserve">. En [tales] condiciones [fue] trasladado a la </w:t>
      </w:r>
      <w:r>
        <w:rPr>
          <w:rFonts w:eastAsia="Calibri"/>
          <w:sz w:val="20"/>
          <w:szCs w:val="20"/>
        </w:rPr>
        <w:t xml:space="preserve">[Unidad de Cuidados Intensivos (en adelante </w:t>
      </w:r>
      <w:r w:rsidRPr="00E47EFA">
        <w:rPr>
          <w:rFonts w:eastAsia="Calibri"/>
          <w:sz w:val="20"/>
          <w:szCs w:val="20"/>
        </w:rPr>
        <w:t>UCI</w:t>
      </w:r>
      <w:r>
        <w:rPr>
          <w:rFonts w:eastAsia="Calibri"/>
          <w:sz w:val="20"/>
          <w:szCs w:val="20"/>
        </w:rPr>
        <w:t>)]</w:t>
      </w:r>
      <w:r w:rsidRPr="00E47EFA">
        <w:rPr>
          <w:rFonts w:eastAsia="Calibri"/>
          <w:sz w:val="20"/>
          <w:szCs w:val="20"/>
        </w:rPr>
        <w:t xml:space="preserve">, donde se </w:t>
      </w:r>
      <w:proofErr w:type="spellStart"/>
      <w:proofErr w:type="gramStart"/>
      <w:r w:rsidRPr="00E47EFA">
        <w:rPr>
          <w:rFonts w:eastAsia="Calibri"/>
          <w:sz w:val="20"/>
          <w:szCs w:val="20"/>
        </w:rPr>
        <w:t>estabili</w:t>
      </w:r>
      <w:proofErr w:type="spellEnd"/>
      <w:r w:rsidRPr="00E47EFA">
        <w:rPr>
          <w:rFonts w:eastAsia="Calibri"/>
          <w:sz w:val="20"/>
          <w:szCs w:val="20"/>
        </w:rPr>
        <w:t>[</w:t>
      </w:r>
      <w:proofErr w:type="spellStart"/>
      <w:proofErr w:type="gramEnd"/>
      <w:r w:rsidRPr="00E47EFA">
        <w:rPr>
          <w:rFonts w:eastAsia="Calibri"/>
          <w:sz w:val="20"/>
          <w:szCs w:val="20"/>
        </w:rPr>
        <w:t>zó</w:t>
      </w:r>
      <w:proofErr w:type="spellEnd"/>
      <w:r w:rsidRPr="00E47EFA">
        <w:rPr>
          <w:rFonts w:eastAsia="Calibri"/>
          <w:sz w:val="20"/>
          <w:szCs w:val="20"/>
        </w:rPr>
        <w:t>] […], por lo que al cuarto día […] [fue] trasladado a Medicina”</w:t>
      </w:r>
      <w:r w:rsidRPr="00E47EFA">
        <w:rPr>
          <w:rFonts w:eastAsia="Calibri"/>
          <w:sz w:val="20"/>
          <w:szCs w:val="20"/>
          <w:vertAlign w:val="superscript"/>
        </w:rPr>
        <w:footnoteReference w:id="33"/>
      </w:r>
      <w:r w:rsidRPr="00E47EFA">
        <w:rPr>
          <w:rFonts w:eastAsia="Calibri"/>
          <w:sz w:val="20"/>
          <w:szCs w:val="20"/>
        </w:rPr>
        <w:t xml:space="preserve">. Estuvo durante cuatro días hospitalizado en la </w:t>
      </w:r>
      <w:r>
        <w:rPr>
          <w:rFonts w:eastAsia="Calibri"/>
          <w:sz w:val="20"/>
          <w:szCs w:val="20"/>
        </w:rPr>
        <w:t xml:space="preserve">UCI </w:t>
      </w:r>
      <w:r w:rsidRPr="00E47EFA">
        <w:rPr>
          <w:rFonts w:eastAsia="Calibri"/>
          <w:sz w:val="20"/>
          <w:szCs w:val="20"/>
        </w:rPr>
        <w:t>Médica. El 22 de enero de 2001</w:t>
      </w:r>
      <w:r w:rsidRPr="00CA76E0">
        <w:rPr>
          <w:rFonts w:eastAsia="Calibri"/>
          <w:sz w:val="20"/>
          <w:szCs w:val="20"/>
        </w:rPr>
        <w:t xml:space="preserve"> ingresó a la Unidad de Cuidados Intensivos Quirúrgica donde estuvo amarrado con cables de sonda y bajo efectos sedantes</w:t>
      </w:r>
      <w:r w:rsidRPr="00E47EFA">
        <w:rPr>
          <w:rFonts w:eastAsia="Calibri"/>
          <w:sz w:val="20"/>
          <w:szCs w:val="20"/>
          <w:vertAlign w:val="superscript"/>
        </w:rPr>
        <w:footnoteReference w:id="34"/>
      </w:r>
      <w:r w:rsidRPr="00CA76E0">
        <w:rPr>
          <w:rFonts w:eastAsia="Calibri"/>
          <w:sz w:val="20"/>
          <w:szCs w:val="20"/>
        </w:rPr>
        <w:t xml:space="preserve">. </w:t>
      </w:r>
    </w:p>
    <w:p w14:paraId="2B7AB25B" w14:textId="77777777" w:rsidR="00E22B60" w:rsidRPr="00E47EFA" w:rsidRDefault="00E22B60" w:rsidP="00E22B60">
      <w:pPr>
        <w:tabs>
          <w:tab w:val="left" w:pos="630"/>
          <w:tab w:val="left" w:pos="810"/>
          <w:tab w:val="left" w:pos="1530"/>
          <w:tab w:val="left" w:pos="1620"/>
        </w:tabs>
        <w:ind w:right="-360"/>
        <w:contextualSpacing/>
        <w:rPr>
          <w:rFonts w:eastAsia="Calibri"/>
          <w:b/>
          <w:sz w:val="20"/>
          <w:szCs w:val="20"/>
        </w:rPr>
      </w:pPr>
    </w:p>
    <w:p w14:paraId="1D1919DD" w14:textId="607F3DC8"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b/>
          <w:i/>
          <w:sz w:val="20"/>
          <w:szCs w:val="20"/>
        </w:rPr>
      </w:pPr>
      <w:r w:rsidRPr="00E47EFA">
        <w:rPr>
          <w:rFonts w:eastAsia="Calibri"/>
          <w:sz w:val="20"/>
          <w:szCs w:val="20"/>
        </w:rPr>
        <w:t>Al visitar a su familiar el 23 de enero de 2001, la médica María Chacón Fernández no les permitió verlo y según los familiares escucharon un quejido del señor Poblete Vilches para que “lo sacara[n] de ahí porque lo estaban matando”</w:t>
      </w:r>
      <w:r w:rsidRPr="00E47EFA">
        <w:rPr>
          <w:rFonts w:eastAsia="Calibri"/>
          <w:sz w:val="20"/>
          <w:szCs w:val="20"/>
          <w:vertAlign w:val="superscript"/>
        </w:rPr>
        <w:footnoteReference w:id="35"/>
      </w:r>
      <w:r w:rsidRPr="00E47EFA">
        <w:rPr>
          <w:rFonts w:eastAsia="Calibri"/>
          <w:sz w:val="20"/>
          <w:szCs w:val="20"/>
        </w:rPr>
        <w:t>. Además, declararon que la doctora Chacón les informó que el señor Poblete Vilches se encontraba en buen estado de salud y que lo llevarían al “pabellón” para hacerle una pequeña punción para ver si tenía líquido en el corazón pero no sería operado; a lo cual los familiares advirtieron que su padre padecía diabetes y que no podía ser intervenido quirúrgicamente</w:t>
      </w:r>
      <w:r w:rsidR="00E4673A">
        <w:rPr>
          <w:rStyle w:val="FootnoteReference"/>
          <w:rFonts w:eastAsia="Calibri"/>
          <w:sz w:val="20"/>
          <w:szCs w:val="20"/>
        </w:rPr>
        <w:footnoteReference w:id="36"/>
      </w:r>
      <w:r w:rsidRPr="00E47EFA">
        <w:rPr>
          <w:rFonts w:eastAsia="Calibri"/>
          <w:sz w:val="20"/>
          <w:szCs w:val="20"/>
        </w:rPr>
        <w:t xml:space="preserve">. </w:t>
      </w:r>
    </w:p>
    <w:p w14:paraId="6701EDBA" w14:textId="77777777" w:rsidR="00E22B60" w:rsidRPr="00E47EFA" w:rsidRDefault="00E22B60" w:rsidP="00E22B60">
      <w:pPr>
        <w:tabs>
          <w:tab w:val="left" w:pos="630"/>
          <w:tab w:val="left" w:pos="810"/>
          <w:tab w:val="left" w:pos="1530"/>
          <w:tab w:val="left" w:pos="1620"/>
        </w:tabs>
        <w:ind w:right="-360"/>
        <w:contextualSpacing/>
        <w:rPr>
          <w:rFonts w:eastAsia="Calibri"/>
          <w:b/>
          <w:i/>
          <w:sz w:val="20"/>
          <w:szCs w:val="20"/>
        </w:rPr>
      </w:pPr>
    </w:p>
    <w:p w14:paraId="5009EC7C" w14:textId="77777777" w:rsidR="00E22B60" w:rsidRPr="00C64243"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b/>
          <w:i/>
          <w:sz w:val="20"/>
          <w:szCs w:val="20"/>
        </w:rPr>
      </w:pPr>
      <w:r w:rsidRPr="00E47EFA">
        <w:rPr>
          <w:rFonts w:eastAsia="Calibri"/>
          <w:sz w:val="20"/>
          <w:szCs w:val="20"/>
        </w:rPr>
        <w:t>El día 26 de enero 2001 el señor Poblete Vilches entró “a pabellón”, y al salir los familiares pudieron observar que tenía en la cintura tres grandes heridas de las cuales salía un tubo de drenaje, además declararon que nunca se les solicitó autorización para someterlo a dicha cirugía</w:t>
      </w:r>
      <w:r w:rsidRPr="00E47EFA">
        <w:rPr>
          <w:rFonts w:eastAsia="Calibri"/>
          <w:sz w:val="20"/>
          <w:szCs w:val="20"/>
          <w:vertAlign w:val="superscript"/>
        </w:rPr>
        <w:footnoteReference w:id="37"/>
      </w:r>
      <w:r w:rsidRPr="00E47EFA">
        <w:rPr>
          <w:rFonts w:eastAsia="Calibri"/>
          <w:sz w:val="20"/>
          <w:szCs w:val="20"/>
        </w:rPr>
        <w:t>, siendo que se encontraba inconsciente</w:t>
      </w:r>
      <w:r>
        <w:rPr>
          <w:rStyle w:val="FootnoteReference"/>
          <w:rFonts w:eastAsia="Calibri"/>
          <w:sz w:val="20"/>
          <w:szCs w:val="20"/>
        </w:rPr>
        <w:footnoteReference w:id="38"/>
      </w:r>
      <w:r w:rsidRPr="00E47EFA">
        <w:rPr>
          <w:rFonts w:eastAsia="Calibri"/>
          <w:sz w:val="20"/>
          <w:szCs w:val="20"/>
        </w:rPr>
        <w:t>.</w:t>
      </w:r>
    </w:p>
    <w:p w14:paraId="27C22AD0" w14:textId="77777777" w:rsidR="00E22B60" w:rsidRPr="00E47EFA" w:rsidRDefault="00E22B60" w:rsidP="00E22B60">
      <w:pPr>
        <w:tabs>
          <w:tab w:val="left" w:pos="630"/>
          <w:tab w:val="left" w:pos="810"/>
          <w:tab w:val="left" w:pos="1530"/>
          <w:tab w:val="left" w:pos="1620"/>
        </w:tabs>
        <w:ind w:right="-360"/>
        <w:contextualSpacing/>
        <w:rPr>
          <w:rFonts w:eastAsia="Calibri"/>
          <w:b/>
          <w:i/>
          <w:sz w:val="20"/>
          <w:szCs w:val="20"/>
        </w:rPr>
      </w:pPr>
    </w:p>
    <w:p w14:paraId="5EF13844" w14:textId="77777777"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b/>
          <w:i/>
          <w:sz w:val="20"/>
          <w:szCs w:val="20"/>
        </w:rPr>
      </w:pPr>
      <w:r w:rsidRPr="00E47EFA">
        <w:rPr>
          <w:rFonts w:eastAsia="Calibri"/>
          <w:sz w:val="20"/>
          <w:szCs w:val="20"/>
        </w:rPr>
        <w:t xml:space="preserve">En el expediente médico de 26 de enero de 2001, </w:t>
      </w:r>
      <w:r>
        <w:rPr>
          <w:rFonts w:eastAsia="Calibri"/>
          <w:sz w:val="20"/>
          <w:szCs w:val="20"/>
        </w:rPr>
        <w:t>se encuentra</w:t>
      </w:r>
      <w:r w:rsidRPr="00E47EFA">
        <w:rPr>
          <w:rFonts w:eastAsia="Calibri"/>
          <w:sz w:val="20"/>
          <w:szCs w:val="20"/>
        </w:rPr>
        <w:t xml:space="preserve"> una leyenda manuscrita por “Margarita Tapia” que señala: </w:t>
      </w:r>
    </w:p>
    <w:p w14:paraId="67086636" w14:textId="77777777" w:rsidR="00E22B60" w:rsidRPr="00E47EFA" w:rsidRDefault="00E22B60" w:rsidP="00E22B60">
      <w:pPr>
        <w:tabs>
          <w:tab w:val="left" w:pos="630"/>
          <w:tab w:val="left" w:pos="810"/>
          <w:tab w:val="left" w:pos="1530"/>
          <w:tab w:val="left" w:pos="1620"/>
        </w:tabs>
        <w:ind w:right="-360"/>
        <w:contextualSpacing/>
        <w:rPr>
          <w:rFonts w:eastAsia="Calibri"/>
          <w:sz w:val="18"/>
          <w:szCs w:val="18"/>
        </w:rPr>
      </w:pPr>
    </w:p>
    <w:p w14:paraId="484619D5" w14:textId="77777777" w:rsidR="00E22B60" w:rsidRPr="00E47EFA" w:rsidRDefault="00E22B60" w:rsidP="00E22B60">
      <w:pPr>
        <w:tabs>
          <w:tab w:val="left" w:pos="630"/>
          <w:tab w:val="left" w:pos="810"/>
          <w:tab w:val="left" w:pos="1530"/>
          <w:tab w:val="left" w:pos="1620"/>
        </w:tabs>
        <w:ind w:left="540" w:right="360"/>
        <w:contextualSpacing/>
        <w:rPr>
          <w:rFonts w:eastAsia="Calibri"/>
          <w:b/>
          <w:i/>
          <w:sz w:val="18"/>
          <w:szCs w:val="18"/>
        </w:rPr>
      </w:pPr>
      <w:r w:rsidRPr="00E47EFA">
        <w:rPr>
          <w:rFonts w:eastAsia="Calibri"/>
          <w:sz w:val="18"/>
          <w:szCs w:val="18"/>
        </w:rPr>
        <w:tab/>
      </w:r>
      <w:r>
        <w:rPr>
          <w:rFonts w:eastAsia="Calibri"/>
          <w:sz w:val="18"/>
          <w:szCs w:val="18"/>
        </w:rPr>
        <w:t>“</w:t>
      </w:r>
      <w:r w:rsidRPr="00E47EFA">
        <w:rPr>
          <w:rFonts w:eastAsia="Calibri"/>
          <w:sz w:val="18"/>
          <w:szCs w:val="18"/>
        </w:rPr>
        <w:t xml:space="preserve">26.0120001 </w:t>
      </w:r>
      <w:r w:rsidRPr="00AA59CF">
        <w:rPr>
          <w:rFonts w:eastAsia="Calibri"/>
          <w:sz w:val="18"/>
          <w:szCs w:val="18"/>
        </w:rPr>
        <w:t xml:space="preserve">se me ha </w:t>
      </w:r>
      <w:proofErr w:type="spellStart"/>
      <w:r w:rsidRPr="00AA59CF">
        <w:rPr>
          <w:rFonts w:eastAsia="Calibri"/>
          <w:sz w:val="18"/>
          <w:szCs w:val="18"/>
        </w:rPr>
        <w:t>esplicado</w:t>
      </w:r>
      <w:proofErr w:type="spellEnd"/>
      <w:r w:rsidRPr="00AA59CF">
        <w:rPr>
          <w:rFonts w:eastAsia="Calibri"/>
          <w:sz w:val="18"/>
          <w:szCs w:val="18"/>
        </w:rPr>
        <w:t xml:space="preserve"> [sic] el procedimiento </w:t>
      </w:r>
      <w:proofErr w:type="spellStart"/>
      <w:r w:rsidRPr="00AA59CF">
        <w:rPr>
          <w:rFonts w:eastAsia="Calibri"/>
          <w:sz w:val="18"/>
          <w:szCs w:val="18"/>
        </w:rPr>
        <w:t>guirurjico</w:t>
      </w:r>
      <w:proofErr w:type="spellEnd"/>
      <w:r w:rsidRPr="00AA59CF">
        <w:rPr>
          <w:rFonts w:eastAsia="Calibri"/>
          <w:sz w:val="18"/>
          <w:szCs w:val="18"/>
        </w:rPr>
        <w:t xml:space="preserve"> [sic] que se realizará a mi padre y estoy de acuerdo que este se realice, se me ha </w:t>
      </w:r>
      <w:proofErr w:type="spellStart"/>
      <w:r w:rsidRPr="00AA59CF">
        <w:rPr>
          <w:rFonts w:eastAsia="Calibri"/>
          <w:sz w:val="18"/>
          <w:szCs w:val="18"/>
        </w:rPr>
        <w:t>esplicado</w:t>
      </w:r>
      <w:proofErr w:type="spellEnd"/>
      <w:r w:rsidRPr="00AA59CF">
        <w:rPr>
          <w:rFonts w:eastAsia="Calibri"/>
          <w:sz w:val="18"/>
          <w:szCs w:val="18"/>
        </w:rPr>
        <w:t xml:space="preserve"> [sic] y </w:t>
      </w:r>
      <w:proofErr w:type="spellStart"/>
      <w:r w:rsidRPr="00AA59CF">
        <w:rPr>
          <w:rFonts w:eastAsia="Calibri"/>
          <w:sz w:val="18"/>
          <w:szCs w:val="18"/>
        </w:rPr>
        <w:t>aceto</w:t>
      </w:r>
      <w:proofErr w:type="spellEnd"/>
      <w:r w:rsidRPr="00AA59CF">
        <w:rPr>
          <w:rFonts w:eastAsia="Calibri"/>
          <w:sz w:val="18"/>
          <w:szCs w:val="18"/>
        </w:rPr>
        <w:t xml:space="preserve"> [sic] los riesgos de la operación”</w:t>
      </w:r>
      <w:r w:rsidRPr="00E47EFA">
        <w:rPr>
          <w:rFonts w:eastAsia="Calibri"/>
          <w:sz w:val="18"/>
          <w:szCs w:val="18"/>
          <w:vertAlign w:val="superscript"/>
        </w:rPr>
        <w:footnoteReference w:id="39"/>
      </w:r>
      <w:r w:rsidRPr="00E47EFA">
        <w:rPr>
          <w:rFonts w:eastAsia="Calibri"/>
          <w:sz w:val="18"/>
          <w:szCs w:val="18"/>
        </w:rPr>
        <w:t xml:space="preserve">. </w:t>
      </w:r>
    </w:p>
    <w:p w14:paraId="4459CFA7" w14:textId="77777777" w:rsidR="00E22B60" w:rsidRPr="00E47EFA" w:rsidRDefault="00E22B60" w:rsidP="00E22B60">
      <w:pPr>
        <w:tabs>
          <w:tab w:val="left" w:pos="630"/>
          <w:tab w:val="left" w:pos="810"/>
          <w:tab w:val="left" w:pos="1530"/>
          <w:tab w:val="left" w:pos="1620"/>
        </w:tabs>
        <w:ind w:right="-360"/>
        <w:contextualSpacing/>
        <w:rPr>
          <w:rFonts w:eastAsia="Calibri"/>
          <w:sz w:val="20"/>
          <w:szCs w:val="20"/>
        </w:rPr>
      </w:pPr>
    </w:p>
    <w:p w14:paraId="44801A40" w14:textId="77777777"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b/>
          <w:i/>
          <w:sz w:val="20"/>
          <w:szCs w:val="20"/>
        </w:rPr>
      </w:pPr>
      <w:r w:rsidRPr="00E47EFA">
        <w:rPr>
          <w:rFonts w:eastAsia="Calibri"/>
          <w:sz w:val="20"/>
          <w:szCs w:val="20"/>
        </w:rPr>
        <w:t>Según el Informe Pericial Calígrafo de 26 de diciembre del 2016, se asentó que la firma en el expediente médico no correspondía al de la señora Blanca Margarita Tapia Encina</w:t>
      </w:r>
      <w:r w:rsidRPr="00E47EFA">
        <w:rPr>
          <w:rFonts w:eastAsia="Calibri"/>
          <w:sz w:val="20"/>
          <w:szCs w:val="20"/>
          <w:vertAlign w:val="superscript"/>
        </w:rPr>
        <w:footnoteReference w:id="40"/>
      </w:r>
      <w:r w:rsidRPr="00E47EFA">
        <w:rPr>
          <w:rFonts w:eastAsia="Calibri"/>
          <w:sz w:val="20"/>
          <w:szCs w:val="20"/>
        </w:rPr>
        <w:t>, quien además era su esposa y no su hija</w:t>
      </w:r>
      <w:r w:rsidRPr="00E47EFA">
        <w:rPr>
          <w:rFonts w:eastAsia="Calibri"/>
          <w:sz w:val="20"/>
          <w:szCs w:val="20"/>
          <w:vertAlign w:val="superscript"/>
        </w:rPr>
        <w:footnoteReference w:id="41"/>
      </w:r>
      <w:r w:rsidRPr="00E47EFA">
        <w:rPr>
          <w:rFonts w:eastAsia="Calibri"/>
          <w:sz w:val="20"/>
          <w:szCs w:val="20"/>
        </w:rPr>
        <w:t xml:space="preserve">. </w:t>
      </w:r>
    </w:p>
    <w:p w14:paraId="017BE843" w14:textId="77777777" w:rsidR="00E22B60" w:rsidRPr="00E47EFA" w:rsidRDefault="00E22B60" w:rsidP="00E22B60">
      <w:pPr>
        <w:tabs>
          <w:tab w:val="left" w:pos="630"/>
          <w:tab w:val="left" w:pos="810"/>
          <w:tab w:val="left" w:pos="1530"/>
          <w:tab w:val="left" w:pos="1620"/>
        </w:tabs>
        <w:ind w:right="-360"/>
        <w:contextualSpacing/>
        <w:rPr>
          <w:rFonts w:eastAsia="Calibri"/>
          <w:b/>
          <w:i/>
          <w:sz w:val="20"/>
          <w:szCs w:val="20"/>
        </w:rPr>
      </w:pPr>
    </w:p>
    <w:p w14:paraId="098A121C" w14:textId="6ED2640F"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b/>
          <w:i/>
          <w:sz w:val="20"/>
          <w:szCs w:val="20"/>
        </w:rPr>
      </w:pPr>
      <w:r w:rsidRPr="00E47EFA">
        <w:rPr>
          <w:rFonts w:eastAsia="Calibri"/>
          <w:sz w:val="20"/>
          <w:szCs w:val="20"/>
        </w:rPr>
        <w:t xml:space="preserve">El 2 de febrero de 2001 el señor Vinicio Poblete Tapia </w:t>
      </w:r>
      <w:r w:rsidR="00713D68">
        <w:rPr>
          <w:rFonts w:eastAsia="Calibri"/>
          <w:sz w:val="20"/>
          <w:szCs w:val="20"/>
        </w:rPr>
        <w:t>recibió una llamada del h</w:t>
      </w:r>
      <w:r w:rsidRPr="00E47EFA">
        <w:rPr>
          <w:rFonts w:eastAsia="Calibri"/>
          <w:sz w:val="20"/>
          <w:szCs w:val="20"/>
        </w:rPr>
        <w:t>ospital informándole que su padre ya se encontraba bien y debía volver a su entorno familiar. Al llegar al hospital a recoger a su padre, los familiares lo notaron en mal estado de salud e intentaron hablar con los médicos, pero nadie los atendió</w:t>
      </w:r>
      <w:r w:rsidRPr="00E47EFA">
        <w:rPr>
          <w:rStyle w:val="FootnoteReference"/>
          <w:rFonts w:eastAsia="Calibri"/>
          <w:sz w:val="20"/>
          <w:szCs w:val="20"/>
        </w:rPr>
        <w:footnoteReference w:id="42"/>
      </w:r>
      <w:r w:rsidRPr="00E47EFA">
        <w:rPr>
          <w:rFonts w:eastAsia="Calibri"/>
          <w:sz w:val="20"/>
          <w:szCs w:val="20"/>
        </w:rPr>
        <w:t xml:space="preserve">. </w:t>
      </w:r>
    </w:p>
    <w:p w14:paraId="10E55F64" w14:textId="77777777" w:rsidR="00E22B60" w:rsidRPr="00E47EFA" w:rsidRDefault="00E22B60" w:rsidP="00E22B60">
      <w:pPr>
        <w:tabs>
          <w:tab w:val="left" w:pos="630"/>
          <w:tab w:val="left" w:pos="810"/>
          <w:tab w:val="left" w:pos="1530"/>
          <w:tab w:val="left" w:pos="1620"/>
        </w:tabs>
        <w:ind w:right="-360"/>
        <w:contextualSpacing/>
        <w:rPr>
          <w:rFonts w:eastAsia="Calibri"/>
          <w:b/>
          <w:i/>
          <w:sz w:val="20"/>
          <w:szCs w:val="20"/>
        </w:rPr>
      </w:pPr>
    </w:p>
    <w:p w14:paraId="4A894C8B" w14:textId="77777777"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b/>
          <w:i/>
          <w:sz w:val="20"/>
          <w:szCs w:val="20"/>
        </w:rPr>
      </w:pPr>
      <w:r w:rsidRPr="00E47EFA">
        <w:rPr>
          <w:rFonts w:eastAsia="Calibri"/>
          <w:sz w:val="20"/>
          <w:szCs w:val="20"/>
        </w:rPr>
        <w:t>Por el mal estado de salud en el que el señor Poblete Vilches se encontraba los familiares decidieron contratar una ambulancia privada para su traslado pues, según describieron, no había ambulancias disponibles en el hospital</w:t>
      </w:r>
      <w:r w:rsidRPr="00E47EFA">
        <w:rPr>
          <w:rFonts w:eastAsia="Calibri"/>
          <w:sz w:val="20"/>
          <w:szCs w:val="20"/>
          <w:vertAlign w:val="superscript"/>
        </w:rPr>
        <w:footnoteReference w:id="43"/>
      </w:r>
      <w:r w:rsidRPr="00E47EFA">
        <w:rPr>
          <w:rFonts w:eastAsia="Calibri"/>
          <w:sz w:val="20"/>
          <w:szCs w:val="20"/>
        </w:rPr>
        <w:t xml:space="preserve">. </w:t>
      </w:r>
    </w:p>
    <w:p w14:paraId="104A3E16" w14:textId="77777777" w:rsidR="00E22B60" w:rsidRPr="00E47EFA" w:rsidRDefault="00E22B60" w:rsidP="00E22B60">
      <w:pPr>
        <w:tabs>
          <w:tab w:val="left" w:pos="567"/>
          <w:tab w:val="left" w:pos="630"/>
          <w:tab w:val="left" w:pos="810"/>
          <w:tab w:val="left" w:pos="1530"/>
          <w:tab w:val="left" w:pos="1620"/>
          <w:tab w:val="num" w:pos="12305"/>
        </w:tabs>
        <w:ind w:right="-360"/>
        <w:rPr>
          <w:rFonts w:eastAsia="Calibri"/>
          <w:b/>
          <w:i/>
          <w:sz w:val="20"/>
          <w:szCs w:val="20"/>
        </w:rPr>
      </w:pPr>
    </w:p>
    <w:p w14:paraId="0B3C9C1A" w14:textId="77777777"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b/>
          <w:i/>
          <w:sz w:val="20"/>
          <w:szCs w:val="20"/>
        </w:rPr>
      </w:pPr>
      <w:r w:rsidRPr="00E47EFA">
        <w:rPr>
          <w:rFonts w:eastAsia="Calibri"/>
          <w:sz w:val="20"/>
          <w:szCs w:val="20"/>
        </w:rPr>
        <w:t>El señor Poblete Vilches llegó a su casa ese mismo 2 de febrero de 2001 con una fiebre muy elevada, emanando pus de sus heridas, de las cuales sólo una estaba suturada</w:t>
      </w:r>
      <w:r w:rsidRPr="00E47EFA">
        <w:rPr>
          <w:rFonts w:eastAsia="Calibri"/>
          <w:sz w:val="20"/>
          <w:szCs w:val="20"/>
          <w:vertAlign w:val="superscript"/>
        </w:rPr>
        <w:footnoteReference w:id="44"/>
      </w:r>
      <w:r w:rsidRPr="00E47EFA">
        <w:rPr>
          <w:rFonts w:eastAsia="Calibri"/>
          <w:sz w:val="20"/>
          <w:szCs w:val="20"/>
        </w:rPr>
        <w:t>. Consecuentemente, el 5 de febrero de 2001 sus familiares llamaron a la doctora privada, Sandra Castillo Montufar, quien, luego de examinarlo, ordenó trasladarlo de inmediato al hospital, debido a que presentaba un cuadro febril complicado y diagnosticó “shock séptico, bronconeumonía bilateral, diabetes mellitus 2 [y] [p]</w:t>
      </w:r>
      <w:proofErr w:type="spellStart"/>
      <w:r w:rsidRPr="00E47EFA">
        <w:rPr>
          <w:rFonts w:eastAsia="Calibri"/>
          <w:sz w:val="20"/>
          <w:szCs w:val="20"/>
        </w:rPr>
        <w:t>ericarditis</w:t>
      </w:r>
      <w:proofErr w:type="spellEnd"/>
      <w:r w:rsidRPr="00E47EFA">
        <w:rPr>
          <w:rFonts w:eastAsia="Calibri"/>
          <w:sz w:val="20"/>
          <w:szCs w:val="20"/>
        </w:rPr>
        <w:t>”</w:t>
      </w:r>
      <w:r w:rsidRPr="00E47EFA">
        <w:rPr>
          <w:rFonts w:eastAsia="Calibri"/>
          <w:sz w:val="20"/>
          <w:szCs w:val="20"/>
          <w:vertAlign w:val="superscript"/>
        </w:rPr>
        <w:footnoteReference w:id="45"/>
      </w:r>
      <w:r w:rsidRPr="00E47EFA">
        <w:rPr>
          <w:rFonts w:eastAsia="Calibri"/>
          <w:sz w:val="20"/>
          <w:szCs w:val="20"/>
        </w:rPr>
        <w:t>.</w:t>
      </w:r>
    </w:p>
    <w:p w14:paraId="2F3D3736" w14:textId="77777777" w:rsidR="00E22B60" w:rsidRPr="00E47EFA" w:rsidRDefault="00E22B60" w:rsidP="00E22B60">
      <w:pPr>
        <w:tabs>
          <w:tab w:val="left" w:pos="630"/>
          <w:tab w:val="left" w:pos="810"/>
          <w:tab w:val="left" w:pos="1530"/>
          <w:tab w:val="left" w:pos="1620"/>
        </w:tabs>
        <w:ind w:right="-360"/>
        <w:contextualSpacing/>
        <w:rPr>
          <w:rFonts w:eastAsia="Calibri"/>
          <w:sz w:val="20"/>
          <w:szCs w:val="20"/>
        </w:rPr>
      </w:pPr>
    </w:p>
    <w:p w14:paraId="5A7BDB12" w14:textId="77777777" w:rsidR="00E22B60" w:rsidRPr="00E47EFA" w:rsidRDefault="00E22B60" w:rsidP="00E22B60">
      <w:pPr>
        <w:keepNext/>
        <w:keepLines/>
        <w:numPr>
          <w:ilvl w:val="0"/>
          <w:numId w:val="29"/>
        </w:numPr>
        <w:tabs>
          <w:tab w:val="left" w:pos="630"/>
          <w:tab w:val="left" w:pos="810"/>
          <w:tab w:val="left" w:pos="1530"/>
          <w:tab w:val="left" w:pos="1620"/>
        </w:tabs>
        <w:ind w:left="0" w:right="-360" w:firstLine="0"/>
        <w:outlineLvl w:val="1"/>
        <w:rPr>
          <w:rFonts w:eastAsia="MS Mincho"/>
          <w:b/>
          <w:i/>
          <w:snapToGrid w:val="0"/>
          <w:sz w:val="20"/>
          <w:szCs w:val="26"/>
        </w:rPr>
      </w:pPr>
      <w:r w:rsidRPr="00E47EFA">
        <w:rPr>
          <w:rFonts w:eastAsia="MS Mincho"/>
          <w:b/>
          <w:i/>
          <w:sz w:val="20"/>
          <w:szCs w:val="26"/>
        </w:rPr>
        <w:t>Segundo</w:t>
      </w:r>
      <w:r w:rsidRPr="00E47EFA">
        <w:rPr>
          <w:rFonts w:eastAsia="MS Mincho"/>
          <w:b/>
          <w:i/>
          <w:snapToGrid w:val="0"/>
          <w:sz w:val="20"/>
          <w:szCs w:val="26"/>
        </w:rPr>
        <w:t xml:space="preserve"> ingreso del señor Vinicio Antonio Poblete Vilches al hospital </w:t>
      </w:r>
      <w:proofErr w:type="spellStart"/>
      <w:r w:rsidRPr="00E47EFA">
        <w:rPr>
          <w:rFonts w:eastAsia="MS Mincho"/>
          <w:b/>
          <w:i/>
          <w:snapToGrid w:val="0"/>
          <w:sz w:val="20"/>
          <w:szCs w:val="26"/>
        </w:rPr>
        <w:t>Sótero</w:t>
      </w:r>
      <w:proofErr w:type="spellEnd"/>
      <w:r w:rsidRPr="00E47EFA">
        <w:rPr>
          <w:rFonts w:eastAsia="MS Mincho"/>
          <w:b/>
          <w:i/>
          <w:snapToGrid w:val="0"/>
          <w:sz w:val="20"/>
          <w:szCs w:val="26"/>
        </w:rPr>
        <w:t xml:space="preserve"> del Río.</w:t>
      </w:r>
    </w:p>
    <w:p w14:paraId="5C90342E"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232E9F1B" w14:textId="3954872B"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 xml:space="preserve">El 5 de febrero de 2001 el señor Poblete Vilches fue nuevamente ingresado al Hospital </w:t>
      </w:r>
      <w:proofErr w:type="spellStart"/>
      <w:r w:rsidRPr="00E47EFA">
        <w:rPr>
          <w:rFonts w:eastAsia="Calibri"/>
          <w:sz w:val="20"/>
          <w:szCs w:val="20"/>
        </w:rPr>
        <w:t>Sótero</w:t>
      </w:r>
      <w:proofErr w:type="spellEnd"/>
      <w:r w:rsidRPr="00E47EFA">
        <w:rPr>
          <w:rFonts w:eastAsia="Calibri"/>
          <w:sz w:val="20"/>
          <w:szCs w:val="20"/>
        </w:rPr>
        <w:t xml:space="preserve"> del Río en el Servicio de Urgencias donde, fueron informados por el doctor Luis Car</w:t>
      </w:r>
      <w:r w:rsidR="00674700">
        <w:rPr>
          <w:rFonts w:eastAsia="Calibri"/>
          <w:sz w:val="20"/>
          <w:szCs w:val="20"/>
        </w:rPr>
        <w:t>[</w:t>
      </w:r>
      <w:r w:rsidRPr="00E47EFA">
        <w:rPr>
          <w:rFonts w:eastAsia="Calibri"/>
          <w:sz w:val="20"/>
          <w:szCs w:val="20"/>
        </w:rPr>
        <w:t>v</w:t>
      </w:r>
      <w:r w:rsidR="00674700">
        <w:rPr>
          <w:rFonts w:eastAsia="Calibri"/>
          <w:sz w:val="20"/>
          <w:szCs w:val="20"/>
        </w:rPr>
        <w:t>]</w:t>
      </w:r>
      <w:proofErr w:type="spellStart"/>
      <w:r w:rsidRPr="00E47EFA">
        <w:rPr>
          <w:rFonts w:eastAsia="Calibri"/>
          <w:sz w:val="20"/>
          <w:szCs w:val="20"/>
        </w:rPr>
        <w:t>ajal</w:t>
      </w:r>
      <w:proofErr w:type="spellEnd"/>
      <w:r w:rsidRPr="00E47EFA">
        <w:rPr>
          <w:rFonts w:eastAsia="Calibri"/>
          <w:sz w:val="20"/>
          <w:szCs w:val="20"/>
        </w:rPr>
        <w:t xml:space="preserve"> Freire </w:t>
      </w:r>
      <w:r w:rsidRPr="00E47EFA">
        <w:rPr>
          <w:rFonts w:eastAsia="Calibri"/>
          <w:sz w:val="20"/>
          <w:szCs w:val="20"/>
        </w:rPr>
        <w:lastRenderedPageBreak/>
        <w:t>que el señor Poblete Vilches tenía una “simple bronconeumonía”</w:t>
      </w:r>
      <w:r w:rsidRPr="00E47EFA">
        <w:rPr>
          <w:rFonts w:eastAsia="Calibri"/>
          <w:sz w:val="20"/>
          <w:szCs w:val="20"/>
          <w:vertAlign w:val="superscript"/>
        </w:rPr>
        <w:footnoteReference w:id="46"/>
      </w:r>
      <w:r w:rsidRPr="00E47EFA">
        <w:rPr>
          <w:rFonts w:eastAsia="Calibri"/>
          <w:sz w:val="20"/>
          <w:szCs w:val="20"/>
        </w:rPr>
        <w:t>. De acuerdo con la ficha clínica de ingreso</w:t>
      </w:r>
      <w:r w:rsidRPr="00CA76E0">
        <w:rPr>
          <w:rFonts w:eastAsia="Calibri"/>
          <w:sz w:val="18"/>
          <w:szCs w:val="20"/>
          <w:vertAlign w:val="superscript"/>
        </w:rPr>
        <w:footnoteReference w:id="47"/>
      </w:r>
      <w:r w:rsidRPr="00CA76E0">
        <w:rPr>
          <w:rFonts w:eastAsia="Calibri"/>
          <w:sz w:val="20"/>
          <w:szCs w:val="20"/>
        </w:rPr>
        <w:t>,</w:t>
      </w:r>
      <w:r w:rsidRPr="00E47EFA">
        <w:rPr>
          <w:rFonts w:eastAsia="Calibri"/>
          <w:sz w:val="20"/>
          <w:szCs w:val="20"/>
        </w:rPr>
        <w:t xml:space="preserve"> se requería que el señor Poblete ingresara a la unidad de cuidados intensivos y apoyo de ventilador. A saber: </w:t>
      </w:r>
    </w:p>
    <w:p w14:paraId="4E9A92D8" w14:textId="77777777" w:rsidR="00E22B60" w:rsidRPr="00E47EFA" w:rsidRDefault="00E22B60" w:rsidP="00E22B60">
      <w:pPr>
        <w:tabs>
          <w:tab w:val="left" w:pos="567"/>
          <w:tab w:val="left" w:pos="630"/>
          <w:tab w:val="left" w:pos="810"/>
          <w:tab w:val="left" w:pos="1530"/>
          <w:tab w:val="left" w:pos="1620"/>
        </w:tabs>
        <w:ind w:right="-360"/>
        <w:rPr>
          <w:rFonts w:eastAsia="Calibri"/>
          <w:sz w:val="20"/>
          <w:szCs w:val="20"/>
        </w:rPr>
      </w:pPr>
    </w:p>
    <w:p w14:paraId="1B003F9D" w14:textId="77777777" w:rsidR="00E22B60" w:rsidRPr="00E47EFA" w:rsidRDefault="00E22B60" w:rsidP="00E22B60">
      <w:pPr>
        <w:tabs>
          <w:tab w:val="left" w:pos="567"/>
          <w:tab w:val="left" w:pos="630"/>
          <w:tab w:val="left" w:pos="810"/>
          <w:tab w:val="left" w:pos="1530"/>
          <w:tab w:val="left" w:pos="1620"/>
        </w:tabs>
        <w:ind w:left="720" w:right="-360"/>
        <w:rPr>
          <w:rFonts w:eastAsia="Calibri"/>
          <w:sz w:val="18"/>
          <w:szCs w:val="20"/>
          <w:lang w:val="es-ES_tradnl"/>
        </w:rPr>
      </w:pPr>
      <w:r w:rsidRPr="00E47EFA">
        <w:rPr>
          <w:rFonts w:eastAsia="Calibri"/>
          <w:sz w:val="18"/>
          <w:szCs w:val="20"/>
          <w:lang w:val="es-ES_tradnl"/>
        </w:rPr>
        <w:tab/>
      </w:r>
      <w:r>
        <w:rPr>
          <w:rFonts w:eastAsia="Calibri"/>
          <w:sz w:val="18"/>
          <w:szCs w:val="20"/>
          <w:lang w:val="es-ES_tradnl"/>
        </w:rPr>
        <w:t>“</w:t>
      </w:r>
      <w:r w:rsidRPr="00E47EFA">
        <w:rPr>
          <w:rFonts w:eastAsia="Calibri"/>
          <w:sz w:val="18"/>
          <w:szCs w:val="20"/>
          <w:lang w:val="es-ES_tradnl"/>
        </w:rPr>
        <w:t xml:space="preserve">[…] Plan: Paciente con indicación de UCI para apoyo ventilatorio. No hay disponibilidad en </w:t>
      </w:r>
      <w:r w:rsidRPr="00AB082C">
        <w:rPr>
          <w:rFonts w:eastAsia="Calibri"/>
          <w:sz w:val="18"/>
          <w:szCs w:val="20"/>
          <w:lang w:val="es-ES_tradnl"/>
        </w:rPr>
        <w:t xml:space="preserve">UCI o      </w:t>
      </w:r>
      <w:proofErr w:type="spellStart"/>
      <w:r w:rsidRPr="00AB082C">
        <w:rPr>
          <w:rFonts w:eastAsia="Calibri"/>
          <w:sz w:val="18"/>
          <w:szCs w:val="20"/>
          <w:lang w:val="es-ES_tradnl"/>
        </w:rPr>
        <w:t>Qx</w:t>
      </w:r>
      <w:proofErr w:type="spellEnd"/>
      <w:r w:rsidRPr="00AB082C">
        <w:rPr>
          <w:rFonts w:eastAsia="Calibri"/>
          <w:sz w:val="18"/>
          <w:szCs w:val="20"/>
          <w:lang w:val="es-ES_tradnl"/>
        </w:rPr>
        <w:t>. Se realizará manejo en intermedio a la espera de una cama de UCI.</w:t>
      </w:r>
      <w:r w:rsidRPr="00E47EFA">
        <w:rPr>
          <w:rFonts w:eastAsia="Calibri"/>
          <w:sz w:val="18"/>
          <w:szCs w:val="20"/>
          <w:lang w:val="es-ES_tradnl"/>
        </w:rPr>
        <w:t xml:space="preserve"> </w:t>
      </w:r>
    </w:p>
    <w:p w14:paraId="73952706" w14:textId="77777777" w:rsidR="00E22B60" w:rsidRPr="00E47EFA" w:rsidRDefault="00E22B60" w:rsidP="00E22B60">
      <w:pPr>
        <w:tabs>
          <w:tab w:val="left" w:pos="567"/>
          <w:tab w:val="left" w:pos="630"/>
          <w:tab w:val="left" w:pos="810"/>
          <w:tab w:val="left" w:pos="1530"/>
          <w:tab w:val="left" w:pos="1620"/>
        </w:tabs>
        <w:ind w:left="720" w:right="-360"/>
        <w:rPr>
          <w:rFonts w:eastAsia="Calibri"/>
          <w:sz w:val="18"/>
          <w:szCs w:val="20"/>
          <w:lang w:val="es-ES_tradnl"/>
        </w:rPr>
      </w:pPr>
      <w:r w:rsidRPr="00E47EFA">
        <w:rPr>
          <w:rFonts w:eastAsia="Calibri"/>
          <w:sz w:val="18"/>
          <w:szCs w:val="20"/>
          <w:lang w:val="es-ES_tradnl"/>
        </w:rPr>
        <w:tab/>
        <w:t>Dg. 1) Insuficiencia respiratoria aguda parcial.</w:t>
      </w:r>
    </w:p>
    <w:p w14:paraId="3C070BD6" w14:textId="77777777" w:rsidR="00E22B60" w:rsidRPr="00E47EFA" w:rsidRDefault="00E22B60" w:rsidP="00E22B60">
      <w:pPr>
        <w:tabs>
          <w:tab w:val="left" w:pos="567"/>
          <w:tab w:val="left" w:pos="630"/>
          <w:tab w:val="left" w:pos="810"/>
          <w:tab w:val="left" w:pos="1530"/>
          <w:tab w:val="left" w:pos="1620"/>
        </w:tabs>
        <w:ind w:left="720" w:right="-360"/>
        <w:rPr>
          <w:rFonts w:eastAsia="Calibri"/>
          <w:sz w:val="18"/>
          <w:szCs w:val="20"/>
          <w:lang w:val="es-ES_tradnl"/>
        </w:rPr>
      </w:pPr>
      <w:r w:rsidRPr="00E47EFA">
        <w:rPr>
          <w:rFonts w:eastAsia="Calibri"/>
          <w:sz w:val="18"/>
          <w:szCs w:val="20"/>
          <w:lang w:val="es-ES_tradnl"/>
        </w:rPr>
        <w:t xml:space="preserve">     </w:t>
      </w:r>
      <w:r>
        <w:rPr>
          <w:rFonts w:eastAsia="Calibri"/>
          <w:sz w:val="18"/>
          <w:szCs w:val="20"/>
          <w:lang w:val="es-ES_tradnl"/>
        </w:rPr>
        <w:t xml:space="preserve">  </w:t>
      </w:r>
      <w:r w:rsidRPr="00E47EFA">
        <w:rPr>
          <w:rFonts w:eastAsia="Calibri"/>
          <w:sz w:val="18"/>
          <w:szCs w:val="20"/>
          <w:lang w:val="es-ES_tradnl"/>
        </w:rPr>
        <w:t xml:space="preserve">2) Shock probablemente séptico. </w:t>
      </w:r>
    </w:p>
    <w:p w14:paraId="755DF7EA" w14:textId="77777777" w:rsidR="00E22B60" w:rsidRPr="00E47EFA" w:rsidRDefault="00E22B60" w:rsidP="00E22B60">
      <w:pPr>
        <w:tabs>
          <w:tab w:val="left" w:pos="567"/>
          <w:tab w:val="left" w:pos="630"/>
          <w:tab w:val="left" w:pos="810"/>
          <w:tab w:val="left" w:pos="1530"/>
          <w:tab w:val="left" w:pos="1620"/>
        </w:tabs>
        <w:ind w:left="720" w:right="-360"/>
        <w:rPr>
          <w:rFonts w:eastAsia="Calibri"/>
          <w:sz w:val="18"/>
          <w:szCs w:val="20"/>
          <w:lang w:val="es-ES_tradnl"/>
        </w:rPr>
      </w:pPr>
      <w:r w:rsidRPr="00E47EFA">
        <w:rPr>
          <w:rFonts w:eastAsia="Calibri"/>
          <w:sz w:val="18"/>
          <w:szCs w:val="20"/>
          <w:lang w:val="es-ES_tradnl"/>
        </w:rPr>
        <w:tab/>
        <w:t xml:space="preserve"> </w:t>
      </w:r>
      <w:r w:rsidRPr="00E47EFA">
        <w:rPr>
          <w:rFonts w:eastAsia="Calibri"/>
          <w:sz w:val="18"/>
          <w:szCs w:val="20"/>
          <w:lang w:val="es-ES_tradnl"/>
        </w:rPr>
        <w:tab/>
        <w:t xml:space="preserve">   Foco […] Neumonía intrahospitalaria. </w:t>
      </w:r>
    </w:p>
    <w:p w14:paraId="30FCD0C8" w14:textId="77777777" w:rsidR="00E22B60" w:rsidRPr="00E47EFA" w:rsidRDefault="00E22B60" w:rsidP="00E22B60">
      <w:pPr>
        <w:tabs>
          <w:tab w:val="left" w:pos="567"/>
          <w:tab w:val="left" w:pos="630"/>
          <w:tab w:val="left" w:pos="810"/>
          <w:tab w:val="left" w:pos="1530"/>
          <w:tab w:val="left" w:pos="1620"/>
        </w:tabs>
        <w:ind w:left="720" w:right="-360"/>
        <w:rPr>
          <w:rFonts w:eastAsia="Calibri"/>
          <w:sz w:val="18"/>
          <w:szCs w:val="20"/>
          <w:lang w:val="es-ES_tradnl"/>
        </w:rPr>
      </w:pPr>
      <w:r w:rsidRPr="00E47EFA">
        <w:rPr>
          <w:rFonts w:eastAsia="Calibri"/>
          <w:sz w:val="18"/>
          <w:szCs w:val="20"/>
          <w:lang w:val="es-ES_tradnl"/>
        </w:rPr>
        <w:t xml:space="preserve">      </w:t>
      </w:r>
      <w:r w:rsidRPr="00E47EFA">
        <w:rPr>
          <w:rFonts w:eastAsia="Calibri"/>
          <w:sz w:val="18"/>
          <w:szCs w:val="20"/>
          <w:lang w:val="es-ES_tradnl"/>
        </w:rPr>
        <w:tab/>
      </w:r>
      <w:r w:rsidRPr="00E47EFA">
        <w:rPr>
          <w:rFonts w:eastAsia="Calibri"/>
          <w:sz w:val="18"/>
          <w:szCs w:val="20"/>
          <w:lang w:val="es-ES_tradnl"/>
        </w:rPr>
        <w:tab/>
        <w:t>3) DM Tipo II descompensada</w:t>
      </w:r>
    </w:p>
    <w:p w14:paraId="6DE25D66" w14:textId="77777777" w:rsidR="00E22B60" w:rsidRPr="00E47EFA" w:rsidRDefault="00E22B60" w:rsidP="00E22B60">
      <w:pPr>
        <w:tabs>
          <w:tab w:val="left" w:pos="567"/>
          <w:tab w:val="left" w:pos="630"/>
          <w:tab w:val="left" w:pos="810"/>
          <w:tab w:val="left" w:pos="1530"/>
          <w:tab w:val="left" w:pos="1620"/>
        </w:tabs>
        <w:ind w:left="720" w:right="-360"/>
        <w:rPr>
          <w:rFonts w:eastAsia="Calibri"/>
          <w:sz w:val="18"/>
          <w:szCs w:val="20"/>
          <w:lang w:val="es-ES_tradnl"/>
        </w:rPr>
      </w:pPr>
      <w:r w:rsidRPr="00E47EFA">
        <w:rPr>
          <w:rFonts w:eastAsia="Calibri"/>
          <w:sz w:val="18"/>
          <w:szCs w:val="20"/>
          <w:lang w:val="es-ES_tradnl"/>
        </w:rPr>
        <w:tab/>
      </w:r>
      <w:r w:rsidRPr="00E47EFA">
        <w:rPr>
          <w:rFonts w:eastAsia="Calibri"/>
          <w:sz w:val="18"/>
          <w:szCs w:val="20"/>
          <w:lang w:val="es-ES_tradnl"/>
        </w:rPr>
        <w:tab/>
        <w:t xml:space="preserve"> 4) Insuficiencia renal ¿agudo?</w:t>
      </w:r>
    </w:p>
    <w:p w14:paraId="2025FC9B" w14:textId="77777777" w:rsidR="00E22B60" w:rsidRPr="00E47EFA" w:rsidRDefault="00E22B60" w:rsidP="00E22B60">
      <w:pPr>
        <w:tabs>
          <w:tab w:val="left" w:pos="567"/>
          <w:tab w:val="left" w:pos="630"/>
          <w:tab w:val="left" w:pos="810"/>
          <w:tab w:val="left" w:pos="1530"/>
          <w:tab w:val="left" w:pos="1620"/>
        </w:tabs>
        <w:ind w:left="720" w:right="-360"/>
        <w:rPr>
          <w:rFonts w:eastAsia="Calibri"/>
          <w:sz w:val="18"/>
          <w:szCs w:val="20"/>
          <w:lang w:val="es-ES_tradnl"/>
        </w:rPr>
      </w:pPr>
      <w:r w:rsidRPr="00E47EFA">
        <w:rPr>
          <w:rFonts w:eastAsia="Calibri"/>
          <w:sz w:val="18"/>
          <w:szCs w:val="20"/>
          <w:lang w:val="es-ES_tradnl"/>
        </w:rPr>
        <w:tab/>
      </w:r>
      <w:r w:rsidRPr="00E47EFA">
        <w:rPr>
          <w:rFonts w:eastAsia="Calibri"/>
          <w:sz w:val="18"/>
          <w:szCs w:val="20"/>
          <w:lang w:val="es-ES_tradnl"/>
        </w:rPr>
        <w:tab/>
        <w:t xml:space="preserve"> </w:t>
      </w:r>
      <w:r w:rsidRPr="00C64243">
        <w:rPr>
          <w:rFonts w:eastAsia="Calibri"/>
          <w:sz w:val="18"/>
          <w:szCs w:val="20"/>
          <w:lang w:val="es-ES_tradnl"/>
        </w:rPr>
        <w:t>5</w:t>
      </w:r>
      <w:r w:rsidRPr="00E47EFA">
        <w:rPr>
          <w:rFonts w:eastAsia="Calibri"/>
          <w:sz w:val="18"/>
          <w:szCs w:val="20"/>
          <w:lang w:val="es-ES_tradnl"/>
        </w:rPr>
        <w:t>) HTA</w:t>
      </w:r>
    </w:p>
    <w:p w14:paraId="6C588505" w14:textId="77777777" w:rsidR="00E22B60" w:rsidRPr="00E47EFA" w:rsidRDefault="00E22B60" w:rsidP="00E22B60">
      <w:pPr>
        <w:tabs>
          <w:tab w:val="left" w:pos="567"/>
          <w:tab w:val="left" w:pos="630"/>
          <w:tab w:val="left" w:pos="810"/>
          <w:tab w:val="left" w:pos="1530"/>
          <w:tab w:val="left" w:pos="1620"/>
        </w:tabs>
        <w:ind w:left="720" w:right="-360"/>
        <w:rPr>
          <w:rFonts w:eastAsia="Calibri"/>
          <w:sz w:val="18"/>
          <w:szCs w:val="20"/>
          <w:lang w:val="es-ES_tradnl"/>
        </w:rPr>
      </w:pPr>
      <w:r w:rsidRPr="00E47EFA">
        <w:rPr>
          <w:rFonts w:eastAsia="Calibri"/>
          <w:sz w:val="18"/>
          <w:szCs w:val="20"/>
          <w:lang w:val="es-ES_tradnl"/>
        </w:rPr>
        <w:tab/>
      </w:r>
      <w:r w:rsidRPr="00E47EFA">
        <w:rPr>
          <w:rFonts w:eastAsia="Calibri"/>
          <w:sz w:val="18"/>
          <w:szCs w:val="20"/>
          <w:lang w:val="es-ES_tradnl"/>
        </w:rPr>
        <w:tab/>
        <w:t xml:space="preserve"> 6) ICC</w:t>
      </w:r>
    </w:p>
    <w:p w14:paraId="1AF4124C" w14:textId="77777777" w:rsidR="00E22B60" w:rsidRPr="00E47EFA" w:rsidRDefault="00E22B60" w:rsidP="00E22B60">
      <w:pPr>
        <w:tabs>
          <w:tab w:val="left" w:pos="567"/>
          <w:tab w:val="left" w:pos="630"/>
          <w:tab w:val="left" w:pos="810"/>
          <w:tab w:val="left" w:pos="1530"/>
          <w:tab w:val="left" w:pos="1620"/>
        </w:tabs>
        <w:ind w:left="720" w:right="-360"/>
        <w:rPr>
          <w:rFonts w:eastAsia="Calibri"/>
          <w:sz w:val="18"/>
          <w:szCs w:val="20"/>
          <w:lang w:val="es-ES_tradnl"/>
        </w:rPr>
      </w:pPr>
      <w:r w:rsidRPr="00E47EFA">
        <w:rPr>
          <w:rFonts w:eastAsia="Calibri"/>
          <w:sz w:val="18"/>
          <w:szCs w:val="20"/>
          <w:lang w:val="es-ES_tradnl"/>
        </w:rPr>
        <w:tab/>
      </w:r>
      <w:r w:rsidRPr="00E47EFA">
        <w:rPr>
          <w:rFonts w:eastAsia="Calibri"/>
          <w:sz w:val="18"/>
          <w:szCs w:val="20"/>
          <w:lang w:val="es-ES_tradnl"/>
        </w:rPr>
        <w:tab/>
        <w:t xml:space="preserve"> 7) </w:t>
      </w:r>
      <w:proofErr w:type="spellStart"/>
      <w:r w:rsidRPr="00E47EFA">
        <w:rPr>
          <w:rFonts w:eastAsia="Calibri"/>
          <w:sz w:val="18"/>
          <w:szCs w:val="20"/>
          <w:lang w:val="es-ES_tradnl"/>
        </w:rPr>
        <w:t>ACx</w:t>
      </w:r>
      <w:proofErr w:type="spellEnd"/>
      <w:r w:rsidRPr="00E47EFA">
        <w:rPr>
          <w:rFonts w:eastAsia="Calibri"/>
          <w:sz w:val="18"/>
          <w:szCs w:val="20"/>
          <w:lang w:val="es-ES_tradnl"/>
        </w:rPr>
        <w:t xml:space="preserve"> FA</w:t>
      </w:r>
    </w:p>
    <w:p w14:paraId="206E9C4B" w14:textId="77777777" w:rsidR="00E22B60" w:rsidRPr="00E47EFA" w:rsidRDefault="00E22B60" w:rsidP="00E22B60">
      <w:pPr>
        <w:tabs>
          <w:tab w:val="left" w:pos="567"/>
          <w:tab w:val="left" w:pos="630"/>
          <w:tab w:val="left" w:pos="810"/>
          <w:tab w:val="left" w:pos="1530"/>
          <w:tab w:val="left" w:pos="1620"/>
        </w:tabs>
        <w:ind w:left="720" w:right="-360"/>
        <w:rPr>
          <w:rFonts w:eastAsia="Calibri"/>
          <w:sz w:val="18"/>
          <w:szCs w:val="20"/>
          <w:lang w:val="es-ES_tradnl"/>
        </w:rPr>
      </w:pPr>
      <w:r w:rsidRPr="00E47EFA">
        <w:rPr>
          <w:rFonts w:eastAsia="Calibri"/>
          <w:sz w:val="18"/>
          <w:szCs w:val="20"/>
          <w:lang w:val="es-ES_tradnl"/>
        </w:rPr>
        <w:tab/>
      </w:r>
      <w:r w:rsidRPr="00E47EFA">
        <w:rPr>
          <w:rFonts w:eastAsia="Calibri"/>
          <w:sz w:val="18"/>
          <w:szCs w:val="20"/>
          <w:lang w:val="es-ES_tradnl"/>
        </w:rPr>
        <w:tab/>
        <w:t xml:space="preserve"> 8) Cardiopatía coronaria</w:t>
      </w:r>
    </w:p>
    <w:p w14:paraId="4E6EA2F1" w14:textId="77777777" w:rsidR="00E22B60" w:rsidRPr="00E47EFA" w:rsidRDefault="00E22B60" w:rsidP="00E22B60">
      <w:pPr>
        <w:tabs>
          <w:tab w:val="left" w:pos="567"/>
          <w:tab w:val="left" w:pos="630"/>
          <w:tab w:val="left" w:pos="810"/>
          <w:tab w:val="left" w:pos="1530"/>
          <w:tab w:val="left" w:pos="1620"/>
        </w:tabs>
        <w:ind w:left="720" w:right="-360"/>
        <w:rPr>
          <w:rFonts w:eastAsia="Calibri"/>
          <w:sz w:val="18"/>
          <w:szCs w:val="20"/>
          <w:lang w:val="es-ES_tradnl"/>
        </w:rPr>
      </w:pPr>
      <w:r w:rsidRPr="00E47EFA">
        <w:rPr>
          <w:rFonts w:eastAsia="Calibri"/>
          <w:sz w:val="18"/>
          <w:szCs w:val="20"/>
          <w:lang w:val="es-ES_tradnl"/>
        </w:rPr>
        <w:tab/>
      </w:r>
      <w:r w:rsidRPr="00E47EFA">
        <w:rPr>
          <w:rFonts w:eastAsia="Calibri"/>
          <w:sz w:val="18"/>
          <w:szCs w:val="20"/>
          <w:lang w:val="es-ES_tradnl"/>
        </w:rPr>
        <w:tab/>
        <w:t xml:space="preserve"> 9) </w:t>
      </w:r>
      <w:proofErr w:type="spellStart"/>
      <w:r w:rsidRPr="00E47EFA">
        <w:rPr>
          <w:rFonts w:eastAsia="Calibri"/>
          <w:sz w:val="18"/>
          <w:szCs w:val="20"/>
          <w:lang w:val="es-ES_tradnl"/>
        </w:rPr>
        <w:t>Hipercolemia</w:t>
      </w:r>
      <w:proofErr w:type="spellEnd"/>
    </w:p>
    <w:p w14:paraId="056DCC26" w14:textId="77777777" w:rsidR="00E22B60" w:rsidRPr="00C64243" w:rsidRDefault="00E22B60" w:rsidP="00E22B60">
      <w:pPr>
        <w:tabs>
          <w:tab w:val="left" w:pos="567"/>
          <w:tab w:val="left" w:pos="630"/>
          <w:tab w:val="left" w:pos="810"/>
          <w:tab w:val="left" w:pos="1530"/>
          <w:tab w:val="left" w:pos="1620"/>
        </w:tabs>
        <w:ind w:left="720" w:right="-360"/>
        <w:rPr>
          <w:rFonts w:eastAsia="Calibri"/>
          <w:sz w:val="18"/>
          <w:szCs w:val="20"/>
          <w:lang w:val="es-ES_tradnl"/>
        </w:rPr>
      </w:pPr>
      <w:r>
        <w:rPr>
          <w:rFonts w:eastAsia="Calibri"/>
          <w:sz w:val="18"/>
          <w:szCs w:val="20"/>
          <w:lang w:val="es-ES_tradnl"/>
        </w:rPr>
        <w:tab/>
        <w:t xml:space="preserve">          </w:t>
      </w:r>
      <w:r w:rsidRPr="00E47EFA">
        <w:rPr>
          <w:rFonts w:eastAsia="Calibri"/>
          <w:sz w:val="18"/>
          <w:szCs w:val="20"/>
          <w:lang w:val="es-ES_tradnl"/>
        </w:rPr>
        <w:t>10) Compromiso conciencia […]</w:t>
      </w:r>
      <w:r>
        <w:rPr>
          <w:rFonts w:eastAsia="Calibri"/>
          <w:sz w:val="18"/>
          <w:szCs w:val="20"/>
          <w:lang w:val="es-ES_tradnl"/>
        </w:rPr>
        <w:t>”</w:t>
      </w:r>
    </w:p>
    <w:p w14:paraId="603D840D" w14:textId="77777777" w:rsidR="00E22B60" w:rsidRPr="00E47EFA" w:rsidRDefault="00E22B60" w:rsidP="00E22B60">
      <w:pPr>
        <w:tabs>
          <w:tab w:val="left" w:pos="630"/>
          <w:tab w:val="left" w:pos="810"/>
          <w:tab w:val="left" w:pos="1530"/>
          <w:tab w:val="left" w:pos="1620"/>
        </w:tabs>
        <w:ind w:right="-360"/>
        <w:contextualSpacing/>
        <w:rPr>
          <w:rFonts w:eastAsia="Calibri"/>
          <w:sz w:val="20"/>
          <w:szCs w:val="20"/>
        </w:rPr>
      </w:pPr>
    </w:p>
    <w:p w14:paraId="32FFD40B" w14:textId="77777777"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Según las declaraciones de los familiares en el segundo ingreso sucedieron los siguientes hechos que el Estado no controvirtió:</w:t>
      </w:r>
    </w:p>
    <w:p w14:paraId="1B76845D" w14:textId="77777777" w:rsidR="00E22B60" w:rsidRPr="00E47EFA" w:rsidRDefault="00E22B60" w:rsidP="00E22B60">
      <w:pPr>
        <w:tabs>
          <w:tab w:val="left" w:pos="630"/>
          <w:tab w:val="left" w:pos="810"/>
          <w:tab w:val="left" w:pos="1530"/>
          <w:tab w:val="left" w:pos="1620"/>
        </w:tabs>
        <w:ind w:right="-360"/>
        <w:contextualSpacing/>
        <w:rPr>
          <w:rFonts w:eastAsia="Calibri"/>
          <w:sz w:val="20"/>
          <w:szCs w:val="20"/>
        </w:rPr>
      </w:pPr>
    </w:p>
    <w:p w14:paraId="2CC09983" w14:textId="7D8B39D0" w:rsidR="00E22B60" w:rsidRPr="00E47EFA" w:rsidRDefault="00E22B60" w:rsidP="00E22B60">
      <w:pPr>
        <w:numPr>
          <w:ilvl w:val="0"/>
          <w:numId w:val="8"/>
        </w:numPr>
        <w:tabs>
          <w:tab w:val="left" w:pos="810"/>
          <w:tab w:val="left" w:pos="1530"/>
          <w:tab w:val="left" w:pos="1620"/>
        </w:tabs>
        <w:ind w:right="-360"/>
        <w:contextualSpacing/>
        <w:rPr>
          <w:rFonts w:eastAsia="Calibri"/>
          <w:sz w:val="20"/>
          <w:szCs w:val="20"/>
        </w:rPr>
      </w:pPr>
      <w:r w:rsidRPr="00E47EFA">
        <w:rPr>
          <w:rFonts w:eastAsia="Calibri"/>
          <w:sz w:val="20"/>
          <w:szCs w:val="20"/>
        </w:rPr>
        <w:t xml:space="preserve">Vinicio Marco Antonio Poblete Tapia declaró que </w:t>
      </w:r>
      <w:r w:rsidR="00674700">
        <w:rPr>
          <w:rFonts w:eastAsia="Calibri"/>
          <w:sz w:val="20"/>
          <w:szCs w:val="20"/>
        </w:rPr>
        <w:t>el Dr. Gonzales</w:t>
      </w:r>
      <w:r w:rsidRPr="00E47EFA">
        <w:rPr>
          <w:rFonts w:eastAsia="Calibri"/>
          <w:sz w:val="20"/>
          <w:szCs w:val="20"/>
        </w:rPr>
        <w:t xml:space="preserve"> le informó que su padre necesitaba un respirador mecánico, ya que no había en las instalaciones de la UCI Quirúrgica pero sí en la UCI Médica</w:t>
      </w:r>
      <w:r w:rsidRPr="00E47EFA">
        <w:rPr>
          <w:rFonts w:eastAsia="Calibri"/>
          <w:sz w:val="20"/>
          <w:szCs w:val="20"/>
          <w:vertAlign w:val="superscript"/>
        </w:rPr>
        <w:footnoteReference w:id="48"/>
      </w:r>
      <w:r w:rsidRPr="00E47EFA">
        <w:rPr>
          <w:rFonts w:eastAsia="Calibri"/>
          <w:sz w:val="20"/>
          <w:szCs w:val="20"/>
        </w:rPr>
        <w:t xml:space="preserve">. </w:t>
      </w:r>
    </w:p>
    <w:p w14:paraId="73CDF321" w14:textId="77777777" w:rsidR="00E22B60" w:rsidRPr="00E47EFA" w:rsidRDefault="00E22B60" w:rsidP="00E22B60">
      <w:pPr>
        <w:tabs>
          <w:tab w:val="left" w:pos="810"/>
          <w:tab w:val="left" w:pos="1530"/>
          <w:tab w:val="left" w:pos="1620"/>
        </w:tabs>
        <w:ind w:left="720" w:right="-360" w:hanging="360"/>
        <w:contextualSpacing/>
        <w:rPr>
          <w:rFonts w:eastAsia="Calibri"/>
          <w:sz w:val="20"/>
          <w:szCs w:val="20"/>
        </w:rPr>
      </w:pPr>
    </w:p>
    <w:p w14:paraId="3EF53033" w14:textId="6135E63C" w:rsidR="00E22B60" w:rsidRPr="00E47EFA" w:rsidRDefault="00E22B60" w:rsidP="00E22B60">
      <w:pPr>
        <w:numPr>
          <w:ilvl w:val="0"/>
          <w:numId w:val="8"/>
        </w:numPr>
        <w:tabs>
          <w:tab w:val="left" w:pos="810"/>
          <w:tab w:val="left" w:pos="1530"/>
          <w:tab w:val="left" w:pos="1620"/>
        </w:tabs>
        <w:ind w:right="-360"/>
        <w:contextualSpacing/>
        <w:rPr>
          <w:rFonts w:eastAsia="Calibri"/>
          <w:sz w:val="20"/>
          <w:szCs w:val="20"/>
        </w:rPr>
      </w:pPr>
      <w:r w:rsidRPr="00E47EFA">
        <w:rPr>
          <w:rFonts w:eastAsia="Calibri"/>
          <w:sz w:val="20"/>
          <w:szCs w:val="20"/>
        </w:rPr>
        <w:t>Vinicio Poblete Tapia le preguntó a</w:t>
      </w:r>
      <w:r w:rsidR="00674700">
        <w:rPr>
          <w:rFonts w:eastAsia="Calibri"/>
          <w:sz w:val="20"/>
          <w:szCs w:val="20"/>
        </w:rPr>
        <w:t xml:space="preserve"> un</w:t>
      </w:r>
      <w:r w:rsidRPr="00E47EFA">
        <w:rPr>
          <w:rFonts w:eastAsia="Calibri"/>
          <w:sz w:val="20"/>
          <w:szCs w:val="20"/>
        </w:rPr>
        <w:t xml:space="preserve"> doctor sobre la disponibilidad de un respirador mecánico, pero éste le respondió que “no sacaban nada con ponérselo, ya que igual iba a durar unos siete días más”</w:t>
      </w:r>
      <w:r w:rsidRPr="00E47EFA">
        <w:rPr>
          <w:rFonts w:eastAsia="Calibri"/>
          <w:sz w:val="20"/>
          <w:szCs w:val="20"/>
          <w:vertAlign w:val="superscript"/>
        </w:rPr>
        <w:footnoteReference w:id="49"/>
      </w:r>
      <w:r w:rsidRPr="00E47EFA">
        <w:rPr>
          <w:rFonts w:eastAsia="Calibri"/>
          <w:sz w:val="20"/>
          <w:szCs w:val="20"/>
        </w:rPr>
        <w:t>.</w:t>
      </w:r>
    </w:p>
    <w:p w14:paraId="5F46EE11" w14:textId="77777777" w:rsidR="00E22B60" w:rsidRPr="00E47EFA" w:rsidRDefault="00E22B60" w:rsidP="00E22B60">
      <w:pPr>
        <w:tabs>
          <w:tab w:val="left" w:pos="810"/>
          <w:tab w:val="left" w:pos="1530"/>
          <w:tab w:val="left" w:pos="1620"/>
        </w:tabs>
        <w:ind w:left="720" w:right="-360" w:hanging="360"/>
        <w:contextualSpacing/>
        <w:rPr>
          <w:rFonts w:eastAsia="Calibri"/>
          <w:sz w:val="20"/>
          <w:szCs w:val="20"/>
        </w:rPr>
      </w:pPr>
    </w:p>
    <w:p w14:paraId="3F27DE57" w14:textId="77777777" w:rsidR="00E22B60" w:rsidRPr="00E47EFA" w:rsidRDefault="00E22B60" w:rsidP="00E22B60">
      <w:pPr>
        <w:numPr>
          <w:ilvl w:val="0"/>
          <w:numId w:val="8"/>
        </w:numPr>
        <w:tabs>
          <w:tab w:val="left" w:pos="810"/>
          <w:tab w:val="left" w:pos="1530"/>
          <w:tab w:val="left" w:pos="1620"/>
        </w:tabs>
        <w:ind w:right="-360"/>
        <w:contextualSpacing/>
        <w:rPr>
          <w:rFonts w:eastAsia="Calibri"/>
          <w:sz w:val="20"/>
          <w:szCs w:val="20"/>
        </w:rPr>
      </w:pPr>
      <w:proofErr w:type="spellStart"/>
      <w:r w:rsidRPr="00E47EFA">
        <w:rPr>
          <w:rFonts w:eastAsia="Calibri"/>
          <w:sz w:val="20"/>
          <w:szCs w:val="20"/>
        </w:rPr>
        <w:t>Cesia</w:t>
      </w:r>
      <w:proofErr w:type="spellEnd"/>
      <w:r w:rsidRPr="00E47EFA">
        <w:rPr>
          <w:rFonts w:eastAsia="Calibri"/>
          <w:sz w:val="20"/>
          <w:szCs w:val="20"/>
        </w:rPr>
        <w:t xml:space="preserve"> Leila Siria Poblete declaró que  su padre permaneció en su segundo ingreso en la UCI Quirúrgica y un médico le informó a su hermano, Vinicio, que necesitaba de un respirador mecánico, el cual no había en dichas instalaciones pero sí en la UCI Médica</w:t>
      </w:r>
      <w:r w:rsidRPr="00E47EFA">
        <w:rPr>
          <w:rFonts w:eastAsia="Calibri"/>
          <w:sz w:val="20"/>
          <w:szCs w:val="20"/>
          <w:vertAlign w:val="superscript"/>
        </w:rPr>
        <w:footnoteReference w:id="50"/>
      </w:r>
      <w:r w:rsidRPr="00E47EFA">
        <w:rPr>
          <w:rFonts w:eastAsia="Calibri"/>
          <w:sz w:val="20"/>
          <w:szCs w:val="20"/>
        </w:rPr>
        <w:t xml:space="preserve">. </w:t>
      </w:r>
    </w:p>
    <w:p w14:paraId="7789731D" w14:textId="77777777" w:rsidR="00E22B60" w:rsidRPr="00E47EFA" w:rsidRDefault="00E22B60" w:rsidP="00E22B60">
      <w:pPr>
        <w:tabs>
          <w:tab w:val="left" w:pos="810"/>
          <w:tab w:val="left" w:pos="1530"/>
          <w:tab w:val="left" w:pos="1620"/>
        </w:tabs>
        <w:ind w:left="720" w:right="-360" w:hanging="360"/>
        <w:contextualSpacing/>
        <w:rPr>
          <w:rFonts w:eastAsia="Calibri"/>
          <w:sz w:val="20"/>
          <w:szCs w:val="20"/>
        </w:rPr>
      </w:pPr>
    </w:p>
    <w:p w14:paraId="6F12129F" w14:textId="73647F56" w:rsidR="00E22B60" w:rsidRPr="00E47EFA" w:rsidRDefault="00E22B60" w:rsidP="00E22B60">
      <w:pPr>
        <w:numPr>
          <w:ilvl w:val="0"/>
          <w:numId w:val="8"/>
        </w:numPr>
        <w:tabs>
          <w:tab w:val="left" w:pos="810"/>
          <w:tab w:val="left" w:pos="1530"/>
          <w:tab w:val="left" w:pos="1620"/>
        </w:tabs>
        <w:ind w:right="-360"/>
        <w:rPr>
          <w:rFonts w:eastAsia="Calibri"/>
          <w:sz w:val="20"/>
          <w:szCs w:val="20"/>
        </w:rPr>
      </w:pPr>
      <w:proofErr w:type="spellStart"/>
      <w:r w:rsidRPr="00E47EFA">
        <w:rPr>
          <w:rFonts w:eastAsia="Calibri"/>
          <w:sz w:val="20"/>
          <w:szCs w:val="20"/>
        </w:rPr>
        <w:t>Cesia</w:t>
      </w:r>
      <w:proofErr w:type="spellEnd"/>
      <w:r w:rsidRPr="00E47EFA">
        <w:rPr>
          <w:rFonts w:eastAsia="Calibri"/>
          <w:sz w:val="20"/>
          <w:szCs w:val="20"/>
        </w:rPr>
        <w:t xml:space="preserve"> Leila Siria Poblete manifestó que su hermano Vinicio Marco</w:t>
      </w:r>
      <w:r w:rsidR="00126F91">
        <w:rPr>
          <w:rFonts w:eastAsia="Calibri"/>
          <w:sz w:val="20"/>
          <w:szCs w:val="20"/>
        </w:rPr>
        <w:t xml:space="preserve"> Poblete</w:t>
      </w:r>
      <w:r w:rsidRPr="00E47EFA">
        <w:rPr>
          <w:rFonts w:eastAsia="Calibri"/>
          <w:sz w:val="20"/>
          <w:szCs w:val="20"/>
        </w:rPr>
        <w:t xml:space="preserve"> llamó al hospital y la doctora que se encontraba a cargo de su padre le dijo a que lo habían subido a UCI Quirúrgica y no a la UCI Médica, porque no era posible que subieran a un viejo a la UCI Médica ya que había que darle esa posibilidad a alguien más joven</w:t>
      </w:r>
      <w:r w:rsidRPr="00E47EFA">
        <w:rPr>
          <w:rFonts w:eastAsia="Calibri"/>
          <w:sz w:val="20"/>
          <w:szCs w:val="20"/>
          <w:vertAlign w:val="superscript"/>
        </w:rPr>
        <w:footnoteReference w:id="51"/>
      </w:r>
      <w:r w:rsidRPr="00E47EFA">
        <w:rPr>
          <w:rFonts w:eastAsia="Calibri"/>
          <w:sz w:val="20"/>
          <w:szCs w:val="20"/>
        </w:rPr>
        <w:t>.</w:t>
      </w:r>
    </w:p>
    <w:p w14:paraId="23615DF7" w14:textId="77777777" w:rsidR="00E22B60" w:rsidRPr="00E47EFA" w:rsidRDefault="00E22B60" w:rsidP="00E22B60">
      <w:pPr>
        <w:tabs>
          <w:tab w:val="left" w:pos="810"/>
          <w:tab w:val="left" w:pos="1530"/>
          <w:tab w:val="left" w:pos="1620"/>
        </w:tabs>
        <w:ind w:left="720" w:right="-360" w:hanging="360"/>
        <w:rPr>
          <w:rFonts w:eastAsia="Calibri"/>
          <w:sz w:val="20"/>
          <w:szCs w:val="20"/>
        </w:rPr>
      </w:pPr>
    </w:p>
    <w:p w14:paraId="695E9E7A" w14:textId="66DE9A52" w:rsidR="00E22B60" w:rsidRPr="00E47EFA" w:rsidRDefault="00E22B60" w:rsidP="00E22B60">
      <w:pPr>
        <w:numPr>
          <w:ilvl w:val="0"/>
          <w:numId w:val="8"/>
        </w:numPr>
        <w:tabs>
          <w:tab w:val="left" w:pos="810"/>
          <w:tab w:val="left" w:pos="1530"/>
          <w:tab w:val="left" w:pos="1620"/>
        </w:tabs>
        <w:ind w:right="-360"/>
        <w:rPr>
          <w:rFonts w:eastAsia="Calibri"/>
          <w:sz w:val="20"/>
          <w:szCs w:val="20"/>
        </w:rPr>
      </w:pPr>
      <w:proofErr w:type="spellStart"/>
      <w:r w:rsidRPr="00E47EFA">
        <w:rPr>
          <w:rFonts w:eastAsia="Calibri"/>
          <w:sz w:val="20"/>
          <w:szCs w:val="20"/>
        </w:rPr>
        <w:t>Cesia</w:t>
      </w:r>
      <w:proofErr w:type="spellEnd"/>
      <w:r w:rsidRPr="00E47EFA">
        <w:rPr>
          <w:rFonts w:eastAsia="Calibri"/>
          <w:sz w:val="20"/>
          <w:szCs w:val="20"/>
        </w:rPr>
        <w:t xml:space="preserve"> Leila Siria Poblete agregó que su hermano Vinicio</w:t>
      </w:r>
      <w:r w:rsidR="00126F91">
        <w:rPr>
          <w:rFonts w:eastAsia="Calibri"/>
          <w:sz w:val="20"/>
          <w:szCs w:val="20"/>
        </w:rPr>
        <w:t xml:space="preserve"> Marco Poblete</w:t>
      </w:r>
      <w:r w:rsidRPr="00E47EFA">
        <w:rPr>
          <w:rFonts w:eastAsia="Calibri"/>
          <w:sz w:val="20"/>
          <w:szCs w:val="20"/>
        </w:rPr>
        <w:t xml:space="preserve"> se comunicó a la UCI Médica hablando con el subdirector Dr. Humberto </w:t>
      </w:r>
      <w:proofErr w:type="spellStart"/>
      <w:r w:rsidRPr="00E47EFA">
        <w:rPr>
          <w:rFonts w:eastAsia="Calibri"/>
          <w:sz w:val="20"/>
          <w:szCs w:val="20"/>
        </w:rPr>
        <w:t>Montecinos</w:t>
      </w:r>
      <w:proofErr w:type="spellEnd"/>
      <w:r w:rsidRPr="00E47EFA">
        <w:rPr>
          <w:rFonts w:eastAsia="Calibri"/>
          <w:sz w:val="20"/>
          <w:szCs w:val="20"/>
        </w:rPr>
        <w:t xml:space="preserve"> para pedirle que ayudaran a su padre y lo ingresaran a la UCI Médica en donde sí contaban con el respirador, a lo que el médico contestó “que él ya le había dado una oportunidad para estar en la UCI Médica la </w:t>
      </w:r>
      <w:r w:rsidRPr="00E47EFA">
        <w:rPr>
          <w:rFonts w:eastAsia="Calibri"/>
          <w:sz w:val="20"/>
          <w:szCs w:val="20"/>
        </w:rPr>
        <w:lastRenderedPageBreak/>
        <w:t>primera vez que había estado hospitalizado, por lo que no le darían una nueva [oportunidad]”</w:t>
      </w:r>
      <w:r w:rsidRPr="00E47EFA">
        <w:rPr>
          <w:rFonts w:eastAsia="Calibri"/>
          <w:sz w:val="20"/>
          <w:szCs w:val="20"/>
          <w:vertAlign w:val="superscript"/>
        </w:rPr>
        <w:footnoteReference w:id="52"/>
      </w:r>
      <w:r w:rsidRPr="00E47EFA">
        <w:rPr>
          <w:rFonts w:eastAsia="Calibri"/>
          <w:sz w:val="20"/>
          <w:szCs w:val="20"/>
        </w:rPr>
        <w:t>.</w:t>
      </w:r>
    </w:p>
    <w:p w14:paraId="6DF28EAD" w14:textId="77777777" w:rsidR="00E22B60" w:rsidRPr="00E47EFA" w:rsidRDefault="00E22B60" w:rsidP="00E22B60">
      <w:pPr>
        <w:tabs>
          <w:tab w:val="left" w:pos="810"/>
          <w:tab w:val="left" w:pos="1530"/>
          <w:tab w:val="left" w:pos="1620"/>
        </w:tabs>
        <w:ind w:left="720" w:right="-360" w:hanging="360"/>
        <w:rPr>
          <w:rFonts w:eastAsia="Calibri"/>
          <w:sz w:val="20"/>
          <w:szCs w:val="20"/>
        </w:rPr>
      </w:pPr>
    </w:p>
    <w:p w14:paraId="0D587352" w14:textId="77777777" w:rsidR="00E22B60" w:rsidRPr="00E47EFA" w:rsidRDefault="00E22B60" w:rsidP="00E22B60">
      <w:pPr>
        <w:numPr>
          <w:ilvl w:val="0"/>
          <w:numId w:val="8"/>
        </w:numPr>
        <w:tabs>
          <w:tab w:val="left" w:pos="810"/>
          <w:tab w:val="left" w:pos="1530"/>
          <w:tab w:val="left" w:pos="1620"/>
        </w:tabs>
        <w:ind w:right="-360"/>
        <w:contextualSpacing/>
        <w:rPr>
          <w:rFonts w:eastAsia="Calibri"/>
          <w:sz w:val="20"/>
          <w:szCs w:val="20"/>
        </w:rPr>
      </w:pPr>
      <w:proofErr w:type="spellStart"/>
      <w:r w:rsidRPr="00E47EFA">
        <w:rPr>
          <w:rFonts w:eastAsia="Calibri"/>
          <w:sz w:val="20"/>
          <w:szCs w:val="20"/>
        </w:rPr>
        <w:t>Cesia</w:t>
      </w:r>
      <w:proofErr w:type="spellEnd"/>
      <w:r w:rsidRPr="00E47EFA">
        <w:rPr>
          <w:rFonts w:eastAsia="Calibri"/>
          <w:sz w:val="20"/>
          <w:szCs w:val="20"/>
        </w:rPr>
        <w:t xml:space="preserve"> Leila Siria Poblete declaró que, al no tener dinero para comprar un respirador para su padre, su hermano Vinicio Marco Antonio llamó a los canales de televisión solicitando ayuda para conseguir uno. Posteriormente, un periodista les informó que habían conseguido uno y que esa información ya había sido comunicada al doctor Humberto </w:t>
      </w:r>
      <w:proofErr w:type="spellStart"/>
      <w:r w:rsidRPr="00E47EFA">
        <w:rPr>
          <w:rFonts w:eastAsia="Calibri"/>
          <w:sz w:val="20"/>
          <w:szCs w:val="20"/>
        </w:rPr>
        <w:t>Montecinos</w:t>
      </w:r>
      <w:proofErr w:type="spellEnd"/>
      <w:r w:rsidRPr="00E47EFA">
        <w:rPr>
          <w:rFonts w:eastAsia="Calibri"/>
          <w:sz w:val="20"/>
          <w:szCs w:val="20"/>
        </w:rPr>
        <w:t>, pero los familiares nunca supieron qué paso con ese ventilador mecánico</w:t>
      </w:r>
      <w:r w:rsidRPr="00E47EFA">
        <w:rPr>
          <w:rFonts w:eastAsia="Calibri"/>
          <w:sz w:val="20"/>
          <w:szCs w:val="20"/>
          <w:vertAlign w:val="superscript"/>
        </w:rPr>
        <w:footnoteReference w:id="53"/>
      </w:r>
      <w:r w:rsidRPr="00E47EFA">
        <w:rPr>
          <w:rFonts w:eastAsia="Calibri"/>
          <w:sz w:val="20"/>
          <w:szCs w:val="20"/>
        </w:rPr>
        <w:t>.</w:t>
      </w:r>
    </w:p>
    <w:p w14:paraId="154CB6A1"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3B070DEA" w14:textId="77777777"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b/>
          <w:i/>
          <w:sz w:val="20"/>
          <w:szCs w:val="20"/>
        </w:rPr>
      </w:pPr>
      <w:r w:rsidRPr="00E47EFA">
        <w:rPr>
          <w:rFonts w:eastAsia="Calibri"/>
          <w:sz w:val="20"/>
          <w:szCs w:val="20"/>
        </w:rPr>
        <w:t>En la ficha clínica de Vinicio Antonio Poblete Vilches de 7 de febrero de 2001, a las 12:10 horas, se indica sobre el momento en el que se le proporcionó la información a los familiares sobre el estado de salud del señor Poblete Vilches:</w:t>
      </w:r>
    </w:p>
    <w:p w14:paraId="18AD922B" w14:textId="77777777" w:rsidR="00E22B60" w:rsidRPr="00E47EFA" w:rsidRDefault="00E22B60" w:rsidP="00E22B60">
      <w:pPr>
        <w:tabs>
          <w:tab w:val="left" w:pos="630"/>
          <w:tab w:val="left" w:pos="810"/>
          <w:tab w:val="left" w:pos="1530"/>
          <w:tab w:val="left" w:pos="1620"/>
          <w:tab w:val="left" w:pos="3254"/>
        </w:tabs>
        <w:ind w:right="-360"/>
        <w:rPr>
          <w:rFonts w:eastAsia="Calibri"/>
          <w:sz w:val="20"/>
          <w:szCs w:val="20"/>
        </w:rPr>
      </w:pPr>
      <w:r w:rsidRPr="00E47EFA">
        <w:rPr>
          <w:rFonts w:eastAsia="Calibri"/>
          <w:sz w:val="20"/>
          <w:szCs w:val="20"/>
        </w:rPr>
        <w:tab/>
      </w:r>
    </w:p>
    <w:p w14:paraId="55CD2C06" w14:textId="77777777" w:rsidR="00E22B60" w:rsidRPr="00E47EFA" w:rsidRDefault="00E22B60" w:rsidP="00E22B60">
      <w:pPr>
        <w:tabs>
          <w:tab w:val="left" w:pos="630"/>
          <w:tab w:val="left" w:pos="810"/>
          <w:tab w:val="left" w:pos="1530"/>
          <w:tab w:val="left" w:pos="1620"/>
        </w:tabs>
        <w:ind w:left="540" w:right="360"/>
        <w:contextualSpacing/>
        <w:rPr>
          <w:rFonts w:eastAsia="Calibri"/>
          <w:sz w:val="18"/>
          <w:szCs w:val="18"/>
        </w:rPr>
      </w:pPr>
      <w:r w:rsidRPr="00E47EFA">
        <w:rPr>
          <w:rFonts w:eastAsia="Calibri"/>
          <w:sz w:val="18"/>
          <w:szCs w:val="18"/>
        </w:rPr>
        <w:tab/>
        <w:t>“[…] Se ha conversado la gravedad de la situación con familiares, también he conversado sobre la decisión de manejar en intermedio y no en UCI por la condición y pronóstico del paciente, junto a la carencia de camas de paciente crítico. La familia muestra conformidad pero tengo dudas sobre si entienden a cabalidad el pronóstico [y] la enfermedad actual del paciente”</w:t>
      </w:r>
      <w:r w:rsidRPr="00E47EFA">
        <w:rPr>
          <w:rFonts w:eastAsia="Calibri"/>
          <w:sz w:val="18"/>
          <w:szCs w:val="18"/>
          <w:vertAlign w:val="superscript"/>
        </w:rPr>
        <w:footnoteReference w:id="54"/>
      </w:r>
      <w:r w:rsidRPr="00E47EFA">
        <w:rPr>
          <w:rFonts w:eastAsia="Calibri"/>
          <w:sz w:val="18"/>
          <w:szCs w:val="18"/>
        </w:rPr>
        <w:t>.</w:t>
      </w:r>
    </w:p>
    <w:p w14:paraId="3B1EC90F"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271406FD" w14:textId="77777777"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 xml:space="preserve">Según oficio del Director del Complejo Asistencial </w:t>
      </w:r>
      <w:proofErr w:type="spellStart"/>
      <w:r w:rsidRPr="00E47EFA">
        <w:rPr>
          <w:rFonts w:eastAsia="Calibri"/>
          <w:sz w:val="20"/>
          <w:szCs w:val="20"/>
        </w:rPr>
        <w:t>Sótero</w:t>
      </w:r>
      <w:proofErr w:type="spellEnd"/>
      <w:r w:rsidRPr="00E47EFA">
        <w:rPr>
          <w:rFonts w:eastAsia="Calibri"/>
          <w:sz w:val="20"/>
          <w:szCs w:val="20"/>
        </w:rPr>
        <w:t xml:space="preserve"> del Rio, señala que </w:t>
      </w:r>
      <w:r w:rsidRPr="00E47EFA">
        <w:rPr>
          <w:sz w:val="20"/>
          <w:szCs w:val="20"/>
        </w:rPr>
        <w:t xml:space="preserve">“[…] Con fecha 6 de febrero de 2001, el paciente Vinicio Antonio Poblete Vilches, </w:t>
      </w:r>
      <w:proofErr w:type="spellStart"/>
      <w:r w:rsidRPr="00E47EFA">
        <w:rPr>
          <w:sz w:val="20"/>
          <w:szCs w:val="20"/>
        </w:rPr>
        <w:t>reingres</w:t>
      </w:r>
      <w:proofErr w:type="spellEnd"/>
      <w:r w:rsidRPr="00E47EFA">
        <w:rPr>
          <w:sz w:val="20"/>
          <w:szCs w:val="20"/>
        </w:rPr>
        <w:t>[</w:t>
      </w:r>
      <w:proofErr w:type="spellStart"/>
      <w:r w:rsidRPr="00E47EFA">
        <w:rPr>
          <w:sz w:val="20"/>
          <w:szCs w:val="20"/>
        </w:rPr>
        <w:t>ó</w:t>
      </w:r>
      <w:proofErr w:type="spellEnd"/>
      <w:r w:rsidRPr="00E47EFA">
        <w:rPr>
          <w:sz w:val="20"/>
          <w:szCs w:val="20"/>
        </w:rPr>
        <w:t>] a la Unidad de Emergencia Adulto de este Centro Asistencial, hospitalizándose con diagnóstico de cuadro neum</w:t>
      </w:r>
      <w:r w:rsidRPr="00E47EFA">
        <w:rPr>
          <w:rFonts w:cs="Arial"/>
          <w:sz w:val="20"/>
          <w:szCs w:val="20"/>
        </w:rPr>
        <w:t xml:space="preserve">ónico y falla renal </w:t>
      </w:r>
      <w:r w:rsidRPr="00E47EFA">
        <w:rPr>
          <w:sz w:val="20"/>
          <w:szCs w:val="20"/>
        </w:rPr>
        <w:t xml:space="preserve"> […] En esta Unidad el Dr. Humberto </w:t>
      </w:r>
      <w:proofErr w:type="spellStart"/>
      <w:r w:rsidRPr="00E47EFA">
        <w:rPr>
          <w:sz w:val="20"/>
          <w:szCs w:val="20"/>
        </w:rPr>
        <w:t>Montecinos</w:t>
      </w:r>
      <w:proofErr w:type="spellEnd"/>
      <w:r w:rsidRPr="00E47EFA">
        <w:rPr>
          <w:sz w:val="20"/>
          <w:szCs w:val="20"/>
        </w:rPr>
        <w:t xml:space="preserve"> </w:t>
      </w:r>
      <w:proofErr w:type="spellStart"/>
      <w:r w:rsidRPr="00E47EFA">
        <w:rPr>
          <w:sz w:val="20"/>
          <w:szCs w:val="20"/>
        </w:rPr>
        <w:t>Salucci</w:t>
      </w:r>
      <w:proofErr w:type="spellEnd"/>
      <w:r w:rsidRPr="00E47EFA">
        <w:rPr>
          <w:sz w:val="20"/>
          <w:szCs w:val="20"/>
        </w:rPr>
        <w:t xml:space="preserve">, en conjunto con el equipo médico a cargo, atendiendo a la clínica y los exámenes disponibles, concluyen que el paciente presenta una falla </w:t>
      </w:r>
      <w:proofErr w:type="spellStart"/>
      <w:r w:rsidRPr="00E47EFA">
        <w:rPr>
          <w:sz w:val="20"/>
          <w:szCs w:val="20"/>
        </w:rPr>
        <w:t>multiorgánica</w:t>
      </w:r>
      <w:proofErr w:type="spellEnd"/>
      <w:r w:rsidRPr="00E47EFA">
        <w:rPr>
          <w:sz w:val="20"/>
          <w:szCs w:val="20"/>
        </w:rPr>
        <w:t>, situación que es informada a la familia del paciente, así como el mal pronóstico. Producto de la reunión que el equipo m</w:t>
      </w:r>
      <w:r w:rsidRPr="00E47EFA">
        <w:rPr>
          <w:rFonts w:cs="Arial"/>
          <w:sz w:val="20"/>
          <w:szCs w:val="20"/>
        </w:rPr>
        <w:t xml:space="preserve">édico tuvo con los familiares </w:t>
      </w:r>
      <w:r w:rsidRPr="00E47EFA">
        <w:rPr>
          <w:sz w:val="20"/>
          <w:szCs w:val="20"/>
        </w:rPr>
        <w:t xml:space="preserve">[…] se </w:t>
      </w:r>
      <w:proofErr w:type="spellStart"/>
      <w:r w:rsidRPr="00E47EFA">
        <w:rPr>
          <w:sz w:val="20"/>
          <w:szCs w:val="20"/>
        </w:rPr>
        <w:t>tom</w:t>
      </w:r>
      <w:proofErr w:type="spellEnd"/>
      <w:r w:rsidRPr="00E47EFA">
        <w:rPr>
          <w:sz w:val="20"/>
          <w:szCs w:val="20"/>
        </w:rPr>
        <w:t>[</w:t>
      </w:r>
      <w:proofErr w:type="spellStart"/>
      <w:r w:rsidRPr="00E47EFA">
        <w:rPr>
          <w:sz w:val="20"/>
          <w:szCs w:val="20"/>
        </w:rPr>
        <w:t>ó</w:t>
      </w:r>
      <w:proofErr w:type="spellEnd"/>
      <w:r w:rsidRPr="00E47EFA">
        <w:rPr>
          <w:sz w:val="20"/>
          <w:szCs w:val="20"/>
        </w:rPr>
        <w:t>] la decisión de no conectar al paciente a ventilación mecánica, considerando que era una limitación de esfuerzo terapéutico”</w:t>
      </w:r>
      <w:r w:rsidRPr="00E47EFA">
        <w:rPr>
          <w:sz w:val="20"/>
          <w:szCs w:val="20"/>
          <w:vertAlign w:val="superscript"/>
        </w:rPr>
        <w:footnoteReference w:id="55"/>
      </w:r>
      <w:r w:rsidRPr="00E47EFA">
        <w:rPr>
          <w:sz w:val="20"/>
          <w:szCs w:val="20"/>
        </w:rPr>
        <w:t xml:space="preserve">.  </w:t>
      </w:r>
    </w:p>
    <w:p w14:paraId="465CD6C6"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72A852FA" w14:textId="77777777" w:rsidR="00E22B60" w:rsidRPr="00E47EFA" w:rsidRDefault="00E22B60" w:rsidP="00E22B60">
      <w:pPr>
        <w:tabs>
          <w:tab w:val="left" w:pos="567"/>
          <w:tab w:val="left" w:pos="630"/>
          <w:tab w:val="left" w:pos="810"/>
          <w:tab w:val="left" w:pos="1530"/>
          <w:tab w:val="left" w:pos="1620"/>
        </w:tabs>
        <w:autoSpaceDE w:val="0"/>
        <w:autoSpaceDN w:val="0"/>
        <w:ind w:left="1440" w:right="-360"/>
        <w:contextualSpacing/>
        <w:outlineLvl w:val="2"/>
        <w:rPr>
          <w:rFonts w:eastAsia="Calibri"/>
          <w:b/>
          <w:spacing w:val="-2"/>
          <w:sz w:val="20"/>
          <w:szCs w:val="20"/>
          <w:lang w:val="es-ES" w:eastAsia="x-none"/>
        </w:rPr>
      </w:pPr>
      <w:r w:rsidRPr="00E47EFA">
        <w:rPr>
          <w:rFonts w:eastAsia="Calibri"/>
          <w:b/>
          <w:i/>
          <w:spacing w:val="-2"/>
          <w:sz w:val="20"/>
          <w:szCs w:val="20"/>
          <w:lang w:val="es-ES" w:eastAsia="x-none"/>
        </w:rPr>
        <w:t>1.  Fallecimiento del señor Poblete Vilches</w:t>
      </w:r>
    </w:p>
    <w:p w14:paraId="3E8433FC"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70CB2B6D" w14:textId="77777777"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En el peritaje médico emitido por el Servicio Médico Legal del Gobierno de Chile efectuado el 8 de junio de 2006 se indicó lo siguiente sobre las últimas horas de vida del señor Poblete Vilches:</w:t>
      </w:r>
    </w:p>
    <w:p w14:paraId="3D4DEF7B" w14:textId="77777777" w:rsidR="00E22B60" w:rsidRPr="00E47EFA" w:rsidRDefault="00E22B60" w:rsidP="00E22B60">
      <w:pPr>
        <w:tabs>
          <w:tab w:val="left" w:pos="630"/>
          <w:tab w:val="left" w:pos="810"/>
          <w:tab w:val="left" w:pos="1530"/>
          <w:tab w:val="left" w:pos="1620"/>
        </w:tabs>
        <w:ind w:right="-360"/>
        <w:contextualSpacing/>
        <w:rPr>
          <w:rFonts w:eastAsia="Calibri"/>
          <w:sz w:val="20"/>
          <w:szCs w:val="20"/>
        </w:rPr>
      </w:pPr>
    </w:p>
    <w:p w14:paraId="71E91753" w14:textId="77777777" w:rsidR="00E22B60" w:rsidRPr="00E47EFA" w:rsidRDefault="00E22B60" w:rsidP="00E22B60">
      <w:pPr>
        <w:tabs>
          <w:tab w:val="left" w:pos="630"/>
          <w:tab w:val="left" w:pos="810"/>
          <w:tab w:val="left" w:pos="1530"/>
          <w:tab w:val="left" w:pos="1620"/>
        </w:tabs>
        <w:ind w:left="540" w:right="360"/>
        <w:contextualSpacing/>
        <w:rPr>
          <w:rFonts w:eastAsia="Calibri"/>
          <w:sz w:val="18"/>
          <w:szCs w:val="18"/>
        </w:rPr>
      </w:pPr>
      <w:r>
        <w:rPr>
          <w:rFonts w:eastAsia="Calibri"/>
          <w:sz w:val="18"/>
          <w:szCs w:val="18"/>
        </w:rPr>
        <w:t>“</w:t>
      </w:r>
      <w:r w:rsidRPr="00E47EFA">
        <w:rPr>
          <w:rFonts w:eastAsia="Calibri"/>
          <w:sz w:val="18"/>
          <w:szCs w:val="18"/>
        </w:rPr>
        <w:t xml:space="preserve">23:20: En falla </w:t>
      </w:r>
      <w:proofErr w:type="spellStart"/>
      <w:r w:rsidRPr="00E47EFA">
        <w:rPr>
          <w:rFonts w:eastAsia="Calibri"/>
          <w:sz w:val="18"/>
          <w:szCs w:val="18"/>
        </w:rPr>
        <w:t>multiorgánica</w:t>
      </w:r>
      <w:proofErr w:type="spellEnd"/>
      <w:r w:rsidRPr="00E47EFA">
        <w:rPr>
          <w:rFonts w:eastAsia="Calibri"/>
          <w:sz w:val="18"/>
          <w:szCs w:val="18"/>
        </w:rPr>
        <w:t xml:space="preserve"> y acidosis metabólica progresiva. Esto asociado a patología previa constituye un mal pronóstico. En </w:t>
      </w:r>
      <w:proofErr w:type="spellStart"/>
      <w:r w:rsidRPr="00E47EFA">
        <w:rPr>
          <w:rFonts w:eastAsia="Calibri"/>
          <w:sz w:val="18"/>
          <w:szCs w:val="18"/>
        </w:rPr>
        <w:t>Intercunsulta</w:t>
      </w:r>
      <w:proofErr w:type="spellEnd"/>
      <w:r w:rsidRPr="00E47EFA">
        <w:rPr>
          <w:rFonts w:eastAsia="Calibri"/>
          <w:sz w:val="18"/>
          <w:szCs w:val="18"/>
        </w:rPr>
        <w:t xml:space="preserve"> [</w:t>
      </w:r>
      <w:r w:rsidRPr="00C64243">
        <w:rPr>
          <w:rFonts w:eastAsia="Calibri"/>
          <w:i/>
          <w:sz w:val="18"/>
          <w:szCs w:val="18"/>
        </w:rPr>
        <w:t>sic</w:t>
      </w:r>
      <w:r w:rsidRPr="00E47EFA">
        <w:rPr>
          <w:rFonts w:eastAsia="Calibri"/>
          <w:sz w:val="18"/>
          <w:szCs w:val="18"/>
        </w:rPr>
        <w:t xml:space="preserve">], médico de UCI anota paciente con compromiso de conciencia tóxico asociado a deterioro cerebral previo. Se conversa con familiares sobre la gravedad del paciente y la necesidad, por falta de cama en UCI de </w:t>
      </w:r>
      <w:proofErr w:type="spellStart"/>
      <w:r w:rsidRPr="00E47EFA">
        <w:rPr>
          <w:rFonts w:eastAsia="Calibri"/>
          <w:sz w:val="18"/>
          <w:szCs w:val="18"/>
        </w:rPr>
        <w:t>continuer</w:t>
      </w:r>
      <w:proofErr w:type="spellEnd"/>
      <w:r w:rsidRPr="00E47EFA">
        <w:rPr>
          <w:rFonts w:eastAsia="Calibri"/>
          <w:sz w:val="18"/>
          <w:szCs w:val="18"/>
        </w:rPr>
        <w:t xml:space="preserve"> [</w:t>
      </w:r>
      <w:r w:rsidRPr="00C64243">
        <w:rPr>
          <w:rFonts w:eastAsia="Calibri"/>
          <w:i/>
          <w:sz w:val="18"/>
          <w:szCs w:val="18"/>
        </w:rPr>
        <w:t>sic</w:t>
      </w:r>
      <w:r w:rsidRPr="00E47EFA">
        <w:rPr>
          <w:rFonts w:eastAsia="Calibri"/>
          <w:sz w:val="18"/>
          <w:szCs w:val="18"/>
        </w:rPr>
        <w:t>] en Servicio Intermedio. Médico duda sobre si familiares comprenden a cabalidad la situación actual y pronóstico del paciente. 5:45 horas se constata fallecimiento […]</w:t>
      </w:r>
      <w:r>
        <w:rPr>
          <w:rFonts w:eastAsia="Calibri"/>
          <w:sz w:val="18"/>
          <w:szCs w:val="18"/>
        </w:rPr>
        <w:t>”</w:t>
      </w:r>
      <w:r w:rsidRPr="00E47EFA">
        <w:rPr>
          <w:rFonts w:eastAsia="Calibri"/>
          <w:sz w:val="18"/>
          <w:szCs w:val="18"/>
          <w:vertAlign w:val="superscript"/>
        </w:rPr>
        <w:footnoteReference w:id="56"/>
      </w:r>
      <w:r w:rsidRPr="00E47EFA">
        <w:rPr>
          <w:rFonts w:eastAsia="Calibri"/>
          <w:sz w:val="18"/>
          <w:szCs w:val="18"/>
        </w:rPr>
        <w:t>.</w:t>
      </w:r>
    </w:p>
    <w:p w14:paraId="1630BC99" w14:textId="77777777" w:rsidR="00E22B60" w:rsidRPr="00E47EFA" w:rsidRDefault="00E22B60" w:rsidP="00E22B60">
      <w:pPr>
        <w:tabs>
          <w:tab w:val="left" w:pos="630"/>
          <w:tab w:val="left" w:pos="810"/>
          <w:tab w:val="left" w:pos="1530"/>
          <w:tab w:val="left" w:pos="1620"/>
        </w:tabs>
        <w:ind w:right="-360"/>
        <w:contextualSpacing/>
        <w:rPr>
          <w:rFonts w:eastAsia="Calibri"/>
          <w:b/>
          <w:i/>
          <w:sz w:val="18"/>
          <w:szCs w:val="18"/>
        </w:rPr>
      </w:pPr>
    </w:p>
    <w:p w14:paraId="66BFED35" w14:textId="77777777"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b/>
          <w:i/>
          <w:sz w:val="20"/>
          <w:szCs w:val="20"/>
        </w:rPr>
      </w:pPr>
      <w:r w:rsidRPr="00E47EFA">
        <w:rPr>
          <w:rFonts w:eastAsia="Calibri"/>
          <w:sz w:val="20"/>
          <w:szCs w:val="20"/>
        </w:rPr>
        <w:lastRenderedPageBreak/>
        <w:t>Según el certificado de defunción el señor Vinicio Antonio Poblete Vilches falleció de un shock séptico y una bronconeumonía bilateral a las 5:40 horas del 7 de febrero de 2001</w:t>
      </w:r>
      <w:r w:rsidRPr="00E47EFA">
        <w:rPr>
          <w:rFonts w:eastAsia="Calibri"/>
          <w:sz w:val="18"/>
          <w:szCs w:val="18"/>
          <w:vertAlign w:val="superscript"/>
        </w:rPr>
        <w:footnoteReference w:id="57"/>
      </w:r>
      <w:r w:rsidRPr="00E47EFA">
        <w:rPr>
          <w:rFonts w:eastAsia="Calibri"/>
          <w:sz w:val="20"/>
          <w:szCs w:val="20"/>
        </w:rPr>
        <w:t xml:space="preserve">. </w:t>
      </w:r>
    </w:p>
    <w:p w14:paraId="6BFBE9DC" w14:textId="77777777" w:rsidR="00E22B60" w:rsidRPr="00E47EFA" w:rsidRDefault="00E22B60" w:rsidP="00E22B60">
      <w:pPr>
        <w:tabs>
          <w:tab w:val="left" w:pos="630"/>
          <w:tab w:val="left" w:pos="810"/>
          <w:tab w:val="left" w:pos="1530"/>
          <w:tab w:val="left" w:pos="1620"/>
        </w:tabs>
        <w:ind w:right="-360"/>
        <w:contextualSpacing/>
        <w:rPr>
          <w:rFonts w:eastAsia="Calibri"/>
          <w:b/>
          <w:i/>
          <w:sz w:val="20"/>
          <w:szCs w:val="20"/>
        </w:rPr>
      </w:pPr>
    </w:p>
    <w:p w14:paraId="3A47946F" w14:textId="6BCE676F"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b/>
          <w:i/>
          <w:sz w:val="20"/>
          <w:szCs w:val="20"/>
        </w:rPr>
      </w:pPr>
      <w:r w:rsidRPr="00E47EFA">
        <w:rPr>
          <w:rFonts w:eastAsia="Calibri"/>
          <w:sz w:val="20"/>
          <w:szCs w:val="20"/>
        </w:rPr>
        <w:t>No obstante, los familiares declararon que recibieron una llamada informándoles que su pariente había muerto de un paro card</w:t>
      </w:r>
      <w:r w:rsidR="00BB4DD1">
        <w:rPr>
          <w:rFonts w:eastAsia="Calibri"/>
          <w:sz w:val="20"/>
          <w:szCs w:val="20"/>
        </w:rPr>
        <w:t>í</w:t>
      </w:r>
      <w:r w:rsidRPr="00E47EFA">
        <w:rPr>
          <w:rFonts w:eastAsia="Calibri"/>
          <w:sz w:val="20"/>
          <w:szCs w:val="20"/>
        </w:rPr>
        <w:t>aco</w:t>
      </w:r>
      <w:r w:rsidRPr="00E47EFA">
        <w:rPr>
          <w:rFonts w:eastAsia="Calibri"/>
          <w:sz w:val="18"/>
          <w:szCs w:val="18"/>
          <w:vertAlign w:val="superscript"/>
        </w:rPr>
        <w:footnoteReference w:id="58"/>
      </w:r>
      <w:r w:rsidRPr="00E47EFA">
        <w:rPr>
          <w:rFonts w:eastAsia="Calibri"/>
          <w:sz w:val="20"/>
          <w:szCs w:val="20"/>
        </w:rPr>
        <w:t>. Además, el señor Poblete Tapia manifestó que al acudir al hospital fue informado de que su padre había muerto por una falla en el hígado</w:t>
      </w:r>
      <w:r w:rsidRPr="00E47EFA">
        <w:rPr>
          <w:rFonts w:eastAsia="Calibri"/>
          <w:sz w:val="18"/>
          <w:szCs w:val="18"/>
          <w:vertAlign w:val="superscript"/>
        </w:rPr>
        <w:footnoteReference w:id="59"/>
      </w:r>
      <w:r w:rsidRPr="00E47EFA">
        <w:rPr>
          <w:rFonts w:eastAsia="Calibri"/>
          <w:sz w:val="20"/>
          <w:szCs w:val="20"/>
        </w:rPr>
        <w:t xml:space="preserve">. Posteriormente, los familiares indicaron que al acudir por el cuerpo, vieron </w:t>
      </w:r>
      <w:r w:rsidR="008F36CB" w:rsidRPr="00B1523A">
        <w:rPr>
          <w:rFonts w:eastAsia="Calibri"/>
          <w:sz w:val="20"/>
          <w:szCs w:val="20"/>
        </w:rPr>
        <w:t>que</w:t>
      </w:r>
      <w:r w:rsidR="008F36CB">
        <w:rPr>
          <w:rFonts w:eastAsia="Calibri"/>
          <w:sz w:val="20"/>
          <w:szCs w:val="20"/>
        </w:rPr>
        <w:t xml:space="preserve"> </w:t>
      </w:r>
      <w:r w:rsidRPr="00E47EFA">
        <w:rPr>
          <w:rFonts w:eastAsia="Calibri"/>
          <w:sz w:val="20"/>
          <w:szCs w:val="20"/>
        </w:rPr>
        <w:t xml:space="preserve">el señor Poblete Vilches </w:t>
      </w:r>
      <w:r w:rsidR="008F36CB" w:rsidRPr="00B1523A">
        <w:rPr>
          <w:rFonts w:eastAsia="Calibri"/>
          <w:sz w:val="20"/>
          <w:szCs w:val="20"/>
        </w:rPr>
        <w:t>tenía</w:t>
      </w:r>
      <w:r w:rsidR="008F36CB" w:rsidRPr="00AB1E03">
        <w:rPr>
          <w:rFonts w:eastAsia="Calibri"/>
          <w:b/>
          <w:sz w:val="20"/>
          <w:szCs w:val="20"/>
        </w:rPr>
        <w:t xml:space="preserve"> </w:t>
      </w:r>
      <w:r w:rsidRPr="00E47EFA">
        <w:rPr>
          <w:rFonts w:eastAsia="Calibri"/>
          <w:sz w:val="20"/>
          <w:szCs w:val="20"/>
        </w:rPr>
        <w:t>una cinta en su pecho que mencionaba como causa de muerte “edema pulmonar”</w:t>
      </w:r>
      <w:r w:rsidRPr="00E47EFA">
        <w:rPr>
          <w:rFonts w:eastAsia="Calibri"/>
          <w:sz w:val="18"/>
          <w:szCs w:val="18"/>
          <w:vertAlign w:val="superscript"/>
        </w:rPr>
        <w:footnoteReference w:id="60"/>
      </w:r>
      <w:r w:rsidRPr="00E47EFA">
        <w:rPr>
          <w:rFonts w:eastAsia="Calibri"/>
          <w:sz w:val="20"/>
          <w:szCs w:val="20"/>
        </w:rPr>
        <w:t xml:space="preserve">. </w:t>
      </w:r>
    </w:p>
    <w:p w14:paraId="6716355F" w14:textId="77777777" w:rsidR="00E22B60" w:rsidRPr="00E47EFA" w:rsidRDefault="00E22B60" w:rsidP="00E22B60">
      <w:pPr>
        <w:tabs>
          <w:tab w:val="left" w:pos="630"/>
          <w:tab w:val="left" w:pos="810"/>
          <w:tab w:val="left" w:pos="1530"/>
          <w:tab w:val="left" w:pos="1620"/>
        </w:tabs>
        <w:ind w:right="-360"/>
        <w:contextualSpacing/>
        <w:rPr>
          <w:rFonts w:eastAsia="Calibri"/>
          <w:sz w:val="20"/>
          <w:szCs w:val="20"/>
        </w:rPr>
      </w:pPr>
    </w:p>
    <w:p w14:paraId="5A0A6F8D" w14:textId="0B30FFCF"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b/>
          <w:i/>
          <w:sz w:val="20"/>
          <w:szCs w:val="20"/>
        </w:rPr>
      </w:pPr>
      <w:r w:rsidRPr="00E47EFA">
        <w:rPr>
          <w:rFonts w:eastAsia="Calibri"/>
          <w:sz w:val="20"/>
          <w:szCs w:val="20"/>
        </w:rPr>
        <w:t xml:space="preserve">Consecuentemente, los familiares solicitaron al hospital la realización de una autopsia, pero el hospital se negó </w:t>
      </w:r>
      <w:r w:rsidR="007C786B">
        <w:rPr>
          <w:rFonts w:eastAsia="Calibri"/>
          <w:sz w:val="20"/>
          <w:szCs w:val="20"/>
        </w:rPr>
        <w:t xml:space="preserve">a </w:t>
      </w:r>
      <w:r w:rsidRPr="00E47EFA">
        <w:rPr>
          <w:rFonts w:eastAsia="Calibri"/>
          <w:sz w:val="20"/>
          <w:szCs w:val="20"/>
        </w:rPr>
        <w:t>hacerla</w:t>
      </w:r>
      <w:r w:rsidRPr="00C64243">
        <w:rPr>
          <w:rFonts w:eastAsia="Calibri"/>
          <w:sz w:val="20"/>
          <w:szCs w:val="20"/>
          <w:vertAlign w:val="superscript"/>
        </w:rPr>
        <w:footnoteReference w:id="61"/>
      </w:r>
      <w:r w:rsidRPr="00E47EFA">
        <w:rPr>
          <w:rFonts w:eastAsia="Calibri"/>
          <w:sz w:val="20"/>
          <w:szCs w:val="20"/>
        </w:rPr>
        <w:t xml:space="preserve">. </w:t>
      </w:r>
    </w:p>
    <w:p w14:paraId="5D665F98" w14:textId="77777777" w:rsidR="00E22B60" w:rsidRPr="00E47EFA" w:rsidRDefault="00E22B60" w:rsidP="00E22B60">
      <w:pPr>
        <w:tabs>
          <w:tab w:val="left" w:pos="630"/>
          <w:tab w:val="left" w:pos="810"/>
          <w:tab w:val="left" w:pos="1530"/>
          <w:tab w:val="left" w:pos="1620"/>
        </w:tabs>
        <w:ind w:right="-360"/>
        <w:contextualSpacing/>
        <w:rPr>
          <w:rFonts w:eastAsia="Calibri"/>
          <w:b/>
          <w:i/>
          <w:sz w:val="20"/>
          <w:szCs w:val="20"/>
        </w:rPr>
      </w:pPr>
    </w:p>
    <w:p w14:paraId="0D1671DB" w14:textId="0A962B41" w:rsidR="00E22B60" w:rsidRDefault="00E22B60" w:rsidP="002C6D1C">
      <w:pPr>
        <w:keepNext/>
        <w:keepLines/>
        <w:numPr>
          <w:ilvl w:val="0"/>
          <w:numId w:val="29"/>
        </w:numPr>
        <w:tabs>
          <w:tab w:val="left" w:pos="630"/>
          <w:tab w:val="left" w:pos="810"/>
          <w:tab w:val="left" w:pos="1530"/>
          <w:tab w:val="left" w:pos="1620"/>
        </w:tabs>
        <w:ind w:left="1080" w:right="-360"/>
        <w:outlineLvl w:val="1"/>
        <w:rPr>
          <w:rFonts w:eastAsia="MS Mincho"/>
          <w:b/>
          <w:i/>
          <w:snapToGrid w:val="0"/>
          <w:sz w:val="20"/>
          <w:szCs w:val="26"/>
        </w:rPr>
      </w:pPr>
      <w:r w:rsidRPr="00E47EFA">
        <w:rPr>
          <w:rFonts w:eastAsia="MS Mincho"/>
          <w:b/>
          <w:i/>
          <w:sz w:val="20"/>
          <w:szCs w:val="26"/>
        </w:rPr>
        <w:t>Actuaciones</w:t>
      </w:r>
      <w:r w:rsidRPr="00E47EFA">
        <w:rPr>
          <w:rFonts w:eastAsia="MS Mincho"/>
          <w:b/>
          <w:i/>
          <w:snapToGrid w:val="0"/>
          <w:sz w:val="20"/>
          <w:szCs w:val="26"/>
        </w:rPr>
        <w:t xml:space="preserve"> de los familiares ante los órganos estatales</w:t>
      </w:r>
    </w:p>
    <w:p w14:paraId="71FA28DD" w14:textId="77777777" w:rsidR="002C6D1C" w:rsidRPr="002C6D1C" w:rsidRDefault="002C6D1C" w:rsidP="002C6D1C">
      <w:pPr>
        <w:keepNext/>
        <w:keepLines/>
        <w:tabs>
          <w:tab w:val="left" w:pos="630"/>
          <w:tab w:val="left" w:pos="810"/>
          <w:tab w:val="left" w:pos="1530"/>
          <w:tab w:val="left" w:pos="1620"/>
        </w:tabs>
        <w:ind w:left="1080" w:right="-360"/>
        <w:outlineLvl w:val="1"/>
        <w:rPr>
          <w:rFonts w:eastAsia="MS Mincho"/>
          <w:b/>
          <w:i/>
          <w:snapToGrid w:val="0"/>
          <w:sz w:val="20"/>
          <w:szCs w:val="26"/>
        </w:rPr>
      </w:pPr>
    </w:p>
    <w:p w14:paraId="311A915C" w14:textId="77777777" w:rsidR="00E22B60" w:rsidRPr="00E47EFA" w:rsidRDefault="00E22B60" w:rsidP="00E22B60">
      <w:pPr>
        <w:tabs>
          <w:tab w:val="left" w:pos="567"/>
          <w:tab w:val="left" w:pos="630"/>
          <w:tab w:val="left" w:pos="810"/>
          <w:tab w:val="left" w:pos="1530"/>
          <w:tab w:val="left" w:pos="1620"/>
        </w:tabs>
        <w:autoSpaceDE w:val="0"/>
        <w:autoSpaceDN w:val="0"/>
        <w:ind w:left="1440" w:right="-360"/>
        <w:contextualSpacing/>
        <w:outlineLvl w:val="2"/>
        <w:rPr>
          <w:rFonts w:eastAsia="Calibri"/>
          <w:b/>
          <w:i/>
          <w:spacing w:val="-2"/>
          <w:sz w:val="20"/>
          <w:szCs w:val="20"/>
          <w:lang w:val="es-ES" w:eastAsia="x-none"/>
        </w:rPr>
      </w:pPr>
      <w:r w:rsidRPr="00E47EFA">
        <w:rPr>
          <w:rFonts w:eastAsia="Calibri"/>
          <w:b/>
          <w:i/>
          <w:spacing w:val="-2"/>
          <w:sz w:val="20"/>
          <w:szCs w:val="20"/>
          <w:lang w:val="es-ES" w:eastAsia="x-none"/>
        </w:rPr>
        <w:t>1. Querellas criminales</w:t>
      </w:r>
    </w:p>
    <w:p w14:paraId="6347561A"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42BF21ED" w14:textId="1BAE0EA1"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b/>
          <w:i/>
          <w:sz w:val="20"/>
          <w:szCs w:val="20"/>
        </w:rPr>
      </w:pPr>
      <w:r w:rsidRPr="00E47EFA">
        <w:rPr>
          <w:rFonts w:eastAsia="Calibri"/>
          <w:sz w:val="20"/>
          <w:szCs w:val="20"/>
        </w:rPr>
        <w:t xml:space="preserve">El 12 de noviembre de 2001 Blanca Margarita Tapia Encina y </w:t>
      </w:r>
      <w:proofErr w:type="spellStart"/>
      <w:r w:rsidRPr="00E47EFA">
        <w:rPr>
          <w:rFonts w:eastAsia="Calibri"/>
          <w:sz w:val="20"/>
          <w:szCs w:val="20"/>
        </w:rPr>
        <w:t>Cesia</w:t>
      </w:r>
      <w:proofErr w:type="spellEnd"/>
      <w:r w:rsidRPr="00E47EFA">
        <w:rPr>
          <w:rFonts w:eastAsia="Calibri"/>
          <w:sz w:val="20"/>
          <w:szCs w:val="20"/>
        </w:rPr>
        <w:t xml:space="preserve"> Leila Poblete Tapia presentaron querella criminal por el delito culposo de homicidio ante el Primer Juzgado de Letras de Puente Alto</w:t>
      </w:r>
      <w:r w:rsidRPr="00E47EFA">
        <w:rPr>
          <w:rFonts w:eastAsia="Calibri"/>
          <w:sz w:val="20"/>
          <w:szCs w:val="20"/>
          <w:vertAlign w:val="superscript"/>
        </w:rPr>
        <w:footnoteReference w:id="62"/>
      </w:r>
      <w:r w:rsidRPr="00E47EFA">
        <w:rPr>
          <w:rFonts w:eastAsia="Calibri"/>
          <w:sz w:val="20"/>
          <w:szCs w:val="20"/>
        </w:rPr>
        <w:t xml:space="preserve"> (en adelante “Primer Juzgado Civil”) en contra de “María </w:t>
      </w:r>
      <w:proofErr w:type="spellStart"/>
      <w:r w:rsidRPr="00E47EFA">
        <w:rPr>
          <w:rFonts w:eastAsia="Calibri"/>
          <w:sz w:val="20"/>
          <w:szCs w:val="20"/>
        </w:rPr>
        <w:t>Chacon</w:t>
      </w:r>
      <w:proofErr w:type="spellEnd"/>
      <w:r w:rsidRPr="00E47EFA">
        <w:rPr>
          <w:rFonts w:eastAsia="Calibri"/>
          <w:sz w:val="20"/>
          <w:szCs w:val="20"/>
        </w:rPr>
        <w:t xml:space="preserve"> Fernández, Ximena Echeverría </w:t>
      </w:r>
      <w:proofErr w:type="spellStart"/>
      <w:r w:rsidRPr="00E47EFA">
        <w:rPr>
          <w:rFonts w:eastAsia="Calibri"/>
          <w:sz w:val="20"/>
          <w:szCs w:val="20"/>
        </w:rPr>
        <w:t>Pezoa</w:t>
      </w:r>
      <w:proofErr w:type="spellEnd"/>
      <w:r w:rsidRPr="00E47EFA">
        <w:rPr>
          <w:rFonts w:eastAsia="Calibri"/>
          <w:sz w:val="20"/>
          <w:szCs w:val="20"/>
        </w:rPr>
        <w:t xml:space="preserve">, Luis Carvajal Freire, Erick o Marcelo Garrido, del Sr. </w:t>
      </w:r>
      <w:proofErr w:type="spellStart"/>
      <w:r w:rsidRPr="00E47EFA">
        <w:rPr>
          <w:rFonts w:eastAsia="Calibri"/>
          <w:sz w:val="20"/>
          <w:szCs w:val="20"/>
        </w:rPr>
        <w:t>Anuch</w:t>
      </w:r>
      <w:proofErr w:type="spellEnd"/>
      <w:r w:rsidRPr="00E47EFA">
        <w:rPr>
          <w:rFonts w:eastAsia="Calibri"/>
          <w:sz w:val="20"/>
          <w:szCs w:val="20"/>
        </w:rPr>
        <w:t xml:space="preserve"> y Sr. Montesinos en su calidad de médicos o becados del Hospital </w:t>
      </w:r>
      <w:proofErr w:type="spellStart"/>
      <w:r w:rsidRPr="00E47EFA">
        <w:rPr>
          <w:rFonts w:eastAsia="Calibri"/>
          <w:sz w:val="20"/>
          <w:szCs w:val="20"/>
        </w:rPr>
        <w:t>Sótero</w:t>
      </w:r>
      <w:proofErr w:type="spellEnd"/>
      <w:r w:rsidRPr="00E47EFA">
        <w:rPr>
          <w:rFonts w:eastAsia="Calibri"/>
          <w:sz w:val="20"/>
          <w:szCs w:val="20"/>
        </w:rPr>
        <w:t xml:space="preserve"> del Río […], que atendieron profesionalmente a [su] familiar don Vinicio Antonio Poblete Vilches, quienes con su actuar, en forma inexplicable y absolutamente negligente y culpable, trajo consigo el desenlace fatal[…]”</w:t>
      </w:r>
      <w:r w:rsidRPr="00E47EFA">
        <w:rPr>
          <w:rFonts w:eastAsia="Calibri"/>
          <w:sz w:val="20"/>
          <w:szCs w:val="20"/>
          <w:vertAlign w:val="superscript"/>
        </w:rPr>
        <w:footnoteReference w:id="63"/>
      </w:r>
      <w:r w:rsidRPr="00E47EFA">
        <w:rPr>
          <w:rFonts w:eastAsia="Calibri"/>
          <w:sz w:val="20"/>
          <w:szCs w:val="20"/>
        </w:rPr>
        <w:t>. En dicha denuncia</w:t>
      </w:r>
      <w:r>
        <w:rPr>
          <w:sz w:val="16"/>
          <w:szCs w:val="16"/>
        </w:rPr>
        <w:t xml:space="preserve">, </w:t>
      </w:r>
      <w:r>
        <w:rPr>
          <w:sz w:val="20"/>
          <w:szCs w:val="20"/>
        </w:rPr>
        <w:t xml:space="preserve">sustanciada bajo el </w:t>
      </w:r>
      <w:r w:rsidRPr="005A5DC5">
        <w:rPr>
          <w:rFonts w:eastAsia="Calibri"/>
          <w:sz w:val="20"/>
          <w:szCs w:val="20"/>
        </w:rPr>
        <w:t>Número de Rol 75.821-M</w:t>
      </w:r>
      <w:r>
        <w:rPr>
          <w:rFonts w:eastAsia="Calibri"/>
          <w:sz w:val="20"/>
          <w:szCs w:val="20"/>
        </w:rPr>
        <w:t>,</w:t>
      </w:r>
      <w:r w:rsidRPr="00E47EFA">
        <w:rPr>
          <w:rFonts w:eastAsia="Calibri"/>
          <w:sz w:val="20"/>
          <w:szCs w:val="20"/>
        </w:rPr>
        <w:t xml:space="preserve"> se solicitaron las siguientes diligencias: i) citar a declarar a los querellados y otros relacionados al asunto; ii) solicitar la ficha clínica del señor Poblete Vilches, y iii) decretar la exhumación del cadáver del señor Poblete Vilches, con la finalidad de realizar una autopsia</w:t>
      </w:r>
      <w:r w:rsidRPr="00E47EFA">
        <w:rPr>
          <w:rFonts w:eastAsia="Calibri"/>
          <w:sz w:val="20"/>
          <w:szCs w:val="20"/>
          <w:vertAlign w:val="superscript"/>
        </w:rPr>
        <w:footnoteReference w:id="64"/>
      </w:r>
      <w:r w:rsidRPr="00E47EFA">
        <w:rPr>
          <w:rFonts w:eastAsia="Calibri"/>
          <w:sz w:val="20"/>
          <w:szCs w:val="20"/>
        </w:rPr>
        <w:t>.</w:t>
      </w:r>
    </w:p>
    <w:p w14:paraId="39854BF4" w14:textId="77777777" w:rsidR="00E22B60" w:rsidRPr="00E47EFA" w:rsidRDefault="00E22B60" w:rsidP="00E22B60">
      <w:pPr>
        <w:tabs>
          <w:tab w:val="left" w:pos="630"/>
          <w:tab w:val="left" w:pos="810"/>
          <w:tab w:val="left" w:pos="1530"/>
          <w:tab w:val="left" w:pos="1620"/>
        </w:tabs>
        <w:ind w:right="-360"/>
        <w:contextualSpacing/>
        <w:rPr>
          <w:rFonts w:eastAsia="Calibri"/>
          <w:b/>
          <w:i/>
          <w:sz w:val="20"/>
          <w:szCs w:val="20"/>
        </w:rPr>
      </w:pPr>
    </w:p>
    <w:p w14:paraId="49BF94B9" w14:textId="7F7406A8"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 xml:space="preserve">El Primer Juzgado Civil, el 12 de noviembre de 2001, se declaró incompetente dado que “el delito denunciado […] tuvo su principio de ejecución el 17 de </w:t>
      </w:r>
      <w:r w:rsidR="00650CBF">
        <w:rPr>
          <w:rFonts w:eastAsia="Calibri"/>
          <w:sz w:val="20"/>
          <w:szCs w:val="20"/>
        </w:rPr>
        <w:t>[</w:t>
      </w:r>
      <w:r w:rsidRPr="00E47EFA">
        <w:rPr>
          <w:rFonts w:eastAsia="Calibri"/>
          <w:sz w:val="20"/>
          <w:szCs w:val="20"/>
        </w:rPr>
        <w:t>e</w:t>
      </w:r>
      <w:r w:rsidR="00650CBF">
        <w:rPr>
          <w:rFonts w:eastAsia="Calibri"/>
          <w:sz w:val="20"/>
          <w:szCs w:val="20"/>
        </w:rPr>
        <w:t>]</w:t>
      </w:r>
      <w:proofErr w:type="spellStart"/>
      <w:r w:rsidRPr="00E47EFA">
        <w:rPr>
          <w:rFonts w:eastAsia="Calibri"/>
          <w:sz w:val="20"/>
          <w:szCs w:val="20"/>
        </w:rPr>
        <w:t>nero</w:t>
      </w:r>
      <w:proofErr w:type="spellEnd"/>
      <w:r w:rsidRPr="00E47EFA">
        <w:rPr>
          <w:rFonts w:eastAsia="Calibri"/>
          <w:sz w:val="20"/>
          <w:szCs w:val="20"/>
        </w:rPr>
        <w:t xml:space="preserve"> de 2001, fecha en la cual se encontraba </w:t>
      </w:r>
      <w:r w:rsidR="00650CBF">
        <w:rPr>
          <w:rFonts w:eastAsia="Calibri"/>
          <w:sz w:val="20"/>
          <w:szCs w:val="20"/>
        </w:rPr>
        <w:t>d</w:t>
      </w:r>
      <w:r w:rsidRPr="00E47EFA">
        <w:rPr>
          <w:rFonts w:eastAsia="Calibri"/>
          <w:sz w:val="20"/>
          <w:szCs w:val="20"/>
        </w:rPr>
        <w:t>e turno el T</w:t>
      </w:r>
      <w:r w:rsidR="00650CBF">
        <w:rPr>
          <w:rFonts w:eastAsia="Calibri"/>
          <w:sz w:val="20"/>
          <w:szCs w:val="20"/>
        </w:rPr>
        <w:t>[</w:t>
      </w:r>
      <w:r w:rsidRPr="00E47EFA">
        <w:rPr>
          <w:rFonts w:eastAsia="Calibri"/>
          <w:sz w:val="20"/>
          <w:szCs w:val="20"/>
        </w:rPr>
        <w:t>ercer</w:t>
      </w:r>
      <w:r w:rsidR="00650CBF">
        <w:rPr>
          <w:rFonts w:eastAsia="Calibri"/>
          <w:sz w:val="20"/>
          <w:szCs w:val="20"/>
        </w:rPr>
        <w:t>]</w:t>
      </w:r>
      <w:r w:rsidRPr="00E47EFA">
        <w:rPr>
          <w:rFonts w:eastAsia="Calibri"/>
          <w:sz w:val="20"/>
          <w:szCs w:val="20"/>
        </w:rPr>
        <w:t xml:space="preserve"> Juzgado del Crimen” a quien remitió la causa</w:t>
      </w:r>
      <w:r w:rsidRPr="00E47EFA">
        <w:rPr>
          <w:rFonts w:eastAsia="Calibri"/>
          <w:sz w:val="20"/>
          <w:szCs w:val="20"/>
          <w:vertAlign w:val="superscript"/>
        </w:rPr>
        <w:footnoteReference w:id="65"/>
      </w:r>
      <w:r w:rsidRPr="00E47EFA">
        <w:rPr>
          <w:rFonts w:eastAsia="Calibri"/>
          <w:sz w:val="20"/>
          <w:szCs w:val="20"/>
        </w:rPr>
        <w:t xml:space="preserve">. El Tercer Juzgado del Crimen igualmente se declaró incompetente el 23 de noviembre de 2001 y devolvió la causa al </w:t>
      </w:r>
      <w:r w:rsidRPr="00E47EFA">
        <w:rPr>
          <w:rFonts w:eastAsia="Calibri"/>
          <w:sz w:val="20"/>
          <w:szCs w:val="20"/>
        </w:rPr>
        <w:lastRenderedPageBreak/>
        <w:t>Primer Juzgado Civil</w:t>
      </w:r>
      <w:r w:rsidRPr="00E47EFA">
        <w:rPr>
          <w:rFonts w:eastAsia="Calibri"/>
          <w:sz w:val="20"/>
          <w:szCs w:val="20"/>
          <w:vertAlign w:val="superscript"/>
        </w:rPr>
        <w:footnoteReference w:id="66"/>
      </w:r>
      <w:r w:rsidRPr="00E47EFA">
        <w:rPr>
          <w:rFonts w:eastAsia="Calibri"/>
          <w:sz w:val="20"/>
          <w:szCs w:val="20"/>
        </w:rPr>
        <w:t>. El Primer Juzgado Civil se declaró incompetente de nuevo el 11 de diciembre de 2001</w:t>
      </w:r>
      <w:r w:rsidRPr="00E47EFA">
        <w:rPr>
          <w:rFonts w:eastAsia="Calibri"/>
          <w:sz w:val="20"/>
          <w:szCs w:val="20"/>
          <w:vertAlign w:val="superscript"/>
        </w:rPr>
        <w:footnoteReference w:id="67"/>
      </w:r>
      <w:r w:rsidRPr="00E47EFA">
        <w:rPr>
          <w:rFonts w:eastAsia="Calibri"/>
          <w:sz w:val="20"/>
          <w:szCs w:val="20"/>
        </w:rPr>
        <w:t>, elevando la causa a la Corte de Apelaciones de San Miguel</w:t>
      </w:r>
      <w:r w:rsidRPr="00E47EFA">
        <w:rPr>
          <w:rFonts w:eastAsia="Calibri"/>
          <w:sz w:val="20"/>
          <w:szCs w:val="20"/>
          <w:vertAlign w:val="superscript"/>
        </w:rPr>
        <w:footnoteReference w:id="68"/>
      </w:r>
      <w:r w:rsidRPr="00E47EFA">
        <w:rPr>
          <w:rFonts w:eastAsia="Calibri"/>
          <w:sz w:val="20"/>
          <w:szCs w:val="20"/>
        </w:rPr>
        <w:t>, la cual determinó la competencia a favor del Primer Juzgado Civil el 6 de febrero de 2002</w:t>
      </w:r>
      <w:r w:rsidRPr="00E47EFA">
        <w:rPr>
          <w:rFonts w:eastAsia="Calibri"/>
          <w:sz w:val="20"/>
          <w:szCs w:val="20"/>
          <w:vertAlign w:val="superscript"/>
        </w:rPr>
        <w:footnoteReference w:id="69"/>
      </w:r>
      <w:r w:rsidRPr="00E47EFA">
        <w:rPr>
          <w:rFonts w:eastAsia="Calibri"/>
          <w:sz w:val="20"/>
          <w:szCs w:val="20"/>
        </w:rPr>
        <w:t xml:space="preserve">. Este juzgado tuvo por </w:t>
      </w:r>
      <w:r>
        <w:rPr>
          <w:rFonts w:eastAsia="Calibri"/>
          <w:sz w:val="20"/>
          <w:szCs w:val="20"/>
        </w:rPr>
        <w:t>interpuesta</w:t>
      </w:r>
      <w:r w:rsidRPr="00E47EFA">
        <w:rPr>
          <w:rFonts w:eastAsia="Calibri"/>
          <w:sz w:val="20"/>
          <w:szCs w:val="20"/>
        </w:rPr>
        <w:t xml:space="preserve"> la querella y despachó una orden de investigación por la Brigada de Homicidios con el </w:t>
      </w:r>
      <w:r w:rsidR="0054712C">
        <w:rPr>
          <w:rFonts w:eastAsia="Calibri"/>
          <w:sz w:val="20"/>
          <w:szCs w:val="20"/>
        </w:rPr>
        <w:t xml:space="preserve">Rol </w:t>
      </w:r>
      <w:r w:rsidRPr="00E47EFA">
        <w:rPr>
          <w:rFonts w:eastAsia="Calibri"/>
          <w:sz w:val="20"/>
          <w:szCs w:val="20"/>
        </w:rPr>
        <w:t>No. 75</w:t>
      </w:r>
      <w:r>
        <w:rPr>
          <w:rFonts w:eastAsia="Calibri"/>
          <w:sz w:val="20"/>
          <w:szCs w:val="20"/>
        </w:rPr>
        <w:t>.</w:t>
      </w:r>
      <w:r w:rsidRPr="00E47EFA">
        <w:rPr>
          <w:rFonts w:eastAsia="Calibri"/>
          <w:sz w:val="20"/>
          <w:szCs w:val="20"/>
        </w:rPr>
        <w:t>82</w:t>
      </w:r>
      <w:r>
        <w:rPr>
          <w:rFonts w:eastAsia="Calibri"/>
          <w:sz w:val="20"/>
          <w:szCs w:val="20"/>
        </w:rPr>
        <w:t>1</w:t>
      </w:r>
      <w:r w:rsidRPr="00E47EFA">
        <w:rPr>
          <w:rFonts w:eastAsia="Calibri"/>
          <w:sz w:val="20"/>
          <w:szCs w:val="20"/>
        </w:rPr>
        <w:t>-M el 13 de febrero de 2002</w:t>
      </w:r>
      <w:r w:rsidRPr="00E47EFA">
        <w:rPr>
          <w:rFonts w:eastAsia="Calibri"/>
          <w:sz w:val="20"/>
          <w:szCs w:val="20"/>
          <w:vertAlign w:val="superscript"/>
        </w:rPr>
        <w:footnoteReference w:id="70"/>
      </w:r>
      <w:r w:rsidRPr="00E47EFA">
        <w:rPr>
          <w:rFonts w:eastAsia="Calibri"/>
          <w:sz w:val="20"/>
          <w:szCs w:val="20"/>
        </w:rPr>
        <w:t>.</w:t>
      </w:r>
      <w:r w:rsidR="00C031E6">
        <w:rPr>
          <w:rFonts w:eastAsia="Calibri"/>
          <w:sz w:val="20"/>
          <w:szCs w:val="20"/>
        </w:rPr>
        <w:t xml:space="preserve"> </w:t>
      </w:r>
      <w:r w:rsidR="00C031E6" w:rsidRPr="00B1523A">
        <w:rPr>
          <w:rFonts w:eastAsia="Calibri"/>
          <w:sz w:val="20"/>
        </w:rPr>
        <w:t xml:space="preserve">Asimismo, el 13 de febrero de 2002, fue ordenada por el Primer Juzgado Civil la exhumación del cadáver del señor Poblete Vilches para la realización de la autopsia, sin embargo, esta </w:t>
      </w:r>
      <w:r w:rsidR="00EC4C95" w:rsidRPr="00B1523A">
        <w:rPr>
          <w:rFonts w:eastAsia="Calibri"/>
          <w:sz w:val="20"/>
        </w:rPr>
        <w:t>diligencia no se llevó a cabo</w:t>
      </w:r>
      <w:r w:rsidR="00C031E6" w:rsidRPr="00B1523A">
        <w:rPr>
          <w:rStyle w:val="FootnoteReference"/>
          <w:rFonts w:eastAsia="Calibri"/>
          <w:sz w:val="20"/>
        </w:rPr>
        <w:footnoteReference w:id="71"/>
      </w:r>
      <w:r w:rsidR="00C031E6" w:rsidRPr="00B1523A">
        <w:rPr>
          <w:rFonts w:eastAsia="Calibri"/>
          <w:sz w:val="20"/>
        </w:rPr>
        <w:t>.</w:t>
      </w:r>
    </w:p>
    <w:p w14:paraId="55B9692D" w14:textId="77777777" w:rsidR="00E22B60" w:rsidRPr="00B1523A" w:rsidRDefault="00E22B60" w:rsidP="00E22B60">
      <w:pPr>
        <w:tabs>
          <w:tab w:val="left" w:pos="630"/>
          <w:tab w:val="left" w:pos="810"/>
          <w:tab w:val="left" w:pos="1530"/>
          <w:tab w:val="left" w:pos="1620"/>
        </w:tabs>
        <w:ind w:right="-360"/>
        <w:rPr>
          <w:rFonts w:eastAsia="Calibri"/>
          <w:i/>
          <w:sz w:val="20"/>
        </w:rPr>
      </w:pPr>
    </w:p>
    <w:p w14:paraId="4504D9BC" w14:textId="0F40D040"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El 16 de octubre de 2002</w:t>
      </w:r>
      <w:r w:rsidR="0054712C">
        <w:rPr>
          <w:rFonts w:eastAsia="Calibri"/>
          <w:sz w:val="20"/>
          <w:szCs w:val="20"/>
        </w:rPr>
        <w:t>,</w:t>
      </w:r>
      <w:r w:rsidRPr="00E47EFA">
        <w:rPr>
          <w:rFonts w:eastAsia="Calibri"/>
          <w:sz w:val="20"/>
          <w:szCs w:val="20"/>
        </w:rPr>
        <w:t xml:space="preserve"> el Primer Juzgado Civil solicitó al Hospital </w:t>
      </w:r>
      <w:proofErr w:type="spellStart"/>
      <w:r w:rsidRPr="00E47EFA">
        <w:rPr>
          <w:rFonts w:eastAsia="Calibri"/>
          <w:sz w:val="20"/>
          <w:szCs w:val="20"/>
        </w:rPr>
        <w:t>Sótero</w:t>
      </w:r>
      <w:proofErr w:type="spellEnd"/>
      <w:r w:rsidRPr="00E47EFA">
        <w:rPr>
          <w:rFonts w:eastAsia="Calibri"/>
          <w:sz w:val="20"/>
          <w:szCs w:val="20"/>
        </w:rPr>
        <w:t xml:space="preserve"> del Río la ficha clínica del señor Poblete Vilches, la cual se recibió el 14 de noviembre de 2002</w:t>
      </w:r>
      <w:r w:rsidRPr="00E47EFA">
        <w:rPr>
          <w:rFonts w:eastAsia="Calibri"/>
          <w:sz w:val="20"/>
          <w:szCs w:val="20"/>
          <w:vertAlign w:val="superscript"/>
        </w:rPr>
        <w:footnoteReference w:id="72"/>
      </w:r>
      <w:r w:rsidRPr="00E47EFA">
        <w:rPr>
          <w:rFonts w:eastAsia="Calibri"/>
          <w:sz w:val="20"/>
          <w:szCs w:val="20"/>
        </w:rPr>
        <w:t>.</w:t>
      </w:r>
    </w:p>
    <w:p w14:paraId="6621DAD6" w14:textId="77777777" w:rsidR="00E22B60" w:rsidRPr="00E47EFA" w:rsidRDefault="00E22B60" w:rsidP="00E22B60">
      <w:pPr>
        <w:tabs>
          <w:tab w:val="left" w:pos="567"/>
          <w:tab w:val="left" w:pos="630"/>
          <w:tab w:val="left" w:pos="810"/>
          <w:tab w:val="left" w:pos="1530"/>
          <w:tab w:val="left" w:pos="1620"/>
          <w:tab w:val="num" w:pos="12305"/>
        </w:tabs>
        <w:ind w:right="-360"/>
        <w:rPr>
          <w:rFonts w:eastAsia="Calibri"/>
          <w:sz w:val="20"/>
          <w:szCs w:val="20"/>
        </w:rPr>
      </w:pPr>
      <w:r w:rsidRPr="00E47EFA">
        <w:rPr>
          <w:rFonts w:eastAsia="Calibri"/>
          <w:sz w:val="20"/>
          <w:szCs w:val="20"/>
        </w:rPr>
        <w:t xml:space="preserve"> </w:t>
      </w:r>
    </w:p>
    <w:p w14:paraId="3BD51FE8" w14:textId="7BDECED1"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El 12 de abril de 2003</w:t>
      </w:r>
      <w:r w:rsidR="0054712C">
        <w:rPr>
          <w:rFonts w:eastAsia="Calibri"/>
          <w:sz w:val="20"/>
          <w:szCs w:val="20"/>
        </w:rPr>
        <w:t>,</w:t>
      </w:r>
      <w:r w:rsidRPr="00E47EFA">
        <w:rPr>
          <w:rFonts w:eastAsia="Calibri"/>
          <w:sz w:val="20"/>
          <w:szCs w:val="20"/>
        </w:rPr>
        <w:t xml:space="preserve"> el Primer Juzgado Civil recibió el Informe Policial de la Brigada de Homicidios Metropolitana de la Policía de Investigaciones de Chile. Al mismo se adjuntó el informe del Médico Asesor Criminalista, quien concluyó que del contenido de la ficha clínica se desprendía que el “paciente recibió las atenciones y cuidados médicos oportunos y eficaces; en consecuencia, el fallecimiento está mejor explicado […] por la gravedad de sus complicaciones, que superaron los esfuerzos médicos y medios disponibles”</w:t>
      </w:r>
      <w:r w:rsidRPr="00E47EFA">
        <w:rPr>
          <w:rFonts w:eastAsia="Calibri"/>
          <w:sz w:val="20"/>
          <w:szCs w:val="20"/>
          <w:vertAlign w:val="superscript"/>
        </w:rPr>
        <w:footnoteReference w:id="73"/>
      </w:r>
      <w:r w:rsidRPr="00E47EFA">
        <w:rPr>
          <w:rFonts w:eastAsia="Calibri"/>
          <w:sz w:val="20"/>
          <w:szCs w:val="20"/>
        </w:rPr>
        <w:t>.</w:t>
      </w:r>
    </w:p>
    <w:p w14:paraId="7A35CACA"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7CB19A78" w14:textId="213068DF"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 xml:space="preserve">Los días 13 y 20 de mayo y 3 de diciembre de 2003 declararon ante el juzgado, los médicos Ximena del Pilar Echeverría </w:t>
      </w:r>
      <w:proofErr w:type="spellStart"/>
      <w:r w:rsidRPr="00E47EFA">
        <w:rPr>
          <w:rFonts w:eastAsia="Calibri"/>
          <w:sz w:val="20"/>
          <w:szCs w:val="20"/>
        </w:rPr>
        <w:t>Pezoa</w:t>
      </w:r>
      <w:proofErr w:type="spellEnd"/>
      <w:r w:rsidRPr="00E47EFA">
        <w:rPr>
          <w:rFonts w:eastAsia="Calibri"/>
          <w:sz w:val="20"/>
          <w:szCs w:val="20"/>
          <w:vertAlign w:val="superscript"/>
        </w:rPr>
        <w:footnoteReference w:id="74"/>
      </w:r>
      <w:r w:rsidRPr="00E47EFA">
        <w:rPr>
          <w:rFonts w:eastAsia="Calibri"/>
          <w:sz w:val="20"/>
          <w:szCs w:val="20"/>
        </w:rPr>
        <w:t xml:space="preserve">, Humberto Reinaldo </w:t>
      </w:r>
      <w:proofErr w:type="spellStart"/>
      <w:r w:rsidRPr="00E47EFA">
        <w:rPr>
          <w:rFonts w:eastAsia="Calibri"/>
          <w:sz w:val="20"/>
          <w:szCs w:val="20"/>
        </w:rPr>
        <w:t>Montecinos</w:t>
      </w:r>
      <w:proofErr w:type="spellEnd"/>
      <w:r w:rsidRPr="00E47EFA">
        <w:rPr>
          <w:rFonts w:eastAsia="Calibri"/>
          <w:sz w:val="20"/>
          <w:szCs w:val="20"/>
        </w:rPr>
        <w:t xml:space="preserve"> </w:t>
      </w:r>
      <w:proofErr w:type="spellStart"/>
      <w:r w:rsidRPr="00E47EFA">
        <w:rPr>
          <w:rFonts w:eastAsia="Calibri"/>
          <w:sz w:val="20"/>
          <w:szCs w:val="20"/>
        </w:rPr>
        <w:t>Salucci</w:t>
      </w:r>
      <w:proofErr w:type="spellEnd"/>
      <w:r w:rsidRPr="00E47EFA">
        <w:rPr>
          <w:rFonts w:eastAsia="Calibri"/>
          <w:sz w:val="20"/>
          <w:szCs w:val="20"/>
          <w:vertAlign w:val="superscript"/>
        </w:rPr>
        <w:footnoteReference w:id="75"/>
      </w:r>
      <w:r w:rsidRPr="00E47EFA">
        <w:rPr>
          <w:rFonts w:eastAsia="Calibri"/>
          <w:sz w:val="20"/>
          <w:szCs w:val="20"/>
        </w:rPr>
        <w:t xml:space="preserve"> y Sandra Zoraida Castillo Mont</w:t>
      </w:r>
      <w:r w:rsidR="0054712C">
        <w:rPr>
          <w:rFonts w:eastAsia="Calibri" w:cs="Arial"/>
          <w:sz w:val="20"/>
          <w:szCs w:val="20"/>
        </w:rPr>
        <w:t>u</w:t>
      </w:r>
      <w:r w:rsidRPr="00E47EFA">
        <w:rPr>
          <w:rFonts w:eastAsia="Calibri"/>
          <w:sz w:val="20"/>
          <w:szCs w:val="20"/>
        </w:rPr>
        <w:t>far</w:t>
      </w:r>
      <w:r w:rsidRPr="00E47EFA">
        <w:rPr>
          <w:rFonts w:eastAsia="Calibri"/>
          <w:sz w:val="20"/>
          <w:szCs w:val="20"/>
          <w:vertAlign w:val="superscript"/>
        </w:rPr>
        <w:footnoteReference w:id="76"/>
      </w:r>
      <w:r w:rsidRPr="00E47EFA">
        <w:rPr>
          <w:rFonts w:eastAsia="Calibri"/>
          <w:sz w:val="20"/>
          <w:szCs w:val="20"/>
        </w:rPr>
        <w:t>, respectivamente.</w:t>
      </w:r>
    </w:p>
    <w:p w14:paraId="447FEDCC"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7AD27CDA" w14:textId="0C615292"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16"/>
          <w:szCs w:val="16"/>
        </w:rPr>
      </w:pPr>
      <w:r w:rsidRPr="00E47EFA">
        <w:rPr>
          <w:rFonts w:eastAsia="Calibri"/>
          <w:sz w:val="20"/>
          <w:szCs w:val="20"/>
        </w:rPr>
        <w:t>Los días 28 de febrero de 2004, 20 de diciembre de 2004 y 31 de octubre de 2005 el Primer Juzgado Civil despachó las órdenes de arresto en contra de Luis Carvajal Freire</w:t>
      </w:r>
      <w:r w:rsidRPr="00E47EFA">
        <w:rPr>
          <w:rFonts w:eastAsia="Calibri"/>
          <w:sz w:val="20"/>
          <w:szCs w:val="20"/>
          <w:vertAlign w:val="superscript"/>
        </w:rPr>
        <w:footnoteReference w:id="77"/>
      </w:r>
      <w:r w:rsidRPr="00E47EFA">
        <w:rPr>
          <w:rFonts w:eastAsia="Calibri"/>
          <w:sz w:val="20"/>
          <w:szCs w:val="20"/>
        </w:rPr>
        <w:t>. El 6 de abril de 2004</w:t>
      </w:r>
      <w:r w:rsidR="0054712C">
        <w:rPr>
          <w:rFonts w:eastAsia="Calibri"/>
          <w:sz w:val="20"/>
          <w:szCs w:val="20"/>
        </w:rPr>
        <w:t>,</w:t>
      </w:r>
      <w:r w:rsidRPr="00E47EFA">
        <w:rPr>
          <w:rFonts w:eastAsia="Calibri"/>
          <w:sz w:val="20"/>
          <w:szCs w:val="20"/>
        </w:rPr>
        <w:t xml:space="preserve"> el Décimo Noveno Juzgado del Crimen ordenó el arresto contra el doctor Luis Carvajal Freire por el delito de desobediencia a las órdenes del Primer Juzgado Civil de Puente Alto</w:t>
      </w:r>
      <w:r w:rsidRPr="00E47EFA">
        <w:rPr>
          <w:rFonts w:eastAsia="Calibri"/>
          <w:sz w:val="20"/>
          <w:szCs w:val="20"/>
          <w:vertAlign w:val="superscript"/>
        </w:rPr>
        <w:footnoteReference w:id="78"/>
      </w:r>
      <w:r w:rsidRPr="00E47EFA">
        <w:rPr>
          <w:rFonts w:eastAsia="Calibri"/>
          <w:sz w:val="20"/>
          <w:szCs w:val="20"/>
        </w:rPr>
        <w:t>. El</w:t>
      </w:r>
      <w:r w:rsidRPr="00E47EFA">
        <w:rPr>
          <w:rFonts w:eastAsia="Calibri"/>
          <w:sz w:val="16"/>
          <w:szCs w:val="16"/>
        </w:rPr>
        <w:t xml:space="preserve"> </w:t>
      </w:r>
      <w:r w:rsidRPr="00E47EFA">
        <w:rPr>
          <w:rFonts w:eastAsia="Calibri"/>
          <w:sz w:val="20"/>
          <w:szCs w:val="20"/>
        </w:rPr>
        <w:t xml:space="preserve">8 de enero </w:t>
      </w:r>
      <w:r w:rsidRPr="00E47EFA">
        <w:rPr>
          <w:rFonts w:eastAsia="Calibri"/>
          <w:sz w:val="20"/>
          <w:szCs w:val="20"/>
        </w:rPr>
        <w:lastRenderedPageBreak/>
        <w:t>de 2005</w:t>
      </w:r>
      <w:r w:rsidR="0054712C">
        <w:rPr>
          <w:rFonts w:eastAsia="Calibri"/>
          <w:sz w:val="20"/>
          <w:szCs w:val="20"/>
        </w:rPr>
        <w:t>,</w:t>
      </w:r>
      <w:r w:rsidRPr="00E47EFA">
        <w:rPr>
          <w:rFonts w:eastAsia="Calibri"/>
          <w:sz w:val="20"/>
          <w:szCs w:val="20"/>
        </w:rPr>
        <w:t xml:space="preserve"> el </w:t>
      </w:r>
      <w:r w:rsidR="0054712C">
        <w:rPr>
          <w:rFonts w:eastAsia="Calibri"/>
          <w:sz w:val="20"/>
          <w:szCs w:val="20"/>
        </w:rPr>
        <w:t>anterior</w:t>
      </w:r>
      <w:r w:rsidRPr="00E47EFA">
        <w:rPr>
          <w:rFonts w:eastAsia="Calibri"/>
          <w:sz w:val="20"/>
          <w:szCs w:val="20"/>
        </w:rPr>
        <w:t xml:space="preserve"> Juzgado ordenó el arresto en contra del doctor Luis Carvajal Freire por el delito Cuasidelito de Homicidio</w:t>
      </w:r>
      <w:r w:rsidRPr="00E47EFA">
        <w:rPr>
          <w:rFonts w:eastAsia="Calibri"/>
          <w:sz w:val="20"/>
          <w:szCs w:val="20"/>
          <w:vertAlign w:val="superscript"/>
        </w:rPr>
        <w:footnoteReference w:id="79"/>
      </w:r>
      <w:r w:rsidRPr="00E47EFA">
        <w:rPr>
          <w:rFonts w:eastAsia="Calibri"/>
          <w:sz w:val="20"/>
          <w:szCs w:val="20"/>
        </w:rPr>
        <w:t>. El 6 de febrero de 2006</w:t>
      </w:r>
      <w:r w:rsidR="0054712C">
        <w:rPr>
          <w:rFonts w:eastAsia="Calibri"/>
          <w:sz w:val="20"/>
          <w:szCs w:val="20"/>
        </w:rPr>
        <w:t>,</w:t>
      </w:r>
      <w:r w:rsidRPr="00E47EFA">
        <w:rPr>
          <w:rFonts w:eastAsia="Calibri"/>
          <w:sz w:val="20"/>
          <w:szCs w:val="20"/>
        </w:rPr>
        <w:t xml:space="preserve"> el Primer Juzgado Civil declaró “rebelde” a Luis Carvajal Freire</w:t>
      </w:r>
      <w:r w:rsidRPr="00C64243">
        <w:rPr>
          <w:rFonts w:eastAsia="Calibri"/>
          <w:sz w:val="20"/>
          <w:szCs w:val="20"/>
          <w:vertAlign w:val="superscript"/>
        </w:rPr>
        <w:footnoteReference w:id="80"/>
      </w:r>
      <w:r w:rsidRPr="00E47EFA">
        <w:rPr>
          <w:rFonts w:eastAsia="Calibri"/>
          <w:sz w:val="16"/>
          <w:szCs w:val="16"/>
        </w:rPr>
        <w:t>.</w:t>
      </w:r>
      <w:r w:rsidRPr="00E47EFA">
        <w:rPr>
          <w:rFonts w:eastAsia="Calibri"/>
          <w:sz w:val="20"/>
          <w:szCs w:val="20"/>
        </w:rPr>
        <w:t xml:space="preserve"> El 23 de mayo de 2007</w:t>
      </w:r>
      <w:r w:rsidR="0054712C">
        <w:rPr>
          <w:rFonts w:eastAsia="Calibri"/>
          <w:sz w:val="20"/>
          <w:szCs w:val="20"/>
        </w:rPr>
        <w:t>,</w:t>
      </w:r>
      <w:r w:rsidRPr="00E47EFA">
        <w:rPr>
          <w:rFonts w:eastAsia="Calibri"/>
          <w:sz w:val="20"/>
          <w:szCs w:val="20"/>
        </w:rPr>
        <w:t xml:space="preserve"> el Primer Juzgado Civil comprobó que el doctor Luis Carvajal Freire continuaba trabajando en el Hospital </w:t>
      </w:r>
      <w:proofErr w:type="spellStart"/>
      <w:r w:rsidRPr="00E47EFA">
        <w:rPr>
          <w:rFonts w:eastAsia="Calibri"/>
          <w:sz w:val="20"/>
          <w:szCs w:val="20"/>
        </w:rPr>
        <w:t>Sótero</w:t>
      </w:r>
      <w:proofErr w:type="spellEnd"/>
      <w:r w:rsidRPr="00E47EFA">
        <w:rPr>
          <w:rFonts w:eastAsia="Calibri"/>
          <w:sz w:val="20"/>
          <w:szCs w:val="20"/>
        </w:rPr>
        <w:t xml:space="preserve"> del Río</w:t>
      </w:r>
      <w:r w:rsidRPr="00E47EFA">
        <w:rPr>
          <w:rFonts w:eastAsia="Calibri"/>
          <w:sz w:val="20"/>
          <w:szCs w:val="20"/>
          <w:vertAlign w:val="superscript"/>
        </w:rPr>
        <w:footnoteReference w:id="81"/>
      </w:r>
      <w:r w:rsidRPr="00E47EFA">
        <w:rPr>
          <w:rFonts w:eastAsia="Calibri"/>
          <w:sz w:val="20"/>
          <w:szCs w:val="20"/>
        </w:rPr>
        <w:t>.</w:t>
      </w:r>
    </w:p>
    <w:p w14:paraId="780CBDEA"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1BDEAA7A" w14:textId="0CA95C0C"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16"/>
        </w:rPr>
      </w:pPr>
      <w:r w:rsidRPr="00E47EFA">
        <w:rPr>
          <w:rFonts w:eastAsia="Calibri"/>
          <w:sz w:val="20"/>
          <w:szCs w:val="20"/>
        </w:rPr>
        <w:t>El 19 de julio de 2005</w:t>
      </w:r>
      <w:r w:rsidR="0054712C">
        <w:rPr>
          <w:rFonts w:eastAsia="Calibri"/>
          <w:sz w:val="20"/>
          <w:szCs w:val="20"/>
        </w:rPr>
        <w:t>,</w:t>
      </w:r>
      <w:r w:rsidRPr="00E47EFA">
        <w:rPr>
          <w:rFonts w:eastAsia="Calibri"/>
          <w:sz w:val="20"/>
          <w:szCs w:val="20"/>
        </w:rPr>
        <w:t xml:space="preserve"> el Primer Juzgado Civil remitió la causa al Servicio Médico Legal para que éste obtuviera información “respecto de la responsabilidad médica que habría cabido a los facultativos tratantes”</w:t>
      </w:r>
      <w:r w:rsidRPr="00E47EFA">
        <w:rPr>
          <w:rFonts w:eastAsia="Calibri"/>
          <w:sz w:val="20"/>
          <w:szCs w:val="20"/>
          <w:vertAlign w:val="superscript"/>
        </w:rPr>
        <w:footnoteReference w:id="82"/>
      </w:r>
      <w:r w:rsidRPr="00E47EFA">
        <w:rPr>
          <w:rFonts w:eastAsia="Calibri"/>
          <w:sz w:val="20"/>
          <w:szCs w:val="20"/>
        </w:rPr>
        <w:t xml:space="preserve">. El </w:t>
      </w:r>
      <w:r w:rsidRPr="00E47EFA">
        <w:rPr>
          <w:rFonts w:eastAsia="Calibri"/>
          <w:sz w:val="20"/>
          <w:szCs w:val="16"/>
        </w:rPr>
        <w:t>15 de septiembre de 2005</w:t>
      </w:r>
      <w:r w:rsidR="0054712C">
        <w:rPr>
          <w:rFonts w:eastAsia="Calibri"/>
          <w:sz w:val="20"/>
          <w:szCs w:val="16"/>
        </w:rPr>
        <w:t>,</w:t>
      </w:r>
      <w:r w:rsidRPr="00E47EFA">
        <w:rPr>
          <w:rFonts w:eastAsia="Calibri"/>
          <w:sz w:val="20"/>
          <w:szCs w:val="16"/>
        </w:rPr>
        <w:t xml:space="preserve"> el </w:t>
      </w:r>
      <w:r w:rsidRPr="00E47EFA">
        <w:rPr>
          <w:rFonts w:eastAsia="Calibri"/>
          <w:sz w:val="20"/>
          <w:szCs w:val="20"/>
        </w:rPr>
        <w:t xml:space="preserve">Primer Juzgado Civil remitió la causa </w:t>
      </w:r>
      <w:r w:rsidRPr="00E47EFA">
        <w:rPr>
          <w:rFonts w:eastAsia="Calibri"/>
          <w:sz w:val="20"/>
          <w:szCs w:val="16"/>
        </w:rPr>
        <w:t>nuevamente a la Corte de Apelaciones de San Miguel</w:t>
      </w:r>
      <w:r w:rsidRPr="00E47EFA">
        <w:rPr>
          <w:rFonts w:eastAsia="Calibri"/>
          <w:sz w:val="20"/>
          <w:szCs w:val="16"/>
          <w:vertAlign w:val="superscript"/>
        </w:rPr>
        <w:footnoteReference w:id="83"/>
      </w:r>
      <w:r w:rsidRPr="00E47EFA">
        <w:rPr>
          <w:rFonts w:eastAsia="Calibri"/>
          <w:sz w:val="20"/>
          <w:szCs w:val="16"/>
        </w:rPr>
        <w:t>, pero ésta devolvió la causa al Primer Juzgado Civil el 21 de noviembre de 2005 y declaró que “la señora Juez del Primer Juzgado Civil […] prestará atención preferente a la tramitación de la mencionada causa, dando cuenta a es</w:t>
      </w:r>
      <w:r w:rsidR="0054712C">
        <w:rPr>
          <w:rFonts w:eastAsia="Calibri"/>
          <w:sz w:val="20"/>
          <w:szCs w:val="16"/>
        </w:rPr>
        <w:t>[</w:t>
      </w:r>
      <w:r w:rsidRPr="00E47EFA">
        <w:rPr>
          <w:rFonts w:eastAsia="Calibri"/>
          <w:sz w:val="20"/>
          <w:szCs w:val="16"/>
        </w:rPr>
        <w:t>a</w:t>
      </w:r>
      <w:r w:rsidR="0054712C">
        <w:rPr>
          <w:rFonts w:eastAsia="Calibri"/>
          <w:sz w:val="20"/>
          <w:szCs w:val="16"/>
        </w:rPr>
        <w:t>]</w:t>
      </w:r>
      <w:r w:rsidR="0054712C">
        <w:rPr>
          <w:rFonts w:eastAsia="Calibri"/>
          <w:sz w:val="20"/>
          <w:szCs w:val="16"/>
        </w:rPr>
        <w:br/>
      </w:r>
      <w:r w:rsidRPr="00E47EFA">
        <w:rPr>
          <w:rFonts w:eastAsia="Calibri"/>
          <w:sz w:val="20"/>
          <w:szCs w:val="16"/>
        </w:rPr>
        <w:t>Corte en forma quincenal de su avance”</w:t>
      </w:r>
      <w:r w:rsidRPr="00E47EFA">
        <w:rPr>
          <w:rFonts w:eastAsia="Calibri"/>
          <w:sz w:val="20"/>
          <w:szCs w:val="16"/>
          <w:vertAlign w:val="superscript"/>
        </w:rPr>
        <w:footnoteReference w:id="84"/>
      </w:r>
      <w:r w:rsidRPr="00E47EFA">
        <w:rPr>
          <w:rFonts w:eastAsia="Calibri"/>
          <w:sz w:val="20"/>
          <w:szCs w:val="16"/>
        </w:rPr>
        <w:t xml:space="preserve">. </w:t>
      </w:r>
    </w:p>
    <w:p w14:paraId="483ED686"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2DB8A21B" w14:textId="3365D14A"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El 7 de octubre de 2005, el señor Vinicio Poblete Tapia presentó otra querella ante el Primer Juzgado Civil</w:t>
      </w:r>
      <w:r>
        <w:rPr>
          <w:rFonts w:eastAsia="Calibri"/>
          <w:sz w:val="20"/>
          <w:szCs w:val="20"/>
        </w:rPr>
        <w:t xml:space="preserve">, la cual fue tramitada bajo el No. de Rol </w:t>
      </w:r>
      <w:r w:rsidRPr="005A5DC5">
        <w:rPr>
          <w:rFonts w:eastAsia="Calibri"/>
          <w:sz w:val="20"/>
          <w:szCs w:val="20"/>
        </w:rPr>
        <w:t xml:space="preserve">94.393-M, </w:t>
      </w:r>
      <w:r w:rsidRPr="00E47EFA">
        <w:rPr>
          <w:rFonts w:eastAsia="Calibri"/>
          <w:sz w:val="20"/>
          <w:szCs w:val="20"/>
        </w:rPr>
        <w:t xml:space="preserve">en contra de quienes resultaren responsables por el delito de homicidio culposo cometido en </w:t>
      </w:r>
      <w:r>
        <w:rPr>
          <w:rFonts w:eastAsia="Calibri"/>
          <w:sz w:val="20"/>
          <w:szCs w:val="20"/>
        </w:rPr>
        <w:t xml:space="preserve">perjuicio </w:t>
      </w:r>
      <w:r w:rsidRPr="00E47EFA">
        <w:rPr>
          <w:rFonts w:eastAsia="Calibri"/>
          <w:sz w:val="20"/>
          <w:szCs w:val="20"/>
        </w:rPr>
        <w:t>del señor Poblete Vilches y solicitó, entre otras, las siguientes diligencias: i) citar a declarar a los doctores Garrido [</w:t>
      </w:r>
      <w:r w:rsidRPr="00E47EFA">
        <w:rPr>
          <w:rFonts w:eastAsia="Calibri"/>
          <w:i/>
          <w:sz w:val="20"/>
          <w:szCs w:val="20"/>
        </w:rPr>
        <w:t>sic</w:t>
      </w:r>
      <w:r w:rsidRPr="00E47EFA">
        <w:rPr>
          <w:rFonts w:eastAsia="Calibri"/>
          <w:sz w:val="20"/>
          <w:szCs w:val="20"/>
        </w:rPr>
        <w:t xml:space="preserve">], Ximena Echeverría </w:t>
      </w:r>
      <w:proofErr w:type="spellStart"/>
      <w:r w:rsidRPr="00E47EFA">
        <w:rPr>
          <w:rFonts w:eastAsia="Calibri"/>
          <w:sz w:val="20"/>
          <w:szCs w:val="20"/>
        </w:rPr>
        <w:t>Pezoa</w:t>
      </w:r>
      <w:proofErr w:type="spellEnd"/>
      <w:r w:rsidRPr="00E47EFA">
        <w:rPr>
          <w:rFonts w:eastAsia="Calibri"/>
          <w:sz w:val="20"/>
          <w:szCs w:val="20"/>
        </w:rPr>
        <w:t xml:space="preserve">, María Chacón Fernández, </w:t>
      </w:r>
      <w:proofErr w:type="spellStart"/>
      <w:r w:rsidRPr="00E47EFA">
        <w:rPr>
          <w:rFonts w:eastAsia="Calibri"/>
          <w:sz w:val="20"/>
          <w:szCs w:val="20"/>
        </w:rPr>
        <w:t>Anuch</w:t>
      </w:r>
      <w:proofErr w:type="spellEnd"/>
      <w:r w:rsidRPr="00E47EFA">
        <w:rPr>
          <w:rFonts w:eastAsia="Calibri"/>
          <w:sz w:val="20"/>
          <w:szCs w:val="20"/>
        </w:rPr>
        <w:t xml:space="preserve"> [</w:t>
      </w:r>
      <w:r w:rsidRPr="00E47EFA">
        <w:rPr>
          <w:rFonts w:eastAsia="Calibri"/>
          <w:i/>
          <w:sz w:val="20"/>
          <w:szCs w:val="20"/>
        </w:rPr>
        <w:t>sic</w:t>
      </w:r>
      <w:r w:rsidRPr="00C64243">
        <w:rPr>
          <w:rFonts w:eastAsia="Calibri"/>
          <w:sz w:val="20"/>
          <w:szCs w:val="20"/>
        </w:rPr>
        <w:t>]</w:t>
      </w:r>
      <w:r w:rsidRPr="00E47EFA">
        <w:rPr>
          <w:rFonts w:eastAsia="Calibri"/>
          <w:sz w:val="20"/>
          <w:szCs w:val="20"/>
        </w:rPr>
        <w:t xml:space="preserve">, </w:t>
      </w:r>
      <w:proofErr w:type="spellStart"/>
      <w:r w:rsidRPr="00E47EFA">
        <w:rPr>
          <w:rFonts w:eastAsia="Calibri"/>
          <w:sz w:val="20"/>
          <w:szCs w:val="20"/>
        </w:rPr>
        <w:t>Lorna</w:t>
      </w:r>
      <w:proofErr w:type="spellEnd"/>
      <w:r w:rsidRPr="00E47EFA">
        <w:rPr>
          <w:rFonts w:eastAsia="Calibri"/>
          <w:sz w:val="20"/>
          <w:szCs w:val="20"/>
        </w:rPr>
        <w:t xml:space="preserve"> Luco, </w:t>
      </w:r>
      <w:proofErr w:type="spellStart"/>
      <w:r w:rsidRPr="00E47EFA">
        <w:rPr>
          <w:rFonts w:eastAsia="Calibri"/>
          <w:sz w:val="20"/>
          <w:szCs w:val="20"/>
        </w:rPr>
        <w:t>Gonzálo</w:t>
      </w:r>
      <w:proofErr w:type="spellEnd"/>
      <w:r w:rsidRPr="00E47EFA">
        <w:rPr>
          <w:rFonts w:eastAsia="Calibri"/>
          <w:sz w:val="20"/>
          <w:szCs w:val="20"/>
        </w:rPr>
        <w:t xml:space="preserve"> Menchaca, y Luis Carvajal Freire; ii) oficiar al Hospital </w:t>
      </w:r>
      <w:proofErr w:type="spellStart"/>
      <w:r w:rsidRPr="00E47EFA">
        <w:rPr>
          <w:rFonts w:eastAsia="Calibri"/>
          <w:sz w:val="20"/>
          <w:szCs w:val="20"/>
        </w:rPr>
        <w:t>Sótero</w:t>
      </w:r>
      <w:proofErr w:type="spellEnd"/>
      <w:r w:rsidRPr="00E47EFA">
        <w:rPr>
          <w:rFonts w:eastAsia="Calibri"/>
          <w:sz w:val="20"/>
          <w:szCs w:val="20"/>
        </w:rPr>
        <w:t xml:space="preserve"> del Río a fin de que este enviara la ficha médica completa de Vinicio Antonio Poblete Vilches; iii) decretar la “exhumación del cadáver” del señor Poblete Vilches, “con el fin de realizar una autopsia que determine la causa real de su muerte”, y v) que se acumulara esa segunda querella a la anterior</w:t>
      </w:r>
      <w:r>
        <w:rPr>
          <w:rFonts w:eastAsia="Calibri"/>
          <w:sz w:val="20"/>
          <w:szCs w:val="20"/>
        </w:rPr>
        <w:t xml:space="preserve">, es decir, la tramitada con el Rol </w:t>
      </w:r>
      <w:r w:rsidR="0054712C">
        <w:rPr>
          <w:rFonts w:eastAsia="Calibri"/>
          <w:sz w:val="20"/>
          <w:szCs w:val="20"/>
        </w:rPr>
        <w:t>No.</w:t>
      </w:r>
      <w:r>
        <w:rPr>
          <w:rFonts w:eastAsia="Calibri"/>
          <w:sz w:val="20"/>
          <w:szCs w:val="20"/>
        </w:rPr>
        <w:t xml:space="preserve"> </w:t>
      </w:r>
      <w:r w:rsidRPr="005A5DC5">
        <w:rPr>
          <w:rFonts w:eastAsia="Calibri"/>
          <w:sz w:val="20"/>
          <w:szCs w:val="20"/>
        </w:rPr>
        <w:t xml:space="preserve">75.821-M, y cuya acumulación solicitada por el denunciante fue concedida en auto </w:t>
      </w:r>
      <w:r w:rsidR="0054712C">
        <w:rPr>
          <w:rFonts w:eastAsia="Calibri"/>
          <w:sz w:val="20"/>
          <w:szCs w:val="20"/>
        </w:rPr>
        <w:t xml:space="preserve">de </w:t>
      </w:r>
      <w:r w:rsidRPr="005A5DC5">
        <w:rPr>
          <w:rFonts w:eastAsia="Calibri"/>
          <w:sz w:val="20"/>
          <w:szCs w:val="20"/>
        </w:rPr>
        <w:t>misma fecha, “</w:t>
      </w:r>
      <w:r w:rsidRPr="005A5DC5">
        <w:rPr>
          <w:rFonts w:eastAsia="Calibri"/>
          <w:bCs/>
          <w:sz w:val="20"/>
          <w:szCs w:val="20"/>
        </w:rPr>
        <w:t xml:space="preserve">una vez que la causa </w:t>
      </w:r>
      <w:r>
        <w:rPr>
          <w:rFonts w:eastAsia="Calibri"/>
          <w:bCs/>
          <w:sz w:val="20"/>
          <w:szCs w:val="20"/>
        </w:rPr>
        <w:t xml:space="preserve">rol No. 75.821 se </w:t>
      </w:r>
      <w:proofErr w:type="spellStart"/>
      <w:r>
        <w:rPr>
          <w:rFonts w:eastAsia="Calibri"/>
          <w:bCs/>
          <w:sz w:val="20"/>
          <w:szCs w:val="20"/>
        </w:rPr>
        <w:t>recepci</w:t>
      </w:r>
      <w:proofErr w:type="spellEnd"/>
      <w:r>
        <w:rPr>
          <w:rFonts w:eastAsia="Calibri"/>
          <w:bCs/>
          <w:sz w:val="20"/>
          <w:szCs w:val="20"/>
        </w:rPr>
        <w:t>[</w:t>
      </w:r>
      <w:proofErr w:type="spellStart"/>
      <w:r>
        <w:rPr>
          <w:rFonts w:eastAsia="Calibri"/>
          <w:bCs/>
          <w:sz w:val="20"/>
          <w:szCs w:val="20"/>
        </w:rPr>
        <w:t>onara</w:t>
      </w:r>
      <w:proofErr w:type="spellEnd"/>
      <w:r>
        <w:rPr>
          <w:rFonts w:eastAsia="Calibri"/>
          <w:bCs/>
          <w:sz w:val="20"/>
          <w:szCs w:val="20"/>
        </w:rPr>
        <w:t>]</w:t>
      </w:r>
      <w:r w:rsidRPr="005A5DC5">
        <w:rPr>
          <w:rFonts w:eastAsia="Calibri"/>
          <w:bCs/>
          <w:sz w:val="20"/>
          <w:szCs w:val="20"/>
        </w:rPr>
        <w:t xml:space="preserve"> de la I. Corte de Apelaciones de San Miguel”, lo cual sucedió el día 7 de diciembre de 2005</w:t>
      </w:r>
      <w:r w:rsidRPr="00E47EFA">
        <w:rPr>
          <w:rFonts w:eastAsia="Calibri"/>
          <w:sz w:val="20"/>
          <w:szCs w:val="16"/>
          <w:vertAlign w:val="superscript"/>
        </w:rPr>
        <w:footnoteReference w:id="85"/>
      </w:r>
      <w:r w:rsidRPr="00E47EFA">
        <w:rPr>
          <w:rFonts w:eastAsia="Calibri"/>
          <w:sz w:val="20"/>
          <w:szCs w:val="20"/>
        </w:rPr>
        <w:t>.</w:t>
      </w:r>
    </w:p>
    <w:p w14:paraId="1F2FADF8"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0331B380" w14:textId="77777777"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Entre el 3 de marzo de 2006 y el 15 de junio de 2007, durante el trámite de la</w:t>
      </w:r>
      <w:r>
        <w:rPr>
          <w:rFonts w:eastAsia="Calibri"/>
          <w:sz w:val="20"/>
          <w:szCs w:val="20"/>
        </w:rPr>
        <w:t xml:space="preserve"> </w:t>
      </w:r>
      <w:r w:rsidRPr="00E47EFA">
        <w:rPr>
          <w:rFonts w:eastAsia="Calibri"/>
          <w:sz w:val="20"/>
          <w:szCs w:val="20"/>
        </w:rPr>
        <w:t>querella</w:t>
      </w:r>
      <w:r>
        <w:rPr>
          <w:rFonts w:eastAsia="Calibri"/>
          <w:sz w:val="20"/>
          <w:szCs w:val="20"/>
        </w:rPr>
        <w:t xml:space="preserve"> acumulada ante el Primer Juzgado Civil de Puente Alto</w:t>
      </w:r>
      <w:r w:rsidRPr="00E47EFA">
        <w:rPr>
          <w:rFonts w:eastAsia="Calibri"/>
          <w:sz w:val="20"/>
          <w:szCs w:val="20"/>
        </w:rPr>
        <w:t xml:space="preserve">, las siguientes personas declararon ante el Primer Juzgado Civil de Puente Alto: Marcelo Adán Garrido; María Carolina Chacón Fernández; Vinicio Poblete Tapia; </w:t>
      </w:r>
      <w:proofErr w:type="spellStart"/>
      <w:r w:rsidRPr="00E47EFA">
        <w:rPr>
          <w:rFonts w:eastAsia="Calibri"/>
          <w:sz w:val="20"/>
          <w:szCs w:val="20"/>
        </w:rPr>
        <w:t>Cesia</w:t>
      </w:r>
      <w:proofErr w:type="spellEnd"/>
      <w:r w:rsidRPr="00E47EFA">
        <w:rPr>
          <w:rFonts w:eastAsia="Calibri"/>
          <w:sz w:val="20"/>
          <w:szCs w:val="20"/>
        </w:rPr>
        <w:t xml:space="preserve"> Leila Poblete Tapia; </w:t>
      </w:r>
      <w:r w:rsidRPr="00C64243">
        <w:rPr>
          <w:rFonts w:eastAsia="Calibri"/>
          <w:sz w:val="20"/>
          <w:szCs w:val="20"/>
        </w:rPr>
        <w:t>Lili Marlene Rojas Hernández</w:t>
      </w:r>
      <w:r w:rsidRPr="00E47EFA">
        <w:rPr>
          <w:rFonts w:eastAsia="Calibri"/>
          <w:sz w:val="20"/>
          <w:szCs w:val="20"/>
        </w:rPr>
        <w:t>; Jorge Alejandro Fuentes Poblete; y Alejandra Marcela Fuentes Poblete</w:t>
      </w:r>
      <w:r w:rsidRPr="00E47EFA">
        <w:rPr>
          <w:rFonts w:eastAsia="Calibri"/>
          <w:sz w:val="20"/>
          <w:szCs w:val="20"/>
          <w:vertAlign w:val="superscript"/>
        </w:rPr>
        <w:footnoteReference w:id="86"/>
      </w:r>
      <w:r w:rsidRPr="00E47EFA">
        <w:rPr>
          <w:rFonts w:eastAsia="Calibri"/>
          <w:sz w:val="20"/>
          <w:szCs w:val="20"/>
        </w:rPr>
        <w:t xml:space="preserve">. </w:t>
      </w:r>
    </w:p>
    <w:p w14:paraId="24BFF604"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734DB9FD" w14:textId="720FBE09"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El 21 de marzo de 2006</w:t>
      </w:r>
      <w:r w:rsidR="006908F5">
        <w:rPr>
          <w:rFonts w:eastAsia="Calibri"/>
          <w:sz w:val="20"/>
          <w:szCs w:val="20"/>
        </w:rPr>
        <w:t>,</w:t>
      </w:r>
      <w:r w:rsidRPr="00E47EFA">
        <w:rPr>
          <w:rFonts w:eastAsia="Calibri"/>
          <w:sz w:val="20"/>
          <w:szCs w:val="20"/>
        </w:rPr>
        <w:t xml:space="preserve"> la representación del señor Vinicio Poblete Tapia solicitó las siguientes diligencias: </w:t>
      </w:r>
      <w:proofErr w:type="gramStart"/>
      <w:r w:rsidRPr="00E47EFA">
        <w:rPr>
          <w:rFonts w:eastAsia="Calibri"/>
          <w:sz w:val="20"/>
          <w:szCs w:val="20"/>
        </w:rPr>
        <w:t>¡</w:t>
      </w:r>
      <w:proofErr w:type="gramEnd"/>
      <w:r w:rsidRPr="00E47EFA">
        <w:rPr>
          <w:rFonts w:eastAsia="Calibri"/>
          <w:sz w:val="20"/>
          <w:szCs w:val="20"/>
        </w:rPr>
        <w:t xml:space="preserve">) la declaración del querellante, ii) la declaración de </w:t>
      </w:r>
      <w:proofErr w:type="spellStart"/>
      <w:r w:rsidRPr="00E47EFA">
        <w:rPr>
          <w:rFonts w:eastAsia="Calibri"/>
          <w:sz w:val="20"/>
          <w:szCs w:val="20"/>
        </w:rPr>
        <w:t>Cesia</w:t>
      </w:r>
      <w:proofErr w:type="spellEnd"/>
      <w:r w:rsidRPr="00E47EFA">
        <w:rPr>
          <w:rFonts w:eastAsia="Calibri"/>
          <w:sz w:val="20"/>
          <w:szCs w:val="20"/>
        </w:rPr>
        <w:t xml:space="preserve"> Leila Poblete Tapia, iii) careo entre los dos anteriores y la doctora María Carolina Chacón Fernández. Además se solicitó que, debido al deterioro de salud del señor Poblete Tapia, éstas fuesen “</w:t>
      </w:r>
      <w:r w:rsidR="0021178D">
        <w:rPr>
          <w:rFonts w:eastAsia="Calibri"/>
          <w:sz w:val="20"/>
          <w:szCs w:val="20"/>
        </w:rPr>
        <w:t>decretadas</w:t>
      </w:r>
      <w:r w:rsidR="0021178D" w:rsidRPr="00E47EFA">
        <w:rPr>
          <w:rFonts w:eastAsia="Calibri"/>
          <w:sz w:val="20"/>
          <w:szCs w:val="20"/>
        </w:rPr>
        <w:t xml:space="preserve"> </w:t>
      </w:r>
      <w:r w:rsidRPr="00E47EFA">
        <w:rPr>
          <w:rFonts w:eastAsia="Calibri"/>
          <w:sz w:val="20"/>
          <w:szCs w:val="20"/>
        </w:rPr>
        <w:t>a la brevedad posible y con carácter de urgentes”</w:t>
      </w:r>
      <w:r w:rsidRPr="00E47EFA">
        <w:rPr>
          <w:rFonts w:eastAsia="Calibri"/>
          <w:sz w:val="20"/>
          <w:szCs w:val="16"/>
          <w:vertAlign w:val="superscript"/>
        </w:rPr>
        <w:footnoteReference w:id="87"/>
      </w:r>
      <w:r w:rsidRPr="00E47EFA">
        <w:rPr>
          <w:rFonts w:eastAsia="Calibri"/>
          <w:sz w:val="20"/>
          <w:szCs w:val="20"/>
        </w:rPr>
        <w:t>. El 18 de abril de 2006</w:t>
      </w:r>
      <w:r w:rsidR="0021178D">
        <w:rPr>
          <w:rFonts w:eastAsia="Calibri"/>
          <w:sz w:val="20"/>
          <w:szCs w:val="20"/>
        </w:rPr>
        <w:t>,</w:t>
      </w:r>
      <w:r w:rsidRPr="00E47EFA">
        <w:rPr>
          <w:rFonts w:eastAsia="Calibri"/>
          <w:sz w:val="20"/>
          <w:szCs w:val="20"/>
        </w:rPr>
        <w:t xml:space="preserve"> la representación del señor Poblete Tapia solicitó diversas declaraciones</w:t>
      </w:r>
      <w:r w:rsidRPr="00E47EFA">
        <w:rPr>
          <w:rFonts w:eastAsia="Calibri"/>
          <w:sz w:val="20"/>
          <w:szCs w:val="20"/>
          <w:vertAlign w:val="superscript"/>
        </w:rPr>
        <w:footnoteReference w:id="88"/>
      </w:r>
      <w:r w:rsidRPr="00E47EFA">
        <w:rPr>
          <w:rFonts w:eastAsia="Calibri"/>
          <w:sz w:val="20"/>
          <w:szCs w:val="20"/>
        </w:rPr>
        <w:t>.</w:t>
      </w:r>
    </w:p>
    <w:p w14:paraId="07E51B25" w14:textId="77777777" w:rsidR="00E22B60" w:rsidRPr="00E47EFA" w:rsidRDefault="00E22B60" w:rsidP="00E22B60">
      <w:pPr>
        <w:tabs>
          <w:tab w:val="left" w:pos="630"/>
          <w:tab w:val="left" w:pos="810"/>
          <w:tab w:val="left" w:pos="1530"/>
          <w:tab w:val="left" w:pos="1620"/>
        </w:tabs>
        <w:ind w:right="-360"/>
        <w:contextualSpacing/>
        <w:rPr>
          <w:rFonts w:eastAsia="Calibri"/>
          <w:sz w:val="20"/>
          <w:szCs w:val="20"/>
        </w:rPr>
      </w:pPr>
    </w:p>
    <w:p w14:paraId="7B4F140F" w14:textId="110A53B7"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 xml:space="preserve">El </w:t>
      </w:r>
      <w:r w:rsidR="0021178D">
        <w:rPr>
          <w:rFonts w:eastAsia="Calibri"/>
          <w:sz w:val="20"/>
          <w:szCs w:val="20"/>
        </w:rPr>
        <w:t>8</w:t>
      </w:r>
      <w:r w:rsidR="0021178D" w:rsidRPr="00E47EFA">
        <w:rPr>
          <w:rFonts w:eastAsia="Calibri"/>
          <w:sz w:val="20"/>
          <w:szCs w:val="20"/>
        </w:rPr>
        <w:t xml:space="preserve"> </w:t>
      </w:r>
      <w:r w:rsidRPr="00E47EFA">
        <w:rPr>
          <w:rFonts w:eastAsia="Calibri"/>
          <w:sz w:val="20"/>
          <w:szCs w:val="20"/>
        </w:rPr>
        <w:t>de junio de 2006</w:t>
      </w:r>
      <w:r w:rsidR="0021178D">
        <w:rPr>
          <w:rFonts w:eastAsia="Calibri"/>
          <w:sz w:val="20"/>
          <w:szCs w:val="20"/>
        </w:rPr>
        <w:t>,</w:t>
      </w:r>
      <w:r w:rsidRPr="00E47EFA">
        <w:rPr>
          <w:rFonts w:eastAsia="Calibri"/>
          <w:sz w:val="20"/>
          <w:szCs w:val="20"/>
        </w:rPr>
        <w:t xml:space="preserve"> el Servicio Médico Legal del Gobierno de Chile remitió la Pericia Médico Legal Nº 140-2005, </w:t>
      </w:r>
      <w:r w:rsidR="00EC4C95" w:rsidRPr="00B1523A">
        <w:rPr>
          <w:rFonts w:eastAsia="Calibri"/>
          <w:sz w:val="20"/>
        </w:rPr>
        <w:t>realizada con base en la historia clínica,</w:t>
      </w:r>
      <w:r w:rsidR="00EC4C95">
        <w:rPr>
          <w:rFonts w:eastAsia="Calibri"/>
          <w:sz w:val="20"/>
          <w:szCs w:val="20"/>
        </w:rPr>
        <w:t xml:space="preserve"> </w:t>
      </w:r>
      <w:r w:rsidRPr="00E47EFA">
        <w:rPr>
          <w:rFonts w:eastAsia="Calibri"/>
          <w:sz w:val="20"/>
          <w:szCs w:val="20"/>
        </w:rPr>
        <w:t>en la cual se concluyó que el señor Poblete Vilches, quien padecía de diabetes tipo 2, “debió hospitalizarse en dos oportunidades en lapso de tres semanas por un Edema Pulmonar Agudo más un Fibrilación Auricular de alta frecuencia desencadenadas por una Cardiopatía Isquémica y además una infección cutánea extensa”. Además</w:t>
      </w:r>
      <w:r w:rsidR="0021178D">
        <w:rPr>
          <w:rFonts w:eastAsia="Calibri"/>
          <w:sz w:val="20"/>
          <w:szCs w:val="20"/>
        </w:rPr>
        <w:t>,</w:t>
      </w:r>
      <w:r w:rsidRPr="00E47EFA">
        <w:rPr>
          <w:rFonts w:eastAsia="Calibri"/>
          <w:sz w:val="20"/>
          <w:szCs w:val="20"/>
        </w:rPr>
        <w:t xml:space="preserve"> fue señalado que “[e]l conjunto de todas esta patologías fue debidamente diagnosticado y dada su gravedad fueron debidamente tratadas primero en la UCI [Quirúrgica] y luego en un Servicio de Medicina”. La Pericia Médico Legal notó también que el segundo ingreso se debió a un “</w:t>
      </w:r>
      <w:r w:rsidR="0021178D">
        <w:rPr>
          <w:rFonts w:eastAsia="Calibri"/>
          <w:sz w:val="20"/>
          <w:szCs w:val="20"/>
        </w:rPr>
        <w:t>[</w:t>
      </w:r>
      <w:r w:rsidRPr="00E47EFA">
        <w:rPr>
          <w:rFonts w:eastAsia="Calibri"/>
          <w:sz w:val="20"/>
          <w:szCs w:val="20"/>
        </w:rPr>
        <w:t>s</w:t>
      </w:r>
      <w:r w:rsidR="0021178D">
        <w:rPr>
          <w:rFonts w:eastAsia="Calibri"/>
          <w:sz w:val="20"/>
          <w:szCs w:val="20"/>
        </w:rPr>
        <w:t>]</w:t>
      </w:r>
      <w:proofErr w:type="spellStart"/>
      <w:r w:rsidRPr="00E47EFA">
        <w:rPr>
          <w:rFonts w:eastAsia="Calibri"/>
          <w:sz w:val="20"/>
          <w:szCs w:val="20"/>
        </w:rPr>
        <w:t>hock</w:t>
      </w:r>
      <w:proofErr w:type="spellEnd"/>
      <w:r w:rsidRPr="00E47EFA">
        <w:rPr>
          <w:rFonts w:eastAsia="Calibri"/>
          <w:sz w:val="20"/>
          <w:szCs w:val="20"/>
        </w:rPr>
        <w:t xml:space="preserve"> </w:t>
      </w:r>
      <w:r w:rsidR="0021178D">
        <w:rPr>
          <w:rFonts w:eastAsia="Calibri"/>
          <w:sz w:val="20"/>
          <w:szCs w:val="20"/>
        </w:rPr>
        <w:t>[</w:t>
      </w:r>
      <w:r w:rsidRPr="00E47EFA">
        <w:rPr>
          <w:rFonts w:eastAsia="Calibri"/>
          <w:sz w:val="20"/>
          <w:szCs w:val="20"/>
        </w:rPr>
        <w:t>s</w:t>
      </w:r>
      <w:r w:rsidR="0021178D">
        <w:rPr>
          <w:rFonts w:eastAsia="Calibri"/>
          <w:sz w:val="20"/>
          <w:szCs w:val="20"/>
        </w:rPr>
        <w:t>]</w:t>
      </w:r>
      <w:proofErr w:type="spellStart"/>
      <w:r w:rsidRPr="00E47EFA">
        <w:rPr>
          <w:rFonts w:eastAsia="Calibri"/>
          <w:sz w:val="20"/>
          <w:szCs w:val="20"/>
        </w:rPr>
        <w:t>éptico</w:t>
      </w:r>
      <w:proofErr w:type="spellEnd"/>
      <w:r w:rsidRPr="00E47EFA">
        <w:rPr>
          <w:rFonts w:eastAsia="Calibri"/>
          <w:sz w:val="20"/>
          <w:szCs w:val="20"/>
        </w:rPr>
        <w:t xml:space="preserve"> y </w:t>
      </w:r>
      <w:r w:rsidR="0021178D">
        <w:rPr>
          <w:rFonts w:eastAsia="Calibri"/>
          <w:sz w:val="20"/>
          <w:szCs w:val="20"/>
        </w:rPr>
        <w:t>[</w:t>
      </w:r>
      <w:r w:rsidRPr="00E47EFA">
        <w:rPr>
          <w:rFonts w:eastAsia="Calibri"/>
          <w:sz w:val="20"/>
          <w:szCs w:val="20"/>
        </w:rPr>
        <w:t>f</w:t>
      </w:r>
      <w:r w:rsidR="0021178D">
        <w:rPr>
          <w:rFonts w:eastAsia="Calibri"/>
          <w:sz w:val="20"/>
          <w:szCs w:val="20"/>
        </w:rPr>
        <w:t>]</w:t>
      </w:r>
      <w:proofErr w:type="spellStart"/>
      <w:r w:rsidRPr="00E47EFA">
        <w:rPr>
          <w:rFonts w:eastAsia="Calibri"/>
          <w:sz w:val="20"/>
          <w:szCs w:val="20"/>
        </w:rPr>
        <w:t>alla</w:t>
      </w:r>
      <w:proofErr w:type="spellEnd"/>
      <w:r w:rsidRPr="00E47EFA">
        <w:rPr>
          <w:rFonts w:eastAsia="Calibri"/>
          <w:sz w:val="20"/>
          <w:szCs w:val="20"/>
        </w:rPr>
        <w:t xml:space="preserve"> </w:t>
      </w:r>
      <w:r w:rsidR="0021178D">
        <w:rPr>
          <w:rFonts w:eastAsia="Calibri"/>
          <w:sz w:val="20"/>
          <w:szCs w:val="20"/>
        </w:rPr>
        <w:t>[</w:t>
      </w:r>
      <w:r w:rsidRPr="00E47EFA">
        <w:rPr>
          <w:rFonts w:eastAsia="Calibri"/>
          <w:sz w:val="20"/>
          <w:szCs w:val="20"/>
        </w:rPr>
        <w:t>m</w:t>
      </w:r>
      <w:r w:rsidR="0021178D">
        <w:rPr>
          <w:rFonts w:eastAsia="Calibri"/>
          <w:sz w:val="20"/>
          <w:szCs w:val="20"/>
        </w:rPr>
        <w:t>]</w:t>
      </w:r>
      <w:proofErr w:type="spellStart"/>
      <w:r w:rsidRPr="00E47EFA">
        <w:rPr>
          <w:rFonts w:eastAsia="Calibri"/>
          <w:sz w:val="20"/>
          <w:szCs w:val="20"/>
        </w:rPr>
        <w:t>ultiorgánica</w:t>
      </w:r>
      <w:proofErr w:type="spellEnd"/>
      <w:r w:rsidRPr="00E47EFA">
        <w:rPr>
          <w:rFonts w:eastAsia="Calibri"/>
          <w:sz w:val="20"/>
          <w:szCs w:val="20"/>
        </w:rPr>
        <w:t xml:space="preserve"> debido a una neumonía intrahospitalaria, situación susceptible de ocurrir luego de una estadía hospitalaria previa” y que, “dado su avanzada edad, patologías preexistentes y múltiples factores de riesgo, precipitaron su fallecimiento a pesar de las múltiples y adecuadas medidas terapéuticas recibidas”. En este sentido, los peritos “</w:t>
      </w:r>
      <w:proofErr w:type="spellStart"/>
      <w:proofErr w:type="gramStart"/>
      <w:r w:rsidRPr="00E47EFA">
        <w:rPr>
          <w:rFonts w:eastAsia="Calibri"/>
          <w:sz w:val="20"/>
          <w:szCs w:val="20"/>
        </w:rPr>
        <w:t>encontra</w:t>
      </w:r>
      <w:proofErr w:type="spellEnd"/>
      <w:r w:rsidRPr="00E47EFA">
        <w:rPr>
          <w:rFonts w:eastAsia="Calibri"/>
          <w:sz w:val="20"/>
          <w:szCs w:val="20"/>
        </w:rPr>
        <w:t>[</w:t>
      </w:r>
      <w:proofErr w:type="gramEnd"/>
      <w:r w:rsidRPr="00E47EFA">
        <w:rPr>
          <w:rFonts w:eastAsia="Calibri"/>
          <w:sz w:val="20"/>
          <w:szCs w:val="20"/>
        </w:rPr>
        <w:t xml:space="preserve">ron] que no hubo falta a la </w:t>
      </w:r>
      <w:proofErr w:type="spellStart"/>
      <w:r w:rsidRPr="00E47EFA">
        <w:rPr>
          <w:rFonts w:eastAsia="Calibri"/>
          <w:i/>
          <w:sz w:val="20"/>
          <w:szCs w:val="20"/>
        </w:rPr>
        <w:t>Lex</w:t>
      </w:r>
      <w:proofErr w:type="spellEnd"/>
      <w:r w:rsidRPr="00E47EFA">
        <w:rPr>
          <w:rFonts w:eastAsia="Calibri"/>
          <w:i/>
          <w:sz w:val="20"/>
          <w:szCs w:val="20"/>
        </w:rPr>
        <w:t xml:space="preserve"> </w:t>
      </w:r>
      <w:proofErr w:type="spellStart"/>
      <w:r w:rsidRPr="00E47EFA">
        <w:rPr>
          <w:rFonts w:eastAsia="Calibri"/>
          <w:i/>
          <w:sz w:val="20"/>
          <w:szCs w:val="20"/>
        </w:rPr>
        <w:t>Artis</w:t>
      </w:r>
      <w:proofErr w:type="spellEnd"/>
      <w:r w:rsidR="00713D68">
        <w:rPr>
          <w:rFonts w:eastAsia="Calibri"/>
          <w:sz w:val="20"/>
          <w:szCs w:val="20"/>
        </w:rPr>
        <w:t>”</w:t>
      </w:r>
      <w:r w:rsidRPr="00E47EFA">
        <w:rPr>
          <w:rFonts w:eastAsia="Calibri"/>
          <w:sz w:val="20"/>
          <w:szCs w:val="20"/>
          <w:vertAlign w:val="superscript"/>
        </w:rPr>
        <w:footnoteReference w:id="89"/>
      </w:r>
      <w:r w:rsidRPr="00E47EFA">
        <w:rPr>
          <w:rFonts w:eastAsia="Calibri"/>
          <w:sz w:val="20"/>
          <w:szCs w:val="20"/>
        </w:rPr>
        <w:t>.</w:t>
      </w:r>
    </w:p>
    <w:p w14:paraId="23C17771" w14:textId="77777777" w:rsidR="00E22B60" w:rsidRPr="00E47EFA" w:rsidRDefault="00E22B60" w:rsidP="00E22B60">
      <w:pPr>
        <w:tabs>
          <w:tab w:val="left" w:pos="630"/>
          <w:tab w:val="left" w:pos="810"/>
          <w:tab w:val="left" w:pos="1530"/>
          <w:tab w:val="left" w:pos="1620"/>
        </w:tabs>
        <w:ind w:right="-360"/>
        <w:contextualSpacing/>
        <w:rPr>
          <w:rFonts w:eastAsia="Calibri"/>
          <w:sz w:val="20"/>
          <w:szCs w:val="20"/>
        </w:rPr>
      </w:pPr>
    </w:p>
    <w:p w14:paraId="500FE46B" w14:textId="5AC3D68C"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Los días 5 de abril de, 27 de junio de  y 5 de septiembre de 2006 la representación de la doctora María Carolina Chacón Fernández presentó solicitudes de sobreseimiento de la causa</w:t>
      </w:r>
      <w:r>
        <w:rPr>
          <w:rFonts w:eastAsia="Calibri"/>
          <w:sz w:val="20"/>
          <w:szCs w:val="20"/>
        </w:rPr>
        <w:t xml:space="preserve"> seguida en su contra ante el Primer Juzgado Civil por la muerte del señor Vinicio Poblete Vilches</w:t>
      </w:r>
      <w:r>
        <w:rPr>
          <w:rStyle w:val="FootnoteReference"/>
          <w:rFonts w:eastAsia="Calibri"/>
          <w:sz w:val="20"/>
          <w:szCs w:val="20"/>
        </w:rPr>
        <w:footnoteReference w:id="90"/>
      </w:r>
      <w:r w:rsidRPr="00E47EFA">
        <w:rPr>
          <w:rFonts w:eastAsia="Calibri"/>
          <w:sz w:val="20"/>
          <w:szCs w:val="20"/>
        </w:rPr>
        <w:t>, las cuales fueron denegadas</w:t>
      </w:r>
      <w:r w:rsidRPr="00E47EFA">
        <w:rPr>
          <w:rFonts w:eastAsia="Calibri"/>
          <w:sz w:val="20"/>
          <w:szCs w:val="20"/>
          <w:vertAlign w:val="superscript"/>
        </w:rPr>
        <w:footnoteReference w:id="91"/>
      </w:r>
      <w:r w:rsidRPr="00E47EFA">
        <w:rPr>
          <w:rFonts w:eastAsia="Calibri"/>
          <w:sz w:val="20"/>
          <w:szCs w:val="20"/>
        </w:rPr>
        <w:t>. El 21 de noviembre de 2006</w:t>
      </w:r>
      <w:r>
        <w:rPr>
          <w:rFonts w:eastAsia="Calibri"/>
          <w:sz w:val="20"/>
          <w:szCs w:val="20"/>
        </w:rPr>
        <w:t>,</w:t>
      </w:r>
      <w:r w:rsidRPr="00E47EFA">
        <w:rPr>
          <w:rFonts w:eastAsia="Calibri"/>
          <w:sz w:val="20"/>
          <w:szCs w:val="20"/>
        </w:rPr>
        <w:t xml:space="preserve"> la representación de la doctora María Carolina Chacón </w:t>
      </w:r>
      <w:proofErr w:type="spellStart"/>
      <w:r w:rsidRPr="00E47EFA">
        <w:rPr>
          <w:rFonts w:eastAsia="Calibri"/>
          <w:sz w:val="20"/>
          <w:szCs w:val="20"/>
        </w:rPr>
        <w:t>Fern</w:t>
      </w:r>
      <w:r w:rsidRPr="00C64243">
        <w:rPr>
          <w:rFonts w:eastAsia="Calibri" w:cs="Arial"/>
          <w:sz w:val="20"/>
          <w:szCs w:val="20"/>
          <w:lang w:val="es-MX" w:eastAsia="ko-KR"/>
        </w:rPr>
        <w:t>ández</w:t>
      </w:r>
      <w:proofErr w:type="spellEnd"/>
      <w:r w:rsidRPr="00C64243">
        <w:rPr>
          <w:rFonts w:eastAsia="Calibri" w:cs="Arial"/>
          <w:sz w:val="20"/>
          <w:szCs w:val="20"/>
          <w:lang w:val="es-MX" w:eastAsia="ko-KR"/>
        </w:rPr>
        <w:t xml:space="preserve"> </w:t>
      </w:r>
      <w:r w:rsidRPr="00E47EFA">
        <w:rPr>
          <w:rFonts w:eastAsia="Calibri"/>
          <w:sz w:val="20"/>
          <w:szCs w:val="20"/>
        </w:rPr>
        <w:t xml:space="preserve">nuevamente solicitó el sobreseimiento de </w:t>
      </w:r>
      <w:r>
        <w:rPr>
          <w:rFonts w:eastAsia="Calibri"/>
          <w:sz w:val="20"/>
          <w:szCs w:val="20"/>
        </w:rPr>
        <w:t>dicha</w:t>
      </w:r>
      <w:r w:rsidRPr="00E47EFA">
        <w:rPr>
          <w:rFonts w:eastAsia="Calibri"/>
          <w:sz w:val="20"/>
          <w:szCs w:val="20"/>
        </w:rPr>
        <w:t xml:space="preserve"> causa. Al respecto, el 22 de noviembre de 2006</w:t>
      </w:r>
      <w:r w:rsidR="00A83894">
        <w:rPr>
          <w:rFonts w:eastAsia="Calibri"/>
          <w:sz w:val="20"/>
          <w:szCs w:val="20"/>
        </w:rPr>
        <w:t>,</w:t>
      </w:r>
      <w:r w:rsidRPr="00E47EFA">
        <w:rPr>
          <w:rFonts w:eastAsia="Calibri"/>
          <w:sz w:val="20"/>
          <w:szCs w:val="20"/>
        </w:rPr>
        <w:t xml:space="preserve"> el Primer Juzgado Civil de Puente Alto </w:t>
      </w:r>
      <w:r>
        <w:rPr>
          <w:rFonts w:eastAsia="Calibri"/>
          <w:sz w:val="20"/>
          <w:szCs w:val="20"/>
        </w:rPr>
        <w:t xml:space="preserve">finalmente </w:t>
      </w:r>
      <w:r w:rsidRPr="00E47EFA">
        <w:rPr>
          <w:rFonts w:eastAsia="Calibri"/>
          <w:sz w:val="20"/>
          <w:szCs w:val="20"/>
        </w:rPr>
        <w:t>declaró cerrado el sumario</w:t>
      </w:r>
      <w:r>
        <w:rPr>
          <w:rFonts w:eastAsia="Calibri"/>
          <w:sz w:val="20"/>
          <w:szCs w:val="20"/>
        </w:rPr>
        <w:t xml:space="preserve"> de referencia</w:t>
      </w:r>
      <w:r w:rsidRPr="00E47EFA">
        <w:rPr>
          <w:rFonts w:eastAsia="Calibri"/>
          <w:sz w:val="20"/>
          <w:szCs w:val="20"/>
          <w:vertAlign w:val="superscript"/>
        </w:rPr>
        <w:footnoteReference w:id="92"/>
      </w:r>
      <w:r w:rsidRPr="00E47EFA">
        <w:rPr>
          <w:rFonts w:eastAsia="Calibri"/>
          <w:sz w:val="20"/>
          <w:szCs w:val="20"/>
        </w:rPr>
        <w:t xml:space="preserve">. </w:t>
      </w:r>
    </w:p>
    <w:p w14:paraId="0CBAC9D2" w14:textId="77777777" w:rsidR="00E22B60" w:rsidRPr="00E47EFA" w:rsidRDefault="00E22B60" w:rsidP="00E22B60">
      <w:pPr>
        <w:tabs>
          <w:tab w:val="left" w:pos="630"/>
          <w:tab w:val="left" w:pos="810"/>
          <w:tab w:val="left" w:pos="1530"/>
          <w:tab w:val="left" w:pos="1620"/>
        </w:tabs>
        <w:ind w:right="-360"/>
        <w:contextualSpacing/>
        <w:rPr>
          <w:rFonts w:eastAsia="Calibri"/>
          <w:sz w:val="20"/>
          <w:szCs w:val="20"/>
        </w:rPr>
      </w:pPr>
    </w:p>
    <w:p w14:paraId="74DD34CF" w14:textId="213AA949"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1B0482">
        <w:rPr>
          <w:rFonts w:eastAsia="Calibri"/>
          <w:sz w:val="20"/>
          <w:szCs w:val="20"/>
        </w:rPr>
        <w:t xml:space="preserve">El 7 de diciembre del 2006, la representación de la doctora Chacón Fernández </w:t>
      </w:r>
      <w:r>
        <w:rPr>
          <w:rFonts w:eastAsia="Calibri"/>
          <w:sz w:val="20"/>
          <w:szCs w:val="20"/>
        </w:rPr>
        <w:t xml:space="preserve">solicitó al </w:t>
      </w:r>
      <w:r w:rsidRPr="001B0482">
        <w:rPr>
          <w:rFonts w:eastAsia="Calibri"/>
          <w:sz w:val="20"/>
          <w:szCs w:val="20"/>
        </w:rPr>
        <w:t xml:space="preserve"> Primer Juzgado Civil de Puente Alto</w:t>
      </w:r>
      <w:r>
        <w:rPr>
          <w:rFonts w:eastAsia="Calibri"/>
          <w:sz w:val="20"/>
          <w:szCs w:val="20"/>
        </w:rPr>
        <w:t xml:space="preserve"> </w:t>
      </w:r>
      <w:r w:rsidR="00A83894">
        <w:rPr>
          <w:rFonts w:eastAsia="Calibri"/>
          <w:sz w:val="20"/>
          <w:szCs w:val="20"/>
        </w:rPr>
        <w:t xml:space="preserve">que </w:t>
      </w:r>
      <w:r w:rsidRPr="001B0482">
        <w:rPr>
          <w:rFonts w:eastAsia="Calibri"/>
          <w:sz w:val="20"/>
          <w:szCs w:val="20"/>
        </w:rPr>
        <w:t>dictara acusación fiscal o sobreseimiento temporal o definitivo en su contra por el cuasidelito de homicidio</w:t>
      </w:r>
      <w:r w:rsidRPr="001B0482">
        <w:rPr>
          <w:rFonts w:eastAsia="Calibri"/>
          <w:sz w:val="20"/>
          <w:szCs w:val="20"/>
          <w:vertAlign w:val="superscript"/>
        </w:rPr>
        <w:footnoteReference w:id="93"/>
      </w:r>
      <w:r w:rsidRPr="001B0482">
        <w:rPr>
          <w:rFonts w:eastAsia="Calibri"/>
          <w:sz w:val="20"/>
          <w:szCs w:val="20"/>
        </w:rPr>
        <w:t>. En atención</w:t>
      </w:r>
      <w:r>
        <w:rPr>
          <w:rFonts w:eastAsia="Calibri"/>
          <w:sz w:val="20"/>
          <w:szCs w:val="20"/>
        </w:rPr>
        <w:t xml:space="preserve"> a ello, </w:t>
      </w:r>
      <w:r w:rsidRPr="00E47EFA">
        <w:rPr>
          <w:rFonts w:eastAsia="Calibri"/>
          <w:sz w:val="20"/>
          <w:szCs w:val="20"/>
        </w:rPr>
        <w:t xml:space="preserve">el 11 de diciembre del 2006 el Primer Juzgado resolvió que “no se </w:t>
      </w:r>
      <w:proofErr w:type="spellStart"/>
      <w:proofErr w:type="gramStart"/>
      <w:r w:rsidRPr="00E47EFA">
        <w:rPr>
          <w:rFonts w:eastAsia="Calibri"/>
          <w:sz w:val="20"/>
          <w:szCs w:val="20"/>
        </w:rPr>
        <w:t>enc</w:t>
      </w:r>
      <w:proofErr w:type="spellEnd"/>
      <w:r w:rsidRPr="00E47EFA">
        <w:rPr>
          <w:rFonts w:eastAsia="Calibri"/>
          <w:sz w:val="20"/>
          <w:szCs w:val="20"/>
        </w:rPr>
        <w:t>[</w:t>
      </w:r>
      <w:proofErr w:type="spellStart"/>
      <w:proofErr w:type="gramEnd"/>
      <w:r w:rsidRPr="00E47EFA">
        <w:rPr>
          <w:rFonts w:eastAsia="Calibri"/>
          <w:sz w:val="20"/>
          <w:szCs w:val="20"/>
        </w:rPr>
        <w:t>ontraba</w:t>
      </w:r>
      <w:proofErr w:type="spellEnd"/>
      <w:r w:rsidRPr="00E47EFA">
        <w:rPr>
          <w:rFonts w:eastAsia="Calibri"/>
          <w:sz w:val="20"/>
          <w:szCs w:val="20"/>
        </w:rPr>
        <w:t xml:space="preserve">] suficientemente justificado en autos la existencia del delito denunciado” y declaró que “se </w:t>
      </w:r>
      <w:proofErr w:type="spellStart"/>
      <w:r w:rsidRPr="00E47EFA">
        <w:rPr>
          <w:rFonts w:eastAsia="Calibri"/>
          <w:sz w:val="20"/>
          <w:szCs w:val="20"/>
        </w:rPr>
        <w:t>sobrese</w:t>
      </w:r>
      <w:proofErr w:type="spellEnd"/>
      <w:r w:rsidRPr="00E47EFA">
        <w:rPr>
          <w:rFonts w:eastAsia="Calibri"/>
          <w:sz w:val="20"/>
          <w:szCs w:val="20"/>
        </w:rPr>
        <w:t>[</w:t>
      </w:r>
      <w:proofErr w:type="spellStart"/>
      <w:r w:rsidRPr="00E47EFA">
        <w:rPr>
          <w:rFonts w:eastAsia="Calibri"/>
          <w:sz w:val="20"/>
          <w:szCs w:val="20"/>
        </w:rPr>
        <w:t>ía</w:t>
      </w:r>
      <w:proofErr w:type="spellEnd"/>
      <w:r w:rsidRPr="00E47EFA">
        <w:rPr>
          <w:rFonts w:eastAsia="Calibri"/>
          <w:sz w:val="20"/>
          <w:szCs w:val="20"/>
        </w:rPr>
        <w:t xml:space="preserve">] </w:t>
      </w:r>
      <w:r w:rsidR="00A83894">
        <w:rPr>
          <w:rFonts w:eastAsia="Calibri"/>
          <w:sz w:val="20"/>
          <w:szCs w:val="20"/>
        </w:rPr>
        <w:t>temporalmente</w:t>
      </w:r>
      <w:r w:rsidRPr="00E47EFA">
        <w:rPr>
          <w:rFonts w:eastAsia="Calibri"/>
          <w:sz w:val="20"/>
          <w:szCs w:val="20"/>
        </w:rPr>
        <w:t xml:space="preserve"> [</w:t>
      </w:r>
      <w:r>
        <w:rPr>
          <w:rFonts w:eastAsia="Calibri"/>
          <w:sz w:val="20"/>
          <w:szCs w:val="20"/>
        </w:rPr>
        <w:t>dicha</w:t>
      </w:r>
      <w:r w:rsidRPr="00E47EFA">
        <w:rPr>
          <w:rFonts w:eastAsia="Calibri"/>
          <w:sz w:val="20"/>
          <w:szCs w:val="20"/>
        </w:rPr>
        <w:t>] causa, hasta que se re[unieran] nuevos y mejores datos de investigación”</w:t>
      </w:r>
      <w:r w:rsidRPr="00E47EFA">
        <w:rPr>
          <w:rFonts w:eastAsia="Calibri"/>
          <w:sz w:val="20"/>
          <w:szCs w:val="20"/>
          <w:vertAlign w:val="superscript"/>
        </w:rPr>
        <w:footnoteReference w:id="94"/>
      </w:r>
      <w:r w:rsidRPr="00E47EFA">
        <w:rPr>
          <w:rFonts w:eastAsia="Calibri"/>
          <w:sz w:val="20"/>
          <w:szCs w:val="20"/>
        </w:rPr>
        <w:t xml:space="preserve">. </w:t>
      </w:r>
    </w:p>
    <w:p w14:paraId="653FD9E4"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5D96E0DC" w14:textId="0038F631"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El 29 de enero de 2007</w:t>
      </w:r>
      <w:r w:rsidR="00A83894">
        <w:rPr>
          <w:rFonts w:eastAsia="Calibri"/>
          <w:sz w:val="20"/>
          <w:szCs w:val="20"/>
        </w:rPr>
        <w:t>,</w:t>
      </w:r>
      <w:r w:rsidRPr="00E47EFA">
        <w:rPr>
          <w:rFonts w:eastAsia="Calibri"/>
          <w:sz w:val="20"/>
          <w:szCs w:val="20"/>
        </w:rPr>
        <w:t xml:space="preserve"> la representación del señor Poblete Tapia solicitó la reapertura del sumario, argumentado que “[l]a investigación instruida en su oportunidad […] </w:t>
      </w:r>
      <w:proofErr w:type="spellStart"/>
      <w:r w:rsidRPr="00E47EFA">
        <w:rPr>
          <w:rFonts w:eastAsia="Calibri"/>
          <w:sz w:val="20"/>
          <w:szCs w:val="20"/>
        </w:rPr>
        <w:t>carec</w:t>
      </w:r>
      <w:proofErr w:type="spellEnd"/>
      <w:r w:rsidRPr="00E47EFA">
        <w:rPr>
          <w:rFonts w:eastAsia="Calibri"/>
          <w:sz w:val="20"/>
          <w:szCs w:val="20"/>
        </w:rPr>
        <w:t>[</w:t>
      </w:r>
      <w:proofErr w:type="spellStart"/>
      <w:r w:rsidRPr="00E47EFA">
        <w:rPr>
          <w:rFonts w:eastAsia="Calibri"/>
          <w:sz w:val="20"/>
          <w:szCs w:val="20"/>
        </w:rPr>
        <w:t>ía</w:t>
      </w:r>
      <w:proofErr w:type="spellEnd"/>
      <w:r w:rsidRPr="00E47EFA">
        <w:rPr>
          <w:rFonts w:eastAsia="Calibri"/>
          <w:sz w:val="20"/>
          <w:szCs w:val="20"/>
        </w:rPr>
        <w:t>] de importantes antecedentes relacionados directamente con la causa, los cuales no ha[</w:t>
      </w:r>
      <w:proofErr w:type="spellStart"/>
      <w:r w:rsidRPr="00E47EFA">
        <w:rPr>
          <w:rFonts w:eastAsia="Calibri"/>
          <w:sz w:val="20"/>
          <w:szCs w:val="20"/>
        </w:rPr>
        <w:t>bían</w:t>
      </w:r>
      <w:proofErr w:type="spellEnd"/>
      <w:r w:rsidRPr="00E47EFA">
        <w:rPr>
          <w:rFonts w:eastAsia="Calibri"/>
          <w:sz w:val="20"/>
          <w:szCs w:val="20"/>
        </w:rPr>
        <w:t>] sido tomados en consideración al no haber sido realizados por el tribunal, pese a haberse solicitado en su oportunidad durante el sumario” y nuevamente solicitó diligencias adicionales entre las cuales estaba la exhumación del cadáver del señor Poblete Vilches</w:t>
      </w:r>
      <w:r w:rsidRPr="00E47EFA">
        <w:rPr>
          <w:rFonts w:eastAsia="Calibri"/>
          <w:sz w:val="20"/>
          <w:szCs w:val="20"/>
          <w:vertAlign w:val="superscript"/>
        </w:rPr>
        <w:t xml:space="preserve"> </w:t>
      </w:r>
      <w:r w:rsidRPr="00E47EFA">
        <w:rPr>
          <w:rFonts w:eastAsia="Calibri"/>
          <w:sz w:val="20"/>
          <w:szCs w:val="20"/>
        </w:rPr>
        <w:t>para así poder clarificar la causa definitiva de su muerte</w:t>
      </w:r>
      <w:r w:rsidRPr="00E47EFA">
        <w:rPr>
          <w:rFonts w:eastAsia="Calibri"/>
          <w:sz w:val="20"/>
          <w:szCs w:val="20"/>
          <w:vertAlign w:val="superscript"/>
        </w:rPr>
        <w:footnoteReference w:id="95"/>
      </w:r>
      <w:r w:rsidRPr="00E47EFA">
        <w:rPr>
          <w:rFonts w:eastAsia="Calibri"/>
          <w:sz w:val="20"/>
          <w:szCs w:val="20"/>
        </w:rPr>
        <w:t>.</w:t>
      </w:r>
    </w:p>
    <w:p w14:paraId="003D3A62" w14:textId="77777777" w:rsidR="00E22B60" w:rsidRPr="00E47EFA" w:rsidRDefault="00E22B60" w:rsidP="00E22B60">
      <w:pPr>
        <w:tabs>
          <w:tab w:val="left" w:pos="630"/>
          <w:tab w:val="left" w:pos="810"/>
          <w:tab w:val="left" w:pos="1530"/>
          <w:tab w:val="left" w:pos="1620"/>
        </w:tabs>
        <w:ind w:right="-360"/>
        <w:contextualSpacing/>
        <w:rPr>
          <w:rFonts w:eastAsia="Calibri"/>
          <w:sz w:val="20"/>
          <w:szCs w:val="20"/>
        </w:rPr>
      </w:pPr>
    </w:p>
    <w:p w14:paraId="47F568A4" w14:textId="24495F50"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 xml:space="preserve"> El </w:t>
      </w:r>
      <w:r w:rsidR="00A83894">
        <w:rPr>
          <w:rFonts w:eastAsia="Calibri"/>
          <w:sz w:val="20"/>
          <w:szCs w:val="20"/>
        </w:rPr>
        <w:t>2</w:t>
      </w:r>
      <w:r w:rsidRPr="00E47EFA">
        <w:rPr>
          <w:rFonts w:eastAsia="Calibri"/>
          <w:sz w:val="20"/>
          <w:szCs w:val="20"/>
        </w:rPr>
        <w:t xml:space="preserve">7 de febrero de 2007 el Primer Juzgado Civil desarchivó la causa y el 17 de abril de 2007 </w:t>
      </w:r>
      <w:r>
        <w:rPr>
          <w:rFonts w:eastAsia="Calibri"/>
          <w:sz w:val="20"/>
          <w:szCs w:val="20"/>
        </w:rPr>
        <w:t xml:space="preserve">la misma </w:t>
      </w:r>
      <w:r w:rsidRPr="00E47EFA">
        <w:rPr>
          <w:rFonts w:eastAsia="Calibri"/>
          <w:sz w:val="20"/>
          <w:szCs w:val="20"/>
        </w:rPr>
        <w:t>volvió a estado de sumario</w:t>
      </w:r>
      <w:r w:rsidRPr="00E47EFA">
        <w:rPr>
          <w:rFonts w:eastAsia="Calibri"/>
          <w:sz w:val="20"/>
          <w:szCs w:val="20"/>
          <w:vertAlign w:val="superscript"/>
        </w:rPr>
        <w:footnoteReference w:id="96"/>
      </w:r>
      <w:r w:rsidRPr="00E47EFA">
        <w:rPr>
          <w:rFonts w:eastAsia="Calibri"/>
          <w:sz w:val="20"/>
          <w:szCs w:val="20"/>
        </w:rPr>
        <w:t xml:space="preserve">. </w:t>
      </w:r>
    </w:p>
    <w:p w14:paraId="2CBC2769" w14:textId="77777777" w:rsidR="00E22B60" w:rsidRPr="00E47EFA" w:rsidRDefault="00E22B60" w:rsidP="00E22B60">
      <w:pPr>
        <w:tabs>
          <w:tab w:val="left" w:pos="630"/>
          <w:tab w:val="left" w:pos="810"/>
          <w:tab w:val="left" w:pos="1530"/>
          <w:tab w:val="left" w:pos="1620"/>
        </w:tabs>
        <w:ind w:right="-360"/>
        <w:contextualSpacing/>
        <w:rPr>
          <w:rFonts w:eastAsia="Calibri"/>
          <w:sz w:val="20"/>
          <w:szCs w:val="20"/>
        </w:rPr>
      </w:pPr>
    </w:p>
    <w:p w14:paraId="4940A21D" w14:textId="320D9523"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El 21 de enero de 2008</w:t>
      </w:r>
      <w:r w:rsidR="00A83894">
        <w:rPr>
          <w:rFonts w:eastAsia="Calibri"/>
          <w:sz w:val="20"/>
          <w:szCs w:val="20"/>
        </w:rPr>
        <w:t>,</w:t>
      </w:r>
      <w:r w:rsidRPr="00E47EFA">
        <w:rPr>
          <w:rFonts w:eastAsia="Calibri"/>
          <w:sz w:val="20"/>
          <w:szCs w:val="20"/>
        </w:rPr>
        <w:t xml:space="preserve"> el Primer Juzgado Civil ordenó realizarse “informe de facultades mentales” a </w:t>
      </w:r>
      <w:proofErr w:type="spellStart"/>
      <w:r w:rsidRPr="00E47EFA">
        <w:rPr>
          <w:rFonts w:eastAsia="Calibri"/>
          <w:sz w:val="20"/>
          <w:szCs w:val="20"/>
        </w:rPr>
        <w:t>Cesia</w:t>
      </w:r>
      <w:proofErr w:type="spellEnd"/>
      <w:r w:rsidRPr="00E47EFA">
        <w:rPr>
          <w:rFonts w:eastAsia="Calibri"/>
          <w:sz w:val="20"/>
          <w:szCs w:val="20"/>
        </w:rPr>
        <w:t xml:space="preserve"> Poblete Tapia y a Vinicio Poblete Tapia</w:t>
      </w:r>
      <w:r w:rsidRPr="00E47EFA">
        <w:rPr>
          <w:rFonts w:eastAsia="Calibri"/>
          <w:sz w:val="20"/>
          <w:szCs w:val="20"/>
          <w:vertAlign w:val="superscript"/>
        </w:rPr>
        <w:footnoteReference w:id="97"/>
      </w:r>
      <w:r w:rsidRPr="00E47EFA">
        <w:rPr>
          <w:rFonts w:eastAsia="Calibri"/>
          <w:sz w:val="20"/>
          <w:szCs w:val="20"/>
        </w:rPr>
        <w:t>. Sin embargo, el Servicio Médico Legal comunicó mediante orden de 30 de mayo de 2008 que no se había recibido dicha solicitud</w:t>
      </w:r>
      <w:r w:rsidRPr="00E47EFA">
        <w:rPr>
          <w:rFonts w:eastAsia="Calibri"/>
          <w:sz w:val="20"/>
          <w:szCs w:val="20"/>
          <w:vertAlign w:val="superscript"/>
        </w:rPr>
        <w:footnoteReference w:id="98"/>
      </w:r>
      <w:r w:rsidRPr="00E47EFA">
        <w:rPr>
          <w:rFonts w:eastAsia="Calibri"/>
          <w:sz w:val="20"/>
          <w:szCs w:val="20"/>
        </w:rPr>
        <w:t>.</w:t>
      </w:r>
    </w:p>
    <w:p w14:paraId="4F980A80"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16D7B3C8" w14:textId="3CDA35C7"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El 3 de mayo de 2008</w:t>
      </w:r>
      <w:r w:rsidR="00A83894">
        <w:rPr>
          <w:rFonts w:eastAsia="Calibri"/>
          <w:sz w:val="20"/>
          <w:szCs w:val="20"/>
        </w:rPr>
        <w:t>,</w:t>
      </w:r>
      <w:r w:rsidRPr="00E47EFA">
        <w:rPr>
          <w:rFonts w:eastAsia="Calibri"/>
          <w:sz w:val="20"/>
          <w:szCs w:val="20"/>
        </w:rPr>
        <w:t xml:space="preserve"> el expediente</w:t>
      </w:r>
      <w:r>
        <w:rPr>
          <w:rFonts w:eastAsia="Calibri"/>
          <w:sz w:val="20"/>
          <w:szCs w:val="20"/>
        </w:rPr>
        <w:t xml:space="preserve"> sustanciado en el Primer Juzgado Civil</w:t>
      </w:r>
      <w:r w:rsidRPr="00E47EFA">
        <w:rPr>
          <w:rFonts w:eastAsia="Calibri"/>
          <w:sz w:val="20"/>
          <w:szCs w:val="20"/>
        </w:rPr>
        <w:t xml:space="preserve"> ingresó a la cuenta de la Corte de Apelaciones de San Miguel en Santiago, y fue devuelto al Tribunal de primera instancia el 14 de mayo de 2008</w:t>
      </w:r>
      <w:r w:rsidRPr="00E47EFA">
        <w:rPr>
          <w:rFonts w:eastAsia="Calibri"/>
          <w:sz w:val="20"/>
          <w:szCs w:val="20"/>
          <w:vertAlign w:val="superscript"/>
        </w:rPr>
        <w:footnoteReference w:id="99"/>
      </w:r>
      <w:r w:rsidRPr="00E47EFA">
        <w:rPr>
          <w:rFonts w:eastAsia="Calibri"/>
          <w:sz w:val="20"/>
          <w:szCs w:val="20"/>
        </w:rPr>
        <w:t xml:space="preserve">. </w:t>
      </w:r>
    </w:p>
    <w:p w14:paraId="6C18CCFB" w14:textId="77777777" w:rsidR="00E22B60" w:rsidRPr="00E47EFA" w:rsidRDefault="00E22B60" w:rsidP="00E22B60">
      <w:pPr>
        <w:tabs>
          <w:tab w:val="left" w:pos="630"/>
          <w:tab w:val="left" w:pos="810"/>
          <w:tab w:val="left" w:pos="1530"/>
          <w:tab w:val="left" w:pos="1620"/>
        </w:tabs>
        <w:ind w:right="-360"/>
        <w:contextualSpacing/>
        <w:rPr>
          <w:rFonts w:eastAsia="Calibri"/>
          <w:sz w:val="20"/>
          <w:szCs w:val="20"/>
        </w:rPr>
      </w:pPr>
    </w:p>
    <w:p w14:paraId="0E7CA469" w14:textId="4AE2FE30"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El 11 de junio de 2008</w:t>
      </w:r>
      <w:r w:rsidR="00A83894">
        <w:rPr>
          <w:rFonts w:eastAsia="Calibri"/>
          <w:sz w:val="20"/>
          <w:szCs w:val="20"/>
        </w:rPr>
        <w:t>,</w:t>
      </w:r>
      <w:r w:rsidRPr="00E47EFA">
        <w:rPr>
          <w:rFonts w:eastAsia="Calibri"/>
          <w:sz w:val="20"/>
          <w:szCs w:val="20"/>
        </w:rPr>
        <w:t xml:space="preserve"> el Primer Juzgado Civil nuevamente declaró cerrado el sumario</w:t>
      </w:r>
      <w:r w:rsidRPr="00E47EFA">
        <w:rPr>
          <w:rFonts w:eastAsia="Calibri"/>
          <w:sz w:val="20"/>
          <w:szCs w:val="20"/>
          <w:vertAlign w:val="superscript"/>
        </w:rPr>
        <w:footnoteReference w:id="100"/>
      </w:r>
      <w:r w:rsidRPr="00E47EFA">
        <w:rPr>
          <w:rFonts w:eastAsia="Calibri"/>
          <w:sz w:val="20"/>
          <w:szCs w:val="20"/>
        </w:rPr>
        <w:t xml:space="preserve"> y el 30 de junio de 2008 dictó una vez más el sobreseimiento temporal de la causa, </w:t>
      </w:r>
      <w:r w:rsidR="00A83894">
        <w:rPr>
          <w:rFonts w:eastAsia="Calibri"/>
          <w:sz w:val="20"/>
          <w:szCs w:val="20"/>
        </w:rPr>
        <w:t>“</w:t>
      </w:r>
      <w:r w:rsidRPr="00E47EFA">
        <w:rPr>
          <w:rFonts w:eastAsia="Calibri"/>
          <w:sz w:val="20"/>
          <w:szCs w:val="20"/>
        </w:rPr>
        <w:t xml:space="preserve">hasta que se </w:t>
      </w:r>
      <w:proofErr w:type="spellStart"/>
      <w:proofErr w:type="gramStart"/>
      <w:r w:rsidRPr="00E47EFA">
        <w:rPr>
          <w:rFonts w:eastAsia="Calibri"/>
          <w:sz w:val="20"/>
          <w:szCs w:val="20"/>
        </w:rPr>
        <w:t>reun</w:t>
      </w:r>
      <w:proofErr w:type="spellEnd"/>
      <w:r w:rsidRPr="00E47EFA">
        <w:rPr>
          <w:rFonts w:eastAsia="Calibri"/>
          <w:sz w:val="20"/>
          <w:szCs w:val="20"/>
        </w:rPr>
        <w:t>[</w:t>
      </w:r>
      <w:proofErr w:type="spellStart"/>
      <w:proofErr w:type="gramEnd"/>
      <w:r w:rsidRPr="00E47EFA">
        <w:rPr>
          <w:rFonts w:eastAsia="Calibri"/>
          <w:sz w:val="20"/>
          <w:szCs w:val="20"/>
        </w:rPr>
        <w:t>ieran</w:t>
      </w:r>
      <w:proofErr w:type="spellEnd"/>
      <w:r w:rsidRPr="00E47EFA">
        <w:rPr>
          <w:rFonts w:eastAsia="Calibri"/>
          <w:sz w:val="20"/>
          <w:szCs w:val="20"/>
        </w:rPr>
        <w:t>] nuevos y mejores datos de investigación”</w:t>
      </w:r>
      <w:r w:rsidRPr="00E47EFA">
        <w:rPr>
          <w:rFonts w:eastAsia="Calibri"/>
          <w:sz w:val="20"/>
          <w:szCs w:val="20"/>
          <w:vertAlign w:val="superscript"/>
        </w:rPr>
        <w:footnoteReference w:id="101"/>
      </w:r>
      <w:r w:rsidRPr="00E47EFA">
        <w:rPr>
          <w:rFonts w:eastAsia="Calibri"/>
          <w:sz w:val="20"/>
          <w:szCs w:val="20"/>
        </w:rPr>
        <w:t xml:space="preserve">. </w:t>
      </w:r>
    </w:p>
    <w:p w14:paraId="5EBC00EC" w14:textId="77777777" w:rsidR="00E22B60" w:rsidRPr="00E47EFA" w:rsidRDefault="00E22B60" w:rsidP="00E22B60">
      <w:pPr>
        <w:tabs>
          <w:tab w:val="left" w:pos="630"/>
          <w:tab w:val="left" w:pos="810"/>
          <w:tab w:val="left" w:pos="1530"/>
          <w:tab w:val="left" w:pos="1620"/>
        </w:tabs>
        <w:ind w:right="-360"/>
        <w:contextualSpacing/>
        <w:rPr>
          <w:rFonts w:eastAsia="Calibri"/>
          <w:sz w:val="20"/>
          <w:szCs w:val="20"/>
        </w:rPr>
      </w:pPr>
    </w:p>
    <w:p w14:paraId="6D7C4116" w14:textId="77777777"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El 4 de agosto de 2008, en virtud de “nuevos y mejores antecedentes”, la representación de la familia del señor Poblete Vilches solicitó el desarchivo judicial</w:t>
      </w:r>
      <w:r w:rsidRPr="00E47EFA">
        <w:rPr>
          <w:rFonts w:eastAsia="Calibri"/>
          <w:sz w:val="20"/>
          <w:szCs w:val="20"/>
          <w:vertAlign w:val="superscript"/>
        </w:rPr>
        <w:footnoteReference w:id="102"/>
      </w:r>
      <w:r w:rsidRPr="00E47EFA">
        <w:rPr>
          <w:rFonts w:eastAsia="Calibri"/>
          <w:sz w:val="20"/>
          <w:szCs w:val="20"/>
        </w:rPr>
        <w:t>, y el 5 de agosto de 2008 el Primer Juzgado Civil ordenó el desarchivo de la causa</w:t>
      </w:r>
      <w:r w:rsidRPr="00E47EFA">
        <w:rPr>
          <w:rFonts w:eastAsia="Calibri"/>
          <w:sz w:val="20"/>
          <w:szCs w:val="20"/>
          <w:vertAlign w:val="superscript"/>
        </w:rPr>
        <w:footnoteReference w:id="103"/>
      </w:r>
      <w:r w:rsidRPr="00E47EFA">
        <w:rPr>
          <w:rFonts w:eastAsia="Calibri"/>
          <w:sz w:val="20"/>
          <w:szCs w:val="20"/>
        </w:rPr>
        <w:t xml:space="preserve">. </w:t>
      </w:r>
    </w:p>
    <w:p w14:paraId="52D9E3A6" w14:textId="77777777" w:rsidR="00E22B60" w:rsidRPr="00E47EFA" w:rsidRDefault="00E22B60" w:rsidP="00E22B60">
      <w:pPr>
        <w:tabs>
          <w:tab w:val="left" w:pos="630"/>
          <w:tab w:val="left" w:pos="810"/>
          <w:tab w:val="left" w:pos="1530"/>
          <w:tab w:val="left" w:pos="1620"/>
        </w:tabs>
        <w:ind w:right="-360"/>
        <w:contextualSpacing/>
        <w:rPr>
          <w:rFonts w:eastAsia="Calibri"/>
          <w:sz w:val="20"/>
          <w:szCs w:val="20"/>
        </w:rPr>
      </w:pPr>
    </w:p>
    <w:p w14:paraId="0BFF3E7C" w14:textId="013E5999"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El 28 de agosto de 2008</w:t>
      </w:r>
      <w:r w:rsidR="0086435F">
        <w:rPr>
          <w:rFonts w:eastAsia="Calibri"/>
          <w:sz w:val="20"/>
          <w:szCs w:val="20"/>
        </w:rPr>
        <w:t>,</w:t>
      </w:r>
      <w:r w:rsidRPr="00E47EFA">
        <w:rPr>
          <w:rFonts w:eastAsia="Calibri"/>
          <w:sz w:val="20"/>
          <w:szCs w:val="20"/>
        </w:rPr>
        <w:t xml:space="preserve"> la Corte Suprema de Justicia solicitó al Primer Juzgado Civil </w:t>
      </w:r>
      <w:r w:rsidR="0086435F">
        <w:rPr>
          <w:rFonts w:eastAsia="Calibri"/>
          <w:sz w:val="20"/>
          <w:szCs w:val="20"/>
        </w:rPr>
        <w:t xml:space="preserve">que </w:t>
      </w:r>
      <w:r w:rsidRPr="00E47EFA">
        <w:rPr>
          <w:rFonts w:eastAsia="Calibri"/>
          <w:sz w:val="20"/>
          <w:szCs w:val="20"/>
        </w:rPr>
        <w:t xml:space="preserve">remitiera copia de la causa </w:t>
      </w:r>
      <w:r w:rsidR="0086435F">
        <w:rPr>
          <w:rFonts w:eastAsia="Calibri"/>
          <w:sz w:val="20"/>
          <w:szCs w:val="20"/>
        </w:rPr>
        <w:t>No.</w:t>
      </w:r>
      <w:r w:rsidR="0086435F" w:rsidRPr="00E47EFA">
        <w:rPr>
          <w:rFonts w:eastAsia="Calibri"/>
          <w:sz w:val="20"/>
          <w:szCs w:val="20"/>
        </w:rPr>
        <w:t xml:space="preserve"> </w:t>
      </w:r>
      <w:r w:rsidRPr="00E47EFA">
        <w:rPr>
          <w:rFonts w:eastAsia="Calibri"/>
          <w:sz w:val="20"/>
          <w:szCs w:val="20"/>
        </w:rPr>
        <w:t>75.821 por el delito de homicidio en contra de María Chacón Fernández y otros</w:t>
      </w:r>
      <w:r w:rsidRPr="00E47EFA">
        <w:rPr>
          <w:rFonts w:eastAsia="Calibri"/>
          <w:sz w:val="20"/>
          <w:szCs w:val="20"/>
          <w:vertAlign w:val="superscript"/>
        </w:rPr>
        <w:footnoteReference w:id="104"/>
      </w:r>
      <w:r w:rsidRPr="00E47EFA">
        <w:rPr>
          <w:rFonts w:eastAsia="Calibri"/>
          <w:sz w:val="20"/>
          <w:szCs w:val="20"/>
        </w:rPr>
        <w:t>, la cual fue remitida a la Corte Suprema de Justicia el 9 de septiembre de 2008</w:t>
      </w:r>
      <w:r w:rsidRPr="00E47EFA">
        <w:rPr>
          <w:rFonts w:eastAsia="Calibri"/>
          <w:sz w:val="20"/>
          <w:szCs w:val="20"/>
          <w:vertAlign w:val="superscript"/>
        </w:rPr>
        <w:footnoteReference w:id="105"/>
      </w:r>
      <w:r w:rsidRPr="00E47EFA">
        <w:rPr>
          <w:rFonts w:eastAsia="Calibri"/>
          <w:sz w:val="20"/>
          <w:szCs w:val="20"/>
        </w:rPr>
        <w:t>.</w:t>
      </w:r>
    </w:p>
    <w:p w14:paraId="5A0CD318"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390B1477" w14:textId="6F610842" w:rsidR="00E22B60" w:rsidRPr="00E47EFA" w:rsidRDefault="00E22B60" w:rsidP="00E22B60">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 xml:space="preserve">El señor Vinicio Poblete Tapia presentó varias solicitudes ante la Presidencia de la Corte Suprema de Justicia entre el 2008 y el 2015, con </w:t>
      </w:r>
      <w:r w:rsidR="0086435F">
        <w:rPr>
          <w:rFonts w:eastAsia="Calibri"/>
          <w:sz w:val="20"/>
          <w:szCs w:val="20"/>
        </w:rPr>
        <w:t>la</w:t>
      </w:r>
      <w:r w:rsidRPr="00E47EFA">
        <w:rPr>
          <w:rFonts w:eastAsia="Calibri"/>
          <w:sz w:val="20"/>
          <w:szCs w:val="20"/>
        </w:rPr>
        <w:t xml:space="preserve"> finalidad de que ésta interviniera en la investigación sustanciada ante el Primer Juzgado Civil. El Presidente de la Corte Suprema de Justicia rechazó todas las solicitudes</w:t>
      </w:r>
      <w:r w:rsidRPr="00E47EFA">
        <w:rPr>
          <w:rFonts w:eastAsia="Calibri"/>
          <w:sz w:val="20"/>
          <w:szCs w:val="20"/>
          <w:vertAlign w:val="superscript"/>
        </w:rPr>
        <w:footnoteReference w:id="106"/>
      </w:r>
      <w:r w:rsidRPr="00E47EFA">
        <w:rPr>
          <w:rFonts w:eastAsia="Calibri"/>
          <w:sz w:val="20"/>
          <w:szCs w:val="20"/>
        </w:rPr>
        <w:t>, declarando reiteradamente que “el Presidente […] no t[</w:t>
      </w:r>
      <w:proofErr w:type="spellStart"/>
      <w:r w:rsidRPr="00E47EFA">
        <w:rPr>
          <w:rFonts w:eastAsia="Calibri"/>
          <w:sz w:val="20"/>
          <w:szCs w:val="20"/>
        </w:rPr>
        <w:t>enía</w:t>
      </w:r>
      <w:proofErr w:type="spellEnd"/>
      <w:r w:rsidRPr="00E47EFA">
        <w:rPr>
          <w:rFonts w:eastAsia="Calibri"/>
          <w:sz w:val="20"/>
          <w:szCs w:val="20"/>
        </w:rPr>
        <w:t>] facultades para intervenir en los procesos que se sustancian ante los demás Tribunales de la República, indicando[</w:t>
      </w:r>
      <w:r w:rsidR="0086435F">
        <w:rPr>
          <w:rFonts w:eastAsia="Calibri"/>
          <w:sz w:val="20"/>
          <w:szCs w:val="20"/>
        </w:rPr>
        <w:t>…</w:t>
      </w:r>
      <w:r w:rsidRPr="00E47EFA">
        <w:rPr>
          <w:rFonts w:eastAsia="Calibri"/>
          <w:sz w:val="20"/>
          <w:szCs w:val="20"/>
        </w:rPr>
        <w:t xml:space="preserve">] que la interposición de recursos procesales […] constituye la vía idónea para reclamar frente a resoluciones judiciales cuyo contenido las partes estiman desfavorables a sus intereses” y que “el Presidente […] </w:t>
      </w:r>
      <w:proofErr w:type="spellStart"/>
      <w:r w:rsidRPr="00E47EFA">
        <w:rPr>
          <w:rFonts w:eastAsia="Calibri"/>
          <w:sz w:val="20"/>
          <w:szCs w:val="20"/>
        </w:rPr>
        <w:t>carec</w:t>
      </w:r>
      <w:proofErr w:type="spellEnd"/>
      <w:r w:rsidRPr="00E47EFA">
        <w:rPr>
          <w:rFonts w:eastAsia="Calibri"/>
          <w:sz w:val="20"/>
          <w:szCs w:val="20"/>
        </w:rPr>
        <w:t>[</w:t>
      </w:r>
      <w:proofErr w:type="spellStart"/>
      <w:r w:rsidRPr="00E47EFA">
        <w:rPr>
          <w:rFonts w:eastAsia="Calibri"/>
          <w:sz w:val="20"/>
          <w:szCs w:val="20"/>
        </w:rPr>
        <w:t>ía</w:t>
      </w:r>
      <w:proofErr w:type="spellEnd"/>
      <w:r w:rsidRPr="00E47EFA">
        <w:rPr>
          <w:rFonts w:eastAsia="Calibri"/>
          <w:sz w:val="20"/>
          <w:szCs w:val="20"/>
        </w:rPr>
        <w:t>] de atribuciones legales para conocer del asunto […] toda vez que no p[</w:t>
      </w:r>
      <w:proofErr w:type="spellStart"/>
      <w:r w:rsidRPr="00E47EFA">
        <w:rPr>
          <w:rFonts w:eastAsia="Calibri"/>
          <w:sz w:val="20"/>
          <w:szCs w:val="20"/>
        </w:rPr>
        <w:t>odía</w:t>
      </w:r>
      <w:proofErr w:type="spellEnd"/>
      <w:r w:rsidRPr="00E47EFA">
        <w:rPr>
          <w:rFonts w:eastAsia="Calibri"/>
          <w:sz w:val="20"/>
          <w:szCs w:val="20"/>
        </w:rPr>
        <w:t>] intervenir en asuntos judiciales terminados”. El 8 de enero de 2015, el Presidente de la Corte Suprema de Justicia declaró que “</w:t>
      </w:r>
      <w:proofErr w:type="spellStart"/>
      <w:proofErr w:type="gramStart"/>
      <w:r w:rsidRPr="00E47EFA">
        <w:rPr>
          <w:rFonts w:eastAsia="Calibri"/>
          <w:sz w:val="20"/>
          <w:szCs w:val="20"/>
        </w:rPr>
        <w:t>carec</w:t>
      </w:r>
      <w:proofErr w:type="spellEnd"/>
      <w:r w:rsidRPr="00E47EFA">
        <w:rPr>
          <w:rFonts w:eastAsia="Calibri"/>
          <w:sz w:val="20"/>
          <w:szCs w:val="20"/>
        </w:rPr>
        <w:t>[</w:t>
      </w:r>
      <w:proofErr w:type="spellStart"/>
      <w:proofErr w:type="gramEnd"/>
      <w:r w:rsidRPr="00E47EFA">
        <w:rPr>
          <w:rFonts w:eastAsia="Calibri"/>
          <w:sz w:val="20"/>
          <w:szCs w:val="20"/>
        </w:rPr>
        <w:t>ía</w:t>
      </w:r>
      <w:proofErr w:type="spellEnd"/>
      <w:r w:rsidRPr="00E47EFA">
        <w:rPr>
          <w:rFonts w:eastAsia="Calibri"/>
          <w:sz w:val="20"/>
          <w:szCs w:val="20"/>
        </w:rPr>
        <w:t>] de atribuciones legales para conocer en el asunto al que alud[</w:t>
      </w:r>
      <w:proofErr w:type="spellStart"/>
      <w:r w:rsidRPr="00E47EFA">
        <w:rPr>
          <w:rFonts w:eastAsia="Calibri"/>
          <w:sz w:val="20"/>
          <w:szCs w:val="20"/>
        </w:rPr>
        <w:t>ía</w:t>
      </w:r>
      <w:proofErr w:type="spellEnd"/>
      <w:r w:rsidRPr="00E47EFA">
        <w:rPr>
          <w:rFonts w:eastAsia="Calibri"/>
          <w:sz w:val="20"/>
          <w:szCs w:val="20"/>
        </w:rPr>
        <w:t>], toda vez que las alegaciones que realiza[</w:t>
      </w:r>
      <w:proofErr w:type="spellStart"/>
      <w:r w:rsidRPr="00E47EFA">
        <w:rPr>
          <w:rFonts w:eastAsia="Calibri"/>
          <w:sz w:val="20"/>
          <w:szCs w:val="20"/>
        </w:rPr>
        <w:t>ba</w:t>
      </w:r>
      <w:proofErr w:type="spellEnd"/>
      <w:r w:rsidRPr="00E47EFA">
        <w:rPr>
          <w:rFonts w:eastAsia="Calibri"/>
          <w:sz w:val="20"/>
          <w:szCs w:val="20"/>
        </w:rPr>
        <w:t>] ya ha[</w:t>
      </w:r>
      <w:proofErr w:type="spellStart"/>
      <w:r w:rsidRPr="00E47EFA">
        <w:rPr>
          <w:rFonts w:eastAsia="Calibri"/>
          <w:sz w:val="20"/>
          <w:szCs w:val="20"/>
        </w:rPr>
        <w:t>bían</w:t>
      </w:r>
      <w:proofErr w:type="spellEnd"/>
      <w:r w:rsidRPr="00E47EFA">
        <w:rPr>
          <w:rFonts w:eastAsia="Calibri"/>
          <w:sz w:val="20"/>
          <w:szCs w:val="20"/>
        </w:rPr>
        <w:t xml:space="preserve">] sido conocidas y resueltas por tribunal competente, específicamente por [la] Corte [Suprema de Justicia] con fecha </w:t>
      </w:r>
      <w:r w:rsidRPr="002A64C9">
        <w:rPr>
          <w:rFonts w:eastAsia="Calibri"/>
          <w:sz w:val="20"/>
          <w:szCs w:val="20"/>
        </w:rPr>
        <w:t>14 de agosto de 2014</w:t>
      </w:r>
      <w:r w:rsidRPr="00E47EFA">
        <w:rPr>
          <w:rFonts w:eastAsia="Calibri"/>
          <w:sz w:val="20"/>
          <w:szCs w:val="20"/>
        </w:rPr>
        <w:t>, no pudiendo modificarse lo allí ordenado”</w:t>
      </w:r>
      <w:r w:rsidRPr="00E47EFA">
        <w:rPr>
          <w:rFonts w:eastAsia="Calibri"/>
          <w:sz w:val="20"/>
          <w:szCs w:val="20"/>
          <w:vertAlign w:val="superscript"/>
        </w:rPr>
        <w:footnoteReference w:id="107"/>
      </w:r>
      <w:r w:rsidRPr="00E47EFA">
        <w:rPr>
          <w:rFonts w:eastAsia="Calibri"/>
          <w:sz w:val="20"/>
          <w:szCs w:val="20"/>
        </w:rPr>
        <w:t>.</w:t>
      </w:r>
    </w:p>
    <w:p w14:paraId="791CDD69" w14:textId="77777777" w:rsidR="00E22B60" w:rsidRPr="00E47EFA" w:rsidRDefault="00E22B60" w:rsidP="00E22B60">
      <w:pPr>
        <w:tabs>
          <w:tab w:val="left" w:pos="630"/>
          <w:tab w:val="left" w:pos="810"/>
          <w:tab w:val="left" w:pos="1530"/>
          <w:tab w:val="left" w:pos="1620"/>
        </w:tabs>
        <w:ind w:right="-360"/>
        <w:contextualSpacing/>
        <w:rPr>
          <w:rFonts w:eastAsia="Calibri"/>
          <w:b/>
          <w:sz w:val="20"/>
          <w:szCs w:val="20"/>
        </w:rPr>
      </w:pPr>
    </w:p>
    <w:p w14:paraId="63671096" w14:textId="77777777" w:rsidR="00E22B60" w:rsidRPr="00E47EFA" w:rsidRDefault="00E22B60" w:rsidP="00E22B60">
      <w:pPr>
        <w:tabs>
          <w:tab w:val="left" w:pos="567"/>
          <w:tab w:val="left" w:pos="630"/>
          <w:tab w:val="left" w:pos="810"/>
          <w:tab w:val="left" w:pos="1530"/>
          <w:tab w:val="left" w:pos="1620"/>
        </w:tabs>
        <w:autoSpaceDE w:val="0"/>
        <w:autoSpaceDN w:val="0"/>
        <w:ind w:left="1440" w:right="-360"/>
        <w:contextualSpacing/>
        <w:outlineLvl w:val="2"/>
        <w:rPr>
          <w:rFonts w:eastAsia="Calibri"/>
          <w:b/>
          <w:i/>
          <w:spacing w:val="-2"/>
          <w:sz w:val="20"/>
          <w:szCs w:val="20"/>
          <w:lang w:val="es-ES" w:eastAsia="x-none"/>
        </w:rPr>
      </w:pPr>
      <w:r w:rsidRPr="00E47EFA">
        <w:rPr>
          <w:rFonts w:eastAsia="Calibri"/>
          <w:b/>
          <w:i/>
          <w:spacing w:val="-2"/>
          <w:sz w:val="20"/>
          <w:szCs w:val="20"/>
          <w:lang w:val="es-ES" w:eastAsia="x-none"/>
        </w:rPr>
        <w:t>2. Otros procedimientos</w:t>
      </w:r>
    </w:p>
    <w:p w14:paraId="03F425AF"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48566039" w14:textId="77777777" w:rsidR="00E22B60" w:rsidRPr="00E47EFA" w:rsidRDefault="00E22B60" w:rsidP="00E22B60">
      <w:pPr>
        <w:tabs>
          <w:tab w:val="left" w:pos="630"/>
          <w:tab w:val="left" w:pos="810"/>
          <w:tab w:val="left" w:pos="1530"/>
          <w:tab w:val="left" w:pos="1620"/>
        </w:tabs>
        <w:ind w:left="720" w:right="-360" w:firstLine="720"/>
        <w:rPr>
          <w:rFonts w:eastAsia="Calibri"/>
          <w:i/>
          <w:sz w:val="20"/>
          <w:szCs w:val="20"/>
        </w:rPr>
      </w:pPr>
      <w:r w:rsidRPr="00E47EFA">
        <w:rPr>
          <w:rFonts w:eastAsia="Calibri"/>
          <w:i/>
          <w:sz w:val="20"/>
          <w:szCs w:val="20"/>
        </w:rPr>
        <w:t>2.1 Mediación</w:t>
      </w:r>
    </w:p>
    <w:p w14:paraId="34B646A5"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4FC0FCE9" w14:textId="2944B27D" w:rsidR="00E22B60" w:rsidRPr="00E47EFA" w:rsidRDefault="00E22B60" w:rsidP="006B458C">
      <w:pPr>
        <w:numPr>
          <w:ilvl w:val="0"/>
          <w:numId w:val="2"/>
        </w:numPr>
        <w:tabs>
          <w:tab w:val="left" w:pos="567"/>
          <w:tab w:val="left" w:pos="630"/>
          <w:tab w:val="left" w:pos="810"/>
          <w:tab w:val="left" w:pos="1530"/>
          <w:tab w:val="num" w:pos="1569"/>
          <w:tab w:val="left" w:pos="1620"/>
          <w:tab w:val="num" w:pos="12305"/>
        </w:tabs>
        <w:ind w:left="0" w:right="-360" w:firstLine="0"/>
        <w:rPr>
          <w:rFonts w:eastAsia="Calibri"/>
          <w:b/>
          <w:sz w:val="20"/>
          <w:szCs w:val="20"/>
        </w:rPr>
      </w:pPr>
      <w:r w:rsidRPr="00E47EFA">
        <w:rPr>
          <w:rFonts w:eastAsia="Calibri"/>
          <w:sz w:val="20"/>
          <w:szCs w:val="20"/>
        </w:rPr>
        <w:t>El 13 de enero de 2006</w:t>
      </w:r>
      <w:r w:rsidR="0086435F">
        <w:rPr>
          <w:rFonts w:eastAsia="Calibri"/>
          <w:sz w:val="20"/>
          <w:szCs w:val="20"/>
        </w:rPr>
        <w:t>,</w:t>
      </w:r>
      <w:r w:rsidRPr="00E47EFA">
        <w:rPr>
          <w:rFonts w:eastAsia="Calibri"/>
          <w:sz w:val="20"/>
          <w:szCs w:val="20"/>
        </w:rPr>
        <w:t xml:space="preserve"> el señor Vinicio Marco Antonio Poblete Tapia promovió ante el Consejo de Defensa del Estado en la Unidad de Mediación un reclamo en contra del Hospital </w:t>
      </w:r>
      <w:proofErr w:type="spellStart"/>
      <w:r w:rsidRPr="00E47EFA">
        <w:rPr>
          <w:rFonts w:eastAsia="Calibri"/>
          <w:sz w:val="20"/>
          <w:szCs w:val="20"/>
        </w:rPr>
        <w:t>Sótero</w:t>
      </w:r>
      <w:proofErr w:type="spellEnd"/>
      <w:r w:rsidRPr="00E47EFA">
        <w:rPr>
          <w:rFonts w:eastAsia="Calibri"/>
          <w:sz w:val="20"/>
          <w:szCs w:val="20"/>
        </w:rPr>
        <w:t xml:space="preserve"> del Río y sus funcionarios</w:t>
      </w:r>
      <w:r w:rsidRPr="00E47EFA">
        <w:rPr>
          <w:rFonts w:eastAsia="Calibri"/>
          <w:sz w:val="20"/>
          <w:szCs w:val="20"/>
          <w:vertAlign w:val="superscript"/>
        </w:rPr>
        <w:footnoteReference w:id="108"/>
      </w:r>
      <w:r w:rsidRPr="00E47EFA">
        <w:rPr>
          <w:rFonts w:eastAsia="Calibri"/>
          <w:sz w:val="20"/>
          <w:szCs w:val="20"/>
        </w:rPr>
        <w:t xml:space="preserve">. El 4 de abril de 2006 se llevó a cabo la primera audiencia de mediación y comparecieron Vinicio Poblete Tapia, </w:t>
      </w:r>
      <w:proofErr w:type="spellStart"/>
      <w:r w:rsidRPr="00E47EFA">
        <w:rPr>
          <w:rFonts w:eastAsia="Calibri"/>
          <w:sz w:val="20"/>
          <w:szCs w:val="20"/>
        </w:rPr>
        <w:t>Cesia</w:t>
      </w:r>
      <w:proofErr w:type="spellEnd"/>
      <w:r w:rsidRPr="00E47EFA">
        <w:rPr>
          <w:rFonts w:eastAsia="Calibri"/>
          <w:sz w:val="20"/>
          <w:szCs w:val="20"/>
        </w:rPr>
        <w:t xml:space="preserve"> Leila Poblete Tapia y Jorge Fuentes Poblete. En representación del hospital compareció el abogado Hernán Pardo Roche. El señor Poblete Tapia declaró que “[l]a falta de información la </w:t>
      </w:r>
      <w:proofErr w:type="spellStart"/>
      <w:proofErr w:type="gramStart"/>
      <w:r w:rsidRPr="00E47EFA">
        <w:rPr>
          <w:rFonts w:eastAsia="Calibri"/>
          <w:sz w:val="20"/>
          <w:szCs w:val="20"/>
        </w:rPr>
        <w:t>resum</w:t>
      </w:r>
      <w:proofErr w:type="spellEnd"/>
      <w:r w:rsidRPr="00E47EFA">
        <w:rPr>
          <w:rFonts w:eastAsia="Calibri"/>
          <w:sz w:val="20"/>
          <w:szCs w:val="20"/>
        </w:rPr>
        <w:t>[</w:t>
      </w:r>
      <w:proofErr w:type="spellStart"/>
      <w:proofErr w:type="gramEnd"/>
      <w:r w:rsidRPr="00E47EFA">
        <w:rPr>
          <w:rFonts w:eastAsia="Calibri"/>
          <w:sz w:val="20"/>
          <w:szCs w:val="20"/>
        </w:rPr>
        <w:t>ía</w:t>
      </w:r>
      <w:proofErr w:type="spellEnd"/>
      <w:r w:rsidRPr="00E47EFA">
        <w:rPr>
          <w:rFonts w:eastAsia="Calibri"/>
          <w:sz w:val="20"/>
          <w:szCs w:val="20"/>
        </w:rPr>
        <w:t>] en tres hechos que califica[</w:t>
      </w:r>
      <w:proofErr w:type="spellStart"/>
      <w:r w:rsidRPr="00E47EFA">
        <w:rPr>
          <w:rFonts w:eastAsia="Calibri"/>
          <w:sz w:val="20"/>
          <w:szCs w:val="20"/>
        </w:rPr>
        <w:t>ba</w:t>
      </w:r>
      <w:proofErr w:type="spellEnd"/>
      <w:r w:rsidRPr="00E47EFA">
        <w:rPr>
          <w:rFonts w:eastAsia="Calibri"/>
          <w:sz w:val="20"/>
          <w:szCs w:val="20"/>
        </w:rPr>
        <w:t xml:space="preserve">] de graves, a saber: [n]o realización de la punción en la forma señalada; alta en estado grave y negativa a realizar la autopsia”. En este sentido, añadió que “respecto de la Dra. </w:t>
      </w:r>
      <w:proofErr w:type="spellStart"/>
      <w:r w:rsidRPr="00E47EFA">
        <w:rPr>
          <w:rFonts w:eastAsia="Calibri"/>
          <w:sz w:val="20"/>
          <w:szCs w:val="20"/>
        </w:rPr>
        <w:t>Chac</w:t>
      </w:r>
      <w:proofErr w:type="spellEnd"/>
      <w:r w:rsidRPr="00E47EFA">
        <w:rPr>
          <w:rFonts w:eastAsia="Calibri"/>
          <w:sz w:val="20"/>
          <w:szCs w:val="20"/>
        </w:rPr>
        <w:t>[</w:t>
      </w:r>
      <w:proofErr w:type="spellStart"/>
      <w:r w:rsidRPr="00E47EFA">
        <w:rPr>
          <w:rFonts w:eastAsia="Calibri"/>
          <w:sz w:val="20"/>
          <w:szCs w:val="20"/>
        </w:rPr>
        <w:t>ó</w:t>
      </w:r>
      <w:proofErr w:type="spellEnd"/>
      <w:r w:rsidRPr="00E47EFA">
        <w:rPr>
          <w:rFonts w:eastAsia="Calibri"/>
          <w:sz w:val="20"/>
          <w:szCs w:val="20"/>
        </w:rPr>
        <w:t xml:space="preserve">]n […] ésta trató a la familia en forma inadecuada, que </w:t>
      </w:r>
      <w:proofErr w:type="gramStart"/>
      <w:r w:rsidRPr="00E47EFA">
        <w:rPr>
          <w:rFonts w:eastAsia="Calibri"/>
          <w:sz w:val="20"/>
          <w:szCs w:val="20"/>
        </w:rPr>
        <w:t>califica[</w:t>
      </w:r>
      <w:proofErr w:type="spellStart"/>
      <w:proofErr w:type="gramEnd"/>
      <w:r w:rsidRPr="00E47EFA">
        <w:rPr>
          <w:rFonts w:eastAsia="Calibri"/>
          <w:sz w:val="20"/>
          <w:szCs w:val="20"/>
        </w:rPr>
        <w:t>ba</w:t>
      </w:r>
      <w:proofErr w:type="spellEnd"/>
      <w:r w:rsidRPr="00E47EFA">
        <w:rPr>
          <w:rFonts w:eastAsia="Calibri"/>
          <w:sz w:val="20"/>
          <w:szCs w:val="20"/>
        </w:rPr>
        <w:t xml:space="preserve">] de humillante”. Sin embargo, los doctores demandados no comparecieron y, por ende, </w:t>
      </w:r>
      <w:r w:rsidR="0086435F">
        <w:rPr>
          <w:rFonts w:eastAsia="Calibri"/>
          <w:sz w:val="20"/>
          <w:szCs w:val="20"/>
        </w:rPr>
        <w:t>se acordó la realización de una segunda audiencia de mediación</w:t>
      </w:r>
      <w:r w:rsidRPr="00E47EFA">
        <w:rPr>
          <w:rFonts w:eastAsia="Calibri"/>
          <w:sz w:val="20"/>
          <w:szCs w:val="20"/>
          <w:vertAlign w:val="superscript"/>
        </w:rPr>
        <w:footnoteReference w:id="109"/>
      </w:r>
      <w:r w:rsidRPr="00E47EFA">
        <w:rPr>
          <w:rFonts w:eastAsia="Calibri"/>
          <w:sz w:val="20"/>
          <w:szCs w:val="20"/>
        </w:rPr>
        <w:t xml:space="preserve">. </w:t>
      </w:r>
    </w:p>
    <w:p w14:paraId="39B34FBC"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2F06B803" w14:textId="596BA39F" w:rsidR="00E22B60" w:rsidRPr="00E47EFA" w:rsidRDefault="00E22B60" w:rsidP="006B458C">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 xml:space="preserve">El 27 de abril de 2006 ocurrió la segunda audiencia de mediación ante la Unidad de Mediación del Consejo de Defensa del Estado. En ésta comparecieron, por una parte, Vinicio Marco Antonio Poblete Tapia, </w:t>
      </w:r>
      <w:proofErr w:type="spellStart"/>
      <w:r w:rsidR="00D95ABC" w:rsidRPr="00E47EFA">
        <w:rPr>
          <w:rFonts w:eastAsia="Calibri"/>
          <w:sz w:val="20"/>
          <w:szCs w:val="20"/>
        </w:rPr>
        <w:t>Cesia</w:t>
      </w:r>
      <w:proofErr w:type="spellEnd"/>
      <w:r w:rsidR="00D95ABC" w:rsidRPr="00E47EFA">
        <w:rPr>
          <w:rFonts w:eastAsia="Calibri"/>
          <w:sz w:val="20"/>
          <w:szCs w:val="20"/>
        </w:rPr>
        <w:t xml:space="preserve"> Leila Poblete Tapia </w:t>
      </w:r>
      <w:r w:rsidR="00D95ABC">
        <w:rPr>
          <w:rFonts w:eastAsia="Calibri"/>
          <w:sz w:val="20"/>
          <w:szCs w:val="20"/>
        </w:rPr>
        <w:t xml:space="preserve">y </w:t>
      </w:r>
      <w:r w:rsidRPr="00E47EFA">
        <w:rPr>
          <w:rFonts w:eastAsia="Calibri"/>
          <w:sz w:val="20"/>
          <w:szCs w:val="20"/>
        </w:rPr>
        <w:t>Jorge Fuentes Poblete, asistid</w:t>
      </w:r>
      <w:r w:rsidR="00D95ABC">
        <w:rPr>
          <w:rFonts w:eastAsia="Calibri"/>
          <w:sz w:val="20"/>
          <w:szCs w:val="20"/>
        </w:rPr>
        <w:t>o</w:t>
      </w:r>
      <w:r w:rsidRPr="00E47EFA">
        <w:rPr>
          <w:rFonts w:eastAsia="Calibri"/>
          <w:sz w:val="20"/>
          <w:szCs w:val="20"/>
        </w:rPr>
        <w:t xml:space="preserve"> por la abogada María </w:t>
      </w:r>
      <w:r w:rsidRPr="00E47EFA">
        <w:rPr>
          <w:rFonts w:eastAsia="Calibri"/>
          <w:sz w:val="20"/>
          <w:szCs w:val="20"/>
        </w:rPr>
        <w:lastRenderedPageBreak/>
        <w:t xml:space="preserve">Francisca Jiménez y, por la otra, el abogado Hernán Pardo Roche y el doctor Luis Carvajal Freire. En esa ocasión, el representante del Hospital </w:t>
      </w:r>
      <w:proofErr w:type="spellStart"/>
      <w:r w:rsidRPr="00E47EFA">
        <w:rPr>
          <w:rFonts w:eastAsia="Calibri"/>
          <w:sz w:val="20"/>
          <w:szCs w:val="20"/>
        </w:rPr>
        <w:t>Sótero</w:t>
      </w:r>
      <w:proofErr w:type="spellEnd"/>
      <w:r w:rsidRPr="00E47EFA">
        <w:rPr>
          <w:rFonts w:eastAsia="Calibri"/>
          <w:sz w:val="20"/>
          <w:szCs w:val="20"/>
        </w:rPr>
        <w:t xml:space="preserve"> del Río entregó una copia de una auditoría médica</w:t>
      </w:r>
      <w:r w:rsidRPr="00E47EFA">
        <w:rPr>
          <w:rFonts w:eastAsia="Calibri"/>
          <w:sz w:val="20"/>
          <w:szCs w:val="20"/>
          <w:vertAlign w:val="superscript"/>
        </w:rPr>
        <w:footnoteReference w:id="110"/>
      </w:r>
      <w:r w:rsidRPr="00E47EFA">
        <w:rPr>
          <w:rFonts w:eastAsia="Calibri"/>
          <w:sz w:val="20"/>
          <w:szCs w:val="20"/>
        </w:rPr>
        <w:t xml:space="preserve"> realizada por el Sr. Sergio Valenzuela Estévez, Jefe del Departamento de Auditoría del E.S.M.S.O., de fecha 29 de mayo de 2001, la cual concluyó a partir de la Ficha Clínica, lo siguiente: </w:t>
      </w:r>
    </w:p>
    <w:p w14:paraId="2FCE2754"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12C78BFF" w14:textId="77777777" w:rsidR="00E22B60" w:rsidRPr="00E47EFA" w:rsidRDefault="00E22B60" w:rsidP="00E22B60">
      <w:pPr>
        <w:tabs>
          <w:tab w:val="left" w:pos="567"/>
          <w:tab w:val="left" w:pos="630"/>
          <w:tab w:val="left" w:pos="810"/>
          <w:tab w:val="left" w:pos="1530"/>
          <w:tab w:val="left" w:pos="1620"/>
          <w:tab w:val="num" w:pos="12305"/>
        </w:tabs>
        <w:ind w:left="630" w:right="-360"/>
        <w:rPr>
          <w:rFonts w:eastAsia="Calibri"/>
          <w:sz w:val="20"/>
          <w:szCs w:val="20"/>
        </w:rPr>
      </w:pPr>
      <w:r w:rsidRPr="00E47EFA">
        <w:rPr>
          <w:rFonts w:eastAsia="Calibri"/>
          <w:sz w:val="18"/>
          <w:szCs w:val="18"/>
        </w:rPr>
        <w:t xml:space="preserve">“[…] A juicio de este auditor el paciente fue tratado adecuadamente en su condición de gravedad por la falla </w:t>
      </w:r>
      <w:proofErr w:type="spellStart"/>
      <w:r w:rsidRPr="00E47EFA">
        <w:rPr>
          <w:rFonts w:eastAsia="Calibri"/>
          <w:sz w:val="18"/>
          <w:szCs w:val="18"/>
        </w:rPr>
        <w:t>multisistémica</w:t>
      </w:r>
      <w:proofErr w:type="spellEnd"/>
      <w:r w:rsidRPr="00E47EFA">
        <w:rPr>
          <w:rFonts w:eastAsia="Calibri"/>
          <w:sz w:val="18"/>
          <w:szCs w:val="18"/>
        </w:rPr>
        <w:t xml:space="preserve">. El médico tratante conversó con los familiares sobre la gravedad del paciente y la imposibilidad de traslado a UCI Médica por la condición y pronóstico del paciente y la carencia de camas. La familia muestra conformidad, pero tengo dudas si entienden a </w:t>
      </w:r>
      <w:proofErr w:type="spellStart"/>
      <w:r w:rsidRPr="00E47EFA">
        <w:rPr>
          <w:rFonts w:eastAsia="Calibri"/>
          <w:sz w:val="18"/>
          <w:szCs w:val="18"/>
        </w:rPr>
        <w:t>cavalidad</w:t>
      </w:r>
      <w:proofErr w:type="spellEnd"/>
      <w:r w:rsidRPr="00E47EFA">
        <w:rPr>
          <w:rFonts w:eastAsia="Calibri"/>
          <w:sz w:val="18"/>
          <w:szCs w:val="18"/>
        </w:rPr>
        <w:t xml:space="preserve"> [</w:t>
      </w:r>
      <w:r w:rsidRPr="00E47EFA">
        <w:rPr>
          <w:rFonts w:eastAsia="Calibri"/>
          <w:i/>
          <w:sz w:val="18"/>
          <w:szCs w:val="18"/>
        </w:rPr>
        <w:t>sic</w:t>
      </w:r>
      <w:r w:rsidRPr="00E47EFA">
        <w:rPr>
          <w:rFonts w:eastAsia="Calibri"/>
          <w:sz w:val="18"/>
          <w:szCs w:val="18"/>
        </w:rPr>
        <w:t>] el pronóstico y la enfermedad actual del paciente. Fallece el día 07-02-2001 a las 05:45 horas […]”</w:t>
      </w:r>
      <w:r w:rsidRPr="00E47EFA">
        <w:rPr>
          <w:rFonts w:eastAsia="Calibri"/>
          <w:sz w:val="20"/>
          <w:szCs w:val="20"/>
          <w:vertAlign w:val="superscript"/>
        </w:rPr>
        <w:footnoteReference w:id="111"/>
      </w:r>
      <w:r w:rsidRPr="00E47EFA">
        <w:rPr>
          <w:rFonts w:eastAsia="Calibri"/>
          <w:sz w:val="20"/>
          <w:szCs w:val="20"/>
        </w:rPr>
        <w:t>.</w:t>
      </w:r>
    </w:p>
    <w:p w14:paraId="0C527E3F"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53C1EABC" w14:textId="77777777" w:rsidR="00E22B60" w:rsidRPr="00E47EFA" w:rsidRDefault="00E22B60" w:rsidP="00E22B60">
      <w:pPr>
        <w:tabs>
          <w:tab w:val="left" w:pos="630"/>
          <w:tab w:val="left" w:pos="810"/>
          <w:tab w:val="left" w:pos="1530"/>
          <w:tab w:val="left" w:pos="1620"/>
        </w:tabs>
        <w:ind w:left="720" w:right="-360" w:firstLine="720"/>
        <w:rPr>
          <w:rFonts w:eastAsia="Calibri"/>
          <w:i/>
          <w:sz w:val="20"/>
          <w:szCs w:val="20"/>
        </w:rPr>
      </w:pPr>
      <w:r w:rsidRPr="00E47EFA">
        <w:rPr>
          <w:rFonts w:eastAsia="Calibri"/>
          <w:i/>
          <w:sz w:val="20"/>
          <w:szCs w:val="20"/>
        </w:rPr>
        <w:t>2.2 Procedimiento administrativo y otros</w:t>
      </w:r>
    </w:p>
    <w:p w14:paraId="515722CF" w14:textId="77777777" w:rsidR="00E22B60" w:rsidRPr="00E47EFA" w:rsidRDefault="00E22B60" w:rsidP="00E22B60">
      <w:pPr>
        <w:tabs>
          <w:tab w:val="left" w:pos="630"/>
          <w:tab w:val="left" w:pos="810"/>
          <w:tab w:val="left" w:pos="1530"/>
          <w:tab w:val="left" w:pos="1620"/>
        </w:tabs>
        <w:ind w:right="-360"/>
        <w:rPr>
          <w:rFonts w:eastAsia="Calibri"/>
          <w:sz w:val="20"/>
          <w:szCs w:val="20"/>
        </w:rPr>
      </w:pPr>
    </w:p>
    <w:p w14:paraId="16DF4A59" w14:textId="1170E85A" w:rsidR="00E22B60" w:rsidRPr="00E47EFA" w:rsidRDefault="00E22B60" w:rsidP="006B458C">
      <w:pPr>
        <w:numPr>
          <w:ilvl w:val="0"/>
          <w:numId w:val="2"/>
        </w:numPr>
        <w:tabs>
          <w:tab w:val="left" w:pos="567"/>
          <w:tab w:val="left" w:pos="630"/>
          <w:tab w:val="left" w:pos="810"/>
          <w:tab w:val="left" w:pos="1530"/>
          <w:tab w:val="num" w:pos="1569"/>
          <w:tab w:val="left" w:pos="1620"/>
          <w:tab w:val="num" w:pos="12305"/>
        </w:tabs>
        <w:ind w:left="0" w:right="-360" w:firstLine="0"/>
        <w:rPr>
          <w:rFonts w:eastAsia="Calibri"/>
          <w:sz w:val="20"/>
          <w:szCs w:val="20"/>
        </w:rPr>
      </w:pPr>
      <w:r w:rsidRPr="00E47EFA">
        <w:rPr>
          <w:rFonts w:eastAsia="Calibri"/>
          <w:sz w:val="20"/>
          <w:szCs w:val="20"/>
        </w:rPr>
        <w:t xml:space="preserve">Según la información aportada por las partes, a pedido de información de la Comisión de Derechos Humanos, Nacionalidad y Ciudadanía de la Cámara de Diputados sobre los sumarios administrativos y sus resultados, por presunta negligencia médica en la muerte del Señor Poblete Vilches a la Subsecretaría de Redes Asistenciales, se desprende que no existe proceso administrativo alguno que tenga relación con el </w:t>
      </w:r>
      <w:r w:rsidR="00D95ABC">
        <w:rPr>
          <w:rFonts w:eastAsia="Calibri"/>
          <w:sz w:val="20"/>
          <w:szCs w:val="20"/>
        </w:rPr>
        <w:t>s</w:t>
      </w:r>
      <w:r w:rsidRPr="00E47EFA">
        <w:rPr>
          <w:rFonts w:eastAsia="Calibri"/>
          <w:sz w:val="20"/>
          <w:szCs w:val="20"/>
        </w:rPr>
        <w:t>eñor Vinicio Poblete Vilches”</w:t>
      </w:r>
      <w:r w:rsidRPr="00E47EFA">
        <w:rPr>
          <w:rFonts w:eastAsia="Calibri"/>
          <w:sz w:val="20"/>
          <w:szCs w:val="20"/>
          <w:vertAlign w:val="superscript"/>
        </w:rPr>
        <w:footnoteReference w:id="112"/>
      </w:r>
      <w:r w:rsidRPr="00E47EFA">
        <w:rPr>
          <w:rFonts w:eastAsia="Calibri"/>
          <w:sz w:val="20"/>
          <w:szCs w:val="20"/>
        </w:rPr>
        <w:t>.</w:t>
      </w:r>
    </w:p>
    <w:p w14:paraId="0F34086F" w14:textId="77777777" w:rsidR="00E22B60" w:rsidRPr="00E47EFA" w:rsidRDefault="00E22B60" w:rsidP="00E22B60">
      <w:pPr>
        <w:tabs>
          <w:tab w:val="left" w:pos="630"/>
          <w:tab w:val="left" w:pos="810"/>
          <w:tab w:val="left" w:pos="1530"/>
          <w:tab w:val="left" w:pos="1620"/>
        </w:tabs>
        <w:ind w:right="-360"/>
        <w:contextualSpacing/>
        <w:rPr>
          <w:rFonts w:eastAsia="Calibri"/>
          <w:sz w:val="20"/>
          <w:szCs w:val="20"/>
        </w:rPr>
      </w:pPr>
    </w:p>
    <w:p w14:paraId="5A344478" w14:textId="5B57D4BA" w:rsidR="00E22B60" w:rsidRPr="00C64243" w:rsidRDefault="00E22B60" w:rsidP="006B458C">
      <w:pPr>
        <w:numPr>
          <w:ilvl w:val="0"/>
          <w:numId w:val="2"/>
        </w:numPr>
        <w:tabs>
          <w:tab w:val="left" w:pos="567"/>
          <w:tab w:val="left" w:pos="630"/>
          <w:tab w:val="left" w:pos="810"/>
          <w:tab w:val="left" w:pos="1530"/>
          <w:tab w:val="num" w:pos="1569"/>
          <w:tab w:val="left" w:pos="1620"/>
          <w:tab w:val="num" w:pos="12305"/>
        </w:tabs>
        <w:ind w:left="0" w:right="-360" w:firstLine="0"/>
        <w:rPr>
          <w:rFonts w:eastAsia="Calibri"/>
          <w:b/>
          <w:i/>
          <w:sz w:val="20"/>
          <w:szCs w:val="20"/>
        </w:rPr>
      </w:pPr>
      <w:r w:rsidRPr="00C64243">
        <w:rPr>
          <w:rFonts w:eastAsia="Calibri"/>
          <w:sz w:val="20"/>
          <w:szCs w:val="20"/>
        </w:rPr>
        <w:t xml:space="preserve">En el expediente ante la Corte constan notas de prensa de 2010 y 2012, de las que se desprende que se denunciaron situaciones de negligencia médica en el Hospital </w:t>
      </w:r>
      <w:proofErr w:type="spellStart"/>
      <w:r w:rsidRPr="00C64243">
        <w:rPr>
          <w:rFonts w:eastAsia="Calibri"/>
          <w:sz w:val="20"/>
          <w:szCs w:val="20"/>
        </w:rPr>
        <w:t>Sótero</w:t>
      </w:r>
      <w:proofErr w:type="spellEnd"/>
      <w:r w:rsidRPr="00C64243">
        <w:rPr>
          <w:rFonts w:eastAsia="Calibri"/>
          <w:sz w:val="20"/>
          <w:szCs w:val="20"/>
        </w:rPr>
        <w:t xml:space="preserve"> del Río</w:t>
      </w:r>
      <w:r w:rsidRPr="00C64243">
        <w:rPr>
          <w:rFonts w:eastAsia="Calibri"/>
          <w:sz w:val="20"/>
          <w:szCs w:val="20"/>
          <w:vertAlign w:val="superscript"/>
        </w:rPr>
        <w:footnoteReference w:id="113"/>
      </w:r>
      <w:r w:rsidRPr="00C64243">
        <w:rPr>
          <w:rFonts w:eastAsia="Calibri"/>
          <w:sz w:val="20"/>
          <w:szCs w:val="20"/>
        </w:rPr>
        <w:t>. Asimismo, en la página web www.reclamos.cl existe u</w:t>
      </w:r>
      <w:r w:rsidR="00713D68">
        <w:rPr>
          <w:rFonts w:eastAsia="Calibri"/>
          <w:sz w:val="20"/>
          <w:szCs w:val="20"/>
        </w:rPr>
        <w:t xml:space="preserve">n listado de reclamos tanto presuntas </w:t>
      </w:r>
      <w:r w:rsidRPr="00C64243">
        <w:rPr>
          <w:rFonts w:eastAsia="Calibri"/>
          <w:sz w:val="20"/>
          <w:szCs w:val="20"/>
        </w:rPr>
        <w:t xml:space="preserve">negligencias médicas como por el deficiente servicio y las malas condiciones en contra este Hospital entre los años 2011 </w:t>
      </w:r>
      <w:r>
        <w:rPr>
          <w:rFonts w:eastAsia="Calibri"/>
          <w:sz w:val="20"/>
          <w:szCs w:val="20"/>
        </w:rPr>
        <w:t>hasta la actualidad</w:t>
      </w:r>
      <w:r w:rsidRPr="00C64243">
        <w:rPr>
          <w:rFonts w:eastAsia="Calibri"/>
          <w:sz w:val="20"/>
          <w:szCs w:val="20"/>
          <w:vertAlign w:val="superscript"/>
        </w:rPr>
        <w:footnoteReference w:id="114"/>
      </w:r>
      <w:r w:rsidRPr="00C64243">
        <w:rPr>
          <w:rFonts w:eastAsia="Calibri"/>
          <w:sz w:val="20"/>
          <w:szCs w:val="20"/>
        </w:rPr>
        <w:t>.</w:t>
      </w:r>
    </w:p>
    <w:p w14:paraId="223387A3" w14:textId="77777777" w:rsidR="00E67349" w:rsidRDefault="00E67349" w:rsidP="00E67349">
      <w:pPr>
        <w:tabs>
          <w:tab w:val="left" w:pos="567"/>
          <w:tab w:val="num" w:pos="12305"/>
        </w:tabs>
        <w:rPr>
          <w:rFonts w:eastAsia="Calibri"/>
          <w:sz w:val="20"/>
          <w:szCs w:val="20"/>
          <w:highlight w:val="yellow"/>
          <w:lang w:eastAsia="en-US"/>
        </w:rPr>
      </w:pPr>
    </w:p>
    <w:p w14:paraId="2DE73C1A" w14:textId="77777777" w:rsidR="00A83854" w:rsidRDefault="00A83854" w:rsidP="006B2A4D">
      <w:pPr>
        <w:pStyle w:val="Title"/>
      </w:pPr>
      <w:bookmarkStart w:id="63" w:name="_Toc504484527"/>
      <w:bookmarkStart w:id="64" w:name="_Toc506807359"/>
      <w:bookmarkStart w:id="65" w:name="_Toc513644456"/>
      <w:bookmarkStart w:id="66" w:name="_Toc494271561"/>
      <w:r>
        <w:t>VI</w:t>
      </w:r>
      <w:r w:rsidR="00024506">
        <w:t>I</w:t>
      </w:r>
      <w:bookmarkEnd w:id="63"/>
      <w:bookmarkEnd w:id="64"/>
      <w:bookmarkEnd w:id="65"/>
      <w:r>
        <w:t xml:space="preserve"> </w:t>
      </w:r>
    </w:p>
    <w:p w14:paraId="1AF97AA7" w14:textId="77777777" w:rsidR="00A83854" w:rsidRPr="00F3026E" w:rsidRDefault="00A83854" w:rsidP="006B2A4D">
      <w:pPr>
        <w:pStyle w:val="Title"/>
      </w:pPr>
      <w:bookmarkStart w:id="67" w:name="_Toc513644457"/>
      <w:r>
        <w:t>FONDO</w:t>
      </w:r>
      <w:bookmarkEnd w:id="67"/>
    </w:p>
    <w:p w14:paraId="6FE31DE6" w14:textId="77777777" w:rsidR="00A83854" w:rsidRDefault="00A83854" w:rsidP="006B2A4D">
      <w:pPr>
        <w:pStyle w:val="Title"/>
      </w:pPr>
    </w:p>
    <w:p w14:paraId="76FEFA76" w14:textId="3ECE3A32" w:rsidR="00A83854" w:rsidRPr="004926CE" w:rsidRDefault="00A83854" w:rsidP="004926CE">
      <w:pPr>
        <w:numPr>
          <w:ilvl w:val="0"/>
          <w:numId w:val="2"/>
        </w:numPr>
        <w:tabs>
          <w:tab w:val="left" w:pos="567"/>
          <w:tab w:val="num" w:pos="1569"/>
          <w:tab w:val="num" w:pos="12305"/>
        </w:tabs>
        <w:ind w:left="0" w:firstLine="0"/>
        <w:rPr>
          <w:rFonts w:eastAsia="Calibri"/>
          <w:sz w:val="20"/>
          <w:szCs w:val="20"/>
          <w:lang w:eastAsia="en-US"/>
        </w:rPr>
      </w:pPr>
      <w:r>
        <w:rPr>
          <w:rFonts w:eastAsia="Calibri"/>
          <w:sz w:val="20"/>
          <w:szCs w:val="20"/>
          <w:lang w:eastAsia="en-US"/>
        </w:rPr>
        <w:t>El presente caso se relaci</w:t>
      </w:r>
      <w:r w:rsidR="0017482E">
        <w:rPr>
          <w:rFonts w:eastAsia="Calibri"/>
          <w:sz w:val="20"/>
          <w:szCs w:val="20"/>
          <w:lang w:eastAsia="en-US"/>
        </w:rPr>
        <w:t>ona</w:t>
      </w:r>
      <w:r>
        <w:rPr>
          <w:rFonts w:eastAsia="Calibri"/>
          <w:sz w:val="20"/>
          <w:szCs w:val="20"/>
          <w:lang w:eastAsia="en-US"/>
        </w:rPr>
        <w:t xml:space="preserve"> con la </w:t>
      </w:r>
      <w:r w:rsidR="008016C2">
        <w:rPr>
          <w:rFonts w:eastAsia="Calibri"/>
          <w:sz w:val="20"/>
          <w:szCs w:val="20"/>
          <w:lang w:eastAsia="en-US"/>
        </w:rPr>
        <w:t xml:space="preserve">alegada responsabilidad internacional del Estado por la </w:t>
      </w:r>
      <w:r>
        <w:rPr>
          <w:rFonts w:eastAsia="Calibri"/>
          <w:sz w:val="20"/>
          <w:szCs w:val="20"/>
          <w:lang w:eastAsia="en-US"/>
        </w:rPr>
        <w:t xml:space="preserve">atención brindada en el Hospital público </w:t>
      </w:r>
      <w:proofErr w:type="spellStart"/>
      <w:r>
        <w:rPr>
          <w:rFonts w:eastAsia="Calibri"/>
          <w:sz w:val="20"/>
          <w:szCs w:val="20"/>
          <w:lang w:eastAsia="en-US"/>
        </w:rPr>
        <w:t>Sótero</w:t>
      </w:r>
      <w:proofErr w:type="spellEnd"/>
      <w:r>
        <w:rPr>
          <w:rFonts w:eastAsia="Calibri"/>
          <w:sz w:val="20"/>
          <w:szCs w:val="20"/>
          <w:lang w:eastAsia="en-US"/>
        </w:rPr>
        <w:t xml:space="preserve"> del Río a</w:t>
      </w:r>
      <w:r w:rsidR="008016C2">
        <w:rPr>
          <w:rFonts w:eastAsia="Calibri"/>
          <w:sz w:val="20"/>
          <w:szCs w:val="20"/>
          <w:lang w:eastAsia="en-US"/>
        </w:rPr>
        <w:t>l</w:t>
      </w:r>
      <w:r>
        <w:rPr>
          <w:rFonts w:eastAsia="Calibri"/>
          <w:sz w:val="20"/>
          <w:szCs w:val="20"/>
          <w:lang w:eastAsia="en-US"/>
        </w:rPr>
        <w:t xml:space="preserve"> señor Poblete Vilches, quien era </w:t>
      </w:r>
      <w:r w:rsidRPr="00B1523A">
        <w:rPr>
          <w:rFonts w:eastAsia="Calibri"/>
          <w:sz w:val="20"/>
          <w:szCs w:val="20"/>
          <w:lang w:eastAsia="en-US"/>
        </w:rPr>
        <w:t>un</w:t>
      </w:r>
      <w:r w:rsidR="00617BCD" w:rsidRPr="00B1523A">
        <w:rPr>
          <w:rFonts w:eastAsia="Calibri"/>
          <w:sz w:val="20"/>
          <w:szCs w:val="20"/>
          <w:lang w:eastAsia="en-US"/>
        </w:rPr>
        <w:t>a persona mayor</w:t>
      </w:r>
      <w:r w:rsidR="00617BCD" w:rsidRPr="00B1523A">
        <w:rPr>
          <w:rStyle w:val="FootnoteReference"/>
          <w:rFonts w:eastAsia="Calibri"/>
          <w:sz w:val="20"/>
          <w:szCs w:val="20"/>
          <w:lang w:eastAsia="en-US"/>
        </w:rPr>
        <w:footnoteReference w:id="115"/>
      </w:r>
      <w:r w:rsidRPr="00196410">
        <w:rPr>
          <w:rFonts w:eastAsia="Calibri"/>
          <w:sz w:val="20"/>
          <w:szCs w:val="20"/>
          <w:lang w:eastAsia="en-US"/>
        </w:rPr>
        <w:t>.</w:t>
      </w:r>
      <w:r w:rsidR="0034410C" w:rsidRPr="00196410">
        <w:rPr>
          <w:rFonts w:eastAsia="Calibri"/>
          <w:sz w:val="20"/>
          <w:szCs w:val="20"/>
          <w:lang w:eastAsia="en-US"/>
        </w:rPr>
        <w:t xml:space="preserve"> </w:t>
      </w:r>
      <w:r w:rsidR="004926CE" w:rsidRPr="00B1523A">
        <w:rPr>
          <w:rFonts w:eastAsia="Calibri"/>
          <w:sz w:val="20"/>
          <w:szCs w:val="20"/>
          <w:lang w:eastAsia="en-US"/>
        </w:rPr>
        <w:t>Durante su primer ingres</w:t>
      </w:r>
      <w:r w:rsidR="00E16178">
        <w:rPr>
          <w:rFonts w:eastAsia="Calibri"/>
          <w:sz w:val="20"/>
          <w:szCs w:val="20"/>
          <w:lang w:eastAsia="en-US"/>
        </w:rPr>
        <w:t>o</w:t>
      </w:r>
      <w:r w:rsidR="004926CE" w:rsidRPr="00B1523A">
        <w:rPr>
          <w:rFonts w:eastAsia="Calibri"/>
          <w:sz w:val="20"/>
          <w:szCs w:val="20"/>
          <w:lang w:eastAsia="en-US"/>
        </w:rPr>
        <w:t xml:space="preserve"> se le practicó una intervención,</w:t>
      </w:r>
      <w:r w:rsidR="004926CE" w:rsidRPr="00AB1E03">
        <w:rPr>
          <w:rFonts w:eastAsia="Calibri"/>
          <w:b/>
          <w:sz w:val="20"/>
          <w:szCs w:val="20"/>
          <w:lang w:eastAsia="en-US"/>
        </w:rPr>
        <w:t xml:space="preserve"> </w:t>
      </w:r>
      <w:r w:rsidR="004926CE" w:rsidRPr="00B1523A">
        <w:rPr>
          <w:rFonts w:eastAsia="Calibri"/>
          <w:sz w:val="20"/>
          <w:szCs w:val="20"/>
          <w:lang w:eastAsia="en-US"/>
        </w:rPr>
        <w:t>presuntamente</w:t>
      </w:r>
      <w:r w:rsidR="004926CE" w:rsidRPr="00AB1E03">
        <w:rPr>
          <w:rFonts w:eastAsia="Calibri"/>
          <w:b/>
          <w:sz w:val="20"/>
          <w:szCs w:val="20"/>
          <w:lang w:eastAsia="en-US"/>
        </w:rPr>
        <w:t xml:space="preserve"> </w:t>
      </w:r>
      <w:r w:rsidR="00FC7A1F" w:rsidRPr="00B1523A">
        <w:rPr>
          <w:rFonts w:eastAsia="Calibri"/>
          <w:sz w:val="20"/>
          <w:szCs w:val="20"/>
          <w:lang w:eastAsia="en-US"/>
        </w:rPr>
        <w:t xml:space="preserve">cuando </w:t>
      </w:r>
      <w:r w:rsidR="004926CE" w:rsidRPr="00B1523A">
        <w:rPr>
          <w:rFonts w:eastAsia="Calibri"/>
          <w:sz w:val="20"/>
          <w:szCs w:val="20"/>
          <w:lang w:eastAsia="en-US"/>
        </w:rPr>
        <w:t xml:space="preserve">el paciente </w:t>
      </w:r>
      <w:r w:rsidR="009B3B3C" w:rsidRPr="00B1523A">
        <w:rPr>
          <w:rFonts w:eastAsia="Calibri"/>
          <w:sz w:val="20"/>
          <w:szCs w:val="20"/>
          <w:lang w:eastAsia="en-US"/>
        </w:rPr>
        <w:t>se encontraba</w:t>
      </w:r>
      <w:r w:rsidR="004926CE" w:rsidRPr="00B1523A">
        <w:rPr>
          <w:rFonts w:eastAsia="Calibri"/>
          <w:sz w:val="20"/>
          <w:szCs w:val="20"/>
          <w:lang w:eastAsia="en-US"/>
        </w:rPr>
        <w:t xml:space="preserve"> inconsciente,</w:t>
      </w:r>
      <w:r w:rsidR="00FC7A1F" w:rsidRPr="00B1523A">
        <w:rPr>
          <w:rFonts w:eastAsia="Calibri"/>
          <w:sz w:val="20"/>
          <w:szCs w:val="20"/>
          <w:lang w:eastAsia="en-US"/>
        </w:rPr>
        <w:t xml:space="preserve"> sin el consentimiento de la familia</w:t>
      </w:r>
      <w:r w:rsidR="005A65DF">
        <w:rPr>
          <w:rFonts w:eastAsia="Calibri"/>
          <w:sz w:val="20"/>
          <w:szCs w:val="20"/>
          <w:lang w:eastAsia="en-US"/>
        </w:rPr>
        <w:t>.</w:t>
      </w:r>
      <w:r w:rsidR="00FC7A1F" w:rsidRPr="00B1523A">
        <w:rPr>
          <w:rFonts w:eastAsia="Calibri"/>
          <w:sz w:val="20"/>
          <w:szCs w:val="20"/>
          <w:lang w:eastAsia="en-US"/>
        </w:rPr>
        <w:t xml:space="preserve"> </w:t>
      </w:r>
      <w:r w:rsidR="005A65DF">
        <w:rPr>
          <w:rFonts w:eastAsia="Calibri"/>
          <w:sz w:val="20"/>
          <w:szCs w:val="20"/>
          <w:lang w:eastAsia="en-US"/>
        </w:rPr>
        <w:t>A</w:t>
      </w:r>
      <w:r w:rsidR="004926CE" w:rsidRPr="00B1523A">
        <w:rPr>
          <w:rFonts w:eastAsia="Calibri"/>
          <w:sz w:val="20"/>
          <w:szCs w:val="20"/>
          <w:lang w:eastAsia="en-US"/>
        </w:rPr>
        <w:t>demás</w:t>
      </w:r>
      <w:r w:rsidR="005A65DF">
        <w:rPr>
          <w:rFonts w:eastAsia="Calibri"/>
          <w:sz w:val="20"/>
          <w:szCs w:val="20"/>
          <w:lang w:eastAsia="en-US"/>
        </w:rPr>
        <w:t>,</w:t>
      </w:r>
      <w:r w:rsidR="004926CE" w:rsidRPr="00B1523A">
        <w:rPr>
          <w:rFonts w:eastAsia="Calibri"/>
          <w:sz w:val="20"/>
          <w:szCs w:val="20"/>
          <w:lang w:eastAsia="en-US"/>
        </w:rPr>
        <w:t xml:space="preserve"> se </w:t>
      </w:r>
      <w:r w:rsidR="0034410C" w:rsidRPr="00B1523A">
        <w:rPr>
          <w:rFonts w:eastAsia="Calibri"/>
          <w:sz w:val="20"/>
          <w:szCs w:val="20"/>
          <w:lang w:eastAsia="en-US"/>
        </w:rPr>
        <w:t xml:space="preserve">alegó que se </w:t>
      </w:r>
      <w:r w:rsidR="004926CE" w:rsidRPr="00B1523A">
        <w:rPr>
          <w:rFonts w:eastAsia="Calibri"/>
          <w:sz w:val="20"/>
          <w:szCs w:val="20"/>
          <w:lang w:eastAsia="en-US"/>
        </w:rPr>
        <w:t xml:space="preserve">le habría dado de alta de manera temprana, y durante su segundo ingreso se le </w:t>
      </w:r>
      <w:r w:rsidR="004926CE" w:rsidRPr="00B1523A">
        <w:rPr>
          <w:rFonts w:eastAsia="Calibri"/>
          <w:sz w:val="20"/>
          <w:szCs w:val="20"/>
          <w:lang w:eastAsia="en-US"/>
        </w:rPr>
        <w:lastRenderedPageBreak/>
        <w:t>habría negado el tratamiento que requería, derivando posteriormente en su fallecimiento en el mismo hospital.</w:t>
      </w:r>
      <w:r w:rsidR="004926CE">
        <w:rPr>
          <w:rFonts w:eastAsia="Calibri"/>
          <w:sz w:val="20"/>
          <w:szCs w:val="20"/>
          <w:lang w:eastAsia="en-US"/>
        </w:rPr>
        <w:t xml:space="preserve"> </w:t>
      </w:r>
      <w:r w:rsidRPr="004926CE">
        <w:rPr>
          <w:rFonts w:eastAsia="Calibri"/>
          <w:sz w:val="20"/>
          <w:szCs w:val="20"/>
          <w:lang w:eastAsia="en-US"/>
        </w:rPr>
        <w:t xml:space="preserve">Además, </w:t>
      </w:r>
      <w:r w:rsidR="0034410C">
        <w:rPr>
          <w:rFonts w:eastAsia="Calibri"/>
          <w:sz w:val="20"/>
          <w:szCs w:val="20"/>
          <w:lang w:eastAsia="en-US"/>
        </w:rPr>
        <w:t xml:space="preserve">el caso </w:t>
      </w:r>
      <w:r w:rsidR="00A54B13" w:rsidRPr="004926CE">
        <w:rPr>
          <w:rFonts w:eastAsia="Calibri"/>
          <w:sz w:val="20"/>
          <w:szCs w:val="20"/>
          <w:lang w:eastAsia="en-US"/>
        </w:rPr>
        <w:t xml:space="preserve">se </w:t>
      </w:r>
      <w:r w:rsidR="00A20D88" w:rsidRPr="004926CE">
        <w:rPr>
          <w:rFonts w:eastAsia="Calibri"/>
          <w:sz w:val="20"/>
          <w:szCs w:val="20"/>
          <w:lang w:eastAsia="en-US"/>
        </w:rPr>
        <w:t>relaciona con</w:t>
      </w:r>
      <w:r w:rsidR="00A54B13" w:rsidRPr="004926CE">
        <w:rPr>
          <w:rFonts w:eastAsia="Calibri"/>
          <w:sz w:val="20"/>
          <w:szCs w:val="20"/>
          <w:lang w:eastAsia="en-US"/>
        </w:rPr>
        <w:t xml:space="preserve"> </w:t>
      </w:r>
      <w:r w:rsidRPr="004926CE">
        <w:rPr>
          <w:rFonts w:eastAsia="Calibri"/>
          <w:sz w:val="20"/>
          <w:szCs w:val="20"/>
          <w:lang w:eastAsia="en-US"/>
        </w:rPr>
        <w:t xml:space="preserve">las investigaciones y acciones judiciales que se realizaron para </w:t>
      </w:r>
      <w:r w:rsidR="00A54B13" w:rsidRPr="004926CE">
        <w:rPr>
          <w:rFonts w:eastAsia="Calibri"/>
          <w:sz w:val="20"/>
          <w:szCs w:val="20"/>
          <w:lang w:eastAsia="en-US"/>
        </w:rPr>
        <w:t>esclarecer</w:t>
      </w:r>
      <w:r w:rsidRPr="004926CE">
        <w:rPr>
          <w:rFonts w:eastAsia="Calibri"/>
          <w:sz w:val="20"/>
          <w:szCs w:val="20"/>
          <w:lang w:eastAsia="en-US"/>
        </w:rPr>
        <w:t xml:space="preserve"> su muerte y, en su caso, deslindar las responsabilidades correspondientes</w:t>
      </w:r>
      <w:r w:rsidR="00DB2D18" w:rsidRPr="00713D68">
        <w:rPr>
          <w:rFonts w:eastAsia="Calibri"/>
          <w:sz w:val="20"/>
          <w:szCs w:val="20"/>
          <w:lang w:eastAsia="en-US"/>
        </w:rPr>
        <w:t>,</w:t>
      </w:r>
      <w:r w:rsidR="00DB2D18" w:rsidRPr="00AB1E03">
        <w:rPr>
          <w:rFonts w:eastAsia="Calibri"/>
          <w:b/>
          <w:sz w:val="20"/>
          <w:szCs w:val="20"/>
          <w:lang w:eastAsia="en-US"/>
        </w:rPr>
        <w:t xml:space="preserve"> </w:t>
      </w:r>
      <w:r w:rsidR="00DB2D18" w:rsidRPr="00B1523A">
        <w:rPr>
          <w:rFonts w:eastAsia="Calibri"/>
          <w:sz w:val="20"/>
          <w:szCs w:val="20"/>
          <w:lang w:eastAsia="en-US"/>
        </w:rPr>
        <w:t xml:space="preserve">así como las posibles afectaciones que sufrieron </w:t>
      </w:r>
      <w:r w:rsidR="005A65DF">
        <w:rPr>
          <w:rFonts w:eastAsia="Calibri"/>
          <w:sz w:val="20"/>
          <w:szCs w:val="20"/>
          <w:lang w:eastAsia="en-US"/>
        </w:rPr>
        <w:t>sus</w:t>
      </w:r>
      <w:r w:rsidR="00DB2D18" w:rsidRPr="00B1523A">
        <w:rPr>
          <w:rFonts w:eastAsia="Calibri"/>
          <w:sz w:val="20"/>
          <w:szCs w:val="20"/>
          <w:lang w:eastAsia="en-US"/>
        </w:rPr>
        <w:t xml:space="preserve"> familiares.</w:t>
      </w:r>
      <w:r w:rsidRPr="008636CA">
        <w:rPr>
          <w:rFonts w:eastAsia="Calibri"/>
          <w:sz w:val="20"/>
          <w:szCs w:val="20"/>
          <w:lang w:eastAsia="en-US"/>
        </w:rPr>
        <w:t xml:space="preserve"> </w:t>
      </w:r>
      <w:r w:rsidR="004926CE" w:rsidRPr="00B1523A">
        <w:rPr>
          <w:rFonts w:eastAsia="Calibri"/>
          <w:sz w:val="20"/>
          <w:szCs w:val="20"/>
          <w:lang w:eastAsia="en-US"/>
        </w:rPr>
        <w:t xml:space="preserve">En vista de lo anterior, y tomando en cuenta el reconocimiento parcial de responsabilidad del Estado, corresponde a la Corte determinar el alcance de las violaciones </w:t>
      </w:r>
      <w:r w:rsidR="00DB2D18" w:rsidRPr="00B1523A">
        <w:rPr>
          <w:rFonts w:eastAsia="Calibri"/>
          <w:sz w:val="20"/>
          <w:szCs w:val="20"/>
          <w:lang w:eastAsia="en-US"/>
        </w:rPr>
        <w:t xml:space="preserve">acreditadas. </w:t>
      </w:r>
      <w:r w:rsidR="008016C2" w:rsidRPr="004926CE">
        <w:rPr>
          <w:rFonts w:eastAsia="Calibri"/>
          <w:sz w:val="20"/>
          <w:szCs w:val="20"/>
          <w:lang w:eastAsia="en-US"/>
        </w:rPr>
        <w:t xml:space="preserve">Para ello, </w:t>
      </w:r>
      <w:r w:rsidRPr="004926CE">
        <w:rPr>
          <w:rFonts w:eastAsia="Calibri"/>
          <w:sz w:val="20"/>
          <w:szCs w:val="20"/>
          <w:lang w:eastAsia="en-US"/>
        </w:rPr>
        <w:t xml:space="preserve">la Corte </w:t>
      </w:r>
      <w:r w:rsidRPr="004926CE">
        <w:rPr>
          <w:rFonts w:eastAsiaTheme="minorHAnsi" w:cs="Verdana"/>
          <w:color w:val="000000"/>
          <w:sz w:val="20"/>
          <w:szCs w:val="20"/>
          <w:lang w:eastAsia="en-US"/>
        </w:rPr>
        <w:t>proceder</w:t>
      </w:r>
      <w:r w:rsidR="00A54B13" w:rsidRPr="004926CE">
        <w:rPr>
          <w:rFonts w:eastAsiaTheme="minorHAnsi" w:cs="Verdana"/>
          <w:color w:val="000000"/>
          <w:sz w:val="20"/>
          <w:szCs w:val="20"/>
          <w:lang w:eastAsia="en-US"/>
        </w:rPr>
        <w:t>á</w:t>
      </w:r>
      <w:r w:rsidRPr="004926CE">
        <w:rPr>
          <w:rFonts w:eastAsiaTheme="minorHAnsi" w:cs="Verdana"/>
          <w:color w:val="000000"/>
          <w:sz w:val="20"/>
          <w:szCs w:val="20"/>
          <w:lang w:eastAsia="en-US"/>
        </w:rPr>
        <w:t xml:space="preserve"> a analizar los argumentos presentados por las partes y la Comisión, y desarrollará las consideraciones de derecho pertinentes relacionadas con el derecho a la salud (artículo 26</w:t>
      </w:r>
      <w:r w:rsidR="00F77DA9">
        <w:rPr>
          <w:rStyle w:val="FootnoteReference"/>
          <w:rFonts w:eastAsiaTheme="minorHAnsi" w:cs="Verdana"/>
          <w:color w:val="000000"/>
          <w:sz w:val="20"/>
          <w:szCs w:val="20"/>
          <w:lang w:eastAsia="en-US"/>
        </w:rPr>
        <w:footnoteReference w:id="116"/>
      </w:r>
      <w:r w:rsidRPr="004926CE">
        <w:rPr>
          <w:rFonts w:eastAsiaTheme="minorHAnsi" w:cs="Verdana"/>
          <w:color w:val="000000"/>
          <w:sz w:val="20"/>
          <w:szCs w:val="20"/>
          <w:lang w:eastAsia="en-US"/>
        </w:rPr>
        <w:t>)</w:t>
      </w:r>
      <w:r w:rsidR="00F30375">
        <w:rPr>
          <w:rFonts w:eastAsiaTheme="minorHAnsi" w:cs="Verdana"/>
          <w:color w:val="000000"/>
          <w:sz w:val="20"/>
          <w:szCs w:val="20"/>
          <w:lang w:eastAsia="en-US"/>
        </w:rPr>
        <w:t>;</w:t>
      </w:r>
      <w:r w:rsidRPr="004926CE">
        <w:rPr>
          <w:rFonts w:eastAsiaTheme="minorHAnsi" w:cs="Verdana"/>
          <w:color w:val="000000"/>
          <w:sz w:val="20"/>
          <w:szCs w:val="20"/>
          <w:lang w:eastAsia="en-US"/>
        </w:rPr>
        <w:t xml:space="preserve"> los derechos a la vida </w:t>
      </w:r>
      <w:r w:rsidR="00F30375">
        <w:rPr>
          <w:rFonts w:eastAsiaTheme="minorHAnsi" w:cs="Verdana"/>
          <w:color w:val="000000"/>
          <w:sz w:val="20"/>
          <w:szCs w:val="20"/>
          <w:lang w:eastAsia="en-US"/>
        </w:rPr>
        <w:t xml:space="preserve">e </w:t>
      </w:r>
      <w:r w:rsidR="00F30375" w:rsidRPr="004926CE">
        <w:rPr>
          <w:rFonts w:eastAsiaTheme="minorHAnsi" w:cs="Verdana"/>
          <w:color w:val="000000"/>
          <w:sz w:val="20"/>
          <w:szCs w:val="20"/>
          <w:lang w:eastAsia="en-US"/>
        </w:rPr>
        <w:t xml:space="preserve">integridad personal </w:t>
      </w:r>
      <w:r w:rsidRPr="004926CE">
        <w:rPr>
          <w:rFonts w:eastAsiaTheme="minorHAnsi" w:cs="Verdana"/>
          <w:color w:val="000000"/>
          <w:sz w:val="20"/>
          <w:szCs w:val="20"/>
          <w:lang w:eastAsia="en-US"/>
        </w:rPr>
        <w:t>(artículo</w:t>
      </w:r>
      <w:r w:rsidR="00522E88">
        <w:rPr>
          <w:rFonts w:eastAsiaTheme="minorHAnsi" w:cs="Verdana"/>
          <w:color w:val="000000"/>
          <w:sz w:val="20"/>
          <w:szCs w:val="20"/>
          <w:lang w:eastAsia="en-US"/>
        </w:rPr>
        <w:t>s</w:t>
      </w:r>
      <w:r w:rsidRPr="004926CE">
        <w:rPr>
          <w:rFonts w:eastAsiaTheme="minorHAnsi" w:cs="Verdana"/>
          <w:color w:val="000000"/>
          <w:sz w:val="20"/>
          <w:szCs w:val="20"/>
          <w:lang w:eastAsia="en-US"/>
        </w:rPr>
        <w:t xml:space="preserve"> 4</w:t>
      </w:r>
      <w:r w:rsidR="00F77DA9">
        <w:rPr>
          <w:rStyle w:val="FootnoteReference"/>
          <w:rFonts w:eastAsiaTheme="minorHAnsi" w:cs="Verdana"/>
          <w:color w:val="000000"/>
          <w:sz w:val="20"/>
          <w:szCs w:val="20"/>
          <w:lang w:eastAsia="en-US"/>
        </w:rPr>
        <w:footnoteReference w:id="117"/>
      </w:r>
      <w:r w:rsidRPr="004926CE">
        <w:rPr>
          <w:rFonts w:eastAsiaTheme="minorHAnsi" w:cs="Verdana"/>
          <w:color w:val="000000"/>
          <w:sz w:val="20"/>
          <w:szCs w:val="20"/>
          <w:lang w:eastAsia="en-US"/>
        </w:rPr>
        <w:t xml:space="preserve"> y 5</w:t>
      </w:r>
      <w:r w:rsidR="00F77DA9">
        <w:rPr>
          <w:rStyle w:val="FootnoteReference"/>
          <w:rFonts w:eastAsiaTheme="minorHAnsi" w:cs="Verdana"/>
          <w:color w:val="000000"/>
          <w:sz w:val="20"/>
          <w:szCs w:val="20"/>
          <w:lang w:eastAsia="en-US"/>
        </w:rPr>
        <w:footnoteReference w:id="118"/>
      </w:r>
      <w:r w:rsidRPr="004926CE">
        <w:rPr>
          <w:rFonts w:eastAsiaTheme="minorHAnsi" w:cs="Verdana"/>
          <w:color w:val="000000"/>
          <w:sz w:val="20"/>
          <w:szCs w:val="20"/>
          <w:lang w:eastAsia="en-US"/>
        </w:rPr>
        <w:t xml:space="preserve">), </w:t>
      </w:r>
      <w:r w:rsidR="00F30375">
        <w:rPr>
          <w:rFonts w:eastAsiaTheme="minorHAnsi" w:cs="Verdana"/>
          <w:color w:val="000000"/>
          <w:sz w:val="20"/>
          <w:szCs w:val="20"/>
          <w:lang w:eastAsia="en-US"/>
        </w:rPr>
        <w:t xml:space="preserve">y </w:t>
      </w:r>
      <w:r w:rsidRPr="004926CE">
        <w:rPr>
          <w:rFonts w:eastAsiaTheme="minorHAnsi" w:cs="Verdana"/>
          <w:color w:val="000000"/>
          <w:sz w:val="20"/>
          <w:szCs w:val="20"/>
          <w:lang w:eastAsia="en-US"/>
        </w:rPr>
        <w:t>el derecho al consentimiento informado en m</w:t>
      </w:r>
      <w:r w:rsidR="00A54B13" w:rsidRPr="004926CE">
        <w:rPr>
          <w:rFonts w:eastAsiaTheme="minorHAnsi" w:cs="Verdana"/>
          <w:color w:val="000000"/>
          <w:sz w:val="20"/>
          <w:szCs w:val="20"/>
          <w:lang w:eastAsia="en-US"/>
        </w:rPr>
        <w:t xml:space="preserve">ateria de salud (artículos 26, </w:t>
      </w:r>
      <w:r w:rsidRPr="004926CE">
        <w:rPr>
          <w:rFonts w:eastAsiaTheme="minorHAnsi" w:cs="Verdana"/>
          <w:color w:val="000000"/>
          <w:sz w:val="20"/>
          <w:szCs w:val="20"/>
          <w:lang w:eastAsia="en-US"/>
        </w:rPr>
        <w:t>13</w:t>
      </w:r>
      <w:r w:rsidR="00F77DA9">
        <w:rPr>
          <w:rStyle w:val="FootnoteReference"/>
          <w:rFonts w:eastAsiaTheme="minorHAnsi" w:cs="Verdana"/>
          <w:color w:val="000000"/>
          <w:sz w:val="20"/>
          <w:szCs w:val="20"/>
          <w:lang w:eastAsia="en-US"/>
        </w:rPr>
        <w:footnoteReference w:id="119"/>
      </w:r>
      <w:r w:rsidR="00A54B13" w:rsidRPr="004926CE">
        <w:rPr>
          <w:rFonts w:eastAsiaTheme="minorHAnsi" w:cs="Verdana"/>
          <w:color w:val="000000"/>
          <w:sz w:val="20"/>
          <w:szCs w:val="20"/>
          <w:lang w:eastAsia="en-US"/>
        </w:rPr>
        <w:t>, 11</w:t>
      </w:r>
      <w:r w:rsidR="00F77DA9">
        <w:rPr>
          <w:rStyle w:val="FootnoteReference"/>
          <w:rFonts w:eastAsiaTheme="minorHAnsi" w:cs="Verdana"/>
          <w:color w:val="000000"/>
          <w:sz w:val="20"/>
          <w:szCs w:val="20"/>
          <w:lang w:eastAsia="en-US"/>
        </w:rPr>
        <w:footnoteReference w:id="120"/>
      </w:r>
      <w:r w:rsidR="00A54B13" w:rsidRPr="004926CE">
        <w:rPr>
          <w:rFonts w:eastAsiaTheme="minorHAnsi" w:cs="Verdana"/>
          <w:color w:val="000000"/>
          <w:sz w:val="20"/>
          <w:szCs w:val="20"/>
          <w:lang w:eastAsia="en-US"/>
        </w:rPr>
        <w:t xml:space="preserve"> y 7</w:t>
      </w:r>
      <w:r w:rsidR="00F77DA9">
        <w:rPr>
          <w:rStyle w:val="FootnoteReference"/>
          <w:rFonts w:eastAsiaTheme="minorHAnsi" w:cs="Verdana"/>
          <w:color w:val="000000"/>
          <w:sz w:val="20"/>
          <w:szCs w:val="20"/>
          <w:lang w:eastAsia="en-US"/>
        </w:rPr>
        <w:footnoteReference w:id="121"/>
      </w:r>
      <w:r w:rsidR="008016C2" w:rsidRPr="004926CE">
        <w:rPr>
          <w:rFonts w:eastAsiaTheme="minorHAnsi" w:cs="Verdana"/>
          <w:color w:val="000000"/>
          <w:sz w:val="20"/>
          <w:szCs w:val="20"/>
          <w:lang w:eastAsia="en-US"/>
        </w:rPr>
        <w:t>). Asimismo, analizará los derechos a las garantías judiciales y protección judicial (artículo</w:t>
      </w:r>
      <w:r w:rsidR="00A54B13" w:rsidRPr="004926CE">
        <w:rPr>
          <w:rFonts w:eastAsiaTheme="minorHAnsi" w:cs="Verdana"/>
          <w:color w:val="000000"/>
          <w:sz w:val="20"/>
          <w:szCs w:val="20"/>
          <w:lang w:eastAsia="en-US"/>
        </w:rPr>
        <w:t>s</w:t>
      </w:r>
      <w:r w:rsidR="008016C2" w:rsidRPr="004926CE">
        <w:rPr>
          <w:rFonts w:eastAsiaTheme="minorHAnsi" w:cs="Verdana"/>
          <w:color w:val="000000"/>
          <w:sz w:val="20"/>
          <w:szCs w:val="20"/>
          <w:lang w:eastAsia="en-US"/>
        </w:rPr>
        <w:t xml:space="preserve"> </w:t>
      </w:r>
      <w:r w:rsidR="00A54B13" w:rsidRPr="004926CE">
        <w:rPr>
          <w:rFonts w:eastAsiaTheme="minorHAnsi" w:cstheme="minorBidi"/>
          <w:sz w:val="20"/>
          <w:szCs w:val="20"/>
          <w:lang w:val="es-AR" w:eastAsia="en-US"/>
        </w:rPr>
        <w:t>8</w:t>
      </w:r>
      <w:r w:rsidR="00A54B13" w:rsidRPr="00E67349">
        <w:rPr>
          <w:rFonts w:eastAsiaTheme="minorHAnsi"/>
          <w:sz w:val="20"/>
          <w:szCs w:val="20"/>
          <w:vertAlign w:val="superscript"/>
          <w:lang w:val="es-AR" w:eastAsia="en-US"/>
        </w:rPr>
        <w:footnoteReference w:id="122"/>
      </w:r>
      <w:r w:rsidR="00A54B13" w:rsidRPr="004926CE">
        <w:rPr>
          <w:rFonts w:eastAsiaTheme="minorHAnsi" w:cstheme="minorBidi"/>
          <w:sz w:val="20"/>
          <w:szCs w:val="20"/>
          <w:lang w:val="es-AR" w:eastAsia="en-US"/>
        </w:rPr>
        <w:t xml:space="preserve"> y 25</w:t>
      </w:r>
      <w:r w:rsidR="00A54B13" w:rsidRPr="00E67349">
        <w:rPr>
          <w:rFonts w:eastAsiaTheme="minorHAnsi"/>
          <w:sz w:val="20"/>
          <w:szCs w:val="20"/>
          <w:vertAlign w:val="superscript"/>
          <w:lang w:val="es-AR" w:eastAsia="en-US"/>
        </w:rPr>
        <w:footnoteReference w:id="123"/>
      </w:r>
      <w:r w:rsidR="008016C2" w:rsidRPr="004926CE">
        <w:rPr>
          <w:rFonts w:eastAsiaTheme="minorHAnsi" w:cs="Verdana"/>
          <w:color w:val="000000"/>
          <w:sz w:val="20"/>
          <w:szCs w:val="20"/>
          <w:lang w:eastAsia="en-US"/>
        </w:rPr>
        <w:t>)</w:t>
      </w:r>
      <w:r w:rsidR="00501509">
        <w:rPr>
          <w:rFonts w:eastAsiaTheme="minorHAnsi" w:cs="Verdana"/>
          <w:color w:val="000000"/>
          <w:sz w:val="20"/>
          <w:szCs w:val="20"/>
          <w:lang w:eastAsia="en-US"/>
        </w:rPr>
        <w:t>,</w:t>
      </w:r>
      <w:r w:rsidR="008016C2" w:rsidRPr="004926CE">
        <w:rPr>
          <w:rFonts w:eastAsiaTheme="minorHAnsi" w:cs="Verdana"/>
          <w:color w:val="000000"/>
          <w:sz w:val="20"/>
          <w:szCs w:val="20"/>
          <w:lang w:eastAsia="en-US"/>
        </w:rPr>
        <w:t xml:space="preserve"> y el derecho a la integridad personal respecto de los familiares (artículo 5), todos ellos </w:t>
      </w:r>
      <w:r w:rsidR="00F002D3" w:rsidRPr="004926CE">
        <w:rPr>
          <w:rFonts w:eastAsiaTheme="minorHAnsi" w:cs="Verdana"/>
          <w:color w:val="000000"/>
          <w:sz w:val="20"/>
          <w:szCs w:val="20"/>
          <w:lang w:eastAsia="en-US"/>
        </w:rPr>
        <w:t>en relación con el artículo 1.1</w:t>
      </w:r>
      <w:r w:rsidR="00F002D3">
        <w:rPr>
          <w:rStyle w:val="FootnoteReference"/>
          <w:rFonts w:eastAsiaTheme="minorHAnsi" w:cs="Verdana"/>
          <w:color w:val="000000"/>
          <w:sz w:val="20"/>
          <w:szCs w:val="20"/>
          <w:lang w:eastAsia="en-US"/>
        </w:rPr>
        <w:footnoteReference w:id="124"/>
      </w:r>
      <w:r w:rsidR="00F002D3" w:rsidRPr="004926CE">
        <w:rPr>
          <w:rFonts w:eastAsiaTheme="minorHAnsi" w:cs="Verdana"/>
          <w:color w:val="000000"/>
          <w:sz w:val="20"/>
          <w:szCs w:val="20"/>
          <w:lang w:eastAsia="en-US"/>
        </w:rPr>
        <w:t xml:space="preserve"> </w:t>
      </w:r>
      <w:r w:rsidR="008016C2" w:rsidRPr="004926CE">
        <w:rPr>
          <w:rFonts w:eastAsiaTheme="minorHAnsi" w:cs="Verdana"/>
          <w:color w:val="000000"/>
          <w:sz w:val="20"/>
          <w:szCs w:val="20"/>
          <w:lang w:eastAsia="en-US"/>
        </w:rPr>
        <w:t>de la Convención Americana sobre Derechos Humanos.</w:t>
      </w:r>
    </w:p>
    <w:p w14:paraId="2EDB6F17" w14:textId="77777777" w:rsidR="00A83854" w:rsidRDefault="00A83854" w:rsidP="00A83854"/>
    <w:p w14:paraId="33418053" w14:textId="77777777" w:rsidR="002570D1" w:rsidRPr="002570D1" w:rsidRDefault="002570D1" w:rsidP="002570D1">
      <w:pPr>
        <w:pStyle w:val="Title"/>
      </w:pPr>
      <w:bookmarkStart w:id="68" w:name="_Toc504484529"/>
      <w:bookmarkStart w:id="69" w:name="_Toc513644458"/>
      <w:r w:rsidRPr="002570D1">
        <w:t>V</w:t>
      </w:r>
      <w:r w:rsidR="00024506">
        <w:t>I</w:t>
      </w:r>
      <w:r w:rsidRPr="002570D1">
        <w:t>I-1</w:t>
      </w:r>
      <w:bookmarkEnd w:id="68"/>
      <w:bookmarkEnd w:id="69"/>
    </w:p>
    <w:p w14:paraId="72E4C81E" w14:textId="7837A7AC" w:rsidR="002570D1" w:rsidRPr="002570D1" w:rsidRDefault="002570D1" w:rsidP="002570D1">
      <w:pPr>
        <w:pStyle w:val="Title"/>
      </w:pPr>
      <w:bookmarkStart w:id="70" w:name="_Toc513644459"/>
      <w:r w:rsidRPr="002570D1">
        <w:t>DERECHO</w:t>
      </w:r>
      <w:r w:rsidR="00386E16">
        <w:t>S</w:t>
      </w:r>
      <w:r w:rsidRPr="002570D1">
        <w:t xml:space="preserve"> A LA SALUD, VIDA, INTEGRIDAD </w:t>
      </w:r>
      <w:r w:rsidR="005430FF">
        <w:t>Y ACCESO A LA</w:t>
      </w:r>
      <w:r w:rsidRPr="002570D1">
        <w:t xml:space="preserve"> INFORMACIÓN</w:t>
      </w:r>
      <w:bookmarkEnd w:id="70"/>
    </w:p>
    <w:p w14:paraId="4DDE0A2E" w14:textId="77777777" w:rsidR="002570D1" w:rsidRPr="002570D1" w:rsidRDefault="002570D1" w:rsidP="002570D1">
      <w:pPr>
        <w:pStyle w:val="Title"/>
      </w:pPr>
      <w:bookmarkStart w:id="71" w:name="_Toc513644460"/>
      <w:r w:rsidRPr="002570D1">
        <w:t>(ARTÍCULOS 26, 1.1, 4, 5</w:t>
      </w:r>
      <w:r w:rsidR="009536AC">
        <w:t xml:space="preserve">, </w:t>
      </w:r>
      <w:r w:rsidRPr="002570D1">
        <w:t>13</w:t>
      </w:r>
      <w:r w:rsidR="009536AC">
        <w:t>, 7 Y 11</w:t>
      </w:r>
      <w:r w:rsidRPr="002570D1">
        <w:t xml:space="preserve"> DE LA CONVENCIÓN AMERICANA)</w:t>
      </w:r>
      <w:bookmarkEnd w:id="71"/>
    </w:p>
    <w:p w14:paraId="5A39541C" w14:textId="77777777" w:rsidR="002570D1" w:rsidRPr="002570D1" w:rsidRDefault="002570D1" w:rsidP="002570D1">
      <w:pPr>
        <w:rPr>
          <w:rFonts w:eastAsia="Calibri"/>
          <w:sz w:val="20"/>
          <w:szCs w:val="20"/>
          <w:lang w:val="es-ES_tradnl" w:eastAsia="en-US"/>
        </w:rPr>
      </w:pPr>
    </w:p>
    <w:p w14:paraId="645CA85C" w14:textId="77777777" w:rsidR="002570D1" w:rsidRPr="00EB31AC" w:rsidRDefault="002570D1" w:rsidP="002726E0">
      <w:pPr>
        <w:pStyle w:val="Heading2"/>
        <w:numPr>
          <w:ilvl w:val="0"/>
          <w:numId w:val="18"/>
        </w:numPr>
      </w:pPr>
      <w:bookmarkStart w:id="72" w:name="_Toc513644461"/>
      <w:r w:rsidRPr="00EB31AC">
        <w:t>Argumentos de las partes y de la Comisión</w:t>
      </w:r>
      <w:bookmarkEnd w:id="72"/>
    </w:p>
    <w:p w14:paraId="51B3CABB" w14:textId="77777777" w:rsidR="002570D1" w:rsidRPr="002570D1" w:rsidRDefault="002570D1" w:rsidP="002570D1">
      <w:pPr>
        <w:ind w:left="1440"/>
        <w:contextualSpacing/>
        <w:rPr>
          <w:rFonts w:eastAsia="Calibri"/>
          <w:b/>
          <w:i/>
          <w:sz w:val="20"/>
          <w:szCs w:val="20"/>
          <w:lang w:val="es-ES_tradnl" w:eastAsia="en-US"/>
        </w:rPr>
      </w:pPr>
    </w:p>
    <w:p w14:paraId="797544B1" w14:textId="4F21D78C" w:rsidR="002570D1" w:rsidRPr="00EB31AC" w:rsidRDefault="002570D1" w:rsidP="00EB31AC">
      <w:pPr>
        <w:pStyle w:val="Heading3"/>
        <w:numPr>
          <w:ilvl w:val="0"/>
          <w:numId w:val="19"/>
        </w:numPr>
        <w:rPr>
          <w:b/>
        </w:rPr>
      </w:pPr>
      <w:bookmarkStart w:id="73" w:name="_Toc513644462"/>
      <w:r w:rsidRPr="00EB31AC">
        <w:rPr>
          <w:b/>
        </w:rPr>
        <w:t xml:space="preserve">Relativos al </w:t>
      </w:r>
      <w:r w:rsidR="00135E3E">
        <w:rPr>
          <w:b/>
        </w:rPr>
        <w:t>d</w:t>
      </w:r>
      <w:r w:rsidRPr="00EB31AC">
        <w:rPr>
          <w:b/>
        </w:rPr>
        <w:t xml:space="preserve">erecho a la </w:t>
      </w:r>
      <w:r w:rsidR="00135E3E">
        <w:rPr>
          <w:b/>
        </w:rPr>
        <w:t>s</w:t>
      </w:r>
      <w:r w:rsidRPr="00EB31AC">
        <w:rPr>
          <w:b/>
        </w:rPr>
        <w:t>alud</w:t>
      </w:r>
      <w:bookmarkEnd w:id="73"/>
    </w:p>
    <w:p w14:paraId="22D9358F" w14:textId="77777777" w:rsidR="002570D1" w:rsidRPr="002570D1" w:rsidRDefault="002570D1" w:rsidP="002570D1">
      <w:pPr>
        <w:ind w:left="723"/>
        <w:contextualSpacing/>
        <w:rPr>
          <w:rFonts w:eastAsia="Calibri"/>
          <w:i/>
          <w:sz w:val="20"/>
          <w:szCs w:val="20"/>
          <w:lang w:val="es-ES_tradnl" w:eastAsia="en-US"/>
        </w:rPr>
      </w:pPr>
    </w:p>
    <w:p w14:paraId="01E88126" w14:textId="1AB88B16" w:rsidR="002570D1" w:rsidRPr="002570D1" w:rsidRDefault="002570D1" w:rsidP="002570D1">
      <w:pPr>
        <w:numPr>
          <w:ilvl w:val="0"/>
          <w:numId w:val="2"/>
        </w:numPr>
        <w:tabs>
          <w:tab w:val="left" w:pos="567"/>
          <w:tab w:val="num" w:pos="1569"/>
          <w:tab w:val="num" w:pos="12305"/>
        </w:tabs>
        <w:ind w:left="0" w:firstLine="0"/>
        <w:rPr>
          <w:rFonts w:eastAsiaTheme="minorHAnsi" w:cstheme="minorBidi"/>
          <w:b/>
          <w:sz w:val="20"/>
          <w:szCs w:val="20"/>
          <w:lang w:val="es-AR" w:eastAsia="en-US"/>
        </w:rPr>
      </w:pPr>
      <w:r w:rsidRPr="002570D1">
        <w:rPr>
          <w:rFonts w:eastAsiaTheme="minorHAnsi" w:cstheme="minorBidi"/>
          <w:sz w:val="20"/>
          <w:szCs w:val="20"/>
          <w:lang w:val="es-AR" w:eastAsia="en-US"/>
        </w:rPr>
        <w:t xml:space="preserve">La </w:t>
      </w:r>
      <w:r w:rsidRPr="002570D1">
        <w:rPr>
          <w:rFonts w:eastAsiaTheme="minorHAnsi" w:cstheme="minorBidi"/>
          <w:b/>
          <w:i/>
          <w:sz w:val="20"/>
          <w:szCs w:val="20"/>
          <w:lang w:val="es-AR" w:eastAsia="en-US"/>
        </w:rPr>
        <w:t>Comisión</w:t>
      </w:r>
      <w:r w:rsidRPr="002570D1">
        <w:rPr>
          <w:rFonts w:eastAsiaTheme="minorHAnsi" w:cstheme="minorBidi"/>
          <w:sz w:val="20"/>
          <w:szCs w:val="20"/>
          <w:lang w:val="es-AR" w:eastAsia="en-US"/>
        </w:rPr>
        <w:t xml:space="preserve"> no </w:t>
      </w:r>
      <w:r w:rsidR="009536AC">
        <w:rPr>
          <w:rFonts w:eastAsiaTheme="minorHAnsi" w:cstheme="minorBidi"/>
          <w:sz w:val="20"/>
          <w:szCs w:val="20"/>
          <w:lang w:val="es-AR" w:eastAsia="en-US"/>
        </w:rPr>
        <w:t>alegó</w:t>
      </w:r>
      <w:r w:rsidRPr="002570D1">
        <w:rPr>
          <w:rFonts w:eastAsiaTheme="minorHAnsi" w:cstheme="minorBidi"/>
          <w:sz w:val="20"/>
          <w:szCs w:val="20"/>
          <w:lang w:val="es-AR" w:eastAsia="en-US"/>
        </w:rPr>
        <w:t xml:space="preserve"> la violación autónoma del derecho a la salud</w:t>
      </w:r>
      <w:r w:rsidR="00A20D88">
        <w:rPr>
          <w:rFonts w:eastAsiaTheme="minorHAnsi" w:cstheme="minorBidi"/>
          <w:sz w:val="20"/>
          <w:szCs w:val="20"/>
          <w:lang w:val="es-AR" w:eastAsia="en-US"/>
        </w:rPr>
        <w:t xml:space="preserve"> ni se pronunció al respecto en su Informe de Fondo</w:t>
      </w:r>
      <w:r w:rsidRPr="002570D1">
        <w:rPr>
          <w:rFonts w:eastAsiaTheme="minorHAnsi" w:cstheme="minorBidi"/>
          <w:sz w:val="20"/>
          <w:szCs w:val="20"/>
          <w:lang w:val="es-AR" w:eastAsia="en-US"/>
        </w:rPr>
        <w:t>. Sin embargo, en su</w:t>
      </w:r>
      <w:r w:rsidR="00202430">
        <w:rPr>
          <w:rFonts w:eastAsiaTheme="minorHAnsi" w:cstheme="minorBidi"/>
          <w:sz w:val="20"/>
          <w:szCs w:val="20"/>
          <w:lang w:val="es-AR" w:eastAsia="en-US"/>
        </w:rPr>
        <w:t>s</w:t>
      </w:r>
      <w:r w:rsidRPr="002570D1">
        <w:rPr>
          <w:rFonts w:eastAsiaTheme="minorHAnsi" w:cstheme="minorBidi"/>
          <w:sz w:val="20"/>
          <w:szCs w:val="20"/>
          <w:lang w:val="es-AR" w:eastAsia="en-US"/>
        </w:rPr>
        <w:t xml:space="preserve"> </w:t>
      </w:r>
      <w:r w:rsidR="009536AC">
        <w:rPr>
          <w:rFonts w:eastAsiaTheme="minorHAnsi" w:cstheme="minorBidi"/>
          <w:sz w:val="20"/>
          <w:szCs w:val="20"/>
          <w:lang w:val="es-AR" w:eastAsia="en-US"/>
        </w:rPr>
        <w:t>o</w:t>
      </w:r>
      <w:r w:rsidRPr="002570D1">
        <w:rPr>
          <w:rFonts w:eastAsiaTheme="minorHAnsi" w:cstheme="minorBidi"/>
          <w:sz w:val="20"/>
          <w:szCs w:val="20"/>
          <w:lang w:val="es-AR" w:eastAsia="en-US"/>
        </w:rPr>
        <w:t>bservaci</w:t>
      </w:r>
      <w:r w:rsidR="00202430">
        <w:rPr>
          <w:rFonts w:eastAsiaTheme="minorHAnsi" w:cstheme="minorBidi"/>
          <w:sz w:val="20"/>
          <w:szCs w:val="20"/>
          <w:lang w:val="es-AR" w:eastAsia="en-US"/>
        </w:rPr>
        <w:t>o</w:t>
      </w:r>
      <w:r w:rsidRPr="002570D1">
        <w:rPr>
          <w:rFonts w:eastAsiaTheme="minorHAnsi" w:cstheme="minorBidi"/>
          <w:sz w:val="20"/>
          <w:szCs w:val="20"/>
          <w:lang w:val="es-AR" w:eastAsia="en-US"/>
        </w:rPr>
        <w:t>n</w:t>
      </w:r>
      <w:r w:rsidR="00202430">
        <w:rPr>
          <w:rFonts w:eastAsiaTheme="minorHAnsi" w:cstheme="minorBidi"/>
          <w:sz w:val="20"/>
          <w:szCs w:val="20"/>
          <w:lang w:val="es-AR" w:eastAsia="en-US"/>
        </w:rPr>
        <w:t>es</w:t>
      </w:r>
      <w:r w:rsidRPr="002570D1">
        <w:rPr>
          <w:rFonts w:eastAsiaTheme="minorHAnsi" w:cstheme="minorBidi"/>
          <w:sz w:val="20"/>
          <w:szCs w:val="20"/>
          <w:lang w:val="es-AR" w:eastAsia="en-US"/>
        </w:rPr>
        <w:t xml:space="preserve"> </w:t>
      </w:r>
      <w:r w:rsidR="009536AC">
        <w:rPr>
          <w:rFonts w:eastAsiaTheme="minorHAnsi" w:cstheme="minorBidi"/>
          <w:sz w:val="20"/>
          <w:szCs w:val="20"/>
          <w:lang w:val="es-AR" w:eastAsia="en-US"/>
        </w:rPr>
        <w:t>f</w:t>
      </w:r>
      <w:r w:rsidRPr="002570D1">
        <w:rPr>
          <w:rFonts w:eastAsiaTheme="minorHAnsi" w:cstheme="minorBidi"/>
          <w:sz w:val="20"/>
          <w:szCs w:val="20"/>
          <w:lang w:val="es-AR" w:eastAsia="en-US"/>
        </w:rPr>
        <w:t>inal</w:t>
      </w:r>
      <w:r w:rsidR="00202430">
        <w:rPr>
          <w:rFonts w:eastAsiaTheme="minorHAnsi" w:cstheme="minorBidi"/>
          <w:sz w:val="20"/>
          <w:szCs w:val="20"/>
          <w:lang w:val="es-AR" w:eastAsia="en-US"/>
        </w:rPr>
        <w:t>es</w:t>
      </w:r>
      <w:r w:rsidRPr="002570D1">
        <w:rPr>
          <w:rFonts w:eastAsiaTheme="minorHAnsi" w:cstheme="minorBidi"/>
          <w:sz w:val="20"/>
          <w:szCs w:val="20"/>
          <w:lang w:val="es-AR" w:eastAsia="en-US"/>
        </w:rPr>
        <w:t xml:space="preserve"> escrita</w:t>
      </w:r>
      <w:r w:rsidR="00202430">
        <w:rPr>
          <w:rFonts w:eastAsiaTheme="minorHAnsi" w:cstheme="minorBidi"/>
          <w:sz w:val="20"/>
          <w:szCs w:val="20"/>
          <w:lang w:val="es-AR" w:eastAsia="en-US"/>
        </w:rPr>
        <w:t>s</w:t>
      </w:r>
      <w:r w:rsidRPr="002570D1">
        <w:rPr>
          <w:rFonts w:eastAsiaTheme="minorHAnsi" w:cstheme="minorBidi"/>
          <w:sz w:val="20"/>
          <w:szCs w:val="20"/>
          <w:lang w:val="es-AR" w:eastAsia="en-US"/>
        </w:rPr>
        <w:t xml:space="preserve">, señaló </w:t>
      </w:r>
      <w:r w:rsidR="005B4D59">
        <w:rPr>
          <w:rFonts w:eastAsiaTheme="minorHAnsi" w:cstheme="minorBidi"/>
          <w:sz w:val="20"/>
          <w:szCs w:val="20"/>
          <w:lang w:val="es-AR" w:eastAsia="en-US"/>
        </w:rPr>
        <w:t>“</w:t>
      </w:r>
      <w:r w:rsidRPr="002570D1">
        <w:rPr>
          <w:rFonts w:eastAsiaTheme="minorHAnsi" w:cstheme="minorBidi"/>
          <w:sz w:val="20"/>
          <w:szCs w:val="20"/>
          <w:lang w:val="es-AR" w:eastAsia="en-US"/>
        </w:rPr>
        <w:t>que considera importante que sin perjuicio de la información que ha aportado el Estado sobre avances más recientes en materia de protección de derechos económicos, sociales y culturales en Chile, la Corte realice las determinaciones que correspondan en relación con el momento en que tuvieron lugar los hechos y las violaciones específicas identificadas en el presente caso</w:t>
      </w:r>
      <w:r w:rsidR="005B4D59">
        <w:rPr>
          <w:rFonts w:eastAsiaTheme="minorHAnsi" w:cstheme="minorBidi"/>
          <w:sz w:val="20"/>
          <w:szCs w:val="20"/>
          <w:lang w:val="es-AR" w:eastAsia="en-US"/>
        </w:rPr>
        <w:t>”</w:t>
      </w:r>
      <w:r w:rsidR="00353A88">
        <w:rPr>
          <w:rFonts w:eastAsiaTheme="minorHAnsi" w:cstheme="minorBidi"/>
          <w:sz w:val="20"/>
          <w:szCs w:val="20"/>
          <w:lang w:val="es-AR" w:eastAsia="en-US"/>
        </w:rPr>
        <w:t xml:space="preserve">. </w:t>
      </w:r>
      <w:r w:rsidRPr="002570D1">
        <w:rPr>
          <w:rFonts w:eastAsiaTheme="minorHAnsi" w:cstheme="minorBidi"/>
          <w:sz w:val="20"/>
          <w:szCs w:val="20"/>
          <w:lang w:val="es-AR" w:eastAsia="en-US"/>
        </w:rPr>
        <w:t xml:space="preserve">Manifestó que </w:t>
      </w:r>
      <w:r w:rsidR="002C11BA">
        <w:rPr>
          <w:rFonts w:eastAsiaTheme="minorHAnsi" w:cstheme="minorBidi"/>
          <w:sz w:val="20"/>
          <w:szCs w:val="20"/>
          <w:lang w:val="es-AR" w:eastAsia="en-US"/>
        </w:rPr>
        <w:t xml:space="preserve">se trata de </w:t>
      </w:r>
      <w:r w:rsidRPr="002570D1">
        <w:rPr>
          <w:rFonts w:eastAsiaTheme="minorHAnsi" w:cstheme="minorBidi"/>
          <w:sz w:val="20"/>
          <w:szCs w:val="20"/>
          <w:lang w:val="es-AR" w:eastAsia="en-US"/>
        </w:rPr>
        <w:t xml:space="preserve">una oportunidad para abordar supuestos de responsabilidad estatal </w:t>
      </w:r>
      <w:r w:rsidRPr="002570D1">
        <w:rPr>
          <w:rFonts w:eastAsiaTheme="minorHAnsi" w:cstheme="minorBidi"/>
          <w:sz w:val="20"/>
          <w:szCs w:val="20"/>
          <w:lang w:val="es-AR" w:eastAsia="en-US"/>
        </w:rPr>
        <w:lastRenderedPageBreak/>
        <w:t xml:space="preserve">derivados de deficiencias estructurales en hospitales públicos. Asimismo, la Comisión </w:t>
      </w:r>
      <w:r w:rsidR="00353A88">
        <w:rPr>
          <w:rFonts w:eastAsiaTheme="minorHAnsi" w:cstheme="minorBidi"/>
          <w:sz w:val="20"/>
          <w:szCs w:val="20"/>
          <w:lang w:val="es-AR" w:eastAsia="en-US"/>
        </w:rPr>
        <w:t xml:space="preserve">expresó </w:t>
      </w:r>
      <w:r w:rsidRPr="002570D1">
        <w:rPr>
          <w:rFonts w:eastAsiaTheme="minorHAnsi" w:cstheme="minorBidi"/>
          <w:sz w:val="20"/>
          <w:szCs w:val="20"/>
          <w:lang w:val="es-AR" w:eastAsia="en-US"/>
        </w:rPr>
        <w:t>que el caso plantea la posibilidad de analizar situaciones particulares de vulnerabilidad en el acceso al derecho a la salud y al sistema de salud pública, específicamente en relación con las personas adultas mayores y también las consideraciones sobre la</w:t>
      </w:r>
      <w:r w:rsidR="002C11BA">
        <w:rPr>
          <w:rFonts w:eastAsiaTheme="minorHAnsi" w:cstheme="minorBidi"/>
          <w:sz w:val="20"/>
          <w:szCs w:val="20"/>
          <w:lang w:val="es-AR" w:eastAsia="en-US"/>
        </w:rPr>
        <w:t xml:space="preserve"> protección adecuada de los</w:t>
      </w:r>
      <w:r w:rsidRPr="002570D1">
        <w:rPr>
          <w:rFonts w:eastAsiaTheme="minorHAnsi" w:cstheme="minorBidi"/>
          <w:sz w:val="20"/>
          <w:szCs w:val="20"/>
          <w:lang w:val="es-AR" w:eastAsia="en-US"/>
        </w:rPr>
        <w:t xml:space="preserve"> derechos de las personas en situación</w:t>
      </w:r>
      <w:r w:rsidR="002C11BA">
        <w:rPr>
          <w:rFonts w:eastAsiaTheme="minorHAnsi" w:cstheme="minorBidi"/>
          <w:sz w:val="20"/>
          <w:szCs w:val="20"/>
          <w:lang w:val="es-AR" w:eastAsia="en-US"/>
        </w:rPr>
        <w:t xml:space="preserve"> de pobreza</w:t>
      </w:r>
      <w:r w:rsidRPr="002570D1">
        <w:rPr>
          <w:rFonts w:eastAsiaTheme="minorHAnsi" w:cstheme="minorBidi"/>
          <w:sz w:val="20"/>
          <w:szCs w:val="20"/>
          <w:lang w:val="es-AR" w:eastAsia="en-US"/>
        </w:rPr>
        <w:t>, y la aplicación del principio de igualdad y no discriminación</w:t>
      </w:r>
      <w:r w:rsidRPr="00B1523A">
        <w:rPr>
          <w:rFonts w:eastAsiaTheme="minorHAnsi" w:cstheme="minorBidi"/>
          <w:sz w:val="20"/>
          <w:szCs w:val="20"/>
          <w:lang w:val="es-AR" w:eastAsia="en-US"/>
        </w:rPr>
        <w:t>.</w:t>
      </w:r>
      <w:r w:rsidRPr="002570D1">
        <w:rPr>
          <w:rFonts w:eastAsiaTheme="minorHAnsi" w:cstheme="minorBidi"/>
          <w:b/>
          <w:sz w:val="20"/>
          <w:szCs w:val="20"/>
          <w:lang w:val="es-AR" w:eastAsia="en-US"/>
        </w:rPr>
        <w:t xml:space="preserve"> </w:t>
      </w:r>
    </w:p>
    <w:p w14:paraId="4FAF4C3F" w14:textId="77777777" w:rsidR="002570D1" w:rsidRPr="002570D1" w:rsidRDefault="002570D1" w:rsidP="002570D1">
      <w:pPr>
        <w:ind w:right="-360"/>
        <w:rPr>
          <w:rFonts w:eastAsiaTheme="minorHAnsi" w:cstheme="minorBidi"/>
          <w:b/>
          <w:sz w:val="20"/>
          <w:szCs w:val="20"/>
          <w:lang w:val="es-AR" w:eastAsia="en-US"/>
        </w:rPr>
      </w:pPr>
    </w:p>
    <w:p w14:paraId="130CE4A2" w14:textId="412D476D" w:rsidR="002570D1" w:rsidRPr="002570D1" w:rsidRDefault="002570D1" w:rsidP="002570D1">
      <w:pPr>
        <w:numPr>
          <w:ilvl w:val="0"/>
          <w:numId w:val="2"/>
        </w:numPr>
        <w:tabs>
          <w:tab w:val="left" w:pos="567"/>
          <w:tab w:val="num" w:pos="1569"/>
          <w:tab w:val="num" w:pos="12305"/>
        </w:tabs>
        <w:ind w:left="0" w:firstLine="0"/>
        <w:rPr>
          <w:rFonts w:eastAsiaTheme="minorHAnsi" w:cstheme="minorBidi"/>
          <w:b/>
          <w:sz w:val="20"/>
          <w:szCs w:val="20"/>
          <w:lang w:val="es-AR" w:eastAsia="en-US"/>
        </w:rPr>
      </w:pPr>
      <w:r w:rsidRPr="002570D1">
        <w:rPr>
          <w:rFonts w:eastAsiaTheme="minorHAnsi" w:cstheme="minorBidi"/>
          <w:sz w:val="20"/>
          <w:szCs w:val="20"/>
          <w:lang w:val="es-AR" w:eastAsia="en-US"/>
        </w:rPr>
        <w:t xml:space="preserve">Las </w:t>
      </w:r>
      <w:r w:rsidR="0017482E">
        <w:rPr>
          <w:rFonts w:eastAsiaTheme="minorHAnsi" w:cstheme="minorBidi"/>
          <w:b/>
          <w:i/>
          <w:sz w:val="20"/>
          <w:szCs w:val="20"/>
          <w:lang w:val="es-AR" w:eastAsia="en-US"/>
        </w:rPr>
        <w:t>r</w:t>
      </w:r>
      <w:r w:rsidRPr="002570D1">
        <w:rPr>
          <w:rFonts w:eastAsiaTheme="minorHAnsi" w:cstheme="minorBidi"/>
          <w:b/>
          <w:i/>
          <w:sz w:val="20"/>
          <w:szCs w:val="20"/>
          <w:lang w:val="es-AR" w:eastAsia="en-US"/>
        </w:rPr>
        <w:t>epresentantes</w:t>
      </w:r>
      <w:r w:rsidRPr="002570D1">
        <w:rPr>
          <w:rFonts w:eastAsiaTheme="minorHAnsi" w:cstheme="minorBidi"/>
          <w:b/>
          <w:sz w:val="20"/>
          <w:szCs w:val="20"/>
          <w:lang w:val="es-AR" w:eastAsia="en-US"/>
        </w:rPr>
        <w:t xml:space="preserve"> </w:t>
      </w:r>
      <w:r w:rsidRPr="002570D1">
        <w:rPr>
          <w:rFonts w:eastAsiaTheme="minorHAnsi" w:cstheme="minorBidi"/>
          <w:sz w:val="20"/>
          <w:szCs w:val="20"/>
          <w:lang w:val="es-AR" w:eastAsia="en-US"/>
        </w:rPr>
        <w:t>alegaron que el Estado violó el derecho a la salud y el derecho a la seguridad social, previstos en el artículo 26 de la Convención, de forma autónoma</w:t>
      </w:r>
      <w:r w:rsidRPr="00B1523A">
        <w:rPr>
          <w:rFonts w:eastAsiaTheme="minorHAnsi" w:cstheme="minorBidi"/>
          <w:sz w:val="20"/>
          <w:szCs w:val="20"/>
          <w:lang w:val="es-AR" w:eastAsia="en-US"/>
        </w:rPr>
        <w:t>.</w:t>
      </w:r>
      <w:r w:rsidRPr="002570D1">
        <w:rPr>
          <w:rFonts w:eastAsiaTheme="minorHAnsi" w:cstheme="minorBidi"/>
          <w:b/>
          <w:sz w:val="20"/>
          <w:szCs w:val="20"/>
          <w:lang w:val="es-AR" w:eastAsia="en-US"/>
        </w:rPr>
        <w:t xml:space="preserve"> </w:t>
      </w:r>
      <w:r w:rsidRPr="002570D1">
        <w:rPr>
          <w:rFonts w:eastAsiaTheme="minorHAnsi" w:cstheme="minorBidi"/>
          <w:sz w:val="20"/>
          <w:szCs w:val="20"/>
          <w:lang w:val="es-AR" w:eastAsia="en-US"/>
        </w:rPr>
        <w:t xml:space="preserve">Respecto a la </w:t>
      </w:r>
      <w:proofErr w:type="spellStart"/>
      <w:r w:rsidRPr="002570D1">
        <w:rPr>
          <w:rFonts w:eastAsiaTheme="minorHAnsi" w:cstheme="minorBidi"/>
          <w:sz w:val="20"/>
          <w:szCs w:val="20"/>
          <w:lang w:val="es-AR" w:eastAsia="en-US"/>
        </w:rPr>
        <w:t>justiciabilidad</w:t>
      </w:r>
      <w:proofErr w:type="spellEnd"/>
      <w:r w:rsidRPr="002570D1">
        <w:rPr>
          <w:rFonts w:eastAsiaTheme="minorHAnsi" w:cstheme="minorBidi"/>
          <w:sz w:val="20"/>
          <w:szCs w:val="20"/>
          <w:lang w:val="es-AR" w:eastAsia="en-US"/>
        </w:rPr>
        <w:t xml:space="preserve"> directa de los DESC</w:t>
      </w:r>
      <w:r w:rsidR="00713D68">
        <w:rPr>
          <w:rFonts w:eastAsiaTheme="minorHAnsi" w:cstheme="minorBidi"/>
          <w:sz w:val="20"/>
          <w:szCs w:val="20"/>
          <w:lang w:val="es-AR" w:eastAsia="en-US"/>
        </w:rPr>
        <w:t>A</w:t>
      </w:r>
      <w:r w:rsidR="00847ED2">
        <w:rPr>
          <w:rFonts w:eastAsiaTheme="minorHAnsi" w:cstheme="minorBidi"/>
          <w:sz w:val="20"/>
          <w:szCs w:val="20"/>
          <w:lang w:val="es-AR" w:eastAsia="en-US"/>
        </w:rPr>
        <w:t>,</w:t>
      </w:r>
      <w:r w:rsidRPr="002570D1">
        <w:rPr>
          <w:rFonts w:eastAsiaTheme="minorHAnsi" w:cstheme="minorBidi"/>
          <w:sz w:val="20"/>
          <w:szCs w:val="20"/>
          <w:lang w:val="es-AR" w:eastAsia="en-US"/>
        </w:rPr>
        <w:t xml:space="preserve"> hicieron alusión al precedente en </w:t>
      </w:r>
      <w:r w:rsidR="0017482E">
        <w:rPr>
          <w:rFonts w:eastAsiaTheme="minorHAnsi" w:cstheme="minorBidi"/>
          <w:sz w:val="20"/>
          <w:szCs w:val="20"/>
          <w:lang w:val="es-AR" w:eastAsia="en-US"/>
        </w:rPr>
        <w:t>el caso</w:t>
      </w:r>
      <w:r w:rsidRPr="002570D1">
        <w:rPr>
          <w:rFonts w:eastAsiaTheme="minorHAnsi" w:cstheme="minorBidi"/>
          <w:sz w:val="20"/>
          <w:szCs w:val="20"/>
          <w:lang w:val="es-AR" w:eastAsia="en-US"/>
        </w:rPr>
        <w:t xml:space="preserve"> </w:t>
      </w:r>
      <w:r w:rsidRPr="002570D1">
        <w:rPr>
          <w:rFonts w:eastAsiaTheme="minorHAnsi" w:cstheme="minorBidi"/>
          <w:i/>
          <w:sz w:val="20"/>
          <w:szCs w:val="20"/>
          <w:lang w:val="es-AR" w:eastAsia="en-US"/>
        </w:rPr>
        <w:t>Lagos del Campo Vs. Perú</w:t>
      </w:r>
      <w:r w:rsidRPr="002570D1">
        <w:rPr>
          <w:rFonts w:eastAsiaTheme="minorHAnsi" w:cstheme="minorBidi"/>
          <w:sz w:val="20"/>
          <w:szCs w:val="20"/>
          <w:lang w:val="es-AR" w:eastAsia="en-US"/>
        </w:rPr>
        <w:t xml:space="preserve">, en el que por primera vez se declaró la violación autónoma del artículo 26 de la Convención Americana, por lo que entendieron que lo mismo debía suceder en este </w:t>
      </w:r>
      <w:r w:rsidR="00202430">
        <w:rPr>
          <w:rFonts w:eastAsiaTheme="minorHAnsi" w:cstheme="minorBidi"/>
          <w:sz w:val="20"/>
          <w:szCs w:val="20"/>
          <w:lang w:val="es-AR" w:eastAsia="en-US"/>
        </w:rPr>
        <w:t>c</w:t>
      </w:r>
      <w:r w:rsidRPr="002570D1">
        <w:rPr>
          <w:rFonts w:eastAsiaTheme="minorHAnsi" w:cstheme="minorBidi"/>
          <w:sz w:val="20"/>
          <w:szCs w:val="20"/>
          <w:lang w:val="es-AR" w:eastAsia="en-US"/>
        </w:rPr>
        <w:t>aso. Respecto a las obligaciones estatales, las representantes argumentaron que “algunas facetas [son] de cumplimiento inmediato por tratarse de acciones simples a cargo del [E]</w:t>
      </w:r>
      <w:proofErr w:type="spellStart"/>
      <w:r w:rsidRPr="002570D1">
        <w:rPr>
          <w:rFonts w:eastAsiaTheme="minorHAnsi" w:cstheme="minorBidi"/>
          <w:sz w:val="20"/>
          <w:szCs w:val="20"/>
          <w:lang w:val="es-AR" w:eastAsia="en-US"/>
        </w:rPr>
        <w:t>stado</w:t>
      </w:r>
      <w:proofErr w:type="spellEnd"/>
      <w:r w:rsidRPr="002570D1">
        <w:rPr>
          <w:rFonts w:eastAsiaTheme="minorHAnsi" w:cstheme="minorBidi"/>
          <w:sz w:val="20"/>
          <w:szCs w:val="20"/>
          <w:lang w:val="es-AR" w:eastAsia="en-US"/>
        </w:rPr>
        <w:t xml:space="preserve"> que no requieren mayores recursos”. Igualmente argumentaron que el carácter de progresividad de los DESC</w:t>
      </w:r>
      <w:r w:rsidR="00713D68">
        <w:rPr>
          <w:rFonts w:eastAsiaTheme="minorHAnsi" w:cstheme="minorBidi"/>
          <w:sz w:val="20"/>
          <w:szCs w:val="20"/>
          <w:lang w:val="es-AR" w:eastAsia="en-US"/>
        </w:rPr>
        <w:t>A</w:t>
      </w:r>
      <w:r w:rsidRPr="002570D1">
        <w:rPr>
          <w:rFonts w:eastAsiaTheme="minorHAnsi" w:cstheme="minorBidi"/>
          <w:sz w:val="20"/>
          <w:szCs w:val="20"/>
          <w:lang w:val="es-AR" w:eastAsia="en-US"/>
        </w:rPr>
        <w:t xml:space="preserve"> no significa que éstos “no sean exigibles o que puedan eternamente incumplirse”.</w:t>
      </w:r>
    </w:p>
    <w:p w14:paraId="70ABD9DD" w14:textId="77777777" w:rsidR="002570D1" w:rsidRPr="002570D1" w:rsidRDefault="002570D1" w:rsidP="002570D1">
      <w:pPr>
        <w:ind w:right="-360"/>
        <w:rPr>
          <w:rFonts w:eastAsiaTheme="minorHAnsi" w:cstheme="minorBidi"/>
          <w:b/>
          <w:sz w:val="20"/>
          <w:szCs w:val="20"/>
          <w:lang w:val="es-AR" w:eastAsia="en-US"/>
        </w:rPr>
      </w:pPr>
    </w:p>
    <w:p w14:paraId="0BD1EA46" w14:textId="6ECF52B6" w:rsidR="002570D1" w:rsidRPr="002570D1" w:rsidRDefault="002570D1" w:rsidP="002570D1">
      <w:pPr>
        <w:numPr>
          <w:ilvl w:val="0"/>
          <w:numId w:val="2"/>
        </w:numPr>
        <w:tabs>
          <w:tab w:val="left" w:pos="567"/>
          <w:tab w:val="num" w:pos="1569"/>
          <w:tab w:val="num" w:pos="12305"/>
        </w:tabs>
        <w:ind w:left="0" w:firstLine="0"/>
        <w:rPr>
          <w:rFonts w:eastAsiaTheme="minorHAnsi" w:cstheme="minorBidi"/>
          <w:b/>
          <w:sz w:val="20"/>
          <w:szCs w:val="20"/>
          <w:lang w:val="es-AR" w:eastAsia="en-US"/>
        </w:rPr>
      </w:pPr>
      <w:r w:rsidRPr="002570D1">
        <w:rPr>
          <w:rFonts w:eastAsiaTheme="minorHAnsi" w:cstheme="minorBidi"/>
          <w:sz w:val="20"/>
          <w:szCs w:val="20"/>
          <w:lang w:val="es-AR" w:eastAsia="en-US"/>
        </w:rPr>
        <w:t xml:space="preserve">Las </w:t>
      </w:r>
      <w:r w:rsidRPr="00B1523A">
        <w:rPr>
          <w:rFonts w:eastAsiaTheme="minorHAnsi" w:cstheme="minorBidi"/>
          <w:i/>
          <w:sz w:val="20"/>
          <w:szCs w:val="20"/>
          <w:lang w:val="es-AR" w:eastAsia="en-US"/>
        </w:rPr>
        <w:t>representantes</w:t>
      </w:r>
      <w:r w:rsidRPr="007143B1">
        <w:rPr>
          <w:rFonts w:eastAsiaTheme="minorHAnsi" w:cstheme="minorBidi"/>
          <w:sz w:val="20"/>
          <w:szCs w:val="20"/>
          <w:lang w:val="es-AR" w:eastAsia="en-US"/>
        </w:rPr>
        <w:t xml:space="preserve"> </w:t>
      </w:r>
      <w:r w:rsidRPr="002570D1">
        <w:rPr>
          <w:rFonts w:eastAsiaTheme="minorHAnsi" w:cstheme="minorBidi"/>
          <w:sz w:val="20"/>
          <w:szCs w:val="20"/>
          <w:lang w:val="es-AR" w:eastAsia="en-US"/>
        </w:rPr>
        <w:t xml:space="preserve">resaltaron que el señor Poblete Vilches era un adulto mayor “con patologías agregadas que hacían de su [situación] un caso que requería atención pronta y oportuna”. Al no proporcionar tratamiento adecuado, “el Estado de Chile falló en brindar la asistencia de salud mínima requerida que </w:t>
      </w:r>
      <w:proofErr w:type="gramStart"/>
      <w:r w:rsidRPr="002570D1">
        <w:rPr>
          <w:rFonts w:eastAsiaTheme="minorHAnsi" w:cstheme="minorBidi"/>
          <w:sz w:val="20"/>
          <w:szCs w:val="20"/>
          <w:lang w:val="es-AR" w:eastAsia="en-US"/>
        </w:rPr>
        <w:t>resulta[</w:t>
      </w:r>
      <w:proofErr w:type="spellStart"/>
      <w:proofErr w:type="gramEnd"/>
      <w:r w:rsidRPr="002570D1">
        <w:rPr>
          <w:rFonts w:eastAsiaTheme="minorHAnsi" w:cstheme="minorBidi"/>
          <w:sz w:val="20"/>
          <w:szCs w:val="20"/>
          <w:lang w:val="es-AR" w:eastAsia="en-US"/>
        </w:rPr>
        <w:t>ba</w:t>
      </w:r>
      <w:proofErr w:type="spellEnd"/>
      <w:r w:rsidRPr="002570D1">
        <w:rPr>
          <w:rFonts w:eastAsiaTheme="minorHAnsi" w:cstheme="minorBidi"/>
          <w:sz w:val="20"/>
          <w:szCs w:val="20"/>
          <w:lang w:val="es-AR" w:eastAsia="en-US"/>
        </w:rPr>
        <w:t xml:space="preserve">] exigible de manera inmediata”. Agregaron que </w:t>
      </w:r>
      <w:r w:rsidR="005F1B06">
        <w:rPr>
          <w:rFonts w:eastAsiaTheme="minorHAnsi" w:cstheme="minorBidi"/>
          <w:sz w:val="20"/>
          <w:szCs w:val="20"/>
          <w:lang w:val="es-AR" w:eastAsia="en-US"/>
        </w:rPr>
        <w:t>“[</w:t>
      </w:r>
      <w:r w:rsidRPr="002570D1">
        <w:rPr>
          <w:rFonts w:eastAsiaTheme="minorHAnsi" w:cstheme="minorBidi"/>
          <w:sz w:val="20"/>
          <w:szCs w:val="20"/>
          <w:lang w:val="es-AR" w:eastAsia="en-US"/>
        </w:rPr>
        <w:t>n</w:t>
      </w:r>
      <w:r w:rsidR="005F1B06">
        <w:rPr>
          <w:rFonts w:eastAsiaTheme="minorHAnsi" w:cstheme="minorBidi"/>
          <w:sz w:val="20"/>
          <w:szCs w:val="20"/>
          <w:lang w:val="es-AR" w:eastAsia="en-US"/>
        </w:rPr>
        <w:t>]</w:t>
      </w:r>
      <w:r w:rsidRPr="002570D1">
        <w:rPr>
          <w:rFonts w:eastAsiaTheme="minorHAnsi" w:cstheme="minorBidi"/>
          <w:sz w:val="20"/>
          <w:szCs w:val="20"/>
          <w:lang w:val="es-AR" w:eastAsia="en-US"/>
        </w:rPr>
        <w:t>o es posible entonces aquí discutir la progresividad del derecho a la salud</w:t>
      </w:r>
      <w:r w:rsidR="005F1B06">
        <w:rPr>
          <w:rFonts w:eastAsiaTheme="minorHAnsi" w:cstheme="minorBidi"/>
          <w:sz w:val="20"/>
          <w:szCs w:val="20"/>
          <w:lang w:val="es-AR" w:eastAsia="en-US"/>
        </w:rPr>
        <w:t>”</w:t>
      </w:r>
      <w:r w:rsidRPr="002570D1">
        <w:rPr>
          <w:rFonts w:eastAsiaTheme="minorHAnsi" w:cstheme="minorBidi"/>
          <w:sz w:val="20"/>
          <w:szCs w:val="20"/>
          <w:lang w:val="es-AR" w:eastAsia="en-US"/>
        </w:rPr>
        <w:t xml:space="preserve">. </w:t>
      </w:r>
      <w:r w:rsidRPr="004D2BDB">
        <w:rPr>
          <w:rFonts w:eastAsiaTheme="minorHAnsi" w:cstheme="minorBidi"/>
          <w:sz w:val="20"/>
          <w:szCs w:val="20"/>
          <w:lang w:val="es-AR" w:eastAsia="en-US"/>
        </w:rPr>
        <w:t xml:space="preserve">Asimismo, resaltaron que </w:t>
      </w:r>
      <w:r w:rsidR="00202430" w:rsidRPr="00D315EA">
        <w:rPr>
          <w:rFonts w:eastAsiaTheme="minorHAnsi" w:cstheme="minorBidi"/>
          <w:sz w:val="20"/>
          <w:szCs w:val="20"/>
          <w:lang w:val="es-AR" w:eastAsia="en-US"/>
        </w:rPr>
        <w:t>e</w:t>
      </w:r>
      <w:r w:rsidRPr="00D315EA">
        <w:rPr>
          <w:rFonts w:eastAsiaTheme="minorHAnsi" w:cstheme="minorBidi"/>
          <w:sz w:val="20"/>
          <w:szCs w:val="20"/>
          <w:lang w:val="es-AR" w:eastAsia="en-US"/>
        </w:rPr>
        <w:t xml:space="preserve">l Estado </w:t>
      </w:r>
      <w:r w:rsidR="008C0049">
        <w:rPr>
          <w:rFonts w:eastAsiaTheme="minorHAnsi" w:cstheme="minorBidi"/>
          <w:sz w:val="20"/>
          <w:szCs w:val="20"/>
          <w:lang w:val="es-AR" w:eastAsia="en-US"/>
        </w:rPr>
        <w:t>“</w:t>
      </w:r>
      <w:r w:rsidRPr="00D315EA">
        <w:rPr>
          <w:rFonts w:eastAsiaTheme="minorHAnsi" w:cstheme="minorBidi"/>
          <w:sz w:val="20"/>
          <w:szCs w:val="20"/>
          <w:lang w:val="es-AR" w:eastAsia="en-US"/>
        </w:rPr>
        <w:t>ha abundado en detalles sobre las diferentes políticas implementadas y medidas adoptadas en pos de mejorar su sistema público de salud</w:t>
      </w:r>
      <w:r w:rsidR="008C0049">
        <w:rPr>
          <w:rFonts w:eastAsiaTheme="minorHAnsi" w:cstheme="minorBidi"/>
          <w:sz w:val="20"/>
          <w:szCs w:val="20"/>
          <w:lang w:val="es-AR" w:eastAsia="en-US"/>
        </w:rPr>
        <w:t>”</w:t>
      </w:r>
      <w:r w:rsidR="00202430" w:rsidRPr="005A39DD">
        <w:rPr>
          <w:rFonts w:eastAsiaTheme="minorHAnsi" w:cstheme="minorBidi"/>
          <w:sz w:val="20"/>
          <w:szCs w:val="20"/>
          <w:lang w:val="es-AR" w:eastAsia="en-US"/>
        </w:rPr>
        <w:t xml:space="preserve">, sin embargo éste </w:t>
      </w:r>
      <w:r w:rsidR="008C0049">
        <w:rPr>
          <w:rFonts w:eastAsiaTheme="minorHAnsi" w:cstheme="minorBidi"/>
          <w:sz w:val="20"/>
          <w:szCs w:val="20"/>
          <w:lang w:val="es-AR" w:eastAsia="en-US"/>
        </w:rPr>
        <w:t>“</w:t>
      </w:r>
      <w:r w:rsidRPr="008B0574">
        <w:rPr>
          <w:rFonts w:eastAsiaTheme="minorHAnsi" w:cstheme="minorBidi"/>
          <w:sz w:val="20"/>
          <w:szCs w:val="20"/>
          <w:lang w:val="es-AR" w:eastAsia="en-US"/>
        </w:rPr>
        <w:t>se limitó a ofrecer un menú de decisiones políticas desarrolladas en los últimos años sin demostrar el impacto real y efectivo que pudieran haber tenido en las poblaciones más vulnerables</w:t>
      </w:r>
      <w:r w:rsidR="008C0049">
        <w:rPr>
          <w:rFonts w:eastAsiaTheme="minorHAnsi" w:cstheme="minorBidi"/>
          <w:sz w:val="20"/>
          <w:szCs w:val="20"/>
          <w:lang w:val="es-AR" w:eastAsia="en-US"/>
        </w:rPr>
        <w:t>”</w:t>
      </w:r>
      <w:r w:rsidRPr="008B0574">
        <w:rPr>
          <w:rFonts w:eastAsiaTheme="minorHAnsi" w:cstheme="minorBidi"/>
          <w:sz w:val="20"/>
          <w:szCs w:val="20"/>
          <w:lang w:val="es-AR" w:eastAsia="en-US"/>
        </w:rPr>
        <w:t>.</w:t>
      </w:r>
      <w:r w:rsidRPr="002570D1">
        <w:rPr>
          <w:rFonts w:eastAsiaTheme="minorHAnsi" w:cstheme="minorBidi"/>
          <w:b/>
          <w:sz w:val="20"/>
          <w:szCs w:val="20"/>
          <w:lang w:val="es-AR" w:eastAsia="en-US"/>
        </w:rPr>
        <w:t xml:space="preserve"> </w:t>
      </w:r>
    </w:p>
    <w:p w14:paraId="0F1543FE" w14:textId="77777777" w:rsidR="002570D1" w:rsidRPr="002570D1" w:rsidRDefault="002570D1" w:rsidP="002570D1">
      <w:pPr>
        <w:ind w:left="-90" w:right="-360"/>
        <w:contextualSpacing/>
        <w:rPr>
          <w:rFonts w:eastAsiaTheme="minorHAnsi" w:cstheme="minorBidi"/>
          <w:b/>
          <w:sz w:val="20"/>
          <w:szCs w:val="20"/>
          <w:lang w:val="es-AR" w:eastAsia="en-US"/>
        </w:rPr>
      </w:pPr>
    </w:p>
    <w:p w14:paraId="3DDE2278" w14:textId="5DD73EC7" w:rsidR="002570D1" w:rsidRPr="002570D1" w:rsidRDefault="002570D1" w:rsidP="002570D1">
      <w:pPr>
        <w:numPr>
          <w:ilvl w:val="0"/>
          <w:numId w:val="2"/>
        </w:numPr>
        <w:tabs>
          <w:tab w:val="left" w:pos="567"/>
          <w:tab w:val="num" w:pos="1569"/>
          <w:tab w:val="num" w:pos="12305"/>
        </w:tabs>
        <w:ind w:left="0" w:firstLine="0"/>
        <w:rPr>
          <w:rFonts w:eastAsiaTheme="minorHAnsi" w:cstheme="minorBidi"/>
          <w:sz w:val="20"/>
          <w:szCs w:val="20"/>
          <w:lang w:val="es-AR" w:eastAsia="en-US"/>
        </w:rPr>
      </w:pPr>
      <w:r w:rsidRPr="002570D1">
        <w:rPr>
          <w:rFonts w:eastAsiaTheme="minorHAnsi" w:cstheme="minorBidi"/>
          <w:sz w:val="20"/>
          <w:szCs w:val="20"/>
          <w:lang w:val="es-AR" w:eastAsia="en-US"/>
        </w:rPr>
        <w:t>Por su parte</w:t>
      </w:r>
      <w:r w:rsidR="00055759">
        <w:rPr>
          <w:rFonts w:eastAsiaTheme="minorHAnsi" w:cstheme="minorBidi"/>
          <w:sz w:val="20"/>
          <w:szCs w:val="20"/>
          <w:lang w:val="es-AR" w:eastAsia="en-US"/>
        </w:rPr>
        <w:t>,</w:t>
      </w:r>
      <w:r w:rsidRPr="002570D1">
        <w:rPr>
          <w:rFonts w:eastAsiaTheme="minorHAnsi" w:cstheme="minorBidi"/>
          <w:sz w:val="20"/>
          <w:szCs w:val="20"/>
          <w:lang w:val="es-AR" w:eastAsia="en-US"/>
        </w:rPr>
        <w:t xml:space="preserve"> </w:t>
      </w:r>
      <w:r w:rsidR="00A20D88">
        <w:rPr>
          <w:rFonts w:eastAsiaTheme="minorHAnsi" w:cstheme="minorBidi"/>
          <w:sz w:val="20"/>
          <w:szCs w:val="20"/>
          <w:lang w:val="es-AR" w:eastAsia="en-US"/>
        </w:rPr>
        <w:t xml:space="preserve">si bien el </w:t>
      </w:r>
      <w:r w:rsidR="00A20D88" w:rsidRPr="0059117C">
        <w:rPr>
          <w:rFonts w:eastAsiaTheme="minorHAnsi" w:cstheme="minorBidi"/>
          <w:b/>
          <w:i/>
          <w:sz w:val="20"/>
          <w:szCs w:val="20"/>
          <w:lang w:val="es-AR" w:eastAsia="en-US"/>
        </w:rPr>
        <w:t>Estado</w:t>
      </w:r>
      <w:r w:rsidR="00A20D88">
        <w:rPr>
          <w:rFonts w:eastAsiaTheme="minorHAnsi" w:cstheme="minorBidi"/>
          <w:sz w:val="20"/>
          <w:szCs w:val="20"/>
          <w:lang w:val="es-AR" w:eastAsia="en-US"/>
        </w:rPr>
        <w:t xml:space="preserve"> mencionó el derecho a la salud en su reconocimiento, c</w:t>
      </w:r>
      <w:r w:rsidRPr="002570D1">
        <w:rPr>
          <w:rFonts w:eastAsiaTheme="minorHAnsi" w:cstheme="minorBidi"/>
          <w:sz w:val="20"/>
          <w:szCs w:val="20"/>
          <w:lang w:val="es-AR" w:eastAsia="en-US"/>
        </w:rPr>
        <w:t xml:space="preserve">onsideró que no hubo violación al artículo 26 de la </w:t>
      </w:r>
      <w:r w:rsidR="00055759">
        <w:rPr>
          <w:rFonts w:eastAsiaTheme="minorHAnsi" w:cstheme="minorBidi"/>
          <w:sz w:val="20"/>
          <w:szCs w:val="20"/>
          <w:lang w:val="es-AR" w:eastAsia="en-US"/>
        </w:rPr>
        <w:t>Convención</w:t>
      </w:r>
      <w:r w:rsidRPr="002570D1">
        <w:rPr>
          <w:rFonts w:eastAsiaTheme="minorHAnsi" w:cstheme="minorBidi"/>
          <w:sz w:val="20"/>
          <w:szCs w:val="20"/>
          <w:lang w:val="es-AR" w:eastAsia="en-US"/>
        </w:rPr>
        <w:t>, ya que no se puede probar el incumplimiento de la obligación de adoptar medidas para el desarrollo progresivo del derecho a la salud y el derecho a la seguridad social. Para probar el cumplimiento de su deber el Estado enumeró diferentes programas, leyes y medidas administrativas y financieras que desde hace años ha implementado.</w:t>
      </w:r>
      <w:r w:rsidR="00AF621D">
        <w:rPr>
          <w:rFonts w:eastAsiaTheme="minorHAnsi" w:cstheme="minorBidi"/>
          <w:sz w:val="20"/>
          <w:szCs w:val="20"/>
          <w:lang w:val="es-AR" w:eastAsia="en-US"/>
        </w:rPr>
        <w:t xml:space="preserve"> As</w:t>
      </w:r>
      <w:r w:rsidR="00A20D88">
        <w:rPr>
          <w:rFonts w:eastAsiaTheme="minorHAnsi" w:cstheme="minorBidi"/>
          <w:sz w:val="20"/>
          <w:szCs w:val="20"/>
          <w:lang w:val="es-AR" w:eastAsia="en-US"/>
        </w:rPr>
        <w:t>i</w:t>
      </w:r>
      <w:r w:rsidR="00AF621D">
        <w:rPr>
          <w:rFonts w:eastAsiaTheme="minorHAnsi" w:cstheme="minorBidi"/>
          <w:sz w:val="20"/>
          <w:szCs w:val="20"/>
          <w:lang w:val="es-AR" w:eastAsia="en-US"/>
        </w:rPr>
        <w:t>mismo</w:t>
      </w:r>
      <w:r w:rsidR="00713D68">
        <w:rPr>
          <w:rFonts w:eastAsiaTheme="minorHAnsi" w:cstheme="minorBidi"/>
          <w:sz w:val="20"/>
          <w:szCs w:val="20"/>
          <w:lang w:val="es-AR" w:eastAsia="en-US"/>
        </w:rPr>
        <w:t>, en sus alegatos finales</w:t>
      </w:r>
      <w:r w:rsidR="00AF621D">
        <w:rPr>
          <w:rFonts w:eastAsiaTheme="minorHAnsi" w:cstheme="minorBidi"/>
          <w:sz w:val="20"/>
          <w:szCs w:val="20"/>
          <w:lang w:val="es-AR" w:eastAsia="en-US"/>
        </w:rPr>
        <w:t xml:space="preserve"> indicó </w:t>
      </w:r>
      <w:r w:rsidR="00713D68">
        <w:rPr>
          <w:rFonts w:eastAsiaTheme="minorHAnsi" w:cstheme="minorBidi"/>
          <w:sz w:val="20"/>
          <w:szCs w:val="20"/>
          <w:lang w:val="es-AR" w:eastAsia="en-US"/>
        </w:rPr>
        <w:t xml:space="preserve">el Estado </w:t>
      </w:r>
      <w:r w:rsidRPr="002570D1">
        <w:rPr>
          <w:rFonts w:eastAsiaTheme="minorHAnsi" w:cstheme="minorBidi"/>
          <w:sz w:val="20"/>
          <w:szCs w:val="20"/>
          <w:lang w:val="es-AR" w:eastAsia="en-US"/>
        </w:rPr>
        <w:t xml:space="preserve">que apoya la </w:t>
      </w:r>
      <w:proofErr w:type="spellStart"/>
      <w:r w:rsidRPr="002570D1">
        <w:rPr>
          <w:rFonts w:eastAsiaTheme="minorHAnsi" w:cstheme="minorBidi"/>
          <w:sz w:val="20"/>
          <w:szCs w:val="20"/>
          <w:lang w:val="es-AR" w:eastAsia="en-US"/>
        </w:rPr>
        <w:t>justiciabilidad</w:t>
      </w:r>
      <w:proofErr w:type="spellEnd"/>
      <w:r w:rsidRPr="002570D1">
        <w:rPr>
          <w:rFonts w:eastAsiaTheme="minorHAnsi" w:cstheme="minorBidi"/>
          <w:sz w:val="20"/>
          <w:szCs w:val="20"/>
          <w:lang w:val="es-AR" w:eastAsia="en-US"/>
        </w:rPr>
        <w:t xml:space="preserve"> de los DESC vía conexión con los Derechos Civiles y Políticos, mas no reconoc</w:t>
      </w:r>
      <w:r w:rsidR="004364A5">
        <w:rPr>
          <w:rFonts w:eastAsiaTheme="minorHAnsi" w:cstheme="minorBidi"/>
          <w:sz w:val="20"/>
          <w:szCs w:val="20"/>
          <w:lang w:val="es-AR" w:eastAsia="en-US"/>
        </w:rPr>
        <w:t>ió</w:t>
      </w:r>
      <w:r w:rsidRPr="002570D1">
        <w:rPr>
          <w:rFonts w:eastAsiaTheme="minorHAnsi" w:cstheme="minorBidi"/>
          <w:sz w:val="20"/>
          <w:szCs w:val="20"/>
          <w:lang w:val="es-AR" w:eastAsia="en-US"/>
        </w:rPr>
        <w:t xml:space="preserve"> la competencia de la Corte para declarar la vulneración del artículo 26 de la Convención en forma directa.</w:t>
      </w:r>
      <w:r w:rsidR="00071A93">
        <w:rPr>
          <w:rFonts w:eastAsiaTheme="minorHAnsi" w:cstheme="minorBidi"/>
          <w:sz w:val="20"/>
          <w:szCs w:val="20"/>
          <w:lang w:val="es-AR" w:eastAsia="en-US"/>
        </w:rPr>
        <w:t xml:space="preserve"> </w:t>
      </w:r>
      <w:r w:rsidRPr="002570D1">
        <w:rPr>
          <w:rFonts w:eastAsiaTheme="minorHAnsi" w:cstheme="minorBidi"/>
          <w:sz w:val="20"/>
          <w:szCs w:val="20"/>
          <w:lang w:val="es-AR" w:eastAsia="en-US"/>
        </w:rPr>
        <w:t xml:space="preserve">El Estado agregó que si bien la Corte puede incorporar diversos criterios interpretativos en el desarrollo de su jurisprudencia, el tribunal internacional debe respetar los límites jurisdiccionales de su competencia contenciosa y tener en consideración </w:t>
      </w:r>
      <w:r w:rsidR="00937D84" w:rsidRPr="002570D1">
        <w:rPr>
          <w:rFonts w:eastAsiaTheme="minorHAnsi" w:cstheme="minorBidi"/>
          <w:sz w:val="20"/>
          <w:szCs w:val="20"/>
          <w:lang w:val="es-AR" w:eastAsia="en-US"/>
        </w:rPr>
        <w:t>cuáles</w:t>
      </w:r>
      <w:r w:rsidRPr="002570D1">
        <w:rPr>
          <w:rFonts w:eastAsiaTheme="minorHAnsi" w:cstheme="minorBidi"/>
          <w:sz w:val="20"/>
          <w:szCs w:val="20"/>
          <w:lang w:val="es-AR" w:eastAsia="en-US"/>
        </w:rPr>
        <w:t xml:space="preserve"> fueron las obligaciones contraídas por los Estados al momento de ratificar la Convención. </w:t>
      </w:r>
    </w:p>
    <w:p w14:paraId="0DDD1C1B" w14:textId="77777777" w:rsidR="002570D1" w:rsidRPr="002570D1" w:rsidRDefault="002570D1" w:rsidP="002570D1">
      <w:pPr>
        <w:ind w:right="-360"/>
        <w:rPr>
          <w:rFonts w:eastAsia="Calibri"/>
          <w:lang w:val="es-MX" w:eastAsia="en-US"/>
        </w:rPr>
      </w:pPr>
    </w:p>
    <w:p w14:paraId="768BE85C" w14:textId="77777777" w:rsidR="002570D1" w:rsidRPr="00EB31AC" w:rsidRDefault="002570D1" w:rsidP="00EB31AC">
      <w:pPr>
        <w:pStyle w:val="Heading3"/>
        <w:numPr>
          <w:ilvl w:val="0"/>
          <w:numId w:val="19"/>
        </w:numPr>
        <w:rPr>
          <w:b/>
        </w:rPr>
      </w:pPr>
      <w:r w:rsidRPr="00EB31AC">
        <w:rPr>
          <w:b/>
        </w:rPr>
        <w:t xml:space="preserve"> </w:t>
      </w:r>
      <w:bookmarkStart w:id="74" w:name="_Toc513644463"/>
      <w:r w:rsidRPr="00EB31AC">
        <w:rPr>
          <w:b/>
        </w:rPr>
        <w:t>Relativos a la vida y a la integridad personal</w:t>
      </w:r>
      <w:bookmarkEnd w:id="74"/>
    </w:p>
    <w:p w14:paraId="705E063C" w14:textId="77777777" w:rsidR="002570D1" w:rsidRPr="002570D1" w:rsidRDefault="002570D1" w:rsidP="002570D1">
      <w:pPr>
        <w:ind w:left="723"/>
        <w:contextualSpacing/>
        <w:rPr>
          <w:rFonts w:eastAsia="Calibri"/>
          <w:i/>
          <w:sz w:val="20"/>
          <w:szCs w:val="20"/>
          <w:lang w:val="es-MX" w:eastAsia="en-US"/>
        </w:rPr>
      </w:pPr>
    </w:p>
    <w:p w14:paraId="62220C87" w14:textId="5F56983A" w:rsidR="002570D1" w:rsidRPr="002570D1" w:rsidRDefault="002570D1" w:rsidP="002570D1">
      <w:pPr>
        <w:numPr>
          <w:ilvl w:val="0"/>
          <w:numId w:val="2"/>
        </w:numPr>
        <w:tabs>
          <w:tab w:val="left" w:pos="567"/>
          <w:tab w:val="num" w:pos="1569"/>
          <w:tab w:val="num" w:pos="12305"/>
        </w:tabs>
        <w:ind w:left="0" w:firstLine="0"/>
        <w:rPr>
          <w:rFonts w:eastAsiaTheme="minorHAnsi" w:cstheme="minorBidi"/>
          <w:sz w:val="20"/>
          <w:szCs w:val="20"/>
          <w:lang w:val="es-AR" w:eastAsia="en-US"/>
        </w:rPr>
      </w:pPr>
      <w:r w:rsidRPr="002570D1">
        <w:rPr>
          <w:rFonts w:eastAsiaTheme="minorHAnsi" w:cstheme="minorBidi"/>
          <w:sz w:val="20"/>
          <w:szCs w:val="20"/>
          <w:lang w:val="es-AR" w:eastAsia="en-US"/>
        </w:rPr>
        <w:t xml:space="preserve">La </w:t>
      </w:r>
      <w:r w:rsidRPr="002570D1">
        <w:rPr>
          <w:rFonts w:eastAsiaTheme="minorHAnsi" w:cstheme="minorBidi"/>
          <w:b/>
          <w:i/>
          <w:sz w:val="20"/>
          <w:szCs w:val="20"/>
          <w:lang w:val="es-AR" w:eastAsia="en-US"/>
        </w:rPr>
        <w:t>Comisión</w:t>
      </w:r>
      <w:r w:rsidRPr="002570D1">
        <w:rPr>
          <w:rFonts w:eastAsiaTheme="minorHAnsi" w:cstheme="minorBidi"/>
          <w:sz w:val="20"/>
          <w:szCs w:val="20"/>
          <w:lang w:val="es-AR" w:eastAsia="en-US"/>
        </w:rPr>
        <w:t xml:space="preserve"> determinó que el Estado fue responsable por la violación de los derechos a la vida, a la integridad personal y a la salud establecidos en los artículos 4 y 5, en relación con el artículo 1.1 de la Convención, en perjuicio del señor Poblete Vilches</w:t>
      </w:r>
      <w:r w:rsidR="00731210">
        <w:rPr>
          <w:rFonts w:eastAsiaTheme="minorHAnsi" w:cstheme="minorBidi"/>
          <w:sz w:val="20"/>
          <w:szCs w:val="20"/>
          <w:lang w:val="es-AR" w:eastAsia="en-US"/>
        </w:rPr>
        <w:t>,</w:t>
      </w:r>
      <w:r w:rsidRPr="002570D1">
        <w:rPr>
          <w:rFonts w:eastAsiaTheme="minorHAnsi" w:cstheme="minorBidi"/>
          <w:sz w:val="20"/>
          <w:szCs w:val="20"/>
          <w:lang w:val="es-AR" w:eastAsia="en-US"/>
        </w:rPr>
        <w:t xml:space="preserve"> debido tanto a la decisión de darle de alta</w:t>
      </w:r>
      <w:r w:rsidR="00731210">
        <w:rPr>
          <w:rFonts w:eastAsiaTheme="minorHAnsi" w:cstheme="minorBidi"/>
          <w:sz w:val="20"/>
          <w:szCs w:val="20"/>
          <w:lang w:val="es-AR" w:eastAsia="en-US"/>
        </w:rPr>
        <w:t xml:space="preserve"> del hospital,</w:t>
      </w:r>
      <w:r w:rsidRPr="002570D1">
        <w:rPr>
          <w:rFonts w:eastAsiaTheme="minorHAnsi" w:cstheme="minorBidi"/>
          <w:sz w:val="20"/>
          <w:szCs w:val="20"/>
          <w:lang w:val="es-AR" w:eastAsia="en-US"/>
        </w:rPr>
        <w:t xml:space="preserve"> como a la falta de provisión de tratamiento adecuado en el segundo ingreso</w:t>
      </w:r>
      <w:r w:rsidR="00353A88">
        <w:rPr>
          <w:rFonts w:eastAsiaTheme="minorHAnsi" w:cstheme="minorBidi"/>
          <w:sz w:val="20"/>
          <w:szCs w:val="20"/>
          <w:lang w:val="es-AR" w:eastAsia="en-US"/>
        </w:rPr>
        <w:t>.</w:t>
      </w:r>
      <w:r w:rsidRPr="002570D1">
        <w:rPr>
          <w:rFonts w:eastAsiaTheme="minorHAnsi" w:cstheme="minorBidi"/>
          <w:sz w:val="20"/>
          <w:szCs w:val="20"/>
          <w:lang w:val="es-AR" w:eastAsia="en-US"/>
        </w:rPr>
        <w:t xml:space="preserve"> Consecuentemente,</w:t>
      </w:r>
      <w:r w:rsidR="00983973">
        <w:rPr>
          <w:rFonts w:eastAsiaTheme="minorHAnsi" w:cstheme="minorBidi"/>
          <w:sz w:val="20"/>
          <w:szCs w:val="20"/>
          <w:lang w:val="es-AR" w:eastAsia="en-US"/>
        </w:rPr>
        <w:t xml:space="preserve"> </w:t>
      </w:r>
      <w:r w:rsidRPr="002570D1">
        <w:rPr>
          <w:rFonts w:eastAsiaTheme="minorHAnsi" w:cstheme="minorBidi"/>
          <w:sz w:val="20"/>
          <w:szCs w:val="20"/>
          <w:lang w:val="es-AR" w:eastAsia="en-US"/>
        </w:rPr>
        <w:t>consideró que el Estado no adoptó las medidas disponibles</w:t>
      </w:r>
      <w:r w:rsidR="00983973">
        <w:rPr>
          <w:rFonts w:eastAsiaTheme="minorHAnsi" w:cstheme="minorBidi"/>
          <w:sz w:val="20"/>
          <w:szCs w:val="20"/>
          <w:lang w:val="es-AR" w:eastAsia="en-US"/>
        </w:rPr>
        <w:t xml:space="preserve"> y razonables</w:t>
      </w:r>
      <w:r w:rsidRPr="002570D1">
        <w:rPr>
          <w:rFonts w:eastAsiaTheme="minorHAnsi" w:cstheme="minorBidi"/>
          <w:sz w:val="20"/>
          <w:szCs w:val="20"/>
          <w:lang w:val="es-AR" w:eastAsia="en-US"/>
        </w:rPr>
        <w:t xml:space="preserve"> para ofrecerle tratamiento adecuado al señor Poblete Vilches que podría haber razonablemente adoptado. </w:t>
      </w:r>
      <w:r w:rsidR="00A20D88">
        <w:rPr>
          <w:rFonts w:eastAsiaTheme="minorHAnsi" w:cstheme="minorBidi"/>
          <w:sz w:val="20"/>
          <w:szCs w:val="20"/>
          <w:lang w:val="es-AR" w:eastAsia="en-US"/>
        </w:rPr>
        <w:t>En su</w:t>
      </w:r>
      <w:r w:rsidRPr="002570D1">
        <w:rPr>
          <w:rFonts w:eastAsiaTheme="minorHAnsi" w:cstheme="minorBidi"/>
          <w:sz w:val="20"/>
          <w:szCs w:val="20"/>
          <w:lang w:val="es-AR" w:eastAsia="en-US"/>
        </w:rPr>
        <w:t xml:space="preserve"> Informe de Fondo realizó un análisis interrelacionado de los artículos 4 y 5 de la Convención. En vista de ello, reiteró la posible inconsistencia que plantea el alcance precisado por el Estado sobre su reconocimiento parcial de responsabilidad, en el sentido que sólo abarca por ejemplo la violación del derecho a la integridad personal del señor Vinicio Poblete, en relación con los </w:t>
      </w:r>
      <w:r w:rsidRPr="00D315EA">
        <w:rPr>
          <w:rFonts w:eastAsiaTheme="minorHAnsi" w:cstheme="minorBidi"/>
          <w:sz w:val="20"/>
          <w:szCs w:val="20"/>
          <w:lang w:val="es-AR" w:eastAsia="en-US"/>
        </w:rPr>
        <w:t xml:space="preserve">hechos que </w:t>
      </w:r>
      <w:r w:rsidR="00D315EA" w:rsidRPr="00C27894">
        <w:rPr>
          <w:rFonts w:eastAsiaTheme="minorHAnsi" w:cstheme="minorBidi"/>
          <w:sz w:val="20"/>
          <w:szCs w:val="20"/>
          <w:lang w:val="es-AR" w:eastAsia="en-US"/>
        </w:rPr>
        <w:t xml:space="preserve">la Comisión </w:t>
      </w:r>
      <w:r w:rsidRPr="00D315EA">
        <w:rPr>
          <w:rFonts w:eastAsiaTheme="minorHAnsi" w:cstheme="minorBidi"/>
          <w:sz w:val="20"/>
          <w:szCs w:val="20"/>
          <w:lang w:val="es-AR" w:eastAsia="en-US"/>
        </w:rPr>
        <w:t>también determinó como violatorios del derecho a la vida</w:t>
      </w:r>
      <w:r w:rsidRPr="002570D1">
        <w:rPr>
          <w:rFonts w:eastAsiaTheme="minorHAnsi" w:cstheme="minorBidi"/>
          <w:sz w:val="20"/>
          <w:szCs w:val="20"/>
          <w:lang w:val="es-AR" w:eastAsia="en-US"/>
        </w:rPr>
        <w:t>.</w:t>
      </w:r>
    </w:p>
    <w:p w14:paraId="4F478410" w14:textId="77777777" w:rsidR="002570D1" w:rsidRPr="002570D1" w:rsidRDefault="002570D1" w:rsidP="002570D1">
      <w:pPr>
        <w:ind w:left="-90" w:right="-360"/>
        <w:rPr>
          <w:rFonts w:eastAsiaTheme="minorHAnsi" w:cstheme="minorBidi"/>
          <w:sz w:val="20"/>
          <w:szCs w:val="20"/>
          <w:lang w:val="es-AR" w:eastAsia="en-US"/>
        </w:rPr>
      </w:pPr>
    </w:p>
    <w:p w14:paraId="05A23EAB" w14:textId="514BEBD2" w:rsidR="002570D1" w:rsidRPr="002570D1" w:rsidRDefault="002570D1" w:rsidP="002570D1">
      <w:pPr>
        <w:numPr>
          <w:ilvl w:val="0"/>
          <w:numId w:val="2"/>
        </w:numPr>
        <w:tabs>
          <w:tab w:val="left" w:pos="567"/>
          <w:tab w:val="num" w:pos="1569"/>
          <w:tab w:val="num" w:pos="12305"/>
        </w:tabs>
        <w:ind w:left="0" w:firstLine="0"/>
        <w:rPr>
          <w:rFonts w:eastAsiaTheme="minorHAnsi" w:cstheme="minorBidi"/>
          <w:sz w:val="20"/>
          <w:szCs w:val="20"/>
          <w:lang w:val="es-AR" w:eastAsia="en-US"/>
        </w:rPr>
      </w:pPr>
      <w:r w:rsidRPr="002570D1">
        <w:rPr>
          <w:rFonts w:eastAsiaTheme="minorHAnsi" w:cstheme="minorBidi"/>
          <w:sz w:val="20"/>
          <w:szCs w:val="20"/>
          <w:lang w:val="es-AR" w:eastAsia="en-US"/>
        </w:rPr>
        <w:t xml:space="preserve">Las </w:t>
      </w:r>
      <w:r w:rsidRPr="002570D1">
        <w:rPr>
          <w:rFonts w:eastAsiaTheme="minorHAnsi" w:cstheme="minorBidi"/>
          <w:b/>
          <w:i/>
          <w:sz w:val="20"/>
          <w:szCs w:val="20"/>
          <w:lang w:val="es-AR" w:eastAsia="en-US"/>
        </w:rPr>
        <w:t>representantes</w:t>
      </w:r>
      <w:r w:rsidRPr="002570D1">
        <w:rPr>
          <w:rFonts w:eastAsiaTheme="minorHAnsi" w:cstheme="minorBidi"/>
          <w:sz w:val="20"/>
          <w:szCs w:val="20"/>
          <w:lang w:val="es-AR" w:eastAsia="en-US"/>
        </w:rPr>
        <w:t xml:space="preserve"> manifestaron</w:t>
      </w:r>
      <w:r w:rsidR="00A32EB1">
        <w:rPr>
          <w:rFonts w:eastAsiaTheme="minorHAnsi" w:cstheme="minorBidi"/>
          <w:sz w:val="20"/>
          <w:szCs w:val="20"/>
          <w:lang w:val="es-AR" w:eastAsia="en-US"/>
        </w:rPr>
        <w:t xml:space="preserve"> </w:t>
      </w:r>
      <w:r w:rsidRPr="002570D1">
        <w:rPr>
          <w:rFonts w:eastAsiaTheme="minorHAnsi" w:cstheme="minorBidi"/>
          <w:sz w:val="20"/>
          <w:szCs w:val="20"/>
          <w:lang w:val="es-AR" w:eastAsia="en-US"/>
        </w:rPr>
        <w:t>respecto a la conexión del derecho a la vida y a la integridad personal con el derecho a la salud</w:t>
      </w:r>
      <w:r w:rsidR="00A32EB1">
        <w:rPr>
          <w:rFonts w:eastAsiaTheme="minorHAnsi" w:cstheme="minorBidi"/>
          <w:sz w:val="20"/>
          <w:szCs w:val="20"/>
          <w:lang w:val="es-AR" w:eastAsia="en-US"/>
        </w:rPr>
        <w:t>, que</w:t>
      </w:r>
      <w:r w:rsidRPr="002570D1">
        <w:rPr>
          <w:rFonts w:eastAsiaTheme="minorHAnsi" w:cstheme="minorBidi"/>
          <w:sz w:val="20"/>
          <w:szCs w:val="20"/>
          <w:lang w:val="es-AR" w:eastAsia="en-US"/>
        </w:rPr>
        <w:t xml:space="preserve"> “el derecho a la vida exige por parte de los Estados, la adopción de medidas de prevención que tengan relación con la mantención de la vida de las personas por medio de la provisión de una situación económica y social que impida su muerte por falta de atención médica”</w:t>
      </w:r>
      <w:r w:rsidR="00621499">
        <w:rPr>
          <w:rFonts w:eastAsiaTheme="minorHAnsi" w:cstheme="minorBidi"/>
          <w:sz w:val="20"/>
          <w:szCs w:val="20"/>
          <w:lang w:val="es-AR" w:eastAsia="en-US"/>
        </w:rPr>
        <w:t>.</w:t>
      </w:r>
      <w:r w:rsidRPr="002570D1">
        <w:rPr>
          <w:rFonts w:eastAsiaTheme="minorHAnsi" w:cstheme="minorBidi"/>
          <w:sz w:val="20"/>
          <w:szCs w:val="20"/>
          <w:lang w:val="es-AR" w:eastAsia="en-US"/>
        </w:rPr>
        <w:t xml:space="preserve"> Alegaron que existe una fuerte inconsistencia entre las afirmaciones que efectúa el Estado en cuanto a su responsabilidad en la violación del derecho a la vida y las que realizó en relación a la violación del derecho a la integridad personal</w:t>
      </w:r>
      <w:r w:rsidR="00621499">
        <w:rPr>
          <w:rFonts w:eastAsiaTheme="minorHAnsi" w:cstheme="minorBidi"/>
          <w:sz w:val="20"/>
          <w:szCs w:val="20"/>
          <w:lang w:val="es-AR" w:eastAsia="en-US"/>
        </w:rPr>
        <w:t>.</w:t>
      </w:r>
      <w:r w:rsidRPr="002570D1">
        <w:rPr>
          <w:rFonts w:eastAsiaTheme="minorHAnsi" w:cstheme="minorBidi"/>
          <w:sz w:val="20"/>
          <w:szCs w:val="20"/>
          <w:lang w:val="es-AR" w:eastAsia="en-US"/>
        </w:rPr>
        <w:t xml:space="preserve"> Sostuvieron que los hechos </w:t>
      </w:r>
      <w:r w:rsidR="00A20D88">
        <w:rPr>
          <w:rFonts w:eastAsiaTheme="minorHAnsi" w:cstheme="minorBidi"/>
          <w:sz w:val="20"/>
          <w:szCs w:val="20"/>
          <w:lang w:val="es-AR" w:eastAsia="en-US"/>
        </w:rPr>
        <w:t xml:space="preserve">referentes a los artículos 4 y 5 </w:t>
      </w:r>
      <w:r w:rsidRPr="002570D1">
        <w:rPr>
          <w:rFonts w:eastAsiaTheme="minorHAnsi" w:cstheme="minorBidi"/>
          <w:sz w:val="20"/>
          <w:szCs w:val="20"/>
          <w:lang w:val="es-AR" w:eastAsia="en-US"/>
        </w:rPr>
        <w:t>son los mismos y que</w:t>
      </w:r>
      <w:r w:rsidR="00621499">
        <w:rPr>
          <w:rFonts w:eastAsiaTheme="minorHAnsi" w:cstheme="minorBidi"/>
          <w:sz w:val="20"/>
          <w:szCs w:val="20"/>
          <w:lang w:val="es-AR" w:eastAsia="en-US"/>
        </w:rPr>
        <w:t>,</w:t>
      </w:r>
      <w:r w:rsidRPr="002570D1">
        <w:rPr>
          <w:rFonts w:eastAsiaTheme="minorHAnsi" w:cstheme="minorBidi"/>
          <w:sz w:val="20"/>
          <w:szCs w:val="20"/>
          <w:lang w:val="es-AR" w:eastAsia="en-US"/>
        </w:rPr>
        <w:t xml:space="preserve"> por lo tanto</w:t>
      </w:r>
      <w:r w:rsidR="00621499">
        <w:rPr>
          <w:rFonts w:eastAsiaTheme="minorHAnsi" w:cstheme="minorBidi"/>
          <w:sz w:val="20"/>
          <w:szCs w:val="20"/>
          <w:lang w:val="es-AR" w:eastAsia="en-US"/>
        </w:rPr>
        <w:t>,</w:t>
      </w:r>
      <w:r w:rsidRPr="002570D1">
        <w:rPr>
          <w:rFonts w:eastAsiaTheme="minorHAnsi" w:cstheme="minorBidi"/>
          <w:sz w:val="20"/>
          <w:szCs w:val="20"/>
          <w:lang w:val="es-AR" w:eastAsia="en-US"/>
        </w:rPr>
        <w:t xml:space="preserve"> el reconocimiento </w:t>
      </w:r>
      <w:r w:rsidR="00621499">
        <w:rPr>
          <w:rFonts w:eastAsiaTheme="minorHAnsi" w:cstheme="minorBidi"/>
          <w:sz w:val="20"/>
          <w:szCs w:val="20"/>
          <w:lang w:val="es-AR" w:eastAsia="en-US"/>
        </w:rPr>
        <w:t xml:space="preserve">de responsabilidad </w:t>
      </w:r>
      <w:r w:rsidR="00A20D88">
        <w:rPr>
          <w:rFonts w:eastAsiaTheme="minorHAnsi" w:cstheme="minorBidi"/>
          <w:sz w:val="20"/>
          <w:szCs w:val="20"/>
          <w:lang w:val="es-AR" w:eastAsia="en-US"/>
        </w:rPr>
        <w:t>debe aplicarse a ambos derechos</w:t>
      </w:r>
      <w:r w:rsidRPr="002570D1">
        <w:rPr>
          <w:rFonts w:eastAsiaTheme="minorHAnsi" w:cstheme="minorBidi"/>
          <w:sz w:val="20"/>
          <w:szCs w:val="20"/>
          <w:lang w:val="es-AR" w:eastAsia="en-US"/>
        </w:rPr>
        <w:t xml:space="preserve">. Señalaron también que “la ausencia de programas, infraestructura y actividades necesarios para el bienestar personal” o “la deficiente calidad de ellos” pueden resultar en una violación del derecho a la salud por parte del Estado. </w:t>
      </w:r>
    </w:p>
    <w:p w14:paraId="3C4AEC54" w14:textId="77777777" w:rsidR="002570D1" w:rsidRPr="002570D1" w:rsidRDefault="002570D1" w:rsidP="002570D1">
      <w:pPr>
        <w:ind w:right="-360"/>
        <w:rPr>
          <w:rFonts w:eastAsiaTheme="minorHAnsi" w:cstheme="minorBidi"/>
          <w:sz w:val="20"/>
          <w:szCs w:val="20"/>
          <w:lang w:val="es-AR" w:eastAsia="en-US"/>
        </w:rPr>
      </w:pPr>
    </w:p>
    <w:p w14:paraId="215933ED" w14:textId="7ECDCF5B" w:rsidR="002570D1" w:rsidRPr="002570D1" w:rsidRDefault="002570D1" w:rsidP="002570D1">
      <w:pPr>
        <w:numPr>
          <w:ilvl w:val="0"/>
          <w:numId w:val="2"/>
        </w:numPr>
        <w:tabs>
          <w:tab w:val="left" w:pos="567"/>
          <w:tab w:val="num" w:pos="1569"/>
          <w:tab w:val="num" w:pos="12305"/>
        </w:tabs>
        <w:ind w:left="0" w:firstLine="0"/>
        <w:rPr>
          <w:sz w:val="20"/>
          <w:szCs w:val="20"/>
          <w:lang w:val="es-AR" w:eastAsia="en-US"/>
        </w:rPr>
      </w:pPr>
      <w:r w:rsidRPr="002570D1">
        <w:rPr>
          <w:sz w:val="20"/>
          <w:szCs w:val="20"/>
          <w:lang w:val="es-ES" w:eastAsia="en-US"/>
        </w:rPr>
        <w:t xml:space="preserve">Respecto de la violación del derecho a la vida, las </w:t>
      </w:r>
      <w:r w:rsidRPr="007143B1">
        <w:rPr>
          <w:sz w:val="20"/>
          <w:szCs w:val="20"/>
          <w:lang w:val="es-ES" w:eastAsia="en-US"/>
        </w:rPr>
        <w:t>representantes</w:t>
      </w:r>
      <w:r w:rsidRPr="00A86D37">
        <w:rPr>
          <w:sz w:val="20"/>
          <w:szCs w:val="20"/>
          <w:lang w:val="es-ES" w:eastAsia="en-US"/>
        </w:rPr>
        <w:t xml:space="preserve"> </w:t>
      </w:r>
      <w:r w:rsidRPr="002570D1">
        <w:rPr>
          <w:sz w:val="20"/>
          <w:szCs w:val="20"/>
          <w:lang w:val="es-ES" w:eastAsia="en-US"/>
        </w:rPr>
        <w:t>alegaron</w:t>
      </w:r>
      <w:r w:rsidR="00983973">
        <w:rPr>
          <w:sz w:val="20"/>
          <w:szCs w:val="20"/>
          <w:lang w:val="es-ES" w:eastAsia="en-US"/>
        </w:rPr>
        <w:t xml:space="preserve"> que</w:t>
      </w:r>
      <w:r w:rsidRPr="002570D1">
        <w:rPr>
          <w:sz w:val="20"/>
          <w:szCs w:val="20"/>
          <w:lang w:val="es-ES" w:eastAsia="en-US"/>
        </w:rPr>
        <w:t xml:space="preserve"> </w:t>
      </w:r>
      <w:r w:rsidRPr="002570D1">
        <w:rPr>
          <w:sz w:val="20"/>
          <w:szCs w:val="20"/>
          <w:lang w:val="es-AR" w:eastAsia="en-US"/>
        </w:rPr>
        <w:t xml:space="preserve">el Estado no adoptó todas las medidas que estaban a su alcance para brindar al </w:t>
      </w:r>
      <w:r w:rsidR="00E57AC2">
        <w:rPr>
          <w:sz w:val="20"/>
          <w:szCs w:val="20"/>
          <w:lang w:val="es-AR" w:eastAsia="en-US"/>
        </w:rPr>
        <w:t>señor</w:t>
      </w:r>
      <w:r w:rsidRPr="002570D1">
        <w:rPr>
          <w:sz w:val="20"/>
          <w:szCs w:val="20"/>
          <w:lang w:val="es-AR" w:eastAsia="en-US"/>
        </w:rPr>
        <w:t xml:space="preserve"> Vinicio Poblete Vilches una</w:t>
      </w:r>
      <w:r>
        <w:rPr>
          <w:sz w:val="20"/>
          <w:szCs w:val="20"/>
          <w:lang w:val="es-AR" w:eastAsia="en-US"/>
        </w:rPr>
        <w:t xml:space="preserve"> </w:t>
      </w:r>
      <w:r w:rsidRPr="002570D1">
        <w:rPr>
          <w:sz w:val="20"/>
          <w:szCs w:val="20"/>
          <w:lang w:val="es-AR" w:eastAsia="en-US"/>
        </w:rPr>
        <w:t>atención de salud adecuada</w:t>
      </w:r>
      <w:r w:rsidR="00621499" w:rsidRPr="00B1523A">
        <w:rPr>
          <w:sz w:val="20"/>
          <w:szCs w:val="20"/>
          <w:lang w:val="es-ES" w:eastAsia="en-US"/>
        </w:rPr>
        <w:t>.</w:t>
      </w:r>
      <w:r w:rsidRPr="002570D1">
        <w:rPr>
          <w:b/>
          <w:sz w:val="20"/>
          <w:szCs w:val="20"/>
          <w:lang w:val="es-ES" w:eastAsia="en-US"/>
        </w:rPr>
        <w:t xml:space="preserve"> </w:t>
      </w:r>
      <w:r w:rsidRPr="002570D1">
        <w:rPr>
          <w:rFonts w:eastAsiaTheme="minorHAnsi" w:cstheme="minorBidi"/>
          <w:sz w:val="20"/>
          <w:szCs w:val="20"/>
          <w:lang w:val="es-ES" w:eastAsia="en-US"/>
        </w:rPr>
        <w:t xml:space="preserve">En cuanto a la exigencia de que se demuestre una relación de causalidad entre las omisiones comprobadas y el resultado </w:t>
      </w:r>
      <w:r w:rsidR="00621499">
        <w:rPr>
          <w:rFonts w:eastAsiaTheme="minorHAnsi" w:cstheme="minorBidi"/>
          <w:sz w:val="20"/>
          <w:szCs w:val="20"/>
          <w:lang w:val="es-ES" w:eastAsia="en-US"/>
        </w:rPr>
        <w:t xml:space="preserve">de </w:t>
      </w:r>
      <w:r w:rsidRPr="002570D1">
        <w:rPr>
          <w:rFonts w:eastAsiaTheme="minorHAnsi" w:cstheme="minorBidi"/>
          <w:sz w:val="20"/>
          <w:szCs w:val="20"/>
          <w:lang w:val="es-ES" w:eastAsia="en-US"/>
        </w:rPr>
        <w:t>muerte, entendieron que la responsabilidad del Estado surge cuando se demuestra que con su acción o su omisión incrementó el riesgo para la vida de la persona. Agregaron que el Estado sabía</w:t>
      </w:r>
      <w:r w:rsidR="00FE1247">
        <w:rPr>
          <w:rFonts w:eastAsiaTheme="minorHAnsi" w:cstheme="minorBidi"/>
          <w:sz w:val="20"/>
          <w:szCs w:val="20"/>
          <w:lang w:val="es-ES" w:eastAsia="en-US"/>
        </w:rPr>
        <w:t xml:space="preserve"> de</w:t>
      </w:r>
      <w:r w:rsidRPr="002570D1">
        <w:rPr>
          <w:rFonts w:eastAsiaTheme="minorHAnsi" w:cstheme="minorBidi"/>
          <w:sz w:val="20"/>
          <w:szCs w:val="20"/>
          <w:lang w:val="es-ES" w:eastAsia="en-US"/>
        </w:rPr>
        <w:t xml:space="preserve"> la existencia de una situación de riesgo para la vida de</w:t>
      </w:r>
      <w:r w:rsidR="0077038C">
        <w:rPr>
          <w:rFonts w:eastAsiaTheme="minorHAnsi" w:cstheme="minorBidi"/>
          <w:sz w:val="20"/>
          <w:szCs w:val="20"/>
          <w:lang w:val="es-ES" w:eastAsia="en-US"/>
        </w:rPr>
        <w:t>l señor Poblete</w:t>
      </w:r>
      <w:r w:rsidRPr="002570D1">
        <w:rPr>
          <w:rFonts w:eastAsiaTheme="minorHAnsi" w:cstheme="minorBidi"/>
          <w:sz w:val="20"/>
          <w:szCs w:val="20"/>
          <w:lang w:val="es-ES" w:eastAsia="en-US"/>
        </w:rPr>
        <w:t xml:space="preserve"> y no tomó las medidas necesarias para prevenir o evitar ese riesgo.</w:t>
      </w:r>
      <w:r w:rsidRPr="002570D1">
        <w:rPr>
          <w:rFonts w:eastAsiaTheme="minorHAnsi" w:cstheme="minorBidi"/>
          <w:sz w:val="22"/>
          <w:szCs w:val="22"/>
          <w:lang w:val="es-AR" w:eastAsia="en-US"/>
        </w:rPr>
        <w:t xml:space="preserve"> </w:t>
      </w:r>
      <w:r w:rsidRPr="002570D1">
        <w:rPr>
          <w:rFonts w:eastAsiaTheme="minorHAnsi" w:cstheme="minorBidi"/>
          <w:sz w:val="20"/>
          <w:szCs w:val="20"/>
          <w:lang w:val="es-ES" w:eastAsia="en-US"/>
        </w:rPr>
        <w:t>Recordaron que el perito señalo que si alguna posibilidad tenía Vinicio Poblete de sobrevivir era a través de la adopción de medidas tan básicas como ingresarlo en una unidad cerrada de cuidados intensivos, brindarle asistencia respiratoria mecánica y proveerle de un tratamiento antibiótico adecuado</w:t>
      </w:r>
      <w:r w:rsidR="00481CEF" w:rsidRPr="00B1523A">
        <w:rPr>
          <w:rFonts w:eastAsiaTheme="minorHAnsi" w:cstheme="minorBidi"/>
          <w:sz w:val="20"/>
          <w:szCs w:val="20"/>
          <w:lang w:val="es-ES" w:eastAsia="en-US"/>
        </w:rPr>
        <w:t>.</w:t>
      </w:r>
      <w:r w:rsidRPr="002570D1">
        <w:rPr>
          <w:rFonts w:eastAsiaTheme="minorHAnsi" w:cstheme="minorBidi"/>
          <w:sz w:val="20"/>
          <w:szCs w:val="20"/>
          <w:lang w:val="es-ES" w:eastAsia="en-US"/>
        </w:rPr>
        <w:t xml:space="preserve"> Las </w:t>
      </w:r>
      <w:r w:rsidRPr="00B1523A">
        <w:rPr>
          <w:rFonts w:eastAsiaTheme="minorHAnsi" w:cstheme="minorBidi"/>
          <w:i/>
          <w:sz w:val="20"/>
          <w:szCs w:val="20"/>
          <w:lang w:val="es-ES" w:eastAsia="en-US"/>
        </w:rPr>
        <w:t>representantes</w:t>
      </w:r>
      <w:r w:rsidRPr="007143B1">
        <w:rPr>
          <w:rFonts w:eastAsiaTheme="minorHAnsi" w:cstheme="minorBidi"/>
          <w:sz w:val="20"/>
          <w:szCs w:val="20"/>
          <w:lang w:val="es-ES" w:eastAsia="en-US"/>
        </w:rPr>
        <w:t xml:space="preserve"> </w:t>
      </w:r>
      <w:r w:rsidRPr="002570D1">
        <w:rPr>
          <w:rFonts w:eastAsiaTheme="minorHAnsi" w:cstheme="minorBidi"/>
          <w:sz w:val="20"/>
          <w:szCs w:val="20"/>
          <w:lang w:val="es-ES" w:eastAsia="en-US"/>
        </w:rPr>
        <w:t xml:space="preserve">señalaron que tampoco es posible hablar de relación o nexo de causalidad en estos casos, y que jamás se podría afirmar, ni en este caso ni en cualquier otro, que brindar un tratamiento a un paciente, cualquiera fuese, habría evitado su muerte con absoluta certeza. </w:t>
      </w:r>
      <w:r w:rsidRPr="002570D1">
        <w:rPr>
          <w:rFonts w:eastAsiaTheme="minorHAnsi" w:cstheme="minorBidi"/>
          <w:sz w:val="20"/>
          <w:szCs w:val="20"/>
          <w:lang w:val="es-AR" w:eastAsia="en-US"/>
        </w:rPr>
        <w:t>Concluyeron que el Estado</w:t>
      </w:r>
      <w:r w:rsidR="009F7EBE">
        <w:rPr>
          <w:rFonts w:eastAsiaTheme="minorHAnsi" w:cstheme="minorBidi"/>
          <w:sz w:val="20"/>
          <w:szCs w:val="20"/>
          <w:lang w:val="es-AR" w:eastAsia="en-US"/>
        </w:rPr>
        <w:t xml:space="preserve"> </w:t>
      </w:r>
      <w:r w:rsidRPr="002570D1">
        <w:rPr>
          <w:rFonts w:eastAsiaTheme="minorHAnsi" w:cstheme="minorBidi"/>
          <w:sz w:val="20"/>
          <w:szCs w:val="20"/>
          <w:lang w:val="es-AR" w:eastAsia="en-US"/>
        </w:rPr>
        <w:t xml:space="preserve">no cumplió con los deberes especiales de protección a los que tienen derecho las personas en condición de vulnerabilidad. </w:t>
      </w:r>
      <w:r w:rsidR="00A20D88">
        <w:rPr>
          <w:rFonts w:eastAsiaTheme="minorHAnsi" w:cstheme="minorBidi"/>
          <w:sz w:val="20"/>
          <w:szCs w:val="20"/>
          <w:lang w:val="es-AR" w:eastAsia="en-US"/>
        </w:rPr>
        <w:t>D</w:t>
      </w:r>
      <w:r w:rsidRPr="002570D1">
        <w:rPr>
          <w:rFonts w:eastAsiaTheme="minorHAnsi" w:cstheme="minorBidi"/>
          <w:sz w:val="20"/>
          <w:szCs w:val="20"/>
          <w:lang w:val="es-AR" w:eastAsia="en-US"/>
        </w:rPr>
        <w:t xml:space="preserve">e modo que el Estado fue responsable por las violaciones de los artículos 4.1 y 5.1 en </w:t>
      </w:r>
      <w:r w:rsidR="009F7EBE">
        <w:rPr>
          <w:rFonts w:eastAsiaTheme="minorHAnsi" w:cstheme="minorBidi"/>
          <w:sz w:val="20"/>
          <w:szCs w:val="20"/>
          <w:lang w:val="es-AR" w:eastAsia="en-US"/>
        </w:rPr>
        <w:t>relación</w:t>
      </w:r>
      <w:r w:rsidRPr="002570D1">
        <w:rPr>
          <w:rFonts w:eastAsiaTheme="minorHAnsi" w:cstheme="minorBidi"/>
          <w:sz w:val="20"/>
          <w:szCs w:val="20"/>
          <w:lang w:val="es-AR" w:eastAsia="en-US"/>
        </w:rPr>
        <w:t xml:space="preserve"> con los artículos 1.1 y 2 de la C</w:t>
      </w:r>
      <w:r w:rsidR="00FE1247">
        <w:rPr>
          <w:rFonts w:eastAsiaTheme="minorHAnsi" w:cstheme="minorBidi"/>
          <w:sz w:val="20"/>
          <w:szCs w:val="20"/>
          <w:lang w:val="es-AR" w:eastAsia="en-US"/>
        </w:rPr>
        <w:t>onvención</w:t>
      </w:r>
      <w:r w:rsidRPr="002570D1">
        <w:rPr>
          <w:rFonts w:eastAsiaTheme="minorHAnsi" w:cstheme="minorBidi"/>
          <w:sz w:val="20"/>
          <w:szCs w:val="20"/>
          <w:lang w:val="es-AR" w:eastAsia="en-US"/>
        </w:rPr>
        <w:t>.</w:t>
      </w:r>
    </w:p>
    <w:p w14:paraId="7629C3AA" w14:textId="77777777" w:rsidR="002570D1" w:rsidRPr="002570D1" w:rsidRDefault="002570D1" w:rsidP="002570D1">
      <w:pPr>
        <w:ind w:left="-90" w:right="-360"/>
        <w:rPr>
          <w:rFonts w:eastAsiaTheme="minorHAnsi" w:cstheme="minorBidi"/>
          <w:sz w:val="20"/>
          <w:szCs w:val="20"/>
          <w:lang w:val="es-AR" w:eastAsia="en-US"/>
        </w:rPr>
      </w:pPr>
    </w:p>
    <w:p w14:paraId="3B445648" w14:textId="25904D56" w:rsidR="002570D1" w:rsidRPr="002570D1" w:rsidRDefault="002570D1" w:rsidP="002570D1">
      <w:pPr>
        <w:numPr>
          <w:ilvl w:val="0"/>
          <w:numId w:val="2"/>
        </w:numPr>
        <w:tabs>
          <w:tab w:val="left" w:pos="567"/>
          <w:tab w:val="num" w:pos="1569"/>
          <w:tab w:val="num" w:pos="12305"/>
        </w:tabs>
        <w:ind w:left="0" w:firstLine="0"/>
        <w:rPr>
          <w:sz w:val="20"/>
          <w:szCs w:val="20"/>
          <w:lang w:val="es-ES" w:eastAsia="en-US"/>
        </w:rPr>
      </w:pPr>
      <w:r w:rsidRPr="002570D1">
        <w:rPr>
          <w:rFonts w:eastAsiaTheme="minorHAnsi" w:cstheme="minorBidi"/>
          <w:sz w:val="20"/>
          <w:szCs w:val="20"/>
          <w:lang w:val="es-AR" w:eastAsia="en-US"/>
        </w:rPr>
        <w:t xml:space="preserve"> El</w:t>
      </w:r>
      <w:r w:rsidRPr="002570D1">
        <w:rPr>
          <w:rFonts w:eastAsiaTheme="minorHAnsi" w:cstheme="minorBidi"/>
          <w:i/>
          <w:sz w:val="20"/>
          <w:szCs w:val="20"/>
          <w:lang w:val="es-AR" w:eastAsia="en-US"/>
        </w:rPr>
        <w:t xml:space="preserve"> </w:t>
      </w:r>
      <w:r w:rsidRPr="002570D1">
        <w:rPr>
          <w:rFonts w:eastAsiaTheme="minorHAnsi" w:cstheme="minorBidi"/>
          <w:b/>
          <w:i/>
          <w:sz w:val="20"/>
          <w:szCs w:val="20"/>
          <w:lang w:val="es-AR" w:eastAsia="en-US"/>
        </w:rPr>
        <w:t xml:space="preserve">Estado </w:t>
      </w:r>
      <w:r w:rsidR="0012025F">
        <w:rPr>
          <w:rFonts w:eastAsiaTheme="minorHAnsi" w:cstheme="minorBidi"/>
          <w:sz w:val="20"/>
          <w:szCs w:val="20"/>
          <w:lang w:val="es-AR" w:eastAsia="en-US"/>
        </w:rPr>
        <w:t xml:space="preserve">alegó </w:t>
      </w:r>
      <w:r w:rsidRPr="002570D1">
        <w:rPr>
          <w:sz w:val="20"/>
          <w:szCs w:val="20"/>
          <w:lang w:val="es-ES" w:eastAsia="en-US"/>
        </w:rPr>
        <w:t>que no es responsable internacional</w:t>
      </w:r>
      <w:r w:rsidR="008E50CD">
        <w:rPr>
          <w:sz w:val="20"/>
          <w:szCs w:val="20"/>
          <w:lang w:val="es-ES" w:eastAsia="en-US"/>
        </w:rPr>
        <w:t>mente</w:t>
      </w:r>
      <w:r w:rsidRPr="002570D1">
        <w:rPr>
          <w:sz w:val="20"/>
          <w:szCs w:val="20"/>
          <w:lang w:val="es-ES" w:eastAsia="en-US"/>
        </w:rPr>
        <w:t xml:space="preserve"> de la violación al artículo 4 de la </w:t>
      </w:r>
      <w:r w:rsidR="00847ED2" w:rsidRPr="002570D1">
        <w:rPr>
          <w:sz w:val="20"/>
          <w:szCs w:val="20"/>
          <w:lang w:val="es-ES" w:eastAsia="en-US"/>
        </w:rPr>
        <w:t>C</w:t>
      </w:r>
      <w:r w:rsidR="00847ED2">
        <w:rPr>
          <w:sz w:val="20"/>
          <w:szCs w:val="20"/>
          <w:lang w:val="es-ES" w:eastAsia="en-US"/>
        </w:rPr>
        <w:t>onvención Americana</w:t>
      </w:r>
      <w:r w:rsidRPr="002570D1">
        <w:rPr>
          <w:sz w:val="20"/>
          <w:szCs w:val="20"/>
          <w:lang w:val="es-ES" w:eastAsia="en-US"/>
        </w:rPr>
        <w:t>. Argumentó que “el sólo fallecimiento no resulta suficiente para</w:t>
      </w:r>
      <w:r w:rsidR="00D86BE0">
        <w:rPr>
          <w:sz w:val="20"/>
          <w:szCs w:val="20"/>
          <w:lang w:val="es-ES" w:eastAsia="en-US"/>
        </w:rPr>
        <w:t xml:space="preserve"> </w:t>
      </w:r>
      <w:r w:rsidRPr="002570D1">
        <w:rPr>
          <w:sz w:val="20"/>
          <w:szCs w:val="20"/>
          <w:lang w:val="es-ES" w:eastAsia="en-US"/>
        </w:rPr>
        <w:t>determinar una vulneración del derecho a la vida, sino que además debe comprobarse que el Estado no adopt</w:t>
      </w:r>
      <w:r w:rsidR="005A0BBA">
        <w:rPr>
          <w:sz w:val="20"/>
          <w:szCs w:val="20"/>
          <w:lang w:val="es-ES" w:eastAsia="en-US"/>
        </w:rPr>
        <w:t>ó</w:t>
      </w:r>
      <w:r w:rsidRPr="002570D1">
        <w:rPr>
          <w:sz w:val="20"/>
          <w:szCs w:val="20"/>
          <w:lang w:val="es-ES" w:eastAsia="en-US"/>
        </w:rPr>
        <w:t xml:space="preserve">, dentro de sus atribuciones, las medidas necesarias que razonablemente podían esperarse para garantizar el derecho, y que la no adopción de dichas medidas fue el nexo causal directo del fallecimiento”. Al respecto, el </w:t>
      </w:r>
      <w:r w:rsidRPr="007143B1">
        <w:rPr>
          <w:sz w:val="20"/>
          <w:szCs w:val="20"/>
          <w:lang w:val="es-ES" w:eastAsia="en-US"/>
        </w:rPr>
        <w:t xml:space="preserve">Estado </w:t>
      </w:r>
      <w:r w:rsidRPr="002570D1">
        <w:rPr>
          <w:sz w:val="20"/>
          <w:szCs w:val="20"/>
          <w:lang w:val="es-ES" w:eastAsia="en-US"/>
        </w:rPr>
        <w:t>expuso que</w:t>
      </w:r>
      <w:r w:rsidR="00D86BE0">
        <w:rPr>
          <w:rFonts w:eastAsiaTheme="minorHAnsi" w:cstheme="minorBidi"/>
          <w:sz w:val="20"/>
          <w:szCs w:val="20"/>
          <w:lang w:val="es-AR" w:eastAsia="en-US"/>
        </w:rPr>
        <w:t xml:space="preserve"> </w:t>
      </w:r>
      <w:r w:rsidRPr="002570D1">
        <w:rPr>
          <w:sz w:val="20"/>
          <w:szCs w:val="20"/>
          <w:lang w:val="es-ES" w:eastAsia="en-US"/>
        </w:rPr>
        <w:t>adopt</w:t>
      </w:r>
      <w:r w:rsidR="00D86BE0">
        <w:rPr>
          <w:sz w:val="20"/>
          <w:szCs w:val="20"/>
          <w:lang w:val="es-ES" w:eastAsia="en-US"/>
        </w:rPr>
        <w:t>ó</w:t>
      </w:r>
      <w:r w:rsidRPr="002570D1">
        <w:rPr>
          <w:sz w:val="20"/>
          <w:szCs w:val="20"/>
          <w:lang w:val="es-ES" w:eastAsia="en-US"/>
        </w:rPr>
        <w:t xml:space="preserve"> las medidas que estaban a su alcance para</w:t>
      </w:r>
      <w:r w:rsidRPr="002570D1">
        <w:rPr>
          <w:rFonts w:eastAsiaTheme="minorHAnsi" w:cstheme="minorBidi"/>
          <w:sz w:val="20"/>
          <w:szCs w:val="20"/>
          <w:lang w:val="es-AR" w:eastAsia="en-US"/>
        </w:rPr>
        <w:t xml:space="preserve"> </w:t>
      </w:r>
      <w:r w:rsidRPr="002570D1">
        <w:rPr>
          <w:sz w:val="20"/>
          <w:szCs w:val="20"/>
          <w:lang w:val="es-ES" w:eastAsia="en-US"/>
        </w:rPr>
        <w:t>salvaguardar la vida de</w:t>
      </w:r>
      <w:r w:rsidR="00EA7B4F">
        <w:rPr>
          <w:sz w:val="20"/>
          <w:szCs w:val="20"/>
          <w:lang w:val="es-ES" w:eastAsia="en-US"/>
        </w:rPr>
        <w:t>l señor</w:t>
      </w:r>
      <w:r w:rsidRPr="002570D1">
        <w:rPr>
          <w:sz w:val="20"/>
          <w:szCs w:val="20"/>
          <w:lang w:val="es-ES" w:eastAsia="en-US"/>
        </w:rPr>
        <w:t xml:space="preserve"> Vinicio Poblete</w:t>
      </w:r>
      <w:r w:rsidR="00EA7B4F">
        <w:rPr>
          <w:sz w:val="20"/>
          <w:szCs w:val="20"/>
          <w:lang w:val="es-ES" w:eastAsia="en-US"/>
        </w:rPr>
        <w:t xml:space="preserve"> Vilches</w:t>
      </w:r>
      <w:r w:rsidRPr="002570D1">
        <w:rPr>
          <w:sz w:val="20"/>
          <w:szCs w:val="20"/>
          <w:lang w:val="es-ES" w:eastAsia="en-US"/>
        </w:rPr>
        <w:t xml:space="preserve">, teniendo en consideración el delicado estado de salud en el que se encontraba y las herramientas clínicas que </w:t>
      </w:r>
      <w:r w:rsidR="00D86BE0" w:rsidRPr="002570D1">
        <w:rPr>
          <w:sz w:val="20"/>
          <w:szCs w:val="20"/>
          <w:lang w:val="es-ES" w:eastAsia="en-US"/>
        </w:rPr>
        <w:t>ten</w:t>
      </w:r>
      <w:r w:rsidR="00D86BE0">
        <w:rPr>
          <w:sz w:val="20"/>
          <w:szCs w:val="20"/>
          <w:lang w:val="es-ES" w:eastAsia="en-US"/>
        </w:rPr>
        <w:t>ía</w:t>
      </w:r>
      <w:r w:rsidRPr="002570D1">
        <w:rPr>
          <w:sz w:val="20"/>
          <w:szCs w:val="20"/>
          <w:lang w:val="es-ES" w:eastAsia="en-US"/>
        </w:rPr>
        <w:t xml:space="preserve"> a su alcance. Asimismo, expuso que no hay forma que se demuestre que con algún tratamiento diferente al proporcionado el señor Poblete Vilches hubiera sobrevivido.</w:t>
      </w:r>
      <w:r w:rsidRPr="002570D1">
        <w:rPr>
          <w:b/>
          <w:sz w:val="20"/>
          <w:szCs w:val="20"/>
          <w:lang w:val="es-ES" w:eastAsia="en-US"/>
        </w:rPr>
        <w:t xml:space="preserve"> </w:t>
      </w:r>
    </w:p>
    <w:p w14:paraId="47AED5DB" w14:textId="77777777" w:rsidR="002570D1" w:rsidRPr="002570D1" w:rsidRDefault="002570D1" w:rsidP="002570D1">
      <w:pPr>
        <w:ind w:left="-90" w:right="-360"/>
        <w:contextualSpacing/>
        <w:rPr>
          <w:sz w:val="20"/>
          <w:szCs w:val="20"/>
          <w:lang w:val="es-ES" w:eastAsia="en-US"/>
        </w:rPr>
      </w:pPr>
    </w:p>
    <w:p w14:paraId="194F1A43" w14:textId="25466F0F" w:rsidR="002570D1" w:rsidRPr="002570D1" w:rsidRDefault="002570D1" w:rsidP="002570D1">
      <w:pPr>
        <w:numPr>
          <w:ilvl w:val="0"/>
          <w:numId w:val="2"/>
        </w:numPr>
        <w:tabs>
          <w:tab w:val="left" w:pos="567"/>
          <w:tab w:val="num" w:pos="1569"/>
          <w:tab w:val="num" w:pos="12305"/>
        </w:tabs>
        <w:ind w:left="0" w:firstLine="0"/>
        <w:rPr>
          <w:sz w:val="20"/>
          <w:szCs w:val="20"/>
          <w:lang w:val="es-ES" w:eastAsia="en-US"/>
        </w:rPr>
      </w:pPr>
      <w:r w:rsidRPr="002570D1">
        <w:rPr>
          <w:sz w:val="20"/>
          <w:szCs w:val="20"/>
          <w:lang w:val="es-ES" w:eastAsia="en-US"/>
        </w:rPr>
        <w:t xml:space="preserve">El </w:t>
      </w:r>
      <w:r w:rsidRPr="00B1523A">
        <w:rPr>
          <w:i/>
          <w:sz w:val="20"/>
          <w:szCs w:val="20"/>
          <w:lang w:val="es-ES" w:eastAsia="en-US"/>
        </w:rPr>
        <w:t>Estado</w:t>
      </w:r>
      <w:r w:rsidRPr="002570D1">
        <w:rPr>
          <w:sz w:val="20"/>
          <w:szCs w:val="20"/>
          <w:lang w:val="es-ES" w:eastAsia="en-US"/>
        </w:rPr>
        <w:t xml:space="preserve"> contrast</w:t>
      </w:r>
      <w:r w:rsidR="00957D73">
        <w:rPr>
          <w:sz w:val="20"/>
          <w:szCs w:val="20"/>
          <w:lang w:val="es-ES" w:eastAsia="en-US"/>
        </w:rPr>
        <w:t>ó</w:t>
      </w:r>
      <w:r w:rsidRPr="002570D1">
        <w:rPr>
          <w:sz w:val="20"/>
          <w:szCs w:val="20"/>
          <w:lang w:val="es-ES" w:eastAsia="en-US"/>
        </w:rPr>
        <w:t xml:space="preserve"> </w:t>
      </w:r>
      <w:r w:rsidR="00957D73">
        <w:rPr>
          <w:sz w:val="20"/>
          <w:szCs w:val="20"/>
          <w:lang w:val="es-ES" w:eastAsia="en-US"/>
        </w:rPr>
        <w:t xml:space="preserve">su posición con </w:t>
      </w:r>
      <w:r w:rsidRPr="002570D1">
        <w:rPr>
          <w:sz w:val="20"/>
          <w:szCs w:val="20"/>
          <w:lang w:val="es-ES" w:eastAsia="en-US"/>
        </w:rPr>
        <w:t>la declaración del perito Santos</w:t>
      </w:r>
      <w:r w:rsidR="00CE2C34">
        <w:rPr>
          <w:sz w:val="20"/>
          <w:szCs w:val="20"/>
          <w:lang w:val="es-ES" w:eastAsia="en-US"/>
        </w:rPr>
        <w:t xml:space="preserve">, </w:t>
      </w:r>
      <w:r w:rsidRPr="002570D1">
        <w:rPr>
          <w:sz w:val="20"/>
          <w:szCs w:val="20"/>
          <w:lang w:val="es-ES" w:eastAsia="en-US"/>
        </w:rPr>
        <w:t>qu</w:t>
      </w:r>
      <w:r w:rsidR="00CE2C34">
        <w:rPr>
          <w:sz w:val="20"/>
          <w:szCs w:val="20"/>
          <w:lang w:val="es-ES" w:eastAsia="en-US"/>
        </w:rPr>
        <w:t>ien</w:t>
      </w:r>
      <w:r w:rsidRPr="002570D1">
        <w:rPr>
          <w:sz w:val="20"/>
          <w:szCs w:val="20"/>
          <w:lang w:val="es-ES" w:eastAsia="en-US"/>
        </w:rPr>
        <w:t xml:space="preserve"> hiciera referencia a disconformidades respecto a cuestiones supuestamente básicas</w:t>
      </w:r>
      <w:r w:rsidR="00CE2C34">
        <w:rPr>
          <w:sz w:val="20"/>
          <w:szCs w:val="20"/>
          <w:lang w:val="es-ES" w:eastAsia="en-US"/>
        </w:rPr>
        <w:t>,</w:t>
      </w:r>
      <w:r w:rsidRPr="002570D1">
        <w:rPr>
          <w:sz w:val="20"/>
          <w:szCs w:val="20"/>
          <w:lang w:val="es-ES" w:eastAsia="en-US"/>
        </w:rPr>
        <w:t xml:space="preserve"> como la asistencia respiratoria mecánica o el antibiótico que él estimaba era el apropiado tras el reingreso del señor Poblete Vilches al Hospital</w:t>
      </w:r>
      <w:r w:rsidR="00CE2C34">
        <w:rPr>
          <w:sz w:val="20"/>
          <w:szCs w:val="20"/>
          <w:lang w:val="es-ES" w:eastAsia="en-US"/>
        </w:rPr>
        <w:t>;</w:t>
      </w:r>
      <w:r w:rsidRPr="002570D1">
        <w:rPr>
          <w:sz w:val="20"/>
          <w:szCs w:val="20"/>
          <w:lang w:val="es-ES" w:eastAsia="en-US"/>
        </w:rPr>
        <w:t xml:space="preserve"> sin embargo, dicha disconformidad no fue suficiente para señalar que hubo negligencia médica en el caso. En tal sentido, </w:t>
      </w:r>
      <w:r w:rsidR="00CE2C34">
        <w:rPr>
          <w:sz w:val="20"/>
          <w:szCs w:val="20"/>
          <w:lang w:val="es-ES" w:eastAsia="en-US"/>
        </w:rPr>
        <w:t>“</w:t>
      </w:r>
      <w:r w:rsidRPr="002570D1">
        <w:rPr>
          <w:sz w:val="20"/>
          <w:szCs w:val="20"/>
          <w:lang w:val="es-ES" w:eastAsia="en-US"/>
        </w:rPr>
        <w:t>la mera disconformidad con el tratamiento otorgado tras su segundo ingreso no puede transformarse en un estándar a ser establecido jurisprudencialmente</w:t>
      </w:r>
      <w:r w:rsidR="00CE2C34">
        <w:rPr>
          <w:sz w:val="20"/>
          <w:szCs w:val="20"/>
          <w:lang w:val="es-ES" w:eastAsia="en-US"/>
        </w:rPr>
        <w:t xml:space="preserve"> por esta Corte”</w:t>
      </w:r>
      <w:r w:rsidR="00CE2C34" w:rsidRPr="00B1523A">
        <w:rPr>
          <w:sz w:val="20"/>
          <w:szCs w:val="20"/>
          <w:lang w:val="es-ES" w:eastAsia="en-US"/>
        </w:rPr>
        <w:t>.</w:t>
      </w:r>
      <w:r w:rsidRPr="002570D1">
        <w:rPr>
          <w:sz w:val="20"/>
          <w:szCs w:val="20"/>
          <w:lang w:val="es-ES" w:eastAsia="en-US"/>
        </w:rPr>
        <w:t xml:space="preserve"> El </w:t>
      </w:r>
      <w:r w:rsidRPr="007143B1">
        <w:rPr>
          <w:sz w:val="20"/>
          <w:szCs w:val="20"/>
          <w:lang w:val="es-ES" w:eastAsia="en-US"/>
        </w:rPr>
        <w:t>Estado</w:t>
      </w:r>
      <w:r w:rsidRPr="002570D1">
        <w:rPr>
          <w:sz w:val="20"/>
          <w:szCs w:val="20"/>
          <w:lang w:val="es-ES" w:eastAsia="en-US"/>
        </w:rPr>
        <w:t xml:space="preserve"> sostuvo que la ventilación mecánica no es una prestación básica</w:t>
      </w:r>
      <w:r w:rsidR="00CE2C34">
        <w:rPr>
          <w:sz w:val="20"/>
          <w:szCs w:val="20"/>
          <w:lang w:val="es-ES" w:eastAsia="en-US"/>
        </w:rPr>
        <w:t>.</w:t>
      </w:r>
      <w:r w:rsidRPr="002570D1">
        <w:rPr>
          <w:b/>
          <w:sz w:val="20"/>
          <w:szCs w:val="20"/>
          <w:lang w:val="es-ES" w:eastAsia="en-US"/>
        </w:rPr>
        <w:t xml:space="preserve"> </w:t>
      </w:r>
      <w:r w:rsidRPr="002570D1">
        <w:rPr>
          <w:sz w:val="20"/>
          <w:szCs w:val="20"/>
          <w:lang w:val="es-ES" w:eastAsia="en-US"/>
        </w:rPr>
        <w:t xml:space="preserve">Asimismo, </w:t>
      </w:r>
      <w:r w:rsidR="00045B83">
        <w:rPr>
          <w:sz w:val="20"/>
          <w:szCs w:val="20"/>
          <w:lang w:val="es-ES" w:eastAsia="en-US"/>
        </w:rPr>
        <w:t xml:space="preserve">señaló que </w:t>
      </w:r>
      <w:r w:rsidRPr="002570D1">
        <w:rPr>
          <w:sz w:val="20"/>
          <w:szCs w:val="20"/>
          <w:lang w:val="es-ES" w:eastAsia="en-US"/>
        </w:rPr>
        <w:t xml:space="preserve">a través del </w:t>
      </w:r>
      <w:r w:rsidR="00045B83">
        <w:rPr>
          <w:sz w:val="20"/>
          <w:szCs w:val="20"/>
          <w:lang w:val="es-ES" w:eastAsia="en-US"/>
        </w:rPr>
        <w:t>proceder</w:t>
      </w:r>
      <w:r w:rsidRPr="002570D1">
        <w:rPr>
          <w:sz w:val="20"/>
          <w:szCs w:val="20"/>
          <w:lang w:val="es-ES" w:eastAsia="en-US"/>
        </w:rPr>
        <w:t xml:space="preserve"> médico del Hospital Sotero del Río, actuó bajo el criterio de razonabilidad no siendo tal </w:t>
      </w:r>
      <w:r w:rsidR="00045B83">
        <w:rPr>
          <w:sz w:val="20"/>
          <w:szCs w:val="20"/>
          <w:lang w:val="es-ES" w:eastAsia="en-US"/>
        </w:rPr>
        <w:t>hecho</w:t>
      </w:r>
      <w:r w:rsidRPr="002570D1">
        <w:rPr>
          <w:sz w:val="20"/>
          <w:szCs w:val="20"/>
          <w:lang w:val="es-ES" w:eastAsia="en-US"/>
        </w:rPr>
        <w:t xml:space="preserve"> la razón del lamentable fallecimiento del señor Poblete Vilches, quien desde su primer ingreso, sumado a su edad, presentaba un cuadro médico crónico, reconocido como tal por el propio perito Santos. El </w:t>
      </w:r>
      <w:r w:rsidRPr="007143B1">
        <w:rPr>
          <w:sz w:val="20"/>
          <w:szCs w:val="20"/>
          <w:lang w:val="es-ES" w:eastAsia="en-US"/>
        </w:rPr>
        <w:lastRenderedPageBreak/>
        <w:t>Estado</w:t>
      </w:r>
      <w:r w:rsidRPr="002570D1">
        <w:rPr>
          <w:sz w:val="20"/>
          <w:szCs w:val="20"/>
          <w:lang w:val="es-ES" w:eastAsia="en-US"/>
        </w:rPr>
        <w:t xml:space="preserve"> concluyó que los hechos señalados configuran una vulneración del artículo 5</w:t>
      </w:r>
      <w:r w:rsidR="00045B83">
        <w:rPr>
          <w:sz w:val="20"/>
          <w:szCs w:val="20"/>
          <w:lang w:val="es-ES" w:eastAsia="en-US"/>
        </w:rPr>
        <w:t xml:space="preserve"> de la Convención</w:t>
      </w:r>
      <w:r w:rsidRPr="002570D1">
        <w:rPr>
          <w:sz w:val="20"/>
          <w:szCs w:val="20"/>
          <w:lang w:val="es-ES" w:eastAsia="en-US"/>
        </w:rPr>
        <w:t xml:space="preserve">, pero no así en cuanto al derecho a la vida, </w:t>
      </w:r>
      <w:r w:rsidR="00CE2C34">
        <w:rPr>
          <w:sz w:val="20"/>
          <w:szCs w:val="20"/>
          <w:lang w:val="es-ES" w:eastAsia="en-US"/>
        </w:rPr>
        <w:t>el cual</w:t>
      </w:r>
      <w:r w:rsidR="00CE2C34" w:rsidRPr="002570D1">
        <w:rPr>
          <w:sz w:val="20"/>
          <w:szCs w:val="20"/>
          <w:lang w:val="es-ES" w:eastAsia="en-US"/>
        </w:rPr>
        <w:t xml:space="preserve"> </w:t>
      </w:r>
      <w:r w:rsidRPr="002570D1">
        <w:rPr>
          <w:sz w:val="20"/>
          <w:szCs w:val="20"/>
          <w:lang w:val="es-ES" w:eastAsia="en-US"/>
        </w:rPr>
        <w:t>está regido por estándares distintos</w:t>
      </w:r>
      <w:r w:rsidR="00CE2C34">
        <w:rPr>
          <w:sz w:val="20"/>
          <w:szCs w:val="20"/>
          <w:lang w:val="es-ES" w:eastAsia="en-US"/>
        </w:rPr>
        <w:t>,</w:t>
      </w:r>
      <w:r w:rsidRPr="002570D1">
        <w:rPr>
          <w:sz w:val="20"/>
          <w:szCs w:val="20"/>
          <w:lang w:val="es-ES" w:eastAsia="en-US"/>
        </w:rPr>
        <w:t xml:space="preserve"> y de ahí que se reconozca responsabilidad respecto de uno y no de otro. Consecuentemente</w:t>
      </w:r>
      <w:r w:rsidR="00CE2C34">
        <w:rPr>
          <w:sz w:val="20"/>
          <w:szCs w:val="20"/>
          <w:lang w:val="es-ES" w:eastAsia="en-US"/>
        </w:rPr>
        <w:t>,</w:t>
      </w:r>
      <w:r w:rsidRPr="002570D1">
        <w:rPr>
          <w:sz w:val="20"/>
          <w:szCs w:val="20"/>
          <w:lang w:val="es-ES" w:eastAsia="en-US"/>
        </w:rPr>
        <w:t xml:space="preserve"> </w:t>
      </w:r>
      <w:r w:rsidRPr="002570D1">
        <w:rPr>
          <w:rFonts w:eastAsiaTheme="minorHAnsi" w:cstheme="minorBidi"/>
          <w:sz w:val="20"/>
          <w:szCs w:val="20"/>
          <w:lang w:val="es-AR" w:eastAsia="en-US"/>
        </w:rPr>
        <w:t>reconoció expresamente que la decisión de dar de alta a la víctima</w:t>
      </w:r>
      <w:r w:rsidR="00CE2C34">
        <w:rPr>
          <w:rFonts w:eastAsiaTheme="minorHAnsi" w:cstheme="minorBidi"/>
          <w:sz w:val="20"/>
          <w:szCs w:val="20"/>
          <w:lang w:val="es-AR" w:eastAsia="en-US"/>
        </w:rPr>
        <w:t>,</w:t>
      </w:r>
      <w:r w:rsidRPr="002570D1">
        <w:rPr>
          <w:rFonts w:eastAsiaTheme="minorHAnsi" w:cstheme="minorBidi"/>
          <w:sz w:val="20"/>
          <w:szCs w:val="20"/>
          <w:lang w:val="es-AR" w:eastAsia="en-US"/>
        </w:rPr>
        <w:t xml:space="preserve"> en efecto</w:t>
      </w:r>
      <w:r w:rsidR="00CE2C34">
        <w:rPr>
          <w:rFonts w:eastAsiaTheme="minorHAnsi" w:cstheme="minorBidi"/>
          <w:sz w:val="20"/>
          <w:szCs w:val="20"/>
          <w:lang w:val="es-AR" w:eastAsia="en-US"/>
        </w:rPr>
        <w:t>,</w:t>
      </w:r>
      <w:r w:rsidRPr="002570D1">
        <w:rPr>
          <w:rFonts w:eastAsiaTheme="minorHAnsi" w:cstheme="minorBidi"/>
          <w:sz w:val="20"/>
          <w:szCs w:val="20"/>
          <w:lang w:val="es-AR" w:eastAsia="en-US"/>
        </w:rPr>
        <w:t xml:space="preserve"> no fue adecuada ni pertinente y que eso “constituyó un obstáculo en el acceso a condiciones que le garantizaran su derecho a la integridad corporal y, además, a su salud”.</w:t>
      </w:r>
    </w:p>
    <w:p w14:paraId="0AAF3ECE" w14:textId="77777777" w:rsidR="002570D1" w:rsidRPr="002570D1" w:rsidRDefault="002570D1" w:rsidP="002570D1">
      <w:pPr>
        <w:widowControl w:val="0"/>
        <w:tabs>
          <w:tab w:val="center" w:pos="567"/>
        </w:tabs>
        <w:autoSpaceDE w:val="0"/>
        <w:autoSpaceDN w:val="0"/>
        <w:adjustRightInd w:val="0"/>
        <w:contextualSpacing/>
        <w:rPr>
          <w:rFonts w:eastAsia="Calibri"/>
          <w:sz w:val="20"/>
          <w:szCs w:val="20"/>
          <w:lang w:val="es-MX" w:eastAsia="en-US"/>
        </w:rPr>
      </w:pPr>
    </w:p>
    <w:p w14:paraId="00091CBD" w14:textId="77777777" w:rsidR="002570D1" w:rsidRPr="00EB31AC" w:rsidRDefault="002570D1" w:rsidP="00EB31AC">
      <w:pPr>
        <w:pStyle w:val="Heading3"/>
        <w:numPr>
          <w:ilvl w:val="0"/>
          <w:numId w:val="19"/>
        </w:numPr>
        <w:rPr>
          <w:b/>
        </w:rPr>
      </w:pPr>
      <w:bookmarkStart w:id="75" w:name="_Toc513644464"/>
      <w:r w:rsidRPr="00EB31AC">
        <w:rPr>
          <w:b/>
        </w:rPr>
        <w:t>Relativos al consentimiento informado</w:t>
      </w:r>
      <w:bookmarkEnd w:id="75"/>
    </w:p>
    <w:p w14:paraId="78A01F1A" w14:textId="77777777" w:rsidR="002570D1" w:rsidRPr="002570D1" w:rsidRDefault="002570D1" w:rsidP="002570D1">
      <w:pPr>
        <w:widowControl w:val="0"/>
        <w:tabs>
          <w:tab w:val="center" w:pos="567"/>
        </w:tabs>
        <w:autoSpaceDE w:val="0"/>
        <w:autoSpaceDN w:val="0"/>
        <w:adjustRightInd w:val="0"/>
        <w:contextualSpacing/>
        <w:rPr>
          <w:rFonts w:eastAsia="Calibri"/>
          <w:sz w:val="20"/>
          <w:szCs w:val="20"/>
          <w:lang w:val="es-MX" w:eastAsia="en-US"/>
        </w:rPr>
      </w:pPr>
    </w:p>
    <w:p w14:paraId="31D61B3D" w14:textId="4FFE7862" w:rsidR="002570D1" w:rsidRPr="001E145A" w:rsidRDefault="002570D1" w:rsidP="002570D1">
      <w:pPr>
        <w:numPr>
          <w:ilvl w:val="0"/>
          <w:numId w:val="2"/>
        </w:numPr>
        <w:tabs>
          <w:tab w:val="left" w:pos="567"/>
          <w:tab w:val="num" w:pos="1569"/>
          <w:tab w:val="num" w:pos="12305"/>
        </w:tabs>
        <w:ind w:left="0" w:firstLine="0"/>
        <w:rPr>
          <w:rFonts w:eastAsia="Calibri"/>
          <w:sz w:val="20"/>
          <w:szCs w:val="20"/>
          <w:lang w:val="es-MX" w:eastAsia="en-US"/>
        </w:rPr>
      </w:pPr>
      <w:r w:rsidRPr="002570D1">
        <w:rPr>
          <w:rFonts w:eastAsia="Calibri"/>
          <w:sz w:val="20"/>
          <w:szCs w:val="20"/>
          <w:lang w:val="es-MX" w:eastAsia="es-ES"/>
        </w:rPr>
        <w:t xml:space="preserve">La </w:t>
      </w:r>
      <w:r w:rsidRPr="002570D1">
        <w:rPr>
          <w:rFonts w:eastAsia="Calibri"/>
          <w:b/>
          <w:i/>
          <w:sz w:val="20"/>
          <w:szCs w:val="20"/>
          <w:lang w:val="es-MX" w:eastAsia="es-ES"/>
        </w:rPr>
        <w:t>Comisión</w:t>
      </w:r>
      <w:r w:rsidRPr="002570D1">
        <w:rPr>
          <w:rFonts w:eastAsia="Calibri"/>
          <w:b/>
          <w:sz w:val="20"/>
          <w:szCs w:val="20"/>
          <w:lang w:val="es-MX" w:eastAsia="es-ES"/>
        </w:rPr>
        <w:t xml:space="preserve"> </w:t>
      </w:r>
      <w:r w:rsidRPr="002570D1">
        <w:rPr>
          <w:rFonts w:eastAsia="Calibri"/>
          <w:sz w:val="20"/>
          <w:szCs w:val="20"/>
          <w:lang w:val="es-MX" w:eastAsia="es-ES"/>
        </w:rPr>
        <w:t xml:space="preserve">señaló </w:t>
      </w:r>
      <w:r w:rsidRPr="002570D1">
        <w:rPr>
          <w:rFonts w:eastAsia="Calibri"/>
          <w:sz w:val="20"/>
          <w:szCs w:val="20"/>
          <w:lang w:val="es-MX" w:eastAsia="en-US"/>
        </w:rPr>
        <w:t>que en el expediente médico no se encuentran contenidos mínimos que permitirían entender si el señor Poblete Vilches y sus familiares recibieron información concreta para efectuar el consentimiento informado ni que se cumpliera con los tres elementos del mismo. La Comisión indicó que ni en el marco del procedimiento realizado en el primer ingreso del señor Poblete Vilches ni en el marco del tratamiento tras su segundo ingreso</w:t>
      </w:r>
      <w:r w:rsidR="00012B33">
        <w:rPr>
          <w:rFonts w:eastAsia="Calibri"/>
          <w:sz w:val="20"/>
          <w:szCs w:val="20"/>
          <w:lang w:val="es-MX" w:eastAsia="en-US"/>
        </w:rPr>
        <w:t>,</w:t>
      </w:r>
      <w:r w:rsidRPr="002570D1">
        <w:rPr>
          <w:rFonts w:eastAsia="Calibri"/>
          <w:sz w:val="20"/>
          <w:szCs w:val="20"/>
          <w:lang w:val="es-MX" w:eastAsia="en-US"/>
        </w:rPr>
        <w:t xml:space="preserve"> el personal médico cumplió con sus obligaciones en materia de consentimiento informado. Asimismo, </w:t>
      </w:r>
      <w:r w:rsidR="00EE08AB">
        <w:rPr>
          <w:rFonts w:eastAsia="Calibri"/>
          <w:sz w:val="20"/>
          <w:szCs w:val="20"/>
          <w:lang w:val="es-MX" w:eastAsia="en-US"/>
        </w:rPr>
        <w:t xml:space="preserve">señaló que </w:t>
      </w:r>
      <w:r w:rsidRPr="002570D1">
        <w:rPr>
          <w:rFonts w:eastAsia="Calibri"/>
          <w:sz w:val="20"/>
          <w:szCs w:val="20"/>
          <w:lang w:val="es-MX" w:eastAsia="en-US"/>
        </w:rPr>
        <w:t xml:space="preserve">dado que el Hospital </w:t>
      </w:r>
      <w:proofErr w:type="spellStart"/>
      <w:r w:rsidRPr="002570D1">
        <w:rPr>
          <w:rFonts w:eastAsia="Calibri"/>
          <w:sz w:val="20"/>
          <w:szCs w:val="20"/>
          <w:lang w:val="es-MX" w:eastAsia="en-US"/>
        </w:rPr>
        <w:t>Sótero</w:t>
      </w:r>
      <w:proofErr w:type="spellEnd"/>
      <w:r w:rsidRPr="002570D1">
        <w:rPr>
          <w:rFonts w:eastAsia="Calibri"/>
          <w:sz w:val="20"/>
          <w:szCs w:val="20"/>
          <w:lang w:val="es-MX" w:eastAsia="en-US"/>
        </w:rPr>
        <w:t xml:space="preserve"> del Río es un hospital público, el incumplimiento resulta directamente atribuible al Estado chileno. En este sentido, la Comisión consideró que Chile violó el derecho de acceso a la información para la elección de servicios de salud</w:t>
      </w:r>
      <w:r w:rsidR="00012B33">
        <w:rPr>
          <w:rFonts w:eastAsia="Calibri"/>
          <w:sz w:val="20"/>
          <w:szCs w:val="20"/>
          <w:lang w:val="es-MX" w:eastAsia="en-US"/>
        </w:rPr>
        <w:t>,</w:t>
      </w:r>
      <w:r w:rsidRPr="002570D1">
        <w:rPr>
          <w:rFonts w:eastAsia="Calibri"/>
          <w:sz w:val="20"/>
          <w:szCs w:val="20"/>
          <w:lang w:val="es-MX" w:eastAsia="en-US"/>
        </w:rPr>
        <w:t xml:space="preserve"> protegido por el artículo 13, en relación con las obligaciones en el artículo 1.1</w:t>
      </w:r>
      <w:r w:rsidR="00012B33">
        <w:rPr>
          <w:rFonts w:eastAsia="Calibri"/>
          <w:sz w:val="20"/>
          <w:szCs w:val="20"/>
          <w:lang w:val="es-MX" w:eastAsia="en-US"/>
        </w:rPr>
        <w:t>,</w:t>
      </w:r>
      <w:r w:rsidRPr="002570D1">
        <w:rPr>
          <w:rFonts w:eastAsia="Calibri"/>
          <w:sz w:val="20"/>
          <w:szCs w:val="20"/>
          <w:lang w:val="es-MX" w:eastAsia="en-US"/>
        </w:rPr>
        <w:t xml:space="preserve"> y los derechos a la vida, integridad y salud establecidos en los artículos 4 y 5 de la Convención</w:t>
      </w:r>
      <w:r w:rsidR="00012B33">
        <w:rPr>
          <w:rFonts w:eastAsia="Calibri"/>
          <w:sz w:val="20"/>
          <w:szCs w:val="20"/>
          <w:lang w:val="es-MX" w:eastAsia="en-US"/>
        </w:rPr>
        <w:t>,</w:t>
      </w:r>
      <w:r w:rsidRPr="002570D1">
        <w:rPr>
          <w:rFonts w:eastAsia="Calibri"/>
          <w:sz w:val="20"/>
          <w:szCs w:val="20"/>
          <w:lang w:val="es-MX" w:eastAsia="en-US"/>
        </w:rPr>
        <w:t xml:space="preserve"> en perjuicio </w:t>
      </w:r>
      <w:r w:rsidRPr="001E145A">
        <w:rPr>
          <w:rFonts w:eastAsia="Calibri"/>
          <w:sz w:val="20"/>
          <w:szCs w:val="20"/>
          <w:lang w:val="es-MX" w:eastAsia="en-US"/>
        </w:rPr>
        <w:t xml:space="preserve">del señor Poblete Vilches y </w:t>
      </w:r>
      <w:r w:rsidR="00E957B9">
        <w:rPr>
          <w:rFonts w:eastAsia="Calibri"/>
          <w:sz w:val="20"/>
          <w:szCs w:val="20"/>
          <w:lang w:val="es-MX" w:eastAsia="en-US"/>
        </w:rPr>
        <w:t xml:space="preserve">de </w:t>
      </w:r>
      <w:r w:rsidRPr="001E145A">
        <w:rPr>
          <w:rFonts w:eastAsia="Calibri"/>
          <w:sz w:val="20"/>
          <w:szCs w:val="20"/>
          <w:lang w:val="es-MX" w:eastAsia="en-US"/>
        </w:rPr>
        <w:t xml:space="preserve">sus familiares. </w:t>
      </w:r>
    </w:p>
    <w:p w14:paraId="7DDFBEC2" w14:textId="77777777" w:rsidR="002570D1" w:rsidRPr="001E145A" w:rsidRDefault="002570D1" w:rsidP="002570D1">
      <w:pPr>
        <w:contextualSpacing/>
        <w:rPr>
          <w:rFonts w:eastAsia="Calibri"/>
          <w:sz w:val="20"/>
          <w:szCs w:val="20"/>
          <w:lang w:val="es-MX" w:eastAsia="en-US"/>
        </w:rPr>
      </w:pPr>
    </w:p>
    <w:p w14:paraId="0BA6233F" w14:textId="403DFF67" w:rsidR="00957D73" w:rsidRPr="001E145A" w:rsidRDefault="002570D1" w:rsidP="005430FF">
      <w:pPr>
        <w:numPr>
          <w:ilvl w:val="0"/>
          <w:numId w:val="2"/>
        </w:numPr>
        <w:tabs>
          <w:tab w:val="left" w:pos="567"/>
          <w:tab w:val="num" w:pos="1569"/>
          <w:tab w:val="num" w:pos="12305"/>
        </w:tabs>
        <w:ind w:left="0" w:firstLine="0"/>
        <w:contextualSpacing/>
        <w:rPr>
          <w:rFonts w:eastAsia="Calibri"/>
          <w:sz w:val="20"/>
          <w:szCs w:val="20"/>
          <w:lang w:val="es-MX" w:eastAsia="en-US"/>
        </w:rPr>
      </w:pPr>
      <w:r w:rsidRPr="001E145A">
        <w:rPr>
          <w:rFonts w:eastAsia="Calibri"/>
          <w:sz w:val="20"/>
          <w:szCs w:val="20"/>
          <w:lang w:val="es-MX" w:eastAsia="en-US"/>
        </w:rPr>
        <w:t xml:space="preserve">Las </w:t>
      </w:r>
      <w:r w:rsidRPr="001E145A">
        <w:rPr>
          <w:rFonts w:eastAsia="Calibri"/>
          <w:b/>
          <w:i/>
          <w:sz w:val="20"/>
          <w:szCs w:val="20"/>
          <w:lang w:val="es-MX" w:eastAsia="en-US"/>
        </w:rPr>
        <w:t>representantes</w:t>
      </w:r>
      <w:r w:rsidRPr="001E145A">
        <w:rPr>
          <w:rFonts w:eastAsia="Calibri"/>
          <w:sz w:val="20"/>
          <w:szCs w:val="20"/>
          <w:lang w:val="es-MX" w:eastAsia="en-US"/>
        </w:rPr>
        <w:t xml:space="preserve"> señalaron que el señor Poblete Vilches se encontraba inconsciente al momento en el que se decidió sobre su intervención quirúrgica y</w:t>
      </w:r>
      <w:r w:rsidR="00E957B9">
        <w:rPr>
          <w:rFonts w:eastAsia="Calibri"/>
          <w:sz w:val="20"/>
          <w:szCs w:val="20"/>
          <w:lang w:val="es-MX" w:eastAsia="en-US"/>
        </w:rPr>
        <w:t>,</w:t>
      </w:r>
      <w:r w:rsidRPr="001E145A">
        <w:rPr>
          <w:rFonts w:eastAsia="Calibri"/>
          <w:sz w:val="20"/>
          <w:szCs w:val="20"/>
          <w:lang w:val="es-MX" w:eastAsia="en-US"/>
        </w:rPr>
        <w:t xml:space="preserve"> por ello, no estaba en condiciones de consentir ningún tipo de procedimiento</w:t>
      </w:r>
      <w:r w:rsidR="00E957B9" w:rsidRPr="00B1523A">
        <w:rPr>
          <w:rFonts w:eastAsia="Calibri"/>
          <w:sz w:val="20"/>
          <w:szCs w:val="20"/>
          <w:lang w:val="es-MX" w:eastAsia="en-US"/>
        </w:rPr>
        <w:t>.</w:t>
      </w:r>
      <w:r w:rsidRPr="001E145A">
        <w:rPr>
          <w:rFonts w:eastAsia="Calibri"/>
          <w:b/>
          <w:sz w:val="20"/>
          <w:szCs w:val="20"/>
          <w:lang w:val="es-MX" w:eastAsia="en-US"/>
        </w:rPr>
        <w:t xml:space="preserve"> </w:t>
      </w:r>
      <w:r w:rsidRPr="001E145A">
        <w:rPr>
          <w:rFonts w:eastAsia="Calibri"/>
          <w:sz w:val="20"/>
          <w:szCs w:val="20"/>
          <w:lang w:val="es-MX" w:eastAsia="en-US"/>
        </w:rPr>
        <w:t>Además, sus familiares, qu</w:t>
      </w:r>
      <w:r w:rsidR="00091418">
        <w:rPr>
          <w:rFonts w:eastAsia="Calibri"/>
          <w:sz w:val="20"/>
          <w:szCs w:val="20"/>
          <w:lang w:val="es-MX" w:eastAsia="en-US"/>
        </w:rPr>
        <w:t>i</w:t>
      </w:r>
      <w:r w:rsidRPr="001E145A">
        <w:rPr>
          <w:rFonts w:eastAsia="Calibri"/>
          <w:sz w:val="20"/>
          <w:szCs w:val="20"/>
          <w:lang w:val="es-MX" w:eastAsia="en-US"/>
        </w:rPr>
        <w:t>e</w:t>
      </w:r>
      <w:r w:rsidR="00091418">
        <w:rPr>
          <w:rFonts w:eastAsia="Calibri"/>
          <w:sz w:val="20"/>
          <w:szCs w:val="20"/>
          <w:lang w:val="es-MX" w:eastAsia="en-US"/>
        </w:rPr>
        <w:t>nes</w:t>
      </w:r>
      <w:r w:rsidRPr="001E145A">
        <w:rPr>
          <w:rFonts w:eastAsia="Calibri"/>
          <w:sz w:val="20"/>
          <w:szCs w:val="20"/>
          <w:lang w:val="es-MX" w:eastAsia="en-US"/>
        </w:rPr>
        <w:t xml:space="preserve"> conocían los antecedentes de diabetes que padecía el paciente, expresaron que no autorizaban ninguna intervención. En este sentido, las </w:t>
      </w:r>
      <w:r w:rsidRPr="007143B1">
        <w:rPr>
          <w:rFonts w:eastAsia="Calibri"/>
          <w:sz w:val="20"/>
          <w:szCs w:val="20"/>
          <w:lang w:val="es-MX" w:eastAsia="en-US"/>
        </w:rPr>
        <w:t>representantes</w:t>
      </w:r>
      <w:r w:rsidRPr="001E145A">
        <w:rPr>
          <w:rFonts w:eastAsia="Calibri"/>
          <w:sz w:val="20"/>
          <w:szCs w:val="20"/>
          <w:lang w:val="es-MX" w:eastAsia="en-US"/>
        </w:rPr>
        <w:t xml:space="preserve"> indicaron que la constancia que se encuentra en la historia clínica para autorizar el procedimiento fue falsificada</w:t>
      </w:r>
      <w:r w:rsidR="00091418">
        <w:rPr>
          <w:rFonts w:eastAsia="Calibri"/>
          <w:sz w:val="20"/>
          <w:szCs w:val="20"/>
          <w:lang w:val="es-MX" w:eastAsia="en-US"/>
        </w:rPr>
        <w:t>.</w:t>
      </w:r>
      <w:r w:rsidRPr="001E145A">
        <w:rPr>
          <w:rFonts w:eastAsia="Calibri"/>
          <w:sz w:val="20"/>
          <w:szCs w:val="20"/>
          <w:lang w:val="es-MX" w:eastAsia="en-US"/>
        </w:rPr>
        <w:t xml:space="preserve"> Por otro lado, indicaron que no existe registro alguno que indique que la presunta víctima o sus familiares hayan recibido información completa del </w:t>
      </w:r>
      <w:r w:rsidR="00091418">
        <w:rPr>
          <w:rFonts w:eastAsia="Calibri"/>
          <w:sz w:val="20"/>
          <w:szCs w:val="20"/>
          <w:lang w:val="es-MX" w:eastAsia="en-US"/>
        </w:rPr>
        <w:t>e</w:t>
      </w:r>
      <w:r w:rsidRPr="001E145A">
        <w:rPr>
          <w:rFonts w:eastAsia="Calibri"/>
          <w:sz w:val="20"/>
          <w:szCs w:val="20"/>
          <w:lang w:val="es-MX" w:eastAsia="en-US"/>
        </w:rPr>
        <w:t>stado de salud del señor Poblete Vilches</w:t>
      </w:r>
      <w:r w:rsidR="00091418">
        <w:rPr>
          <w:rFonts w:eastAsia="Calibri"/>
          <w:sz w:val="20"/>
          <w:szCs w:val="20"/>
          <w:lang w:val="es-MX" w:eastAsia="en-US"/>
        </w:rPr>
        <w:t>;</w:t>
      </w:r>
      <w:r w:rsidRPr="001E145A">
        <w:rPr>
          <w:rFonts w:eastAsia="Calibri"/>
          <w:sz w:val="20"/>
          <w:szCs w:val="20"/>
          <w:lang w:val="es-MX" w:eastAsia="en-US"/>
        </w:rPr>
        <w:t xml:space="preserve"> la naturaleza del diagnóstico, ni una descripción detallada de la naturaleza, riesgos, consecuencias y tratamientos alternativos del procedimiento. Agregaron que para la época de los hechos el Estado contaba con normativa</w:t>
      </w:r>
      <w:r w:rsidR="00D12AAB">
        <w:rPr>
          <w:rFonts w:eastAsia="Calibri"/>
          <w:sz w:val="20"/>
          <w:szCs w:val="20"/>
          <w:lang w:val="es-MX" w:eastAsia="en-US"/>
        </w:rPr>
        <w:t>s</w:t>
      </w:r>
      <w:r w:rsidRPr="001E145A">
        <w:rPr>
          <w:rFonts w:eastAsia="Calibri"/>
          <w:sz w:val="20"/>
          <w:szCs w:val="20"/>
          <w:lang w:val="es-MX" w:eastAsia="en-US"/>
        </w:rPr>
        <w:t xml:space="preserve"> interna</w:t>
      </w:r>
      <w:r w:rsidR="00D12AAB">
        <w:rPr>
          <w:rFonts w:eastAsia="Calibri"/>
          <w:sz w:val="20"/>
          <w:szCs w:val="20"/>
          <w:lang w:val="es-MX" w:eastAsia="en-US"/>
        </w:rPr>
        <w:t>s</w:t>
      </w:r>
      <w:r w:rsidRPr="001E145A">
        <w:rPr>
          <w:rFonts w:eastAsia="Calibri"/>
          <w:sz w:val="20"/>
          <w:szCs w:val="20"/>
          <w:lang w:val="es-MX" w:eastAsia="en-US"/>
        </w:rPr>
        <w:t xml:space="preserve"> relevante</w:t>
      </w:r>
      <w:r w:rsidR="00D12AAB">
        <w:rPr>
          <w:rFonts w:eastAsia="Calibri"/>
          <w:sz w:val="20"/>
          <w:szCs w:val="20"/>
          <w:lang w:val="es-MX" w:eastAsia="en-US"/>
        </w:rPr>
        <w:t>s</w:t>
      </w:r>
      <w:r w:rsidR="002729B7" w:rsidRPr="001E145A">
        <w:rPr>
          <w:rFonts w:eastAsia="Calibri"/>
          <w:sz w:val="20"/>
          <w:szCs w:val="20"/>
          <w:lang w:val="es-MX" w:eastAsia="en-US"/>
        </w:rPr>
        <w:t xml:space="preserve"> sobre consentimiento informado</w:t>
      </w:r>
      <w:r w:rsidR="002729B7" w:rsidRPr="001E145A">
        <w:rPr>
          <w:rStyle w:val="FootnoteReference"/>
          <w:rFonts w:eastAsia="Calibri"/>
          <w:sz w:val="20"/>
          <w:szCs w:val="20"/>
          <w:lang w:val="es-MX" w:eastAsia="en-US"/>
        </w:rPr>
        <w:footnoteReference w:id="125"/>
      </w:r>
      <w:r w:rsidRPr="001E145A">
        <w:rPr>
          <w:rFonts w:eastAsia="Calibri" w:cs="Arial-ItalicMT"/>
          <w:iCs/>
          <w:sz w:val="20"/>
          <w:szCs w:val="20"/>
          <w:lang w:val="es-MX" w:eastAsia="en-US"/>
        </w:rPr>
        <w:t>.</w:t>
      </w:r>
      <w:r w:rsidRPr="001E145A">
        <w:rPr>
          <w:rFonts w:eastAsia="Calibri" w:cs="Arial-ItalicMT"/>
          <w:b/>
          <w:iCs/>
          <w:sz w:val="20"/>
          <w:szCs w:val="20"/>
          <w:lang w:val="es-MX" w:eastAsia="en-US"/>
        </w:rPr>
        <w:t xml:space="preserve"> </w:t>
      </w:r>
      <w:r w:rsidRPr="001E145A">
        <w:rPr>
          <w:rFonts w:eastAsia="Calibri"/>
          <w:sz w:val="20"/>
          <w:szCs w:val="20"/>
          <w:lang w:val="es-MX" w:eastAsia="en-US"/>
        </w:rPr>
        <w:t xml:space="preserve">Por lo que las </w:t>
      </w:r>
      <w:r w:rsidRPr="007143B1">
        <w:rPr>
          <w:rFonts w:eastAsia="Calibri"/>
          <w:sz w:val="20"/>
          <w:szCs w:val="20"/>
          <w:lang w:val="es-MX" w:eastAsia="en-US"/>
        </w:rPr>
        <w:t>representantes</w:t>
      </w:r>
      <w:r w:rsidRPr="001E145A">
        <w:rPr>
          <w:rFonts w:eastAsia="Calibri"/>
          <w:sz w:val="20"/>
          <w:szCs w:val="20"/>
          <w:lang w:val="es-MX" w:eastAsia="en-US"/>
        </w:rPr>
        <w:t xml:space="preserve"> concluyeron que el Estado violó el derecho a la información en materia de salud previsto en el artículo 13.1 en conexión con los artículos 4.1, 5.1 y 26 y con las obligaciones que surgen del artículo 1.1 de la Convención Americana</w:t>
      </w:r>
      <w:r w:rsidR="00C20EB7">
        <w:rPr>
          <w:rFonts w:eastAsia="Calibri"/>
          <w:sz w:val="20"/>
          <w:szCs w:val="20"/>
          <w:lang w:val="es-MX" w:eastAsia="en-US"/>
        </w:rPr>
        <w:t>,</w:t>
      </w:r>
      <w:r w:rsidRPr="001E145A">
        <w:rPr>
          <w:rFonts w:eastAsia="Calibri"/>
          <w:sz w:val="20"/>
          <w:szCs w:val="20"/>
          <w:lang w:val="es-MX" w:eastAsia="en-US"/>
        </w:rPr>
        <w:t xml:space="preserve"> al no garantizar a Vinicio Poblete ni a sus familiares directos el derecho a brindar consentimiento informado con anterioridad a la realización de una intervención médica. </w:t>
      </w:r>
      <w:r w:rsidR="00183FBB" w:rsidRPr="001E145A">
        <w:rPr>
          <w:sz w:val="20"/>
          <w:szCs w:val="20"/>
          <w:lang w:val="es-MX"/>
        </w:rPr>
        <w:t xml:space="preserve">Por último, las </w:t>
      </w:r>
      <w:r w:rsidR="00183FBB" w:rsidRPr="007143B1">
        <w:rPr>
          <w:sz w:val="20"/>
          <w:szCs w:val="20"/>
          <w:lang w:val="es-MX"/>
        </w:rPr>
        <w:t>representantes</w:t>
      </w:r>
      <w:r w:rsidR="00183FBB" w:rsidRPr="001E145A">
        <w:rPr>
          <w:sz w:val="20"/>
          <w:szCs w:val="20"/>
          <w:lang w:val="es-MX"/>
        </w:rPr>
        <w:t xml:space="preserve"> concluyeron que la falta de consentimiento antes de someter a la presunta víctima a una intervención quirúrgica resultó además violatoria de</w:t>
      </w:r>
      <w:r w:rsidR="00C20EB7">
        <w:rPr>
          <w:sz w:val="20"/>
          <w:szCs w:val="20"/>
          <w:lang w:val="es-MX"/>
        </w:rPr>
        <w:t xml:space="preserve"> los</w:t>
      </w:r>
      <w:r w:rsidR="00183FBB" w:rsidRPr="001E145A">
        <w:rPr>
          <w:sz w:val="20"/>
          <w:szCs w:val="20"/>
          <w:lang w:val="es-MX"/>
        </w:rPr>
        <w:t xml:space="preserve"> derecho</w:t>
      </w:r>
      <w:r w:rsidR="00C20EB7">
        <w:rPr>
          <w:sz w:val="20"/>
          <w:szCs w:val="20"/>
          <w:lang w:val="es-MX"/>
        </w:rPr>
        <w:t>s</w:t>
      </w:r>
      <w:r w:rsidR="00183FBB" w:rsidRPr="001E145A">
        <w:rPr>
          <w:sz w:val="20"/>
          <w:szCs w:val="20"/>
          <w:lang w:val="es-MX"/>
        </w:rPr>
        <w:t xml:space="preserve"> a la autonomía personal y a decidir libremente, previstos en los artículos 11 y 7 de la Convención, en perjuicio del señor Poblete Vilches y </w:t>
      </w:r>
      <w:r w:rsidR="00C20EB7">
        <w:rPr>
          <w:sz w:val="20"/>
          <w:szCs w:val="20"/>
          <w:lang w:val="es-MX"/>
        </w:rPr>
        <w:t xml:space="preserve">de </w:t>
      </w:r>
      <w:r w:rsidR="00183FBB" w:rsidRPr="001E145A">
        <w:rPr>
          <w:sz w:val="20"/>
          <w:szCs w:val="20"/>
          <w:lang w:val="es-MX"/>
        </w:rPr>
        <w:t xml:space="preserve">sus familiares. </w:t>
      </w:r>
    </w:p>
    <w:p w14:paraId="7FA2EAA5" w14:textId="77777777" w:rsidR="002570D1" w:rsidRPr="001E145A" w:rsidRDefault="002570D1" w:rsidP="005430FF">
      <w:pPr>
        <w:tabs>
          <w:tab w:val="left" w:pos="567"/>
        </w:tabs>
        <w:contextualSpacing/>
        <w:rPr>
          <w:rFonts w:eastAsia="Calibri"/>
          <w:sz w:val="20"/>
          <w:szCs w:val="20"/>
          <w:lang w:val="es-MX" w:eastAsia="en-US"/>
        </w:rPr>
      </w:pPr>
    </w:p>
    <w:p w14:paraId="2810B614" w14:textId="543BD496" w:rsidR="002570D1" w:rsidRPr="002570D1" w:rsidRDefault="002570D1" w:rsidP="002570D1">
      <w:pPr>
        <w:numPr>
          <w:ilvl w:val="0"/>
          <w:numId w:val="2"/>
        </w:numPr>
        <w:tabs>
          <w:tab w:val="left" w:pos="567"/>
          <w:tab w:val="num" w:pos="1569"/>
          <w:tab w:val="num" w:pos="12305"/>
        </w:tabs>
        <w:ind w:left="0" w:firstLine="0"/>
        <w:rPr>
          <w:rFonts w:eastAsia="Calibri" w:cs="Arial-ItalicMT"/>
          <w:iCs/>
          <w:sz w:val="20"/>
          <w:szCs w:val="20"/>
          <w:lang w:val="es-MX" w:eastAsia="en-US"/>
        </w:rPr>
      </w:pPr>
      <w:r w:rsidRPr="001E145A">
        <w:rPr>
          <w:rFonts w:eastAsia="Calibri" w:cs="Arial-ItalicMT"/>
          <w:iCs/>
          <w:sz w:val="20"/>
          <w:szCs w:val="20"/>
          <w:lang w:val="es-MX" w:eastAsia="en-US"/>
        </w:rPr>
        <w:t>En cuanto al reconocimiento parcial</w:t>
      </w:r>
      <w:r w:rsidRPr="002570D1">
        <w:rPr>
          <w:rFonts w:eastAsia="Calibri" w:cs="Arial-ItalicMT"/>
          <w:iCs/>
          <w:sz w:val="20"/>
          <w:szCs w:val="20"/>
          <w:lang w:val="es-MX" w:eastAsia="en-US"/>
        </w:rPr>
        <w:t xml:space="preserve"> de responsabilidad, l</w:t>
      </w:r>
      <w:r w:rsidR="007F4C0F">
        <w:rPr>
          <w:rFonts w:eastAsia="Calibri" w:cs="Arial-ItalicMT"/>
          <w:iCs/>
          <w:sz w:val="20"/>
          <w:szCs w:val="20"/>
          <w:lang w:val="es-MX" w:eastAsia="en-US"/>
        </w:rPr>
        <w:t>a</w:t>
      </w:r>
      <w:r w:rsidRPr="002570D1">
        <w:rPr>
          <w:rFonts w:eastAsia="Calibri" w:cs="Arial-ItalicMT"/>
          <w:iCs/>
          <w:sz w:val="20"/>
          <w:szCs w:val="20"/>
          <w:lang w:val="es-MX" w:eastAsia="en-US"/>
        </w:rPr>
        <w:t xml:space="preserve">s </w:t>
      </w:r>
      <w:r w:rsidRPr="007143B1">
        <w:rPr>
          <w:rFonts w:eastAsia="Calibri" w:cs="Arial-ItalicMT"/>
          <w:iCs/>
          <w:sz w:val="20"/>
          <w:szCs w:val="20"/>
          <w:lang w:val="es-MX" w:eastAsia="en-US"/>
        </w:rPr>
        <w:t>representantes</w:t>
      </w:r>
      <w:r w:rsidRPr="002570D1">
        <w:rPr>
          <w:rFonts w:eastAsia="Calibri" w:cs="Arial-ItalicMT"/>
          <w:iCs/>
          <w:sz w:val="20"/>
          <w:szCs w:val="20"/>
          <w:lang w:val="es-MX" w:eastAsia="en-US"/>
        </w:rPr>
        <w:t xml:space="preserve"> señalaron en sus alegatos finales escritos que el Estado sólo reconoció la violación de los artículos 7 y 11 respecto del señor Vinicio Poblete y no de sus familiares. Al respecto, las </w:t>
      </w:r>
      <w:r w:rsidRPr="007143B1">
        <w:rPr>
          <w:rFonts w:eastAsia="Calibri" w:cs="Arial-ItalicMT"/>
          <w:iCs/>
          <w:sz w:val="20"/>
          <w:szCs w:val="20"/>
          <w:lang w:val="es-MX" w:eastAsia="en-US"/>
        </w:rPr>
        <w:t>representantes</w:t>
      </w:r>
      <w:r w:rsidRPr="00A86D37">
        <w:rPr>
          <w:rFonts w:eastAsia="Calibri" w:cs="Arial-ItalicMT"/>
          <w:iCs/>
          <w:sz w:val="20"/>
          <w:szCs w:val="20"/>
          <w:lang w:val="es-MX" w:eastAsia="en-US"/>
        </w:rPr>
        <w:t xml:space="preserve"> </w:t>
      </w:r>
      <w:r w:rsidRPr="002570D1">
        <w:rPr>
          <w:rFonts w:eastAsia="Calibri" w:cs="Arial-ItalicMT"/>
          <w:iCs/>
          <w:sz w:val="20"/>
          <w:szCs w:val="20"/>
          <w:lang w:val="es-MX" w:eastAsia="en-US"/>
        </w:rPr>
        <w:t>argumentaron que</w:t>
      </w:r>
      <w:r w:rsidR="007F4C0F">
        <w:rPr>
          <w:rFonts w:eastAsia="Calibri" w:cs="Arial-ItalicMT"/>
          <w:iCs/>
          <w:sz w:val="20"/>
          <w:szCs w:val="20"/>
          <w:lang w:val="es-MX" w:eastAsia="en-US"/>
        </w:rPr>
        <w:t>:</w:t>
      </w:r>
      <w:r w:rsidRPr="002570D1">
        <w:rPr>
          <w:rFonts w:eastAsia="Calibri" w:cs="Arial-ItalicMT"/>
          <w:iCs/>
          <w:sz w:val="20"/>
          <w:szCs w:val="20"/>
          <w:lang w:val="es-MX" w:eastAsia="en-US"/>
        </w:rPr>
        <w:t xml:space="preserve"> i) la titularidad tanto del derecho a la autonomía y privacidad asegurados en el artículo 11, como el derecho a tomar decisiones libres que surge del artículo 7 de la Convención</w:t>
      </w:r>
      <w:r w:rsidR="007F4C0F">
        <w:rPr>
          <w:rFonts w:eastAsia="Calibri" w:cs="Arial-ItalicMT"/>
          <w:iCs/>
          <w:sz w:val="20"/>
          <w:szCs w:val="20"/>
          <w:lang w:val="es-MX" w:eastAsia="en-US"/>
        </w:rPr>
        <w:t>,</w:t>
      </w:r>
      <w:r w:rsidRPr="002570D1">
        <w:rPr>
          <w:rFonts w:eastAsia="Calibri" w:cs="Arial-ItalicMT"/>
          <w:iCs/>
          <w:sz w:val="20"/>
          <w:szCs w:val="20"/>
          <w:lang w:val="es-MX" w:eastAsia="en-US"/>
        </w:rPr>
        <w:t xml:space="preserve"> no pueden estar sujetos a la existencia o no de un acto formal de voluntad del </w:t>
      </w:r>
      <w:r w:rsidRPr="002570D1">
        <w:rPr>
          <w:rFonts w:eastAsia="Calibri" w:cs="Arial-ItalicMT"/>
          <w:iCs/>
          <w:sz w:val="20"/>
          <w:szCs w:val="20"/>
          <w:lang w:val="es-MX" w:eastAsia="en-US"/>
        </w:rPr>
        <w:lastRenderedPageBreak/>
        <w:t xml:space="preserve">paciente; ii) cuando el paciente no está en condiciones de prestar el consentimiento informado, los familiares tienen el derecho propio de hacerlo, </w:t>
      </w:r>
      <w:r w:rsidR="007F4C0F">
        <w:rPr>
          <w:rFonts w:eastAsia="Calibri" w:cs="Arial-ItalicMT"/>
          <w:iCs/>
          <w:sz w:val="20"/>
          <w:szCs w:val="20"/>
          <w:lang w:val="es-MX" w:eastAsia="en-US"/>
        </w:rPr>
        <w:t xml:space="preserve">dado que </w:t>
      </w:r>
      <w:r w:rsidRPr="002570D1">
        <w:rPr>
          <w:rFonts w:eastAsia="Calibri" w:cs="Arial-ItalicMT"/>
          <w:iCs/>
          <w:sz w:val="20"/>
          <w:szCs w:val="20"/>
          <w:lang w:val="es-MX" w:eastAsia="en-US"/>
        </w:rPr>
        <w:t>el derecho a tomar decisiones libres se torna operativo para los familiares cuando el paciente no puede ejercer el suyo; iii) el derecho a tomar decisiones libres en cabeza de los familiares es una derivación lógica del derecho a obtener información en materia de salud; iv) el artículo 11 contiene una cláusula general de protección de la dignidad que también poseen los familiares de los pacientes y esta se vio afectada</w:t>
      </w:r>
      <w:r w:rsidR="007F4C0F">
        <w:rPr>
          <w:rFonts w:eastAsia="Calibri" w:cs="Arial-ItalicMT"/>
          <w:iCs/>
          <w:sz w:val="20"/>
          <w:szCs w:val="20"/>
          <w:lang w:val="es-MX" w:eastAsia="en-US"/>
        </w:rPr>
        <w:t>,</w:t>
      </w:r>
      <w:r w:rsidRPr="002570D1">
        <w:rPr>
          <w:rFonts w:eastAsia="Calibri" w:cs="Arial-ItalicMT"/>
          <w:iCs/>
          <w:sz w:val="20"/>
          <w:szCs w:val="20"/>
          <w:lang w:val="es-MX" w:eastAsia="en-US"/>
        </w:rPr>
        <w:t xml:space="preserve"> toda vez que se les negó el derecho de obtener información en materia de salud y</w:t>
      </w:r>
      <w:r w:rsidR="007F4C0F">
        <w:rPr>
          <w:rFonts w:eastAsia="Calibri" w:cs="Arial-ItalicMT"/>
          <w:iCs/>
          <w:sz w:val="20"/>
          <w:szCs w:val="20"/>
          <w:lang w:val="es-MX" w:eastAsia="en-US"/>
        </w:rPr>
        <w:t>,</w:t>
      </w:r>
      <w:r w:rsidRPr="002570D1">
        <w:rPr>
          <w:rFonts w:eastAsia="Calibri" w:cs="Arial-ItalicMT"/>
          <w:iCs/>
          <w:sz w:val="20"/>
          <w:szCs w:val="20"/>
          <w:lang w:val="es-MX" w:eastAsia="en-US"/>
        </w:rPr>
        <w:t xml:space="preserve"> con ello</w:t>
      </w:r>
      <w:r w:rsidR="007F4C0F">
        <w:rPr>
          <w:rFonts w:eastAsia="Calibri" w:cs="Arial-ItalicMT"/>
          <w:iCs/>
          <w:sz w:val="20"/>
          <w:szCs w:val="20"/>
          <w:lang w:val="es-MX" w:eastAsia="en-US"/>
        </w:rPr>
        <w:t>,</w:t>
      </w:r>
      <w:r w:rsidRPr="002570D1">
        <w:rPr>
          <w:rFonts w:eastAsia="Calibri" w:cs="Arial-ItalicMT"/>
          <w:iCs/>
          <w:sz w:val="20"/>
          <w:szCs w:val="20"/>
          <w:lang w:val="es-MX" w:eastAsia="en-US"/>
        </w:rPr>
        <w:t xml:space="preserve"> la posibilidad de ejercer el derecho a tomar decisiones libres respecto de la salud de</w:t>
      </w:r>
      <w:r w:rsidR="002729B7">
        <w:rPr>
          <w:rFonts w:eastAsia="Calibri" w:cs="Arial-ItalicMT"/>
          <w:iCs/>
          <w:sz w:val="20"/>
          <w:szCs w:val="20"/>
          <w:lang w:val="es-MX" w:eastAsia="en-US"/>
        </w:rPr>
        <w:t>l señor Poblete Vilches</w:t>
      </w:r>
      <w:r w:rsidRPr="002570D1">
        <w:rPr>
          <w:rFonts w:eastAsia="Calibri" w:cs="Arial-ItalicMT"/>
          <w:iCs/>
          <w:sz w:val="20"/>
          <w:szCs w:val="20"/>
          <w:lang w:val="es-MX" w:eastAsia="en-US"/>
        </w:rPr>
        <w:t>, y v) el artículo 11 reconoce el derecho a la privacidad</w:t>
      </w:r>
      <w:r w:rsidR="007F4C0F">
        <w:rPr>
          <w:rFonts w:eastAsia="Calibri" w:cs="Arial-ItalicMT"/>
          <w:iCs/>
          <w:sz w:val="20"/>
          <w:szCs w:val="20"/>
          <w:lang w:val="es-MX" w:eastAsia="en-US"/>
        </w:rPr>
        <w:t>,</w:t>
      </w:r>
      <w:r w:rsidRPr="002570D1">
        <w:rPr>
          <w:rFonts w:eastAsia="Calibri" w:cs="Arial-ItalicMT"/>
          <w:iCs/>
          <w:sz w:val="20"/>
          <w:szCs w:val="20"/>
          <w:lang w:val="es-MX" w:eastAsia="en-US"/>
        </w:rPr>
        <w:t xml:space="preserve"> estableciendo la inviolabilidad de la vida privada y familiar, la cual resultó irremediablemente dañada por la negativa del Estado de brindarles información en materia de salud que permitiera tomar la mejor decisión libre</w:t>
      </w:r>
      <w:r w:rsidR="005A4CC5">
        <w:rPr>
          <w:rFonts w:eastAsia="Calibri" w:cs="Arial-ItalicMT"/>
          <w:iCs/>
          <w:sz w:val="20"/>
          <w:szCs w:val="20"/>
          <w:lang w:val="es-MX" w:eastAsia="en-US"/>
        </w:rPr>
        <w:t>mente</w:t>
      </w:r>
      <w:r w:rsidRPr="002570D1">
        <w:rPr>
          <w:rFonts w:eastAsia="Calibri" w:cs="Arial-ItalicMT"/>
          <w:iCs/>
          <w:sz w:val="20"/>
          <w:szCs w:val="20"/>
          <w:lang w:val="es-MX" w:eastAsia="en-US"/>
        </w:rPr>
        <w:t xml:space="preserve"> </w:t>
      </w:r>
      <w:r w:rsidR="005A4CC5">
        <w:rPr>
          <w:rFonts w:eastAsia="Calibri" w:cs="Arial-ItalicMT"/>
          <w:iCs/>
          <w:sz w:val="20"/>
          <w:szCs w:val="20"/>
          <w:lang w:val="es-MX" w:eastAsia="en-US"/>
        </w:rPr>
        <w:t>para la</w:t>
      </w:r>
      <w:r w:rsidR="005A4CC5" w:rsidRPr="002570D1">
        <w:rPr>
          <w:rFonts w:eastAsia="Calibri" w:cs="Arial-ItalicMT"/>
          <w:iCs/>
          <w:sz w:val="20"/>
          <w:szCs w:val="20"/>
          <w:lang w:val="es-MX" w:eastAsia="en-US"/>
        </w:rPr>
        <w:t xml:space="preserve"> </w:t>
      </w:r>
      <w:r w:rsidRPr="002570D1">
        <w:rPr>
          <w:rFonts w:eastAsia="Calibri" w:cs="Arial-ItalicMT"/>
          <w:iCs/>
          <w:sz w:val="20"/>
          <w:szCs w:val="20"/>
          <w:lang w:val="es-MX" w:eastAsia="en-US"/>
        </w:rPr>
        <w:t>protección de la vida familiar</w:t>
      </w:r>
      <w:r w:rsidR="007F4C0F">
        <w:rPr>
          <w:rFonts w:eastAsia="Calibri" w:cs="Arial-ItalicMT"/>
          <w:iCs/>
          <w:sz w:val="20"/>
          <w:szCs w:val="20"/>
          <w:lang w:val="es-MX" w:eastAsia="en-US"/>
        </w:rPr>
        <w:t>.</w:t>
      </w:r>
      <w:r w:rsidRPr="002570D1">
        <w:rPr>
          <w:rFonts w:eastAsia="Calibri" w:cs="Arial-ItalicMT"/>
          <w:b/>
          <w:iCs/>
          <w:sz w:val="20"/>
          <w:szCs w:val="20"/>
          <w:lang w:val="es-MX" w:eastAsia="en-US"/>
        </w:rPr>
        <w:t xml:space="preserve"> </w:t>
      </w:r>
      <w:r w:rsidRPr="002570D1">
        <w:rPr>
          <w:rFonts w:eastAsia="Calibri" w:cs="Arial-ItalicMT"/>
          <w:iCs/>
          <w:sz w:val="20"/>
          <w:szCs w:val="20"/>
          <w:lang w:val="es-MX" w:eastAsia="en-US"/>
        </w:rPr>
        <w:t xml:space="preserve">Por otra parte, las </w:t>
      </w:r>
      <w:r w:rsidRPr="007143B1">
        <w:rPr>
          <w:rFonts w:eastAsia="Calibri" w:cs="Arial-ItalicMT"/>
          <w:iCs/>
          <w:sz w:val="20"/>
          <w:szCs w:val="20"/>
          <w:lang w:val="es-MX" w:eastAsia="en-US"/>
        </w:rPr>
        <w:t>representantes</w:t>
      </w:r>
      <w:r w:rsidRPr="002570D1">
        <w:rPr>
          <w:rFonts w:eastAsia="Calibri" w:cs="Arial-ItalicMT"/>
          <w:iCs/>
          <w:sz w:val="20"/>
          <w:szCs w:val="20"/>
          <w:lang w:val="es-MX" w:eastAsia="en-US"/>
        </w:rPr>
        <w:t xml:space="preserve"> solicitaron a la Corte tomar en consideración un segundo momento </w:t>
      </w:r>
      <w:r w:rsidR="007F4C0F">
        <w:rPr>
          <w:rFonts w:eastAsia="Calibri" w:cs="Arial-ItalicMT"/>
          <w:iCs/>
          <w:sz w:val="20"/>
          <w:szCs w:val="20"/>
          <w:lang w:val="es-MX" w:eastAsia="en-US"/>
        </w:rPr>
        <w:t>en</w:t>
      </w:r>
      <w:r w:rsidR="007F4C0F" w:rsidRPr="002570D1">
        <w:rPr>
          <w:rFonts w:eastAsia="Calibri" w:cs="Arial-ItalicMT"/>
          <w:iCs/>
          <w:sz w:val="20"/>
          <w:szCs w:val="20"/>
          <w:lang w:val="es-MX" w:eastAsia="en-US"/>
        </w:rPr>
        <w:t xml:space="preserve"> </w:t>
      </w:r>
      <w:r w:rsidRPr="002570D1">
        <w:rPr>
          <w:rFonts w:eastAsia="Calibri" w:cs="Arial-ItalicMT"/>
          <w:iCs/>
          <w:sz w:val="20"/>
          <w:szCs w:val="20"/>
          <w:lang w:val="es-MX" w:eastAsia="en-US"/>
        </w:rPr>
        <w:t>donde se debió requerir el consentimiento de los familiares y no se hizo, correspondiente al hecho de que se brindara atención intermedia al señor Poblete Vilches por la falta de camas, en vez de la que requería</w:t>
      </w:r>
      <w:r w:rsidR="007F4C0F">
        <w:rPr>
          <w:rFonts w:eastAsia="Calibri" w:cs="Arial-ItalicMT"/>
          <w:iCs/>
          <w:sz w:val="20"/>
          <w:szCs w:val="20"/>
          <w:lang w:val="es-MX" w:eastAsia="en-US"/>
        </w:rPr>
        <w:t>,</w:t>
      </w:r>
      <w:r w:rsidRPr="002570D1">
        <w:rPr>
          <w:rFonts w:eastAsia="Calibri" w:cs="Arial-ItalicMT"/>
          <w:iCs/>
          <w:sz w:val="20"/>
          <w:szCs w:val="20"/>
          <w:lang w:val="es-MX" w:eastAsia="en-US"/>
        </w:rPr>
        <w:t xml:space="preserve"> que era asistencia en UCI Médica con un respirador mecánico. </w:t>
      </w:r>
    </w:p>
    <w:p w14:paraId="2425D397" w14:textId="77777777" w:rsidR="002570D1" w:rsidRPr="002570D1" w:rsidRDefault="002570D1" w:rsidP="002570D1">
      <w:pPr>
        <w:autoSpaceDE w:val="0"/>
        <w:autoSpaceDN w:val="0"/>
        <w:adjustRightInd w:val="0"/>
        <w:rPr>
          <w:rFonts w:eastAsia="Calibri" w:cs="Arial-ItalicMT"/>
          <w:iCs/>
          <w:sz w:val="20"/>
          <w:szCs w:val="20"/>
          <w:lang w:val="es-MX" w:eastAsia="en-US"/>
        </w:rPr>
      </w:pPr>
    </w:p>
    <w:p w14:paraId="5A3315C8" w14:textId="53C1DBC5" w:rsidR="002570D1" w:rsidRPr="002570D1" w:rsidRDefault="002570D1" w:rsidP="002570D1">
      <w:pPr>
        <w:numPr>
          <w:ilvl w:val="0"/>
          <w:numId w:val="2"/>
        </w:numPr>
        <w:tabs>
          <w:tab w:val="left" w:pos="567"/>
          <w:tab w:val="num" w:pos="1569"/>
          <w:tab w:val="num" w:pos="12305"/>
        </w:tabs>
        <w:ind w:left="0" w:firstLine="0"/>
        <w:rPr>
          <w:rFonts w:eastAsia="Calibri"/>
          <w:sz w:val="20"/>
          <w:szCs w:val="20"/>
          <w:lang w:val="es-MX" w:eastAsia="en-US"/>
        </w:rPr>
      </w:pPr>
      <w:r w:rsidRPr="002570D1">
        <w:rPr>
          <w:rFonts w:eastAsia="Calibri"/>
          <w:sz w:val="20"/>
          <w:szCs w:val="20"/>
          <w:lang w:val="es-MX" w:eastAsia="en-US"/>
        </w:rPr>
        <w:t xml:space="preserve">El </w:t>
      </w:r>
      <w:r w:rsidRPr="002570D1">
        <w:rPr>
          <w:rFonts w:eastAsia="Calibri"/>
          <w:b/>
          <w:i/>
          <w:sz w:val="20"/>
          <w:szCs w:val="20"/>
          <w:lang w:val="es-MX" w:eastAsia="en-US"/>
        </w:rPr>
        <w:t>Estado</w:t>
      </w:r>
      <w:r w:rsidRPr="002570D1">
        <w:rPr>
          <w:rFonts w:eastAsia="Calibri"/>
          <w:sz w:val="20"/>
          <w:szCs w:val="20"/>
          <w:lang w:val="es-MX" w:eastAsia="en-US"/>
        </w:rPr>
        <w:t xml:space="preserve"> reconoció la violación del artículo 13 de la Convención, derecho de acceso a la información en materia de salud, en conexión con los artículos 4 y 5</w:t>
      </w:r>
      <w:r w:rsidR="008F7034">
        <w:rPr>
          <w:rFonts w:eastAsia="Calibri"/>
          <w:sz w:val="20"/>
          <w:szCs w:val="20"/>
          <w:lang w:val="es-MX" w:eastAsia="en-US"/>
        </w:rPr>
        <w:t>, y</w:t>
      </w:r>
      <w:r w:rsidRPr="002570D1">
        <w:rPr>
          <w:rFonts w:eastAsia="Calibri"/>
          <w:sz w:val="20"/>
          <w:szCs w:val="20"/>
          <w:lang w:val="es-MX" w:eastAsia="en-US"/>
        </w:rPr>
        <w:t xml:space="preserve"> en relación con las obligaciones de los artículos 1.1 y 2 de la Convención Americana, en perjuicio del señor Poblete Vilches y sus familiares. Asimismo, el </w:t>
      </w:r>
      <w:r w:rsidRPr="007143B1">
        <w:rPr>
          <w:rFonts w:eastAsia="Calibri"/>
          <w:sz w:val="20"/>
          <w:szCs w:val="20"/>
          <w:lang w:val="es-MX" w:eastAsia="en-US"/>
        </w:rPr>
        <w:t xml:space="preserve">Estado aceptó </w:t>
      </w:r>
      <w:r w:rsidR="008F7034" w:rsidRPr="007143B1">
        <w:rPr>
          <w:rFonts w:eastAsia="Calibri"/>
          <w:sz w:val="20"/>
          <w:szCs w:val="20"/>
          <w:lang w:val="es-MX" w:eastAsia="en-US"/>
        </w:rPr>
        <w:t xml:space="preserve">su </w:t>
      </w:r>
      <w:r w:rsidRPr="007143B1">
        <w:rPr>
          <w:rFonts w:eastAsia="Calibri"/>
          <w:sz w:val="20"/>
          <w:szCs w:val="20"/>
          <w:lang w:val="es-MX" w:eastAsia="en-US"/>
        </w:rPr>
        <w:t>responsabilidad por la violación de los artículos 11 y 7 en perjuicio del señor Poblete Vilches</w:t>
      </w:r>
      <w:r w:rsidR="008F7034" w:rsidRPr="007143B1">
        <w:rPr>
          <w:rFonts w:eastAsia="Calibri"/>
          <w:sz w:val="20"/>
          <w:szCs w:val="20"/>
          <w:lang w:val="es-MX" w:eastAsia="en-US"/>
        </w:rPr>
        <w:t>,</w:t>
      </w:r>
      <w:r w:rsidRPr="007143B1">
        <w:rPr>
          <w:rFonts w:eastAsia="Calibri"/>
          <w:sz w:val="20"/>
          <w:szCs w:val="20"/>
          <w:lang w:val="es-MX" w:eastAsia="en-US"/>
        </w:rPr>
        <w:t xml:space="preserve"> pero no </w:t>
      </w:r>
      <w:r w:rsidR="008F7034" w:rsidRPr="00765E3D">
        <w:rPr>
          <w:rFonts w:eastAsia="Calibri"/>
          <w:sz w:val="20"/>
          <w:szCs w:val="20"/>
          <w:lang w:val="es-MX" w:eastAsia="en-US"/>
        </w:rPr>
        <w:t xml:space="preserve">por </w:t>
      </w:r>
      <w:r w:rsidRPr="00765E3D">
        <w:rPr>
          <w:rFonts w:eastAsia="Calibri"/>
          <w:sz w:val="20"/>
          <w:szCs w:val="20"/>
          <w:lang w:val="es-MX" w:eastAsia="en-US"/>
        </w:rPr>
        <w:t>la supuesta afectación a sus familiares</w:t>
      </w:r>
      <w:r w:rsidR="007143B1">
        <w:rPr>
          <w:rFonts w:eastAsia="Calibri"/>
          <w:sz w:val="20"/>
          <w:szCs w:val="20"/>
          <w:lang w:val="es-MX" w:eastAsia="en-US"/>
        </w:rPr>
        <w:t>.</w:t>
      </w:r>
      <w:r w:rsidRPr="007143B1">
        <w:rPr>
          <w:rFonts w:eastAsia="Calibri"/>
          <w:sz w:val="20"/>
          <w:szCs w:val="20"/>
          <w:lang w:val="es-MX" w:eastAsia="en-US"/>
        </w:rPr>
        <w:t xml:space="preserve"> Además, el Estado</w:t>
      </w:r>
      <w:r w:rsidRPr="002570D1">
        <w:rPr>
          <w:rFonts w:eastAsia="Calibri"/>
          <w:sz w:val="20"/>
          <w:szCs w:val="20"/>
          <w:lang w:val="es-MX" w:eastAsia="en-US"/>
        </w:rPr>
        <w:t xml:space="preserve"> resaltó los antecedentes normativos en materia de consentimiento informado, entre estos, el Decreto Supremo N</w:t>
      </w:r>
      <w:r w:rsidR="008F7034">
        <w:rPr>
          <w:rFonts w:eastAsia="Calibri"/>
          <w:sz w:val="20"/>
          <w:szCs w:val="20"/>
          <w:lang w:val="es-MX" w:eastAsia="en-US"/>
        </w:rPr>
        <w:t>úm</w:t>
      </w:r>
      <w:r w:rsidRPr="002570D1">
        <w:rPr>
          <w:rFonts w:eastAsia="Calibri"/>
          <w:sz w:val="20"/>
          <w:szCs w:val="20"/>
          <w:lang w:val="es-MX" w:eastAsia="en-US"/>
        </w:rPr>
        <w:t>. 42</w:t>
      </w:r>
      <w:r w:rsidR="008F7034">
        <w:rPr>
          <w:rFonts w:eastAsia="Calibri"/>
          <w:sz w:val="20"/>
          <w:szCs w:val="20"/>
          <w:lang w:val="es-MX" w:eastAsia="en-US"/>
        </w:rPr>
        <w:t>;</w:t>
      </w:r>
      <w:r w:rsidRPr="002570D1">
        <w:rPr>
          <w:rFonts w:eastAsia="Calibri"/>
          <w:sz w:val="20"/>
          <w:szCs w:val="20"/>
          <w:lang w:val="es-MX" w:eastAsia="en-US"/>
        </w:rPr>
        <w:t xml:space="preserve"> el documento denominado “Normas y Documentos de Ética Médica”</w:t>
      </w:r>
      <w:r w:rsidR="008F7034">
        <w:rPr>
          <w:rFonts w:eastAsia="Calibri"/>
          <w:sz w:val="20"/>
          <w:szCs w:val="20"/>
          <w:lang w:val="es-MX" w:eastAsia="en-US"/>
        </w:rPr>
        <w:t>,</w:t>
      </w:r>
      <w:r w:rsidRPr="002570D1">
        <w:rPr>
          <w:rFonts w:eastAsia="Calibri"/>
          <w:sz w:val="20"/>
          <w:szCs w:val="20"/>
          <w:lang w:val="es-MX" w:eastAsia="en-US"/>
        </w:rPr>
        <w:t xml:space="preserve"> elaborado por el Colegio de Médicos</w:t>
      </w:r>
      <w:r w:rsidR="008F7034">
        <w:rPr>
          <w:rFonts w:eastAsia="Calibri"/>
          <w:sz w:val="20"/>
          <w:szCs w:val="20"/>
          <w:lang w:val="es-MX" w:eastAsia="en-US"/>
        </w:rPr>
        <w:t>;</w:t>
      </w:r>
      <w:r w:rsidRPr="002570D1">
        <w:rPr>
          <w:rFonts w:eastAsia="Calibri"/>
          <w:sz w:val="20"/>
          <w:szCs w:val="20"/>
          <w:lang w:val="es-MX" w:eastAsia="en-US"/>
        </w:rPr>
        <w:t xml:space="preserve"> la “Carta de Derechos al Paciente”</w:t>
      </w:r>
      <w:r w:rsidR="008F7034">
        <w:rPr>
          <w:rFonts w:eastAsia="Calibri"/>
          <w:sz w:val="20"/>
          <w:szCs w:val="20"/>
          <w:lang w:val="es-MX" w:eastAsia="en-US"/>
        </w:rPr>
        <w:t>,</w:t>
      </w:r>
      <w:r w:rsidRPr="002570D1">
        <w:rPr>
          <w:rFonts w:eastAsia="Calibri"/>
          <w:sz w:val="20"/>
          <w:szCs w:val="20"/>
          <w:lang w:val="es-MX" w:eastAsia="en-US"/>
        </w:rPr>
        <w:t xml:space="preserve"> del Fondo Nacional de Salud y el Ministerio de Salud, y los avances normativos recientes, como la Ley N. 20.584, que regula los derechos y deberes que las personas tienen en relación con acciones vinculadas a su atención de salud</w:t>
      </w:r>
      <w:r w:rsidR="008F7034">
        <w:rPr>
          <w:rFonts w:eastAsia="Calibri"/>
          <w:sz w:val="20"/>
          <w:szCs w:val="20"/>
          <w:lang w:val="es-MX" w:eastAsia="en-US"/>
        </w:rPr>
        <w:t>,</w:t>
      </w:r>
      <w:r w:rsidRPr="002570D1">
        <w:rPr>
          <w:rFonts w:eastAsia="Calibri"/>
          <w:sz w:val="20"/>
          <w:szCs w:val="20"/>
          <w:lang w:val="es-MX" w:eastAsia="en-US"/>
        </w:rPr>
        <w:t xml:space="preserve"> y el Decreto N</w:t>
      </w:r>
      <w:r w:rsidR="008F7034">
        <w:rPr>
          <w:rFonts w:eastAsia="Calibri"/>
          <w:sz w:val="20"/>
          <w:szCs w:val="20"/>
          <w:lang w:val="es-MX" w:eastAsia="en-US"/>
        </w:rPr>
        <w:t>úm</w:t>
      </w:r>
      <w:r w:rsidRPr="002570D1">
        <w:rPr>
          <w:rFonts w:eastAsia="Calibri"/>
          <w:sz w:val="20"/>
          <w:szCs w:val="20"/>
          <w:lang w:val="es-MX" w:eastAsia="en-US"/>
        </w:rPr>
        <w:t>. 31</w:t>
      </w:r>
      <w:r w:rsidR="008F7034">
        <w:rPr>
          <w:rFonts w:eastAsia="Calibri"/>
          <w:sz w:val="20"/>
          <w:szCs w:val="20"/>
          <w:lang w:val="es-MX" w:eastAsia="en-US"/>
        </w:rPr>
        <w:t>,</w:t>
      </w:r>
      <w:r w:rsidRPr="002570D1">
        <w:rPr>
          <w:rFonts w:eastAsia="Calibri"/>
          <w:sz w:val="20"/>
          <w:szCs w:val="20"/>
          <w:lang w:val="es-MX" w:eastAsia="en-US"/>
        </w:rPr>
        <w:t xml:space="preserve"> que aprueba el Reglamento sobre entrega de información y expresión de consentimiento informado en las atenciones de salud</w:t>
      </w:r>
      <w:r w:rsidR="008F7034">
        <w:rPr>
          <w:rFonts w:eastAsia="Calibri"/>
          <w:sz w:val="20"/>
          <w:szCs w:val="20"/>
          <w:lang w:val="es-MX" w:eastAsia="en-US"/>
        </w:rPr>
        <w:t>.</w:t>
      </w:r>
      <w:r w:rsidRPr="002570D1">
        <w:rPr>
          <w:rFonts w:eastAsia="Calibri"/>
          <w:sz w:val="20"/>
          <w:szCs w:val="20"/>
          <w:lang w:val="es-MX" w:eastAsia="en-US"/>
        </w:rPr>
        <w:t xml:space="preserve"> En sus alegatos finales</w:t>
      </w:r>
      <w:r w:rsidR="008F7034">
        <w:rPr>
          <w:rFonts w:eastAsia="Calibri"/>
          <w:sz w:val="20"/>
          <w:szCs w:val="20"/>
          <w:lang w:val="es-MX" w:eastAsia="en-US"/>
        </w:rPr>
        <w:t>,</w:t>
      </w:r>
      <w:r w:rsidRPr="002570D1">
        <w:rPr>
          <w:rFonts w:eastAsia="Calibri"/>
          <w:sz w:val="20"/>
          <w:szCs w:val="20"/>
          <w:lang w:val="es-MX" w:eastAsia="en-US"/>
        </w:rPr>
        <w:t xml:space="preserve"> el </w:t>
      </w:r>
      <w:r w:rsidRPr="007143B1">
        <w:rPr>
          <w:rFonts w:eastAsia="Calibri"/>
          <w:sz w:val="20"/>
          <w:szCs w:val="20"/>
          <w:lang w:val="es-MX" w:eastAsia="en-US"/>
        </w:rPr>
        <w:t xml:space="preserve">Estado </w:t>
      </w:r>
      <w:r w:rsidRPr="002570D1">
        <w:rPr>
          <w:rFonts w:eastAsia="Calibri"/>
          <w:sz w:val="20"/>
          <w:szCs w:val="20"/>
          <w:lang w:val="es-MX" w:eastAsia="en-US"/>
        </w:rPr>
        <w:t xml:space="preserve">mencionó la implementación de la Ley 19.966 de 2004, la cual incluye la regla del consentimiento informado, así como la Ley 20.584 de 2012, que regula los derechos y deberes que las personas tienen en relación con acciones vinculadas a su atención en salud, incluyendo el derecho al consentimiento informado y a la información en salud. </w:t>
      </w:r>
    </w:p>
    <w:p w14:paraId="74D76FE5" w14:textId="77777777" w:rsidR="002570D1" w:rsidRPr="002570D1" w:rsidRDefault="002570D1" w:rsidP="002570D1">
      <w:pPr>
        <w:contextualSpacing/>
        <w:rPr>
          <w:rFonts w:eastAsia="Calibri"/>
          <w:sz w:val="20"/>
          <w:szCs w:val="20"/>
          <w:lang w:val="es-MX" w:eastAsia="en-US"/>
        </w:rPr>
      </w:pPr>
    </w:p>
    <w:p w14:paraId="07ECA705" w14:textId="6369CE55" w:rsidR="002570D1" w:rsidRPr="002570D1" w:rsidRDefault="00483945" w:rsidP="002570D1">
      <w:pPr>
        <w:numPr>
          <w:ilvl w:val="0"/>
          <w:numId w:val="2"/>
        </w:numPr>
        <w:tabs>
          <w:tab w:val="left" w:pos="567"/>
          <w:tab w:val="num" w:pos="1569"/>
          <w:tab w:val="num" w:pos="12305"/>
        </w:tabs>
        <w:ind w:left="0" w:firstLine="0"/>
        <w:rPr>
          <w:rFonts w:eastAsia="Calibri" w:cs="Arial-ItalicMT"/>
          <w:b/>
          <w:iCs/>
          <w:sz w:val="20"/>
          <w:szCs w:val="20"/>
          <w:lang w:val="es-MX" w:eastAsia="en-US"/>
        </w:rPr>
      </w:pPr>
      <w:r>
        <w:rPr>
          <w:rFonts w:eastAsia="Calibri"/>
          <w:sz w:val="20"/>
          <w:szCs w:val="20"/>
          <w:lang w:val="es-MX" w:eastAsia="en-US"/>
        </w:rPr>
        <w:t>Por otra parte,</w:t>
      </w:r>
      <w:r w:rsidR="002570D1" w:rsidRPr="002570D1">
        <w:rPr>
          <w:rFonts w:eastAsia="Calibri"/>
          <w:sz w:val="20"/>
          <w:szCs w:val="20"/>
          <w:lang w:val="es-MX" w:eastAsia="en-US"/>
        </w:rPr>
        <w:t xml:space="preserve"> consideró que la violación de los derechos consagrados en los artículos 11 y 7 no son aplicables a los familiares “[d]</w:t>
      </w:r>
      <w:proofErr w:type="spellStart"/>
      <w:r w:rsidR="002570D1" w:rsidRPr="002570D1">
        <w:rPr>
          <w:rFonts w:eastAsia="Calibri"/>
          <w:sz w:val="20"/>
          <w:szCs w:val="20"/>
          <w:lang w:val="es-MX" w:eastAsia="en-US"/>
        </w:rPr>
        <w:t>ebido</w:t>
      </w:r>
      <w:proofErr w:type="spellEnd"/>
      <w:r w:rsidR="002570D1" w:rsidRPr="002570D1">
        <w:rPr>
          <w:rFonts w:eastAsia="Calibri"/>
          <w:sz w:val="20"/>
          <w:szCs w:val="20"/>
          <w:lang w:val="es-MX" w:eastAsia="en-US"/>
        </w:rPr>
        <w:t xml:space="preserve"> a que estos […] derechos son parte de la esfera individual de cada persona sin que puedan ser transmisibles a otras, [ni] que exista de manera fehaciente y convincente el deseo del paciente para proteger de forma adecuada sus derechos, al no estar en condiciones de ejercerlos por sí mismo, más aún en decisiones tan personales como las que pueden afectar su vida”. Añadió que “trasladar esta autonomía personal a los familiares es inaceptable, dado que no se cuentan con antecedentes de la existencia de un juicio sustitutivo o bien por subrogación, o la firma de una directriz anticipada o existencia de constancia en que el paciente exprese su voluntad de someterse a las decisiones de sus familiares”. </w:t>
      </w:r>
      <w:r w:rsidR="002570D1" w:rsidRPr="002570D1">
        <w:rPr>
          <w:rFonts w:eastAsia="Calibri" w:cs="Arial-ItalicMT"/>
          <w:iCs/>
          <w:sz w:val="20"/>
          <w:szCs w:val="20"/>
          <w:lang w:val="es-MX" w:eastAsia="en-US"/>
        </w:rPr>
        <w:t xml:space="preserve">Además, el </w:t>
      </w:r>
      <w:r w:rsidR="002570D1" w:rsidRPr="007143B1">
        <w:rPr>
          <w:rFonts w:eastAsia="Calibri" w:cs="Arial-ItalicMT"/>
          <w:iCs/>
          <w:sz w:val="20"/>
          <w:szCs w:val="20"/>
          <w:lang w:val="es-MX" w:eastAsia="en-US"/>
        </w:rPr>
        <w:t xml:space="preserve">Estado indicó que respecto de </w:t>
      </w:r>
      <w:r w:rsidRPr="007143B1">
        <w:rPr>
          <w:rFonts w:eastAsia="Calibri" w:cs="Arial-ItalicMT"/>
          <w:iCs/>
          <w:sz w:val="20"/>
          <w:szCs w:val="20"/>
          <w:lang w:val="es-MX" w:eastAsia="en-US"/>
        </w:rPr>
        <w:t>ésta</w:t>
      </w:r>
      <w:r w:rsidR="002570D1" w:rsidRPr="007143B1">
        <w:rPr>
          <w:rFonts w:eastAsia="Calibri" w:cs="Arial-ItalicMT"/>
          <w:iCs/>
          <w:sz w:val="20"/>
          <w:szCs w:val="20"/>
          <w:lang w:val="es-MX" w:eastAsia="en-US"/>
        </w:rPr>
        <w:t xml:space="preserve"> </w:t>
      </w:r>
      <w:r w:rsidRPr="00765E3D">
        <w:rPr>
          <w:rFonts w:eastAsia="Calibri" w:cs="Arial-ItalicMT"/>
          <w:iCs/>
          <w:sz w:val="20"/>
          <w:szCs w:val="20"/>
          <w:lang w:val="es-MX" w:eastAsia="en-US"/>
        </w:rPr>
        <w:t xml:space="preserve">vulneración a </w:t>
      </w:r>
      <w:r w:rsidR="002570D1" w:rsidRPr="00765E3D">
        <w:rPr>
          <w:rFonts w:eastAsia="Calibri" w:cs="Arial-ItalicMT"/>
          <w:iCs/>
          <w:sz w:val="20"/>
          <w:szCs w:val="20"/>
          <w:lang w:val="es-MX" w:eastAsia="en-US"/>
        </w:rPr>
        <w:t xml:space="preserve">los familiares en este caso, opera una figura distinta al caso de </w:t>
      </w:r>
      <w:r w:rsidR="002570D1" w:rsidRPr="000D77F2">
        <w:rPr>
          <w:rFonts w:eastAsia="Calibri" w:cs="Arial-ItalicMT"/>
          <w:i/>
          <w:iCs/>
          <w:sz w:val="20"/>
          <w:szCs w:val="20"/>
          <w:lang w:val="es-MX" w:eastAsia="en-US"/>
        </w:rPr>
        <w:t>I.V. Vs. Bolivia</w:t>
      </w:r>
      <w:r w:rsidR="002570D1" w:rsidRPr="007143B1">
        <w:rPr>
          <w:rFonts w:eastAsia="Calibri" w:cs="Arial-ItalicMT"/>
          <w:iCs/>
          <w:sz w:val="20"/>
          <w:szCs w:val="20"/>
          <w:lang w:val="es-MX" w:eastAsia="en-US"/>
        </w:rPr>
        <w:t xml:space="preserve">, ya que lo que opera es una figura que en algunas legislaciones es denominada como consentimiento informado por representación o sustitución. En este sentido, el </w:t>
      </w:r>
      <w:r w:rsidR="002570D1" w:rsidRPr="00A86D37">
        <w:rPr>
          <w:rFonts w:eastAsia="Calibri" w:cs="Arial-ItalicMT"/>
          <w:iCs/>
          <w:sz w:val="20"/>
          <w:szCs w:val="20"/>
          <w:lang w:val="es-MX" w:eastAsia="en-US"/>
        </w:rPr>
        <w:t>Estado argumentó</w:t>
      </w:r>
      <w:r w:rsidR="002570D1" w:rsidRPr="002570D1">
        <w:rPr>
          <w:rFonts w:eastAsia="Calibri" w:cs="Arial-ItalicMT"/>
          <w:iCs/>
          <w:sz w:val="20"/>
          <w:szCs w:val="20"/>
          <w:lang w:val="es-MX" w:eastAsia="en-US"/>
        </w:rPr>
        <w:t xml:space="preserve"> que la participación de estos en el proceso de comunicación se limita únicamente a brindar un testimonio de lo que podría constituir la voluntad del paciente</w:t>
      </w:r>
      <w:r w:rsidR="007C75A0">
        <w:rPr>
          <w:rFonts w:eastAsia="Calibri" w:cs="Arial-ItalicMT"/>
          <w:iCs/>
          <w:sz w:val="20"/>
          <w:szCs w:val="20"/>
          <w:lang w:val="es-MX" w:eastAsia="en-US"/>
        </w:rPr>
        <w:t>,</w:t>
      </w:r>
      <w:r w:rsidR="002570D1" w:rsidRPr="002570D1">
        <w:rPr>
          <w:rFonts w:eastAsia="Calibri" w:cs="Arial-ItalicMT"/>
          <w:iCs/>
          <w:sz w:val="20"/>
          <w:szCs w:val="20"/>
          <w:lang w:val="es-MX" w:eastAsia="en-US"/>
        </w:rPr>
        <w:t xml:space="preserve"> previo a su estado de inconsciencia. </w:t>
      </w:r>
    </w:p>
    <w:p w14:paraId="1CD023D7" w14:textId="77777777" w:rsidR="002570D1" w:rsidRDefault="002570D1" w:rsidP="002570D1">
      <w:pPr>
        <w:widowControl w:val="0"/>
        <w:tabs>
          <w:tab w:val="center" w:pos="567"/>
        </w:tabs>
        <w:autoSpaceDE w:val="0"/>
        <w:autoSpaceDN w:val="0"/>
        <w:adjustRightInd w:val="0"/>
        <w:contextualSpacing/>
        <w:rPr>
          <w:rFonts w:eastAsia="Calibri"/>
          <w:sz w:val="20"/>
          <w:szCs w:val="20"/>
          <w:lang w:val="es-MX" w:eastAsia="en-US"/>
        </w:rPr>
      </w:pPr>
    </w:p>
    <w:p w14:paraId="1AA796E0" w14:textId="77777777" w:rsidR="00796F18" w:rsidRDefault="00796F18" w:rsidP="002570D1">
      <w:pPr>
        <w:widowControl w:val="0"/>
        <w:tabs>
          <w:tab w:val="center" w:pos="567"/>
        </w:tabs>
        <w:autoSpaceDE w:val="0"/>
        <w:autoSpaceDN w:val="0"/>
        <w:adjustRightInd w:val="0"/>
        <w:contextualSpacing/>
        <w:rPr>
          <w:rFonts w:eastAsia="Calibri"/>
          <w:sz w:val="20"/>
          <w:szCs w:val="20"/>
          <w:lang w:val="es-MX" w:eastAsia="en-US"/>
        </w:rPr>
      </w:pPr>
    </w:p>
    <w:p w14:paraId="2A53DDAD" w14:textId="77777777" w:rsidR="00796F18" w:rsidRPr="002570D1" w:rsidRDefault="00796F18" w:rsidP="002570D1">
      <w:pPr>
        <w:widowControl w:val="0"/>
        <w:tabs>
          <w:tab w:val="center" w:pos="567"/>
        </w:tabs>
        <w:autoSpaceDE w:val="0"/>
        <w:autoSpaceDN w:val="0"/>
        <w:adjustRightInd w:val="0"/>
        <w:contextualSpacing/>
        <w:rPr>
          <w:rFonts w:eastAsia="Calibri"/>
          <w:sz w:val="20"/>
          <w:szCs w:val="20"/>
          <w:lang w:val="es-MX" w:eastAsia="en-US"/>
        </w:rPr>
      </w:pPr>
    </w:p>
    <w:p w14:paraId="77FBAB58" w14:textId="77777777" w:rsidR="002570D1" w:rsidRPr="00EB31AC" w:rsidRDefault="002570D1" w:rsidP="002726E0">
      <w:pPr>
        <w:pStyle w:val="Heading2"/>
        <w:numPr>
          <w:ilvl w:val="0"/>
          <w:numId w:val="18"/>
        </w:numPr>
      </w:pPr>
      <w:bookmarkStart w:id="76" w:name="_Toc513644465"/>
      <w:r w:rsidRPr="00EB31AC">
        <w:lastRenderedPageBreak/>
        <w:t>Consideraciones de la Corte</w:t>
      </w:r>
      <w:bookmarkEnd w:id="76"/>
    </w:p>
    <w:p w14:paraId="0CE950AC" w14:textId="77777777" w:rsidR="002570D1" w:rsidRPr="002570D1" w:rsidRDefault="002570D1" w:rsidP="002570D1">
      <w:pPr>
        <w:rPr>
          <w:rFonts w:eastAsia="Calibri"/>
          <w:b/>
          <w:sz w:val="20"/>
          <w:szCs w:val="20"/>
          <w:lang w:val="es-MX" w:eastAsia="en-US"/>
        </w:rPr>
      </w:pPr>
    </w:p>
    <w:p w14:paraId="6DC89A24" w14:textId="2B3D12C2" w:rsidR="002570D1" w:rsidRDefault="002570D1" w:rsidP="002570D1">
      <w:pPr>
        <w:numPr>
          <w:ilvl w:val="0"/>
          <w:numId w:val="2"/>
        </w:numPr>
        <w:tabs>
          <w:tab w:val="left" w:pos="567"/>
          <w:tab w:val="num" w:pos="1569"/>
          <w:tab w:val="num" w:pos="12305"/>
        </w:tabs>
        <w:ind w:left="0" w:firstLine="0"/>
        <w:rPr>
          <w:rFonts w:eastAsia="Calibri"/>
          <w:sz w:val="20"/>
          <w:szCs w:val="20"/>
          <w:lang w:val="es-MX" w:eastAsia="en-US"/>
        </w:rPr>
      </w:pPr>
      <w:r w:rsidRPr="002570D1">
        <w:rPr>
          <w:rFonts w:eastAsia="Calibri"/>
          <w:sz w:val="20"/>
          <w:szCs w:val="20"/>
          <w:lang w:val="es-MX" w:eastAsia="en-US"/>
        </w:rPr>
        <w:t>En vista de las controversias presentada</w:t>
      </w:r>
      <w:r w:rsidR="009536AC">
        <w:rPr>
          <w:rFonts w:eastAsia="Calibri"/>
          <w:sz w:val="20"/>
          <w:szCs w:val="20"/>
          <w:lang w:val="es-MX" w:eastAsia="en-US"/>
        </w:rPr>
        <w:t>s</w:t>
      </w:r>
      <w:r w:rsidRPr="002570D1">
        <w:rPr>
          <w:rFonts w:eastAsia="Calibri"/>
          <w:sz w:val="20"/>
          <w:szCs w:val="20"/>
          <w:lang w:val="es-MX" w:eastAsia="en-US"/>
        </w:rPr>
        <w:t xml:space="preserve"> en relación con el tratamiento brindado por instituciones públicas </w:t>
      </w:r>
      <w:r w:rsidR="007143B1">
        <w:rPr>
          <w:rFonts w:eastAsia="Calibri"/>
          <w:sz w:val="20"/>
          <w:szCs w:val="20"/>
          <w:lang w:val="es-MX" w:eastAsia="en-US"/>
        </w:rPr>
        <w:t>que habrían derivado</w:t>
      </w:r>
      <w:r w:rsidRPr="002570D1">
        <w:rPr>
          <w:rFonts w:eastAsia="Calibri"/>
          <w:sz w:val="20"/>
          <w:szCs w:val="20"/>
          <w:lang w:val="es-MX" w:eastAsia="en-US"/>
        </w:rPr>
        <w:t xml:space="preserve"> en la muerte del señor Poblete Vilches, a continuación corresponde a la Corte pronunciarse </w:t>
      </w:r>
      <w:r w:rsidR="00FA0970">
        <w:rPr>
          <w:rFonts w:eastAsia="Calibri"/>
          <w:sz w:val="20"/>
          <w:szCs w:val="20"/>
          <w:lang w:val="es-MX" w:eastAsia="en-US"/>
        </w:rPr>
        <w:t xml:space="preserve">particularmente </w:t>
      </w:r>
      <w:r w:rsidR="009536AC">
        <w:rPr>
          <w:rFonts w:eastAsia="Calibri"/>
          <w:sz w:val="20"/>
          <w:szCs w:val="20"/>
          <w:lang w:val="es-MX" w:eastAsia="en-US"/>
        </w:rPr>
        <w:t xml:space="preserve">respecto del alcance </w:t>
      </w:r>
      <w:r w:rsidR="00FA0970">
        <w:rPr>
          <w:rFonts w:eastAsia="Calibri"/>
          <w:sz w:val="20"/>
          <w:szCs w:val="20"/>
          <w:lang w:val="es-MX" w:eastAsia="en-US"/>
        </w:rPr>
        <w:t xml:space="preserve">y componentes </w:t>
      </w:r>
      <w:r w:rsidR="009536AC">
        <w:rPr>
          <w:rFonts w:eastAsia="Calibri"/>
          <w:sz w:val="20"/>
          <w:szCs w:val="20"/>
          <w:lang w:val="es-MX" w:eastAsia="en-US"/>
        </w:rPr>
        <w:t xml:space="preserve">del derecho a la salud en </w:t>
      </w:r>
      <w:r w:rsidRPr="002570D1">
        <w:rPr>
          <w:rFonts w:eastAsia="Calibri"/>
          <w:sz w:val="20"/>
          <w:szCs w:val="20"/>
          <w:lang w:val="es-MX" w:eastAsia="en-US"/>
        </w:rPr>
        <w:t>los siguientes apartados</w:t>
      </w:r>
      <w:r w:rsidR="009536AC">
        <w:rPr>
          <w:rFonts w:eastAsia="Calibri"/>
          <w:sz w:val="20"/>
          <w:szCs w:val="20"/>
          <w:lang w:val="es-MX" w:eastAsia="en-US"/>
        </w:rPr>
        <w:t xml:space="preserve"> generales</w:t>
      </w:r>
      <w:r w:rsidRPr="002570D1">
        <w:rPr>
          <w:rFonts w:eastAsia="Calibri"/>
          <w:sz w:val="20"/>
          <w:szCs w:val="20"/>
          <w:lang w:val="es-MX" w:eastAsia="en-US"/>
        </w:rPr>
        <w:t>: 1) el derecho a la salud</w:t>
      </w:r>
      <w:r w:rsidR="009536AC">
        <w:rPr>
          <w:rFonts w:eastAsia="Calibri"/>
          <w:sz w:val="20"/>
          <w:szCs w:val="20"/>
          <w:lang w:val="es-MX" w:eastAsia="en-US"/>
        </w:rPr>
        <w:t xml:space="preserve"> protegido por la Convención</w:t>
      </w:r>
      <w:r w:rsidRPr="002570D1">
        <w:rPr>
          <w:rFonts w:eastAsia="Calibri"/>
          <w:sz w:val="20"/>
          <w:szCs w:val="20"/>
          <w:lang w:val="es-MX" w:eastAsia="en-US"/>
        </w:rPr>
        <w:t xml:space="preserve">; 2) </w:t>
      </w:r>
      <w:r w:rsidR="009536AC">
        <w:rPr>
          <w:rFonts w:eastAsia="Calibri"/>
          <w:sz w:val="20"/>
          <w:szCs w:val="20"/>
          <w:lang w:val="es-MX" w:eastAsia="en-US"/>
        </w:rPr>
        <w:t>los</w:t>
      </w:r>
      <w:r w:rsidRPr="002570D1">
        <w:rPr>
          <w:rFonts w:eastAsia="Calibri"/>
          <w:sz w:val="20"/>
          <w:szCs w:val="20"/>
          <w:lang w:val="es-MX" w:eastAsia="en-US"/>
        </w:rPr>
        <w:t xml:space="preserve"> derecho</w:t>
      </w:r>
      <w:r w:rsidR="009536AC">
        <w:rPr>
          <w:rFonts w:eastAsia="Calibri"/>
          <w:sz w:val="20"/>
          <w:szCs w:val="20"/>
          <w:lang w:val="es-MX" w:eastAsia="en-US"/>
        </w:rPr>
        <w:t>s</w:t>
      </w:r>
      <w:r w:rsidRPr="002570D1">
        <w:rPr>
          <w:rFonts w:eastAsia="Calibri"/>
          <w:sz w:val="20"/>
          <w:szCs w:val="20"/>
          <w:lang w:val="es-MX" w:eastAsia="en-US"/>
        </w:rPr>
        <w:t xml:space="preserve"> a la vida</w:t>
      </w:r>
      <w:r w:rsidR="009536AC">
        <w:rPr>
          <w:rFonts w:eastAsia="Calibri"/>
          <w:sz w:val="20"/>
          <w:szCs w:val="20"/>
          <w:lang w:val="es-MX" w:eastAsia="en-US"/>
        </w:rPr>
        <w:t xml:space="preserve"> e integridad</w:t>
      </w:r>
      <w:r w:rsidRPr="002570D1">
        <w:rPr>
          <w:rFonts w:eastAsia="Calibri"/>
          <w:sz w:val="20"/>
          <w:szCs w:val="20"/>
          <w:lang w:val="es-MX" w:eastAsia="en-US"/>
        </w:rPr>
        <w:t>, y 3) el consentimiento informado</w:t>
      </w:r>
      <w:r w:rsidR="009536AC">
        <w:rPr>
          <w:rFonts w:eastAsia="Calibri"/>
          <w:sz w:val="20"/>
          <w:szCs w:val="20"/>
          <w:lang w:val="es-MX" w:eastAsia="en-US"/>
        </w:rPr>
        <w:t xml:space="preserve"> </w:t>
      </w:r>
      <w:r w:rsidR="008E3F5D">
        <w:rPr>
          <w:rFonts w:eastAsia="Calibri"/>
          <w:sz w:val="20"/>
          <w:szCs w:val="20"/>
          <w:lang w:val="es-MX" w:eastAsia="en-US"/>
        </w:rPr>
        <w:t xml:space="preserve">y acceso a la información </w:t>
      </w:r>
      <w:r w:rsidR="009536AC">
        <w:rPr>
          <w:rFonts w:eastAsia="Calibri"/>
          <w:sz w:val="20"/>
          <w:szCs w:val="20"/>
          <w:lang w:val="es-MX" w:eastAsia="en-US"/>
        </w:rPr>
        <w:t>en materia de salud. Para efectos del presente caso, la Corte estima innecesario referirse adicionalmente al derecho a la seguridad social</w:t>
      </w:r>
      <w:r w:rsidR="008E3F5D">
        <w:rPr>
          <w:rFonts w:eastAsia="Calibri"/>
          <w:sz w:val="20"/>
          <w:szCs w:val="20"/>
          <w:lang w:val="es-MX" w:eastAsia="en-US"/>
        </w:rPr>
        <w:t xml:space="preserve"> aludido por las representantes</w:t>
      </w:r>
      <w:r w:rsidR="00386E16">
        <w:rPr>
          <w:rFonts w:eastAsia="Calibri"/>
          <w:sz w:val="20"/>
          <w:szCs w:val="20"/>
          <w:lang w:val="es-MX" w:eastAsia="en-US"/>
        </w:rPr>
        <w:t xml:space="preserve"> (</w:t>
      </w:r>
      <w:r w:rsidR="00386E16" w:rsidRPr="002A64C9">
        <w:rPr>
          <w:rFonts w:eastAsia="Calibri"/>
          <w:i/>
          <w:sz w:val="20"/>
          <w:szCs w:val="20"/>
          <w:lang w:val="es-MX" w:eastAsia="en-US"/>
        </w:rPr>
        <w:t>supra</w:t>
      </w:r>
      <w:r w:rsidR="00386E16">
        <w:rPr>
          <w:rFonts w:eastAsia="Calibri"/>
          <w:sz w:val="20"/>
          <w:szCs w:val="20"/>
          <w:lang w:val="es-MX" w:eastAsia="en-US"/>
        </w:rPr>
        <w:t xml:space="preserve"> párr. </w:t>
      </w:r>
      <w:r w:rsidR="002D6C48">
        <w:rPr>
          <w:rFonts w:eastAsia="Calibri"/>
          <w:sz w:val="20"/>
          <w:szCs w:val="20"/>
          <w:lang w:val="es-MX" w:eastAsia="en-US"/>
        </w:rPr>
        <w:t>86</w:t>
      </w:r>
      <w:r w:rsidR="00386E16">
        <w:rPr>
          <w:rFonts w:eastAsia="Calibri"/>
          <w:sz w:val="20"/>
          <w:szCs w:val="20"/>
          <w:lang w:val="es-MX" w:eastAsia="en-US"/>
        </w:rPr>
        <w:t>)</w:t>
      </w:r>
      <w:r w:rsidR="009536AC">
        <w:rPr>
          <w:rFonts w:eastAsia="Calibri"/>
          <w:sz w:val="20"/>
          <w:szCs w:val="20"/>
          <w:lang w:val="es-MX" w:eastAsia="en-US"/>
        </w:rPr>
        <w:t xml:space="preserve">. </w:t>
      </w:r>
    </w:p>
    <w:p w14:paraId="43CE581B" w14:textId="77777777" w:rsidR="002570D1" w:rsidRPr="006E1049" w:rsidRDefault="002570D1" w:rsidP="002570D1">
      <w:pPr>
        <w:rPr>
          <w:rFonts w:eastAsia="Calibri"/>
          <w:b/>
          <w:sz w:val="20"/>
          <w:szCs w:val="20"/>
          <w:lang w:val="es-MX" w:eastAsia="en-US"/>
        </w:rPr>
      </w:pPr>
    </w:p>
    <w:p w14:paraId="5E16D567" w14:textId="6056F371" w:rsidR="002570D1" w:rsidRPr="006E1049" w:rsidRDefault="002570D1" w:rsidP="006E1049">
      <w:pPr>
        <w:pStyle w:val="Heading3"/>
        <w:numPr>
          <w:ilvl w:val="0"/>
          <w:numId w:val="20"/>
        </w:numPr>
        <w:rPr>
          <w:b/>
          <w:smallCaps/>
        </w:rPr>
      </w:pPr>
      <w:r w:rsidRPr="006E1049">
        <w:rPr>
          <w:b/>
          <w:smallCaps/>
        </w:rPr>
        <w:t xml:space="preserve"> </w:t>
      </w:r>
      <w:bookmarkStart w:id="77" w:name="_Toc513644466"/>
      <w:r w:rsidR="009536AC" w:rsidRPr="006E1049">
        <w:rPr>
          <w:b/>
          <w:smallCaps/>
        </w:rPr>
        <w:t xml:space="preserve">El </w:t>
      </w:r>
      <w:r w:rsidR="00135E3E" w:rsidRPr="006E1049">
        <w:rPr>
          <w:b/>
          <w:smallCaps/>
        </w:rPr>
        <w:t>D</w:t>
      </w:r>
      <w:r w:rsidRPr="006E1049">
        <w:rPr>
          <w:b/>
          <w:smallCaps/>
        </w:rPr>
        <w:t>erecho a la Salud</w:t>
      </w:r>
      <w:bookmarkEnd w:id="77"/>
      <w:r w:rsidR="009536AC" w:rsidRPr="006E1049">
        <w:rPr>
          <w:b/>
          <w:smallCaps/>
        </w:rPr>
        <w:t xml:space="preserve"> </w:t>
      </w:r>
    </w:p>
    <w:p w14:paraId="2D05C934" w14:textId="77777777" w:rsidR="002570D1" w:rsidRPr="006E1049" w:rsidRDefault="002570D1" w:rsidP="006E1049">
      <w:pPr>
        <w:rPr>
          <w:rFonts w:eastAsia="Calibri"/>
          <w:b/>
          <w:sz w:val="20"/>
          <w:szCs w:val="20"/>
          <w:lang w:val="es-ES_tradnl" w:eastAsia="en-US"/>
        </w:rPr>
      </w:pPr>
    </w:p>
    <w:p w14:paraId="5204A23C" w14:textId="77777777" w:rsidR="002570D1" w:rsidRPr="002600F6" w:rsidRDefault="002570D1" w:rsidP="005415CD">
      <w:pPr>
        <w:pStyle w:val="Heading4"/>
        <w:spacing w:before="0"/>
        <w:ind w:left="2124"/>
        <w:rPr>
          <w:rFonts w:eastAsia="Calibri"/>
          <w:b/>
          <w:szCs w:val="20"/>
          <w:lang w:val="es-ES_tradnl" w:eastAsia="en-US"/>
        </w:rPr>
      </w:pPr>
      <w:bookmarkStart w:id="78" w:name="_Toc513644467"/>
      <w:r w:rsidRPr="006E1049">
        <w:rPr>
          <w:rFonts w:eastAsia="Calibri"/>
          <w:b/>
          <w:szCs w:val="20"/>
          <w:lang w:val="es-ES_tradnl" w:eastAsia="en-US"/>
        </w:rPr>
        <w:t xml:space="preserve">1.1 El derecho a la salud protegido </w:t>
      </w:r>
      <w:r w:rsidR="00FA0970" w:rsidRPr="002600F6">
        <w:rPr>
          <w:rFonts w:eastAsia="Calibri"/>
          <w:b/>
          <w:szCs w:val="20"/>
          <w:lang w:val="es-ES_tradnl" w:eastAsia="en-US"/>
        </w:rPr>
        <w:t>por</w:t>
      </w:r>
      <w:r w:rsidRPr="002600F6">
        <w:rPr>
          <w:rFonts w:eastAsia="Calibri"/>
          <w:b/>
          <w:szCs w:val="20"/>
          <w:lang w:val="es-ES_tradnl" w:eastAsia="en-US"/>
        </w:rPr>
        <w:t xml:space="preserve"> el artículo 26 de la Convención</w:t>
      </w:r>
      <w:bookmarkEnd w:id="78"/>
    </w:p>
    <w:p w14:paraId="16D0C98A" w14:textId="77777777" w:rsidR="002570D1" w:rsidRPr="005415CD" w:rsidRDefault="002570D1" w:rsidP="006E1049">
      <w:pPr>
        <w:rPr>
          <w:rFonts w:eastAsia="Calibri"/>
          <w:sz w:val="20"/>
          <w:szCs w:val="20"/>
          <w:lang w:val="es-GT" w:eastAsia="en-US"/>
        </w:rPr>
      </w:pPr>
    </w:p>
    <w:p w14:paraId="62D082A1" w14:textId="02C6313D" w:rsidR="002570D1" w:rsidRDefault="002570D1" w:rsidP="005430FF">
      <w:pPr>
        <w:numPr>
          <w:ilvl w:val="0"/>
          <w:numId w:val="2"/>
        </w:numPr>
        <w:tabs>
          <w:tab w:val="left" w:pos="567"/>
          <w:tab w:val="num" w:pos="1569"/>
          <w:tab w:val="num" w:pos="12305"/>
        </w:tabs>
        <w:ind w:left="0" w:firstLine="0"/>
        <w:rPr>
          <w:rFonts w:eastAsia="Calibri"/>
          <w:sz w:val="20"/>
          <w:szCs w:val="20"/>
          <w:lang w:eastAsia="en-US"/>
        </w:rPr>
      </w:pPr>
      <w:r w:rsidRPr="006E1049">
        <w:rPr>
          <w:rFonts w:eastAsia="Calibri"/>
          <w:sz w:val="20"/>
          <w:szCs w:val="20"/>
          <w:lang w:val="es-GT" w:eastAsia="en-US"/>
        </w:rPr>
        <w:t>E</w:t>
      </w:r>
      <w:r w:rsidRPr="002600F6">
        <w:rPr>
          <w:rFonts w:eastAsia="Calibri"/>
          <w:sz w:val="20"/>
          <w:szCs w:val="20"/>
          <w:lang w:val="es-ES_tradnl" w:eastAsia="en-US"/>
        </w:rPr>
        <w:t xml:space="preserve">n la sentencia </w:t>
      </w:r>
      <w:r w:rsidR="009536AC" w:rsidRPr="002600F6">
        <w:rPr>
          <w:rFonts w:eastAsia="Calibri"/>
          <w:sz w:val="20"/>
          <w:szCs w:val="20"/>
          <w:lang w:val="es-ES_tradnl" w:eastAsia="en-US"/>
        </w:rPr>
        <w:t>de</w:t>
      </w:r>
      <w:r w:rsidRPr="002600F6">
        <w:rPr>
          <w:rFonts w:eastAsia="Calibri"/>
          <w:sz w:val="20"/>
          <w:szCs w:val="20"/>
          <w:lang w:val="es-ES_tradnl" w:eastAsia="en-US"/>
        </w:rPr>
        <w:t>l caso</w:t>
      </w:r>
      <w:r w:rsidRPr="002600F6">
        <w:rPr>
          <w:rFonts w:eastAsia="Calibri"/>
          <w:i/>
          <w:sz w:val="20"/>
          <w:szCs w:val="20"/>
          <w:lang w:val="es-ES_tradnl" w:eastAsia="en-US"/>
        </w:rPr>
        <w:t xml:space="preserve"> Lagos del Campo Vs. Perú, </w:t>
      </w:r>
      <w:r w:rsidR="00FA0970" w:rsidRPr="002600F6">
        <w:rPr>
          <w:rFonts w:eastAsia="Calibri"/>
          <w:sz w:val="20"/>
          <w:szCs w:val="20"/>
          <w:lang w:val="es-ES_tradnl" w:eastAsia="en-US"/>
        </w:rPr>
        <w:t>la</w:t>
      </w:r>
      <w:r w:rsidRPr="002600F6">
        <w:rPr>
          <w:rFonts w:eastAsia="Calibri"/>
          <w:sz w:val="20"/>
          <w:szCs w:val="20"/>
          <w:lang w:val="es-ES_tradnl" w:eastAsia="en-US"/>
        </w:rPr>
        <w:t xml:space="preserve"> Corte </w:t>
      </w:r>
      <w:r w:rsidR="00FA0970" w:rsidRPr="002600F6">
        <w:rPr>
          <w:rFonts w:eastAsia="Calibri"/>
          <w:sz w:val="20"/>
          <w:szCs w:val="20"/>
          <w:lang w:val="es-ES_tradnl" w:eastAsia="en-US"/>
        </w:rPr>
        <w:t xml:space="preserve">desarrolló y concretó por primera vez una condena específica </w:t>
      </w:r>
      <w:r w:rsidRPr="004628B6">
        <w:rPr>
          <w:rFonts w:eastAsia="Calibri"/>
          <w:sz w:val="20"/>
          <w:szCs w:val="20"/>
          <w:lang w:val="es-ES_tradnl" w:eastAsia="en-US"/>
        </w:rPr>
        <w:t>en forma autónoma del artículo 26 de la Convención Americana</w:t>
      </w:r>
      <w:r w:rsidRPr="006E1049">
        <w:rPr>
          <w:rFonts w:eastAsia="Calibri"/>
          <w:sz w:val="20"/>
          <w:szCs w:val="20"/>
          <w:vertAlign w:val="superscript"/>
          <w:lang w:val="es-ES_tradnl" w:eastAsia="en-US"/>
        </w:rPr>
        <w:footnoteReference w:id="126"/>
      </w:r>
      <w:r w:rsidRPr="006E1049">
        <w:rPr>
          <w:rFonts w:eastAsia="Calibri"/>
          <w:sz w:val="20"/>
          <w:szCs w:val="20"/>
          <w:lang w:val="es-ES_tradnl" w:eastAsia="en-US"/>
        </w:rPr>
        <w:t>,</w:t>
      </w:r>
      <w:r w:rsidRPr="002600F6">
        <w:rPr>
          <w:rFonts w:eastAsia="Calibri"/>
          <w:i/>
          <w:sz w:val="20"/>
          <w:szCs w:val="20"/>
          <w:lang w:val="es-ES_tradnl" w:eastAsia="en-US"/>
        </w:rPr>
        <w:t xml:space="preserve"> </w:t>
      </w:r>
      <w:r w:rsidR="00FA0970" w:rsidRPr="002600F6">
        <w:rPr>
          <w:rFonts w:eastAsia="Calibri" w:cs="Verdana"/>
          <w:sz w:val="20"/>
          <w:szCs w:val="20"/>
          <w:lang w:val="es-ES_tradnl" w:eastAsia="es-MX"/>
        </w:rPr>
        <w:t>dispuesto en el Capítulo III, titulado</w:t>
      </w:r>
      <w:r w:rsidR="00FA0970" w:rsidRPr="00FA0970">
        <w:rPr>
          <w:rFonts w:eastAsia="Calibri" w:cs="Verdana"/>
          <w:sz w:val="20"/>
          <w:szCs w:val="20"/>
          <w:lang w:val="es-ES_tradnl" w:eastAsia="es-MX"/>
        </w:rPr>
        <w:t xml:space="preserve"> Derechos Económicos, Sociales y Culturales de este tratado.</w:t>
      </w:r>
      <w:r w:rsidR="00FA0970">
        <w:rPr>
          <w:rFonts w:eastAsia="Calibri" w:cs="Verdana"/>
          <w:sz w:val="20"/>
          <w:szCs w:val="20"/>
          <w:lang w:val="es-ES_tradnl" w:eastAsia="es-MX"/>
        </w:rPr>
        <w:t xml:space="preserve"> Así, e</w:t>
      </w:r>
      <w:r w:rsidR="00FA0970" w:rsidRPr="00FA0970">
        <w:rPr>
          <w:rFonts w:eastAsia="Calibri" w:cs="Verdana"/>
          <w:sz w:val="20"/>
          <w:szCs w:val="20"/>
          <w:lang w:val="es-ES_tradnl" w:eastAsia="es-MX"/>
        </w:rPr>
        <w:t>ste Tribunal reiteró</w:t>
      </w:r>
      <w:r w:rsidR="00FA0970" w:rsidRPr="002570D1">
        <w:rPr>
          <w:rFonts w:eastAsia="Calibri"/>
          <w:sz w:val="20"/>
          <w:szCs w:val="20"/>
          <w:vertAlign w:val="superscript"/>
          <w:lang w:val="es-ES_tradnl" w:eastAsia="en-US"/>
        </w:rPr>
        <w:footnoteReference w:id="127"/>
      </w:r>
      <w:r w:rsidR="00FA0970" w:rsidRPr="00FA0970">
        <w:rPr>
          <w:rFonts w:eastAsia="Calibri"/>
          <w:bCs/>
          <w:sz w:val="20"/>
          <w:szCs w:val="20"/>
          <w:lang w:val="es-ES_tradnl" w:eastAsia="en-US"/>
        </w:rPr>
        <w:t xml:space="preserve"> su competencia</w:t>
      </w:r>
      <w:r w:rsidR="00FA0970" w:rsidRPr="00FA0970">
        <w:rPr>
          <w:rFonts w:eastAsiaTheme="minorHAnsi" w:cs="Verdana"/>
          <w:color w:val="000000"/>
          <w:sz w:val="20"/>
          <w:szCs w:val="20"/>
          <w:lang w:eastAsia="en-US"/>
        </w:rPr>
        <w:t xml:space="preserve"> para conocer y resolver controversias relativas al artículo 26 de la Convención Americana, como parte integrante de los derechos enumerados en la misma, respecto de los cuales el artículo 1.1 confiere obligaciones generales de respeto y garantía a los Estados</w:t>
      </w:r>
      <w:r w:rsidRPr="005430FF">
        <w:rPr>
          <w:rFonts w:eastAsia="Calibri"/>
          <w:bCs/>
          <w:sz w:val="20"/>
          <w:szCs w:val="20"/>
          <w:vertAlign w:val="superscript"/>
          <w:lang w:val="es-ES_tradnl" w:eastAsia="en-US"/>
        </w:rPr>
        <w:footnoteReference w:id="128"/>
      </w:r>
      <w:r w:rsidRPr="00FA0970">
        <w:rPr>
          <w:rFonts w:eastAsia="Calibri" w:cs="Verdana"/>
          <w:sz w:val="20"/>
          <w:szCs w:val="20"/>
          <w:lang w:val="es-ES_tradnl" w:eastAsia="en-US"/>
        </w:rPr>
        <w:t xml:space="preserve">. Asimismo, la Corte reiteró la interdependencia entre los derechos civiles y políticos y los </w:t>
      </w:r>
      <w:r w:rsidR="00386E16">
        <w:rPr>
          <w:rFonts w:eastAsia="Calibri" w:cs="Verdana"/>
          <w:sz w:val="20"/>
          <w:szCs w:val="20"/>
          <w:lang w:val="es-ES_tradnl" w:eastAsia="en-US"/>
        </w:rPr>
        <w:t>derechos económicos, sociales, culturales y ambientales</w:t>
      </w:r>
      <w:r w:rsidR="0071485A">
        <w:rPr>
          <w:rFonts w:eastAsia="Calibri" w:cs="Verdana"/>
          <w:sz w:val="20"/>
          <w:szCs w:val="20"/>
          <w:lang w:val="es-ES_tradnl" w:eastAsia="en-US"/>
        </w:rPr>
        <w:t xml:space="preserve">, </w:t>
      </w:r>
      <w:r w:rsidR="0071485A" w:rsidRPr="0071485A">
        <w:rPr>
          <w:rFonts w:eastAsia="Calibri"/>
          <w:sz w:val="20"/>
          <w:szCs w:val="20"/>
          <w:lang w:eastAsia="en-US"/>
        </w:rPr>
        <w:t>puesto que deben ser entendidos integralmente y de forma conglobada como derechos humanos, sin jerarquía entre sí y exigibles en todos los casos ante aquellas autoridades que resulten competentes para ello</w:t>
      </w:r>
      <w:r w:rsidR="0071485A" w:rsidRPr="002570D1">
        <w:rPr>
          <w:rFonts w:eastAsia="Calibri"/>
          <w:sz w:val="20"/>
          <w:szCs w:val="20"/>
          <w:vertAlign w:val="superscript"/>
          <w:lang w:val="es-ES_tradnl" w:eastAsia="en-US"/>
        </w:rPr>
        <w:footnoteReference w:id="129"/>
      </w:r>
      <w:r w:rsidR="0071485A">
        <w:rPr>
          <w:rFonts w:eastAsia="Calibri"/>
          <w:sz w:val="20"/>
          <w:szCs w:val="20"/>
          <w:lang w:eastAsia="en-US"/>
        </w:rPr>
        <w:t>.</w:t>
      </w:r>
    </w:p>
    <w:p w14:paraId="74304FF9" w14:textId="77777777" w:rsidR="00D96547" w:rsidRDefault="00D96547" w:rsidP="005430FF">
      <w:pPr>
        <w:tabs>
          <w:tab w:val="left" w:pos="567"/>
        </w:tabs>
        <w:rPr>
          <w:rFonts w:eastAsia="Calibri"/>
          <w:sz w:val="20"/>
          <w:szCs w:val="20"/>
          <w:lang w:val="es-ES_tradnl" w:eastAsia="en-US"/>
        </w:rPr>
      </w:pPr>
    </w:p>
    <w:p w14:paraId="7C78FC76" w14:textId="3B6F7B3B" w:rsidR="00517B6B" w:rsidRPr="005430FF" w:rsidRDefault="00517B6B" w:rsidP="006B458C">
      <w:pPr>
        <w:numPr>
          <w:ilvl w:val="0"/>
          <w:numId w:val="2"/>
        </w:numPr>
        <w:tabs>
          <w:tab w:val="left" w:pos="567"/>
          <w:tab w:val="num" w:pos="1569"/>
          <w:tab w:val="num" w:pos="12305"/>
        </w:tabs>
        <w:ind w:left="0" w:firstLine="0"/>
        <w:rPr>
          <w:rFonts w:eastAsia="Calibri"/>
          <w:sz w:val="20"/>
          <w:szCs w:val="20"/>
          <w:lang w:eastAsia="en-US"/>
        </w:rPr>
      </w:pPr>
      <w:r>
        <w:rPr>
          <w:rFonts w:eastAsia="Calibri"/>
          <w:sz w:val="20"/>
          <w:szCs w:val="20"/>
          <w:lang w:val="es-ES_tradnl" w:eastAsia="en-US"/>
        </w:rPr>
        <w:t xml:space="preserve">Asimismo, en el caso </w:t>
      </w:r>
      <w:r w:rsidRPr="002570D1">
        <w:rPr>
          <w:rFonts w:eastAsia="Calibri"/>
          <w:i/>
          <w:sz w:val="20"/>
          <w:szCs w:val="20"/>
          <w:lang w:val="es-ES_tradnl" w:eastAsia="en-US"/>
        </w:rPr>
        <w:t>Acevedo Buendía</w:t>
      </w:r>
      <w:r>
        <w:rPr>
          <w:rFonts w:eastAsia="Calibri"/>
          <w:i/>
          <w:sz w:val="20"/>
          <w:szCs w:val="20"/>
          <w:lang w:val="es-ES_tradnl" w:eastAsia="en-US"/>
        </w:rPr>
        <w:t xml:space="preserve"> Vs. Perú</w:t>
      </w:r>
      <w:r w:rsidRPr="002570D1">
        <w:rPr>
          <w:rFonts w:eastAsia="Calibri"/>
          <w:sz w:val="20"/>
          <w:szCs w:val="20"/>
          <w:lang w:val="es-ES_tradnl" w:eastAsia="en-US"/>
        </w:rPr>
        <w:t>,</w:t>
      </w:r>
      <w:r w:rsidRPr="002570D1">
        <w:rPr>
          <w:rFonts w:eastAsia="Calibri"/>
          <w:i/>
          <w:sz w:val="20"/>
          <w:szCs w:val="20"/>
          <w:lang w:val="es-ES_tradnl" w:eastAsia="en-US"/>
        </w:rPr>
        <w:t xml:space="preserve"> </w:t>
      </w:r>
      <w:r w:rsidRPr="0059117C">
        <w:rPr>
          <w:rFonts w:eastAsia="Calibri"/>
          <w:sz w:val="20"/>
          <w:szCs w:val="20"/>
          <w:lang w:val="es-ES_tradnl" w:eastAsia="en-US"/>
        </w:rPr>
        <w:t xml:space="preserve">la Corte </w:t>
      </w:r>
      <w:r w:rsidRPr="002570D1">
        <w:rPr>
          <w:rFonts w:eastAsia="Calibri"/>
          <w:sz w:val="20"/>
          <w:szCs w:val="20"/>
          <w:lang w:val="es-ES_tradnl" w:eastAsia="en-US"/>
        </w:rPr>
        <w:t>se pronunció sobre los trabajos preparatorios de la Convención relativos al artículo 26, destacando inclusive la intervención</w:t>
      </w:r>
      <w:r w:rsidR="007C786B" w:rsidRPr="007C786B">
        <w:rPr>
          <w:rFonts w:eastAsia="Calibri"/>
          <w:sz w:val="20"/>
          <w:szCs w:val="20"/>
          <w:lang w:val="es-ES_tradnl" w:eastAsia="en-US"/>
        </w:rPr>
        <w:t xml:space="preserve"> </w:t>
      </w:r>
      <w:r w:rsidR="007C786B" w:rsidRPr="002570D1">
        <w:rPr>
          <w:rFonts w:eastAsia="Calibri"/>
          <w:sz w:val="20"/>
          <w:szCs w:val="20"/>
          <w:lang w:val="es-ES_tradnl" w:eastAsia="en-US"/>
        </w:rPr>
        <w:t>del Estado chileno</w:t>
      </w:r>
      <w:r>
        <w:rPr>
          <w:rFonts w:eastAsia="Calibri"/>
          <w:sz w:val="20"/>
          <w:szCs w:val="20"/>
          <w:lang w:val="es-ES_tradnl" w:eastAsia="en-US"/>
        </w:rPr>
        <w:t>,</w:t>
      </w:r>
      <w:r w:rsidRPr="002570D1">
        <w:rPr>
          <w:rFonts w:eastAsia="Calibri"/>
          <w:sz w:val="20"/>
          <w:szCs w:val="20"/>
          <w:lang w:val="es-ES_tradnl" w:eastAsia="en-US"/>
        </w:rPr>
        <w:t xml:space="preserve"> </w:t>
      </w:r>
      <w:r>
        <w:rPr>
          <w:rFonts w:eastAsia="Calibri"/>
          <w:sz w:val="20"/>
          <w:szCs w:val="20"/>
          <w:lang w:val="es-ES_tradnl" w:eastAsia="en-US"/>
        </w:rPr>
        <w:t xml:space="preserve">en esa ocasión, </w:t>
      </w:r>
      <w:r w:rsidRPr="002570D1">
        <w:rPr>
          <w:rFonts w:eastAsia="Calibri"/>
          <w:sz w:val="20"/>
          <w:szCs w:val="20"/>
          <w:lang w:val="es-ES_tradnl" w:eastAsia="en-US"/>
        </w:rPr>
        <w:t>en la tutela de</w:t>
      </w:r>
      <w:r>
        <w:rPr>
          <w:rFonts w:eastAsia="Calibri"/>
          <w:sz w:val="20"/>
          <w:szCs w:val="20"/>
          <w:lang w:val="es-ES_tradnl" w:eastAsia="en-US"/>
        </w:rPr>
        <w:t xml:space="preserve"> los derechos protegidos por esa norma</w:t>
      </w:r>
      <w:r w:rsidRPr="002570D1">
        <w:rPr>
          <w:rFonts w:eastAsia="Calibri"/>
          <w:sz w:val="18"/>
          <w:lang w:eastAsia="en-US"/>
        </w:rPr>
        <w:t xml:space="preserve"> </w:t>
      </w:r>
      <w:r>
        <w:rPr>
          <w:rFonts w:eastAsia="Calibri"/>
          <w:sz w:val="18"/>
          <w:szCs w:val="20"/>
          <w:lang w:val="es-ES_tradnl" w:eastAsia="en-US"/>
        </w:rPr>
        <w:t>[…]</w:t>
      </w:r>
      <w:r w:rsidRPr="002570D1">
        <w:rPr>
          <w:rFonts w:eastAsia="Calibri"/>
          <w:sz w:val="20"/>
          <w:szCs w:val="20"/>
          <w:vertAlign w:val="superscript"/>
          <w:lang w:val="es-ES_tradnl" w:eastAsia="en-US"/>
        </w:rPr>
        <w:footnoteReference w:id="130"/>
      </w:r>
      <w:r>
        <w:rPr>
          <w:rFonts w:eastAsia="Calibri"/>
          <w:sz w:val="20"/>
          <w:szCs w:val="20"/>
          <w:lang w:val="es-ES_tradnl" w:eastAsia="en-US"/>
        </w:rPr>
        <w:t>.</w:t>
      </w:r>
    </w:p>
    <w:p w14:paraId="487A488E" w14:textId="77777777" w:rsidR="002570D1" w:rsidRPr="002570D1" w:rsidRDefault="002570D1" w:rsidP="0059117C">
      <w:pPr>
        <w:contextualSpacing/>
        <w:rPr>
          <w:rFonts w:eastAsia="Calibri"/>
          <w:sz w:val="20"/>
          <w:szCs w:val="20"/>
          <w:lang w:val="es-ES_tradnl" w:eastAsia="en-US"/>
        </w:rPr>
      </w:pPr>
    </w:p>
    <w:p w14:paraId="163E5C03" w14:textId="77777777" w:rsidR="002570D1" w:rsidRPr="002570D1" w:rsidRDefault="0034044A" w:rsidP="0034044A">
      <w:pPr>
        <w:numPr>
          <w:ilvl w:val="0"/>
          <w:numId w:val="2"/>
        </w:numPr>
        <w:tabs>
          <w:tab w:val="left" w:pos="567"/>
          <w:tab w:val="num" w:pos="1569"/>
          <w:tab w:val="num" w:pos="12305"/>
        </w:tabs>
        <w:ind w:left="0" w:firstLine="0"/>
        <w:rPr>
          <w:rFonts w:eastAsia="Calibri"/>
          <w:sz w:val="20"/>
          <w:szCs w:val="20"/>
          <w:lang w:val="es-ES_tradnl" w:eastAsia="en-US"/>
        </w:rPr>
      </w:pPr>
      <w:r>
        <w:rPr>
          <w:rFonts w:eastAsia="Calibri"/>
          <w:sz w:val="20"/>
          <w:szCs w:val="20"/>
          <w:lang w:val="es-ES_tradnl" w:eastAsia="en-US"/>
        </w:rPr>
        <w:t>En este sentido</w:t>
      </w:r>
      <w:r w:rsidR="002570D1" w:rsidRPr="002570D1">
        <w:rPr>
          <w:rFonts w:eastAsia="Calibri"/>
          <w:sz w:val="20"/>
          <w:szCs w:val="20"/>
          <w:lang w:val="es-ES_tradnl" w:eastAsia="en-US"/>
        </w:rPr>
        <w:t xml:space="preserve">, </w:t>
      </w:r>
      <w:r>
        <w:rPr>
          <w:rFonts w:eastAsia="Calibri"/>
          <w:sz w:val="20"/>
          <w:szCs w:val="20"/>
          <w:lang w:val="es-ES_tradnl" w:eastAsia="en-US"/>
        </w:rPr>
        <w:t xml:space="preserve">la Corte resalta </w:t>
      </w:r>
      <w:r w:rsidR="002570D1" w:rsidRPr="002570D1">
        <w:rPr>
          <w:rFonts w:eastAsia="Calibri"/>
          <w:sz w:val="20"/>
          <w:szCs w:val="20"/>
          <w:lang w:val="es-ES_tradnl" w:eastAsia="en-US"/>
        </w:rPr>
        <w:t>el Preámbulo de la Convención Americana</w:t>
      </w:r>
      <w:r>
        <w:rPr>
          <w:rFonts w:eastAsia="Calibri"/>
          <w:sz w:val="20"/>
          <w:szCs w:val="20"/>
          <w:lang w:val="es-ES_tradnl" w:eastAsia="en-US"/>
        </w:rPr>
        <w:t>, el cual</w:t>
      </w:r>
      <w:r w:rsidR="002570D1" w:rsidRPr="002570D1">
        <w:rPr>
          <w:rFonts w:eastAsia="Calibri"/>
          <w:szCs w:val="20"/>
          <w:lang w:val="es-ES_tradnl" w:eastAsia="en-US"/>
        </w:rPr>
        <w:t xml:space="preserve"> </w:t>
      </w:r>
      <w:r w:rsidR="002570D1" w:rsidRPr="002570D1">
        <w:rPr>
          <w:rFonts w:eastAsia="Calibri"/>
          <w:sz w:val="20"/>
          <w:szCs w:val="20"/>
          <w:lang w:val="es-ES_tradnl" w:eastAsia="en-US"/>
        </w:rPr>
        <w:t xml:space="preserve">estableció </w:t>
      </w:r>
      <w:r w:rsidR="00FE58B5">
        <w:rPr>
          <w:rFonts w:eastAsia="Calibri"/>
          <w:sz w:val="20"/>
          <w:szCs w:val="20"/>
          <w:lang w:val="es-ES_tradnl" w:eastAsia="en-US"/>
        </w:rPr>
        <w:t>claramente la interdependencia y</w:t>
      </w:r>
      <w:r w:rsidR="002570D1" w:rsidRPr="002570D1">
        <w:rPr>
          <w:rFonts w:eastAsia="Calibri"/>
          <w:sz w:val="20"/>
          <w:szCs w:val="20"/>
          <w:lang w:val="es-ES_tradnl" w:eastAsia="en-US"/>
        </w:rPr>
        <w:t xml:space="preserve"> protección de tales derechos económicos y sociales en la Convención</w:t>
      </w:r>
      <w:r w:rsidR="000D7067">
        <w:rPr>
          <w:rFonts w:eastAsia="Calibri"/>
          <w:sz w:val="20"/>
          <w:szCs w:val="20"/>
          <w:lang w:val="es-ES_tradnl" w:eastAsia="en-US"/>
        </w:rPr>
        <w:t xml:space="preserve"> Americana</w:t>
      </w:r>
      <w:r w:rsidR="002570D1" w:rsidRPr="002570D1">
        <w:rPr>
          <w:rFonts w:eastAsia="Calibri"/>
          <w:sz w:val="20"/>
          <w:szCs w:val="20"/>
          <w:lang w:val="es-ES_tradnl" w:eastAsia="en-US"/>
        </w:rPr>
        <w:t xml:space="preserve">, al </w:t>
      </w:r>
      <w:r>
        <w:rPr>
          <w:rFonts w:eastAsia="Calibri"/>
          <w:sz w:val="20"/>
          <w:szCs w:val="20"/>
          <w:lang w:val="es-ES_tradnl" w:eastAsia="en-US"/>
        </w:rPr>
        <w:t>disponer</w:t>
      </w:r>
      <w:r w:rsidRPr="002570D1">
        <w:rPr>
          <w:rFonts w:eastAsia="Calibri"/>
          <w:sz w:val="20"/>
          <w:szCs w:val="20"/>
          <w:lang w:val="es-ES_tradnl" w:eastAsia="en-US"/>
        </w:rPr>
        <w:t xml:space="preserve"> </w:t>
      </w:r>
      <w:r w:rsidR="002570D1" w:rsidRPr="002570D1">
        <w:rPr>
          <w:rFonts w:eastAsia="Calibri"/>
          <w:sz w:val="20"/>
          <w:szCs w:val="20"/>
          <w:lang w:val="es-ES_tradnl" w:eastAsia="en-US"/>
        </w:rPr>
        <w:t>que:</w:t>
      </w:r>
    </w:p>
    <w:p w14:paraId="715C8C32" w14:textId="77777777" w:rsidR="002570D1" w:rsidRPr="002570D1" w:rsidRDefault="002570D1" w:rsidP="002570D1">
      <w:pPr>
        <w:ind w:left="-90" w:right="-360"/>
        <w:contextualSpacing/>
        <w:rPr>
          <w:rFonts w:eastAsia="Calibri" w:cs="Verdana"/>
          <w:sz w:val="20"/>
          <w:szCs w:val="20"/>
          <w:lang w:val="es-ES_tradnl" w:eastAsia="en-US"/>
        </w:rPr>
      </w:pPr>
    </w:p>
    <w:p w14:paraId="067B4158" w14:textId="77777777" w:rsidR="002570D1" w:rsidRPr="002570D1" w:rsidRDefault="002570D1" w:rsidP="002570D1">
      <w:pPr>
        <w:ind w:left="567" w:right="335"/>
        <w:rPr>
          <w:rFonts w:eastAsia="Calibri"/>
          <w:sz w:val="20"/>
          <w:szCs w:val="20"/>
          <w:lang w:val="es-ES_tradnl" w:eastAsia="en-US"/>
        </w:rPr>
      </w:pPr>
      <w:r w:rsidRPr="002570D1">
        <w:rPr>
          <w:rFonts w:eastAsia="Calibri"/>
          <w:sz w:val="20"/>
          <w:szCs w:val="20"/>
          <w:lang w:val="es-ES_tradnl" w:eastAsia="en-US"/>
        </w:rPr>
        <w:t xml:space="preserve">[…] </w:t>
      </w:r>
    </w:p>
    <w:p w14:paraId="41868517" w14:textId="77777777" w:rsidR="002570D1" w:rsidRPr="002570D1" w:rsidRDefault="002570D1" w:rsidP="002570D1">
      <w:pPr>
        <w:ind w:left="567" w:right="335"/>
        <w:rPr>
          <w:rFonts w:eastAsia="Calibri"/>
          <w:sz w:val="18"/>
          <w:szCs w:val="20"/>
          <w:lang w:val="es-ES_tradnl" w:eastAsia="en-US"/>
        </w:rPr>
      </w:pPr>
      <w:r w:rsidRPr="002570D1">
        <w:rPr>
          <w:rFonts w:eastAsia="Calibri"/>
          <w:sz w:val="18"/>
          <w:szCs w:val="20"/>
          <w:lang w:val="es-ES_tradnl" w:eastAsia="en-US"/>
        </w:rPr>
        <w:t>Los Estados Americanos signatarios de la presente Convención,</w:t>
      </w:r>
    </w:p>
    <w:p w14:paraId="175FBFB9" w14:textId="77777777" w:rsidR="000470EB" w:rsidRDefault="000470EB" w:rsidP="002570D1">
      <w:pPr>
        <w:ind w:left="567" w:right="335"/>
        <w:rPr>
          <w:rFonts w:eastAsia="Calibri"/>
          <w:sz w:val="18"/>
          <w:szCs w:val="20"/>
          <w:lang w:val="es-ES_tradnl" w:eastAsia="en-US"/>
        </w:rPr>
      </w:pPr>
    </w:p>
    <w:p w14:paraId="60AC9F11" w14:textId="73325D6B" w:rsidR="002570D1" w:rsidRPr="002570D1" w:rsidRDefault="000470EB" w:rsidP="002570D1">
      <w:pPr>
        <w:ind w:left="567" w:right="335"/>
        <w:rPr>
          <w:rFonts w:eastAsia="Calibri"/>
          <w:sz w:val="18"/>
          <w:szCs w:val="20"/>
          <w:u w:val="single"/>
          <w:lang w:val="es-ES_tradnl" w:eastAsia="en-US"/>
        </w:rPr>
      </w:pPr>
      <w:r>
        <w:rPr>
          <w:rFonts w:eastAsia="Calibri"/>
          <w:sz w:val="18"/>
          <w:szCs w:val="20"/>
          <w:lang w:val="es-ES_tradnl" w:eastAsia="en-US"/>
        </w:rPr>
        <w:t xml:space="preserve">[…] </w:t>
      </w:r>
      <w:r w:rsidR="002570D1" w:rsidRPr="002570D1">
        <w:rPr>
          <w:rFonts w:eastAsia="Calibri"/>
          <w:sz w:val="18"/>
          <w:szCs w:val="20"/>
          <w:lang w:val="es-ES_tradnl" w:eastAsia="en-US"/>
        </w:rPr>
        <w:t xml:space="preserve">Reiterando que, con arreglo a la Declaración Universal de los Derechos Humanos, sólo puede realizarse el ideal del ser humano libre, exento del temor y de la miseria, si se crean condiciones que permitan a </w:t>
      </w:r>
      <w:r w:rsidR="002570D1" w:rsidRPr="002570D1">
        <w:rPr>
          <w:rFonts w:eastAsia="Calibri"/>
          <w:sz w:val="18"/>
          <w:szCs w:val="20"/>
          <w:u w:val="single"/>
          <w:lang w:val="es-ES_tradnl" w:eastAsia="en-US"/>
        </w:rPr>
        <w:t>cada persona gozar de sus derechos económicos, sociales y culturales, tanto como de sus derechos civiles y políticos</w:t>
      </w:r>
      <w:r>
        <w:rPr>
          <w:rFonts w:eastAsia="Calibri"/>
          <w:sz w:val="18"/>
          <w:szCs w:val="20"/>
          <w:u w:val="single"/>
          <w:lang w:val="es-ES_tradnl" w:eastAsia="en-US"/>
        </w:rPr>
        <w:t>, y</w:t>
      </w:r>
    </w:p>
    <w:p w14:paraId="595F359A" w14:textId="77777777" w:rsidR="002570D1" w:rsidRPr="002570D1" w:rsidRDefault="002570D1" w:rsidP="002570D1">
      <w:pPr>
        <w:ind w:left="567" w:right="335"/>
        <w:rPr>
          <w:rFonts w:eastAsia="Calibri"/>
          <w:sz w:val="18"/>
          <w:szCs w:val="20"/>
          <w:lang w:val="es-ES_tradnl" w:eastAsia="en-US"/>
        </w:rPr>
      </w:pPr>
    </w:p>
    <w:p w14:paraId="5A5B1BFB" w14:textId="6E6B2862" w:rsidR="000470EB" w:rsidRDefault="002570D1" w:rsidP="002570D1">
      <w:pPr>
        <w:ind w:left="567" w:right="335"/>
        <w:rPr>
          <w:rFonts w:eastAsia="Calibri"/>
          <w:sz w:val="18"/>
          <w:szCs w:val="20"/>
          <w:lang w:val="es-ES_tradnl" w:eastAsia="en-US"/>
        </w:rPr>
      </w:pPr>
      <w:r w:rsidRPr="002570D1">
        <w:rPr>
          <w:rFonts w:eastAsia="Calibri"/>
          <w:sz w:val="18"/>
          <w:szCs w:val="20"/>
          <w:lang w:val="es-ES_tradnl" w:eastAsia="en-US"/>
        </w:rPr>
        <w:t xml:space="preserve">Considerando que la Tercera Conferencia Interamericana Extraordinaria (Buenos Aires, 1967) </w:t>
      </w:r>
      <w:r w:rsidRPr="002570D1">
        <w:rPr>
          <w:rFonts w:eastAsia="Calibri"/>
          <w:sz w:val="18"/>
          <w:szCs w:val="20"/>
          <w:u w:val="single"/>
          <w:lang w:val="es-ES_tradnl" w:eastAsia="en-US"/>
        </w:rPr>
        <w:t>aprobó la incorporación a la propia Carta de la Organización de normas más amplias sobre derechos económicos, sociales y educacionales y resolvió que una convención interamericana sobre derechos humanos determinara la estructura, competencia y procedimiento de los órganos encargados de esa materia</w:t>
      </w:r>
      <w:r w:rsidR="004F62EF">
        <w:rPr>
          <w:rFonts w:eastAsia="Calibri"/>
          <w:sz w:val="18"/>
          <w:szCs w:val="20"/>
          <w:u w:val="single"/>
          <w:lang w:val="es-ES_tradnl" w:eastAsia="en-US"/>
        </w:rPr>
        <w:t>,</w:t>
      </w:r>
    </w:p>
    <w:p w14:paraId="15518E8B" w14:textId="77777777" w:rsidR="000470EB" w:rsidRDefault="000470EB" w:rsidP="002570D1">
      <w:pPr>
        <w:ind w:left="567" w:right="335"/>
        <w:rPr>
          <w:rFonts w:eastAsia="Calibri"/>
          <w:sz w:val="18"/>
          <w:szCs w:val="20"/>
          <w:lang w:val="es-ES_tradnl" w:eastAsia="en-US"/>
        </w:rPr>
      </w:pPr>
    </w:p>
    <w:p w14:paraId="4F0532A5" w14:textId="3ED74E24" w:rsidR="002570D1" w:rsidRPr="002570D1" w:rsidRDefault="000470EB" w:rsidP="00765E3D">
      <w:pPr>
        <w:ind w:left="567" w:right="335"/>
        <w:rPr>
          <w:rFonts w:eastAsia="Calibri"/>
          <w:sz w:val="18"/>
          <w:szCs w:val="20"/>
          <w:lang w:val="es-ES_tradnl" w:eastAsia="en-US"/>
        </w:rPr>
      </w:pPr>
      <w:r w:rsidRPr="002570D1">
        <w:rPr>
          <w:rFonts w:eastAsia="Calibri"/>
          <w:sz w:val="18"/>
          <w:szCs w:val="20"/>
          <w:lang w:val="es-ES_tradnl" w:eastAsia="en-US"/>
        </w:rPr>
        <w:t>Han convenido en lo siguiente: […]</w:t>
      </w:r>
      <w:r w:rsidR="002A5452">
        <w:rPr>
          <w:rStyle w:val="FootnoteReference"/>
          <w:rFonts w:eastAsia="Calibri"/>
          <w:sz w:val="18"/>
          <w:szCs w:val="20"/>
          <w:lang w:val="es-ES_tradnl" w:eastAsia="en-US"/>
        </w:rPr>
        <w:footnoteReference w:id="131"/>
      </w:r>
      <w:r w:rsidR="00A15504">
        <w:rPr>
          <w:rFonts w:eastAsia="Calibri"/>
          <w:sz w:val="18"/>
          <w:szCs w:val="20"/>
          <w:lang w:val="es-ES_tradnl" w:eastAsia="en-US"/>
        </w:rPr>
        <w:t>.</w:t>
      </w:r>
    </w:p>
    <w:p w14:paraId="1574CABF" w14:textId="77777777" w:rsidR="002570D1" w:rsidRPr="002570D1" w:rsidRDefault="002570D1" w:rsidP="002570D1">
      <w:pPr>
        <w:rPr>
          <w:rFonts w:eastAsia="Calibri"/>
          <w:b/>
          <w:sz w:val="20"/>
          <w:szCs w:val="20"/>
          <w:lang w:val="es-ES_tradnl" w:eastAsia="en-US"/>
        </w:rPr>
      </w:pPr>
    </w:p>
    <w:p w14:paraId="3C92BCF5" w14:textId="5726FBE6" w:rsidR="002570D1" w:rsidRPr="008B0574" w:rsidRDefault="002570D1" w:rsidP="002570D1">
      <w:pPr>
        <w:numPr>
          <w:ilvl w:val="0"/>
          <w:numId w:val="2"/>
        </w:numPr>
        <w:tabs>
          <w:tab w:val="left" w:pos="567"/>
          <w:tab w:val="num" w:pos="1569"/>
          <w:tab w:val="num" w:pos="12305"/>
        </w:tabs>
        <w:ind w:left="0" w:firstLine="0"/>
        <w:rPr>
          <w:rFonts w:eastAsia="Calibri"/>
          <w:sz w:val="20"/>
          <w:szCs w:val="20"/>
          <w:lang w:val="es-ES_tradnl" w:eastAsia="en-US"/>
        </w:rPr>
      </w:pPr>
      <w:r w:rsidRPr="008B0574">
        <w:rPr>
          <w:rFonts w:eastAsia="Calibri"/>
          <w:sz w:val="20"/>
          <w:szCs w:val="20"/>
          <w:lang w:val="es-ES_tradnl" w:eastAsia="en-US"/>
        </w:rPr>
        <w:t xml:space="preserve">Así, resulta </w:t>
      </w:r>
      <w:r w:rsidR="000D7067" w:rsidRPr="008B0574">
        <w:rPr>
          <w:rFonts w:eastAsia="Calibri"/>
          <w:sz w:val="20"/>
          <w:szCs w:val="20"/>
          <w:lang w:val="es-ES_tradnl" w:eastAsia="en-US"/>
        </w:rPr>
        <w:t xml:space="preserve">claro </w:t>
      </w:r>
      <w:r w:rsidRPr="00132C26">
        <w:rPr>
          <w:rFonts w:eastAsia="Calibri"/>
          <w:sz w:val="20"/>
          <w:szCs w:val="20"/>
          <w:lang w:val="es-ES_tradnl" w:eastAsia="en-US"/>
        </w:rPr>
        <w:t>interpretar que la Convención Americana incorporó en su catálogo de derechos protegidos los denominados derecho</w:t>
      </w:r>
      <w:r w:rsidR="004F62EF">
        <w:rPr>
          <w:rFonts w:eastAsia="Calibri"/>
          <w:sz w:val="20"/>
          <w:szCs w:val="20"/>
          <w:lang w:val="es-ES_tradnl" w:eastAsia="en-US"/>
        </w:rPr>
        <w:t>s</w:t>
      </w:r>
      <w:r w:rsidRPr="00132C26">
        <w:rPr>
          <w:rFonts w:eastAsia="Calibri"/>
          <w:sz w:val="20"/>
          <w:szCs w:val="20"/>
          <w:lang w:val="es-ES_tradnl" w:eastAsia="en-US"/>
        </w:rPr>
        <w:t xml:space="preserve"> económicos, sociales, culturales y ambientales (DESCA)</w:t>
      </w:r>
      <w:r w:rsidRPr="008B0574">
        <w:rPr>
          <w:rFonts w:eastAsia="Calibri"/>
          <w:sz w:val="20"/>
          <w:szCs w:val="20"/>
          <w:vertAlign w:val="superscript"/>
          <w:lang w:val="es-ES_tradnl" w:eastAsia="en-US"/>
        </w:rPr>
        <w:footnoteReference w:id="132"/>
      </w:r>
      <w:r w:rsidRPr="008B0574">
        <w:rPr>
          <w:rFonts w:eastAsia="Calibri"/>
          <w:sz w:val="20"/>
          <w:szCs w:val="20"/>
          <w:lang w:val="es-ES_tradnl" w:eastAsia="en-US"/>
        </w:rPr>
        <w:t xml:space="preserve">, a través de una derivación </w:t>
      </w:r>
      <w:r w:rsidR="00AC0B60">
        <w:rPr>
          <w:rFonts w:eastAsia="Calibri"/>
          <w:sz w:val="20"/>
          <w:szCs w:val="20"/>
          <w:lang w:val="es-ES_tradnl" w:eastAsia="en-US"/>
        </w:rPr>
        <w:t>de</w:t>
      </w:r>
      <w:r w:rsidR="00AC0B60" w:rsidRPr="008B0574">
        <w:rPr>
          <w:rFonts w:eastAsia="Calibri"/>
          <w:sz w:val="20"/>
          <w:szCs w:val="20"/>
          <w:lang w:val="es-ES_tradnl" w:eastAsia="en-US"/>
        </w:rPr>
        <w:t xml:space="preserve"> </w:t>
      </w:r>
      <w:r w:rsidRPr="008B0574">
        <w:rPr>
          <w:rFonts w:eastAsia="Calibri"/>
          <w:sz w:val="20"/>
          <w:szCs w:val="20"/>
          <w:lang w:val="es-ES_tradnl" w:eastAsia="en-US"/>
        </w:rPr>
        <w:t xml:space="preserve">las normas reconocidas en la Carta de </w:t>
      </w:r>
      <w:proofErr w:type="spellStart"/>
      <w:r w:rsidRPr="008B0574">
        <w:rPr>
          <w:rFonts w:eastAsia="Calibri"/>
          <w:sz w:val="20"/>
          <w:szCs w:val="20"/>
          <w:lang w:val="es-ES_tradnl" w:eastAsia="en-US"/>
        </w:rPr>
        <w:t>la</w:t>
      </w:r>
      <w:r w:rsidR="00AC0B60">
        <w:rPr>
          <w:rFonts w:eastAsia="Calibri"/>
          <w:sz w:val="20"/>
          <w:szCs w:val="20"/>
          <w:lang w:val="es-ES_tradnl" w:eastAsia="en-US"/>
        </w:rPr>
        <w:t>Organización</w:t>
      </w:r>
      <w:proofErr w:type="spellEnd"/>
      <w:r w:rsidR="00AC0B60">
        <w:rPr>
          <w:rFonts w:eastAsia="Calibri"/>
          <w:sz w:val="20"/>
          <w:szCs w:val="20"/>
          <w:lang w:val="es-ES_tradnl" w:eastAsia="en-US"/>
        </w:rPr>
        <w:t xml:space="preserve"> de los Estados Americanos (OEA)</w:t>
      </w:r>
      <w:r w:rsidR="008B0574" w:rsidRPr="00C27894">
        <w:rPr>
          <w:rFonts w:eastAsia="Calibri"/>
          <w:sz w:val="20"/>
          <w:szCs w:val="20"/>
          <w:lang w:val="es-ES_tradnl" w:eastAsia="en-US"/>
        </w:rPr>
        <w:t xml:space="preserve">, así como </w:t>
      </w:r>
      <w:r w:rsidRPr="00132C26">
        <w:rPr>
          <w:rFonts w:eastAsia="Calibri"/>
          <w:sz w:val="20"/>
          <w:szCs w:val="20"/>
          <w:lang w:val="es-ES_tradnl" w:eastAsia="en-US"/>
        </w:rPr>
        <w:t>de las normas de interpretación dispuestas en el propio artículo 29 de la Convención</w:t>
      </w:r>
      <w:r w:rsidRPr="008B0574">
        <w:rPr>
          <w:rFonts w:eastAsia="Calibri"/>
          <w:sz w:val="20"/>
          <w:szCs w:val="20"/>
          <w:vertAlign w:val="superscript"/>
          <w:lang w:val="es-ES_tradnl" w:eastAsia="en-US"/>
        </w:rPr>
        <w:footnoteReference w:id="133"/>
      </w:r>
      <w:r w:rsidRPr="008B0574">
        <w:rPr>
          <w:rFonts w:eastAsia="Calibri"/>
          <w:sz w:val="20"/>
          <w:szCs w:val="20"/>
          <w:lang w:val="es-ES_tradnl" w:eastAsia="en-US"/>
        </w:rPr>
        <w:t xml:space="preserve">; particularmente, </w:t>
      </w:r>
      <w:r w:rsidR="008B0574" w:rsidRPr="00C27894">
        <w:rPr>
          <w:rFonts w:eastAsia="Calibri"/>
          <w:sz w:val="20"/>
          <w:szCs w:val="20"/>
          <w:lang w:val="es-ES_tradnl" w:eastAsia="en-US"/>
        </w:rPr>
        <w:t xml:space="preserve">que impide limitar o excluir el goce de </w:t>
      </w:r>
      <w:r w:rsidRPr="008B0574">
        <w:rPr>
          <w:rFonts w:eastAsia="Calibri"/>
          <w:sz w:val="20"/>
          <w:szCs w:val="20"/>
          <w:lang w:val="es-ES_tradnl" w:eastAsia="en-US"/>
        </w:rPr>
        <w:t>los derechos establecidos en la Declaración Americ</w:t>
      </w:r>
      <w:r w:rsidRPr="00132C26">
        <w:rPr>
          <w:rFonts w:eastAsia="Calibri"/>
          <w:sz w:val="20"/>
          <w:szCs w:val="20"/>
          <w:lang w:val="es-ES_tradnl" w:eastAsia="en-US"/>
        </w:rPr>
        <w:t>ana e inclusive los reconocidos en materia interna</w:t>
      </w:r>
      <w:r w:rsidR="00BF56F2">
        <w:rPr>
          <w:rFonts w:eastAsia="Calibri"/>
          <w:sz w:val="20"/>
          <w:szCs w:val="20"/>
          <w:lang w:val="es-ES_tradnl" w:eastAsia="en-US"/>
        </w:rPr>
        <w:t xml:space="preserve"> (</w:t>
      </w:r>
      <w:r w:rsidR="00BF56F2" w:rsidRPr="00C27894">
        <w:rPr>
          <w:rFonts w:eastAsia="Calibri"/>
          <w:i/>
          <w:sz w:val="20"/>
          <w:szCs w:val="20"/>
          <w:lang w:val="es-ES_tradnl" w:eastAsia="en-US"/>
        </w:rPr>
        <w:t>infra</w:t>
      </w:r>
      <w:r w:rsidR="00BF56F2">
        <w:rPr>
          <w:rFonts w:eastAsia="Calibri"/>
          <w:sz w:val="20"/>
          <w:szCs w:val="20"/>
          <w:lang w:val="es-ES_tradnl" w:eastAsia="en-US"/>
        </w:rPr>
        <w:t xml:space="preserve"> párr. </w:t>
      </w:r>
      <w:r w:rsidR="00263E42">
        <w:rPr>
          <w:rFonts w:eastAsia="Calibri"/>
          <w:sz w:val="20"/>
          <w:szCs w:val="20"/>
          <w:lang w:val="es-ES_tradnl" w:eastAsia="en-US"/>
        </w:rPr>
        <w:t>108)</w:t>
      </w:r>
      <w:r w:rsidR="00263E42" w:rsidRPr="00132C26">
        <w:rPr>
          <w:rFonts w:eastAsia="Calibri"/>
          <w:sz w:val="20"/>
          <w:szCs w:val="20"/>
          <w:lang w:val="es-ES_tradnl" w:eastAsia="en-US"/>
        </w:rPr>
        <w:t xml:space="preserve">. </w:t>
      </w:r>
      <w:r w:rsidRPr="00132C26">
        <w:rPr>
          <w:rFonts w:eastAsia="Calibri"/>
          <w:sz w:val="20"/>
          <w:szCs w:val="20"/>
          <w:lang w:val="es-ES_tradnl" w:eastAsia="en-US"/>
        </w:rPr>
        <w:t>Asimismo, de conformidad con una interpretación</w:t>
      </w:r>
      <w:r w:rsidRPr="008B0574">
        <w:rPr>
          <w:rFonts w:eastAsia="Calibri"/>
          <w:sz w:val="20"/>
          <w:szCs w:val="20"/>
          <w:vertAlign w:val="superscript"/>
          <w:lang w:val="es-ES_tradnl" w:eastAsia="en-US"/>
        </w:rPr>
        <w:footnoteReference w:id="134"/>
      </w:r>
      <w:r w:rsidRPr="008B0574">
        <w:rPr>
          <w:rFonts w:eastAsia="Calibri"/>
          <w:sz w:val="20"/>
          <w:szCs w:val="20"/>
          <w:lang w:val="es-ES_tradnl" w:eastAsia="en-US"/>
        </w:rPr>
        <w:t xml:space="preserve"> sistemática, teleológica y evolutiva, la Corte ha recurrido al </w:t>
      </w:r>
      <w:r w:rsidRPr="008B0574">
        <w:rPr>
          <w:rFonts w:eastAsia="Calibri"/>
          <w:i/>
          <w:sz w:val="20"/>
          <w:szCs w:val="20"/>
          <w:lang w:val="es-ES_tradnl" w:eastAsia="en-US"/>
        </w:rPr>
        <w:t xml:space="preserve">corpus iuris </w:t>
      </w:r>
      <w:r w:rsidRPr="00132C26">
        <w:rPr>
          <w:rFonts w:eastAsia="Calibri"/>
          <w:sz w:val="20"/>
          <w:szCs w:val="20"/>
          <w:lang w:val="es-ES_tradnl" w:eastAsia="en-US"/>
        </w:rPr>
        <w:t xml:space="preserve">internacional y nacional en </w:t>
      </w:r>
      <w:r w:rsidRPr="00AA7ACB">
        <w:rPr>
          <w:rFonts w:eastAsia="Calibri"/>
          <w:sz w:val="20"/>
          <w:szCs w:val="20"/>
          <w:lang w:val="es-ES_tradnl" w:eastAsia="en-US"/>
        </w:rPr>
        <w:t>la materia para dar contenido específico al alcance de los derechos tutelados por la Convención</w:t>
      </w:r>
      <w:r w:rsidRPr="008B0574">
        <w:rPr>
          <w:rFonts w:eastAsia="Calibri"/>
          <w:sz w:val="20"/>
          <w:szCs w:val="20"/>
          <w:vertAlign w:val="superscript"/>
          <w:lang w:val="es-ES_tradnl" w:eastAsia="en-US"/>
        </w:rPr>
        <w:footnoteReference w:id="135"/>
      </w:r>
      <w:r w:rsidR="00FE58B5" w:rsidRPr="008B0574">
        <w:rPr>
          <w:rFonts w:eastAsia="Calibri"/>
          <w:sz w:val="20"/>
          <w:szCs w:val="20"/>
          <w:lang w:val="es-ES_tradnl" w:eastAsia="en-US"/>
        </w:rPr>
        <w:t xml:space="preserve"> (</w:t>
      </w:r>
      <w:r w:rsidR="00FE58B5" w:rsidRPr="008B0574">
        <w:rPr>
          <w:rFonts w:eastAsia="Calibri"/>
          <w:i/>
          <w:sz w:val="20"/>
          <w:szCs w:val="20"/>
          <w:lang w:val="es-ES_tradnl" w:eastAsia="en-US"/>
        </w:rPr>
        <w:t>infra</w:t>
      </w:r>
      <w:r w:rsidR="00FE58B5" w:rsidRPr="008B0574">
        <w:rPr>
          <w:rFonts w:eastAsia="Calibri"/>
          <w:sz w:val="20"/>
          <w:szCs w:val="20"/>
          <w:lang w:val="es-ES_tradnl" w:eastAsia="en-US"/>
        </w:rPr>
        <w:t xml:space="preserve"> párr. </w:t>
      </w:r>
      <w:r w:rsidR="000D7067" w:rsidRPr="00132C26">
        <w:rPr>
          <w:rFonts w:eastAsia="Calibri"/>
          <w:sz w:val="20"/>
          <w:szCs w:val="20"/>
          <w:lang w:val="es-ES_tradnl" w:eastAsia="en-US"/>
        </w:rPr>
        <w:t>11</w:t>
      </w:r>
      <w:r w:rsidR="00765E3D">
        <w:rPr>
          <w:rFonts w:eastAsia="Calibri"/>
          <w:sz w:val="20"/>
          <w:szCs w:val="20"/>
          <w:lang w:val="es-ES_tradnl" w:eastAsia="en-US"/>
        </w:rPr>
        <w:t>4</w:t>
      </w:r>
      <w:r w:rsidR="00FE58B5" w:rsidRPr="00AA7ACB">
        <w:rPr>
          <w:rFonts w:eastAsia="Calibri"/>
          <w:sz w:val="20"/>
          <w:szCs w:val="20"/>
          <w:lang w:val="es-ES_tradnl" w:eastAsia="en-US"/>
        </w:rPr>
        <w:t>)</w:t>
      </w:r>
      <w:r w:rsidR="00D315EA" w:rsidRPr="00C27894">
        <w:rPr>
          <w:rFonts w:eastAsia="Calibri"/>
          <w:sz w:val="20"/>
          <w:szCs w:val="20"/>
          <w:lang w:val="es-ES_tradnl" w:eastAsia="en-US"/>
        </w:rPr>
        <w:t xml:space="preserve">, a fin de derivar el alcance de las obligaciones específicas de cada derecho. </w:t>
      </w:r>
    </w:p>
    <w:p w14:paraId="6467C5FD" w14:textId="77777777" w:rsidR="002570D1" w:rsidRPr="001C4D75" w:rsidRDefault="002570D1" w:rsidP="002570D1">
      <w:pPr>
        <w:ind w:right="-360"/>
        <w:contextualSpacing/>
        <w:rPr>
          <w:rFonts w:eastAsia="Calibri"/>
          <w:sz w:val="20"/>
          <w:szCs w:val="20"/>
          <w:lang w:val="es-ES_tradnl" w:eastAsia="en-US"/>
        </w:rPr>
      </w:pPr>
    </w:p>
    <w:p w14:paraId="7C236395" w14:textId="0D9A7A8D" w:rsidR="00A23D78" w:rsidRPr="007E5CD5" w:rsidRDefault="002570D1" w:rsidP="00A23D78">
      <w:pPr>
        <w:numPr>
          <w:ilvl w:val="0"/>
          <w:numId w:val="2"/>
        </w:numPr>
        <w:tabs>
          <w:tab w:val="left" w:pos="567"/>
          <w:tab w:val="num" w:pos="1569"/>
          <w:tab w:val="num" w:pos="12305"/>
        </w:tabs>
        <w:ind w:left="0" w:firstLine="0"/>
        <w:rPr>
          <w:rFonts w:eastAsia="Calibri"/>
          <w:sz w:val="20"/>
          <w:szCs w:val="20"/>
          <w:lang w:val="es-ES_tradnl" w:eastAsia="en-US"/>
        </w:rPr>
      </w:pPr>
      <w:r w:rsidRPr="007E5CD5">
        <w:rPr>
          <w:rFonts w:eastAsia="Calibri"/>
          <w:sz w:val="20"/>
          <w:szCs w:val="20"/>
          <w:lang w:val="es-ES_tradnl" w:eastAsia="en-US"/>
        </w:rPr>
        <w:t xml:space="preserve">Asimismo, este Tribunal destaca que del contenido del artículo 26 se desprenden dos tipos de obligaciones. Por un lado, la adopción de medidas generales de manera </w:t>
      </w:r>
      <w:r w:rsidRPr="007E5CD5">
        <w:rPr>
          <w:rFonts w:eastAsia="Calibri"/>
          <w:i/>
          <w:sz w:val="20"/>
          <w:lang w:val="es-ES_tradnl"/>
        </w:rPr>
        <w:t>progresiva</w:t>
      </w:r>
      <w:r w:rsidRPr="007E5CD5">
        <w:rPr>
          <w:rFonts w:eastAsia="Calibri"/>
          <w:sz w:val="20"/>
          <w:szCs w:val="20"/>
          <w:lang w:val="es-ES_tradnl" w:eastAsia="en-US"/>
        </w:rPr>
        <w:t xml:space="preserve"> y por otro lado la adopción de medidas de carácter </w:t>
      </w:r>
      <w:r w:rsidRPr="007E5CD5">
        <w:rPr>
          <w:rFonts w:eastAsia="Calibri"/>
          <w:i/>
          <w:sz w:val="20"/>
          <w:lang w:val="es-ES_tradnl"/>
        </w:rPr>
        <w:t>inmediato</w:t>
      </w:r>
      <w:r w:rsidRPr="007E5CD5">
        <w:rPr>
          <w:rFonts w:eastAsia="Calibri"/>
          <w:sz w:val="20"/>
          <w:szCs w:val="20"/>
          <w:lang w:val="es-ES_tradnl" w:eastAsia="en-US"/>
        </w:rPr>
        <w:t>. Respecto de las primeras, a las cu</w:t>
      </w:r>
      <w:r w:rsidR="00662D92">
        <w:rPr>
          <w:rFonts w:eastAsia="Calibri"/>
          <w:sz w:val="20"/>
          <w:szCs w:val="20"/>
          <w:lang w:val="es-ES_tradnl" w:eastAsia="en-US"/>
        </w:rPr>
        <w:t>a</w:t>
      </w:r>
      <w:r w:rsidRPr="007E5CD5">
        <w:rPr>
          <w:rFonts w:eastAsia="Calibri"/>
          <w:sz w:val="20"/>
          <w:szCs w:val="20"/>
          <w:lang w:val="es-ES_tradnl" w:eastAsia="en-US"/>
        </w:rPr>
        <w:t>les hizo referencia el Estado en el presente caso, la realización progresiva significa que los Estados partes tienen la obligación concreta y constante de avanzar lo más expedita y eficazmente posible hacia la plena efectividad de los DESCA</w:t>
      </w:r>
      <w:r w:rsidRPr="007E5CD5">
        <w:rPr>
          <w:rFonts w:eastAsia="Calibri"/>
          <w:sz w:val="20"/>
          <w:szCs w:val="20"/>
          <w:vertAlign w:val="superscript"/>
          <w:lang w:val="es-ES_tradnl" w:eastAsia="en-US"/>
        </w:rPr>
        <w:footnoteReference w:id="136"/>
      </w:r>
      <w:r w:rsidRPr="007E5CD5">
        <w:rPr>
          <w:rFonts w:eastAsia="Calibri"/>
          <w:sz w:val="20"/>
          <w:szCs w:val="20"/>
          <w:lang w:val="es-ES_tradnl" w:eastAsia="en-US"/>
        </w:rPr>
        <w:t xml:space="preserve">, </w:t>
      </w:r>
      <w:r w:rsidR="0084234E" w:rsidRPr="007E5CD5">
        <w:rPr>
          <w:rFonts w:eastAsia="Calibri"/>
          <w:sz w:val="20"/>
          <w:szCs w:val="20"/>
          <w:lang w:val="es-ES_tradnl" w:eastAsia="en-US"/>
        </w:rPr>
        <w:t>ello</w:t>
      </w:r>
      <w:r w:rsidRPr="007E5CD5">
        <w:rPr>
          <w:rFonts w:eastAsia="Calibri"/>
          <w:sz w:val="20"/>
          <w:szCs w:val="20"/>
          <w:lang w:val="es-ES_tradnl" w:eastAsia="en-US"/>
        </w:rPr>
        <w:t xml:space="preserve"> no debe interpretarse en el sentido que</w:t>
      </w:r>
      <w:r w:rsidR="00722D08">
        <w:rPr>
          <w:rFonts w:eastAsia="Calibri"/>
          <w:sz w:val="20"/>
          <w:szCs w:val="20"/>
          <w:lang w:val="es-ES_tradnl" w:eastAsia="en-US"/>
        </w:rPr>
        <w:t>,</w:t>
      </w:r>
      <w:r w:rsidRPr="007E5CD5">
        <w:rPr>
          <w:rFonts w:eastAsia="Calibri"/>
          <w:sz w:val="20"/>
          <w:szCs w:val="20"/>
          <w:lang w:val="es-ES_tradnl" w:eastAsia="en-US"/>
        </w:rPr>
        <w:t xml:space="preserve"> </w:t>
      </w:r>
      <w:r w:rsidRPr="007E5CD5">
        <w:rPr>
          <w:rFonts w:eastAsia="Calibri"/>
          <w:sz w:val="20"/>
          <w:szCs w:val="20"/>
          <w:lang w:val="es-ES_tradnl" w:eastAsia="en-US"/>
        </w:rPr>
        <w:lastRenderedPageBreak/>
        <w:t xml:space="preserve">durante su periodo de </w:t>
      </w:r>
      <w:r w:rsidR="00454BB3" w:rsidRPr="007E5CD5">
        <w:rPr>
          <w:rFonts w:eastAsia="Calibri"/>
          <w:sz w:val="20"/>
          <w:szCs w:val="20"/>
          <w:lang w:val="es-ES_tradnl" w:eastAsia="en-US"/>
        </w:rPr>
        <w:t>implementación</w:t>
      </w:r>
      <w:r w:rsidRPr="007E5CD5">
        <w:rPr>
          <w:rFonts w:eastAsia="Calibri"/>
          <w:sz w:val="20"/>
          <w:szCs w:val="20"/>
          <w:lang w:val="es-ES_tradnl" w:eastAsia="en-US"/>
        </w:rPr>
        <w:t>, dichas obligaciones se priv</w:t>
      </w:r>
      <w:r w:rsidR="000D7067" w:rsidRPr="007E5CD5">
        <w:rPr>
          <w:rFonts w:eastAsia="Calibri"/>
          <w:sz w:val="20"/>
          <w:szCs w:val="20"/>
          <w:lang w:val="es-ES_tradnl" w:eastAsia="en-US"/>
        </w:rPr>
        <w:t>e</w:t>
      </w:r>
      <w:r w:rsidRPr="007E5CD5">
        <w:rPr>
          <w:rFonts w:eastAsia="Calibri"/>
          <w:sz w:val="20"/>
          <w:szCs w:val="20"/>
          <w:lang w:val="es-ES_tradnl" w:eastAsia="en-US"/>
        </w:rPr>
        <w:t>n de contenido</w:t>
      </w:r>
      <w:r w:rsidR="00454BB3" w:rsidRPr="007E5CD5">
        <w:rPr>
          <w:rFonts w:eastAsia="Calibri"/>
          <w:sz w:val="20"/>
          <w:szCs w:val="20"/>
          <w:lang w:val="es-ES_tradnl" w:eastAsia="en-US"/>
        </w:rPr>
        <w:t xml:space="preserve"> específico</w:t>
      </w:r>
      <w:r w:rsidRPr="007E5CD5">
        <w:rPr>
          <w:rFonts w:eastAsia="Calibri"/>
          <w:sz w:val="20"/>
          <w:szCs w:val="20"/>
          <w:lang w:val="es-ES_tradnl" w:eastAsia="en-US"/>
        </w:rPr>
        <w:t>, lo cual tampoco implica que los Estados puedan aplazar indefinidamente la adopción de medidas para hacer efectivos los derechos en cuestión</w:t>
      </w:r>
      <w:r w:rsidR="00386E16" w:rsidRPr="007E5CD5">
        <w:rPr>
          <w:rFonts w:eastAsia="Calibri"/>
          <w:sz w:val="20"/>
          <w:szCs w:val="20"/>
          <w:lang w:val="es-ES_tradnl" w:eastAsia="en-US"/>
        </w:rPr>
        <w:t>, máxime luego de casi cuarenta años de la entrada en vigor del tratado</w:t>
      </w:r>
      <w:r w:rsidR="00713D68">
        <w:rPr>
          <w:rFonts w:eastAsia="Calibri"/>
          <w:sz w:val="20"/>
          <w:szCs w:val="20"/>
          <w:lang w:val="es-ES_tradnl" w:eastAsia="en-US"/>
        </w:rPr>
        <w:t xml:space="preserve"> interamericano</w:t>
      </w:r>
      <w:r w:rsidRPr="007E5CD5">
        <w:rPr>
          <w:rFonts w:eastAsia="Calibri"/>
          <w:sz w:val="20"/>
          <w:szCs w:val="20"/>
          <w:lang w:val="es-ES_tradnl" w:eastAsia="en-US"/>
        </w:rPr>
        <w:t xml:space="preserve">. Asimismo, se impone por tanto, la obligación de </w:t>
      </w:r>
      <w:r w:rsidRPr="007E5CD5">
        <w:rPr>
          <w:rFonts w:eastAsia="Calibri"/>
          <w:i/>
          <w:sz w:val="20"/>
          <w:szCs w:val="20"/>
          <w:lang w:val="es-ES_tradnl" w:eastAsia="en-US"/>
        </w:rPr>
        <w:t xml:space="preserve">no </w:t>
      </w:r>
      <w:r w:rsidRPr="009C34A2">
        <w:rPr>
          <w:rFonts w:eastAsia="Calibri"/>
          <w:i/>
          <w:sz w:val="20"/>
          <w:szCs w:val="20"/>
          <w:lang w:val="es-ES_tradnl" w:eastAsia="en-US"/>
        </w:rPr>
        <w:t>regresividad</w:t>
      </w:r>
      <w:r w:rsidRPr="00C26032">
        <w:rPr>
          <w:rFonts w:eastAsia="Calibri"/>
          <w:sz w:val="20"/>
          <w:szCs w:val="20"/>
          <w:lang w:val="es-ES_tradnl" w:eastAsia="en-US"/>
        </w:rPr>
        <w:t xml:space="preserve"> frente a la r</w:t>
      </w:r>
      <w:r w:rsidRPr="005415CD">
        <w:rPr>
          <w:rFonts w:eastAsia="Calibri"/>
          <w:sz w:val="20"/>
          <w:szCs w:val="20"/>
          <w:lang w:val="es-ES_tradnl" w:eastAsia="en-US"/>
        </w:rPr>
        <w:t>ealización de los derechos alcanzados</w:t>
      </w:r>
      <w:r w:rsidRPr="005415CD">
        <w:rPr>
          <w:rFonts w:eastAsia="Calibri"/>
          <w:sz w:val="20"/>
          <w:szCs w:val="20"/>
          <w:vertAlign w:val="superscript"/>
          <w:lang w:val="es-ES_tradnl" w:eastAsia="en-US"/>
        </w:rPr>
        <w:footnoteReference w:id="137"/>
      </w:r>
      <w:r w:rsidRPr="005415CD">
        <w:rPr>
          <w:rFonts w:eastAsia="Calibri"/>
          <w:sz w:val="20"/>
          <w:szCs w:val="20"/>
          <w:lang w:val="es-ES_tradnl" w:eastAsia="en-US"/>
        </w:rPr>
        <w:t xml:space="preserve">. </w:t>
      </w:r>
      <w:r w:rsidR="00E85806" w:rsidRPr="005415CD">
        <w:rPr>
          <w:rFonts w:eastAsia="Calibri"/>
          <w:sz w:val="20"/>
          <w:szCs w:val="20"/>
          <w:lang w:val="es-ES_tradnl"/>
        </w:rPr>
        <w:t xml:space="preserve">Respecto de las obligaciones de carácter </w:t>
      </w:r>
      <w:r w:rsidR="00E85806" w:rsidRPr="005415CD">
        <w:rPr>
          <w:rFonts w:eastAsia="Calibri"/>
          <w:i/>
          <w:sz w:val="20"/>
          <w:szCs w:val="20"/>
          <w:lang w:val="es-ES_tradnl"/>
        </w:rPr>
        <w:t>inmediato</w:t>
      </w:r>
      <w:r w:rsidR="00E85806" w:rsidRPr="005415CD">
        <w:rPr>
          <w:rFonts w:eastAsia="Calibri"/>
          <w:sz w:val="20"/>
          <w:szCs w:val="20"/>
          <w:lang w:val="es-ES_tradnl"/>
        </w:rPr>
        <w:t>, éstas consisten en adoptar medidas</w:t>
      </w:r>
      <w:r w:rsidR="009B3B3C" w:rsidRPr="005415CD">
        <w:rPr>
          <w:rFonts w:eastAsia="Calibri"/>
          <w:sz w:val="20"/>
          <w:szCs w:val="20"/>
          <w:lang w:val="es-ES_tradnl"/>
        </w:rPr>
        <w:t xml:space="preserve"> </w:t>
      </w:r>
      <w:r w:rsidR="009C34A2" w:rsidRPr="005415CD">
        <w:rPr>
          <w:rFonts w:eastAsia="Calibri"/>
          <w:sz w:val="20"/>
          <w:szCs w:val="20"/>
          <w:lang w:val="es-ES_tradnl"/>
        </w:rPr>
        <w:t>eficaces</w:t>
      </w:r>
      <w:r w:rsidR="00E85806" w:rsidRPr="009C34A2">
        <w:rPr>
          <w:rFonts w:eastAsia="Calibri"/>
          <w:sz w:val="20"/>
          <w:szCs w:val="20"/>
          <w:lang w:val="es-ES_tradnl"/>
        </w:rPr>
        <w:t xml:space="preserve">, </w:t>
      </w:r>
      <w:r w:rsidR="009B3B3C" w:rsidRPr="00C26032">
        <w:rPr>
          <w:rFonts w:eastAsia="Calibri"/>
          <w:sz w:val="20"/>
          <w:szCs w:val="20"/>
          <w:lang w:val="es-ES_tradnl"/>
        </w:rPr>
        <w:t xml:space="preserve">a fin de garantizar el acceso sin discriminación </w:t>
      </w:r>
      <w:r w:rsidR="001C4D75" w:rsidRPr="005415CD">
        <w:rPr>
          <w:rFonts w:eastAsia="Calibri"/>
          <w:sz w:val="20"/>
          <w:szCs w:val="20"/>
          <w:lang w:val="es-ES_tradnl"/>
        </w:rPr>
        <w:t>a</w:t>
      </w:r>
      <w:r w:rsidR="009B3B3C" w:rsidRPr="005415CD">
        <w:rPr>
          <w:rFonts w:eastAsia="Calibri"/>
          <w:sz w:val="20"/>
          <w:szCs w:val="20"/>
          <w:lang w:val="es-ES_tradnl"/>
        </w:rPr>
        <w:t xml:space="preserve"> las prestaciones </w:t>
      </w:r>
      <w:r w:rsidR="001C4D75" w:rsidRPr="005415CD">
        <w:rPr>
          <w:rFonts w:eastAsia="Calibri"/>
          <w:sz w:val="20"/>
          <w:szCs w:val="20"/>
          <w:lang w:val="es-ES_tradnl"/>
        </w:rPr>
        <w:t>reconocidas para</w:t>
      </w:r>
      <w:r w:rsidR="009B3B3C" w:rsidRPr="005415CD">
        <w:rPr>
          <w:rFonts w:eastAsia="Calibri"/>
          <w:sz w:val="20"/>
          <w:szCs w:val="20"/>
          <w:lang w:val="es-ES_tradnl"/>
        </w:rPr>
        <w:t xml:space="preserve"> cada derecho. Dichas medidas deben ser adecuadas, deliberadas y concretas en aras de la plena realización de tales derechos</w:t>
      </w:r>
      <w:r w:rsidR="00E85806" w:rsidRPr="005415CD">
        <w:rPr>
          <w:rFonts w:eastAsia="Calibri"/>
          <w:sz w:val="20"/>
          <w:szCs w:val="20"/>
          <w:vertAlign w:val="superscript"/>
          <w:lang w:val="es-ES_tradnl"/>
        </w:rPr>
        <w:footnoteReference w:id="138"/>
      </w:r>
      <w:r w:rsidR="00E85806" w:rsidRPr="005415CD">
        <w:rPr>
          <w:rFonts w:eastAsia="Calibri"/>
          <w:sz w:val="20"/>
          <w:szCs w:val="20"/>
          <w:lang w:val="es-ES_tradnl"/>
        </w:rPr>
        <w:t xml:space="preserve">. </w:t>
      </w:r>
      <w:r w:rsidR="00A4129C" w:rsidRPr="005415CD">
        <w:rPr>
          <w:rFonts w:eastAsia="Calibri"/>
          <w:sz w:val="20"/>
          <w:szCs w:val="20"/>
          <w:lang w:val="es-ES_tradnl" w:eastAsia="en-US"/>
        </w:rPr>
        <w:t>En</w:t>
      </w:r>
      <w:r w:rsidR="00A4129C" w:rsidRPr="007E5CD5">
        <w:rPr>
          <w:rFonts w:eastAsia="Calibri"/>
          <w:sz w:val="20"/>
          <w:szCs w:val="20"/>
          <w:lang w:val="es-ES_tradnl" w:eastAsia="en-US"/>
        </w:rPr>
        <w:t xml:space="preserve"> virtud de lo anterior</w:t>
      </w:r>
      <w:r w:rsidR="0084234E" w:rsidRPr="007E5CD5">
        <w:rPr>
          <w:rFonts w:eastAsia="Calibri"/>
          <w:sz w:val="20"/>
          <w:szCs w:val="20"/>
          <w:lang w:val="es-ES_tradnl" w:eastAsia="en-US"/>
        </w:rPr>
        <w:t>, l</w:t>
      </w:r>
      <w:r w:rsidR="00D96547" w:rsidRPr="007E5CD5">
        <w:rPr>
          <w:rFonts w:eastAsia="Calibri"/>
          <w:sz w:val="20"/>
          <w:szCs w:val="20"/>
          <w:lang w:val="es-ES_tradnl" w:eastAsia="en-US"/>
        </w:rPr>
        <w:t>as obligaciones</w:t>
      </w:r>
      <w:r w:rsidR="00D96547" w:rsidRPr="00832A80">
        <w:rPr>
          <w:rFonts w:eastAsia="Calibri"/>
          <w:sz w:val="20"/>
          <w:szCs w:val="20"/>
          <w:lang w:val="es-ES_tradnl" w:eastAsia="en-US"/>
        </w:rPr>
        <w:t xml:space="preserve"> </w:t>
      </w:r>
      <w:r w:rsidR="00832A80">
        <w:rPr>
          <w:rFonts w:eastAsia="Calibri"/>
          <w:sz w:val="20"/>
          <w:szCs w:val="20"/>
          <w:lang w:val="es-ES_tradnl" w:eastAsia="en-US"/>
        </w:rPr>
        <w:t>convencionales</w:t>
      </w:r>
      <w:r w:rsidR="00832A80" w:rsidRPr="007E5CD5">
        <w:rPr>
          <w:rFonts w:eastAsia="Calibri"/>
          <w:sz w:val="20"/>
          <w:szCs w:val="20"/>
          <w:lang w:val="es-ES_tradnl" w:eastAsia="en-US"/>
        </w:rPr>
        <w:t xml:space="preserve"> </w:t>
      </w:r>
      <w:r w:rsidR="00D96547" w:rsidRPr="007E5CD5">
        <w:rPr>
          <w:rFonts w:eastAsia="Calibri"/>
          <w:sz w:val="20"/>
          <w:szCs w:val="20"/>
          <w:lang w:val="es-ES_tradnl" w:eastAsia="en-US"/>
        </w:rPr>
        <w:t xml:space="preserve">de respeto y garantía, así como de adopción de medidas de derecho interno </w:t>
      </w:r>
      <w:r w:rsidR="00E22B60" w:rsidRPr="007E5CD5">
        <w:rPr>
          <w:rFonts w:eastAsia="Calibri"/>
          <w:sz w:val="20"/>
          <w:szCs w:val="20"/>
          <w:lang w:val="es-ES_tradnl" w:eastAsia="en-US"/>
        </w:rPr>
        <w:t>(artículos 1.1</w:t>
      </w:r>
      <w:r w:rsidR="00D96547" w:rsidRPr="007E5CD5">
        <w:rPr>
          <w:rFonts w:eastAsia="Calibri"/>
          <w:sz w:val="20"/>
          <w:szCs w:val="20"/>
          <w:lang w:val="es-ES_tradnl" w:eastAsia="en-US"/>
        </w:rPr>
        <w:t xml:space="preserve"> y 2), resultan fundamentales para </w:t>
      </w:r>
      <w:r w:rsidR="00E00F6E" w:rsidRPr="007E5CD5">
        <w:rPr>
          <w:rFonts w:eastAsia="Calibri"/>
          <w:sz w:val="20"/>
          <w:szCs w:val="20"/>
          <w:lang w:val="es-ES_tradnl" w:eastAsia="en-US"/>
        </w:rPr>
        <w:t>alcanzar</w:t>
      </w:r>
      <w:r w:rsidR="00D96547" w:rsidRPr="007E5CD5">
        <w:rPr>
          <w:rFonts w:eastAsia="Calibri"/>
          <w:sz w:val="20"/>
          <w:szCs w:val="20"/>
          <w:lang w:val="es-ES_tradnl" w:eastAsia="en-US"/>
        </w:rPr>
        <w:t xml:space="preserve"> su </w:t>
      </w:r>
      <w:r w:rsidR="00A4129C" w:rsidRPr="007E5CD5">
        <w:rPr>
          <w:rFonts w:eastAsia="Calibri"/>
          <w:sz w:val="20"/>
          <w:szCs w:val="20"/>
          <w:lang w:val="es-ES_tradnl" w:eastAsia="en-US"/>
        </w:rPr>
        <w:t>efectividad</w:t>
      </w:r>
      <w:r w:rsidR="00D96547" w:rsidRPr="007E5CD5">
        <w:rPr>
          <w:rFonts w:eastAsia="Calibri"/>
          <w:sz w:val="20"/>
          <w:szCs w:val="20"/>
          <w:lang w:val="es-ES_tradnl" w:eastAsia="en-US"/>
        </w:rPr>
        <w:t xml:space="preserve">. </w:t>
      </w:r>
    </w:p>
    <w:p w14:paraId="74B041D0" w14:textId="77777777" w:rsidR="002570D1" w:rsidRPr="002570D1" w:rsidRDefault="002570D1" w:rsidP="002570D1">
      <w:pPr>
        <w:ind w:left="-90" w:right="-360"/>
        <w:contextualSpacing/>
        <w:rPr>
          <w:rFonts w:eastAsia="Calibri"/>
          <w:sz w:val="20"/>
          <w:szCs w:val="20"/>
          <w:lang w:val="es-ES_tradnl" w:eastAsia="en-US"/>
        </w:rPr>
      </w:pPr>
    </w:p>
    <w:p w14:paraId="28D9BDFA" w14:textId="60ADC1A7" w:rsidR="002570D1" w:rsidRPr="002570D1" w:rsidRDefault="002570D1" w:rsidP="002570D1">
      <w:pPr>
        <w:numPr>
          <w:ilvl w:val="0"/>
          <w:numId w:val="2"/>
        </w:numPr>
        <w:tabs>
          <w:tab w:val="left" w:pos="567"/>
          <w:tab w:val="num" w:pos="1569"/>
          <w:tab w:val="num" w:pos="12305"/>
        </w:tabs>
        <w:ind w:left="0" w:firstLine="0"/>
        <w:rPr>
          <w:rFonts w:eastAsia="Calibri"/>
          <w:sz w:val="20"/>
          <w:szCs w:val="20"/>
          <w:lang w:val="es-ES_tradnl" w:eastAsia="en-US"/>
        </w:rPr>
      </w:pPr>
      <w:r w:rsidRPr="002570D1">
        <w:rPr>
          <w:rFonts w:eastAsia="Calibri"/>
          <w:sz w:val="20"/>
          <w:szCs w:val="20"/>
          <w:lang w:val="es-ES_tradnl" w:eastAsia="en-US"/>
        </w:rPr>
        <w:t xml:space="preserve">Una vez establecido lo anterior, y siendo que </w:t>
      </w:r>
      <w:r w:rsidR="00E00F6E">
        <w:rPr>
          <w:rFonts w:eastAsia="Calibri"/>
          <w:sz w:val="20"/>
          <w:szCs w:val="20"/>
          <w:lang w:val="es-ES_tradnl" w:eastAsia="en-US"/>
        </w:rPr>
        <w:t>esta Corte se</w:t>
      </w:r>
      <w:r w:rsidRPr="002570D1">
        <w:rPr>
          <w:rFonts w:eastAsia="Calibri"/>
          <w:sz w:val="20"/>
          <w:szCs w:val="20"/>
          <w:lang w:val="es-ES_tradnl" w:eastAsia="en-US"/>
        </w:rPr>
        <w:t xml:space="preserve"> pronunciará por primera ocasión respecto el derecho a la salud</w:t>
      </w:r>
      <w:r w:rsidR="00454BB3">
        <w:rPr>
          <w:rFonts w:eastAsia="Calibri"/>
          <w:sz w:val="20"/>
          <w:szCs w:val="20"/>
          <w:lang w:val="es-ES_tradnl" w:eastAsia="en-US"/>
        </w:rPr>
        <w:t xml:space="preserve"> de manera autónoma</w:t>
      </w:r>
      <w:r w:rsidRPr="002570D1">
        <w:rPr>
          <w:rFonts w:eastAsia="Calibri"/>
          <w:sz w:val="20"/>
          <w:szCs w:val="20"/>
          <w:lang w:val="es-ES_tradnl" w:eastAsia="en-US"/>
        </w:rPr>
        <w:t xml:space="preserve">, </w:t>
      </w:r>
      <w:r w:rsidR="00454BB3">
        <w:rPr>
          <w:rFonts w:eastAsia="Calibri"/>
          <w:sz w:val="20"/>
          <w:szCs w:val="20"/>
          <w:lang w:val="es-ES_tradnl" w:eastAsia="en-US"/>
        </w:rPr>
        <w:t xml:space="preserve">como parte integrante de los DESCA, </w:t>
      </w:r>
      <w:r w:rsidR="00E00F6E">
        <w:rPr>
          <w:rFonts w:eastAsia="Calibri"/>
          <w:sz w:val="20"/>
          <w:szCs w:val="20"/>
          <w:lang w:val="es-ES_tradnl" w:eastAsia="en-US"/>
        </w:rPr>
        <w:t xml:space="preserve">el Tribunal </w:t>
      </w:r>
      <w:r w:rsidRPr="002570D1">
        <w:rPr>
          <w:rFonts w:eastAsia="Calibri"/>
          <w:sz w:val="20"/>
          <w:szCs w:val="20"/>
          <w:lang w:val="es-ES_tradnl" w:eastAsia="en-US"/>
        </w:rPr>
        <w:t xml:space="preserve">procede a verificar la consolidación de </w:t>
      </w:r>
      <w:r w:rsidR="00E00F6E">
        <w:rPr>
          <w:rFonts w:eastAsia="Calibri"/>
          <w:sz w:val="20"/>
          <w:szCs w:val="20"/>
          <w:lang w:val="es-ES_tradnl" w:eastAsia="en-US"/>
        </w:rPr>
        <w:t>é</w:t>
      </w:r>
      <w:r w:rsidRPr="002570D1">
        <w:rPr>
          <w:rFonts w:eastAsia="Calibri"/>
          <w:sz w:val="20"/>
          <w:szCs w:val="20"/>
          <w:lang w:val="es-ES_tradnl" w:eastAsia="en-US"/>
        </w:rPr>
        <w:t xml:space="preserve">ste como derecho </w:t>
      </w:r>
      <w:r w:rsidR="00E85806" w:rsidRPr="00B1523A">
        <w:rPr>
          <w:rFonts w:eastAsia="Calibri"/>
          <w:sz w:val="20"/>
          <w:szCs w:val="20"/>
          <w:lang w:val="es-ES_tradnl" w:eastAsia="en-US"/>
        </w:rPr>
        <w:t>justiciable</w:t>
      </w:r>
      <w:r w:rsidR="00E85806" w:rsidRPr="00BD2E79">
        <w:rPr>
          <w:rFonts w:eastAsia="Calibri"/>
          <w:sz w:val="20"/>
          <w:szCs w:val="20"/>
          <w:lang w:val="es-ES_tradnl" w:eastAsia="en-US"/>
        </w:rPr>
        <w:t xml:space="preserve"> </w:t>
      </w:r>
      <w:r w:rsidR="00ED6CD4" w:rsidRPr="00B1523A">
        <w:rPr>
          <w:rFonts w:eastAsia="Calibri"/>
          <w:sz w:val="20"/>
          <w:szCs w:val="20"/>
          <w:lang w:val="es-ES_tradnl" w:eastAsia="en-US"/>
        </w:rPr>
        <w:t>a</w:t>
      </w:r>
      <w:r w:rsidRPr="00B1523A">
        <w:rPr>
          <w:rFonts w:eastAsia="Calibri"/>
          <w:sz w:val="20"/>
          <w:szCs w:val="20"/>
          <w:lang w:val="es-ES_tradnl" w:eastAsia="en-US"/>
        </w:rPr>
        <w:t xml:space="preserve"> la</w:t>
      </w:r>
      <w:r w:rsidR="00ED6CD4" w:rsidRPr="00B1523A">
        <w:rPr>
          <w:rFonts w:eastAsia="Calibri"/>
          <w:sz w:val="20"/>
          <w:szCs w:val="20"/>
          <w:lang w:val="es-ES_tradnl" w:eastAsia="en-US"/>
        </w:rPr>
        <w:t xml:space="preserve"> luz de la</w:t>
      </w:r>
      <w:r w:rsidRPr="00BD2E79">
        <w:rPr>
          <w:rFonts w:eastAsia="Calibri"/>
          <w:sz w:val="20"/>
          <w:szCs w:val="20"/>
          <w:lang w:val="es-ES_tradnl" w:eastAsia="en-US"/>
        </w:rPr>
        <w:t xml:space="preserve"> Convención</w:t>
      </w:r>
      <w:r w:rsidR="000D7067">
        <w:rPr>
          <w:rFonts w:eastAsia="Calibri"/>
          <w:sz w:val="20"/>
          <w:szCs w:val="20"/>
          <w:lang w:val="es-ES_tradnl" w:eastAsia="en-US"/>
        </w:rPr>
        <w:t xml:space="preserve">, a través de los siguientes </w:t>
      </w:r>
      <w:r w:rsidR="00E00F6E">
        <w:rPr>
          <w:rFonts w:eastAsia="Calibri"/>
          <w:sz w:val="20"/>
          <w:szCs w:val="20"/>
          <w:lang w:val="es-ES_tradnl" w:eastAsia="en-US"/>
        </w:rPr>
        <w:t>puntos</w:t>
      </w:r>
      <w:r w:rsidR="00A86D37">
        <w:rPr>
          <w:rFonts w:eastAsia="Calibri"/>
          <w:sz w:val="20"/>
          <w:szCs w:val="20"/>
          <w:lang w:val="es-ES_tradnl" w:eastAsia="en-US"/>
        </w:rPr>
        <w:t xml:space="preserve"> de análisis</w:t>
      </w:r>
      <w:r w:rsidRPr="002570D1">
        <w:rPr>
          <w:rFonts w:eastAsia="Calibri"/>
          <w:sz w:val="20"/>
          <w:szCs w:val="20"/>
          <w:lang w:val="es-ES_tradnl" w:eastAsia="en-US"/>
        </w:rPr>
        <w:t xml:space="preserve">.  </w:t>
      </w:r>
    </w:p>
    <w:p w14:paraId="4459EB93" w14:textId="77777777" w:rsidR="002570D1" w:rsidRPr="002570D1" w:rsidRDefault="002570D1" w:rsidP="002570D1">
      <w:pPr>
        <w:rPr>
          <w:rFonts w:eastAsia="Calibri"/>
          <w:b/>
          <w:i/>
          <w:sz w:val="20"/>
          <w:szCs w:val="20"/>
          <w:lang w:val="es-ES_tradnl" w:eastAsia="en-US"/>
        </w:rPr>
      </w:pPr>
    </w:p>
    <w:p w14:paraId="48AF3261" w14:textId="77777777" w:rsidR="002570D1" w:rsidRPr="002570D1" w:rsidRDefault="002570D1" w:rsidP="00EB31AC">
      <w:pPr>
        <w:numPr>
          <w:ilvl w:val="0"/>
          <w:numId w:val="16"/>
        </w:numPr>
        <w:ind w:right="-360"/>
        <w:contextualSpacing/>
        <w:rPr>
          <w:rFonts w:eastAsia="Calibri"/>
          <w:i/>
          <w:sz w:val="20"/>
          <w:szCs w:val="20"/>
          <w:lang w:val="es-ES_tradnl" w:eastAsia="en-US"/>
        </w:rPr>
      </w:pPr>
      <w:r w:rsidRPr="002570D1">
        <w:rPr>
          <w:rFonts w:eastAsia="Calibri"/>
          <w:i/>
          <w:sz w:val="20"/>
          <w:szCs w:val="20"/>
          <w:lang w:val="es-ES_tradnl" w:eastAsia="en-US"/>
        </w:rPr>
        <w:t>Derivación a la Carta de la OEA</w:t>
      </w:r>
    </w:p>
    <w:p w14:paraId="042C9420" w14:textId="77777777" w:rsidR="002570D1" w:rsidRPr="002570D1" w:rsidRDefault="002570D1" w:rsidP="002570D1">
      <w:pPr>
        <w:ind w:left="630" w:right="-360"/>
        <w:contextualSpacing/>
        <w:rPr>
          <w:rFonts w:eastAsia="Calibri"/>
          <w:i/>
          <w:sz w:val="20"/>
          <w:szCs w:val="20"/>
          <w:lang w:val="es-ES_tradnl" w:eastAsia="en-US"/>
        </w:rPr>
      </w:pPr>
    </w:p>
    <w:p w14:paraId="3D3B3DC8" w14:textId="652CD113" w:rsidR="002E6860" w:rsidRPr="0059117C" w:rsidRDefault="002570D1" w:rsidP="002570D1">
      <w:pPr>
        <w:numPr>
          <w:ilvl w:val="0"/>
          <w:numId w:val="2"/>
        </w:numPr>
        <w:tabs>
          <w:tab w:val="left" w:pos="567"/>
          <w:tab w:val="num" w:pos="1569"/>
          <w:tab w:val="num" w:pos="12305"/>
        </w:tabs>
        <w:ind w:left="0" w:firstLine="0"/>
        <w:rPr>
          <w:rFonts w:eastAsia="Calibri" w:cs="Arial"/>
          <w:sz w:val="20"/>
          <w:szCs w:val="20"/>
          <w:lang w:val="es-ES_tradnl" w:eastAsia="en-US"/>
        </w:rPr>
      </w:pPr>
      <w:r w:rsidRPr="002570D1">
        <w:rPr>
          <w:rFonts w:eastAsia="Calibri"/>
          <w:sz w:val="20"/>
          <w:szCs w:val="20"/>
          <w:lang w:val="es-ES_tradnl" w:eastAsia="en-US"/>
        </w:rPr>
        <w:t>Respecto al derecho a la salud protegido por el artículo 26 de la Convención Americana, la Corte observa que los términos del mismo indica</w:t>
      </w:r>
      <w:r w:rsidR="00FE58B5">
        <w:rPr>
          <w:rFonts w:eastAsia="Calibri"/>
          <w:sz w:val="20"/>
          <w:szCs w:val="20"/>
          <w:lang w:val="es-ES_tradnl" w:eastAsia="en-US"/>
        </w:rPr>
        <w:t>n</w:t>
      </w:r>
      <w:r w:rsidRPr="002570D1">
        <w:rPr>
          <w:rFonts w:eastAsia="Calibri"/>
          <w:sz w:val="20"/>
          <w:szCs w:val="20"/>
          <w:lang w:val="es-ES_tradnl" w:eastAsia="en-US"/>
        </w:rPr>
        <w:t xml:space="preserve"> que </w:t>
      </w:r>
      <w:r w:rsidR="00FE58B5">
        <w:rPr>
          <w:rFonts w:eastAsia="Calibri"/>
          <w:sz w:val="20"/>
          <w:szCs w:val="20"/>
          <w:lang w:val="es-ES_tradnl" w:eastAsia="en-US"/>
        </w:rPr>
        <w:t>se trata de</w:t>
      </w:r>
      <w:r w:rsidRPr="002570D1">
        <w:rPr>
          <w:rFonts w:eastAsia="Calibri"/>
          <w:sz w:val="20"/>
          <w:szCs w:val="20"/>
          <w:lang w:val="es-ES_tradnl" w:eastAsia="en-US"/>
        </w:rPr>
        <w:t xml:space="preserve"> aquel derecho que se deriva de las normas económicas, sociales y sobre educación, ciencia y cultura contenidas en la Carta de la OEA. Ahora bien, </w:t>
      </w:r>
      <w:r w:rsidR="00FE58B5">
        <w:rPr>
          <w:rFonts w:eastAsia="Calibri"/>
          <w:sz w:val="20"/>
          <w:szCs w:val="20"/>
          <w:lang w:val="es-ES_tradnl" w:eastAsia="en-US"/>
        </w:rPr>
        <w:t xml:space="preserve">el </w:t>
      </w:r>
      <w:r w:rsidRPr="002570D1">
        <w:rPr>
          <w:rFonts w:eastAsia="Calibri"/>
          <w:sz w:val="20"/>
          <w:szCs w:val="20"/>
          <w:lang w:val="es-ES_tradnl" w:eastAsia="en-US"/>
        </w:rPr>
        <w:t>artículo 34.i</w:t>
      </w:r>
      <w:r w:rsidR="001D5FD5">
        <w:rPr>
          <w:rFonts w:eastAsia="Calibri"/>
          <w:sz w:val="20"/>
          <w:szCs w:val="20"/>
          <w:lang w:val="es-ES_tradnl" w:eastAsia="en-US"/>
        </w:rPr>
        <w:t xml:space="preserve"> y </w:t>
      </w:r>
      <w:r w:rsidR="002E6860">
        <w:rPr>
          <w:rFonts w:eastAsia="Calibri"/>
          <w:sz w:val="20"/>
          <w:szCs w:val="20"/>
          <w:lang w:val="es-ES_tradnl" w:eastAsia="en-US"/>
        </w:rPr>
        <w:t>34.</w:t>
      </w:r>
      <w:r w:rsidR="001D5FD5">
        <w:rPr>
          <w:rFonts w:eastAsia="Calibri"/>
          <w:sz w:val="20"/>
          <w:szCs w:val="20"/>
          <w:lang w:val="es-ES_tradnl" w:eastAsia="en-US"/>
        </w:rPr>
        <w:t>l</w:t>
      </w:r>
      <w:r w:rsidRPr="002570D1">
        <w:rPr>
          <w:rFonts w:eastAsia="Calibri"/>
          <w:sz w:val="20"/>
          <w:szCs w:val="20"/>
          <w:vertAlign w:val="superscript"/>
          <w:lang w:val="es-ES_tradnl" w:eastAsia="en-US"/>
        </w:rPr>
        <w:footnoteReference w:id="139"/>
      </w:r>
      <w:r w:rsidRPr="002570D1">
        <w:rPr>
          <w:rFonts w:eastAsia="Calibri"/>
          <w:sz w:val="20"/>
          <w:szCs w:val="20"/>
          <w:lang w:val="es-ES_tradnl" w:eastAsia="en-US"/>
        </w:rPr>
        <w:t xml:space="preserve"> de la Carta establece</w:t>
      </w:r>
      <w:r w:rsidR="007C786B">
        <w:rPr>
          <w:rFonts w:eastAsia="Calibri"/>
          <w:sz w:val="20"/>
          <w:szCs w:val="20"/>
          <w:lang w:val="es-ES_tradnl" w:eastAsia="en-US"/>
        </w:rPr>
        <w:t>,</w:t>
      </w:r>
      <w:r w:rsidRPr="002570D1">
        <w:rPr>
          <w:rFonts w:eastAsia="Calibri"/>
          <w:sz w:val="20"/>
          <w:szCs w:val="20"/>
          <w:lang w:val="es-ES_tradnl" w:eastAsia="en-US"/>
        </w:rPr>
        <w:t xml:space="preserve"> </w:t>
      </w:r>
      <w:r w:rsidRPr="002570D1">
        <w:rPr>
          <w:rFonts w:eastAsia="Calibri" w:cs="Arial"/>
          <w:sz w:val="20"/>
          <w:szCs w:val="20"/>
          <w:lang w:val="es-ES_tradnl" w:eastAsia="en-US"/>
        </w:rPr>
        <w:t xml:space="preserve">entre los objetivos básicos del desarrollo integral, el de la “defensa del potencial humano mediante la extensión y aplicación de los modernos conocimientos de la ciencia médica”, </w:t>
      </w:r>
      <w:r w:rsidR="001D5FD5">
        <w:rPr>
          <w:rFonts w:eastAsia="Calibri" w:cs="Arial"/>
          <w:sz w:val="20"/>
          <w:szCs w:val="20"/>
          <w:lang w:val="es-ES_tradnl" w:eastAsia="en-US"/>
        </w:rPr>
        <w:t xml:space="preserve">así como de las condiciones </w:t>
      </w:r>
      <w:r w:rsidR="001D5FD5">
        <w:rPr>
          <w:rFonts w:eastAsia="Calibri" w:cs="Arial"/>
          <w:sz w:val="20"/>
          <w:szCs w:val="20"/>
          <w:lang w:val="es-ES_tradnl" w:eastAsia="en-US"/>
        </w:rPr>
        <w:lastRenderedPageBreak/>
        <w:t>que hagan posible una vida sana, productiva y digna. P</w:t>
      </w:r>
      <w:r w:rsidRPr="002570D1">
        <w:rPr>
          <w:rFonts w:eastAsia="Calibri" w:cs="Arial"/>
          <w:sz w:val="20"/>
          <w:szCs w:val="20"/>
          <w:lang w:val="es-ES_tradnl" w:eastAsia="en-US"/>
        </w:rPr>
        <w:t>or su parte</w:t>
      </w:r>
      <w:r w:rsidR="001D5FD5">
        <w:rPr>
          <w:rFonts w:eastAsia="Calibri" w:cs="Arial"/>
          <w:sz w:val="20"/>
          <w:szCs w:val="20"/>
          <w:lang w:val="es-ES_tradnl" w:eastAsia="en-US"/>
        </w:rPr>
        <w:t>,</w:t>
      </w:r>
      <w:r w:rsidRPr="002570D1">
        <w:rPr>
          <w:rFonts w:eastAsia="Calibri" w:cs="Arial"/>
          <w:sz w:val="20"/>
          <w:szCs w:val="20"/>
          <w:lang w:val="es-ES_tradnl" w:eastAsia="en-US"/>
        </w:rPr>
        <w:t xml:space="preserve"> el </w:t>
      </w:r>
      <w:r w:rsidR="00FE58B5">
        <w:rPr>
          <w:rFonts w:eastAsia="Calibri"/>
          <w:sz w:val="20"/>
          <w:szCs w:val="20"/>
          <w:lang w:val="es-ES_tradnl" w:eastAsia="en-US"/>
        </w:rPr>
        <w:t xml:space="preserve">artículo </w:t>
      </w:r>
      <w:r w:rsidR="00FE58B5" w:rsidRPr="002570D1">
        <w:rPr>
          <w:rFonts w:eastAsia="Calibri"/>
          <w:sz w:val="20"/>
          <w:szCs w:val="20"/>
          <w:lang w:val="es-ES_tradnl" w:eastAsia="en-US"/>
        </w:rPr>
        <w:t>45.h</w:t>
      </w:r>
      <w:r w:rsidR="00FE58B5" w:rsidRPr="002570D1">
        <w:rPr>
          <w:rFonts w:eastAsia="Calibri"/>
          <w:sz w:val="20"/>
          <w:szCs w:val="20"/>
          <w:vertAlign w:val="superscript"/>
          <w:lang w:val="es-ES_tradnl" w:eastAsia="en-US"/>
        </w:rPr>
        <w:footnoteReference w:id="140"/>
      </w:r>
      <w:r w:rsidR="00FE58B5" w:rsidRPr="002570D1">
        <w:rPr>
          <w:rFonts w:eastAsia="Calibri"/>
          <w:sz w:val="20"/>
          <w:szCs w:val="20"/>
          <w:lang w:val="es-ES_tradnl" w:eastAsia="en-US"/>
        </w:rPr>
        <w:t xml:space="preserve"> </w:t>
      </w:r>
      <w:r w:rsidRPr="002570D1">
        <w:rPr>
          <w:rFonts w:eastAsia="Calibri" w:cs="Arial"/>
          <w:sz w:val="20"/>
          <w:szCs w:val="20"/>
          <w:lang w:val="es-ES_tradnl" w:eastAsia="en-US"/>
        </w:rPr>
        <w:t>destaca</w:t>
      </w:r>
      <w:r w:rsidRPr="002570D1">
        <w:rPr>
          <w:rFonts w:eastAsia="Calibri"/>
          <w:sz w:val="20"/>
          <w:szCs w:val="20"/>
          <w:lang w:val="es-ES_tradnl" w:eastAsia="en-US"/>
        </w:rPr>
        <w:t xml:space="preserve"> que </w:t>
      </w:r>
      <w:r w:rsidR="00FE58B5">
        <w:rPr>
          <w:rFonts w:eastAsia="Calibri"/>
          <w:sz w:val="20"/>
          <w:szCs w:val="20"/>
          <w:lang w:val="es-ES_tradnl" w:eastAsia="en-US"/>
        </w:rPr>
        <w:t>“[la persona]</w:t>
      </w:r>
      <w:r w:rsidRPr="002570D1">
        <w:rPr>
          <w:rFonts w:eastAsia="Calibri"/>
          <w:sz w:val="20"/>
          <w:szCs w:val="20"/>
          <w:lang w:val="es-ES_tradnl" w:eastAsia="en-US"/>
        </w:rPr>
        <w:t xml:space="preserve"> solo puede alcanzar la plena realización de sus aspiraciones </w:t>
      </w:r>
      <w:r w:rsidRPr="002570D1">
        <w:rPr>
          <w:rFonts w:eastAsia="Calibri" w:cs="Arial"/>
          <w:sz w:val="20"/>
          <w:szCs w:val="20"/>
          <w:lang w:val="es-ES_tradnl" w:eastAsia="en-US"/>
        </w:rPr>
        <w:t>mediante la aplicación de principios y mecanismos</w:t>
      </w:r>
      <w:r w:rsidR="00FE58B5">
        <w:rPr>
          <w:rFonts w:eastAsia="Calibri" w:cs="Arial"/>
          <w:sz w:val="20"/>
          <w:szCs w:val="20"/>
          <w:lang w:val="es-ES_tradnl" w:eastAsia="en-US"/>
        </w:rPr>
        <w:t>”</w:t>
      </w:r>
      <w:r w:rsidRPr="002570D1">
        <w:rPr>
          <w:rFonts w:eastAsia="Calibri" w:cs="Arial"/>
          <w:sz w:val="20"/>
          <w:szCs w:val="20"/>
          <w:lang w:val="es-ES_tradnl" w:eastAsia="en-US"/>
        </w:rPr>
        <w:t>, entre ellos</w:t>
      </w:r>
      <w:r w:rsidR="001D5FD5">
        <w:rPr>
          <w:rFonts w:eastAsia="Calibri" w:cs="Arial"/>
          <w:sz w:val="20"/>
          <w:szCs w:val="20"/>
          <w:lang w:val="es-ES_tradnl" w:eastAsia="en-US"/>
        </w:rPr>
        <w:t xml:space="preserve"> el</w:t>
      </w:r>
      <w:r w:rsidRPr="002570D1">
        <w:rPr>
          <w:rFonts w:eastAsia="Calibri" w:cs="Arial"/>
          <w:sz w:val="20"/>
          <w:szCs w:val="20"/>
          <w:lang w:val="es-ES_tradnl" w:eastAsia="en-US"/>
        </w:rPr>
        <w:t>: “h) Desarrollo de una política eficiente de seguridad social</w:t>
      </w:r>
      <w:r w:rsidR="00FE58B5">
        <w:rPr>
          <w:rFonts w:eastAsia="Calibri" w:cs="Arial"/>
          <w:sz w:val="20"/>
          <w:szCs w:val="20"/>
          <w:lang w:val="es-ES_tradnl" w:eastAsia="en-US"/>
        </w:rPr>
        <w:t>”</w:t>
      </w:r>
      <w:r w:rsidRPr="002570D1">
        <w:rPr>
          <w:rFonts w:eastAsia="Calibri" w:cs="Arial"/>
          <w:sz w:val="20"/>
          <w:szCs w:val="20"/>
          <w:lang w:val="es-ES_tradnl" w:eastAsia="en-US"/>
        </w:rPr>
        <w:t>.</w:t>
      </w:r>
      <w:r w:rsidRPr="002570D1">
        <w:rPr>
          <w:rFonts w:eastAsia="Calibri"/>
          <w:color w:val="000000"/>
          <w:sz w:val="20"/>
          <w:szCs w:val="20"/>
          <w:lang w:val="es-ES_tradnl" w:eastAsia="en-US"/>
        </w:rPr>
        <w:t xml:space="preserve"> </w:t>
      </w:r>
    </w:p>
    <w:p w14:paraId="24BDF74D" w14:textId="77777777" w:rsidR="002570D1" w:rsidRPr="002570D1" w:rsidRDefault="002570D1" w:rsidP="0059117C">
      <w:pPr>
        <w:autoSpaceDE w:val="0"/>
        <w:autoSpaceDN w:val="0"/>
        <w:adjustRightInd w:val="0"/>
        <w:ind w:right="390"/>
        <w:rPr>
          <w:rFonts w:eastAsiaTheme="minorHAnsi" w:cs="Verdana"/>
          <w:sz w:val="18"/>
          <w:szCs w:val="20"/>
          <w:lang w:eastAsia="en-US"/>
        </w:rPr>
      </w:pPr>
    </w:p>
    <w:p w14:paraId="26C5100D" w14:textId="77777777" w:rsidR="002570D1" w:rsidRPr="002570D1" w:rsidRDefault="002570D1" w:rsidP="00EB31AC">
      <w:pPr>
        <w:numPr>
          <w:ilvl w:val="0"/>
          <w:numId w:val="16"/>
        </w:numPr>
        <w:autoSpaceDE w:val="0"/>
        <w:autoSpaceDN w:val="0"/>
        <w:adjustRightInd w:val="0"/>
        <w:ind w:right="390"/>
        <w:contextualSpacing/>
        <w:rPr>
          <w:rFonts w:eastAsiaTheme="minorHAnsi" w:cs="Verdana"/>
          <w:sz w:val="20"/>
          <w:szCs w:val="20"/>
          <w:lang w:eastAsia="en-US"/>
        </w:rPr>
      </w:pPr>
      <w:r w:rsidRPr="002570D1">
        <w:rPr>
          <w:rFonts w:eastAsiaTheme="minorHAnsi" w:cs="Verdana"/>
          <w:i/>
          <w:sz w:val="20"/>
          <w:szCs w:val="20"/>
          <w:lang w:val="es-ES_tradnl" w:eastAsia="en-US"/>
        </w:rPr>
        <w:t>Declaración Americana</w:t>
      </w:r>
      <w:r w:rsidR="00E22B60">
        <w:rPr>
          <w:rFonts w:eastAsiaTheme="minorHAnsi" w:cs="Verdana"/>
          <w:i/>
          <w:sz w:val="20"/>
          <w:szCs w:val="20"/>
          <w:lang w:val="es-ES_tradnl" w:eastAsia="en-US"/>
        </w:rPr>
        <w:t xml:space="preserve"> </w:t>
      </w:r>
    </w:p>
    <w:p w14:paraId="71059CB5" w14:textId="77777777" w:rsidR="002570D1" w:rsidRPr="002570D1" w:rsidRDefault="002570D1" w:rsidP="002570D1">
      <w:pPr>
        <w:autoSpaceDE w:val="0"/>
        <w:autoSpaceDN w:val="0"/>
        <w:adjustRightInd w:val="0"/>
        <w:ind w:right="390"/>
        <w:rPr>
          <w:rFonts w:eastAsiaTheme="minorHAnsi" w:cs="Verdana"/>
          <w:sz w:val="18"/>
          <w:szCs w:val="20"/>
          <w:lang w:eastAsia="en-US"/>
        </w:rPr>
      </w:pPr>
    </w:p>
    <w:p w14:paraId="7F59D1B9" w14:textId="77777777" w:rsidR="002E6860" w:rsidRPr="002570D1" w:rsidRDefault="002E6860" w:rsidP="002E6860">
      <w:pPr>
        <w:numPr>
          <w:ilvl w:val="0"/>
          <w:numId w:val="2"/>
        </w:numPr>
        <w:tabs>
          <w:tab w:val="left" w:pos="567"/>
          <w:tab w:val="num" w:pos="1569"/>
          <w:tab w:val="num" w:pos="12305"/>
        </w:tabs>
        <w:ind w:left="0" w:firstLine="0"/>
        <w:rPr>
          <w:rFonts w:eastAsia="Calibri" w:cs="Arial"/>
          <w:sz w:val="20"/>
          <w:szCs w:val="20"/>
          <w:lang w:val="es-ES_tradnl" w:eastAsia="en-US"/>
        </w:rPr>
      </w:pPr>
      <w:r>
        <w:rPr>
          <w:rFonts w:eastAsia="Calibri"/>
          <w:color w:val="000000"/>
          <w:sz w:val="20"/>
          <w:szCs w:val="20"/>
          <w:lang w:val="es-ES_tradnl" w:eastAsia="en-US"/>
        </w:rPr>
        <w:t xml:space="preserve">Asimismo, la Corte ha reiterado la integración de la Declaración Americana en la interpretación de la Carta de la OEA. Así, </w:t>
      </w:r>
      <w:r>
        <w:rPr>
          <w:rFonts w:eastAsia="Calibri" w:cs="Arial"/>
          <w:sz w:val="20"/>
          <w:szCs w:val="20"/>
          <w:lang w:val="es-ES_tradnl" w:eastAsia="en-US"/>
        </w:rPr>
        <w:t>d</w:t>
      </w:r>
      <w:r w:rsidRPr="002570D1">
        <w:rPr>
          <w:rFonts w:eastAsia="Calibri" w:cs="Arial"/>
          <w:sz w:val="20"/>
          <w:szCs w:val="20"/>
          <w:lang w:val="es-ES_tradnl" w:eastAsia="en-US"/>
        </w:rPr>
        <w:t xml:space="preserve">esde su Opinión Consultiva </w:t>
      </w:r>
      <w:r w:rsidRPr="002570D1">
        <w:rPr>
          <w:rFonts w:eastAsia="Calibri" w:cs="Arial"/>
          <w:sz w:val="20"/>
          <w:szCs w:val="20"/>
          <w:lang w:eastAsia="en-US"/>
        </w:rPr>
        <w:t>OC-10/89</w:t>
      </w:r>
      <w:r w:rsidRPr="002570D1">
        <w:rPr>
          <w:rFonts w:eastAsia="Calibri" w:cs="Arial"/>
          <w:sz w:val="20"/>
          <w:szCs w:val="20"/>
          <w:lang w:val="es-ES_tradnl" w:eastAsia="en-US"/>
        </w:rPr>
        <w:t xml:space="preserve">, la Corte señaló que: </w:t>
      </w:r>
    </w:p>
    <w:p w14:paraId="33CF9DB8" w14:textId="77777777" w:rsidR="002E6860" w:rsidRPr="002570D1" w:rsidRDefault="002E6860" w:rsidP="002E6860">
      <w:pPr>
        <w:ind w:left="-90" w:right="-360"/>
        <w:contextualSpacing/>
        <w:rPr>
          <w:rFonts w:eastAsia="Calibri" w:cs="Arial"/>
          <w:sz w:val="20"/>
          <w:szCs w:val="20"/>
          <w:lang w:val="es-ES_tradnl" w:eastAsia="en-US"/>
        </w:rPr>
      </w:pPr>
    </w:p>
    <w:p w14:paraId="3EE26AE5" w14:textId="2C7F532A" w:rsidR="002E6860" w:rsidRPr="002570D1" w:rsidRDefault="002E6860" w:rsidP="002E6860">
      <w:pPr>
        <w:autoSpaceDE w:val="0"/>
        <w:autoSpaceDN w:val="0"/>
        <w:adjustRightInd w:val="0"/>
        <w:ind w:left="708" w:right="390"/>
        <w:rPr>
          <w:rFonts w:eastAsiaTheme="minorHAnsi" w:cs="Verdana"/>
          <w:sz w:val="18"/>
          <w:szCs w:val="20"/>
          <w:lang w:eastAsia="en-US"/>
        </w:rPr>
      </w:pPr>
      <w:r w:rsidRPr="002570D1">
        <w:rPr>
          <w:rFonts w:eastAsiaTheme="minorHAnsi" w:cs="Verdana"/>
          <w:sz w:val="18"/>
          <w:szCs w:val="20"/>
          <w:lang w:eastAsia="en-US"/>
        </w:rPr>
        <w:t xml:space="preserve">[…] </w:t>
      </w:r>
      <w:r w:rsidR="005B681C">
        <w:rPr>
          <w:rFonts w:eastAsiaTheme="minorHAnsi" w:cs="Verdana"/>
          <w:sz w:val="18"/>
          <w:szCs w:val="20"/>
          <w:lang w:eastAsia="en-US"/>
        </w:rPr>
        <w:t>[</w:t>
      </w:r>
      <w:r w:rsidRPr="002570D1">
        <w:rPr>
          <w:rFonts w:eastAsiaTheme="minorHAnsi" w:cs="Verdana"/>
          <w:sz w:val="18"/>
          <w:szCs w:val="20"/>
          <w:lang w:eastAsia="en-US"/>
        </w:rPr>
        <w:t>L</w:t>
      </w:r>
      <w:r w:rsidR="005B681C">
        <w:rPr>
          <w:rFonts w:eastAsiaTheme="minorHAnsi" w:cs="Verdana"/>
          <w:sz w:val="18"/>
          <w:szCs w:val="20"/>
          <w:lang w:eastAsia="en-US"/>
        </w:rPr>
        <w:t>]</w:t>
      </w:r>
      <w:r w:rsidRPr="002570D1">
        <w:rPr>
          <w:rFonts w:eastAsiaTheme="minorHAnsi" w:cs="Verdana"/>
          <w:sz w:val="18"/>
          <w:szCs w:val="20"/>
          <w:lang w:eastAsia="en-US"/>
        </w:rPr>
        <w:t>os Estados Miembros han entendido que la Declaración contiene y define aquellos derechos humanos esenciales a los que la Carta se refiere, de manera que no se puede interpretar y aplicar la Carta de la Organización en materia de derechos humanos, sin integrar las normas pertinentes de ella con las correspondientes disposiciones de la Declaración, como resulta de la práctica seguida por los órganos de la OEA</w:t>
      </w:r>
      <w:r w:rsidRPr="002570D1">
        <w:rPr>
          <w:rFonts w:eastAsiaTheme="minorHAnsi"/>
          <w:sz w:val="20"/>
          <w:szCs w:val="20"/>
          <w:vertAlign w:val="superscript"/>
          <w:lang w:eastAsia="en-US"/>
        </w:rPr>
        <w:footnoteReference w:id="141"/>
      </w:r>
      <w:r w:rsidRPr="002570D1">
        <w:rPr>
          <w:rFonts w:eastAsiaTheme="minorHAnsi" w:cs="Verdana"/>
          <w:sz w:val="18"/>
          <w:szCs w:val="20"/>
          <w:lang w:eastAsia="en-US"/>
        </w:rPr>
        <w:t>.</w:t>
      </w:r>
    </w:p>
    <w:p w14:paraId="0F2B9EDF" w14:textId="77777777" w:rsidR="002E6860" w:rsidRDefault="002E6860" w:rsidP="0059117C">
      <w:pPr>
        <w:tabs>
          <w:tab w:val="left" w:pos="567"/>
        </w:tabs>
        <w:rPr>
          <w:rFonts w:eastAsia="Calibri"/>
          <w:sz w:val="20"/>
          <w:szCs w:val="20"/>
          <w:lang w:val="es-ES_tradnl" w:eastAsia="en-US"/>
        </w:rPr>
      </w:pPr>
    </w:p>
    <w:p w14:paraId="177A9606" w14:textId="22588A47" w:rsidR="002E6860" w:rsidRPr="0059117C" w:rsidRDefault="002E6860" w:rsidP="0059117C">
      <w:pPr>
        <w:numPr>
          <w:ilvl w:val="0"/>
          <w:numId w:val="2"/>
        </w:numPr>
        <w:tabs>
          <w:tab w:val="left" w:pos="567"/>
          <w:tab w:val="num" w:pos="1569"/>
          <w:tab w:val="num" w:pos="12305"/>
        </w:tabs>
        <w:ind w:left="0" w:firstLine="0"/>
        <w:rPr>
          <w:rFonts w:eastAsia="Calibri"/>
          <w:sz w:val="20"/>
          <w:szCs w:val="20"/>
          <w:lang w:val="es-ES_tradnl" w:eastAsia="en-US"/>
        </w:rPr>
      </w:pPr>
      <w:r w:rsidRPr="00BE1C1B">
        <w:rPr>
          <w:rFonts w:eastAsia="Calibri"/>
          <w:sz w:val="20"/>
          <w:szCs w:val="20"/>
          <w:lang w:val="es-ES_tradnl" w:eastAsia="en-US"/>
        </w:rPr>
        <w:t xml:space="preserve">Por su parte, el artículo 29.d de la Convención Americana dispone expresamente que: </w:t>
      </w:r>
      <w:r w:rsidRPr="0059117C">
        <w:rPr>
          <w:rFonts w:eastAsia="Calibri"/>
          <w:sz w:val="20"/>
          <w:szCs w:val="20"/>
          <w:lang w:val="es-ES_tradnl" w:eastAsia="en-US"/>
        </w:rPr>
        <w:t>“[n]</w:t>
      </w:r>
      <w:proofErr w:type="spellStart"/>
      <w:r w:rsidRPr="0059117C">
        <w:rPr>
          <w:rFonts w:eastAsia="Calibri"/>
          <w:sz w:val="20"/>
          <w:szCs w:val="20"/>
          <w:lang w:val="es-ES_tradnl" w:eastAsia="en-US"/>
        </w:rPr>
        <w:t>inguna</w:t>
      </w:r>
      <w:proofErr w:type="spellEnd"/>
      <w:r w:rsidRPr="0059117C">
        <w:rPr>
          <w:rFonts w:eastAsia="Calibri"/>
          <w:sz w:val="20"/>
          <w:szCs w:val="20"/>
          <w:lang w:val="es-ES_tradnl" w:eastAsia="en-US"/>
        </w:rPr>
        <w:t xml:space="preserve"> disposición de la presente Convención puede ser interpretada en el sentido de: […]</w:t>
      </w:r>
      <w:r w:rsidRPr="00BE1C1B">
        <w:rPr>
          <w:rFonts w:eastAsia="Calibri"/>
          <w:sz w:val="20"/>
          <w:szCs w:val="20"/>
          <w:lang w:val="es-ES_tradnl" w:eastAsia="en-US"/>
        </w:rPr>
        <w:t xml:space="preserve"> </w:t>
      </w:r>
      <w:r w:rsidRPr="0059117C">
        <w:rPr>
          <w:rFonts w:eastAsia="Calibri"/>
          <w:sz w:val="20"/>
          <w:szCs w:val="20"/>
          <w:lang w:val="es-ES_tradnl" w:eastAsia="en-US"/>
        </w:rPr>
        <w:t xml:space="preserve">d) </w:t>
      </w:r>
      <w:r w:rsidR="005B681C">
        <w:rPr>
          <w:rFonts w:eastAsia="Calibri"/>
          <w:sz w:val="20"/>
          <w:szCs w:val="20"/>
          <w:lang w:val="es-ES_tradnl" w:eastAsia="en-US"/>
        </w:rPr>
        <w:t>e</w:t>
      </w:r>
      <w:r w:rsidRPr="0059117C">
        <w:rPr>
          <w:rFonts w:eastAsia="Calibri"/>
          <w:sz w:val="20"/>
          <w:szCs w:val="20"/>
          <w:lang w:val="es-ES_tradnl" w:eastAsia="en-US"/>
        </w:rPr>
        <w:t>xcluir o limitar el efecto que puedan producir la Declaración Americana de Derechos y Deberes del Hombre y otros actos internacionales de la misma naturaleza”</w:t>
      </w:r>
      <w:r w:rsidRPr="00BE1C1B">
        <w:rPr>
          <w:rFonts w:eastAsia="Calibri"/>
          <w:sz w:val="20"/>
          <w:szCs w:val="20"/>
          <w:lang w:val="es-ES_tradnl" w:eastAsia="en-US"/>
        </w:rPr>
        <w:t>.</w:t>
      </w:r>
    </w:p>
    <w:p w14:paraId="54DA22D2" w14:textId="77777777" w:rsidR="002E6860" w:rsidRDefault="002E6860" w:rsidP="0059117C">
      <w:pPr>
        <w:tabs>
          <w:tab w:val="left" w:pos="567"/>
        </w:tabs>
        <w:rPr>
          <w:rFonts w:eastAsia="Calibri"/>
          <w:sz w:val="20"/>
          <w:szCs w:val="20"/>
          <w:lang w:val="es-ES_tradnl" w:eastAsia="en-US"/>
        </w:rPr>
      </w:pPr>
    </w:p>
    <w:p w14:paraId="4F76A66F" w14:textId="77777777" w:rsidR="002570D1" w:rsidRDefault="002570D1" w:rsidP="002570D1">
      <w:pPr>
        <w:numPr>
          <w:ilvl w:val="0"/>
          <w:numId w:val="2"/>
        </w:numPr>
        <w:tabs>
          <w:tab w:val="left" w:pos="567"/>
          <w:tab w:val="num" w:pos="1569"/>
          <w:tab w:val="num" w:pos="12305"/>
        </w:tabs>
        <w:ind w:left="0" w:firstLine="0"/>
        <w:rPr>
          <w:rFonts w:eastAsia="Calibri"/>
          <w:sz w:val="20"/>
          <w:szCs w:val="20"/>
          <w:lang w:val="es-ES_tradnl" w:eastAsia="en-US"/>
        </w:rPr>
      </w:pPr>
      <w:r w:rsidRPr="002570D1">
        <w:rPr>
          <w:rFonts w:eastAsia="Calibri"/>
          <w:sz w:val="20"/>
          <w:szCs w:val="20"/>
          <w:lang w:val="es-ES_tradnl" w:eastAsia="en-US"/>
        </w:rPr>
        <w:t>En este sentido, el artículo XI de la Declaración Americana permite identificar el derecho a la salud al referir que toda persona tiene derecho “a que su salud sea preservada por medidas sanitarias y sociales, relativas a la alimentación, el vestido, la vivienda y la asistencia médica, correspondientes al nivel que permitan los recursos públicos y los de la comunidad”. Tal disposición resulta relevante para definir el alcance del artículo 26, dado que “la Declaración Americana, constituye, en lo pertinente y en relación con la Carta de la Organización, una fuente de obligaciones internacionales”</w:t>
      </w:r>
      <w:r w:rsidRPr="002570D1">
        <w:rPr>
          <w:rFonts w:eastAsia="Calibri"/>
          <w:sz w:val="20"/>
          <w:szCs w:val="20"/>
          <w:vertAlign w:val="superscript"/>
          <w:lang w:val="es-ES_tradnl" w:eastAsia="en-US"/>
        </w:rPr>
        <w:footnoteReference w:id="142"/>
      </w:r>
      <w:r w:rsidRPr="002570D1">
        <w:rPr>
          <w:rFonts w:eastAsia="Calibri"/>
          <w:sz w:val="20"/>
          <w:szCs w:val="20"/>
          <w:lang w:val="es-ES_tradnl" w:eastAsia="en-US"/>
        </w:rPr>
        <w:t xml:space="preserve">. </w:t>
      </w:r>
    </w:p>
    <w:p w14:paraId="15DBC97E" w14:textId="77777777" w:rsidR="00BE1C1B" w:rsidRDefault="00BE1C1B" w:rsidP="0059117C">
      <w:pPr>
        <w:tabs>
          <w:tab w:val="left" w:pos="567"/>
        </w:tabs>
        <w:rPr>
          <w:rFonts w:eastAsia="Calibri"/>
          <w:sz w:val="20"/>
          <w:szCs w:val="20"/>
          <w:lang w:val="es-ES_tradnl" w:eastAsia="en-US"/>
        </w:rPr>
      </w:pPr>
    </w:p>
    <w:p w14:paraId="2BCDA018" w14:textId="43AE11B7" w:rsidR="00BE1C1B" w:rsidRDefault="00BE1C1B" w:rsidP="002570D1">
      <w:pPr>
        <w:numPr>
          <w:ilvl w:val="0"/>
          <w:numId w:val="2"/>
        </w:numPr>
        <w:tabs>
          <w:tab w:val="left" w:pos="567"/>
          <w:tab w:val="num" w:pos="1569"/>
          <w:tab w:val="num" w:pos="12305"/>
        </w:tabs>
        <w:ind w:left="0" w:firstLine="0"/>
        <w:rPr>
          <w:rFonts w:eastAsia="Calibri"/>
          <w:sz w:val="20"/>
          <w:szCs w:val="20"/>
          <w:lang w:val="es-ES_tradnl" w:eastAsia="en-US"/>
        </w:rPr>
      </w:pPr>
      <w:r>
        <w:rPr>
          <w:rFonts w:eastAsia="Calibri"/>
          <w:sz w:val="20"/>
          <w:szCs w:val="20"/>
          <w:lang w:val="es-ES_tradnl" w:eastAsia="en-US"/>
        </w:rPr>
        <w:t xml:space="preserve">En vista de lo anterior, la Corte </w:t>
      </w:r>
      <w:r w:rsidR="007D6301">
        <w:rPr>
          <w:rFonts w:eastAsia="Calibri"/>
          <w:sz w:val="20"/>
          <w:szCs w:val="20"/>
          <w:lang w:val="es-ES_tradnl" w:eastAsia="en-US"/>
        </w:rPr>
        <w:t xml:space="preserve">considera </w:t>
      </w:r>
      <w:r>
        <w:rPr>
          <w:rFonts w:eastAsia="Calibri"/>
          <w:sz w:val="20"/>
          <w:szCs w:val="20"/>
          <w:lang w:val="es-ES_tradnl" w:eastAsia="en-US"/>
        </w:rPr>
        <w:t>que el derecho a la salud es un derecho protegido por el artículo 26 de la Convención. A continuación</w:t>
      </w:r>
      <w:r w:rsidR="00525F0E">
        <w:rPr>
          <w:rFonts w:eastAsia="Calibri"/>
          <w:sz w:val="20"/>
          <w:szCs w:val="20"/>
          <w:lang w:val="es-ES_tradnl" w:eastAsia="en-US"/>
        </w:rPr>
        <w:t>,</w:t>
      </w:r>
      <w:r>
        <w:rPr>
          <w:rFonts w:eastAsia="Calibri"/>
          <w:sz w:val="20"/>
          <w:szCs w:val="20"/>
          <w:lang w:val="es-ES_tradnl" w:eastAsia="en-US"/>
        </w:rPr>
        <w:t xml:space="preserve"> </w:t>
      </w:r>
      <w:r w:rsidR="00525F0E">
        <w:rPr>
          <w:rFonts w:eastAsia="Calibri"/>
          <w:sz w:val="20"/>
          <w:szCs w:val="20"/>
          <w:lang w:val="es-ES_tradnl" w:eastAsia="en-US"/>
        </w:rPr>
        <w:t xml:space="preserve">este Tribunal </w:t>
      </w:r>
      <w:r>
        <w:rPr>
          <w:rFonts w:eastAsia="Calibri"/>
          <w:sz w:val="20"/>
          <w:szCs w:val="20"/>
          <w:lang w:val="es-ES_tradnl" w:eastAsia="en-US"/>
        </w:rPr>
        <w:t>procede a veri</w:t>
      </w:r>
      <w:r w:rsidR="00E00F6E">
        <w:rPr>
          <w:rFonts w:eastAsia="Calibri"/>
          <w:sz w:val="20"/>
          <w:szCs w:val="20"/>
          <w:lang w:val="es-ES_tradnl" w:eastAsia="en-US"/>
        </w:rPr>
        <w:t>ficar el alcance y contenido</w:t>
      </w:r>
      <w:r>
        <w:rPr>
          <w:rFonts w:eastAsia="Calibri"/>
          <w:sz w:val="20"/>
          <w:szCs w:val="20"/>
          <w:lang w:val="es-ES_tradnl" w:eastAsia="en-US"/>
        </w:rPr>
        <w:t xml:space="preserve"> de este derecho para efectos </w:t>
      </w:r>
      <w:r w:rsidR="00E00F6E">
        <w:rPr>
          <w:rFonts w:eastAsia="Calibri"/>
          <w:sz w:val="20"/>
          <w:szCs w:val="20"/>
          <w:lang w:val="es-ES_tradnl" w:eastAsia="en-US"/>
        </w:rPr>
        <w:t>del</w:t>
      </w:r>
      <w:r>
        <w:rPr>
          <w:rFonts w:eastAsia="Calibri"/>
          <w:sz w:val="20"/>
          <w:szCs w:val="20"/>
          <w:lang w:val="es-ES_tradnl" w:eastAsia="en-US"/>
        </w:rPr>
        <w:t xml:space="preserve"> presente caso. </w:t>
      </w:r>
    </w:p>
    <w:p w14:paraId="0A8390D7" w14:textId="77777777" w:rsidR="002E6860" w:rsidRPr="002570D1" w:rsidRDefault="002E6860" w:rsidP="0059117C">
      <w:pPr>
        <w:ind w:right="-360"/>
        <w:contextualSpacing/>
        <w:rPr>
          <w:rFonts w:eastAsia="Calibri"/>
          <w:sz w:val="20"/>
          <w:szCs w:val="20"/>
          <w:lang w:val="es-ES_tradnl" w:eastAsia="en-US"/>
        </w:rPr>
      </w:pPr>
    </w:p>
    <w:p w14:paraId="74582C98" w14:textId="77777777" w:rsidR="002570D1" w:rsidRPr="002570D1" w:rsidRDefault="002E6860" w:rsidP="00EB31AC">
      <w:pPr>
        <w:numPr>
          <w:ilvl w:val="0"/>
          <w:numId w:val="16"/>
        </w:numPr>
        <w:ind w:right="-360"/>
        <w:contextualSpacing/>
        <w:rPr>
          <w:rFonts w:eastAsia="Calibri"/>
          <w:i/>
          <w:sz w:val="20"/>
          <w:szCs w:val="20"/>
          <w:lang w:val="es-ES_tradnl" w:eastAsia="en-US"/>
        </w:rPr>
      </w:pPr>
      <w:r>
        <w:rPr>
          <w:rFonts w:eastAsia="Calibri"/>
          <w:i/>
          <w:sz w:val="20"/>
          <w:szCs w:val="20"/>
          <w:lang w:val="es-ES_tradnl" w:eastAsia="en-US"/>
        </w:rPr>
        <w:t>Legislación interna</w:t>
      </w:r>
    </w:p>
    <w:p w14:paraId="75B3AEAA" w14:textId="77777777" w:rsidR="002570D1" w:rsidRPr="002570D1" w:rsidRDefault="002570D1" w:rsidP="002570D1">
      <w:pPr>
        <w:ind w:left="630" w:right="-360"/>
        <w:contextualSpacing/>
        <w:rPr>
          <w:rFonts w:eastAsia="Calibri"/>
          <w:i/>
          <w:sz w:val="20"/>
          <w:szCs w:val="20"/>
          <w:lang w:val="es-ES_tradnl" w:eastAsia="en-US"/>
        </w:rPr>
      </w:pPr>
    </w:p>
    <w:p w14:paraId="09409BBC" w14:textId="36C22824" w:rsidR="00556BEA" w:rsidRPr="0059117C" w:rsidRDefault="00BE1C1B" w:rsidP="0059117C">
      <w:pPr>
        <w:numPr>
          <w:ilvl w:val="0"/>
          <w:numId w:val="2"/>
        </w:numPr>
        <w:tabs>
          <w:tab w:val="left" w:pos="567"/>
          <w:tab w:val="num" w:pos="1569"/>
          <w:tab w:val="num" w:pos="12305"/>
        </w:tabs>
        <w:ind w:left="0" w:firstLine="0"/>
        <w:rPr>
          <w:rFonts w:eastAsia="Calibri"/>
          <w:sz w:val="20"/>
          <w:szCs w:val="18"/>
          <w:lang w:val="es-ES_tradnl" w:eastAsia="en-US"/>
        </w:rPr>
      </w:pPr>
      <w:r>
        <w:rPr>
          <w:rFonts w:eastAsia="Calibri"/>
          <w:sz w:val="20"/>
          <w:szCs w:val="20"/>
          <w:lang w:val="es-ES_tradnl" w:eastAsia="en-US"/>
        </w:rPr>
        <w:t>E</w:t>
      </w:r>
      <w:r w:rsidR="002570D1" w:rsidRPr="002570D1">
        <w:rPr>
          <w:rFonts w:eastAsia="Calibri"/>
          <w:sz w:val="20"/>
          <w:szCs w:val="20"/>
          <w:lang w:val="es-ES_tradnl" w:eastAsia="en-US"/>
        </w:rPr>
        <w:t>l artículo 29.</w:t>
      </w:r>
      <w:r w:rsidR="002E6860">
        <w:rPr>
          <w:rFonts w:eastAsia="Calibri"/>
          <w:sz w:val="20"/>
          <w:szCs w:val="20"/>
          <w:lang w:val="es-ES_tradnl" w:eastAsia="en-US"/>
        </w:rPr>
        <w:t>b</w:t>
      </w:r>
      <w:r w:rsidR="002570D1" w:rsidRPr="002570D1">
        <w:rPr>
          <w:rFonts w:eastAsia="Calibri"/>
          <w:sz w:val="20"/>
          <w:szCs w:val="20"/>
          <w:lang w:val="es-ES_tradnl" w:eastAsia="en-US"/>
        </w:rPr>
        <w:t xml:space="preserve"> de la Convención Americana dispone expresamente</w:t>
      </w:r>
      <w:r w:rsidR="00BD2E79">
        <w:rPr>
          <w:rFonts w:eastAsia="Calibri"/>
          <w:sz w:val="20"/>
          <w:szCs w:val="20"/>
          <w:lang w:val="es-ES_tradnl" w:eastAsia="en-US"/>
        </w:rPr>
        <w:t xml:space="preserve"> </w:t>
      </w:r>
      <w:r w:rsidR="002570D1" w:rsidRPr="00B1523A">
        <w:rPr>
          <w:rFonts w:eastAsia="Calibri"/>
          <w:sz w:val="20"/>
          <w:szCs w:val="20"/>
          <w:lang w:val="es-ES_tradnl" w:eastAsia="en-US"/>
        </w:rPr>
        <w:t>que</w:t>
      </w:r>
      <w:r w:rsidR="00BD2E79">
        <w:rPr>
          <w:rFonts w:eastAsia="Calibri"/>
          <w:sz w:val="20"/>
          <w:szCs w:val="20"/>
          <w:lang w:val="es-ES_tradnl" w:eastAsia="en-US"/>
        </w:rPr>
        <w:t xml:space="preserve"> </w:t>
      </w:r>
      <w:r w:rsidR="002570D1" w:rsidRPr="00BD2E79">
        <w:rPr>
          <w:rFonts w:eastAsia="Calibri"/>
          <w:sz w:val="20"/>
          <w:szCs w:val="20"/>
          <w:lang w:val="es-ES_tradnl" w:eastAsia="en-US"/>
        </w:rPr>
        <w:t>“</w:t>
      </w:r>
      <w:r w:rsidR="002570D1" w:rsidRPr="0059117C">
        <w:rPr>
          <w:rFonts w:eastAsia="Calibri"/>
          <w:sz w:val="20"/>
          <w:szCs w:val="18"/>
          <w:lang w:val="es-ES_tradnl" w:eastAsia="en-US"/>
        </w:rPr>
        <w:t>[n]</w:t>
      </w:r>
      <w:proofErr w:type="spellStart"/>
      <w:r w:rsidR="002570D1" w:rsidRPr="0059117C">
        <w:rPr>
          <w:rFonts w:eastAsia="Calibri"/>
          <w:sz w:val="20"/>
          <w:szCs w:val="18"/>
          <w:lang w:val="es-ES_tradnl" w:eastAsia="en-US"/>
        </w:rPr>
        <w:t>inguna</w:t>
      </w:r>
      <w:proofErr w:type="spellEnd"/>
      <w:r w:rsidR="002570D1" w:rsidRPr="0059117C">
        <w:rPr>
          <w:rFonts w:eastAsia="Calibri"/>
          <w:sz w:val="20"/>
          <w:szCs w:val="18"/>
          <w:lang w:val="es-ES_tradnl" w:eastAsia="en-US"/>
        </w:rPr>
        <w:t xml:space="preserve"> disposición de la presente Convención puede ser interpretada en el sentido de: […]</w:t>
      </w:r>
      <w:r w:rsidR="002E6860" w:rsidRPr="0059117C">
        <w:rPr>
          <w:rFonts w:eastAsia="Calibri"/>
          <w:sz w:val="20"/>
          <w:szCs w:val="18"/>
          <w:lang w:val="es-ES_tradnl" w:eastAsia="en-US"/>
        </w:rPr>
        <w:t xml:space="preserve"> </w:t>
      </w:r>
      <w:r w:rsidR="002570D1" w:rsidRPr="0059117C">
        <w:rPr>
          <w:rFonts w:eastAsia="Calibri"/>
          <w:sz w:val="20"/>
          <w:szCs w:val="18"/>
          <w:lang w:val="es-ES_tradnl" w:eastAsia="en-US"/>
        </w:rPr>
        <w:t xml:space="preserve">b) </w:t>
      </w:r>
      <w:r w:rsidR="00BD2E79">
        <w:rPr>
          <w:rFonts w:eastAsia="Calibri"/>
          <w:sz w:val="20"/>
          <w:szCs w:val="18"/>
          <w:lang w:val="es-ES_tradnl" w:eastAsia="en-US"/>
        </w:rPr>
        <w:t>l</w:t>
      </w:r>
      <w:r w:rsidR="002570D1" w:rsidRPr="0059117C">
        <w:rPr>
          <w:rFonts w:eastAsia="Calibri"/>
          <w:sz w:val="20"/>
          <w:szCs w:val="18"/>
          <w:lang w:val="es-ES_tradnl" w:eastAsia="en-US"/>
        </w:rPr>
        <w:t>imitar el goce y ejercicio de cualquier derecho o libertad que pueda estar reconocido de acuerdo con las leyes de cualquiera de los Estados Partes o de acuerdo con otra convención en que sea parte uno de dichos Estados</w:t>
      </w:r>
      <w:r w:rsidR="002E6860" w:rsidRPr="0059117C">
        <w:rPr>
          <w:rFonts w:eastAsia="Calibri"/>
          <w:sz w:val="20"/>
          <w:szCs w:val="18"/>
          <w:lang w:val="es-ES_tradnl" w:eastAsia="en-US"/>
        </w:rPr>
        <w:t>”</w:t>
      </w:r>
      <w:r w:rsidR="00BD2E79">
        <w:rPr>
          <w:rFonts w:eastAsia="Calibri"/>
          <w:sz w:val="20"/>
          <w:szCs w:val="18"/>
          <w:lang w:val="es-ES_tradnl" w:eastAsia="en-US"/>
        </w:rPr>
        <w:t xml:space="preserve"> […]</w:t>
      </w:r>
      <w:r w:rsidR="00556BEA" w:rsidRPr="0059117C">
        <w:rPr>
          <w:rFonts w:eastAsia="Calibri"/>
          <w:sz w:val="20"/>
          <w:szCs w:val="18"/>
          <w:lang w:val="es-ES_tradnl" w:eastAsia="en-US"/>
        </w:rPr>
        <w:t>.</w:t>
      </w:r>
    </w:p>
    <w:p w14:paraId="0EA32509" w14:textId="77777777" w:rsidR="00556BEA" w:rsidRDefault="00556BEA" w:rsidP="002570D1">
      <w:pPr>
        <w:ind w:left="567" w:right="335"/>
        <w:rPr>
          <w:rFonts w:eastAsia="Calibri"/>
          <w:sz w:val="18"/>
          <w:szCs w:val="18"/>
          <w:lang w:val="es-ES_tradnl" w:eastAsia="en-US"/>
        </w:rPr>
      </w:pPr>
    </w:p>
    <w:p w14:paraId="23D0846A" w14:textId="604AEB7F" w:rsidR="002570D1" w:rsidRPr="00383565" w:rsidRDefault="00556BEA" w:rsidP="00383565">
      <w:pPr>
        <w:numPr>
          <w:ilvl w:val="0"/>
          <w:numId w:val="2"/>
        </w:numPr>
        <w:tabs>
          <w:tab w:val="left" w:pos="567"/>
          <w:tab w:val="num" w:pos="1569"/>
          <w:tab w:val="num" w:pos="12305"/>
        </w:tabs>
        <w:ind w:left="0" w:firstLine="0"/>
        <w:rPr>
          <w:rFonts w:eastAsia="Calibri"/>
          <w:sz w:val="20"/>
          <w:lang w:val="es-ES_tradnl" w:eastAsia="en-US"/>
        </w:rPr>
      </w:pPr>
      <w:r w:rsidRPr="00383565">
        <w:rPr>
          <w:rFonts w:eastAsia="Calibri"/>
          <w:sz w:val="20"/>
          <w:szCs w:val="20"/>
          <w:lang w:val="es-ES_tradnl" w:eastAsia="en-US"/>
        </w:rPr>
        <w:lastRenderedPageBreak/>
        <w:t>Al respecto</w:t>
      </w:r>
      <w:r w:rsidR="004A1B76">
        <w:rPr>
          <w:rFonts w:eastAsia="Calibri"/>
          <w:sz w:val="20"/>
          <w:szCs w:val="20"/>
          <w:lang w:val="es-ES_tradnl" w:eastAsia="en-US"/>
        </w:rPr>
        <w:t>,</w:t>
      </w:r>
      <w:r w:rsidRPr="00383565">
        <w:rPr>
          <w:rFonts w:eastAsia="Calibri"/>
          <w:sz w:val="20"/>
          <w:szCs w:val="20"/>
          <w:lang w:val="es-ES_tradnl" w:eastAsia="en-US"/>
        </w:rPr>
        <w:t xml:space="preserve"> en </w:t>
      </w:r>
      <w:r w:rsidR="001D5FD5">
        <w:rPr>
          <w:rFonts w:eastAsia="Calibri"/>
          <w:sz w:val="20"/>
          <w:szCs w:val="20"/>
          <w:lang w:val="es-ES_tradnl" w:eastAsia="en-US"/>
        </w:rPr>
        <w:t xml:space="preserve">la </w:t>
      </w:r>
      <w:r w:rsidRPr="00383565">
        <w:rPr>
          <w:rFonts w:eastAsia="Calibri"/>
          <w:sz w:val="20"/>
          <w:szCs w:val="20"/>
          <w:lang w:val="es-ES_tradnl" w:eastAsia="en-US"/>
        </w:rPr>
        <w:t>Constitución</w:t>
      </w:r>
      <w:r w:rsidR="001D5FD5" w:rsidRPr="001D5FD5">
        <w:rPr>
          <w:rFonts w:eastAsia="Calibri"/>
          <w:sz w:val="20"/>
          <w:szCs w:val="20"/>
          <w:lang w:val="es-ES_tradnl" w:eastAsia="en-US"/>
        </w:rPr>
        <w:t xml:space="preserve"> </w:t>
      </w:r>
      <w:r w:rsidR="001D5FD5">
        <w:rPr>
          <w:rFonts w:eastAsia="Calibri"/>
          <w:sz w:val="20"/>
          <w:szCs w:val="20"/>
          <w:lang w:val="es-ES_tradnl" w:eastAsia="en-US"/>
        </w:rPr>
        <w:t>chilena</w:t>
      </w:r>
      <w:r w:rsidR="00F83123" w:rsidRPr="00F83123">
        <w:rPr>
          <w:rFonts w:eastAsia="Calibri"/>
          <w:sz w:val="20"/>
          <w:szCs w:val="20"/>
          <w:lang w:val="es-ES_tradnl" w:eastAsia="en-US"/>
        </w:rPr>
        <w:t xml:space="preserve"> </w:t>
      </w:r>
      <w:r w:rsidR="00F83123">
        <w:rPr>
          <w:rFonts w:eastAsia="Calibri"/>
          <w:sz w:val="20"/>
          <w:szCs w:val="20"/>
          <w:lang w:val="es-ES_tradnl" w:eastAsia="en-US"/>
        </w:rPr>
        <w:t>vigente</w:t>
      </w:r>
      <w:r w:rsidR="00F83123" w:rsidRPr="00383565">
        <w:rPr>
          <w:rFonts w:eastAsia="Calibri"/>
          <w:sz w:val="20"/>
          <w:szCs w:val="20"/>
          <w:lang w:val="es-ES_tradnl" w:eastAsia="en-US"/>
        </w:rPr>
        <w:t xml:space="preserve"> al momento de los hechos y en la actualidad</w:t>
      </w:r>
      <w:r w:rsidRPr="00383565">
        <w:rPr>
          <w:rFonts w:eastAsiaTheme="minorHAnsi"/>
          <w:sz w:val="20"/>
          <w:szCs w:val="20"/>
          <w:vertAlign w:val="superscript"/>
          <w:lang w:eastAsia="en-US"/>
        </w:rPr>
        <w:footnoteReference w:id="143"/>
      </w:r>
      <w:r w:rsidR="001D5FD5">
        <w:rPr>
          <w:rFonts w:eastAsia="Calibri"/>
          <w:sz w:val="20"/>
          <w:szCs w:val="20"/>
          <w:lang w:val="es-ES_tradnl" w:eastAsia="en-US"/>
        </w:rPr>
        <w:t>, se dispone</w:t>
      </w:r>
      <w:r w:rsidR="001D5FD5" w:rsidRPr="00383565">
        <w:rPr>
          <w:rFonts w:eastAsia="Calibri"/>
          <w:sz w:val="20"/>
          <w:szCs w:val="20"/>
          <w:lang w:val="es-ES_tradnl" w:eastAsia="en-US"/>
        </w:rPr>
        <w:t xml:space="preserve"> </w:t>
      </w:r>
      <w:r w:rsidRPr="00383565">
        <w:rPr>
          <w:rFonts w:eastAsia="Calibri"/>
          <w:sz w:val="20"/>
          <w:szCs w:val="20"/>
          <w:lang w:val="es-ES_tradnl" w:eastAsia="en-US"/>
        </w:rPr>
        <w:t>en su artículo 19, inciso 9</w:t>
      </w:r>
      <w:r w:rsidR="001D5FD5">
        <w:rPr>
          <w:rFonts w:eastAsia="Calibri"/>
          <w:sz w:val="20"/>
          <w:szCs w:val="20"/>
          <w:lang w:val="es-ES_tradnl" w:eastAsia="en-US"/>
        </w:rPr>
        <w:t>,</w:t>
      </w:r>
      <w:r w:rsidRPr="00383565">
        <w:rPr>
          <w:rFonts w:eastAsia="Calibri"/>
          <w:sz w:val="20"/>
          <w:szCs w:val="20"/>
          <w:lang w:val="es-ES_tradnl" w:eastAsia="en-US"/>
        </w:rPr>
        <w:t xml:space="preserve"> </w:t>
      </w:r>
      <w:r w:rsidR="00A86D37">
        <w:rPr>
          <w:rFonts w:eastAsia="Calibri"/>
          <w:sz w:val="20"/>
          <w:szCs w:val="20"/>
          <w:lang w:val="es-ES_tradnl" w:eastAsia="en-US"/>
        </w:rPr>
        <w:t>“</w:t>
      </w:r>
      <w:r w:rsidR="001D5FD5">
        <w:rPr>
          <w:rFonts w:eastAsia="Calibri"/>
          <w:sz w:val="20"/>
          <w:szCs w:val="20"/>
          <w:lang w:val="es-ES_tradnl" w:eastAsia="en-US"/>
        </w:rPr>
        <w:t xml:space="preserve">asegurar </w:t>
      </w:r>
      <w:r w:rsidRPr="00383565">
        <w:rPr>
          <w:rFonts w:eastAsia="Calibri"/>
          <w:sz w:val="20"/>
          <w:szCs w:val="20"/>
          <w:lang w:val="es-ES_tradnl" w:eastAsia="en-US"/>
        </w:rPr>
        <w:t>a todas las personas el derecho a la protección de la salud, protegiendo el libre e igualitario acceso a las acciones de promoción, protección y recuperación de la salud y de rehabilitación del individuo</w:t>
      </w:r>
      <w:r w:rsidR="00A86D37">
        <w:rPr>
          <w:rFonts w:eastAsia="Calibri"/>
          <w:sz w:val="20"/>
          <w:szCs w:val="20"/>
          <w:lang w:val="es-ES_tradnl" w:eastAsia="en-US"/>
        </w:rPr>
        <w:t>”</w:t>
      </w:r>
      <w:r w:rsidRPr="00383565">
        <w:rPr>
          <w:rFonts w:eastAsia="Calibri"/>
          <w:sz w:val="20"/>
          <w:szCs w:val="20"/>
          <w:lang w:val="es-ES_tradnl" w:eastAsia="en-US"/>
        </w:rPr>
        <w:t>.</w:t>
      </w:r>
      <w:r w:rsidR="00795461">
        <w:rPr>
          <w:rFonts w:eastAsia="Calibri"/>
          <w:sz w:val="20"/>
          <w:szCs w:val="20"/>
          <w:lang w:val="es-ES_tradnl" w:eastAsia="en-US"/>
        </w:rPr>
        <w:t xml:space="preserve"> Asimismo, la regulación interna también desarrolla el alcance de este derecho</w:t>
      </w:r>
      <w:r w:rsidR="00795461">
        <w:rPr>
          <w:rStyle w:val="FootnoteReference"/>
          <w:rFonts w:eastAsia="Calibri"/>
          <w:sz w:val="20"/>
          <w:szCs w:val="20"/>
          <w:lang w:val="es-ES_tradnl" w:eastAsia="en-US"/>
        </w:rPr>
        <w:footnoteReference w:id="144"/>
      </w:r>
      <w:r w:rsidR="00795461">
        <w:rPr>
          <w:rFonts w:eastAsia="Calibri"/>
          <w:sz w:val="20"/>
          <w:szCs w:val="20"/>
          <w:lang w:val="es-ES_tradnl" w:eastAsia="en-US"/>
        </w:rPr>
        <w:t xml:space="preserve">. </w:t>
      </w:r>
    </w:p>
    <w:p w14:paraId="1174AE8D" w14:textId="77777777" w:rsidR="002570D1" w:rsidRPr="002570D1" w:rsidRDefault="002570D1" w:rsidP="0059117C">
      <w:pPr>
        <w:ind w:right="-360"/>
        <w:contextualSpacing/>
        <w:rPr>
          <w:rFonts w:eastAsia="Calibri"/>
          <w:sz w:val="20"/>
          <w:szCs w:val="20"/>
          <w:lang w:val="es-ES_tradnl" w:eastAsia="en-US"/>
        </w:rPr>
      </w:pPr>
    </w:p>
    <w:p w14:paraId="44591B1C" w14:textId="3E14CB86" w:rsidR="002570D1" w:rsidRPr="00AB1E03" w:rsidRDefault="002570D1" w:rsidP="0059117C">
      <w:pPr>
        <w:numPr>
          <w:ilvl w:val="0"/>
          <w:numId w:val="2"/>
        </w:numPr>
        <w:tabs>
          <w:tab w:val="left" w:pos="567"/>
          <w:tab w:val="num" w:pos="1569"/>
          <w:tab w:val="num" w:pos="12305"/>
        </w:tabs>
        <w:ind w:left="0" w:right="-360" w:firstLine="0"/>
        <w:contextualSpacing/>
        <w:rPr>
          <w:rFonts w:eastAsiaTheme="minorHAnsi" w:cs="Verdana"/>
          <w:sz w:val="18"/>
          <w:szCs w:val="20"/>
          <w:lang w:eastAsia="en-US"/>
        </w:rPr>
      </w:pPr>
      <w:r w:rsidRPr="00E73984">
        <w:rPr>
          <w:rFonts w:eastAsia="Calibri"/>
          <w:sz w:val="20"/>
          <w:szCs w:val="20"/>
          <w:lang w:val="es-ES_tradnl" w:eastAsia="en-US"/>
        </w:rPr>
        <w:t>Además</w:t>
      </w:r>
      <w:r w:rsidR="00BE1C1B" w:rsidRPr="00094003">
        <w:rPr>
          <w:rFonts w:eastAsia="Calibri"/>
          <w:sz w:val="20"/>
          <w:szCs w:val="20"/>
          <w:lang w:val="es-ES_tradnl" w:eastAsia="en-US"/>
        </w:rPr>
        <w:t xml:space="preserve">, la Corte observa un amplio consenso regional en la consolidación del </w:t>
      </w:r>
      <w:r w:rsidRPr="00094003">
        <w:rPr>
          <w:rFonts w:eastAsia="Calibri"/>
          <w:sz w:val="20"/>
          <w:szCs w:val="20"/>
          <w:lang w:val="es-ES_tradnl" w:eastAsia="en-US"/>
        </w:rPr>
        <w:t>derecho a la salud</w:t>
      </w:r>
      <w:r w:rsidR="00BE1C1B" w:rsidRPr="00094003">
        <w:rPr>
          <w:rFonts w:eastAsia="Calibri"/>
          <w:sz w:val="20"/>
          <w:szCs w:val="20"/>
          <w:lang w:val="es-ES_tradnl" w:eastAsia="en-US"/>
        </w:rPr>
        <w:t>, el cual se encuentra</w:t>
      </w:r>
      <w:r w:rsidRPr="00094003">
        <w:rPr>
          <w:rFonts w:eastAsia="Calibri"/>
          <w:sz w:val="20"/>
          <w:szCs w:val="20"/>
          <w:lang w:val="es-ES_tradnl" w:eastAsia="en-US"/>
        </w:rPr>
        <w:t xml:space="preserve"> reconocido explícitamente en diversas </w:t>
      </w:r>
      <w:r w:rsidR="00A86D37">
        <w:rPr>
          <w:rFonts w:eastAsia="Calibri"/>
          <w:sz w:val="20"/>
          <w:szCs w:val="20"/>
          <w:lang w:val="es-ES_tradnl" w:eastAsia="en-US"/>
        </w:rPr>
        <w:t>con</w:t>
      </w:r>
      <w:r w:rsidR="00091F07">
        <w:rPr>
          <w:rFonts w:eastAsia="Calibri"/>
          <w:sz w:val="20"/>
          <w:szCs w:val="20"/>
          <w:lang w:val="es-ES_tradnl" w:eastAsia="en-US"/>
        </w:rPr>
        <w:t>s</w:t>
      </w:r>
      <w:r w:rsidR="00A86D37">
        <w:rPr>
          <w:rFonts w:eastAsia="Calibri"/>
          <w:sz w:val="20"/>
          <w:szCs w:val="20"/>
          <w:lang w:val="es-ES_tradnl" w:eastAsia="en-US"/>
        </w:rPr>
        <w:t xml:space="preserve">tituciones y </w:t>
      </w:r>
      <w:r w:rsidRPr="00094003">
        <w:rPr>
          <w:rFonts w:eastAsia="Calibri"/>
          <w:iCs/>
          <w:sz w:val="20"/>
          <w:szCs w:val="20"/>
          <w:lang w:val="es-CO" w:eastAsia="en-US"/>
        </w:rPr>
        <w:t>leyes internas de los Estados de la región</w:t>
      </w:r>
      <w:r w:rsidR="008D5A60" w:rsidRPr="00094003">
        <w:rPr>
          <w:rFonts w:eastAsia="Calibri"/>
          <w:iCs/>
          <w:sz w:val="20"/>
          <w:szCs w:val="20"/>
          <w:lang w:val="es-CO" w:eastAsia="en-US"/>
        </w:rPr>
        <w:t xml:space="preserve">, </w:t>
      </w:r>
      <w:r w:rsidR="00BE1C1B" w:rsidRPr="00094003">
        <w:rPr>
          <w:rFonts w:eastAsia="Calibri"/>
          <w:iCs/>
          <w:sz w:val="20"/>
          <w:szCs w:val="20"/>
          <w:lang w:val="es-CO" w:eastAsia="en-US"/>
        </w:rPr>
        <w:t>entre ellas:</w:t>
      </w:r>
      <w:r w:rsidR="00FA60EC" w:rsidRPr="00094003">
        <w:rPr>
          <w:rFonts w:eastAsia="Calibri"/>
          <w:iCs/>
          <w:sz w:val="20"/>
          <w:szCs w:val="20"/>
          <w:lang w:val="es-CO" w:eastAsia="en-US"/>
        </w:rPr>
        <w:t xml:space="preserve"> Argentina, </w:t>
      </w:r>
      <w:r w:rsidR="00A86D37" w:rsidRPr="00094003">
        <w:rPr>
          <w:rFonts w:eastAsia="Calibri"/>
          <w:iCs/>
          <w:sz w:val="20"/>
          <w:szCs w:val="20"/>
          <w:lang w:val="es-CO" w:eastAsia="en-US"/>
        </w:rPr>
        <w:t xml:space="preserve">Barbados, </w:t>
      </w:r>
      <w:r w:rsidR="00FA60EC" w:rsidRPr="00094003">
        <w:rPr>
          <w:rFonts w:eastAsia="Calibri"/>
          <w:iCs/>
          <w:sz w:val="20"/>
          <w:szCs w:val="20"/>
          <w:lang w:val="es-CO" w:eastAsia="en-US"/>
        </w:rPr>
        <w:t xml:space="preserve">Bolivia, </w:t>
      </w:r>
      <w:r w:rsidR="00A86D37" w:rsidRPr="00094003">
        <w:rPr>
          <w:rFonts w:eastAsia="Calibri"/>
          <w:iCs/>
          <w:sz w:val="20"/>
          <w:szCs w:val="20"/>
          <w:lang w:val="es-CO" w:eastAsia="en-US"/>
        </w:rPr>
        <w:t>Brasil</w:t>
      </w:r>
      <w:r w:rsidR="00A86D37">
        <w:rPr>
          <w:rFonts w:eastAsia="Calibri"/>
          <w:iCs/>
          <w:sz w:val="20"/>
          <w:szCs w:val="20"/>
          <w:lang w:val="es-CO" w:eastAsia="en-US"/>
        </w:rPr>
        <w:t>,</w:t>
      </w:r>
      <w:r w:rsidR="00A86D37" w:rsidRPr="00094003">
        <w:rPr>
          <w:rFonts w:eastAsia="Calibri"/>
          <w:iCs/>
          <w:sz w:val="20"/>
          <w:szCs w:val="20"/>
          <w:lang w:val="es-CO" w:eastAsia="en-US"/>
        </w:rPr>
        <w:t xml:space="preserve"> </w:t>
      </w:r>
      <w:r w:rsidR="00FA60EC" w:rsidRPr="00094003">
        <w:rPr>
          <w:rFonts w:eastAsia="Calibri"/>
          <w:iCs/>
          <w:sz w:val="20"/>
          <w:szCs w:val="20"/>
          <w:lang w:val="es-CO" w:eastAsia="en-US"/>
        </w:rPr>
        <w:t>Colombia, Costa Rica, Ecuador, El Salvador, Guatemala, Haití, Honduras, México, Nicaragua, Panamá, Paraguay, Perú, República Dominicana, Surinam, Uruguay</w:t>
      </w:r>
      <w:r w:rsidR="00094003" w:rsidRPr="00094003">
        <w:rPr>
          <w:rFonts w:eastAsia="Calibri"/>
          <w:iCs/>
          <w:sz w:val="20"/>
          <w:szCs w:val="20"/>
          <w:lang w:val="es-CO" w:eastAsia="en-US"/>
        </w:rPr>
        <w:t xml:space="preserve"> y </w:t>
      </w:r>
      <w:r w:rsidR="00FA60EC" w:rsidRPr="00094003">
        <w:rPr>
          <w:rFonts w:eastAsia="Calibri"/>
          <w:iCs/>
          <w:sz w:val="20"/>
          <w:szCs w:val="20"/>
          <w:lang w:val="es-CO" w:eastAsia="en-US"/>
        </w:rPr>
        <w:t>Venezuela</w:t>
      </w:r>
      <w:r w:rsidR="00FA60EC" w:rsidRPr="001E145A">
        <w:rPr>
          <w:rFonts w:eastAsia="Calibri"/>
          <w:iCs/>
          <w:sz w:val="22"/>
          <w:vertAlign w:val="superscript"/>
          <w:lang w:val="es-CO" w:eastAsia="en-US"/>
        </w:rPr>
        <w:footnoteReference w:id="145"/>
      </w:r>
      <w:r w:rsidR="00FA60EC" w:rsidRPr="001E145A">
        <w:rPr>
          <w:rFonts w:eastAsia="Calibri"/>
          <w:iCs/>
          <w:sz w:val="18"/>
          <w:szCs w:val="20"/>
          <w:lang w:val="es-CO" w:eastAsia="en-US"/>
        </w:rPr>
        <w:t xml:space="preserve">. </w:t>
      </w:r>
    </w:p>
    <w:p w14:paraId="6A1421D7" w14:textId="77777777" w:rsidR="003B52C8" w:rsidRPr="00E73984" w:rsidRDefault="003B52C8" w:rsidP="00AB1E03">
      <w:pPr>
        <w:tabs>
          <w:tab w:val="left" w:pos="567"/>
        </w:tabs>
        <w:ind w:right="-360"/>
        <w:contextualSpacing/>
        <w:rPr>
          <w:rFonts w:eastAsiaTheme="minorHAnsi" w:cs="Verdana"/>
          <w:sz w:val="18"/>
          <w:szCs w:val="20"/>
          <w:lang w:eastAsia="en-US"/>
        </w:rPr>
      </w:pPr>
    </w:p>
    <w:p w14:paraId="2971CA61" w14:textId="0C4FEF10" w:rsidR="002570D1" w:rsidRPr="002570D1" w:rsidRDefault="002570D1" w:rsidP="00EB31AC">
      <w:pPr>
        <w:numPr>
          <w:ilvl w:val="0"/>
          <w:numId w:val="16"/>
        </w:numPr>
        <w:autoSpaceDE w:val="0"/>
        <w:autoSpaceDN w:val="0"/>
        <w:adjustRightInd w:val="0"/>
        <w:ind w:right="390"/>
        <w:contextualSpacing/>
        <w:rPr>
          <w:rFonts w:eastAsiaTheme="minorHAnsi" w:cs="Verdana"/>
          <w:i/>
          <w:sz w:val="20"/>
          <w:szCs w:val="20"/>
          <w:lang w:eastAsia="en-US"/>
        </w:rPr>
      </w:pPr>
      <w:r w:rsidRPr="002570D1">
        <w:rPr>
          <w:rFonts w:eastAsiaTheme="minorHAnsi" w:cs="Verdana"/>
          <w:i/>
          <w:sz w:val="20"/>
          <w:szCs w:val="20"/>
          <w:lang w:val="es-ES_tradnl" w:eastAsia="en-US"/>
        </w:rPr>
        <w:t>Corpus iuris internacional</w:t>
      </w:r>
      <w:r w:rsidR="002C6D1C">
        <w:rPr>
          <w:rFonts w:eastAsiaTheme="minorHAnsi" w:cs="Verdana"/>
          <w:i/>
          <w:sz w:val="20"/>
          <w:szCs w:val="20"/>
          <w:lang w:val="es-ES_tradnl" w:eastAsia="en-US"/>
        </w:rPr>
        <w:t xml:space="preserve"> </w:t>
      </w:r>
      <w:r w:rsidR="00A34C6F">
        <w:rPr>
          <w:rFonts w:eastAsiaTheme="minorHAnsi" w:cs="Verdana"/>
          <w:i/>
          <w:sz w:val="20"/>
          <w:szCs w:val="20"/>
          <w:lang w:val="es-ES_tradnl" w:eastAsia="en-US"/>
        </w:rPr>
        <w:t>sobre el</w:t>
      </w:r>
      <w:r w:rsidR="002C6D1C">
        <w:rPr>
          <w:rFonts w:eastAsiaTheme="minorHAnsi" w:cs="Verdana"/>
          <w:i/>
          <w:sz w:val="20"/>
          <w:szCs w:val="20"/>
          <w:lang w:val="es-ES_tradnl" w:eastAsia="en-US"/>
        </w:rPr>
        <w:t xml:space="preserve"> derecho a la salud</w:t>
      </w:r>
    </w:p>
    <w:p w14:paraId="5B9E7C51" w14:textId="77777777" w:rsidR="003B52C8" w:rsidRPr="002570D1" w:rsidRDefault="003B52C8" w:rsidP="002570D1">
      <w:pPr>
        <w:autoSpaceDE w:val="0"/>
        <w:autoSpaceDN w:val="0"/>
        <w:adjustRightInd w:val="0"/>
        <w:ind w:left="270" w:right="390"/>
        <w:rPr>
          <w:rFonts w:eastAsiaTheme="minorHAnsi" w:cs="Verdana"/>
          <w:i/>
          <w:sz w:val="20"/>
          <w:szCs w:val="20"/>
          <w:lang w:eastAsia="en-US"/>
        </w:rPr>
      </w:pPr>
    </w:p>
    <w:p w14:paraId="4417E581" w14:textId="117C3E7E" w:rsidR="002570D1" w:rsidRPr="0059117C" w:rsidRDefault="002570D1" w:rsidP="0059117C">
      <w:pPr>
        <w:numPr>
          <w:ilvl w:val="0"/>
          <w:numId w:val="2"/>
        </w:numPr>
        <w:tabs>
          <w:tab w:val="left" w:pos="567"/>
          <w:tab w:val="num" w:pos="1569"/>
          <w:tab w:val="num" w:pos="12305"/>
        </w:tabs>
        <w:ind w:left="0" w:firstLine="0"/>
        <w:rPr>
          <w:rFonts w:eastAsia="Calibri"/>
          <w:sz w:val="20"/>
          <w:szCs w:val="20"/>
          <w:lang w:val="es-AR" w:eastAsia="en-US"/>
        </w:rPr>
      </w:pPr>
      <w:r w:rsidRPr="002570D1">
        <w:rPr>
          <w:rFonts w:eastAsia="Calibri"/>
          <w:sz w:val="20"/>
          <w:szCs w:val="20"/>
          <w:lang w:val="es-ES_tradnl" w:eastAsia="en-US"/>
        </w:rPr>
        <w:t xml:space="preserve">Asimismo, el derecho a la salud está consagrado por un vasto </w:t>
      </w:r>
      <w:r w:rsidRPr="002570D1">
        <w:rPr>
          <w:rFonts w:eastAsia="Calibri"/>
          <w:i/>
          <w:sz w:val="20"/>
          <w:szCs w:val="20"/>
          <w:lang w:val="es-ES_tradnl" w:eastAsia="en-US"/>
        </w:rPr>
        <w:t>corpus iuris</w:t>
      </w:r>
      <w:r w:rsidRPr="002570D1">
        <w:rPr>
          <w:rFonts w:eastAsia="Calibri"/>
          <w:sz w:val="20"/>
          <w:szCs w:val="20"/>
          <w:lang w:val="es-ES_tradnl" w:eastAsia="en-US"/>
        </w:rPr>
        <w:t xml:space="preserve"> internacional; </w:t>
      </w:r>
      <w:r w:rsidRPr="002570D1">
        <w:rPr>
          <w:rFonts w:eastAsia="Calibri"/>
          <w:i/>
          <w:sz w:val="20"/>
          <w:szCs w:val="20"/>
          <w:lang w:val="es-ES_tradnl" w:eastAsia="en-US"/>
        </w:rPr>
        <w:t xml:space="preserve">inter </w:t>
      </w:r>
      <w:proofErr w:type="spellStart"/>
      <w:r w:rsidRPr="002570D1">
        <w:rPr>
          <w:rFonts w:eastAsia="Calibri"/>
          <w:i/>
          <w:sz w:val="20"/>
          <w:szCs w:val="20"/>
          <w:lang w:val="es-ES_tradnl" w:eastAsia="en-US"/>
        </w:rPr>
        <w:t>alia</w:t>
      </w:r>
      <w:proofErr w:type="spellEnd"/>
      <w:r w:rsidRPr="002570D1">
        <w:rPr>
          <w:rFonts w:eastAsia="Calibri"/>
          <w:sz w:val="20"/>
          <w:szCs w:val="20"/>
          <w:lang w:val="es-ES_tradnl" w:eastAsia="en-US"/>
        </w:rPr>
        <w:t xml:space="preserve">: </w:t>
      </w:r>
      <w:r w:rsidR="00525F0E" w:rsidRPr="002570D1">
        <w:rPr>
          <w:rFonts w:eastAsia="Calibri"/>
          <w:sz w:val="20"/>
          <w:szCs w:val="20"/>
          <w:lang w:val="es-ES_tradnl" w:eastAsia="en-US"/>
        </w:rPr>
        <w:t>el artículo 25.1 de la Declaración Universal de Derechos Humanos</w:t>
      </w:r>
      <w:r w:rsidR="00525F0E" w:rsidRPr="002570D1">
        <w:rPr>
          <w:rFonts w:eastAsia="Calibri"/>
          <w:iCs/>
          <w:sz w:val="20"/>
          <w:vertAlign w:val="superscript"/>
          <w:lang w:eastAsia="en-US"/>
        </w:rPr>
        <w:footnoteReference w:id="146"/>
      </w:r>
      <w:r w:rsidR="00525F0E">
        <w:rPr>
          <w:rFonts w:eastAsia="Calibri"/>
          <w:sz w:val="20"/>
          <w:szCs w:val="20"/>
          <w:lang w:val="es-ES_tradnl" w:eastAsia="en-US"/>
        </w:rPr>
        <w:t xml:space="preserve">; </w:t>
      </w:r>
      <w:r w:rsidRPr="002570D1">
        <w:rPr>
          <w:rFonts w:eastAsia="Calibri"/>
          <w:sz w:val="20"/>
          <w:szCs w:val="20"/>
          <w:lang w:val="es-ES_tradnl" w:eastAsia="en-US"/>
        </w:rPr>
        <w:t>el artículo 12 del Pacto Internacional de Derechos Económicos, Sociales y Culturales</w:t>
      </w:r>
      <w:r w:rsidRPr="002570D1">
        <w:rPr>
          <w:rFonts w:eastAsia="Calibri"/>
          <w:iCs/>
          <w:sz w:val="20"/>
          <w:vertAlign w:val="superscript"/>
          <w:lang w:eastAsia="en-US"/>
        </w:rPr>
        <w:footnoteReference w:id="147"/>
      </w:r>
      <w:r w:rsidRPr="002570D1">
        <w:rPr>
          <w:rFonts w:eastAsia="Calibri"/>
          <w:sz w:val="20"/>
          <w:szCs w:val="20"/>
          <w:lang w:val="es-ES_tradnl" w:eastAsia="en-US"/>
        </w:rPr>
        <w:t>, el artículo 10 del Protocolo Adicional a la Convención Americana sobre Derechos Económicos, Sociales y Culturales</w:t>
      </w:r>
      <w:r w:rsidRPr="002570D1">
        <w:rPr>
          <w:rFonts w:eastAsia="Calibri"/>
          <w:iCs/>
          <w:sz w:val="20"/>
          <w:vertAlign w:val="superscript"/>
          <w:lang w:eastAsia="en-US"/>
        </w:rPr>
        <w:footnoteReference w:id="148"/>
      </w:r>
      <w:r w:rsidR="001218A0">
        <w:rPr>
          <w:rFonts w:eastAsia="Calibri"/>
          <w:sz w:val="20"/>
          <w:szCs w:val="20"/>
          <w:lang w:val="es-ES_tradnl" w:eastAsia="en-US"/>
        </w:rPr>
        <w:t>.</w:t>
      </w:r>
      <w:r w:rsidRPr="002570D1">
        <w:rPr>
          <w:rFonts w:eastAsia="Calibri"/>
          <w:sz w:val="20"/>
          <w:szCs w:val="20"/>
          <w:lang w:val="es-ES_tradnl" w:eastAsia="en-US"/>
        </w:rPr>
        <w:t xml:space="preserve"> </w:t>
      </w:r>
      <w:r w:rsidRPr="00E00F6E">
        <w:rPr>
          <w:rFonts w:eastAsia="Calibri"/>
          <w:sz w:val="20"/>
          <w:szCs w:val="20"/>
          <w:lang w:val="es-ES_tradnl" w:eastAsia="en-US"/>
        </w:rPr>
        <w:t xml:space="preserve">Además, el derecho a la salud se reconoce en </w:t>
      </w:r>
      <w:r w:rsidR="000B2169" w:rsidRPr="0059117C">
        <w:rPr>
          <w:rFonts w:eastAsia="Calibri"/>
          <w:sz w:val="20"/>
          <w:szCs w:val="20"/>
          <w:lang w:val="es-ES_tradnl" w:eastAsia="en-US"/>
        </w:rPr>
        <w:t>el artículo 5 apartado e</w:t>
      </w:r>
      <w:r w:rsidR="00A86D37">
        <w:rPr>
          <w:rFonts w:eastAsia="Calibri"/>
          <w:sz w:val="20"/>
          <w:szCs w:val="20"/>
          <w:lang w:val="es-ES_tradnl" w:eastAsia="en-US"/>
        </w:rPr>
        <w:t>)</w:t>
      </w:r>
      <w:r w:rsidR="000B2169" w:rsidRPr="0059117C">
        <w:rPr>
          <w:rFonts w:eastAsia="Calibri"/>
          <w:sz w:val="20"/>
          <w:szCs w:val="20"/>
          <w:lang w:val="es-ES_tradnl" w:eastAsia="en-US"/>
        </w:rPr>
        <w:t xml:space="preserve"> de </w:t>
      </w:r>
      <w:r w:rsidRPr="00E00F6E">
        <w:rPr>
          <w:rFonts w:eastAsia="Calibri"/>
          <w:sz w:val="20"/>
          <w:szCs w:val="20"/>
          <w:lang w:val="es-ES_tradnl" w:eastAsia="en-US"/>
        </w:rPr>
        <w:t xml:space="preserve">la </w:t>
      </w:r>
      <w:r w:rsidRPr="00E00F6E">
        <w:rPr>
          <w:rFonts w:eastAsia="Calibri"/>
          <w:sz w:val="20"/>
          <w:szCs w:val="20"/>
          <w:lang w:val="es-ES_tradnl" w:eastAsia="en-US"/>
        </w:rPr>
        <w:lastRenderedPageBreak/>
        <w:t xml:space="preserve">Convención </w:t>
      </w:r>
      <w:r w:rsidR="00525F0E">
        <w:rPr>
          <w:rFonts w:eastAsia="Calibri"/>
          <w:sz w:val="20"/>
          <w:szCs w:val="20"/>
          <w:lang w:val="es-ES_tradnl" w:eastAsia="en-US"/>
        </w:rPr>
        <w:t>I</w:t>
      </w:r>
      <w:r w:rsidRPr="00E00F6E">
        <w:rPr>
          <w:rFonts w:eastAsia="Calibri"/>
          <w:sz w:val="20"/>
          <w:szCs w:val="20"/>
          <w:lang w:val="es-ES_tradnl" w:eastAsia="en-US"/>
        </w:rPr>
        <w:t xml:space="preserve">nternacional sobre la </w:t>
      </w:r>
      <w:r w:rsidR="00956078">
        <w:rPr>
          <w:rFonts w:eastAsia="Calibri"/>
          <w:sz w:val="20"/>
          <w:szCs w:val="20"/>
          <w:lang w:val="es-ES_tradnl" w:eastAsia="en-US"/>
        </w:rPr>
        <w:t>E</w:t>
      </w:r>
      <w:r w:rsidRPr="00E00F6E">
        <w:rPr>
          <w:rFonts w:eastAsia="Calibri"/>
          <w:sz w:val="20"/>
          <w:szCs w:val="20"/>
          <w:lang w:val="es-ES_tradnl" w:eastAsia="en-US"/>
        </w:rPr>
        <w:t xml:space="preserve">liminación de </w:t>
      </w:r>
      <w:r w:rsidR="00956078">
        <w:rPr>
          <w:rFonts w:eastAsia="Calibri"/>
          <w:sz w:val="20"/>
          <w:szCs w:val="20"/>
          <w:lang w:val="es-ES_tradnl" w:eastAsia="en-US"/>
        </w:rPr>
        <w:t>T</w:t>
      </w:r>
      <w:r w:rsidRPr="00E00F6E">
        <w:rPr>
          <w:rFonts w:eastAsia="Calibri"/>
          <w:sz w:val="20"/>
          <w:szCs w:val="20"/>
          <w:lang w:val="es-ES_tradnl" w:eastAsia="en-US"/>
        </w:rPr>
        <w:t xml:space="preserve">odas las </w:t>
      </w:r>
      <w:r w:rsidR="00956078">
        <w:rPr>
          <w:rFonts w:eastAsia="Calibri"/>
          <w:sz w:val="20"/>
          <w:szCs w:val="20"/>
          <w:lang w:val="es-ES_tradnl" w:eastAsia="en-US"/>
        </w:rPr>
        <w:t>F</w:t>
      </w:r>
      <w:r w:rsidRPr="00E00F6E">
        <w:rPr>
          <w:rFonts w:eastAsia="Calibri"/>
          <w:sz w:val="20"/>
          <w:szCs w:val="20"/>
          <w:lang w:val="es-ES_tradnl" w:eastAsia="en-US"/>
        </w:rPr>
        <w:t xml:space="preserve">ormas de </w:t>
      </w:r>
      <w:r w:rsidR="00956078">
        <w:rPr>
          <w:rFonts w:eastAsia="Calibri"/>
          <w:sz w:val="20"/>
          <w:szCs w:val="20"/>
          <w:lang w:val="es-ES_tradnl" w:eastAsia="en-US"/>
        </w:rPr>
        <w:t>D</w:t>
      </w:r>
      <w:r w:rsidRPr="00E00F6E">
        <w:rPr>
          <w:rFonts w:eastAsia="Calibri"/>
          <w:sz w:val="20"/>
          <w:szCs w:val="20"/>
          <w:lang w:val="es-ES_tradnl" w:eastAsia="en-US"/>
        </w:rPr>
        <w:t xml:space="preserve">iscriminación </w:t>
      </w:r>
      <w:r w:rsidR="00956078">
        <w:rPr>
          <w:rFonts w:eastAsia="Calibri"/>
          <w:sz w:val="20"/>
          <w:szCs w:val="20"/>
          <w:lang w:val="es-ES_tradnl" w:eastAsia="en-US"/>
        </w:rPr>
        <w:t>R</w:t>
      </w:r>
      <w:r w:rsidRPr="00E00F6E">
        <w:rPr>
          <w:rFonts w:eastAsia="Calibri"/>
          <w:sz w:val="20"/>
          <w:szCs w:val="20"/>
          <w:lang w:val="es-ES_tradnl" w:eastAsia="en-US"/>
        </w:rPr>
        <w:t>acial</w:t>
      </w:r>
      <w:r w:rsidRPr="00E00F6E">
        <w:rPr>
          <w:rFonts w:eastAsia="Calibri"/>
          <w:iCs/>
          <w:sz w:val="20"/>
          <w:vertAlign w:val="superscript"/>
          <w:lang w:eastAsia="en-US"/>
        </w:rPr>
        <w:footnoteReference w:id="149"/>
      </w:r>
      <w:r w:rsidR="00956078">
        <w:rPr>
          <w:rFonts w:eastAsia="Calibri"/>
          <w:sz w:val="20"/>
          <w:szCs w:val="20"/>
          <w:lang w:val="es-ES_tradnl" w:eastAsia="en-US"/>
        </w:rPr>
        <w:t>;</w:t>
      </w:r>
      <w:r w:rsidRPr="00E00F6E">
        <w:rPr>
          <w:rFonts w:eastAsia="Calibri"/>
          <w:sz w:val="20"/>
          <w:szCs w:val="20"/>
          <w:lang w:val="es-ES_tradnl" w:eastAsia="en-US"/>
        </w:rPr>
        <w:t xml:space="preserve"> </w:t>
      </w:r>
      <w:r w:rsidR="000B2169" w:rsidRPr="0059117C">
        <w:rPr>
          <w:rFonts w:eastAsia="Calibri"/>
          <w:sz w:val="20"/>
          <w:szCs w:val="20"/>
          <w:lang w:val="es-ES_tradnl" w:eastAsia="en-US"/>
        </w:rPr>
        <w:t xml:space="preserve">el artículo 12.1 de </w:t>
      </w:r>
      <w:r w:rsidR="00FE58B5" w:rsidRPr="00E00F6E">
        <w:rPr>
          <w:rFonts w:eastAsia="Calibri"/>
          <w:sz w:val="20"/>
          <w:szCs w:val="20"/>
          <w:lang w:val="es-ES_tradnl" w:eastAsia="en-US"/>
        </w:rPr>
        <w:t>l</w:t>
      </w:r>
      <w:r w:rsidRPr="00E00F6E">
        <w:rPr>
          <w:rFonts w:eastAsia="Calibri"/>
          <w:sz w:val="20"/>
          <w:szCs w:val="20"/>
          <w:lang w:val="es-ES_tradnl" w:eastAsia="en-US"/>
        </w:rPr>
        <w:t xml:space="preserve">a Convención sobre la </w:t>
      </w:r>
      <w:r w:rsidR="00956078">
        <w:rPr>
          <w:rFonts w:eastAsia="Calibri"/>
          <w:sz w:val="20"/>
          <w:szCs w:val="20"/>
          <w:lang w:val="es-ES_tradnl" w:eastAsia="en-US"/>
        </w:rPr>
        <w:t>E</w:t>
      </w:r>
      <w:r w:rsidRPr="00E00F6E">
        <w:rPr>
          <w:rFonts w:eastAsia="Calibri"/>
          <w:sz w:val="20"/>
          <w:szCs w:val="20"/>
          <w:lang w:val="es-ES_tradnl" w:eastAsia="en-US"/>
        </w:rPr>
        <w:t xml:space="preserve">liminación de </w:t>
      </w:r>
      <w:r w:rsidR="00956078">
        <w:rPr>
          <w:rFonts w:eastAsia="Calibri"/>
          <w:sz w:val="20"/>
          <w:szCs w:val="20"/>
          <w:lang w:val="es-ES_tradnl" w:eastAsia="en-US"/>
        </w:rPr>
        <w:t>T</w:t>
      </w:r>
      <w:r w:rsidRPr="00E00F6E">
        <w:rPr>
          <w:rFonts w:eastAsia="Calibri"/>
          <w:sz w:val="20"/>
          <w:szCs w:val="20"/>
          <w:lang w:val="es-ES_tradnl" w:eastAsia="en-US"/>
        </w:rPr>
        <w:t xml:space="preserve">odas las </w:t>
      </w:r>
      <w:r w:rsidR="00956078">
        <w:rPr>
          <w:rFonts w:eastAsia="Calibri"/>
          <w:sz w:val="20"/>
          <w:szCs w:val="20"/>
          <w:lang w:val="es-ES_tradnl" w:eastAsia="en-US"/>
        </w:rPr>
        <w:t>F</w:t>
      </w:r>
      <w:r w:rsidRPr="00E00F6E">
        <w:rPr>
          <w:rFonts w:eastAsia="Calibri"/>
          <w:sz w:val="20"/>
          <w:szCs w:val="20"/>
          <w:lang w:val="es-ES_tradnl" w:eastAsia="en-US"/>
        </w:rPr>
        <w:t xml:space="preserve">ormas de </w:t>
      </w:r>
      <w:r w:rsidR="00956078">
        <w:rPr>
          <w:rFonts w:eastAsia="Calibri"/>
          <w:sz w:val="20"/>
          <w:szCs w:val="20"/>
          <w:lang w:val="es-ES_tradnl" w:eastAsia="en-US"/>
        </w:rPr>
        <w:t>D</w:t>
      </w:r>
      <w:r w:rsidRPr="00E00F6E">
        <w:rPr>
          <w:rFonts w:eastAsia="Calibri"/>
          <w:sz w:val="20"/>
          <w:szCs w:val="20"/>
          <w:lang w:val="es-ES_tradnl" w:eastAsia="en-US"/>
        </w:rPr>
        <w:t xml:space="preserve">iscriminación </w:t>
      </w:r>
      <w:r w:rsidR="00956078">
        <w:rPr>
          <w:rFonts w:eastAsia="Calibri"/>
          <w:sz w:val="20"/>
          <w:szCs w:val="20"/>
          <w:lang w:val="es-ES_tradnl" w:eastAsia="en-US"/>
        </w:rPr>
        <w:t>c</w:t>
      </w:r>
      <w:r w:rsidRPr="00E00F6E">
        <w:rPr>
          <w:rFonts w:eastAsia="Calibri"/>
          <w:sz w:val="20"/>
          <w:szCs w:val="20"/>
          <w:lang w:val="es-ES_tradnl" w:eastAsia="en-US"/>
        </w:rPr>
        <w:t xml:space="preserve">ontra la </w:t>
      </w:r>
      <w:r w:rsidR="00956078">
        <w:rPr>
          <w:rFonts w:eastAsia="Calibri"/>
          <w:sz w:val="20"/>
          <w:szCs w:val="20"/>
          <w:lang w:val="es-ES_tradnl" w:eastAsia="en-US"/>
        </w:rPr>
        <w:t>M</w:t>
      </w:r>
      <w:r w:rsidRPr="00E00F6E">
        <w:rPr>
          <w:rFonts w:eastAsia="Calibri"/>
          <w:sz w:val="20"/>
          <w:szCs w:val="20"/>
          <w:lang w:val="es-ES_tradnl" w:eastAsia="en-US"/>
        </w:rPr>
        <w:t>ujer</w:t>
      </w:r>
      <w:r w:rsidRPr="00E00F6E">
        <w:rPr>
          <w:rFonts w:eastAsia="Calibri"/>
          <w:iCs/>
          <w:sz w:val="20"/>
          <w:vertAlign w:val="superscript"/>
          <w:lang w:eastAsia="en-US"/>
        </w:rPr>
        <w:footnoteReference w:id="150"/>
      </w:r>
      <w:r w:rsidR="00956078">
        <w:rPr>
          <w:rFonts w:eastAsia="Calibri"/>
          <w:sz w:val="20"/>
          <w:szCs w:val="20"/>
          <w:lang w:val="es-ES_tradnl" w:eastAsia="en-US"/>
        </w:rPr>
        <w:t>;</w:t>
      </w:r>
      <w:r w:rsidRPr="00E00F6E">
        <w:rPr>
          <w:rFonts w:eastAsia="Calibri"/>
          <w:sz w:val="20"/>
          <w:szCs w:val="20"/>
          <w:lang w:val="es-ES_tradnl" w:eastAsia="en-US"/>
        </w:rPr>
        <w:t xml:space="preserve"> </w:t>
      </w:r>
      <w:r w:rsidR="000B2169" w:rsidRPr="0059117C">
        <w:rPr>
          <w:rFonts w:eastAsia="Calibri"/>
          <w:sz w:val="20"/>
          <w:szCs w:val="20"/>
          <w:lang w:val="es-ES_tradnl" w:eastAsia="en-US"/>
        </w:rPr>
        <w:t xml:space="preserve">el artículo 24.1 de </w:t>
      </w:r>
      <w:r w:rsidR="00FE58B5" w:rsidRPr="00E00F6E">
        <w:rPr>
          <w:rFonts w:eastAsia="Calibri"/>
          <w:sz w:val="20"/>
          <w:szCs w:val="20"/>
          <w:lang w:val="es-ES_tradnl" w:eastAsia="en-US"/>
        </w:rPr>
        <w:t>l</w:t>
      </w:r>
      <w:r w:rsidRPr="00E00F6E">
        <w:rPr>
          <w:rFonts w:eastAsia="Calibri"/>
          <w:sz w:val="20"/>
          <w:szCs w:val="20"/>
          <w:lang w:val="es-ES_tradnl" w:eastAsia="en-US"/>
        </w:rPr>
        <w:t xml:space="preserve">a Convención sobre los </w:t>
      </w:r>
      <w:r w:rsidR="00956078">
        <w:rPr>
          <w:rFonts w:eastAsia="Calibri"/>
          <w:sz w:val="20"/>
          <w:szCs w:val="20"/>
          <w:lang w:val="es-ES_tradnl" w:eastAsia="en-US"/>
        </w:rPr>
        <w:t>D</w:t>
      </w:r>
      <w:r w:rsidRPr="00E00F6E">
        <w:rPr>
          <w:rFonts w:eastAsia="Calibri"/>
          <w:sz w:val="20"/>
          <w:szCs w:val="20"/>
          <w:lang w:val="es-ES_tradnl" w:eastAsia="en-US"/>
        </w:rPr>
        <w:t xml:space="preserve">erechos del </w:t>
      </w:r>
      <w:r w:rsidR="00956078">
        <w:rPr>
          <w:rFonts w:eastAsia="Calibri"/>
          <w:sz w:val="20"/>
          <w:szCs w:val="20"/>
          <w:lang w:val="es-ES_tradnl" w:eastAsia="en-US"/>
        </w:rPr>
        <w:t>N</w:t>
      </w:r>
      <w:r w:rsidRPr="00E00F6E">
        <w:rPr>
          <w:rFonts w:eastAsia="Calibri"/>
          <w:sz w:val="20"/>
          <w:szCs w:val="20"/>
          <w:lang w:val="es-ES_tradnl" w:eastAsia="en-US"/>
        </w:rPr>
        <w:t>iño</w:t>
      </w:r>
      <w:r w:rsidRPr="00E00F6E">
        <w:rPr>
          <w:rFonts w:eastAsia="Calibri"/>
          <w:iCs/>
          <w:sz w:val="20"/>
          <w:vertAlign w:val="superscript"/>
          <w:lang w:eastAsia="en-US"/>
        </w:rPr>
        <w:footnoteReference w:id="151"/>
      </w:r>
      <w:r w:rsidR="00956078">
        <w:rPr>
          <w:rFonts w:eastAsia="Calibri"/>
          <w:sz w:val="20"/>
          <w:szCs w:val="20"/>
          <w:lang w:val="es-ES_tradnl" w:eastAsia="en-US"/>
        </w:rPr>
        <w:t>;</w:t>
      </w:r>
      <w:r w:rsidRPr="00E00F6E">
        <w:rPr>
          <w:rFonts w:eastAsia="Calibri"/>
          <w:sz w:val="20"/>
          <w:szCs w:val="20"/>
          <w:lang w:val="es-ES_tradnl" w:eastAsia="en-US"/>
        </w:rPr>
        <w:t xml:space="preserve"> </w:t>
      </w:r>
      <w:r w:rsidR="000B2169" w:rsidRPr="0059117C">
        <w:rPr>
          <w:rFonts w:eastAsia="Calibri"/>
          <w:sz w:val="20"/>
          <w:szCs w:val="20"/>
          <w:lang w:val="es-ES_tradnl" w:eastAsia="en-US"/>
        </w:rPr>
        <w:t xml:space="preserve">el artículo 28 de </w:t>
      </w:r>
      <w:r w:rsidR="00FE58B5" w:rsidRPr="00E00F6E">
        <w:rPr>
          <w:rFonts w:eastAsia="Calibri"/>
          <w:sz w:val="20"/>
          <w:szCs w:val="20"/>
          <w:lang w:val="es-ES_tradnl" w:eastAsia="en-US"/>
        </w:rPr>
        <w:t>l</w:t>
      </w:r>
      <w:r w:rsidRPr="00E00F6E">
        <w:rPr>
          <w:rFonts w:eastAsia="Calibri"/>
          <w:sz w:val="20"/>
          <w:szCs w:val="20"/>
          <w:lang w:val="es-ES_tradnl" w:eastAsia="en-US"/>
        </w:rPr>
        <w:t xml:space="preserve">a Convención sobre la </w:t>
      </w:r>
      <w:r w:rsidR="00956078">
        <w:rPr>
          <w:rFonts w:eastAsia="Calibri"/>
          <w:sz w:val="20"/>
          <w:szCs w:val="20"/>
          <w:lang w:val="es-ES_tradnl" w:eastAsia="en-US"/>
        </w:rPr>
        <w:t>P</w:t>
      </w:r>
      <w:r w:rsidRPr="00E00F6E">
        <w:rPr>
          <w:rFonts w:eastAsia="Calibri"/>
          <w:sz w:val="20"/>
          <w:szCs w:val="20"/>
          <w:lang w:val="es-ES_tradnl" w:eastAsia="en-US"/>
        </w:rPr>
        <w:t xml:space="preserve">rotección de los </w:t>
      </w:r>
      <w:r w:rsidR="00956078">
        <w:rPr>
          <w:rFonts w:eastAsia="Calibri"/>
          <w:sz w:val="20"/>
          <w:szCs w:val="20"/>
          <w:lang w:val="es-ES_tradnl" w:eastAsia="en-US"/>
        </w:rPr>
        <w:t>T</w:t>
      </w:r>
      <w:r w:rsidRPr="00E00F6E">
        <w:rPr>
          <w:rFonts w:eastAsia="Calibri"/>
          <w:sz w:val="20"/>
          <w:szCs w:val="20"/>
          <w:lang w:val="es-ES_tradnl" w:eastAsia="en-US"/>
        </w:rPr>
        <w:t xml:space="preserve">rabajadores </w:t>
      </w:r>
      <w:r w:rsidR="00956078">
        <w:rPr>
          <w:rFonts w:eastAsia="Calibri"/>
          <w:sz w:val="20"/>
          <w:szCs w:val="20"/>
          <w:lang w:val="es-ES_tradnl" w:eastAsia="en-US"/>
        </w:rPr>
        <w:t>M</w:t>
      </w:r>
      <w:r w:rsidRPr="00E00F6E">
        <w:rPr>
          <w:rFonts w:eastAsia="Calibri"/>
          <w:sz w:val="20"/>
          <w:szCs w:val="20"/>
          <w:lang w:val="es-ES_tradnl" w:eastAsia="en-US"/>
        </w:rPr>
        <w:t xml:space="preserve">igratorios y sus </w:t>
      </w:r>
      <w:r w:rsidR="00956078">
        <w:rPr>
          <w:rFonts w:eastAsia="Calibri"/>
          <w:sz w:val="20"/>
          <w:szCs w:val="20"/>
          <w:lang w:val="es-ES_tradnl" w:eastAsia="en-US"/>
        </w:rPr>
        <w:t>F</w:t>
      </w:r>
      <w:r w:rsidRPr="00E00F6E">
        <w:rPr>
          <w:rFonts w:eastAsia="Calibri"/>
          <w:sz w:val="20"/>
          <w:szCs w:val="20"/>
          <w:lang w:val="es-ES_tradnl" w:eastAsia="en-US"/>
        </w:rPr>
        <w:t>amilia</w:t>
      </w:r>
      <w:r w:rsidR="00956078">
        <w:rPr>
          <w:rFonts w:eastAsia="Calibri"/>
          <w:sz w:val="20"/>
          <w:szCs w:val="20"/>
          <w:lang w:val="es-ES_tradnl" w:eastAsia="en-US"/>
        </w:rPr>
        <w:t>re</w:t>
      </w:r>
      <w:r w:rsidRPr="00E00F6E">
        <w:rPr>
          <w:rFonts w:eastAsia="Calibri"/>
          <w:sz w:val="20"/>
          <w:szCs w:val="20"/>
          <w:lang w:val="es-ES_tradnl" w:eastAsia="en-US"/>
        </w:rPr>
        <w:t>s</w:t>
      </w:r>
      <w:r w:rsidRPr="00E00F6E">
        <w:rPr>
          <w:rFonts w:eastAsia="Calibri"/>
          <w:iCs/>
          <w:sz w:val="20"/>
          <w:vertAlign w:val="superscript"/>
          <w:lang w:eastAsia="en-US"/>
        </w:rPr>
        <w:footnoteReference w:id="152"/>
      </w:r>
      <w:r w:rsidR="00956078">
        <w:rPr>
          <w:rFonts w:eastAsia="Calibri"/>
          <w:sz w:val="20"/>
          <w:szCs w:val="20"/>
          <w:lang w:val="es-ES_tradnl" w:eastAsia="en-US"/>
        </w:rPr>
        <w:t>, y</w:t>
      </w:r>
      <w:r w:rsidRPr="00E00F6E">
        <w:rPr>
          <w:rFonts w:eastAsia="Calibri"/>
          <w:sz w:val="20"/>
          <w:szCs w:val="20"/>
          <w:lang w:val="es-ES_tradnl" w:eastAsia="en-US"/>
        </w:rPr>
        <w:t xml:space="preserve"> </w:t>
      </w:r>
      <w:r w:rsidR="000B2169" w:rsidRPr="0059117C">
        <w:rPr>
          <w:rFonts w:eastAsia="Calibri"/>
          <w:sz w:val="20"/>
          <w:szCs w:val="20"/>
          <w:lang w:val="es-ES_tradnl" w:eastAsia="en-US"/>
        </w:rPr>
        <w:t xml:space="preserve">el artículo 25 de </w:t>
      </w:r>
      <w:r w:rsidR="00FE58B5" w:rsidRPr="00E00F6E">
        <w:rPr>
          <w:rFonts w:eastAsia="Calibri"/>
          <w:sz w:val="20"/>
          <w:szCs w:val="20"/>
          <w:lang w:val="es-ES_tradnl" w:eastAsia="en-US"/>
        </w:rPr>
        <w:t>l</w:t>
      </w:r>
      <w:r w:rsidRPr="00E00F6E">
        <w:rPr>
          <w:rFonts w:eastAsia="Calibri"/>
          <w:sz w:val="20"/>
          <w:szCs w:val="20"/>
          <w:lang w:val="es-ES_tradnl" w:eastAsia="en-US"/>
        </w:rPr>
        <w:t xml:space="preserve">a Convención sobre los </w:t>
      </w:r>
      <w:r w:rsidR="00956078">
        <w:rPr>
          <w:rFonts w:eastAsia="Calibri"/>
          <w:sz w:val="20"/>
          <w:szCs w:val="20"/>
          <w:lang w:val="es-ES_tradnl" w:eastAsia="en-US"/>
        </w:rPr>
        <w:t>D</w:t>
      </w:r>
      <w:r w:rsidRPr="00E00F6E">
        <w:rPr>
          <w:rFonts w:eastAsia="Calibri"/>
          <w:sz w:val="20"/>
          <w:szCs w:val="20"/>
          <w:lang w:val="es-ES_tradnl" w:eastAsia="en-US"/>
        </w:rPr>
        <w:t xml:space="preserve">erechos de las </w:t>
      </w:r>
      <w:r w:rsidR="00956078">
        <w:rPr>
          <w:rFonts w:eastAsia="Calibri"/>
          <w:sz w:val="20"/>
          <w:szCs w:val="20"/>
          <w:lang w:val="es-ES_tradnl" w:eastAsia="en-US"/>
        </w:rPr>
        <w:t>P</w:t>
      </w:r>
      <w:r w:rsidRPr="00E00F6E">
        <w:rPr>
          <w:rFonts w:eastAsia="Calibri"/>
          <w:sz w:val="20"/>
          <w:szCs w:val="20"/>
          <w:lang w:val="es-ES_tradnl" w:eastAsia="en-US"/>
        </w:rPr>
        <w:t xml:space="preserve">ersonas con </w:t>
      </w:r>
      <w:r w:rsidR="00956078">
        <w:rPr>
          <w:rFonts w:eastAsia="Calibri"/>
          <w:sz w:val="20"/>
          <w:szCs w:val="20"/>
          <w:lang w:val="es-ES_tradnl" w:eastAsia="en-US"/>
        </w:rPr>
        <w:t>D</w:t>
      </w:r>
      <w:r w:rsidRPr="00E00F6E">
        <w:rPr>
          <w:rFonts w:eastAsia="Calibri"/>
          <w:sz w:val="20"/>
          <w:szCs w:val="20"/>
          <w:lang w:val="es-ES_tradnl" w:eastAsia="en-US"/>
        </w:rPr>
        <w:t>iscapacidad</w:t>
      </w:r>
      <w:r w:rsidRPr="00E00F6E">
        <w:rPr>
          <w:rFonts w:eastAsia="Calibri"/>
          <w:iCs/>
          <w:sz w:val="20"/>
          <w:vertAlign w:val="superscript"/>
          <w:lang w:eastAsia="en-US"/>
        </w:rPr>
        <w:footnoteReference w:id="153"/>
      </w:r>
      <w:r w:rsidR="00752710" w:rsidRPr="00AB1E03">
        <w:rPr>
          <w:rFonts w:eastAsia="Calibri"/>
          <w:iCs/>
          <w:sz w:val="20"/>
          <w:lang w:eastAsia="en-US"/>
        </w:rPr>
        <w:t>.</w:t>
      </w:r>
      <w:r w:rsidRPr="00E00F6E">
        <w:rPr>
          <w:rFonts w:eastAsia="Calibri"/>
          <w:sz w:val="20"/>
          <w:szCs w:val="20"/>
          <w:lang w:val="es-ES_tradnl" w:eastAsia="en-US"/>
        </w:rPr>
        <w:t xml:space="preserve"> </w:t>
      </w:r>
      <w:r w:rsidR="00FE58B5" w:rsidRPr="00E00F6E">
        <w:rPr>
          <w:rFonts w:eastAsia="Calibri"/>
          <w:sz w:val="20"/>
          <w:szCs w:val="20"/>
          <w:lang w:val="es-ES_tradnl" w:eastAsia="en-US"/>
        </w:rPr>
        <w:t>Este derecho también se encuentra plasmado en v</w:t>
      </w:r>
      <w:r w:rsidRPr="00E00F6E">
        <w:rPr>
          <w:rFonts w:eastAsia="Calibri"/>
          <w:sz w:val="20"/>
          <w:szCs w:val="20"/>
          <w:lang w:val="es-ES_tradnl" w:eastAsia="en-US"/>
        </w:rPr>
        <w:t>arios instrumentos regionales de derechos humanos, como</w:t>
      </w:r>
      <w:r w:rsidR="000B2169" w:rsidRPr="0059117C">
        <w:rPr>
          <w:rFonts w:eastAsia="Calibri"/>
          <w:sz w:val="20"/>
          <w:szCs w:val="20"/>
          <w:lang w:val="es-ES_tradnl" w:eastAsia="en-US"/>
        </w:rPr>
        <w:t xml:space="preserve"> en el artículo 17 de</w:t>
      </w:r>
      <w:r w:rsidRPr="00E00F6E">
        <w:rPr>
          <w:rFonts w:eastAsia="Calibri"/>
          <w:sz w:val="20"/>
          <w:szCs w:val="20"/>
          <w:lang w:val="es-ES_tradnl" w:eastAsia="en-US"/>
        </w:rPr>
        <w:t xml:space="preserve"> </w:t>
      </w:r>
      <w:r w:rsidR="00795461" w:rsidRPr="00E00F6E">
        <w:rPr>
          <w:rFonts w:eastAsia="Calibri"/>
          <w:sz w:val="20"/>
          <w:szCs w:val="20"/>
          <w:lang w:val="es-ES_tradnl" w:eastAsia="en-US"/>
        </w:rPr>
        <w:t xml:space="preserve">la Carta Social </w:t>
      </w:r>
      <w:r w:rsidR="003946BF">
        <w:rPr>
          <w:rFonts w:eastAsia="Calibri"/>
          <w:sz w:val="20"/>
          <w:szCs w:val="20"/>
          <w:lang w:val="es-ES_tradnl" w:eastAsia="en-US"/>
        </w:rPr>
        <w:t xml:space="preserve">de las </w:t>
      </w:r>
      <w:r w:rsidR="00795461" w:rsidRPr="00E00F6E">
        <w:rPr>
          <w:rFonts w:eastAsia="Calibri"/>
          <w:sz w:val="20"/>
          <w:szCs w:val="20"/>
          <w:lang w:val="es-ES_tradnl" w:eastAsia="en-US"/>
        </w:rPr>
        <w:t>Am</w:t>
      </w:r>
      <w:r w:rsidR="003946BF">
        <w:rPr>
          <w:rFonts w:eastAsia="Calibri"/>
          <w:sz w:val="20"/>
          <w:szCs w:val="20"/>
          <w:lang w:val="es-ES_tradnl" w:eastAsia="en-US"/>
        </w:rPr>
        <w:t>é</w:t>
      </w:r>
      <w:r w:rsidR="00795461" w:rsidRPr="00E00F6E">
        <w:rPr>
          <w:rFonts w:eastAsia="Calibri"/>
          <w:sz w:val="20"/>
          <w:szCs w:val="20"/>
          <w:lang w:val="es-ES_tradnl" w:eastAsia="en-US"/>
        </w:rPr>
        <w:t>rica</w:t>
      </w:r>
      <w:r w:rsidR="003946BF">
        <w:rPr>
          <w:rFonts w:eastAsia="Calibri"/>
          <w:sz w:val="20"/>
          <w:szCs w:val="20"/>
          <w:lang w:val="es-ES_tradnl" w:eastAsia="en-US"/>
        </w:rPr>
        <w:t>s</w:t>
      </w:r>
      <w:r w:rsidR="00795461" w:rsidRPr="00E00F6E">
        <w:rPr>
          <w:rFonts w:eastAsia="Calibri"/>
          <w:sz w:val="20"/>
          <w:szCs w:val="20"/>
          <w:vertAlign w:val="superscript"/>
          <w:lang w:val="es-ES_tradnl" w:eastAsia="en-US"/>
        </w:rPr>
        <w:footnoteReference w:id="154"/>
      </w:r>
      <w:r w:rsidR="00DA3BE8">
        <w:rPr>
          <w:rFonts w:eastAsia="Calibri"/>
          <w:sz w:val="20"/>
          <w:szCs w:val="20"/>
          <w:lang w:val="es-ES_tradnl" w:eastAsia="en-US"/>
        </w:rPr>
        <w:t>;</w:t>
      </w:r>
      <w:r w:rsidR="00795461" w:rsidRPr="00E00F6E">
        <w:rPr>
          <w:rFonts w:eastAsia="Calibri"/>
          <w:sz w:val="20"/>
          <w:szCs w:val="20"/>
          <w:lang w:val="es-ES_tradnl" w:eastAsia="en-US"/>
        </w:rPr>
        <w:t xml:space="preserve"> </w:t>
      </w:r>
      <w:r w:rsidR="000B2169" w:rsidRPr="0059117C">
        <w:rPr>
          <w:rFonts w:eastAsia="Calibri"/>
          <w:sz w:val="20"/>
          <w:szCs w:val="20"/>
          <w:lang w:val="es-ES_tradnl" w:eastAsia="en-US"/>
        </w:rPr>
        <w:t xml:space="preserve">el artículo 11 de </w:t>
      </w:r>
      <w:r w:rsidR="00795461" w:rsidRPr="00E00F6E">
        <w:rPr>
          <w:rFonts w:eastAsia="Calibri"/>
          <w:sz w:val="20"/>
          <w:szCs w:val="20"/>
          <w:lang w:val="es-ES_tradnl" w:eastAsia="en-US"/>
        </w:rPr>
        <w:t xml:space="preserve">la </w:t>
      </w:r>
      <w:r w:rsidRPr="00E00F6E">
        <w:rPr>
          <w:rFonts w:eastAsia="Calibri"/>
          <w:sz w:val="20"/>
          <w:szCs w:val="20"/>
          <w:lang w:val="es-ES_tradnl" w:eastAsia="en-US"/>
        </w:rPr>
        <w:t>Carta Social Europea</w:t>
      </w:r>
      <w:r w:rsidR="006823B8" w:rsidRPr="006823B8">
        <w:rPr>
          <w:rFonts w:eastAsia="Calibri"/>
          <w:sz w:val="20"/>
          <w:szCs w:val="20"/>
          <w:lang w:val="es-ES_tradnl" w:eastAsia="en-US"/>
        </w:rPr>
        <w:t xml:space="preserve"> </w:t>
      </w:r>
      <w:r w:rsidR="006823B8" w:rsidRPr="00E00F6E">
        <w:rPr>
          <w:rFonts w:eastAsia="Calibri"/>
          <w:sz w:val="20"/>
          <w:szCs w:val="20"/>
          <w:lang w:val="es-ES_tradnl" w:eastAsia="en-US"/>
        </w:rPr>
        <w:t>de 1961</w:t>
      </w:r>
      <w:r w:rsidR="00B1523A">
        <w:rPr>
          <w:rStyle w:val="FootnoteReference"/>
          <w:rFonts w:eastAsia="Calibri"/>
          <w:sz w:val="20"/>
          <w:szCs w:val="20"/>
          <w:lang w:val="es-ES_tradnl" w:eastAsia="en-US"/>
        </w:rPr>
        <w:footnoteReference w:id="155"/>
      </w:r>
      <w:r w:rsidRPr="00E00F6E">
        <w:rPr>
          <w:rFonts w:eastAsia="Calibri"/>
          <w:sz w:val="20"/>
          <w:szCs w:val="20"/>
          <w:lang w:val="es-ES_tradnl" w:eastAsia="en-US"/>
        </w:rPr>
        <w:t>, en su forma revisada</w:t>
      </w:r>
      <w:r w:rsidR="00DA3BE8">
        <w:rPr>
          <w:rFonts w:eastAsia="Calibri"/>
          <w:sz w:val="20"/>
          <w:szCs w:val="20"/>
          <w:lang w:val="es-ES_tradnl" w:eastAsia="en-US"/>
        </w:rPr>
        <w:t>;</w:t>
      </w:r>
      <w:r w:rsidR="006E74B8" w:rsidRPr="0059117C">
        <w:rPr>
          <w:rFonts w:eastAsia="Calibri"/>
          <w:sz w:val="20"/>
          <w:szCs w:val="20"/>
          <w:lang w:val="es-ES_tradnl" w:eastAsia="en-US"/>
        </w:rPr>
        <w:t xml:space="preserve"> el artículo 16 de</w:t>
      </w:r>
      <w:r w:rsidR="00577C37" w:rsidRPr="00E00F6E">
        <w:rPr>
          <w:rFonts w:eastAsia="Calibri"/>
          <w:sz w:val="20"/>
          <w:szCs w:val="20"/>
          <w:lang w:val="es-ES_tradnl" w:eastAsia="en-US"/>
        </w:rPr>
        <w:t xml:space="preserve"> </w:t>
      </w:r>
      <w:r w:rsidRPr="00E00F6E">
        <w:rPr>
          <w:rFonts w:eastAsia="Calibri"/>
          <w:sz w:val="20"/>
          <w:szCs w:val="20"/>
          <w:lang w:val="es-ES_tradnl" w:eastAsia="en-US"/>
        </w:rPr>
        <w:t>la Carta Africana de Derechos Humanos y de los Pueblos</w:t>
      </w:r>
      <w:r w:rsidRPr="00E00F6E">
        <w:rPr>
          <w:rFonts w:eastAsia="Calibri"/>
          <w:iCs/>
          <w:sz w:val="20"/>
          <w:vertAlign w:val="superscript"/>
          <w:lang w:eastAsia="en-US"/>
        </w:rPr>
        <w:footnoteReference w:id="156"/>
      </w:r>
      <w:r w:rsidR="00525F0E">
        <w:rPr>
          <w:rFonts w:eastAsia="Calibri"/>
          <w:sz w:val="20"/>
          <w:szCs w:val="20"/>
          <w:lang w:val="es-ES_tradnl" w:eastAsia="en-US"/>
        </w:rPr>
        <w:t xml:space="preserve">, y recientemente en la </w:t>
      </w:r>
      <w:r w:rsidR="00525F0E" w:rsidRPr="002570D1">
        <w:rPr>
          <w:rFonts w:eastAsia="Calibri"/>
          <w:sz w:val="20"/>
          <w:szCs w:val="20"/>
          <w:lang w:val="es-MX" w:eastAsia="en-US"/>
        </w:rPr>
        <w:t>C</w:t>
      </w:r>
      <w:r w:rsidR="00525F0E">
        <w:rPr>
          <w:rFonts w:eastAsia="Calibri"/>
          <w:sz w:val="20"/>
          <w:szCs w:val="20"/>
          <w:lang w:val="es-MX" w:eastAsia="en-US"/>
        </w:rPr>
        <w:t xml:space="preserve">onvención Interamericana sobre </w:t>
      </w:r>
      <w:r w:rsidR="00DA3BE8">
        <w:rPr>
          <w:rFonts w:eastAsia="Calibri"/>
          <w:sz w:val="20"/>
          <w:szCs w:val="20"/>
          <w:lang w:val="es-MX" w:eastAsia="en-US"/>
        </w:rPr>
        <w:t>la P</w:t>
      </w:r>
      <w:r w:rsidR="00525F0E">
        <w:rPr>
          <w:rFonts w:eastAsia="Calibri"/>
          <w:sz w:val="20"/>
          <w:szCs w:val="20"/>
          <w:lang w:val="es-MX" w:eastAsia="en-US"/>
        </w:rPr>
        <w:t xml:space="preserve">rotección de los </w:t>
      </w:r>
      <w:r w:rsidR="00DA3BE8">
        <w:rPr>
          <w:rFonts w:eastAsia="Calibri"/>
          <w:sz w:val="20"/>
          <w:szCs w:val="20"/>
          <w:lang w:val="es-MX" w:eastAsia="en-US"/>
        </w:rPr>
        <w:t>D</w:t>
      </w:r>
      <w:r w:rsidR="00525F0E">
        <w:rPr>
          <w:rFonts w:eastAsia="Calibri"/>
          <w:sz w:val="20"/>
          <w:szCs w:val="20"/>
          <w:lang w:val="es-MX" w:eastAsia="en-US"/>
        </w:rPr>
        <w:t xml:space="preserve">erechos </w:t>
      </w:r>
      <w:r w:rsidR="00DA3BE8">
        <w:rPr>
          <w:rFonts w:eastAsia="Calibri"/>
          <w:sz w:val="20"/>
          <w:szCs w:val="20"/>
          <w:lang w:val="es-MX" w:eastAsia="en-US"/>
        </w:rPr>
        <w:t>H</w:t>
      </w:r>
      <w:r w:rsidR="00525F0E">
        <w:rPr>
          <w:rFonts w:eastAsia="Calibri"/>
          <w:sz w:val="20"/>
          <w:szCs w:val="20"/>
          <w:lang w:val="es-MX" w:eastAsia="en-US"/>
        </w:rPr>
        <w:t xml:space="preserve">umanos de las </w:t>
      </w:r>
      <w:r w:rsidR="00DA3BE8">
        <w:rPr>
          <w:rFonts w:eastAsia="Calibri"/>
          <w:sz w:val="20"/>
          <w:szCs w:val="20"/>
          <w:lang w:val="es-MX" w:eastAsia="en-US"/>
        </w:rPr>
        <w:t>P</w:t>
      </w:r>
      <w:r w:rsidR="00525F0E">
        <w:rPr>
          <w:rFonts w:eastAsia="Calibri"/>
          <w:sz w:val="20"/>
          <w:szCs w:val="20"/>
          <w:lang w:val="es-MX" w:eastAsia="en-US"/>
        </w:rPr>
        <w:t xml:space="preserve">ersonas </w:t>
      </w:r>
      <w:r w:rsidR="00DA3BE8">
        <w:rPr>
          <w:rFonts w:eastAsia="Calibri"/>
          <w:sz w:val="20"/>
          <w:szCs w:val="20"/>
          <w:lang w:val="es-MX" w:eastAsia="en-US"/>
        </w:rPr>
        <w:t>M</w:t>
      </w:r>
      <w:r w:rsidR="00525F0E" w:rsidRPr="002570D1">
        <w:rPr>
          <w:rFonts w:eastAsia="Calibri"/>
          <w:sz w:val="20"/>
          <w:szCs w:val="20"/>
          <w:lang w:val="es-MX" w:eastAsia="en-US"/>
        </w:rPr>
        <w:t>ayores</w:t>
      </w:r>
      <w:r w:rsidR="00525F0E" w:rsidRPr="002570D1">
        <w:rPr>
          <w:rFonts w:eastAsia="Calibri"/>
          <w:sz w:val="20"/>
          <w:szCs w:val="20"/>
          <w:vertAlign w:val="superscript"/>
          <w:lang w:val="es-MX" w:eastAsia="en-US"/>
        </w:rPr>
        <w:footnoteReference w:id="157"/>
      </w:r>
      <w:r w:rsidR="00577C37" w:rsidRPr="00E00F6E">
        <w:rPr>
          <w:rFonts w:eastAsia="Calibri"/>
          <w:sz w:val="20"/>
          <w:szCs w:val="20"/>
          <w:lang w:eastAsia="en-US"/>
        </w:rPr>
        <w:t xml:space="preserve"> </w:t>
      </w:r>
      <w:r w:rsidR="00A86D37">
        <w:rPr>
          <w:rFonts w:eastAsia="Calibri"/>
          <w:sz w:val="20"/>
          <w:szCs w:val="20"/>
          <w:lang w:eastAsia="en-US"/>
        </w:rPr>
        <w:t>(</w:t>
      </w:r>
      <w:r w:rsidR="004A1B76" w:rsidRPr="00B1523A">
        <w:rPr>
          <w:rFonts w:eastAsia="Calibri"/>
          <w:sz w:val="20"/>
          <w:szCs w:val="20"/>
          <w:lang w:val="es-MX"/>
        </w:rPr>
        <w:t>cabe señalar que</w:t>
      </w:r>
      <w:r w:rsidR="004A1B76">
        <w:rPr>
          <w:rFonts w:eastAsia="Calibri"/>
          <w:sz w:val="20"/>
          <w:szCs w:val="20"/>
          <w:lang w:val="es-MX"/>
        </w:rPr>
        <w:t>,</w:t>
      </w:r>
      <w:r w:rsidR="004A1B76" w:rsidRPr="00A86D37">
        <w:rPr>
          <w:rFonts w:eastAsia="Calibri"/>
          <w:sz w:val="20"/>
          <w:szCs w:val="20"/>
          <w:lang w:val="es-MX"/>
        </w:rPr>
        <w:t xml:space="preserve"> </w:t>
      </w:r>
      <w:r w:rsidR="00A86D37" w:rsidRPr="00A86D37">
        <w:rPr>
          <w:rFonts w:eastAsia="Calibri"/>
          <w:sz w:val="20"/>
          <w:szCs w:val="20"/>
          <w:lang w:val="es-MX"/>
        </w:rPr>
        <w:t>sobre</w:t>
      </w:r>
      <w:r w:rsidR="00E85806" w:rsidRPr="00B1523A">
        <w:rPr>
          <w:rFonts w:eastAsia="Calibri"/>
          <w:sz w:val="20"/>
          <w:szCs w:val="20"/>
          <w:lang w:val="es-MX"/>
        </w:rPr>
        <w:t xml:space="preserve"> </w:t>
      </w:r>
      <w:r w:rsidR="00E85806" w:rsidRPr="00B1523A">
        <w:rPr>
          <w:rFonts w:eastAsia="Calibri"/>
          <w:sz w:val="20"/>
          <w:szCs w:val="20"/>
          <w:lang w:val="es-MX"/>
        </w:rPr>
        <w:lastRenderedPageBreak/>
        <w:t>est</w:t>
      </w:r>
      <w:r w:rsidR="00A86D37">
        <w:rPr>
          <w:rFonts w:eastAsia="Calibri"/>
          <w:sz w:val="20"/>
          <w:szCs w:val="20"/>
          <w:lang w:val="es-MX"/>
        </w:rPr>
        <w:t>a</w:t>
      </w:r>
      <w:r w:rsidR="00E85806" w:rsidRPr="00B1523A">
        <w:rPr>
          <w:rFonts w:eastAsia="Calibri"/>
          <w:sz w:val="20"/>
          <w:szCs w:val="20"/>
          <w:lang w:val="es-MX"/>
        </w:rPr>
        <w:t xml:space="preserve"> últim</w:t>
      </w:r>
      <w:r w:rsidR="00A86D37">
        <w:rPr>
          <w:rFonts w:eastAsia="Calibri"/>
          <w:sz w:val="20"/>
          <w:szCs w:val="20"/>
          <w:lang w:val="es-MX"/>
        </w:rPr>
        <w:t>a</w:t>
      </w:r>
      <w:r w:rsidR="004A1B76">
        <w:rPr>
          <w:rFonts w:eastAsia="Calibri"/>
          <w:sz w:val="20"/>
          <w:szCs w:val="20"/>
          <w:lang w:val="es-MX"/>
        </w:rPr>
        <w:t xml:space="preserve">, por razones de temporalidad, </w:t>
      </w:r>
      <w:r w:rsidR="00E85806" w:rsidRPr="00B1523A">
        <w:rPr>
          <w:rFonts w:eastAsia="Calibri"/>
          <w:sz w:val="20"/>
          <w:szCs w:val="20"/>
          <w:lang w:val="es-MX"/>
        </w:rPr>
        <w:t>no resulta exigible en relación con los hechos del caso en análisis</w:t>
      </w:r>
      <w:r w:rsidR="00A86D37">
        <w:rPr>
          <w:rFonts w:eastAsia="Calibri"/>
          <w:sz w:val="20"/>
          <w:szCs w:val="20"/>
          <w:lang w:val="es-MX"/>
        </w:rPr>
        <w:t>)</w:t>
      </w:r>
      <w:r w:rsidR="00E85806" w:rsidRPr="00B1523A">
        <w:rPr>
          <w:rFonts w:eastAsia="Calibri"/>
          <w:sz w:val="20"/>
          <w:szCs w:val="20"/>
        </w:rPr>
        <w:t>.</w:t>
      </w:r>
      <w:r w:rsidR="00E85806" w:rsidRPr="00832A80">
        <w:rPr>
          <w:rFonts w:eastAsia="Calibri"/>
          <w:b/>
          <w:sz w:val="20"/>
          <w:szCs w:val="20"/>
        </w:rPr>
        <w:t xml:space="preserve"> </w:t>
      </w:r>
      <w:r w:rsidR="007864DA" w:rsidRPr="00B1523A">
        <w:rPr>
          <w:rFonts w:eastAsia="Calibri"/>
          <w:sz w:val="20"/>
          <w:szCs w:val="20"/>
          <w:lang w:val="es-ES_tradnl" w:eastAsia="en-US"/>
        </w:rPr>
        <w:t>Ad</w:t>
      </w:r>
      <w:r w:rsidR="005D383C" w:rsidRPr="00B1523A">
        <w:rPr>
          <w:rFonts w:eastAsia="Calibri"/>
          <w:sz w:val="20"/>
          <w:szCs w:val="20"/>
          <w:lang w:val="es-ES_tradnl" w:eastAsia="en-US"/>
        </w:rPr>
        <w:t>emás</w:t>
      </w:r>
      <w:r w:rsidRPr="00685E58">
        <w:rPr>
          <w:rFonts w:eastAsia="Calibri"/>
          <w:sz w:val="20"/>
          <w:szCs w:val="20"/>
          <w:lang w:val="es-ES_tradnl" w:eastAsia="en-US"/>
        </w:rPr>
        <w:t>,</w:t>
      </w:r>
      <w:r w:rsidRPr="00E00F6E">
        <w:rPr>
          <w:rFonts w:eastAsia="Calibri"/>
          <w:sz w:val="20"/>
          <w:szCs w:val="20"/>
          <w:lang w:val="es-ES_tradnl" w:eastAsia="en-US"/>
        </w:rPr>
        <w:t xml:space="preserve"> el derecho a la salud ha sido </w:t>
      </w:r>
      <w:r w:rsidR="00795461" w:rsidRPr="00E00F6E">
        <w:rPr>
          <w:rFonts w:eastAsia="Calibri"/>
          <w:sz w:val="20"/>
          <w:szCs w:val="20"/>
          <w:lang w:val="es-ES_tradnl" w:eastAsia="en-US"/>
        </w:rPr>
        <w:t xml:space="preserve">reconocido </w:t>
      </w:r>
      <w:r w:rsidR="006E74B8" w:rsidRPr="0059117C">
        <w:rPr>
          <w:rFonts w:eastAsia="Calibri"/>
          <w:sz w:val="20"/>
          <w:szCs w:val="20"/>
          <w:lang w:val="es-ES_tradnl" w:eastAsia="en-US"/>
        </w:rPr>
        <w:t>en la sección II, apartado</w:t>
      </w:r>
      <w:r w:rsidR="003B52C8">
        <w:rPr>
          <w:rFonts w:eastAsia="Calibri"/>
          <w:sz w:val="20"/>
          <w:szCs w:val="20"/>
          <w:lang w:val="es-ES_tradnl" w:eastAsia="en-US"/>
        </w:rPr>
        <w:t xml:space="preserve"> </w:t>
      </w:r>
      <w:r w:rsidR="006E74B8" w:rsidRPr="0059117C">
        <w:rPr>
          <w:rFonts w:eastAsia="Calibri"/>
          <w:sz w:val="20"/>
          <w:szCs w:val="20"/>
          <w:lang w:val="es-ES_tradnl" w:eastAsia="en-US"/>
        </w:rPr>
        <w:t>41</w:t>
      </w:r>
      <w:r w:rsidR="00685E58">
        <w:rPr>
          <w:rFonts w:eastAsia="Calibri"/>
          <w:sz w:val="20"/>
          <w:szCs w:val="20"/>
          <w:lang w:val="es-ES_tradnl" w:eastAsia="en-US"/>
        </w:rPr>
        <w:t>,</w:t>
      </w:r>
      <w:r w:rsidR="006E74B8" w:rsidRPr="0059117C">
        <w:rPr>
          <w:rFonts w:eastAsia="Calibri"/>
          <w:sz w:val="20"/>
          <w:szCs w:val="20"/>
          <w:lang w:val="es-ES_tradnl" w:eastAsia="en-US"/>
        </w:rPr>
        <w:t xml:space="preserve"> de </w:t>
      </w:r>
      <w:r w:rsidRPr="00E00F6E">
        <w:rPr>
          <w:rFonts w:eastAsia="Calibri"/>
          <w:sz w:val="20"/>
          <w:szCs w:val="20"/>
          <w:lang w:val="es-ES_tradnl" w:eastAsia="en-US"/>
        </w:rPr>
        <w:t>la Declaración y Programa de Acción de Viena</w:t>
      </w:r>
      <w:r w:rsidRPr="00E00F6E">
        <w:rPr>
          <w:rFonts w:eastAsia="Calibri"/>
          <w:iCs/>
          <w:sz w:val="20"/>
          <w:vertAlign w:val="superscript"/>
          <w:lang w:eastAsia="en-US"/>
        </w:rPr>
        <w:footnoteReference w:id="158"/>
      </w:r>
      <w:r w:rsidRPr="00E00F6E">
        <w:rPr>
          <w:rFonts w:eastAsia="Calibri"/>
          <w:sz w:val="20"/>
          <w:szCs w:val="20"/>
          <w:lang w:val="es-ES_tradnl" w:eastAsia="en-US"/>
        </w:rPr>
        <w:t>,</w:t>
      </w:r>
      <w:r w:rsidRPr="00E00F6E">
        <w:rPr>
          <w:rFonts w:eastAsia="Calibri"/>
          <w:sz w:val="20"/>
          <w:vertAlign w:val="superscript"/>
          <w:lang w:eastAsia="en-US"/>
        </w:rPr>
        <w:t xml:space="preserve"> </w:t>
      </w:r>
      <w:r w:rsidRPr="00E00F6E">
        <w:rPr>
          <w:rFonts w:eastAsia="Calibri"/>
          <w:sz w:val="20"/>
          <w:szCs w:val="20"/>
          <w:lang w:val="es-ES_tradnl" w:eastAsia="en-US"/>
        </w:rPr>
        <w:t>y en otros instrumentos y decisiones internacionales</w:t>
      </w:r>
      <w:r w:rsidRPr="00E00F6E">
        <w:rPr>
          <w:rFonts w:eastAsia="Calibri"/>
          <w:iCs/>
          <w:sz w:val="20"/>
          <w:vertAlign w:val="superscript"/>
          <w:lang w:eastAsia="en-US"/>
        </w:rPr>
        <w:footnoteReference w:id="159"/>
      </w:r>
      <w:r w:rsidRPr="00E00F6E">
        <w:rPr>
          <w:rFonts w:eastAsia="Calibri"/>
          <w:sz w:val="20"/>
          <w:szCs w:val="20"/>
          <w:lang w:val="es-ES_tradnl" w:eastAsia="en-US"/>
        </w:rPr>
        <w:t xml:space="preserve">. </w:t>
      </w:r>
    </w:p>
    <w:p w14:paraId="63CC4DA5" w14:textId="77777777" w:rsidR="00A23D78" w:rsidRPr="0059117C" w:rsidRDefault="00A23D78" w:rsidP="0059117C">
      <w:pPr>
        <w:tabs>
          <w:tab w:val="left" w:pos="567"/>
        </w:tabs>
        <w:rPr>
          <w:rFonts w:eastAsia="Calibri"/>
          <w:sz w:val="20"/>
          <w:szCs w:val="20"/>
          <w:lang w:val="es-AR" w:eastAsia="en-US"/>
        </w:rPr>
      </w:pPr>
    </w:p>
    <w:p w14:paraId="2FCB8D3B" w14:textId="5C7F35D5" w:rsidR="002E06CD" w:rsidRPr="002A64C9" w:rsidRDefault="00B37825" w:rsidP="0059117C">
      <w:pPr>
        <w:numPr>
          <w:ilvl w:val="0"/>
          <w:numId w:val="2"/>
        </w:numPr>
        <w:tabs>
          <w:tab w:val="left" w:pos="567"/>
          <w:tab w:val="num" w:pos="1569"/>
          <w:tab w:val="num" w:pos="12305"/>
        </w:tabs>
        <w:ind w:left="0" w:firstLine="0"/>
        <w:rPr>
          <w:rFonts w:eastAsia="Calibri"/>
          <w:sz w:val="20"/>
          <w:szCs w:val="20"/>
          <w:lang w:val="es-AR" w:eastAsia="en-US"/>
        </w:rPr>
      </w:pPr>
      <w:r w:rsidRPr="00C64243">
        <w:rPr>
          <w:rFonts w:eastAsia="Calibri"/>
          <w:sz w:val="20"/>
          <w:szCs w:val="20"/>
          <w:lang w:val="es-ES_tradnl" w:eastAsia="en-US"/>
        </w:rPr>
        <w:t xml:space="preserve">Por su parte, el Comité </w:t>
      </w:r>
      <w:r w:rsidR="00A86D37">
        <w:rPr>
          <w:rFonts w:eastAsia="Calibri"/>
          <w:sz w:val="20"/>
          <w:szCs w:val="20"/>
          <w:lang w:val="es-ES_tradnl" w:eastAsia="en-US"/>
        </w:rPr>
        <w:t xml:space="preserve">de Derechos, Económicos, Sociales y Culturales de la </w:t>
      </w:r>
      <w:r w:rsidR="00594717">
        <w:rPr>
          <w:rFonts w:eastAsia="Calibri"/>
          <w:sz w:val="20"/>
          <w:szCs w:val="20"/>
          <w:lang w:val="es-ES_tradnl" w:eastAsia="en-US"/>
        </w:rPr>
        <w:t xml:space="preserve">Organización de las Naciones Unidas </w:t>
      </w:r>
      <w:r w:rsidR="00A86D37">
        <w:rPr>
          <w:rFonts w:eastAsia="Calibri"/>
          <w:sz w:val="20"/>
          <w:szCs w:val="20"/>
          <w:lang w:val="es-ES_tradnl" w:eastAsia="en-US"/>
        </w:rPr>
        <w:t xml:space="preserve">(en adelante Comité </w:t>
      </w:r>
      <w:r w:rsidRPr="00C64243">
        <w:rPr>
          <w:rFonts w:eastAsia="Calibri"/>
          <w:sz w:val="20"/>
          <w:szCs w:val="20"/>
          <w:lang w:val="es-ES_tradnl" w:eastAsia="en-US"/>
        </w:rPr>
        <w:t>DESC</w:t>
      </w:r>
      <w:r w:rsidR="00A86D37">
        <w:rPr>
          <w:rFonts w:eastAsia="Calibri"/>
          <w:sz w:val="20"/>
          <w:szCs w:val="20"/>
          <w:lang w:val="es-ES_tradnl" w:eastAsia="en-US"/>
        </w:rPr>
        <w:t>)</w:t>
      </w:r>
      <w:r w:rsidRPr="00C64243">
        <w:rPr>
          <w:rFonts w:eastAsia="Calibri"/>
          <w:sz w:val="20"/>
          <w:szCs w:val="20"/>
          <w:lang w:val="es-ES_tradnl" w:eastAsia="en-US"/>
        </w:rPr>
        <w:t xml:space="preserve"> </w:t>
      </w:r>
      <w:r w:rsidRPr="00A23D78">
        <w:rPr>
          <w:rFonts w:eastAsia="Calibri"/>
          <w:sz w:val="20"/>
          <w:szCs w:val="20"/>
          <w:lang w:val="es-ES_tradnl" w:eastAsia="en-US"/>
        </w:rPr>
        <w:t>se ha pronunciado sobre los deberes de</w:t>
      </w:r>
      <w:r>
        <w:rPr>
          <w:rFonts w:eastAsia="Calibri"/>
          <w:sz w:val="20"/>
          <w:szCs w:val="20"/>
          <w:lang w:val="es-ES_tradnl" w:eastAsia="en-US"/>
        </w:rPr>
        <w:t xml:space="preserve"> los Estado en materia de salud, principalmente en su </w:t>
      </w:r>
      <w:r w:rsidRPr="00CE105F">
        <w:rPr>
          <w:rFonts w:eastAsia="Calibri"/>
          <w:sz w:val="20"/>
          <w:szCs w:val="20"/>
          <w:lang w:val="es-ES_tradnl" w:eastAsia="en-US"/>
        </w:rPr>
        <w:t>Observación General N° 14</w:t>
      </w:r>
      <w:r>
        <w:rPr>
          <w:rFonts w:eastAsia="Calibri"/>
          <w:sz w:val="20"/>
          <w:szCs w:val="20"/>
          <w:lang w:val="es-ES_tradnl" w:eastAsia="en-US"/>
        </w:rPr>
        <w:t xml:space="preserve"> sobre </w:t>
      </w:r>
      <w:r w:rsidRPr="00B37825">
        <w:rPr>
          <w:color w:val="000000"/>
          <w:sz w:val="20"/>
          <w:szCs w:val="16"/>
          <w:lang w:val="es-MX"/>
        </w:rPr>
        <w:t>el derecho al disfrute del más alto nivel posible de salud</w:t>
      </w:r>
      <w:r w:rsidRPr="00CE105F">
        <w:rPr>
          <w:rFonts w:eastAsia="Calibri"/>
          <w:sz w:val="20"/>
          <w:szCs w:val="20"/>
          <w:vertAlign w:val="superscript"/>
          <w:lang w:val="es-ES_tradnl" w:eastAsia="en-US"/>
        </w:rPr>
        <w:footnoteReference w:id="160"/>
      </w:r>
      <w:r>
        <w:rPr>
          <w:rFonts w:eastAsia="Calibri"/>
          <w:sz w:val="20"/>
          <w:szCs w:val="20"/>
          <w:lang w:val="es-ES_tradnl" w:eastAsia="en-US"/>
        </w:rPr>
        <w:t>. Asimismo</w:t>
      </w:r>
      <w:r w:rsidR="004A1B76">
        <w:rPr>
          <w:rFonts w:eastAsia="Calibri"/>
          <w:sz w:val="20"/>
          <w:szCs w:val="20"/>
          <w:lang w:val="es-ES_tradnl" w:eastAsia="en-US"/>
        </w:rPr>
        <w:t>,</w:t>
      </w:r>
      <w:r>
        <w:rPr>
          <w:rFonts w:eastAsia="Calibri"/>
          <w:sz w:val="20"/>
          <w:szCs w:val="20"/>
          <w:lang w:val="es-ES_tradnl" w:eastAsia="en-US"/>
        </w:rPr>
        <w:t xml:space="preserve"> se ha pronunciado sobre componentes del derecho a la salud en sucesivas Observaciones </w:t>
      </w:r>
      <w:r w:rsidR="00685E58">
        <w:rPr>
          <w:rFonts w:eastAsia="Calibri"/>
          <w:sz w:val="20"/>
          <w:szCs w:val="20"/>
          <w:lang w:val="es-ES_tradnl" w:eastAsia="en-US"/>
        </w:rPr>
        <w:t xml:space="preserve">Generales </w:t>
      </w:r>
      <w:r w:rsidR="00172F23">
        <w:rPr>
          <w:rFonts w:eastAsia="Calibri"/>
          <w:sz w:val="20"/>
          <w:szCs w:val="20"/>
          <w:lang w:val="es-ES_tradnl" w:eastAsia="en-US"/>
        </w:rPr>
        <w:t>N</w:t>
      </w:r>
      <w:r w:rsidR="00525F0E">
        <w:rPr>
          <w:rFonts w:eastAsia="Calibri"/>
          <w:sz w:val="20"/>
          <w:szCs w:val="20"/>
          <w:lang w:val="es-ES_tradnl" w:eastAsia="en-US"/>
        </w:rPr>
        <w:t>úmeros:</w:t>
      </w:r>
      <w:r w:rsidRPr="00350A3F">
        <w:rPr>
          <w:rFonts w:eastAsia="Calibri"/>
          <w:sz w:val="20"/>
          <w:szCs w:val="20"/>
          <w:lang w:val="es-ES_tradnl" w:eastAsia="en-US"/>
        </w:rPr>
        <w:t xml:space="preserve"> 3</w:t>
      </w:r>
      <w:r w:rsidRPr="00350A3F">
        <w:rPr>
          <w:rFonts w:eastAsia="Calibri"/>
          <w:sz w:val="20"/>
          <w:szCs w:val="20"/>
          <w:vertAlign w:val="superscript"/>
          <w:lang w:val="es-ES_tradnl" w:eastAsia="en-US"/>
        </w:rPr>
        <w:footnoteReference w:id="161"/>
      </w:r>
      <w:r w:rsidRPr="00350A3F">
        <w:rPr>
          <w:rFonts w:eastAsia="Calibri"/>
          <w:sz w:val="20"/>
          <w:szCs w:val="20"/>
          <w:lang w:val="es-ES_tradnl" w:eastAsia="en-US"/>
        </w:rPr>
        <w:t>, 4</w:t>
      </w:r>
      <w:r w:rsidRPr="00350A3F">
        <w:rPr>
          <w:rFonts w:eastAsia="Calibri"/>
          <w:sz w:val="20"/>
          <w:szCs w:val="20"/>
          <w:vertAlign w:val="superscript"/>
          <w:lang w:val="es-ES_tradnl" w:eastAsia="en-US"/>
        </w:rPr>
        <w:footnoteReference w:id="162"/>
      </w:r>
      <w:r w:rsidRPr="00350A3F">
        <w:rPr>
          <w:rFonts w:eastAsia="Calibri"/>
          <w:sz w:val="20"/>
          <w:szCs w:val="20"/>
          <w:lang w:val="es-ES_tradnl" w:eastAsia="en-US"/>
        </w:rPr>
        <w:t>, 5</w:t>
      </w:r>
      <w:r w:rsidRPr="00350A3F">
        <w:rPr>
          <w:rFonts w:eastAsia="Calibri"/>
          <w:sz w:val="20"/>
          <w:szCs w:val="20"/>
          <w:vertAlign w:val="superscript"/>
          <w:lang w:val="es-ES_tradnl" w:eastAsia="en-US"/>
        </w:rPr>
        <w:footnoteReference w:id="163"/>
      </w:r>
      <w:r w:rsidRPr="00350A3F">
        <w:rPr>
          <w:rFonts w:eastAsia="Calibri"/>
          <w:sz w:val="20"/>
          <w:szCs w:val="20"/>
          <w:lang w:val="es-ES_tradnl" w:eastAsia="en-US"/>
        </w:rPr>
        <w:t>, 6</w:t>
      </w:r>
      <w:r w:rsidRPr="00350A3F">
        <w:rPr>
          <w:rFonts w:eastAsia="Calibri"/>
          <w:sz w:val="20"/>
          <w:szCs w:val="20"/>
          <w:vertAlign w:val="superscript"/>
          <w:lang w:val="es-ES_tradnl" w:eastAsia="en-US"/>
        </w:rPr>
        <w:footnoteReference w:id="164"/>
      </w:r>
      <w:r w:rsidRPr="00350A3F">
        <w:rPr>
          <w:rFonts w:eastAsia="Calibri"/>
          <w:sz w:val="20"/>
          <w:szCs w:val="20"/>
          <w:lang w:val="es-ES_tradnl" w:eastAsia="en-US"/>
        </w:rPr>
        <w:t>,</w:t>
      </w:r>
      <w:r>
        <w:rPr>
          <w:rFonts w:eastAsia="Calibri"/>
          <w:sz w:val="20"/>
          <w:szCs w:val="20"/>
          <w:lang w:val="es-ES_tradnl" w:eastAsia="en-US"/>
        </w:rPr>
        <w:t xml:space="preserve"> 15</w:t>
      </w:r>
      <w:r w:rsidRPr="00350A3F">
        <w:rPr>
          <w:rFonts w:eastAsia="Calibri"/>
          <w:sz w:val="20"/>
          <w:szCs w:val="20"/>
          <w:vertAlign w:val="superscript"/>
          <w:lang w:val="es-ES_tradnl" w:eastAsia="en-US"/>
        </w:rPr>
        <w:footnoteReference w:id="165"/>
      </w:r>
      <w:r w:rsidRPr="00350A3F">
        <w:rPr>
          <w:rFonts w:eastAsia="Calibri"/>
          <w:sz w:val="20"/>
          <w:szCs w:val="20"/>
          <w:lang w:val="es-ES_tradnl" w:eastAsia="en-US"/>
        </w:rPr>
        <w:t>,</w:t>
      </w:r>
      <w:r>
        <w:rPr>
          <w:rFonts w:eastAsia="Calibri"/>
          <w:sz w:val="20"/>
          <w:szCs w:val="20"/>
          <w:lang w:val="es-ES_tradnl" w:eastAsia="en-US"/>
        </w:rPr>
        <w:t xml:space="preserve"> 16</w:t>
      </w:r>
      <w:r w:rsidRPr="00350A3F">
        <w:rPr>
          <w:rFonts w:eastAsia="Calibri"/>
          <w:sz w:val="20"/>
          <w:szCs w:val="20"/>
          <w:vertAlign w:val="superscript"/>
          <w:lang w:val="es-ES_tradnl" w:eastAsia="en-US"/>
        </w:rPr>
        <w:footnoteReference w:id="166"/>
      </w:r>
      <w:r w:rsidRPr="00350A3F">
        <w:rPr>
          <w:rFonts w:eastAsia="Calibri"/>
          <w:sz w:val="20"/>
          <w:szCs w:val="20"/>
          <w:lang w:val="es-ES_tradnl" w:eastAsia="en-US"/>
        </w:rPr>
        <w:t>,</w:t>
      </w:r>
      <w:r>
        <w:rPr>
          <w:rFonts w:eastAsia="Calibri"/>
          <w:sz w:val="20"/>
          <w:szCs w:val="20"/>
          <w:lang w:val="es-ES_tradnl" w:eastAsia="en-US"/>
        </w:rPr>
        <w:t xml:space="preserve"> 18</w:t>
      </w:r>
      <w:r w:rsidRPr="00350A3F">
        <w:rPr>
          <w:rFonts w:eastAsia="Calibri"/>
          <w:sz w:val="20"/>
          <w:szCs w:val="20"/>
          <w:vertAlign w:val="superscript"/>
          <w:lang w:val="es-ES_tradnl" w:eastAsia="en-US"/>
        </w:rPr>
        <w:footnoteReference w:id="167"/>
      </w:r>
      <w:r w:rsidRPr="00350A3F">
        <w:rPr>
          <w:rFonts w:eastAsia="Calibri"/>
          <w:sz w:val="20"/>
          <w:szCs w:val="20"/>
          <w:lang w:val="es-ES_tradnl" w:eastAsia="en-US"/>
        </w:rPr>
        <w:t>,</w:t>
      </w:r>
      <w:r>
        <w:rPr>
          <w:rFonts w:eastAsia="Calibri"/>
          <w:sz w:val="20"/>
          <w:szCs w:val="20"/>
          <w:lang w:val="es-ES_tradnl" w:eastAsia="en-US"/>
        </w:rPr>
        <w:t xml:space="preserve"> 19</w:t>
      </w:r>
      <w:r w:rsidRPr="00350A3F">
        <w:rPr>
          <w:rFonts w:eastAsia="Calibri"/>
          <w:sz w:val="20"/>
          <w:szCs w:val="20"/>
          <w:vertAlign w:val="superscript"/>
          <w:lang w:val="es-ES_tradnl" w:eastAsia="en-US"/>
        </w:rPr>
        <w:footnoteReference w:id="168"/>
      </w:r>
      <w:r w:rsidRPr="00350A3F">
        <w:rPr>
          <w:rFonts w:eastAsia="Calibri"/>
          <w:sz w:val="20"/>
          <w:szCs w:val="20"/>
          <w:lang w:val="es-ES_tradnl" w:eastAsia="en-US"/>
        </w:rPr>
        <w:t xml:space="preserve"> y </w:t>
      </w:r>
      <w:r>
        <w:rPr>
          <w:rFonts w:eastAsia="Calibri"/>
          <w:sz w:val="20"/>
          <w:szCs w:val="20"/>
          <w:lang w:val="es-ES_tradnl" w:eastAsia="en-US"/>
        </w:rPr>
        <w:t>20</w:t>
      </w:r>
      <w:r w:rsidRPr="00350A3F">
        <w:rPr>
          <w:rFonts w:eastAsia="Calibri"/>
          <w:sz w:val="20"/>
          <w:szCs w:val="20"/>
          <w:vertAlign w:val="superscript"/>
          <w:lang w:val="es-ES_tradnl" w:eastAsia="en-US"/>
        </w:rPr>
        <w:footnoteReference w:id="169"/>
      </w:r>
      <w:r w:rsidRPr="00350A3F">
        <w:rPr>
          <w:rFonts w:eastAsia="Calibri"/>
          <w:sz w:val="20"/>
          <w:szCs w:val="20"/>
          <w:lang w:val="es-ES_tradnl" w:eastAsia="en-US"/>
        </w:rPr>
        <w:t>.</w:t>
      </w:r>
      <w:r>
        <w:rPr>
          <w:rFonts w:eastAsia="Calibri"/>
          <w:sz w:val="20"/>
          <w:szCs w:val="20"/>
          <w:lang w:val="es-ES_tradnl" w:eastAsia="en-US"/>
        </w:rPr>
        <w:t xml:space="preserve"> En la región americana, el</w:t>
      </w:r>
      <w:r w:rsidRPr="00430EB8">
        <w:rPr>
          <w:rFonts w:eastAsia="Calibri"/>
          <w:sz w:val="20"/>
          <w:szCs w:val="20"/>
          <w:lang w:val="es-ES_tradnl" w:eastAsia="en-US"/>
        </w:rPr>
        <w:t xml:space="preserve"> Grupo de </w:t>
      </w:r>
      <w:r w:rsidR="005D402A">
        <w:rPr>
          <w:rFonts w:eastAsia="Calibri"/>
          <w:sz w:val="20"/>
          <w:szCs w:val="20"/>
          <w:lang w:val="es-ES_tradnl" w:eastAsia="en-US"/>
        </w:rPr>
        <w:t>T</w:t>
      </w:r>
      <w:r w:rsidRPr="00430EB8">
        <w:rPr>
          <w:rFonts w:eastAsia="Calibri"/>
          <w:sz w:val="20"/>
          <w:szCs w:val="20"/>
          <w:lang w:val="es-ES_tradnl" w:eastAsia="en-US"/>
        </w:rPr>
        <w:t>rabajo de la OEA para el análisis de los Informes Anuales</w:t>
      </w:r>
      <w:r>
        <w:rPr>
          <w:rFonts w:eastAsia="Calibri"/>
          <w:sz w:val="20"/>
          <w:szCs w:val="20"/>
          <w:lang w:val="es-ES_tradnl" w:eastAsia="en-US"/>
        </w:rPr>
        <w:t xml:space="preserve"> sobre </w:t>
      </w:r>
      <w:r w:rsidR="0020728F">
        <w:rPr>
          <w:rFonts w:eastAsia="Calibri"/>
          <w:sz w:val="20"/>
          <w:szCs w:val="20"/>
          <w:lang w:val="es-ES_tradnl" w:eastAsia="en-US"/>
        </w:rPr>
        <w:t>I</w:t>
      </w:r>
      <w:r>
        <w:rPr>
          <w:rFonts w:eastAsia="Calibri"/>
          <w:sz w:val="20"/>
          <w:szCs w:val="20"/>
          <w:lang w:val="es-ES_tradnl" w:eastAsia="en-US"/>
        </w:rPr>
        <w:t xml:space="preserve">ndicadores de </w:t>
      </w:r>
      <w:r w:rsidR="0020728F">
        <w:rPr>
          <w:rFonts w:eastAsia="Calibri"/>
          <w:sz w:val="20"/>
          <w:szCs w:val="20"/>
          <w:lang w:val="es-ES_tradnl" w:eastAsia="en-US"/>
        </w:rPr>
        <w:t>P</w:t>
      </w:r>
      <w:r w:rsidRPr="00430EB8">
        <w:rPr>
          <w:rFonts w:eastAsia="Calibri"/>
          <w:sz w:val="20"/>
          <w:szCs w:val="20"/>
          <w:lang w:val="es-ES_tradnl" w:eastAsia="en-US"/>
        </w:rPr>
        <w:t xml:space="preserve">rogreso, </w:t>
      </w:r>
      <w:r w:rsidR="00A86D37">
        <w:rPr>
          <w:rFonts w:eastAsia="Calibri"/>
          <w:sz w:val="20"/>
          <w:szCs w:val="20"/>
          <w:lang w:val="es-ES_tradnl" w:eastAsia="en-US"/>
        </w:rPr>
        <w:t xml:space="preserve">también </w:t>
      </w:r>
      <w:r>
        <w:rPr>
          <w:rFonts w:eastAsia="Calibri"/>
          <w:sz w:val="20"/>
          <w:szCs w:val="20"/>
          <w:lang w:val="es-ES_tradnl" w:eastAsia="en-US"/>
        </w:rPr>
        <w:t xml:space="preserve">se ha referido al </w:t>
      </w:r>
      <w:r w:rsidRPr="00430EB8">
        <w:rPr>
          <w:rFonts w:eastAsia="Calibri"/>
          <w:sz w:val="20"/>
          <w:szCs w:val="20"/>
          <w:lang w:val="es-ES_tradnl" w:eastAsia="en-US"/>
        </w:rPr>
        <w:t>análisis del derecho a la salud</w:t>
      </w:r>
      <w:r w:rsidRPr="00430EB8">
        <w:rPr>
          <w:rFonts w:eastAsia="Calibri"/>
          <w:sz w:val="20"/>
          <w:szCs w:val="20"/>
          <w:vertAlign w:val="superscript"/>
          <w:lang w:val="es-ES_tradnl" w:eastAsia="en-US"/>
        </w:rPr>
        <w:footnoteReference w:id="170"/>
      </w:r>
      <w:r w:rsidRPr="00430EB8">
        <w:rPr>
          <w:rFonts w:eastAsia="Calibri"/>
          <w:sz w:val="20"/>
          <w:szCs w:val="20"/>
          <w:lang w:val="es-ES_tradnl" w:eastAsia="en-US"/>
        </w:rPr>
        <w:t>.</w:t>
      </w:r>
    </w:p>
    <w:p w14:paraId="55ED2011" w14:textId="77777777" w:rsidR="00525F0E" w:rsidRPr="005570C8" w:rsidRDefault="00525F0E" w:rsidP="002A64C9">
      <w:pPr>
        <w:tabs>
          <w:tab w:val="left" w:pos="567"/>
        </w:tabs>
        <w:rPr>
          <w:rFonts w:eastAsia="Calibri"/>
          <w:sz w:val="20"/>
          <w:szCs w:val="20"/>
          <w:lang w:val="es-AR" w:eastAsia="en-US"/>
        </w:rPr>
      </w:pPr>
    </w:p>
    <w:p w14:paraId="2EF5E58E" w14:textId="77A8871F" w:rsidR="00A23D78" w:rsidRPr="007E5CD5" w:rsidRDefault="00A23D78" w:rsidP="00A23D78">
      <w:pPr>
        <w:numPr>
          <w:ilvl w:val="0"/>
          <w:numId w:val="2"/>
        </w:numPr>
        <w:tabs>
          <w:tab w:val="left" w:pos="567"/>
          <w:tab w:val="num" w:pos="1569"/>
          <w:tab w:val="num" w:pos="12305"/>
        </w:tabs>
        <w:ind w:left="0" w:firstLine="0"/>
        <w:rPr>
          <w:rFonts w:eastAsia="Calibri"/>
          <w:sz w:val="20"/>
          <w:szCs w:val="20"/>
          <w:lang w:val="es-ES_tradnl" w:eastAsia="en-US"/>
        </w:rPr>
      </w:pPr>
      <w:r w:rsidRPr="005570C8">
        <w:rPr>
          <w:rFonts w:eastAsia="Calibri"/>
          <w:sz w:val="20"/>
          <w:szCs w:val="20"/>
          <w:lang w:val="es-MX" w:eastAsia="en-US"/>
        </w:rPr>
        <w:t>Tomando en cuenta</w:t>
      </w:r>
      <w:r w:rsidR="00C20994" w:rsidRPr="003F402C">
        <w:rPr>
          <w:rFonts w:eastAsia="Calibri"/>
          <w:sz w:val="20"/>
          <w:szCs w:val="20"/>
          <w:lang w:val="es-MX" w:eastAsia="en-US"/>
        </w:rPr>
        <w:t xml:space="preserve"> lo anterior, la Corte considera que </w:t>
      </w:r>
      <w:r w:rsidRPr="003F402C">
        <w:rPr>
          <w:rFonts w:eastAsia="Calibri"/>
          <w:sz w:val="20"/>
          <w:szCs w:val="20"/>
          <w:lang w:val="es-MX" w:eastAsia="en-US"/>
        </w:rPr>
        <w:t>de la consolidación del derecho a la salud se derivan diversos estánda</w:t>
      </w:r>
      <w:r w:rsidR="00E00F6E" w:rsidRPr="003F402C">
        <w:rPr>
          <w:rFonts w:eastAsia="Calibri"/>
          <w:sz w:val="20"/>
          <w:szCs w:val="20"/>
          <w:lang w:val="es-MX" w:eastAsia="en-US"/>
        </w:rPr>
        <w:t>res aplicables al presente caso,</w:t>
      </w:r>
      <w:r w:rsidRPr="00AA65C5">
        <w:rPr>
          <w:rFonts w:eastAsia="Calibri"/>
          <w:sz w:val="20"/>
          <w:szCs w:val="20"/>
          <w:lang w:val="es-ES_tradnl" w:eastAsia="en-US"/>
        </w:rPr>
        <w:t xml:space="preserve"> relativo</w:t>
      </w:r>
      <w:r w:rsidR="00A86D37">
        <w:rPr>
          <w:rFonts w:eastAsia="Calibri"/>
          <w:sz w:val="20"/>
          <w:szCs w:val="20"/>
          <w:lang w:val="es-ES_tradnl" w:eastAsia="en-US"/>
        </w:rPr>
        <w:t>s</w:t>
      </w:r>
      <w:r w:rsidRPr="00AA65C5">
        <w:rPr>
          <w:rFonts w:eastAsia="Calibri"/>
          <w:sz w:val="20"/>
          <w:szCs w:val="20"/>
          <w:lang w:val="es-ES_tradnl" w:eastAsia="en-US"/>
        </w:rPr>
        <w:t xml:space="preserve"> a prestaciones </w:t>
      </w:r>
      <w:r w:rsidR="00E00F6E" w:rsidRPr="00AA65C5">
        <w:rPr>
          <w:rFonts w:eastAsia="Calibri"/>
          <w:sz w:val="20"/>
          <w:szCs w:val="20"/>
          <w:lang w:val="es-ES_tradnl" w:eastAsia="en-US"/>
        </w:rPr>
        <w:lastRenderedPageBreak/>
        <w:t xml:space="preserve">básicas y </w:t>
      </w:r>
      <w:r w:rsidRPr="00AA65C5">
        <w:rPr>
          <w:rFonts w:eastAsia="Calibri"/>
          <w:sz w:val="20"/>
          <w:szCs w:val="20"/>
          <w:lang w:val="es-ES_tradnl" w:eastAsia="en-US"/>
        </w:rPr>
        <w:t>específicas de salud</w:t>
      </w:r>
      <w:r w:rsidR="00A4129C" w:rsidRPr="00AA65C5">
        <w:rPr>
          <w:rFonts w:eastAsia="Calibri"/>
          <w:sz w:val="20"/>
          <w:szCs w:val="20"/>
          <w:lang w:val="es-ES_tradnl" w:eastAsia="en-US"/>
        </w:rPr>
        <w:t xml:space="preserve">, </w:t>
      </w:r>
      <w:r w:rsidR="00A86D37" w:rsidRPr="00AA65C5">
        <w:rPr>
          <w:rFonts w:eastAsia="Calibri"/>
          <w:sz w:val="20"/>
          <w:szCs w:val="20"/>
          <w:lang w:val="es-ES_tradnl" w:eastAsia="en-US"/>
        </w:rPr>
        <w:t>p</w:t>
      </w:r>
      <w:r w:rsidR="00A86D37">
        <w:rPr>
          <w:rFonts w:eastAsia="Calibri"/>
          <w:sz w:val="20"/>
          <w:szCs w:val="20"/>
          <w:lang w:val="es-ES_tradnl" w:eastAsia="en-US"/>
        </w:rPr>
        <w:t>articularmente</w:t>
      </w:r>
      <w:r w:rsidR="00A86D37" w:rsidRPr="007E5CD5">
        <w:rPr>
          <w:rFonts w:eastAsia="Calibri"/>
          <w:sz w:val="20"/>
          <w:szCs w:val="20"/>
          <w:lang w:val="es-ES_tradnl" w:eastAsia="en-US"/>
        </w:rPr>
        <w:t xml:space="preserve"> </w:t>
      </w:r>
      <w:r w:rsidRPr="007E5CD5">
        <w:rPr>
          <w:rFonts w:eastAsia="Calibri"/>
          <w:sz w:val="20"/>
          <w:szCs w:val="20"/>
          <w:lang w:val="es-ES_tradnl" w:eastAsia="en-US"/>
        </w:rPr>
        <w:t>frente a situaci</w:t>
      </w:r>
      <w:r w:rsidR="008D1152" w:rsidRPr="007E5CD5">
        <w:rPr>
          <w:rFonts w:eastAsia="Calibri"/>
          <w:sz w:val="20"/>
          <w:szCs w:val="20"/>
          <w:lang w:val="es-ES_tradnl" w:eastAsia="en-US"/>
        </w:rPr>
        <w:t>ones</w:t>
      </w:r>
      <w:r w:rsidRPr="007E5CD5">
        <w:rPr>
          <w:rFonts w:eastAsia="Calibri"/>
          <w:sz w:val="20"/>
          <w:szCs w:val="20"/>
          <w:lang w:val="es-ES_tradnl" w:eastAsia="en-US"/>
        </w:rPr>
        <w:t xml:space="preserve"> de </w:t>
      </w:r>
      <w:r w:rsidR="00525F0E" w:rsidRPr="007E5CD5">
        <w:rPr>
          <w:rFonts w:eastAsia="Calibri"/>
          <w:sz w:val="20"/>
          <w:szCs w:val="20"/>
          <w:lang w:val="es-ES_tradnl" w:eastAsia="en-US"/>
        </w:rPr>
        <w:t xml:space="preserve">urgencia o </w:t>
      </w:r>
      <w:r w:rsidRPr="007E5CD5">
        <w:rPr>
          <w:rFonts w:eastAsia="Calibri"/>
          <w:sz w:val="20"/>
          <w:szCs w:val="20"/>
          <w:lang w:val="es-ES_tradnl" w:eastAsia="en-US"/>
        </w:rPr>
        <w:t>emergencia</w:t>
      </w:r>
      <w:r w:rsidR="00A86D37">
        <w:rPr>
          <w:rFonts w:eastAsia="Calibri"/>
          <w:sz w:val="20"/>
          <w:szCs w:val="20"/>
          <w:lang w:val="es-ES_tradnl" w:eastAsia="en-US"/>
        </w:rPr>
        <w:t xml:space="preserve"> médica</w:t>
      </w:r>
      <w:r w:rsidR="00E00F6E" w:rsidRPr="007E5CD5">
        <w:rPr>
          <w:rFonts w:eastAsia="Calibri"/>
          <w:sz w:val="20"/>
          <w:szCs w:val="20"/>
          <w:lang w:val="es-ES_tradnl" w:eastAsia="en-US"/>
        </w:rPr>
        <w:t xml:space="preserve">. </w:t>
      </w:r>
    </w:p>
    <w:p w14:paraId="5DF7F10C" w14:textId="77777777" w:rsidR="009A08AB" w:rsidRPr="005570C8" w:rsidRDefault="009A08AB" w:rsidP="00016220">
      <w:pPr>
        <w:tabs>
          <w:tab w:val="left" w:pos="567"/>
        </w:tabs>
        <w:rPr>
          <w:rFonts w:eastAsia="Calibri"/>
          <w:sz w:val="20"/>
          <w:szCs w:val="20"/>
          <w:lang w:val="es-ES_tradnl" w:eastAsia="en-US"/>
        </w:rPr>
      </w:pPr>
    </w:p>
    <w:p w14:paraId="2A743940" w14:textId="23DB127B" w:rsidR="00C20994" w:rsidRPr="009A08AB" w:rsidRDefault="009A08AB" w:rsidP="00016220">
      <w:pPr>
        <w:numPr>
          <w:ilvl w:val="0"/>
          <w:numId w:val="2"/>
        </w:numPr>
        <w:tabs>
          <w:tab w:val="left" w:pos="567"/>
          <w:tab w:val="num" w:pos="1569"/>
          <w:tab w:val="num" w:pos="12305"/>
        </w:tabs>
        <w:ind w:left="0" w:firstLine="0"/>
        <w:rPr>
          <w:rFonts w:eastAsia="Calibri"/>
          <w:sz w:val="20"/>
          <w:szCs w:val="20"/>
          <w:lang w:val="es-MX" w:eastAsia="en-US"/>
        </w:rPr>
      </w:pPr>
      <w:r>
        <w:rPr>
          <w:rFonts w:eastAsia="Calibri"/>
          <w:sz w:val="20"/>
          <w:szCs w:val="20"/>
          <w:lang w:val="es-ES_tradnl" w:eastAsia="en-US"/>
        </w:rPr>
        <w:t>Para ello, a continuación la Corte analizará los estándares relacionados co</w:t>
      </w:r>
      <w:r w:rsidR="004A1B76">
        <w:rPr>
          <w:rFonts w:eastAsia="Calibri"/>
          <w:sz w:val="20"/>
          <w:szCs w:val="20"/>
          <w:lang w:val="es-ES_tradnl" w:eastAsia="en-US"/>
        </w:rPr>
        <w:t>n el derecho a la salud en situaciones</w:t>
      </w:r>
      <w:r>
        <w:rPr>
          <w:rFonts w:eastAsia="Calibri"/>
          <w:sz w:val="20"/>
          <w:szCs w:val="20"/>
          <w:lang w:val="es-ES_tradnl" w:eastAsia="en-US"/>
        </w:rPr>
        <w:t xml:space="preserve"> de </w:t>
      </w:r>
      <w:r w:rsidR="002A64C9">
        <w:rPr>
          <w:rFonts w:eastAsia="Calibri"/>
          <w:sz w:val="20"/>
          <w:szCs w:val="20"/>
          <w:lang w:val="es-ES_tradnl" w:eastAsia="en-US"/>
        </w:rPr>
        <w:t xml:space="preserve">urgencias </w:t>
      </w:r>
      <w:r>
        <w:rPr>
          <w:rFonts w:eastAsia="Calibri"/>
          <w:sz w:val="20"/>
          <w:szCs w:val="20"/>
          <w:lang w:val="es-ES_tradnl" w:eastAsia="en-US"/>
        </w:rPr>
        <w:t>médicas</w:t>
      </w:r>
      <w:r w:rsidR="004A1B76">
        <w:rPr>
          <w:rFonts w:eastAsia="Calibri"/>
          <w:sz w:val="20"/>
          <w:szCs w:val="20"/>
          <w:lang w:val="es-ES_tradnl" w:eastAsia="en-US"/>
        </w:rPr>
        <w:t xml:space="preserve"> (</w:t>
      </w:r>
      <w:proofErr w:type="spellStart"/>
      <w:r w:rsidR="004A1B76">
        <w:rPr>
          <w:rFonts w:eastAsia="Calibri"/>
          <w:sz w:val="20"/>
          <w:szCs w:val="20"/>
          <w:lang w:val="es-ES_tradnl" w:eastAsia="en-US"/>
        </w:rPr>
        <w:t>párrs</w:t>
      </w:r>
      <w:proofErr w:type="spellEnd"/>
      <w:r w:rsidR="004A1B76">
        <w:rPr>
          <w:rFonts w:eastAsia="Calibri"/>
          <w:sz w:val="20"/>
          <w:szCs w:val="20"/>
          <w:lang w:val="es-ES_tradnl" w:eastAsia="en-US"/>
        </w:rPr>
        <w:t>. 118 a 124)</w:t>
      </w:r>
      <w:r>
        <w:rPr>
          <w:rFonts w:eastAsia="Calibri"/>
          <w:sz w:val="20"/>
          <w:szCs w:val="20"/>
          <w:lang w:val="es-ES_tradnl" w:eastAsia="en-US"/>
        </w:rPr>
        <w:t xml:space="preserve">, así como respecto de </w:t>
      </w:r>
      <w:r w:rsidR="0001661C" w:rsidRPr="00B1523A">
        <w:rPr>
          <w:rFonts w:eastAsia="Calibri"/>
          <w:sz w:val="20"/>
          <w:szCs w:val="20"/>
          <w:lang w:val="es-ES_tradnl" w:eastAsia="en-US"/>
        </w:rPr>
        <w:t>las personas</w:t>
      </w:r>
      <w:r w:rsidR="0001661C" w:rsidRPr="00AB1E03">
        <w:rPr>
          <w:rFonts w:eastAsia="Calibri"/>
          <w:b/>
          <w:sz w:val="20"/>
          <w:szCs w:val="20"/>
          <w:lang w:val="es-ES_tradnl" w:eastAsia="en-US"/>
        </w:rPr>
        <w:t xml:space="preserve"> </w:t>
      </w:r>
      <w:r>
        <w:rPr>
          <w:rFonts w:eastAsia="Calibri"/>
          <w:sz w:val="20"/>
          <w:szCs w:val="20"/>
          <w:lang w:val="es-ES_tradnl" w:eastAsia="en-US"/>
        </w:rPr>
        <w:t>mayores</w:t>
      </w:r>
      <w:r w:rsidR="004A1B76">
        <w:rPr>
          <w:rFonts w:eastAsia="Calibri"/>
          <w:sz w:val="20"/>
          <w:szCs w:val="20"/>
          <w:lang w:val="es-ES_tradnl" w:eastAsia="en-US"/>
        </w:rPr>
        <w:t xml:space="preserve"> (</w:t>
      </w:r>
      <w:proofErr w:type="spellStart"/>
      <w:r w:rsidR="004A1B76">
        <w:rPr>
          <w:rFonts w:eastAsia="Calibri"/>
          <w:sz w:val="20"/>
          <w:szCs w:val="20"/>
          <w:lang w:val="es-ES_tradnl" w:eastAsia="en-US"/>
        </w:rPr>
        <w:t>párrs</w:t>
      </w:r>
      <w:proofErr w:type="spellEnd"/>
      <w:r w:rsidR="004A1B76">
        <w:rPr>
          <w:rFonts w:eastAsia="Calibri"/>
          <w:sz w:val="20"/>
          <w:szCs w:val="20"/>
          <w:lang w:val="es-ES_tradnl" w:eastAsia="en-US"/>
        </w:rPr>
        <w:t>. 125 a 132)</w:t>
      </w:r>
      <w:r>
        <w:rPr>
          <w:rFonts w:eastAsia="Calibri"/>
          <w:sz w:val="20"/>
          <w:szCs w:val="20"/>
          <w:lang w:val="es-ES_tradnl" w:eastAsia="en-US"/>
        </w:rPr>
        <w:t xml:space="preserve">, para luego realizar las valoraciones correspondientes aplicables al </w:t>
      </w:r>
      <w:r w:rsidR="001E5513">
        <w:rPr>
          <w:rFonts w:eastAsia="Calibri"/>
          <w:sz w:val="20"/>
          <w:szCs w:val="20"/>
          <w:lang w:val="es-ES_tradnl" w:eastAsia="en-US"/>
        </w:rPr>
        <w:t>presente caso</w:t>
      </w:r>
      <w:r w:rsidR="004A1B76">
        <w:rPr>
          <w:rFonts w:eastAsia="Calibri"/>
          <w:sz w:val="20"/>
          <w:szCs w:val="20"/>
          <w:lang w:val="es-ES_tradnl" w:eastAsia="en-US"/>
        </w:rPr>
        <w:t xml:space="preserve"> (</w:t>
      </w:r>
      <w:proofErr w:type="spellStart"/>
      <w:r w:rsidR="004A1B76">
        <w:rPr>
          <w:rFonts w:eastAsia="Calibri"/>
          <w:sz w:val="20"/>
          <w:szCs w:val="20"/>
          <w:lang w:val="es-ES_tradnl" w:eastAsia="en-US"/>
        </w:rPr>
        <w:t>párrs</w:t>
      </w:r>
      <w:proofErr w:type="spellEnd"/>
      <w:r w:rsidR="004A1B76">
        <w:rPr>
          <w:rFonts w:eastAsia="Calibri"/>
          <w:sz w:val="20"/>
          <w:szCs w:val="20"/>
          <w:lang w:val="es-ES_tradnl" w:eastAsia="en-US"/>
        </w:rPr>
        <w:t>. 133 a 143)</w:t>
      </w:r>
      <w:r>
        <w:rPr>
          <w:rFonts w:eastAsia="Calibri"/>
          <w:sz w:val="20"/>
          <w:szCs w:val="20"/>
          <w:lang w:val="es-ES_tradnl" w:eastAsia="en-US"/>
        </w:rPr>
        <w:t xml:space="preserve">. </w:t>
      </w:r>
    </w:p>
    <w:p w14:paraId="275487D6" w14:textId="754A0C70" w:rsidR="002C6D1C" w:rsidRPr="00A34C6F" w:rsidRDefault="002C6D1C" w:rsidP="008D1152">
      <w:pPr>
        <w:pStyle w:val="Heading4"/>
        <w:ind w:left="2124"/>
        <w:rPr>
          <w:rFonts w:eastAsia="Calibri"/>
          <w:b/>
          <w:lang w:val="es-MX" w:eastAsia="en-US"/>
        </w:rPr>
      </w:pPr>
      <w:bookmarkStart w:id="79" w:name="_Toc513644468"/>
      <w:r w:rsidRPr="00A34C6F">
        <w:rPr>
          <w:rFonts w:eastAsia="Calibri"/>
          <w:b/>
          <w:lang w:val="es-MX" w:eastAsia="en-US"/>
        </w:rPr>
        <w:t>1.1.1 Estándar</w:t>
      </w:r>
      <w:r w:rsidR="00A34C6F" w:rsidRPr="00A34C6F">
        <w:rPr>
          <w:rFonts w:eastAsia="Calibri"/>
          <w:b/>
          <w:lang w:val="es-MX" w:eastAsia="en-US"/>
        </w:rPr>
        <w:t>es</w:t>
      </w:r>
      <w:r w:rsidRPr="00A34C6F">
        <w:rPr>
          <w:rFonts w:eastAsia="Calibri"/>
          <w:b/>
          <w:lang w:val="es-MX" w:eastAsia="en-US"/>
        </w:rPr>
        <w:t xml:space="preserve"> </w:t>
      </w:r>
      <w:r w:rsidR="00317E0D">
        <w:rPr>
          <w:rFonts w:eastAsia="Calibri"/>
          <w:b/>
          <w:lang w:val="es-MX" w:eastAsia="en-US"/>
        </w:rPr>
        <w:t>sobre el</w:t>
      </w:r>
      <w:r w:rsidRPr="00A34C6F">
        <w:rPr>
          <w:rFonts w:eastAsia="Calibri"/>
          <w:b/>
          <w:lang w:val="es-MX" w:eastAsia="en-US"/>
        </w:rPr>
        <w:t xml:space="preserve"> derecho a </w:t>
      </w:r>
      <w:proofErr w:type="gramStart"/>
      <w:r w:rsidRPr="00A34C6F">
        <w:rPr>
          <w:rFonts w:eastAsia="Calibri"/>
          <w:b/>
          <w:lang w:val="es-MX" w:eastAsia="en-US"/>
        </w:rPr>
        <w:t>la salud aplicable</w:t>
      </w:r>
      <w:r w:rsidR="00A34C6F" w:rsidRPr="00A34C6F">
        <w:rPr>
          <w:rFonts w:eastAsia="Calibri"/>
          <w:b/>
          <w:lang w:val="es-MX" w:eastAsia="en-US"/>
        </w:rPr>
        <w:t>s</w:t>
      </w:r>
      <w:proofErr w:type="gramEnd"/>
      <w:r w:rsidRPr="00A34C6F">
        <w:rPr>
          <w:rFonts w:eastAsia="Calibri"/>
          <w:b/>
          <w:lang w:val="es-MX" w:eastAsia="en-US"/>
        </w:rPr>
        <w:t xml:space="preserve"> a</w:t>
      </w:r>
      <w:r w:rsidR="008D1152">
        <w:rPr>
          <w:rFonts w:eastAsia="Calibri"/>
          <w:b/>
          <w:lang w:val="es-MX" w:eastAsia="en-US"/>
        </w:rPr>
        <w:t xml:space="preserve"> situaciones de</w:t>
      </w:r>
      <w:r w:rsidRPr="00A34C6F">
        <w:rPr>
          <w:rFonts w:eastAsia="Calibri"/>
          <w:b/>
          <w:lang w:val="es-MX" w:eastAsia="en-US"/>
        </w:rPr>
        <w:t xml:space="preserve"> </w:t>
      </w:r>
      <w:r w:rsidR="008D1152">
        <w:rPr>
          <w:rFonts w:eastAsia="Calibri"/>
          <w:b/>
          <w:lang w:val="es-MX" w:eastAsia="en-US"/>
        </w:rPr>
        <w:t>urgencia</w:t>
      </w:r>
      <w:r w:rsidRPr="00A34C6F">
        <w:rPr>
          <w:rFonts w:eastAsia="Calibri"/>
          <w:b/>
          <w:lang w:val="es-MX" w:eastAsia="en-US"/>
        </w:rPr>
        <w:t xml:space="preserve"> médica</w:t>
      </w:r>
      <w:bookmarkEnd w:id="79"/>
    </w:p>
    <w:p w14:paraId="6FEBC231" w14:textId="77777777" w:rsidR="002570D1" w:rsidRPr="005430FF" w:rsidRDefault="002570D1" w:rsidP="002570D1">
      <w:pPr>
        <w:ind w:left="-90" w:right="-360"/>
        <w:contextualSpacing/>
        <w:rPr>
          <w:rFonts w:eastAsia="Calibri"/>
          <w:sz w:val="20"/>
          <w:szCs w:val="20"/>
          <w:lang w:val="es-ES_tradnl" w:eastAsia="en-US"/>
        </w:rPr>
      </w:pPr>
    </w:p>
    <w:p w14:paraId="4285BB9A" w14:textId="3BAE6644" w:rsidR="002570D1" w:rsidRPr="002570D1" w:rsidRDefault="002570D1" w:rsidP="002570D1">
      <w:pPr>
        <w:numPr>
          <w:ilvl w:val="0"/>
          <w:numId w:val="2"/>
        </w:numPr>
        <w:tabs>
          <w:tab w:val="left" w:pos="567"/>
          <w:tab w:val="num" w:pos="1569"/>
          <w:tab w:val="num" w:pos="12305"/>
        </w:tabs>
        <w:ind w:left="0" w:firstLine="0"/>
        <w:rPr>
          <w:rFonts w:eastAsia="Calibri"/>
          <w:sz w:val="20"/>
          <w:szCs w:val="20"/>
          <w:lang w:val="es-MX" w:eastAsia="en-US"/>
        </w:rPr>
      </w:pPr>
      <w:r w:rsidRPr="002570D1">
        <w:rPr>
          <w:rFonts w:eastAsia="Calibri"/>
          <w:sz w:val="20"/>
          <w:szCs w:val="20"/>
          <w:lang w:val="es-ES_tradnl" w:eastAsia="en-US"/>
        </w:rPr>
        <w:t xml:space="preserve">La Corte </w:t>
      </w:r>
      <w:r w:rsidR="00F57486">
        <w:rPr>
          <w:rFonts w:eastAsia="Calibri"/>
          <w:sz w:val="20"/>
          <w:szCs w:val="20"/>
          <w:lang w:val="es-ES_tradnl" w:eastAsia="en-US"/>
        </w:rPr>
        <w:t xml:space="preserve">estima </w:t>
      </w:r>
      <w:r w:rsidRPr="002570D1">
        <w:rPr>
          <w:rFonts w:eastAsia="Calibri"/>
          <w:sz w:val="20"/>
          <w:szCs w:val="20"/>
          <w:lang w:val="es-ES_tradnl" w:eastAsia="en-US"/>
        </w:rPr>
        <w:t xml:space="preserve">que la salud es un derecho humano fundamental e indispensable para el ejercicio </w:t>
      </w:r>
      <w:r w:rsidR="00636C77">
        <w:rPr>
          <w:rFonts w:eastAsia="Calibri"/>
          <w:sz w:val="20"/>
          <w:szCs w:val="20"/>
          <w:lang w:val="es-ES_tradnl" w:eastAsia="en-US"/>
        </w:rPr>
        <w:t xml:space="preserve">adecuado </w:t>
      </w:r>
      <w:r w:rsidRPr="002570D1">
        <w:rPr>
          <w:rFonts w:eastAsia="Calibri"/>
          <w:sz w:val="20"/>
          <w:szCs w:val="20"/>
          <w:lang w:val="es-ES_tradnl" w:eastAsia="en-US"/>
        </w:rPr>
        <w:t>de los demás derechos humanos. Todo ser humano tiene derecho al disfrute del más alto nivel posible de salud que le permita vivir dignamente</w:t>
      </w:r>
      <w:r w:rsidRPr="002570D1">
        <w:rPr>
          <w:rFonts w:eastAsia="Calibri"/>
          <w:sz w:val="20"/>
          <w:szCs w:val="20"/>
          <w:vertAlign w:val="superscript"/>
          <w:lang w:val="es-ES_tradnl" w:eastAsia="en-US"/>
        </w:rPr>
        <w:footnoteReference w:id="171"/>
      </w:r>
      <w:r w:rsidR="00FE1316">
        <w:rPr>
          <w:rFonts w:eastAsia="Calibri"/>
          <w:sz w:val="20"/>
          <w:szCs w:val="20"/>
          <w:lang w:val="es-ES_tradnl" w:eastAsia="en-US"/>
        </w:rPr>
        <w:t>, entendid</w:t>
      </w:r>
      <w:r w:rsidR="00EC5CFC">
        <w:rPr>
          <w:rFonts w:eastAsia="Calibri"/>
          <w:sz w:val="20"/>
          <w:szCs w:val="20"/>
          <w:lang w:val="es-ES_tradnl" w:eastAsia="en-US"/>
        </w:rPr>
        <w:t>a</w:t>
      </w:r>
      <w:r w:rsidR="00FE1316">
        <w:rPr>
          <w:rFonts w:eastAsia="Calibri"/>
          <w:sz w:val="20"/>
          <w:szCs w:val="20"/>
          <w:lang w:val="es-ES_tradnl" w:eastAsia="en-US"/>
        </w:rPr>
        <w:t xml:space="preserve"> la salud</w:t>
      </w:r>
      <w:r w:rsidR="007158CA" w:rsidRPr="00B1523A">
        <w:rPr>
          <w:rStyle w:val="FootnoteReference"/>
          <w:rFonts w:eastAsia="Calibri"/>
          <w:sz w:val="20"/>
          <w:szCs w:val="20"/>
          <w:lang w:val="es-ES_tradnl" w:eastAsia="en-US"/>
        </w:rPr>
        <w:footnoteReference w:id="172"/>
      </w:r>
      <w:r w:rsidR="00FE1316">
        <w:rPr>
          <w:rFonts w:eastAsia="Calibri"/>
          <w:sz w:val="20"/>
          <w:szCs w:val="20"/>
          <w:lang w:val="es-ES_tradnl" w:eastAsia="en-US"/>
        </w:rPr>
        <w:t xml:space="preserve">, no sólo como la ausencia de </w:t>
      </w:r>
      <w:r w:rsidR="007158CA" w:rsidRPr="00B1523A">
        <w:rPr>
          <w:rFonts w:eastAsia="Calibri"/>
          <w:sz w:val="20"/>
          <w:szCs w:val="20"/>
          <w:lang w:val="es-ES_tradnl" w:eastAsia="en-US"/>
        </w:rPr>
        <w:t xml:space="preserve">afecciones o </w:t>
      </w:r>
      <w:r w:rsidR="00FE1316" w:rsidRPr="008952D9">
        <w:rPr>
          <w:rFonts w:eastAsia="Calibri"/>
          <w:sz w:val="20"/>
          <w:szCs w:val="20"/>
          <w:lang w:val="es-ES_tradnl" w:eastAsia="en-US"/>
        </w:rPr>
        <w:t xml:space="preserve">enfermedades, sino también </w:t>
      </w:r>
      <w:r w:rsidR="000F49A2">
        <w:rPr>
          <w:rFonts w:eastAsia="Calibri"/>
          <w:sz w:val="20"/>
          <w:szCs w:val="20"/>
          <w:lang w:val="es-ES_tradnl" w:eastAsia="en-US"/>
        </w:rPr>
        <w:t>a</w:t>
      </w:r>
      <w:r w:rsidR="000F49A2" w:rsidRPr="008952D9">
        <w:rPr>
          <w:rFonts w:eastAsia="Calibri"/>
          <w:sz w:val="20"/>
          <w:szCs w:val="20"/>
          <w:lang w:val="es-ES_tradnl" w:eastAsia="en-US"/>
        </w:rPr>
        <w:t xml:space="preserve"> </w:t>
      </w:r>
      <w:r w:rsidR="00FE1316" w:rsidRPr="008952D9">
        <w:rPr>
          <w:rFonts w:eastAsia="Calibri"/>
          <w:sz w:val="20"/>
          <w:szCs w:val="20"/>
          <w:lang w:val="es-ES_tradnl" w:eastAsia="en-US"/>
        </w:rPr>
        <w:t xml:space="preserve">un estado </w:t>
      </w:r>
      <w:r w:rsidR="007158CA" w:rsidRPr="00B1523A">
        <w:rPr>
          <w:rFonts w:eastAsia="Calibri"/>
          <w:sz w:val="20"/>
          <w:szCs w:val="20"/>
          <w:lang w:val="es-ES_tradnl" w:eastAsia="en-US"/>
        </w:rPr>
        <w:t>completo</w:t>
      </w:r>
      <w:r w:rsidR="007158CA" w:rsidRPr="008952D9">
        <w:rPr>
          <w:rFonts w:eastAsia="Calibri"/>
          <w:sz w:val="20"/>
          <w:szCs w:val="20"/>
          <w:lang w:val="es-ES_tradnl" w:eastAsia="en-US"/>
        </w:rPr>
        <w:t xml:space="preserve"> </w:t>
      </w:r>
      <w:r w:rsidR="00FE1316" w:rsidRPr="008952D9">
        <w:rPr>
          <w:rFonts w:eastAsia="Calibri"/>
          <w:sz w:val="20"/>
          <w:szCs w:val="20"/>
          <w:lang w:val="es-ES_tradnl" w:eastAsia="en-US"/>
        </w:rPr>
        <w:t>de bienestar</w:t>
      </w:r>
      <w:r w:rsidR="007158CA" w:rsidRPr="008952D9">
        <w:rPr>
          <w:rFonts w:eastAsia="Calibri"/>
          <w:sz w:val="20"/>
          <w:szCs w:val="20"/>
          <w:lang w:val="es-ES_tradnl" w:eastAsia="en-US"/>
        </w:rPr>
        <w:t xml:space="preserve"> </w:t>
      </w:r>
      <w:r w:rsidR="007158CA" w:rsidRPr="00B1523A">
        <w:rPr>
          <w:rFonts w:eastAsia="Calibri"/>
          <w:sz w:val="20"/>
          <w:szCs w:val="20"/>
          <w:lang w:val="es-ES_tradnl" w:eastAsia="en-US"/>
        </w:rPr>
        <w:t>físico, mental y social,</w:t>
      </w:r>
      <w:r w:rsidR="00FE1316">
        <w:rPr>
          <w:rFonts w:eastAsia="Calibri"/>
          <w:sz w:val="20"/>
          <w:szCs w:val="20"/>
          <w:lang w:val="es-ES_tradnl" w:eastAsia="en-US"/>
        </w:rPr>
        <w:t xml:space="preserve"> derivado de un estilo de vida que permita alcanzar a las personas un balance integral</w:t>
      </w:r>
      <w:r w:rsidR="00FE1316" w:rsidRPr="007158CA">
        <w:rPr>
          <w:rFonts w:eastAsia="Calibri"/>
          <w:sz w:val="20"/>
          <w:szCs w:val="20"/>
          <w:lang w:val="es-ES_tradnl" w:eastAsia="en-US"/>
        </w:rPr>
        <w:t>.</w:t>
      </w:r>
      <w:r w:rsidRPr="002570D1">
        <w:rPr>
          <w:rFonts w:eastAsia="Calibri"/>
          <w:sz w:val="20"/>
          <w:szCs w:val="20"/>
          <w:lang w:val="es-MX" w:eastAsia="en-US"/>
        </w:rPr>
        <w:t xml:space="preserve"> </w:t>
      </w:r>
      <w:r w:rsidR="00ED348B">
        <w:rPr>
          <w:rFonts w:eastAsia="Calibri"/>
          <w:sz w:val="20"/>
          <w:szCs w:val="20"/>
          <w:lang w:val="es-MX" w:eastAsia="en-US"/>
        </w:rPr>
        <w:t>E</w:t>
      </w:r>
      <w:r w:rsidRPr="002570D1">
        <w:rPr>
          <w:rFonts w:eastAsia="Calibri"/>
          <w:sz w:val="20"/>
          <w:szCs w:val="20"/>
          <w:lang w:val="es-MX" w:eastAsia="en-US"/>
        </w:rPr>
        <w:t xml:space="preserve">l </w:t>
      </w:r>
      <w:r w:rsidR="0080260D">
        <w:rPr>
          <w:rFonts w:eastAsia="Calibri"/>
          <w:sz w:val="20"/>
          <w:szCs w:val="20"/>
          <w:lang w:val="es-MX" w:eastAsia="en-US"/>
        </w:rPr>
        <w:t>T</w:t>
      </w:r>
      <w:r w:rsidRPr="002570D1">
        <w:rPr>
          <w:rFonts w:eastAsia="Calibri"/>
          <w:sz w:val="20"/>
          <w:szCs w:val="20"/>
          <w:lang w:val="es-MX" w:eastAsia="en-US"/>
        </w:rPr>
        <w:t xml:space="preserve">ribunal ha precisado que la obligación </w:t>
      </w:r>
      <w:r w:rsidR="00E00F6E">
        <w:rPr>
          <w:rFonts w:eastAsia="Calibri"/>
          <w:sz w:val="20"/>
          <w:szCs w:val="20"/>
          <w:lang w:val="es-MX" w:eastAsia="en-US"/>
        </w:rPr>
        <w:t xml:space="preserve">general </w:t>
      </w:r>
      <w:r w:rsidRPr="002570D1">
        <w:rPr>
          <w:rFonts w:eastAsia="Calibri"/>
          <w:sz w:val="20"/>
          <w:szCs w:val="20"/>
          <w:lang w:val="es-MX" w:eastAsia="en-US"/>
        </w:rPr>
        <w:t xml:space="preserve">se traduce en el deber estatal de asegurar el acceso de las personas a servicios </w:t>
      </w:r>
      <w:r w:rsidR="00907AE0">
        <w:rPr>
          <w:rFonts w:eastAsia="Calibri"/>
          <w:sz w:val="20"/>
          <w:szCs w:val="20"/>
          <w:lang w:val="es-MX" w:eastAsia="en-US"/>
        </w:rPr>
        <w:t xml:space="preserve">esenciales </w:t>
      </w:r>
      <w:r w:rsidRPr="002570D1">
        <w:rPr>
          <w:rFonts w:eastAsia="Calibri"/>
          <w:sz w:val="20"/>
          <w:szCs w:val="20"/>
          <w:lang w:val="es-MX" w:eastAsia="en-US"/>
        </w:rPr>
        <w:t>de salud</w:t>
      </w:r>
      <w:r w:rsidRPr="002570D1">
        <w:rPr>
          <w:rFonts w:eastAsia="Calibri"/>
          <w:sz w:val="20"/>
          <w:szCs w:val="20"/>
          <w:vertAlign w:val="superscript"/>
          <w:lang w:val="es-MX" w:eastAsia="en-US"/>
        </w:rPr>
        <w:footnoteReference w:id="173"/>
      </w:r>
      <w:r w:rsidR="00ED348B">
        <w:rPr>
          <w:rFonts w:eastAsia="Calibri"/>
          <w:sz w:val="20"/>
          <w:szCs w:val="20"/>
          <w:lang w:val="es-MX" w:eastAsia="en-US"/>
        </w:rPr>
        <w:t xml:space="preserve">, </w:t>
      </w:r>
      <w:r w:rsidR="007E023E">
        <w:rPr>
          <w:rFonts w:eastAsia="Calibri"/>
          <w:sz w:val="20"/>
          <w:szCs w:val="20"/>
          <w:lang w:val="es-MX" w:eastAsia="en-US"/>
        </w:rPr>
        <w:t>garantizando</w:t>
      </w:r>
      <w:r w:rsidR="007E023E" w:rsidRPr="002570D1">
        <w:rPr>
          <w:rFonts w:eastAsia="Calibri"/>
          <w:sz w:val="20"/>
          <w:szCs w:val="20"/>
          <w:lang w:val="es-MX" w:eastAsia="en-US"/>
        </w:rPr>
        <w:t xml:space="preserve"> </w:t>
      </w:r>
      <w:r w:rsidR="00ED348B" w:rsidRPr="002570D1">
        <w:rPr>
          <w:rFonts w:eastAsia="Calibri"/>
          <w:sz w:val="20"/>
          <w:szCs w:val="20"/>
          <w:lang w:val="es-MX" w:eastAsia="en-US"/>
        </w:rPr>
        <w:t xml:space="preserve">una prestación médica </w:t>
      </w:r>
      <w:r w:rsidR="00ED348B">
        <w:rPr>
          <w:rFonts w:eastAsia="Calibri"/>
          <w:sz w:val="20"/>
          <w:szCs w:val="20"/>
          <w:lang w:val="es-MX" w:eastAsia="en-US"/>
        </w:rPr>
        <w:t>de calidad y eficaz, así como de impulsar el mejoramiento de las condiciones de salud de la población</w:t>
      </w:r>
      <w:r w:rsidRPr="002570D1">
        <w:rPr>
          <w:rFonts w:eastAsia="Calibri"/>
          <w:sz w:val="20"/>
          <w:szCs w:val="20"/>
          <w:lang w:val="es-MX" w:eastAsia="en-US"/>
        </w:rPr>
        <w:t>.</w:t>
      </w:r>
    </w:p>
    <w:p w14:paraId="1F7AC8B5" w14:textId="77777777" w:rsidR="002570D1" w:rsidRPr="002570D1" w:rsidRDefault="002570D1" w:rsidP="002570D1">
      <w:pPr>
        <w:ind w:left="-90" w:right="-360"/>
        <w:contextualSpacing/>
        <w:rPr>
          <w:rFonts w:eastAsia="Calibri"/>
          <w:sz w:val="20"/>
          <w:szCs w:val="20"/>
          <w:lang w:val="es-MX" w:eastAsia="en-US"/>
        </w:rPr>
      </w:pPr>
    </w:p>
    <w:p w14:paraId="44727F5A" w14:textId="77777777" w:rsidR="002570D1" w:rsidRPr="002570D1" w:rsidRDefault="002570D1" w:rsidP="002570D1">
      <w:pPr>
        <w:numPr>
          <w:ilvl w:val="0"/>
          <w:numId w:val="2"/>
        </w:numPr>
        <w:tabs>
          <w:tab w:val="left" w:pos="567"/>
          <w:tab w:val="num" w:pos="1569"/>
          <w:tab w:val="num" w:pos="12305"/>
        </w:tabs>
        <w:ind w:left="0" w:firstLine="0"/>
        <w:rPr>
          <w:rFonts w:eastAsia="Calibri"/>
          <w:sz w:val="20"/>
          <w:szCs w:val="20"/>
          <w:lang w:val="es-MX" w:eastAsia="en-US"/>
        </w:rPr>
      </w:pPr>
      <w:r w:rsidRPr="002570D1">
        <w:rPr>
          <w:rFonts w:eastAsia="Calibri"/>
          <w:sz w:val="20"/>
          <w:szCs w:val="20"/>
          <w:lang w:val="es-MX" w:eastAsia="en-US"/>
        </w:rPr>
        <w:t xml:space="preserve"> En primer lugar, </w:t>
      </w:r>
      <w:r w:rsidR="00E00F6E">
        <w:rPr>
          <w:rFonts w:eastAsia="Calibri"/>
          <w:sz w:val="20"/>
          <w:szCs w:val="20"/>
          <w:lang w:val="es-MX" w:eastAsia="en-US"/>
        </w:rPr>
        <w:t xml:space="preserve">la operatividad de </w:t>
      </w:r>
      <w:r w:rsidRPr="002570D1">
        <w:rPr>
          <w:rFonts w:eastAsia="Calibri"/>
          <w:sz w:val="20"/>
          <w:szCs w:val="20"/>
          <w:lang w:val="es-MX" w:eastAsia="en-US"/>
        </w:rPr>
        <w:t>dicha obligación comienza con el deber de regulación</w:t>
      </w:r>
      <w:r w:rsidR="00E25B0F">
        <w:rPr>
          <w:rFonts w:eastAsia="Calibri"/>
          <w:sz w:val="20"/>
          <w:szCs w:val="20"/>
          <w:lang w:val="es-MX" w:eastAsia="en-US"/>
        </w:rPr>
        <w:t>,</w:t>
      </w:r>
      <w:r w:rsidRPr="002570D1">
        <w:rPr>
          <w:rFonts w:eastAsia="Calibri"/>
          <w:sz w:val="20"/>
          <w:szCs w:val="20"/>
          <w:lang w:val="es-MX" w:eastAsia="en-US"/>
        </w:rPr>
        <w:t xml:space="preserve"> por lo que la Corte ha indicado que los Estados son responsables de regular con carácter permanente la prestación de servicios </w:t>
      </w:r>
      <w:r w:rsidR="00E25B0F">
        <w:rPr>
          <w:rFonts w:eastAsia="Calibri"/>
          <w:sz w:val="20"/>
          <w:szCs w:val="20"/>
          <w:lang w:val="es-MX" w:eastAsia="en-US"/>
        </w:rPr>
        <w:t xml:space="preserve">(tanto públicos como privados) </w:t>
      </w:r>
      <w:r w:rsidRPr="002570D1">
        <w:rPr>
          <w:rFonts w:eastAsia="Calibri"/>
          <w:sz w:val="20"/>
          <w:szCs w:val="20"/>
          <w:lang w:val="es-MX" w:eastAsia="en-US"/>
        </w:rPr>
        <w:t>y la ejecución de programas nacionales relativos al logro de una prestación de servicios de calidad</w:t>
      </w:r>
      <w:r w:rsidRPr="002570D1">
        <w:rPr>
          <w:rFonts w:eastAsia="Calibri"/>
          <w:sz w:val="20"/>
          <w:szCs w:val="20"/>
          <w:vertAlign w:val="superscript"/>
          <w:lang w:val="es-MX" w:eastAsia="en-US"/>
        </w:rPr>
        <w:footnoteReference w:id="174"/>
      </w:r>
      <w:r w:rsidRPr="002570D1">
        <w:rPr>
          <w:rFonts w:eastAsia="Calibri"/>
          <w:sz w:val="20"/>
          <w:szCs w:val="20"/>
          <w:lang w:val="es-MX" w:eastAsia="en-US"/>
        </w:rPr>
        <w:t xml:space="preserve">. </w:t>
      </w:r>
    </w:p>
    <w:p w14:paraId="778C70FD" w14:textId="77777777" w:rsidR="002570D1" w:rsidRPr="002570D1" w:rsidRDefault="002570D1" w:rsidP="002570D1">
      <w:pPr>
        <w:ind w:right="-360"/>
        <w:contextualSpacing/>
        <w:rPr>
          <w:rFonts w:eastAsia="Calibri"/>
          <w:sz w:val="20"/>
          <w:szCs w:val="20"/>
          <w:lang w:val="es-AR" w:eastAsia="en-US"/>
        </w:rPr>
      </w:pPr>
    </w:p>
    <w:p w14:paraId="61D79D2F" w14:textId="244AF647" w:rsidR="00911089" w:rsidRPr="0059117C" w:rsidRDefault="00911089" w:rsidP="0059117C">
      <w:pPr>
        <w:numPr>
          <w:ilvl w:val="0"/>
          <w:numId w:val="2"/>
        </w:numPr>
        <w:tabs>
          <w:tab w:val="left" w:pos="567"/>
          <w:tab w:val="num" w:pos="1569"/>
          <w:tab w:val="num" w:pos="12305"/>
        </w:tabs>
        <w:ind w:left="0" w:firstLine="0"/>
        <w:rPr>
          <w:rFonts w:eastAsia="Calibri"/>
          <w:sz w:val="20"/>
          <w:szCs w:val="20"/>
          <w:lang w:val="es-ES_tradnl"/>
        </w:rPr>
      </w:pPr>
      <w:r w:rsidRPr="00DF1B7D">
        <w:rPr>
          <w:rFonts w:eastAsia="Calibri"/>
          <w:sz w:val="20"/>
          <w:szCs w:val="20"/>
          <w:lang w:val="es-ES_tradnl"/>
        </w:rPr>
        <w:t xml:space="preserve">En segundo lugar, </w:t>
      </w:r>
      <w:r w:rsidR="009455C8">
        <w:rPr>
          <w:rFonts w:eastAsia="Calibri"/>
          <w:sz w:val="20"/>
          <w:szCs w:val="20"/>
          <w:lang w:val="es-ES_tradnl"/>
        </w:rPr>
        <w:t>tomado en cu</w:t>
      </w:r>
      <w:r w:rsidR="00E73984">
        <w:rPr>
          <w:rFonts w:eastAsia="Calibri"/>
          <w:sz w:val="20"/>
          <w:szCs w:val="20"/>
          <w:lang w:val="es-ES_tradnl"/>
        </w:rPr>
        <w:t>e</w:t>
      </w:r>
      <w:r w:rsidR="009455C8">
        <w:rPr>
          <w:rFonts w:eastAsia="Calibri"/>
          <w:sz w:val="20"/>
          <w:szCs w:val="20"/>
          <w:lang w:val="es-ES_tradnl"/>
        </w:rPr>
        <w:t xml:space="preserve">nta la </w:t>
      </w:r>
      <w:r w:rsidR="009455C8" w:rsidRPr="00DF1B7D">
        <w:rPr>
          <w:rFonts w:eastAsia="Calibri"/>
          <w:sz w:val="20"/>
          <w:szCs w:val="20"/>
          <w:lang w:val="es-ES_tradnl"/>
        </w:rPr>
        <w:t>Observación General N</w:t>
      </w:r>
      <w:r w:rsidR="00FF6030">
        <w:rPr>
          <w:rFonts w:eastAsia="Calibri"/>
          <w:sz w:val="20"/>
          <w:szCs w:val="20"/>
          <w:lang w:val="es-ES_tradnl"/>
        </w:rPr>
        <w:t xml:space="preserve">o. </w:t>
      </w:r>
      <w:r w:rsidR="009455C8" w:rsidRPr="00DF1B7D">
        <w:rPr>
          <w:rFonts w:eastAsia="Calibri"/>
          <w:sz w:val="20"/>
          <w:szCs w:val="20"/>
          <w:lang w:val="es-ES_tradnl"/>
        </w:rPr>
        <w:t xml:space="preserve">14 del Comité </w:t>
      </w:r>
      <w:r w:rsidR="009455C8">
        <w:rPr>
          <w:rFonts w:eastAsia="Calibri"/>
          <w:sz w:val="20"/>
          <w:szCs w:val="20"/>
          <w:lang w:val="es-ES_tradnl"/>
        </w:rPr>
        <w:t>DESC</w:t>
      </w:r>
      <w:r w:rsidR="009455C8">
        <w:rPr>
          <w:rStyle w:val="FootnoteReference"/>
          <w:rFonts w:eastAsia="Calibri"/>
          <w:lang w:val="es-ES_tradnl"/>
        </w:rPr>
        <w:footnoteReference w:id="175"/>
      </w:r>
      <w:r w:rsidR="009455C8">
        <w:rPr>
          <w:rFonts w:eastAsia="Calibri"/>
          <w:sz w:val="20"/>
          <w:szCs w:val="20"/>
          <w:lang w:val="es-ES_tradnl"/>
        </w:rPr>
        <w:t>, este Tribunal</w:t>
      </w:r>
      <w:r w:rsidR="00E00F6E">
        <w:rPr>
          <w:rFonts w:eastAsia="Calibri"/>
          <w:sz w:val="20"/>
          <w:szCs w:val="20"/>
          <w:lang w:val="es-ES_tradnl"/>
        </w:rPr>
        <w:t xml:space="preserve"> se ha referido </w:t>
      </w:r>
      <w:r w:rsidR="009455C8">
        <w:rPr>
          <w:rFonts w:eastAsia="Calibri"/>
          <w:sz w:val="20"/>
          <w:szCs w:val="20"/>
          <w:lang w:val="es-ES_tradnl"/>
        </w:rPr>
        <w:t xml:space="preserve">a </w:t>
      </w:r>
      <w:r w:rsidRPr="00DF1B7D">
        <w:rPr>
          <w:rFonts w:eastAsia="Calibri"/>
          <w:sz w:val="20"/>
          <w:szCs w:val="20"/>
          <w:lang w:val="es-ES_tradnl"/>
        </w:rPr>
        <w:t xml:space="preserve">una serie de elementos esenciales e interrelacionados, que deben </w:t>
      </w:r>
      <w:r w:rsidRPr="00DF1B7D">
        <w:rPr>
          <w:rFonts w:eastAsia="Calibri"/>
          <w:sz w:val="20"/>
          <w:szCs w:val="20"/>
          <w:lang w:val="es-ES_tradnl"/>
        </w:rPr>
        <w:lastRenderedPageBreak/>
        <w:t>satisfacerse en materia de salud</w:t>
      </w:r>
      <w:r>
        <w:rPr>
          <w:rFonts w:eastAsia="Calibri"/>
          <w:sz w:val="20"/>
          <w:szCs w:val="20"/>
          <w:lang w:val="es-ES_tradnl"/>
        </w:rPr>
        <w:t xml:space="preserve">. </w:t>
      </w:r>
      <w:r w:rsidRPr="008A3678">
        <w:rPr>
          <w:rFonts w:eastAsia="Calibri"/>
          <w:sz w:val="20"/>
          <w:szCs w:val="20"/>
          <w:lang w:val="es-ES_tradnl"/>
        </w:rPr>
        <w:t xml:space="preserve">A saber: </w:t>
      </w:r>
      <w:r w:rsidRPr="008A3678">
        <w:rPr>
          <w:rFonts w:eastAsia="Calibri"/>
          <w:i/>
          <w:sz w:val="20"/>
          <w:szCs w:val="20"/>
          <w:lang w:val="es-ES_tradnl"/>
        </w:rPr>
        <w:t>disponibilidad, accesibilidad, aceptabilidad y calidad</w:t>
      </w:r>
      <w:r w:rsidRPr="0059117C">
        <w:rPr>
          <w:rFonts w:eastAsia="Calibri"/>
          <w:sz w:val="20"/>
          <w:szCs w:val="20"/>
          <w:vertAlign w:val="superscript"/>
          <w:lang w:val="es-ES_tradnl"/>
        </w:rPr>
        <w:footnoteReference w:id="176"/>
      </w:r>
      <w:r>
        <w:rPr>
          <w:rFonts w:eastAsia="Calibri"/>
          <w:i/>
          <w:sz w:val="20"/>
          <w:szCs w:val="20"/>
          <w:lang w:val="es-ES_tradnl"/>
        </w:rPr>
        <w:t xml:space="preserve">. </w:t>
      </w:r>
    </w:p>
    <w:p w14:paraId="27B5F6E8" w14:textId="77777777" w:rsidR="00911089" w:rsidRPr="0059117C" w:rsidRDefault="00911089" w:rsidP="0059117C">
      <w:pPr>
        <w:tabs>
          <w:tab w:val="left" w:pos="567"/>
        </w:tabs>
        <w:rPr>
          <w:rFonts w:eastAsia="Calibri"/>
          <w:sz w:val="20"/>
          <w:szCs w:val="20"/>
          <w:lang w:val="es-ES_tradnl"/>
        </w:rPr>
      </w:pPr>
    </w:p>
    <w:p w14:paraId="0ACDEC2A" w14:textId="0062DDD9" w:rsidR="00911089" w:rsidRDefault="00911089" w:rsidP="0059117C">
      <w:pPr>
        <w:numPr>
          <w:ilvl w:val="0"/>
          <w:numId w:val="2"/>
        </w:numPr>
        <w:tabs>
          <w:tab w:val="left" w:pos="567"/>
          <w:tab w:val="num" w:pos="1569"/>
          <w:tab w:val="num" w:pos="12305"/>
        </w:tabs>
        <w:ind w:left="0" w:firstLine="0"/>
        <w:rPr>
          <w:rFonts w:eastAsia="Calibri"/>
          <w:sz w:val="20"/>
          <w:szCs w:val="20"/>
          <w:lang w:val="es-ES_tradnl"/>
        </w:rPr>
      </w:pPr>
      <w:r w:rsidRPr="008A3678">
        <w:rPr>
          <w:rFonts w:eastAsia="Calibri"/>
          <w:sz w:val="20"/>
          <w:szCs w:val="20"/>
          <w:lang w:val="es-ES_tradnl"/>
        </w:rPr>
        <w:t xml:space="preserve"> </w:t>
      </w:r>
      <w:r>
        <w:rPr>
          <w:rFonts w:eastAsia="Calibri"/>
          <w:sz w:val="20"/>
          <w:szCs w:val="20"/>
          <w:lang w:val="es-ES_tradnl"/>
        </w:rPr>
        <w:t xml:space="preserve">En vista de ello, esta Corte estima que </w:t>
      </w:r>
      <w:r w:rsidRPr="008A3678">
        <w:rPr>
          <w:rFonts w:eastAsia="Calibri"/>
          <w:sz w:val="20"/>
          <w:szCs w:val="20"/>
          <w:lang w:val="es-ES_tradnl"/>
        </w:rPr>
        <w:t>para efectos de las p</w:t>
      </w:r>
      <w:r>
        <w:rPr>
          <w:rFonts w:eastAsia="Calibri"/>
          <w:sz w:val="20"/>
          <w:szCs w:val="20"/>
          <w:lang w:val="es-ES_tradnl"/>
        </w:rPr>
        <w:t>restaciones médicas de urgencia, los Estados deben garantizar</w:t>
      </w:r>
      <w:r w:rsidR="004A1B76">
        <w:rPr>
          <w:rFonts w:eastAsia="Calibri"/>
          <w:sz w:val="20"/>
          <w:szCs w:val="20"/>
          <w:lang w:val="es-ES_tradnl"/>
        </w:rPr>
        <w:t>, al menos,</w:t>
      </w:r>
      <w:r>
        <w:rPr>
          <w:rFonts w:eastAsia="Calibri"/>
          <w:sz w:val="20"/>
          <w:szCs w:val="20"/>
          <w:lang w:val="es-ES_tradnl"/>
        </w:rPr>
        <w:t xml:space="preserve"> los siguientes estándares:</w:t>
      </w:r>
      <w:r w:rsidRPr="00DF1B7D">
        <w:rPr>
          <w:rFonts w:eastAsia="Calibri"/>
          <w:sz w:val="20"/>
          <w:szCs w:val="20"/>
          <w:lang w:val="es-ES_tradnl"/>
        </w:rPr>
        <w:t xml:space="preserve"> </w:t>
      </w:r>
    </w:p>
    <w:p w14:paraId="18E9BE7C" w14:textId="77777777" w:rsidR="00911089" w:rsidRDefault="00911089" w:rsidP="00911089">
      <w:pPr>
        <w:ind w:right="-360"/>
        <w:contextualSpacing/>
        <w:rPr>
          <w:rFonts w:eastAsia="Calibri"/>
          <w:sz w:val="20"/>
          <w:szCs w:val="20"/>
          <w:lang w:val="es-ES_tradnl"/>
        </w:rPr>
      </w:pPr>
    </w:p>
    <w:p w14:paraId="5A3D4980" w14:textId="6AD6BBA3" w:rsidR="00911089" w:rsidRPr="008A3678" w:rsidRDefault="00911089" w:rsidP="00911089">
      <w:pPr>
        <w:numPr>
          <w:ilvl w:val="0"/>
          <w:numId w:val="17"/>
        </w:numPr>
        <w:ind w:right="-360"/>
        <w:contextualSpacing/>
        <w:rPr>
          <w:rFonts w:eastAsia="Calibri"/>
          <w:sz w:val="20"/>
          <w:szCs w:val="20"/>
          <w:lang w:val="es-MX"/>
        </w:rPr>
      </w:pPr>
      <w:r w:rsidRPr="008A3678">
        <w:rPr>
          <w:rFonts w:eastAsia="Calibri"/>
          <w:sz w:val="20"/>
          <w:szCs w:val="20"/>
          <w:lang w:val="es-AR"/>
        </w:rPr>
        <w:t>Respecto</w:t>
      </w:r>
      <w:r w:rsidRPr="008A3678">
        <w:rPr>
          <w:rFonts w:eastAsia="Calibri"/>
          <w:sz w:val="20"/>
          <w:szCs w:val="20"/>
          <w:lang w:val="es-ES_tradnl"/>
        </w:rPr>
        <w:t xml:space="preserve"> a la</w:t>
      </w:r>
      <w:r w:rsidRPr="008A3678">
        <w:rPr>
          <w:rFonts w:eastAsia="Calibri"/>
          <w:i/>
          <w:sz w:val="20"/>
          <w:szCs w:val="20"/>
          <w:lang w:val="es-ES_tradnl"/>
        </w:rPr>
        <w:t xml:space="preserve"> calidad</w:t>
      </w:r>
      <w:r w:rsidRPr="008A3678">
        <w:rPr>
          <w:rFonts w:eastAsia="Calibri"/>
          <w:sz w:val="20"/>
          <w:szCs w:val="20"/>
          <w:lang w:val="es-ES_tradnl"/>
        </w:rPr>
        <w:t xml:space="preserve">, </w:t>
      </w:r>
      <w:r w:rsidRPr="008A3678">
        <w:rPr>
          <w:rFonts w:eastAsia="Calibri"/>
          <w:sz w:val="20"/>
          <w:szCs w:val="20"/>
          <w:lang w:val="es-MX"/>
        </w:rPr>
        <w:t xml:space="preserve">se debe contar con la infraestructura adecuada y necesaria para satisfacer las necesidades básicas y urgentes. Esto incluye cualquier tipo de herramienta o soporte vital, así </w:t>
      </w:r>
      <w:r w:rsidR="006823B8" w:rsidRPr="008A3678">
        <w:rPr>
          <w:rFonts w:eastAsia="Calibri"/>
          <w:sz w:val="20"/>
          <w:szCs w:val="20"/>
          <w:lang w:val="es-MX"/>
        </w:rPr>
        <w:t xml:space="preserve">como </w:t>
      </w:r>
      <w:r w:rsidRPr="008A3678">
        <w:rPr>
          <w:rFonts w:eastAsia="Calibri"/>
          <w:sz w:val="20"/>
          <w:szCs w:val="20"/>
          <w:lang w:val="es-MX"/>
        </w:rPr>
        <w:t xml:space="preserve">también disponer de recurso humano calificado para responder ante </w:t>
      </w:r>
      <w:r w:rsidR="002A64C9">
        <w:rPr>
          <w:rFonts w:eastAsia="Calibri"/>
          <w:sz w:val="20"/>
          <w:szCs w:val="20"/>
          <w:lang w:val="es-MX"/>
        </w:rPr>
        <w:t>urgencias</w:t>
      </w:r>
      <w:r w:rsidR="002A64C9" w:rsidRPr="008A3678">
        <w:rPr>
          <w:rFonts w:eastAsia="Calibri"/>
          <w:sz w:val="20"/>
          <w:szCs w:val="20"/>
          <w:lang w:val="es-MX"/>
        </w:rPr>
        <w:t xml:space="preserve"> </w:t>
      </w:r>
      <w:r w:rsidRPr="008A3678">
        <w:rPr>
          <w:rFonts w:eastAsia="Calibri"/>
          <w:sz w:val="20"/>
          <w:szCs w:val="20"/>
          <w:lang w:val="es-MX"/>
        </w:rPr>
        <w:t xml:space="preserve">médicas. </w:t>
      </w:r>
    </w:p>
    <w:p w14:paraId="7C39A503" w14:textId="77777777" w:rsidR="00911089" w:rsidRPr="008A3678" w:rsidRDefault="00911089" w:rsidP="00911089">
      <w:pPr>
        <w:ind w:right="-360"/>
        <w:contextualSpacing/>
        <w:rPr>
          <w:rFonts w:eastAsia="Calibri"/>
          <w:sz w:val="20"/>
          <w:szCs w:val="20"/>
          <w:lang w:val="es-MX"/>
        </w:rPr>
      </w:pPr>
    </w:p>
    <w:p w14:paraId="4A7C6B69" w14:textId="6E61CC24" w:rsidR="00911089" w:rsidRPr="008A3678" w:rsidRDefault="00911089" w:rsidP="00911089">
      <w:pPr>
        <w:numPr>
          <w:ilvl w:val="0"/>
          <w:numId w:val="17"/>
        </w:numPr>
        <w:ind w:right="-360"/>
        <w:contextualSpacing/>
        <w:rPr>
          <w:rFonts w:eastAsia="Calibri"/>
          <w:sz w:val="20"/>
          <w:szCs w:val="20"/>
          <w:lang w:val="es-AR"/>
        </w:rPr>
      </w:pPr>
      <w:r w:rsidRPr="008A3678">
        <w:rPr>
          <w:rFonts w:eastAsia="Calibri"/>
          <w:sz w:val="20"/>
          <w:szCs w:val="20"/>
          <w:lang w:val="es-MX"/>
        </w:rPr>
        <w:t xml:space="preserve">Respecto a la </w:t>
      </w:r>
      <w:r w:rsidRPr="008A3678">
        <w:rPr>
          <w:rFonts w:eastAsia="Calibri"/>
          <w:i/>
          <w:sz w:val="20"/>
          <w:szCs w:val="20"/>
          <w:lang w:val="es-MX"/>
        </w:rPr>
        <w:t>accesibilidad</w:t>
      </w:r>
      <w:r w:rsidRPr="008A3678">
        <w:rPr>
          <w:rFonts w:eastAsia="Calibri"/>
          <w:sz w:val="20"/>
          <w:szCs w:val="20"/>
          <w:vertAlign w:val="superscript"/>
          <w:lang w:val="es-MX"/>
        </w:rPr>
        <w:footnoteReference w:id="177"/>
      </w:r>
      <w:r w:rsidRPr="008A3678">
        <w:rPr>
          <w:rFonts w:eastAsia="Calibri"/>
          <w:sz w:val="20"/>
          <w:szCs w:val="20"/>
          <w:lang w:val="es-MX"/>
        </w:rPr>
        <w:t>,</w:t>
      </w:r>
      <w:r w:rsidRPr="008A3678">
        <w:rPr>
          <w:rFonts w:eastAsia="Calibri"/>
          <w:sz w:val="20"/>
          <w:szCs w:val="20"/>
          <w:lang w:val="es-AR"/>
        </w:rPr>
        <w:t xml:space="preserve"> los establecimientos, bienes y servicios de emergencias de salu</w:t>
      </w:r>
      <w:r w:rsidR="004A1B76">
        <w:rPr>
          <w:rFonts w:eastAsia="Calibri"/>
          <w:sz w:val="20"/>
          <w:szCs w:val="20"/>
          <w:lang w:val="es-AR"/>
        </w:rPr>
        <w:t>d deben ser accesibles a toda</w:t>
      </w:r>
      <w:r w:rsidRPr="008A3678">
        <w:rPr>
          <w:rFonts w:eastAsia="Calibri"/>
          <w:sz w:val="20"/>
          <w:szCs w:val="20"/>
          <w:lang w:val="es-AR"/>
        </w:rPr>
        <w:t>s</w:t>
      </w:r>
      <w:r w:rsidR="004A1B76">
        <w:rPr>
          <w:rFonts w:eastAsia="Calibri"/>
          <w:sz w:val="20"/>
          <w:szCs w:val="20"/>
          <w:lang w:val="es-AR"/>
        </w:rPr>
        <w:t xml:space="preserve"> las personas</w:t>
      </w:r>
      <w:r w:rsidRPr="008A3678">
        <w:rPr>
          <w:rFonts w:eastAsia="Calibri"/>
          <w:sz w:val="20"/>
          <w:szCs w:val="20"/>
          <w:lang w:val="es-AR"/>
        </w:rPr>
        <w:t>. La accesibilidad entendida desde las dimensiones superpuestas de no discriminación, accesibilidad física, accesibilidad económica y a</w:t>
      </w:r>
      <w:r w:rsidR="004A1B76">
        <w:rPr>
          <w:rFonts w:eastAsia="Calibri"/>
          <w:sz w:val="20"/>
          <w:szCs w:val="20"/>
          <w:lang w:val="es-AR"/>
        </w:rPr>
        <w:t xml:space="preserve">cceso a la información. </w:t>
      </w:r>
      <w:proofErr w:type="spellStart"/>
      <w:r w:rsidR="004A1B76">
        <w:rPr>
          <w:rFonts w:eastAsia="Calibri"/>
          <w:sz w:val="20"/>
          <w:szCs w:val="20"/>
          <w:lang w:val="es-AR"/>
        </w:rPr>
        <w:t>Proveiendo</w:t>
      </w:r>
      <w:proofErr w:type="spellEnd"/>
      <w:r w:rsidRPr="008A3678">
        <w:rPr>
          <w:rFonts w:eastAsia="Calibri"/>
          <w:sz w:val="20"/>
          <w:szCs w:val="20"/>
          <w:lang w:val="es-AR"/>
        </w:rPr>
        <w:t xml:space="preserve"> de esta forma un sistema de salud inclusivo basado en los derechos humanos</w:t>
      </w:r>
      <w:r w:rsidRPr="008A3678">
        <w:rPr>
          <w:rFonts w:eastAsia="Calibri"/>
          <w:sz w:val="20"/>
          <w:szCs w:val="20"/>
          <w:vertAlign w:val="superscript"/>
          <w:lang w:val="es-AR"/>
        </w:rPr>
        <w:footnoteReference w:id="178"/>
      </w:r>
      <w:r w:rsidRPr="008A3678">
        <w:rPr>
          <w:rFonts w:eastAsia="Calibri"/>
          <w:sz w:val="20"/>
          <w:szCs w:val="20"/>
          <w:lang w:val="es-AR"/>
        </w:rPr>
        <w:t xml:space="preserve">. </w:t>
      </w:r>
    </w:p>
    <w:p w14:paraId="223176A2" w14:textId="77777777" w:rsidR="00911089" w:rsidRPr="008A3678" w:rsidRDefault="00911089" w:rsidP="00911089">
      <w:pPr>
        <w:ind w:right="-360"/>
        <w:contextualSpacing/>
        <w:rPr>
          <w:rFonts w:eastAsia="Calibri"/>
          <w:sz w:val="20"/>
          <w:szCs w:val="20"/>
          <w:lang w:val="es-AR"/>
        </w:rPr>
      </w:pPr>
    </w:p>
    <w:p w14:paraId="5EA0F65F" w14:textId="743F7BC6" w:rsidR="00911089" w:rsidRPr="008A3678" w:rsidRDefault="00911089" w:rsidP="00911089">
      <w:pPr>
        <w:numPr>
          <w:ilvl w:val="0"/>
          <w:numId w:val="17"/>
        </w:numPr>
        <w:ind w:right="-360"/>
        <w:contextualSpacing/>
        <w:rPr>
          <w:rFonts w:eastAsia="Calibri"/>
          <w:sz w:val="20"/>
          <w:szCs w:val="20"/>
          <w:lang w:val="es-ES_tradnl"/>
        </w:rPr>
      </w:pPr>
      <w:r w:rsidRPr="008A3678">
        <w:rPr>
          <w:rFonts w:eastAsia="Calibri"/>
          <w:sz w:val="20"/>
          <w:szCs w:val="20"/>
          <w:lang w:val="es-AR"/>
        </w:rPr>
        <w:t>R</w:t>
      </w:r>
      <w:proofErr w:type="spellStart"/>
      <w:r>
        <w:rPr>
          <w:rFonts w:eastAsia="Calibri"/>
          <w:sz w:val="20"/>
          <w:szCs w:val="20"/>
          <w:lang w:val="es-MX"/>
        </w:rPr>
        <w:t>especto</w:t>
      </w:r>
      <w:proofErr w:type="spellEnd"/>
      <w:r w:rsidRPr="008A3678">
        <w:rPr>
          <w:rFonts w:eastAsia="Calibri"/>
          <w:sz w:val="20"/>
          <w:szCs w:val="20"/>
          <w:lang w:val="es-MX"/>
        </w:rPr>
        <w:t xml:space="preserve"> a </w:t>
      </w:r>
      <w:r w:rsidR="006823B8">
        <w:rPr>
          <w:rFonts w:eastAsia="Calibri"/>
          <w:sz w:val="20"/>
          <w:szCs w:val="20"/>
          <w:lang w:val="es-MX"/>
        </w:rPr>
        <w:t xml:space="preserve">la </w:t>
      </w:r>
      <w:r w:rsidRPr="008A3678">
        <w:rPr>
          <w:rFonts w:eastAsia="Calibri"/>
          <w:i/>
          <w:sz w:val="20"/>
          <w:szCs w:val="20"/>
          <w:lang w:val="es-MX"/>
        </w:rPr>
        <w:t>disponibilidad,</w:t>
      </w:r>
      <w:r w:rsidRPr="008A3678">
        <w:rPr>
          <w:rFonts w:eastAsia="Calibri"/>
          <w:sz w:val="20"/>
          <w:szCs w:val="20"/>
          <w:lang w:val="es-MX"/>
        </w:rPr>
        <w:t xml:space="preserve"> </w:t>
      </w:r>
      <w:r w:rsidRPr="008A3678">
        <w:rPr>
          <w:rFonts w:eastAsia="Calibri"/>
          <w:sz w:val="20"/>
          <w:szCs w:val="20"/>
          <w:lang w:val="es-ES_tradnl"/>
        </w:rPr>
        <w:t xml:space="preserve">se debe contar con un número suficiente de establecimientos, bienes y servicios públicos de salud, así como de programas integrales de salud. La coordinación entre establecimientos del sistema resulta relevante para cubrir de manera integrada las necesidades básicas de la población.  </w:t>
      </w:r>
    </w:p>
    <w:p w14:paraId="60188C53" w14:textId="77777777" w:rsidR="00911089" w:rsidRPr="008A3678" w:rsidRDefault="00911089" w:rsidP="00911089">
      <w:pPr>
        <w:ind w:right="-360"/>
        <w:contextualSpacing/>
        <w:rPr>
          <w:rFonts w:eastAsia="Calibri"/>
          <w:sz w:val="20"/>
          <w:szCs w:val="20"/>
          <w:lang w:val="es-ES_tradnl"/>
        </w:rPr>
      </w:pPr>
    </w:p>
    <w:p w14:paraId="28CC48FC" w14:textId="2FA83A71" w:rsidR="00911089" w:rsidRPr="008A3678" w:rsidRDefault="00911089" w:rsidP="00911089">
      <w:pPr>
        <w:numPr>
          <w:ilvl w:val="0"/>
          <w:numId w:val="17"/>
        </w:numPr>
        <w:ind w:right="-360"/>
        <w:contextualSpacing/>
        <w:rPr>
          <w:rFonts w:eastAsia="Calibri"/>
          <w:sz w:val="20"/>
          <w:szCs w:val="20"/>
          <w:lang w:val="es-ES_tradnl"/>
        </w:rPr>
      </w:pPr>
      <w:r w:rsidRPr="008A3678">
        <w:rPr>
          <w:rFonts w:eastAsia="Calibri"/>
          <w:sz w:val="20"/>
          <w:szCs w:val="20"/>
          <w:lang w:val="es-ES_tradnl"/>
        </w:rPr>
        <w:t xml:space="preserve">Respecto de la </w:t>
      </w:r>
      <w:r w:rsidRPr="008A3678">
        <w:rPr>
          <w:rFonts w:eastAsia="Calibri"/>
          <w:i/>
          <w:sz w:val="20"/>
          <w:szCs w:val="20"/>
          <w:lang w:val="es-ES_tradnl"/>
        </w:rPr>
        <w:t>aceptabilidad</w:t>
      </w:r>
      <w:r w:rsidRPr="008A3678">
        <w:rPr>
          <w:rFonts w:eastAsia="Calibri"/>
          <w:sz w:val="20"/>
          <w:szCs w:val="20"/>
          <w:lang w:val="es-ES_tradnl"/>
        </w:rPr>
        <w:t xml:space="preserve">, los establecimientos y servicios de salud deberán respetar la ética médica y los criterios culturalmente apropiados. Además, deberán incluir una perspectiva de género, así como de las condiciones del ciclo de vida del paciente. </w:t>
      </w:r>
      <w:r w:rsidR="009455C8">
        <w:rPr>
          <w:rFonts w:eastAsia="Calibri"/>
          <w:sz w:val="20"/>
          <w:szCs w:val="20"/>
          <w:lang w:val="es-ES_tradnl"/>
        </w:rPr>
        <w:t>E</w:t>
      </w:r>
      <w:r w:rsidRPr="008A3678">
        <w:rPr>
          <w:rFonts w:eastAsia="Calibri"/>
          <w:sz w:val="20"/>
          <w:szCs w:val="20"/>
          <w:lang w:val="es-ES_tradnl"/>
        </w:rPr>
        <w:t>l paciente debe ser informado sobre su diagnóstico y tratamiento, y frente a ello respetar su voluntad</w:t>
      </w:r>
      <w:r w:rsidR="004A1B76">
        <w:rPr>
          <w:rFonts w:eastAsia="Calibri"/>
          <w:sz w:val="20"/>
          <w:szCs w:val="20"/>
          <w:lang w:val="es-ES_tradnl"/>
        </w:rPr>
        <w:t xml:space="preserve"> (</w:t>
      </w:r>
      <w:r w:rsidR="004A1B76" w:rsidRPr="004A1B76">
        <w:rPr>
          <w:rFonts w:eastAsia="Calibri"/>
          <w:i/>
          <w:sz w:val="20"/>
          <w:szCs w:val="20"/>
          <w:lang w:val="es-ES_tradnl"/>
        </w:rPr>
        <w:t>infra</w:t>
      </w:r>
      <w:r w:rsidR="004A1B76">
        <w:rPr>
          <w:rFonts w:eastAsia="Calibri"/>
          <w:sz w:val="20"/>
          <w:szCs w:val="20"/>
          <w:lang w:val="es-ES_tradnl"/>
        </w:rPr>
        <w:t xml:space="preserve"> </w:t>
      </w:r>
      <w:proofErr w:type="spellStart"/>
      <w:r w:rsidR="004A1B76">
        <w:rPr>
          <w:rFonts w:eastAsia="Calibri"/>
          <w:sz w:val="20"/>
          <w:szCs w:val="20"/>
          <w:lang w:val="es-ES_tradnl"/>
        </w:rPr>
        <w:t>párrs</w:t>
      </w:r>
      <w:proofErr w:type="spellEnd"/>
      <w:r w:rsidR="004A1B76">
        <w:rPr>
          <w:rFonts w:eastAsia="Calibri"/>
          <w:sz w:val="20"/>
          <w:szCs w:val="20"/>
          <w:lang w:val="es-ES_tradnl"/>
        </w:rPr>
        <w:t>. 161, 162 y 166)</w:t>
      </w:r>
      <w:r w:rsidRPr="008A3678">
        <w:rPr>
          <w:rFonts w:eastAsia="Calibri"/>
          <w:sz w:val="20"/>
          <w:szCs w:val="20"/>
          <w:lang w:val="es-ES_tradnl"/>
        </w:rPr>
        <w:t>.</w:t>
      </w:r>
    </w:p>
    <w:p w14:paraId="4018B68D" w14:textId="77777777" w:rsidR="002570D1" w:rsidRPr="002570D1" w:rsidRDefault="002570D1" w:rsidP="0059117C">
      <w:pPr>
        <w:tabs>
          <w:tab w:val="left" w:pos="567"/>
        </w:tabs>
        <w:rPr>
          <w:rFonts w:eastAsia="Calibri"/>
          <w:sz w:val="20"/>
          <w:szCs w:val="20"/>
          <w:lang w:val="es-ES_tradnl" w:eastAsia="en-US"/>
        </w:rPr>
      </w:pPr>
    </w:p>
    <w:p w14:paraId="0F20123F" w14:textId="1244B798" w:rsidR="002570D1" w:rsidRPr="00895BF1" w:rsidRDefault="002570D1" w:rsidP="00F41641">
      <w:pPr>
        <w:numPr>
          <w:ilvl w:val="0"/>
          <w:numId w:val="2"/>
        </w:numPr>
        <w:tabs>
          <w:tab w:val="left" w:pos="567"/>
          <w:tab w:val="num" w:pos="1569"/>
          <w:tab w:val="num" w:pos="12305"/>
        </w:tabs>
        <w:ind w:left="0" w:firstLine="0"/>
        <w:rPr>
          <w:rFonts w:eastAsia="Calibri"/>
          <w:sz w:val="20"/>
          <w:szCs w:val="20"/>
          <w:lang w:val="es-ES_tradnl" w:eastAsia="en-US"/>
        </w:rPr>
      </w:pPr>
      <w:r w:rsidRPr="002570D1">
        <w:rPr>
          <w:rFonts w:eastAsia="Calibri"/>
          <w:sz w:val="20"/>
          <w:szCs w:val="20"/>
          <w:lang w:val="es-MX" w:eastAsia="en-US"/>
        </w:rPr>
        <w:t xml:space="preserve">En tercer lugar, </w:t>
      </w:r>
      <w:r w:rsidR="009455C8">
        <w:rPr>
          <w:rFonts w:eastAsia="Calibri"/>
          <w:sz w:val="20"/>
          <w:szCs w:val="20"/>
          <w:lang w:val="es-MX" w:eastAsia="en-US"/>
        </w:rPr>
        <w:t>y como condición transversal de la accesibilidad</w:t>
      </w:r>
      <w:r w:rsidR="00EA385D">
        <w:rPr>
          <w:rStyle w:val="FootnoteReference"/>
          <w:rFonts w:eastAsia="Calibri"/>
          <w:sz w:val="20"/>
          <w:szCs w:val="20"/>
          <w:lang w:val="es-MX" w:eastAsia="en-US"/>
        </w:rPr>
        <w:footnoteReference w:id="179"/>
      </w:r>
      <w:r w:rsidR="009455C8">
        <w:rPr>
          <w:rFonts w:eastAsia="Calibri"/>
          <w:sz w:val="20"/>
          <w:szCs w:val="20"/>
          <w:lang w:val="es-MX" w:eastAsia="en-US"/>
        </w:rPr>
        <w:t xml:space="preserve">, </w:t>
      </w:r>
      <w:r w:rsidRPr="002570D1">
        <w:rPr>
          <w:rFonts w:eastAsia="Calibri"/>
          <w:sz w:val="20"/>
          <w:szCs w:val="20"/>
          <w:lang w:val="es-ES_tradnl" w:eastAsia="en-US"/>
        </w:rPr>
        <w:t xml:space="preserve">la Corte recuerda que </w:t>
      </w:r>
      <w:r w:rsidRPr="002570D1">
        <w:rPr>
          <w:rFonts w:eastAsia="Calibri"/>
          <w:sz w:val="20"/>
          <w:szCs w:val="20"/>
          <w:lang w:val="es-HN" w:eastAsia="en-US"/>
        </w:rPr>
        <w:t>el Estado está obligado a garantizar un trato igualitario a tod</w:t>
      </w:r>
      <w:r w:rsidR="00AF5D4C">
        <w:rPr>
          <w:rFonts w:eastAsia="Calibri"/>
          <w:sz w:val="20"/>
          <w:szCs w:val="20"/>
          <w:lang w:val="es-HN" w:eastAsia="en-US"/>
        </w:rPr>
        <w:t>a</w:t>
      </w:r>
      <w:r w:rsidRPr="002570D1">
        <w:rPr>
          <w:rFonts w:eastAsia="Calibri"/>
          <w:sz w:val="20"/>
          <w:szCs w:val="20"/>
          <w:lang w:val="es-HN" w:eastAsia="en-US"/>
        </w:rPr>
        <w:t>s l</w:t>
      </w:r>
      <w:r w:rsidR="00AF5D4C">
        <w:rPr>
          <w:rFonts w:eastAsia="Calibri"/>
          <w:sz w:val="20"/>
          <w:szCs w:val="20"/>
          <w:lang w:val="es-HN" w:eastAsia="en-US"/>
        </w:rPr>
        <w:t>a</w:t>
      </w:r>
      <w:r w:rsidRPr="002570D1">
        <w:rPr>
          <w:rFonts w:eastAsia="Calibri"/>
          <w:sz w:val="20"/>
          <w:szCs w:val="20"/>
          <w:lang w:val="es-HN" w:eastAsia="en-US"/>
        </w:rPr>
        <w:t xml:space="preserve">s </w:t>
      </w:r>
      <w:r w:rsidR="00AF5D4C">
        <w:rPr>
          <w:rFonts w:eastAsia="Calibri"/>
          <w:sz w:val="20"/>
          <w:szCs w:val="20"/>
          <w:lang w:val="es-HN" w:eastAsia="en-US"/>
        </w:rPr>
        <w:t xml:space="preserve">personas </w:t>
      </w:r>
      <w:r w:rsidRPr="002570D1">
        <w:rPr>
          <w:rFonts w:eastAsia="Calibri"/>
          <w:sz w:val="20"/>
          <w:szCs w:val="20"/>
          <w:lang w:val="es-HN" w:eastAsia="en-US"/>
        </w:rPr>
        <w:t>que accedan a los servicios de salud</w:t>
      </w:r>
      <w:r w:rsidR="004A2E72">
        <w:rPr>
          <w:rFonts w:eastAsia="Calibri"/>
          <w:sz w:val="20"/>
          <w:szCs w:val="20"/>
          <w:lang w:val="es-HN" w:eastAsia="en-US"/>
        </w:rPr>
        <w:t xml:space="preserve">, </w:t>
      </w:r>
      <w:r w:rsidR="005D383C" w:rsidRPr="00B1523A">
        <w:rPr>
          <w:rFonts w:eastAsia="Calibri"/>
          <w:sz w:val="20"/>
          <w:szCs w:val="20"/>
          <w:lang w:val="es-HN"/>
        </w:rPr>
        <w:t>por lo que de conformidad con el artículo 1.1 de la Convención Americana no son permitidos tratos discriminatorios</w:t>
      </w:r>
      <w:r w:rsidR="005D383C" w:rsidRPr="008952D9">
        <w:rPr>
          <w:rFonts w:eastAsia="Calibri"/>
          <w:sz w:val="20"/>
          <w:vertAlign w:val="superscript"/>
          <w:lang w:val="es-HN"/>
        </w:rPr>
        <w:footnoteReference w:id="180"/>
      </w:r>
      <w:r w:rsidR="005D383C" w:rsidRPr="008952D9">
        <w:rPr>
          <w:rFonts w:eastAsia="Calibri"/>
          <w:sz w:val="20"/>
          <w:szCs w:val="20"/>
          <w:lang w:val="es-HN"/>
        </w:rPr>
        <w:t xml:space="preserve">, </w:t>
      </w:r>
      <w:r w:rsidR="00895BF1" w:rsidRPr="008952D9">
        <w:rPr>
          <w:rFonts w:eastAsia="Calibri"/>
          <w:sz w:val="20"/>
          <w:szCs w:val="20"/>
          <w:lang w:val="es-HN"/>
        </w:rPr>
        <w:t>“</w:t>
      </w:r>
      <w:r w:rsidR="005D383C" w:rsidRPr="00B1523A">
        <w:rPr>
          <w:rFonts w:eastAsia="Calibri"/>
          <w:sz w:val="20"/>
          <w:szCs w:val="20"/>
          <w:lang w:val="es-HN"/>
        </w:rPr>
        <w:t>por motivos de</w:t>
      </w:r>
      <w:r w:rsidR="005D383C" w:rsidRPr="008952D9">
        <w:rPr>
          <w:rFonts w:eastAsia="Calibri"/>
          <w:sz w:val="20"/>
          <w:szCs w:val="20"/>
          <w:lang w:val="es-HN"/>
        </w:rPr>
        <w:t xml:space="preserve"> </w:t>
      </w:r>
      <w:r w:rsidR="005D383C" w:rsidRPr="00B1523A">
        <w:rPr>
          <w:rFonts w:eastAsia="Calibri"/>
          <w:sz w:val="20"/>
          <w:szCs w:val="20"/>
          <w:lang w:val="es-HN"/>
        </w:rPr>
        <w:t>raza, color, sexo, […] posición económica, nacimiento o cualquier otra condición social</w:t>
      </w:r>
      <w:r w:rsidR="00895BF1" w:rsidRPr="00B1523A">
        <w:rPr>
          <w:rFonts w:eastAsia="Calibri"/>
          <w:sz w:val="20"/>
          <w:szCs w:val="20"/>
          <w:lang w:val="es-HN"/>
        </w:rPr>
        <w:t>”</w:t>
      </w:r>
      <w:r w:rsidR="005D383C" w:rsidRPr="004A1B76">
        <w:rPr>
          <w:rStyle w:val="FootnoteReference"/>
          <w:rFonts w:eastAsia="Calibri"/>
          <w:sz w:val="20"/>
          <w:lang w:val="es-HN"/>
        </w:rPr>
        <w:footnoteReference w:id="181"/>
      </w:r>
      <w:r w:rsidR="005D383C" w:rsidRPr="004A1B76">
        <w:rPr>
          <w:rFonts w:eastAsia="Calibri"/>
          <w:sz w:val="20"/>
          <w:szCs w:val="20"/>
          <w:lang w:val="es-HN"/>
        </w:rPr>
        <w:t>.</w:t>
      </w:r>
      <w:r w:rsidR="005D383C" w:rsidRPr="008952D9">
        <w:rPr>
          <w:rFonts w:eastAsia="Calibri"/>
          <w:sz w:val="20"/>
          <w:szCs w:val="20"/>
          <w:lang w:val="es-HN"/>
        </w:rPr>
        <w:t xml:space="preserve"> </w:t>
      </w:r>
      <w:r w:rsidR="00895BF1" w:rsidRPr="00B1523A">
        <w:rPr>
          <w:rFonts w:eastAsia="Calibri"/>
          <w:sz w:val="20"/>
          <w:szCs w:val="20"/>
          <w:lang w:val="es-ES_tradnl" w:eastAsia="en-US"/>
        </w:rPr>
        <w:t xml:space="preserve">Al respecto, </w:t>
      </w:r>
      <w:r w:rsidR="00895BF1" w:rsidRPr="00B1523A">
        <w:rPr>
          <w:sz w:val="20"/>
          <w:szCs w:val="20"/>
          <w:lang w:val="es-AR"/>
        </w:rPr>
        <w:t xml:space="preserve">los criterios específicos </w:t>
      </w:r>
      <w:r w:rsidR="00895BF1" w:rsidRPr="00B1523A">
        <w:rPr>
          <w:sz w:val="20"/>
          <w:szCs w:val="20"/>
          <w:lang w:val="es-AR"/>
        </w:rPr>
        <w:lastRenderedPageBreak/>
        <w:t>en virtud de los cuales está prohibido discriminar, según el artículo 1.1 de la Convención Americana, no son un listado taxativo o limitativo sino meramente enunciativo. Por el contrario, la redacción de dicho artículo deja abiertos los criterios con la inclusión del término “otra condición social” para incorporar así a otras categorías que no hubiesen sido explícitamente indicadas”</w:t>
      </w:r>
      <w:r w:rsidR="00895BF1" w:rsidRPr="00B1523A">
        <w:rPr>
          <w:rStyle w:val="FootnoteReference"/>
          <w:rFonts w:eastAsia="Calibri"/>
          <w:sz w:val="20"/>
          <w:szCs w:val="20"/>
          <w:lang w:val="es-HN"/>
        </w:rPr>
        <w:footnoteReference w:id="182"/>
      </w:r>
      <w:r w:rsidR="00895BF1" w:rsidRPr="00B1523A">
        <w:rPr>
          <w:sz w:val="20"/>
          <w:szCs w:val="20"/>
          <w:lang w:val="es-AR"/>
        </w:rPr>
        <w:t>.</w:t>
      </w:r>
      <w:r w:rsidR="00895BF1" w:rsidRPr="008952D9">
        <w:rPr>
          <w:rFonts w:eastAsia="Calibri"/>
          <w:sz w:val="22"/>
          <w:szCs w:val="20"/>
          <w:lang w:val="es-AR" w:eastAsia="en-US"/>
        </w:rPr>
        <w:t xml:space="preserve"> </w:t>
      </w:r>
      <w:r w:rsidR="00895BF1" w:rsidRPr="00B1523A">
        <w:rPr>
          <w:rFonts w:eastAsia="Calibri"/>
          <w:sz w:val="20"/>
          <w:szCs w:val="20"/>
          <w:lang w:val="es-AR" w:eastAsia="en-US"/>
        </w:rPr>
        <w:t>Así,</w:t>
      </w:r>
      <w:r w:rsidR="00895BF1" w:rsidRPr="008952D9">
        <w:rPr>
          <w:rFonts w:eastAsia="Calibri"/>
          <w:sz w:val="20"/>
          <w:szCs w:val="20"/>
          <w:lang w:val="es-AR" w:eastAsia="en-US"/>
        </w:rPr>
        <w:t xml:space="preserve"> </w:t>
      </w:r>
      <w:r w:rsidR="005D383C" w:rsidRPr="00B1523A">
        <w:rPr>
          <w:rFonts w:eastAsia="Calibri"/>
          <w:sz w:val="20"/>
          <w:szCs w:val="20"/>
          <w:lang w:val="es-HN"/>
        </w:rPr>
        <w:t xml:space="preserve">la Corte </w:t>
      </w:r>
      <w:r w:rsidR="00204724" w:rsidRPr="00B1523A">
        <w:rPr>
          <w:rFonts w:eastAsia="Calibri"/>
          <w:sz w:val="20"/>
          <w:szCs w:val="20"/>
          <w:lang w:val="es-HN"/>
        </w:rPr>
        <w:t xml:space="preserve">ha señalado </w:t>
      </w:r>
      <w:r w:rsidR="005D383C" w:rsidRPr="00B1523A">
        <w:rPr>
          <w:rFonts w:eastAsia="Calibri"/>
          <w:sz w:val="20"/>
          <w:szCs w:val="20"/>
          <w:lang w:val="es-HN"/>
        </w:rPr>
        <w:t>que la edad, es también una categoría protegida por esta norma</w:t>
      </w:r>
      <w:r w:rsidR="00E3242A" w:rsidRPr="008952D9">
        <w:rPr>
          <w:rStyle w:val="FootnoteReference"/>
          <w:rFonts w:eastAsia="Calibri"/>
          <w:sz w:val="20"/>
          <w:lang w:val="es-HN"/>
        </w:rPr>
        <w:footnoteReference w:id="183"/>
      </w:r>
      <w:r w:rsidR="00895BF1" w:rsidRPr="00B1523A">
        <w:rPr>
          <w:rFonts w:eastAsia="Calibri"/>
          <w:sz w:val="20"/>
          <w:szCs w:val="20"/>
          <w:lang w:val="es-HN"/>
        </w:rPr>
        <w:t>.</w:t>
      </w:r>
      <w:r w:rsidR="00895BF1" w:rsidRPr="008952D9">
        <w:rPr>
          <w:rFonts w:eastAsia="Calibri"/>
          <w:sz w:val="20"/>
          <w:szCs w:val="20"/>
          <w:lang w:val="es-HN"/>
        </w:rPr>
        <w:t xml:space="preserve"> </w:t>
      </w:r>
      <w:r w:rsidR="00E3242A" w:rsidRPr="00B1523A">
        <w:rPr>
          <w:rFonts w:eastAsia="Calibri"/>
          <w:sz w:val="20"/>
          <w:szCs w:val="20"/>
          <w:lang w:val="es-HN"/>
        </w:rPr>
        <w:t xml:space="preserve">En este sentido, la prohibición por discriminación relacionada con la edad cuando se trata de las personas mayores, se encuentra tutelada por la Convención Americana. </w:t>
      </w:r>
      <w:r w:rsidRPr="00895BF1">
        <w:rPr>
          <w:rFonts w:eastAsia="Calibri"/>
          <w:sz w:val="20"/>
          <w:szCs w:val="20"/>
          <w:lang w:val="es-HN" w:eastAsia="en-US"/>
        </w:rPr>
        <w:t>Esto comporta, entre otras cosas, la aplicación de políticas inclusivas para la totalidad de la población y un fácil acceso a los servicios públicos</w:t>
      </w:r>
      <w:r w:rsidRPr="002570D1">
        <w:rPr>
          <w:rFonts w:eastAsia="Calibri"/>
          <w:sz w:val="20"/>
          <w:szCs w:val="20"/>
          <w:vertAlign w:val="superscript"/>
          <w:lang w:val="es-HN" w:eastAsia="en-US"/>
        </w:rPr>
        <w:footnoteReference w:id="184"/>
      </w:r>
      <w:r w:rsidRPr="00895BF1">
        <w:rPr>
          <w:rFonts w:eastAsia="Calibri"/>
          <w:sz w:val="20"/>
          <w:szCs w:val="20"/>
          <w:lang w:val="es-HN" w:eastAsia="en-US"/>
        </w:rPr>
        <w:t>.</w:t>
      </w:r>
      <w:r w:rsidRPr="00895BF1">
        <w:rPr>
          <w:rFonts w:eastAsia="Calibri"/>
          <w:sz w:val="20"/>
          <w:szCs w:val="20"/>
          <w:lang w:val="es-AR" w:eastAsia="en-US"/>
        </w:rPr>
        <w:t xml:space="preserve"> </w:t>
      </w:r>
    </w:p>
    <w:p w14:paraId="5C68B840" w14:textId="77777777" w:rsidR="002570D1" w:rsidRPr="002570D1" w:rsidRDefault="002570D1" w:rsidP="007E5CD5">
      <w:pPr>
        <w:contextualSpacing/>
        <w:rPr>
          <w:rFonts w:eastAsia="Calibri"/>
          <w:sz w:val="20"/>
          <w:szCs w:val="20"/>
          <w:lang w:val="es-ES_tradnl" w:eastAsia="en-US"/>
        </w:rPr>
      </w:pPr>
    </w:p>
    <w:p w14:paraId="38716663" w14:textId="77777777" w:rsidR="002570D1" w:rsidRPr="0059117C" w:rsidRDefault="002570D1" w:rsidP="002570D1">
      <w:pPr>
        <w:numPr>
          <w:ilvl w:val="0"/>
          <w:numId w:val="2"/>
        </w:numPr>
        <w:tabs>
          <w:tab w:val="left" w:pos="567"/>
          <w:tab w:val="num" w:pos="1569"/>
          <w:tab w:val="num" w:pos="12305"/>
        </w:tabs>
        <w:ind w:left="0" w:firstLine="0"/>
        <w:rPr>
          <w:rFonts w:eastAsia="Calibri"/>
          <w:sz w:val="20"/>
          <w:szCs w:val="20"/>
          <w:lang w:val="es-ES_tradnl" w:eastAsia="en-US"/>
        </w:rPr>
      </w:pPr>
      <w:r w:rsidRPr="002570D1">
        <w:rPr>
          <w:rFonts w:eastAsia="Calibri"/>
          <w:sz w:val="20"/>
          <w:szCs w:val="20"/>
          <w:lang w:val="es-AR" w:eastAsia="en-US"/>
        </w:rPr>
        <w:t xml:space="preserve">Al respecto, la Corte </w:t>
      </w:r>
      <w:r w:rsidR="009455C8">
        <w:rPr>
          <w:rFonts w:eastAsia="Calibri"/>
          <w:sz w:val="20"/>
          <w:szCs w:val="20"/>
          <w:lang w:val="es-AR" w:eastAsia="en-US"/>
        </w:rPr>
        <w:t>reitera</w:t>
      </w:r>
      <w:r w:rsidR="009455C8" w:rsidRPr="002570D1">
        <w:rPr>
          <w:rFonts w:eastAsia="Calibri"/>
          <w:sz w:val="20"/>
          <w:szCs w:val="20"/>
          <w:lang w:val="es-AR" w:eastAsia="en-US"/>
        </w:rPr>
        <w:t xml:space="preserve"> </w:t>
      </w:r>
      <w:r w:rsidRPr="002570D1">
        <w:rPr>
          <w:rFonts w:eastAsia="Calibri"/>
          <w:sz w:val="20"/>
          <w:szCs w:val="20"/>
          <w:lang w:val="es-AR" w:eastAsia="en-US"/>
        </w:rPr>
        <w:t>que el derecho a la igualdad y no discriminación abarca dos concepciones: una negativa relacionada con la prohibición de diferencias de trato arbitrarias, y una positiva relacionada con la obligación de los Estados de crear condiciones de igualdad real frente a grupos que han sido históricamente excluidos o que se encuentran en mayor riesgo de ser discriminados</w:t>
      </w:r>
      <w:r w:rsidRPr="002570D1">
        <w:rPr>
          <w:rFonts w:eastAsia="Calibri"/>
          <w:sz w:val="20"/>
          <w:szCs w:val="20"/>
          <w:vertAlign w:val="superscript"/>
          <w:lang w:val="es-AR" w:eastAsia="en-US"/>
        </w:rPr>
        <w:footnoteReference w:id="185"/>
      </w:r>
      <w:r w:rsidRPr="002570D1">
        <w:rPr>
          <w:rFonts w:eastAsia="Calibri"/>
          <w:sz w:val="20"/>
          <w:szCs w:val="20"/>
          <w:lang w:val="es-AR" w:eastAsia="en-US"/>
        </w:rPr>
        <w:t>.</w:t>
      </w:r>
      <w:r w:rsidRPr="002570D1">
        <w:rPr>
          <w:rFonts w:eastAsia="Calibri"/>
          <w:sz w:val="20"/>
          <w:szCs w:val="20"/>
          <w:lang w:val="es-ES_tradnl" w:eastAsia="en-US"/>
        </w:rPr>
        <w:t xml:space="preserve"> En tal sentido, </w:t>
      </w:r>
      <w:r w:rsidRPr="002570D1">
        <w:rPr>
          <w:rFonts w:eastAsia="Calibri"/>
          <w:sz w:val="20"/>
          <w:szCs w:val="20"/>
          <w:lang w:val="es-AR" w:eastAsia="en-US"/>
        </w:rPr>
        <w:t xml:space="preserve">la adopción de medidas positivas se acentúa en relación con la protección de personas </w:t>
      </w:r>
      <w:r w:rsidR="00AF5D4C">
        <w:rPr>
          <w:rFonts w:eastAsia="Calibri"/>
          <w:sz w:val="20"/>
          <w:szCs w:val="20"/>
          <w:lang w:val="es-AR" w:eastAsia="en-US"/>
        </w:rPr>
        <w:t xml:space="preserve">en situación de </w:t>
      </w:r>
      <w:r w:rsidRPr="002570D1">
        <w:rPr>
          <w:rFonts w:eastAsia="Calibri"/>
          <w:sz w:val="20"/>
          <w:szCs w:val="20"/>
          <w:lang w:val="es-AR" w:eastAsia="en-US"/>
        </w:rPr>
        <w:t>vulnerab</w:t>
      </w:r>
      <w:r w:rsidR="00AF5D4C">
        <w:rPr>
          <w:rFonts w:eastAsia="Calibri"/>
          <w:sz w:val="20"/>
          <w:szCs w:val="20"/>
          <w:lang w:val="es-AR" w:eastAsia="en-US"/>
        </w:rPr>
        <w:t>ilidad</w:t>
      </w:r>
      <w:r w:rsidR="00A40E5D">
        <w:rPr>
          <w:rFonts w:eastAsia="Calibri"/>
          <w:sz w:val="20"/>
          <w:szCs w:val="20"/>
          <w:lang w:val="es-AR" w:eastAsia="en-US"/>
        </w:rPr>
        <w:t xml:space="preserve"> </w:t>
      </w:r>
      <w:r w:rsidRPr="002570D1">
        <w:rPr>
          <w:rFonts w:eastAsia="Calibri"/>
          <w:sz w:val="20"/>
          <w:szCs w:val="20"/>
          <w:lang w:val="es-AR" w:eastAsia="en-US"/>
        </w:rPr>
        <w:t>o en situación de riesgo, quienes deben tener garantizado el acceso a los servicios médicos de salud en vía de igualdad.</w:t>
      </w:r>
    </w:p>
    <w:p w14:paraId="4D012055" w14:textId="1097B69D" w:rsidR="00911089" w:rsidRDefault="00911089" w:rsidP="00AB1E03">
      <w:pPr>
        <w:tabs>
          <w:tab w:val="left" w:pos="567"/>
        </w:tabs>
        <w:rPr>
          <w:rFonts w:eastAsia="Calibri"/>
          <w:b/>
          <w:sz w:val="20"/>
          <w:szCs w:val="20"/>
          <w:lang w:val="es-MX" w:eastAsia="en-US"/>
        </w:rPr>
      </w:pPr>
    </w:p>
    <w:p w14:paraId="59E0321E" w14:textId="2C96080F" w:rsidR="00832A80" w:rsidRPr="002A64C9" w:rsidRDefault="00832A80" w:rsidP="00832A80">
      <w:pPr>
        <w:numPr>
          <w:ilvl w:val="0"/>
          <w:numId w:val="2"/>
        </w:numPr>
        <w:tabs>
          <w:tab w:val="left" w:pos="567"/>
          <w:tab w:val="num" w:pos="1569"/>
          <w:tab w:val="num" w:pos="12305"/>
        </w:tabs>
        <w:ind w:left="0" w:firstLine="0"/>
        <w:rPr>
          <w:rFonts w:eastAsia="Calibri"/>
          <w:sz w:val="20"/>
          <w:szCs w:val="20"/>
          <w:lang w:val="es-MX" w:eastAsia="en-US"/>
        </w:rPr>
      </w:pPr>
      <w:r w:rsidRPr="002570D1">
        <w:rPr>
          <w:rFonts w:eastAsia="Calibri"/>
          <w:sz w:val="20"/>
          <w:szCs w:val="20"/>
          <w:lang w:val="es-ES_tradnl" w:eastAsia="en-US"/>
        </w:rPr>
        <w:t>En cuarto lugar, la Corte</w:t>
      </w:r>
      <w:r>
        <w:rPr>
          <w:rFonts w:eastAsia="Calibri"/>
          <w:sz w:val="20"/>
          <w:szCs w:val="20"/>
          <w:lang w:val="es-ES_tradnl" w:eastAsia="en-US"/>
        </w:rPr>
        <w:t xml:space="preserve"> sostuvo en el caso </w:t>
      </w:r>
      <w:r w:rsidRPr="002A64C9">
        <w:rPr>
          <w:rFonts w:eastAsia="Calibri"/>
          <w:i/>
          <w:sz w:val="20"/>
          <w:szCs w:val="20"/>
          <w:lang w:val="es-ES_tradnl" w:eastAsia="en-US"/>
        </w:rPr>
        <w:t>Suárez Peralta</w:t>
      </w:r>
      <w:r>
        <w:rPr>
          <w:rFonts w:eastAsia="Calibri"/>
          <w:sz w:val="20"/>
          <w:szCs w:val="20"/>
          <w:lang w:val="es-ES_tradnl" w:eastAsia="en-US"/>
        </w:rPr>
        <w:t xml:space="preserve"> </w:t>
      </w:r>
      <w:r w:rsidRPr="002570D1">
        <w:rPr>
          <w:rFonts w:eastAsia="Calibri"/>
          <w:sz w:val="20"/>
          <w:szCs w:val="20"/>
          <w:lang w:val="es-ES_tradnl" w:eastAsia="en-US"/>
        </w:rPr>
        <w:t>que el Estado debe prever mecanismos de supervisión y fiscalización estatal de las instituciones de salud</w:t>
      </w:r>
      <w:r w:rsidR="00060589">
        <w:rPr>
          <w:rFonts w:eastAsia="Calibri"/>
          <w:sz w:val="20"/>
          <w:szCs w:val="20"/>
          <w:lang w:val="es-ES_tradnl" w:eastAsia="en-US"/>
        </w:rPr>
        <w:t>,</w:t>
      </w:r>
      <w:r>
        <w:rPr>
          <w:rFonts w:eastAsia="Calibri"/>
          <w:sz w:val="20"/>
          <w:szCs w:val="20"/>
          <w:lang w:val="es-ES_tradnl" w:eastAsia="en-US"/>
        </w:rPr>
        <w:t xml:space="preserve"> tanto </w:t>
      </w:r>
      <w:proofErr w:type="gramStart"/>
      <w:r>
        <w:rPr>
          <w:rFonts w:eastAsia="Calibri"/>
          <w:sz w:val="20"/>
          <w:szCs w:val="20"/>
          <w:lang w:val="es-ES_tradnl" w:eastAsia="en-US"/>
        </w:rPr>
        <w:t>públicas como</w:t>
      </w:r>
      <w:r w:rsidR="00BE6FB0">
        <w:rPr>
          <w:rFonts w:eastAsia="Calibri"/>
          <w:sz w:val="20"/>
          <w:szCs w:val="20"/>
          <w:lang w:val="es-ES_tradnl" w:eastAsia="en-US"/>
        </w:rPr>
        <w:t xml:space="preserve"> </w:t>
      </w:r>
      <w:r>
        <w:rPr>
          <w:rFonts w:eastAsia="Calibri"/>
          <w:sz w:val="20"/>
          <w:szCs w:val="20"/>
          <w:lang w:val="es-ES_tradnl" w:eastAsia="en-US"/>
        </w:rPr>
        <w:t>privadas</w:t>
      </w:r>
      <w:proofErr w:type="gramEnd"/>
      <w:r w:rsidRPr="002570D1">
        <w:rPr>
          <w:rFonts w:eastAsia="Calibri"/>
          <w:sz w:val="20"/>
          <w:szCs w:val="20"/>
          <w:vertAlign w:val="superscript"/>
          <w:lang w:val="es-ES_tradnl" w:eastAsia="en-US"/>
        </w:rPr>
        <w:footnoteReference w:id="186"/>
      </w:r>
      <w:r w:rsidRPr="002570D1">
        <w:rPr>
          <w:rFonts w:eastAsia="Calibri"/>
          <w:sz w:val="20"/>
          <w:szCs w:val="20"/>
          <w:lang w:val="es-ES_tradnl" w:eastAsia="en-US"/>
        </w:rPr>
        <w:t>. Al respecto</w:t>
      </w:r>
      <w:r>
        <w:rPr>
          <w:rFonts w:eastAsia="Calibri"/>
          <w:sz w:val="20"/>
          <w:szCs w:val="20"/>
          <w:lang w:val="es-ES_tradnl" w:eastAsia="en-US"/>
        </w:rPr>
        <w:t>,</w:t>
      </w:r>
      <w:r w:rsidRPr="002570D1">
        <w:rPr>
          <w:rFonts w:eastAsia="Calibri"/>
          <w:sz w:val="20"/>
          <w:szCs w:val="20"/>
          <w:lang w:val="es-ES_tradnl" w:eastAsia="en-US"/>
        </w:rPr>
        <w:t xml:space="preserve"> la Corte </w:t>
      </w:r>
      <w:r>
        <w:rPr>
          <w:rFonts w:eastAsia="Calibri"/>
          <w:sz w:val="20"/>
          <w:szCs w:val="20"/>
          <w:lang w:val="es-ES_tradnl" w:eastAsia="en-US"/>
        </w:rPr>
        <w:t xml:space="preserve">ha </w:t>
      </w:r>
      <w:r w:rsidRPr="002570D1">
        <w:rPr>
          <w:rFonts w:eastAsia="Calibri"/>
          <w:sz w:val="20"/>
          <w:szCs w:val="20"/>
          <w:lang w:val="es-ES_tradnl" w:eastAsia="en-US"/>
        </w:rPr>
        <w:t>señal</w:t>
      </w:r>
      <w:r>
        <w:rPr>
          <w:rFonts w:eastAsia="Calibri"/>
          <w:sz w:val="20"/>
          <w:szCs w:val="20"/>
          <w:lang w:val="es-ES_tradnl" w:eastAsia="en-US"/>
        </w:rPr>
        <w:t>ado</w:t>
      </w:r>
      <w:r w:rsidRPr="002570D1">
        <w:rPr>
          <w:rFonts w:eastAsia="Calibri"/>
          <w:sz w:val="20"/>
          <w:szCs w:val="20"/>
          <w:lang w:val="es-ES_tradnl" w:eastAsia="en-US"/>
        </w:rPr>
        <w:t xml:space="preserve"> que cuando se trata de competencias esenciales relacionadas con la supervisión y fiscalización de la prestación de servicios de interés público, como la salud, la atribución de responsabilidad puede surgir por la omisión en el cumplimiento del deber de supervisar la prestación del servicio para proteger el bien respectivo</w:t>
      </w:r>
      <w:r w:rsidRPr="002570D1">
        <w:rPr>
          <w:rFonts w:eastAsia="Calibri"/>
          <w:sz w:val="20"/>
          <w:szCs w:val="20"/>
          <w:vertAlign w:val="superscript"/>
          <w:lang w:val="es-ES_tradnl" w:eastAsia="en-US"/>
        </w:rPr>
        <w:footnoteReference w:id="187"/>
      </w:r>
      <w:r w:rsidRPr="002570D1">
        <w:rPr>
          <w:rFonts w:eastAsia="Calibri"/>
          <w:sz w:val="20"/>
          <w:szCs w:val="20"/>
          <w:lang w:val="es-ES_tradnl" w:eastAsia="en-US"/>
        </w:rPr>
        <w:t xml:space="preserve">. </w:t>
      </w:r>
      <w:r w:rsidRPr="002570D1">
        <w:rPr>
          <w:rFonts w:eastAsia="Calibri"/>
          <w:sz w:val="20"/>
          <w:szCs w:val="20"/>
          <w:lang w:val="es-ES" w:eastAsia="en-US"/>
        </w:rPr>
        <w:t>La Corte ha sostenido que “una eventual atención médica en instituciones sin la debida habilitación, sin estar aptas en su infraestructura o en su higiene para brindar prestaciones médicas, o por profesionales que no cuenten con la debida calificación para tales actividades, podría conllevar una incidencia trascendental en los derechos a la vida o a la integridad del paciente”</w:t>
      </w:r>
      <w:r w:rsidRPr="002570D1">
        <w:rPr>
          <w:rFonts w:eastAsia="Calibri"/>
          <w:sz w:val="20"/>
          <w:szCs w:val="20"/>
          <w:vertAlign w:val="superscript"/>
          <w:lang w:val="es-ES" w:eastAsia="en-US"/>
        </w:rPr>
        <w:footnoteReference w:id="188"/>
      </w:r>
      <w:r w:rsidRPr="002570D1">
        <w:rPr>
          <w:rFonts w:eastAsia="Calibri"/>
          <w:sz w:val="20"/>
          <w:szCs w:val="20"/>
          <w:lang w:val="es-ES" w:eastAsia="en-US"/>
        </w:rPr>
        <w:t>.</w:t>
      </w:r>
      <w:r w:rsidRPr="002570D1">
        <w:rPr>
          <w:rFonts w:eastAsia="Calibri"/>
          <w:sz w:val="20"/>
          <w:szCs w:val="20"/>
          <w:lang w:val="es-ES_tradnl" w:eastAsia="en-US"/>
        </w:rPr>
        <w:t xml:space="preserve"> De esta forma, dicha obligación de supervisión y fiscalización se </w:t>
      </w:r>
      <w:r>
        <w:rPr>
          <w:rFonts w:eastAsia="Calibri"/>
          <w:sz w:val="20"/>
          <w:szCs w:val="20"/>
          <w:lang w:val="es-ES_tradnl" w:eastAsia="en-US"/>
        </w:rPr>
        <w:t xml:space="preserve">debe </w:t>
      </w:r>
      <w:r w:rsidRPr="002570D1">
        <w:rPr>
          <w:rFonts w:eastAsia="Calibri"/>
          <w:sz w:val="20"/>
          <w:szCs w:val="20"/>
          <w:lang w:val="es-ES_tradnl" w:eastAsia="en-US"/>
        </w:rPr>
        <w:t>actualiza</w:t>
      </w:r>
      <w:r>
        <w:rPr>
          <w:rFonts w:eastAsia="Calibri"/>
          <w:sz w:val="20"/>
          <w:szCs w:val="20"/>
          <w:lang w:val="es-ES_tradnl" w:eastAsia="en-US"/>
        </w:rPr>
        <w:t>r de manera constante,</w:t>
      </w:r>
      <w:r w:rsidRPr="002570D1">
        <w:rPr>
          <w:rFonts w:eastAsia="Calibri"/>
          <w:sz w:val="20"/>
          <w:szCs w:val="20"/>
          <w:lang w:val="es-ES_tradnl" w:eastAsia="en-US"/>
        </w:rPr>
        <w:t xml:space="preserve"> particularmente </w:t>
      </w:r>
      <w:r>
        <w:rPr>
          <w:rFonts w:eastAsia="Calibri"/>
          <w:sz w:val="20"/>
          <w:szCs w:val="20"/>
          <w:lang w:val="es-ES_tradnl" w:eastAsia="en-US"/>
        </w:rPr>
        <w:t xml:space="preserve">cuando de </w:t>
      </w:r>
      <w:r w:rsidRPr="002570D1">
        <w:rPr>
          <w:rFonts w:eastAsia="Calibri"/>
          <w:sz w:val="20"/>
          <w:szCs w:val="20"/>
          <w:lang w:val="es-ES_tradnl" w:eastAsia="en-US"/>
        </w:rPr>
        <w:t xml:space="preserve">los servicios de </w:t>
      </w:r>
      <w:r>
        <w:rPr>
          <w:rFonts w:eastAsia="Calibri"/>
          <w:sz w:val="20"/>
          <w:szCs w:val="20"/>
          <w:lang w:val="es-ES_tradnl" w:eastAsia="en-US"/>
        </w:rPr>
        <w:t>urgencia</w:t>
      </w:r>
      <w:r w:rsidRPr="002570D1">
        <w:rPr>
          <w:rFonts w:eastAsia="Calibri"/>
          <w:sz w:val="20"/>
          <w:szCs w:val="20"/>
          <w:lang w:val="es-ES_tradnl" w:eastAsia="en-US"/>
        </w:rPr>
        <w:t xml:space="preserve"> médica</w:t>
      </w:r>
      <w:r>
        <w:rPr>
          <w:rFonts w:eastAsia="Calibri"/>
          <w:sz w:val="20"/>
          <w:szCs w:val="20"/>
          <w:lang w:val="es-ES_tradnl" w:eastAsia="en-US"/>
        </w:rPr>
        <w:t xml:space="preserve"> se trate</w:t>
      </w:r>
      <w:r w:rsidRPr="002570D1">
        <w:rPr>
          <w:rFonts w:eastAsia="Calibri"/>
          <w:sz w:val="20"/>
          <w:szCs w:val="20"/>
          <w:vertAlign w:val="superscript"/>
          <w:lang w:val="es-ES_tradnl" w:eastAsia="en-US"/>
        </w:rPr>
        <w:footnoteReference w:id="189"/>
      </w:r>
      <w:r w:rsidRPr="002570D1">
        <w:rPr>
          <w:rFonts w:eastAsia="Calibri"/>
          <w:sz w:val="20"/>
          <w:szCs w:val="20"/>
          <w:lang w:val="es-ES_tradnl" w:eastAsia="en-US"/>
        </w:rPr>
        <w:t>.</w:t>
      </w:r>
    </w:p>
    <w:p w14:paraId="3F422CC1" w14:textId="486A5002" w:rsidR="00911089" w:rsidRPr="00A34C6F" w:rsidRDefault="002C6D1C" w:rsidP="002C6D1C">
      <w:pPr>
        <w:pStyle w:val="Heading4"/>
        <w:ind w:left="2124"/>
        <w:rPr>
          <w:rFonts w:eastAsia="Calibri"/>
          <w:b/>
          <w:lang w:val="es-MX" w:eastAsia="en-US"/>
        </w:rPr>
      </w:pPr>
      <w:bookmarkStart w:id="80" w:name="_Toc513644469"/>
      <w:r w:rsidRPr="00A34C6F">
        <w:rPr>
          <w:rFonts w:eastAsia="Calibri"/>
          <w:b/>
          <w:lang w:val="es-MX" w:eastAsia="en-US"/>
        </w:rPr>
        <w:t xml:space="preserve">1.1.2 </w:t>
      </w:r>
      <w:r w:rsidR="00911089" w:rsidRPr="00A34C6F">
        <w:rPr>
          <w:rFonts w:eastAsia="Calibri"/>
          <w:b/>
          <w:lang w:val="es-MX" w:eastAsia="en-US"/>
        </w:rPr>
        <w:t xml:space="preserve"> </w:t>
      </w:r>
      <w:r w:rsidRPr="00A34C6F">
        <w:rPr>
          <w:rFonts w:eastAsia="Calibri"/>
          <w:b/>
          <w:lang w:val="es-MX" w:eastAsia="en-US"/>
        </w:rPr>
        <w:t>Respecto de las p</w:t>
      </w:r>
      <w:r w:rsidR="009455C8" w:rsidRPr="00A34C6F">
        <w:rPr>
          <w:rFonts w:eastAsia="Calibri"/>
          <w:b/>
          <w:lang w:val="es-MX" w:eastAsia="en-US"/>
        </w:rPr>
        <w:t xml:space="preserve">ersonas </w:t>
      </w:r>
      <w:r w:rsidR="00911089" w:rsidRPr="00A34C6F">
        <w:rPr>
          <w:rFonts w:eastAsia="Calibri"/>
          <w:b/>
          <w:lang w:val="es-MX" w:eastAsia="en-US"/>
        </w:rPr>
        <w:t>mayores</w:t>
      </w:r>
      <w:r w:rsidR="00D80DE7" w:rsidRPr="00B1523A">
        <w:rPr>
          <w:rStyle w:val="FootnoteReference"/>
          <w:rFonts w:eastAsia="Calibri"/>
          <w:i w:val="0"/>
          <w:szCs w:val="20"/>
          <w:lang w:val="es-MX" w:eastAsia="en-US"/>
        </w:rPr>
        <w:footnoteReference w:id="190"/>
      </w:r>
      <w:r w:rsidR="00D80DE7">
        <w:rPr>
          <w:rFonts w:eastAsia="Calibri"/>
          <w:szCs w:val="20"/>
          <w:lang w:val="es-MX" w:eastAsia="en-US"/>
        </w:rPr>
        <w:t xml:space="preserve"> </w:t>
      </w:r>
      <w:r w:rsidRPr="00A34C6F">
        <w:rPr>
          <w:rFonts w:eastAsia="Calibri"/>
          <w:b/>
          <w:lang w:val="es-MX" w:eastAsia="en-US"/>
        </w:rPr>
        <w:t>en materia de salud</w:t>
      </w:r>
      <w:bookmarkEnd w:id="80"/>
    </w:p>
    <w:p w14:paraId="68BBB3B7" w14:textId="77777777" w:rsidR="00911089" w:rsidRPr="0059117C" w:rsidRDefault="00911089" w:rsidP="0059117C">
      <w:pPr>
        <w:ind w:right="-360"/>
        <w:contextualSpacing/>
        <w:rPr>
          <w:rFonts w:eastAsia="Calibri"/>
          <w:sz w:val="20"/>
          <w:szCs w:val="20"/>
          <w:lang w:eastAsia="en-US"/>
        </w:rPr>
      </w:pPr>
    </w:p>
    <w:p w14:paraId="03EA57E3" w14:textId="215AFB4A" w:rsidR="00366709" w:rsidRPr="0059117C" w:rsidRDefault="009455C8" w:rsidP="0027467C">
      <w:pPr>
        <w:numPr>
          <w:ilvl w:val="0"/>
          <w:numId w:val="2"/>
        </w:numPr>
        <w:tabs>
          <w:tab w:val="left" w:pos="567"/>
          <w:tab w:val="num" w:pos="1569"/>
          <w:tab w:val="num" w:pos="12305"/>
        </w:tabs>
        <w:ind w:left="0" w:firstLine="0"/>
        <w:rPr>
          <w:rFonts w:eastAsia="Calibri"/>
          <w:sz w:val="20"/>
          <w:szCs w:val="20"/>
          <w:lang w:val="es-ES_tradnl" w:eastAsia="en-US"/>
        </w:rPr>
      </w:pPr>
      <w:r>
        <w:rPr>
          <w:rFonts w:eastAsia="Calibri"/>
          <w:sz w:val="20"/>
          <w:szCs w:val="20"/>
          <w:lang w:val="es-MX" w:eastAsia="en-US"/>
        </w:rPr>
        <w:t xml:space="preserve">La Corte </w:t>
      </w:r>
      <w:r w:rsidR="00366709">
        <w:rPr>
          <w:rFonts w:eastAsia="Calibri"/>
          <w:sz w:val="20"/>
          <w:szCs w:val="20"/>
          <w:lang w:val="es-MX" w:eastAsia="en-US"/>
        </w:rPr>
        <w:t xml:space="preserve">destaca la oportunidad de pronunciarse por primera ocasión </w:t>
      </w:r>
      <w:r w:rsidR="00EE6B63">
        <w:rPr>
          <w:rFonts w:eastAsia="Calibri"/>
          <w:sz w:val="20"/>
          <w:szCs w:val="20"/>
          <w:lang w:val="es-MX" w:eastAsia="en-US"/>
        </w:rPr>
        <w:t xml:space="preserve">de manera específica </w:t>
      </w:r>
      <w:r w:rsidR="00366709">
        <w:rPr>
          <w:rFonts w:eastAsia="Calibri"/>
          <w:sz w:val="20"/>
          <w:szCs w:val="20"/>
          <w:lang w:val="es-MX" w:eastAsia="en-US"/>
        </w:rPr>
        <w:t>sobre los derechos de las personas mayores</w:t>
      </w:r>
      <w:r w:rsidR="00D80DE7">
        <w:rPr>
          <w:rFonts w:eastAsia="Calibri"/>
          <w:sz w:val="20"/>
          <w:szCs w:val="20"/>
          <w:lang w:val="es-MX" w:eastAsia="en-US"/>
        </w:rPr>
        <w:t xml:space="preserve"> </w:t>
      </w:r>
      <w:r w:rsidR="00366709">
        <w:rPr>
          <w:rFonts w:eastAsia="Calibri"/>
          <w:sz w:val="20"/>
          <w:szCs w:val="20"/>
          <w:lang w:val="es-MX" w:eastAsia="en-US"/>
        </w:rPr>
        <w:t>en materia de salud</w:t>
      </w:r>
      <w:r w:rsidR="00EE6B63">
        <w:rPr>
          <w:rStyle w:val="FootnoteReference"/>
          <w:rFonts w:eastAsia="Calibri"/>
          <w:sz w:val="20"/>
          <w:szCs w:val="20"/>
          <w:lang w:val="es-MX" w:eastAsia="en-US"/>
        </w:rPr>
        <w:footnoteReference w:id="191"/>
      </w:r>
      <w:r w:rsidR="00366709">
        <w:rPr>
          <w:rFonts w:eastAsia="Calibri"/>
          <w:sz w:val="20"/>
          <w:szCs w:val="20"/>
          <w:lang w:val="es-MX" w:eastAsia="en-US"/>
        </w:rPr>
        <w:t xml:space="preserve">. </w:t>
      </w:r>
    </w:p>
    <w:p w14:paraId="503A623A" w14:textId="77777777" w:rsidR="00366709" w:rsidRPr="0059117C" w:rsidRDefault="00366709" w:rsidP="0059117C">
      <w:pPr>
        <w:tabs>
          <w:tab w:val="left" w:pos="567"/>
        </w:tabs>
        <w:rPr>
          <w:rFonts w:eastAsia="Calibri"/>
          <w:sz w:val="20"/>
          <w:szCs w:val="20"/>
          <w:lang w:val="es-ES_tradnl" w:eastAsia="en-US"/>
        </w:rPr>
      </w:pPr>
    </w:p>
    <w:p w14:paraId="6AD71ED6" w14:textId="1340DB59" w:rsidR="00911089" w:rsidRPr="0027467C" w:rsidRDefault="008E3E41" w:rsidP="0027467C">
      <w:pPr>
        <w:numPr>
          <w:ilvl w:val="0"/>
          <w:numId w:val="2"/>
        </w:numPr>
        <w:tabs>
          <w:tab w:val="left" w:pos="567"/>
          <w:tab w:val="num" w:pos="1569"/>
          <w:tab w:val="num" w:pos="12305"/>
        </w:tabs>
        <w:ind w:left="0" w:firstLine="0"/>
        <w:rPr>
          <w:rFonts w:eastAsia="Calibri"/>
          <w:sz w:val="20"/>
          <w:szCs w:val="20"/>
          <w:lang w:val="es-ES_tradnl" w:eastAsia="en-US"/>
        </w:rPr>
      </w:pPr>
      <w:r>
        <w:rPr>
          <w:rFonts w:eastAsia="Calibri"/>
          <w:sz w:val="20"/>
          <w:szCs w:val="20"/>
          <w:lang w:val="es-MX" w:eastAsia="en-US"/>
        </w:rPr>
        <w:t>Este Tribunal</w:t>
      </w:r>
      <w:r w:rsidR="00366709">
        <w:rPr>
          <w:rFonts w:eastAsia="Calibri"/>
          <w:sz w:val="20"/>
          <w:szCs w:val="20"/>
          <w:lang w:val="es-MX" w:eastAsia="en-US"/>
        </w:rPr>
        <w:t>, verifica el importante desarrollo y consolidación de estándares internacionales en esta materia</w:t>
      </w:r>
      <w:r w:rsidR="00366709">
        <w:rPr>
          <w:rFonts w:eastAsia="Calibri"/>
          <w:i/>
          <w:sz w:val="20"/>
          <w:lang w:val="es-MX"/>
        </w:rPr>
        <w:t xml:space="preserve">. </w:t>
      </w:r>
      <w:r w:rsidR="00366709">
        <w:rPr>
          <w:rFonts w:eastAsia="Calibri"/>
          <w:sz w:val="20"/>
          <w:szCs w:val="20"/>
          <w:lang w:val="es-ES_tradnl" w:eastAsia="en-US"/>
        </w:rPr>
        <w:t>Así, e</w:t>
      </w:r>
      <w:r w:rsidR="00911089" w:rsidRPr="002570D1">
        <w:rPr>
          <w:rFonts w:eastAsia="Calibri"/>
          <w:sz w:val="20"/>
          <w:szCs w:val="20"/>
          <w:lang w:val="es-MX" w:eastAsia="en-US"/>
        </w:rPr>
        <w:t xml:space="preserve">l artículo 17 </w:t>
      </w:r>
      <w:r w:rsidR="00911089">
        <w:rPr>
          <w:rFonts w:eastAsia="Calibri"/>
          <w:sz w:val="20"/>
          <w:szCs w:val="20"/>
          <w:lang w:val="es-MX" w:eastAsia="en-US"/>
        </w:rPr>
        <w:t xml:space="preserve">del </w:t>
      </w:r>
      <w:r w:rsidR="00911089" w:rsidRPr="002570D1">
        <w:rPr>
          <w:rFonts w:eastAsia="Calibri"/>
          <w:sz w:val="20"/>
          <w:szCs w:val="20"/>
          <w:lang w:val="es-MX" w:eastAsia="en-US"/>
        </w:rPr>
        <w:t xml:space="preserve">Protocolo </w:t>
      </w:r>
      <w:r w:rsidR="00911089">
        <w:rPr>
          <w:rFonts w:eastAsia="Calibri"/>
          <w:sz w:val="20"/>
          <w:szCs w:val="20"/>
          <w:lang w:val="es-MX" w:eastAsia="en-US"/>
        </w:rPr>
        <w:t xml:space="preserve">de San Salvador, contempla </w:t>
      </w:r>
      <w:r w:rsidR="00911089" w:rsidRPr="002570D1">
        <w:rPr>
          <w:rFonts w:eastAsia="Calibri"/>
          <w:sz w:val="20"/>
          <w:szCs w:val="20"/>
          <w:lang w:val="es-MX" w:eastAsia="en-US"/>
        </w:rPr>
        <w:t xml:space="preserve">el derecho a la salud de </w:t>
      </w:r>
      <w:r w:rsidR="0001661C" w:rsidRPr="00B1523A">
        <w:rPr>
          <w:rFonts w:eastAsia="Calibri"/>
          <w:sz w:val="20"/>
          <w:szCs w:val="20"/>
          <w:lang w:val="es-MX" w:eastAsia="en-US"/>
        </w:rPr>
        <w:t>las personas mayores</w:t>
      </w:r>
      <w:r w:rsidR="00911089">
        <w:rPr>
          <w:rStyle w:val="FootnoteReference"/>
          <w:rFonts w:eastAsia="Calibri"/>
          <w:sz w:val="20"/>
          <w:szCs w:val="20"/>
          <w:lang w:val="es-MX" w:eastAsia="en-US"/>
        </w:rPr>
        <w:footnoteReference w:id="192"/>
      </w:r>
      <w:r w:rsidR="006823B8">
        <w:rPr>
          <w:rFonts w:eastAsia="Calibri"/>
          <w:sz w:val="20"/>
          <w:szCs w:val="20"/>
          <w:lang w:val="es-MX" w:eastAsia="en-US"/>
        </w:rPr>
        <w:t>;</w:t>
      </w:r>
      <w:r w:rsidR="0027467C">
        <w:rPr>
          <w:rFonts w:eastAsia="Calibri"/>
          <w:sz w:val="20"/>
          <w:szCs w:val="20"/>
          <w:lang w:val="es-MX" w:eastAsia="en-US"/>
        </w:rPr>
        <w:t xml:space="preserve"> </w:t>
      </w:r>
      <w:r w:rsidR="0027467C" w:rsidRPr="00115056">
        <w:rPr>
          <w:rFonts w:eastAsia="Calibri"/>
          <w:sz w:val="20"/>
          <w:szCs w:val="20"/>
          <w:lang w:val="es-AR" w:eastAsia="en-US"/>
        </w:rPr>
        <w:t>el Protocolo de la Carta Africana de Derechos Humanos y de los Pueblos relativo a los Derechos de las Personas de Edad en África</w:t>
      </w:r>
      <w:r w:rsidR="0027467C" w:rsidRPr="00115056">
        <w:rPr>
          <w:rFonts w:eastAsia="Calibri"/>
          <w:sz w:val="20"/>
          <w:szCs w:val="20"/>
          <w:vertAlign w:val="superscript"/>
          <w:lang w:val="es-AR" w:eastAsia="en-US"/>
        </w:rPr>
        <w:footnoteReference w:id="193"/>
      </w:r>
      <w:r w:rsidR="005D383C">
        <w:rPr>
          <w:rFonts w:eastAsia="Calibri"/>
          <w:sz w:val="20"/>
          <w:szCs w:val="20"/>
          <w:lang w:val="es-MX" w:eastAsia="en-US"/>
        </w:rPr>
        <w:t xml:space="preserve">, </w:t>
      </w:r>
      <w:r w:rsidR="006823B8">
        <w:rPr>
          <w:rFonts w:eastAsia="Calibri"/>
          <w:sz w:val="20"/>
          <w:szCs w:val="20"/>
          <w:lang w:val="es-MX" w:eastAsia="en-US"/>
        </w:rPr>
        <w:t xml:space="preserve">y </w:t>
      </w:r>
      <w:r w:rsidR="005D383C" w:rsidRPr="00B1523A">
        <w:rPr>
          <w:rFonts w:eastAsia="Calibri"/>
          <w:sz w:val="20"/>
          <w:szCs w:val="20"/>
          <w:lang w:val="es-MX"/>
        </w:rPr>
        <w:t>la Carta Social Europea</w:t>
      </w:r>
      <w:r w:rsidR="005D383C" w:rsidRPr="00B1523A">
        <w:rPr>
          <w:rStyle w:val="FootnoteReference"/>
          <w:rFonts w:eastAsia="Calibri"/>
          <w:sz w:val="20"/>
          <w:lang w:val="es-MX"/>
        </w:rPr>
        <w:footnoteReference w:id="194"/>
      </w:r>
      <w:r w:rsidR="005D383C" w:rsidRPr="00455522">
        <w:rPr>
          <w:rFonts w:eastAsia="Calibri"/>
          <w:sz w:val="20"/>
          <w:szCs w:val="20"/>
          <w:lang w:val="es-MX"/>
        </w:rPr>
        <w:t>.</w:t>
      </w:r>
      <w:r w:rsidR="005D383C">
        <w:rPr>
          <w:rFonts w:eastAsia="Calibri"/>
          <w:sz w:val="20"/>
          <w:szCs w:val="20"/>
          <w:lang w:val="es-MX"/>
        </w:rPr>
        <w:t xml:space="preserve"> </w:t>
      </w:r>
      <w:r w:rsidR="001218A0">
        <w:rPr>
          <w:rFonts w:eastAsia="Calibri"/>
          <w:sz w:val="20"/>
          <w:szCs w:val="20"/>
          <w:lang w:val="es-MX" w:eastAsia="en-US"/>
        </w:rPr>
        <w:t>Particular atención merece la reciente adopción de</w:t>
      </w:r>
      <w:r w:rsidR="001218A0" w:rsidRPr="002570D1">
        <w:rPr>
          <w:rFonts w:eastAsia="Calibri"/>
          <w:sz w:val="20"/>
          <w:szCs w:val="20"/>
          <w:lang w:val="es-MX" w:eastAsia="en-US"/>
        </w:rPr>
        <w:t xml:space="preserve"> la Convención Interamericana sobre </w:t>
      </w:r>
      <w:r w:rsidR="00086B4C">
        <w:rPr>
          <w:rFonts w:eastAsia="Calibri"/>
          <w:sz w:val="20"/>
          <w:szCs w:val="20"/>
          <w:lang w:val="es-MX" w:eastAsia="en-US"/>
        </w:rPr>
        <w:t xml:space="preserve">la </w:t>
      </w:r>
      <w:r w:rsidR="001218A0" w:rsidRPr="002570D1">
        <w:rPr>
          <w:rFonts w:eastAsia="Calibri"/>
          <w:sz w:val="20"/>
          <w:szCs w:val="20"/>
          <w:lang w:val="es-MX" w:eastAsia="en-US"/>
        </w:rPr>
        <w:t>Protección de los Derechos Humanos de las Personas Mayores</w:t>
      </w:r>
      <w:r w:rsidR="001218A0" w:rsidRPr="002570D1">
        <w:rPr>
          <w:rFonts w:eastAsia="Calibri"/>
          <w:sz w:val="20"/>
          <w:szCs w:val="20"/>
          <w:vertAlign w:val="superscript"/>
          <w:lang w:val="es-MX" w:eastAsia="en-US"/>
        </w:rPr>
        <w:footnoteReference w:id="195"/>
      </w:r>
      <w:r w:rsidR="001218A0" w:rsidRPr="002570D1">
        <w:rPr>
          <w:rFonts w:eastAsia="Calibri"/>
          <w:sz w:val="20"/>
          <w:szCs w:val="20"/>
          <w:lang w:val="es-MX" w:eastAsia="en-US"/>
        </w:rPr>
        <w:t xml:space="preserve">, </w:t>
      </w:r>
      <w:r w:rsidR="001218A0">
        <w:rPr>
          <w:rFonts w:eastAsia="Calibri"/>
          <w:sz w:val="20"/>
          <w:szCs w:val="20"/>
          <w:lang w:val="es-MX" w:eastAsia="en-US"/>
        </w:rPr>
        <w:t xml:space="preserve">la cual </w:t>
      </w:r>
      <w:r w:rsidR="001218A0" w:rsidRPr="002570D1">
        <w:rPr>
          <w:rFonts w:eastAsia="Calibri"/>
          <w:sz w:val="20"/>
          <w:szCs w:val="20"/>
          <w:lang w:val="es-MX" w:eastAsia="en-US"/>
        </w:rPr>
        <w:t>reconoce que la persona mayor tiene derecho a su salud física y mental, sin ningún tipo de discriminación</w:t>
      </w:r>
      <w:r w:rsidR="0027467C">
        <w:rPr>
          <w:rFonts w:eastAsia="Calibri"/>
          <w:sz w:val="20"/>
          <w:szCs w:val="20"/>
          <w:lang w:val="es-MX" w:eastAsia="en-US"/>
        </w:rPr>
        <w:t>, entre otra</w:t>
      </w:r>
      <w:r w:rsidR="001218A0">
        <w:rPr>
          <w:rFonts w:eastAsia="Calibri"/>
          <w:sz w:val="20"/>
          <w:szCs w:val="20"/>
          <w:lang w:val="es-MX" w:eastAsia="en-US"/>
        </w:rPr>
        <w:t>s</w:t>
      </w:r>
      <w:r w:rsidR="001218A0">
        <w:rPr>
          <w:rStyle w:val="FootnoteReference"/>
          <w:rFonts w:eastAsia="Calibri"/>
          <w:sz w:val="20"/>
          <w:szCs w:val="20"/>
          <w:lang w:val="es-MX" w:eastAsia="en-US"/>
        </w:rPr>
        <w:footnoteReference w:id="196"/>
      </w:r>
      <w:r w:rsidR="001218A0" w:rsidRPr="002570D1">
        <w:rPr>
          <w:rFonts w:eastAsia="Calibri"/>
          <w:sz w:val="20"/>
          <w:szCs w:val="20"/>
          <w:lang w:val="es-MX" w:eastAsia="en-US"/>
        </w:rPr>
        <w:t>.</w:t>
      </w:r>
      <w:r w:rsidR="0027467C">
        <w:rPr>
          <w:rFonts w:eastAsia="Calibri"/>
          <w:sz w:val="20"/>
          <w:szCs w:val="20"/>
          <w:lang w:val="es-MX" w:eastAsia="en-US"/>
        </w:rPr>
        <w:t xml:space="preserve"> Asimismo, observa demás desarrollos en la materia, tales como: </w:t>
      </w:r>
      <w:r w:rsidR="0027467C" w:rsidRPr="0027467C">
        <w:rPr>
          <w:rFonts w:eastAsia="Calibri"/>
          <w:sz w:val="20"/>
          <w:szCs w:val="20"/>
          <w:lang w:val="es-MX" w:eastAsia="en-US"/>
        </w:rPr>
        <w:t xml:space="preserve">los Principios de las Naciones Unidas en </w:t>
      </w:r>
      <w:r w:rsidR="00086B4C">
        <w:rPr>
          <w:rFonts w:eastAsia="Calibri"/>
          <w:sz w:val="20"/>
          <w:szCs w:val="20"/>
          <w:lang w:val="es-MX" w:eastAsia="en-US"/>
        </w:rPr>
        <w:t>F</w:t>
      </w:r>
      <w:r w:rsidR="0027467C" w:rsidRPr="0027467C">
        <w:rPr>
          <w:rFonts w:eastAsia="Calibri"/>
          <w:sz w:val="20"/>
          <w:szCs w:val="20"/>
          <w:lang w:val="es-MX" w:eastAsia="en-US"/>
        </w:rPr>
        <w:t>avor de las Personas de Edad</w:t>
      </w:r>
      <w:r w:rsidR="0027467C" w:rsidRPr="002570D1">
        <w:rPr>
          <w:rFonts w:eastAsia="Calibri"/>
          <w:sz w:val="20"/>
          <w:szCs w:val="20"/>
          <w:vertAlign w:val="superscript"/>
          <w:lang w:val="es-MX" w:eastAsia="en-US"/>
        </w:rPr>
        <w:footnoteReference w:id="197"/>
      </w:r>
      <w:r w:rsidR="0027467C">
        <w:rPr>
          <w:rFonts w:eastAsia="Calibri"/>
          <w:sz w:val="20"/>
          <w:szCs w:val="20"/>
          <w:lang w:val="es-MX" w:eastAsia="en-US"/>
        </w:rPr>
        <w:t xml:space="preserve">, </w:t>
      </w:r>
      <w:r w:rsidR="00911089" w:rsidRPr="0027467C">
        <w:rPr>
          <w:rFonts w:eastAsia="Calibri"/>
          <w:sz w:val="20"/>
          <w:szCs w:val="20"/>
          <w:lang w:val="es-MX" w:eastAsia="en-US"/>
        </w:rPr>
        <w:t>el Plan de Acción Internacional de Viena sobre Envejecimiento</w:t>
      </w:r>
      <w:r w:rsidR="00911089">
        <w:rPr>
          <w:rStyle w:val="FootnoteReference"/>
          <w:rFonts w:eastAsia="Calibri"/>
          <w:sz w:val="20"/>
          <w:szCs w:val="20"/>
          <w:lang w:val="es-MX" w:eastAsia="en-US"/>
        </w:rPr>
        <w:footnoteReference w:id="198"/>
      </w:r>
      <w:r w:rsidR="00911089" w:rsidRPr="0027467C">
        <w:rPr>
          <w:rFonts w:eastAsia="Calibri"/>
          <w:sz w:val="20"/>
          <w:szCs w:val="20"/>
          <w:lang w:val="es-MX" w:eastAsia="en-US"/>
        </w:rPr>
        <w:t>, la Proclamación sobre el Envejecimiento</w:t>
      </w:r>
      <w:r w:rsidR="00911089" w:rsidRPr="002570D1">
        <w:rPr>
          <w:rFonts w:eastAsia="Calibri"/>
          <w:sz w:val="20"/>
          <w:szCs w:val="20"/>
          <w:vertAlign w:val="superscript"/>
          <w:lang w:val="es-MX" w:eastAsia="en-US"/>
        </w:rPr>
        <w:footnoteReference w:id="199"/>
      </w:r>
      <w:r w:rsidR="00911089" w:rsidRPr="0027467C">
        <w:rPr>
          <w:rFonts w:eastAsia="Calibri"/>
          <w:sz w:val="20"/>
          <w:szCs w:val="20"/>
          <w:lang w:val="es-MX" w:eastAsia="en-US"/>
        </w:rPr>
        <w:t>, la Declaración Política y el Plan de Acción Internacional de Madrid sobre el Envejecimiento</w:t>
      </w:r>
      <w:r w:rsidR="00911089" w:rsidRPr="002570D1">
        <w:rPr>
          <w:rFonts w:eastAsia="Calibri"/>
          <w:sz w:val="20"/>
          <w:szCs w:val="20"/>
          <w:vertAlign w:val="superscript"/>
          <w:lang w:val="es-MX" w:eastAsia="en-US"/>
        </w:rPr>
        <w:footnoteReference w:id="200"/>
      </w:r>
      <w:r w:rsidR="00911089" w:rsidRPr="0027467C">
        <w:rPr>
          <w:rFonts w:eastAsia="Calibri"/>
          <w:sz w:val="20"/>
          <w:szCs w:val="20"/>
          <w:lang w:val="es-MX" w:eastAsia="en-US"/>
        </w:rPr>
        <w:t>, así como</w:t>
      </w:r>
      <w:r w:rsidR="0027467C">
        <w:rPr>
          <w:rFonts w:eastAsia="Calibri"/>
          <w:sz w:val="20"/>
          <w:szCs w:val="20"/>
          <w:lang w:val="es-MX" w:eastAsia="en-US"/>
        </w:rPr>
        <w:t xml:space="preserve"> otros</w:t>
      </w:r>
      <w:r w:rsidR="00911089" w:rsidRPr="0027467C">
        <w:rPr>
          <w:rFonts w:eastAsia="Calibri"/>
          <w:sz w:val="20"/>
          <w:szCs w:val="20"/>
          <w:lang w:val="es-MX" w:eastAsia="en-US"/>
        </w:rPr>
        <w:t xml:space="preserve"> </w:t>
      </w:r>
      <w:r w:rsidR="0027467C">
        <w:rPr>
          <w:rFonts w:eastAsia="Calibri"/>
          <w:sz w:val="20"/>
          <w:szCs w:val="20"/>
          <w:lang w:val="es-MX" w:eastAsia="en-US"/>
        </w:rPr>
        <w:t xml:space="preserve">de carácter regional, </w:t>
      </w:r>
      <w:r w:rsidR="00911089" w:rsidRPr="0027467C">
        <w:rPr>
          <w:rFonts w:eastAsia="Calibri"/>
          <w:sz w:val="20"/>
          <w:szCs w:val="20"/>
          <w:lang w:val="es-MX" w:eastAsia="en-US"/>
        </w:rPr>
        <w:t>tales como</w:t>
      </w:r>
      <w:r w:rsidR="0027467C">
        <w:rPr>
          <w:rFonts w:eastAsia="Calibri"/>
          <w:sz w:val="20"/>
          <w:szCs w:val="20"/>
          <w:lang w:val="es-MX" w:eastAsia="en-US"/>
        </w:rPr>
        <w:t>:</w:t>
      </w:r>
      <w:r w:rsidR="00911089" w:rsidRPr="0027467C">
        <w:rPr>
          <w:rFonts w:eastAsia="Calibri"/>
          <w:sz w:val="20"/>
          <w:szCs w:val="20"/>
          <w:lang w:val="es-MX" w:eastAsia="en-US"/>
        </w:rPr>
        <w:t xml:space="preserve"> la Estrategia Regional de </w:t>
      </w:r>
      <w:r w:rsidR="006B5AEE">
        <w:rPr>
          <w:rFonts w:eastAsia="Calibri"/>
          <w:sz w:val="20"/>
          <w:szCs w:val="20"/>
          <w:lang w:val="es-MX" w:eastAsia="en-US"/>
        </w:rPr>
        <w:t>I</w:t>
      </w:r>
      <w:r w:rsidR="00911089" w:rsidRPr="0027467C">
        <w:rPr>
          <w:rFonts w:eastAsia="Calibri"/>
          <w:sz w:val="20"/>
          <w:szCs w:val="20"/>
          <w:lang w:val="es-MX" w:eastAsia="en-US"/>
        </w:rPr>
        <w:t>mplementación para América Latina y el Caribe</w:t>
      </w:r>
      <w:r w:rsidR="00911089" w:rsidRPr="002570D1">
        <w:rPr>
          <w:rFonts w:eastAsia="Calibri"/>
          <w:sz w:val="20"/>
          <w:szCs w:val="20"/>
          <w:vertAlign w:val="superscript"/>
          <w:lang w:val="es-MX" w:eastAsia="en-US"/>
        </w:rPr>
        <w:footnoteReference w:id="201"/>
      </w:r>
      <w:r w:rsidR="00911089" w:rsidRPr="0027467C">
        <w:rPr>
          <w:rFonts w:eastAsia="Calibri"/>
          <w:sz w:val="20"/>
          <w:szCs w:val="20"/>
          <w:lang w:val="es-MX" w:eastAsia="en-US"/>
        </w:rPr>
        <w:t>, la Declaración de Brasilia</w:t>
      </w:r>
      <w:r w:rsidR="00911089" w:rsidRPr="002570D1">
        <w:rPr>
          <w:rFonts w:eastAsia="Calibri"/>
          <w:sz w:val="20"/>
          <w:szCs w:val="20"/>
          <w:vertAlign w:val="superscript"/>
          <w:lang w:val="es-MX" w:eastAsia="en-US"/>
        </w:rPr>
        <w:footnoteReference w:id="202"/>
      </w:r>
      <w:r w:rsidR="00911089" w:rsidRPr="0027467C">
        <w:rPr>
          <w:rFonts w:eastAsia="Calibri"/>
          <w:sz w:val="20"/>
          <w:szCs w:val="20"/>
          <w:lang w:val="es-MX" w:eastAsia="en-US"/>
        </w:rPr>
        <w:t xml:space="preserve">, el Plan de Acción de la Organización Panamericana de la Salud sobre la </w:t>
      </w:r>
      <w:r w:rsidR="00086B4C">
        <w:rPr>
          <w:rFonts w:eastAsia="Calibri"/>
          <w:sz w:val="20"/>
          <w:szCs w:val="20"/>
          <w:lang w:val="es-MX" w:eastAsia="en-US"/>
        </w:rPr>
        <w:t>S</w:t>
      </w:r>
      <w:r w:rsidR="00911089" w:rsidRPr="0027467C">
        <w:rPr>
          <w:rFonts w:eastAsia="Calibri"/>
          <w:sz w:val="20"/>
          <w:szCs w:val="20"/>
          <w:lang w:val="es-MX" w:eastAsia="en-US"/>
        </w:rPr>
        <w:t xml:space="preserve">alud de las </w:t>
      </w:r>
      <w:r w:rsidR="00086B4C">
        <w:rPr>
          <w:rFonts w:eastAsia="Calibri"/>
          <w:sz w:val="20"/>
          <w:szCs w:val="20"/>
          <w:lang w:val="es-MX" w:eastAsia="en-US"/>
        </w:rPr>
        <w:t>P</w:t>
      </w:r>
      <w:r w:rsidR="00911089" w:rsidRPr="0027467C">
        <w:rPr>
          <w:rFonts w:eastAsia="Calibri"/>
          <w:sz w:val="20"/>
          <w:szCs w:val="20"/>
          <w:lang w:val="es-MX" w:eastAsia="en-US"/>
        </w:rPr>
        <w:t xml:space="preserve">ersonas </w:t>
      </w:r>
      <w:r w:rsidR="00086B4C">
        <w:rPr>
          <w:rFonts w:eastAsia="Calibri"/>
          <w:sz w:val="20"/>
          <w:szCs w:val="20"/>
          <w:lang w:val="es-MX" w:eastAsia="en-US"/>
        </w:rPr>
        <w:t>M</w:t>
      </w:r>
      <w:r w:rsidR="00911089" w:rsidRPr="0027467C">
        <w:rPr>
          <w:rFonts w:eastAsia="Calibri"/>
          <w:sz w:val="20"/>
          <w:szCs w:val="20"/>
          <w:lang w:val="es-MX" w:eastAsia="en-US"/>
        </w:rPr>
        <w:t xml:space="preserve">ayores, incluido el </w:t>
      </w:r>
      <w:r w:rsidR="00086B4C">
        <w:rPr>
          <w:rFonts w:eastAsia="Calibri"/>
          <w:sz w:val="20"/>
          <w:szCs w:val="20"/>
          <w:lang w:val="es-MX" w:eastAsia="en-US"/>
        </w:rPr>
        <w:t>E</w:t>
      </w:r>
      <w:r w:rsidR="00911089" w:rsidRPr="0027467C">
        <w:rPr>
          <w:rFonts w:eastAsia="Calibri"/>
          <w:sz w:val="20"/>
          <w:szCs w:val="20"/>
          <w:lang w:val="es-MX" w:eastAsia="en-US"/>
        </w:rPr>
        <w:t xml:space="preserve">nvejecimiento </w:t>
      </w:r>
      <w:r w:rsidR="00086B4C">
        <w:rPr>
          <w:rFonts w:eastAsia="Calibri"/>
          <w:sz w:val="20"/>
          <w:szCs w:val="20"/>
          <w:lang w:val="es-MX" w:eastAsia="en-US"/>
        </w:rPr>
        <w:t>A</w:t>
      </w:r>
      <w:r w:rsidR="00911089" w:rsidRPr="0027467C">
        <w:rPr>
          <w:rFonts w:eastAsia="Calibri"/>
          <w:sz w:val="20"/>
          <w:szCs w:val="20"/>
          <w:lang w:val="es-MX" w:eastAsia="en-US"/>
        </w:rPr>
        <w:t xml:space="preserve">ctivo y </w:t>
      </w:r>
      <w:r w:rsidR="00086B4C">
        <w:rPr>
          <w:rFonts w:eastAsia="Calibri"/>
          <w:sz w:val="20"/>
          <w:szCs w:val="20"/>
          <w:lang w:val="es-MX" w:eastAsia="en-US"/>
        </w:rPr>
        <w:t>S</w:t>
      </w:r>
      <w:r w:rsidR="00911089" w:rsidRPr="0027467C">
        <w:rPr>
          <w:rFonts w:eastAsia="Calibri"/>
          <w:sz w:val="20"/>
          <w:szCs w:val="20"/>
          <w:lang w:val="es-MX" w:eastAsia="en-US"/>
        </w:rPr>
        <w:t>aludable</w:t>
      </w:r>
      <w:r w:rsidR="00911089" w:rsidRPr="002570D1">
        <w:rPr>
          <w:rFonts w:eastAsia="Calibri"/>
          <w:sz w:val="20"/>
          <w:szCs w:val="20"/>
          <w:vertAlign w:val="superscript"/>
          <w:lang w:val="es-MX" w:eastAsia="en-US"/>
        </w:rPr>
        <w:footnoteReference w:id="203"/>
      </w:r>
      <w:r w:rsidR="00911089" w:rsidRPr="0027467C">
        <w:rPr>
          <w:rFonts w:eastAsia="Calibri"/>
          <w:sz w:val="20"/>
          <w:szCs w:val="20"/>
          <w:lang w:val="es-MX" w:eastAsia="en-US"/>
        </w:rPr>
        <w:t>, la Declaración de Compromiso de Puerto España</w:t>
      </w:r>
      <w:r w:rsidR="00911089" w:rsidRPr="002570D1">
        <w:rPr>
          <w:rFonts w:eastAsia="Calibri"/>
          <w:sz w:val="20"/>
          <w:szCs w:val="20"/>
          <w:vertAlign w:val="superscript"/>
          <w:lang w:val="es-MX" w:eastAsia="en-US"/>
        </w:rPr>
        <w:footnoteReference w:id="204"/>
      </w:r>
      <w:r w:rsidR="00911089" w:rsidRPr="0027467C">
        <w:rPr>
          <w:rFonts w:eastAsia="Calibri"/>
          <w:sz w:val="20"/>
          <w:szCs w:val="20"/>
          <w:lang w:val="es-MX" w:eastAsia="en-US"/>
        </w:rPr>
        <w:t xml:space="preserve">, la Carta de San José sobre los </w:t>
      </w:r>
      <w:r w:rsidR="00086B4C">
        <w:rPr>
          <w:rFonts w:eastAsia="Calibri"/>
          <w:sz w:val="20"/>
          <w:szCs w:val="20"/>
          <w:lang w:val="es-MX" w:eastAsia="en-US"/>
        </w:rPr>
        <w:t>D</w:t>
      </w:r>
      <w:r w:rsidR="00911089" w:rsidRPr="0027467C">
        <w:rPr>
          <w:rFonts w:eastAsia="Calibri"/>
          <w:sz w:val="20"/>
          <w:szCs w:val="20"/>
          <w:lang w:val="es-MX" w:eastAsia="en-US"/>
        </w:rPr>
        <w:t xml:space="preserve">erechos de las </w:t>
      </w:r>
      <w:r w:rsidR="00086B4C">
        <w:rPr>
          <w:rFonts w:eastAsia="Calibri"/>
          <w:sz w:val="20"/>
          <w:szCs w:val="20"/>
          <w:lang w:val="es-MX" w:eastAsia="en-US"/>
        </w:rPr>
        <w:t>P</w:t>
      </w:r>
      <w:r w:rsidR="00911089" w:rsidRPr="0027467C">
        <w:rPr>
          <w:rFonts w:eastAsia="Calibri"/>
          <w:sz w:val="20"/>
          <w:szCs w:val="20"/>
          <w:lang w:val="es-MX" w:eastAsia="en-US"/>
        </w:rPr>
        <w:t xml:space="preserve">ersonas </w:t>
      </w:r>
      <w:r w:rsidR="00086B4C">
        <w:rPr>
          <w:rFonts w:eastAsia="Calibri"/>
          <w:sz w:val="20"/>
          <w:szCs w:val="20"/>
          <w:lang w:val="es-MX" w:eastAsia="en-US"/>
        </w:rPr>
        <w:t>M</w:t>
      </w:r>
      <w:r w:rsidR="00911089" w:rsidRPr="0027467C">
        <w:rPr>
          <w:rFonts w:eastAsia="Calibri"/>
          <w:sz w:val="20"/>
          <w:szCs w:val="20"/>
          <w:lang w:val="es-MX" w:eastAsia="en-US"/>
        </w:rPr>
        <w:t>ayores de América Latina y el Caribe</w:t>
      </w:r>
      <w:r w:rsidR="00911089" w:rsidRPr="002570D1">
        <w:rPr>
          <w:rFonts w:eastAsia="Calibri"/>
          <w:sz w:val="20"/>
          <w:szCs w:val="20"/>
          <w:vertAlign w:val="superscript"/>
          <w:lang w:val="es-MX" w:eastAsia="en-US"/>
        </w:rPr>
        <w:footnoteReference w:id="205"/>
      </w:r>
      <w:r w:rsidR="00911089" w:rsidRPr="0027467C">
        <w:rPr>
          <w:rFonts w:eastAsia="Calibri"/>
          <w:sz w:val="20"/>
          <w:szCs w:val="20"/>
          <w:lang w:val="es-MX" w:eastAsia="en-US"/>
        </w:rPr>
        <w:t xml:space="preserve">. </w:t>
      </w:r>
    </w:p>
    <w:p w14:paraId="59C6FACA" w14:textId="77777777" w:rsidR="00911089" w:rsidRDefault="00911089" w:rsidP="00911089">
      <w:pPr>
        <w:tabs>
          <w:tab w:val="left" w:pos="567"/>
        </w:tabs>
        <w:rPr>
          <w:rFonts w:eastAsia="Calibri"/>
          <w:sz w:val="20"/>
          <w:szCs w:val="20"/>
          <w:lang w:val="es-ES_tradnl" w:eastAsia="en-US"/>
        </w:rPr>
      </w:pPr>
    </w:p>
    <w:p w14:paraId="41900BBF" w14:textId="6AAC75A8" w:rsidR="00911089" w:rsidRPr="000174AE" w:rsidRDefault="0027467C" w:rsidP="0059117C">
      <w:pPr>
        <w:numPr>
          <w:ilvl w:val="0"/>
          <w:numId w:val="2"/>
        </w:numPr>
        <w:tabs>
          <w:tab w:val="left" w:pos="567"/>
          <w:tab w:val="num" w:pos="1569"/>
          <w:tab w:val="num" w:pos="12305"/>
        </w:tabs>
        <w:ind w:left="0" w:firstLine="0"/>
        <w:rPr>
          <w:rFonts w:eastAsia="Calibri"/>
          <w:sz w:val="20"/>
          <w:szCs w:val="20"/>
          <w:lang w:val="es-HN" w:eastAsia="en-US"/>
        </w:rPr>
      </w:pPr>
      <w:r>
        <w:rPr>
          <w:rFonts w:eastAsia="Calibri"/>
          <w:sz w:val="20"/>
          <w:szCs w:val="20"/>
          <w:lang w:val="es-ES_tradnl" w:eastAsia="en-US"/>
        </w:rPr>
        <w:t>T</w:t>
      </w:r>
      <w:r>
        <w:rPr>
          <w:rFonts w:eastAsia="Calibri"/>
          <w:sz w:val="20"/>
          <w:szCs w:val="20"/>
          <w:lang w:val="es-MX" w:eastAsia="en-US"/>
        </w:rPr>
        <w:t>ales</w:t>
      </w:r>
      <w:r w:rsidR="00911089">
        <w:rPr>
          <w:rFonts w:eastAsia="Calibri"/>
          <w:sz w:val="20"/>
          <w:szCs w:val="20"/>
          <w:lang w:val="es-MX" w:eastAsia="en-US"/>
        </w:rPr>
        <w:t xml:space="preserve"> instrumentos internacionales</w:t>
      </w:r>
      <w:r>
        <w:rPr>
          <w:rFonts w:eastAsia="Calibri"/>
          <w:sz w:val="20"/>
          <w:szCs w:val="20"/>
          <w:lang w:val="es-HN" w:eastAsia="en-US"/>
        </w:rPr>
        <w:t xml:space="preserve"> </w:t>
      </w:r>
      <w:r w:rsidR="00911089" w:rsidRPr="000F1A26">
        <w:rPr>
          <w:rFonts w:eastAsia="Calibri"/>
          <w:sz w:val="20"/>
          <w:szCs w:val="20"/>
          <w:lang w:val="es-HN" w:eastAsia="en-US"/>
        </w:rPr>
        <w:t xml:space="preserve">reconocen </w:t>
      </w:r>
      <w:r>
        <w:rPr>
          <w:rFonts w:eastAsia="Calibri"/>
          <w:sz w:val="20"/>
          <w:szCs w:val="20"/>
          <w:lang w:val="es-HN" w:eastAsia="en-US"/>
        </w:rPr>
        <w:t xml:space="preserve">un catálogo </w:t>
      </w:r>
      <w:r w:rsidR="002C6D1C">
        <w:rPr>
          <w:rFonts w:eastAsia="Calibri"/>
          <w:sz w:val="20"/>
          <w:szCs w:val="20"/>
          <w:lang w:val="es-HN" w:eastAsia="en-US"/>
        </w:rPr>
        <w:t xml:space="preserve">mínimo </w:t>
      </w:r>
      <w:r>
        <w:rPr>
          <w:rFonts w:eastAsia="Calibri"/>
          <w:sz w:val="20"/>
          <w:szCs w:val="20"/>
          <w:lang w:val="es-HN" w:eastAsia="en-US"/>
        </w:rPr>
        <w:t xml:space="preserve">de </w:t>
      </w:r>
      <w:r w:rsidR="00911089" w:rsidRPr="000F1A26">
        <w:rPr>
          <w:rFonts w:eastAsia="Calibri"/>
          <w:sz w:val="20"/>
          <w:szCs w:val="20"/>
          <w:lang w:val="es-HN" w:eastAsia="en-US"/>
        </w:rPr>
        <w:t xml:space="preserve">derechos </w:t>
      </w:r>
      <w:r>
        <w:rPr>
          <w:rFonts w:eastAsia="Calibri"/>
          <w:sz w:val="20"/>
          <w:szCs w:val="20"/>
          <w:lang w:val="es-HN" w:eastAsia="en-US"/>
        </w:rPr>
        <w:t>humanos</w:t>
      </w:r>
      <w:r w:rsidR="00911089" w:rsidRPr="000F1A26">
        <w:rPr>
          <w:rFonts w:eastAsia="Calibri"/>
          <w:sz w:val="20"/>
          <w:szCs w:val="20"/>
          <w:vertAlign w:val="superscript"/>
          <w:lang w:val="es-HN" w:eastAsia="en-US"/>
        </w:rPr>
        <w:footnoteReference w:id="206"/>
      </w:r>
      <w:r w:rsidR="002C6D1C">
        <w:rPr>
          <w:rFonts w:eastAsia="Calibri"/>
          <w:sz w:val="20"/>
          <w:szCs w:val="20"/>
          <w:lang w:val="es-HN" w:eastAsia="en-US"/>
        </w:rPr>
        <w:t>,</w:t>
      </w:r>
      <w:r w:rsidR="00911089" w:rsidRPr="000174AE">
        <w:rPr>
          <w:rFonts w:eastAsiaTheme="minorHAnsi" w:cstheme="minorBidi"/>
          <w:sz w:val="20"/>
          <w:szCs w:val="20"/>
          <w:lang w:val="es-HN" w:eastAsia="en-US"/>
        </w:rPr>
        <w:t xml:space="preserve"> </w:t>
      </w:r>
      <w:r w:rsidR="00911089" w:rsidRPr="000174AE">
        <w:rPr>
          <w:rFonts w:eastAsia="Calibri"/>
          <w:sz w:val="20"/>
          <w:szCs w:val="20"/>
          <w:lang w:val="es-HN" w:eastAsia="en-US"/>
        </w:rPr>
        <w:t>cuyo respeto es imprescindible para el más alto desarrollo de la persona mayor en todos los aspectos de su vida y en las mejores condiciones posibles</w:t>
      </w:r>
      <w:r w:rsidR="002C6D1C">
        <w:rPr>
          <w:rFonts w:eastAsia="Calibri"/>
          <w:sz w:val="20"/>
          <w:szCs w:val="20"/>
          <w:lang w:val="es-HN" w:eastAsia="en-US"/>
        </w:rPr>
        <w:t>, destacando en particular el derecho a la salud</w:t>
      </w:r>
      <w:r w:rsidR="00911089" w:rsidRPr="000174AE">
        <w:rPr>
          <w:rFonts w:eastAsia="Calibri"/>
          <w:sz w:val="20"/>
          <w:szCs w:val="20"/>
          <w:lang w:val="es-HN" w:eastAsia="en-US"/>
        </w:rPr>
        <w:t>. Asimismo</w:t>
      </w:r>
      <w:r>
        <w:rPr>
          <w:rFonts w:eastAsia="Calibri"/>
          <w:sz w:val="20"/>
          <w:szCs w:val="20"/>
          <w:lang w:val="es-HN" w:eastAsia="en-US"/>
        </w:rPr>
        <w:t>,</w:t>
      </w:r>
      <w:r w:rsidR="00911089" w:rsidRPr="000174AE">
        <w:rPr>
          <w:rFonts w:eastAsia="Calibri"/>
          <w:sz w:val="20"/>
          <w:szCs w:val="20"/>
          <w:lang w:val="es-HN" w:eastAsia="en-US"/>
        </w:rPr>
        <w:t xml:space="preserve"> </w:t>
      </w:r>
      <w:r w:rsidR="00911089" w:rsidRPr="000174AE">
        <w:rPr>
          <w:rFonts w:eastAsia="Calibri"/>
          <w:sz w:val="20"/>
          <w:szCs w:val="20"/>
          <w:lang w:eastAsia="en-US"/>
        </w:rPr>
        <w:t xml:space="preserve">las personas mayores, tienen derecho a una protección </w:t>
      </w:r>
      <w:r w:rsidR="002D5950" w:rsidRPr="00B1523A">
        <w:rPr>
          <w:rFonts w:eastAsia="Calibri"/>
          <w:sz w:val="20"/>
          <w:szCs w:val="20"/>
          <w:lang w:eastAsia="en-US"/>
        </w:rPr>
        <w:t>reforzada</w:t>
      </w:r>
      <w:r w:rsidR="002D5950" w:rsidRPr="00FF35B0">
        <w:rPr>
          <w:rFonts w:eastAsia="Calibri"/>
          <w:sz w:val="20"/>
          <w:szCs w:val="20"/>
          <w:lang w:eastAsia="en-US"/>
        </w:rPr>
        <w:t xml:space="preserve"> </w:t>
      </w:r>
      <w:r w:rsidRPr="00FF35B0">
        <w:rPr>
          <w:rFonts w:eastAsia="Calibri"/>
          <w:sz w:val="20"/>
          <w:szCs w:val="20"/>
          <w:lang w:eastAsia="en-US"/>
        </w:rPr>
        <w:t xml:space="preserve">y, por ende, </w:t>
      </w:r>
      <w:r w:rsidR="00911089" w:rsidRPr="00FF35B0">
        <w:rPr>
          <w:rFonts w:eastAsia="Calibri"/>
          <w:sz w:val="20"/>
          <w:szCs w:val="20"/>
          <w:lang w:val="es-AR" w:eastAsia="en-US"/>
        </w:rPr>
        <w:t xml:space="preserve">exige la adopción de medidas </w:t>
      </w:r>
      <w:r w:rsidR="002D5950" w:rsidRPr="00B1523A">
        <w:rPr>
          <w:rFonts w:eastAsia="Calibri"/>
          <w:sz w:val="20"/>
          <w:szCs w:val="20"/>
          <w:lang w:val="es-AR" w:eastAsia="en-US"/>
        </w:rPr>
        <w:t>diferencia</w:t>
      </w:r>
      <w:r w:rsidR="00F27386" w:rsidRPr="00B1523A">
        <w:rPr>
          <w:rFonts w:eastAsia="Calibri"/>
          <w:sz w:val="20"/>
          <w:szCs w:val="20"/>
          <w:lang w:val="es-AR" w:eastAsia="en-US"/>
        </w:rPr>
        <w:t>das</w:t>
      </w:r>
      <w:r w:rsidR="00911089" w:rsidRPr="000174AE">
        <w:rPr>
          <w:rFonts w:eastAsia="Calibri"/>
          <w:sz w:val="20"/>
          <w:szCs w:val="20"/>
          <w:vertAlign w:val="superscript"/>
          <w:lang w:val="es-AR" w:eastAsia="en-US"/>
        </w:rPr>
        <w:footnoteReference w:id="207"/>
      </w:r>
      <w:r w:rsidR="00911089" w:rsidRPr="000174AE">
        <w:rPr>
          <w:rFonts w:eastAsia="Calibri"/>
          <w:sz w:val="20"/>
          <w:szCs w:val="20"/>
          <w:lang w:val="es-AR" w:eastAsia="en-US"/>
        </w:rPr>
        <w:t>.</w:t>
      </w:r>
      <w:r w:rsidR="00911089">
        <w:rPr>
          <w:rFonts w:eastAsia="Calibri"/>
          <w:sz w:val="20"/>
          <w:szCs w:val="20"/>
          <w:lang w:val="es-AR" w:eastAsia="en-US"/>
        </w:rPr>
        <w:t xml:space="preserve"> </w:t>
      </w:r>
      <w:r w:rsidR="002C6D1C">
        <w:rPr>
          <w:rFonts w:eastAsia="Calibri"/>
          <w:sz w:val="20"/>
          <w:szCs w:val="20"/>
          <w:lang w:val="es-HN" w:eastAsia="en-US"/>
        </w:rPr>
        <w:t>Respecto a</w:t>
      </w:r>
      <w:r w:rsidR="00911089" w:rsidRPr="000174AE">
        <w:rPr>
          <w:rFonts w:eastAsia="Calibri"/>
          <w:sz w:val="20"/>
          <w:szCs w:val="20"/>
          <w:lang w:val="es-HN" w:eastAsia="en-US"/>
        </w:rPr>
        <w:t>l derecho a la salud</w:t>
      </w:r>
      <w:r w:rsidR="002C6D1C">
        <w:rPr>
          <w:rFonts w:eastAsia="Calibri"/>
          <w:sz w:val="20"/>
          <w:szCs w:val="20"/>
          <w:lang w:val="es-HN" w:eastAsia="en-US"/>
        </w:rPr>
        <w:t>,</w:t>
      </w:r>
      <w:r w:rsidR="00911089" w:rsidRPr="000174AE">
        <w:rPr>
          <w:rFonts w:eastAsia="Calibri"/>
          <w:sz w:val="20"/>
          <w:szCs w:val="20"/>
          <w:lang w:val="es-HN" w:eastAsia="en-US"/>
        </w:rPr>
        <w:t xml:space="preserve"> sea en la esfera privada como en la pública, el Estado tiene </w:t>
      </w:r>
      <w:r w:rsidR="00911089">
        <w:rPr>
          <w:rFonts w:eastAsia="Calibri"/>
          <w:sz w:val="20"/>
          <w:szCs w:val="20"/>
          <w:lang w:val="es-HN" w:eastAsia="en-US"/>
        </w:rPr>
        <w:t xml:space="preserve">el deber de </w:t>
      </w:r>
      <w:r w:rsidR="00911089" w:rsidRPr="000174AE">
        <w:rPr>
          <w:rFonts w:eastAsia="Calibri"/>
          <w:sz w:val="20"/>
          <w:szCs w:val="20"/>
          <w:lang w:val="es-HN" w:eastAsia="en-US"/>
        </w:rPr>
        <w:t xml:space="preserve">asegurar todas las medidas necesarias </w:t>
      </w:r>
      <w:r w:rsidR="00911089">
        <w:rPr>
          <w:rFonts w:eastAsia="Calibri"/>
          <w:sz w:val="20"/>
          <w:szCs w:val="20"/>
          <w:lang w:val="es-HN" w:eastAsia="en-US"/>
        </w:rPr>
        <w:t xml:space="preserve">a su alcance, a fin de </w:t>
      </w:r>
      <w:r w:rsidR="00911089" w:rsidRPr="000174AE">
        <w:rPr>
          <w:rFonts w:eastAsia="Calibri"/>
          <w:sz w:val="20"/>
          <w:szCs w:val="20"/>
          <w:lang w:val="es-HN" w:eastAsia="en-US"/>
        </w:rPr>
        <w:t>garantizar</w:t>
      </w:r>
      <w:r w:rsidR="00911089">
        <w:rPr>
          <w:rFonts w:eastAsia="Calibri"/>
          <w:sz w:val="20"/>
          <w:szCs w:val="20"/>
          <w:lang w:val="es-HN" w:eastAsia="en-US"/>
        </w:rPr>
        <w:t xml:space="preserve"> el </w:t>
      </w:r>
      <w:r w:rsidR="00911089" w:rsidRPr="000174AE">
        <w:rPr>
          <w:rFonts w:eastAsia="Calibri"/>
          <w:sz w:val="20"/>
          <w:szCs w:val="20"/>
          <w:lang w:val="es-HN" w:eastAsia="en-US"/>
        </w:rPr>
        <w:t>mayor nivel de salud posible</w:t>
      </w:r>
      <w:r w:rsidR="00911089">
        <w:rPr>
          <w:rFonts w:eastAsia="Calibri"/>
          <w:sz w:val="20"/>
          <w:szCs w:val="20"/>
          <w:lang w:val="es-HN" w:eastAsia="en-US"/>
        </w:rPr>
        <w:t>, sin discriminación</w:t>
      </w:r>
      <w:r w:rsidR="00911089" w:rsidRPr="000174AE">
        <w:rPr>
          <w:rFonts w:eastAsia="Calibri"/>
          <w:sz w:val="20"/>
          <w:szCs w:val="20"/>
          <w:lang w:val="es-HN" w:eastAsia="en-US"/>
        </w:rPr>
        <w:t>.</w:t>
      </w:r>
      <w:r>
        <w:rPr>
          <w:rFonts w:eastAsia="Calibri"/>
          <w:sz w:val="20"/>
          <w:szCs w:val="20"/>
          <w:lang w:val="es-AR" w:eastAsia="en-US"/>
        </w:rPr>
        <w:t xml:space="preserve"> S</w:t>
      </w:r>
      <w:r w:rsidR="00911089">
        <w:rPr>
          <w:rFonts w:eastAsia="Calibri"/>
          <w:sz w:val="20"/>
          <w:szCs w:val="20"/>
          <w:lang w:val="es-AR" w:eastAsia="en-US"/>
        </w:rPr>
        <w:t xml:space="preserve">e </w:t>
      </w:r>
      <w:r w:rsidR="00F914DD">
        <w:rPr>
          <w:rFonts w:eastAsia="Calibri"/>
          <w:sz w:val="20"/>
          <w:szCs w:val="20"/>
          <w:lang w:val="es-AR" w:eastAsia="en-US"/>
        </w:rPr>
        <w:t>desprende</w:t>
      </w:r>
      <w:r>
        <w:rPr>
          <w:rFonts w:eastAsia="Calibri"/>
          <w:sz w:val="20"/>
          <w:szCs w:val="20"/>
          <w:lang w:val="es-AR" w:eastAsia="en-US"/>
        </w:rPr>
        <w:t xml:space="preserve"> también</w:t>
      </w:r>
      <w:r w:rsidR="00911089" w:rsidRPr="000174AE">
        <w:rPr>
          <w:rFonts w:eastAsia="Calibri"/>
          <w:sz w:val="20"/>
          <w:szCs w:val="20"/>
          <w:lang w:val="es-AR" w:eastAsia="en-US"/>
        </w:rPr>
        <w:t xml:space="preserve"> un avance en los estándares internacionales en materia de derechos de</w:t>
      </w:r>
      <w:r w:rsidR="00D0629F">
        <w:rPr>
          <w:rFonts w:eastAsia="Calibri"/>
          <w:sz w:val="20"/>
          <w:szCs w:val="20"/>
          <w:lang w:val="es-AR" w:eastAsia="en-US"/>
        </w:rPr>
        <w:t xml:space="preserve"> las personas </w:t>
      </w:r>
      <w:r w:rsidR="00911089" w:rsidRPr="000174AE">
        <w:rPr>
          <w:rFonts w:eastAsia="Calibri"/>
          <w:sz w:val="20"/>
          <w:szCs w:val="20"/>
          <w:lang w:val="es-AR" w:eastAsia="en-US"/>
        </w:rPr>
        <w:t>mayor</w:t>
      </w:r>
      <w:r w:rsidR="00D0629F">
        <w:rPr>
          <w:rFonts w:eastAsia="Calibri"/>
          <w:sz w:val="20"/>
          <w:szCs w:val="20"/>
          <w:lang w:val="es-AR" w:eastAsia="en-US"/>
        </w:rPr>
        <w:t>es</w:t>
      </w:r>
      <w:r w:rsidRPr="000174AE">
        <w:rPr>
          <w:rFonts w:eastAsia="Calibri"/>
          <w:sz w:val="20"/>
          <w:szCs w:val="20"/>
          <w:vertAlign w:val="superscript"/>
          <w:lang w:val="es-AR" w:eastAsia="en-US"/>
        </w:rPr>
        <w:footnoteReference w:id="208"/>
      </w:r>
      <w:r w:rsidR="00911089" w:rsidRPr="000174AE">
        <w:rPr>
          <w:rFonts w:eastAsia="Calibri"/>
          <w:sz w:val="20"/>
          <w:szCs w:val="20"/>
          <w:lang w:val="es-AR" w:eastAsia="en-US"/>
        </w:rPr>
        <w:t xml:space="preserve">, </w:t>
      </w:r>
      <w:r w:rsidR="00911089">
        <w:rPr>
          <w:rFonts w:eastAsia="Calibri"/>
          <w:sz w:val="20"/>
          <w:szCs w:val="20"/>
          <w:lang w:val="es-AR" w:eastAsia="en-US"/>
        </w:rPr>
        <w:t>al entender y reconocer la vejez de manera digna y por ende el trato frente a ella</w:t>
      </w:r>
      <w:r w:rsidR="00911089" w:rsidRPr="000174AE">
        <w:rPr>
          <w:rFonts w:eastAsia="Calibri"/>
          <w:sz w:val="20"/>
          <w:szCs w:val="20"/>
          <w:vertAlign w:val="superscript"/>
          <w:lang w:val="es-AR" w:eastAsia="en-US"/>
        </w:rPr>
        <w:footnoteReference w:id="209"/>
      </w:r>
      <w:r w:rsidR="00911089">
        <w:rPr>
          <w:rFonts w:eastAsia="Calibri"/>
          <w:sz w:val="20"/>
          <w:szCs w:val="20"/>
          <w:lang w:val="es-AR" w:eastAsia="en-US"/>
        </w:rPr>
        <w:t>.</w:t>
      </w:r>
      <w:r w:rsidR="00911089">
        <w:rPr>
          <w:rFonts w:eastAsia="Calibri"/>
          <w:sz w:val="20"/>
          <w:szCs w:val="20"/>
          <w:lang w:val="es-MX" w:eastAsia="en-US"/>
        </w:rPr>
        <w:t xml:space="preserve"> Así</w:t>
      </w:r>
      <w:r>
        <w:rPr>
          <w:rFonts w:eastAsia="Calibri"/>
          <w:sz w:val="20"/>
          <w:szCs w:val="20"/>
          <w:lang w:val="es-MX" w:eastAsia="en-US"/>
        </w:rPr>
        <w:t>,</w:t>
      </w:r>
      <w:r w:rsidR="00911089">
        <w:rPr>
          <w:rFonts w:eastAsia="Calibri"/>
          <w:sz w:val="20"/>
          <w:szCs w:val="20"/>
          <w:lang w:val="es-MX" w:eastAsia="en-US"/>
        </w:rPr>
        <w:t xml:space="preserve"> </w:t>
      </w:r>
      <w:r w:rsidR="00296777">
        <w:rPr>
          <w:rFonts w:eastAsia="Calibri"/>
          <w:sz w:val="20"/>
          <w:szCs w:val="20"/>
          <w:lang w:val="es-MX" w:eastAsia="en-US"/>
        </w:rPr>
        <w:t xml:space="preserve">resalta </w:t>
      </w:r>
      <w:r w:rsidR="00911089">
        <w:rPr>
          <w:rFonts w:eastAsia="Calibri"/>
          <w:sz w:val="20"/>
          <w:szCs w:val="20"/>
          <w:lang w:val="es-MX" w:eastAsia="en-US"/>
        </w:rPr>
        <w:t xml:space="preserve">en la región </w:t>
      </w:r>
      <w:r w:rsidR="004A1B76">
        <w:rPr>
          <w:rFonts w:eastAsia="Calibri"/>
          <w:sz w:val="20"/>
          <w:szCs w:val="20"/>
          <w:lang w:val="es-MX" w:eastAsia="en-US"/>
        </w:rPr>
        <w:t xml:space="preserve">diversas </w:t>
      </w:r>
      <w:r w:rsidR="00911089">
        <w:rPr>
          <w:rFonts w:eastAsia="Calibri"/>
          <w:sz w:val="20"/>
          <w:szCs w:val="20"/>
          <w:lang w:val="es-MX" w:eastAsia="en-US"/>
        </w:rPr>
        <w:t>agendas de mayor inclusión del adulto mayor en las políticas públicas</w:t>
      </w:r>
      <w:r w:rsidR="00911089" w:rsidRPr="000951AE">
        <w:rPr>
          <w:rFonts w:eastAsia="Calibri"/>
          <w:sz w:val="20"/>
          <w:szCs w:val="20"/>
          <w:vertAlign w:val="superscript"/>
          <w:lang w:val="es-HN" w:eastAsia="en-US"/>
        </w:rPr>
        <w:footnoteReference w:id="210"/>
      </w:r>
      <w:r w:rsidR="00911089" w:rsidRPr="000951AE">
        <w:rPr>
          <w:rFonts w:eastAsia="Calibri"/>
          <w:sz w:val="20"/>
          <w:szCs w:val="20"/>
          <w:lang w:val="es-MX" w:eastAsia="en-US"/>
        </w:rPr>
        <w:t>,</w:t>
      </w:r>
      <w:r w:rsidR="00911089">
        <w:rPr>
          <w:rFonts w:eastAsia="Calibri"/>
          <w:sz w:val="20"/>
          <w:szCs w:val="20"/>
          <w:lang w:val="es-MX" w:eastAsia="en-US"/>
        </w:rPr>
        <w:t xml:space="preserve"> a través </w:t>
      </w:r>
      <w:r w:rsidR="00911089" w:rsidRPr="000174AE">
        <w:rPr>
          <w:rFonts w:eastAsia="Calibri"/>
          <w:sz w:val="20"/>
          <w:szCs w:val="20"/>
          <w:lang w:val="es-HN" w:eastAsia="en-US"/>
        </w:rPr>
        <w:t>programas de sensibilización y valorización del adulto mayor en la sociedad, la creación de planes nacionales para abordar el tema de la vejez</w:t>
      </w:r>
      <w:r w:rsidR="003F0801">
        <w:rPr>
          <w:rFonts w:eastAsia="Calibri"/>
          <w:sz w:val="20"/>
          <w:szCs w:val="20"/>
          <w:lang w:val="es-HN" w:eastAsia="en-US"/>
        </w:rPr>
        <w:t xml:space="preserve"> de manera integral</w:t>
      </w:r>
      <w:r w:rsidR="00366709">
        <w:rPr>
          <w:rFonts w:eastAsia="Calibri"/>
          <w:sz w:val="20"/>
          <w:szCs w:val="20"/>
          <w:lang w:val="es-HN" w:eastAsia="en-US"/>
        </w:rPr>
        <w:t>,</w:t>
      </w:r>
      <w:r w:rsidR="00911089" w:rsidRPr="000174AE">
        <w:rPr>
          <w:rFonts w:eastAsia="Calibri"/>
          <w:sz w:val="20"/>
          <w:szCs w:val="20"/>
          <w:lang w:val="es-HN" w:eastAsia="en-US"/>
        </w:rPr>
        <w:t xml:space="preserve"> </w:t>
      </w:r>
      <w:r w:rsidR="003F0801">
        <w:rPr>
          <w:rFonts w:eastAsia="Calibri"/>
          <w:sz w:val="20"/>
          <w:szCs w:val="20"/>
          <w:lang w:val="es-HN" w:eastAsia="en-US"/>
        </w:rPr>
        <w:t xml:space="preserve">así como también </w:t>
      </w:r>
      <w:r w:rsidR="00D0629F">
        <w:rPr>
          <w:rFonts w:eastAsia="Calibri"/>
          <w:sz w:val="20"/>
          <w:szCs w:val="20"/>
          <w:lang w:val="es-HN" w:eastAsia="en-US"/>
        </w:rPr>
        <w:t>sus</w:t>
      </w:r>
      <w:r w:rsidR="00911089" w:rsidRPr="000174AE">
        <w:rPr>
          <w:rFonts w:eastAsia="Calibri"/>
          <w:sz w:val="20"/>
          <w:szCs w:val="20"/>
          <w:lang w:val="es-HN" w:eastAsia="en-US"/>
        </w:rPr>
        <w:t xml:space="preserve"> necesidades, la promulgación de leyes y la facilitación del acceso a sistemas de seguridad social.</w:t>
      </w:r>
    </w:p>
    <w:p w14:paraId="4E1F7B99" w14:textId="77777777" w:rsidR="0027467C" w:rsidRDefault="0027467C" w:rsidP="0059117C">
      <w:pPr>
        <w:ind w:right="-360"/>
        <w:contextualSpacing/>
        <w:rPr>
          <w:rFonts w:eastAsia="Calibri"/>
          <w:sz w:val="20"/>
          <w:szCs w:val="20"/>
          <w:lang w:val="es-ES_tradnl" w:eastAsia="en-US"/>
        </w:rPr>
      </w:pPr>
    </w:p>
    <w:p w14:paraId="28D574ED" w14:textId="6D8C6FF7" w:rsidR="00911089" w:rsidRPr="00C64243" w:rsidRDefault="00296777" w:rsidP="0059117C">
      <w:pPr>
        <w:numPr>
          <w:ilvl w:val="0"/>
          <w:numId w:val="2"/>
        </w:numPr>
        <w:tabs>
          <w:tab w:val="left" w:pos="567"/>
          <w:tab w:val="num" w:pos="1569"/>
          <w:tab w:val="num" w:pos="12305"/>
        </w:tabs>
        <w:ind w:left="0" w:firstLine="0"/>
        <w:rPr>
          <w:rFonts w:eastAsia="Calibri"/>
          <w:sz w:val="20"/>
          <w:szCs w:val="20"/>
          <w:lang w:val="es-AR" w:eastAsia="en-US"/>
        </w:rPr>
      </w:pPr>
      <w:r>
        <w:rPr>
          <w:rFonts w:eastAsia="Calibri"/>
          <w:sz w:val="20"/>
          <w:szCs w:val="20"/>
          <w:lang w:val="es-MX" w:eastAsia="en-US"/>
        </w:rPr>
        <w:t>Por su parte</w:t>
      </w:r>
      <w:r w:rsidR="00911089">
        <w:rPr>
          <w:rFonts w:eastAsia="Calibri"/>
          <w:sz w:val="20"/>
          <w:szCs w:val="20"/>
          <w:lang w:val="es-HN" w:eastAsia="en-US"/>
        </w:rPr>
        <w:t>,</w:t>
      </w:r>
      <w:r w:rsidR="00911089" w:rsidRPr="000174AE">
        <w:rPr>
          <w:rFonts w:eastAsia="Calibri"/>
          <w:sz w:val="20"/>
          <w:szCs w:val="20"/>
          <w:lang w:val="es-HN" w:eastAsia="en-US"/>
        </w:rPr>
        <w:t xml:space="preserve"> la </w:t>
      </w:r>
      <w:r w:rsidR="00911089" w:rsidRPr="00C64243">
        <w:rPr>
          <w:rFonts w:eastAsia="Calibri"/>
          <w:sz w:val="20"/>
          <w:szCs w:val="20"/>
          <w:lang w:val="es-HN" w:eastAsia="en-US"/>
        </w:rPr>
        <w:t>Observación General N°6</w:t>
      </w:r>
      <w:r w:rsidR="00911089" w:rsidRPr="000174AE">
        <w:rPr>
          <w:rFonts w:eastAsia="Calibri"/>
          <w:sz w:val="20"/>
          <w:szCs w:val="20"/>
          <w:lang w:eastAsia="en-US"/>
        </w:rPr>
        <w:t xml:space="preserve"> del Comité</w:t>
      </w:r>
      <w:r w:rsidR="00911089">
        <w:rPr>
          <w:rFonts w:eastAsia="Calibri"/>
          <w:sz w:val="20"/>
          <w:szCs w:val="20"/>
          <w:lang w:eastAsia="en-US"/>
        </w:rPr>
        <w:t xml:space="preserve"> de DESC de la ONU</w:t>
      </w:r>
      <w:r w:rsidR="00911089" w:rsidRPr="000174AE">
        <w:rPr>
          <w:rFonts w:eastAsia="Calibri"/>
          <w:sz w:val="20"/>
          <w:szCs w:val="20"/>
          <w:vertAlign w:val="superscript"/>
          <w:lang w:eastAsia="en-US"/>
        </w:rPr>
        <w:footnoteReference w:id="211"/>
      </w:r>
      <w:r w:rsidR="00911089" w:rsidRPr="000174AE">
        <w:rPr>
          <w:rFonts w:eastAsia="Calibri"/>
          <w:sz w:val="20"/>
          <w:szCs w:val="20"/>
          <w:lang w:eastAsia="en-US"/>
        </w:rPr>
        <w:t xml:space="preserve">, </w:t>
      </w:r>
      <w:r w:rsidR="00911089">
        <w:rPr>
          <w:rFonts w:eastAsia="Calibri"/>
          <w:sz w:val="20"/>
          <w:szCs w:val="20"/>
          <w:lang w:eastAsia="en-US"/>
        </w:rPr>
        <w:t>resalta</w:t>
      </w:r>
      <w:r w:rsidR="00911089" w:rsidRPr="000174AE">
        <w:rPr>
          <w:rFonts w:eastAsia="Calibri"/>
          <w:sz w:val="20"/>
          <w:szCs w:val="20"/>
          <w:lang w:eastAsia="en-US"/>
        </w:rPr>
        <w:t xml:space="preserve"> el deber de los Estados Partes del Pacto </w:t>
      </w:r>
      <w:r w:rsidR="00911089">
        <w:rPr>
          <w:rFonts w:eastAsia="Calibri"/>
          <w:sz w:val="20"/>
          <w:szCs w:val="20"/>
          <w:lang w:eastAsia="en-US"/>
        </w:rPr>
        <w:t>(PIDESC</w:t>
      </w:r>
      <w:r w:rsidR="00911089" w:rsidRPr="00860FAC">
        <w:rPr>
          <w:rFonts w:eastAsia="Calibri"/>
          <w:sz w:val="20"/>
          <w:szCs w:val="20"/>
          <w:lang w:eastAsia="en-US"/>
        </w:rPr>
        <w:t>) de tener presente q</w:t>
      </w:r>
      <w:r w:rsidR="00911089" w:rsidRPr="007A73F7">
        <w:rPr>
          <w:rFonts w:eastAsia="Calibri"/>
          <w:sz w:val="20"/>
          <w:szCs w:val="20"/>
          <w:lang w:eastAsia="en-US"/>
        </w:rPr>
        <w:t>ue</w:t>
      </w:r>
      <w:r w:rsidR="00911089">
        <w:rPr>
          <w:rFonts w:eastAsia="Calibri"/>
          <w:sz w:val="20"/>
          <w:szCs w:val="20"/>
          <w:lang w:eastAsia="en-US"/>
        </w:rPr>
        <w:t xml:space="preserve"> mantener </w:t>
      </w:r>
      <w:r w:rsidR="008E3E41">
        <w:rPr>
          <w:rFonts w:eastAsia="Calibri"/>
          <w:sz w:val="20"/>
          <w:szCs w:val="20"/>
          <w:lang w:eastAsia="en-US"/>
        </w:rPr>
        <w:t xml:space="preserve">medidas de </w:t>
      </w:r>
      <w:r w:rsidR="00911089" w:rsidRPr="001D7B6D">
        <w:rPr>
          <w:rFonts w:eastAsia="Calibri"/>
          <w:sz w:val="20"/>
          <w:szCs w:val="20"/>
          <w:lang w:eastAsia="en-US"/>
        </w:rPr>
        <w:t>prevención, mediante controles periódicos, adaptados a las necesidades de las</w:t>
      </w:r>
      <w:r w:rsidR="00911089">
        <w:rPr>
          <w:rFonts w:eastAsia="Calibri"/>
          <w:sz w:val="20"/>
          <w:szCs w:val="20"/>
          <w:lang w:eastAsia="en-US"/>
        </w:rPr>
        <w:t xml:space="preserve"> </w:t>
      </w:r>
      <w:r w:rsidR="00911089" w:rsidRPr="001D7B6D">
        <w:rPr>
          <w:rFonts w:eastAsia="Calibri"/>
          <w:sz w:val="20"/>
          <w:szCs w:val="20"/>
          <w:lang w:eastAsia="en-US"/>
        </w:rPr>
        <w:t>mujeres y de los hombres de edad, cumple un papel decisivo; y también la rehabilitación,</w:t>
      </w:r>
      <w:r w:rsidR="00911089">
        <w:rPr>
          <w:rFonts w:eastAsia="Calibri"/>
          <w:sz w:val="20"/>
          <w:szCs w:val="20"/>
          <w:lang w:eastAsia="en-US"/>
        </w:rPr>
        <w:t xml:space="preserve"> </w:t>
      </w:r>
      <w:r w:rsidR="00911089" w:rsidRPr="001D7B6D">
        <w:rPr>
          <w:rFonts w:eastAsia="Calibri"/>
          <w:sz w:val="20"/>
          <w:szCs w:val="20"/>
          <w:lang w:eastAsia="en-US"/>
        </w:rPr>
        <w:t>conservando la funcionalidad de las personas mayores, con la consiguiente disminución de costos</w:t>
      </w:r>
      <w:r w:rsidR="00911089">
        <w:rPr>
          <w:rFonts w:eastAsia="Calibri"/>
          <w:sz w:val="20"/>
          <w:szCs w:val="20"/>
          <w:lang w:eastAsia="en-US"/>
        </w:rPr>
        <w:t xml:space="preserve"> </w:t>
      </w:r>
      <w:r w:rsidR="00911089" w:rsidRPr="001D7B6D">
        <w:rPr>
          <w:rFonts w:eastAsia="Calibri"/>
          <w:sz w:val="20"/>
          <w:szCs w:val="20"/>
          <w:lang w:eastAsia="en-US"/>
        </w:rPr>
        <w:t>en las inversiones dedicadas a la asistencia sanitaria y a los servicios sociale</w:t>
      </w:r>
      <w:r w:rsidR="00911089">
        <w:rPr>
          <w:rFonts w:eastAsia="Calibri"/>
          <w:sz w:val="20"/>
          <w:szCs w:val="20"/>
          <w:lang w:eastAsia="en-US"/>
        </w:rPr>
        <w:t>s</w:t>
      </w:r>
      <w:r w:rsidR="00911089" w:rsidRPr="000174AE">
        <w:rPr>
          <w:rFonts w:eastAsia="Calibri"/>
          <w:sz w:val="20"/>
          <w:szCs w:val="20"/>
          <w:vertAlign w:val="superscript"/>
          <w:lang w:eastAsia="en-US"/>
        </w:rPr>
        <w:footnoteReference w:id="212"/>
      </w:r>
      <w:r w:rsidR="00911089" w:rsidRPr="000174AE">
        <w:rPr>
          <w:rFonts w:eastAsia="Calibri"/>
          <w:sz w:val="20"/>
          <w:szCs w:val="20"/>
          <w:lang w:eastAsia="en-US"/>
        </w:rPr>
        <w:t xml:space="preserve">. </w:t>
      </w:r>
      <w:r>
        <w:rPr>
          <w:rFonts w:eastAsia="Calibri"/>
          <w:sz w:val="20"/>
          <w:szCs w:val="20"/>
          <w:lang w:eastAsia="en-US"/>
        </w:rPr>
        <w:t xml:space="preserve">Al respecto, en </w:t>
      </w:r>
      <w:r>
        <w:rPr>
          <w:rFonts w:eastAsia="Calibri"/>
          <w:sz w:val="20"/>
          <w:szCs w:val="20"/>
          <w:lang w:val="es-AR" w:eastAsia="en-US"/>
        </w:rPr>
        <w:t>la Observación G</w:t>
      </w:r>
      <w:r w:rsidR="00911089" w:rsidRPr="00811717">
        <w:rPr>
          <w:rFonts w:eastAsia="Calibri"/>
          <w:sz w:val="20"/>
          <w:szCs w:val="20"/>
          <w:lang w:val="es-AR" w:eastAsia="en-US"/>
        </w:rPr>
        <w:t xml:space="preserve">eneral Nº 14 </w:t>
      </w:r>
      <w:r>
        <w:rPr>
          <w:rFonts w:eastAsia="Calibri"/>
          <w:sz w:val="20"/>
          <w:szCs w:val="20"/>
          <w:lang w:val="es-AR" w:eastAsia="en-US"/>
        </w:rPr>
        <w:t xml:space="preserve">del Comité DESC </w:t>
      </w:r>
      <w:r w:rsidR="00911089" w:rsidRPr="00811717">
        <w:rPr>
          <w:rFonts w:eastAsia="Calibri"/>
          <w:sz w:val="20"/>
          <w:szCs w:val="20"/>
          <w:lang w:val="es-AR" w:eastAsia="en-US"/>
        </w:rPr>
        <w:t xml:space="preserve">se detallan las cuestiones sustantivas que se derivan de la aplicación del derecho a la salud y se tratan cuestiones concretas relacionadas con </w:t>
      </w:r>
      <w:r w:rsidR="004A1B76">
        <w:rPr>
          <w:rFonts w:eastAsia="Calibri"/>
          <w:sz w:val="20"/>
          <w:szCs w:val="20"/>
          <w:lang w:val="es-AR" w:eastAsia="en-US"/>
        </w:rPr>
        <w:t>las personas mayores, incluida “</w:t>
      </w:r>
      <w:r w:rsidR="00911089" w:rsidRPr="00811717">
        <w:rPr>
          <w:rFonts w:eastAsia="Calibri"/>
          <w:sz w:val="20"/>
          <w:szCs w:val="20"/>
          <w:lang w:val="es-AR" w:eastAsia="en-US"/>
        </w:rPr>
        <w:t>la prevención, la</w:t>
      </w:r>
      <w:r>
        <w:rPr>
          <w:rFonts w:eastAsia="Calibri"/>
          <w:sz w:val="20"/>
          <w:szCs w:val="20"/>
          <w:lang w:val="es-AR" w:eastAsia="en-US"/>
        </w:rPr>
        <w:t xml:space="preserve"> curación y la rehabilitación […]</w:t>
      </w:r>
      <w:r w:rsidR="00911089" w:rsidRPr="00811717">
        <w:rPr>
          <w:rFonts w:eastAsia="Calibri"/>
          <w:sz w:val="20"/>
          <w:szCs w:val="20"/>
          <w:lang w:val="es-AR" w:eastAsia="en-US"/>
        </w:rPr>
        <w:t xml:space="preserve"> destinadas a </w:t>
      </w:r>
      <w:r w:rsidR="00911089" w:rsidRPr="00811717">
        <w:rPr>
          <w:rFonts w:eastAsia="Calibri"/>
          <w:sz w:val="20"/>
          <w:szCs w:val="20"/>
          <w:lang w:val="es-AR" w:eastAsia="en-US"/>
        </w:rPr>
        <w:lastRenderedPageBreak/>
        <w:t>mantener la funcionalidad y la auto</w:t>
      </w:r>
      <w:r>
        <w:rPr>
          <w:rFonts w:eastAsia="Calibri"/>
          <w:sz w:val="20"/>
          <w:szCs w:val="20"/>
          <w:lang w:val="es-AR" w:eastAsia="en-US"/>
        </w:rPr>
        <w:t>nomía de las personas mayores […]</w:t>
      </w:r>
      <w:r w:rsidR="00911089" w:rsidRPr="00811717">
        <w:rPr>
          <w:rFonts w:eastAsia="Calibri"/>
          <w:sz w:val="20"/>
          <w:szCs w:val="20"/>
          <w:lang w:val="es-AR" w:eastAsia="en-US"/>
        </w:rPr>
        <w:t xml:space="preserve"> [y] la prestación de atenciones y cuidados a los enfermos crónicos y en fase terminal, ahorrándoles dolores evitables y pe</w:t>
      </w:r>
      <w:r w:rsidR="004A1B76">
        <w:rPr>
          <w:rFonts w:eastAsia="Calibri"/>
          <w:sz w:val="20"/>
          <w:szCs w:val="20"/>
          <w:lang w:val="es-AR" w:eastAsia="en-US"/>
        </w:rPr>
        <w:t>rmitiéndoles morir con dignidad”</w:t>
      </w:r>
      <w:r w:rsidR="00911089">
        <w:rPr>
          <w:rStyle w:val="FootnoteReference"/>
          <w:rFonts w:eastAsia="Calibri"/>
          <w:sz w:val="20"/>
          <w:szCs w:val="20"/>
          <w:lang w:val="es-AR" w:eastAsia="en-US"/>
        </w:rPr>
        <w:footnoteReference w:id="213"/>
      </w:r>
      <w:r w:rsidR="00911089">
        <w:rPr>
          <w:rFonts w:eastAsia="Calibri"/>
          <w:sz w:val="20"/>
          <w:szCs w:val="20"/>
          <w:lang w:val="es-AR" w:eastAsia="en-US"/>
        </w:rPr>
        <w:t xml:space="preserve">. </w:t>
      </w:r>
      <w:r>
        <w:rPr>
          <w:rFonts w:eastAsia="Calibri"/>
          <w:sz w:val="20"/>
          <w:szCs w:val="20"/>
          <w:lang w:val="es-AR" w:eastAsia="en-US"/>
        </w:rPr>
        <w:t>Asimismo</w:t>
      </w:r>
      <w:r w:rsidR="00911089" w:rsidRPr="002570D1">
        <w:rPr>
          <w:rFonts w:eastAsia="Calibri"/>
          <w:sz w:val="20"/>
          <w:szCs w:val="20"/>
          <w:lang w:val="es-AR" w:eastAsia="en-US"/>
        </w:rPr>
        <w:t xml:space="preserve">, </w:t>
      </w:r>
      <w:r>
        <w:rPr>
          <w:rFonts w:eastAsia="Calibri"/>
          <w:sz w:val="20"/>
          <w:szCs w:val="20"/>
          <w:lang w:val="es-AR" w:eastAsia="en-US"/>
        </w:rPr>
        <w:t xml:space="preserve">el </w:t>
      </w:r>
      <w:r w:rsidR="008E3E41">
        <w:rPr>
          <w:rFonts w:eastAsia="Calibri"/>
          <w:sz w:val="20"/>
          <w:szCs w:val="20"/>
          <w:lang w:val="es-AR" w:eastAsia="en-US"/>
        </w:rPr>
        <w:t xml:space="preserve">Tribunal Europeo de Derechos Humanos (en adelante </w:t>
      </w:r>
      <w:r>
        <w:rPr>
          <w:rFonts w:eastAsia="Calibri"/>
          <w:sz w:val="20"/>
          <w:szCs w:val="20"/>
          <w:lang w:val="es-AR" w:eastAsia="en-US"/>
        </w:rPr>
        <w:t>TEDH</w:t>
      </w:r>
      <w:r w:rsidR="008E3E41">
        <w:rPr>
          <w:rFonts w:eastAsia="Calibri"/>
          <w:sz w:val="20"/>
          <w:szCs w:val="20"/>
          <w:lang w:val="es-AR" w:eastAsia="en-US"/>
        </w:rPr>
        <w:t>)</w:t>
      </w:r>
      <w:r w:rsidR="00911089" w:rsidRPr="002570D1">
        <w:rPr>
          <w:rFonts w:eastAsia="Calibri"/>
          <w:sz w:val="20"/>
          <w:szCs w:val="20"/>
          <w:lang w:val="es-AR" w:eastAsia="en-US"/>
        </w:rPr>
        <w:t xml:space="preserve"> se ha referido </w:t>
      </w:r>
      <w:r w:rsidR="00911089">
        <w:rPr>
          <w:rFonts w:eastAsia="Calibri"/>
          <w:sz w:val="20"/>
          <w:szCs w:val="20"/>
          <w:lang w:val="es-AR" w:eastAsia="en-US"/>
        </w:rPr>
        <w:t>también</w:t>
      </w:r>
      <w:r w:rsidR="00911089" w:rsidRPr="00C64243">
        <w:rPr>
          <w:rFonts w:eastAsia="Calibri"/>
          <w:sz w:val="20"/>
          <w:szCs w:val="20"/>
          <w:lang w:val="es-AR" w:eastAsia="en-US"/>
        </w:rPr>
        <w:t xml:space="preserve"> respecto</w:t>
      </w:r>
      <w:r w:rsidR="00911089">
        <w:rPr>
          <w:rFonts w:eastAsia="Calibri"/>
          <w:sz w:val="20"/>
          <w:szCs w:val="20"/>
          <w:lang w:val="es-AR" w:eastAsia="en-US"/>
        </w:rPr>
        <w:t xml:space="preserve"> a la protección de los derechos de las personas mayores</w:t>
      </w:r>
      <w:r w:rsidR="00911089" w:rsidRPr="00C64243">
        <w:rPr>
          <w:rFonts w:eastAsia="Calibri"/>
          <w:sz w:val="20"/>
          <w:szCs w:val="20"/>
          <w:vertAlign w:val="superscript"/>
          <w:lang w:val="es-AR" w:eastAsia="en-US"/>
        </w:rPr>
        <w:footnoteReference w:id="214"/>
      </w:r>
      <w:r w:rsidR="00911089" w:rsidRPr="00C64243">
        <w:rPr>
          <w:rFonts w:eastAsia="Calibri"/>
          <w:sz w:val="20"/>
          <w:szCs w:val="20"/>
          <w:lang w:val="es-AR" w:eastAsia="en-US"/>
        </w:rPr>
        <w:t>.</w:t>
      </w:r>
    </w:p>
    <w:p w14:paraId="1FF3617F" w14:textId="77777777" w:rsidR="00911089" w:rsidRPr="002570D1" w:rsidRDefault="00911089" w:rsidP="00911089">
      <w:pPr>
        <w:ind w:left="-90" w:right="-360"/>
        <w:contextualSpacing/>
        <w:rPr>
          <w:rFonts w:eastAsia="Calibri"/>
          <w:sz w:val="20"/>
          <w:szCs w:val="20"/>
          <w:lang w:val="es-ES_tradnl" w:eastAsia="en-US"/>
        </w:rPr>
      </w:pPr>
    </w:p>
    <w:p w14:paraId="56EFFDDB" w14:textId="14CE54A4" w:rsidR="00911089" w:rsidRPr="00366709" w:rsidRDefault="00911089" w:rsidP="00911089">
      <w:pPr>
        <w:numPr>
          <w:ilvl w:val="0"/>
          <w:numId w:val="2"/>
        </w:numPr>
        <w:tabs>
          <w:tab w:val="left" w:pos="567"/>
          <w:tab w:val="num" w:pos="1569"/>
          <w:tab w:val="num" w:pos="12305"/>
        </w:tabs>
        <w:ind w:left="0" w:firstLine="0"/>
        <w:rPr>
          <w:rFonts w:eastAsia="Calibri"/>
          <w:sz w:val="20"/>
          <w:szCs w:val="20"/>
          <w:lang w:val="es-ES_tradnl" w:eastAsia="en-US"/>
        </w:rPr>
      </w:pPr>
      <w:r w:rsidRPr="002570D1">
        <w:rPr>
          <w:rFonts w:eastAsia="Calibri"/>
          <w:sz w:val="20"/>
          <w:szCs w:val="20"/>
          <w:lang w:val="es-MX" w:eastAsia="en-US"/>
        </w:rPr>
        <w:t>En</w:t>
      </w:r>
      <w:r w:rsidRPr="002570D1">
        <w:rPr>
          <w:rFonts w:eastAsia="Calibri"/>
          <w:sz w:val="20"/>
          <w:szCs w:val="20"/>
          <w:lang w:val="es-ES_tradnl" w:eastAsia="en-US"/>
        </w:rPr>
        <w:t xml:space="preserve"> </w:t>
      </w:r>
      <w:r w:rsidRPr="00366709">
        <w:rPr>
          <w:rFonts w:eastAsia="Calibri"/>
          <w:sz w:val="20"/>
          <w:szCs w:val="20"/>
          <w:lang w:val="es-ES_tradnl" w:eastAsia="en-US"/>
        </w:rPr>
        <w:t xml:space="preserve">cuanto a </w:t>
      </w:r>
      <w:r w:rsidR="008E3E41">
        <w:rPr>
          <w:rFonts w:eastAsia="Calibri"/>
          <w:sz w:val="20"/>
          <w:szCs w:val="20"/>
          <w:lang w:val="es-ES_tradnl" w:eastAsia="en-US"/>
        </w:rPr>
        <w:t xml:space="preserve">la </w:t>
      </w:r>
      <w:r w:rsidRPr="00366709">
        <w:rPr>
          <w:rFonts w:eastAsia="Calibri"/>
          <w:sz w:val="20"/>
          <w:szCs w:val="20"/>
          <w:lang w:val="es-ES_tradnl" w:eastAsia="en-US"/>
        </w:rPr>
        <w:t>jurisprudencia regional sobre</w:t>
      </w:r>
      <w:r w:rsidRPr="00366709">
        <w:rPr>
          <w:rFonts w:eastAsia="Calibri"/>
          <w:sz w:val="20"/>
          <w:szCs w:val="20"/>
          <w:lang w:val="es-MX" w:eastAsia="en-US"/>
        </w:rPr>
        <w:t xml:space="preserve"> el derecho a la salud de las personas mayores, </w:t>
      </w:r>
      <w:r w:rsidR="00EF55E3" w:rsidRPr="00366709">
        <w:rPr>
          <w:rFonts w:eastAsia="Calibri"/>
          <w:sz w:val="20"/>
          <w:szCs w:val="20"/>
          <w:lang w:val="es-MX" w:eastAsia="en-US"/>
        </w:rPr>
        <w:t xml:space="preserve">las decisiones de altas cortes de </w:t>
      </w:r>
      <w:r w:rsidRPr="00366709">
        <w:rPr>
          <w:rFonts w:eastAsia="Calibri"/>
          <w:sz w:val="20"/>
          <w:szCs w:val="20"/>
          <w:lang w:val="es-AR" w:eastAsia="en-US"/>
        </w:rPr>
        <w:t xml:space="preserve">algunos </w:t>
      </w:r>
      <w:r w:rsidRPr="00366709" w:rsidDel="00C20994">
        <w:rPr>
          <w:rFonts w:eastAsia="Calibri"/>
          <w:sz w:val="20"/>
          <w:szCs w:val="20"/>
          <w:lang w:val="es-AR" w:eastAsia="en-US"/>
        </w:rPr>
        <w:t xml:space="preserve">Estados </w:t>
      </w:r>
      <w:r w:rsidRPr="00366709">
        <w:rPr>
          <w:rFonts w:eastAsia="Calibri"/>
          <w:sz w:val="20"/>
          <w:szCs w:val="20"/>
          <w:lang w:val="es-AR" w:eastAsia="en-US"/>
        </w:rPr>
        <w:t>de la región</w:t>
      </w:r>
      <w:r w:rsidR="00296777" w:rsidRPr="00366709">
        <w:rPr>
          <w:rFonts w:eastAsia="Calibri"/>
          <w:sz w:val="20"/>
          <w:szCs w:val="20"/>
          <w:lang w:val="es-AR" w:eastAsia="en-US"/>
        </w:rPr>
        <w:t xml:space="preserve"> han </w:t>
      </w:r>
      <w:r w:rsidR="008E3E41">
        <w:rPr>
          <w:rFonts w:eastAsia="Calibri"/>
          <w:sz w:val="20"/>
          <w:szCs w:val="20"/>
          <w:lang w:val="es-AR" w:eastAsia="en-US"/>
        </w:rPr>
        <w:t>desarrollado</w:t>
      </w:r>
      <w:r w:rsidR="008E3E41" w:rsidRPr="00366709">
        <w:rPr>
          <w:rFonts w:eastAsia="Calibri"/>
          <w:sz w:val="20"/>
          <w:szCs w:val="20"/>
          <w:lang w:val="es-AR" w:eastAsia="en-US"/>
        </w:rPr>
        <w:t xml:space="preserve"> </w:t>
      </w:r>
      <w:r w:rsidRPr="00366709">
        <w:rPr>
          <w:rFonts w:eastAsia="Calibri"/>
          <w:sz w:val="20"/>
          <w:szCs w:val="20"/>
          <w:lang w:val="es-AR" w:eastAsia="en-US"/>
        </w:rPr>
        <w:t>la tutela de los derechos de las personas mayores</w:t>
      </w:r>
      <w:r w:rsidR="00296777" w:rsidRPr="00366709">
        <w:rPr>
          <w:rFonts w:eastAsia="Calibri"/>
          <w:sz w:val="20"/>
          <w:szCs w:val="20"/>
          <w:lang w:val="es-AR" w:eastAsia="en-US"/>
        </w:rPr>
        <w:t xml:space="preserve"> en materia interna</w:t>
      </w:r>
      <w:r w:rsidR="00296777" w:rsidRPr="00366709">
        <w:rPr>
          <w:rFonts w:eastAsia="Calibri"/>
          <w:sz w:val="20"/>
          <w:szCs w:val="20"/>
          <w:vertAlign w:val="superscript"/>
          <w:lang w:val="es-AR" w:eastAsia="en-US"/>
        </w:rPr>
        <w:footnoteReference w:id="215"/>
      </w:r>
      <w:r w:rsidR="00296777" w:rsidRPr="00366709">
        <w:rPr>
          <w:rFonts w:eastAsia="Calibri"/>
          <w:sz w:val="20"/>
          <w:szCs w:val="20"/>
          <w:lang w:val="es-AR" w:eastAsia="en-US"/>
        </w:rPr>
        <w:t>, destacando la necesidad de brindar una protección especial para el adulto mayo</w:t>
      </w:r>
      <w:r w:rsidR="006D0864" w:rsidRPr="00366709">
        <w:rPr>
          <w:rFonts w:eastAsia="Calibri"/>
          <w:sz w:val="20"/>
          <w:szCs w:val="20"/>
          <w:lang w:val="es-AR" w:eastAsia="en-US"/>
        </w:rPr>
        <w:t>r</w:t>
      </w:r>
      <w:r w:rsidR="00296777" w:rsidRPr="00366709">
        <w:rPr>
          <w:rFonts w:eastAsia="Calibri"/>
          <w:sz w:val="20"/>
          <w:szCs w:val="20"/>
          <w:lang w:val="es-AR" w:eastAsia="en-US"/>
        </w:rPr>
        <w:t>.</w:t>
      </w:r>
    </w:p>
    <w:p w14:paraId="4FEAA7A7" w14:textId="77777777" w:rsidR="00911089" w:rsidRPr="00366709" w:rsidRDefault="00911089" w:rsidP="00911089">
      <w:pPr>
        <w:tabs>
          <w:tab w:val="left" w:pos="567"/>
        </w:tabs>
        <w:rPr>
          <w:sz w:val="20"/>
          <w:szCs w:val="20"/>
          <w:lang w:val="es-HN"/>
        </w:rPr>
      </w:pPr>
    </w:p>
    <w:p w14:paraId="782E9D7D" w14:textId="404AEA21" w:rsidR="00911089" w:rsidRPr="0059117C" w:rsidRDefault="00296777" w:rsidP="0059117C">
      <w:pPr>
        <w:numPr>
          <w:ilvl w:val="0"/>
          <w:numId w:val="2"/>
        </w:numPr>
        <w:tabs>
          <w:tab w:val="left" w:pos="567"/>
          <w:tab w:val="num" w:pos="1569"/>
          <w:tab w:val="num" w:pos="12305"/>
        </w:tabs>
        <w:ind w:left="0" w:firstLine="0"/>
        <w:rPr>
          <w:i/>
          <w:iCs/>
          <w:sz w:val="20"/>
          <w:szCs w:val="20"/>
          <w:lang w:val="es-AR"/>
        </w:rPr>
      </w:pPr>
      <w:r w:rsidRPr="00366709">
        <w:rPr>
          <w:sz w:val="20"/>
          <w:szCs w:val="20"/>
          <w:lang w:val="es-AR"/>
        </w:rPr>
        <w:t xml:space="preserve">En este sentido, esta </w:t>
      </w:r>
      <w:r w:rsidR="00911089" w:rsidRPr="00366709">
        <w:rPr>
          <w:sz w:val="20"/>
          <w:szCs w:val="20"/>
          <w:lang w:val="es-AR"/>
        </w:rPr>
        <w:t xml:space="preserve">Corte </w:t>
      </w:r>
      <w:r w:rsidR="00D0629F">
        <w:rPr>
          <w:sz w:val="20"/>
          <w:szCs w:val="20"/>
          <w:lang w:val="es-AR"/>
        </w:rPr>
        <w:t>destaca</w:t>
      </w:r>
      <w:r w:rsidR="00D0629F" w:rsidRPr="00366709">
        <w:rPr>
          <w:sz w:val="20"/>
          <w:szCs w:val="20"/>
          <w:lang w:val="es-AR"/>
        </w:rPr>
        <w:t xml:space="preserve"> </w:t>
      </w:r>
      <w:r w:rsidR="00911089" w:rsidRPr="00366709">
        <w:rPr>
          <w:sz w:val="20"/>
          <w:szCs w:val="20"/>
          <w:lang w:val="es-AR"/>
        </w:rPr>
        <w:t>como un hecho ineludible que la población está envejeciendo</w:t>
      </w:r>
      <w:r w:rsidR="00911089" w:rsidRPr="00366709">
        <w:rPr>
          <w:sz w:val="20"/>
          <w:szCs w:val="20"/>
          <w:vertAlign w:val="superscript"/>
          <w:lang w:val="es-AR"/>
        </w:rPr>
        <w:footnoteReference w:id="216"/>
      </w:r>
      <w:r w:rsidR="00911089" w:rsidRPr="00366709">
        <w:rPr>
          <w:sz w:val="20"/>
          <w:szCs w:val="20"/>
          <w:lang w:val="es-AR"/>
        </w:rPr>
        <w:t xml:space="preserve"> de manera constante y considerable</w:t>
      </w:r>
      <w:r w:rsidR="00911089" w:rsidRPr="00366709">
        <w:rPr>
          <w:sz w:val="20"/>
          <w:szCs w:val="20"/>
          <w:vertAlign w:val="superscript"/>
          <w:lang w:val="es-AR"/>
        </w:rPr>
        <w:footnoteReference w:id="217"/>
      </w:r>
      <w:r w:rsidR="00911089" w:rsidRPr="00366709">
        <w:rPr>
          <w:sz w:val="20"/>
          <w:szCs w:val="20"/>
          <w:lang w:val="es-AR"/>
        </w:rPr>
        <w:t>. El cambio vertiginoso del escenario demográfico en los países de la región</w:t>
      </w:r>
      <w:r w:rsidR="00911089" w:rsidRPr="00366709">
        <w:rPr>
          <w:sz w:val="20"/>
          <w:szCs w:val="20"/>
          <w:vertAlign w:val="superscript"/>
          <w:lang w:val="es-AR"/>
        </w:rPr>
        <w:footnoteReference w:id="218"/>
      </w:r>
      <w:r w:rsidR="00911089" w:rsidRPr="00366709">
        <w:rPr>
          <w:sz w:val="20"/>
          <w:szCs w:val="20"/>
          <w:lang w:val="es-AR"/>
        </w:rPr>
        <w:t xml:space="preserve"> presenta retos y desafíos, p</w:t>
      </w:r>
      <w:r w:rsidRPr="00366709">
        <w:rPr>
          <w:sz w:val="20"/>
          <w:szCs w:val="20"/>
          <w:lang w:val="es-AR"/>
        </w:rPr>
        <w:t>or lo cual este impacto en los derechos h</w:t>
      </w:r>
      <w:r w:rsidR="00911089" w:rsidRPr="00366709">
        <w:rPr>
          <w:sz w:val="20"/>
          <w:szCs w:val="20"/>
          <w:lang w:val="es-AR"/>
        </w:rPr>
        <w:t xml:space="preserve">umanos hace necesario que los Estados se involucren para dar respuesta de </w:t>
      </w:r>
      <w:r w:rsidR="00911089" w:rsidRPr="00366709">
        <w:rPr>
          <w:sz w:val="20"/>
          <w:szCs w:val="20"/>
          <w:lang w:val="es-AR"/>
        </w:rPr>
        <w:lastRenderedPageBreak/>
        <w:t xml:space="preserve">manera integral, a fin de </w:t>
      </w:r>
      <w:r w:rsidR="00062586">
        <w:rPr>
          <w:sz w:val="20"/>
          <w:szCs w:val="20"/>
          <w:lang w:val="es-AR"/>
        </w:rPr>
        <w:t xml:space="preserve">que las </w:t>
      </w:r>
      <w:r w:rsidRPr="00366709">
        <w:rPr>
          <w:sz w:val="20"/>
          <w:szCs w:val="20"/>
          <w:lang w:val="es-AR"/>
        </w:rPr>
        <w:t xml:space="preserve">personas mayores sean reconocidas </w:t>
      </w:r>
      <w:r w:rsidR="00911089" w:rsidRPr="00366709">
        <w:rPr>
          <w:sz w:val="20"/>
          <w:szCs w:val="20"/>
          <w:lang w:val="es-AR"/>
        </w:rPr>
        <w:t>como sujetos de derecho</w:t>
      </w:r>
      <w:r w:rsidR="008E3E41">
        <w:rPr>
          <w:sz w:val="20"/>
          <w:szCs w:val="20"/>
          <w:lang w:val="es-AR"/>
        </w:rPr>
        <w:t>s especiales</w:t>
      </w:r>
      <w:r w:rsidR="00911089" w:rsidRPr="00366709">
        <w:rPr>
          <w:sz w:val="20"/>
          <w:szCs w:val="20"/>
          <w:lang w:val="es-AR"/>
        </w:rPr>
        <w:t xml:space="preserve"> desde la </w:t>
      </w:r>
      <w:r w:rsidRPr="00366709">
        <w:rPr>
          <w:sz w:val="20"/>
          <w:szCs w:val="20"/>
          <w:lang w:val="es-AR"/>
        </w:rPr>
        <w:t xml:space="preserve">prevención y promoción </w:t>
      </w:r>
      <w:r w:rsidR="00911089" w:rsidRPr="00366709">
        <w:rPr>
          <w:sz w:val="20"/>
          <w:szCs w:val="20"/>
          <w:lang w:val="es-AR"/>
        </w:rPr>
        <w:t>de salud.</w:t>
      </w:r>
      <w:r w:rsidR="00911089" w:rsidRPr="00366709">
        <w:rPr>
          <w:sz w:val="20"/>
          <w:szCs w:val="20"/>
          <w:lang w:val="es-HN"/>
        </w:rPr>
        <w:t xml:space="preserve"> </w:t>
      </w:r>
      <w:r w:rsidR="00911089" w:rsidRPr="00366709">
        <w:rPr>
          <w:rFonts w:eastAsia="Calibri"/>
          <w:sz w:val="20"/>
          <w:szCs w:val="20"/>
          <w:lang w:val="es-AR" w:eastAsia="en-US"/>
        </w:rPr>
        <w:t xml:space="preserve">Para ello, resulta necesario también el </w:t>
      </w:r>
      <w:r w:rsidR="00911089" w:rsidRPr="00366709">
        <w:rPr>
          <w:sz w:val="20"/>
          <w:szCs w:val="20"/>
        </w:rPr>
        <w:t xml:space="preserve">involucramiento por parte de la sociedad a fin de brindar </w:t>
      </w:r>
      <w:r w:rsidRPr="00A6246E">
        <w:rPr>
          <w:sz w:val="20"/>
          <w:szCs w:val="20"/>
        </w:rPr>
        <w:t>a las personas adultas mayores</w:t>
      </w:r>
      <w:r w:rsidRPr="0059117C">
        <w:rPr>
          <w:sz w:val="20"/>
          <w:szCs w:val="20"/>
        </w:rPr>
        <w:t xml:space="preserve"> de </w:t>
      </w:r>
      <w:r w:rsidR="00911089" w:rsidRPr="0059117C">
        <w:rPr>
          <w:sz w:val="20"/>
          <w:szCs w:val="20"/>
        </w:rPr>
        <w:t xml:space="preserve">calidad de vida. Al respecto, el perito Dr. Javier Santos, precisó en audiencia que:  </w:t>
      </w:r>
    </w:p>
    <w:p w14:paraId="2F5CACDD" w14:textId="77777777" w:rsidR="00911089" w:rsidRPr="00366709" w:rsidRDefault="00911089" w:rsidP="00911089">
      <w:pPr>
        <w:tabs>
          <w:tab w:val="left" w:pos="567"/>
        </w:tabs>
        <w:rPr>
          <w:sz w:val="20"/>
          <w:szCs w:val="20"/>
          <w:lang w:val="es-HN"/>
        </w:rPr>
      </w:pPr>
    </w:p>
    <w:p w14:paraId="116055B5" w14:textId="55E34A1E" w:rsidR="00911089" w:rsidRPr="00E7264D" w:rsidRDefault="00911089" w:rsidP="00911089">
      <w:pPr>
        <w:tabs>
          <w:tab w:val="left" w:pos="567"/>
        </w:tabs>
        <w:ind w:left="567" w:right="390"/>
        <w:rPr>
          <w:sz w:val="18"/>
          <w:szCs w:val="18"/>
          <w:lang w:val="es-HN"/>
        </w:rPr>
      </w:pPr>
      <w:r w:rsidRPr="00366709">
        <w:rPr>
          <w:sz w:val="18"/>
          <w:szCs w:val="20"/>
          <w:lang w:val="es-HN"/>
        </w:rPr>
        <w:t>“[El] adulto mayor es un paciente vulnerable</w:t>
      </w:r>
      <w:r w:rsidR="00DF233B">
        <w:rPr>
          <w:sz w:val="18"/>
          <w:szCs w:val="20"/>
          <w:lang w:val="es-HN"/>
        </w:rPr>
        <w:t xml:space="preserve"> en general</w:t>
      </w:r>
      <w:r w:rsidR="00D0629F">
        <w:rPr>
          <w:sz w:val="18"/>
          <w:szCs w:val="20"/>
          <w:lang w:val="es-HN"/>
        </w:rPr>
        <w:t>;</w:t>
      </w:r>
      <w:r w:rsidRPr="00366709">
        <w:rPr>
          <w:sz w:val="18"/>
          <w:szCs w:val="20"/>
          <w:lang w:val="es-HN"/>
        </w:rPr>
        <w:t xml:space="preserve"> </w:t>
      </w:r>
      <w:r w:rsidR="00DF233B">
        <w:rPr>
          <w:sz w:val="18"/>
          <w:szCs w:val="20"/>
          <w:lang w:val="es-HN"/>
        </w:rPr>
        <w:t>es un paciente que</w:t>
      </w:r>
      <w:r w:rsidRPr="00366709">
        <w:rPr>
          <w:sz w:val="18"/>
          <w:szCs w:val="20"/>
          <w:lang w:val="es-HN"/>
        </w:rPr>
        <w:t xml:space="preserve"> va a necesitar no solamente del médico sino</w:t>
      </w:r>
      <w:r w:rsidRPr="00C27894">
        <w:rPr>
          <w:sz w:val="18"/>
          <w:szCs w:val="20"/>
          <w:lang w:val="es-HN"/>
        </w:rPr>
        <w:t xml:space="preserve"> de la sociedad para llevarlo adelante. </w:t>
      </w:r>
      <w:r w:rsidR="00DF233B">
        <w:rPr>
          <w:sz w:val="18"/>
          <w:szCs w:val="20"/>
          <w:lang w:val="es-HN"/>
        </w:rPr>
        <w:t>Ya no se habla más de expectativa de vida […] [</w:t>
      </w:r>
      <w:r w:rsidRPr="00C27894">
        <w:rPr>
          <w:sz w:val="18"/>
          <w:szCs w:val="20"/>
          <w:lang w:val="es-HN"/>
        </w:rPr>
        <w:t>s</w:t>
      </w:r>
      <w:r w:rsidR="00DF233B">
        <w:rPr>
          <w:sz w:val="18"/>
          <w:szCs w:val="20"/>
          <w:lang w:val="es-HN"/>
        </w:rPr>
        <w:t>]</w:t>
      </w:r>
      <w:r w:rsidRPr="00C27894">
        <w:rPr>
          <w:sz w:val="18"/>
          <w:szCs w:val="20"/>
          <w:lang w:val="es-HN"/>
        </w:rPr>
        <w:t>e habla de año</w:t>
      </w:r>
      <w:r w:rsidRPr="00E279BB">
        <w:rPr>
          <w:sz w:val="18"/>
          <w:szCs w:val="20"/>
          <w:lang w:val="es-HN"/>
        </w:rPr>
        <w:t>s de vida libre de enfermedad</w:t>
      </w:r>
      <w:r w:rsidR="00DF233B">
        <w:rPr>
          <w:sz w:val="18"/>
          <w:szCs w:val="20"/>
          <w:lang w:val="es-HN"/>
        </w:rPr>
        <w:t xml:space="preserve"> […] p</w:t>
      </w:r>
      <w:r w:rsidRPr="00C27894">
        <w:rPr>
          <w:sz w:val="18"/>
          <w:szCs w:val="20"/>
          <w:lang w:val="es-HN"/>
        </w:rPr>
        <w:t>or eso es que necesita el apoyo de todo el Estado</w:t>
      </w:r>
      <w:r w:rsidR="00DF233B">
        <w:rPr>
          <w:sz w:val="18"/>
          <w:szCs w:val="20"/>
          <w:lang w:val="es-HN"/>
        </w:rPr>
        <w:t>. N</w:t>
      </w:r>
      <w:r w:rsidRPr="00C27894">
        <w:rPr>
          <w:sz w:val="18"/>
          <w:szCs w:val="20"/>
          <w:lang w:val="es-HN"/>
        </w:rPr>
        <w:t xml:space="preserve">os tenemos que involucrar todos para que tengamos la mayor cantidad de años de vida </w:t>
      </w:r>
      <w:r>
        <w:rPr>
          <w:sz w:val="18"/>
          <w:szCs w:val="20"/>
          <w:lang w:val="es-HN"/>
        </w:rPr>
        <w:t>[de calidad]</w:t>
      </w:r>
      <w:r w:rsidRPr="00C27894">
        <w:rPr>
          <w:rStyle w:val="FootnoteReference"/>
          <w:sz w:val="18"/>
          <w:szCs w:val="18"/>
        </w:rPr>
        <w:footnoteReference w:id="219"/>
      </w:r>
      <w:r>
        <w:rPr>
          <w:sz w:val="18"/>
          <w:szCs w:val="18"/>
          <w:lang w:val="es-HN"/>
        </w:rPr>
        <w:t xml:space="preserve"> </w:t>
      </w:r>
      <w:r w:rsidRPr="00E7264D">
        <w:rPr>
          <w:sz w:val="18"/>
          <w:szCs w:val="18"/>
          <w:lang w:val="es-HN"/>
        </w:rPr>
        <w:t xml:space="preserve">[…] </w:t>
      </w:r>
      <w:r w:rsidR="00DF233B">
        <w:rPr>
          <w:sz w:val="18"/>
          <w:szCs w:val="18"/>
          <w:lang w:val="es-MX"/>
        </w:rPr>
        <w:t>[t]</w:t>
      </w:r>
      <w:proofErr w:type="spellStart"/>
      <w:r w:rsidRPr="00C64243">
        <w:rPr>
          <w:sz w:val="18"/>
          <w:szCs w:val="18"/>
          <w:lang w:val="es-MX"/>
        </w:rPr>
        <w:t>odos</w:t>
      </w:r>
      <w:proofErr w:type="spellEnd"/>
      <w:r w:rsidRPr="00C64243">
        <w:rPr>
          <w:sz w:val="18"/>
          <w:szCs w:val="18"/>
          <w:lang w:val="es-MX"/>
        </w:rPr>
        <w:t xml:space="preserve"> vamos a envejecer si tenemos suerte […]. Lo que tenemos que hacer es formar gente y formar el medio, la sociedad para que tengamos el lugar correcto para ser tratados”</w:t>
      </w:r>
      <w:r w:rsidRPr="00603440">
        <w:rPr>
          <w:sz w:val="20"/>
          <w:szCs w:val="20"/>
          <w:vertAlign w:val="superscript"/>
          <w:lang w:val="es-AR"/>
        </w:rPr>
        <w:footnoteReference w:id="220"/>
      </w:r>
      <w:r w:rsidRPr="00C64243">
        <w:rPr>
          <w:sz w:val="18"/>
          <w:szCs w:val="18"/>
          <w:lang w:val="es-MX"/>
        </w:rPr>
        <w:t>.</w:t>
      </w:r>
    </w:p>
    <w:p w14:paraId="0480DA9F" w14:textId="77777777" w:rsidR="002570D1" w:rsidRPr="002570D1" w:rsidRDefault="002570D1" w:rsidP="007E5CD5">
      <w:pPr>
        <w:ind w:right="-360"/>
        <w:contextualSpacing/>
        <w:rPr>
          <w:rFonts w:eastAsia="Calibri"/>
          <w:sz w:val="20"/>
          <w:szCs w:val="20"/>
          <w:lang w:val="es-ES_tradnl" w:eastAsia="en-US"/>
        </w:rPr>
      </w:pPr>
    </w:p>
    <w:p w14:paraId="5E4FB7AA" w14:textId="0B9F4E13" w:rsidR="002570D1" w:rsidRPr="00827A1E" w:rsidRDefault="00366709" w:rsidP="002570D1">
      <w:pPr>
        <w:numPr>
          <w:ilvl w:val="0"/>
          <w:numId w:val="2"/>
        </w:numPr>
        <w:tabs>
          <w:tab w:val="left" w:pos="567"/>
          <w:tab w:val="num" w:pos="1569"/>
          <w:tab w:val="num" w:pos="12305"/>
        </w:tabs>
        <w:ind w:left="0" w:firstLine="0"/>
        <w:rPr>
          <w:rFonts w:eastAsia="Calibri"/>
          <w:sz w:val="20"/>
          <w:szCs w:val="20"/>
          <w:lang w:val="es-ES" w:eastAsia="en-US"/>
        </w:rPr>
      </w:pPr>
      <w:r w:rsidRPr="004368CD">
        <w:rPr>
          <w:rFonts w:eastAsia="Calibri"/>
          <w:sz w:val="20"/>
          <w:szCs w:val="20"/>
          <w:lang w:val="es-ES" w:eastAsia="en-US"/>
        </w:rPr>
        <w:t>L</w:t>
      </w:r>
      <w:r w:rsidR="002570D1" w:rsidRPr="00827A1E">
        <w:rPr>
          <w:rFonts w:eastAsia="Calibri"/>
          <w:sz w:val="20"/>
          <w:szCs w:val="20"/>
          <w:lang w:val="es-ES" w:eastAsia="en-US"/>
        </w:rPr>
        <w:t>a Corte nota que, en muchas situaciones</w:t>
      </w:r>
      <w:r w:rsidRPr="00827A1E">
        <w:rPr>
          <w:rFonts w:eastAsia="Calibri"/>
          <w:sz w:val="20"/>
          <w:szCs w:val="20"/>
          <w:lang w:val="es-ES" w:eastAsia="en-US"/>
        </w:rPr>
        <w:t>,</w:t>
      </w:r>
      <w:r w:rsidR="002570D1" w:rsidRPr="00827A1E">
        <w:rPr>
          <w:rFonts w:eastAsia="Calibri"/>
          <w:sz w:val="20"/>
          <w:szCs w:val="20"/>
          <w:lang w:val="es-ES" w:eastAsia="en-US"/>
        </w:rPr>
        <w:t xml:space="preserve"> se presenta una particular vulnerabilidad </w:t>
      </w:r>
      <w:r w:rsidRPr="00827A1E">
        <w:rPr>
          <w:rFonts w:eastAsia="Calibri"/>
          <w:sz w:val="20"/>
          <w:szCs w:val="20"/>
          <w:lang w:val="es-ES" w:eastAsia="en-US"/>
        </w:rPr>
        <w:t xml:space="preserve">de </w:t>
      </w:r>
      <w:r w:rsidR="0001661C" w:rsidRPr="004368CD">
        <w:rPr>
          <w:rFonts w:eastAsia="Calibri"/>
          <w:sz w:val="20"/>
          <w:szCs w:val="20"/>
          <w:lang w:val="es-ES" w:eastAsia="en-US"/>
        </w:rPr>
        <w:t>las personas mayores</w:t>
      </w:r>
      <w:r w:rsidRPr="004368CD">
        <w:rPr>
          <w:rFonts w:eastAsia="Calibri"/>
          <w:sz w:val="20"/>
          <w:szCs w:val="20"/>
          <w:lang w:val="es-ES" w:eastAsia="en-US"/>
        </w:rPr>
        <w:t xml:space="preserve"> </w:t>
      </w:r>
      <w:r w:rsidR="002570D1" w:rsidRPr="00827A1E">
        <w:rPr>
          <w:rFonts w:eastAsia="Calibri"/>
          <w:sz w:val="20"/>
          <w:szCs w:val="20"/>
          <w:lang w:val="es-ES" w:eastAsia="en-US"/>
        </w:rPr>
        <w:t>frente al acceso a la salud. Sobre el particular, resalta la existencia de diversos factores como las limitaciones físicas</w:t>
      </w:r>
      <w:r w:rsidR="00B71D6B" w:rsidRPr="004368CD">
        <w:rPr>
          <w:rFonts w:eastAsia="Calibri"/>
          <w:sz w:val="20"/>
          <w:szCs w:val="20"/>
          <w:lang w:val="es-ES" w:eastAsia="en-US"/>
        </w:rPr>
        <w:t>,</w:t>
      </w:r>
      <w:r w:rsidR="00B84989" w:rsidRPr="004368CD">
        <w:rPr>
          <w:rFonts w:eastAsia="Calibri"/>
          <w:sz w:val="20"/>
          <w:szCs w:val="20"/>
          <w:lang w:val="es-ES" w:eastAsia="en-US"/>
        </w:rPr>
        <w:t xml:space="preserve"> de movilidad</w:t>
      </w:r>
      <w:r w:rsidR="002570D1" w:rsidRPr="004368CD">
        <w:rPr>
          <w:rFonts w:eastAsia="Calibri"/>
          <w:sz w:val="20"/>
          <w:szCs w:val="20"/>
          <w:lang w:val="es-ES" w:eastAsia="en-US"/>
        </w:rPr>
        <w:t xml:space="preserve">, la condición </w:t>
      </w:r>
      <w:r w:rsidR="000B50C1" w:rsidRPr="004368CD">
        <w:rPr>
          <w:rFonts w:eastAsia="Calibri"/>
          <w:sz w:val="20"/>
          <w:szCs w:val="20"/>
          <w:lang w:val="es-ES" w:eastAsia="en-US"/>
        </w:rPr>
        <w:t>económica</w:t>
      </w:r>
      <w:r w:rsidR="002570D1" w:rsidRPr="004368CD">
        <w:rPr>
          <w:rFonts w:eastAsia="Calibri"/>
          <w:sz w:val="20"/>
          <w:szCs w:val="20"/>
          <w:lang w:val="es-ES" w:eastAsia="en-US"/>
        </w:rPr>
        <w:t xml:space="preserve"> o </w:t>
      </w:r>
      <w:r w:rsidR="00714692" w:rsidRPr="004368CD">
        <w:rPr>
          <w:rFonts w:eastAsia="Calibri"/>
          <w:sz w:val="20"/>
          <w:szCs w:val="20"/>
          <w:lang w:val="es-ES" w:eastAsia="en-US"/>
        </w:rPr>
        <w:t xml:space="preserve">la </w:t>
      </w:r>
      <w:r w:rsidR="002570D1" w:rsidRPr="004368CD">
        <w:rPr>
          <w:rFonts w:eastAsia="Calibri"/>
          <w:sz w:val="20"/>
          <w:szCs w:val="20"/>
          <w:lang w:val="es-ES" w:eastAsia="en-US"/>
        </w:rPr>
        <w:t>gravedad de la enfermedad</w:t>
      </w:r>
      <w:r w:rsidR="00714692" w:rsidRPr="004368CD">
        <w:rPr>
          <w:rFonts w:eastAsia="Calibri"/>
          <w:sz w:val="20"/>
          <w:szCs w:val="20"/>
          <w:lang w:val="es-ES" w:eastAsia="en-US"/>
        </w:rPr>
        <w:t xml:space="preserve"> y posibilidades de recuperación</w:t>
      </w:r>
      <w:r w:rsidR="002570D1" w:rsidRPr="004368CD">
        <w:rPr>
          <w:rFonts w:eastAsia="Calibri"/>
          <w:sz w:val="20"/>
          <w:szCs w:val="20"/>
          <w:lang w:val="es-ES" w:eastAsia="en-US"/>
        </w:rPr>
        <w:t>. Asimismo, en determinadas situaciones, dicha vulnerabilidad se encuentra incrementada en razón del desequilibrio de poder que existe en la relación médico - paciente</w:t>
      </w:r>
      <w:r w:rsidR="002570D1" w:rsidRPr="004368CD">
        <w:rPr>
          <w:rFonts w:eastAsia="Calibri"/>
          <w:sz w:val="20"/>
          <w:szCs w:val="20"/>
          <w:vertAlign w:val="superscript"/>
          <w:lang w:val="es-ES" w:eastAsia="en-US"/>
        </w:rPr>
        <w:footnoteReference w:id="221"/>
      </w:r>
      <w:r w:rsidR="002570D1" w:rsidRPr="004368CD">
        <w:rPr>
          <w:rFonts w:eastAsia="Calibri"/>
          <w:sz w:val="20"/>
          <w:szCs w:val="20"/>
          <w:lang w:val="es-ES" w:eastAsia="en-US"/>
        </w:rPr>
        <w:t>, por lo que resulta indispensable que se garantice al paciente</w:t>
      </w:r>
      <w:r w:rsidR="00B71D6B" w:rsidRPr="004368CD">
        <w:rPr>
          <w:rFonts w:eastAsia="Calibri"/>
          <w:sz w:val="20"/>
          <w:szCs w:val="20"/>
          <w:lang w:val="es-ES" w:eastAsia="en-US"/>
        </w:rPr>
        <w:t>, de manera clara y accesible,</w:t>
      </w:r>
      <w:r w:rsidR="002570D1" w:rsidRPr="004368CD">
        <w:rPr>
          <w:rFonts w:eastAsia="Calibri"/>
          <w:sz w:val="20"/>
          <w:szCs w:val="20"/>
          <w:lang w:val="es-ES" w:eastAsia="en-US"/>
        </w:rPr>
        <w:t xml:space="preserve"> la información necesaria y el entendimiento de su </w:t>
      </w:r>
      <w:r w:rsidR="00B71D6B" w:rsidRPr="004368CD">
        <w:rPr>
          <w:rFonts w:eastAsia="Calibri"/>
          <w:sz w:val="20"/>
          <w:szCs w:val="20"/>
          <w:lang w:val="es-ES" w:eastAsia="en-US"/>
        </w:rPr>
        <w:t xml:space="preserve">diagnóstico o </w:t>
      </w:r>
      <w:r w:rsidR="002570D1" w:rsidRPr="004368CD">
        <w:rPr>
          <w:rFonts w:eastAsia="Calibri"/>
          <w:sz w:val="20"/>
          <w:szCs w:val="20"/>
          <w:lang w:val="es-ES" w:eastAsia="en-US"/>
        </w:rPr>
        <w:t>situación particular</w:t>
      </w:r>
      <w:r w:rsidR="00B71D6B" w:rsidRPr="004368CD">
        <w:rPr>
          <w:rFonts w:eastAsia="Calibri"/>
          <w:sz w:val="20"/>
          <w:szCs w:val="20"/>
          <w:lang w:val="es-ES" w:eastAsia="en-US"/>
        </w:rPr>
        <w:t>, así como de</w:t>
      </w:r>
      <w:r w:rsidR="002570D1" w:rsidRPr="004368CD">
        <w:rPr>
          <w:rFonts w:eastAsia="Calibri"/>
          <w:sz w:val="20"/>
          <w:szCs w:val="20"/>
          <w:lang w:val="es-ES" w:eastAsia="en-US"/>
        </w:rPr>
        <w:t xml:space="preserve"> las medidas </w:t>
      </w:r>
      <w:r w:rsidR="00B71D6B" w:rsidRPr="004368CD">
        <w:rPr>
          <w:rFonts w:eastAsia="Calibri"/>
          <w:sz w:val="20"/>
          <w:szCs w:val="20"/>
          <w:lang w:val="es-ES" w:eastAsia="en-US"/>
        </w:rPr>
        <w:t xml:space="preserve">o tratamientos </w:t>
      </w:r>
      <w:r w:rsidR="002570D1" w:rsidRPr="004368CD">
        <w:rPr>
          <w:rFonts w:eastAsia="Calibri"/>
          <w:sz w:val="20"/>
          <w:szCs w:val="20"/>
          <w:lang w:val="es-ES" w:eastAsia="en-US"/>
        </w:rPr>
        <w:t>para enfrentar</w:t>
      </w:r>
      <w:r w:rsidR="00B71D6B" w:rsidRPr="004368CD">
        <w:rPr>
          <w:rFonts w:eastAsia="Calibri"/>
          <w:sz w:val="20"/>
          <w:szCs w:val="20"/>
          <w:lang w:val="es-ES" w:eastAsia="en-US"/>
        </w:rPr>
        <w:t xml:space="preserve"> tal situación</w:t>
      </w:r>
      <w:r w:rsidR="002570D1" w:rsidRPr="004368CD">
        <w:rPr>
          <w:rFonts w:eastAsia="Calibri"/>
          <w:sz w:val="20"/>
          <w:szCs w:val="20"/>
          <w:lang w:val="es-ES" w:eastAsia="en-US"/>
        </w:rPr>
        <w:t xml:space="preserve"> (</w:t>
      </w:r>
      <w:r w:rsidR="002570D1" w:rsidRPr="004368CD">
        <w:rPr>
          <w:rFonts w:eastAsia="Calibri"/>
          <w:i/>
          <w:sz w:val="20"/>
          <w:szCs w:val="20"/>
          <w:lang w:val="es-ES" w:eastAsia="en-US"/>
        </w:rPr>
        <w:t xml:space="preserve">infra </w:t>
      </w:r>
      <w:r w:rsidR="00D0629F" w:rsidRPr="00B1523A">
        <w:rPr>
          <w:rFonts w:eastAsia="Calibri"/>
          <w:sz w:val="20"/>
          <w:szCs w:val="20"/>
          <w:lang w:val="es-ES" w:eastAsia="en-US"/>
        </w:rPr>
        <w:t>párr.</w:t>
      </w:r>
      <w:r w:rsidR="00D0629F">
        <w:rPr>
          <w:rFonts w:eastAsia="Calibri"/>
          <w:i/>
          <w:sz w:val="20"/>
          <w:szCs w:val="20"/>
          <w:lang w:val="es-ES" w:eastAsia="en-US"/>
        </w:rPr>
        <w:t xml:space="preserve"> </w:t>
      </w:r>
      <w:r w:rsidR="004368CD" w:rsidRPr="00B1523A">
        <w:rPr>
          <w:rFonts w:eastAsia="Calibri"/>
          <w:sz w:val="20"/>
          <w:szCs w:val="20"/>
          <w:lang w:val="es-ES" w:eastAsia="en-US"/>
        </w:rPr>
        <w:t>1</w:t>
      </w:r>
      <w:r w:rsidR="00827A1E">
        <w:rPr>
          <w:rFonts w:eastAsia="Calibri"/>
          <w:sz w:val="20"/>
          <w:szCs w:val="20"/>
          <w:lang w:val="es-ES" w:eastAsia="en-US"/>
        </w:rPr>
        <w:t>62</w:t>
      </w:r>
      <w:r w:rsidR="004368CD" w:rsidRPr="004368CD">
        <w:rPr>
          <w:rFonts w:eastAsia="Calibri"/>
          <w:sz w:val="20"/>
          <w:szCs w:val="20"/>
          <w:lang w:val="es-ES" w:eastAsia="en-US"/>
        </w:rPr>
        <w:t xml:space="preserve">). </w:t>
      </w:r>
    </w:p>
    <w:p w14:paraId="3345CD8D" w14:textId="77777777" w:rsidR="002570D1" w:rsidRPr="002570D1" w:rsidRDefault="002570D1" w:rsidP="002570D1">
      <w:pPr>
        <w:ind w:left="-90" w:right="-360"/>
        <w:contextualSpacing/>
        <w:rPr>
          <w:rFonts w:eastAsia="Calibri"/>
          <w:sz w:val="20"/>
          <w:szCs w:val="20"/>
          <w:lang w:val="es-ES" w:eastAsia="en-US"/>
        </w:rPr>
      </w:pPr>
    </w:p>
    <w:p w14:paraId="3A77ED89" w14:textId="2B30EC10" w:rsidR="00CA76E0" w:rsidRPr="002570D1" w:rsidRDefault="00D24D12" w:rsidP="006B458C">
      <w:pPr>
        <w:numPr>
          <w:ilvl w:val="0"/>
          <w:numId w:val="2"/>
        </w:numPr>
        <w:tabs>
          <w:tab w:val="left" w:pos="567"/>
          <w:tab w:val="num" w:pos="1569"/>
          <w:tab w:val="num" w:pos="12305"/>
        </w:tabs>
        <w:ind w:left="0" w:firstLine="0"/>
        <w:rPr>
          <w:rFonts w:eastAsia="Calibri"/>
          <w:sz w:val="20"/>
          <w:szCs w:val="20"/>
          <w:lang w:val="es-ES" w:eastAsia="en-US"/>
        </w:rPr>
      </w:pPr>
      <w:r w:rsidRPr="0059117C">
        <w:rPr>
          <w:rFonts w:eastAsia="Calibri"/>
          <w:sz w:val="20"/>
          <w:szCs w:val="20"/>
          <w:lang w:val="es-ES" w:eastAsia="en-US"/>
        </w:rPr>
        <w:t xml:space="preserve">En vista de </w:t>
      </w:r>
      <w:r w:rsidR="006D14B8">
        <w:rPr>
          <w:rFonts w:eastAsia="Calibri"/>
          <w:sz w:val="20"/>
          <w:szCs w:val="20"/>
          <w:lang w:val="es-ES" w:eastAsia="en-US"/>
        </w:rPr>
        <w:t>lo anterior</w:t>
      </w:r>
      <w:r w:rsidRPr="0059117C">
        <w:rPr>
          <w:rFonts w:eastAsia="Calibri"/>
          <w:sz w:val="20"/>
          <w:szCs w:val="20"/>
          <w:lang w:val="es-ES" w:eastAsia="en-US"/>
        </w:rPr>
        <w:t xml:space="preserve">, la Corte resalta la importancia de visibilizar a las personas mayores como sujetos de derechos </w:t>
      </w:r>
      <w:r w:rsidR="002D5950" w:rsidRPr="00B1523A">
        <w:rPr>
          <w:rFonts w:eastAsia="Calibri"/>
          <w:sz w:val="20"/>
          <w:szCs w:val="20"/>
          <w:lang w:val="es-ES" w:eastAsia="en-US"/>
        </w:rPr>
        <w:t>con especial protección</w:t>
      </w:r>
      <w:r w:rsidR="002D5950">
        <w:rPr>
          <w:rFonts w:eastAsia="Calibri"/>
          <w:sz w:val="20"/>
          <w:szCs w:val="20"/>
          <w:lang w:val="es-ES" w:eastAsia="en-US"/>
        </w:rPr>
        <w:t xml:space="preserve"> </w:t>
      </w:r>
      <w:r w:rsidRPr="0059117C">
        <w:rPr>
          <w:rFonts w:eastAsia="Calibri"/>
          <w:sz w:val="20"/>
          <w:szCs w:val="20"/>
          <w:lang w:val="es-ES" w:eastAsia="en-US"/>
        </w:rPr>
        <w:t xml:space="preserve">y </w:t>
      </w:r>
      <w:r w:rsidR="006D14B8">
        <w:rPr>
          <w:rFonts w:eastAsia="Calibri"/>
          <w:sz w:val="20"/>
          <w:szCs w:val="20"/>
          <w:lang w:val="es-ES" w:eastAsia="en-US"/>
        </w:rPr>
        <w:t xml:space="preserve">por ende </w:t>
      </w:r>
      <w:r w:rsidRPr="0059117C">
        <w:rPr>
          <w:rFonts w:eastAsia="Calibri"/>
          <w:sz w:val="20"/>
          <w:szCs w:val="20"/>
          <w:lang w:val="es-ES" w:eastAsia="en-US"/>
        </w:rPr>
        <w:t xml:space="preserve">de cuidado integral, con </w:t>
      </w:r>
      <w:r w:rsidR="00B17B1F">
        <w:rPr>
          <w:rFonts w:eastAsia="Calibri"/>
          <w:sz w:val="20"/>
          <w:szCs w:val="20"/>
          <w:lang w:val="es-ES" w:eastAsia="en-US"/>
        </w:rPr>
        <w:t xml:space="preserve">el respeto de su </w:t>
      </w:r>
      <w:r w:rsidRPr="0059117C">
        <w:rPr>
          <w:rFonts w:eastAsia="Calibri"/>
          <w:sz w:val="20"/>
          <w:szCs w:val="20"/>
          <w:lang w:val="es-ES" w:eastAsia="en-US"/>
        </w:rPr>
        <w:t>autonomía e independencia</w:t>
      </w:r>
      <w:r w:rsidRPr="0059117C">
        <w:rPr>
          <w:rFonts w:eastAsia="Calibri"/>
          <w:sz w:val="20"/>
          <w:szCs w:val="20"/>
          <w:vertAlign w:val="superscript"/>
          <w:lang w:val="es-ES" w:eastAsia="en-US"/>
        </w:rPr>
        <w:footnoteReference w:id="222"/>
      </w:r>
      <w:r w:rsidRPr="0059117C">
        <w:rPr>
          <w:rFonts w:eastAsia="Calibri"/>
          <w:sz w:val="20"/>
          <w:szCs w:val="20"/>
          <w:lang w:val="es-ES" w:eastAsia="en-US"/>
        </w:rPr>
        <w:t xml:space="preserve">. </w:t>
      </w:r>
      <w:r w:rsidR="006D14B8">
        <w:rPr>
          <w:rFonts w:eastAsia="Calibri"/>
          <w:sz w:val="20"/>
          <w:szCs w:val="20"/>
          <w:lang w:val="es-ES" w:eastAsia="en-US"/>
        </w:rPr>
        <w:t>El Tribunal</w:t>
      </w:r>
      <w:r w:rsidRPr="0059117C">
        <w:rPr>
          <w:rFonts w:eastAsia="Calibri"/>
          <w:sz w:val="20"/>
          <w:szCs w:val="20"/>
          <w:lang w:val="es-ES" w:eastAsia="en-US"/>
        </w:rPr>
        <w:t xml:space="preserve"> ha sostenido que</w:t>
      </w:r>
      <w:r w:rsidR="008867EC">
        <w:rPr>
          <w:rFonts w:eastAsia="Calibri"/>
          <w:sz w:val="20"/>
          <w:szCs w:val="20"/>
          <w:lang w:val="es-ES" w:eastAsia="en-US"/>
        </w:rPr>
        <w:t>,</w:t>
      </w:r>
      <w:r w:rsidRPr="0059117C">
        <w:rPr>
          <w:rFonts w:eastAsia="Calibri"/>
          <w:sz w:val="20"/>
          <w:szCs w:val="20"/>
          <w:lang w:val="es-ES" w:eastAsia="en-US"/>
        </w:rPr>
        <w:t xml:space="preserve"> </w:t>
      </w:r>
      <w:r w:rsidR="006D14B8">
        <w:rPr>
          <w:rFonts w:eastAsia="Calibri"/>
          <w:sz w:val="20"/>
          <w:szCs w:val="20"/>
          <w:lang w:val="es-ES" w:eastAsia="en-US"/>
        </w:rPr>
        <w:t>al menos</w:t>
      </w:r>
      <w:r w:rsidR="008867EC">
        <w:rPr>
          <w:rFonts w:eastAsia="Calibri"/>
          <w:sz w:val="20"/>
          <w:szCs w:val="20"/>
          <w:lang w:val="es-ES" w:eastAsia="en-US"/>
        </w:rPr>
        <w:t>,</w:t>
      </w:r>
      <w:r w:rsidRPr="0059117C">
        <w:rPr>
          <w:rFonts w:eastAsia="Calibri"/>
          <w:sz w:val="20"/>
          <w:szCs w:val="20"/>
          <w:lang w:val="es-ES" w:eastAsia="en-US"/>
        </w:rPr>
        <w:t xml:space="preserve"> </w:t>
      </w:r>
      <w:r w:rsidR="00B17B1F">
        <w:rPr>
          <w:rFonts w:eastAsia="Calibri"/>
          <w:sz w:val="20"/>
          <w:szCs w:val="20"/>
          <w:lang w:val="es-ES" w:eastAsia="en-US"/>
        </w:rPr>
        <w:t xml:space="preserve">estos </w:t>
      </w:r>
      <w:r w:rsidR="006D14B8">
        <w:rPr>
          <w:rFonts w:eastAsia="Calibri"/>
          <w:sz w:val="20"/>
          <w:szCs w:val="20"/>
          <w:lang w:val="es-ES" w:eastAsia="en-US"/>
        </w:rPr>
        <w:t>“</w:t>
      </w:r>
      <w:r w:rsidRPr="0059117C">
        <w:rPr>
          <w:rFonts w:eastAsia="Calibri"/>
          <w:sz w:val="20"/>
          <w:szCs w:val="20"/>
          <w:lang w:val="es-ES" w:eastAsia="en-US"/>
        </w:rPr>
        <w:t>deben tener protegida su salud en caso de enfermedades crónicas y en fase terminal</w:t>
      </w:r>
      <w:r w:rsidR="006D14B8">
        <w:rPr>
          <w:rFonts w:eastAsia="Calibri"/>
          <w:sz w:val="20"/>
          <w:szCs w:val="20"/>
          <w:lang w:val="es-ES" w:eastAsia="en-US"/>
        </w:rPr>
        <w:t>”</w:t>
      </w:r>
      <w:r w:rsidRPr="0059117C">
        <w:rPr>
          <w:rFonts w:eastAsia="Calibri"/>
          <w:sz w:val="20"/>
          <w:szCs w:val="20"/>
          <w:vertAlign w:val="superscript"/>
          <w:lang w:val="es-ES" w:eastAsia="en-US"/>
        </w:rPr>
        <w:footnoteReference w:id="223"/>
      </w:r>
      <w:r w:rsidRPr="0059117C">
        <w:rPr>
          <w:rFonts w:eastAsia="Calibri"/>
          <w:sz w:val="20"/>
          <w:szCs w:val="20"/>
          <w:lang w:val="es-ES" w:eastAsia="en-US"/>
        </w:rPr>
        <w:t>.</w:t>
      </w:r>
      <w:r w:rsidRPr="00D24D12">
        <w:rPr>
          <w:rFonts w:eastAsia="Calibri"/>
          <w:sz w:val="20"/>
          <w:szCs w:val="20"/>
          <w:lang w:val="es-ES" w:eastAsia="en-US"/>
        </w:rPr>
        <w:t xml:space="preserve"> </w:t>
      </w:r>
      <w:r w:rsidRPr="0059117C">
        <w:rPr>
          <w:rFonts w:eastAsia="Calibri"/>
          <w:sz w:val="20"/>
          <w:szCs w:val="20"/>
          <w:lang w:val="es-ES" w:eastAsia="en-US"/>
        </w:rPr>
        <w:t>Por lo tanto, esta Corte considera que, respecto de las personas adult</w:t>
      </w:r>
      <w:r w:rsidR="008867EC">
        <w:rPr>
          <w:rFonts w:eastAsia="Calibri"/>
          <w:sz w:val="20"/>
          <w:szCs w:val="20"/>
          <w:lang w:val="es-ES" w:eastAsia="en-US"/>
        </w:rPr>
        <w:t>a</w:t>
      </w:r>
      <w:r w:rsidRPr="0059117C">
        <w:rPr>
          <w:rFonts w:eastAsia="Calibri"/>
          <w:sz w:val="20"/>
          <w:szCs w:val="20"/>
          <w:lang w:val="es-ES" w:eastAsia="en-US"/>
        </w:rPr>
        <w:t>s mayores, como grupo en situación de vulnerabilidad, existe una obligación reforzada de respeto y garantía de su derecho a la salud</w:t>
      </w:r>
      <w:r w:rsidRPr="0059117C">
        <w:rPr>
          <w:rFonts w:eastAsia="Calibri"/>
          <w:sz w:val="20"/>
          <w:szCs w:val="20"/>
          <w:vertAlign w:val="superscript"/>
          <w:lang w:val="es-ES" w:eastAsia="en-US"/>
        </w:rPr>
        <w:footnoteReference w:id="224"/>
      </w:r>
      <w:r w:rsidR="006D14B8">
        <w:rPr>
          <w:rFonts w:eastAsia="Calibri"/>
          <w:sz w:val="20"/>
          <w:szCs w:val="20"/>
          <w:lang w:val="es-ES" w:eastAsia="en-US"/>
        </w:rPr>
        <w:t>.</w:t>
      </w:r>
      <w:r w:rsidRPr="0059117C">
        <w:rPr>
          <w:rFonts w:eastAsia="Calibri"/>
          <w:sz w:val="20"/>
          <w:szCs w:val="20"/>
          <w:lang w:val="es-ES" w:eastAsia="en-US"/>
        </w:rPr>
        <w:t xml:space="preserve"> </w:t>
      </w:r>
      <w:r w:rsidR="002570D1" w:rsidRPr="00D24D12">
        <w:rPr>
          <w:rFonts w:eastAsia="Calibri"/>
          <w:sz w:val="20"/>
          <w:szCs w:val="20"/>
          <w:lang w:val="es-ES" w:eastAsia="en-US"/>
        </w:rPr>
        <w:t>Lo anterior</w:t>
      </w:r>
      <w:r w:rsidR="005D3093" w:rsidRPr="00D24D12">
        <w:rPr>
          <w:rFonts w:eastAsia="Calibri"/>
          <w:sz w:val="20"/>
          <w:szCs w:val="20"/>
          <w:lang w:val="es-ES" w:eastAsia="en-US"/>
        </w:rPr>
        <w:t xml:space="preserve"> </w:t>
      </w:r>
      <w:r w:rsidR="002570D1" w:rsidRPr="00D24D12">
        <w:rPr>
          <w:rFonts w:eastAsia="Calibri"/>
          <w:sz w:val="20"/>
          <w:szCs w:val="20"/>
          <w:lang w:val="es-ES" w:eastAsia="en-US"/>
        </w:rPr>
        <w:t>se traduce en</w:t>
      </w:r>
      <w:r w:rsidR="005D3093" w:rsidRPr="00D24D12">
        <w:rPr>
          <w:rFonts w:eastAsia="Calibri"/>
          <w:sz w:val="20"/>
          <w:szCs w:val="20"/>
          <w:lang w:val="es-ES" w:eastAsia="en-US"/>
        </w:rPr>
        <w:t xml:space="preserve"> la obligación de</w:t>
      </w:r>
      <w:r w:rsidR="002570D1" w:rsidRPr="00D24D12">
        <w:rPr>
          <w:rFonts w:eastAsia="Calibri"/>
          <w:sz w:val="20"/>
          <w:szCs w:val="20"/>
          <w:lang w:val="es-ES" w:eastAsia="en-US"/>
        </w:rPr>
        <w:t xml:space="preserve"> </w:t>
      </w:r>
      <w:r w:rsidR="00B17B1F">
        <w:rPr>
          <w:rFonts w:eastAsia="Calibri"/>
          <w:sz w:val="20"/>
          <w:szCs w:val="20"/>
          <w:lang w:val="es-ES" w:eastAsia="en-US"/>
        </w:rPr>
        <w:t xml:space="preserve">brindarles </w:t>
      </w:r>
      <w:r w:rsidR="002570D1" w:rsidRPr="00D24D12">
        <w:rPr>
          <w:rFonts w:eastAsia="Calibri"/>
          <w:sz w:val="20"/>
          <w:szCs w:val="20"/>
          <w:lang w:val="es-ES" w:eastAsia="en-US"/>
        </w:rPr>
        <w:t xml:space="preserve">las prestaciones </w:t>
      </w:r>
      <w:r w:rsidR="006D14B8">
        <w:rPr>
          <w:rFonts w:eastAsia="Calibri"/>
          <w:sz w:val="20"/>
          <w:szCs w:val="20"/>
          <w:lang w:val="es-ES" w:eastAsia="en-US"/>
        </w:rPr>
        <w:t>de salud</w:t>
      </w:r>
      <w:r w:rsidR="00B17B1F">
        <w:rPr>
          <w:rFonts w:eastAsia="Calibri"/>
          <w:sz w:val="20"/>
          <w:szCs w:val="20"/>
          <w:lang w:val="es-ES" w:eastAsia="en-US"/>
        </w:rPr>
        <w:t xml:space="preserve"> que sean</w:t>
      </w:r>
      <w:r w:rsidR="006D14B8">
        <w:rPr>
          <w:rFonts w:eastAsia="Calibri"/>
          <w:sz w:val="20"/>
          <w:szCs w:val="20"/>
          <w:lang w:val="es-ES" w:eastAsia="en-US"/>
        </w:rPr>
        <w:t xml:space="preserve"> </w:t>
      </w:r>
      <w:r w:rsidR="002570D1" w:rsidRPr="00D24D12">
        <w:rPr>
          <w:rFonts w:eastAsia="Calibri"/>
          <w:sz w:val="20"/>
          <w:szCs w:val="20"/>
          <w:lang w:val="es-ES" w:eastAsia="en-US"/>
        </w:rPr>
        <w:t>necesarias de manera eficiente</w:t>
      </w:r>
      <w:r w:rsidR="006D14B8" w:rsidRPr="006D14B8">
        <w:rPr>
          <w:rFonts w:eastAsia="Calibri"/>
          <w:sz w:val="20"/>
          <w:szCs w:val="20"/>
          <w:lang w:val="es-ES" w:eastAsia="en-US"/>
        </w:rPr>
        <w:t xml:space="preserve"> </w:t>
      </w:r>
      <w:r w:rsidR="006D14B8">
        <w:rPr>
          <w:rFonts w:eastAsia="Calibri"/>
          <w:sz w:val="20"/>
          <w:szCs w:val="20"/>
          <w:lang w:val="es-ES" w:eastAsia="en-US"/>
        </w:rPr>
        <w:t xml:space="preserve">y </w:t>
      </w:r>
      <w:proofErr w:type="gramStart"/>
      <w:r w:rsidR="00B17B1F" w:rsidRPr="00D24D12">
        <w:rPr>
          <w:rFonts w:eastAsia="Calibri"/>
          <w:sz w:val="20"/>
          <w:szCs w:val="20"/>
          <w:lang w:val="es-ES" w:eastAsia="en-US"/>
        </w:rPr>
        <w:t>contin</w:t>
      </w:r>
      <w:r w:rsidR="007D493C">
        <w:rPr>
          <w:rFonts w:eastAsia="Calibri"/>
          <w:sz w:val="20"/>
          <w:szCs w:val="20"/>
          <w:lang w:val="es-ES" w:eastAsia="en-US"/>
        </w:rPr>
        <w:t>u</w:t>
      </w:r>
      <w:r w:rsidR="00B17B1F" w:rsidRPr="00D24D12">
        <w:rPr>
          <w:rFonts w:eastAsia="Calibri"/>
          <w:sz w:val="20"/>
          <w:szCs w:val="20"/>
          <w:lang w:val="es-ES" w:eastAsia="en-US"/>
        </w:rPr>
        <w:t>a</w:t>
      </w:r>
      <w:proofErr w:type="gramEnd"/>
      <w:r w:rsidR="002570D1" w:rsidRPr="00D24D12">
        <w:rPr>
          <w:rFonts w:eastAsia="Calibri"/>
          <w:sz w:val="20"/>
          <w:szCs w:val="20"/>
          <w:lang w:val="es-ES" w:eastAsia="en-US"/>
        </w:rPr>
        <w:t xml:space="preserve">. En consecuencia, el incumplimiento de dicha obligación surge cuando se </w:t>
      </w:r>
      <w:r w:rsidR="006D14B8">
        <w:rPr>
          <w:rFonts w:eastAsia="Calibri"/>
          <w:sz w:val="20"/>
          <w:szCs w:val="20"/>
          <w:lang w:val="es-ES" w:eastAsia="en-US"/>
        </w:rPr>
        <w:t xml:space="preserve">les </w:t>
      </w:r>
      <w:r w:rsidR="002570D1" w:rsidRPr="00D24D12">
        <w:rPr>
          <w:rFonts w:eastAsia="Calibri"/>
          <w:sz w:val="20"/>
          <w:szCs w:val="20"/>
          <w:lang w:val="es-ES" w:eastAsia="en-US"/>
        </w:rPr>
        <w:t>niega el acceso a la salud</w:t>
      </w:r>
      <w:r w:rsidR="00B17B1F">
        <w:rPr>
          <w:rFonts w:eastAsia="Calibri"/>
          <w:sz w:val="20"/>
          <w:szCs w:val="20"/>
          <w:lang w:val="es-ES" w:eastAsia="en-US"/>
        </w:rPr>
        <w:t xml:space="preserve"> o no se garantiza </w:t>
      </w:r>
      <w:r w:rsidR="007D493C">
        <w:rPr>
          <w:rFonts w:eastAsia="Calibri"/>
          <w:sz w:val="20"/>
          <w:szCs w:val="20"/>
          <w:lang w:val="es-ES" w:eastAsia="en-US"/>
        </w:rPr>
        <w:t xml:space="preserve">su </w:t>
      </w:r>
      <w:r w:rsidR="00B17B1F">
        <w:rPr>
          <w:rFonts w:eastAsia="Calibri"/>
          <w:sz w:val="20"/>
          <w:szCs w:val="20"/>
          <w:lang w:val="es-ES" w:eastAsia="en-US"/>
        </w:rPr>
        <w:t>protección,</w:t>
      </w:r>
      <w:r w:rsidR="00B17B1F" w:rsidRPr="00B17B1F">
        <w:rPr>
          <w:rFonts w:eastAsia="Calibri"/>
          <w:sz w:val="20"/>
          <w:szCs w:val="20"/>
          <w:lang w:val="es-ES" w:eastAsia="en-US"/>
        </w:rPr>
        <w:t xml:space="preserve"> </w:t>
      </w:r>
      <w:r w:rsidR="00B17B1F">
        <w:rPr>
          <w:rFonts w:eastAsia="Calibri"/>
          <w:sz w:val="20"/>
          <w:szCs w:val="20"/>
          <w:lang w:val="es-ES" w:eastAsia="en-US"/>
        </w:rPr>
        <w:t xml:space="preserve">pudiendo </w:t>
      </w:r>
      <w:r w:rsidR="00AA6BC0">
        <w:rPr>
          <w:rFonts w:eastAsia="Calibri"/>
          <w:sz w:val="20"/>
          <w:szCs w:val="20"/>
          <w:lang w:val="es-ES" w:eastAsia="en-US"/>
        </w:rPr>
        <w:t xml:space="preserve">también </w:t>
      </w:r>
      <w:r w:rsidR="00B17B1F" w:rsidRPr="0059117C">
        <w:rPr>
          <w:rFonts w:eastAsia="Calibri"/>
          <w:sz w:val="20"/>
          <w:szCs w:val="20"/>
          <w:lang w:val="es-ES" w:eastAsia="en-US"/>
        </w:rPr>
        <w:t xml:space="preserve">ocasionar una vulneración de </w:t>
      </w:r>
      <w:r w:rsidR="00B17B1F">
        <w:rPr>
          <w:rFonts w:eastAsia="Calibri"/>
          <w:sz w:val="20"/>
          <w:szCs w:val="20"/>
          <w:lang w:val="es-ES" w:eastAsia="en-US"/>
        </w:rPr>
        <w:t>otros</w:t>
      </w:r>
      <w:r w:rsidR="00B17B1F" w:rsidRPr="0059117C">
        <w:rPr>
          <w:rFonts w:eastAsia="Calibri"/>
          <w:sz w:val="20"/>
          <w:szCs w:val="20"/>
          <w:lang w:val="es-ES" w:eastAsia="en-US"/>
        </w:rPr>
        <w:t xml:space="preserve"> derechos.</w:t>
      </w:r>
    </w:p>
    <w:p w14:paraId="25E069C0" w14:textId="4CE5E5FC" w:rsidR="002570D1" w:rsidRPr="00A34C6F" w:rsidRDefault="00F914DD" w:rsidP="00F914DD">
      <w:pPr>
        <w:pStyle w:val="Heading4"/>
        <w:ind w:left="2124"/>
        <w:rPr>
          <w:rFonts w:eastAsia="Calibri"/>
          <w:b/>
          <w:lang w:val="es-MX" w:eastAsia="en-US"/>
        </w:rPr>
      </w:pPr>
      <w:bookmarkStart w:id="81" w:name="_Toc513644470"/>
      <w:r w:rsidRPr="00A34C6F">
        <w:rPr>
          <w:rFonts w:eastAsia="Calibri"/>
          <w:b/>
          <w:lang w:val="es-MX" w:eastAsia="en-US"/>
        </w:rPr>
        <w:t xml:space="preserve">1.1.3  </w:t>
      </w:r>
      <w:r w:rsidR="001E5513">
        <w:rPr>
          <w:rFonts w:eastAsia="Calibri"/>
          <w:b/>
          <w:lang w:val="es-MX" w:eastAsia="en-US"/>
        </w:rPr>
        <w:t xml:space="preserve">Análisis del </w:t>
      </w:r>
      <w:r w:rsidR="00262E5D" w:rsidRPr="00A34C6F">
        <w:rPr>
          <w:rFonts w:eastAsia="Calibri"/>
          <w:b/>
          <w:lang w:val="es-MX" w:eastAsia="en-US"/>
        </w:rPr>
        <w:t>presente caso</w:t>
      </w:r>
      <w:bookmarkEnd w:id="81"/>
    </w:p>
    <w:p w14:paraId="2D45C172" w14:textId="77777777" w:rsidR="002570D1" w:rsidRPr="002570D1" w:rsidRDefault="002570D1" w:rsidP="002570D1">
      <w:pPr>
        <w:ind w:right="-360"/>
        <w:contextualSpacing/>
        <w:rPr>
          <w:rFonts w:eastAsia="Calibri"/>
          <w:b/>
          <w:sz w:val="20"/>
          <w:szCs w:val="20"/>
          <w:lang w:val="es-MX" w:eastAsia="en-US"/>
        </w:rPr>
      </w:pPr>
    </w:p>
    <w:p w14:paraId="681AEBF5" w14:textId="1AD7CE65" w:rsidR="002570D1" w:rsidRPr="002570D1" w:rsidRDefault="002570D1" w:rsidP="002570D1">
      <w:pPr>
        <w:numPr>
          <w:ilvl w:val="0"/>
          <w:numId w:val="2"/>
        </w:numPr>
        <w:tabs>
          <w:tab w:val="left" w:pos="567"/>
          <w:tab w:val="num" w:pos="1569"/>
          <w:tab w:val="num" w:pos="12305"/>
        </w:tabs>
        <w:ind w:left="0" w:firstLine="0"/>
        <w:rPr>
          <w:rFonts w:eastAsia="Calibri"/>
          <w:sz w:val="20"/>
          <w:szCs w:val="20"/>
          <w:lang w:val="es-MX" w:eastAsia="en-US"/>
        </w:rPr>
      </w:pPr>
      <w:r w:rsidRPr="002570D1">
        <w:rPr>
          <w:rFonts w:eastAsia="Calibri"/>
          <w:sz w:val="20"/>
          <w:szCs w:val="20"/>
          <w:lang w:val="es-MX" w:eastAsia="en-US"/>
        </w:rPr>
        <w:t>La Corte recuerda que</w:t>
      </w:r>
      <w:r w:rsidR="00262E5D">
        <w:rPr>
          <w:rFonts w:eastAsia="Calibri"/>
          <w:sz w:val="20"/>
          <w:szCs w:val="20"/>
          <w:lang w:val="es-MX" w:eastAsia="en-US"/>
        </w:rPr>
        <w:t xml:space="preserve"> en el caso concreto se presentaron dos ingresos al Hospital público </w:t>
      </w:r>
      <w:proofErr w:type="spellStart"/>
      <w:r w:rsidR="00262E5D">
        <w:rPr>
          <w:rFonts w:eastAsia="Calibri"/>
          <w:sz w:val="20"/>
          <w:szCs w:val="20"/>
          <w:lang w:val="es-MX" w:eastAsia="en-US"/>
        </w:rPr>
        <w:t>Sótero</w:t>
      </w:r>
      <w:proofErr w:type="spellEnd"/>
      <w:r w:rsidR="00262E5D">
        <w:rPr>
          <w:rFonts w:eastAsia="Calibri"/>
          <w:sz w:val="20"/>
          <w:szCs w:val="20"/>
          <w:lang w:val="es-MX" w:eastAsia="en-US"/>
        </w:rPr>
        <w:t xml:space="preserve"> del Río. Respecto del primero, e</w:t>
      </w:r>
      <w:r w:rsidRPr="002570D1">
        <w:rPr>
          <w:rFonts w:eastAsia="Calibri"/>
          <w:sz w:val="20"/>
          <w:szCs w:val="20"/>
          <w:lang w:val="es-MX" w:eastAsia="en-US"/>
        </w:rPr>
        <w:t xml:space="preserve">l señor </w:t>
      </w:r>
      <w:r w:rsidRPr="00214553">
        <w:rPr>
          <w:rFonts w:eastAsia="Calibri"/>
          <w:sz w:val="20"/>
          <w:szCs w:val="20"/>
          <w:lang w:val="es-MX" w:eastAsia="en-US"/>
        </w:rPr>
        <w:t xml:space="preserve">Poblete Vilches ingresó </w:t>
      </w:r>
      <w:r w:rsidR="00262E5D" w:rsidRPr="00214553">
        <w:rPr>
          <w:rFonts w:eastAsia="Calibri"/>
          <w:sz w:val="20"/>
          <w:szCs w:val="20"/>
          <w:lang w:val="es-MX" w:eastAsia="en-US"/>
        </w:rPr>
        <w:t xml:space="preserve">al hospital </w:t>
      </w:r>
      <w:r w:rsidR="009E38AD" w:rsidRPr="00214553">
        <w:rPr>
          <w:rFonts w:eastAsia="Calibri"/>
          <w:sz w:val="20"/>
          <w:szCs w:val="20"/>
          <w:lang w:val="es-MX" w:eastAsia="en-US"/>
        </w:rPr>
        <w:t>el</w:t>
      </w:r>
      <w:r w:rsidR="00146F77" w:rsidRPr="00214553">
        <w:rPr>
          <w:rFonts w:eastAsia="Calibri"/>
          <w:sz w:val="20"/>
          <w:szCs w:val="20"/>
          <w:lang w:val="es-MX" w:eastAsia="en-US"/>
        </w:rPr>
        <w:t xml:space="preserve"> </w:t>
      </w:r>
      <w:r w:rsidR="009E38AD" w:rsidRPr="00214553">
        <w:rPr>
          <w:rFonts w:eastAsia="Calibri"/>
          <w:sz w:val="20"/>
          <w:szCs w:val="20"/>
          <w:lang w:val="es-MX" w:eastAsia="en-US"/>
        </w:rPr>
        <w:t xml:space="preserve">17 de enero de 2001 </w:t>
      </w:r>
      <w:r w:rsidRPr="00214553">
        <w:rPr>
          <w:rFonts w:eastAsia="Calibri"/>
          <w:sz w:val="20"/>
          <w:szCs w:val="20"/>
          <w:lang w:val="es-MX" w:eastAsia="en-US"/>
        </w:rPr>
        <w:t xml:space="preserve">a causa de una insuficiencia respiratoria grave. Allí estuvo durante </w:t>
      </w:r>
      <w:r w:rsidR="00146F77" w:rsidRPr="00214553">
        <w:rPr>
          <w:rFonts w:eastAsia="Calibri"/>
          <w:sz w:val="20"/>
          <w:szCs w:val="20"/>
          <w:lang w:val="es-MX" w:eastAsia="en-US"/>
        </w:rPr>
        <w:t xml:space="preserve">cuatro </w:t>
      </w:r>
      <w:r w:rsidRPr="00214553">
        <w:rPr>
          <w:rFonts w:eastAsia="Calibri"/>
          <w:sz w:val="20"/>
          <w:szCs w:val="20"/>
          <w:lang w:val="es-MX" w:eastAsia="en-US"/>
        </w:rPr>
        <w:t xml:space="preserve">días </w:t>
      </w:r>
      <w:r w:rsidRPr="00214553">
        <w:rPr>
          <w:rFonts w:eastAsia="Calibri"/>
          <w:sz w:val="20"/>
          <w:szCs w:val="20"/>
          <w:lang w:val="es-MX" w:eastAsia="en-US"/>
        </w:rPr>
        <w:lastRenderedPageBreak/>
        <w:t>hospitalizado en la unidad de cuidados intensivos médica. El 22 de enero</w:t>
      </w:r>
      <w:r w:rsidR="00FB7585" w:rsidRPr="00214553">
        <w:rPr>
          <w:rFonts w:eastAsia="Calibri"/>
          <w:sz w:val="20"/>
          <w:szCs w:val="20"/>
          <w:lang w:val="es-MX" w:eastAsia="en-US"/>
        </w:rPr>
        <w:t xml:space="preserve"> de 2001</w:t>
      </w:r>
      <w:r w:rsidRPr="00214553">
        <w:rPr>
          <w:rFonts w:eastAsia="Calibri"/>
          <w:sz w:val="20"/>
          <w:szCs w:val="20"/>
          <w:lang w:val="es-MX" w:eastAsia="en-US"/>
        </w:rPr>
        <w:t xml:space="preserve"> ingresó a la </w:t>
      </w:r>
      <w:r w:rsidR="00A3172B">
        <w:rPr>
          <w:rFonts w:eastAsia="Calibri"/>
          <w:sz w:val="20"/>
          <w:szCs w:val="20"/>
          <w:lang w:val="es-MX" w:eastAsia="en-US"/>
        </w:rPr>
        <w:t>U</w:t>
      </w:r>
      <w:r w:rsidRPr="00214553">
        <w:rPr>
          <w:rFonts w:eastAsia="Calibri"/>
          <w:sz w:val="20"/>
          <w:szCs w:val="20"/>
          <w:lang w:val="es-MX" w:eastAsia="en-US"/>
        </w:rPr>
        <w:t xml:space="preserve">nidad de </w:t>
      </w:r>
      <w:r w:rsidR="00A3172B">
        <w:rPr>
          <w:rFonts w:eastAsia="Calibri"/>
          <w:sz w:val="20"/>
          <w:szCs w:val="20"/>
          <w:lang w:val="es-MX" w:eastAsia="en-US"/>
        </w:rPr>
        <w:t>C</w:t>
      </w:r>
      <w:r w:rsidRPr="00214553">
        <w:rPr>
          <w:rFonts w:eastAsia="Calibri"/>
          <w:sz w:val="20"/>
          <w:szCs w:val="20"/>
          <w:lang w:val="es-MX" w:eastAsia="en-US"/>
        </w:rPr>
        <w:t xml:space="preserve">uidados </w:t>
      </w:r>
      <w:r w:rsidR="00A3172B">
        <w:rPr>
          <w:rFonts w:eastAsia="Calibri"/>
          <w:sz w:val="20"/>
          <w:szCs w:val="20"/>
          <w:lang w:val="es-MX" w:eastAsia="en-US"/>
        </w:rPr>
        <w:t>I</w:t>
      </w:r>
      <w:r w:rsidRPr="00214553">
        <w:rPr>
          <w:rFonts w:eastAsia="Calibri"/>
          <w:sz w:val="20"/>
          <w:szCs w:val="20"/>
          <w:lang w:val="es-MX" w:eastAsia="en-US"/>
        </w:rPr>
        <w:t xml:space="preserve">ntensivos </w:t>
      </w:r>
      <w:r w:rsidR="00A3172B">
        <w:rPr>
          <w:rFonts w:eastAsia="Calibri"/>
          <w:sz w:val="20"/>
          <w:szCs w:val="20"/>
          <w:lang w:val="es-MX" w:eastAsia="en-US"/>
        </w:rPr>
        <w:t>Q</w:t>
      </w:r>
      <w:r w:rsidRPr="00214553">
        <w:rPr>
          <w:rFonts w:eastAsia="Calibri"/>
          <w:sz w:val="20"/>
          <w:szCs w:val="20"/>
          <w:lang w:val="es-MX" w:eastAsia="en-US"/>
        </w:rPr>
        <w:t>uirúrgica</w:t>
      </w:r>
      <w:r w:rsidR="004F53BF">
        <w:rPr>
          <w:rFonts w:eastAsia="Calibri"/>
          <w:sz w:val="20"/>
          <w:szCs w:val="20"/>
          <w:lang w:val="es-MX" w:eastAsia="en-US"/>
        </w:rPr>
        <w:t xml:space="preserve"> </w:t>
      </w:r>
      <w:r w:rsidR="004F53BF" w:rsidRPr="00BA5762">
        <w:rPr>
          <w:rFonts w:eastAsia="Calibri"/>
          <w:sz w:val="20"/>
          <w:szCs w:val="20"/>
          <w:lang w:val="es-ES_tradnl"/>
        </w:rPr>
        <w:t>(</w:t>
      </w:r>
      <w:r w:rsidR="004F53BF" w:rsidRPr="00BA5762">
        <w:rPr>
          <w:rFonts w:eastAsia="Calibri"/>
          <w:i/>
          <w:sz w:val="20"/>
          <w:szCs w:val="20"/>
          <w:lang w:val="es-ES_tradnl"/>
        </w:rPr>
        <w:t>supra</w:t>
      </w:r>
      <w:r w:rsidR="004F53BF" w:rsidRPr="00BA5762">
        <w:rPr>
          <w:rFonts w:eastAsia="Calibri"/>
          <w:sz w:val="20"/>
          <w:szCs w:val="20"/>
          <w:lang w:val="es-ES_tradnl"/>
        </w:rPr>
        <w:t xml:space="preserve"> párr. </w:t>
      </w:r>
      <w:r w:rsidR="00A3172B">
        <w:rPr>
          <w:rFonts w:eastAsia="Calibri"/>
          <w:sz w:val="20"/>
          <w:szCs w:val="20"/>
          <w:lang w:val="es-ES_tradnl"/>
        </w:rPr>
        <w:t>43</w:t>
      </w:r>
      <w:r w:rsidR="004F53BF" w:rsidRPr="00BA5762">
        <w:rPr>
          <w:rFonts w:eastAsia="Calibri"/>
          <w:sz w:val="20"/>
          <w:szCs w:val="20"/>
          <w:lang w:val="es-ES_tradnl"/>
        </w:rPr>
        <w:t>)</w:t>
      </w:r>
      <w:r w:rsidRPr="00214553">
        <w:rPr>
          <w:rFonts w:eastAsia="Calibri"/>
          <w:sz w:val="20"/>
          <w:szCs w:val="20"/>
          <w:lang w:val="es-MX" w:eastAsia="en-US"/>
        </w:rPr>
        <w:t>. El 2 de febrero de 2001 fue dado de alta</w:t>
      </w:r>
      <w:r w:rsidR="00FB7585" w:rsidRPr="00214553">
        <w:rPr>
          <w:rFonts w:eastAsia="Calibri"/>
          <w:sz w:val="20"/>
          <w:szCs w:val="20"/>
          <w:lang w:val="es-MX" w:eastAsia="en-US"/>
        </w:rPr>
        <w:t xml:space="preserve"> y</w:t>
      </w:r>
      <w:r w:rsidRPr="00214553">
        <w:rPr>
          <w:rFonts w:eastAsia="Calibri"/>
          <w:sz w:val="20"/>
          <w:szCs w:val="20"/>
          <w:lang w:val="es-MX" w:eastAsia="en-US"/>
        </w:rPr>
        <w:t xml:space="preserve"> sus familiares tuvieron que contratar una ambulancia privada para trasladarlo a su d</w:t>
      </w:r>
      <w:r w:rsidR="005A17F7" w:rsidRPr="00214553">
        <w:rPr>
          <w:rFonts w:eastAsia="Calibri"/>
          <w:sz w:val="20"/>
          <w:szCs w:val="20"/>
          <w:lang w:val="es-MX" w:eastAsia="en-US"/>
        </w:rPr>
        <w:t xml:space="preserve">omicilio, ya que el hospital no </w:t>
      </w:r>
      <w:r w:rsidRPr="00214553">
        <w:rPr>
          <w:rFonts w:eastAsia="Calibri"/>
          <w:sz w:val="20"/>
          <w:szCs w:val="20"/>
          <w:lang w:val="es-MX" w:eastAsia="en-US"/>
        </w:rPr>
        <w:t>contaba con ambulancias disponibles</w:t>
      </w:r>
      <w:r w:rsidR="004F53BF">
        <w:rPr>
          <w:rFonts w:eastAsia="Calibri"/>
          <w:sz w:val="20"/>
          <w:szCs w:val="20"/>
          <w:lang w:val="es-MX" w:eastAsia="en-US"/>
        </w:rPr>
        <w:t xml:space="preserve"> </w:t>
      </w:r>
      <w:r w:rsidR="004F53BF" w:rsidRPr="00BA5762">
        <w:rPr>
          <w:rFonts w:eastAsia="Calibri"/>
          <w:sz w:val="20"/>
          <w:szCs w:val="20"/>
          <w:lang w:val="es-ES_tradnl"/>
        </w:rPr>
        <w:t>(</w:t>
      </w:r>
      <w:r w:rsidR="004F53BF" w:rsidRPr="00BA5762">
        <w:rPr>
          <w:rFonts w:eastAsia="Calibri"/>
          <w:i/>
          <w:sz w:val="20"/>
          <w:szCs w:val="20"/>
          <w:lang w:val="es-ES_tradnl"/>
        </w:rPr>
        <w:t>supra</w:t>
      </w:r>
      <w:r w:rsidR="004F53BF" w:rsidRPr="00BA5762">
        <w:rPr>
          <w:rFonts w:eastAsia="Calibri"/>
          <w:sz w:val="20"/>
          <w:szCs w:val="20"/>
          <w:lang w:val="es-ES_tradnl"/>
        </w:rPr>
        <w:t xml:space="preserve"> párr. </w:t>
      </w:r>
      <w:r w:rsidR="00A3172B">
        <w:rPr>
          <w:rFonts w:eastAsia="Calibri"/>
          <w:sz w:val="20"/>
          <w:szCs w:val="20"/>
          <w:lang w:val="es-ES_tradnl"/>
        </w:rPr>
        <w:t>49</w:t>
      </w:r>
      <w:r w:rsidR="004F53BF" w:rsidRPr="00BA5762">
        <w:rPr>
          <w:rFonts w:eastAsia="Calibri"/>
          <w:sz w:val="20"/>
          <w:szCs w:val="20"/>
          <w:lang w:val="es-ES_tradnl"/>
        </w:rPr>
        <w:t>)</w:t>
      </w:r>
      <w:r w:rsidRPr="00214553">
        <w:rPr>
          <w:rFonts w:eastAsia="Calibri"/>
          <w:sz w:val="20"/>
          <w:szCs w:val="20"/>
          <w:lang w:val="es-MX" w:eastAsia="en-US"/>
        </w:rPr>
        <w:t xml:space="preserve">. </w:t>
      </w:r>
      <w:r w:rsidR="00262E5D" w:rsidRPr="00214553">
        <w:rPr>
          <w:rFonts w:eastAsia="Calibri"/>
          <w:sz w:val="20"/>
          <w:szCs w:val="20"/>
          <w:lang w:val="es-MX" w:eastAsia="en-US"/>
        </w:rPr>
        <w:t>Sobre el segundo ingreso, e</w:t>
      </w:r>
      <w:r w:rsidRPr="00214553">
        <w:rPr>
          <w:rFonts w:eastAsia="Calibri"/>
          <w:sz w:val="20"/>
          <w:szCs w:val="20"/>
          <w:lang w:val="es-MX" w:eastAsia="en-US"/>
        </w:rPr>
        <w:t xml:space="preserve">l 5 de febrero fue nuevamente ingresado al hospital </w:t>
      </w:r>
      <w:proofErr w:type="spellStart"/>
      <w:r w:rsidRPr="00214553">
        <w:rPr>
          <w:rFonts w:eastAsia="Calibri"/>
          <w:sz w:val="20"/>
          <w:szCs w:val="20"/>
          <w:lang w:val="es-MX" w:eastAsia="en-US"/>
        </w:rPr>
        <w:t>Sotéro</w:t>
      </w:r>
      <w:proofErr w:type="spellEnd"/>
      <w:r w:rsidRPr="00214553">
        <w:rPr>
          <w:rFonts w:eastAsia="Calibri"/>
          <w:sz w:val="20"/>
          <w:szCs w:val="20"/>
          <w:lang w:val="es-MX" w:eastAsia="en-US"/>
        </w:rPr>
        <w:t xml:space="preserve"> del Río, donde permaneció en unidad </w:t>
      </w:r>
      <w:r w:rsidR="003F0801" w:rsidRPr="0059117C">
        <w:rPr>
          <w:rFonts w:eastAsia="Calibri"/>
          <w:sz w:val="20"/>
          <w:szCs w:val="20"/>
          <w:lang w:val="es-MX" w:eastAsia="en-US"/>
        </w:rPr>
        <w:t>de cuidados intermedia</w:t>
      </w:r>
      <w:r w:rsidR="00B917D4" w:rsidRPr="00214553">
        <w:rPr>
          <w:rFonts w:eastAsia="Calibri"/>
          <w:sz w:val="20"/>
          <w:szCs w:val="20"/>
          <w:lang w:val="es-MX" w:eastAsia="en-US"/>
        </w:rPr>
        <w:t>,</w:t>
      </w:r>
      <w:r w:rsidR="003F0801" w:rsidRPr="0059117C">
        <w:rPr>
          <w:rFonts w:eastAsia="Calibri"/>
          <w:sz w:val="20"/>
          <w:szCs w:val="20"/>
          <w:lang w:val="es-MX" w:eastAsia="en-US"/>
        </w:rPr>
        <w:t xml:space="preserve"> </w:t>
      </w:r>
      <w:r w:rsidR="00B917D4" w:rsidRPr="00214553">
        <w:rPr>
          <w:rFonts w:eastAsia="Calibri"/>
          <w:sz w:val="20"/>
          <w:szCs w:val="20"/>
          <w:lang w:val="es-MX" w:eastAsia="en-US"/>
        </w:rPr>
        <w:t>no obstante la ficha médica disponía su internación en sala de cuidados intensivos</w:t>
      </w:r>
      <w:r w:rsidR="003F0801" w:rsidRPr="0059117C">
        <w:rPr>
          <w:rFonts w:eastAsia="Calibri"/>
          <w:sz w:val="20"/>
          <w:szCs w:val="20"/>
          <w:lang w:val="es-MX" w:eastAsia="en-US"/>
        </w:rPr>
        <w:t xml:space="preserve"> (</w:t>
      </w:r>
      <w:r w:rsidR="00062586" w:rsidRPr="00062586">
        <w:rPr>
          <w:rFonts w:eastAsia="Calibri"/>
          <w:i/>
          <w:sz w:val="20"/>
          <w:szCs w:val="20"/>
          <w:lang w:val="es-MX" w:eastAsia="en-US"/>
        </w:rPr>
        <w:t>supra</w:t>
      </w:r>
      <w:r w:rsidR="003F0801" w:rsidRPr="0059117C">
        <w:rPr>
          <w:rFonts w:eastAsia="Calibri"/>
          <w:sz w:val="20"/>
          <w:szCs w:val="20"/>
          <w:lang w:val="es-MX" w:eastAsia="en-US"/>
        </w:rPr>
        <w:t xml:space="preserve"> párr. </w:t>
      </w:r>
      <w:r w:rsidR="00AA4F53">
        <w:rPr>
          <w:rFonts w:eastAsia="Calibri"/>
          <w:sz w:val="20"/>
          <w:szCs w:val="20"/>
          <w:lang w:val="es-MX" w:eastAsia="en-US"/>
        </w:rPr>
        <w:t>51</w:t>
      </w:r>
      <w:r w:rsidR="003F0801" w:rsidRPr="0059117C">
        <w:rPr>
          <w:rFonts w:eastAsia="Calibri"/>
          <w:sz w:val="20"/>
          <w:szCs w:val="20"/>
          <w:lang w:val="es-MX" w:eastAsia="en-US"/>
        </w:rPr>
        <w:t>)</w:t>
      </w:r>
      <w:r w:rsidRPr="00214553">
        <w:rPr>
          <w:rFonts w:eastAsia="Calibri"/>
          <w:sz w:val="20"/>
          <w:szCs w:val="20"/>
          <w:lang w:val="es-MX" w:eastAsia="en-US"/>
        </w:rPr>
        <w:t>. El señor Poblete Vilches necesitaba de un respirador mecánico, pero ésta asistencia no fue prestada. El señor Poblete Vilches falleció el día 7 de febrero de 2001</w:t>
      </w:r>
      <w:r w:rsidR="004F53BF">
        <w:rPr>
          <w:rFonts w:eastAsia="Calibri"/>
          <w:sz w:val="20"/>
          <w:szCs w:val="20"/>
          <w:lang w:val="es-MX" w:eastAsia="en-US"/>
        </w:rPr>
        <w:t xml:space="preserve"> </w:t>
      </w:r>
      <w:r w:rsidR="004F53BF" w:rsidRPr="00BA5762">
        <w:rPr>
          <w:rFonts w:eastAsia="Calibri"/>
          <w:sz w:val="20"/>
          <w:szCs w:val="20"/>
          <w:lang w:val="es-ES_tradnl"/>
        </w:rPr>
        <w:t>(</w:t>
      </w:r>
      <w:r w:rsidR="004F53BF" w:rsidRPr="00BA5762">
        <w:rPr>
          <w:rFonts w:eastAsia="Calibri"/>
          <w:i/>
          <w:sz w:val="20"/>
          <w:szCs w:val="20"/>
          <w:lang w:val="es-ES_tradnl"/>
        </w:rPr>
        <w:t>supra</w:t>
      </w:r>
      <w:r w:rsidR="004F53BF" w:rsidRPr="00BA5762">
        <w:rPr>
          <w:rFonts w:eastAsia="Calibri"/>
          <w:sz w:val="20"/>
          <w:szCs w:val="20"/>
          <w:lang w:val="es-ES_tradnl"/>
        </w:rPr>
        <w:t xml:space="preserve"> párr. </w:t>
      </w:r>
      <w:r w:rsidR="00AA4F53">
        <w:rPr>
          <w:rFonts w:eastAsia="Calibri"/>
          <w:sz w:val="20"/>
          <w:szCs w:val="20"/>
          <w:lang w:val="es-ES_tradnl"/>
        </w:rPr>
        <w:t>56</w:t>
      </w:r>
      <w:r w:rsidR="004F53BF" w:rsidRPr="00BA5762">
        <w:rPr>
          <w:rFonts w:eastAsia="Calibri"/>
          <w:sz w:val="20"/>
          <w:szCs w:val="20"/>
          <w:lang w:val="es-ES_tradnl"/>
        </w:rPr>
        <w:t>)</w:t>
      </w:r>
      <w:r w:rsidRPr="00214553">
        <w:rPr>
          <w:rFonts w:eastAsia="Calibri"/>
          <w:sz w:val="20"/>
          <w:szCs w:val="20"/>
          <w:lang w:val="es-MX" w:eastAsia="en-US"/>
        </w:rPr>
        <w:t>.</w:t>
      </w:r>
    </w:p>
    <w:p w14:paraId="28C0107E" w14:textId="77777777" w:rsidR="005D383C" w:rsidRPr="00913524" w:rsidRDefault="005D383C" w:rsidP="00AB1E03">
      <w:pPr>
        <w:tabs>
          <w:tab w:val="left" w:pos="567"/>
        </w:tabs>
        <w:rPr>
          <w:rFonts w:eastAsia="Calibri"/>
          <w:b/>
          <w:sz w:val="20"/>
          <w:szCs w:val="20"/>
          <w:u w:val="single"/>
          <w:lang w:val="es-MX"/>
        </w:rPr>
      </w:pPr>
    </w:p>
    <w:p w14:paraId="27A26125" w14:textId="075B6F6C" w:rsidR="00AA65C5" w:rsidRPr="00B1523A" w:rsidRDefault="00204724" w:rsidP="007E5CD5">
      <w:pPr>
        <w:numPr>
          <w:ilvl w:val="0"/>
          <w:numId w:val="2"/>
        </w:numPr>
        <w:tabs>
          <w:tab w:val="left" w:pos="567"/>
          <w:tab w:val="num" w:pos="1569"/>
          <w:tab w:val="num" w:pos="12305"/>
        </w:tabs>
        <w:ind w:left="0" w:firstLine="0"/>
        <w:rPr>
          <w:sz w:val="20"/>
          <w:lang w:val="es-ES"/>
        </w:rPr>
      </w:pPr>
      <w:r w:rsidRPr="00B1523A">
        <w:rPr>
          <w:sz w:val="20"/>
          <w:lang w:val="es-ES"/>
        </w:rPr>
        <w:t>En el presente caso la Corte no encuentra que esté en discusión la faceta progresiva de las obligaciones estatales en materia del derecho a la salud</w:t>
      </w:r>
      <w:r w:rsidR="00D0629F">
        <w:rPr>
          <w:sz w:val="20"/>
          <w:lang w:val="es-ES"/>
        </w:rPr>
        <w:t xml:space="preserve"> (</w:t>
      </w:r>
      <w:r w:rsidR="00D0629F" w:rsidRPr="00B1523A">
        <w:rPr>
          <w:i/>
          <w:sz w:val="20"/>
          <w:lang w:val="es-ES"/>
        </w:rPr>
        <w:t>supra</w:t>
      </w:r>
      <w:r w:rsidR="00D0629F">
        <w:rPr>
          <w:sz w:val="20"/>
          <w:lang w:val="es-ES"/>
        </w:rPr>
        <w:t xml:space="preserve"> párr. 88)</w:t>
      </w:r>
      <w:r w:rsidR="003E2F69" w:rsidRPr="00B1523A">
        <w:rPr>
          <w:sz w:val="20"/>
          <w:lang w:val="es-ES"/>
        </w:rPr>
        <w:t>, lo cual tampoco fue alegado por las representantes</w:t>
      </w:r>
      <w:r w:rsidR="00FB4975" w:rsidRPr="00B1523A">
        <w:rPr>
          <w:sz w:val="20"/>
          <w:lang w:val="es-ES"/>
        </w:rPr>
        <w:t xml:space="preserve"> (</w:t>
      </w:r>
      <w:r w:rsidR="00FB4975" w:rsidRPr="00B1523A">
        <w:rPr>
          <w:i/>
          <w:sz w:val="20"/>
          <w:lang w:val="es-ES"/>
        </w:rPr>
        <w:t>supra</w:t>
      </w:r>
      <w:r w:rsidR="00FB4975" w:rsidRPr="00B1523A">
        <w:rPr>
          <w:sz w:val="20"/>
          <w:lang w:val="es-ES"/>
        </w:rPr>
        <w:t xml:space="preserve"> párr. </w:t>
      </w:r>
      <w:r w:rsidR="00610C08">
        <w:rPr>
          <w:sz w:val="20"/>
          <w:lang w:val="es-ES"/>
        </w:rPr>
        <w:t>87</w:t>
      </w:r>
      <w:r w:rsidR="00610C08" w:rsidRPr="00B1523A">
        <w:rPr>
          <w:sz w:val="20"/>
          <w:lang w:val="es-ES"/>
        </w:rPr>
        <w:t xml:space="preserve">). </w:t>
      </w:r>
      <w:r w:rsidR="003E2F69" w:rsidRPr="00B1523A">
        <w:rPr>
          <w:sz w:val="20"/>
          <w:lang w:val="es-ES"/>
        </w:rPr>
        <w:t xml:space="preserve">Corresponde a la Corte valorar </w:t>
      </w:r>
      <w:r w:rsidR="001A65F9" w:rsidRPr="00B1523A">
        <w:rPr>
          <w:sz w:val="20"/>
          <w:lang w:val="es-ES"/>
        </w:rPr>
        <w:t>las alegadas acciones u</w:t>
      </w:r>
      <w:r w:rsidR="003E2F69" w:rsidRPr="00B1523A">
        <w:rPr>
          <w:sz w:val="20"/>
          <w:lang w:val="es-ES"/>
        </w:rPr>
        <w:t xml:space="preserve"> omisiones del Est</w:t>
      </w:r>
      <w:r w:rsidR="001A65F9" w:rsidRPr="00B1523A">
        <w:rPr>
          <w:sz w:val="20"/>
          <w:lang w:val="es-ES"/>
        </w:rPr>
        <w:t>a</w:t>
      </w:r>
      <w:r w:rsidR="003E2F69" w:rsidRPr="00B1523A">
        <w:rPr>
          <w:sz w:val="20"/>
          <w:lang w:val="es-ES"/>
        </w:rPr>
        <w:t xml:space="preserve">do frente a </w:t>
      </w:r>
      <w:r w:rsidRPr="00B1523A">
        <w:rPr>
          <w:sz w:val="20"/>
          <w:lang w:val="es-ES"/>
        </w:rPr>
        <w:t>la prestación de medidas de carácter básico e inmediato</w:t>
      </w:r>
      <w:r w:rsidR="003E2F69" w:rsidRPr="00B1523A">
        <w:rPr>
          <w:sz w:val="20"/>
          <w:lang w:val="es-ES"/>
        </w:rPr>
        <w:t xml:space="preserve"> (</w:t>
      </w:r>
      <w:r w:rsidR="003E2F69" w:rsidRPr="00B1523A">
        <w:rPr>
          <w:i/>
          <w:sz w:val="20"/>
          <w:lang w:val="es-ES"/>
        </w:rPr>
        <w:t>supra</w:t>
      </w:r>
      <w:r w:rsidR="003E2F69" w:rsidRPr="00B1523A">
        <w:rPr>
          <w:sz w:val="20"/>
          <w:lang w:val="es-ES"/>
        </w:rPr>
        <w:t xml:space="preserve"> párr. 104), </w:t>
      </w:r>
      <w:r w:rsidRPr="00B1523A">
        <w:rPr>
          <w:sz w:val="20"/>
          <w:lang w:val="es-ES"/>
        </w:rPr>
        <w:t>a fin de tutelar la salud del señor Poblete</w:t>
      </w:r>
      <w:r w:rsidR="003E2F69" w:rsidRPr="00B1523A">
        <w:rPr>
          <w:sz w:val="20"/>
          <w:lang w:val="es-ES"/>
        </w:rPr>
        <w:t xml:space="preserve"> Vilches</w:t>
      </w:r>
      <w:r w:rsidR="00FB4975" w:rsidRPr="00B1523A">
        <w:rPr>
          <w:sz w:val="20"/>
          <w:lang w:val="es-ES"/>
        </w:rPr>
        <w:t xml:space="preserve">, por lo que </w:t>
      </w:r>
      <w:r w:rsidR="0001661C" w:rsidRPr="00B1523A">
        <w:rPr>
          <w:sz w:val="20"/>
          <w:lang w:val="es-ES"/>
        </w:rPr>
        <w:t>delimitará</w:t>
      </w:r>
      <w:r w:rsidR="00FB4975" w:rsidRPr="00B1523A">
        <w:rPr>
          <w:sz w:val="20"/>
          <w:lang w:val="es-ES"/>
        </w:rPr>
        <w:t xml:space="preserve"> su análisis </w:t>
      </w:r>
      <w:r w:rsidR="007E5CD5" w:rsidRPr="00B1523A">
        <w:rPr>
          <w:sz w:val="20"/>
          <w:lang w:val="es-ES"/>
        </w:rPr>
        <w:t xml:space="preserve">de fondo </w:t>
      </w:r>
      <w:r w:rsidR="00FB4975" w:rsidRPr="00B1523A">
        <w:rPr>
          <w:sz w:val="20"/>
          <w:lang w:val="es-ES"/>
        </w:rPr>
        <w:t>al alcance de dicha obligación en el caso concreto</w:t>
      </w:r>
      <w:r w:rsidR="001A65F9" w:rsidRPr="00B1523A">
        <w:rPr>
          <w:sz w:val="20"/>
          <w:lang w:val="es-ES"/>
        </w:rPr>
        <w:t>,</w:t>
      </w:r>
      <w:r w:rsidRPr="00B1523A">
        <w:rPr>
          <w:sz w:val="20"/>
          <w:lang w:val="es-ES"/>
        </w:rPr>
        <w:t xml:space="preserve"> </w:t>
      </w:r>
      <w:r w:rsidR="003E2F69" w:rsidRPr="00B1523A">
        <w:rPr>
          <w:sz w:val="20"/>
          <w:lang w:val="es-ES"/>
        </w:rPr>
        <w:t>y a la luz de las obligaciones reconocidas en los artículos 1.1 y 2 de la Convención</w:t>
      </w:r>
      <w:r w:rsidR="00D0629F">
        <w:rPr>
          <w:sz w:val="20"/>
          <w:lang w:val="es-ES"/>
        </w:rPr>
        <w:t>.</w:t>
      </w:r>
    </w:p>
    <w:p w14:paraId="07895061" w14:textId="202E9F84" w:rsidR="005D383C" w:rsidRPr="007E5CD5" w:rsidRDefault="005D383C" w:rsidP="007E5CD5">
      <w:pPr>
        <w:tabs>
          <w:tab w:val="left" w:pos="567"/>
        </w:tabs>
        <w:rPr>
          <w:b/>
          <w:sz w:val="20"/>
          <w:lang w:val="es-ES"/>
        </w:rPr>
      </w:pPr>
    </w:p>
    <w:p w14:paraId="4C0FE208" w14:textId="59CE369C" w:rsidR="00E63E9D" w:rsidRPr="008B0574" w:rsidRDefault="0034078E" w:rsidP="00383565">
      <w:pPr>
        <w:numPr>
          <w:ilvl w:val="0"/>
          <w:numId w:val="2"/>
        </w:numPr>
        <w:tabs>
          <w:tab w:val="left" w:pos="567"/>
          <w:tab w:val="num" w:pos="1569"/>
          <w:tab w:val="num" w:pos="12305"/>
        </w:tabs>
        <w:ind w:left="0" w:firstLine="0"/>
        <w:rPr>
          <w:rFonts w:eastAsia="Calibri"/>
          <w:sz w:val="20"/>
          <w:szCs w:val="20"/>
          <w:lang w:val="es-MX" w:eastAsia="en-US"/>
        </w:rPr>
      </w:pPr>
      <w:r>
        <w:rPr>
          <w:rFonts w:eastAsia="Calibri"/>
          <w:sz w:val="20"/>
          <w:szCs w:val="20"/>
          <w:lang w:val="es-MX" w:eastAsia="en-US"/>
        </w:rPr>
        <w:t>En relación con los estándares en materia de salud, p</w:t>
      </w:r>
      <w:r w:rsidR="00E63E9D" w:rsidRPr="008B0574">
        <w:rPr>
          <w:rFonts w:eastAsia="Calibri"/>
          <w:sz w:val="20"/>
          <w:szCs w:val="20"/>
          <w:lang w:val="es-MX" w:eastAsia="en-US"/>
        </w:rPr>
        <w:t>rimeramente, la Corte observa que en la época de los hechos existía regulación suficiente sobre el derecho a la salud que garantizaba este derecho a toda persona sin distinción (</w:t>
      </w:r>
      <w:r w:rsidR="00062586" w:rsidRPr="00062586">
        <w:rPr>
          <w:rFonts w:eastAsia="Calibri"/>
          <w:i/>
          <w:sz w:val="20"/>
          <w:szCs w:val="20"/>
          <w:lang w:val="es-MX" w:eastAsia="en-US"/>
        </w:rPr>
        <w:t>supra</w:t>
      </w:r>
      <w:r w:rsidR="00E63E9D" w:rsidRPr="008B0574">
        <w:rPr>
          <w:rFonts w:eastAsia="Calibri"/>
          <w:sz w:val="20"/>
          <w:szCs w:val="20"/>
          <w:lang w:val="es-MX" w:eastAsia="en-US"/>
        </w:rPr>
        <w:t xml:space="preserve"> párr. </w:t>
      </w:r>
      <w:r w:rsidR="00EB7DFC">
        <w:rPr>
          <w:rFonts w:eastAsia="Calibri"/>
          <w:sz w:val="20"/>
          <w:szCs w:val="20"/>
          <w:lang w:val="es-MX" w:eastAsia="en-US"/>
        </w:rPr>
        <w:t>112</w:t>
      </w:r>
      <w:r w:rsidR="00E63E9D" w:rsidRPr="008B0574">
        <w:rPr>
          <w:rFonts w:eastAsia="Calibri"/>
          <w:sz w:val="20"/>
          <w:szCs w:val="20"/>
          <w:lang w:val="es-MX" w:eastAsia="en-US"/>
        </w:rPr>
        <w:t>)</w:t>
      </w:r>
      <w:r w:rsidR="00204724">
        <w:rPr>
          <w:rFonts w:eastAsia="Calibri"/>
          <w:sz w:val="20"/>
          <w:szCs w:val="20"/>
          <w:lang w:val="es-MX" w:eastAsia="en-US"/>
        </w:rPr>
        <w:t xml:space="preserve">, </w:t>
      </w:r>
      <w:r w:rsidR="00204724" w:rsidRPr="00B1523A">
        <w:rPr>
          <w:rFonts w:eastAsia="Calibri"/>
          <w:sz w:val="20"/>
          <w:szCs w:val="20"/>
          <w:lang w:val="es-MX" w:eastAsia="en-US"/>
        </w:rPr>
        <w:t>por lo que dicha obligación de regular se encontraba acorde con la Convención</w:t>
      </w:r>
      <w:r w:rsidR="00EB7DFC" w:rsidRPr="00B1523A">
        <w:rPr>
          <w:rFonts w:eastAsia="Calibri"/>
          <w:sz w:val="20"/>
          <w:szCs w:val="20"/>
          <w:lang w:val="es-MX" w:eastAsia="en-US"/>
        </w:rPr>
        <w:t xml:space="preserve"> (</w:t>
      </w:r>
      <w:r w:rsidR="00EB7DFC" w:rsidRPr="00B1523A">
        <w:rPr>
          <w:rFonts w:eastAsia="Calibri"/>
          <w:i/>
          <w:sz w:val="20"/>
          <w:szCs w:val="20"/>
          <w:lang w:val="es-MX" w:eastAsia="en-US"/>
        </w:rPr>
        <w:t>supra</w:t>
      </w:r>
      <w:r w:rsidR="00EB7DFC" w:rsidRPr="00B1523A">
        <w:rPr>
          <w:rFonts w:eastAsia="Calibri"/>
          <w:sz w:val="20"/>
          <w:szCs w:val="20"/>
          <w:lang w:val="es-MX" w:eastAsia="en-US"/>
        </w:rPr>
        <w:t xml:space="preserve"> párr.</w:t>
      </w:r>
      <w:r w:rsidR="00457162">
        <w:rPr>
          <w:rFonts w:eastAsia="Calibri"/>
          <w:sz w:val="20"/>
          <w:szCs w:val="20"/>
          <w:lang w:val="es-MX" w:eastAsia="en-US"/>
        </w:rPr>
        <w:t>119</w:t>
      </w:r>
      <w:r w:rsidR="00EB7DFC" w:rsidRPr="00B1523A">
        <w:rPr>
          <w:rFonts w:eastAsia="Calibri"/>
          <w:sz w:val="20"/>
          <w:szCs w:val="20"/>
          <w:lang w:val="es-MX" w:eastAsia="en-US"/>
        </w:rPr>
        <w:t>).</w:t>
      </w:r>
    </w:p>
    <w:p w14:paraId="185F397B" w14:textId="77777777" w:rsidR="00EF55E3" w:rsidRDefault="00EF55E3" w:rsidP="005430FF">
      <w:pPr>
        <w:tabs>
          <w:tab w:val="left" w:pos="567"/>
        </w:tabs>
        <w:rPr>
          <w:rFonts w:eastAsia="Calibri"/>
          <w:sz w:val="20"/>
          <w:szCs w:val="20"/>
          <w:lang w:val="es-MX" w:eastAsia="en-US"/>
        </w:rPr>
      </w:pPr>
    </w:p>
    <w:p w14:paraId="182CDEBB" w14:textId="598D25E5" w:rsidR="00EF55E3" w:rsidRPr="001E145A" w:rsidRDefault="00EF55E3" w:rsidP="00EF55E3">
      <w:pPr>
        <w:numPr>
          <w:ilvl w:val="0"/>
          <w:numId w:val="2"/>
        </w:numPr>
        <w:tabs>
          <w:tab w:val="left" w:pos="567"/>
          <w:tab w:val="num" w:pos="1569"/>
          <w:tab w:val="num" w:pos="12305"/>
        </w:tabs>
        <w:ind w:left="0" w:firstLine="0"/>
        <w:rPr>
          <w:rFonts w:eastAsia="Calibri"/>
          <w:sz w:val="20"/>
          <w:szCs w:val="20"/>
          <w:lang w:val="es-MX" w:eastAsia="en-US"/>
        </w:rPr>
      </w:pPr>
      <w:r w:rsidRPr="0059117C">
        <w:rPr>
          <w:rFonts w:eastAsia="Calibri"/>
          <w:sz w:val="20"/>
          <w:szCs w:val="20"/>
          <w:lang w:val="es-MX" w:eastAsia="en-US"/>
        </w:rPr>
        <w:t xml:space="preserve">Respecto de las acciones y omisiones acreditadas, del acervo probatorio, se desprende que durante el </w:t>
      </w:r>
      <w:r w:rsidRPr="00B1523A">
        <w:rPr>
          <w:rFonts w:eastAsia="Calibri"/>
          <w:i/>
          <w:sz w:val="20"/>
          <w:szCs w:val="20"/>
          <w:lang w:val="es-MX" w:eastAsia="en-US"/>
        </w:rPr>
        <w:t>primer ingreso</w:t>
      </w:r>
      <w:r w:rsidRPr="0059117C">
        <w:rPr>
          <w:rFonts w:eastAsia="Calibri"/>
          <w:sz w:val="20"/>
          <w:szCs w:val="20"/>
          <w:lang w:val="es-MX" w:eastAsia="en-US"/>
        </w:rPr>
        <w:t xml:space="preserve"> del señor Poblete Vilches al Hospital </w:t>
      </w:r>
      <w:proofErr w:type="spellStart"/>
      <w:r w:rsidRPr="0059117C">
        <w:rPr>
          <w:rFonts w:eastAsia="Calibri"/>
          <w:sz w:val="20"/>
          <w:szCs w:val="20"/>
          <w:lang w:val="es-MX" w:eastAsia="en-US"/>
        </w:rPr>
        <w:t>Sotéro</w:t>
      </w:r>
      <w:proofErr w:type="spellEnd"/>
      <w:r w:rsidRPr="0059117C">
        <w:rPr>
          <w:rFonts w:eastAsia="Calibri"/>
          <w:sz w:val="20"/>
          <w:szCs w:val="20"/>
          <w:lang w:val="es-MX" w:eastAsia="en-US"/>
        </w:rPr>
        <w:t xml:space="preserve"> del Río, existían signos que demostraban que la decisión de dar de alta en forma temprana</w:t>
      </w:r>
      <w:r w:rsidRPr="0059117C">
        <w:rPr>
          <w:rFonts w:eastAsia="Calibri"/>
          <w:sz w:val="20"/>
          <w:szCs w:val="20"/>
          <w:vertAlign w:val="superscript"/>
          <w:lang w:val="es-MX" w:eastAsia="en-US"/>
        </w:rPr>
        <w:footnoteReference w:id="225"/>
      </w:r>
      <w:r w:rsidRPr="0059117C">
        <w:rPr>
          <w:rFonts w:eastAsia="Calibri"/>
          <w:sz w:val="20"/>
          <w:szCs w:val="20"/>
          <w:lang w:val="es-MX" w:eastAsia="en-US"/>
        </w:rPr>
        <w:t>, no era una medida pertinente; hecho por el cual el Estado de Chile, reconoció su responsabilidad internacional (</w:t>
      </w:r>
      <w:r w:rsidR="00062586" w:rsidRPr="00062586">
        <w:rPr>
          <w:rFonts w:eastAsia="Calibri"/>
          <w:i/>
          <w:sz w:val="20"/>
          <w:szCs w:val="20"/>
          <w:lang w:val="es-MX" w:eastAsia="en-US"/>
        </w:rPr>
        <w:t>supra</w:t>
      </w:r>
      <w:r w:rsidR="00062586">
        <w:rPr>
          <w:rFonts w:eastAsia="Calibri"/>
          <w:sz w:val="20"/>
          <w:szCs w:val="20"/>
          <w:lang w:val="es-MX" w:eastAsia="en-US"/>
        </w:rPr>
        <w:t xml:space="preserve"> párr.</w:t>
      </w:r>
      <w:r w:rsidRPr="0059117C">
        <w:rPr>
          <w:rFonts w:eastAsia="Calibri"/>
          <w:sz w:val="20"/>
          <w:szCs w:val="20"/>
          <w:lang w:val="es-MX" w:eastAsia="en-US"/>
        </w:rPr>
        <w:t xml:space="preserve"> </w:t>
      </w:r>
      <w:r w:rsidR="00E60DB4">
        <w:rPr>
          <w:rFonts w:eastAsia="Calibri"/>
          <w:sz w:val="20"/>
          <w:szCs w:val="20"/>
          <w:lang w:val="es-MX" w:eastAsia="en-US"/>
        </w:rPr>
        <w:t>17</w:t>
      </w:r>
      <w:r w:rsidR="00E60DB4" w:rsidRPr="0059117C">
        <w:rPr>
          <w:rFonts w:eastAsia="Calibri"/>
          <w:sz w:val="20"/>
          <w:szCs w:val="20"/>
          <w:lang w:val="es-MX" w:eastAsia="en-US"/>
        </w:rPr>
        <w:t>).</w:t>
      </w:r>
      <w:r w:rsidR="00E60DB4" w:rsidRPr="0059117C">
        <w:rPr>
          <w:rFonts w:eastAsia="Calibri"/>
          <w:sz w:val="20"/>
          <w:szCs w:val="20"/>
          <w:lang w:val="es-ES_tradnl" w:eastAsia="en-US"/>
        </w:rPr>
        <w:t xml:space="preserve"> </w:t>
      </w:r>
      <w:r w:rsidRPr="0059117C">
        <w:rPr>
          <w:rFonts w:eastAsia="Calibri"/>
          <w:sz w:val="20"/>
          <w:szCs w:val="20"/>
          <w:lang w:val="es-ES_tradnl" w:eastAsia="en-US"/>
        </w:rPr>
        <w:t>Lo anterior, resultó en una acción médica, al menos irresponsable, ya que de la prueba se desprende que no existían las condiciones médicas necesarias para declarar el alta temprana,</w:t>
      </w:r>
      <w:r w:rsidRPr="0059117C">
        <w:rPr>
          <w:rFonts w:eastAsia="Calibri"/>
          <w:sz w:val="20"/>
          <w:szCs w:val="20"/>
          <w:lang w:val="es-MX" w:eastAsia="en-US"/>
        </w:rPr>
        <w:t xml:space="preserve"> especialmente frente a la posibilidad de contraer una infección intrahospitalaria</w:t>
      </w:r>
      <w:r w:rsidRPr="0059117C">
        <w:rPr>
          <w:rFonts w:eastAsia="Calibri"/>
          <w:sz w:val="20"/>
          <w:szCs w:val="20"/>
          <w:vertAlign w:val="superscript"/>
          <w:lang w:val="es-MX" w:eastAsia="en-US"/>
        </w:rPr>
        <w:footnoteReference w:id="226"/>
      </w:r>
      <w:r w:rsidRPr="0059117C">
        <w:rPr>
          <w:rFonts w:eastAsia="Calibri"/>
          <w:sz w:val="20"/>
          <w:szCs w:val="20"/>
          <w:lang w:val="es-MX" w:eastAsia="en-US"/>
        </w:rPr>
        <w:t>.</w:t>
      </w:r>
      <w:r w:rsidRPr="0059117C">
        <w:rPr>
          <w:rFonts w:eastAsia="Calibri"/>
          <w:sz w:val="20"/>
          <w:szCs w:val="20"/>
          <w:lang w:val="es-ES_tradnl" w:eastAsia="en-US"/>
        </w:rPr>
        <w:t xml:space="preserve"> Así, el paciente fue externado afiebrado y emanando pus por las heridas. Tampoco se le brindó a los familiares indicación alguna de cómo cuidar al paciente en su domicilio, ni indicarles cuáles podrían ser las señales de alarma. </w:t>
      </w:r>
      <w:r w:rsidRPr="0059117C">
        <w:rPr>
          <w:rFonts w:eastAsia="Calibri"/>
          <w:sz w:val="20"/>
          <w:szCs w:val="20"/>
          <w:lang w:val="es-MX" w:eastAsia="en-US"/>
        </w:rPr>
        <w:t>Por lo cual</w:t>
      </w:r>
      <w:r w:rsidR="00F41C32">
        <w:rPr>
          <w:rFonts w:eastAsia="Calibri"/>
          <w:sz w:val="20"/>
          <w:szCs w:val="20"/>
          <w:lang w:val="es-MX" w:eastAsia="en-US"/>
        </w:rPr>
        <w:t>,</w:t>
      </w:r>
      <w:r w:rsidRPr="0059117C">
        <w:rPr>
          <w:rFonts w:eastAsia="Calibri"/>
          <w:sz w:val="20"/>
          <w:szCs w:val="20"/>
          <w:lang w:val="es-MX" w:eastAsia="en-US"/>
        </w:rPr>
        <w:t xml:space="preserve"> es claro para </w:t>
      </w:r>
      <w:r w:rsidR="007D493C">
        <w:rPr>
          <w:rFonts w:eastAsia="Calibri"/>
          <w:sz w:val="20"/>
          <w:szCs w:val="20"/>
          <w:lang w:val="es-MX" w:eastAsia="en-US"/>
        </w:rPr>
        <w:t>e</w:t>
      </w:r>
      <w:r w:rsidRPr="0059117C">
        <w:rPr>
          <w:rFonts w:eastAsia="Calibri"/>
          <w:sz w:val="20"/>
          <w:szCs w:val="20"/>
          <w:lang w:val="es-MX" w:eastAsia="en-US"/>
        </w:rPr>
        <w:t>sta Corte que las autoridades tenían conciencia de su situación crítica y frente a ello, el alta temprana tuvo una incidencia</w:t>
      </w:r>
      <w:r w:rsidR="00D0629F">
        <w:rPr>
          <w:rFonts w:eastAsia="Calibri"/>
          <w:sz w:val="20"/>
          <w:szCs w:val="20"/>
          <w:lang w:val="es-MX" w:eastAsia="en-US"/>
        </w:rPr>
        <w:t xml:space="preserve"> considerable</w:t>
      </w:r>
      <w:r w:rsidRPr="0059117C">
        <w:rPr>
          <w:rFonts w:eastAsia="Calibri"/>
          <w:sz w:val="20"/>
          <w:szCs w:val="20"/>
          <w:lang w:val="es-MX" w:eastAsia="en-US"/>
        </w:rPr>
        <w:t xml:space="preserve">, al menos, en el rápido deterioro que sufrió inmediatamente luego de su pronta </w:t>
      </w:r>
      <w:r w:rsidR="005B1C54">
        <w:rPr>
          <w:rFonts w:eastAsia="Calibri"/>
          <w:sz w:val="20"/>
          <w:szCs w:val="20"/>
          <w:lang w:val="es-MX" w:eastAsia="en-US"/>
        </w:rPr>
        <w:t>salida del H</w:t>
      </w:r>
      <w:r w:rsidRPr="001E145A">
        <w:rPr>
          <w:rFonts w:eastAsia="Calibri"/>
          <w:sz w:val="20"/>
          <w:szCs w:val="20"/>
          <w:lang w:val="es-MX" w:eastAsia="en-US"/>
        </w:rPr>
        <w:t xml:space="preserve">ospital </w:t>
      </w:r>
      <w:proofErr w:type="spellStart"/>
      <w:r w:rsidRPr="001E145A">
        <w:rPr>
          <w:rFonts w:eastAsia="Calibri"/>
          <w:sz w:val="20"/>
          <w:szCs w:val="20"/>
          <w:lang w:val="es-MX" w:eastAsia="en-US"/>
        </w:rPr>
        <w:t>Sótero</w:t>
      </w:r>
      <w:proofErr w:type="spellEnd"/>
      <w:r w:rsidRPr="001E145A">
        <w:rPr>
          <w:rFonts w:eastAsia="Calibri"/>
          <w:sz w:val="20"/>
          <w:szCs w:val="20"/>
          <w:lang w:val="es-MX" w:eastAsia="en-US"/>
        </w:rPr>
        <w:t xml:space="preserve"> del Río</w:t>
      </w:r>
      <w:r w:rsidR="00031DB1" w:rsidRPr="001E145A">
        <w:rPr>
          <w:rFonts w:eastAsia="Calibri"/>
          <w:sz w:val="20"/>
          <w:szCs w:val="20"/>
          <w:lang w:val="es-MX" w:eastAsia="en-US"/>
        </w:rPr>
        <w:t>, lo cual representó una negligencia médica</w:t>
      </w:r>
      <w:r w:rsidR="00031DB1" w:rsidRPr="001E145A">
        <w:rPr>
          <w:rStyle w:val="FootnoteReference"/>
          <w:rFonts w:eastAsia="Calibri"/>
          <w:sz w:val="20"/>
          <w:szCs w:val="20"/>
          <w:lang w:val="es-MX" w:eastAsia="en-US"/>
        </w:rPr>
        <w:footnoteReference w:id="227"/>
      </w:r>
      <w:r w:rsidR="00031DB1" w:rsidRPr="001E145A">
        <w:rPr>
          <w:rFonts w:eastAsia="Calibri"/>
          <w:sz w:val="20"/>
          <w:szCs w:val="20"/>
          <w:lang w:val="es-MX" w:eastAsia="en-US"/>
        </w:rPr>
        <w:t>.</w:t>
      </w:r>
    </w:p>
    <w:p w14:paraId="0C696482" w14:textId="77777777" w:rsidR="00EF55E3" w:rsidRPr="001E145A" w:rsidRDefault="00EF55E3" w:rsidP="00EF55E3">
      <w:pPr>
        <w:ind w:left="720"/>
        <w:contextualSpacing/>
        <w:rPr>
          <w:rFonts w:eastAsia="Calibri"/>
          <w:sz w:val="20"/>
          <w:szCs w:val="20"/>
          <w:lang w:val="es-MX" w:eastAsia="en-US"/>
        </w:rPr>
      </w:pPr>
    </w:p>
    <w:p w14:paraId="42418806" w14:textId="2BD936FB" w:rsidR="00EF55E3" w:rsidRPr="001E145A" w:rsidRDefault="00EF55E3" w:rsidP="00EF55E3">
      <w:pPr>
        <w:numPr>
          <w:ilvl w:val="0"/>
          <w:numId w:val="2"/>
        </w:numPr>
        <w:tabs>
          <w:tab w:val="left" w:pos="567"/>
          <w:tab w:val="num" w:pos="1569"/>
          <w:tab w:val="num" w:pos="12305"/>
        </w:tabs>
        <w:ind w:left="0" w:firstLine="0"/>
        <w:rPr>
          <w:rFonts w:eastAsia="Calibri"/>
          <w:sz w:val="20"/>
          <w:szCs w:val="20"/>
          <w:lang w:val="es-MX" w:eastAsia="en-US"/>
        </w:rPr>
      </w:pPr>
      <w:r w:rsidRPr="001E145A">
        <w:rPr>
          <w:rFonts w:eastAsia="Calibri"/>
          <w:sz w:val="20"/>
          <w:szCs w:val="20"/>
          <w:lang w:val="es-MX" w:eastAsia="en-US"/>
        </w:rPr>
        <w:t xml:space="preserve">Respecto al </w:t>
      </w:r>
      <w:r w:rsidRPr="00B1523A">
        <w:rPr>
          <w:rFonts w:eastAsia="Calibri"/>
          <w:i/>
          <w:sz w:val="20"/>
          <w:szCs w:val="20"/>
          <w:lang w:val="es-MX" w:eastAsia="en-US"/>
        </w:rPr>
        <w:t>segundo ingreso</w:t>
      </w:r>
      <w:r w:rsidRPr="001E145A">
        <w:rPr>
          <w:rFonts w:eastAsia="Calibri"/>
          <w:sz w:val="20"/>
          <w:szCs w:val="20"/>
          <w:lang w:val="es-MX" w:eastAsia="en-US"/>
        </w:rPr>
        <w:t xml:space="preserve"> del señor Poblete Vilches al </w:t>
      </w:r>
      <w:r w:rsidR="00CA5F6C">
        <w:rPr>
          <w:rFonts w:eastAsia="Calibri"/>
          <w:sz w:val="20"/>
          <w:szCs w:val="20"/>
          <w:lang w:val="es-MX" w:eastAsia="en-US"/>
        </w:rPr>
        <w:t>H</w:t>
      </w:r>
      <w:r w:rsidRPr="001E145A">
        <w:rPr>
          <w:rFonts w:eastAsia="Calibri"/>
          <w:sz w:val="20"/>
          <w:szCs w:val="20"/>
          <w:lang w:val="es-MX" w:eastAsia="en-US"/>
        </w:rPr>
        <w:t xml:space="preserve">ospital </w:t>
      </w:r>
      <w:proofErr w:type="spellStart"/>
      <w:r w:rsidRPr="001E145A">
        <w:rPr>
          <w:rFonts w:eastAsia="Calibri"/>
          <w:sz w:val="20"/>
          <w:szCs w:val="20"/>
          <w:lang w:val="es-MX" w:eastAsia="en-US"/>
        </w:rPr>
        <w:t>Sótero</w:t>
      </w:r>
      <w:proofErr w:type="spellEnd"/>
      <w:r w:rsidRPr="001E145A">
        <w:rPr>
          <w:rFonts w:eastAsia="Calibri"/>
          <w:sz w:val="20"/>
          <w:szCs w:val="20"/>
          <w:lang w:val="es-MX" w:eastAsia="en-US"/>
        </w:rPr>
        <w:t xml:space="preserve"> del Río, el perito Santos expuso en audiencia sobre la situación del paciente, destacando que esta era grave, que habría que haber actuado rápidamente, ya que el adulto mayor es un paciente muy vulnerable. Cabe además destacar que, según sus declaraciones, el perito determinó que el esquema </w:t>
      </w:r>
      <w:r w:rsidRPr="001E145A">
        <w:rPr>
          <w:rFonts w:eastAsia="Calibri"/>
          <w:sz w:val="20"/>
          <w:szCs w:val="20"/>
          <w:lang w:val="es-MX" w:eastAsia="en-US"/>
        </w:rPr>
        <w:lastRenderedPageBreak/>
        <w:t>antibiótico no era el adecuado</w:t>
      </w:r>
      <w:r w:rsidRPr="001E145A">
        <w:rPr>
          <w:rFonts w:eastAsia="Calibri"/>
          <w:sz w:val="20"/>
          <w:szCs w:val="20"/>
          <w:vertAlign w:val="superscript"/>
          <w:lang w:val="es-MX" w:eastAsia="en-US"/>
        </w:rPr>
        <w:footnoteReference w:id="228"/>
      </w:r>
      <w:r w:rsidRPr="001E145A">
        <w:rPr>
          <w:rFonts w:eastAsia="Calibri"/>
          <w:sz w:val="20"/>
          <w:szCs w:val="20"/>
          <w:lang w:val="es-MX" w:eastAsia="en-US"/>
        </w:rPr>
        <w:t xml:space="preserve">. Asimismo, el perito destacó que la unidad de cuidados intensivos </w:t>
      </w:r>
      <w:r w:rsidR="00847C4A">
        <w:rPr>
          <w:rFonts w:eastAsia="Calibri"/>
          <w:sz w:val="20"/>
          <w:szCs w:val="20"/>
          <w:lang w:val="es-MX" w:eastAsia="en-US"/>
        </w:rPr>
        <w:t>resultaba</w:t>
      </w:r>
      <w:r w:rsidRPr="001E145A">
        <w:rPr>
          <w:rFonts w:eastAsia="Calibri"/>
          <w:sz w:val="20"/>
          <w:szCs w:val="20"/>
          <w:lang w:val="es-MX" w:eastAsia="en-US"/>
        </w:rPr>
        <w:t xml:space="preserve"> vital</w:t>
      </w:r>
      <w:r w:rsidR="001E145A" w:rsidRPr="001E145A">
        <w:rPr>
          <w:rStyle w:val="FootnoteReference"/>
          <w:rFonts w:eastAsia="Calibri"/>
          <w:sz w:val="20"/>
          <w:szCs w:val="20"/>
          <w:lang w:val="es-MX" w:eastAsia="en-US"/>
        </w:rPr>
        <w:footnoteReference w:id="229"/>
      </w:r>
      <w:r w:rsidRPr="001E145A">
        <w:rPr>
          <w:rFonts w:eastAsia="Calibri"/>
          <w:sz w:val="20"/>
          <w:szCs w:val="20"/>
          <w:lang w:val="es-MX" w:eastAsia="en-US"/>
        </w:rPr>
        <w:t>, como así también lo era la ayuda mecánica</w:t>
      </w:r>
      <w:r w:rsidRPr="001E145A">
        <w:rPr>
          <w:rFonts w:eastAsia="Calibri"/>
          <w:sz w:val="20"/>
          <w:szCs w:val="20"/>
          <w:vertAlign w:val="superscript"/>
          <w:lang w:val="es-MX" w:eastAsia="en-US"/>
        </w:rPr>
        <w:footnoteReference w:id="230"/>
      </w:r>
      <w:r w:rsidRPr="001E145A">
        <w:rPr>
          <w:rFonts w:eastAsia="Calibri"/>
          <w:sz w:val="20"/>
          <w:szCs w:val="20"/>
          <w:lang w:val="es-MX" w:eastAsia="en-US"/>
        </w:rPr>
        <w:t xml:space="preserve"> para respirar, y que sin su dispensa era imposible que el paciente pudiera sobrevivir, resaltando además que éstas prestaciones eran básicas. El perito destacó que</w:t>
      </w:r>
      <w:r w:rsidR="00D0629F">
        <w:rPr>
          <w:rFonts w:eastAsia="Calibri"/>
          <w:sz w:val="20"/>
          <w:szCs w:val="20"/>
          <w:lang w:val="es-MX" w:eastAsia="en-US"/>
        </w:rPr>
        <w:t>, en criterio,</w:t>
      </w:r>
      <w:r w:rsidRPr="001E145A">
        <w:rPr>
          <w:rFonts w:eastAsia="Calibri"/>
          <w:sz w:val="20"/>
          <w:szCs w:val="20"/>
          <w:lang w:val="es-MX" w:eastAsia="en-US"/>
        </w:rPr>
        <w:t xml:space="preserve"> la falta más grave fue </w:t>
      </w:r>
      <w:r w:rsidRPr="001E145A">
        <w:rPr>
          <w:rFonts w:eastAsia="Calibri"/>
          <w:sz w:val="20"/>
          <w:szCs w:val="20"/>
          <w:lang w:val="es-HN" w:eastAsia="en-US"/>
        </w:rPr>
        <w:t>que no se solicitó su derivación a otro centro con capacidad operativa para brindarle la atención que requería, por lo que dos días después de este reingreso, el señor Poblete Vilches falleció sin que se le hubiera brindado tratamiento a</w:t>
      </w:r>
      <w:r w:rsidR="005D46F8" w:rsidRPr="001E145A">
        <w:rPr>
          <w:rFonts w:eastAsia="Calibri"/>
          <w:sz w:val="20"/>
          <w:szCs w:val="20"/>
          <w:lang w:val="es-HN" w:eastAsia="en-US"/>
        </w:rPr>
        <w:t>decuado para preservar su salud</w:t>
      </w:r>
      <w:r w:rsidRPr="001E145A">
        <w:rPr>
          <w:rStyle w:val="FootnoteReference"/>
          <w:rFonts w:eastAsia="Calibri"/>
          <w:sz w:val="20"/>
          <w:szCs w:val="20"/>
          <w:lang w:val="es-HN" w:eastAsia="en-US"/>
        </w:rPr>
        <w:footnoteReference w:id="231"/>
      </w:r>
      <w:r w:rsidRPr="001E145A">
        <w:rPr>
          <w:rFonts w:eastAsia="Calibri"/>
          <w:sz w:val="20"/>
          <w:szCs w:val="20"/>
          <w:lang w:val="es-HN" w:eastAsia="en-US"/>
        </w:rPr>
        <w:t xml:space="preserve">. </w:t>
      </w:r>
    </w:p>
    <w:p w14:paraId="670C1BE1" w14:textId="77777777" w:rsidR="00EF55E3" w:rsidRPr="001E145A" w:rsidRDefault="00EF55E3" w:rsidP="005430FF">
      <w:pPr>
        <w:tabs>
          <w:tab w:val="left" w:pos="567"/>
        </w:tabs>
        <w:rPr>
          <w:rFonts w:eastAsia="Calibri"/>
          <w:sz w:val="20"/>
          <w:szCs w:val="20"/>
          <w:lang w:val="es-MX" w:eastAsia="en-US"/>
        </w:rPr>
      </w:pPr>
    </w:p>
    <w:p w14:paraId="56966E70" w14:textId="72ABADD5" w:rsidR="006F6F8F" w:rsidRPr="00D0629F" w:rsidRDefault="00EF55E3" w:rsidP="00383565">
      <w:pPr>
        <w:numPr>
          <w:ilvl w:val="0"/>
          <w:numId w:val="2"/>
        </w:numPr>
        <w:tabs>
          <w:tab w:val="left" w:pos="567"/>
          <w:tab w:val="num" w:pos="1569"/>
          <w:tab w:val="num" w:pos="12305"/>
        </w:tabs>
        <w:ind w:left="0" w:firstLine="0"/>
        <w:rPr>
          <w:rFonts w:eastAsia="Calibri"/>
          <w:sz w:val="20"/>
          <w:szCs w:val="20"/>
          <w:lang w:val="es-MX" w:eastAsia="en-US"/>
        </w:rPr>
      </w:pPr>
      <w:r w:rsidRPr="001E145A">
        <w:rPr>
          <w:rFonts w:eastAsia="Calibri"/>
          <w:sz w:val="20"/>
          <w:szCs w:val="20"/>
          <w:lang w:val="es-MX" w:eastAsia="en-US"/>
        </w:rPr>
        <w:t>Al respecto, c</w:t>
      </w:r>
      <w:r w:rsidR="00651FFD" w:rsidRPr="001E145A">
        <w:rPr>
          <w:rFonts w:eastAsia="Calibri"/>
          <w:sz w:val="20"/>
          <w:szCs w:val="20"/>
          <w:lang w:val="es-MX" w:eastAsia="en-US"/>
        </w:rPr>
        <w:t xml:space="preserve">onforme </w:t>
      </w:r>
      <w:r w:rsidR="00404D7D" w:rsidRPr="001E145A">
        <w:rPr>
          <w:rFonts w:eastAsia="Calibri"/>
          <w:sz w:val="20"/>
          <w:szCs w:val="20"/>
          <w:lang w:val="es-MX" w:eastAsia="en-US"/>
        </w:rPr>
        <w:t>a los elementos</w:t>
      </w:r>
      <w:r w:rsidR="00404D7D" w:rsidRPr="0059117C">
        <w:rPr>
          <w:rFonts w:eastAsia="Calibri"/>
          <w:sz w:val="20"/>
          <w:szCs w:val="20"/>
          <w:lang w:val="es-MX" w:eastAsia="en-US"/>
        </w:rPr>
        <w:t xml:space="preserve"> de</w:t>
      </w:r>
      <w:r w:rsidR="00651FFD" w:rsidRPr="00EF55E3">
        <w:rPr>
          <w:rFonts w:eastAsia="Calibri"/>
          <w:sz w:val="20"/>
          <w:szCs w:val="20"/>
          <w:lang w:val="es-MX" w:eastAsia="en-US"/>
        </w:rPr>
        <w:t xml:space="preserve"> </w:t>
      </w:r>
      <w:r w:rsidR="00651FFD" w:rsidRPr="00EF55E3">
        <w:rPr>
          <w:rFonts w:eastAsia="Calibri"/>
          <w:i/>
          <w:sz w:val="20"/>
          <w:szCs w:val="20"/>
          <w:lang w:val="es-MX" w:eastAsia="en-US"/>
        </w:rPr>
        <w:t>calidad</w:t>
      </w:r>
      <w:r w:rsidR="00404D7D" w:rsidRPr="0059117C">
        <w:rPr>
          <w:rFonts w:eastAsia="Calibri"/>
          <w:i/>
          <w:sz w:val="20"/>
          <w:szCs w:val="20"/>
          <w:lang w:val="es-MX" w:eastAsia="en-US"/>
        </w:rPr>
        <w:t xml:space="preserve"> y disponibilidad</w:t>
      </w:r>
      <w:r w:rsidR="00A6246E">
        <w:rPr>
          <w:rFonts w:eastAsia="Calibri"/>
          <w:i/>
          <w:sz w:val="20"/>
          <w:szCs w:val="20"/>
          <w:lang w:val="es-MX" w:eastAsia="en-US"/>
        </w:rPr>
        <w:t xml:space="preserve"> </w:t>
      </w:r>
      <w:r w:rsidR="00A6246E" w:rsidRPr="00EF55E3">
        <w:rPr>
          <w:rFonts w:eastAsia="Calibri"/>
          <w:sz w:val="20"/>
          <w:szCs w:val="20"/>
          <w:lang w:val="es-MX" w:eastAsia="en-US"/>
        </w:rPr>
        <w:t>(</w:t>
      </w:r>
      <w:r w:rsidR="00062586" w:rsidRPr="00062586">
        <w:rPr>
          <w:rFonts w:eastAsia="Calibri"/>
          <w:i/>
          <w:sz w:val="20"/>
          <w:szCs w:val="20"/>
          <w:lang w:val="es-MX" w:eastAsia="en-US"/>
        </w:rPr>
        <w:t>supra</w:t>
      </w:r>
      <w:r w:rsidR="00A6246E" w:rsidRPr="00EF55E3">
        <w:rPr>
          <w:rFonts w:eastAsia="Calibri"/>
          <w:sz w:val="20"/>
          <w:szCs w:val="20"/>
          <w:lang w:val="es-MX" w:eastAsia="en-US"/>
        </w:rPr>
        <w:t xml:space="preserve"> </w:t>
      </w:r>
      <w:r w:rsidR="00E60DB4">
        <w:rPr>
          <w:rFonts w:eastAsia="Calibri"/>
          <w:sz w:val="20"/>
          <w:szCs w:val="20"/>
          <w:lang w:val="es-MX" w:eastAsia="en-US"/>
        </w:rPr>
        <w:t>párr. 121</w:t>
      </w:r>
      <w:r w:rsidR="00A6246E" w:rsidRPr="00EF55E3">
        <w:rPr>
          <w:rFonts w:eastAsia="Calibri"/>
          <w:sz w:val="20"/>
          <w:szCs w:val="20"/>
          <w:lang w:val="es-MX" w:eastAsia="en-US"/>
        </w:rPr>
        <w:t>)</w:t>
      </w:r>
      <w:r w:rsidR="00651FFD" w:rsidRPr="00EF55E3">
        <w:rPr>
          <w:rFonts w:eastAsia="Calibri"/>
          <w:sz w:val="20"/>
          <w:szCs w:val="20"/>
          <w:lang w:val="es-MX" w:eastAsia="en-US"/>
        </w:rPr>
        <w:t>,</w:t>
      </w:r>
      <w:r w:rsidR="002570D1" w:rsidRPr="00EF55E3">
        <w:rPr>
          <w:rFonts w:eastAsia="Calibri"/>
          <w:sz w:val="20"/>
          <w:szCs w:val="20"/>
          <w:lang w:val="es-MX" w:eastAsia="en-US"/>
        </w:rPr>
        <w:t xml:space="preserve"> </w:t>
      </w:r>
      <w:r w:rsidR="00A81049" w:rsidRPr="00EF55E3">
        <w:rPr>
          <w:rFonts w:eastAsia="Calibri"/>
          <w:sz w:val="20"/>
          <w:szCs w:val="20"/>
          <w:lang w:val="es-MX" w:eastAsia="en-US"/>
        </w:rPr>
        <w:t>durante</w:t>
      </w:r>
      <w:r w:rsidR="002570D1" w:rsidRPr="00EF55E3">
        <w:rPr>
          <w:rFonts w:eastAsia="Calibri"/>
          <w:sz w:val="20"/>
          <w:szCs w:val="20"/>
          <w:lang w:val="es-MX" w:eastAsia="en-US"/>
        </w:rPr>
        <w:t xml:space="preserve"> el segundo ingreso, se </w:t>
      </w:r>
      <w:r w:rsidR="00651FFD" w:rsidRPr="00EF55E3">
        <w:rPr>
          <w:rFonts w:eastAsia="Calibri"/>
          <w:sz w:val="20"/>
          <w:szCs w:val="20"/>
          <w:lang w:val="es-MX" w:eastAsia="en-US"/>
        </w:rPr>
        <w:t>compr</w:t>
      </w:r>
      <w:r w:rsidR="00E63E9D" w:rsidRPr="00EF55E3">
        <w:rPr>
          <w:rFonts w:eastAsia="Calibri"/>
          <w:sz w:val="20"/>
          <w:szCs w:val="20"/>
          <w:lang w:val="es-MX" w:eastAsia="en-US"/>
        </w:rPr>
        <w:t>obó</w:t>
      </w:r>
      <w:r w:rsidR="002570D1" w:rsidRPr="00EF55E3">
        <w:rPr>
          <w:rFonts w:eastAsia="Calibri"/>
          <w:sz w:val="20"/>
          <w:szCs w:val="20"/>
          <w:lang w:val="es-MX" w:eastAsia="en-US"/>
        </w:rPr>
        <w:t xml:space="preserve"> </w:t>
      </w:r>
      <w:r w:rsidR="00B138CE" w:rsidRPr="00EF55E3">
        <w:rPr>
          <w:rFonts w:eastAsia="Calibri"/>
          <w:sz w:val="20"/>
          <w:szCs w:val="20"/>
          <w:lang w:val="es-MX" w:eastAsia="en-US"/>
        </w:rPr>
        <w:t>la falta de provisión del tratamiento intensivo que requería</w:t>
      </w:r>
      <w:r w:rsidR="007D6301" w:rsidRPr="0059117C">
        <w:rPr>
          <w:rFonts w:eastAsia="Calibri"/>
          <w:sz w:val="20"/>
          <w:szCs w:val="20"/>
          <w:lang w:val="es-MX" w:eastAsia="en-US"/>
        </w:rPr>
        <w:t xml:space="preserve"> en la UCI Médica</w:t>
      </w:r>
      <w:r w:rsidR="00B138CE" w:rsidRPr="00EF55E3">
        <w:rPr>
          <w:rFonts w:eastAsia="Calibri"/>
          <w:sz w:val="20"/>
          <w:szCs w:val="20"/>
          <w:lang w:val="es-MX" w:eastAsia="en-US"/>
        </w:rPr>
        <w:t>, co</w:t>
      </w:r>
      <w:r w:rsidR="001925E9" w:rsidRPr="00EF55E3">
        <w:rPr>
          <w:rFonts w:eastAsia="Calibri"/>
          <w:sz w:val="20"/>
          <w:szCs w:val="20"/>
          <w:lang w:val="es-MX" w:eastAsia="en-US"/>
        </w:rPr>
        <w:t xml:space="preserve">n motivo de la falta de </w:t>
      </w:r>
      <w:r w:rsidR="004F53BF" w:rsidRPr="00B1523A">
        <w:rPr>
          <w:rFonts w:eastAsia="Calibri"/>
          <w:sz w:val="20"/>
          <w:szCs w:val="20"/>
          <w:lang w:val="es-MX" w:eastAsia="en-US"/>
        </w:rPr>
        <w:t xml:space="preserve">disponibilidad de </w:t>
      </w:r>
      <w:r w:rsidR="001925E9" w:rsidRPr="00EF55E3">
        <w:rPr>
          <w:rFonts w:eastAsia="Calibri"/>
          <w:sz w:val="20"/>
          <w:szCs w:val="20"/>
          <w:lang w:val="es-MX" w:eastAsia="en-US"/>
        </w:rPr>
        <w:t>camas</w:t>
      </w:r>
      <w:r w:rsidR="00651FFD" w:rsidRPr="00EF55E3">
        <w:rPr>
          <w:rFonts w:eastAsia="Calibri"/>
          <w:sz w:val="20"/>
          <w:szCs w:val="20"/>
          <w:lang w:val="es-MX" w:eastAsia="en-US"/>
        </w:rPr>
        <w:t xml:space="preserve"> </w:t>
      </w:r>
      <w:r w:rsidR="00E63E9D" w:rsidRPr="00EF55E3">
        <w:rPr>
          <w:rFonts w:eastAsia="Calibri"/>
          <w:sz w:val="20"/>
          <w:szCs w:val="20"/>
          <w:lang w:val="es-MX" w:eastAsia="en-US"/>
        </w:rPr>
        <w:t xml:space="preserve">en esa unidad, </w:t>
      </w:r>
      <w:r w:rsidR="002570D1" w:rsidRPr="00EF55E3">
        <w:rPr>
          <w:rFonts w:eastAsia="Calibri"/>
          <w:sz w:val="20"/>
          <w:szCs w:val="20"/>
          <w:lang w:val="es-MX" w:eastAsia="en-US"/>
        </w:rPr>
        <w:t>la falta de asistencia, a través de un respirador mecánico</w:t>
      </w:r>
      <w:r w:rsidRPr="0059117C">
        <w:rPr>
          <w:rFonts w:eastAsia="Calibri"/>
          <w:sz w:val="20"/>
          <w:szCs w:val="20"/>
          <w:lang w:val="es-MX" w:eastAsia="en-US"/>
        </w:rPr>
        <w:t>, así como la omisión de</w:t>
      </w:r>
      <w:r w:rsidR="00E63E9D" w:rsidRPr="00EF55E3">
        <w:rPr>
          <w:rFonts w:eastAsia="Calibri"/>
          <w:sz w:val="20"/>
          <w:szCs w:val="20"/>
          <w:lang w:val="es-MX" w:eastAsia="en-US"/>
        </w:rPr>
        <w:t xml:space="preserve"> </w:t>
      </w:r>
      <w:r w:rsidRPr="0059117C">
        <w:rPr>
          <w:rFonts w:eastAsia="Calibri"/>
          <w:sz w:val="20"/>
          <w:szCs w:val="20"/>
          <w:lang w:val="es-MX" w:eastAsia="en-US"/>
        </w:rPr>
        <w:t>dispensar al paciente el traslado a otro centro médico que contara con las instalaciones necesarias</w:t>
      </w:r>
      <w:r w:rsidRPr="0059117C">
        <w:rPr>
          <w:rFonts w:eastAsia="Calibri"/>
          <w:sz w:val="20"/>
          <w:szCs w:val="20"/>
          <w:vertAlign w:val="superscript"/>
          <w:lang w:val="es-MX" w:eastAsia="en-US"/>
        </w:rPr>
        <w:footnoteReference w:id="232"/>
      </w:r>
      <w:r w:rsidR="00E60DB4" w:rsidRPr="00EF55E3">
        <w:rPr>
          <w:rFonts w:eastAsia="Calibri"/>
          <w:sz w:val="20"/>
          <w:szCs w:val="20"/>
          <w:lang w:val="es-MX" w:eastAsia="en-US"/>
        </w:rPr>
        <w:t xml:space="preserve">. </w:t>
      </w:r>
      <w:r w:rsidR="007D6301" w:rsidRPr="0059117C">
        <w:rPr>
          <w:rFonts w:eastAsia="Calibri"/>
          <w:sz w:val="20"/>
          <w:szCs w:val="20"/>
          <w:lang w:val="es-MX" w:eastAsia="en-US"/>
        </w:rPr>
        <w:t xml:space="preserve">Dichas prestaciones resultaban básicas para el tratamiento de </w:t>
      </w:r>
      <w:r w:rsidR="002A64C9">
        <w:rPr>
          <w:rFonts w:eastAsia="Calibri"/>
          <w:sz w:val="20"/>
          <w:szCs w:val="20"/>
          <w:lang w:val="es-MX" w:eastAsia="en-US"/>
        </w:rPr>
        <w:t>urgencias</w:t>
      </w:r>
      <w:r w:rsidR="004F53BF">
        <w:rPr>
          <w:rFonts w:eastAsia="Calibri"/>
          <w:sz w:val="20"/>
          <w:szCs w:val="20"/>
          <w:lang w:val="es-MX" w:eastAsia="en-US"/>
        </w:rPr>
        <w:t xml:space="preserve"> </w:t>
      </w:r>
      <w:r w:rsidR="004F53BF" w:rsidRPr="00BA5762">
        <w:rPr>
          <w:rFonts w:eastAsia="Calibri"/>
          <w:sz w:val="20"/>
          <w:szCs w:val="20"/>
          <w:lang w:val="es-ES_tradnl"/>
        </w:rPr>
        <w:t>(</w:t>
      </w:r>
      <w:r w:rsidR="004F53BF" w:rsidRPr="00BA5762">
        <w:rPr>
          <w:rFonts w:eastAsia="Calibri"/>
          <w:i/>
          <w:sz w:val="20"/>
          <w:szCs w:val="20"/>
          <w:lang w:val="es-ES_tradnl"/>
        </w:rPr>
        <w:t>supra</w:t>
      </w:r>
      <w:r w:rsidR="004F53BF" w:rsidRPr="00BA5762">
        <w:rPr>
          <w:rFonts w:eastAsia="Calibri"/>
          <w:sz w:val="20"/>
          <w:szCs w:val="20"/>
          <w:lang w:val="es-ES_tradnl"/>
        </w:rPr>
        <w:t xml:space="preserve"> </w:t>
      </w:r>
      <w:proofErr w:type="spellStart"/>
      <w:r w:rsidR="004F53BF" w:rsidRPr="00BA5762">
        <w:rPr>
          <w:rFonts w:eastAsia="Calibri"/>
          <w:sz w:val="20"/>
          <w:szCs w:val="20"/>
          <w:lang w:val="es-ES_tradnl"/>
        </w:rPr>
        <w:t>párr</w:t>
      </w:r>
      <w:r w:rsidR="00847C4A">
        <w:rPr>
          <w:rFonts w:eastAsia="Calibri"/>
          <w:sz w:val="20"/>
          <w:szCs w:val="20"/>
          <w:lang w:val="es-ES_tradnl"/>
        </w:rPr>
        <w:t>s</w:t>
      </w:r>
      <w:proofErr w:type="spellEnd"/>
      <w:r w:rsidR="004F53BF" w:rsidRPr="00BA5762">
        <w:rPr>
          <w:rFonts w:eastAsia="Calibri"/>
          <w:sz w:val="20"/>
          <w:szCs w:val="20"/>
          <w:lang w:val="es-ES_tradnl"/>
        </w:rPr>
        <w:t xml:space="preserve">. </w:t>
      </w:r>
      <w:r w:rsidR="002A78EE">
        <w:rPr>
          <w:rFonts w:eastAsia="Calibri"/>
          <w:sz w:val="20"/>
          <w:szCs w:val="20"/>
          <w:lang w:val="es-ES_tradnl"/>
        </w:rPr>
        <w:t>121</w:t>
      </w:r>
      <w:r w:rsidR="00847C4A">
        <w:rPr>
          <w:rFonts w:eastAsia="Calibri"/>
          <w:sz w:val="20"/>
          <w:szCs w:val="20"/>
          <w:lang w:val="es-ES_tradnl"/>
        </w:rPr>
        <w:t xml:space="preserve"> y 137</w:t>
      </w:r>
      <w:r w:rsidR="004F53BF" w:rsidRPr="00BA5762">
        <w:rPr>
          <w:rFonts w:eastAsia="Calibri"/>
          <w:sz w:val="20"/>
          <w:szCs w:val="20"/>
          <w:lang w:val="es-ES_tradnl"/>
        </w:rPr>
        <w:t>)</w:t>
      </w:r>
      <w:r w:rsidR="007D6301" w:rsidRPr="0059117C">
        <w:rPr>
          <w:rFonts w:eastAsia="Calibri"/>
          <w:sz w:val="20"/>
          <w:szCs w:val="20"/>
          <w:lang w:val="es-MX" w:eastAsia="en-US"/>
        </w:rPr>
        <w:t xml:space="preserve">. </w:t>
      </w:r>
      <w:r w:rsidR="001925E9" w:rsidRPr="00EF55E3">
        <w:rPr>
          <w:rFonts w:eastAsia="Calibri"/>
          <w:sz w:val="20"/>
          <w:szCs w:val="20"/>
          <w:lang w:val="es-MX" w:eastAsia="en-US"/>
        </w:rPr>
        <w:t xml:space="preserve">También se destaca la decisión durante su primer ingreso, de </w:t>
      </w:r>
      <w:r w:rsidR="00E63E9D" w:rsidRPr="00EF55E3">
        <w:rPr>
          <w:rFonts w:eastAsia="Calibri"/>
          <w:sz w:val="20"/>
          <w:szCs w:val="20"/>
          <w:lang w:val="es-MX" w:eastAsia="en-US"/>
        </w:rPr>
        <w:t xml:space="preserve">darlo </w:t>
      </w:r>
      <w:r w:rsidR="001925E9" w:rsidRPr="00EF55E3">
        <w:rPr>
          <w:rFonts w:eastAsia="Calibri"/>
          <w:sz w:val="20"/>
          <w:szCs w:val="20"/>
          <w:lang w:val="es-MX" w:eastAsia="en-US"/>
        </w:rPr>
        <w:t>de alta de forma precipitada</w:t>
      </w:r>
      <w:r w:rsidR="00E63E9D" w:rsidRPr="00EF55E3">
        <w:rPr>
          <w:rFonts w:eastAsia="Calibri"/>
          <w:sz w:val="20"/>
          <w:szCs w:val="20"/>
          <w:lang w:val="es-MX" w:eastAsia="en-US"/>
        </w:rPr>
        <w:t>.</w:t>
      </w:r>
      <w:r w:rsidR="001925E9" w:rsidRPr="00EF55E3">
        <w:rPr>
          <w:rFonts w:eastAsia="Calibri"/>
          <w:sz w:val="20"/>
          <w:szCs w:val="20"/>
          <w:lang w:val="es-MX" w:eastAsia="en-US"/>
        </w:rPr>
        <w:t xml:space="preserve"> </w:t>
      </w:r>
      <w:r w:rsidR="001925E9" w:rsidRPr="00B1523A">
        <w:rPr>
          <w:rFonts w:eastAsia="Calibri"/>
          <w:sz w:val="20"/>
          <w:szCs w:val="20"/>
          <w:lang w:val="es-MX" w:eastAsia="en-US"/>
        </w:rPr>
        <w:t xml:space="preserve">En vista de lo anterior, </w:t>
      </w:r>
      <w:r w:rsidRPr="00B1523A">
        <w:rPr>
          <w:rFonts w:eastAsia="Calibri"/>
          <w:sz w:val="20"/>
          <w:szCs w:val="20"/>
          <w:lang w:val="es-MX" w:eastAsia="en-US"/>
        </w:rPr>
        <w:t xml:space="preserve">ante la falta de disponibilidad de </w:t>
      </w:r>
      <w:r w:rsidR="004F53BF" w:rsidRPr="00B1523A">
        <w:rPr>
          <w:rFonts w:eastAsia="Calibri"/>
          <w:sz w:val="20"/>
          <w:szCs w:val="20"/>
          <w:lang w:val="es-MX" w:eastAsia="en-US"/>
        </w:rPr>
        <w:t xml:space="preserve">ciertas </w:t>
      </w:r>
      <w:r w:rsidR="00847C4A">
        <w:rPr>
          <w:rFonts w:eastAsia="Calibri"/>
          <w:sz w:val="20"/>
          <w:szCs w:val="20"/>
          <w:lang w:val="es-MX" w:eastAsia="en-US"/>
        </w:rPr>
        <w:t xml:space="preserve">medidas </w:t>
      </w:r>
      <w:r w:rsidRPr="00B1523A">
        <w:rPr>
          <w:rFonts w:eastAsia="Calibri"/>
          <w:sz w:val="20"/>
          <w:szCs w:val="20"/>
          <w:lang w:val="es-MX" w:eastAsia="en-US"/>
        </w:rPr>
        <w:t>básica</w:t>
      </w:r>
      <w:r w:rsidR="000E14C2" w:rsidRPr="00B1523A">
        <w:rPr>
          <w:rFonts w:eastAsia="Calibri"/>
          <w:sz w:val="20"/>
          <w:szCs w:val="20"/>
          <w:lang w:val="es-MX" w:eastAsia="en-US"/>
        </w:rPr>
        <w:t>s</w:t>
      </w:r>
      <w:r w:rsidRPr="00B1523A">
        <w:rPr>
          <w:rFonts w:eastAsia="Calibri"/>
          <w:sz w:val="20"/>
          <w:szCs w:val="20"/>
          <w:lang w:val="es-MX" w:eastAsia="en-US"/>
        </w:rPr>
        <w:t xml:space="preserve">, </w:t>
      </w:r>
      <w:r w:rsidR="001925E9" w:rsidRPr="00B1523A">
        <w:rPr>
          <w:rFonts w:eastAsia="Calibri"/>
          <w:sz w:val="20"/>
          <w:szCs w:val="20"/>
          <w:lang w:val="es-MX" w:eastAsia="en-US"/>
        </w:rPr>
        <w:t>el servicio de salud que recibió el paciente careció de la calidad mínima</w:t>
      </w:r>
      <w:r w:rsidR="00D0629F" w:rsidRPr="00B1523A">
        <w:rPr>
          <w:rFonts w:eastAsia="Calibri"/>
          <w:sz w:val="20"/>
          <w:szCs w:val="20"/>
          <w:lang w:val="es-MX" w:eastAsia="en-US"/>
        </w:rPr>
        <w:t>.</w:t>
      </w:r>
      <w:r w:rsidR="001925E9" w:rsidRPr="00B1523A">
        <w:rPr>
          <w:rFonts w:eastAsia="Calibri"/>
          <w:sz w:val="20"/>
          <w:szCs w:val="20"/>
          <w:lang w:val="es-MX" w:eastAsia="en-US"/>
        </w:rPr>
        <w:t xml:space="preserve"> </w:t>
      </w:r>
    </w:p>
    <w:p w14:paraId="6417A783" w14:textId="77777777" w:rsidR="00B138CE" w:rsidRPr="00641553" w:rsidRDefault="00B138CE" w:rsidP="00383565">
      <w:pPr>
        <w:tabs>
          <w:tab w:val="left" w:pos="567"/>
        </w:tabs>
        <w:rPr>
          <w:rFonts w:eastAsia="Calibri"/>
          <w:sz w:val="20"/>
          <w:szCs w:val="20"/>
          <w:lang w:val="es-MX" w:eastAsia="en-US"/>
        </w:rPr>
      </w:pPr>
    </w:p>
    <w:p w14:paraId="7A822AD9" w14:textId="29C854FB" w:rsidR="00E23408" w:rsidRPr="00641553" w:rsidRDefault="00E63E9D" w:rsidP="00383565">
      <w:pPr>
        <w:numPr>
          <w:ilvl w:val="0"/>
          <w:numId w:val="2"/>
        </w:numPr>
        <w:tabs>
          <w:tab w:val="left" w:pos="567"/>
          <w:tab w:val="num" w:pos="1569"/>
          <w:tab w:val="num" w:pos="12305"/>
        </w:tabs>
        <w:ind w:left="0" w:firstLine="0"/>
        <w:rPr>
          <w:rFonts w:eastAsia="Calibri"/>
          <w:sz w:val="20"/>
          <w:szCs w:val="20"/>
          <w:lang w:val="es-MX" w:eastAsia="en-US"/>
        </w:rPr>
      </w:pPr>
      <w:r w:rsidRPr="00641553">
        <w:rPr>
          <w:rFonts w:eastAsia="Calibri"/>
          <w:sz w:val="20"/>
          <w:szCs w:val="20"/>
          <w:lang w:val="es-MX" w:eastAsia="en-US"/>
        </w:rPr>
        <w:t>R</w:t>
      </w:r>
      <w:r w:rsidR="002570D1" w:rsidRPr="00641553">
        <w:rPr>
          <w:rFonts w:eastAsia="Calibri"/>
          <w:sz w:val="20"/>
          <w:szCs w:val="20"/>
          <w:lang w:val="es-MX" w:eastAsia="en-US"/>
        </w:rPr>
        <w:t>especto de</w:t>
      </w:r>
      <w:r w:rsidR="00641553" w:rsidRPr="0059117C">
        <w:rPr>
          <w:rFonts w:eastAsia="Calibri"/>
          <w:sz w:val="20"/>
          <w:szCs w:val="20"/>
          <w:lang w:val="es-MX" w:eastAsia="en-US"/>
        </w:rPr>
        <w:t xml:space="preserve"> los elementos de</w:t>
      </w:r>
      <w:r w:rsidR="002570D1" w:rsidRPr="00641553">
        <w:rPr>
          <w:rFonts w:eastAsia="Calibri"/>
          <w:sz w:val="20"/>
          <w:szCs w:val="20"/>
          <w:lang w:val="es-MX" w:eastAsia="en-US"/>
        </w:rPr>
        <w:t xml:space="preserve"> </w:t>
      </w:r>
      <w:r w:rsidR="002570D1" w:rsidRPr="00641553">
        <w:rPr>
          <w:rFonts w:eastAsia="Calibri"/>
          <w:i/>
          <w:sz w:val="20"/>
          <w:szCs w:val="20"/>
          <w:lang w:val="es-MX" w:eastAsia="en-US"/>
        </w:rPr>
        <w:t>accesibilidad</w:t>
      </w:r>
      <w:r w:rsidR="00EF55E3" w:rsidRPr="0059117C">
        <w:rPr>
          <w:rFonts w:eastAsia="Calibri"/>
          <w:i/>
          <w:sz w:val="20"/>
          <w:szCs w:val="20"/>
          <w:lang w:val="es-MX" w:eastAsia="en-US"/>
        </w:rPr>
        <w:t xml:space="preserve"> y aceptabilidad</w:t>
      </w:r>
      <w:r w:rsidR="00A6246E">
        <w:rPr>
          <w:rFonts w:eastAsia="Calibri"/>
          <w:i/>
          <w:sz w:val="20"/>
          <w:szCs w:val="20"/>
          <w:lang w:val="es-MX" w:eastAsia="en-US"/>
        </w:rPr>
        <w:t xml:space="preserve"> </w:t>
      </w:r>
      <w:r w:rsidR="00A6246E" w:rsidRPr="00EF55E3">
        <w:rPr>
          <w:rFonts w:eastAsia="Calibri"/>
          <w:sz w:val="20"/>
          <w:szCs w:val="20"/>
          <w:lang w:val="es-MX" w:eastAsia="en-US"/>
        </w:rPr>
        <w:t>(</w:t>
      </w:r>
      <w:r w:rsidR="00062586" w:rsidRPr="00062586">
        <w:rPr>
          <w:rFonts w:eastAsia="Calibri"/>
          <w:i/>
          <w:sz w:val="20"/>
          <w:szCs w:val="20"/>
          <w:lang w:val="es-MX" w:eastAsia="en-US"/>
        </w:rPr>
        <w:t>supra</w:t>
      </w:r>
      <w:r w:rsidR="00A6246E" w:rsidRPr="00EF55E3">
        <w:rPr>
          <w:rFonts w:eastAsia="Calibri"/>
          <w:sz w:val="20"/>
          <w:szCs w:val="20"/>
          <w:lang w:val="es-MX" w:eastAsia="en-US"/>
        </w:rPr>
        <w:t xml:space="preserve"> </w:t>
      </w:r>
      <w:proofErr w:type="spellStart"/>
      <w:r w:rsidR="00A6246E" w:rsidRPr="00EF55E3">
        <w:rPr>
          <w:rFonts w:eastAsia="Calibri"/>
          <w:sz w:val="20"/>
          <w:szCs w:val="20"/>
          <w:lang w:val="es-MX" w:eastAsia="en-US"/>
        </w:rPr>
        <w:t>párrs</w:t>
      </w:r>
      <w:proofErr w:type="spellEnd"/>
      <w:r w:rsidR="00A6246E" w:rsidRPr="00EF55E3">
        <w:rPr>
          <w:rFonts w:eastAsia="Calibri"/>
          <w:sz w:val="20"/>
          <w:szCs w:val="20"/>
          <w:lang w:val="es-MX" w:eastAsia="en-US"/>
        </w:rPr>
        <w:t xml:space="preserve">. </w:t>
      </w:r>
      <w:r w:rsidR="002A78EE">
        <w:rPr>
          <w:rFonts w:eastAsia="Calibri"/>
          <w:sz w:val="20"/>
          <w:szCs w:val="20"/>
          <w:lang w:val="es-MX" w:eastAsia="en-US"/>
        </w:rPr>
        <w:t>121</w:t>
      </w:r>
      <w:r w:rsidR="002A78EE" w:rsidRPr="00EF55E3">
        <w:rPr>
          <w:rFonts w:eastAsia="Calibri"/>
          <w:sz w:val="20"/>
          <w:szCs w:val="20"/>
          <w:lang w:val="es-MX" w:eastAsia="en-US"/>
        </w:rPr>
        <w:t>)</w:t>
      </w:r>
      <w:r w:rsidR="002A78EE" w:rsidRPr="00641553">
        <w:rPr>
          <w:rFonts w:eastAsia="Calibri"/>
          <w:sz w:val="20"/>
          <w:szCs w:val="20"/>
          <w:lang w:val="es-MX" w:eastAsia="en-US"/>
        </w:rPr>
        <w:t xml:space="preserve">, </w:t>
      </w:r>
      <w:r w:rsidR="00E23408" w:rsidRPr="00641553">
        <w:rPr>
          <w:rFonts w:eastAsia="Calibri"/>
          <w:sz w:val="20"/>
          <w:szCs w:val="20"/>
          <w:lang w:val="es-MX" w:eastAsia="en-US"/>
        </w:rPr>
        <w:t xml:space="preserve">la </w:t>
      </w:r>
      <w:r w:rsidR="00E23408" w:rsidRPr="00641553">
        <w:rPr>
          <w:rFonts w:eastAsia="Calibri"/>
          <w:sz w:val="20"/>
          <w:szCs w:val="20"/>
          <w:lang w:val="es-ES_tradnl" w:eastAsia="en-US"/>
        </w:rPr>
        <w:t>Corte destaca que la edad del señor Poblete Vilches, resultó ser una limitante para recibir una atención médica oportuna, pues d</w:t>
      </w:r>
      <w:proofErr w:type="spellStart"/>
      <w:r w:rsidRPr="00641553">
        <w:rPr>
          <w:rFonts w:eastAsia="Calibri"/>
          <w:sz w:val="20"/>
          <w:szCs w:val="20"/>
          <w:lang w:val="es-MX" w:eastAsia="en-US"/>
        </w:rPr>
        <w:t>e</w:t>
      </w:r>
      <w:proofErr w:type="spellEnd"/>
      <w:r w:rsidRPr="00641553">
        <w:rPr>
          <w:rFonts w:eastAsia="Calibri"/>
          <w:sz w:val="20"/>
          <w:szCs w:val="20"/>
          <w:lang w:val="es-MX" w:eastAsia="en-US"/>
        </w:rPr>
        <w:t xml:space="preserve"> los h</w:t>
      </w:r>
      <w:r w:rsidR="00E23408" w:rsidRPr="00641553">
        <w:rPr>
          <w:rFonts w:eastAsia="Calibri"/>
          <w:sz w:val="20"/>
          <w:szCs w:val="20"/>
          <w:lang w:val="es-MX" w:eastAsia="en-US"/>
        </w:rPr>
        <w:t>echos del caso se desprende que</w:t>
      </w:r>
      <w:r w:rsidRPr="00641553">
        <w:rPr>
          <w:rFonts w:eastAsia="Calibri"/>
          <w:sz w:val="20"/>
          <w:szCs w:val="20"/>
          <w:lang w:val="es-MX" w:eastAsia="en-US"/>
        </w:rPr>
        <w:t xml:space="preserve"> </w:t>
      </w:r>
      <w:r w:rsidR="00B138CE" w:rsidRPr="00641553">
        <w:rPr>
          <w:rFonts w:eastAsia="Calibri"/>
          <w:sz w:val="20"/>
          <w:szCs w:val="20"/>
          <w:lang w:val="es-MX" w:eastAsia="en-US"/>
        </w:rPr>
        <w:t xml:space="preserve">no se </w:t>
      </w:r>
      <w:r w:rsidR="004F53BF" w:rsidRPr="00B1523A">
        <w:rPr>
          <w:rFonts w:eastAsia="Calibri"/>
          <w:sz w:val="20"/>
          <w:szCs w:val="20"/>
          <w:lang w:val="es-MX" w:eastAsia="en-US"/>
        </w:rPr>
        <w:t>le brindó el</w:t>
      </w:r>
      <w:r w:rsidR="004F53BF">
        <w:rPr>
          <w:rFonts w:eastAsia="Calibri"/>
          <w:b/>
          <w:sz w:val="20"/>
          <w:szCs w:val="20"/>
          <w:lang w:val="es-MX" w:eastAsia="en-US"/>
        </w:rPr>
        <w:t xml:space="preserve"> </w:t>
      </w:r>
      <w:r w:rsidR="00651FFD" w:rsidRPr="00641553">
        <w:rPr>
          <w:rFonts w:eastAsia="Calibri"/>
          <w:sz w:val="20"/>
          <w:szCs w:val="20"/>
          <w:lang w:val="es-MX" w:eastAsia="en-US"/>
        </w:rPr>
        <w:t>tratamiento médico adecuado</w:t>
      </w:r>
      <w:r w:rsidR="00E23408" w:rsidRPr="00641553">
        <w:rPr>
          <w:rFonts w:eastAsia="Calibri"/>
          <w:sz w:val="20"/>
          <w:szCs w:val="20"/>
          <w:lang w:val="es-MX" w:eastAsia="en-US"/>
        </w:rPr>
        <w:t>, en parte,</w:t>
      </w:r>
      <w:r w:rsidR="00651FFD" w:rsidRPr="00641553">
        <w:rPr>
          <w:rFonts w:eastAsia="Calibri"/>
          <w:sz w:val="20"/>
          <w:szCs w:val="20"/>
          <w:lang w:val="es-MX" w:eastAsia="en-US"/>
        </w:rPr>
        <w:t xml:space="preserve"> </w:t>
      </w:r>
      <w:r w:rsidR="002570D1" w:rsidRPr="00641553">
        <w:rPr>
          <w:rFonts w:eastAsia="Calibri"/>
          <w:sz w:val="20"/>
          <w:szCs w:val="20"/>
          <w:lang w:val="es-MX" w:eastAsia="en-US"/>
        </w:rPr>
        <w:t xml:space="preserve">por </w:t>
      </w:r>
      <w:r w:rsidR="00B138CE" w:rsidRPr="00641553">
        <w:rPr>
          <w:rFonts w:eastAsia="Calibri"/>
          <w:sz w:val="20"/>
          <w:szCs w:val="20"/>
          <w:lang w:val="es-MX" w:eastAsia="en-US"/>
        </w:rPr>
        <w:t>su condición de</w:t>
      </w:r>
      <w:r w:rsidR="002570D1" w:rsidRPr="00641553">
        <w:rPr>
          <w:rFonts w:eastAsia="Calibri"/>
          <w:sz w:val="20"/>
          <w:szCs w:val="20"/>
          <w:lang w:val="es-MX" w:eastAsia="en-US"/>
        </w:rPr>
        <w:t xml:space="preserve"> </w:t>
      </w:r>
      <w:r w:rsidR="005F3EE7">
        <w:rPr>
          <w:rFonts w:eastAsia="Calibri"/>
          <w:sz w:val="20"/>
          <w:szCs w:val="20"/>
          <w:lang w:val="es-MX" w:eastAsia="en-US"/>
        </w:rPr>
        <w:t>persona</w:t>
      </w:r>
      <w:r w:rsidR="005F3EE7" w:rsidRPr="00641553">
        <w:rPr>
          <w:rFonts w:eastAsia="Calibri"/>
          <w:sz w:val="20"/>
          <w:szCs w:val="20"/>
          <w:lang w:val="es-MX" w:eastAsia="en-US"/>
        </w:rPr>
        <w:t xml:space="preserve"> </w:t>
      </w:r>
      <w:r w:rsidR="002570D1" w:rsidRPr="00641553">
        <w:rPr>
          <w:rFonts w:eastAsia="Calibri"/>
          <w:sz w:val="20"/>
          <w:szCs w:val="20"/>
          <w:lang w:val="es-MX" w:eastAsia="en-US"/>
        </w:rPr>
        <w:t>mayor</w:t>
      </w:r>
      <w:r w:rsidR="00D0629F">
        <w:rPr>
          <w:rFonts w:eastAsia="Calibri"/>
          <w:sz w:val="20"/>
          <w:szCs w:val="20"/>
          <w:lang w:val="es-MX" w:eastAsia="en-US"/>
        </w:rPr>
        <w:t xml:space="preserve"> (</w:t>
      </w:r>
      <w:r w:rsidR="00D0629F" w:rsidRPr="00B1523A">
        <w:rPr>
          <w:rFonts w:eastAsia="Calibri"/>
          <w:i/>
          <w:sz w:val="20"/>
          <w:szCs w:val="20"/>
          <w:lang w:val="es-MX" w:eastAsia="en-US"/>
        </w:rPr>
        <w:t>supra</w:t>
      </w:r>
      <w:r w:rsidR="00D0629F">
        <w:rPr>
          <w:rFonts w:eastAsia="Calibri"/>
          <w:sz w:val="20"/>
          <w:szCs w:val="20"/>
          <w:lang w:val="es-MX" w:eastAsia="en-US"/>
        </w:rPr>
        <w:t xml:space="preserve"> </w:t>
      </w:r>
      <w:proofErr w:type="spellStart"/>
      <w:r w:rsidR="00D0629F">
        <w:rPr>
          <w:rFonts w:eastAsia="Calibri"/>
          <w:sz w:val="20"/>
          <w:szCs w:val="20"/>
          <w:lang w:val="es-MX" w:eastAsia="en-US"/>
        </w:rPr>
        <w:t>párrs</w:t>
      </w:r>
      <w:proofErr w:type="spellEnd"/>
      <w:r w:rsidR="00D0629F">
        <w:rPr>
          <w:rFonts w:eastAsia="Calibri"/>
          <w:sz w:val="20"/>
          <w:szCs w:val="20"/>
          <w:lang w:val="es-MX" w:eastAsia="en-US"/>
        </w:rPr>
        <w:t>. 47 y 53)</w:t>
      </w:r>
      <w:r w:rsidR="002570D1" w:rsidRPr="00641553">
        <w:rPr>
          <w:rFonts w:eastAsia="Calibri"/>
          <w:sz w:val="20"/>
          <w:szCs w:val="20"/>
          <w:lang w:val="es-MX" w:eastAsia="en-US"/>
        </w:rPr>
        <w:t xml:space="preserve">, </w:t>
      </w:r>
      <w:r w:rsidR="00AB57AC">
        <w:rPr>
          <w:rFonts w:eastAsia="Calibri"/>
          <w:sz w:val="20"/>
          <w:szCs w:val="20"/>
          <w:lang w:val="es-MX" w:eastAsia="en-US"/>
        </w:rPr>
        <w:t xml:space="preserve">razón por la cual no se </w:t>
      </w:r>
      <w:r w:rsidR="00AB57AC" w:rsidRPr="00AB57AC">
        <w:rPr>
          <w:rFonts w:eastAsia="Calibri"/>
          <w:sz w:val="20"/>
          <w:szCs w:val="20"/>
          <w:lang w:val="es-ES_tradnl" w:eastAsia="en-US"/>
        </w:rPr>
        <w:t>prioriz</w:t>
      </w:r>
      <w:r w:rsidR="00AB57AC">
        <w:rPr>
          <w:rFonts w:eastAsia="Calibri"/>
          <w:sz w:val="20"/>
          <w:szCs w:val="20"/>
          <w:lang w:val="es-ES_tradnl" w:eastAsia="en-US"/>
        </w:rPr>
        <w:t>ó</w:t>
      </w:r>
      <w:r w:rsidR="00AB57AC" w:rsidRPr="00AB57AC">
        <w:rPr>
          <w:rFonts w:eastAsia="Calibri"/>
          <w:sz w:val="20"/>
          <w:szCs w:val="20"/>
          <w:lang w:val="es-ES_tradnl" w:eastAsia="en-US"/>
        </w:rPr>
        <w:t xml:space="preserve"> su tratamiento médico a pesar de su condición crítica y su avanzada edad (</w:t>
      </w:r>
      <w:r w:rsidR="00062586" w:rsidRPr="00062586">
        <w:rPr>
          <w:rFonts w:eastAsia="Calibri"/>
          <w:i/>
          <w:sz w:val="20"/>
          <w:szCs w:val="20"/>
          <w:lang w:val="es-ES_tradnl" w:eastAsia="en-US"/>
        </w:rPr>
        <w:t>supra</w:t>
      </w:r>
      <w:r w:rsidR="00AB57AC" w:rsidRPr="00AB57AC">
        <w:rPr>
          <w:rFonts w:eastAsia="Calibri"/>
          <w:sz w:val="20"/>
          <w:szCs w:val="20"/>
          <w:lang w:val="es-ES_tradnl" w:eastAsia="en-US"/>
        </w:rPr>
        <w:t xml:space="preserve"> párr. </w:t>
      </w:r>
      <w:r w:rsidR="002A78EE">
        <w:rPr>
          <w:rFonts w:eastAsia="Calibri"/>
          <w:sz w:val="20"/>
          <w:szCs w:val="20"/>
          <w:lang w:val="es-ES_tradnl" w:eastAsia="en-US"/>
        </w:rPr>
        <w:t>52</w:t>
      </w:r>
      <w:r w:rsidR="002A78EE" w:rsidRPr="00AB57AC">
        <w:rPr>
          <w:rFonts w:eastAsia="Calibri"/>
          <w:sz w:val="20"/>
          <w:szCs w:val="20"/>
          <w:lang w:val="es-ES_tradnl" w:eastAsia="en-US"/>
        </w:rPr>
        <w:t>)</w:t>
      </w:r>
      <w:r w:rsidR="002A78EE" w:rsidRPr="00641553">
        <w:rPr>
          <w:rStyle w:val="FootnoteReference"/>
          <w:rFonts w:eastAsia="Calibri"/>
          <w:sz w:val="20"/>
          <w:szCs w:val="20"/>
          <w:lang w:val="es-ES_tradnl" w:eastAsia="en-US"/>
        </w:rPr>
        <w:footnoteReference w:id="233"/>
      </w:r>
      <w:r w:rsidR="002A78EE" w:rsidRPr="0059117C">
        <w:rPr>
          <w:rFonts w:eastAsia="Calibri"/>
          <w:sz w:val="20"/>
          <w:szCs w:val="20"/>
          <w:lang w:val="es-ES_tradnl" w:eastAsia="en-US"/>
        </w:rPr>
        <w:t>.</w:t>
      </w:r>
      <w:r w:rsidR="002A78EE" w:rsidRPr="00641553">
        <w:rPr>
          <w:rFonts w:eastAsia="Calibri"/>
          <w:sz w:val="20"/>
          <w:szCs w:val="20"/>
          <w:lang w:val="es-MX" w:eastAsia="en-US"/>
        </w:rPr>
        <w:t xml:space="preserve"> </w:t>
      </w:r>
      <w:r w:rsidR="00641553" w:rsidRPr="0059117C">
        <w:rPr>
          <w:rFonts w:eastAsia="Calibri"/>
          <w:sz w:val="20"/>
          <w:szCs w:val="20"/>
          <w:lang w:val="es-MX" w:eastAsia="en-US"/>
        </w:rPr>
        <w:t xml:space="preserve">Además, resulta inaceptable la falsificación del consentimiento de los familiares y la falta de información clara y accesible sobre </w:t>
      </w:r>
      <w:r w:rsidR="005F3EE7">
        <w:rPr>
          <w:rFonts w:eastAsia="Calibri"/>
          <w:sz w:val="20"/>
          <w:szCs w:val="20"/>
          <w:lang w:val="es-MX" w:eastAsia="en-US"/>
        </w:rPr>
        <w:t>la</w:t>
      </w:r>
      <w:r w:rsidR="00641553" w:rsidRPr="0059117C">
        <w:rPr>
          <w:rFonts w:eastAsia="Calibri"/>
          <w:sz w:val="20"/>
          <w:szCs w:val="20"/>
          <w:lang w:val="es-MX" w:eastAsia="en-US"/>
        </w:rPr>
        <w:t xml:space="preserve"> condición del paciente (</w:t>
      </w:r>
      <w:r w:rsidR="00847C4A" w:rsidRPr="00847C4A">
        <w:rPr>
          <w:rFonts w:eastAsia="Calibri"/>
          <w:i/>
          <w:sz w:val="20"/>
          <w:szCs w:val="20"/>
          <w:lang w:val="es-MX" w:eastAsia="en-US"/>
        </w:rPr>
        <w:t>supra</w:t>
      </w:r>
      <w:r w:rsidR="00847C4A">
        <w:rPr>
          <w:rFonts w:eastAsia="Calibri"/>
          <w:sz w:val="20"/>
          <w:szCs w:val="20"/>
          <w:lang w:val="es-MX" w:eastAsia="en-US"/>
        </w:rPr>
        <w:t xml:space="preserve"> párr. 46 e </w:t>
      </w:r>
      <w:r w:rsidR="00641553" w:rsidRPr="0059117C">
        <w:rPr>
          <w:rFonts w:eastAsia="Calibri"/>
          <w:i/>
          <w:sz w:val="20"/>
          <w:szCs w:val="20"/>
          <w:lang w:val="es-MX" w:eastAsia="en-US"/>
        </w:rPr>
        <w:t>infra</w:t>
      </w:r>
      <w:r w:rsidR="00641553" w:rsidRPr="0059117C">
        <w:rPr>
          <w:rFonts w:eastAsia="Calibri"/>
          <w:sz w:val="20"/>
          <w:szCs w:val="20"/>
          <w:lang w:val="es-MX" w:eastAsia="en-US"/>
        </w:rPr>
        <w:t xml:space="preserve"> </w:t>
      </w:r>
      <w:r w:rsidR="00F914DD">
        <w:rPr>
          <w:rFonts w:eastAsia="Calibri"/>
          <w:sz w:val="20"/>
          <w:szCs w:val="20"/>
          <w:lang w:val="es-MX" w:eastAsia="en-US"/>
        </w:rPr>
        <w:t xml:space="preserve">párr. </w:t>
      </w:r>
      <w:r w:rsidR="00D40864">
        <w:rPr>
          <w:rFonts w:eastAsia="Calibri"/>
          <w:sz w:val="20"/>
          <w:szCs w:val="20"/>
          <w:lang w:val="es-MX" w:eastAsia="en-US"/>
        </w:rPr>
        <w:t>173</w:t>
      </w:r>
      <w:r w:rsidR="00D40864" w:rsidRPr="0059117C">
        <w:rPr>
          <w:rFonts w:eastAsia="Calibri"/>
          <w:sz w:val="20"/>
          <w:szCs w:val="20"/>
          <w:lang w:val="es-MX" w:eastAsia="en-US"/>
        </w:rPr>
        <w:t>).</w:t>
      </w:r>
    </w:p>
    <w:p w14:paraId="6EB2B400" w14:textId="77777777" w:rsidR="002570D1" w:rsidRPr="002570D1" w:rsidRDefault="002570D1" w:rsidP="00383565">
      <w:pPr>
        <w:tabs>
          <w:tab w:val="left" w:pos="567"/>
        </w:tabs>
        <w:ind w:left="-90" w:right="-360"/>
        <w:contextualSpacing/>
        <w:rPr>
          <w:rFonts w:eastAsia="Calibri"/>
          <w:sz w:val="20"/>
          <w:szCs w:val="20"/>
          <w:lang w:val="es-MX" w:eastAsia="en-US"/>
        </w:rPr>
      </w:pPr>
    </w:p>
    <w:p w14:paraId="58B056DD" w14:textId="2DEF590B" w:rsidR="001E145A" w:rsidRPr="00840E52" w:rsidRDefault="001E145A" w:rsidP="00383565">
      <w:pPr>
        <w:numPr>
          <w:ilvl w:val="0"/>
          <w:numId w:val="2"/>
        </w:numPr>
        <w:tabs>
          <w:tab w:val="left" w:pos="567"/>
          <w:tab w:val="num" w:pos="1569"/>
          <w:tab w:val="num" w:pos="12305"/>
        </w:tabs>
        <w:ind w:left="0" w:firstLine="0"/>
        <w:rPr>
          <w:rFonts w:eastAsia="Calibri"/>
          <w:sz w:val="20"/>
          <w:szCs w:val="20"/>
          <w:lang w:val="es-MX" w:eastAsia="en-US"/>
        </w:rPr>
      </w:pPr>
      <w:r w:rsidRPr="00840E52">
        <w:rPr>
          <w:rFonts w:eastAsia="Calibri"/>
          <w:sz w:val="20"/>
          <w:szCs w:val="20"/>
          <w:lang w:val="es-ES_tradnl" w:eastAsia="en-US"/>
        </w:rPr>
        <w:t xml:space="preserve">Frente a ello, </w:t>
      </w:r>
      <w:r w:rsidRPr="00840E52">
        <w:rPr>
          <w:rFonts w:eastAsia="Calibri"/>
          <w:sz w:val="20"/>
          <w:szCs w:val="20"/>
          <w:lang w:val="es-MX" w:eastAsia="en-US"/>
        </w:rPr>
        <w:t>esta Corte afirma que la edad de una persona no debe ser una causa que obstaculice su desarrollo humano y por tanto el acceso a la protección de su salud.</w:t>
      </w:r>
      <w:r w:rsidRPr="00840E52">
        <w:rPr>
          <w:rFonts w:eastAsia="Calibri"/>
          <w:sz w:val="20"/>
          <w:szCs w:val="20"/>
          <w:lang w:val="es-ES_tradnl" w:eastAsia="en-US"/>
        </w:rPr>
        <w:t xml:space="preserve"> Sobre el particular, la Corte reitera que </w:t>
      </w:r>
      <w:r w:rsidR="0001661C" w:rsidRPr="00B1523A">
        <w:rPr>
          <w:rFonts w:eastAsia="Calibri"/>
          <w:sz w:val="20"/>
          <w:szCs w:val="20"/>
          <w:lang w:val="es-ES_tradnl" w:eastAsia="en-US"/>
        </w:rPr>
        <w:t>las personas mayores</w:t>
      </w:r>
      <w:r w:rsidRPr="00840E52">
        <w:rPr>
          <w:rFonts w:eastAsia="Calibri"/>
          <w:sz w:val="20"/>
          <w:szCs w:val="20"/>
          <w:lang w:val="es-ES_tradnl" w:eastAsia="en-US"/>
        </w:rPr>
        <w:t xml:space="preserve"> son sujetos de protección, en vista de su situación de vulnerabilidad y recae</w:t>
      </w:r>
      <w:r w:rsidR="00C80870">
        <w:rPr>
          <w:rFonts w:eastAsia="Calibri"/>
          <w:sz w:val="20"/>
          <w:szCs w:val="20"/>
          <w:lang w:val="es-ES_tradnl" w:eastAsia="en-US"/>
        </w:rPr>
        <w:t>n</w:t>
      </w:r>
      <w:r w:rsidRPr="00840E52">
        <w:rPr>
          <w:rFonts w:eastAsia="Calibri"/>
          <w:sz w:val="20"/>
          <w:szCs w:val="20"/>
          <w:lang w:val="es-ES_tradnl" w:eastAsia="en-US"/>
        </w:rPr>
        <w:t xml:space="preserve"> en el Estado obligaciones reforzadas respecto de la protección y garantía de su derecho a la salud.</w:t>
      </w:r>
    </w:p>
    <w:p w14:paraId="000147A9" w14:textId="77777777" w:rsidR="001E145A" w:rsidRDefault="001E145A" w:rsidP="001E145A">
      <w:pPr>
        <w:tabs>
          <w:tab w:val="left" w:pos="567"/>
        </w:tabs>
        <w:rPr>
          <w:rFonts w:eastAsia="Calibri"/>
          <w:sz w:val="20"/>
          <w:szCs w:val="20"/>
          <w:lang w:val="es-MX" w:eastAsia="en-US"/>
        </w:rPr>
      </w:pPr>
    </w:p>
    <w:p w14:paraId="4C26DD09" w14:textId="77777777" w:rsidR="00630070" w:rsidRDefault="00630070" w:rsidP="00383565">
      <w:pPr>
        <w:numPr>
          <w:ilvl w:val="0"/>
          <w:numId w:val="2"/>
        </w:numPr>
        <w:tabs>
          <w:tab w:val="left" w:pos="567"/>
          <w:tab w:val="num" w:pos="1569"/>
          <w:tab w:val="num" w:pos="12305"/>
        </w:tabs>
        <w:ind w:left="0" w:firstLine="0"/>
        <w:rPr>
          <w:rFonts w:eastAsia="Calibri"/>
          <w:sz w:val="20"/>
          <w:szCs w:val="20"/>
          <w:lang w:val="es-MX" w:eastAsia="en-US"/>
        </w:rPr>
      </w:pPr>
      <w:r>
        <w:rPr>
          <w:rFonts w:eastAsia="Calibri"/>
          <w:sz w:val="20"/>
          <w:szCs w:val="20"/>
          <w:lang w:val="es-MX" w:eastAsia="en-US"/>
        </w:rPr>
        <w:t>E</w:t>
      </w:r>
      <w:r w:rsidR="002570D1" w:rsidRPr="002570D1">
        <w:rPr>
          <w:rFonts w:eastAsia="Calibri"/>
          <w:sz w:val="20"/>
          <w:szCs w:val="20"/>
          <w:lang w:val="es-MX" w:eastAsia="en-US"/>
        </w:rPr>
        <w:t xml:space="preserve">l perito Santos destacó en audiencia </w:t>
      </w:r>
      <w:r w:rsidR="00E23408">
        <w:rPr>
          <w:rFonts w:eastAsia="Calibri"/>
          <w:sz w:val="20"/>
          <w:szCs w:val="20"/>
          <w:lang w:val="es-MX" w:eastAsia="en-US"/>
        </w:rPr>
        <w:t xml:space="preserve">sobre </w:t>
      </w:r>
      <w:r w:rsidR="002570D1" w:rsidRPr="002570D1">
        <w:rPr>
          <w:rFonts w:eastAsia="Calibri"/>
          <w:sz w:val="20"/>
          <w:szCs w:val="20"/>
          <w:lang w:val="es-MX" w:eastAsia="en-US"/>
        </w:rPr>
        <w:t>la falta de capacidad de</w:t>
      </w:r>
      <w:r w:rsidR="00AF6D0B">
        <w:rPr>
          <w:rFonts w:eastAsia="Calibri"/>
          <w:sz w:val="20"/>
          <w:szCs w:val="20"/>
          <w:lang w:val="es-MX" w:eastAsia="en-US"/>
        </w:rPr>
        <w:t xml:space="preserve"> los</w:t>
      </w:r>
      <w:r w:rsidR="002570D1" w:rsidRPr="002570D1">
        <w:rPr>
          <w:rFonts w:eastAsia="Calibri"/>
          <w:sz w:val="20"/>
          <w:szCs w:val="20"/>
          <w:lang w:val="es-MX" w:eastAsia="en-US"/>
        </w:rPr>
        <w:t xml:space="preserve"> recurso</w:t>
      </w:r>
      <w:r w:rsidR="00AF6D0B">
        <w:rPr>
          <w:rFonts w:eastAsia="Calibri"/>
          <w:sz w:val="20"/>
          <w:szCs w:val="20"/>
          <w:lang w:val="es-MX" w:eastAsia="en-US"/>
        </w:rPr>
        <w:t>s</w:t>
      </w:r>
      <w:r w:rsidR="002570D1" w:rsidRPr="002570D1">
        <w:rPr>
          <w:rFonts w:eastAsia="Calibri"/>
          <w:sz w:val="20"/>
          <w:szCs w:val="20"/>
          <w:lang w:val="es-MX" w:eastAsia="en-US"/>
        </w:rPr>
        <w:t xml:space="preserve"> humano</w:t>
      </w:r>
      <w:r w:rsidR="00AF6D0B">
        <w:rPr>
          <w:rFonts w:eastAsia="Calibri"/>
          <w:sz w:val="20"/>
          <w:szCs w:val="20"/>
          <w:lang w:val="es-MX" w:eastAsia="en-US"/>
        </w:rPr>
        <w:t>s</w:t>
      </w:r>
      <w:r w:rsidR="002570D1" w:rsidRPr="002570D1">
        <w:rPr>
          <w:rFonts w:eastAsia="Calibri"/>
          <w:sz w:val="20"/>
          <w:szCs w:val="20"/>
          <w:lang w:val="es-MX" w:eastAsia="en-US"/>
        </w:rPr>
        <w:t xml:space="preserve"> en relación </w:t>
      </w:r>
      <w:r w:rsidR="00AF6D0B">
        <w:rPr>
          <w:rFonts w:eastAsia="Calibri"/>
          <w:sz w:val="20"/>
          <w:szCs w:val="20"/>
          <w:lang w:val="es-MX" w:eastAsia="en-US"/>
        </w:rPr>
        <w:t xml:space="preserve">con </w:t>
      </w:r>
      <w:r w:rsidR="002570D1" w:rsidRPr="002570D1">
        <w:rPr>
          <w:rFonts w:eastAsia="Calibri"/>
          <w:sz w:val="20"/>
          <w:szCs w:val="20"/>
          <w:lang w:val="es-MX" w:eastAsia="en-US"/>
        </w:rPr>
        <w:t>saber tratar a un adulto mayor por su carácter vulnerable y las deficiencias</w:t>
      </w:r>
      <w:r w:rsidR="002570D1" w:rsidRPr="002570D1">
        <w:rPr>
          <w:rFonts w:eastAsia="Calibri"/>
          <w:sz w:val="20"/>
          <w:szCs w:val="20"/>
          <w:vertAlign w:val="superscript"/>
          <w:lang w:val="es-ES_tradnl" w:eastAsia="en-US"/>
        </w:rPr>
        <w:footnoteReference w:id="234"/>
      </w:r>
      <w:r w:rsidR="002570D1" w:rsidRPr="002570D1">
        <w:rPr>
          <w:rFonts w:eastAsia="Calibri"/>
          <w:sz w:val="20"/>
          <w:szCs w:val="20"/>
          <w:lang w:val="es-MX" w:eastAsia="en-US"/>
        </w:rPr>
        <w:t xml:space="preserve"> de infraestructura </w:t>
      </w:r>
      <w:r w:rsidR="00AF6D0B">
        <w:rPr>
          <w:rFonts w:eastAsia="Calibri"/>
          <w:sz w:val="20"/>
          <w:szCs w:val="20"/>
          <w:lang w:val="es-MX" w:eastAsia="en-US"/>
        </w:rPr>
        <w:t>presentadas en este hospital</w:t>
      </w:r>
      <w:r w:rsidR="002570D1" w:rsidRPr="002570D1">
        <w:rPr>
          <w:rFonts w:eastAsia="Calibri"/>
          <w:sz w:val="20"/>
          <w:szCs w:val="20"/>
          <w:lang w:val="es-MX" w:eastAsia="en-US"/>
        </w:rPr>
        <w:t xml:space="preserve">. </w:t>
      </w:r>
      <w:r>
        <w:rPr>
          <w:rFonts w:eastAsia="Calibri"/>
          <w:sz w:val="20"/>
          <w:szCs w:val="20"/>
          <w:lang w:val="es-MX" w:eastAsia="en-US"/>
        </w:rPr>
        <w:t xml:space="preserve">En particular señaló que: </w:t>
      </w:r>
    </w:p>
    <w:p w14:paraId="09FA766B" w14:textId="77777777" w:rsidR="00630070" w:rsidRDefault="00630070" w:rsidP="00383565">
      <w:pPr>
        <w:tabs>
          <w:tab w:val="left" w:pos="567"/>
        </w:tabs>
        <w:rPr>
          <w:rFonts w:eastAsia="Calibri"/>
          <w:sz w:val="20"/>
          <w:szCs w:val="20"/>
          <w:lang w:val="es-MX" w:eastAsia="en-US"/>
        </w:rPr>
      </w:pPr>
    </w:p>
    <w:p w14:paraId="689DA788" w14:textId="205D8548" w:rsidR="00630070" w:rsidRPr="00383565" w:rsidRDefault="00630070" w:rsidP="00383565">
      <w:pPr>
        <w:pStyle w:val="FootnoteText"/>
        <w:ind w:left="708" w:right="532"/>
        <w:rPr>
          <w:sz w:val="18"/>
          <w:szCs w:val="18"/>
        </w:rPr>
      </w:pPr>
      <w:r w:rsidRPr="00383565">
        <w:rPr>
          <w:rFonts w:eastAsia="Calibri"/>
          <w:sz w:val="18"/>
          <w:szCs w:val="18"/>
          <w:lang w:eastAsia="en-US"/>
        </w:rPr>
        <w:t>“</w:t>
      </w:r>
      <w:r w:rsidR="00C80870">
        <w:rPr>
          <w:rFonts w:eastAsia="Calibri"/>
          <w:sz w:val="18"/>
          <w:szCs w:val="18"/>
          <w:lang w:eastAsia="en-US"/>
        </w:rPr>
        <w:t>[</w:t>
      </w:r>
      <w:r w:rsidRPr="00383565">
        <w:rPr>
          <w:rFonts w:eastAsia="Calibri"/>
          <w:sz w:val="18"/>
          <w:szCs w:val="18"/>
          <w:lang w:eastAsia="en-US"/>
        </w:rPr>
        <w:t>las medidas que</w:t>
      </w:r>
      <w:r w:rsidRPr="00630070">
        <w:rPr>
          <w:rFonts w:eastAsia="Calibri"/>
          <w:sz w:val="18"/>
          <w:szCs w:val="18"/>
          <w:lang w:eastAsia="en-US"/>
        </w:rPr>
        <w:t xml:space="preserve"> debieron tomarse eran básicas</w:t>
      </w:r>
      <w:r w:rsidR="00C80870">
        <w:rPr>
          <w:rFonts w:eastAsia="Calibri"/>
          <w:sz w:val="18"/>
          <w:szCs w:val="18"/>
          <w:lang w:eastAsia="en-US"/>
        </w:rPr>
        <w:t>]</w:t>
      </w:r>
      <w:r w:rsidRPr="00630070">
        <w:rPr>
          <w:rFonts w:eastAsia="Calibri"/>
          <w:sz w:val="18"/>
          <w:szCs w:val="18"/>
          <w:lang w:eastAsia="en-US"/>
        </w:rPr>
        <w:t xml:space="preserve"> </w:t>
      </w:r>
      <w:r w:rsidRPr="00383565">
        <w:rPr>
          <w:rFonts w:eastAsia="Calibri"/>
          <w:sz w:val="18"/>
          <w:szCs w:val="18"/>
          <w:lang w:eastAsia="en-US"/>
        </w:rPr>
        <w:t>para un hospital de mediana complejidad, ni siquiera tenía que ser un hospital de alta complejidad</w:t>
      </w:r>
      <w:r w:rsidR="00C80870">
        <w:rPr>
          <w:rFonts w:eastAsia="Calibri"/>
          <w:sz w:val="18"/>
          <w:szCs w:val="18"/>
          <w:lang w:eastAsia="en-US"/>
        </w:rPr>
        <w:t xml:space="preserve"> […] </w:t>
      </w:r>
      <w:r w:rsidRPr="00383565">
        <w:rPr>
          <w:rFonts w:eastAsia="Calibri"/>
          <w:sz w:val="18"/>
          <w:szCs w:val="18"/>
          <w:lang w:eastAsia="en-US"/>
        </w:rPr>
        <w:t>Es algo básico</w:t>
      </w:r>
      <w:r w:rsidR="00C80870">
        <w:rPr>
          <w:rFonts w:eastAsia="Calibri"/>
          <w:sz w:val="18"/>
          <w:szCs w:val="18"/>
          <w:lang w:eastAsia="en-US"/>
        </w:rPr>
        <w:t>.</w:t>
      </w:r>
      <w:r w:rsidRPr="00383565">
        <w:rPr>
          <w:rFonts w:eastAsia="Calibri"/>
          <w:sz w:val="18"/>
          <w:szCs w:val="18"/>
          <w:lang w:eastAsia="en-US"/>
        </w:rPr>
        <w:t xml:space="preserve"> </w:t>
      </w:r>
      <w:r w:rsidR="00C80870">
        <w:rPr>
          <w:rFonts w:eastAsia="Calibri"/>
          <w:sz w:val="18"/>
          <w:szCs w:val="18"/>
          <w:lang w:eastAsia="en-US"/>
        </w:rPr>
        <w:t>A</w:t>
      </w:r>
      <w:r w:rsidRPr="00383565">
        <w:rPr>
          <w:rFonts w:eastAsia="Calibri"/>
          <w:sz w:val="18"/>
          <w:szCs w:val="18"/>
          <w:lang w:eastAsia="en-US"/>
        </w:rPr>
        <w:t xml:space="preserve">hora, en el dos mil uno, incluso en los </w:t>
      </w:r>
      <w:r w:rsidR="00C80870">
        <w:rPr>
          <w:rFonts w:eastAsia="Calibri"/>
          <w:sz w:val="18"/>
          <w:szCs w:val="18"/>
          <w:lang w:eastAsia="en-US"/>
        </w:rPr>
        <w:t xml:space="preserve">noventa y en los </w:t>
      </w:r>
      <w:r w:rsidRPr="00630070">
        <w:rPr>
          <w:rFonts w:eastAsia="Calibri"/>
          <w:sz w:val="18"/>
          <w:szCs w:val="18"/>
          <w:lang w:eastAsia="en-US"/>
        </w:rPr>
        <w:t>ochent</w:t>
      </w:r>
      <w:r>
        <w:rPr>
          <w:rFonts w:eastAsia="Calibri"/>
          <w:sz w:val="18"/>
          <w:szCs w:val="18"/>
          <w:lang w:eastAsia="en-US"/>
        </w:rPr>
        <w:t>a</w:t>
      </w:r>
      <w:r w:rsidRPr="00383565">
        <w:rPr>
          <w:rFonts w:eastAsia="Calibri"/>
          <w:sz w:val="18"/>
          <w:szCs w:val="18"/>
          <w:lang w:eastAsia="en-US"/>
        </w:rPr>
        <w:t xml:space="preserve"> también; </w:t>
      </w:r>
      <w:r w:rsidR="00AF6D0B">
        <w:rPr>
          <w:rFonts w:eastAsia="Calibri"/>
          <w:sz w:val="18"/>
          <w:szCs w:val="18"/>
          <w:lang w:eastAsia="en-US"/>
        </w:rPr>
        <w:t>[</w:t>
      </w:r>
      <w:r w:rsidRPr="00383565">
        <w:rPr>
          <w:rFonts w:eastAsia="Calibri"/>
          <w:sz w:val="18"/>
          <w:szCs w:val="18"/>
          <w:lang w:eastAsia="en-US"/>
        </w:rPr>
        <w:t>así mismo</w:t>
      </w:r>
      <w:r w:rsidR="00AF6D0B">
        <w:rPr>
          <w:rFonts w:eastAsia="Calibri"/>
          <w:sz w:val="18"/>
          <w:szCs w:val="18"/>
          <w:lang w:eastAsia="en-US"/>
        </w:rPr>
        <w:t>]</w:t>
      </w:r>
      <w:r w:rsidRPr="00383565">
        <w:rPr>
          <w:rFonts w:eastAsia="Calibri"/>
          <w:sz w:val="18"/>
          <w:szCs w:val="18"/>
          <w:lang w:eastAsia="en-US"/>
        </w:rPr>
        <w:t xml:space="preserve"> si el paciente hubiese tenido una posibilidad de responder, esto era con la asistencia respiratoria mecánica y con un control hemodinámico en una unidad cerrada</w:t>
      </w:r>
      <w:r w:rsidR="00C80870">
        <w:rPr>
          <w:rFonts w:eastAsia="Calibri"/>
          <w:sz w:val="18"/>
          <w:szCs w:val="18"/>
          <w:lang w:eastAsia="en-US"/>
        </w:rPr>
        <w:t xml:space="preserve"> […]”</w:t>
      </w:r>
      <w:r w:rsidRPr="00383565">
        <w:rPr>
          <w:rFonts w:eastAsia="Calibri"/>
          <w:sz w:val="18"/>
          <w:szCs w:val="18"/>
          <w:lang w:eastAsia="en-US"/>
        </w:rPr>
        <w:t>.</w:t>
      </w:r>
    </w:p>
    <w:p w14:paraId="0331033F" w14:textId="77777777" w:rsidR="002570D1" w:rsidRPr="002570D1" w:rsidRDefault="002570D1" w:rsidP="002570D1">
      <w:pPr>
        <w:ind w:right="-360"/>
        <w:rPr>
          <w:rFonts w:eastAsia="Calibri"/>
          <w:sz w:val="20"/>
          <w:szCs w:val="20"/>
          <w:highlight w:val="green"/>
          <w:lang w:val="es-ES_tradnl" w:eastAsia="en-US"/>
        </w:rPr>
      </w:pPr>
    </w:p>
    <w:p w14:paraId="0A563E83" w14:textId="43146CDE" w:rsidR="002570D1" w:rsidRPr="002570D1" w:rsidRDefault="002570D1" w:rsidP="002570D1">
      <w:pPr>
        <w:numPr>
          <w:ilvl w:val="0"/>
          <w:numId w:val="2"/>
        </w:numPr>
        <w:tabs>
          <w:tab w:val="left" w:pos="567"/>
          <w:tab w:val="num" w:pos="1569"/>
          <w:tab w:val="num" w:pos="12305"/>
        </w:tabs>
        <w:ind w:left="0" w:firstLine="0"/>
        <w:rPr>
          <w:rFonts w:eastAsia="Calibri"/>
          <w:sz w:val="20"/>
          <w:szCs w:val="20"/>
          <w:lang w:val="es-ES_tradnl" w:eastAsia="en-US"/>
        </w:rPr>
      </w:pPr>
      <w:r w:rsidRPr="002570D1">
        <w:rPr>
          <w:rFonts w:eastAsia="Calibri"/>
          <w:sz w:val="20"/>
          <w:szCs w:val="20"/>
          <w:lang w:val="es-ES_tradnl" w:eastAsia="en-US"/>
        </w:rPr>
        <w:t>El señor Poblete Vilches era un adulto mayor con patologías agregadas</w:t>
      </w:r>
      <w:r w:rsidR="009A27E4">
        <w:rPr>
          <w:rStyle w:val="FootnoteReference"/>
          <w:rFonts w:eastAsia="Calibri"/>
          <w:sz w:val="20"/>
          <w:szCs w:val="20"/>
          <w:lang w:val="es-ES_tradnl" w:eastAsia="en-US"/>
        </w:rPr>
        <w:footnoteReference w:id="235"/>
      </w:r>
      <w:r w:rsidRPr="002570D1">
        <w:rPr>
          <w:rFonts w:eastAsia="Calibri"/>
          <w:sz w:val="20"/>
          <w:szCs w:val="20"/>
          <w:lang w:val="es-ES_tradnl" w:eastAsia="en-US"/>
        </w:rPr>
        <w:t xml:space="preserve"> que hacían que su situación lo convirtiera en un paciente aún más vulnerable. Sin perjuicio de lo anterior, quedó evidenciado que no recibió el tratamiento adecuado conforme a su situación particular. Del marco fáctico se desprende que</w:t>
      </w:r>
      <w:r w:rsidR="006F12CB">
        <w:rPr>
          <w:rFonts w:eastAsia="Calibri"/>
          <w:sz w:val="20"/>
          <w:szCs w:val="20"/>
          <w:lang w:val="es-ES_tradnl" w:eastAsia="en-US"/>
        </w:rPr>
        <w:t>, en el segundo ingreso,</w:t>
      </w:r>
      <w:r w:rsidRPr="002570D1">
        <w:rPr>
          <w:rFonts w:eastAsia="Calibri"/>
          <w:sz w:val="20"/>
          <w:szCs w:val="20"/>
          <w:lang w:val="es-ES_tradnl" w:eastAsia="en-US"/>
        </w:rPr>
        <w:t xml:space="preserve"> existió urgencia de las prestaciones de salud requeridas en el caso, </w:t>
      </w:r>
      <w:r w:rsidR="000E14C2" w:rsidRPr="005F3EE7">
        <w:rPr>
          <w:rFonts w:eastAsia="Calibri"/>
          <w:sz w:val="20"/>
          <w:szCs w:val="20"/>
          <w:lang w:val="es-ES_tradnl" w:eastAsia="en-US"/>
        </w:rPr>
        <w:t xml:space="preserve">cuya </w:t>
      </w:r>
      <w:r w:rsidRPr="005F3EE7">
        <w:rPr>
          <w:rFonts w:eastAsia="Calibri"/>
          <w:sz w:val="20"/>
          <w:szCs w:val="20"/>
          <w:lang w:val="es-ES_tradnl" w:eastAsia="en-US"/>
        </w:rPr>
        <w:t xml:space="preserve">dispensa de forma inmediata </w:t>
      </w:r>
      <w:r w:rsidR="006E2E6F" w:rsidRPr="005F3EE7">
        <w:rPr>
          <w:rFonts w:eastAsia="Calibri"/>
          <w:sz w:val="20"/>
          <w:szCs w:val="20"/>
          <w:lang w:val="es-ES_tradnl" w:eastAsia="en-US"/>
        </w:rPr>
        <w:t>resultaban de carácter vital</w:t>
      </w:r>
      <w:r w:rsidRPr="005F3EE7">
        <w:rPr>
          <w:rFonts w:eastAsia="Calibri"/>
          <w:sz w:val="20"/>
          <w:szCs w:val="20"/>
          <w:lang w:val="es-ES_tradnl" w:eastAsia="en-US"/>
        </w:rPr>
        <w:t xml:space="preserve">. </w:t>
      </w:r>
      <w:r w:rsidR="006F12CB" w:rsidRPr="005F3EE7">
        <w:rPr>
          <w:rFonts w:eastAsia="Calibri"/>
          <w:sz w:val="20"/>
          <w:szCs w:val="20"/>
          <w:lang w:val="es-ES_tradnl" w:eastAsia="en-US"/>
        </w:rPr>
        <w:t>En suma</w:t>
      </w:r>
      <w:r w:rsidR="00CF2541" w:rsidRPr="005F3EE7">
        <w:rPr>
          <w:rFonts w:eastAsia="Calibri"/>
          <w:sz w:val="20"/>
          <w:szCs w:val="20"/>
          <w:lang w:val="es-ES_tradnl" w:eastAsia="en-US"/>
        </w:rPr>
        <w:t xml:space="preserve">, </w:t>
      </w:r>
      <w:r w:rsidR="006E2E6F" w:rsidRPr="005F3EE7">
        <w:rPr>
          <w:rFonts w:eastAsia="Calibri"/>
          <w:sz w:val="20"/>
          <w:szCs w:val="20"/>
          <w:lang w:val="es-ES_tradnl" w:eastAsia="en-US"/>
        </w:rPr>
        <w:t>el paciente r</w:t>
      </w:r>
      <w:r w:rsidRPr="005F3EE7">
        <w:rPr>
          <w:rFonts w:eastAsia="Calibri"/>
          <w:sz w:val="20"/>
          <w:szCs w:val="20"/>
          <w:lang w:val="es-ES_tradnl" w:eastAsia="en-US"/>
        </w:rPr>
        <w:t>equ</w:t>
      </w:r>
      <w:r w:rsidR="006E2E6F" w:rsidRPr="005F3EE7">
        <w:rPr>
          <w:rFonts w:eastAsia="Calibri"/>
          <w:sz w:val="20"/>
          <w:szCs w:val="20"/>
          <w:lang w:val="es-ES_tradnl" w:eastAsia="en-US"/>
        </w:rPr>
        <w:t>e</w:t>
      </w:r>
      <w:r w:rsidRPr="005F3EE7">
        <w:rPr>
          <w:rFonts w:eastAsia="Calibri"/>
          <w:sz w:val="20"/>
          <w:szCs w:val="20"/>
          <w:lang w:val="es-ES_tradnl" w:eastAsia="en-US"/>
        </w:rPr>
        <w:t>r</w:t>
      </w:r>
      <w:r w:rsidR="006E2E6F" w:rsidRPr="005F3EE7">
        <w:rPr>
          <w:rFonts w:eastAsia="Calibri"/>
          <w:sz w:val="20"/>
          <w:szCs w:val="20"/>
          <w:lang w:val="es-ES_tradnl" w:eastAsia="en-US"/>
        </w:rPr>
        <w:t>ía</w:t>
      </w:r>
      <w:r w:rsidRPr="005F3EE7">
        <w:rPr>
          <w:rFonts w:eastAsia="Calibri"/>
          <w:sz w:val="20"/>
          <w:szCs w:val="20"/>
          <w:lang w:val="es-ES_tradnl" w:eastAsia="en-US"/>
        </w:rPr>
        <w:t xml:space="preserve"> de una atención médica urgente y de calidad, que el sistema de salud </w:t>
      </w:r>
      <w:r w:rsidR="00CF2541" w:rsidRPr="005F3EE7">
        <w:rPr>
          <w:rFonts w:eastAsia="Calibri"/>
          <w:sz w:val="20"/>
          <w:szCs w:val="20"/>
          <w:lang w:val="es-ES_tradnl" w:eastAsia="en-US"/>
        </w:rPr>
        <w:t xml:space="preserve">pública </w:t>
      </w:r>
      <w:r w:rsidRPr="005F3EE7">
        <w:rPr>
          <w:rFonts w:eastAsia="Calibri"/>
          <w:sz w:val="20"/>
          <w:szCs w:val="20"/>
          <w:lang w:val="es-ES_tradnl" w:eastAsia="en-US"/>
        </w:rPr>
        <w:t>no proveyó</w:t>
      </w:r>
      <w:r w:rsidR="006F12CB" w:rsidRPr="005F3EE7">
        <w:rPr>
          <w:rFonts w:eastAsia="Calibri"/>
          <w:sz w:val="20"/>
          <w:szCs w:val="20"/>
          <w:lang w:val="es-ES_tradnl" w:eastAsia="en-US"/>
        </w:rPr>
        <w:t xml:space="preserve">, por lo que dicha situación derivó en una discriminación por su condición </w:t>
      </w:r>
      <w:r w:rsidR="0001661C" w:rsidRPr="00B1523A">
        <w:rPr>
          <w:rFonts w:eastAsia="Calibri"/>
          <w:sz w:val="20"/>
          <w:szCs w:val="20"/>
          <w:lang w:val="es-ES_tradnl" w:eastAsia="en-US"/>
        </w:rPr>
        <w:t xml:space="preserve">de </w:t>
      </w:r>
      <w:r w:rsidR="00617BCD" w:rsidRPr="00B1523A">
        <w:rPr>
          <w:rFonts w:eastAsia="Calibri"/>
          <w:sz w:val="20"/>
          <w:szCs w:val="20"/>
          <w:lang w:val="es-ES_tradnl" w:eastAsia="en-US"/>
        </w:rPr>
        <w:t>persona mayor</w:t>
      </w:r>
      <w:r w:rsidR="006F12CB">
        <w:rPr>
          <w:rFonts w:eastAsia="Calibri"/>
          <w:sz w:val="20"/>
          <w:szCs w:val="20"/>
          <w:lang w:val="es-ES_tradnl" w:eastAsia="en-US"/>
        </w:rPr>
        <w:t>.</w:t>
      </w:r>
    </w:p>
    <w:p w14:paraId="29A8EB08" w14:textId="77777777" w:rsidR="00E63E9D" w:rsidRPr="0059117C" w:rsidRDefault="00E63E9D" w:rsidP="005430FF">
      <w:pPr>
        <w:tabs>
          <w:tab w:val="left" w:pos="567"/>
        </w:tabs>
        <w:rPr>
          <w:rFonts w:eastAsia="Calibri"/>
          <w:sz w:val="20"/>
          <w:szCs w:val="20"/>
          <w:lang w:val="es-ES_tradnl" w:eastAsia="en-US"/>
        </w:rPr>
      </w:pPr>
    </w:p>
    <w:p w14:paraId="3FDB5141" w14:textId="12BFFA9F" w:rsidR="00201341" w:rsidRPr="00F41641" w:rsidRDefault="002570D1" w:rsidP="007E5CD5">
      <w:pPr>
        <w:numPr>
          <w:ilvl w:val="0"/>
          <w:numId w:val="2"/>
        </w:numPr>
        <w:tabs>
          <w:tab w:val="left" w:pos="567"/>
          <w:tab w:val="num" w:pos="1569"/>
          <w:tab w:val="num" w:pos="12305"/>
        </w:tabs>
        <w:ind w:left="0" w:firstLine="0"/>
        <w:rPr>
          <w:rFonts w:eastAsia="Calibri"/>
          <w:sz w:val="20"/>
          <w:szCs w:val="20"/>
          <w:lang w:val="es-ES_tradnl" w:eastAsia="en-US"/>
        </w:rPr>
      </w:pPr>
      <w:r w:rsidRPr="002570D1">
        <w:rPr>
          <w:rFonts w:eastAsia="Calibri"/>
          <w:sz w:val="20"/>
          <w:szCs w:val="20"/>
          <w:lang w:val="es-ES_tradnl" w:eastAsia="en-US"/>
        </w:rPr>
        <w:t>En vista de lo anterior</w:t>
      </w:r>
      <w:r w:rsidR="006F12CB">
        <w:rPr>
          <w:rFonts w:eastAsia="Calibri"/>
          <w:sz w:val="20"/>
          <w:szCs w:val="20"/>
          <w:lang w:val="es-ES_tradnl" w:eastAsia="en-US"/>
        </w:rPr>
        <w:t>,</w:t>
      </w:r>
      <w:r w:rsidRPr="002570D1">
        <w:rPr>
          <w:rFonts w:eastAsia="Calibri"/>
          <w:sz w:val="20"/>
          <w:szCs w:val="20"/>
          <w:lang w:val="es-ES_tradnl" w:eastAsia="en-US"/>
        </w:rPr>
        <w:t xml:space="preserve"> la Corte concluye que el Estado chileno no garantizó al señor Poblete Vilches su derecho a la salud</w:t>
      </w:r>
      <w:r w:rsidR="006F12CB">
        <w:rPr>
          <w:rFonts w:eastAsia="Calibri"/>
          <w:sz w:val="20"/>
          <w:szCs w:val="20"/>
          <w:lang w:val="es-ES_tradnl" w:eastAsia="en-US"/>
        </w:rPr>
        <w:t xml:space="preserve"> sin discriminación</w:t>
      </w:r>
      <w:r w:rsidRPr="002570D1">
        <w:rPr>
          <w:rFonts w:eastAsia="Calibri"/>
          <w:sz w:val="20"/>
          <w:szCs w:val="20"/>
          <w:lang w:val="es-ES_tradnl" w:eastAsia="en-US"/>
        </w:rPr>
        <w:t xml:space="preserve">, mediante servicios </w:t>
      </w:r>
      <w:r w:rsidR="00ED6CD4" w:rsidRPr="00B1523A">
        <w:rPr>
          <w:rFonts w:eastAsia="Calibri"/>
          <w:sz w:val="20"/>
          <w:szCs w:val="20"/>
          <w:lang w:val="es-ES_tradnl" w:eastAsia="en-US"/>
        </w:rPr>
        <w:t>necesarios y</w:t>
      </w:r>
      <w:r w:rsidR="00ED6CD4">
        <w:rPr>
          <w:rFonts w:eastAsia="Calibri"/>
          <w:sz w:val="20"/>
          <w:szCs w:val="20"/>
          <w:lang w:val="es-ES_tradnl" w:eastAsia="en-US"/>
        </w:rPr>
        <w:t xml:space="preserve"> </w:t>
      </w:r>
      <w:r w:rsidRPr="002570D1">
        <w:rPr>
          <w:rFonts w:eastAsia="Calibri"/>
          <w:sz w:val="20"/>
          <w:szCs w:val="20"/>
          <w:lang w:val="es-ES_tradnl" w:eastAsia="en-US"/>
        </w:rPr>
        <w:t xml:space="preserve">urgentes en relación a su situación especial de vulnerabilidad como </w:t>
      </w:r>
      <w:r w:rsidR="005C1E49">
        <w:rPr>
          <w:rFonts w:eastAsia="Calibri"/>
          <w:sz w:val="20"/>
          <w:szCs w:val="20"/>
          <w:lang w:val="es-ES_tradnl" w:eastAsia="en-US"/>
        </w:rPr>
        <w:t xml:space="preserve">persona </w:t>
      </w:r>
      <w:r w:rsidRPr="002570D1">
        <w:rPr>
          <w:rFonts w:eastAsia="Calibri"/>
          <w:sz w:val="20"/>
          <w:szCs w:val="20"/>
          <w:lang w:val="es-ES_tradnl" w:eastAsia="en-US"/>
        </w:rPr>
        <w:t>mayor. Por tanto, el Estado violó el derecho a la salud, de conformidad con el artículo 26 de la Convención Americana, en relación con el artículo 1.1 de la misma, en perjuicio del señor Poblete Vilches.</w:t>
      </w:r>
    </w:p>
    <w:p w14:paraId="4BAB1191" w14:textId="63B0C013" w:rsidR="007A74DF" w:rsidRPr="00AB1E03" w:rsidRDefault="00164C05" w:rsidP="00840E52">
      <w:pPr>
        <w:pStyle w:val="Heading4"/>
        <w:ind w:left="2124"/>
        <w:rPr>
          <w:rFonts w:eastAsia="Calibri"/>
          <w:lang w:val="es-ES_tradnl" w:eastAsia="en-US"/>
        </w:rPr>
      </w:pPr>
      <w:bookmarkStart w:id="82" w:name="_Toc513644471"/>
      <w:r>
        <w:rPr>
          <w:rFonts w:eastAsia="Calibri"/>
          <w:b/>
          <w:lang w:val="es-ES_tradnl" w:eastAsia="en-US"/>
        </w:rPr>
        <w:t xml:space="preserve">1.2 </w:t>
      </w:r>
      <w:r w:rsidR="002570D1" w:rsidRPr="00164C05">
        <w:rPr>
          <w:rFonts w:eastAsia="Calibri"/>
          <w:b/>
          <w:lang w:val="es-ES_tradnl" w:eastAsia="en-US"/>
        </w:rPr>
        <w:t xml:space="preserve"> Derecho</w:t>
      </w:r>
      <w:r w:rsidR="007A74DF">
        <w:rPr>
          <w:rFonts w:eastAsia="Calibri"/>
          <w:b/>
          <w:lang w:val="es-ES_tradnl" w:eastAsia="en-US"/>
        </w:rPr>
        <w:t>s</w:t>
      </w:r>
      <w:r w:rsidR="002570D1" w:rsidRPr="00164C05">
        <w:rPr>
          <w:rFonts w:eastAsia="Calibri"/>
          <w:b/>
          <w:lang w:val="es-ES_tradnl" w:eastAsia="en-US"/>
        </w:rPr>
        <w:t xml:space="preserve"> a la vida</w:t>
      </w:r>
      <w:r w:rsidR="007A74DF">
        <w:rPr>
          <w:rFonts w:eastAsia="Calibri"/>
          <w:b/>
          <w:lang w:val="es-ES_tradnl" w:eastAsia="en-US"/>
        </w:rPr>
        <w:t xml:space="preserve"> </w:t>
      </w:r>
      <w:r w:rsidR="00617BCD" w:rsidRPr="00AB1E03">
        <w:rPr>
          <w:rFonts w:eastAsia="Calibri"/>
          <w:b/>
          <w:lang w:val="es-ES_tradnl" w:eastAsia="en-US"/>
        </w:rPr>
        <w:t xml:space="preserve">e </w:t>
      </w:r>
      <w:r w:rsidR="00617BCD">
        <w:rPr>
          <w:rFonts w:eastAsia="Calibri"/>
          <w:b/>
          <w:lang w:val="es-ES_tradnl" w:eastAsia="en-US"/>
        </w:rPr>
        <w:t>i</w:t>
      </w:r>
      <w:r w:rsidR="004F53BF" w:rsidRPr="00617BCD">
        <w:rPr>
          <w:rFonts w:eastAsia="Calibri"/>
          <w:b/>
          <w:lang w:val="es-ES_tradnl" w:eastAsia="en-US"/>
        </w:rPr>
        <w:t>ntegridad</w:t>
      </w:r>
      <w:r w:rsidR="00617BCD" w:rsidRPr="00AB1E03">
        <w:rPr>
          <w:rFonts w:eastAsia="Calibri"/>
          <w:b/>
          <w:lang w:val="es-ES_tradnl" w:eastAsia="en-US"/>
        </w:rPr>
        <w:t xml:space="preserve"> personal</w:t>
      </w:r>
      <w:bookmarkEnd w:id="82"/>
    </w:p>
    <w:p w14:paraId="7CCDD525" w14:textId="77777777" w:rsidR="00840E52" w:rsidRDefault="00840E52" w:rsidP="002570D1">
      <w:pPr>
        <w:rPr>
          <w:rFonts w:eastAsia="Calibri"/>
          <w:lang w:val="es-ES_tradnl" w:eastAsia="en-US"/>
        </w:rPr>
      </w:pPr>
    </w:p>
    <w:p w14:paraId="7889380F" w14:textId="50417512" w:rsidR="00967ED8" w:rsidRPr="00AB1E03" w:rsidRDefault="00967ED8" w:rsidP="00AB1E03">
      <w:pPr>
        <w:ind w:left="708" w:firstLine="708"/>
        <w:rPr>
          <w:rFonts w:eastAsia="Calibri"/>
          <w:b/>
          <w:i/>
          <w:sz w:val="20"/>
          <w:szCs w:val="20"/>
          <w:lang w:val="es-ES_tradnl" w:eastAsia="en-US"/>
        </w:rPr>
      </w:pPr>
      <w:r w:rsidRPr="00AB1E03">
        <w:rPr>
          <w:rFonts w:eastAsia="Calibri"/>
          <w:b/>
          <w:i/>
          <w:sz w:val="20"/>
          <w:szCs w:val="20"/>
          <w:lang w:val="es-ES_tradnl" w:eastAsia="en-US"/>
        </w:rPr>
        <w:t>1.2.1 Respecto del derecho a la vida</w:t>
      </w:r>
    </w:p>
    <w:p w14:paraId="1442E58B" w14:textId="77777777" w:rsidR="00967ED8" w:rsidRPr="00AB1E03" w:rsidRDefault="00967ED8" w:rsidP="002570D1">
      <w:pPr>
        <w:rPr>
          <w:rFonts w:eastAsia="Calibri"/>
          <w:lang w:val="es-ES_tradnl" w:eastAsia="en-US"/>
        </w:rPr>
      </w:pPr>
    </w:p>
    <w:p w14:paraId="7F76D4BD" w14:textId="3ECED6CD" w:rsidR="002570D1" w:rsidRPr="002570D1" w:rsidRDefault="00641553" w:rsidP="002570D1">
      <w:pPr>
        <w:numPr>
          <w:ilvl w:val="0"/>
          <w:numId w:val="2"/>
        </w:numPr>
        <w:tabs>
          <w:tab w:val="left" w:pos="567"/>
          <w:tab w:val="num" w:pos="1569"/>
          <w:tab w:val="num" w:pos="12305"/>
        </w:tabs>
        <w:ind w:left="0" w:firstLine="0"/>
        <w:rPr>
          <w:rFonts w:eastAsia="Calibri"/>
          <w:sz w:val="20"/>
          <w:szCs w:val="20"/>
          <w:lang w:val="es-ES_tradnl" w:eastAsia="en-US"/>
        </w:rPr>
      </w:pPr>
      <w:r>
        <w:rPr>
          <w:rFonts w:eastAsia="Calibri"/>
          <w:sz w:val="20"/>
          <w:szCs w:val="20"/>
          <w:lang w:val="es-ES_tradnl" w:eastAsia="en-US"/>
        </w:rPr>
        <w:t>E</w:t>
      </w:r>
      <w:r w:rsidR="002570D1" w:rsidRPr="002570D1">
        <w:rPr>
          <w:rFonts w:eastAsia="Calibri"/>
          <w:sz w:val="20"/>
          <w:szCs w:val="20"/>
          <w:lang w:val="es-ES_tradnl" w:eastAsia="en-US"/>
        </w:rPr>
        <w:t xml:space="preserve">l Estado no </w:t>
      </w:r>
      <w:r w:rsidR="00B93913">
        <w:rPr>
          <w:rFonts w:eastAsia="Calibri"/>
          <w:sz w:val="20"/>
          <w:szCs w:val="20"/>
          <w:lang w:val="es-ES_tradnl" w:eastAsia="en-US"/>
        </w:rPr>
        <w:t>reconoció</w:t>
      </w:r>
      <w:r w:rsidR="00B93913" w:rsidRPr="002570D1">
        <w:rPr>
          <w:rFonts w:eastAsia="Calibri"/>
          <w:sz w:val="20"/>
          <w:szCs w:val="20"/>
          <w:lang w:val="es-ES_tradnl" w:eastAsia="en-US"/>
        </w:rPr>
        <w:t xml:space="preserve"> </w:t>
      </w:r>
      <w:r w:rsidR="00874307">
        <w:rPr>
          <w:rFonts w:eastAsia="Calibri"/>
          <w:sz w:val="20"/>
          <w:szCs w:val="20"/>
          <w:lang w:val="es-ES_tradnl" w:eastAsia="en-US"/>
        </w:rPr>
        <w:t>su</w:t>
      </w:r>
      <w:r w:rsidR="002570D1" w:rsidRPr="002570D1">
        <w:rPr>
          <w:rFonts w:eastAsia="Calibri"/>
          <w:sz w:val="20"/>
          <w:szCs w:val="20"/>
          <w:lang w:val="es-ES_tradnl" w:eastAsia="en-US"/>
        </w:rPr>
        <w:t xml:space="preserve"> responsabilidad por la violación del artículo 4 de la Convención Americana, al considerar que los hechos sucedidos carecen de nexo causal con el deceso del señor Poblete Vilches</w:t>
      </w:r>
      <w:r w:rsidR="00874307">
        <w:rPr>
          <w:rFonts w:eastAsia="Calibri"/>
          <w:sz w:val="20"/>
          <w:szCs w:val="20"/>
          <w:lang w:val="es-ES_tradnl" w:eastAsia="en-US"/>
        </w:rPr>
        <w:t xml:space="preserve"> (</w:t>
      </w:r>
      <w:r w:rsidR="00874307" w:rsidRPr="00B1523A">
        <w:rPr>
          <w:rFonts w:eastAsia="Calibri"/>
          <w:i/>
          <w:sz w:val="20"/>
          <w:szCs w:val="20"/>
          <w:lang w:val="es-ES_tradnl" w:eastAsia="en-US"/>
        </w:rPr>
        <w:t>supra</w:t>
      </w:r>
      <w:r w:rsidR="00874307">
        <w:rPr>
          <w:rFonts w:eastAsia="Calibri"/>
          <w:sz w:val="20"/>
          <w:szCs w:val="20"/>
          <w:lang w:val="es-ES_tradnl" w:eastAsia="en-US"/>
        </w:rPr>
        <w:t xml:space="preserve"> párr. 20)</w:t>
      </w:r>
      <w:r w:rsidR="002570D1" w:rsidRPr="002570D1">
        <w:rPr>
          <w:rFonts w:eastAsia="Calibri"/>
          <w:sz w:val="20"/>
          <w:szCs w:val="20"/>
          <w:lang w:val="es-ES_tradnl" w:eastAsia="en-US"/>
        </w:rPr>
        <w:t xml:space="preserve">. Al respecto, corresponde a la Corte determinar si existen elementos que acrediten que las acciones u omisiones del Estado hayan derivado en </w:t>
      </w:r>
      <w:r w:rsidR="00874307">
        <w:rPr>
          <w:rFonts w:eastAsia="Calibri"/>
          <w:sz w:val="20"/>
          <w:szCs w:val="20"/>
          <w:lang w:val="es-ES_tradnl" w:eastAsia="en-US"/>
        </w:rPr>
        <w:t xml:space="preserve">la </w:t>
      </w:r>
      <w:r w:rsidR="002570D1" w:rsidRPr="002570D1">
        <w:rPr>
          <w:rFonts w:eastAsia="Calibri"/>
          <w:sz w:val="20"/>
          <w:szCs w:val="20"/>
          <w:lang w:val="es-ES_tradnl" w:eastAsia="en-US"/>
        </w:rPr>
        <w:t xml:space="preserve">muerte del paciente. </w:t>
      </w:r>
    </w:p>
    <w:p w14:paraId="0CCC50DF" w14:textId="77777777" w:rsidR="002570D1" w:rsidRPr="002570D1" w:rsidRDefault="002570D1" w:rsidP="002570D1">
      <w:pPr>
        <w:rPr>
          <w:rFonts w:eastAsia="Calibri"/>
          <w:lang w:val="es-MX" w:eastAsia="en-US"/>
        </w:rPr>
      </w:pPr>
    </w:p>
    <w:p w14:paraId="15473862" w14:textId="77777777" w:rsidR="002570D1" w:rsidRPr="002570D1" w:rsidRDefault="002570D1" w:rsidP="002570D1">
      <w:pPr>
        <w:numPr>
          <w:ilvl w:val="0"/>
          <w:numId w:val="2"/>
        </w:numPr>
        <w:tabs>
          <w:tab w:val="left" w:pos="567"/>
          <w:tab w:val="num" w:pos="1569"/>
          <w:tab w:val="num" w:pos="12305"/>
        </w:tabs>
        <w:ind w:left="0" w:firstLine="0"/>
        <w:rPr>
          <w:rFonts w:eastAsia="Calibri"/>
          <w:sz w:val="20"/>
          <w:szCs w:val="20"/>
          <w:lang w:val="es-MX" w:eastAsia="en-US"/>
        </w:rPr>
      </w:pPr>
      <w:r w:rsidRPr="002570D1">
        <w:rPr>
          <w:rFonts w:eastAsia="Calibri"/>
          <w:sz w:val="20"/>
          <w:szCs w:val="20"/>
          <w:lang w:val="es-MX" w:eastAsia="en-US"/>
        </w:rPr>
        <w:t xml:space="preserve">La Corte ha señalado que el derecho a la vida es un derecho humano fundamental, cuyo goce pleno es un prerrequisito para el disfrute de todos los demás derechos humanos. En virtud de este papel fundamental que se le asigna en la Convención, los Estados tienen la obligación </w:t>
      </w:r>
      <w:r w:rsidRPr="002570D1">
        <w:rPr>
          <w:rFonts w:eastAsia="Calibri"/>
          <w:sz w:val="20"/>
          <w:szCs w:val="20"/>
          <w:lang w:val="es-MX" w:eastAsia="en-US"/>
        </w:rPr>
        <w:lastRenderedPageBreak/>
        <w:t>de garantizar la creación de las condiciones que se requieran para que no se produzcan violaciones de ese derecho</w:t>
      </w:r>
      <w:r w:rsidRPr="002570D1">
        <w:rPr>
          <w:rFonts w:eastAsia="Calibri"/>
          <w:sz w:val="20"/>
          <w:szCs w:val="20"/>
          <w:vertAlign w:val="superscript"/>
          <w:lang w:val="es-MX" w:eastAsia="en-US"/>
        </w:rPr>
        <w:footnoteReference w:id="236"/>
      </w:r>
      <w:r w:rsidRPr="002570D1">
        <w:rPr>
          <w:rFonts w:eastAsia="Calibri"/>
          <w:sz w:val="20"/>
          <w:szCs w:val="20"/>
          <w:lang w:val="es-MX" w:eastAsia="en-US"/>
        </w:rPr>
        <w:t xml:space="preserve">. </w:t>
      </w:r>
    </w:p>
    <w:p w14:paraId="684AB202" w14:textId="77777777" w:rsidR="002570D1" w:rsidRPr="002570D1" w:rsidRDefault="002570D1" w:rsidP="002570D1">
      <w:pPr>
        <w:ind w:left="-90" w:right="-360"/>
        <w:rPr>
          <w:rFonts w:eastAsia="Calibri"/>
          <w:sz w:val="20"/>
          <w:szCs w:val="20"/>
          <w:lang w:val="es-MX" w:eastAsia="en-US"/>
        </w:rPr>
      </w:pPr>
    </w:p>
    <w:p w14:paraId="149BEF97" w14:textId="70A9FADD" w:rsidR="002570D1" w:rsidRPr="002570D1" w:rsidRDefault="00DA1A27" w:rsidP="002570D1">
      <w:pPr>
        <w:numPr>
          <w:ilvl w:val="0"/>
          <w:numId w:val="2"/>
        </w:numPr>
        <w:tabs>
          <w:tab w:val="left" w:pos="567"/>
          <w:tab w:val="num" w:pos="1569"/>
          <w:tab w:val="num" w:pos="12305"/>
        </w:tabs>
        <w:ind w:left="0" w:firstLine="0"/>
        <w:rPr>
          <w:rFonts w:eastAsia="Calibri"/>
          <w:sz w:val="20"/>
          <w:szCs w:val="20"/>
          <w:lang w:val="es-MX" w:eastAsia="en-US"/>
        </w:rPr>
      </w:pPr>
      <w:r>
        <w:rPr>
          <w:rFonts w:eastAsia="Calibri"/>
          <w:sz w:val="20"/>
          <w:szCs w:val="20"/>
          <w:lang w:val="es-MX" w:eastAsia="en-US"/>
        </w:rPr>
        <w:t>E</w:t>
      </w:r>
      <w:r w:rsidR="00447A8B">
        <w:rPr>
          <w:rFonts w:eastAsia="Calibri"/>
          <w:sz w:val="20"/>
          <w:szCs w:val="20"/>
          <w:lang w:val="es-MX" w:eastAsia="en-US"/>
        </w:rPr>
        <w:t>sta</w:t>
      </w:r>
      <w:r w:rsidR="002570D1" w:rsidRPr="002570D1">
        <w:rPr>
          <w:rFonts w:eastAsia="Calibri"/>
          <w:sz w:val="20"/>
          <w:szCs w:val="20"/>
          <w:lang w:val="es-MX" w:eastAsia="en-US"/>
        </w:rPr>
        <w:t xml:space="preserve"> Corte ha</w:t>
      </w:r>
      <w:r>
        <w:rPr>
          <w:rFonts w:eastAsia="Calibri"/>
          <w:sz w:val="20"/>
          <w:szCs w:val="20"/>
          <w:lang w:val="es-MX" w:eastAsia="en-US"/>
        </w:rPr>
        <w:t xml:space="preserve"> sostenido</w:t>
      </w:r>
      <w:r w:rsidRPr="002570D1">
        <w:rPr>
          <w:rFonts w:eastAsia="Calibri"/>
          <w:sz w:val="20"/>
          <w:szCs w:val="20"/>
          <w:lang w:val="es-MX" w:eastAsia="en-US"/>
        </w:rPr>
        <w:t xml:space="preserve"> </w:t>
      </w:r>
      <w:r>
        <w:rPr>
          <w:rFonts w:eastAsia="Calibri"/>
          <w:sz w:val="20"/>
          <w:szCs w:val="20"/>
          <w:lang w:val="es-MX" w:eastAsia="en-US"/>
        </w:rPr>
        <w:t>q</w:t>
      </w:r>
      <w:r w:rsidR="002570D1" w:rsidRPr="002570D1">
        <w:rPr>
          <w:rFonts w:eastAsia="Calibri"/>
          <w:sz w:val="20"/>
          <w:szCs w:val="20"/>
          <w:lang w:val="es-MX" w:eastAsia="en-US"/>
        </w:rPr>
        <w:t>ue el Estado debe implementar medidas positivas para proteger la vida de las personas bajo su jurisdicción y velar por la calidad de los servicios de atención a la salud y asegurar que los profesionales reúnan las condiciones necesarias para su ejercicio</w:t>
      </w:r>
      <w:r w:rsidR="00447A8B">
        <w:rPr>
          <w:rFonts w:eastAsia="Calibri"/>
          <w:sz w:val="20"/>
          <w:szCs w:val="20"/>
          <w:lang w:val="es-MX" w:eastAsia="en-US"/>
        </w:rPr>
        <w:t xml:space="preserve"> </w:t>
      </w:r>
      <w:r w:rsidR="002570D1" w:rsidRPr="002570D1">
        <w:rPr>
          <w:rFonts w:eastAsia="Calibri"/>
          <w:sz w:val="20"/>
          <w:szCs w:val="20"/>
          <w:lang w:val="es-MX" w:eastAsia="en-US"/>
        </w:rPr>
        <w:t>a fin de proteger la vida de sus pacientes</w:t>
      </w:r>
      <w:r w:rsidRPr="002570D1">
        <w:rPr>
          <w:rFonts w:eastAsia="Calibri"/>
          <w:sz w:val="20"/>
          <w:szCs w:val="20"/>
          <w:vertAlign w:val="superscript"/>
          <w:lang w:val="es-MX" w:eastAsia="en-US"/>
        </w:rPr>
        <w:footnoteReference w:id="237"/>
      </w:r>
      <w:r w:rsidR="002570D1" w:rsidRPr="002570D1">
        <w:rPr>
          <w:rFonts w:eastAsia="Calibri"/>
          <w:sz w:val="20"/>
          <w:szCs w:val="20"/>
          <w:lang w:val="es-MX" w:eastAsia="en-US"/>
        </w:rPr>
        <w:t>.</w:t>
      </w:r>
      <w:r w:rsidRPr="00DA1A27">
        <w:rPr>
          <w:rFonts w:eastAsia="Calibri"/>
          <w:sz w:val="20"/>
          <w:szCs w:val="20"/>
          <w:lang w:val="es-MX" w:eastAsia="en-US"/>
        </w:rPr>
        <w:t xml:space="preserve"> </w:t>
      </w:r>
      <w:r>
        <w:rPr>
          <w:rFonts w:eastAsia="Calibri"/>
          <w:sz w:val="20"/>
          <w:szCs w:val="20"/>
          <w:lang w:val="es-MX" w:eastAsia="en-US"/>
        </w:rPr>
        <w:t>En este sentido se han pronunciado también e</w:t>
      </w:r>
      <w:r w:rsidRPr="002570D1">
        <w:rPr>
          <w:rFonts w:eastAsia="Calibri"/>
          <w:sz w:val="20"/>
          <w:szCs w:val="20"/>
          <w:lang w:val="es-MX" w:eastAsia="en-US"/>
        </w:rPr>
        <w:t xml:space="preserve">l Comité </w:t>
      </w:r>
      <w:r w:rsidR="00874307">
        <w:rPr>
          <w:rFonts w:eastAsia="Calibri"/>
          <w:sz w:val="20"/>
          <w:szCs w:val="20"/>
          <w:lang w:val="es-MX" w:eastAsia="en-US"/>
        </w:rPr>
        <w:t>DESC</w:t>
      </w:r>
      <w:r w:rsidRPr="002570D1">
        <w:rPr>
          <w:rFonts w:eastAsia="Calibri"/>
          <w:sz w:val="20"/>
          <w:szCs w:val="20"/>
          <w:vertAlign w:val="superscript"/>
          <w:lang w:val="es-MX" w:eastAsia="en-US"/>
        </w:rPr>
        <w:footnoteReference w:id="238"/>
      </w:r>
      <w:r w:rsidR="003326E6">
        <w:rPr>
          <w:rFonts w:eastAsia="Calibri"/>
          <w:sz w:val="20"/>
          <w:szCs w:val="20"/>
          <w:lang w:val="es-MX" w:eastAsia="en-US"/>
        </w:rPr>
        <w:t xml:space="preserve"> y</w:t>
      </w:r>
      <w:r w:rsidRPr="002570D1">
        <w:rPr>
          <w:rFonts w:eastAsia="Calibri"/>
          <w:sz w:val="20"/>
          <w:szCs w:val="20"/>
          <w:lang w:val="es-MX" w:eastAsia="en-US"/>
        </w:rPr>
        <w:t xml:space="preserve"> el Tribunal Europeo de Derechos Humanos</w:t>
      </w:r>
      <w:r w:rsidRPr="002570D1">
        <w:rPr>
          <w:rFonts w:eastAsia="Calibri"/>
          <w:sz w:val="20"/>
          <w:szCs w:val="20"/>
          <w:vertAlign w:val="superscript"/>
          <w:lang w:val="es-MX" w:eastAsia="en-US"/>
        </w:rPr>
        <w:footnoteReference w:id="239"/>
      </w:r>
      <w:r>
        <w:rPr>
          <w:rFonts w:eastAsia="Calibri"/>
          <w:sz w:val="20"/>
          <w:szCs w:val="20"/>
          <w:lang w:val="es-MX" w:eastAsia="en-US"/>
        </w:rPr>
        <w:t xml:space="preserve">. </w:t>
      </w:r>
    </w:p>
    <w:p w14:paraId="3D4326CF" w14:textId="77777777" w:rsidR="002570D1" w:rsidRPr="002570D1" w:rsidRDefault="002570D1" w:rsidP="002570D1">
      <w:pPr>
        <w:ind w:right="-360"/>
        <w:rPr>
          <w:rFonts w:eastAsia="Calibri"/>
          <w:sz w:val="20"/>
          <w:szCs w:val="20"/>
          <w:lang w:val="es-MX" w:eastAsia="en-US"/>
        </w:rPr>
      </w:pPr>
    </w:p>
    <w:p w14:paraId="54349A75" w14:textId="77777777" w:rsidR="00636C77" w:rsidRPr="0059117C" w:rsidRDefault="002570D1" w:rsidP="00636C77">
      <w:pPr>
        <w:numPr>
          <w:ilvl w:val="0"/>
          <w:numId w:val="2"/>
        </w:numPr>
        <w:tabs>
          <w:tab w:val="left" w:pos="567"/>
          <w:tab w:val="num" w:pos="1569"/>
          <w:tab w:val="num" w:pos="12305"/>
        </w:tabs>
        <w:ind w:left="0" w:firstLine="0"/>
        <w:rPr>
          <w:rFonts w:eastAsia="Calibri"/>
          <w:sz w:val="20"/>
          <w:szCs w:val="20"/>
          <w:lang w:val="es-MX" w:eastAsia="en-US"/>
        </w:rPr>
      </w:pPr>
      <w:r w:rsidRPr="002570D1">
        <w:rPr>
          <w:rFonts w:eastAsia="Calibri"/>
          <w:sz w:val="20"/>
          <w:szCs w:val="20"/>
          <w:lang w:val="es-MX" w:eastAsia="en-US"/>
        </w:rPr>
        <w:t xml:space="preserve">Sobre el particular, en materia de salud, la Corte </w:t>
      </w:r>
      <w:r w:rsidR="00636C77">
        <w:rPr>
          <w:rFonts w:eastAsia="Calibri"/>
          <w:sz w:val="20"/>
          <w:szCs w:val="20"/>
          <w:lang w:val="es-MX" w:eastAsia="en-US"/>
        </w:rPr>
        <w:t xml:space="preserve">estima que </w:t>
      </w:r>
      <w:r w:rsidRPr="002570D1">
        <w:rPr>
          <w:rFonts w:eastAsia="Calibri"/>
          <w:sz w:val="20"/>
          <w:szCs w:val="20"/>
          <w:lang w:val="es-MX" w:eastAsia="en-US"/>
        </w:rPr>
        <w:t>no toda muerte acaecida por negligencias médicas debe ser atribuida al Estado internacionalmente</w:t>
      </w:r>
      <w:r w:rsidR="00636C77" w:rsidRPr="002570D1">
        <w:rPr>
          <w:rFonts w:eastAsia="Calibri"/>
          <w:sz w:val="20"/>
          <w:szCs w:val="20"/>
          <w:vertAlign w:val="superscript"/>
          <w:lang w:val="es-MX" w:eastAsia="en-US"/>
        </w:rPr>
        <w:footnoteReference w:id="240"/>
      </w:r>
      <w:r w:rsidRPr="002570D1">
        <w:rPr>
          <w:rFonts w:eastAsia="Calibri"/>
          <w:sz w:val="20"/>
          <w:szCs w:val="20"/>
          <w:lang w:val="es-MX" w:eastAsia="en-US"/>
        </w:rPr>
        <w:t>. Para ello,</w:t>
      </w:r>
      <w:r w:rsidRPr="002570D1">
        <w:rPr>
          <w:rFonts w:eastAsia="Calibri"/>
          <w:sz w:val="20"/>
          <w:szCs w:val="20"/>
          <w:lang w:val="es-AR" w:eastAsia="en-US"/>
        </w:rPr>
        <w:t xml:space="preserve"> </w:t>
      </w:r>
      <w:r w:rsidRPr="002570D1">
        <w:rPr>
          <w:rFonts w:eastAsia="Calibri"/>
          <w:sz w:val="20"/>
          <w:szCs w:val="20"/>
          <w:lang w:val="es-ES_tradnl" w:eastAsia="en-US"/>
        </w:rPr>
        <w:t xml:space="preserve">corresponderá atender las circunstancias particulares del caso. </w:t>
      </w:r>
    </w:p>
    <w:p w14:paraId="01164A62" w14:textId="77777777" w:rsidR="001C02D8" w:rsidRPr="0059117C" w:rsidRDefault="001C02D8" w:rsidP="0059117C">
      <w:pPr>
        <w:tabs>
          <w:tab w:val="left" w:pos="567"/>
        </w:tabs>
        <w:rPr>
          <w:rFonts w:eastAsia="Calibri"/>
          <w:sz w:val="20"/>
          <w:szCs w:val="20"/>
          <w:lang w:val="es-MX" w:eastAsia="en-US"/>
        </w:rPr>
      </w:pPr>
    </w:p>
    <w:p w14:paraId="4F3036D7" w14:textId="123C76C6" w:rsidR="002570D1" w:rsidRPr="002570D1" w:rsidRDefault="0001661C" w:rsidP="00636C77">
      <w:pPr>
        <w:numPr>
          <w:ilvl w:val="0"/>
          <w:numId w:val="2"/>
        </w:numPr>
        <w:tabs>
          <w:tab w:val="left" w:pos="567"/>
          <w:tab w:val="num" w:pos="1569"/>
          <w:tab w:val="num" w:pos="12305"/>
        </w:tabs>
        <w:ind w:left="0" w:firstLine="0"/>
        <w:rPr>
          <w:rFonts w:eastAsia="Calibri"/>
          <w:sz w:val="20"/>
          <w:szCs w:val="20"/>
          <w:lang w:val="es-MX" w:eastAsia="en-US"/>
        </w:rPr>
      </w:pPr>
      <w:r w:rsidRPr="00B1523A">
        <w:rPr>
          <w:rFonts w:eastAsia="Calibri"/>
          <w:sz w:val="20"/>
          <w:szCs w:val="20"/>
          <w:lang w:val="es-ES_tradnl" w:eastAsia="en-US"/>
        </w:rPr>
        <w:t>P</w:t>
      </w:r>
      <w:r w:rsidR="00636C77">
        <w:rPr>
          <w:rFonts w:eastAsia="Calibri"/>
          <w:sz w:val="20"/>
          <w:szCs w:val="20"/>
          <w:lang w:val="es-ES_tradnl" w:eastAsia="en-US"/>
        </w:rPr>
        <w:t>ara efectos de determinar la responsabilidad internacional del Estado en casos de muerte</w:t>
      </w:r>
      <w:r w:rsidR="00874307">
        <w:rPr>
          <w:rFonts w:eastAsia="Calibri"/>
          <w:sz w:val="20"/>
          <w:szCs w:val="20"/>
          <w:lang w:val="es-ES_tradnl" w:eastAsia="en-US"/>
        </w:rPr>
        <w:t xml:space="preserve"> en el contexto médico</w:t>
      </w:r>
      <w:r w:rsidR="00636C77">
        <w:rPr>
          <w:rFonts w:eastAsia="Calibri"/>
          <w:sz w:val="20"/>
          <w:szCs w:val="20"/>
          <w:lang w:val="es-ES_tradnl" w:eastAsia="en-US"/>
        </w:rPr>
        <w:t xml:space="preserve">, es preciso acreditar los siguientes elementos: </w:t>
      </w:r>
      <w:r w:rsidR="00636C77" w:rsidRPr="002570D1">
        <w:rPr>
          <w:rFonts w:eastAsia="Calibri"/>
          <w:sz w:val="20"/>
          <w:szCs w:val="18"/>
          <w:lang w:val="es-HN" w:eastAsia="en-US"/>
        </w:rPr>
        <w:t xml:space="preserve">a) cuando por actos u omisiones se niegue a un paciente el acceso a la salud en situaciones de </w:t>
      </w:r>
      <w:r w:rsidR="002A64C9">
        <w:rPr>
          <w:rFonts w:eastAsia="Calibri"/>
          <w:sz w:val="20"/>
          <w:szCs w:val="18"/>
          <w:lang w:val="es-HN" w:eastAsia="en-US"/>
        </w:rPr>
        <w:t>urgencia</w:t>
      </w:r>
      <w:r w:rsidR="002A64C9" w:rsidRPr="002570D1">
        <w:rPr>
          <w:rFonts w:eastAsia="Calibri"/>
          <w:sz w:val="20"/>
          <w:szCs w:val="18"/>
          <w:lang w:val="es-HN" w:eastAsia="en-US"/>
        </w:rPr>
        <w:t xml:space="preserve"> </w:t>
      </w:r>
      <w:r w:rsidR="00636C77" w:rsidRPr="002570D1">
        <w:rPr>
          <w:rFonts w:eastAsia="Calibri"/>
          <w:sz w:val="20"/>
          <w:szCs w:val="18"/>
          <w:lang w:val="es-HN" w:eastAsia="en-US"/>
        </w:rPr>
        <w:t>médica o tratamiento</w:t>
      </w:r>
      <w:r w:rsidR="000650AB">
        <w:rPr>
          <w:rFonts w:eastAsia="Calibri"/>
          <w:sz w:val="20"/>
          <w:szCs w:val="18"/>
          <w:lang w:val="es-HN" w:eastAsia="en-US"/>
        </w:rPr>
        <w:t>s</w:t>
      </w:r>
      <w:r w:rsidR="00636C77" w:rsidRPr="002570D1">
        <w:rPr>
          <w:rFonts w:eastAsia="Calibri"/>
          <w:sz w:val="20"/>
          <w:szCs w:val="18"/>
          <w:lang w:val="es-HN" w:eastAsia="en-US"/>
        </w:rPr>
        <w:t xml:space="preserve"> médicos esenciales, a pesar de </w:t>
      </w:r>
      <w:r w:rsidR="000650AB">
        <w:rPr>
          <w:rFonts w:eastAsia="Calibri"/>
          <w:sz w:val="20"/>
          <w:szCs w:val="18"/>
          <w:lang w:val="es-HN" w:eastAsia="en-US"/>
        </w:rPr>
        <w:t>ser previsible</w:t>
      </w:r>
      <w:r w:rsidR="00F914DD">
        <w:rPr>
          <w:rFonts w:eastAsia="Calibri"/>
          <w:sz w:val="20"/>
          <w:szCs w:val="18"/>
          <w:lang w:val="es-HN" w:eastAsia="en-US"/>
        </w:rPr>
        <w:t xml:space="preserve"> </w:t>
      </w:r>
      <w:r w:rsidR="00636C77" w:rsidRPr="002570D1">
        <w:rPr>
          <w:rFonts w:eastAsia="Calibri"/>
          <w:sz w:val="20"/>
          <w:szCs w:val="18"/>
          <w:lang w:val="es-HN" w:eastAsia="en-US"/>
        </w:rPr>
        <w:t>el riesgo que implica dicha denegación para la vida del paciente</w:t>
      </w:r>
      <w:r w:rsidR="001C02D8">
        <w:rPr>
          <w:rFonts w:eastAsia="Calibri"/>
          <w:sz w:val="20"/>
          <w:szCs w:val="18"/>
          <w:lang w:val="es-HN" w:eastAsia="en-US"/>
        </w:rPr>
        <w:t>; o bien, b) se acredite una negligencia médica grave</w:t>
      </w:r>
      <w:r w:rsidR="00963653">
        <w:rPr>
          <w:rStyle w:val="FootnoteReference"/>
          <w:rFonts w:eastAsia="Calibri"/>
          <w:sz w:val="20"/>
          <w:szCs w:val="18"/>
          <w:lang w:val="es-HN" w:eastAsia="en-US"/>
        </w:rPr>
        <w:footnoteReference w:id="241"/>
      </w:r>
      <w:r w:rsidR="001C02D8">
        <w:rPr>
          <w:rFonts w:eastAsia="Calibri"/>
          <w:sz w:val="20"/>
          <w:szCs w:val="18"/>
          <w:lang w:val="es-HN" w:eastAsia="en-US"/>
        </w:rPr>
        <w:t>;</w:t>
      </w:r>
      <w:r w:rsidR="00636C77">
        <w:rPr>
          <w:rFonts w:eastAsia="Calibri"/>
          <w:sz w:val="20"/>
          <w:szCs w:val="18"/>
          <w:lang w:val="es-HN" w:eastAsia="en-US"/>
        </w:rPr>
        <w:t xml:space="preserve"> y </w:t>
      </w:r>
      <w:r w:rsidR="001C02D8" w:rsidRPr="005F3EE7">
        <w:rPr>
          <w:rFonts w:eastAsia="Calibri"/>
          <w:sz w:val="20"/>
          <w:szCs w:val="18"/>
          <w:lang w:val="es-HN" w:eastAsia="en-US"/>
        </w:rPr>
        <w:t>c</w:t>
      </w:r>
      <w:r w:rsidR="00636C77" w:rsidRPr="005F3EE7">
        <w:rPr>
          <w:rFonts w:eastAsia="Calibri"/>
          <w:sz w:val="20"/>
          <w:szCs w:val="18"/>
          <w:lang w:val="es-HN" w:eastAsia="en-US"/>
        </w:rPr>
        <w:t>) la existe</w:t>
      </w:r>
      <w:r w:rsidR="00F20477" w:rsidRPr="005F3EE7">
        <w:rPr>
          <w:rFonts w:eastAsia="Calibri"/>
          <w:sz w:val="20"/>
          <w:szCs w:val="18"/>
          <w:lang w:val="es-HN" w:eastAsia="en-US"/>
        </w:rPr>
        <w:t>ncia de un nexo causal, entre el acto</w:t>
      </w:r>
      <w:r w:rsidR="003326E6">
        <w:rPr>
          <w:rFonts w:eastAsia="Calibri"/>
          <w:sz w:val="20"/>
          <w:szCs w:val="18"/>
          <w:lang w:val="es-HN" w:eastAsia="en-US"/>
        </w:rPr>
        <w:t xml:space="preserve"> </w:t>
      </w:r>
      <w:r w:rsidR="00636C77" w:rsidRPr="005F3EE7">
        <w:rPr>
          <w:rFonts w:eastAsia="Calibri"/>
          <w:sz w:val="20"/>
          <w:szCs w:val="18"/>
          <w:lang w:val="es-HN" w:eastAsia="en-US"/>
        </w:rPr>
        <w:t>acreditad</w:t>
      </w:r>
      <w:r w:rsidR="00EF1141" w:rsidRPr="00AB1E03">
        <w:rPr>
          <w:rFonts w:eastAsia="Calibri"/>
          <w:sz w:val="20"/>
          <w:szCs w:val="18"/>
          <w:lang w:val="es-HN" w:eastAsia="en-US"/>
        </w:rPr>
        <w:t>o</w:t>
      </w:r>
      <w:r w:rsidR="00636C77" w:rsidRPr="005F3EE7">
        <w:rPr>
          <w:rFonts w:eastAsia="Calibri"/>
          <w:sz w:val="20"/>
          <w:szCs w:val="18"/>
          <w:lang w:val="es-HN" w:eastAsia="en-US"/>
        </w:rPr>
        <w:t xml:space="preserve"> y el daño sufrido por el paciente</w:t>
      </w:r>
      <w:r w:rsidR="00636C77" w:rsidRPr="005F3EE7">
        <w:rPr>
          <w:rStyle w:val="FootnoteReference"/>
          <w:rFonts w:eastAsia="Calibri"/>
          <w:sz w:val="20"/>
          <w:szCs w:val="20"/>
          <w:lang w:val="es-MX" w:eastAsia="en-US"/>
        </w:rPr>
        <w:footnoteReference w:id="242"/>
      </w:r>
      <w:r w:rsidR="00EF1141" w:rsidRPr="00AB1E03">
        <w:rPr>
          <w:rFonts w:eastAsia="Calibri"/>
          <w:sz w:val="20"/>
          <w:szCs w:val="18"/>
          <w:lang w:val="es-HN" w:eastAsia="en-US"/>
        </w:rPr>
        <w:t xml:space="preserve">. </w:t>
      </w:r>
      <w:r w:rsidR="00EF1141" w:rsidRPr="00B1523A">
        <w:rPr>
          <w:rFonts w:eastAsia="Calibri"/>
          <w:sz w:val="20"/>
          <w:szCs w:val="18"/>
          <w:lang w:val="es-HN" w:eastAsia="en-US"/>
        </w:rPr>
        <w:t xml:space="preserve">Cuando la atribución de responsabilidad proviene de una </w:t>
      </w:r>
      <w:r w:rsidR="00356C7F" w:rsidRPr="00B1523A">
        <w:rPr>
          <w:bCs/>
          <w:sz w:val="20"/>
          <w:szCs w:val="20"/>
          <w:lang w:val="es-ES_tradnl"/>
        </w:rPr>
        <w:t>omisión</w:t>
      </w:r>
      <w:r w:rsidR="00847C4A">
        <w:rPr>
          <w:bCs/>
          <w:sz w:val="20"/>
          <w:szCs w:val="20"/>
          <w:lang w:val="es-ES_tradnl"/>
        </w:rPr>
        <w:t>,</w:t>
      </w:r>
      <w:r w:rsidR="00356C7F" w:rsidRPr="00B1523A">
        <w:rPr>
          <w:bCs/>
          <w:sz w:val="20"/>
          <w:szCs w:val="20"/>
          <w:lang w:val="es-ES_tradnl"/>
        </w:rPr>
        <w:t xml:space="preserve"> se requiere </w:t>
      </w:r>
      <w:r w:rsidR="00EF1141" w:rsidRPr="00B1523A">
        <w:rPr>
          <w:bCs/>
          <w:sz w:val="20"/>
          <w:szCs w:val="20"/>
          <w:lang w:val="es-ES_tradnl"/>
        </w:rPr>
        <w:t xml:space="preserve">verificar </w:t>
      </w:r>
      <w:r w:rsidR="00356C7F" w:rsidRPr="00B1523A">
        <w:rPr>
          <w:bCs/>
          <w:sz w:val="20"/>
          <w:szCs w:val="20"/>
          <w:lang w:val="es-ES_tradnl"/>
        </w:rPr>
        <w:t xml:space="preserve">la probabilidad de que la </w:t>
      </w:r>
      <w:r w:rsidR="00EF1141" w:rsidRPr="00B1523A">
        <w:rPr>
          <w:bCs/>
          <w:sz w:val="20"/>
          <w:szCs w:val="20"/>
          <w:lang w:val="es-ES_tradnl"/>
        </w:rPr>
        <w:t xml:space="preserve">conducta omitida </w:t>
      </w:r>
      <w:r w:rsidR="00356C7F" w:rsidRPr="00B1523A">
        <w:rPr>
          <w:bCs/>
          <w:sz w:val="20"/>
          <w:szCs w:val="20"/>
          <w:lang w:val="es-ES_tradnl"/>
        </w:rPr>
        <w:t>hubiese interrumpido el proceso causal que desembocó en el resultado dañoso</w:t>
      </w:r>
      <w:r w:rsidR="00356C7F" w:rsidRPr="003326E6">
        <w:rPr>
          <w:sz w:val="20"/>
          <w:szCs w:val="20"/>
          <w:lang w:val="es-ES_tradnl"/>
        </w:rPr>
        <w:t>.</w:t>
      </w:r>
      <w:r w:rsidR="005F3EE7">
        <w:rPr>
          <w:rFonts w:eastAsia="Calibri"/>
          <w:sz w:val="20"/>
          <w:szCs w:val="20"/>
          <w:lang w:val="es-ES_tradnl" w:eastAsia="en-US"/>
        </w:rPr>
        <w:t xml:space="preserve"> </w:t>
      </w:r>
      <w:r w:rsidR="002570D1" w:rsidRPr="005F3EE7">
        <w:rPr>
          <w:rFonts w:eastAsia="Calibri"/>
          <w:sz w:val="20"/>
          <w:szCs w:val="20"/>
          <w:lang w:val="es-MX" w:eastAsia="en-US"/>
        </w:rPr>
        <w:t>Dicha</w:t>
      </w:r>
      <w:r w:rsidR="00874307">
        <w:rPr>
          <w:rFonts w:eastAsia="Calibri"/>
          <w:sz w:val="20"/>
          <w:szCs w:val="20"/>
          <w:lang w:val="es-MX" w:eastAsia="en-US"/>
        </w:rPr>
        <w:t>s</w:t>
      </w:r>
      <w:r w:rsidR="002570D1" w:rsidRPr="002570D1">
        <w:rPr>
          <w:rFonts w:eastAsia="Calibri"/>
          <w:sz w:val="20"/>
          <w:szCs w:val="20"/>
          <w:lang w:val="es-MX" w:eastAsia="en-US"/>
        </w:rPr>
        <w:t xml:space="preserve"> verificaci</w:t>
      </w:r>
      <w:r w:rsidR="00874307">
        <w:rPr>
          <w:rFonts w:eastAsia="Calibri"/>
          <w:sz w:val="20"/>
          <w:szCs w:val="20"/>
          <w:lang w:val="es-MX" w:eastAsia="en-US"/>
        </w:rPr>
        <w:t>ones</w:t>
      </w:r>
      <w:r w:rsidR="002570D1" w:rsidRPr="002570D1">
        <w:rPr>
          <w:rFonts w:eastAsia="Calibri"/>
          <w:sz w:val="20"/>
          <w:szCs w:val="20"/>
          <w:lang w:val="es-MX" w:eastAsia="en-US"/>
        </w:rPr>
        <w:t xml:space="preserve"> deberá tomar en consideración la posible situación de especial vulnerabilidad del afectado</w:t>
      </w:r>
      <w:r w:rsidR="003354BF" w:rsidRPr="002570D1">
        <w:rPr>
          <w:rFonts w:eastAsia="Calibri"/>
          <w:sz w:val="20"/>
          <w:szCs w:val="20"/>
          <w:vertAlign w:val="superscript"/>
          <w:lang w:val="es-MX" w:eastAsia="en-US"/>
        </w:rPr>
        <w:footnoteReference w:id="243"/>
      </w:r>
      <w:r w:rsidR="002570D1" w:rsidRPr="002570D1">
        <w:rPr>
          <w:rFonts w:eastAsia="Calibri"/>
          <w:sz w:val="20"/>
          <w:szCs w:val="20"/>
          <w:lang w:val="es-MX" w:eastAsia="en-US"/>
        </w:rPr>
        <w:t xml:space="preserve">, y frente a ello las medidas adoptadas para garantizar </w:t>
      </w:r>
      <w:r w:rsidR="00A6246E">
        <w:rPr>
          <w:rFonts w:eastAsia="Calibri"/>
          <w:sz w:val="20"/>
          <w:szCs w:val="20"/>
          <w:lang w:val="es-MX" w:eastAsia="en-US"/>
        </w:rPr>
        <w:t>su situación</w:t>
      </w:r>
      <w:r w:rsidR="001C02D8">
        <w:rPr>
          <w:rStyle w:val="FootnoteReference"/>
          <w:rFonts w:eastAsia="Calibri"/>
          <w:sz w:val="20"/>
          <w:szCs w:val="20"/>
          <w:lang w:val="es-MX" w:eastAsia="en-US"/>
        </w:rPr>
        <w:footnoteReference w:id="244"/>
      </w:r>
      <w:r w:rsidR="002570D1" w:rsidRPr="002570D1">
        <w:rPr>
          <w:rFonts w:eastAsia="Calibri"/>
          <w:sz w:val="20"/>
          <w:szCs w:val="20"/>
          <w:lang w:val="es-MX" w:eastAsia="en-US"/>
        </w:rPr>
        <w:t>.</w:t>
      </w:r>
    </w:p>
    <w:p w14:paraId="07B4BA84" w14:textId="77777777" w:rsidR="002570D1" w:rsidRPr="002570D1" w:rsidRDefault="002570D1" w:rsidP="0059117C">
      <w:pPr>
        <w:tabs>
          <w:tab w:val="left" w:pos="567"/>
        </w:tabs>
        <w:rPr>
          <w:rFonts w:eastAsia="Calibri"/>
          <w:sz w:val="20"/>
          <w:szCs w:val="20"/>
          <w:lang w:val="es-MX" w:eastAsia="en-US"/>
        </w:rPr>
      </w:pPr>
    </w:p>
    <w:p w14:paraId="3B6401D1" w14:textId="424AA6E1" w:rsidR="00963653" w:rsidRPr="0059117C" w:rsidRDefault="00A6246E" w:rsidP="002570D1">
      <w:pPr>
        <w:numPr>
          <w:ilvl w:val="0"/>
          <w:numId w:val="2"/>
        </w:numPr>
        <w:tabs>
          <w:tab w:val="left" w:pos="567"/>
          <w:tab w:val="num" w:pos="1569"/>
          <w:tab w:val="num" w:pos="12305"/>
        </w:tabs>
        <w:ind w:left="0" w:firstLine="0"/>
        <w:rPr>
          <w:rFonts w:eastAsia="Calibri"/>
          <w:sz w:val="20"/>
          <w:szCs w:val="20"/>
          <w:lang w:val="es-HN" w:eastAsia="en-US"/>
        </w:rPr>
      </w:pPr>
      <w:r>
        <w:rPr>
          <w:rFonts w:eastAsia="Calibri"/>
          <w:sz w:val="20"/>
          <w:szCs w:val="20"/>
          <w:lang w:val="es-HN" w:eastAsia="en-US"/>
        </w:rPr>
        <w:t xml:space="preserve">En el caso </w:t>
      </w:r>
      <w:r w:rsidRPr="0059117C">
        <w:rPr>
          <w:rFonts w:eastAsia="Calibri"/>
          <w:i/>
          <w:sz w:val="20"/>
          <w:szCs w:val="20"/>
          <w:lang w:val="es-HN" w:eastAsia="en-US"/>
        </w:rPr>
        <w:t>sub judice</w:t>
      </w:r>
      <w:r>
        <w:rPr>
          <w:rFonts w:eastAsia="Calibri"/>
          <w:sz w:val="20"/>
          <w:szCs w:val="20"/>
          <w:lang w:val="es-HN" w:eastAsia="en-US"/>
        </w:rPr>
        <w:t>, e</w:t>
      </w:r>
      <w:r w:rsidR="00031DB1">
        <w:rPr>
          <w:rFonts w:eastAsia="Calibri"/>
          <w:sz w:val="20"/>
          <w:szCs w:val="20"/>
          <w:lang w:val="es-HN" w:eastAsia="en-US"/>
        </w:rPr>
        <w:t>ste Tribunal</w:t>
      </w:r>
      <w:r w:rsidR="00963653">
        <w:rPr>
          <w:rFonts w:eastAsia="Calibri"/>
          <w:sz w:val="20"/>
          <w:szCs w:val="20"/>
          <w:lang w:val="es-HN" w:eastAsia="en-US"/>
        </w:rPr>
        <w:t xml:space="preserve"> acreditó una serie de omisiones en prestaciones básicas en materia de salud</w:t>
      </w:r>
      <w:r w:rsidR="000262AD">
        <w:rPr>
          <w:rStyle w:val="FootnoteReference"/>
          <w:rFonts w:eastAsia="Calibri"/>
          <w:sz w:val="20"/>
          <w:szCs w:val="20"/>
          <w:lang w:val="es-HN" w:eastAsia="en-US"/>
        </w:rPr>
        <w:footnoteReference w:id="245"/>
      </w:r>
      <w:r w:rsidR="00963653">
        <w:rPr>
          <w:rFonts w:eastAsia="Calibri"/>
          <w:sz w:val="20"/>
          <w:szCs w:val="20"/>
          <w:lang w:val="es-HN" w:eastAsia="en-US"/>
        </w:rPr>
        <w:t xml:space="preserve">, varias de las cuales inclusive fueron reconocidas por el Estado </w:t>
      </w:r>
      <w:r w:rsidR="00963653">
        <w:rPr>
          <w:rFonts w:eastAsia="Calibri"/>
          <w:sz w:val="20"/>
          <w:szCs w:val="20"/>
          <w:lang w:val="es-HN" w:eastAsia="en-US"/>
        </w:rPr>
        <w:lastRenderedPageBreak/>
        <w:t>(</w:t>
      </w:r>
      <w:r w:rsidR="00062586" w:rsidRPr="00062586">
        <w:rPr>
          <w:rFonts w:eastAsia="Calibri"/>
          <w:i/>
          <w:sz w:val="20"/>
          <w:szCs w:val="20"/>
          <w:lang w:val="es-HN" w:eastAsia="en-US"/>
        </w:rPr>
        <w:t>supra</w:t>
      </w:r>
      <w:r w:rsidR="00963653">
        <w:rPr>
          <w:rFonts w:eastAsia="Calibri"/>
          <w:sz w:val="20"/>
          <w:szCs w:val="20"/>
          <w:lang w:val="es-HN" w:eastAsia="en-US"/>
        </w:rPr>
        <w:t xml:space="preserve"> </w:t>
      </w:r>
      <w:proofErr w:type="spellStart"/>
      <w:r w:rsidR="00963653">
        <w:rPr>
          <w:rFonts w:eastAsia="Calibri"/>
          <w:sz w:val="20"/>
          <w:szCs w:val="20"/>
          <w:lang w:val="es-HN" w:eastAsia="en-US"/>
        </w:rPr>
        <w:t>párr</w:t>
      </w:r>
      <w:r w:rsidR="001A5114">
        <w:rPr>
          <w:rFonts w:eastAsia="Calibri"/>
          <w:sz w:val="20"/>
          <w:szCs w:val="20"/>
          <w:lang w:val="es-HN" w:eastAsia="en-US"/>
        </w:rPr>
        <w:t>s</w:t>
      </w:r>
      <w:proofErr w:type="spellEnd"/>
      <w:r w:rsidR="00963653">
        <w:rPr>
          <w:rFonts w:eastAsia="Calibri"/>
          <w:sz w:val="20"/>
          <w:szCs w:val="20"/>
          <w:lang w:val="es-HN" w:eastAsia="en-US"/>
        </w:rPr>
        <w:t>.</w:t>
      </w:r>
      <w:r w:rsidR="001A5114">
        <w:rPr>
          <w:rFonts w:eastAsia="Calibri"/>
          <w:sz w:val="20"/>
          <w:szCs w:val="20"/>
          <w:lang w:val="es-HN" w:eastAsia="en-US"/>
        </w:rPr>
        <w:t xml:space="preserve"> 17</w:t>
      </w:r>
      <w:r w:rsidR="0056695D">
        <w:rPr>
          <w:rFonts w:eastAsia="Calibri"/>
          <w:sz w:val="20"/>
          <w:szCs w:val="20"/>
          <w:lang w:val="es-HN" w:eastAsia="en-US"/>
        </w:rPr>
        <w:t xml:space="preserve"> y</w:t>
      </w:r>
      <w:r w:rsidR="001A5114">
        <w:rPr>
          <w:rFonts w:eastAsia="Calibri"/>
          <w:sz w:val="20"/>
          <w:szCs w:val="20"/>
          <w:lang w:val="es-HN" w:eastAsia="en-US"/>
        </w:rPr>
        <w:t xml:space="preserve"> 18</w:t>
      </w:r>
      <w:r w:rsidR="00963653">
        <w:rPr>
          <w:rFonts w:eastAsia="Calibri"/>
          <w:sz w:val="20"/>
          <w:szCs w:val="20"/>
          <w:lang w:val="es-HN" w:eastAsia="en-US"/>
        </w:rPr>
        <w:t>)</w:t>
      </w:r>
      <w:r w:rsidR="0056695D">
        <w:rPr>
          <w:rFonts w:eastAsia="Calibri"/>
          <w:sz w:val="20"/>
          <w:szCs w:val="20"/>
          <w:lang w:val="es-HN" w:eastAsia="en-US"/>
        </w:rPr>
        <w:t>.</w:t>
      </w:r>
      <w:r w:rsidR="00963653">
        <w:rPr>
          <w:rFonts w:eastAsia="Calibri"/>
          <w:sz w:val="20"/>
          <w:szCs w:val="20"/>
          <w:lang w:val="es-HN" w:eastAsia="en-US"/>
        </w:rPr>
        <w:t xml:space="preserve"> </w:t>
      </w:r>
      <w:r w:rsidR="0056695D">
        <w:rPr>
          <w:rFonts w:eastAsia="Calibri"/>
          <w:sz w:val="20"/>
          <w:szCs w:val="20"/>
          <w:lang w:val="es-HN" w:eastAsia="en-US"/>
        </w:rPr>
        <w:t xml:space="preserve">Particularmente en su segundo ingreso </w:t>
      </w:r>
      <w:r w:rsidR="00031DB1">
        <w:rPr>
          <w:rFonts w:eastAsia="Calibri"/>
          <w:sz w:val="20"/>
          <w:szCs w:val="20"/>
          <w:lang w:val="es-HN" w:eastAsia="en-US"/>
        </w:rPr>
        <w:t>se verificó que el Estado era consciente</w:t>
      </w:r>
      <w:r w:rsidR="00963653">
        <w:rPr>
          <w:rFonts w:eastAsia="Calibri"/>
          <w:sz w:val="20"/>
          <w:szCs w:val="20"/>
          <w:lang w:val="es-HN" w:eastAsia="en-US"/>
        </w:rPr>
        <w:t xml:space="preserve"> del tratamiento intensivo </w:t>
      </w:r>
      <w:r w:rsidR="000262AD">
        <w:rPr>
          <w:rFonts w:eastAsia="Calibri"/>
          <w:sz w:val="20"/>
          <w:szCs w:val="20"/>
          <w:lang w:val="es-HN" w:eastAsia="en-US"/>
        </w:rPr>
        <w:t>(dispuesto en la ficha clínica)</w:t>
      </w:r>
      <w:r w:rsidR="008867EC">
        <w:rPr>
          <w:rFonts w:eastAsia="Calibri"/>
          <w:sz w:val="20"/>
          <w:szCs w:val="20"/>
          <w:lang w:val="es-HN" w:eastAsia="en-US"/>
        </w:rPr>
        <w:t xml:space="preserve"> </w:t>
      </w:r>
      <w:r w:rsidR="00963653">
        <w:rPr>
          <w:rFonts w:eastAsia="Calibri"/>
          <w:sz w:val="20"/>
          <w:szCs w:val="20"/>
          <w:lang w:val="es-HN" w:eastAsia="en-US"/>
        </w:rPr>
        <w:t>que requería el señor Poblete Vilches</w:t>
      </w:r>
      <w:r w:rsidR="001A5114">
        <w:rPr>
          <w:rFonts w:eastAsia="Calibri"/>
          <w:sz w:val="20"/>
          <w:szCs w:val="20"/>
          <w:lang w:val="es-HN" w:eastAsia="en-US"/>
        </w:rPr>
        <w:t xml:space="preserve">, </w:t>
      </w:r>
      <w:r w:rsidR="0056695D">
        <w:rPr>
          <w:rFonts w:eastAsia="Calibri"/>
          <w:sz w:val="20"/>
          <w:szCs w:val="20"/>
          <w:lang w:val="es-HN" w:eastAsia="en-US"/>
        </w:rPr>
        <w:t xml:space="preserve">y </w:t>
      </w:r>
      <w:r w:rsidR="001A5114">
        <w:rPr>
          <w:rFonts w:eastAsia="Calibri"/>
          <w:sz w:val="20"/>
          <w:szCs w:val="20"/>
          <w:lang w:val="es-HN" w:eastAsia="en-US"/>
        </w:rPr>
        <w:t>no obstante no lo dispensó</w:t>
      </w:r>
      <w:r w:rsidR="00963653">
        <w:rPr>
          <w:rFonts w:eastAsia="Calibri"/>
          <w:sz w:val="20"/>
          <w:szCs w:val="20"/>
          <w:lang w:val="es-HN" w:eastAsia="en-US"/>
        </w:rPr>
        <w:t xml:space="preserve">. </w:t>
      </w:r>
    </w:p>
    <w:p w14:paraId="06A67AAF" w14:textId="77777777" w:rsidR="00963653" w:rsidRPr="0059117C" w:rsidRDefault="00963653" w:rsidP="0059117C">
      <w:pPr>
        <w:tabs>
          <w:tab w:val="left" w:pos="567"/>
        </w:tabs>
        <w:rPr>
          <w:rFonts w:eastAsia="Calibri"/>
          <w:sz w:val="20"/>
          <w:szCs w:val="20"/>
          <w:lang w:val="es-HN" w:eastAsia="en-US"/>
        </w:rPr>
      </w:pPr>
    </w:p>
    <w:p w14:paraId="3BBD3130" w14:textId="49F5011C" w:rsidR="002570D1" w:rsidRPr="002570D1" w:rsidRDefault="0056695D" w:rsidP="002570D1">
      <w:pPr>
        <w:numPr>
          <w:ilvl w:val="0"/>
          <w:numId w:val="2"/>
        </w:numPr>
        <w:tabs>
          <w:tab w:val="left" w:pos="567"/>
          <w:tab w:val="num" w:pos="1569"/>
          <w:tab w:val="num" w:pos="12305"/>
        </w:tabs>
        <w:ind w:left="0" w:firstLine="0"/>
        <w:rPr>
          <w:rFonts w:eastAsia="Calibri"/>
          <w:sz w:val="20"/>
          <w:szCs w:val="20"/>
          <w:lang w:val="es-HN" w:eastAsia="en-US"/>
        </w:rPr>
      </w:pPr>
      <w:r>
        <w:rPr>
          <w:rFonts w:eastAsia="Calibri"/>
          <w:sz w:val="20"/>
          <w:szCs w:val="20"/>
          <w:lang w:val="es-MX" w:eastAsia="en-US"/>
        </w:rPr>
        <w:t>L</w:t>
      </w:r>
      <w:r w:rsidR="000262AD">
        <w:rPr>
          <w:rFonts w:eastAsia="Calibri"/>
          <w:sz w:val="20"/>
          <w:szCs w:val="20"/>
          <w:lang w:val="es-MX" w:eastAsia="en-US"/>
        </w:rPr>
        <w:t xml:space="preserve">a Corte estima que </w:t>
      </w:r>
      <w:r w:rsidR="00F914DD">
        <w:rPr>
          <w:rFonts w:eastAsia="Calibri"/>
          <w:sz w:val="20"/>
          <w:szCs w:val="20"/>
          <w:lang w:val="es-MX" w:eastAsia="en-US"/>
        </w:rPr>
        <w:t>el Estado</w:t>
      </w:r>
      <w:r w:rsidR="000262AD" w:rsidRPr="002570D1">
        <w:rPr>
          <w:rFonts w:eastAsia="Calibri"/>
          <w:sz w:val="20"/>
          <w:szCs w:val="20"/>
          <w:lang w:val="es-MX" w:eastAsia="en-US"/>
        </w:rPr>
        <w:t xml:space="preserve"> negó </w:t>
      </w:r>
      <w:r w:rsidR="000262AD">
        <w:rPr>
          <w:rFonts w:eastAsia="Calibri"/>
          <w:sz w:val="20"/>
          <w:szCs w:val="20"/>
          <w:lang w:val="es-MX" w:eastAsia="en-US"/>
        </w:rPr>
        <w:t>a</w:t>
      </w:r>
      <w:r w:rsidR="000262AD" w:rsidRPr="002570D1">
        <w:rPr>
          <w:rFonts w:eastAsia="Calibri"/>
          <w:sz w:val="20"/>
          <w:szCs w:val="20"/>
          <w:lang w:val="es-MX" w:eastAsia="en-US"/>
        </w:rPr>
        <w:t xml:space="preserve">l señor Poblete Vilches un tratamiento médico de </w:t>
      </w:r>
      <w:r w:rsidR="002A64C9">
        <w:rPr>
          <w:rFonts w:eastAsia="Calibri"/>
          <w:sz w:val="20"/>
          <w:szCs w:val="20"/>
          <w:lang w:val="es-MX" w:eastAsia="en-US"/>
        </w:rPr>
        <w:t>urgencia</w:t>
      </w:r>
      <w:r w:rsidR="00F914DD">
        <w:rPr>
          <w:rFonts w:eastAsia="Calibri"/>
          <w:sz w:val="20"/>
          <w:szCs w:val="20"/>
          <w:lang w:val="es-MX" w:eastAsia="en-US"/>
        </w:rPr>
        <w:t>, no obstante habría consciencia</w:t>
      </w:r>
      <w:r w:rsidR="006D5706">
        <w:rPr>
          <w:rFonts w:eastAsia="Calibri"/>
          <w:sz w:val="20"/>
          <w:szCs w:val="20"/>
          <w:lang w:val="es-MX" w:eastAsia="en-US"/>
        </w:rPr>
        <w:t>,</w:t>
      </w:r>
      <w:r w:rsidR="00F914DD">
        <w:rPr>
          <w:rFonts w:eastAsia="Calibri"/>
          <w:sz w:val="20"/>
          <w:szCs w:val="20"/>
          <w:lang w:val="es-MX" w:eastAsia="en-US"/>
        </w:rPr>
        <w:t xml:space="preserve"> </w:t>
      </w:r>
      <w:r w:rsidR="006D5706">
        <w:rPr>
          <w:rFonts w:eastAsia="Calibri"/>
          <w:sz w:val="20"/>
          <w:szCs w:val="20"/>
          <w:lang w:val="es-MX" w:eastAsia="en-US"/>
        </w:rPr>
        <w:t xml:space="preserve">por parte del personal médico, </w:t>
      </w:r>
      <w:r w:rsidR="000262AD" w:rsidRPr="002570D1">
        <w:rPr>
          <w:rFonts w:eastAsia="Calibri"/>
          <w:sz w:val="20"/>
          <w:szCs w:val="20"/>
          <w:lang w:val="es-MX" w:eastAsia="en-US"/>
        </w:rPr>
        <w:t xml:space="preserve">que su vida </w:t>
      </w:r>
      <w:r w:rsidR="006D5706">
        <w:rPr>
          <w:rFonts w:eastAsia="Calibri"/>
          <w:sz w:val="20"/>
          <w:szCs w:val="20"/>
          <w:lang w:val="es-MX" w:eastAsia="en-US"/>
        </w:rPr>
        <w:t>se encontraba</w:t>
      </w:r>
      <w:r w:rsidR="000262AD" w:rsidRPr="002570D1">
        <w:rPr>
          <w:rFonts w:eastAsia="Calibri"/>
          <w:sz w:val="20"/>
          <w:szCs w:val="20"/>
          <w:lang w:val="es-MX" w:eastAsia="en-US"/>
        </w:rPr>
        <w:t xml:space="preserve"> en riesgo si no se dispensaba el soporte vital requerido</w:t>
      </w:r>
      <w:r w:rsidR="00F914DD">
        <w:rPr>
          <w:rFonts w:eastAsia="Calibri"/>
          <w:sz w:val="20"/>
          <w:szCs w:val="20"/>
          <w:lang w:val="es-MX" w:eastAsia="en-US"/>
        </w:rPr>
        <w:t xml:space="preserve">, </w:t>
      </w:r>
      <w:r w:rsidR="006D5706">
        <w:rPr>
          <w:rFonts w:eastAsia="Calibri"/>
          <w:sz w:val="20"/>
          <w:szCs w:val="20"/>
          <w:lang w:val="es-MX" w:eastAsia="en-US"/>
        </w:rPr>
        <w:t xml:space="preserve">y </w:t>
      </w:r>
      <w:r w:rsidR="00F914DD">
        <w:rPr>
          <w:rFonts w:eastAsia="Calibri"/>
          <w:sz w:val="20"/>
          <w:szCs w:val="20"/>
          <w:lang w:val="es-MX" w:eastAsia="en-US"/>
        </w:rPr>
        <w:t>particularmente frente a su situación de adulto mayor</w:t>
      </w:r>
      <w:r w:rsidR="006D5706">
        <w:rPr>
          <w:rFonts w:eastAsia="Calibri"/>
          <w:sz w:val="20"/>
          <w:szCs w:val="20"/>
          <w:lang w:val="es-MX" w:eastAsia="en-US"/>
        </w:rPr>
        <w:t xml:space="preserve"> (</w:t>
      </w:r>
      <w:r w:rsidR="006D5706" w:rsidRPr="00F914DD">
        <w:rPr>
          <w:rFonts w:eastAsia="Calibri"/>
          <w:i/>
          <w:sz w:val="20"/>
          <w:szCs w:val="20"/>
          <w:lang w:val="es-MX" w:eastAsia="en-US"/>
        </w:rPr>
        <w:t>supra</w:t>
      </w:r>
      <w:r w:rsidR="006D5706">
        <w:rPr>
          <w:rFonts w:eastAsia="Calibri"/>
          <w:sz w:val="20"/>
          <w:szCs w:val="20"/>
          <w:lang w:val="es-MX" w:eastAsia="en-US"/>
        </w:rPr>
        <w:t xml:space="preserve"> párr. </w:t>
      </w:r>
      <w:r w:rsidR="001A5114">
        <w:rPr>
          <w:rFonts w:eastAsia="Calibri"/>
          <w:sz w:val="20"/>
          <w:szCs w:val="20"/>
          <w:lang w:val="es-MX" w:eastAsia="en-US"/>
        </w:rPr>
        <w:t>137</w:t>
      </w:r>
      <w:r w:rsidR="006D5706">
        <w:rPr>
          <w:rFonts w:eastAsia="Calibri"/>
          <w:sz w:val="20"/>
          <w:szCs w:val="20"/>
          <w:lang w:val="es-MX" w:eastAsia="en-US"/>
        </w:rPr>
        <w:t>)</w:t>
      </w:r>
      <w:r w:rsidR="00F914DD">
        <w:rPr>
          <w:rFonts w:eastAsia="Calibri"/>
          <w:sz w:val="20"/>
          <w:szCs w:val="20"/>
          <w:lang w:val="es-MX" w:eastAsia="en-US"/>
        </w:rPr>
        <w:t>.</w:t>
      </w:r>
      <w:r w:rsidR="000262AD">
        <w:rPr>
          <w:rFonts w:eastAsia="Calibri"/>
          <w:sz w:val="20"/>
          <w:szCs w:val="20"/>
          <w:lang w:val="es-MX" w:eastAsia="en-US"/>
        </w:rPr>
        <w:t xml:space="preserve"> Así, </w:t>
      </w:r>
      <w:r w:rsidR="002570D1" w:rsidRPr="002570D1">
        <w:rPr>
          <w:rFonts w:eastAsia="Calibri"/>
          <w:sz w:val="20"/>
          <w:szCs w:val="20"/>
          <w:lang w:val="es-MX" w:eastAsia="en-US"/>
        </w:rPr>
        <w:t>el Estado no adoptó las medidas necesarias, básicas y urgentes que razonablemente podrían haberse adoptado para garantizar</w:t>
      </w:r>
      <w:r>
        <w:rPr>
          <w:rFonts w:eastAsia="Calibri"/>
          <w:sz w:val="20"/>
          <w:szCs w:val="20"/>
          <w:lang w:val="es-MX" w:eastAsia="en-US"/>
        </w:rPr>
        <w:t xml:space="preserve"> su</w:t>
      </w:r>
      <w:r w:rsidR="002570D1" w:rsidRPr="002570D1">
        <w:rPr>
          <w:rFonts w:eastAsia="Calibri"/>
          <w:sz w:val="20"/>
          <w:szCs w:val="20"/>
          <w:lang w:val="es-MX" w:eastAsia="en-US"/>
        </w:rPr>
        <w:t xml:space="preserve"> derecho a la vida </w:t>
      </w:r>
      <w:r w:rsidR="003354BF">
        <w:rPr>
          <w:rFonts w:eastAsia="Calibri"/>
          <w:sz w:val="20"/>
          <w:szCs w:val="20"/>
          <w:lang w:val="es-MX" w:eastAsia="en-US"/>
        </w:rPr>
        <w:t>(</w:t>
      </w:r>
      <w:r w:rsidR="00062586" w:rsidRPr="00062586">
        <w:rPr>
          <w:rFonts w:eastAsia="Calibri"/>
          <w:i/>
          <w:sz w:val="20"/>
          <w:szCs w:val="20"/>
          <w:lang w:val="es-MX" w:eastAsia="en-US"/>
        </w:rPr>
        <w:t>supra</w:t>
      </w:r>
      <w:r w:rsidR="003354BF">
        <w:rPr>
          <w:rFonts w:eastAsia="Calibri"/>
          <w:sz w:val="20"/>
          <w:szCs w:val="20"/>
          <w:lang w:val="es-MX" w:eastAsia="en-US"/>
        </w:rPr>
        <w:t xml:space="preserve"> </w:t>
      </w:r>
      <w:proofErr w:type="spellStart"/>
      <w:r w:rsidR="003354BF">
        <w:rPr>
          <w:rFonts w:eastAsia="Calibri"/>
          <w:sz w:val="20"/>
          <w:szCs w:val="20"/>
          <w:lang w:val="es-MX" w:eastAsia="en-US"/>
        </w:rPr>
        <w:t>párr</w:t>
      </w:r>
      <w:r w:rsidR="001A5114">
        <w:rPr>
          <w:rFonts w:eastAsia="Calibri"/>
          <w:sz w:val="20"/>
          <w:szCs w:val="20"/>
          <w:lang w:val="es-MX" w:eastAsia="en-US"/>
        </w:rPr>
        <w:t>s</w:t>
      </w:r>
      <w:proofErr w:type="spellEnd"/>
      <w:r w:rsidR="003354BF">
        <w:rPr>
          <w:rFonts w:eastAsia="Calibri"/>
          <w:sz w:val="20"/>
          <w:szCs w:val="20"/>
          <w:lang w:val="es-MX" w:eastAsia="en-US"/>
        </w:rPr>
        <w:t xml:space="preserve">. </w:t>
      </w:r>
      <w:r w:rsidR="001A5114">
        <w:rPr>
          <w:rFonts w:eastAsia="Calibri"/>
          <w:sz w:val="20"/>
          <w:szCs w:val="20"/>
          <w:lang w:val="es-MX" w:eastAsia="en-US"/>
        </w:rPr>
        <w:t>141</w:t>
      </w:r>
      <w:r>
        <w:rPr>
          <w:rFonts w:eastAsia="Calibri"/>
          <w:sz w:val="20"/>
          <w:szCs w:val="20"/>
          <w:lang w:val="es-MX" w:eastAsia="en-US"/>
        </w:rPr>
        <w:t xml:space="preserve"> y</w:t>
      </w:r>
      <w:r w:rsidR="001A5114">
        <w:rPr>
          <w:rFonts w:eastAsia="Calibri"/>
          <w:sz w:val="20"/>
          <w:szCs w:val="20"/>
          <w:lang w:val="es-MX" w:eastAsia="en-US"/>
        </w:rPr>
        <w:t xml:space="preserve"> 142</w:t>
      </w:r>
      <w:r w:rsidR="003354BF">
        <w:rPr>
          <w:rFonts w:eastAsia="Calibri"/>
          <w:sz w:val="20"/>
          <w:szCs w:val="20"/>
          <w:lang w:val="es-MX" w:eastAsia="en-US"/>
        </w:rPr>
        <w:t>)</w:t>
      </w:r>
      <w:r w:rsidR="002570D1" w:rsidRPr="002570D1">
        <w:rPr>
          <w:rFonts w:eastAsia="Calibri"/>
          <w:sz w:val="20"/>
          <w:szCs w:val="20"/>
          <w:lang w:val="es-MX" w:eastAsia="en-US"/>
        </w:rPr>
        <w:t>.</w:t>
      </w:r>
      <w:r w:rsidR="002570D1" w:rsidRPr="002570D1">
        <w:rPr>
          <w:rFonts w:eastAsia="Calibri"/>
          <w:sz w:val="20"/>
          <w:szCs w:val="20"/>
          <w:lang w:eastAsia="en-US"/>
        </w:rPr>
        <w:t xml:space="preserve"> </w:t>
      </w:r>
      <w:r w:rsidR="004669FF">
        <w:rPr>
          <w:rFonts w:eastAsia="Calibri"/>
          <w:sz w:val="20"/>
          <w:szCs w:val="20"/>
          <w:lang w:eastAsia="en-US"/>
        </w:rPr>
        <w:t xml:space="preserve">Asimismo, el Estado no aportó una justificación válida para haber negado los servicios básicos de urgencia. </w:t>
      </w:r>
    </w:p>
    <w:p w14:paraId="6414DF51" w14:textId="77777777" w:rsidR="002570D1" w:rsidRPr="002570D1" w:rsidRDefault="002570D1" w:rsidP="0059117C">
      <w:pPr>
        <w:tabs>
          <w:tab w:val="left" w:pos="1134"/>
        </w:tabs>
        <w:ind w:right="-360"/>
        <w:rPr>
          <w:rFonts w:eastAsia="Calibri"/>
          <w:sz w:val="20"/>
          <w:szCs w:val="20"/>
          <w:lang w:val="es-HN" w:eastAsia="en-US"/>
        </w:rPr>
      </w:pPr>
    </w:p>
    <w:p w14:paraId="0FC82150" w14:textId="5EBFF06D" w:rsidR="002570D1" w:rsidRPr="00AB1E03" w:rsidRDefault="0066579C" w:rsidP="00AB1E03">
      <w:pPr>
        <w:numPr>
          <w:ilvl w:val="0"/>
          <w:numId w:val="2"/>
        </w:numPr>
        <w:tabs>
          <w:tab w:val="left" w:pos="567"/>
          <w:tab w:val="num" w:pos="1569"/>
          <w:tab w:val="num" w:pos="12305"/>
        </w:tabs>
        <w:ind w:left="0" w:firstLine="0"/>
        <w:rPr>
          <w:rFonts w:eastAsia="Calibri"/>
          <w:b/>
          <w:sz w:val="20"/>
          <w:szCs w:val="20"/>
          <w:lang w:val="es-HN" w:eastAsia="en-US"/>
        </w:rPr>
      </w:pPr>
      <w:r w:rsidRPr="00AB1E03">
        <w:rPr>
          <w:rFonts w:eastAsia="Calibri"/>
          <w:sz w:val="20"/>
          <w:szCs w:val="20"/>
          <w:lang w:eastAsia="en-US"/>
        </w:rPr>
        <w:t>Respecto del</w:t>
      </w:r>
      <w:r w:rsidR="002570D1" w:rsidRPr="00EF1141">
        <w:rPr>
          <w:rFonts w:eastAsia="Calibri"/>
          <w:sz w:val="20"/>
          <w:szCs w:val="20"/>
          <w:lang w:eastAsia="en-US"/>
        </w:rPr>
        <w:t xml:space="preserve"> nexo causal</w:t>
      </w:r>
      <w:r w:rsidR="005F3EE7" w:rsidRPr="00AB1E03">
        <w:rPr>
          <w:rFonts w:eastAsia="Calibri"/>
          <w:sz w:val="20"/>
          <w:szCs w:val="20"/>
          <w:lang w:eastAsia="en-US"/>
        </w:rPr>
        <w:t>,</w:t>
      </w:r>
      <w:r w:rsidR="002570D1" w:rsidRPr="001A5114">
        <w:rPr>
          <w:rFonts w:eastAsia="Calibri"/>
          <w:sz w:val="20"/>
          <w:szCs w:val="20"/>
          <w:lang w:eastAsia="en-US"/>
        </w:rPr>
        <w:t xml:space="preserve"> </w:t>
      </w:r>
      <w:r w:rsidRPr="00B1523A">
        <w:rPr>
          <w:rFonts w:eastAsia="Calibri"/>
          <w:sz w:val="20"/>
          <w:szCs w:val="20"/>
          <w:lang w:eastAsia="en-US"/>
        </w:rPr>
        <w:t>la Corte estima que</w:t>
      </w:r>
      <w:r w:rsidRPr="00B1523A">
        <w:rPr>
          <w:rFonts w:eastAsia="Calibri"/>
          <w:sz w:val="20"/>
          <w:szCs w:val="20"/>
          <w:lang w:val="es-HN" w:eastAsia="en-US"/>
        </w:rPr>
        <w:t xml:space="preserve"> </w:t>
      </w:r>
      <w:r w:rsidR="0056695D">
        <w:rPr>
          <w:rFonts w:eastAsia="Calibri"/>
          <w:sz w:val="20"/>
          <w:szCs w:val="20"/>
          <w:lang w:val="es-HN" w:eastAsia="en-US"/>
        </w:rPr>
        <w:t>no</w:t>
      </w:r>
      <w:r w:rsidR="00382384" w:rsidRPr="00B1523A">
        <w:rPr>
          <w:rFonts w:eastAsia="Calibri"/>
          <w:sz w:val="20"/>
          <w:szCs w:val="20"/>
          <w:lang w:val="es-HN" w:eastAsia="en-US"/>
        </w:rPr>
        <w:t xml:space="preserve"> se puede imputar causalmente el resultado</w:t>
      </w:r>
      <w:r w:rsidR="00FB7D02" w:rsidRPr="00B1523A">
        <w:rPr>
          <w:rFonts w:eastAsia="Calibri"/>
          <w:sz w:val="20"/>
          <w:szCs w:val="20"/>
          <w:lang w:val="es-HN" w:eastAsia="en-US"/>
        </w:rPr>
        <w:t xml:space="preserve"> dañino a la falta de atención de la salud</w:t>
      </w:r>
      <w:r w:rsidR="00382384" w:rsidRPr="00B1523A">
        <w:rPr>
          <w:rFonts w:eastAsia="Calibri"/>
          <w:sz w:val="20"/>
          <w:szCs w:val="20"/>
          <w:lang w:val="es-HN" w:eastAsia="en-US"/>
        </w:rPr>
        <w:t>, porque se trata de una omisión</w:t>
      </w:r>
      <w:r w:rsidR="001A5114" w:rsidRPr="00B1523A">
        <w:rPr>
          <w:rFonts w:eastAsia="Calibri"/>
          <w:sz w:val="20"/>
          <w:szCs w:val="20"/>
          <w:lang w:val="es-HN" w:eastAsia="en-US"/>
        </w:rPr>
        <w:t>,</w:t>
      </w:r>
      <w:r w:rsidR="00382384" w:rsidRPr="00B1523A">
        <w:rPr>
          <w:rFonts w:eastAsia="Calibri"/>
          <w:sz w:val="20"/>
          <w:szCs w:val="20"/>
          <w:lang w:val="es-HN" w:eastAsia="en-US"/>
        </w:rPr>
        <w:t xml:space="preserve"> y es de toda evidencia que las o</w:t>
      </w:r>
      <w:r w:rsidR="007870CF" w:rsidRPr="00B1523A">
        <w:rPr>
          <w:rFonts w:eastAsia="Calibri"/>
          <w:sz w:val="20"/>
          <w:szCs w:val="20"/>
          <w:lang w:val="es-HN" w:eastAsia="en-US"/>
        </w:rPr>
        <w:t>misiones no “causan”</w:t>
      </w:r>
      <w:r w:rsidR="001A5114" w:rsidRPr="00B1523A">
        <w:rPr>
          <w:rFonts w:eastAsia="Calibri"/>
          <w:sz w:val="20"/>
          <w:szCs w:val="20"/>
          <w:lang w:val="es-HN" w:eastAsia="en-US"/>
        </w:rPr>
        <w:t>,</w:t>
      </w:r>
      <w:r w:rsidR="007870CF" w:rsidRPr="00B1523A">
        <w:rPr>
          <w:rFonts w:eastAsia="Calibri"/>
          <w:sz w:val="20"/>
          <w:szCs w:val="20"/>
          <w:lang w:val="es-HN" w:eastAsia="en-US"/>
        </w:rPr>
        <w:t xml:space="preserve"> si no que</w:t>
      </w:r>
      <w:r w:rsidR="00382384" w:rsidRPr="00B1523A">
        <w:rPr>
          <w:rFonts w:eastAsia="Calibri"/>
          <w:sz w:val="20"/>
          <w:szCs w:val="20"/>
          <w:lang w:val="es-HN" w:eastAsia="en-US"/>
        </w:rPr>
        <w:t xml:space="preserve"> dejan andar una causalidad que “debía” ser interrumpida por la conducta jurídicamente ord</w:t>
      </w:r>
      <w:r w:rsidR="002740DF" w:rsidRPr="00B1523A">
        <w:rPr>
          <w:rFonts w:eastAsia="Calibri"/>
          <w:sz w:val="20"/>
          <w:szCs w:val="20"/>
          <w:lang w:val="es-HN" w:eastAsia="en-US"/>
        </w:rPr>
        <w:t>enada</w:t>
      </w:r>
      <w:r w:rsidR="00382384" w:rsidRPr="00B1523A">
        <w:rPr>
          <w:rFonts w:eastAsia="Calibri"/>
          <w:sz w:val="20"/>
          <w:szCs w:val="20"/>
          <w:lang w:val="es-HN" w:eastAsia="en-US"/>
        </w:rPr>
        <w:t xml:space="preserve">. En consecuencia, siempre se debe </w:t>
      </w:r>
      <w:r w:rsidRPr="00B1523A">
        <w:rPr>
          <w:rFonts w:eastAsia="Calibri"/>
          <w:sz w:val="20"/>
          <w:szCs w:val="20"/>
          <w:lang w:val="es-HN" w:eastAsia="en-US"/>
        </w:rPr>
        <w:t xml:space="preserve">valorar </w:t>
      </w:r>
      <w:r w:rsidR="00382384" w:rsidRPr="00B1523A">
        <w:rPr>
          <w:rFonts w:eastAsia="Calibri"/>
          <w:sz w:val="20"/>
          <w:szCs w:val="20"/>
          <w:lang w:val="es-HN" w:eastAsia="en-US"/>
        </w:rPr>
        <w:t>sobre una probabilidad acerca de la interrupción de una causalidad que no se interrumpió. Dado</w:t>
      </w:r>
      <w:r w:rsidR="0056695D">
        <w:rPr>
          <w:rFonts w:eastAsia="Calibri"/>
          <w:sz w:val="20"/>
          <w:szCs w:val="20"/>
          <w:lang w:val="es-HN" w:eastAsia="en-US"/>
        </w:rPr>
        <w:t xml:space="preserve"> ello</w:t>
      </w:r>
      <w:r w:rsidR="00382384" w:rsidRPr="00B1523A">
        <w:rPr>
          <w:rFonts w:eastAsia="Calibri"/>
          <w:sz w:val="20"/>
          <w:szCs w:val="20"/>
          <w:lang w:val="es-HN" w:eastAsia="en-US"/>
        </w:rPr>
        <w:t xml:space="preserve">, lo probado en el caso, </w:t>
      </w:r>
      <w:r w:rsidR="00FB7D02" w:rsidRPr="00B1523A">
        <w:rPr>
          <w:rFonts w:eastAsia="Calibri"/>
          <w:sz w:val="20"/>
          <w:szCs w:val="20"/>
          <w:lang w:val="es-HN" w:eastAsia="en-US"/>
        </w:rPr>
        <w:t xml:space="preserve">existía </w:t>
      </w:r>
      <w:r w:rsidR="00382384" w:rsidRPr="00B1523A">
        <w:rPr>
          <w:rFonts w:eastAsia="Calibri"/>
          <w:sz w:val="20"/>
          <w:szCs w:val="20"/>
          <w:lang w:val="es-HN" w:eastAsia="en-US"/>
        </w:rPr>
        <w:t xml:space="preserve">una alta probabilidad de que una asistencia adecuada </w:t>
      </w:r>
      <w:r w:rsidR="005F3EE7" w:rsidRPr="00B1523A">
        <w:rPr>
          <w:rFonts w:eastAsia="Calibri"/>
          <w:sz w:val="20"/>
          <w:szCs w:val="20"/>
          <w:lang w:val="es-HN" w:eastAsia="en-US"/>
        </w:rPr>
        <w:t xml:space="preserve">en materia de salud </w:t>
      </w:r>
      <w:r w:rsidR="00382384" w:rsidRPr="00B1523A">
        <w:rPr>
          <w:rFonts w:eastAsia="Calibri"/>
          <w:sz w:val="20"/>
          <w:szCs w:val="20"/>
          <w:lang w:val="es-HN" w:eastAsia="en-US"/>
        </w:rPr>
        <w:t xml:space="preserve">hubiese al menos prolongado la vida del señor </w:t>
      </w:r>
      <w:r w:rsidR="00847C4A">
        <w:rPr>
          <w:rFonts w:eastAsia="Calibri"/>
          <w:sz w:val="20"/>
          <w:szCs w:val="20"/>
          <w:lang w:val="es-HN" w:eastAsia="en-US"/>
        </w:rPr>
        <w:t xml:space="preserve">Poblete </w:t>
      </w:r>
      <w:r w:rsidR="00382384" w:rsidRPr="00B1523A">
        <w:rPr>
          <w:rFonts w:eastAsia="Calibri"/>
          <w:sz w:val="20"/>
          <w:szCs w:val="20"/>
          <w:lang w:val="es-HN" w:eastAsia="en-US"/>
        </w:rPr>
        <w:t xml:space="preserve">Vilches, por lo cual debe concluirse que </w:t>
      </w:r>
      <w:r w:rsidR="00E7256E" w:rsidRPr="00B1523A">
        <w:rPr>
          <w:rFonts w:eastAsia="Calibri"/>
          <w:sz w:val="20"/>
          <w:szCs w:val="20"/>
          <w:lang w:val="es-HN" w:eastAsia="en-US"/>
        </w:rPr>
        <w:t>la omisi</w:t>
      </w:r>
      <w:r w:rsidR="005F3EE7" w:rsidRPr="00B1523A">
        <w:rPr>
          <w:rFonts w:eastAsia="Calibri"/>
          <w:sz w:val="20"/>
          <w:szCs w:val="20"/>
          <w:lang w:val="es-HN" w:eastAsia="en-US"/>
        </w:rPr>
        <w:t>ón</w:t>
      </w:r>
      <w:r w:rsidR="00E7256E" w:rsidRPr="00B1523A">
        <w:rPr>
          <w:rFonts w:eastAsia="Calibri"/>
          <w:sz w:val="20"/>
          <w:szCs w:val="20"/>
          <w:lang w:val="es-HN" w:eastAsia="en-US"/>
        </w:rPr>
        <w:t xml:space="preserve"> de prestaciones básicas en materia de salud</w:t>
      </w:r>
      <w:r w:rsidR="00E7256E" w:rsidRPr="00B1523A" w:rsidDel="00E7256E">
        <w:rPr>
          <w:rFonts w:eastAsia="Calibri"/>
          <w:sz w:val="20"/>
          <w:szCs w:val="20"/>
          <w:lang w:val="es-HN" w:eastAsia="en-US"/>
        </w:rPr>
        <w:t xml:space="preserve"> </w:t>
      </w:r>
      <w:r w:rsidR="00382384" w:rsidRPr="00B1523A">
        <w:rPr>
          <w:rFonts w:eastAsia="Calibri"/>
          <w:sz w:val="20"/>
          <w:szCs w:val="20"/>
          <w:lang w:val="es-HN" w:eastAsia="en-US"/>
        </w:rPr>
        <w:t>afect</w:t>
      </w:r>
      <w:r w:rsidR="00E7256E" w:rsidRPr="00B1523A">
        <w:rPr>
          <w:rFonts w:eastAsia="Calibri"/>
          <w:sz w:val="20"/>
          <w:szCs w:val="20"/>
          <w:lang w:val="es-HN" w:eastAsia="en-US"/>
        </w:rPr>
        <w:t>ó</w:t>
      </w:r>
      <w:r w:rsidR="00382384" w:rsidRPr="00B1523A">
        <w:rPr>
          <w:rFonts w:eastAsia="Calibri"/>
          <w:sz w:val="20"/>
          <w:szCs w:val="20"/>
          <w:lang w:val="es-HN" w:eastAsia="en-US"/>
        </w:rPr>
        <w:t xml:space="preserve"> su derecho a la vida</w:t>
      </w:r>
      <w:r w:rsidR="00847C4A">
        <w:rPr>
          <w:rFonts w:eastAsia="Calibri"/>
          <w:sz w:val="20"/>
          <w:szCs w:val="20"/>
          <w:lang w:val="es-HN" w:eastAsia="en-US"/>
        </w:rPr>
        <w:t xml:space="preserve"> (artículo 4 de la Convención)</w:t>
      </w:r>
      <w:r w:rsidR="00382384" w:rsidRPr="00B1523A">
        <w:rPr>
          <w:rFonts w:eastAsia="Calibri"/>
          <w:sz w:val="20"/>
          <w:szCs w:val="20"/>
          <w:lang w:val="es-HN" w:eastAsia="en-US"/>
        </w:rPr>
        <w:t>.</w:t>
      </w:r>
      <w:r w:rsidR="00382384" w:rsidRPr="00AB1E03">
        <w:rPr>
          <w:rFonts w:eastAsia="Calibri"/>
          <w:b/>
          <w:sz w:val="20"/>
          <w:szCs w:val="20"/>
          <w:lang w:val="es-HN" w:eastAsia="en-US"/>
        </w:rPr>
        <w:t xml:space="preserve"> </w:t>
      </w:r>
    </w:p>
    <w:p w14:paraId="0BB2A959" w14:textId="77777777" w:rsidR="00630070" w:rsidRDefault="00630070" w:rsidP="002570D1">
      <w:pPr>
        <w:rPr>
          <w:rFonts w:eastAsia="Calibri"/>
          <w:sz w:val="18"/>
          <w:szCs w:val="20"/>
          <w:lang w:val="es-ES_tradnl" w:eastAsia="en-US"/>
        </w:rPr>
      </w:pPr>
    </w:p>
    <w:p w14:paraId="71E07150" w14:textId="7B820440" w:rsidR="00967ED8" w:rsidRPr="00AB1E03" w:rsidRDefault="00967ED8" w:rsidP="00967ED8">
      <w:pPr>
        <w:ind w:left="708" w:firstLine="708"/>
        <w:rPr>
          <w:rFonts w:eastAsia="Calibri"/>
          <w:b/>
          <w:i/>
          <w:sz w:val="20"/>
          <w:szCs w:val="20"/>
          <w:lang w:val="es-ES_tradnl" w:eastAsia="en-US"/>
        </w:rPr>
      </w:pPr>
      <w:r w:rsidRPr="00AB1E03">
        <w:rPr>
          <w:rFonts w:eastAsia="Calibri"/>
          <w:b/>
          <w:i/>
          <w:sz w:val="20"/>
          <w:szCs w:val="20"/>
          <w:lang w:val="es-ES_tradnl" w:eastAsia="en-US"/>
        </w:rPr>
        <w:t>1.2.</w:t>
      </w:r>
      <w:r w:rsidR="001A5114">
        <w:rPr>
          <w:rFonts w:eastAsia="Calibri"/>
          <w:b/>
          <w:i/>
          <w:sz w:val="20"/>
          <w:szCs w:val="20"/>
          <w:lang w:val="es-ES_tradnl" w:eastAsia="en-US"/>
        </w:rPr>
        <w:t>2</w:t>
      </w:r>
      <w:r w:rsidRPr="00AB1E03">
        <w:rPr>
          <w:rFonts w:eastAsia="Calibri"/>
          <w:b/>
          <w:i/>
          <w:sz w:val="20"/>
          <w:szCs w:val="20"/>
          <w:lang w:val="es-ES_tradnl" w:eastAsia="en-US"/>
        </w:rPr>
        <w:t xml:space="preserve"> Respecto del derecho a la integridad personal</w:t>
      </w:r>
    </w:p>
    <w:p w14:paraId="1A4BAAB7" w14:textId="77777777" w:rsidR="00967ED8" w:rsidRPr="00AB1E03" w:rsidRDefault="00967ED8" w:rsidP="002570D1">
      <w:pPr>
        <w:rPr>
          <w:rFonts w:eastAsia="Calibri"/>
          <w:sz w:val="20"/>
          <w:szCs w:val="20"/>
          <w:lang w:val="es-ES_tradnl" w:eastAsia="en-US"/>
        </w:rPr>
      </w:pPr>
    </w:p>
    <w:p w14:paraId="6F9280AB" w14:textId="45EA0156" w:rsidR="00967ED8" w:rsidRPr="00B1523A" w:rsidRDefault="00967ED8" w:rsidP="007E5CD5">
      <w:pPr>
        <w:numPr>
          <w:ilvl w:val="0"/>
          <w:numId w:val="2"/>
        </w:numPr>
        <w:tabs>
          <w:tab w:val="left" w:pos="567"/>
          <w:tab w:val="num" w:pos="1569"/>
          <w:tab w:val="num" w:pos="12305"/>
        </w:tabs>
        <w:ind w:left="0" w:firstLine="0"/>
        <w:rPr>
          <w:sz w:val="20"/>
          <w:szCs w:val="20"/>
          <w:lang w:val="es-ES" w:eastAsia="x-none"/>
        </w:rPr>
      </w:pPr>
      <w:r w:rsidRPr="00B1523A">
        <w:rPr>
          <w:sz w:val="20"/>
          <w:szCs w:val="20"/>
          <w:lang w:val="es-ES" w:eastAsia="x-none"/>
        </w:rPr>
        <w:t>En relación con el artículo 5.1 de la Convención, la Corte ha establecido que la integridad personal se halla directa e inmediatamente vinculad</w:t>
      </w:r>
      <w:r w:rsidR="0056695D">
        <w:rPr>
          <w:sz w:val="20"/>
          <w:szCs w:val="20"/>
          <w:lang w:val="es-ES" w:eastAsia="x-none"/>
        </w:rPr>
        <w:t>a</w:t>
      </w:r>
      <w:r w:rsidRPr="00B1523A">
        <w:rPr>
          <w:sz w:val="20"/>
          <w:szCs w:val="20"/>
          <w:lang w:val="es-ES" w:eastAsia="x-none"/>
        </w:rPr>
        <w:t xml:space="preserve"> con la atención a la salud humana</w:t>
      </w:r>
      <w:r w:rsidRPr="00B1523A">
        <w:rPr>
          <w:sz w:val="20"/>
          <w:szCs w:val="20"/>
          <w:vertAlign w:val="superscript"/>
          <w:lang w:val="es-ES" w:eastAsia="x-none"/>
        </w:rPr>
        <w:footnoteReference w:id="246"/>
      </w:r>
      <w:r w:rsidRPr="00B1523A">
        <w:rPr>
          <w:sz w:val="20"/>
          <w:szCs w:val="20"/>
          <w:lang w:val="es-ES" w:eastAsia="x-none"/>
        </w:rPr>
        <w:t>, y que la falta de atención médica adecuada puede conllevar la vulneración del artículo 5.1 de la Convención</w:t>
      </w:r>
      <w:r w:rsidRPr="00B1523A">
        <w:rPr>
          <w:rFonts w:cs="Verdana"/>
          <w:sz w:val="20"/>
          <w:szCs w:val="20"/>
          <w:vertAlign w:val="superscript"/>
          <w:lang w:val="es-ES" w:eastAsia="x-none"/>
        </w:rPr>
        <w:footnoteReference w:id="247"/>
      </w:r>
      <w:r w:rsidRPr="00B1523A">
        <w:rPr>
          <w:sz w:val="20"/>
          <w:szCs w:val="20"/>
          <w:lang w:val="es-ES" w:eastAsia="x-none"/>
        </w:rPr>
        <w:t>. En este sentido, la Corte ha sostenido que la protección del derecho a la integridad personal supone la regulación de los servicios de salud en el ámbito interno, así como la implementación de una serie de mecanismos tendientes a tutelar la efectividad de dicha regulación</w:t>
      </w:r>
      <w:r w:rsidRPr="00B1523A">
        <w:rPr>
          <w:sz w:val="20"/>
          <w:szCs w:val="20"/>
          <w:vertAlign w:val="superscript"/>
          <w:lang w:val="es-ES" w:eastAsia="x-none"/>
        </w:rPr>
        <w:footnoteReference w:id="248"/>
      </w:r>
      <w:r w:rsidR="007F108A">
        <w:rPr>
          <w:sz w:val="20"/>
          <w:szCs w:val="20"/>
          <w:lang w:val="es-ES" w:eastAsia="x-none"/>
        </w:rPr>
        <w:t xml:space="preserve"> (</w:t>
      </w:r>
      <w:r w:rsidR="007F108A" w:rsidRPr="00B1523A">
        <w:rPr>
          <w:i/>
          <w:sz w:val="20"/>
          <w:szCs w:val="20"/>
          <w:lang w:val="es-ES" w:eastAsia="x-none"/>
        </w:rPr>
        <w:t>supra</w:t>
      </w:r>
      <w:r w:rsidR="007F108A">
        <w:rPr>
          <w:sz w:val="20"/>
          <w:szCs w:val="20"/>
          <w:lang w:val="es-ES" w:eastAsia="x-none"/>
        </w:rPr>
        <w:t xml:space="preserve"> párr. 124)</w:t>
      </w:r>
      <w:r w:rsidRPr="00B1523A">
        <w:rPr>
          <w:sz w:val="20"/>
          <w:szCs w:val="20"/>
          <w:lang w:val="es-ES" w:eastAsia="x-none"/>
        </w:rPr>
        <w:t xml:space="preserve">. </w:t>
      </w:r>
      <w:r w:rsidRPr="00B1523A">
        <w:rPr>
          <w:sz w:val="20"/>
          <w:szCs w:val="20"/>
          <w:lang w:val="es-ES"/>
        </w:rPr>
        <w:t>Por tanto, esta</w:t>
      </w:r>
      <w:r w:rsidRPr="00AB1E03">
        <w:rPr>
          <w:b/>
          <w:sz w:val="20"/>
          <w:szCs w:val="20"/>
          <w:lang w:val="es-ES"/>
        </w:rPr>
        <w:t xml:space="preserve"> </w:t>
      </w:r>
      <w:r w:rsidRPr="00B1523A">
        <w:rPr>
          <w:sz w:val="20"/>
          <w:szCs w:val="20"/>
          <w:lang w:val="es-ES"/>
        </w:rPr>
        <w:t>Corte ha señalado que, a los efectos de dar cumplimiento a la obligación de garantizar el derecho a la integridad personal y en el marco de la salud,</w:t>
      </w:r>
      <w:r w:rsidRPr="00AB1E03">
        <w:rPr>
          <w:b/>
          <w:sz w:val="20"/>
          <w:szCs w:val="20"/>
          <w:lang w:val="es-ES"/>
        </w:rPr>
        <w:t xml:space="preserve"> </w:t>
      </w:r>
      <w:r w:rsidRPr="00B1523A">
        <w:rPr>
          <w:sz w:val="20"/>
          <w:szCs w:val="20"/>
          <w:lang w:val="es-ES"/>
        </w:rPr>
        <w:t>los Estados deben establecer un marco normativo adecuado que regule la prestación de servicios de salud, estableciendo estándares de calidad para las instituciones públicas y privadas, que permita prevenir cualquier amenaza de vulneración a la integridad personal en dichas prestaciones</w:t>
      </w:r>
      <w:r w:rsidRPr="00B1523A">
        <w:rPr>
          <w:rStyle w:val="FootnoteReference"/>
          <w:sz w:val="20"/>
          <w:szCs w:val="20"/>
          <w:lang w:val="es-ES"/>
        </w:rPr>
        <w:footnoteReference w:id="249"/>
      </w:r>
      <w:r w:rsidRPr="00B1523A">
        <w:rPr>
          <w:sz w:val="20"/>
          <w:szCs w:val="20"/>
          <w:lang w:val="es-ES"/>
        </w:rPr>
        <w:t>.</w:t>
      </w:r>
    </w:p>
    <w:p w14:paraId="41F31C88" w14:textId="77777777" w:rsidR="00967ED8" w:rsidRPr="00B1523A" w:rsidRDefault="00967ED8" w:rsidP="002570D1">
      <w:pPr>
        <w:rPr>
          <w:rFonts w:eastAsia="Calibri"/>
          <w:sz w:val="18"/>
          <w:szCs w:val="20"/>
          <w:lang w:val="es-CL" w:eastAsia="en-US"/>
        </w:rPr>
      </w:pPr>
    </w:p>
    <w:p w14:paraId="7490208D" w14:textId="04777F0F" w:rsidR="00F42440" w:rsidRPr="00B1523A" w:rsidRDefault="00F42440" w:rsidP="007E5CD5">
      <w:pPr>
        <w:numPr>
          <w:ilvl w:val="0"/>
          <w:numId w:val="2"/>
        </w:numPr>
        <w:tabs>
          <w:tab w:val="left" w:pos="567"/>
          <w:tab w:val="num" w:pos="1569"/>
          <w:tab w:val="num" w:pos="12305"/>
        </w:tabs>
        <w:ind w:left="0" w:firstLine="0"/>
        <w:rPr>
          <w:rFonts w:eastAsia="Calibri"/>
          <w:sz w:val="20"/>
          <w:szCs w:val="20"/>
          <w:lang w:eastAsia="en-US"/>
        </w:rPr>
      </w:pPr>
      <w:r w:rsidRPr="00B1523A">
        <w:rPr>
          <w:rFonts w:eastAsia="Calibri"/>
          <w:sz w:val="20"/>
          <w:szCs w:val="20"/>
          <w:lang w:val="es-CL" w:eastAsia="en-US"/>
        </w:rPr>
        <w:t xml:space="preserve">La Corte nota que </w:t>
      </w:r>
      <w:r w:rsidRPr="00B1523A">
        <w:rPr>
          <w:rFonts w:eastAsia="Calibri"/>
          <w:sz w:val="20"/>
          <w:szCs w:val="20"/>
          <w:lang w:eastAsia="en-US"/>
        </w:rPr>
        <w:t>en su declar</w:t>
      </w:r>
      <w:r w:rsidR="005F3EE7" w:rsidRPr="00B1523A">
        <w:rPr>
          <w:rFonts w:eastAsia="Calibri"/>
          <w:sz w:val="20"/>
          <w:szCs w:val="20"/>
          <w:lang w:eastAsia="en-US"/>
        </w:rPr>
        <w:t>ación ante esta Corte la Dra.</w:t>
      </w:r>
      <w:r w:rsidRPr="00B1523A">
        <w:rPr>
          <w:rFonts w:eastAsia="Calibri"/>
          <w:sz w:val="20"/>
          <w:szCs w:val="20"/>
          <w:lang w:eastAsia="en-US"/>
        </w:rPr>
        <w:t xml:space="preserve"> Sandra Castillo </w:t>
      </w:r>
      <w:proofErr w:type="spellStart"/>
      <w:r w:rsidRPr="00B1523A">
        <w:rPr>
          <w:rFonts w:eastAsia="Calibri"/>
          <w:sz w:val="20"/>
          <w:szCs w:val="20"/>
          <w:lang w:eastAsia="en-US"/>
        </w:rPr>
        <w:t>Montúfar</w:t>
      </w:r>
      <w:proofErr w:type="spellEnd"/>
      <w:r w:rsidRPr="00B1523A">
        <w:rPr>
          <w:rFonts w:eastAsia="Calibri"/>
          <w:sz w:val="20"/>
          <w:szCs w:val="20"/>
          <w:lang w:eastAsia="en-US"/>
        </w:rPr>
        <w:t xml:space="preserve"> manifestó que: </w:t>
      </w:r>
    </w:p>
    <w:p w14:paraId="61EB2802" w14:textId="77777777" w:rsidR="00F42440" w:rsidRPr="00B1523A" w:rsidRDefault="00F42440" w:rsidP="002570D1">
      <w:pPr>
        <w:rPr>
          <w:rFonts w:eastAsia="Calibri"/>
          <w:sz w:val="18"/>
          <w:szCs w:val="20"/>
          <w:lang w:eastAsia="en-US"/>
        </w:rPr>
      </w:pPr>
    </w:p>
    <w:p w14:paraId="14C7F1AB" w14:textId="4629D5A5" w:rsidR="00F42440" w:rsidRPr="00B1523A" w:rsidRDefault="00F42440" w:rsidP="00AB1E03">
      <w:pPr>
        <w:ind w:left="708"/>
        <w:rPr>
          <w:rFonts w:eastAsia="Calibri"/>
          <w:sz w:val="18"/>
          <w:szCs w:val="20"/>
          <w:lang w:val="es-CL" w:eastAsia="en-US"/>
        </w:rPr>
      </w:pPr>
      <w:r w:rsidRPr="00B1523A">
        <w:rPr>
          <w:rFonts w:eastAsia="Calibri"/>
          <w:sz w:val="18"/>
          <w:szCs w:val="20"/>
          <w:lang w:eastAsia="en-US"/>
        </w:rPr>
        <w:lastRenderedPageBreak/>
        <w:t xml:space="preserve">“posterior a la cirugía de mérito, el 5 de febrero de 2001 “[…] [a]l llegar al domicilio de don Vinicio Poblete Vilches [se encontró] con un paciente con un gran deterioro físico y psíquico, en un estado febril y </w:t>
      </w:r>
      <w:proofErr w:type="spellStart"/>
      <w:r w:rsidRPr="00B1523A">
        <w:rPr>
          <w:rFonts w:eastAsia="Calibri"/>
          <w:sz w:val="18"/>
          <w:szCs w:val="20"/>
          <w:lang w:eastAsia="en-US"/>
        </w:rPr>
        <w:t>estupuroso</w:t>
      </w:r>
      <w:proofErr w:type="spellEnd"/>
      <w:r w:rsidRPr="00B1523A">
        <w:rPr>
          <w:rFonts w:eastAsia="Calibri"/>
          <w:sz w:val="18"/>
          <w:szCs w:val="20"/>
          <w:lang w:eastAsia="en-US"/>
        </w:rPr>
        <w:t xml:space="preserve"> [sic] y en un estado de coma […] [e]</w:t>
      </w:r>
      <w:proofErr w:type="spellStart"/>
      <w:r w:rsidRPr="00B1523A">
        <w:rPr>
          <w:rFonts w:eastAsia="Calibri"/>
          <w:sz w:val="18"/>
          <w:szCs w:val="20"/>
          <w:lang w:eastAsia="en-US"/>
        </w:rPr>
        <w:t>ra</w:t>
      </w:r>
      <w:proofErr w:type="spellEnd"/>
      <w:r w:rsidRPr="00B1523A">
        <w:rPr>
          <w:rFonts w:eastAsia="Calibri"/>
          <w:sz w:val="18"/>
          <w:szCs w:val="20"/>
          <w:lang w:eastAsia="en-US"/>
        </w:rPr>
        <w:t xml:space="preserve"> una [sic] paciente grave con un cuadro séptico sin respuestas a estímulos, sensibilidades verbales o de gran sensibilidad. Estaba inconsciente por lo que debía ser trasladado de suma urgencia a un hospital […]”</w:t>
      </w:r>
      <w:r w:rsidRPr="00B1523A">
        <w:rPr>
          <w:rStyle w:val="FootnoteReference"/>
          <w:rFonts w:eastAsia="Calibri"/>
          <w:sz w:val="18"/>
          <w:szCs w:val="20"/>
          <w:lang w:eastAsia="en-US"/>
        </w:rPr>
        <w:footnoteReference w:id="250"/>
      </w:r>
      <w:r w:rsidRPr="00B1523A">
        <w:rPr>
          <w:rFonts w:eastAsia="Calibri"/>
          <w:sz w:val="18"/>
          <w:szCs w:val="20"/>
          <w:lang w:eastAsia="en-US"/>
        </w:rPr>
        <w:t xml:space="preserve">. </w:t>
      </w:r>
    </w:p>
    <w:p w14:paraId="6B4A7D9B" w14:textId="77777777" w:rsidR="00F42440" w:rsidRPr="00B1523A" w:rsidRDefault="00F42440" w:rsidP="002570D1">
      <w:pPr>
        <w:rPr>
          <w:rFonts w:eastAsia="Calibri"/>
          <w:sz w:val="18"/>
          <w:szCs w:val="20"/>
          <w:lang w:val="es-CL" w:eastAsia="en-US"/>
        </w:rPr>
      </w:pPr>
    </w:p>
    <w:p w14:paraId="016493BE" w14:textId="3C07D3B4" w:rsidR="00F42440" w:rsidRPr="00B1523A" w:rsidRDefault="00FC10FD" w:rsidP="007E5CD5">
      <w:pPr>
        <w:numPr>
          <w:ilvl w:val="0"/>
          <w:numId w:val="2"/>
        </w:numPr>
        <w:tabs>
          <w:tab w:val="left" w:pos="567"/>
          <w:tab w:val="num" w:pos="1569"/>
          <w:tab w:val="num" w:pos="12305"/>
        </w:tabs>
        <w:ind w:left="0" w:firstLine="0"/>
        <w:rPr>
          <w:rFonts w:eastAsia="Calibri"/>
          <w:sz w:val="20"/>
          <w:szCs w:val="20"/>
          <w:lang w:val="es-CL" w:eastAsia="en-US"/>
        </w:rPr>
      </w:pPr>
      <w:r w:rsidRPr="00B1523A">
        <w:rPr>
          <w:rFonts w:eastAsia="Calibri"/>
          <w:sz w:val="20"/>
          <w:szCs w:val="20"/>
          <w:lang w:val="es-CL" w:eastAsia="en-US"/>
        </w:rPr>
        <w:t xml:space="preserve">En relación con </w:t>
      </w:r>
      <w:r w:rsidR="007F108A">
        <w:rPr>
          <w:rFonts w:eastAsia="Calibri"/>
          <w:sz w:val="20"/>
          <w:szCs w:val="20"/>
          <w:lang w:val="es-CL" w:eastAsia="en-US"/>
        </w:rPr>
        <w:t xml:space="preserve">el </w:t>
      </w:r>
      <w:r w:rsidR="00F42440" w:rsidRPr="00B1523A">
        <w:rPr>
          <w:rFonts w:eastAsia="Calibri"/>
          <w:sz w:val="20"/>
          <w:szCs w:val="20"/>
          <w:lang w:val="es-CL" w:eastAsia="en-US"/>
        </w:rPr>
        <w:t xml:space="preserve">segundo ingreso, </w:t>
      </w:r>
      <w:r w:rsidRPr="00B1523A">
        <w:rPr>
          <w:rFonts w:eastAsia="Calibri"/>
          <w:sz w:val="20"/>
          <w:szCs w:val="20"/>
          <w:lang w:val="es-CL" w:eastAsia="en-US"/>
        </w:rPr>
        <w:t xml:space="preserve">los </w:t>
      </w:r>
      <w:r w:rsidRPr="00B1523A">
        <w:rPr>
          <w:rFonts w:eastAsia="Calibri"/>
          <w:sz w:val="20"/>
          <w:szCs w:val="20"/>
          <w:lang w:eastAsia="en-US"/>
        </w:rPr>
        <w:t>familiares señalaron</w:t>
      </w:r>
      <w:r w:rsidR="007C786B">
        <w:rPr>
          <w:rFonts w:eastAsia="Calibri"/>
          <w:sz w:val="20"/>
          <w:szCs w:val="20"/>
          <w:lang w:eastAsia="en-US"/>
        </w:rPr>
        <w:t>,</w:t>
      </w:r>
      <w:r w:rsidRPr="00B1523A">
        <w:rPr>
          <w:rFonts w:eastAsia="Calibri"/>
          <w:sz w:val="20"/>
          <w:szCs w:val="20"/>
          <w:lang w:eastAsia="en-US"/>
        </w:rPr>
        <w:t xml:space="preserve"> sobre la situación del señor Poblete</w:t>
      </w:r>
      <w:r w:rsidR="007C786B">
        <w:rPr>
          <w:rFonts w:eastAsia="Calibri"/>
          <w:sz w:val="20"/>
          <w:szCs w:val="20"/>
          <w:lang w:eastAsia="en-US"/>
        </w:rPr>
        <w:t>,</w:t>
      </w:r>
      <w:r w:rsidRPr="00B1523A">
        <w:rPr>
          <w:rFonts w:eastAsia="Calibri"/>
          <w:sz w:val="20"/>
          <w:szCs w:val="20"/>
          <w:lang w:eastAsia="en-US"/>
        </w:rPr>
        <w:t xml:space="preserve"> que:</w:t>
      </w:r>
    </w:p>
    <w:p w14:paraId="5C2CA215" w14:textId="77777777" w:rsidR="00F42440" w:rsidRPr="00B1523A" w:rsidRDefault="00F42440" w:rsidP="002570D1">
      <w:pPr>
        <w:rPr>
          <w:rFonts w:eastAsia="Calibri"/>
          <w:sz w:val="20"/>
          <w:lang w:val="es-CL" w:eastAsia="en-US"/>
        </w:rPr>
      </w:pPr>
    </w:p>
    <w:p w14:paraId="3942BD1B" w14:textId="242C7F74" w:rsidR="00FC10FD" w:rsidRPr="00B1523A" w:rsidRDefault="00FC10FD" w:rsidP="00AB1E03">
      <w:pPr>
        <w:ind w:left="708"/>
        <w:rPr>
          <w:rFonts w:eastAsia="Calibri"/>
          <w:sz w:val="18"/>
          <w:szCs w:val="20"/>
          <w:lang w:eastAsia="en-US"/>
        </w:rPr>
      </w:pPr>
      <w:r w:rsidRPr="00B1523A">
        <w:rPr>
          <w:rFonts w:eastAsia="Calibri"/>
          <w:sz w:val="18"/>
          <w:szCs w:val="20"/>
          <w:lang w:eastAsia="en-US"/>
        </w:rPr>
        <w:t xml:space="preserve">“lo dejaron hospitalizado en el pasillo, desnudo, tapado solo con una sabanilla, amarrado y sin supervisión médica [durante] dos días”’; que “el </w:t>
      </w:r>
      <w:proofErr w:type="spellStart"/>
      <w:r w:rsidRPr="00B1523A">
        <w:rPr>
          <w:rFonts w:eastAsia="Calibri"/>
          <w:sz w:val="18"/>
          <w:szCs w:val="20"/>
          <w:lang w:eastAsia="en-US"/>
        </w:rPr>
        <w:t>dia</w:t>
      </w:r>
      <w:proofErr w:type="spellEnd"/>
      <w:r w:rsidRPr="00B1523A">
        <w:rPr>
          <w:rFonts w:eastAsia="Calibri"/>
          <w:sz w:val="18"/>
          <w:szCs w:val="20"/>
          <w:lang w:eastAsia="en-US"/>
        </w:rPr>
        <w:t xml:space="preserve"> 6 de febrero [el señor Poblete Vilches] estaba aún peor y acostado en una camilla en un pasillo [y] [n]o lo habían ingresado aun a la UCI”, y que al día siguiente “a las cinco cuarenta de la mañana y luego de una larga agonía […] falleció”</w:t>
      </w:r>
      <w:r w:rsidRPr="00B1523A">
        <w:rPr>
          <w:rStyle w:val="FootnoteReference"/>
          <w:rFonts w:eastAsia="Calibri"/>
          <w:sz w:val="18"/>
          <w:szCs w:val="20"/>
          <w:lang w:eastAsia="en-US"/>
        </w:rPr>
        <w:footnoteReference w:id="251"/>
      </w:r>
      <w:r w:rsidRPr="00B1523A">
        <w:rPr>
          <w:rFonts w:eastAsia="Calibri"/>
          <w:sz w:val="18"/>
          <w:szCs w:val="20"/>
          <w:lang w:eastAsia="en-US"/>
        </w:rPr>
        <w:t xml:space="preserve">. </w:t>
      </w:r>
    </w:p>
    <w:p w14:paraId="305DCDFA" w14:textId="77777777" w:rsidR="00FC10FD" w:rsidRPr="00B1523A" w:rsidRDefault="00FC10FD" w:rsidP="002570D1">
      <w:pPr>
        <w:rPr>
          <w:rFonts w:eastAsia="Calibri"/>
          <w:sz w:val="18"/>
          <w:szCs w:val="20"/>
          <w:lang w:eastAsia="en-US"/>
        </w:rPr>
      </w:pPr>
    </w:p>
    <w:p w14:paraId="6A5AF74C" w14:textId="432F3A2D" w:rsidR="00967ED8" w:rsidRPr="00B1523A" w:rsidRDefault="00967ED8" w:rsidP="007E5CD5">
      <w:pPr>
        <w:numPr>
          <w:ilvl w:val="0"/>
          <w:numId w:val="2"/>
        </w:numPr>
        <w:tabs>
          <w:tab w:val="left" w:pos="567"/>
          <w:tab w:val="num" w:pos="1569"/>
          <w:tab w:val="num" w:pos="12305"/>
        </w:tabs>
        <w:ind w:left="0" w:firstLine="0"/>
        <w:rPr>
          <w:rFonts w:eastAsia="Calibri"/>
          <w:sz w:val="20"/>
          <w:szCs w:val="20"/>
          <w:lang w:val="es-CL" w:eastAsia="en-US"/>
        </w:rPr>
      </w:pPr>
      <w:r w:rsidRPr="00B1523A">
        <w:rPr>
          <w:rFonts w:eastAsia="Calibri"/>
          <w:sz w:val="20"/>
          <w:szCs w:val="20"/>
          <w:lang w:val="es-CL" w:eastAsia="en-US"/>
        </w:rPr>
        <w:t>En el presente caso la Corte verific</w:t>
      </w:r>
      <w:r w:rsidR="005644EC" w:rsidRPr="00B1523A">
        <w:rPr>
          <w:rFonts w:eastAsia="Calibri"/>
          <w:sz w:val="20"/>
          <w:szCs w:val="20"/>
          <w:lang w:val="es-CL" w:eastAsia="en-US"/>
        </w:rPr>
        <w:t xml:space="preserve">ó </w:t>
      </w:r>
      <w:r w:rsidRPr="00B1523A">
        <w:rPr>
          <w:rFonts w:eastAsia="Calibri"/>
          <w:sz w:val="20"/>
          <w:szCs w:val="20"/>
          <w:lang w:val="es-CL" w:eastAsia="en-US"/>
        </w:rPr>
        <w:t xml:space="preserve">distintas omisiones en la atención brindada que contribuyeron en el deterioro de la salud del señor </w:t>
      </w:r>
      <w:r w:rsidR="00187538" w:rsidRPr="00B1523A">
        <w:rPr>
          <w:rFonts w:eastAsia="Calibri"/>
          <w:sz w:val="20"/>
          <w:szCs w:val="20"/>
          <w:lang w:val="es-CL" w:eastAsia="en-US"/>
        </w:rPr>
        <w:t>Poblete</w:t>
      </w:r>
      <w:r w:rsidRPr="00B1523A">
        <w:rPr>
          <w:rFonts w:eastAsia="Calibri"/>
          <w:sz w:val="20"/>
          <w:szCs w:val="20"/>
          <w:lang w:val="es-CL" w:eastAsia="en-US"/>
        </w:rPr>
        <w:t xml:space="preserve"> Vilches (</w:t>
      </w:r>
      <w:r w:rsidRPr="00B1523A">
        <w:rPr>
          <w:rFonts w:eastAsia="Calibri"/>
          <w:i/>
          <w:sz w:val="20"/>
          <w:szCs w:val="20"/>
          <w:lang w:val="es-CL" w:eastAsia="en-US"/>
        </w:rPr>
        <w:t>supra</w:t>
      </w:r>
      <w:r w:rsidRPr="00B1523A">
        <w:rPr>
          <w:rFonts w:eastAsia="Calibri"/>
          <w:sz w:val="20"/>
          <w:szCs w:val="20"/>
          <w:lang w:val="es-CL" w:eastAsia="en-US"/>
        </w:rPr>
        <w:t xml:space="preserve"> </w:t>
      </w:r>
      <w:proofErr w:type="spellStart"/>
      <w:r w:rsidRPr="00B1523A">
        <w:rPr>
          <w:rFonts w:eastAsia="Calibri"/>
          <w:sz w:val="20"/>
          <w:szCs w:val="20"/>
          <w:lang w:val="es-CL" w:eastAsia="en-US"/>
        </w:rPr>
        <w:t>párrs</w:t>
      </w:r>
      <w:proofErr w:type="spellEnd"/>
      <w:r w:rsidRPr="00B1523A">
        <w:rPr>
          <w:rFonts w:eastAsia="Calibri"/>
          <w:sz w:val="20"/>
          <w:szCs w:val="20"/>
          <w:lang w:val="es-CL" w:eastAsia="en-US"/>
        </w:rPr>
        <w:t xml:space="preserve">. </w:t>
      </w:r>
      <w:r w:rsidR="007F108A">
        <w:rPr>
          <w:rFonts w:eastAsia="Calibri"/>
          <w:sz w:val="20"/>
          <w:szCs w:val="20"/>
          <w:lang w:val="es-CL" w:eastAsia="en-US"/>
        </w:rPr>
        <w:t>133 a 143</w:t>
      </w:r>
      <w:r w:rsidRPr="00B1523A">
        <w:rPr>
          <w:rFonts w:eastAsia="Calibri"/>
          <w:sz w:val="20"/>
          <w:szCs w:val="20"/>
          <w:lang w:val="es-CL" w:eastAsia="en-US"/>
        </w:rPr>
        <w:t xml:space="preserve">). </w:t>
      </w:r>
      <w:r w:rsidR="00187538" w:rsidRPr="00B1523A">
        <w:rPr>
          <w:rFonts w:eastAsia="Calibri"/>
          <w:sz w:val="20"/>
          <w:szCs w:val="20"/>
          <w:lang w:val="es-CL" w:eastAsia="en-US"/>
        </w:rPr>
        <w:t>Dichas omisiones</w:t>
      </w:r>
      <w:r w:rsidR="005644EC" w:rsidRPr="00B1523A">
        <w:rPr>
          <w:rFonts w:eastAsia="Calibri"/>
          <w:sz w:val="20"/>
          <w:szCs w:val="20"/>
          <w:lang w:val="es-CL" w:eastAsia="en-US"/>
        </w:rPr>
        <w:t xml:space="preserve">, </w:t>
      </w:r>
      <w:r w:rsidR="00847C4A">
        <w:rPr>
          <w:rFonts w:eastAsia="Calibri"/>
          <w:sz w:val="20"/>
          <w:szCs w:val="20"/>
          <w:lang w:val="es-CL" w:eastAsia="en-US"/>
        </w:rPr>
        <w:t xml:space="preserve">varias de ellas </w:t>
      </w:r>
      <w:r w:rsidR="005644EC" w:rsidRPr="00B1523A">
        <w:rPr>
          <w:rFonts w:eastAsia="Calibri"/>
          <w:sz w:val="20"/>
          <w:szCs w:val="20"/>
          <w:lang w:val="es-CL" w:eastAsia="en-US"/>
        </w:rPr>
        <w:t>reconocidas por el propio Estado,</w:t>
      </w:r>
      <w:r w:rsidR="00187538" w:rsidRPr="00B1523A">
        <w:rPr>
          <w:rFonts w:eastAsia="Calibri"/>
          <w:sz w:val="20"/>
          <w:szCs w:val="20"/>
          <w:lang w:val="es-CL" w:eastAsia="en-US"/>
        </w:rPr>
        <w:t xml:space="preserve"> se dieron </w:t>
      </w:r>
      <w:r w:rsidR="005644EC" w:rsidRPr="00B1523A">
        <w:rPr>
          <w:rFonts w:eastAsia="Calibri"/>
          <w:sz w:val="20"/>
          <w:szCs w:val="20"/>
          <w:lang w:val="es-CL" w:eastAsia="en-US"/>
        </w:rPr>
        <w:t xml:space="preserve">particularmente, tanto </w:t>
      </w:r>
      <w:r w:rsidR="00187538" w:rsidRPr="00B1523A">
        <w:rPr>
          <w:rFonts w:eastAsia="Calibri"/>
          <w:sz w:val="20"/>
          <w:szCs w:val="20"/>
          <w:lang w:val="es-CL" w:eastAsia="en-US"/>
        </w:rPr>
        <w:t>en el primer ingreso</w:t>
      </w:r>
      <w:r w:rsidR="005644EC" w:rsidRPr="00B1523A">
        <w:rPr>
          <w:rFonts w:eastAsia="Calibri"/>
          <w:sz w:val="20"/>
          <w:szCs w:val="20"/>
          <w:lang w:val="es-CL" w:eastAsia="en-US"/>
        </w:rPr>
        <w:t>,</w:t>
      </w:r>
      <w:r w:rsidR="00187538" w:rsidRPr="00B1523A">
        <w:rPr>
          <w:rFonts w:eastAsia="Calibri"/>
          <w:sz w:val="20"/>
          <w:szCs w:val="20"/>
          <w:lang w:val="es-CL" w:eastAsia="en-US"/>
        </w:rPr>
        <w:t xml:space="preserve"> con </w:t>
      </w:r>
      <w:r w:rsidR="005644EC" w:rsidRPr="00B1523A">
        <w:rPr>
          <w:rFonts w:eastAsia="Calibri"/>
          <w:sz w:val="20"/>
          <w:szCs w:val="20"/>
          <w:lang w:val="es-CL" w:eastAsia="en-US"/>
        </w:rPr>
        <w:t>el alta temprana y</w:t>
      </w:r>
      <w:r w:rsidR="00187538" w:rsidRPr="00B1523A">
        <w:rPr>
          <w:rFonts w:eastAsia="Calibri"/>
          <w:sz w:val="20"/>
          <w:szCs w:val="20"/>
          <w:lang w:val="es-CL" w:eastAsia="en-US"/>
        </w:rPr>
        <w:t xml:space="preserve"> la falta de información a los familiares respecto de la condición y cuidado del paciente, a fin de que pudieran </w:t>
      </w:r>
      <w:r w:rsidR="005644EC" w:rsidRPr="00B1523A">
        <w:rPr>
          <w:rFonts w:eastAsia="Calibri"/>
          <w:sz w:val="20"/>
          <w:szCs w:val="20"/>
          <w:lang w:val="es-CL" w:eastAsia="en-US"/>
        </w:rPr>
        <w:t xml:space="preserve">advertir </w:t>
      </w:r>
      <w:r w:rsidR="00187538" w:rsidRPr="00B1523A">
        <w:rPr>
          <w:rFonts w:eastAsia="Calibri"/>
          <w:sz w:val="20"/>
          <w:szCs w:val="20"/>
          <w:lang w:val="es-CL" w:eastAsia="en-US"/>
        </w:rPr>
        <w:t>adecuadamente los signos de alarma y la manera de cómo responder,</w:t>
      </w:r>
      <w:r w:rsidR="005644EC" w:rsidRPr="00B1523A">
        <w:rPr>
          <w:rFonts w:eastAsia="Calibri"/>
          <w:sz w:val="20"/>
          <w:szCs w:val="20"/>
          <w:lang w:val="es-CL" w:eastAsia="en-US"/>
        </w:rPr>
        <w:t xml:space="preserve"> así como</w:t>
      </w:r>
      <w:r w:rsidR="00187538" w:rsidRPr="00B1523A">
        <w:rPr>
          <w:rFonts w:eastAsia="Calibri"/>
          <w:sz w:val="20"/>
          <w:szCs w:val="20"/>
          <w:lang w:val="es-CL" w:eastAsia="en-US"/>
        </w:rPr>
        <w:t xml:space="preserve"> </w:t>
      </w:r>
      <w:r w:rsidR="005644EC" w:rsidRPr="00B1523A">
        <w:rPr>
          <w:rFonts w:eastAsia="Calibri"/>
          <w:sz w:val="20"/>
          <w:szCs w:val="20"/>
          <w:lang w:val="es-CL" w:eastAsia="en-US"/>
        </w:rPr>
        <w:t>en el segundo ingreso con la negación de los servicios básicos que requería, y en su caso la ausencia de traslado a otro centro con disponibilidad</w:t>
      </w:r>
      <w:r w:rsidR="00C569E5" w:rsidRPr="00B1523A">
        <w:rPr>
          <w:rFonts w:eastAsia="Calibri"/>
          <w:sz w:val="20"/>
          <w:szCs w:val="20"/>
          <w:lang w:val="es-CL" w:eastAsia="en-US"/>
        </w:rPr>
        <w:t>.</w:t>
      </w:r>
      <w:r w:rsidR="005F3EE7" w:rsidRPr="00B1523A">
        <w:rPr>
          <w:rFonts w:eastAsia="Calibri"/>
          <w:sz w:val="20"/>
          <w:szCs w:val="20"/>
          <w:lang w:val="es-CL" w:eastAsia="en-US"/>
        </w:rPr>
        <w:t xml:space="preserve"> </w:t>
      </w:r>
      <w:r w:rsidR="007C786B">
        <w:rPr>
          <w:rFonts w:eastAsia="Calibri"/>
          <w:sz w:val="20"/>
          <w:szCs w:val="20"/>
          <w:lang w:val="es-CL" w:eastAsia="en-US"/>
        </w:rPr>
        <w:t xml:space="preserve">Particularmente, </w:t>
      </w:r>
      <w:r w:rsidR="007C786B">
        <w:rPr>
          <w:rFonts w:eastAsia="Calibri"/>
          <w:color w:val="000000" w:themeColor="text1"/>
          <w:sz w:val="20"/>
          <w:szCs w:val="20"/>
          <w:lang w:val="es-CL" w:eastAsia="en-US"/>
        </w:rPr>
        <w:t>d</w:t>
      </w:r>
      <w:r w:rsidR="00C569E5" w:rsidRPr="00B1523A">
        <w:rPr>
          <w:rFonts w:eastAsia="Calibri"/>
          <w:color w:val="000000" w:themeColor="text1"/>
          <w:sz w:val="20"/>
          <w:szCs w:val="20"/>
          <w:lang w:val="es-CL" w:eastAsia="en-US"/>
        </w:rPr>
        <w:t xml:space="preserve">ichas </w:t>
      </w:r>
      <w:r w:rsidR="005F3EE7" w:rsidRPr="00B1523A">
        <w:rPr>
          <w:rFonts w:eastAsia="Calibri"/>
          <w:color w:val="000000" w:themeColor="text1"/>
          <w:sz w:val="20"/>
          <w:szCs w:val="20"/>
          <w:lang w:val="es-CL" w:eastAsia="en-US"/>
        </w:rPr>
        <w:t xml:space="preserve">situaciones </w:t>
      </w:r>
      <w:r w:rsidR="00C569E5" w:rsidRPr="00B1523A">
        <w:rPr>
          <w:rFonts w:eastAsia="Calibri"/>
          <w:color w:val="000000" w:themeColor="text1"/>
          <w:sz w:val="20"/>
          <w:szCs w:val="20"/>
          <w:lang w:val="es-CL" w:eastAsia="en-US"/>
        </w:rPr>
        <w:t xml:space="preserve">derivaron </w:t>
      </w:r>
      <w:r w:rsidR="007F108A">
        <w:rPr>
          <w:rFonts w:eastAsia="Calibri"/>
          <w:color w:val="000000" w:themeColor="text1"/>
          <w:sz w:val="20"/>
          <w:szCs w:val="20"/>
          <w:lang w:val="es-CL" w:eastAsia="en-US"/>
        </w:rPr>
        <w:t xml:space="preserve">en </w:t>
      </w:r>
      <w:r w:rsidR="00C569E5" w:rsidRPr="00B1523A">
        <w:rPr>
          <w:rFonts w:eastAsia="Calibri"/>
          <w:color w:val="000000" w:themeColor="text1"/>
          <w:sz w:val="20"/>
          <w:szCs w:val="20"/>
          <w:lang w:val="es-CL" w:eastAsia="en-US"/>
        </w:rPr>
        <w:t>que, durante al menos cinco días,</w:t>
      </w:r>
      <w:r w:rsidR="005F3EE7" w:rsidRPr="00B1523A">
        <w:rPr>
          <w:rFonts w:eastAsia="Calibri"/>
          <w:color w:val="000000" w:themeColor="text1"/>
          <w:sz w:val="20"/>
          <w:szCs w:val="20"/>
          <w:lang w:val="es-CL" w:eastAsia="en-US"/>
        </w:rPr>
        <w:t xml:space="preserve"> el s</w:t>
      </w:r>
      <w:r w:rsidR="00C569E5" w:rsidRPr="00B1523A">
        <w:rPr>
          <w:rFonts w:eastAsia="Calibri"/>
          <w:color w:val="000000" w:themeColor="text1"/>
          <w:sz w:val="20"/>
          <w:szCs w:val="20"/>
          <w:lang w:val="es-CL" w:eastAsia="en-US"/>
        </w:rPr>
        <w:t>eñor Poblete Vilches experimentara</w:t>
      </w:r>
      <w:r w:rsidR="005F3EE7" w:rsidRPr="00B1523A">
        <w:rPr>
          <w:rFonts w:eastAsia="Calibri"/>
          <w:color w:val="000000" w:themeColor="text1"/>
          <w:sz w:val="20"/>
          <w:szCs w:val="20"/>
          <w:lang w:val="es-CL" w:eastAsia="en-US"/>
        </w:rPr>
        <w:t xml:space="preserve"> </w:t>
      </w:r>
      <w:r w:rsidR="001A65F9" w:rsidRPr="00B1523A">
        <w:rPr>
          <w:rFonts w:eastAsia="Calibri"/>
          <w:color w:val="000000" w:themeColor="text1"/>
          <w:sz w:val="20"/>
          <w:szCs w:val="20"/>
          <w:lang w:val="es-CL" w:eastAsia="en-US"/>
        </w:rPr>
        <w:t xml:space="preserve">diversos </w:t>
      </w:r>
      <w:r w:rsidR="00C569E5" w:rsidRPr="00B1523A">
        <w:rPr>
          <w:rFonts w:eastAsia="Calibri"/>
          <w:color w:val="000000" w:themeColor="text1"/>
          <w:sz w:val="20"/>
          <w:szCs w:val="20"/>
          <w:lang w:val="es-CL" w:eastAsia="en-US"/>
        </w:rPr>
        <w:t>sufrimientos motivo de la desatención a sus particulares condiciones de salud</w:t>
      </w:r>
      <w:r w:rsidR="00291E55">
        <w:rPr>
          <w:rFonts w:eastAsia="Calibri"/>
          <w:color w:val="000000" w:themeColor="text1"/>
          <w:sz w:val="20"/>
          <w:szCs w:val="20"/>
          <w:lang w:val="es-CL" w:eastAsia="en-US"/>
        </w:rPr>
        <w:t xml:space="preserve"> </w:t>
      </w:r>
      <w:r w:rsidR="00291E55">
        <w:rPr>
          <w:rFonts w:eastAsia="Calibri"/>
          <w:sz w:val="20"/>
          <w:szCs w:val="20"/>
          <w:lang w:val="es-CL" w:eastAsia="en-US"/>
        </w:rPr>
        <w:t>(</w:t>
      </w:r>
      <w:r w:rsidR="007D42DC">
        <w:rPr>
          <w:rFonts w:eastAsia="Calibri"/>
          <w:i/>
          <w:sz w:val="20"/>
          <w:szCs w:val="20"/>
          <w:lang w:val="es-CL" w:eastAsia="en-US"/>
        </w:rPr>
        <w:t>supra</w:t>
      </w:r>
      <w:r w:rsidR="00291E55">
        <w:rPr>
          <w:rFonts w:eastAsia="Calibri"/>
          <w:sz w:val="20"/>
          <w:szCs w:val="20"/>
          <w:lang w:val="es-CL" w:eastAsia="en-US"/>
        </w:rPr>
        <w:t xml:space="preserve"> </w:t>
      </w:r>
      <w:proofErr w:type="spellStart"/>
      <w:r w:rsidR="00291E55">
        <w:rPr>
          <w:rFonts w:eastAsia="Calibri"/>
          <w:sz w:val="20"/>
          <w:szCs w:val="20"/>
          <w:lang w:val="es-CL" w:eastAsia="en-US"/>
        </w:rPr>
        <w:t>párrs</w:t>
      </w:r>
      <w:proofErr w:type="spellEnd"/>
      <w:r w:rsidR="00291E55">
        <w:rPr>
          <w:rFonts w:eastAsia="Calibri"/>
          <w:sz w:val="20"/>
          <w:szCs w:val="20"/>
          <w:lang w:val="es-CL" w:eastAsia="en-US"/>
        </w:rPr>
        <w:t>. 153 y 154)</w:t>
      </w:r>
      <w:r w:rsidR="005644EC" w:rsidRPr="00B1523A">
        <w:rPr>
          <w:rFonts w:eastAsia="Calibri"/>
          <w:sz w:val="20"/>
          <w:szCs w:val="20"/>
          <w:lang w:val="es-CL" w:eastAsia="en-US"/>
        </w:rPr>
        <w:t xml:space="preserve">. Al respecto, la Corte estima que </w:t>
      </w:r>
      <w:r w:rsidR="00291E55">
        <w:rPr>
          <w:rFonts w:eastAsia="Calibri"/>
          <w:sz w:val="20"/>
          <w:szCs w:val="20"/>
          <w:lang w:val="es-CL" w:eastAsia="en-US"/>
        </w:rPr>
        <w:t>tales</w:t>
      </w:r>
      <w:r w:rsidR="00E7256E" w:rsidRPr="00B1523A">
        <w:rPr>
          <w:rFonts w:eastAsia="Calibri"/>
          <w:sz w:val="20"/>
          <w:szCs w:val="20"/>
          <w:lang w:val="es-CL" w:eastAsia="en-US"/>
        </w:rPr>
        <w:t xml:space="preserve"> hechos anteriormente enunciados constituyen una vulneración de </w:t>
      </w:r>
      <w:r w:rsidR="005644EC" w:rsidRPr="00B1523A">
        <w:rPr>
          <w:rFonts w:eastAsia="Calibri"/>
          <w:sz w:val="20"/>
          <w:szCs w:val="20"/>
          <w:lang w:val="es-CL" w:eastAsia="en-US"/>
        </w:rPr>
        <w:t>su derecho a la integridad personal</w:t>
      </w:r>
      <w:r w:rsidR="002740DF" w:rsidRPr="00B1523A">
        <w:rPr>
          <w:rFonts w:eastAsia="Calibri"/>
          <w:sz w:val="20"/>
          <w:szCs w:val="20"/>
          <w:lang w:val="es-CL" w:eastAsia="en-US"/>
        </w:rPr>
        <w:t>, así</w:t>
      </w:r>
      <w:r w:rsidR="007C786B">
        <w:rPr>
          <w:rFonts w:eastAsia="Calibri"/>
          <w:sz w:val="20"/>
          <w:szCs w:val="20"/>
          <w:lang w:val="es-CL" w:eastAsia="en-US"/>
        </w:rPr>
        <w:t xml:space="preserve"> </w:t>
      </w:r>
      <w:r w:rsidR="002740DF" w:rsidRPr="00B1523A">
        <w:rPr>
          <w:rFonts w:eastAsia="Calibri"/>
          <w:sz w:val="20"/>
          <w:szCs w:val="20"/>
          <w:lang w:val="es-CL" w:eastAsia="en-US"/>
        </w:rPr>
        <w:t xml:space="preserve">reconocido por el </w:t>
      </w:r>
      <w:r w:rsidR="007F108A">
        <w:rPr>
          <w:rFonts w:eastAsia="Calibri"/>
          <w:sz w:val="20"/>
          <w:szCs w:val="20"/>
          <w:lang w:val="es-CL" w:eastAsia="en-US"/>
        </w:rPr>
        <w:t xml:space="preserve">propio </w:t>
      </w:r>
      <w:r w:rsidR="002740DF" w:rsidRPr="00B1523A">
        <w:rPr>
          <w:rFonts w:eastAsia="Calibri"/>
          <w:sz w:val="20"/>
          <w:szCs w:val="20"/>
          <w:lang w:val="es-CL" w:eastAsia="en-US"/>
        </w:rPr>
        <w:t>Estado</w:t>
      </w:r>
      <w:r w:rsidR="005644EC" w:rsidRPr="00B1523A">
        <w:rPr>
          <w:rFonts w:eastAsia="Calibri"/>
          <w:sz w:val="20"/>
          <w:szCs w:val="20"/>
          <w:lang w:val="es-CL" w:eastAsia="en-US"/>
        </w:rPr>
        <w:t xml:space="preserve">. </w:t>
      </w:r>
    </w:p>
    <w:p w14:paraId="264FCC0D" w14:textId="77777777" w:rsidR="00967ED8" w:rsidRPr="00AB1E03" w:rsidRDefault="00967ED8" w:rsidP="002570D1">
      <w:pPr>
        <w:rPr>
          <w:rFonts w:eastAsia="Calibri"/>
          <w:sz w:val="18"/>
          <w:szCs w:val="20"/>
          <w:lang w:val="es-CL" w:eastAsia="en-US"/>
        </w:rPr>
      </w:pPr>
    </w:p>
    <w:p w14:paraId="7BCC8658" w14:textId="2A86B130" w:rsidR="002570D1" w:rsidRPr="00C96765" w:rsidRDefault="002570D1" w:rsidP="00AB1E03">
      <w:pPr>
        <w:numPr>
          <w:ilvl w:val="0"/>
          <w:numId w:val="2"/>
        </w:numPr>
        <w:tabs>
          <w:tab w:val="left" w:pos="567"/>
          <w:tab w:val="num" w:pos="1569"/>
          <w:tab w:val="num" w:pos="12305"/>
        </w:tabs>
        <w:ind w:left="0" w:firstLine="0"/>
        <w:rPr>
          <w:rFonts w:eastAsia="Calibri"/>
          <w:sz w:val="20"/>
          <w:szCs w:val="20"/>
          <w:lang w:val="es-ES_tradnl" w:eastAsia="en-US"/>
        </w:rPr>
      </w:pPr>
      <w:r w:rsidRPr="00C96765">
        <w:rPr>
          <w:rFonts w:eastAsia="Calibri"/>
          <w:sz w:val="20"/>
          <w:szCs w:val="20"/>
          <w:lang w:val="es-ES_tradnl" w:eastAsia="en-US"/>
        </w:rPr>
        <w:t xml:space="preserve">En vista de </w:t>
      </w:r>
      <w:r w:rsidR="000262AD" w:rsidRPr="00C96765">
        <w:rPr>
          <w:rFonts w:eastAsia="Calibri"/>
          <w:sz w:val="20"/>
          <w:szCs w:val="20"/>
          <w:lang w:val="es-ES_tradnl" w:eastAsia="en-US"/>
        </w:rPr>
        <w:t>lo anterior</w:t>
      </w:r>
      <w:r w:rsidRPr="00C96765">
        <w:rPr>
          <w:rFonts w:eastAsia="Calibri"/>
          <w:sz w:val="20"/>
          <w:szCs w:val="20"/>
          <w:lang w:val="es-ES_tradnl" w:eastAsia="en-US"/>
        </w:rPr>
        <w:t>, el Tribunal concluye que el Estado es responsable por la violación del deber de garantía de</w:t>
      </w:r>
      <w:r w:rsidR="005644EC" w:rsidRPr="00C96765">
        <w:rPr>
          <w:rFonts w:eastAsia="Calibri"/>
          <w:sz w:val="20"/>
          <w:szCs w:val="20"/>
          <w:lang w:val="es-ES_tradnl" w:eastAsia="en-US"/>
        </w:rPr>
        <w:t xml:space="preserve"> los</w:t>
      </w:r>
      <w:r w:rsidRPr="00B1523A">
        <w:rPr>
          <w:rFonts w:eastAsia="Calibri"/>
          <w:sz w:val="20"/>
          <w:szCs w:val="20"/>
          <w:lang w:val="es-ES_tradnl" w:eastAsia="en-US"/>
        </w:rPr>
        <w:t xml:space="preserve"> derecho</w:t>
      </w:r>
      <w:r w:rsidR="005644EC" w:rsidRPr="00B1523A">
        <w:rPr>
          <w:rFonts w:eastAsia="Calibri"/>
          <w:sz w:val="20"/>
          <w:szCs w:val="20"/>
          <w:lang w:val="es-ES_tradnl" w:eastAsia="en-US"/>
        </w:rPr>
        <w:t>s</w:t>
      </w:r>
      <w:r w:rsidRPr="00C96765">
        <w:rPr>
          <w:rFonts w:eastAsia="Calibri"/>
          <w:sz w:val="20"/>
          <w:szCs w:val="20"/>
          <w:lang w:val="es-ES_tradnl" w:eastAsia="en-US"/>
        </w:rPr>
        <w:t xml:space="preserve"> a la vida</w:t>
      </w:r>
      <w:r w:rsidR="005644EC" w:rsidRPr="00C96765">
        <w:rPr>
          <w:rFonts w:eastAsia="Calibri"/>
          <w:sz w:val="20"/>
          <w:szCs w:val="20"/>
          <w:lang w:val="es-ES_tradnl" w:eastAsia="en-US"/>
        </w:rPr>
        <w:t xml:space="preserve"> e integridad personal</w:t>
      </w:r>
      <w:r w:rsidRPr="00C96765">
        <w:rPr>
          <w:rFonts w:eastAsia="Calibri"/>
          <w:sz w:val="20"/>
          <w:szCs w:val="20"/>
          <w:lang w:val="es-ES_tradnl" w:eastAsia="en-US"/>
        </w:rPr>
        <w:t xml:space="preserve">, </w:t>
      </w:r>
      <w:r w:rsidR="000262AD" w:rsidRPr="00C96765">
        <w:rPr>
          <w:rFonts w:eastAsia="Calibri"/>
          <w:sz w:val="20"/>
          <w:szCs w:val="20"/>
          <w:lang w:val="es-ES_tradnl" w:eastAsia="en-US"/>
        </w:rPr>
        <w:t>reconocido</w:t>
      </w:r>
      <w:r w:rsidR="005644EC" w:rsidRPr="00B1523A">
        <w:rPr>
          <w:rFonts w:eastAsia="Calibri"/>
          <w:sz w:val="20"/>
          <w:szCs w:val="20"/>
          <w:lang w:val="es-ES_tradnl" w:eastAsia="en-US"/>
        </w:rPr>
        <w:t>s</w:t>
      </w:r>
      <w:r w:rsidR="000262AD" w:rsidRPr="00C96765">
        <w:rPr>
          <w:rFonts w:eastAsia="Calibri"/>
          <w:sz w:val="20"/>
          <w:szCs w:val="20"/>
          <w:lang w:val="es-ES_tradnl" w:eastAsia="en-US"/>
        </w:rPr>
        <w:t xml:space="preserve"> en los artículos 4</w:t>
      </w:r>
      <w:r w:rsidR="005644EC" w:rsidRPr="00C96765">
        <w:rPr>
          <w:rFonts w:eastAsia="Calibri"/>
          <w:sz w:val="20"/>
          <w:szCs w:val="20"/>
          <w:lang w:val="es-ES_tradnl" w:eastAsia="en-US"/>
        </w:rPr>
        <w:t xml:space="preserve"> y 5 </w:t>
      </w:r>
      <w:r w:rsidR="000262AD" w:rsidRPr="00C96765">
        <w:rPr>
          <w:rFonts w:eastAsia="Calibri"/>
          <w:sz w:val="20"/>
          <w:szCs w:val="20"/>
          <w:lang w:val="es-ES_tradnl" w:eastAsia="en-US"/>
        </w:rPr>
        <w:t xml:space="preserve">de la Convención Americana, </w:t>
      </w:r>
      <w:r w:rsidRPr="00C96765">
        <w:rPr>
          <w:rFonts w:eastAsia="Calibri"/>
          <w:sz w:val="20"/>
          <w:szCs w:val="20"/>
          <w:lang w:val="es-ES_tradnl" w:eastAsia="en-US"/>
        </w:rPr>
        <w:t xml:space="preserve">en relación con </w:t>
      </w:r>
      <w:r w:rsidR="004669FF" w:rsidRPr="00C96765">
        <w:rPr>
          <w:rFonts w:eastAsia="Calibri"/>
          <w:sz w:val="20"/>
          <w:szCs w:val="20"/>
          <w:lang w:val="es-ES_tradnl" w:eastAsia="en-US"/>
        </w:rPr>
        <w:t>los</w:t>
      </w:r>
      <w:r w:rsidRPr="00C96765">
        <w:rPr>
          <w:rFonts w:eastAsia="Calibri"/>
          <w:sz w:val="20"/>
          <w:szCs w:val="20"/>
          <w:lang w:val="es-ES_tradnl" w:eastAsia="en-US"/>
        </w:rPr>
        <w:t xml:space="preserve"> derecho</w:t>
      </w:r>
      <w:r w:rsidR="004669FF" w:rsidRPr="00C96765">
        <w:rPr>
          <w:rFonts w:eastAsia="Calibri"/>
          <w:sz w:val="20"/>
          <w:szCs w:val="20"/>
          <w:lang w:val="es-ES_tradnl" w:eastAsia="en-US"/>
        </w:rPr>
        <w:t>s</w:t>
      </w:r>
      <w:r w:rsidRPr="00C96765">
        <w:rPr>
          <w:rFonts w:eastAsia="Calibri"/>
          <w:sz w:val="20"/>
          <w:szCs w:val="20"/>
          <w:lang w:val="es-ES_tradnl" w:eastAsia="en-US"/>
        </w:rPr>
        <w:t xml:space="preserve"> a la salud y no discriminación, </w:t>
      </w:r>
      <w:r w:rsidR="004669FF" w:rsidRPr="00C96765">
        <w:rPr>
          <w:rFonts w:eastAsia="Calibri"/>
          <w:sz w:val="20"/>
          <w:szCs w:val="20"/>
          <w:lang w:val="es-ES_tradnl" w:eastAsia="en-US"/>
        </w:rPr>
        <w:t xml:space="preserve">de conformidad con </w:t>
      </w:r>
      <w:r w:rsidR="000262AD" w:rsidRPr="00C96765">
        <w:rPr>
          <w:rFonts w:eastAsia="Calibri"/>
          <w:sz w:val="20"/>
          <w:szCs w:val="20"/>
          <w:lang w:val="es-ES_tradnl" w:eastAsia="en-US"/>
        </w:rPr>
        <w:t>los artículos</w:t>
      </w:r>
      <w:r w:rsidR="001E299B" w:rsidRPr="00C96765">
        <w:rPr>
          <w:rFonts w:eastAsia="Calibri"/>
          <w:sz w:val="20"/>
          <w:szCs w:val="20"/>
          <w:lang w:val="es-ES_tradnl" w:eastAsia="en-US"/>
        </w:rPr>
        <w:t xml:space="preserve"> </w:t>
      </w:r>
      <w:r w:rsidRPr="00C96765">
        <w:rPr>
          <w:rFonts w:eastAsia="Calibri"/>
          <w:sz w:val="20"/>
          <w:szCs w:val="20"/>
          <w:lang w:val="es-ES_tradnl" w:eastAsia="en-US"/>
        </w:rPr>
        <w:t>26</w:t>
      </w:r>
      <w:r w:rsidR="001E299B" w:rsidRPr="00C96765">
        <w:rPr>
          <w:rFonts w:eastAsia="Calibri"/>
          <w:sz w:val="20"/>
          <w:szCs w:val="20"/>
          <w:lang w:val="es-ES_tradnl" w:eastAsia="en-US"/>
        </w:rPr>
        <w:t xml:space="preserve"> y 1.1</w:t>
      </w:r>
      <w:r w:rsidRPr="00C96765">
        <w:rPr>
          <w:rFonts w:eastAsia="Calibri"/>
          <w:sz w:val="20"/>
          <w:szCs w:val="20"/>
          <w:lang w:val="es-ES_tradnl" w:eastAsia="en-US"/>
        </w:rPr>
        <w:t xml:space="preserve"> de la </w:t>
      </w:r>
      <w:r w:rsidR="000262AD" w:rsidRPr="00C96765">
        <w:rPr>
          <w:rFonts w:eastAsia="Calibri"/>
          <w:sz w:val="20"/>
          <w:szCs w:val="20"/>
          <w:lang w:val="es-ES_tradnl" w:eastAsia="en-US"/>
        </w:rPr>
        <w:t>misma</w:t>
      </w:r>
      <w:r w:rsidRPr="00C96765">
        <w:rPr>
          <w:rFonts w:eastAsia="Calibri"/>
          <w:sz w:val="20"/>
          <w:szCs w:val="20"/>
          <w:lang w:val="es-ES_tradnl" w:eastAsia="en-US"/>
        </w:rPr>
        <w:t xml:space="preserve">, en perjuicio del señor Poblete Vilches. </w:t>
      </w:r>
    </w:p>
    <w:p w14:paraId="704AE3F0" w14:textId="77777777" w:rsidR="002570D1" w:rsidRPr="00EB31AC" w:rsidRDefault="00164C05" w:rsidP="009F4015">
      <w:pPr>
        <w:pStyle w:val="Heading4"/>
        <w:ind w:left="1276"/>
        <w:rPr>
          <w:rFonts w:eastAsia="Calibri"/>
          <w:b/>
          <w:lang w:val="es-ES" w:eastAsia="x-none"/>
        </w:rPr>
      </w:pPr>
      <w:bookmarkStart w:id="84" w:name="_Toc513644472"/>
      <w:r>
        <w:rPr>
          <w:rFonts w:eastAsia="Calibri"/>
          <w:b/>
          <w:lang w:val="es-ES_tradnl" w:eastAsia="en-US"/>
        </w:rPr>
        <w:t xml:space="preserve">1.3 </w:t>
      </w:r>
      <w:r w:rsidR="002570D1" w:rsidRPr="000F4170">
        <w:rPr>
          <w:rFonts w:eastAsia="Calibri"/>
          <w:b/>
          <w:lang w:val="es-ES_tradnl" w:eastAsia="en-US"/>
        </w:rPr>
        <w:t>Derecho al consentimiento informado en materia de salud</w:t>
      </w:r>
      <w:r w:rsidR="00B92B58" w:rsidRPr="000F4170">
        <w:rPr>
          <w:rFonts w:eastAsia="Calibri"/>
          <w:b/>
          <w:lang w:val="es-ES_tradnl" w:eastAsia="en-US"/>
        </w:rPr>
        <w:t xml:space="preserve"> y  acceso a la información</w:t>
      </w:r>
      <w:bookmarkEnd w:id="84"/>
    </w:p>
    <w:p w14:paraId="041765B4" w14:textId="77777777" w:rsidR="002570D1" w:rsidRDefault="002570D1" w:rsidP="002570D1">
      <w:pPr>
        <w:ind w:right="-360"/>
        <w:rPr>
          <w:rFonts w:eastAsia="Calibri"/>
          <w:sz w:val="20"/>
          <w:szCs w:val="20"/>
          <w:lang w:val="es-ES_tradnl" w:eastAsia="en-US"/>
        </w:rPr>
      </w:pPr>
    </w:p>
    <w:p w14:paraId="67D02B37" w14:textId="38328A0B" w:rsidR="00BC5B4D" w:rsidRPr="009F4015" w:rsidRDefault="00BC5B4D" w:rsidP="009F4015">
      <w:pPr>
        <w:pStyle w:val="Heading4"/>
        <w:spacing w:before="0"/>
        <w:ind w:left="2124"/>
        <w:rPr>
          <w:rFonts w:eastAsia="Calibri"/>
          <w:b/>
          <w:lang w:val="es-ES_tradnl" w:eastAsia="en-US"/>
        </w:rPr>
      </w:pPr>
      <w:bookmarkStart w:id="85" w:name="_Toc513644473"/>
      <w:r w:rsidRPr="009F4015">
        <w:rPr>
          <w:rFonts w:eastAsia="Calibri"/>
          <w:b/>
          <w:lang w:val="es-ES_tradnl" w:eastAsia="en-US"/>
        </w:rPr>
        <w:t>1.3.1. Respecto del señor Vinicio Poblete y el reconocimiento parcial de responsabilidad del Estado</w:t>
      </w:r>
      <w:bookmarkEnd w:id="85"/>
    </w:p>
    <w:p w14:paraId="255D5EEC" w14:textId="77777777" w:rsidR="00BC5B4D" w:rsidRPr="002570D1" w:rsidRDefault="00BC5B4D" w:rsidP="002570D1">
      <w:pPr>
        <w:ind w:right="-360"/>
        <w:rPr>
          <w:rFonts w:eastAsia="Calibri"/>
          <w:sz w:val="20"/>
          <w:szCs w:val="20"/>
          <w:lang w:val="es-ES_tradnl" w:eastAsia="en-US"/>
        </w:rPr>
      </w:pPr>
    </w:p>
    <w:p w14:paraId="10A55314" w14:textId="0E41354A" w:rsidR="002570D1" w:rsidRDefault="002570D1" w:rsidP="002570D1">
      <w:pPr>
        <w:numPr>
          <w:ilvl w:val="0"/>
          <w:numId w:val="2"/>
        </w:numPr>
        <w:tabs>
          <w:tab w:val="left" w:pos="567"/>
          <w:tab w:val="num" w:pos="1569"/>
          <w:tab w:val="num" w:pos="12305"/>
        </w:tabs>
        <w:ind w:left="0" w:firstLine="0"/>
        <w:rPr>
          <w:rFonts w:eastAsia="Calibri"/>
          <w:sz w:val="20"/>
          <w:szCs w:val="20"/>
          <w:lang w:val="es-ES_tradnl" w:eastAsia="en-US"/>
        </w:rPr>
      </w:pPr>
      <w:r w:rsidRPr="002570D1">
        <w:rPr>
          <w:rFonts w:eastAsia="Calibri"/>
          <w:sz w:val="20"/>
          <w:szCs w:val="20"/>
          <w:lang w:val="es-ES_tradnl" w:eastAsia="en-US"/>
        </w:rPr>
        <w:t xml:space="preserve">En el presente caso, la Corte advierte que no existe controversia sobre las violaciones </w:t>
      </w:r>
      <w:r w:rsidR="008867EC" w:rsidRPr="002570D1">
        <w:rPr>
          <w:rFonts w:eastAsia="Calibri"/>
          <w:sz w:val="20"/>
          <w:szCs w:val="20"/>
          <w:lang w:val="es-ES_tradnl" w:eastAsia="en-US"/>
        </w:rPr>
        <w:t xml:space="preserve">de la Convención </w:t>
      </w:r>
      <w:r w:rsidR="008867EC">
        <w:rPr>
          <w:rFonts w:eastAsia="Calibri"/>
          <w:sz w:val="20"/>
          <w:szCs w:val="20"/>
          <w:lang w:val="es-ES_tradnl" w:eastAsia="en-US"/>
        </w:rPr>
        <w:t xml:space="preserve">alegadas </w:t>
      </w:r>
      <w:r w:rsidRPr="002570D1">
        <w:rPr>
          <w:rFonts w:eastAsia="Calibri"/>
          <w:sz w:val="20"/>
          <w:szCs w:val="20"/>
          <w:lang w:val="es-ES_tradnl" w:eastAsia="en-US"/>
        </w:rPr>
        <w:t>en perjuicio del señor Poblete Vilches, ya que el Estado aceptó la responsabilidad internacional por la violación de los derechos al acceso a la información</w:t>
      </w:r>
      <w:r w:rsidR="00BC5B4D">
        <w:rPr>
          <w:rFonts w:eastAsia="Calibri"/>
          <w:sz w:val="20"/>
          <w:szCs w:val="20"/>
          <w:lang w:val="es-ES_tradnl" w:eastAsia="en-US"/>
        </w:rPr>
        <w:t xml:space="preserve"> </w:t>
      </w:r>
      <w:r w:rsidR="00BC5B4D" w:rsidRPr="00B1523A">
        <w:rPr>
          <w:rFonts w:eastAsia="Calibri"/>
          <w:sz w:val="20"/>
          <w:szCs w:val="20"/>
          <w:lang w:val="es-ES_tradnl" w:eastAsia="en-US"/>
        </w:rPr>
        <w:t>(artículos 13)</w:t>
      </w:r>
      <w:r w:rsidRPr="00B1523A">
        <w:rPr>
          <w:rFonts w:eastAsia="Calibri"/>
          <w:sz w:val="20"/>
          <w:szCs w:val="20"/>
          <w:lang w:val="es-ES_tradnl" w:eastAsia="en-US"/>
        </w:rPr>
        <w:t xml:space="preserve">, la dignidad </w:t>
      </w:r>
      <w:r w:rsidR="00BC5B4D" w:rsidRPr="00B1523A">
        <w:rPr>
          <w:rFonts w:eastAsia="Calibri"/>
          <w:sz w:val="20"/>
          <w:szCs w:val="20"/>
          <w:lang w:val="es-ES_tradnl" w:eastAsia="en-US"/>
        </w:rPr>
        <w:t xml:space="preserve">(artículo 11) </w:t>
      </w:r>
      <w:r w:rsidRPr="00DB1744">
        <w:rPr>
          <w:rFonts w:eastAsia="Calibri"/>
          <w:sz w:val="20"/>
          <w:szCs w:val="20"/>
          <w:lang w:val="es-ES_tradnl" w:eastAsia="en-US"/>
        </w:rPr>
        <w:t xml:space="preserve">y la libertad personal </w:t>
      </w:r>
      <w:r w:rsidR="00BC5B4D" w:rsidRPr="00B1523A">
        <w:rPr>
          <w:rFonts w:eastAsia="Calibri"/>
          <w:sz w:val="20"/>
          <w:szCs w:val="20"/>
          <w:lang w:val="es-ES_tradnl" w:eastAsia="en-US"/>
        </w:rPr>
        <w:t xml:space="preserve">(artículo 7) </w:t>
      </w:r>
      <w:r w:rsidRPr="00DB1744">
        <w:rPr>
          <w:rFonts w:eastAsia="Calibri"/>
          <w:sz w:val="20"/>
          <w:szCs w:val="20"/>
          <w:lang w:val="es-ES_tradnl" w:eastAsia="en-US"/>
        </w:rPr>
        <w:t>(</w:t>
      </w:r>
      <w:r w:rsidR="00062586" w:rsidRPr="00DB1744">
        <w:rPr>
          <w:rFonts w:eastAsia="Calibri"/>
          <w:i/>
          <w:sz w:val="20"/>
          <w:szCs w:val="20"/>
          <w:lang w:val="es-ES_tradnl" w:eastAsia="en-US"/>
        </w:rPr>
        <w:t>supra</w:t>
      </w:r>
      <w:r w:rsidRPr="00DB1744">
        <w:rPr>
          <w:rFonts w:eastAsia="Calibri"/>
          <w:sz w:val="20"/>
          <w:szCs w:val="20"/>
          <w:lang w:val="es-ES_tradnl" w:eastAsia="en-US"/>
        </w:rPr>
        <w:t xml:space="preserve"> párr.</w:t>
      </w:r>
      <w:r w:rsidR="00DB1744" w:rsidRPr="00DB1744">
        <w:rPr>
          <w:rFonts w:eastAsia="Calibri"/>
          <w:sz w:val="20"/>
          <w:szCs w:val="20"/>
          <w:lang w:val="es-ES_tradnl" w:eastAsia="en-US"/>
        </w:rPr>
        <w:t xml:space="preserve"> 16</w:t>
      </w:r>
      <w:r w:rsidRPr="00DB1744">
        <w:rPr>
          <w:rFonts w:eastAsia="Calibri"/>
          <w:sz w:val="20"/>
          <w:szCs w:val="20"/>
          <w:lang w:val="es-ES_tradnl" w:eastAsia="en-US"/>
        </w:rPr>
        <w:t>)</w:t>
      </w:r>
      <w:r w:rsidR="008867EC" w:rsidRPr="00DB1744">
        <w:rPr>
          <w:rFonts w:eastAsia="Calibri"/>
          <w:sz w:val="20"/>
          <w:szCs w:val="20"/>
          <w:lang w:val="es-ES_tradnl" w:eastAsia="en-US"/>
        </w:rPr>
        <w:t>.</w:t>
      </w:r>
      <w:r w:rsidR="00BC5B4D" w:rsidRPr="00DB1744">
        <w:rPr>
          <w:rFonts w:eastAsia="Calibri"/>
          <w:sz w:val="20"/>
          <w:szCs w:val="20"/>
          <w:lang w:val="es-ES_tradnl" w:eastAsia="en-US"/>
        </w:rPr>
        <w:t xml:space="preserve"> En este sentido, la Corte acoge el alcance de dicho reconocimiento en perjuicio del señor Poblete Vilches</w:t>
      </w:r>
      <w:r w:rsidR="00762119">
        <w:rPr>
          <w:rFonts w:eastAsia="Calibri"/>
          <w:sz w:val="20"/>
          <w:szCs w:val="20"/>
          <w:lang w:val="es-ES_tradnl" w:eastAsia="en-US"/>
        </w:rPr>
        <w:t>.</w:t>
      </w:r>
    </w:p>
    <w:p w14:paraId="3170F1F2" w14:textId="77777777" w:rsidR="00853F33" w:rsidRDefault="00853F33" w:rsidP="0059117C">
      <w:pPr>
        <w:tabs>
          <w:tab w:val="left" w:pos="567"/>
        </w:tabs>
        <w:rPr>
          <w:rFonts w:eastAsia="Calibri"/>
          <w:sz w:val="20"/>
          <w:szCs w:val="20"/>
          <w:lang w:val="es-ES_tradnl" w:eastAsia="en-US"/>
        </w:rPr>
      </w:pPr>
    </w:p>
    <w:p w14:paraId="54FE95EC" w14:textId="16848CA1" w:rsidR="00853F33" w:rsidRPr="00853F33" w:rsidRDefault="00853F33" w:rsidP="002570D1">
      <w:pPr>
        <w:numPr>
          <w:ilvl w:val="0"/>
          <w:numId w:val="2"/>
        </w:numPr>
        <w:tabs>
          <w:tab w:val="left" w:pos="567"/>
          <w:tab w:val="num" w:pos="1569"/>
          <w:tab w:val="num" w:pos="12305"/>
        </w:tabs>
        <w:ind w:left="0" w:firstLine="0"/>
        <w:rPr>
          <w:rFonts w:eastAsia="Calibri"/>
          <w:sz w:val="20"/>
          <w:szCs w:val="20"/>
          <w:lang w:val="es-ES_tradnl" w:eastAsia="en-US"/>
        </w:rPr>
      </w:pPr>
      <w:r>
        <w:rPr>
          <w:sz w:val="20"/>
          <w:szCs w:val="20"/>
        </w:rPr>
        <w:t>Al respecto, el Estado reconoció los siguientes hechos</w:t>
      </w:r>
      <w:r w:rsidRPr="0059117C">
        <w:rPr>
          <w:sz w:val="20"/>
          <w:szCs w:val="20"/>
        </w:rPr>
        <w:t xml:space="preserve">: i) la presunta víctima se encontraba inconsciente al momento en que se decidiera su intervención quirúrgica y por ello, no estaba en condiciones de consentir ningún tipo de procedimiento; ii) los familiares no fueron </w:t>
      </w:r>
      <w:r w:rsidRPr="0059117C">
        <w:rPr>
          <w:sz w:val="20"/>
          <w:szCs w:val="20"/>
        </w:rPr>
        <w:lastRenderedPageBreak/>
        <w:t xml:space="preserve">debidamente informados del procedimiento que se realizaría a la presunta víctima; iii) la única referencia a la existencia de un supuesto consentimiento por parte de la familia se encuentra en el expediente clínico, el cual a su vez, plantea dudas sobre la manera en que fue obtenido y su autenticidad; iv) de la historia clínica no resulta información o registro alguno que permita entender que el supuesto consentimiento informado fue brindado de acuerdo a los requisitos establecidos por el derecho internacional, y v) en el expediente médico existen dudas sobre si los familiares comprendieron la situación en la que se encontraba la presunta víctima. </w:t>
      </w:r>
      <w:r w:rsidRPr="00B1523A">
        <w:rPr>
          <w:sz w:val="20"/>
          <w:szCs w:val="20"/>
        </w:rPr>
        <w:t>(</w:t>
      </w:r>
      <w:r w:rsidR="00DB1744">
        <w:rPr>
          <w:i/>
          <w:sz w:val="20"/>
          <w:szCs w:val="20"/>
        </w:rPr>
        <w:t>supra</w:t>
      </w:r>
      <w:r w:rsidR="00DB1744">
        <w:rPr>
          <w:sz w:val="20"/>
          <w:szCs w:val="20"/>
        </w:rPr>
        <w:t xml:space="preserve"> párr. 18 </w:t>
      </w:r>
      <w:r w:rsidRPr="00B1523A">
        <w:rPr>
          <w:sz w:val="20"/>
          <w:szCs w:val="20"/>
        </w:rPr>
        <w:t>)</w:t>
      </w:r>
    </w:p>
    <w:p w14:paraId="45CA63BD" w14:textId="77777777" w:rsidR="002570D1" w:rsidRPr="002570D1" w:rsidRDefault="002570D1" w:rsidP="002570D1">
      <w:pPr>
        <w:ind w:left="-90" w:right="-360"/>
        <w:rPr>
          <w:rFonts w:eastAsia="Calibri"/>
          <w:sz w:val="20"/>
          <w:szCs w:val="20"/>
          <w:lang w:val="es-ES_tradnl" w:eastAsia="en-US"/>
        </w:rPr>
      </w:pPr>
    </w:p>
    <w:p w14:paraId="00611DCF" w14:textId="73909672" w:rsidR="00853F33" w:rsidRPr="003F402C" w:rsidRDefault="00853F33" w:rsidP="005430FF">
      <w:pPr>
        <w:numPr>
          <w:ilvl w:val="0"/>
          <w:numId w:val="2"/>
        </w:numPr>
        <w:tabs>
          <w:tab w:val="left" w:pos="567"/>
          <w:tab w:val="num" w:pos="1569"/>
          <w:tab w:val="num" w:pos="12305"/>
        </w:tabs>
        <w:ind w:left="0" w:firstLine="0"/>
        <w:rPr>
          <w:rFonts w:eastAsia="Calibri"/>
          <w:sz w:val="20"/>
          <w:szCs w:val="20"/>
          <w:lang w:eastAsia="en-US"/>
        </w:rPr>
      </w:pPr>
      <w:r>
        <w:rPr>
          <w:rFonts w:eastAsia="Calibri"/>
          <w:sz w:val="20"/>
          <w:szCs w:val="20"/>
          <w:lang w:val="es-ES_tradnl" w:eastAsia="en-US"/>
        </w:rPr>
        <w:t xml:space="preserve">Frente a los familiares del señor Poblete Vilches, </w:t>
      </w:r>
      <w:r w:rsidR="003354BF" w:rsidRPr="002570D1">
        <w:rPr>
          <w:rFonts w:eastAsia="Calibri"/>
          <w:sz w:val="20"/>
          <w:szCs w:val="20"/>
          <w:lang w:val="es-ES_tradnl" w:eastAsia="en-US"/>
        </w:rPr>
        <w:t xml:space="preserve">la Corte </w:t>
      </w:r>
      <w:r w:rsidR="003354BF">
        <w:rPr>
          <w:rFonts w:eastAsia="Calibri"/>
          <w:sz w:val="20"/>
          <w:szCs w:val="20"/>
          <w:lang w:val="es-ES_tradnl" w:eastAsia="en-US"/>
        </w:rPr>
        <w:t>nota</w:t>
      </w:r>
      <w:r w:rsidR="003354BF" w:rsidRPr="002570D1">
        <w:rPr>
          <w:rFonts w:eastAsia="Calibri"/>
          <w:sz w:val="20"/>
          <w:szCs w:val="20"/>
          <w:lang w:val="es-ES_tradnl" w:eastAsia="en-US"/>
        </w:rPr>
        <w:t xml:space="preserve"> que el Estado reconoció que en el presente caso no hubo un consentimiento previo, libre, pleno, e informado</w:t>
      </w:r>
      <w:r w:rsidR="00E82480">
        <w:rPr>
          <w:rFonts w:eastAsia="Calibri"/>
          <w:sz w:val="20"/>
          <w:szCs w:val="20"/>
          <w:lang w:val="es-ES_tradnl" w:eastAsia="en-US"/>
        </w:rPr>
        <w:t xml:space="preserve">, de </w:t>
      </w:r>
      <w:r w:rsidR="00E82480" w:rsidRPr="00F41641">
        <w:rPr>
          <w:rFonts w:eastAsia="Calibri"/>
          <w:sz w:val="20"/>
          <w:szCs w:val="20"/>
          <w:lang w:val="es-ES_tradnl" w:eastAsia="en-US"/>
        </w:rPr>
        <w:t>conformidad con el artículo 13 convencional</w:t>
      </w:r>
      <w:r w:rsidR="003354BF" w:rsidRPr="00F41641">
        <w:rPr>
          <w:rFonts w:eastAsia="Calibri"/>
          <w:sz w:val="20"/>
          <w:szCs w:val="20"/>
          <w:lang w:val="es-ES_tradnl" w:eastAsia="en-US"/>
        </w:rPr>
        <w:t>.</w:t>
      </w:r>
      <w:r w:rsidRPr="00F41641">
        <w:rPr>
          <w:rFonts w:eastAsia="Calibri"/>
          <w:sz w:val="20"/>
          <w:szCs w:val="20"/>
          <w:lang w:val="es-ES_tradnl" w:eastAsia="en-US"/>
        </w:rPr>
        <w:t xml:space="preserve"> Sin embargo, no reconoció responsabilidad internacional por la alegada violación del artículo 7 y 11 en perjuicio de los mismos</w:t>
      </w:r>
      <w:r w:rsidR="00762119">
        <w:rPr>
          <w:rFonts w:eastAsia="Calibri"/>
          <w:sz w:val="20"/>
          <w:szCs w:val="20"/>
          <w:lang w:val="es-ES_tradnl" w:eastAsia="en-US"/>
        </w:rPr>
        <w:t xml:space="preserve"> (</w:t>
      </w:r>
      <w:r w:rsidR="00762119" w:rsidRPr="00B1523A">
        <w:rPr>
          <w:rFonts w:eastAsia="Calibri"/>
          <w:i/>
          <w:sz w:val="20"/>
          <w:szCs w:val="20"/>
          <w:lang w:val="es-ES_tradnl" w:eastAsia="en-US"/>
        </w:rPr>
        <w:t>supra</w:t>
      </w:r>
      <w:r w:rsidR="00762119">
        <w:rPr>
          <w:rFonts w:eastAsia="Calibri"/>
          <w:sz w:val="20"/>
          <w:szCs w:val="20"/>
          <w:lang w:val="es-ES_tradnl" w:eastAsia="en-US"/>
        </w:rPr>
        <w:t xml:space="preserve"> </w:t>
      </w:r>
      <w:proofErr w:type="spellStart"/>
      <w:r w:rsidR="00762119">
        <w:rPr>
          <w:rFonts w:eastAsia="Calibri"/>
          <w:sz w:val="20"/>
          <w:szCs w:val="20"/>
          <w:lang w:val="es-ES_tradnl" w:eastAsia="en-US"/>
        </w:rPr>
        <w:t>párrs</w:t>
      </w:r>
      <w:proofErr w:type="spellEnd"/>
      <w:r w:rsidRPr="00F41641">
        <w:rPr>
          <w:rFonts w:eastAsia="Calibri"/>
          <w:sz w:val="20"/>
          <w:szCs w:val="20"/>
          <w:lang w:val="es-ES_tradnl" w:eastAsia="en-US"/>
        </w:rPr>
        <w:t>.</w:t>
      </w:r>
      <w:r w:rsidR="00762119">
        <w:rPr>
          <w:rFonts w:eastAsia="Calibri"/>
          <w:sz w:val="20"/>
          <w:szCs w:val="20"/>
          <w:lang w:val="es-ES_tradnl" w:eastAsia="en-US"/>
        </w:rPr>
        <w:t xml:space="preserve"> 30 y 98)</w:t>
      </w:r>
      <w:r w:rsidR="003354BF" w:rsidRPr="003F402C">
        <w:rPr>
          <w:rFonts w:eastAsia="Calibri"/>
          <w:sz w:val="20"/>
          <w:szCs w:val="20"/>
          <w:lang w:val="es-ES_tradnl" w:eastAsia="en-US"/>
        </w:rPr>
        <w:t xml:space="preserve"> </w:t>
      </w:r>
    </w:p>
    <w:p w14:paraId="28C14101" w14:textId="77777777" w:rsidR="00853F33" w:rsidRPr="003F402C" w:rsidRDefault="00853F33" w:rsidP="0059117C">
      <w:pPr>
        <w:tabs>
          <w:tab w:val="left" w:pos="567"/>
        </w:tabs>
        <w:rPr>
          <w:rFonts w:eastAsia="Calibri"/>
          <w:sz w:val="20"/>
          <w:szCs w:val="20"/>
          <w:lang w:eastAsia="en-US"/>
        </w:rPr>
      </w:pPr>
    </w:p>
    <w:p w14:paraId="7DA7D0A0" w14:textId="78A67682" w:rsidR="006D0C07" w:rsidRPr="007E5CD5" w:rsidRDefault="00E82480" w:rsidP="00AB1E03">
      <w:pPr>
        <w:numPr>
          <w:ilvl w:val="0"/>
          <w:numId w:val="2"/>
        </w:numPr>
        <w:tabs>
          <w:tab w:val="left" w:pos="567"/>
          <w:tab w:val="num" w:pos="1569"/>
          <w:tab w:val="num" w:pos="12305"/>
        </w:tabs>
        <w:ind w:left="0" w:firstLine="0"/>
        <w:rPr>
          <w:rFonts w:eastAsia="Calibri"/>
          <w:sz w:val="20"/>
          <w:szCs w:val="20"/>
          <w:lang w:eastAsia="en-US"/>
        </w:rPr>
      </w:pPr>
      <w:r w:rsidRPr="00DB1744">
        <w:rPr>
          <w:rFonts w:eastAsia="Calibri"/>
          <w:sz w:val="20"/>
          <w:szCs w:val="20"/>
          <w:lang w:val="es-ES_tradnl" w:eastAsia="en-US"/>
        </w:rPr>
        <w:t>Para efectos del presente caso, este Tribunal comprende</w:t>
      </w:r>
      <w:r w:rsidR="006D0C07" w:rsidRPr="00DB1744">
        <w:rPr>
          <w:rFonts w:eastAsia="Calibri"/>
          <w:sz w:val="20"/>
          <w:szCs w:val="20"/>
          <w:lang w:val="es-ES_tradnl" w:eastAsia="en-US"/>
        </w:rPr>
        <w:t xml:space="preserve"> que</w:t>
      </w:r>
      <w:r w:rsidRPr="00DB1744">
        <w:rPr>
          <w:rFonts w:eastAsia="Calibri"/>
          <w:sz w:val="20"/>
          <w:szCs w:val="20"/>
          <w:lang w:val="es-ES_tradnl" w:eastAsia="en-US"/>
        </w:rPr>
        <w:t xml:space="preserve"> </w:t>
      </w:r>
      <w:r w:rsidR="006D0C07" w:rsidRPr="00B1523A">
        <w:rPr>
          <w:rFonts w:eastAsia="Calibri"/>
          <w:sz w:val="20"/>
          <w:szCs w:val="20"/>
          <w:lang w:val="es-ES_tradnl" w:eastAsia="en-US"/>
        </w:rPr>
        <w:t>el</w:t>
      </w:r>
      <w:r w:rsidR="006D0C07" w:rsidRPr="00B1523A">
        <w:rPr>
          <w:rFonts w:eastAsia="Calibri"/>
          <w:sz w:val="20"/>
          <w:szCs w:val="20"/>
          <w:lang w:val="es-ES_tradnl"/>
        </w:rPr>
        <w:t xml:space="preserve"> consentimiento informado es parte del elemento de la accesibilidad de la información (</w:t>
      </w:r>
      <w:r w:rsidR="006D0C07" w:rsidRPr="00B1523A">
        <w:rPr>
          <w:rFonts w:eastAsia="Calibri"/>
          <w:i/>
          <w:sz w:val="20"/>
          <w:szCs w:val="20"/>
          <w:lang w:val="es-ES_tradnl"/>
        </w:rPr>
        <w:t>supra</w:t>
      </w:r>
      <w:r w:rsidR="006D0C07" w:rsidRPr="00B1523A">
        <w:rPr>
          <w:rFonts w:eastAsia="Calibri"/>
          <w:sz w:val="20"/>
          <w:szCs w:val="20"/>
          <w:lang w:val="es-ES_tradnl"/>
        </w:rPr>
        <w:t xml:space="preserve"> párr. </w:t>
      </w:r>
      <w:r w:rsidR="00DB1744" w:rsidRPr="00B1523A">
        <w:rPr>
          <w:rFonts w:eastAsia="Calibri"/>
          <w:sz w:val="20"/>
          <w:szCs w:val="20"/>
          <w:lang w:val="es-ES_tradnl"/>
        </w:rPr>
        <w:t>121</w:t>
      </w:r>
      <w:r w:rsidR="006D0C07" w:rsidRPr="00B1523A">
        <w:rPr>
          <w:rFonts w:eastAsia="Calibri"/>
          <w:sz w:val="20"/>
          <w:szCs w:val="20"/>
          <w:lang w:val="es-ES_tradnl"/>
        </w:rPr>
        <w:t xml:space="preserve">) y por tanto del derecho a la salud (artículo 26). Por </w:t>
      </w:r>
      <w:r w:rsidR="00762119">
        <w:rPr>
          <w:rFonts w:eastAsia="Calibri"/>
          <w:sz w:val="20"/>
          <w:szCs w:val="20"/>
          <w:lang w:val="es-ES_tradnl"/>
        </w:rPr>
        <w:t>ello</w:t>
      </w:r>
      <w:r w:rsidR="00C569E5" w:rsidRPr="00B1523A">
        <w:rPr>
          <w:rFonts w:eastAsia="Calibri"/>
          <w:sz w:val="20"/>
          <w:szCs w:val="20"/>
          <w:lang w:val="es-ES_tradnl"/>
        </w:rPr>
        <w:t>,</w:t>
      </w:r>
      <w:r w:rsidR="006D0C07" w:rsidRPr="00B1523A">
        <w:rPr>
          <w:rFonts w:eastAsia="Calibri"/>
          <w:sz w:val="20"/>
          <w:szCs w:val="20"/>
          <w:lang w:val="es-ES_tradnl"/>
        </w:rPr>
        <w:t xml:space="preserve"> el acceso a la información –contemplado en el artículo 13 de la CADH–, adquiere un carácter instrumental</w:t>
      </w:r>
      <w:r w:rsidR="00DB1744">
        <w:rPr>
          <w:rStyle w:val="FootnoteReference"/>
          <w:rFonts w:eastAsia="Calibri"/>
          <w:sz w:val="20"/>
          <w:szCs w:val="20"/>
          <w:lang w:val="es-ES_tradnl"/>
        </w:rPr>
        <w:footnoteReference w:id="252"/>
      </w:r>
      <w:r w:rsidR="00762119">
        <w:rPr>
          <w:rFonts w:eastAsia="Calibri"/>
          <w:sz w:val="20"/>
          <w:szCs w:val="20"/>
          <w:lang w:val="es-ES_tradnl"/>
        </w:rPr>
        <w:t xml:space="preserve"> </w:t>
      </w:r>
      <w:r w:rsidR="006D0C07" w:rsidRPr="00B1523A">
        <w:rPr>
          <w:rFonts w:eastAsia="Calibri"/>
          <w:sz w:val="20"/>
          <w:szCs w:val="20"/>
          <w:lang w:val="es-ES_tradnl"/>
        </w:rPr>
        <w:t>para garantizar y respetar el derecho a la salud. Así el derecho al acceso a la información es una garantía para hacer realidad la derivación del derecho contemplado en el artículo 26 de Convención,</w:t>
      </w:r>
      <w:r w:rsidR="006D0C07" w:rsidRPr="00F41641">
        <w:rPr>
          <w:rFonts w:eastAsia="Calibri"/>
          <w:b/>
          <w:sz w:val="20"/>
          <w:szCs w:val="20"/>
          <w:lang w:val="es-ES_tradnl"/>
        </w:rPr>
        <w:t xml:space="preserve"> </w:t>
      </w:r>
      <w:r w:rsidR="006D0C07" w:rsidRPr="00F41641">
        <w:rPr>
          <w:rFonts w:eastAsia="Calibri"/>
          <w:sz w:val="20"/>
          <w:szCs w:val="20"/>
          <w:lang w:val="es-ES_tradnl"/>
        </w:rPr>
        <w:t>con la posibilidad de que se acrediten otros derechos relacionados, de acuerdo con las particularidades del caso en concreto.</w:t>
      </w:r>
      <w:r w:rsidR="006D0C07" w:rsidRPr="003F402C">
        <w:rPr>
          <w:rFonts w:eastAsia="Calibri"/>
          <w:sz w:val="20"/>
          <w:szCs w:val="20"/>
          <w:lang w:val="es-ES_tradnl"/>
        </w:rPr>
        <w:t xml:space="preserve"> En este sentido, y siendo que persiste el alcance de la controversia en relación </w:t>
      </w:r>
      <w:r w:rsidR="00847C4A">
        <w:rPr>
          <w:rFonts w:eastAsia="Calibri"/>
          <w:sz w:val="20"/>
          <w:szCs w:val="20"/>
          <w:lang w:val="es-ES_tradnl"/>
        </w:rPr>
        <w:t xml:space="preserve">con </w:t>
      </w:r>
      <w:r w:rsidR="006D0C07" w:rsidRPr="003F402C">
        <w:rPr>
          <w:rFonts w:eastAsia="Calibri"/>
          <w:sz w:val="20"/>
          <w:szCs w:val="20"/>
          <w:lang w:val="es-ES_tradnl"/>
        </w:rPr>
        <w:t xml:space="preserve">aspectos puntuales del consentimiento a favor de los familiares, a continuación </w:t>
      </w:r>
      <w:r w:rsidR="00847C4A">
        <w:rPr>
          <w:rFonts w:eastAsia="Calibri"/>
          <w:sz w:val="20"/>
          <w:szCs w:val="20"/>
          <w:lang w:val="es-ES_tradnl"/>
        </w:rPr>
        <w:t xml:space="preserve">esta Corte </w:t>
      </w:r>
      <w:r w:rsidR="006D0C07" w:rsidRPr="003F402C">
        <w:rPr>
          <w:rFonts w:eastAsia="Calibri"/>
          <w:sz w:val="20"/>
          <w:szCs w:val="20"/>
          <w:lang w:val="es-ES_tradnl"/>
        </w:rPr>
        <w:t xml:space="preserve">se pronunciará sobre: i) el consentimiento por representación o sustitución, </w:t>
      </w:r>
      <w:r w:rsidR="006D0C07" w:rsidRPr="00AA65C5">
        <w:rPr>
          <w:rFonts w:eastAsia="Calibri"/>
          <w:sz w:val="20"/>
          <w:szCs w:val="20"/>
          <w:lang w:val="es-ES_tradnl"/>
        </w:rPr>
        <w:t>y ii) la alegada violación del artículo 11 y 7 en perjuicio de los familiares</w:t>
      </w:r>
      <w:r w:rsidR="006D0C07" w:rsidRPr="00AA65C5">
        <w:rPr>
          <w:rFonts w:eastAsia="Calibri"/>
          <w:sz w:val="20"/>
          <w:szCs w:val="20"/>
        </w:rPr>
        <w:t>.</w:t>
      </w:r>
    </w:p>
    <w:p w14:paraId="7DF6A12C" w14:textId="630A7E86" w:rsidR="006D0C07" w:rsidRPr="00F41641" w:rsidRDefault="006D0C07" w:rsidP="00920D09">
      <w:pPr>
        <w:ind w:right="-360"/>
        <w:rPr>
          <w:rFonts w:eastAsia="Calibri"/>
          <w:sz w:val="20"/>
          <w:szCs w:val="20"/>
          <w:lang w:eastAsia="en-US"/>
        </w:rPr>
      </w:pPr>
    </w:p>
    <w:p w14:paraId="3F52C153" w14:textId="2701C628" w:rsidR="002570D1" w:rsidRPr="00A34C6F" w:rsidRDefault="00164C05" w:rsidP="002A64C9">
      <w:pPr>
        <w:pStyle w:val="Heading4"/>
        <w:spacing w:before="0"/>
        <w:ind w:left="2124"/>
        <w:rPr>
          <w:rFonts w:eastAsia="Calibri"/>
          <w:b/>
          <w:lang w:val="es-ES_tradnl" w:eastAsia="en-US"/>
        </w:rPr>
      </w:pPr>
      <w:bookmarkStart w:id="86" w:name="_Toc513644474"/>
      <w:r w:rsidRPr="00A34C6F">
        <w:rPr>
          <w:rFonts w:eastAsia="Calibri"/>
          <w:b/>
          <w:lang w:val="es-ES_tradnl" w:eastAsia="en-US"/>
        </w:rPr>
        <w:t>1.3.</w:t>
      </w:r>
      <w:r w:rsidR="00CE7971">
        <w:rPr>
          <w:rFonts w:eastAsia="Calibri"/>
          <w:b/>
          <w:lang w:val="es-ES_tradnl" w:eastAsia="en-US"/>
        </w:rPr>
        <w:t>2</w:t>
      </w:r>
      <w:r w:rsidR="002570D1" w:rsidRPr="00A34C6F">
        <w:rPr>
          <w:rFonts w:eastAsia="Calibri"/>
          <w:b/>
          <w:lang w:val="es-ES_tradnl" w:eastAsia="en-US"/>
        </w:rPr>
        <w:t xml:space="preserve"> Consentimiento </w:t>
      </w:r>
      <w:r w:rsidR="00E82480" w:rsidRPr="00A34C6F">
        <w:rPr>
          <w:rFonts w:eastAsia="Calibri"/>
          <w:b/>
          <w:lang w:val="es-ES_tradnl" w:eastAsia="en-US"/>
        </w:rPr>
        <w:t xml:space="preserve">por sustitución </w:t>
      </w:r>
      <w:r w:rsidR="001E299B" w:rsidRPr="00A34C6F">
        <w:rPr>
          <w:rFonts w:eastAsia="Calibri"/>
          <w:b/>
          <w:lang w:val="es-ES_tradnl" w:eastAsia="en-US"/>
        </w:rPr>
        <w:t>y acceso a la información en materia de salud</w:t>
      </w:r>
      <w:r w:rsidR="00756AA2" w:rsidRPr="00A34C6F">
        <w:rPr>
          <w:rFonts w:eastAsia="Calibri"/>
          <w:b/>
          <w:lang w:val="es-ES_tradnl" w:eastAsia="en-US"/>
        </w:rPr>
        <w:t xml:space="preserve"> a favor de los familiares</w:t>
      </w:r>
      <w:bookmarkEnd w:id="86"/>
    </w:p>
    <w:p w14:paraId="530867CA" w14:textId="77777777" w:rsidR="00BC5B4D" w:rsidRPr="00AB1E03" w:rsidRDefault="00BC5B4D" w:rsidP="00BC5B4D">
      <w:pPr>
        <w:ind w:right="-360"/>
        <w:rPr>
          <w:rFonts w:eastAsia="Calibri"/>
          <w:i/>
          <w:sz w:val="20"/>
          <w:szCs w:val="20"/>
          <w:lang w:val="es-ES_tradnl" w:eastAsia="en-US"/>
        </w:rPr>
      </w:pPr>
    </w:p>
    <w:p w14:paraId="02BA9AF1" w14:textId="2B52C1A4" w:rsidR="002570D1" w:rsidRPr="0059117C" w:rsidRDefault="002570D1" w:rsidP="00920D09">
      <w:pPr>
        <w:numPr>
          <w:ilvl w:val="0"/>
          <w:numId w:val="2"/>
        </w:numPr>
        <w:tabs>
          <w:tab w:val="left" w:pos="567"/>
          <w:tab w:val="num" w:pos="1569"/>
          <w:tab w:val="num" w:pos="12305"/>
        </w:tabs>
        <w:ind w:left="0" w:firstLine="0"/>
        <w:rPr>
          <w:rFonts w:eastAsia="Calibri"/>
          <w:b/>
          <w:i/>
          <w:lang w:eastAsia="en-US"/>
        </w:rPr>
      </w:pPr>
      <w:r w:rsidRPr="002570D1">
        <w:rPr>
          <w:rFonts w:eastAsia="Calibri"/>
          <w:sz w:val="20"/>
          <w:szCs w:val="20"/>
          <w:lang w:eastAsia="en-US"/>
        </w:rPr>
        <w:t xml:space="preserve">Respecto del derecho a obtener un consentimiento informado, la Corte </w:t>
      </w:r>
      <w:r w:rsidR="00756AA2">
        <w:rPr>
          <w:rFonts w:eastAsia="Calibri"/>
          <w:sz w:val="20"/>
          <w:szCs w:val="20"/>
          <w:lang w:eastAsia="en-US"/>
        </w:rPr>
        <w:t xml:space="preserve">ha reconocido </w:t>
      </w:r>
      <w:r w:rsidRPr="002570D1">
        <w:rPr>
          <w:rFonts w:eastAsia="Calibri"/>
          <w:sz w:val="20"/>
          <w:szCs w:val="20"/>
          <w:lang w:eastAsia="en-US"/>
        </w:rPr>
        <w:t>que el artículo 13 de la Convención Americana incluye el derecho a buscar, recibir y difundir informaciones e ideas de toda índole</w:t>
      </w:r>
      <w:r w:rsidRPr="002570D1">
        <w:rPr>
          <w:rFonts w:eastAsia="Calibri"/>
          <w:sz w:val="20"/>
          <w:szCs w:val="20"/>
          <w:vertAlign w:val="superscript"/>
          <w:lang w:val="es-ES_tradnl" w:eastAsia="en-US"/>
        </w:rPr>
        <w:footnoteReference w:id="253"/>
      </w:r>
      <w:r w:rsidRPr="002570D1">
        <w:rPr>
          <w:rFonts w:eastAsia="Calibri"/>
          <w:sz w:val="20"/>
          <w:szCs w:val="20"/>
          <w:lang w:eastAsia="en-US"/>
        </w:rPr>
        <w:t>, lo cual protege el derecho de acceso a la información, incluyendo información relacionada con la salud de las personas</w:t>
      </w:r>
      <w:r w:rsidRPr="002570D1">
        <w:rPr>
          <w:rFonts w:eastAsia="Calibri"/>
          <w:sz w:val="20"/>
          <w:szCs w:val="20"/>
          <w:vertAlign w:val="superscript"/>
          <w:lang w:val="es-ES_tradnl" w:eastAsia="en-US"/>
        </w:rPr>
        <w:footnoteReference w:id="254"/>
      </w:r>
      <w:r w:rsidRPr="002570D1">
        <w:rPr>
          <w:rFonts w:eastAsia="Calibri"/>
          <w:sz w:val="20"/>
          <w:szCs w:val="20"/>
          <w:lang w:eastAsia="en-US"/>
        </w:rPr>
        <w:t xml:space="preserve">. En este sentido, </w:t>
      </w:r>
      <w:r w:rsidR="008A2242">
        <w:rPr>
          <w:rFonts w:eastAsia="Calibri"/>
          <w:sz w:val="20"/>
          <w:szCs w:val="20"/>
          <w:lang w:eastAsia="en-US"/>
        </w:rPr>
        <w:t xml:space="preserve">se </w:t>
      </w:r>
      <w:r w:rsidRPr="002570D1">
        <w:rPr>
          <w:rFonts w:eastAsia="Calibri"/>
          <w:sz w:val="20"/>
          <w:szCs w:val="20"/>
          <w:lang w:eastAsia="en-US"/>
        </w:rPr>
        <w:t>establec</w:t>
      </w:r>
      <w:r w:rsidR="008A2242">
        <w:rPr>
          <w:rFonts w:eastAsia="Calibri"/>
          <w:sz w:val="20"/>
          <w:szCs w:val="20"/>
          <w:lang w:eastAsia="en-US"/>
        </w:rPr>
        <w:t>ió</w:t>
      </w:r>
      <w:r w:rsidRPr="002570D1">
        <w:rPr>
          <w:rFonts w:eastAsia="Calibri"/>
          <w:sz w:val="20"/>
          <w:szCs w:val="20"/>
          <w:lang w:eastAsia="en-US"/>
        </w:rPr>
        <w:t xml:space="preserve"> que el consentimiento informado consiste “en una decisión previa de aceptar o someterse a un acto médico en sentido amplio, obtenida de manera libre, es decir sin amenazas ni coerción, inducción o alicientes impropios, manifestada con posterioridad a la obtención de información adecuada, completa, fidedigna, comprensible y accesible, siempre que esta información haya sido realmente comprendida, lo que permitirá el consentimiento pleno del individuo”. Esta regla no sólo consiste en un acto de aceptación, sino en el resultado de un proceso en el cual deben cumplirse los siguientes elementos para que sea considerado válido, a saber que sea previo, libre, pleno e informado</w:t>
      </w:r>
      <w:r w:rsidRPr="002570D1">
        <w:rPr>
          <w:rFonts w:eastAsia="Calibri"/>
          <w:sz w:val="20"/>
          <w:szCs w:val="20"/>
          <w:vertAlign w:val="superscript"/>
          <w:lang w:val="es-ES_tradnl" w:eastAsia="en-US"/>
        </w:rPr>
        <w:footnoteReference w:id="255"/>
      </w:r>
      <w:r w:rsidRPr="002570D1">
        <w:rPr>
          <w:rFonts w:eastAsia="Calibri"/>
          <w:sz w:val="20"/>
          <w:szCs w:val="20"/>
          <w:lang w:eastAsia="en-US"/>
        </w:rPr>
        <w:t>.</w:t>
      </w:r>
      <w:r w:rsidR="006D6467">
        <w:rPr>
          <w:rFonts w:eastAsia="Calibri"/>
          <w:sz w:val="20"/>
          <w:szCs w:val="20"/>
          <w:lang w:eastAsia="en-US"/>
        </w:rPr>
        <w:t xml:space="preserve"> </w:t>
      </w:r>
      <w:r w:rsidR="00E03C26" w:rsidRPr="00B1523A">
        <w:rPr>
          <w:rFonts w:eastAsia="Calibri"/>
          <w:sz w:val="20"/>
          <w:szCs w:val="20"/>
        </w:rPr>
        <w:t xml:space="preserve">Al respecto, como regla general, el </w:t>
      </w:r>
      <w:r w:rsidR="00E03C26" w:rsidRPr="00B1523A">
        <w:rPr>
          <w:rFonts w:eastAsia="Calibri"/>
          <w:sz w:val="20"/>
          <w:szCs w:val="20"/>
        </w:rPr>
        <w:lastRenderedPageBreak/>
        <w:t>consentimiento es personal, en tanto debe ser brindado por la persona que accederá́ al procedimiento</w:t>
      </w:r>
      <w:r w:rsidR="006B4745">
        <w:rPr>
          <w:rStyle w:val="FootnoteReference"/>
          <w:rFonts w:eastAsia="Calibri"/>
          <w:sz w:val="20"/>
          <w:szCs w:val="20"/>
        </w:rPr>
        <w:footnoteReference w:id="256"/>
      </w:r>
      <w:r w:rsidR="00C569E5" w:rsidRPr="00B1523A">
        <w:rPr>
          <w:rFonts w:eastAsia="Calibri"/>
          <w:sz w:val="20"/>
          <w:szCs w:val="20"/>
        </w:rPr>
        <w:t>.</w:t>
      </w:r>
      <w:r w:rsidR="00E03C26" w:rsidRPr="00B1523A">
        <w:rPr>
          <w:rFonts w:eastAsia="Calibri"/>
          <w:sz w:val="20"/>
          <w:szCs w:val="20"/>
        </w:rPr>
        <w:t xml:space="preserve">  </w:t>
      </w:r>
    </w:p>
    <w:p w14:paraId="4BD6C799" w14:textId="77777777" w:rsidR="00756AA2" w:rsidRPr="001E299B" w:rsidRDefault="00756AA2" w:rsidP="0059117C">
      <w:pPr>
        <w:tabs>
          <w:tab w:val="left" w:pos="567"/>
        </w:tabs>
        <w:rPr>
          <w:rFonts w:eastAsia="Calibri"/>
          <w:b/>
          <w:i/>
          <w:lang w:eastAsia="en-US"/>
        </w:rPr>
      </w:pPr>
    </w:p>
    <w:p w14:paraId="09B40D55" w14:textId="6F69A295" w:rsidR="002570D1" w:rsidRPr="002570D1" w:rsidRDefault="002570D1" w:rsidP="002570D1">
      <w:pPr>
        <w:numPr>
          <w:ilvl w:val="0"/>
          <w:numId w:val="2"/>
        </w:numPr>
        <w:tabs>
          <w:tab w:val="left" w:pos="567"/>
          <w:tab w:val="num" w:pos="1569"/>
          <w:tab w:val="num" w:pos="12305"/>
        </w:tabs>
        <w:ind w:left="0" w:firstLine="0"/>
        <w:rPr>
          <w:rFonts w:eastAsia="Calibri"/>
          <w:sz w:val="20"/>
          <w:szCs w:val="20"/>
          <w:lang w:val="es-MX" w:eastAsia="en-US"/>
        </w:rPr>
      </w:pPr>
      <w:r w:rsidRPr="002570D1">
        <w:rPr>
          <w:rFonts w:eastAsia="Calibri"/>
          <w:sz w:val="20"/>
          <w:szCs w:val="20"/>
          <w:lang w:eastAsia="en-US"/>
        </w:rPr>
        <w:t xml:space="preserve">La Corte </w:t>
      </w:r>
      <w:r w:rsidR="004A6FC7">
        <w:rPr>
          <w:rFonts w:eastAsia="Calibri"/>
          <w:sz w:val="20"/>
          <w:szCs w:val="20"/>
          <w:lang w:val="es-MX" w:eastAsia="en-US"/>
        </w:rPr>
        <w:t xml:space="preserve">ha dispuesto también </w:t>
      </w:r>
      <w:r w:rsidRPr="002570D1">
        <w:rPr>
          <w:rFonts w:eastAsia="Calibri"/>
          <w:sz w:val="20"/>
          <w:szCs w:val="20"/>
          <w:lang w:eastAsia="en-US"/>
        </w:rPr>
        <w:t xml:space="preserve">que los prestadores de salud deberán informar al </w:t>
      </w:r>
      <w:r w:rsidR="00762119">
        <w:rPr>
          <w:rFonts w:eastAsia="Calibri"/>
          <w:sz w:val="20"/>
          <w:szCs w:val="20"/>
          <w:lang w:eastAsia="en-US"/>
        </w:rPr>
        <w:t>paciente</w:t>
      </w:r>
      <w:r w:rsidR="00291E55">
        <w:rPr>
          <w:rFonts w:eastAsia="Calibri"/>
          <w:sz w:val="20"/>
          <w:szCs w:val="20"/>
          <w:lang w:eastAsia="en-US"/>
        </w:rPr>
        <w:t>,</w:t>
      </w:r>
      <w:r w:rsidR="00762119">
        <w:rPr>
          <w:rFonts w:eastAsia="Calibri"/>
          <w:sz w:val="20"/>
          <w:szCs w:val="20"/>
          <w:lang w:eastAsia="en-US"/>
        </w:rPr>
        <w:t xml:space="preserve"> </w:t>
      </w:r>
      <w:r w:rsidR="0070441D">
        <w:rPr>
          <w:rFonts w:eastAsia="Calibri"/>
          <w:sz w:val="20"/>
          <w:szCs w:val="20"/>
          <w:lang w:eastAsia="en-US"/>
        </w:rPr>
        <w:t xml:space="preserve">al </w:t>
      </w:r>
      <w:r w:rsidRPr="002570D1">
        <w:rPr>
          <w:rFonts w:eastAsia="Calibri"/>
          <w:sz w:val="20"/>
          <w:szCs w:val="20"/>
          <w:lang w:eastAsia="en-US"/>
        </w:rPr>
        <w:t>menos, sobre: i) la evaluación de</w:t>
      </w:r>
      <w:r w:rsidR="00762119">
        <w:rPr>
          <w:rFonts w:eastAsia="Calibri"/>
          <w:sz w:val="20"/>
          <w:szCs w:val="20"/>
          <w:lang w:eastAsia="en-US"/>
        </w:rPr>
        <w:t>l</w:t>
      </w:r>
      <w:r w:rsidRPr="002570D1">
        <w:rPr>
          <w:rFonts w:eastAsia="Calibri"/>
          <w:sz w:val="20"/>
          <w:szCs w:val="20"/>
          <w:lang w:eastAsia="en-US"/>
        </w:rPr>
        <w:t xml:space="preserve"> diagnóstico; ii) el objetivo, método, duración probable, beneficios y riesgos esperados del tratamiento propuesto; iii) los posibles efectos desfavorables del tratamiento propuesto; iv) las alternativas de tratamiento, incluyendo aquellas menos intrusivas, y el posible dolor o malestar, riesgos, beneficios y efectos secundarios del tratamiento alternativo propuesto; v) las consecuencias de los tratamientos, y vi) lo que se estima ocurrirá antes, durante y después del tratamiento</w:t>
      </w:r>
      <w:r w:rsidRPr="002570D1">
        <w:rPr>
          <w:rFonts w:eastAsia="Calibri"/>
          <w:sz w:val="20"/>
          <w:szCs w:val="20"/>
          <w:vertAlign w:val="superscript"/>
          <w:lang w:val="es-ES_tradnl" w:eastAsia="en-US"/>
        </w:rPr>
        <w:footnoteReference w:id="257"/>
      </w:r>
      <w:r w:rsidRPr="002570D1">
        <w:rPr>
          <w:rFonts w:eastAsia="Calibri"/>
          <w:sz w:val="20"/>
          <w:szCs w:val="20"/>
          <w:lang w:eastAsia="en-US"/>
        </w:rPr>
        <w:t xml:space="preserve"> .</w:t>
      </w:r>
    </w:p>
    <w:p w14:paraId="5B702AB4" w14:textId="77777777" w:rsidR="002570D1" w:rsidRPr="002570D1" w:rsidRDefault="002570D1" w:rsidP="002570D1">
      <w:pPr>
        <w:tabs>
          <w:tab w:val="left" w:pos="567"/>
        </w:tabs>
        <w:contextualSpacing/>
        <w:rPr>
          <w:rFonts w:eastAsia="Calibri"/>
          <w:sz w:val="20"/>
          <w:szCs w:val="20"/>
          <w:lang w:val="es-MX" w:eastAsia="en-US"/>
        </w:rPr>
      </w:pPr>
    </w:p>
    <w:p w14:paraId="79231766" w14:textId="45A33059" w:rsidR="006D78F3" w:rsidRPr="006D78F3" w:rsidRDefault="002570D1" w:rsidP="0059117C">
      <w:pPr>
        <w:numPr>
          <w:ilvl w:val="0"/>
          <w:numId w:val="2"/>
        </w:numPr>
        <w:tabs>
          <w:tab w:val="left" w:pos="567"/>
          <w:tab w:val="num" w:pos="1569"/>
          <w:tab w:val="num" w:pos="12305"/>
        </w:tabs>
        <w:ind w:left="0" w:firstLine="0"/>
        <w:rPr>
          <w:rFonts w:eastAsiaTheme="minorHAnsi"/>
          <w:sz w:val="20"/>
          <w:szCs w:val="20"/>
          <w:lang w:val="es-MX" w:eastAsia="en-US"/>
        </w:rPr>
      </w:pPr>
      <w:r w:rsidRPr="00756AA2">
        <w:rPr>
          <w:rFonts w:eastAsia="MS Mincho"/>
          <w:sz w:val="20"/>
          <w:szCs w:val="20"/>
          <w:lang w:val="es-MX" w:eastAsia="en-US" w:bidi="en-US"/>
        </w:rPr>
        <w:t xml:space="preserve">En el presente caso, la Corte recuerda que los hechos que versan sobre la falta de consentimiento informado de los familiares son los que sucedieron en torno al procedimiento quirúrgico efectuado al señor Poblete Vilches </w:t>
      </w:r>
      <w:r w:rsidR="008A2242">
        <w:rPr>
          <w:rFonts w:eastAsia="MS Mincho"/>
          <w:sz w:val="20"/>
          <w:szCs w:val="20"/>
          <w:lang w:val="es-MX" w:eastAsia="en-US" w:bidi="en-US"/>
        </w:rPr>
        <w:t>durante su primer ingreso</w:t>
      </w:r>
      <w:r w:rsidR="004A6FC7" w:rsidRPr="00756AA2">
        <w:rPr>
          <w:rFonts w:eastAsia="MS Mincho"/>
          <w:sz w:val="20"/>
          <w:szCs w:val="20"/>
          <w:lang w:val="es-MX" w:eastAsia="en-US" w:bidi="en-US"/>
        </w:rPr>
        <w:t xml:space="preserve">. </w:t>
      </w:r>
      <w:r w:rsidR="004A6FC7" w:rsidRPr="00B1523A">
        <w:rPr>
          <w:rFonts w:eastAsia="MS Mincho"/>
          <w:sz w:val="20"/>
          <w:szCs w:val="20"/>
          <w:lang w:val="es-MX" w:eastAsia="en-US" w:bidi="en-US"/>
        </w:rPr>
        <w:t xml:space="preserve">No obstante, </w:t>
      </w:r>
      <w:r w:rsidR="006B4745">
        <w:rPr>
          <w:rFonts w:eastAsia="MS Mincho"/>
          <w:sz w:val="20"/>
          <w:szCs w:val="20"/>
          <w:lang w:val="es-MX" w:eastAsia="en-US" w:bidi="en-US"/>
        </w:rPr>
        <w:t xml:space="preserve">en referencia al segundo ingreso, los hechos versan sobre aspectos del acceso a la información por parte de los familiares </w:t>
      </w:r>
      <w:r w:rsidR="004A6FC7" w:rsidRPr="00B1523A">
        <w:rPr>
          <w:rFonts w:eastAsia="MS Mincho"/>
          <w:sz w:val="20"/>
          <w:szCs w:val="20"/>
          <w:lang w:val="es-MX" w:eastAsia="en-US" w:bidi="en-US"/>
        </w:rPr>
        <w:t>(</w:t>
      </w:r>
      <w:r w:rsidR="003B52C8">
        <w:rPr>
          <w:rFonts w:eastAsia="MS Mincho"/>
          <w:i/>
          <w:sz w:val="20"/>
          <w:szCs w:val="20"/>
          <w:lang w:val="es-MX" w:eastAsia="en-US" w:bidi="en-US"/>
        </w:rPr>
        <w:t>infra</w:t>
      </w:r>
      <w:r w:rsidR="004A6FC7" w:rsidRPr="00B1523A">
        <w:rPr>
          <w:rFonts w:eastAsia="MS Mincho"/>
          <w:i/>
          <w:sz w:val="20"/>
          <w:szCs w:val="20"/>
          <w:lang w:val="es-MX" w:eastAsia="en-US" w:bidi="en-US"/>
        </w:rPr>
        <w:t xml:space="preserve"> </w:t>
      </w:r>
      <w:r w:rsidR="004A6FC7" w:rsidRPr="00B1523A">
        <w:rPr>
          <w:rFonts w:eastAsia="MS Mincho"/>
          <w:sz w:val="20"/>
          <w:szCs w:val="20"/>
          <w:lang w:val="es-MX" w:eastAsia="en-US" w:bidi="en-US"/>
        </w:rPr>
        <w:t xml:space="preserve">párr. </w:t>
      </w:r>
      <w:r w:rsidR="006B4745">
        <w:rPr>
          <w:rFonts w:eastAsia="MS Mincho"/>
          <w:sz w:val="20"/>
          <w:szCs w:val="20"/>
          <w:lang w:val="es-MX" w:eastAsia="en-US" w:bidi="en-US"/>
        </w:rPr>
        <w:t>173</w:t>
      </w:r>
      <w:r w:rsidR="004A6FC7" w:rsidRPr="00B1523A">
        <w:rPr>
          <w:rFonts w:eastAsia="MS Mincho"/>
          <w:sz w:val="20"/>
          <w:szCs w:val="20"/>
          <w:lang w:val="es-MX" w:eastAsia="en-US" w:bidi="en-US"/>
        </w:rPr>
        <w:t>)</w:t>
      </w:r>
      <w:r w:rsidRPr="00B1523A">
        <w:rPr>
          <w:rFonts w:eastAsia="MS Mincho"/>
          <w:sz w:val="20"/>
          <w:szCs w:val="20"/>
          <w:lang w:val="es-MX" w:eastAsia="en-US" w:bidi="en-US"/>
        </w:rPr>
        <w:t>.</w:t>
      </w:r>
      <w:r w:rsidRPr="00756AA2">
        <w:rPr>
          <w:rFonts w:eastAsia="MS Mincho"/>
          <w:sz w:val="20"/>
          <w:szCs w:val="20"/>
          <w:lang w:val="es-MX" w:eastAsia="en-US" w:bidi="en-US"/>
        </w:rPr>
        <w:t xml:space="preserve"> </w:t>
      </w:r>
    </w:p>
    <w:p w14:paraId="5245A65B" w14:textId="77777777" w:rsidR="006D78F3" w:rsidRDefault="006D78F3" w:rsidP="0059117C">
      <w:pPr>
        <w:tabs>
          <w:tab w:val="left" w:pos="567"/>
        </w:tabs>
        <w:rPr>
          <w:rFonts w:eastAsiaTheme="minorHAnsi"/>
          <w:sz w:val="20"/>
          <w:szCs w:val="20"/>
          <w:lang w:val="es-MX" w:eastAsia="en-US"/>
        </w:rPr>
      </w:pPr>
    </w:p>
    <w:p w14:paraId="550BC61A" w14:textId="60BF7334" w:rsidR="002570D1" w:rsidRDefault="00756AA2" w:rsidP="0059117C">
      <w:pPr>
        <w:numPr>
          <w:ilvl w:val="0"/>
          <w:numId w:val="2"/>
        </w:numPr>
        <w:tabs>
          <w:tab w:val="left" w:pos="567"/>
          <w:tab w:val="num" w:pos="1569"/>
          <w:tab w:val="num" w:pos="12305"/>
        </w:tabs>
        <w:ind w:left="0" w:firstLine="0"/>
        <w:rPr>
          <w:rFonts w:eastAsia="Calibri"/>
          <w:sz w:val="20"/>
          <w:szCs w:val="20"/>
          <w:lang w:val="es-MX" w:eastAsia="en-US"/>
        </w:rPr>
      </w:pPr>
      <w:r>
        <w:rPr>
          <w:rFonts w:eastAsiaTheme="minorHAnsi"/>
          <w:sz w:val="20"/>
          <w:szCs w:val="20"/>
          <w:lang w:val="es-MX" w:eastAsia="en-US"/>
        </w:rPr>
        <w:t xml:space="preserve">Al respecto, </w:t>
      </w:r>
      <w:r>
        <w:rPr>
          <w:rFonts w:eastAsia="MS Mincho"/>
          <w:sz w:val="20"/>
          <w:szCs w:val="20"/>
          <w:lang w:val="es-MX" w:eastAsia="en-US" w:bidi="en-US"/>
        </w:rPr>
        <w:t>d</w:t>
      </w:r>
      <w:r w:rsidR="002570D1" w:rsidRPr="002570D1">
        <w:rPr>
          <w:rFonts w:eastAsia="MS Mincho"/>
          <w:sz w:val="20"/>
          <w:szCs w:val="20"/>
          <w:lang w:val="es-MX" w:eastAsia="en-US" w:bidi="en-US"/>
        </w:rPr>
        <w:t xml:space="preserve">urante su primer ingreso, el señor Poblete Vilches fue trasladado al “pabellón” para hacerle una incisión para verificar si tenía líquido en el corazón, </w:t>
      </w:r>
      <w:r w:rsidR="00E017B9">
        <w:rPr>
          <w:rFonts w:eastAsia="MS Mincho"/>
          <w:sz w:val="20"/>
          <w:szCs w:val="20"/>
          <w:lang w:val="es-MX" w:eastAsia="en-US" w:bidi="en-US"/>
        </w:rPr>
        <w:t xml:space="preserve">pese a que </w:t>
      </w:r>
      <w:r w:rsidR="002570D1" w:rsidRPr="002570D1">
        <w:rPr>
          <w:rFonts w:eastAsia="MS Mincho"/>
          <w:sz w:val="20"/>
          <w:szCs w:val="20"/>
          <w:lang w:val="es-MX" w:eastAsia="en-US" w:bidi="en-US"/>
        </w:rPr>
        <w:t xml:space="preserve">sus parientes informaron al personal médico que él no podía ser intervenido quirúrgicamente por ser diabético. Al salir de la intervención quirúrgica el señor Poblete tenía en la cintura tres heridas de las cuales salía un tubo de drenaje. </w:t>
      </w:r>
      <w:r w:rsidR="002570D1" w:rsidRPr="002570D1">
        <w:rPr>
          <w:rFonts w:eastAsia="Calibri"/>
          <w:sz w:val="20"/>
          <w:szCs w:val="20"/>
          <w:lang w:val="es-MX" w:eastAsia="en-US"/>
        </w:rPr>
        <w:t>En el presente caso las representantes alegaron que a los familiares del señor Poblete Vilches nunca se les proporcionó información antes o después de la intervención quirúrgica que se le realizó al señor Poblete Vilches en su primer ingreso al Hospital Sotero del Río</w:t>
      </w:r>
      <w:r w:rsidR="00C82C41">
        <w:rPr>
          <w:rStyle w:val="FootnoteReference"/>
          <w:rFonts w:eastAsia="Calibri"/>
          <w:sz w:val="20"/>
          <w:szCs w:val="20"/>
          <w:lang w:val="es-MX" w:eastAsia="en-US"/>
        </w:rPr>
        <w:footnoteReference w:id="258"/>
      </w:r>
      <w:r w:rsidR="002570D1" w:rsidRPr="002570D1">
        <w:rPr>
          <w:rFonts w:eastAsia="Calibri"/>
          <w:sz w:val="20"/>
          <w:szCs w:val="20"/>
          <w:lang w:val="es-MX" w:eastAsia="en-US"/>
        </w:rPr>
        <w:t>. Además, manifestaron que ellos nunca otorgaron su autorización para dicha intervención y que la autorización que consta en el expediente médico es falsa. (</w:t>
      </w:r>
      <w:r w:rsidR="00062586" w:rsidRPr="00062586">
        <w:rPr>
          <w:rFonts w:eastAsia="Calibri"/>
          <w:i/>
          <w:sz w:val="20"/>
          <w:szCs w:val="20"/>
          <w:lang w:val="es-MX" w:eastAsia="en-US"/>
        </w:rPr>
        <w:t>supra</w:t>
      </w:r>
      <w:r w:rsidR="002570D1" w:rsidRPr="002570D1">
        <w:rPr>
          <w:rFonts w:eastAsia="Calibri"/>
          <w:sz w:val="20"/>
          <w:szCs w:val="20"/>
          <w:lang w:val="es-MX" w:eastAsia="en-US"/>
        </w:rPr>
        <w:t xml:space="preserve"> </w:t>
      </w:r>
      <w:proofErr w:type="spellStart"/>
      <w:r w:rsidR="002570D1" w:rsidRPr="002570D1">
        <w:rPr>
          <w:rFonts w:eastAsia="Calibri"/>
          <w:sz w:val="20"/>
          <w:szCs w:val="20"/>
          <w:lang w:val="es-MX" w:eastAsia="en-US"/>
        </w:rPr>
        <w:t>párr</w:t>
      </w:r>
      <w:r w:rsidR="00C82C41">
        <w:rPr>
          <w:rFonts w:eastAsia="Calibri"/>
          <w:sz w:val="20"/>
          <w:szCs w:val="20"/>
          <w:lang w:val="es-MX" w:eastAsia="en-US"/>
        </w:rPr>
        <w:t>s</w:t>
      </w:r>
      <w:proofErr w:type="spellEnd"/>
      <w:r w:rsidR="002570D1" w:rsidRPr="002570D1">
        <w:rPr>
          <w:rFonts w:eastAsia="Calibri"/>
          <w:sz w:val="20"/>
          <w:szCs w:val="20"/>
          <w:lang w:val="es-MX" w:eastAsia="en-US"/>
        </w:rPr>
        <w:t xml:space="preserve">. </w:t>
      </w:r>
      <w:r w:rsidR="00C82C41">
        <w:rPr>
          <w:rFonts w:eastAsia="Calibri"/>
          <w:sz w:val="20"/>
          <w:szCs w:val="20"/>
          <w:lang w:val="es-MX" w:eastAsia="en-US"/>
        </w:rPr>
        <w:t>45 a 47</w:t>
      </w:r>
      <w:r w:rsidR="002570D1" w:rsidRPr="002570D1">
        <w:rPr>
          <w:rFonts w:eastAsia="Calibri"/>
          <w:sz w:val="20"/>
          <w:szCs w:val="20"/>
          <w:lang w:val="es-MX" w:eastAsia="en-US"/>
        </w:rPr>
        <w:t xml:space="preserve">). </w:t>
      </w:r>
    </w:p>
    <w:p w14:paraId="3FBBB381" w14:textId="77777777" w:rsidR="00E6413F" w:rsidRPr="0059117C" w:rsidRDefault="00E6413F" w:rsidP="002570D1">
      <w:pPr>
        <w:tabs>
          <w:tab w:val="left" w:pos="567"/>
        </w:tabs>
        <w:rPr>
          <w:rFonts w:eastAsia="Calibri"/>
          <w:sz w:val="20"/>
          <w:szCs w:val="20"/>
          <w:lang w:eastAsia="en-US"/>
        </w:rPr>
      </w:pPr>
    </w:p>
    <w:p w14:paraId="1EE23076" w14:textId="77777777" w:rsidR="00A90C28" w:rsidRPr="0059117C" w:rsidRDefault="008A2242" w:rsidP="002570D1">
      <w:pPr>
        <w:numPr>
          <w:ilvl w:val="0"/>
          <w:numId w:val="2"/>
        </w:numPr>
        <w:tabs>
          <w:tab w:val="left" w:pos="567"/>
          <w:tab w:val="num" w:pos="1569"/>
          <w:tab w:val="num" w:pos="12305"/>
        </w:tabs>
        <w:ind w:left="0" w:firstLine="0"/>
        <w:rPr>
          <w:rFonts w:eastAsia="Calibri"/>
          <w:sz w:val="20"/>
          <w:szCs w:val="20"/>
          <w:lang w:eastAsia="en-US"/>
        </w:rPr>
      </w:pPr>
      <w:r>
        <w:rPr>
          <w:rFonts w:eastAsia="Calibri"/>
          <w:sz w:val="20"/>
          <w:szCs w:val="20"/>
          <w:lang w:val="es-MX" w:eastAsia="en-US"/>
        </w:rPr>
        <w:t xml:space="preserve">La Corte toma nota de la </w:t>
      </w:r>
      <w:r w:rsidR="002570D1" w:rsidRPr="002570D1">
        <w:rPr>
          <w:rFonts w:eastAsia="Calibri"/>
          <w:sz w:val="20"/>
          <w:szCs w:val="20"/>
          <w:lang w:val="es-MX" w:eastAsia="en-US"/>
        </w:rPr>
        <w:t xml:space="preserve">normativa interna que existía </w:t>
      </w:r>
      <w:r>
        <w:rPr>
          <w:rFonts w:eastAsia="Calibri"/>
          <w:sz w:val="20"/>
          <w:szCs w:val="20"/>
          <w:lang w:val="es-MX" w:eastAsia="en-US"/>
        </w:rPr>
        <w:t xml:space="preserve">al momento de los hechos, particularmente </w:t>
      </w:r>
      <w:r w:rsidR="002570D1" w:rsidRPr="002570D1">
        <w:rPr>
          <w:rFonts w:eastAsia="Calibri"/>
          <w:sz w:val="20"/>
          <w:szCs w:val="20"/>
          <w:lang w:val="es-MX" w:eastAsia="en-US"/>
        </w:rPr>
        <w:t>respecto del consentimiento requerido para la práctica de procedimientos como los que conciernen a este caso</w:t>
      </w:r>
      <w:r w:rsidR="00E82480">
        <w:rPr>
          <w:rFonts w:eastAsia="Calibri"/>
          <w:sz w:val="20"/>
          <w:szCs w:val="20"/>
          <w:lang w:val="es-MX" w:eastAsia="en-US"/>
        </w:rPr>
        <w:t xml:space="preserve">, </w:t>
      </w:r>
      <w:r>
        <w:rPr>
          <w:rFonts w:eastAsia="Calibri"/>
          <w:sz w:val="20"/>
          <w:szCs w:val="20"/>
          <w:lang w:val="es-MX" w:eastAsia="en-US"/>
        </w:rPr>
        <w:t>a saber:</w:t>
      </w:r>
      <w:r w:rsidR="00A90C28">
        <w:rPr>
          <w:rFonts w:eastAsia="Calibri"/>
          <w:sz w:val="20"/>
          <w:szCs w:val="20"/>
          <w:lang w:val="es-MX" w:eastAsia="en-US"/>
        </w:rPr>
        <w:t xml:space="preserve"> </w:t>
      </w:r>
    </w:p>
    <w:p w14:paraId="6669D51D" w14:textId="77777777" w:rsidR="008A2242" w:rsidRPr="0059117C" w:rsidRDefault="008A2242" w:rsidP="0059117C">
      <w:pPr>
        <w:tabs>
          <w:tab w:val="left" w:pos="567"/>
        </w:tabs>
        <w:rPr>
          <w:rFonts w:eastAsia="Calibri"/>
          <w:sz w:val="20"/>
          <w:szCs w:val="20"/>
          <w:lang w:eastAsia="en-US"/>
        </w:rPr>
      </w:pPr>
    </w:p>
    <w:p w14:paraId="0521A6DC" w14:textId="77777777" w:rsidR="00A90C28" w:rsidRPr="00840E52" w:rsidRDefault="00A90C28" w:rsidP="0059117C">
      <w:pPr>
        <w:tabs>
          <w:tab w:val="left" w:pos="567"/>
        </w:tabs>
        <w:ind w:left="567"/>
        <w:rPr>
          <w:rFonts w:eastAsia="Calibri"/>
          <w:sz w:val="18"/>
          <w:szCs w:val="20"/>
          <w:lang w:val="es-MX" w:eastAsia="en-US"/>
        </w:rPr>
      </w:pPr>
      <w:r w:rsidRPr="00840E52">
        <w:rPr>
          <w:rFonts w:eastAsia="Calibri"/>
          <w:sz w:val="18"/>
          <w:szCs w:val="20"/>
          <w:lang w:eastAsia="en-US"/>
        </w:rPr>
        <w:t xml:space="preserve">a) </w:t>
      </w:r>
      <w:r w:rsidR="00E82480" w:rsidRPr="00840E52">
        <w:rPr>
          <w:rFonts w:eastAsia="Calibri"/>
          <w:sz w:val="18"/>
          <w:szCs w:val="20"/>
          <w:lang w:val="es-MX" w:eastAsia="en-US"/>
        </w:rPr>
        <w:t>e</w:t>
      </w:r>
      <w:r w:rsidR="002570D1" w:rsidRPr="00840E52">
        <w:rPr>
          <w:rFonts w:eastAsia="Calibri"/>
          <w:sz w:val="18"/>
          <w:szCs w:val="20"/>
          <w:lang w:val="es-MX" w:eastAsia="en-US"/>
        </w:rPr>
        <w:t>l Decreto Supremo Número 42 de 1986, que aprobó el Reglamento Orgánico de los Servicios de Salud, en su artículo 105 disponía que “los profesionales tratantes deberán informar, en lo posible y cuando proceda, a los pacientes, a sus representantes legales o a los familiares de aquellos, sobre el diagnóstico y el pronóstico probable de su enfermedad, las medidas terapéuticas o médico-quirúrgicas que se les aplicarían y los riesgos que éstas o su omisión conllevan, para permitir su decisión informada, así como las acciones preventivas que correspondan al paciente o a su grupo familiar”.</w:t>
      </w:r>
    </w:p>
    <w:p w14:paraId="770AF9EB" w14:textId="77777777" w:rsidR="00A90C28" w:rsidRPr="00840E52" w:rsidRDefault="00A90C28" w:rsidP="0059117C">
      <w:pPr>
        <w:tabs>
          <w:tab w:val="left" w:pos="567"/>
        </w:tabs>
        <w:ind w:left="567"/>
        <w:rPr>
          <w:rFonts w:eastAsia="Calibri"/>
          <w:sz w:val="18"/>
          <w:szCs w:val="20"/>
          <w:lang w:val="es-MX" w:eastAsia="en-US"/>
        </w:rPr>
      </w:pPr>
    </w:p>
    <w:p w14:paraId="4563EFFB" w14:textId="22297DB4" w:rsidR="00E03C26" w:rsidRPr="00E87D1E" w:rsidRDefault="00A90C28" w:rsidP="00E03C26">
      <w:pPr>
        <w:tabs>
          <w:tab w:val="left" w:pos="567"/>
          <w:tab w:val="num" w:pos="12305"/>
        </w:tabs>
        <w:ind w:left="567"/>
        <w:rPr>
          <w:rFonts w:eastAsia="Calibri"/>
          <w:sz w:val="18"/>
          <w:szCs w:val="20"/>
          <w:lang w:val="es-MX"/>
        </w:rPr>
      </w:pPr>
      <w:r w:rsidRPr="00840E52">
        <w:rPr>
          <w:rFonts w:eastAsia="Calibri"/>
          <w:sz w:val="18"/>
          <w:szCs w:val="20"/>
          <w:lang w:eastAsia="en-US"/>
        </w:rPr>
        <w:t xml:space="preserve">b) </w:t>
      </w:r>
      <w:r w:rsidR="008A2242" w:rsidRPr="00840E52">
        <w:rPr>
          <w:rFonts w:eastAsia="Calibri"/>
          <w:sz w:val="18"/>
          <w:szCs w:val="20"/>
          <w:lang w:val="es-MX" w:eastAsia="en-US"/>
        </w:rPr>
        <w:t>l</w:t>
      </w:r>
      <w:r w:rsidR="002570D1" w:rsidRPr="00840E52">
        <w:rPr>
          <w:rFonts w:eastAsia="Calibri"/>
          <w:sz w:val="18"/>
          <w:szCs w:val="20"/>
          <w:lang w:val="es-MX" w:eastAsia="en-US"/>
        </w:rPr>
        <w:t>as “Normas y Documentos de Ética Médica” de 1986, elaboradas por el Colegio Médico de Chile, disponía en su artículo 15 que “</w:t>
      </w:r>
      <w:r w:rsidR="002570D1" w:rsidRPr="00840E52">
        <w:rPr>
          <w:rFonts w:eastAsia="Calibri"/>
          <w:sz w:val="18"/>
          <w:szCs w:val="20"/>
          <w:lang w:eastAsia="en-US"/>
        </w:rPr>
        <w:t xml:space="preserve">en los casos que fuera terapéuticamente necesario recurrir a tratamientos que entrañen riesgos ciertos o mutilación grave para el paciente, el medico deberá contar con el consentimiento expreso, dado con conocimiento de causa, por el enfermo, o sus </w:t>
      </w:r>
      <w:r w:rsidR="002570D1" w:rsidRPr="00840E52">
        <w:rPr>
          <w:rFonts w:eastAsia="Calibri"/>
          <w:sz w:val="18"/>
          <w:szCs w:val="20"/>
          <w:lang w:eastAsia="en-US"/>
        </w:rPr>
        <w:lastRenderedPageBreak/>
        <w:t>familiares responsables cuando sea menor de edad o este incapacitado para decidir</w:t>
      </w:r>
      <w:r w:rsidR="002570D1" w:rsidRPr="00840E52">
        <w:rPr>
          <w:rFonts w:eastAsia="Calibri"/>
          <w:sz w:val="18"/>
          <w:szCs w:val="20"/>
          <w:lang w:val="es-MX" w:eastAsia="en-US"/>
        </w:rPr>
        <w:t>.</w:t>
      </w:r>
      <w:r w:rsidR="002570D1" w:rsidRPr="008A187A">
        <w:rPr>
          <w:rFonts w:eastAsia="Calibri"/>
          <w:sz w:val="18"/>
          <w:szCs w:val="20"/>
          <w:lang w:val="es-MX" w:eastAsia="en-US"/>
        </w:rPr>
        <w:t xml:space="preserve"> </w:t>
      </w:r>
      <w:r w:rsidR="00E03C26" w:rsidRPr="00B1523A">
        <w:rPr>
          <w:rFonts w:eastAsia="Calibri"/>
          <w:sz w:val="18"/>
          <w:szCs w:val="20"/>
        </w:rPr>
        <w:t>En situaciones de urgencia médica o ausencia de los familiares responsables, sin que sea posible obtener comunicación con ellos o de no existir estos, el médico podrá prescindir de la autorización que establece el inciso precedente, sin perjuicio de procurar de obtener la opinión favorable de otro colega en el tratamiento"</w:t>
      </w:r>
      <w:r w:rsidR="00E03C26" w:rsidRPr="008A187A">
        <w:rPr>
          <w:rStyle w:val="FootnoteReference"/>
          <w:rFonts w:eastAsia="Calibri"/>
          <w:sz w:val="18"/>
        </w:rPr>
        <w:footnoteReference w:id="259"/>
      </w:r>
      <w:r w:rsidR="00E03C26" w:rsidRPr="00B1523A">
        <w:rPr>
          <w:rFonts w:eastAsia="Calibri"/>
          <w:sz w:val="18"/>
          <w:szCs w:val="20"/>
        </w:rPr>
        <w:t>.</w:t>
      </w:r>
      <w:r w:rsidR="00E03C26" w:rsidRPr="00F569D7">
        <w:rPr>
          <w:rFonts w:eastAsia="Calibri"/>
          <w:b/>
          <w:sz w:val="18"/>
          <w:szCs w:val="20"/>
        </w:rPr>
        <w:t xml:space="preserve"> </w:t>
      </w:r>
    </w:p>
    <w:p w14:paraId="7C999144" w14:textId="77777777" w:rsidR="00A90C28" w:rsidRPr="00840E52" w:rsidRDefault="00A90C28" w:rsidP="00AB1E03">
      <w:pPr>
        <w:tabs>
          <w:tab w:val="left" w:pos="567"/>
        </w:tabs>
        <w:rPr>
          <w:rFonts w:eastAsia="Calibri"/>
          <w:sz w:val="18"/>
          <w:szCs w:val="20"/>
          <w:lang w:eastAsia="en-US"/>
        </w:rPr>
      </w:pPr>
    </w:p>
    <w:p w14:paraId="2A66DBF5" w14:textId="3F79A9B9" w:rsidR="002570D1" w:rsidRPr="00840E52" w:rsidRDefault="00A90C28" w:rsidP="0059117C">
      <w:pPr>
        <w:tabs>
          <w:tab w:val="left" w:pos="567"/>
        </w:tabs>
        <w:ind w:left="567"/>
        <w:rPr>
          <w:rFonts w:eastAsia="Calibri"/>
          <w:sz w:val="18"/>
          <w:szCs w:val="20"/>
          <w:lang w:eastAsia="en-US"/>
        </w:rPr>
      </w:pPr>
      <w:r w:rsidRPr="00840E52">
        <w:rPr>
          <w:rFonts w:eastAsia="Calibri"/>
          <w:sz w:val="18"/>
          <w:szCs w:val="20"/>
          <w:lang w:eastAsia="en-US"/>
        </w:rPr>
        <w:t xml:space="preserve">c) </w:t>
      </w:r>
      <w:r w:rsidR="008A2242" w:rsidRPr="00840E52">
        <w:rPr>
          <w:rFonts w:eastAsia="Calibri"/>
          <w:sz w:val="18"/>
          <w:szCs w:val="20"/>
          <w:lang w:val="es-MX" w:eastAsia="en-US"/>
        </w:rPr>
        <w:t>e</w:t>
      </w:r>
      <w:r w:rsidR="002570D1" w:rsidRPr="00840E52">
        <w:rPr>
          <w:rFonts w:eastAsia="Calibri"/>
          <w:sz w:val="18"/>
          <w:szCs w:val="20"/>
          <w:lang w:val="es-MX" w:eastAsia="en-US"/>
        </w:rPr>
        <w:t xml:space="preserve">n 1999, el Fondo Nacional de Salud, en conjunto con el Ministerio de Salud de Chile elaboraron la “Carta de Derechos del Paciente” que disponía </w:t>
      </w:r>
      <w:r w:rsidR="002570D1" w:rsidRPr="00840E52">
        <w:rPr>
          <w:rFonts w:eastAsia="Calibri"/>
          <w:sz w:val="18"/>
          <w:szCs w:val="20"/>
          <w:lang w:eastAsia="en-US"/>
        </w:rPr>
        <w:t>los pasos a seguir para obtener el consentimiento informado del paciente, además de establecer los casos en que operan las excepciones: menores de edad, incapacidad judicial, deficiencias de comprensión, aun siendo mayor de edad, no tuviera capacidad de discernimiento para decidir acerca de un procedimiento. En este último debe requerirse el consentimiento informado de los parientes o allegados más próximos, a quien legalmente correspondería la representación</w:t>
      </w:r>
      <w:r w:rsidR="008A187A">
        <w:rPr>
          <w:rStyle w:val="FootnoteReference"/>
          <w:rFonts w:eastAsia="Calibri"/>
          <w:sz w:val="18"/>
          <w:szCs w:val="20"/>
          <w:lang w:eastAsia="en-US"/>
        </w:rPr>
        <w:footnoteReference w:id="260"/>
      </w:r>
      <w:r w:rsidR="00762119">
        <w:rPr>
          <w:rFonts w:eastAsia="Calibri"/>
          <w:sz w:val="18"/>
          <w:szCs w:val="20"/>
          <w:lang w:eastAsia="en-US"/>
        </w:rPr>
        <w:t>.</w:t>
      </w:r>
      <w:r w:rsidR="002570D1" w:rsidRPr="00840E52">
        <w:rPr>
          <w:rFonts w:eastAsia="Calibri"/>
          <w:b/>
          <w:sz w:val="18"/>
          <w:szCs w:val="20"/>
          <w:lang w:val="es-MX" w:eastAsia="en-US"/>
        </w:rPr>
        <w:t xml:space="preserve"> </w:t>
      </w:r>
    </w:p>
    <w:p w14:paraId="47112264" w14:textId="77777777" w:rsidR="00F32DA7" w:rsidRPr="00E6413F" w:rsidRDefault="00F32DA7" w:rsidP="005430FF">
      <w:pPr>
        <w:tabs>
          <w:tab w:val="left" w:pos="567"/>
        </w:tabs>
        <w:rPr>
          <w:rFonts w:eastAsia="Calibri"/>
          <w:sz w:val="20"/>
          <w:szCs w:val="20"/>
          <w:lang w:eastAsia="en-US"/>
        </w:rPr>
      </w:pPr>
    </w:p>
    <w:p w14:paraId="77612EBE" w14:textId="77777777" w:rsidR="00E6413F" w:rsidRPr="0059117C" w:rsidRDefault="00E6413F" w:rsidP="00E6413F">
      <w:pPr>
        <w:numPr>
          <w:ilvl w:val="0"/>
          <w:numId w:val="2"/>
        </w:numPr>
        <w:tabs>
          <w:tab w:val="left" w:pos="567"/>
          <w:tab w:val="num" w:pos="1569"/>
          <w:tab w:val="num" w:pos="12305"/>
        </w:tabs>
        <w:ind w:left="0" w:firstLine="0"/>
        <w:rPr>
          <w:rFonts w:eastAsia="Calibri"/>
          <w:sz w:val="20"/>
          <w:szCs w:val="20"/>
          <w:lang w:val="es-MX" w:eastAsia="en-US"/>
        </w:rPr>
      </w:pPr>
      <w:r>
        <w:rPr>
          <w:rFonts w:eastAsia="Calibri"/>
          <w:sz w:val="20"/>
          <w:szCs w:val="20"/>
          <w:lang w:val="es-MX" w:eastAsia="en-US"/>
        </w:rPr>
        <w:t>En vista de lo anterior, l</w:t>
      </w:r>
      <w:r w:rsidRPr="0059117C">
        <w:rPr>
          <w:rFonts w:eastAsia="Calibri"/>
          <w:sz w:val="20"/>
          <w:szCs w:val="20"/>
          <w:lang w:val="es-MX" w:eastAsia="en-US"/>
        </w:rPr>
        <w:t>a Corte entiende que el consentimiento por representación o sustitución se actualiza cuando se ha comprobado que el paciente, por su especial condición, no se encuentra en la capacidad de tomar una decisión en relación a su salud, por lo cual esta potestad le es otorgada a su representante, autoridad, persona, familiar o institución designada por ley. Sin embargo, cualquier limitación en la toma de decisiones tiene que tener en cuenta las capacidades evolutivas del paciente, y su condición actual para brindar el consentimiento</w:t>
      </w:r>
      <w:r w:rsidRPr="0059117C">
        <w:rPr>
          <w:rFonts w:eastAsia="Calibri"/>
          <w:sz w:val="20"/>
          <w:szCs w:val="20"/>
          <w:vertAlign w:val="superscript"/>
          <w:lang w:val="es-MX" w:eastAsia="en-US"/>
        </w:rPr>
        <w:footnoteReference w:id="261"/>
      </w:r>
      <w:r w:rsidRPr="0059117C">
        <w:rPr>
          <w:rFonts w:eastAsia="Calibri"/>
          <w:sz w:val="20"/>
          <w:szCs w:val="20"/>
          <w:lang w:val="es-MX" w:eastAsia="en-US"/>
        </w:rPr>
        <w:t>. Esta Corte considera que entre los elementos necesarios para otorgar el consentimiento informado por parte de sus familiares, este también debe de ser previo, libre, pleno e informado</w:t>
      </w:r>
      <w:r w:rsidRPr="0059117C">
        <w:rPr>
          <w:rFonts w:eastAsia="Calibri"/>
          <w:sz w:val="20"/>
          <w:szCs w:val="20"/>
          <w:vertAlign w:val="superscript"/>
          <w:lang w:val="es-MX" w:eastAsia="en-US"/>
        </w:rPr>
        <w:footnoteReference w:id="262"/>
      </w:r>
      <w:r w:rsidRPr="0059117C">
        <w:rPr>
          <w:rFonts w:eastAsia="Calibri"/>
          <w:sz w:val="20"/>
          <w:szCs w:val="20"/>
          <w:lang w:val="es-MX" w:eastAsia="en-US"/>
        </w:rPr>
        <w:t xml:space="preserve">, a menos que se trate de una situación de emergencia, en donde la Corte ya ha </w:t>
      </w:r>
      <w:r w:rsidRPr="0059117C">
        <w:rPr>
          <w:rFonts w:eastAsia="Calibri"/>
          <w:sz w:val="20"/>
          <w:szCs w:val="20"/>
          <w:lang w:val="es-MX" w:eastAsia="en-US"/>
        </w:rPr>
        <w:lastRenderedPageBreak/>
        <w:t>reconocido que existen excepciones donde es posible que el personal de salud actúe sin la exigencia del consentimiento, en casos en los que éste no pueda ser brindado por la persona y que sea necesario un tratamiento médico o quirúrgico inmediato, de urgencia o de emergencia, ante un grave riesgo contra la vida o la salud del paciente</w:t>
      </w:r>
      <w:r w:rsidRPr="0059117C">
        <w:rPr>
          <w:rFonts w:eastAsia="Calibri"/>
          <w:sz w:val="20"/>
          <w:szCs w:val="20"/>
          <w:vertAlign w:val="superscript"/>
          <w:lang w:val="es-MX" w:eastAsia="en-US"/>
        </w:rPr>
        <w:footnoteReference w:id="263"/>
      </w:r>
      <w:r w:rsidRPr="0059117C">
        <w:rPr>
          <w:rFonts w:eastAsia="Calibri"/>
          <w:sz w:val="20"/>
          <w:szCs w:val="20"/>
          <w:lang w:val="es-MX" w:eastAsia="en-US"/>
        </w:rPr>
        <w:t xml:space="preserve">. </w:t>
      </w:r>
    </w:p>
    <w:p w14:paraId="664B15C0" w14:textId="77777777" w:rsidR="00E6413F" w:rsidRDefault="00E6413F" w:rsidP="005430FF">
      <w:pPr>
        <w:tabs>
          <w:tab w:val="left" w:pos="567"/>
        </w:tabs>
        <w:rPr>
          <w:rFonts w:eastAsia="Calibri"/>
          <w:sz w:val="20"/>
          <w:szCs w:val="20"/>
          <w:lang w:eastAsia="en-US"/>
        </w:rPr>
      </w:pPr>
    </w:p>
    <w:p w14:paraId="698E41C9" w14:textId="397103F6" w:rsidR="00A90C28" w:rsidRPr="007E5CD5" w:rsidRDefault="00A90C28" w:rsidP="0059117C">
      <w:pPr>
        <w:numPr>
          <w:ilvl w:val="0"/>
          <w:numId w:val="2"/>
        </w:numPr>
        <w:tabs>
          <w:tab w:val="left" w:pos="567"/>
          <w:tab w:val="num" w:pos="1569"/>
          <w:tab w:val="num" w:pos="12305"/>
        </w:tabs>
        <w:ind w:left="0" w:firstLine="0"/>
        <w:rPr>
          <w:rFonts w:eastAsia="Calibri"/>
          <w:sz w:val="20"/>
          <w:szCs w:val="20"/>
          <w:lang w:eastAsia="en-US"/>
        </w:rPr>
      </w:pPr>
      <w:r w:rsidRPr="007E5CD5">
        <w:rPr>
          <w:rFonts w:eastAsia="Calibri"/>
          <w:sz w:val="20"/>
          <w:szCs w:val="20"/>
          <w:lang w:val="es-MX" w:eastAsia="en-US"/>
        </w:rPr>
        <w:t xml:space="preserve">Al respecto, </w:t>
      </w:r>
      <w:r w:rsidR="004738DD" w:rsidRPr="007E5CD5">
        <w:rPr>
          <w:rFonts w:eastAsia="Calibri"/>
          <w:sz w:val="20"/>
          <w:szCs w:val="20"/>
          <w:lang w:eastAsia="en-US"/>
        </w:rPr>
        <w:t>ni las representantes ni el Estado controvirtieron que dicha intervención quirúrgica practicada al señor Poblete Vilches (en su primer ingreso), se tratara de un procedimiento de emergencia. Tampoco</w:t>
      </w:r>
      <w:r w:rsidR="004738DD" w:rsidRPr="007E5CD5">
        <w:rPr>
          <w:rFonts w:eastAsia="Calibri"/>
          <w:sz w:val="20"/>
          <w:szCs w:val="20"/>
          <w:lang w:val="es-MX" w:eastAsia="en-US"/>
        </w:rPr>
        <w:t xml:space="preserve"> </w:t>
      </w:r>
      <w:r w:rsidRPr="007E5CD5">
        <w:rPr>
          <w:rFonts w:eastAsia="Calibri"/>
          <w:sz w:val="20"/>
          <w:szCs w:val="20"/>
          <w:lang w:eastAsia="en-US"/>
        </w:rPr>
        <w:t xml:space="preserve">existen elementos </w:t>
      </w:r>
      <w:r w:rsidR="004738DD" w:rsidRPr="007E5CD5">
        <w:rPr>
          <w:rFonts w:eastAsia="Calibri"/>
          <w:sz w:val="20"/>
          <w:szCs w:val="20"/>
          <w:lang w:eastAsia="en-US"/>
        </w:rPr>
        <w:t xml:space="preserve">de prueba </w:t>
      </w:r>
      <w:r w:rsidRPr="007E5CD5">
        <w:rPr>
          <w:rFonts w:eastAsia="Calibri"/>
          <w:sz w:val="20"/>
          <w:szCs w:val="20"/>
          <w:lang w:eastAsia="en-US"/>
        </w:rPr>
        <w:t xml:space="preserve">que permitan </w:t>
      </w:r>
      <w:r w:rsidR="004738DD" w:rsidRPr="007E5CD5">
        <w:rPr>
          <w:rFonts w:eastAsia="Calibri"/>
          <w:sz w:val="20"/>
          <w:szCs w:val="20"/>
          <w:lang w:eastAsia="en-US"/>
        </w:rPr>
        <w:t>acreditar lo contrario.</w:t>
      </w:r>
      <w:r w:rsidRPr="007E5CD5">
        <w:rPr>
          <w:rFonts w:eastAsia="Calibri"/>
          <w:sz w:val="20"/>
          <w:szCs w:val="20"/>
          <w:lang w:eastAsia="en-US"/>
        </w:rPr>
        <w:t xml:space="preserve"> En virtud de lo anterior, la Corte </w:t>
      </w:r>
      <w:r w:rsidR="00DC241A" w:rsidRPr="007E5CD5">
        <w:rPr>
          <w:rFonts w:eastAsia="Calibri"/>
          <w:sz w:val="20"/>
          <w:szCs w:val="20"/>
          <w:lang w:eastAsia="en-US"/>
        </w:rPr>
        <w:t>estima</w:t>
      </w:r>
      <w:r w:rsidRPr="007E5CD5">
        <w:rPr>
          <w:rFonts w:eastAsia="Calibri"/>
          <w:sz w:val="20"/>
          <w:szCs w:val="20"/>
          <w:lang w:eastAsia="en-US"/>
        </w:rPr>
        <w:t xml:space="preserve"> que dicho procedimiento de punción no correspondía a un procedimiento de emergencia, por lo que, de acuerdo con la propia normativa interna</w:t>
      </w:r>
      <w:r w:rsidR="007626CD" w:rsidRPr="007E5CD5">
        <w:rPr>
          <w:rFonts w:eastAsia="Calibri"/>
          <w:sz w:val="20"/>
          <w:szCs w:val="20"/>
          <w:lang w:eastAsia="en-US"/>
        </w:rPr>
        <w:t xml:space="preserve"> (</w:t>
      </w:r>
      <w:r w:rsidR="007626CD" w:rsidRPr="007E5CD5">
        <w:rPr>
          <w:rFonts w:eastAsia="Calibri"/>
          <w:i/>
          <w:sz w:val="20"/>
          <w:szCs w:val="20"/>
          <w:lang w:eastAsia="en-US"/>
        </w:rPr>
        <w:t xml:space="preserve">supra </w:t>
      </w:r>
      <w:r w:rsidR="007626CD" w:rsidRPr="007E5CD5">
        <w:rPr>
          <w:rFonts w:eastAsia="Calibri"/>
          <w:sz w:val="20"/>
          <w:szCs w:val="20"/>
          <w:lang w:eastAsia="en-US"/>
        </w:rPr>
        <w:t>párr.</w:t>
      </w:r>
      <w:r w:rsidR="006B0DAE">
        <w:rPr>
          <w:rFonts w:eastAsia="Calibri"/>
          <w:sz w:val="20"/>
          <w:szCs w:val="20"/>
          <w:lang w:eastAsia="en-US"/>
        </w:rPr>
        <w:t xml:space="preserve"> 165</w:t>
      </w:r>
      <w:r w:rsidR="007626CD" w:rsidRPr="007E5CD5">
        <w:rPr>
          <w:rFonts w:eastAsia="Calibri"/>
          <w:sz w:val="20"/>
          <w:szCs w:val="20"/>
          <w:lang w:eastAsia="en-US"/>
        </w:rPr>
        <w:t>)</w:t>
      </w:r>
      <w:r w:rsidRPr="007E5CD5">
        <w:rPr>
          <w:rFonts w:eastAsia="Calibri"/>
          <w:sz w:val="20"/>
          <w:szCs w:val="20"/>
          <w:lang w:eastAsia="en-US"/>
        </w:rPr>
        <w:t xml:space="preserve">, </w:t>
      </w:r>
      <w:r w:rsidR="00762119">
        <w:rPr>
          <w:rFonts w:eastAsia="Calibri"/>
          <w:sz w:val="20"/>
          <w:szCs w:val="20"/>
          <w:lang w:eastAsia="en-US"/>
        </w:rPr>
        <w:t xml:space="preserve">resultaba </w:t>
      </w:r>
      <w:proofErr w:type="spellStart"/>
      <w:r w:rsidRPr="007E5CD5">
        <w:rPr>
          <w:rFonts w:eastAsia="Calibri"/>
          <w:sz w:val="20"/>
          <w:szCs w:val="20"/>
          <w:lang w:eastAsia="en-US"/>
        </w:rPr>
        <w:t>aplicaba</w:t>
      </w:r>
      <w:r w:rsidR="00762119">
        <w:rPr>
          <w:rFonts w:eastAsia="Calibri"/>
          <w:sz w:val="20"/>
          <w:szCs w:val="20"/>
          <w:lang w:eastAsia="en-US"/>
        </w:rPr>
        <w:t>ble</w:t>
      </w:r>
      <w:proofErr w:type="spellEnd"/>
      <w:r w:rsidRPr="007E5CD5">
        <w:rPr>
          <w:rFonts w:eastAsia="Calibri"/>
          <w:sz w:val="20"/>
          <w:szCs w:val="20"/>
          <w:lang w:eastAsia="en-US"/>
        </w:rPr>
        <w:t xml:space="preserve"> la obtención del consentimiento por parte de los familiares, lo cual no se realizó en el caso concreto</w:t>
      </w:r>
      <w:r w:rsidR="00AA65C5" w:rsidRPr="007E5CD5">
        <w:rPr>
          <w:rStyle w:val="FootnoteReference"/>
          <w:rFonts w:eastAsia="Calibri"/>
          <w:sz w:val="20"/>
        </w:rPr>
        <w:footnoteReference w:id="264"/>
      </w:r>
      <w:r w:rsidRPr="007E5CD5">
        <w:rPr>
          <w:rFonts w:eastAsia="Calibri"/>
          <w:sz w:val="20"/>
          <w:szCs w:val="20"/>
          <w:lang w:eastAsia="en-US"/>
        </w:rPr>
        <w:t xml:space="preserve">. </w:t>
      </w:r>
    </w:p>
    <w:p w14:paraId="1CFFB7BD" w14:textId="77777777" w:rsidR="001B222D" w:rsidRPr="00AB1E03" w:rsidRDefault="001B222D" w:rsidP="00E03C26">
      <w:pPr>
        <w:ind w:right="-360"/>
        <w:rPr>
          <w:rFonts w:eastAsia="Calibri"/>
          <w:b/>
          <w:sz w:val="20"/>
          <w:szCs w:val="20"/>
          <w:lang w:val="es-ES_tradnl" w:eastAsia="en-US"/>
        </w:rPr>
      </w:pPr>
    </w:p>
    <w:p w14:paraId="4FC818A8" w14:textId="3FB1C178" w:rsidR="001B222D" w:rsidRPr="00B1523A" w:rsidRDefault="001B222D" w:rsidP="00AB1E03">
      <w:pPr>
        <w:widowControl w:val="0"/>
        <w:numPr>
          <w:ilvl w:val="0"/>
          <w:numId w:val="2"/>
        </w:numPr>
        <w:tabs>
          <w:tab w:val="left" w:pos="567"/>
          <w:tab w:val="num" w:pos="1247"/>
          <w:tab w:val="num" w:pos="12305"/>
        </w:tabs>
        <w:adjustRightInd w:val="0"/>
        <w:ind w:left="0" w:firstLine="0"/>
        <w:textAlignment w:val="baseline"/>
        <w:rPr>
          <w:sz w:val="20"/>
          <w:szCs w:val="20"/>
        </w:rPr>
      </w:pPr>
      <w:r w:rsidRPr="00B1523A">
        <w:rPr>
          <w:rFonts w:eastAsia="Calibri"/>
          <w:sz w:val="20"/>
          <w:szCs w:val="20"/>
          <w:lang w:eastAsia="en-US"/>
        </w:rPr>
        <w:t>En cuanto al derecho a la dignidad consagrado en el artículo 11 de la Convención Americana, la Corte ha analizado que un aspecto central del reconocimiento de la dignidad constituye la posibilidad de todo ser humano de auto-determinarse y escoger libremente las opciones y circunstancias que le dan sentido a su existencia, conforme a sus propias opciones y convicciones</w:t>
      </w:r>
      <w:r w:rsidRPr="00B1523A">
        <w:rPr>
          <w:rFonts w:eastAsia="Calibri"/>
          <w:sz w:val="20"/>
          <w:szCs w:val="20"/>
          <w:vertAlign w:val="superscript"/>
          <w:lang w:val="es-ES_tradnl" w:eastAsia="en-US"/>
        </w:rPr>
        <w:footnoteReference w:id="265"/>
      </w:r>
      <w:r w:rsidRPr="00B1523A">
        <w:rPr>
          <w:rFonts w:eastAsia="Calibri"/>
          <w:sz w:val="20"/>
          <w:szCs w:val="20"/>
          <w:lang w:eastAsia="en-US"/>
        </w:rPr>
        <w:t xml:space="preserve">. </w:t>
      </w:r>
      <w:r w:rsidRPr="00B1523A">
        <w:rPr>
          <w:sz w:val="20"/>
          <w:szCs w:val="20"/>
        </w:rPr>
        <w:t xml:space="preserve">Por su parte, el inciso segundo establece la inviolabilidad de la vida privada y familiar, entre otras esferas protegidas. </w:t>
      </w:r>
      <w:r w:rsidR="00FA1F4E" w:rsidRPr="00B1523A">
        <w:rPr>
          <w:sz w:val="20"/>
          <w:szCs w:val="20"/>
        </w:rPr>
        <w:t>En este sentido</w:t>
      </w:r>
      <w:r w:rsidRPr="00B1523A">
        <w:rPr>
          <w:sz w:val="20"/>
          <w:szCs w:val="20"/>
        </w:rPr>
        <w:t>, la Corte reitera que el artículo 11.2 de la Convención Americana está estrechamente relacionado con el derecho reconocido en el artículo 17 de la misma</w:t>
      </w:r>
      <w:r w:rsidRPr="00B1523A">
        <w:rPr>
          <w:sz w:val="20"/>
          <w:szCs w:val="20"/>
          <w:vertAlign w:val="superscript"/>
        </w:rPr>
        <w:footnoteReference w:id="266"/>
      </w:r>
      <w:r w:rsidRPr="00B1523A">
        <w:rPr>
          <w:sz w:val="20"/>
          <w:szCs w:val="20"/>
        </w:rPr>
        <w:t>, el cual reconoce el papel central de la familia y la vida familiar en la existencia de una persona y en la sociedad en general</w:t>
      </w:r>
      <w:r w:rsidRPr="00B1523A">
        <w:rPr>
          <w:rStyle w:val="FootnoteReference"/>
          <w:sz w:val="20"/>
          <w:szCs w:val="20"/>
        </w:rPr>
        <w:footnoteReference w:id="267"/>
      </w:r>
      <w:r w:rsidRPr="00B1523A">
        <w:rPr>
          <w:sz w:val="20"/>
          <w:szCs w:val="20"/>
        </w:rPr>
        <w:t xml:space="preserve">. </w:t>
      </w:r>
    </w:p>
    <w:p w14:paraId="579385B2" w14:textId="77777777" w:rsidR="001B222D" w:rsidRPr="00AB1E03" w:rsidRDefault="001B222D" w:rsidP="00AB1E03">
      <w:pPr>
        <w:widowControl w:val="0"/>
        <w:tabs>
          <w:tab w:val="left" w:pos="567"/>
        </w:tabs>
        <w:adjustRightInd w:val="0"/>
        <w:textAlignment w:val="baseline"/>
        <w:rPr>
          <w:b/>
          <w:sz w:val="20"/>
          <w:szCs w:val="20"/>
        </w:rPr>
      </w:pPr>
    </w:p>
    <w:p w14:paraId="1D2E47EC" w14:textId="2157EEEA" w:rsidR="001B222D" w:rsidRPr="00AB1E03" w:rsidRDefault="001B222D" w:rsidP="00AB1E03">
      <w:pPr>
        <w:widowControl w:val="0"/>
        <w:numPr>
          <w:ilvl w:val="0"/>
          <w:numId w:val="2"/>
        </w:numPr>
        <w:tabs>
          <w:tab w:val="left" w:pos="567"/>
          <w:tab w:val="num" w:pos="1247"/>
          <w:tab w:val="num" w:pos="12305"/>
        </w:tabs>
        <w:adjustRightInd w:val="0"/>
        <w:ind w:left="0" w:firstLine="0"/>
        <w:textAlignment w:val="baseline"/>
        <w:rPr>
          <w:b/>
          <w:sz w:val="20"/>
          <w:szCs w:val="20"/>
        </w:rPr>
      </w:pPr>
      <w:r w:rsidRPr="00B1523A">
        <w:rPr>
          <w:rFonts w:eastAsia="Calibri"/>
          <w:sz w:val="20"/>
          <w:szCs w:val="20"/>
          <w:lang w:eastAsia="en-US"/>
        </w:rPr>
        <w:t xml:space="preserve">Asimismo, este Tribunal </w:t>
      </w:r>
      <w:r w:rsidR="00762119">
        <w:rPr>
          <w:rFonts w:eastAsia="Calibri"/>
          <w:sz w:val="20"/>
          <w:szCs w:val="20"/>
          <w:lang w:eastAsia="en-US"/>
        </w:rPr>
        <w:t xml:space="preserve">ha </w:t>
      </w:r>
      <w:r w:rsidRPr="00B1523A">
        <w:rPr>
          <w:rFonts w:eastAsia="Calibri"/>
          <w:sz w:val="20"/>
          <w:szCs w:val="20"/>
          <w:lang w:eastAsia="en-US"/>
        </w:rPr>
        <w:t>interpret</w:t>
      </w:r>
      <w:r w:rsidR="00762119">
        <w:rPr>
          <w:rFonts w:eastAsia="Calibri"/>
          <w:sz w:val="20"/>
          <w:szCs w:val="20"/>
          <w:lang w:eastAsia="en-US"/>
        </w:rPr>
        <w:t>ado</w:t>
      </w:r>
      <w:r w:rsidRPr="00B1523A">
        <w:rPr>
          <w:rFonts w:eastAsia="Calibri"/>
          <w:sz w:val="20"/>
          <w:szCs w:val="20"/>
          <w:lang w:eastAsia="en-US"/>
        </w:rPr>
        <w:t xml:space="preserve"> de manera amplia el concepto de libertad que está consagrado en el artículo 7 de la Convención</w:t>
      </w:r>
      <w:r w:rsidR="00762119">
        <w:rPr>
          <w:rFonts w:eastAsia="Calibri"/>
          <w:sz w:val="20"/>
          <w:szCs w:val="20"/>
          <w:lang w:eastAsia="en-US"/>
        </w:rPr>
        <w:t>,</w:t>
      </w:r>
      <w:r w:rsidRPr="00B1523A">
        <w:rPr>
          <w:rFonts w:eastAsia="Calibri"/>
          <w:sz w:val="20"/>
          <w:szCs w:val="20"/>
          <w:lang w:eastAsia="en-US"/>
        </w:rPr>
        <w:t xml:space="preserve"> definiéndola como la capacidad de hacer y no</w:t>
      </w:r>
      <w:r w:rsidRPr="00AB1E03">
        <w:rPr>
          <w:rFonts w:eastAsia="Calibri"/>
          <w:b/>
          <w:sz w:val="20"/>
          <w:szCs w:val="20"/>
          <w:lang w:eastAsia="en-US"/>
        </w:rPr>
        <w:t xml:space="preserve"> </w:t>
      </w:r>
      <w:r w:rsidRPr="00B1523A">
        <w:rPr>
          <w:rFonts w:eastAsia="Calibri"/>
          <w:sz w:val="20"/>
          <w:szCs w:val="20"/>
          <w:lang w:eastAsia="en-US"/>
        </w:rPr>
        <w:t xml:space="preserve">hacer todo lo que esté lícitamente permitido, permitiéndole a toda persona organizar, conforme a la ley, su vida individual y social conforme a sus propias opciones y convicciones. </w:t>
      </w:r>
      <w:r w:rsidR="00FA1F4E" w:rsidRPr="00B1523A">
        <w:rPr>
          <w:rFonts w:eastAsia="Calibri"/>
          <w:sz w:val="20"/>
          <w:szCs w:val="20"/>
          <w:lang w:eastAsia="en-US"/>
        </w:rPr>
        <w:t>La Corte reitera que este derecho está relacionado con la libertad de</w:t>
      </w:r>
      <w:r w:rsidR="00FA1F4E" w:rsidRPr="00AB1E03">
        <w:rPr>
          <w:rFonts w:eastAsia="Calibri"/>
          <w:b/>
          <w:sz w:val="20"/>
          <w:szCs w:val="20"/>
          <w:lang w:eastAsia="en-US"/>
        </w:rPr>
        <w:t xml:space="preserve"> </w:t>
      </w:r>
      <w:r w:rsidR="00FA1F4E" w:rsidRPr="00B1523A">
        <w:rPr>
          <w:rFonts w:eastAsia="Calibri"/>
          <w:sz w:val="20"/>
          <w:szCs w:val="20"/>
          <w:lang w:eastAsia="en-US"/>
        </w:rPr>
        <w:t>tomar decisiones en materia de</w:t>
      </w:r>
      <w:r w:rsidR="00FA1F4E" w:rsidRPr="00AB1E03">
        <w:rPr>
          <w:rFonts w:eastAsia="Calibri"/>
          <w:b/>
          <w:sz w:val="20"/>
          <w:szCs w:val="20"/>
          <w:lang w:eastAsia="en-US"/>
        </w:rPr>
        <w:t xml:space="preserve"> </w:t>
      </w:r>
      <w:r w:rsidR="00FA1F4E" w:rsidRPr="00B1523A">
        <w:rPr>
          <w:rFonts w:eastAsia="Calibri"/>
          <w:sz w:val="20"/>
          <w:szCs w:val="20"/>
          <w:lang w:eastAsia="en-US"/>
        </w:rPr>
        <w:t>salud</w:t>
      </w:r>
      <w:r w:rsidR="00FA1F4E" w:rsidRPr="00B1523A">
        <w:rPr>
          <w:rStyle w:val="FootnoteReference"/>
          <w:rFonts w:eastAsia="Calibri"/>
          <w:sz w:val="20"/>
          <w:szCs w:val="20"/>
          <w:lang w:eastAsia="en-US"/>
        </w:rPr>
        <w:footnoteReference w:id="268"/>
      </w:r>
      <w:r w:rsidR="00FA1F4E" w:rsidRPr="00B1523A">
        <w:rPr>
          <w:rFonts w:eastAsia="Calibri"/>
          <w:sz w:val="20"/>
          <w:szCs w:val="20"/>
          <w:lang w:eastAsia="en-US"/>
        </w:rPr>
        <w:t>.</w:t>
      </w:r>
      <w:r w:rsidR="00FA1F4E" w:rsidRPr="00AB1E03">
        <w:rPr>
          <w:rFonts w:eastAsia="Calibri"/>
          <w:b/>
          <w:sz w:val="20"/>
          <w:szCs w:val="20"/>
          <w:lang w:eastAsia="en-US"/>
        </w:rPr>
        <w:t xml:space="preserve"> </w:t>
      </w:r>
    </w:p>
    <w:p w14:paraId="587D77AB" w14:textId="77777777" w:rsidR="001B222D" w:rsidRPr="00AB1E03" w:rsidRDefault="001B222D" w:rsidP="00AB1E03">
      <w:pPr>
        <w:tabs>
          <w:tab w:val="left" w:pos="567"/>
        </w:tabs>
        <w:rPr>
          <w:rFonts w:eastAsia="Calibri"/>
          <w:b/>
          <w:sz w:val="20"/>
          <w:szCs w:val="20"/>
          <w:lang w:val="es-ES_tradnl" w:eastAsia="en-US"/>
        </w:rPr>
      </w:pPr>
    </w:p>
    <w:p w14:paraId="33B4FDFA" w14:textId="6E8722A1" w:rsidR="00DB67A0" w:rsidRPr="00B1523A" w:rsidRDefault="00E03C26" w:rsidP="00AB1E03">
      <w:pPr>
        <w:numPr>
          <w:ilvl w:val="0"/>
          <w:numId w:val="2"/>
        </w:numPr>
        <w:tabs>
          <w:tab w:val="left" w:pos="567"/>
          <w:tab w:val="num" w:pos="1569"/>
          <w:tab w:val="num" w:pos="12305"/>
        </w:tabs>
        <w:ind w:left="0" w:firstLine="0"/>
        <w:rPr>
          <w:rFonts w:eastAsia="Calibri"/>
          <w:sz w:val="20"/>
          <w:szCs w:val="20"/>
          <w:lang w:val="es-ES_tradnl" w:eastAsia="en-US"/>
        </w:rPr>
      </w:pPr>
      <w:r w:rsidRPr="00AB1E03">
        <w:rPr>
          <w:rFonts w:eastAsia="Calibri"/>
          <w:b/>
          <w:sz w:val="20"/>
          <w:szCs w:val="20"/>
          <w:lang w:val="es-ES_tradnl" w:eastAsia="en-US"/>
        </w:rPr>
        <w:t xml:space="preserve"> </w:t>
      </w:r>
      <w:r w:rsidR="00DB67A0" w:rsidRPr="00B1523A">
        <w:rPr>
          <w:rFonts w:eastAsia="Calibri"/>
          <w:sz w:val="20"/>
          <w:szCs w:val="20"/>
          <w:lang w:val="es-ES_tradnl" w:eastAsia="en-US"/>
        </w:rPr>
        <w:t>A este respecto</w:t>
      </w:r>
      <w:r w:rsidR="00FA1F4E" w:rsidRPr="00B1523A">
        <w:rPr>
          <w:rFonts w:eastAsia="Calibri"/>
          <w:sz w:val="20"/>
          <w:szCs w:val="20"/>
          <w:lang w:val="es-ES_tradnl" w:eastAsia="en-US"/>
        </w:rPr>
        <w:t>, l</w:t>
      </w:r>
      <w:r w:rsidR="001B222D" w:rsidRPr="00B1523A">
        <w:rPr>
          <w:rFonts w:eastAsia="Calibri"/>
          <w:sz w:val="20"/>
          <w:szCs w:val="20"/>
          <w:lang w:val="es-ES_tradnl" w:eastAsia="en-US"/>
        </w:rPr>
        <w:t xml:space="preserve">a Corte ha reconocido la relación existente entre </w:t>
      </w:r>
      <w:r w:rsidR="001B222D" w:rsidRPr="00B1523A">
        <w:rPr>
          <w:rFonts w:eastAsia="MS Mincho"/>
          <w:sz w:val="20"/>
          <w:szCs w:val="20"/>
          <w:lang w:eastAsia="en-US" w:bidi="en-US"/>
        </w:rPr>
        <w:t>la obtención del consentimiento informado antes de la realización de cualquier acto médico, y la autonomía y la auto-determinación del individuo, como parte del respeto y garantía de la dignidad de todo ser humano, así como en su derecho a la libertad</w:t>
      </w:r>
      <w:r w:rsidR="00EC38BB" w:rsidRPr="00B1523A">
        <w:rPr>
          <w:rFonts w:eastAsia="MS Mincho"/>
          <w:sz w:val="20"/>
          <w:szCs w:val="20"/>
          <w:lang w:eastAsia="en-US" w:bidi="en-US"/>
        </w:rPr>
        <w:t>. Por lo tanto, el Tribunal</w:t>
      </w:r>
      <w:r w:rsidR="001B222D" w:rsidRPr="00B1523A">
        <w:rPr>
          <w:rFonts w:eastAsia="MS Mincho"/>
          <w:sz w:val="20"/>
          <w:szCs w:val="20"/>
          <w:lang w:eastAsia="en-US" w:bidi="en-US"/>
        </w:rPr>
        <w:t xml:space="preserve"> entiende que la necesidad de obtención del consentimiento informado protege no sólo el derecho de los pacientes a decidir libremente si desean someterse o no a un acto médico, sino que es un mecanismo fundamental para lograr el respeto y garantía de distintos derechos humanos reconocidos por la Convención Americana, como lo son la dignidad, libertad personal, integridad personal, incluida la atención a la salud, la vida privada y familiar</w:t>
      </w:r>
      <w:r w:rsidR="001B222D" w:rsidRPr="00B1523A">
        <w:rPr>
          <w:rStyle w:val="FootnoteReference"/>
          <w:rFonts w:eastAsia="MS Mincho"/>
          <w:sz w:val="20"/>
          <w:szCs w:val="20"/>
          <w:lang w:eastAsia="en-US" w:bidi="en-US"/>
        </w:rPr>
        <w:footnoteReference w:id="269"/>
      </w:r>
      <w:r w:rsidR="001B222D" w:rsidRPr="00B1523A">
        <w:rPr>
          <w:rFonts w:eastAsia="MS Mincho"/>
          <w:sz w:val="20"/>
          <w:szCs w:val="20"/>
          <w:lang w:eastAsia="en-US" w:bidi="en-US"/>
        </w:rPr>
        <w:t>.</w:t>
      </w:r>
      <w:r w:rsidR="00FA1F4E" w:rsidRPr="00B1523A">
        <w:rPr>
          <w:rFonts w:eastAsia="Calibri"/>
          <w:sz w:val="20"/>
          <w:szCs w:val="20"/>
          <w:lang w:val="es-ES_tradnl" w:eastAsia="en-US"/>
        </w:rPr>
        <w:t xml:space="preserve"> </w:t>
      </w:r>
      <w:r w:rsidR="00FA1F4E" w:rsidRPr="00B1523A">
        <w:rPr>
          <w:bCs/>
          <w:sz w:val="20"/>
          <w:szCs w:val="20"/>
        </w:rPr>
        <w:t xml:space="preserve">De este modo, </w:t>
      </w:r>
      <w:r w:rsidR="00FA1F4E" w:rsidRPr="00B1523A">
        <w:rPr>
          <w:sz w:val="20"/>
          <w:szCs w:val="20"/>
        </w:rPr>
        <w:t xml:space="preserve">la </w:t>
      </w:r>
      <w:r w:rsidR="00FA1F4E" w:rsidRPr="00B1523A">
        <w:rPr>
          <w:sz w:val="20"/>
          <w:szCs w:val="20"/>
        </w:rPr>
        <w:lastRenderedPageBreak/>
        <w:t>existencia de una conexión entre el consentimiento informado</w:t>
      </w:r>
      <w:r w:rsidR="00FA1F4E" w:rsidRPr="00B1523A">
        <w:rPr>
          <w:bCs/>
          <w:sz w:val="20"/>
          <w:szCs w:val="20"/>
        </w:rPr>
        <w:t xml:space="preserve"> con </w:t>
      </w:r>
      <w:r w:rsidR="00FA1F4E" w:rsidRPr="00B1523A">
        <w:rPr>
          <w:sz w:val="20"/>
          <w:szCs w:val="20"/>
        </w:rPr>
        <w:t>la autonomía personal y la libertad de tomar decisiones sobre el propio cuerpo y la salud exige, por un lado, que el Estado asegure y respete decisiones y elecciones hechas de forma libre y responsable y, por el otro, que se garantice el acceso a la información relevante para que las personas estén en condiciones de tomar decisiones informadas sobre el curso de acción respecto a su cuerpo y salud de acuerdo a su propio plan de existencia</w:t>
      </w:r>
      <w:r w:rsidR="00FA1F4E" w:rsidRPr="00B1523A">
        <w:rPr>
          <w:sz w:val="20"/>
          <w:szCs w:val="20"/>
          <w:vertAlign w:val="superscript"/>
        </w:rPr>
        <w:footnoteReference w:id="270"/>
      </w:r>
      <w:r w:rsidR="00FA1F4E" w:rsidRPr="00B1523A">
        <w:rPr>
          <w:sz w:val="20"/>
          <w:szCs w:val="20"/>
        </w:rPr>
        <w:t>.</w:t>
      </w:r>
    </w:p>
    <w:p w14:paraId="075C05C9" w14:textId="77777777" w:rsidR="00FA1F4E" w:rsidRPr="00AB1E03" w:rsidRDefault="00FA1F4E" w:rsidP="00AB1E03">
      <w:pPr>
        <w:tabs>
          <w:tab w:val="left" w:pos="567"/>
        </w:tabs>
        <w:rPr>
          <w:rFonts w:eastAsia="Calibri"/>
          <w:b/>
          <w:sz w:val="20"/>
          <w:szCs w:val="20"/>
          <w:lang w:val="es-ES_tradnl" w:eastAsia="en-US"/>
        </w:rPr>
      </w:pPr>
    </w:p>
    <w:p w14:paraId="66FF2718" w14:textId="05D79D3A" w:rsidR="00DB67A0" w:rsidRPr="00B1523A" w:rsidRDefault="00FA1F4E" w:rsidP="00AB1E03">
      <w:pPr>
        <w:numPr>
          <w:ilvl w:val="0"/>
          <w:numId w:val="2"/>
        </w:numPr>
        <w:tabs>
          <w:tab w:val="left" w:pos="567"/>
          <w:tab w:val="num" w:pos="1569"/>
          <w:tab w:val="num" w:pos="12305"/>
        </w:tabs>
        <w:ind w:left="0" w:firstLine="0"/>
        <w:rPr>
          <w:rFonts w:eastAsia="Calibri"/>
          <w:sz w:val="20"/>
          <w:szCs w:val="20"/>
          <w:lang w:val="es-ES_tradnl" w:eastAsia="en-US"/>
        </w:rPr>
      </w:pPr>
      <w:r w:rsidRPr="00B1523A">
        <w:rPr>
          <w:rFonts w:eastAsia="Calibri"/>
          <w:sz w:val="20"/>
          <w:szCs w:val="20"/>
          <w:lang w:val="es-ES_tradnl" w:eastAsia="en-US"/>
        </w:rPr>
        <w:t xml:space="preserve">La Corte observa que el derecho a la obtención de un consentimiento informado por parte de los familiares ya fue reconocido por </w:t>
      </w:r>
      <w:r w:rsidR="002730F1" w:rsidRPr="00B1523A">
        <w:rPr>
          <w:rFonts w:eastAsia="Calibri"/>
          <w:sz w:val="20"/>
          <w:szCs w:val="20"/>
          <w:lang w:val="es-ES_tradnl" w:eastAsia="en-US"/>
        </w:rPr>
        <w:t>el</w:t>
      </w:r>
      <w:r w:rsidRPr="00B1523A">
        <w:rPr>
          <w:rFonts w:eastAsia="Calibri"/>
          <w:sz w:val="20"/>
          <w:szCs w:val="20"/>
          <w:lang w:val="es-ES_tradnl" w:eastAsia="en-US"/>
        </w:rPr>
        <w:t xml:space="preserve"> Estado (</w:t>
      </w:r>
      <w:r w:rsidRPr="00B1523A">
        <w:rPr>
          <w:rFonts w:eastAsia="Calibri"/>
          <w:i/>
          <w:sz w:val="20"/>
          <w:szCs w:val="20"/>
          <w:lang w:val="es-ES_tradnl" w:eastAsia="en-US"/>
        </w:rPr>
        <w:t>supra</w:t>
      </w:r>
      <w:r w:rsidR="001137DA" w:rsidRPr="00B1523A">
        <w:rPr>
          <w:rFonts w:eastAsia="Calibri"/>
          <w:sz w:val="20"/>
          <w:szCs w:val="20"/>
          <w:lang w:val="es-ES_tradnl" w:eastAsia="en-US"/>
        </w:rPr>
        <w:t xml:space="preserve"> párr. 1</w:t>
      </w:r>
      <w:r w:rsidR="000E37CE">
        <w:rPr>
          <w:rFonts w:eastAsia="Calibri"/>
          <w:sz w:val="20"/>
          <w:szCs w:val="20"/>
          <w:lang w:val="es-ES_tradnl" w:eastAsia="en-US"/>
        </w:rPr>
        <w:t>6</w:t>
      </w:r>
      <w:r w:rsidRPr="00B1523A">
        <w:rPr>
          <w:rFonts w:eastAsia="Calibri"/>
          <w:sz w:val="20"/>
          <w:szCs w:val="20"/>
          <w:lang w:val="es-ES_tradnl" w:eastAsia="en-US"/>
        </w:rPr>
        <w:t>)</w:t>
      </w:r>
      <w:r w:rsidR="000E37CE">
        <w:rPr>
          <w:rFonts w:eastAsia="Calibri"/>
          <w:sz w:val="20"/>
          <w:szCs w:val="20"/>
          <w:lang w:val="es-ES_tradnl" w:eastAsia="en-US"/>
        </w:rPr>
        <w:t xml:space="preserve">. En este sentido, </w:t>
      </w:r>
      <w:r w:rsidR="002730F1" w:rsidRPr="00B1523A">
        <w:rPr>
          <w:rFonts w:eastAsia="Calibri"/>
          <w:sz w:val="20"/>
          <w:szCs w:val="20"/>
          <w:lang w:val="es-ES_tradnl" w:eastAsia="en-US"/>
        </w:rPr>
        <w:t>tomando en consideración lo establecido en la legislación interna y dado que el señor Poblete Vilches no se encontraba en la capacidad de tomar una decisión relativa a su salud</w:t>
      </w:r>
      <w:r w:rsidR="000D627F">
        <w:rPr>
          <w:rFonts w:eastAsia="Calibri"/>
          <w:sz w:val="20"/>
          <w:szCs w:val="20"/>
          <w:lang w:val="es-ES_tradnl" w:eastAsia="en-US"/>
        </w:rPr>
        <w:t xml:space="preserve">, </w:t>
      </w:r>
      <w:r w:rsidR="002730F1" w:rsidRPr="00B1523A">
        <w:rPr>
          <w:rFonts w:eastAsia="Calibri"/>
          <w:sz w:val="20"/>
          <w:szCs w:val="20"/>
          <w:lang w:val="es-ES_tradnl" w:eastAsia="en-US"/>
        </w:rPr>
        <w:t xml:space="preserve">esta potestad correspondía ser otorgada a sus familiares. </w:t>
      </w:r>
    </w:p>
    <w:p w14:paraId="7A8F59F3" w14:textId="77777777" w:rsidR="002730F1" w:rsidRPr="00C426E9" w:rsidRDefault="002730F1" w:rsidP="00AB1E03">
      <w:pPr>
        <w:tabs>
          <w:tab w:val="left" w:pos="567"/>
        </w:tabs>
        <w:rPr>
          <w:rFonts w:eastAsia="Calibri"/>
          <w:b/>
          <w:sz w:val="20"/>
          <w:szCs w:val="20"/>
          <w:lang w:val="es-ES_tradnl" w:eastAsia="en-US"/>
        </w:rPr>
      </w:pPr>
    </w:p>
    <w:p w14:paraId="69E2636E" w14:textId="34546039" w:rsidR="002730F1" w:rsidRPr="00B1523A" w:rsidRDefault="002730F1" w:rsidP="00AB1E03">
      <w:pPr>
        <w:numPr>
          <w:ilvl w:val="0"/>
          <w:numId w:val="2"/>
        </w:numPr>
        <w:tabs>
          <w:tab w:val="left" w:pos="567"/>
          <w:tab w:val="num" w:pos="1569"/>
          <w:tab w:val="num" w:pos="12305"/>
        </w:tabs>
        <w:ind w:left="0" w:firstLine="0"/>
        <w:rPr>
          <w:rFonts w:eastAsia="Calibri"/>
          <w:sz w:val="20"/>
          <w:szCs w:val="20"/>
          <w:lang w:val="es-ES_tradnl" w:eastAsia="en-US"/>
        </w:rPr>
      </w:pPr>
      <w:r w:rsidRPr="00B1523A">
        <w:rPr>
          <w:rFonts w:eastAsia="Calibri"/>
          <w:sz w:val="20"/>
          <w:szCs w:val="20"/>
          <w:lang w:val="es-ES_tradnl" w:eastAsia="en-US"/>
        </w:rPr>
        <w:t xml:space="preserve">De este modo, tomando en consideración la relación existente entre el consentimiento informado </w:t>
      </w:r>
      <w:r w:rsidR="00847C4A">
        <w:rPr>
          <w:rFonts w:eastAsia="Calibri"/>
          <w:sz w:val="20"/>
          <w:szCs w:val="20"/>
          <w:lang w:val="es-ES_tradnl" w:eastAsia="en-US"/>
        </w:rPr>
        <w:t xml:space="preserve">en materia de salud </w:t>
      </w:r>
      <w:r w:rsidR="00F46F85" w:rsidRPr="00B1523A">
        <w:rPr>
          <w:rFonts w:eastAsia="Calibri"/>
          <w:sz w:val="20"/>
          <w:szCs w:val="20"/>
          <w:lang w:val="es-ES_tradnl" w:eastAsia="en-US"/>
        </w:rPr>
        <w:t xml:space="preserve">(artículos 26 y 13) </w:t>
      </w:r>
      <w:r w:rsidRPr="00B1523A">
        <w:rPr>
          <w:rFonts w:eastAsia="Calibri"/>
          <w:sz w:val="20"/>
          <w:szCs w:val="20"/>
          <w:lang w:val="es-ES_tradnl" w:eastAsia="en-US"/>
        </w:rPr>
        <w:t>y los artículos 7 y 11 de la Convención Americana, la Corte considera que</w:t>
      </w:r>
      <w:r w:rsidR="001A65F9" w:rsidRPr="00B1523A">
        <w:rPr>
          <w:rFonts w:eastAsia="Calibri"/>
          <w:sz w:val="20"/>
          <w:szCs w:val="20"/>
          <w:lang w:val="es-ES_tradnl" w:eastAsia="en-US"/>
        </w:rPr>
        <w:t xml:space="preserve"> en el presente caso,</w:t>
      </w:r>
      <w:r w:rsidRPr="00B1523A">
        <w:rPr>
          <w:rFonts w:eastAsia="Calibri"/>
          <w:sz w:val="20"/>
          <w:szCs w:val="20"/>
          <w:lang w:val="es-ES_tradnl" w:eastAsia="en-US"/>
        </w:rPr>
        <w:t xml:space="preserve"> el derecho de los familiares a tomar decisiones libres en materia de salud y su derecho a contar con la información necesaria</w:t>
      </w:r>
      <w:r w:rsidR="006930C3" w:rsidRPr="00B1523A">
        <w:rPr>
          <w:rFonts w:eastAsia="Calibri"/>
          <w:sz w:val="20"/>
          <w:szCs w:val="20"/>
          <w:lang w:val="es-ES_tradnl" w:eastAsia="en-US"/>
        </w:rPr>
        <w:t xml:space="preserve"> para tomar estas decisiones</w:t>
      </w:r>
      <w:r w:rsidRPr="00B1523A">
        <w:rPr>
          <w:rFonts w:eastAsia="Calibri"/>
          <w:sz w:val="20"/>
          <w:szCs w:val="20"/>
          <w:lang w:val="es-ES_tradnl" w:eastAsia="en-US"/>
        </w:rPr>
        <w:t xml:space="preserve">, al igual que </w:t>
      </w:r>
      <w:r w:rsidR="006930C3" w:rsidRPr="00B1523A">
        <w:rPr>
          <w:rFonts w:eastAsia="Calibri"/>
          <w:sz w:val="20"/>
          <w:szCs w:val="20"/>
          <w:lang w:val="es-ES_tradnl" w:eastAsia="en-US"/>
        </w:rPr>
        <w:t xml:space="preserve">su derecho a la </w:t>
      </w:r>
      <w:r w:rsidR="00DB67A0" w:rsidRPr="00B1523A">
        <w:rPr>
          <w:rFonts w:eastAsia="Calibri"/>
          <w:sz w:val="20"/>
          <w:szCs w:val="20"/>
          <w:lang w:val="es-ES_tradnl" w:eastAsia="en-US"/>
        </w:rPr>
        <w:t xml:space="preserve">dignidad, desde los componentes de </w:t>
      </w:r>
      <w:r w:rsidR="006930C3" w:rsidRPr="00B1523A">
        <w:rPr>
          <w:rFonts w:eastAsia="Calibri"/>
          <w:sz w:val="20"/>
          <w:szCs w:val="20"/>
          <w:lang w:val="es-ES_tradnl" w:eastAsia="en-US"/>
        </w:rPr>
        <w:t>vida privada y familiar fueron afectados</w:t>
      </w:r>
      <w:r w:rsidR="00DB67A0" w:rsidRPr="00B1523A">
        <w:rPr>
          <w:rFonts w:eastAsia="Calibri"/>
          <w:sz w:val="20"/>
          <w:szCs w:val="20"/>
          <w:lang w:val="es-ES_tradnl" w:eastAsia="en-US"/>
        </w:rPr>
        <w:t xml:space="preserve"> al no tener la posibilidad de otorgar su consentimiento informado</w:t>
      </w:r>
      <w:r w:rsidR="002A605E" w:rsidRPr="00B1523A">
        <w:rPr>
          <w:rFonts w:eastAsia="Calibri"/>
          <w:sz w:val="20"/>
          <w:szCs w:val="20"/>
          <w:lang w:val="es-ES_tradnl" w:eastAsia="en-US"/>
        </w:rPr>
        <w:t>.</w:t>
      </w:r>
    </w:p>
    <w:p w14:paraId="33E29F55" w14:textId="77777777" w:rsidR="00C426E9" w:rsidRDefault="00C426E9" w:rsidP="00AB1E03">
      <w:pPr>
        <w:tabs>
          <w:tab w:val="left" w:pos="567"/>
        </w:tabs>
        <w:rPr>
          <w:rFonts w:eastAsia="Calibri"/>
          <w:sz w:val="20"/>
          <w:szCs w:val="20"/>
          <w:lang w:val="es-ES_tradnl" w:eastAsia="en-US"/>
        </w:rPr>
      </w:pPr>
    </w:p>
    <w:p w14:paraId="757E7D17" w14:textId="538305FC" w:rsidR="001A65F9" w:rsidRPr="00B1523A" w:rsidRDefault="001A65F9" w:rsidP="00976DFC">
      <w:pPr>
        <w:numPr>
          <w:ilvl w:val="0"/>
          <w:numId w:val="2"/>
        </w:numPr>
        <w:tabs>
          <w:tab w:val="left" w:pos="567"/>
          <w:tab w:val="num" w:pos="1569"/>
          <w:tab w:val="num" w:pos="12305"/>
        </w:tabs>
        <w:ind w:left="0" w:firstLine="0"/>
        <w:rPr>
          <w:rFonts w:eastAsia="Calibri"/>
          <w:sz w:val="20"/>
          <w:szCs w:val="20"/>
          <w:lang w:val="es-MX" w:eastAsia="en-US"/>
        </w:rPr>
      </w:pPr>
      <w:r w:rsidRPr="00B1523A">
        <w:rPr>
          <w:rFonts w:eastAsia="Calibri"/>
          <w:sz w:val="20"/>
          <w:szCs w:val="20"/>
          <w:lang w:val="es-MX" w:eastAsia="en-US"/>
        </w:rPr>
        <w:t xml:space="preserve"> Con base en lo anterior, este Tribunal concluye que el Estado incumplió con su obligación internacional de obtener, a través de su personal de salud, el consentimiento informado por parte de los familiares del señor Poblete Vilches, para la práctica de los actos médicos realizados durante su primer ingreso en el Hospital </w:t>
      </w:r>
      <w:proofErr w:type="spellStart"/>
      <w:r w:rsidRPr="00B1523A">
        <w:rPr>
          <w:rFonts w:eastAsia="Calibri"/>
          <w:sz w:val="20"/>
          <w:szCs w:val="20"/>
          <w:lang w:val="es-MX" w:eastAsia="en-US"/>
        </w:rPr>
        <w:t>Sótero</w:t>
      </w:r>
      <w:proofErr w:type="spellEnd"/>
      <w:r w:rsidRPr="00B1523A">
        <w:rPr>
          <w:rFonts w:eastAsia="Calibri"/>
          <w:sz w:val="20"/>
          <w:szCs w:val="20"/>
          <w:lang w:val="es-MX" w:eastAsia="en-US"/>
        </w:rPr>
        <w:t xml:space="preserve"> del Río. Adicionalmente,</w:t>
      </w:r>
      <w:r w:rsidR="000D627F">
        <w:rPr>
          <w:rFonts w:eastAsia="Calibri"/>
          <w:sz w:val="20"/>
          <w:szCs w:val="20"/>
          <w:lang w:val="es-MX" w:eastAsia="en-US"/>
        </w:rPr>
        <w:t xml:space="preserve"> el Estado vulneró el derecho de acceso a la información de los familiares, debido a que</w:t>
      </w:r>
      <w:r w:rsidRPr="00B1523A">
        <w:rPr>
          <w:rFonts w:eastAsia="Calibri"/>
          <w:sz w:val="20"/>
          <w:szCs w:val="20"/>
          <w:lang w:val="es-MX" w:eastAsia="en-US"/>
        </w:rPr>
        <w:t xml:space="preserve"> no se</w:t>
      </w:r>
      <w:r w:rsidR="000D627F">
        <w:rPr>
          <w:rFonts w:eastAsia="Calibri"/>
          <w:sz w:val="20"/>
          <w:szCs w:val="20"/>
          <w:lang w:val="es-MX" w:eastAsia="en-US"/>
        </w:rPr>
        <w:t xml:space="preserve"> les</w:t>
      </w:r>
      <w:r w:rsidRPr="00B1523A">
        <w:rPr>
          <w:rFonts w:eastAsia="Calibri"/>
          <w:sz w:val="20"/>
          <w:szCs w:val="20"/>
          <w:lang w:val="es-MX" w:eastAsia="en-US"/>
        </w:rPr>
        <w:t xml:space="preserve"> otorgó información clara y precisa sobre el alta al paciente y sus cuidados</w:t>
      </w:r>
      <w:r w:rsidR="000D627F">
        <w:rPr>
          <w:rFonts w:eastAsia="Calibri"/>
          <w:sz w:val="20"/>
          <w:szCs w:val="20"/>
          <w:lang w:val="es-MX" w:eastAsia="en-US"/>
        </w:rPr>
        <w:t xml:space="preserve"> necesarios</w:t>
      </w:r>
      <w:r w:rsidRPr="00B1523A">
        <w:rPr>
          <w:rFonts w:eastAsia="Calibri"/>
          <w:sz w:val="20"/>
          <w:szCs w:val="20"/>
          <w:lang w:val="es-MX" w:eastAsia="en-US"/>
        </w:rPr>
        <w:t>.</w:t>
      </w:r>
      <w:r w:rsidR="000D627F">
        <w:rPr>
          <w:rFonts w:eastAsia="Calibri"/>
          <w:sz w:val="20"/>
          <w:szCs w:val="20"/>
          <w:lang w:val="es-MX" w:eastAsia="en-US"/>
        </w:rPr>
        <w:t xml:space="preserve"> Asimismo, se vulneró éste derecho debido a que durante el segundo ingreso, no se proporcionó información</w:t>
      </w:r>
      <w:r w:rsidR="00117E41">
        <w:rPr>
          <w:rFonts w:eastAsia="Calibri"/>
          <w:sz w:val="20"/>
          <w:szCs w:val="20"/>
          <w:lang w:val="es-MX" w:eastAsia="en-US"/>
        </w:rPr>
        <w:t xml:space="preserve"> clara y </w:t>
      </w:r>
      <w:r w:rsidR="001320B0">
        <w:rPr>
          <w:rFonts w:eastAsia="Calibri"/>
          <w:sz w:val="20"/>
          <w:szCs w:val="20"/>
          <w:lang w:val="es-MX" w:eastAsia="en-US"/>
        </w:rPr>
        <w:t xml:space="preserve">accesible </w:t>
      </w:r>
      <w:r w:rsidR="000D627F">
        <w:rPr>
          <w:rFonts w:eastAsia="Calibri"/>
          <w:sz w:val="20"/>
          <w:szCs w:val="20"/>
          <w:lang w:val="es-MX" w:eastAsia="en-US"/>
        </w:rPr>
        <w:t>respecto del diagnóstico y atención médica otorgada al señor Poblete Vilches</w:t>
      </w:r>
      <w:r w:rsidRPr="00B1523A">
        <w:rPr>
          <w:rFonts w:eastAsia="Calibri"/>
          <w:sz w:val="20"/>
          <w:szCs w:val="20"/>
          <w:lang w:val="es-MX" w:eastAsia="en-US"/>
        </w:rPr>
        <w:t>. Por ende, la Corte considera que se violó el derecho a obtener un consentimiento informado y acceso a la información en materia de salud, de conformidad con los artículos 26, 13, 11 y 7 de la Convención Americana, en relación con el artículo 1.1 del mismo instrumento, en perjuicio del señor Poblete Vilches y sus familiares.</w:t>
      </w:r>
    </w:p>
    <w:p w14:paraId="1ECAC81C" w14:textId="77777777" w:rsidR="001A65F9" w:rsidRPr="001B222D" w:rsidRDefault="001A65F9" w:rsidP="003B52C8">
      <w:pPr>
        <w:tabs>
          <w:tab w:val="left" w:pos="567"/>
        </w:tabs>
        <w:rPr>
          <w:rFonts w:eastAsia="Calibri"/>
          <w:sz w:val="20"/>
          <w:szCs w:val="20"/>
          <w:lang w:val="es-ES_tradnl" w:eastAsia="en-US"/>
        </w:rPr>
      </w:pPr>
    </w:p>
    <w:p w14:paraId="6F8ECB59" w14:textId="76B31FA6" w:rsidR="002570D1" w:rsidRPr="00164C05" w:rsidRDefault="00164C05" w:rsidP="003B52C8">
      <w:pPr>
        <w:pStyle w:val="Heading4"/>
        <w:spacing w:before="0"/>
        <w:ind w:left="2124"/>
        <w:rPr>
          <w:rFonts w:eastAsia="Calibri"/>
          <w:b/>
          <w:lang w:val="es-ES_tradnl" w:eastAsia="en-US"/>
        </w:rPr>
      </w:pPr>
      <w:bookmarkStart w:id="87" w:name="_Toc513644475"/>
      <w:r>
        <w:rPr>
          <w:rFonts w:eastAsia="Calibri"/>
          <w:b/>
          <w:lang w:val="es-ES_tradnl" w:eastAsia="en-US"/>
        </w:rPr>
        <w:t xml:space="preserve">1.4 </w:t>
      </w:r>
      <w:r w:rsidR="002570D1" w:rsidRPr="00164C05">
        <w:rPr>
          <w:rFonts w:eastAsia="Calibri"/>
          <w:b/>
          <w:lang w:val="es-ES_tradnl" w:eastAsia="en-US"/>
        </w:rPr>
        <w:t xml:space="preserve">Conclusión </w:t>
      </w:r>
      <w:r w:rsidR="000055DC">
        <w:rPr>
          <w:rFonts w:eastAsia="Calibri"/>
          <w:b/>
          <w:lang w:val="es-ES_tradnl" w:eastAsia="en-US"/>
        </w:rPr>
        <w:t>g</w:t>
      </w:r>
      <w:r w:rsidR="002570D1" w:rsidRPr="00164C05">
        <w:rPr>
          <w:rFonts w:eastAsia="Calibri"/>
          <w:b/>
          <w:lang w:val="es-ES_tradnl" w:eastAsia="en-US"/>
        </w:rPr>
        <w:t xml:space="preserve">eneral </w:t>
      </w:r>
      <w:r w:rsidR="000055DC">
        <w:rPr>
          <w:rFonts w:eastAsia="Calibri"/>
          <w:b/>
          <w:lang w:val="es-ES_tradnl" w:eastAsia="en-US"/>
        </w:rPr>
        <w:t xml:space="preserve">sobre </w:t>
      </w:r>
      <w:r w:rsidR="00A34C6F">
        <w:rPr>
          <w:rFonts w:eastAsia="Calibri"/>
          <w:b/>
          <w:lang w:val="es-ES_tradnl" w:eastAsia="en-US"/>
        </w:rPr>
        <w:t xml:space="preserve">el </w:t>
      </w:r>
      <w:r w:rsidR="000055DC">
        <w:rPr>
          <w:rFonts w:eastAsia="Calibri"/>
          <w:b/>
          <w:lang w:val="es-ES_tradnl" w:eastAsia="en-US"/>
        </w:rPr>
        <w:t>derecho a la salud</w:t>
      </w:r>
      <w:bookmarkEnd w:id="87"/>
    </w:p>
    <w:p w14:paraId="541C0A12" w14:textId="77777777" w:rsidR="002570D1" w:rsidRPr="002570D1" w:rsidRDefault="002570D1" w:rsidP="003B52C8">
      <w:pPr>
        <w:ind w:left="-90" w:right="-360"/>
        <w:contextualSpacing/>
        <w:rPr>
          <w:rFonts w:eastAsia="Calibri"/>
          <w:sz w:val="20"/>
          <w:szCs w:val="20"/>
          <w:highlight w:val="yellow"/>
          <w:lang w:val="es-ES_tradnl" w:eastAsia="en-US"/>
        </w:rPr>
      </w:pPr>
    </w:p>
    <w:p w14:paraId="52BB2E3A" w14:textId="5EB3FB12" w:rsidR="00E017B9" w:rsidRDefault="00E017B9" w:rsidP="002570D1">
      <w:pPr>
        <w:numPr>
          <w:ilvl w:val="0"/>
          <w:numId w:val="2"/>
        </w:numPr>
        <w:tabs>
          <w:tab w:val="left" w:pos="567"/>
          <w:tab w:val="num" w:pos="1569"/>
          <w:tab w:val="num" w:pos="12305"/>
        </w:tabs>
        <w:ind w:left="0" w:firstLine="0"/>
        <w:rPr>
          <w:rFonts w:eastAsia="Calibri"/>
          <w:sz w:val="20"/>
          <w:szCs w:val="20"/>
          <w:lang w:val="es-ES_tradnl" w:eastAsia="en-US"/>
        </w:rPr>
      </w:pPr>
      <w:r>
        <w:rPr>
          <w:rFonts w:eastAsia="Calibri"/>
          <w:sz w:val="20"/>
          <w:szCs w:val="20"/>
          <w:lang w:val="es-ES_tradnl" w:eastAsia="en-US"/>
        </w:rPr>
        <w:t>Tomando en cuenta las consideraciones expuestas, esta Corte verificó que: i) el derecho a la salud es un derecho autónomo protegido po</w:t>
      </w:r>
      <w:r w:rsidR="000055DC">
        <w:rPr>
          <w:rFonts w:eastAsia="Calibri"/>
          <w:sz w:val="20"/>
          <w:szCs w:val="20"/>
          <w:lang w:val="es-ES_tradnl" w:eastAsia="en-US"/>
        </w:rPr>
        <w:t xml:space="preserve">r </w:t>
      </w:r>
      <w:r w:rsidR="006656A6">
        <w:rPr>
          <w:rFonts w:eastAsia="Calibri"/>
          <w:sz w:val="20"/>
          <w:szCs w:val="20"/>
          <w:lang w:val="es-ES_tradnl" w:eastAsia="en-US"/>
        </w:rPr>
        <w:t xml:space="preserve">el artículo 26 de </w:t>
      </w:r>
      <w:r w:rsidR="000055DC">
        <w:rPr>
          <w:rFonts w:eastAsia="Calibri"/>
          <w:sz w:val="20"/>
          <w:szCs w:val="20"/>
          <w:lang w:val="es-ES_tradnl" w:eastAsia="en-US"/>
        </w:rPr>
        <w:t>la Convención Americana; ii) este derecho</w:t>
      </w:r>
      <w:r>
        <w:rPr>
          <w:rFonts w:eastAsia="Calibri"/>
          <w:sz w:val="20"/>
          <w:szCs w:val="20"/>
          <w:lang w:val="es-ES_tradnl" w:eastAsia="en-US"/>
        </w:rPr>
        <w:t xml:space="preserve"> en situaciones de </w:t>
      </w:r>
      <w:r w:rsidR="002A64C9">
        <w:rPr>
          <w:rFonts w:eastAsia="Calibri"/>
          <w:sz w:val="20"/>
          <w:szCs w:val="20"/>
          <w:lang w:val="es-ES_tradnl" w:eastAsia="en-US"/>
        </w:rPr>
        <w:t xml:space="preserve">urgencia </w:t>
      </w:r>
      <w:r>
        <w:rPr>
          <w:rFonts w:eastAsia="Calibri"/>
          <w:sz w:val="20"/>
          <w:szCs w:val="20"/>
          <w:lang w:val="es-ES_tradnl" w:eastAsia="en-US"/>
        </w:rPr>
        <w:t>exige a los Estados velar por una adecuada regulación</w:t>
      </w:r>
      <w:r w:rsidR="00E5581F">
        <w:rPr>
          <w:rFonts w:eastAsia="Calibri"/>
          <w:sz w:val="20"/>
          <w:szCs w:val="20"/>
          <w:lang w:val="es-ES_tradnl" w:eastAsia="en-US"/>
        </w:rPr>
        <w:t xml:space="preserve"> </w:t>
      </w:r>
      <w:r w:rsidR="00E5581F">
        <w:rPr>
          <w:sz w:val="20"/>
          <w:szCs w:val="20"/>
          <w:lang w:val="es-ES_tradnl"/>
        </w:rPr>
        <w:t>de los servicios de salud</w:t>
      </w:r>
      <w:r>
        <w:rPr>
          <w:rFonts w:eastAsia="Calibri"/>
          <w:sz w:val="20"/>
          <w:szCs w:val="20"/>
          <w:lang w:val="es-ES_tradnl" w:eastAsia="en-US"/>
        </w:rPr>
        <w:t xml:space="preserve">, brindando los servicios necesarios de conformidad con los </w:t>
      </w:r>
      <w:r w:rsidR="00117E41">
        <w:rPr>
          <w:rFonts w:eastAsia="Calibri"/>
          <w:sz w:val="20"/>
          <w:szCs w:val="20"/>
          <w:lang w:val="es-ES_tradnl" w:eastAsia="en-US"/>
        </w:rPr>
        <w:t xml:space="preserve">elementos </w:t>
      </w:r>
      <w:r>
        <w:rPr>
          <w:rFonts w:eastAsia="Calibri"/>
          <w:sz w:val="20"/>
          <w:szCs w:val="20"/>
          <w:lang w:val="es-ES_tradnl" w:eastAsia="en-US"/>
        </w:rPr>
        <w:t xml:space="preserve">de </w:t>
      </w:r>
      <w:r w:rsidRPr="00A145A0">
        <w:rPr>
          <w:rFonts w:eastAsia="Calibri"/>
          <w:sz w:val="20"/>
          <w:szCs w:val="20"/>
          <w:lang w:val="es-ES_tradnl" w:eastAsia="en-US"/>
        </w:rPr>
        <w:t>disponibilidad, accesibilidad, calidad y aceptabilidad, en condiciones de igualdad</w:t>
      </w:r>
      <w:r w:rsidR="00E03C26" w:rsidRPr="00A145A0">
        <w:rPr>
          <w:rFonts w:eastAsia="Calibri"/>
          <w:sz w:val="20"/>
          <w:szCs w:val="20"/>
          <w:lang w:val="es-ES_tradnl" w:eastAsia="en-US"/>
        </w:rPr>
        <w:t xml:space="preserve"> y sin discriminación</w:t>
      </w:r>
      <w:r w:rsidRPr="00A145A0">
        <w:rPr>
          <w:rFonts w:eastAsia="Calibri"/>
          <w:sz w:val="20"/>
          <w:szCs w:val="20"/>
          <w:lang w:val="es-ES_tradnl" w:eastAsia="en-US"/>
        </w:rPr>
        <w:t>, pero también brindando medidas positivas respecto de grupos en situación de vulnerabilidad</w:t>
      </w:r>
      <w:r w:rsidR="008D03CA" w:rsidRPr="00A145A0">
        <w:rPr>
          <w:rFonts w:eastAsia="Calibri"/>
          <w:sz w:val="20"/>
          <w:szCs w:val="20"/>
          <w:lang w:val="es-ES_tradnl" w:eastAsia="en-US"/>
        </w:rPr>
        <w:t xml:space="preserve">; iii) </w:t>
      </w:r>
      <w:r w:rsidR="0001661C" w:rsidRPr="00B1523A">
        <w:rPr>
          <w:rFonts w:eastAsia="Calibri"/>
          <w:sz w:val="20"/>
          <w:szCs w:val="20"/>
          <w:lang w:val="es-ES_tradnl" w:eastAsia="en-US"/>
        </w:rPr>
        <w:t>las personas mayores</w:t>
      </w:r>
      <w:r w:rsidRPr="00A145A0">
        <w:rPr>
          <w:rFonts w:eastAsia="Calibri"/>
          <w:sz w:val="20"/>
          <w:szCs w:val="20"/>
          <w:lang w:val="es-ES_tradnl" w:eastAsia="en-US"/>
        </w:rPr>
        <w:t xml:space="preserve"> gozan de un nivel reforzado de protección respecto de servicios de salud de </w:t>
      </w:r>
      <w:r w:rsidR="008D03CA" w:rsidRPr="00A145A0">
        <w:rPr>
          <w:rFonts w:eastAsia="Calibri"/>
          <w:sz w:val="20"/>
          <w:szCs w:val="20"/>
          <w:lang w:val="es-ES_tradnl" w:eastAsia="en-US"/>
        </w:rPr>
        <w:t xml:space="preserve">prevención y </w:t>
      </w:r>
      <w:r w:rsidR="002A64C9" w:rsidRPr="00A145A0">
        <w:rPr>
          <w:rFonts w:eastAsia="Calibri"/>
          <w:sz w:val="20"/>
          <w:szCs w:val="20"/>
          <w:lang w:val="es-ES_tradnl" w:eastAsia="en-US"/>
        </w:rPr>
        <w:t>urgencia</w:t>
      </w:r>
      <w:r w:rsidRPr="00A145A0">
        <w:rPr>
          <w:rFonts w:eastAsia="Calibri"/>
          <w:sz w:val="20"/>
          <w:szCs w:val="20"/>
          <w:lang w:val="es-ES_tradnl" w:eastAsia="en-US"/>
        </w:rPr>
        <w:t xml:space="preserve">; iv) </w:t>
      </w:r>
      <w:r w:rsidR="008D03CA" w:rsidRPr="00A145A0">
        <w:rPr>
          <w:rFonts w:eastAsia="Calibri"/>
          <w:sz w:val="20"/>
          <w:szCs w:val="20"/>
          <w:lang w:val="es-ES_tradnl" w:eastAsia="en-US"/>
        </w:rPr>
        <w:t xml:space="preserve">a fin de que se impute la responsabilidad del Estado por muertes </w:t>
      </w:r>
      <w:r w:rsidR="009A08AB" w:rsidRPr="00A145A0">
        <w:rPr>
          <w:rFonts w:eastAsia="Calibri"/>
          <w:sz w:val="20"/>
          <w:szCs w:val="20"/>
          <w:lang w:val="es-ES_tradnl" w:eastAsia="en-US"/>
        </w:rPr>
        <w:t xml:space="preserve">médicas </w:t>
      </w:r>
      <w:r w:rsidR="008D03CA" w:rsidRPr="00A145A0">
        <w:rPr>
          <w:rFonts w:eastAsia="Calibri"/>
          <w:sz w:val="20"/>
          <w:szCs w:val="20"/>
          <w:lang w:val="es-ES_tradnl" w:eastAsia="en-US"/>
        </w:rPr>
        <w:t>es necesario que se acredite la negación de un servicio esencial o tratamiento pese a</w:t>
      </w:r>
      <w:r w:rsidR="009A08AB" w:rsidRPr="00A145A0">
        <w:rPr>
          <w:rFonts w:eastAsia="Calibri"/>
          <w:sz w:val="20"/>
          <w:szCs w:val="20"/>
          <w:lang w:val="es-ES_tradnl" w:eastAsia="en-US"/>
        </w:rPr>
        <w:t xml:space="preserve"> la previsibilidad del</w:t>
      </w:r>
      <w:r w:rsidR="008D03CA" w:rsidRPr="00A145A0">
        <w:rPr>
          <w:rFonts w:eastAsia="Calibri"/>
          <w:sz w:val="20"/>
          <w:szCs w:val="20"/>
          <w:lang w:val="es-ES_tradnl" w:eastAsia="en-US"/>
        </w:rPr>
        <w:t xml:space="preserve"> riesgo que enfrenta el paciente, </w:t>
      </w:r>
      <w:r w:rsidR="008719A8" w:rsidRPr="00A145A0">
        <w:rPr>
          <w:rFonts w:eastAsia="Calibri"/>
          <w:sz w:val="20"/>
          <w:szCs w:val="20"/>
          <w:lang w:val="es-ES_tradnl" w:eastAsia="en-US"/>
        </w:rPr>
        <w:t xml:space="preserve">o bien una negligencia médica grave, </w:t>
      </w:r>
      <w:r w:rsidR="008D03CA" w:rsidRPr="00A145A0">
        <w:rPr>
          <w:rFonts w:eastAsia="Calibri"/>
          <w:sz w:val="20"/>
          <w:szCs w:val="20"/>
          <w:lang w:val="es-ES_tradnl" w:eastAsia="en-US"/>
        </w:rPr>
        <w:t xml:space="preserve">y </w:t>
      </w:r>
      <w:r w:rsidR="009A08AB" w:rsidRPr="00A145A0">
        <w:rPr>
          <w:rFonts w:eastAsia="Calibri"/>
          <w:sz w:val="20"/>
          <w:szCs w:val="20"/>
          <w:lang w:val="es-ES_tradnl" w:eastAsia="en-US"/>
        </w:rPr>
        <w:t xml:space="preserve">que </w:t>
      </w:r>
      <w:r w:rsidR="008D03CA" w:rsidRPr="00A145A0">
        <w:rPr>
          <w:rFonts w:eastAsia="Calibri"/>
          <w:sz w:val="20"/>
          <w:szCs w:val="20"/>
          <w:lang w:val="es-ES_tradnl" w:eastAsia="en-US"/>
        </w:rPr>
        <w:t xml:space="preserve">se corrobore un nexo </w:t>
      </w:r>
      <w:r w:rsidR="007A74DF" w:rsidRPr="00A145A0">
        <w:rPr>
          <w:rFonts w:eastAsia="Calibri"/>
          <w:sz w:val="20"/>
          <w:szCs w:val="20"/>
          <w:lang w:val="es-ES_tradnl" w:eastAsia="en-US"/>
        </w:rPr>
        <w:t xml:space="preserve">causal entre </w:t>
      </w:r>
      <w:r w:rsidR="008719A8" w:rsidRPr="00A145A0">
        <w:rPr>
          <w:rFonts w:eastAsia="Calibri"/>
          <w:sz w:val="20"/>
          <w:szCs w:val="20"/>
          <w:lang w:val="es-ES_tradnl" w:eastAsia="en-US"/>
        </w:rPr>
        <w:t xml:space="preserve">la </w:t>
      </w:r>
      <w:r w:rsidR="009A08AB" w:rsidRPr="00A145A0">
        <w:rPr>
          <w:rFonts w:eastAsia="Calibri"/>
          <w:sz w:val="20"/>
          <w:szCs w:val="20"/>
          <w:lang w:val="es-ES_tradnl" w:eastAsia="en-US"/>
        </w:rPr>
        <w:t xml:space="preserve">acción </w:t>
      </w:r>
      <w:r w:rsidR="008719A8" w:rsidRPr="00A145A0">
        <w:rPr>
          <w:rFonts w:eastAsia="Calibri"/>
          <w:sz w:val="20"/>
          <w:szCs w:val="20"/>
          <w:lang w:val="es-ES_tradnl" w:eastAsia="en-US"/>
        </w:rPr>
        <w:t>y el daño</w:t>
      </w:r>
      <w:r w:rsidR="00F46F85" w:rsidRPr="00A145A0">
        <w:rPr>
          <w:rFonts w:eastAsia="Calibri"/>
          <w:sz w:val="20"/>
          <w:szCs w:val="20"/>
          <w:lang w:val="es-ES_tradnl" w:eastAsia="en-US"/>
        </w:rPr>
        <w:t xml:space="preserve">. </w:t>
      </w:r>
      <w:r w:rsidR="00F46F85" w:rsidRPr="00B1523A">
        <w:rPr>
          <w:rFonts w:eastAsia="Calibri"/>
          <w:sz w:val="20"/>
          <w:szCs w:val="18"/>
          <w:lang w:val="es-HN" w:eastAsia="en-US"/>
        </w:rPr>
        <w:t xml:space="preserve">Cuando se trata de una </w:t>
      </w:r>
      <w:r w:rsidR="00F46F85" w:rsidRPr="00B1523A">
        <w:rPr>
          <w:bCs/>
          <w:sz w:val="20"/>
          <w:szCs w:val="20"/>
          <w:lang w:val="es-ES_tradnl"/>
        </w:rPr>
        <w:t>omisión se debe verificar la probabilidad de que la conducta omitida hubiese interrumpido el proceso causal que desembocó en el resultado dañoso</w:t>
      </w:r>
      <w:r w:rsidR="008D03CA" w:rsidRPr="00A145A0">
        <w:rPr>
          <w:rFonts w:eastAsia="Calibri"/>
          <w:sz w:val="20"/>
          <w:szCs w:val="20"/>
          <w:lang w:val="es-ES_tradnl" w:eastAsia="en-US"/>
        </w:rPr>
        <w:t xml:space="preserve">; </w:t>
      </w:r>
      <w:r w:rsidR="00F46F85" w:rsidRPr="00A145A0">
        <w:rPr>
          <w:rFonts w:eastAsia="Calibri"/>
          <w:sz w:val="20"/>
          <w:szCs w:val="20"/>
          <w:lang w:val="es-ES_tradnl" w:eastAsia="en-US"/>
        </w:rPr>
        <w:t xml:space="preserve">v) </w:t>
      </w:r>
      <w:r w:rsidR="00F46F85" w:rsidRPr="00B1523A">
        <w:rPr>
          <w:sz w:val="20"/>
          <w:szCs w:val="20"/>
          <w:lang w:val="es-ES" w:eastAsia="x-none"/>
        </w:rPr>
        <w:t xml:space="preserve">la falta de atención médica </w:t>
      </w:r>
      <w:r w:rsidR="00F46F85" w:rsidRPr="00B1523A">
        <w:rPr>
          <w:sz w:val="20"/>
          <w:szCs w:val="20"/>
          <w:lang w:val="es-ES" w:eastAsia="x-none"/>
        </w:rPr>
        <w:lastRenderedPageBreak/>
        <w:t xml:space="preserve">adecuada puede conllevar la vulneración de la integridad personal; y </w:t>
      </w:r>
      <w:r w:rsidR="008D03CA" w:rsidRPr="00A145A0">
        <w:rPr>
          <w:rFonts w:eastAsia="Calibri"/>
          <w:sz w:val="20"/>
          <w:szCs w:val="20"/>
          <w:lang w:val="es-ES_tradnl" w:eastAsia="en-US"/>
        </w:rPr>
        <w:t>v</w:t>
      </w:r>
      <w:r w:rsidR="00F46F85" w:rsidRPr="00A145A0">
        <w:rPr>
          <w:rFonts w:eastAsia="Calibri"/>
          <w:sz w:val="20"/>
          <w:szCs w:val="20"/>
          <w:lang w:val="es-ES_tradnl" w:eastAsia="en-US"/>
        </w:rPr>
        <w:t>i</w:t>
      </w:r>
      <w:r w:rsidR="008D03CA" w:rsidRPr="00A145A0">
        <w:rPr>
          <w:rFonts w:eastAsia="Calibri"/>
          <w:sz w:val="20"/>
          <w:szCs w:val="20"/>
          <w:lang w:val="es-ES_tradnl" w:eastAsia="en-US"/>
        </w:rPr>
        <w:t xml:space="preserve">) el consentimiento informado es una obligación a cargo de las instituciones de salud, </w:t>
      </w:r>
      <w:r w:rsidR="00E03C26" w:rsidRPr="00B1523A">
        <w:rPr>
          <w:rFonts w:eastAsia="Calibri"/>
          <w:sz w:val="20"/>
          <w:szCs w:val="20"/>
          <w:lang w:val="es-ES_tradnl"/>
        </w:rPr>
        <w:t xml:space="preserve">las personas mayores ostentan la titularidad de éste derecho, sin embargo, </w:t>
      </w:r>
      <w:r w:rsidR="008D03CA" w:rsidRPr="00A145A0">
        <w:rPr>
          <w:rFonts w:eastAsia="Calibri"/>
          <w:sz w:val="20"/>
          <w:szCs w:val="20"/>
          <w:lang w:val="es-ES_tradnl" w:eastAsia="en-US"/>
        </w:rPr>
        <w:t xml:space="preserve">se puede transferir </w:t>
      </w:r>
      <w:r w:rsidR="00F46F85" w:rsidRPr="00A145A0">
        <w:rPr>
          <w:rFonts w:eastAsia="Calibri"/>
          <w:sz w:val="20"/>
          <w:szCs w:val="20"/>
          <w:lang w:val="es-ES_tradnl" w:eastAsia="en-US"/>
        </w:rPr>
        <w:t>bajo</w:t>
      </w:r>
      <w:r w:rsidR="008D03CA" w:rsidRPr="00A145A0">
        <w:rPr>
          <w:rFonts w:eastAsia="Calibri"/>
          <w:sz w:val="20"/>
          <w:szCs w:val="20"/>
          <w:lang w:val="es-ES_tradnl" w:eastAsia="en-US"/>
        </w:rPr>
        <w:t xml:space="preserve"> ciertas circunstancias a sus familiares o representantes. Asimismo, persiste el deber de informar a los pacientes</w:t>
      </w:r>
      <w:r w:rsidR="009A08AB" w:rsidRPr="00A145A0">
        <w:rPr>
          <w:rFonts w:eastAsia="Calibri"/>
          <w:sz w:val="20"/>
          <w:szCs w:val="20"/>
          <w:lang w:val="es-ES_tradnl" w:eastAsia="en-US"/>
        </w:rPr>
        <w:t xml:space="preserve"> </w:t>
      </w:r>
      <w:r w:rsidR="008D03CA" w:rsidRPr="00A145A0">
        <w:rPr>
          <w:rFonts w:eastAsia="Calibri"/>
          <w:sz w:val="20"/>
          <w:szCs w:val="20"/>
          <w:lang w:val="es-ES_tradnl" w:eastAsia="en-US"/>
        </w:rPr>
        <w:t>o</w:t>
      </w:r>
      <w:r w:rsidR="006656A6" w:rsidRPr="00A145A0">
        <w:rPr>
          <w:rFonts w:eastAsia="Calibri"/>
          <w:sz w:val="20"/>
          <w:szCs w:val="20"/>
          <w:lang w:val="es-ES_tradnl" w:eastAsia="en-US"/>
        </w:rPr>
        <w:t>, en su caso cuando proceda, a sus</w:t>
      </w:r>
      <w:r w:rsidR="008D03CA" w:rsidRPr="00A145A0">
        <w:rPr>
          <w:rFonts w:eastAsia="Calibri"/>
          <w:sz w:val="20"/>
          <w:szCs w:val="20"/>
          <w:lang w:val="es-ES_tradnl" w:eastAsia="en-US"/>
        </w:rPr>
        <w:t xml:space="preserve"> representantes sobre </w:t>
      </w:r>
      <w:r w:rsidR="00E5581F" w:rsidRPr="00A145A0">
        <w:rPr>
          <w:rFonts w:eastAsia="Calibri"/>
          <w:sz w:val="20"/>
          <w:szCs w:val="20"/>
          <w:lang w:val="es-ES_tradnl" w:eastAsia="en-US"/>
        </w:rPr>
        <w:t>los</w:t>
      </w:r>
      <w:r w:rsidR="007A74DF" w:rsidRPr="00A145A0">
        <w:rPr>
          <w:rFonts w:eastAsia="Calibri"/>
          <w:sz w:val="20"/>
          <w:szCs w:val="20"/>
          <w:lang w:val="es-ES_tradnl" w:eastAsia="en-US"/>
        </w:rPr>
        <w:t xml:space="preserve"> procedimientos</w:t>
      </w:r>
      <w:r w:rsidR="00E5581F" w:rsidRPr="00A145A0">
        <w:rPr>
          <w:rFonts w:eastAsia="Calibri"/>
          <w:sz w:val="20"/>
          <w:szCs w:val="20"/>
          <w:lang w:val="es-ES_tradnl" w:eastAsia="en-US"/>
        </w:rPr>
        <w:t xml:space="preserve"> y condición del</w:t>
      </w:r>
      <w:r w:rsidR="008D03CA" w:rsidRPr="00A145A0">
        <w:rPr>
          <w:rFonts w:eastAsia="Calibri"/>
          <w:sz w:val="20"/>
          <w:szCs w:val="20"/>
          <w:lang w:val="es-ES_tradnl" w:eastAsia="en-US"/>
        </w:rPr>
        <w:t xml:space="preserve"> paciente.</w:t>
      </w:r>
      <w:r w:rsidR="008D03CA">
        <w:rPr>
          <w:rFonts w:eastAsia="Calibri"/>
          <w:sz w:val="20"/>
          <w:szCs w:val="20"/>
          <w:lang w:val="es-ES_tradnl" w:eastAsia="en-US"/>
        </w:rPr>
        <w:t xml:space="preserve"> </w:t>
      </w:r>
    </w:p>
    <w:p w14:paraId="71E9512B" w14:textId="77777777" w:rsidR="008D03CA" w:rsidRDefault="008D03CA" w:rsidP="00383565">
      <w:pPr>
        <w:tabs>
          <w:tab w:val="left" w:pos="567"/>
        </w:tabs>
        <w:rPr>
          <w:rFonts w:eastAsia="Calibri"/>
          <w:sz w:val="20"/>
          <w:szCs w:val="20"/>
          <w:lang w:val="es-ES_tradnl" w:eastAsia="en-US"/>
        </w:rPr>
      </w:pPr>
    </w:p>
    <w:p w14:paraId="1EDBC041" w14:textId="67CEE3EF" w:rsidR="008D03CA" w:rsidRDefault="008D03CA" w:rsidP="002570D1">
      <w:pPr>
        <w:numPr>
          <w:ilvl w:val="0"/>
          <w:numId w:val="2"/>
        </w:numPr>
        <w:tabs>
          <w:tab w:val="left" w:pos="567"/>
          <w:tab w:val="num" w:pos="1569"/>
          <w:tab w:val="num" w:pos="12305"/>
        </w:tabs>
        <w:ind w:left="0" w:firstLine="0"/>
        <w:rPr>
          <w:rFonts w:eastAsia="Calibri"/>
          <w:sz w:val="20"/>
          <w:szCs w:val="20"/>
          <w:lang w:val="es-ES_tradnl" w:eastAsia="en-US"/>
        </w:rPr>
      </w:pPr>
      <w:r>
        <w:rPr>
          <w:rFonts w:eastAsia="Calibri"/>
          <w:sz w:val="20"/>
          <w:szCs w:val="20"/>
          <w:lang w:val="es-ES_tradnl" w:eastAsia="en-US"/>
        </w:rPr>
        <w:t>En el caso concreto, la Corte considera que el Estado de Chile no garantizó que los servicios de salud brindados al señor Poblete Vilches cumplieran con los estándares referidos,</w:t>
      </w:r>
      <w:r w:rsidR="007A74DF">
        <w:rPr>
          <w:rFonts w:eastAsia="Calibri"/>
          <w:sz w:val="20"/>
          <w:szCs w:val="20"/>
          <w:lang w:val="es-ES_tradnl" w:eastAsia="en-US"/>
        </w:rPr>
        <w:t xml:space="preserve"> por lo que</w:t>
      </w:r>
      <w:r>
        <w:rPr>
          <w:rFonts w:eastAsia="Calibri"/>
          <w:sz w:val="20"/>
          <w:szCs w:val="20"/>
          <w:lang w:val="es-ES_tradnl" w:eastAsia="en-US"/>
        </w:rPr>
        <w:t xml:space="preserve"> incumplió en el otorgamiento de medidas básicas</w:t>
      </w:r>
      <w:r w:rsidR="00E5581F">
        <w:rPr>
          <w:rFonts w:eastAsia="Calibri"/>
          <w:sz w:val="20"/>
          <w:szCs w:val="20"/>
          <w:lang w:val="es-ES_tradnl" w:eastAsia="en-US"/>
        </w:rPr>
        <w:t xml:space="preserve">, es decir de sus obligaciones </w:t>
      </w:r>
      <w:r>
        <w:rPr>
          <w:rFonts w:eastAsia="Calibri"/>
          <w:sz w:val="20"/>
          <w:szCs w:val="20"/>
          <w:lang w:val="es-ES_tradnl" w:eastAsia="en-US"/>
        </w:rPr>
        <w:t xml:space="preserve">de carácter inmediato </w:t>
      </w:r>
      <w:r w:rsidR="00E5581F">
        <w:rPr>
          <w:rFonts w:eastAsia="Calibri"/>
          <w:sz w:val="20"/>
          <w:szCs w:val="20"/>
          <w:lang w:val="es-ES_tradnl" w:eastAsia="en-US"/>
        </w:rPr>
        <w:t xml:space="preserve">relacionadas con </w:t>
      </w:r>
      <w:r>
        <w:rPr>
          <w:rFonts w:eastAsia="Calibri"/>
          <w:sz w:val="20"/>
          <w:szCs w:val="20"/>
          <w:lang w:val="es-ES_tradnl" w:eastAsia="en-US"/>
        </w:rPr>
        <w:t xml:space="preserve">el derecho a la salud en situaciones de </w:t>
      </w:r>
      <w:r w:rsidR="002A64C9">
        <w:rPr>
          <w:rFonts w:eastAsia="Calibri"/>
          <w:sz w:val="20"/>
          <w:szCs w:val="20"/>
          <w:lang w:val="es-ES_tradnl" w:eastAsia="en-US"/>
        </w:rPr>
        <w:t>urgencia</w:t>
      </w:r>
      <w:r>
        <w:rPr>
          <w:rFonts w:eastAsia="Calibri"/>
          <w:sz w:val="20"/>
          <w:szCs w:val="20"/>
          <w:lang w:val="es-ES_tradnl" w:eastAsia="en-US"/>
        </w:rPr>
        <w:t xml:space="preserve">. </w:t>
      </w:r>
      <w:r w:rsidR="000055DC">
        <w:rPr>
          <w:rFonts w:eastAsia="Calibri"/>
          <w:sz w:val="20"/>
          <w:szCs w:val="20"/>
          <w:lang w:val="es-ES_tradnl" w:eastAsia="en-US"/>
        </w:rPr>
        <w:t xml:space="preserve">Asimismo, el Estado incumplió con su deber de obtener el consentimiento informado </w:t>
      </w:r>
      <w:r w:rsidR="006656A6">
        <w:rPr>
          <w:rFonts w:eastAsia="Calibri"/>
          <w:sz w:val="20"/>
          <w:szCs w:val="20"/>
          <w:lang w:val="es-ES_tradnl" w:eastAsia="en-US"/>
        </w:rPr>
        <w:t xml:space="preserve">por sustitución </w:t>
      </w:r>
      <w:r w:rsidR="000055DC">
        <w:rPr>
          <w:rFonts w:eastAsia="Calibri"/>
          <w:sz w:val="20"/>
          <w:szCs w:val="20"/>
          <w:lang w:val="es-ES_tradnl" w:eastAsia="en-US"/>
        </w:rPr>
        <w:t xml:space="preserve">de los familiares frente a la intervención quirúrgica practicada, así como de brindar información clara </w:t>
      </w:r>
      <w:r w:rsidR="00117E41">
        <w:rPr>
          <w:rFonts w:eastAsia="Calibri"/>
          <w:sz w:val="20"/>
          <w:szCs w:val="20"/>
          <w:lang w:val="es-ES_tradnl" w:eastAsia="en-US"/>
        </w:rPr>
        <w:t xml:space="preserve">y accesible </w:t>
      </w:r>
      <w:r w:rsidR="000055DC">
        <w:rPr>
          <w:rFonts w:eastAsia="Calibri"/>
          <w:sz w:val="20"/>
          <w:szCs w:val="20"/>
          <w:lang w:val="es-ES_tradnl" w:eastAsia="en-US"/>
        </w:rPr>
        <w:t>para los familiares respecto del tratamiento y procedimientos practicados al paciente. Las negligencias asumidas</w:t>
      </w:r>
      <w:r w:rsidR="00E5581F">
        <w:rPr>
          <w:rFonts w:eastAsia="Calibri"/>
          <w:sz w:val="20"/>
          <w:szCs w:val="20"/>
          <w:lang w:val="es-ES_tradnl" w:eastAsia="en-US"/>
        </w:rPr>
        <w:t xml:space="preserve"> en el segundo ingreso,</w:t>
      </w:r>
      <w:r w:rsidR="007A74DF">
        <w:rPr>
          <w:rFonts w:eastAsia="Calibri"/>
          <w:sz w:val="20"/>
          <w:szCs w:val="20"/>
          <w:lang w:val="es-ES_tradnl" w:eastAsia="en-US"/>
        </w:rPr>
        <w:t xml:space="preserve"> particularmente, </w:t>
      </w:r>
      <w:r w:rsidR="000055DC">
        <w:rPr>
          <w:rFonts w:eastAsia="Calibri"/>
          <w:sz w:val="20"/>
          <w:szCs w:val="20"/>
          <w:lang w:val="es-ES_tradnl" w:eastAsia="en-US"/>
        </w:rPr>
        <w:t>al negarle un respirador</w:t>
      </w:r>
      <w:r w:rsidR="00E5581F">
        <w:rPr>
          <w:rFonts w:eastAsia="Calibri"/>
          <w:sz w:val="20"/>
          <w:szCs w:val="20"/>
          <w:lang w:val="es-ES_tradnl" w:eastAsia="en-US"/>
        </w:rPr>
        <w:t>, así como la posibilidad de</w:t>
      </w:r>
      <w:r w:rsidR="000055DC">
        <w:rPr>
          <w:rFonts w:eastAsia="Calibri"/>
          <w:sz w:val="20"/>
          <w:szCs w:val="20"/>
          <w:lang w:val="es-ES_tradnl" w:eastAsia="en-US"/>
        </w:rPr>
        <w:t xml:space="preserve"> ingresar a la unidad de cuidados </w:t>
      </w:r>
      <w:r w:rsidR="00F02FA7">
        <w:rPr>
          <w:rFonts w:eastAsia="Calibri"/>
          <w:sz w:val="20"/>
          <w:szCs w:val="20"/>
          <w:lang w:val="es-ES_tradnl" w:eastAsia="en-US"/>
        </w:rPr>
        <w:t xml:space="preserve">requerida </w:t>
      </w:r>
      <w:r w:rsidR="000055DC">
        <w:rPr>
          <w:rFonts w:eastAsia="Calibri"/>
          <w:sz w:val="20"/>
          <w:szCs w:val="20"/>
          <w:lang w:val="es-ES_tradnl" w:eastAsia="en-US"/>
        </w:rPr>
        <w:t>y no ser trasladado a otro centro que pudiera brindarle tal</w:t>
      </w:r>
      <w:r w:rsidR="00117E41">
        <w:rPr>
          <w:rFonts w:eastAsia="Calibri"/>
          <w:sz w:val="20"/>
          <w:szCs w:val="20"/>
          <w:lang w:val="es-ES_tradnl" w:eastAsia="en-US"/>
        </w:rPr>
        <w:t>es medidas</w:t>
      </w:r>
      <w:r w:rsidR="000055DC">
        <w:rPr>
          <w:rFonts w:eastAsia="Calibri"/>
          <w:sz w:val="20"/>
          <w:szCs w:val="20"/>
          <w:lang w:val="es-ES_tradnl" w:eastAsia="en-US"/>
        </w:rPr>
        <w:t xml:space="preserve">, en parte por su condición de adulto mayor, redujo de manera considerable las posibilidades de </w:t>
      </w:r>
      <w:r w:rsidR="006656A6">
        <w:rPr>
          <w:rFonts w:eastAsia="Calibri"/>
          <w:sz w:val="20"/>
          <w:szCs w:val="20"/>
          <w:lang w:val="es-ES_tradnl" w:eastAsia="en-US"/>
        </w:rPr>
        <w:t xml:space="preserve">recuperación y </w:t>
      </w:r>
      <w:r w:rsidR="000055DC">
        <w:rPr>
          <w:rFonts w:eastAsia="Calibri"/>
          <w:sz w:val="20"/>
          <w:szCs w:val="20"/>
          <w:lang w:val="es-ES_tradnl" w:eastAsia="en-US"/>
        </w:rPr>
        <w:t xml:space="preserve">sobrevivencia del paciente, por lo que su fallecimiento resulta imputable al Estado. </w:t>
      </w:r>
      <w:r w:rsidR="00E03C26" w:rsidRPr="00B1523A">
        <w:rPr>
          <w:rFonts w:eastAsia="Calibri"/>
          <w:sz w:val="20"/>
          <w:szCs w:val="20"/>
          <w:lang w:val="es-ES_tradnl"/>
        </w:rPr>
        <w:t>Asimismo</w:t>
      </w:r>
      <w:r w:rsidR="001D21F5" w:rsidRPr="00B1523A">
        <w:rPr>
          <w:rFonts w:eastAsia="Calibri"/>
          <w:sz w:val="20"/>
          <w:szCs w:val="20"/>
          <w:lang w:val="es-ES_tradnl"/>
        </w:rPr>
        <w:t>,</w:t>
      </w:r>
      <w:r w:rsidR="00E03C26" w:rsidRPr="00B1523A">
        <w:rPr>
          <w:rFonts w:eastAsia="Calibri"/>
          <w:sz w:val="20"/>
          <w:szCs w:val="20"/>
          <w:lang w:val="es-ES_tradnl"/>
        </w:rPr>
        <w:t xml:space="preserve"> la Corte </w:t>
      </w:r>
      <w:r w:rsidR="00C426E9" w:rsidRPr="00B1523A">
        <w:rPr>
          <w:rFonts w:eastAsia="Calibri"/>
          <w:sz w:val="20"/>
          <w:szCs w:val="20"/>
          <w:lang w:val="es-ES_tradnl"/>
        </w:rPr>
        <w:t xml:space="preserve">sostuvo </w:t>
      </w:r>
      <w:r w:rsidR="00E03C26" w:rsidRPr="00B1523A">
        <w:rPr>
          <w:rFonts w:eastAsia="Calibri"/>
          <w:sz w:val="20"/>
          <w:szCs w:val="20"/>
          <w:lang w:val="es-ES_tradnl"/>
        </w:rPr>
        <w:t xml:space="preserve">que la edad del señor Poblete Vilches, como categoría protegida de la no discriminación, resultó ser una limitante para que recibiera </w:t>
      </w:r>
      <w:r w:rsidR="00117E41">
        <w:rPr>
          <w:rFonts w:eastAsia="Calibri"/>
          <w:sz w:val="20"/>
          <w:szCs w:val="20"/>
          <w:lang w:val="es-ES_tradnl"/>
        </w:rPr>
        <w:t xml:space="preserve">la </w:t>
      </w:r>
      <w:r w:rsidR="00E03C26" w:rsidRPr="00B1523A">
        <w:rPr>
          <w:rFonts w:eastAsia="Calibri"/>
          <w:sz w:val="20"/>
          <w:szCs w:val="20"/>
          <w:lang w:val="es-ES_tradnl"/>
        </w:rPr>
        <w:t>atención médica requerida.</w:t>
      </w:r>
    </w:p>
    <w:p w14:paraId="6F6B4B29" w14:textId="77777777" w:rsidR="008D03CA" w:rsidRPr="00383565" w:rsidRDefault="008D03CA" w:rsidP="00383565">
      <w:pPr>
        <w:tabs>
          <w:tab w:val="left" w:pos="567"/>
        </w:tabs>
        <w:rPr>
          <w:rFonts w:eastAsia="Calibri"/>
          <w:sz w:val="20"/>
          <w:szCs w:val="20"/>
          <w:lang w:val="es-ES_tradnl" w:eastAsia="en-US"/>
        </w:rPr>
      </w:pPr>
    </w:p>
    <w:p w14:paraId="022F6407" w14:textId="61B3387B" w:rsidR="002570D1" w:rsidRPr="00A145A0" w:rsidRDefault="002570D1" w:rsidP="002570D1">
      <w:pPr>
        <w:numPr>
          <w:ilvl w:val="0"/>
          <w:numId w:val="2"/>
        </w:numPr>
        <w:tabs>
          <w:tab w:val="left" w:pos="567"/>
          <w:tab w:val="num" w:pos="1569"/>
          <w:tab w:val="num" w:pos="12305"/>
        </w:tabs>
        <w:ind w:left="0" w:firstLine="0"/>
        <w:rPr>
          <w:rFonts w:eastAsia="Calibri"/>
          <w:sz w:val="20"/>
          <w:szCs w:val="20"/>
          <w:lang w:val="es-ES_tradnl" w:eastAsia="en-US"/>
        </w:rPr>
      </w:pPr>
      <w:r w:rsidRPr="00A145A0">
        <w:rPr>
          <w:rFonts w:eastAsia="Calibri"/>
          <w:sz w:val="20"/>
          <w:szCs w:val="20"/>
          <w:lang w:eastAsia="en-US"/>
        </w:rPr>
        <w:t xml:space="preserve">Por tanto, este </w:t>
      </w:r>
      <w:r w:rsidR="00E5581F" w:rsidRPr="00A145A0">
        <w:rPr>
          <w:rFonts w:eastAsia="Calibri"/>
          <w:sz w:val="20"/>
          <w:szCs w:val="20"/>
          <w:lang w:eastAsia="en-US"/>
        </w:rPr>
        <w:t>T</w:t>
      </w:r>
      <w:r w:rsidRPr="00A145A0">
        <w:rPr>
          <w:rFonts w:eastAsia="Calibri"/>
          <w:sz w:val="20"/>
          <w:szCs w:val="20"/>
          <w:lang w:eastAsia="en-US"/>
        </w:rPr>
        <w:t xml:space="preserve">ribunal considera que el Estado </w:t>
      </w:r>
      <w:r w:rsidR="00F02FA7" w:rsidRPr="00A145A0">
        <w:rPr>
          <w:rFonts w:eastAsia="Calibri"/>
          <w:sz w:val="20"/>
          <w:szCs w:val="20"/>
          <w:lang w:eastAsia="en-US"/>
        </w:rPr>
        <w:t xml:space="preserve">chileno </w:t>
      </w:r>
      <w:r w:rsidRPr="00A145A0">
        <w:rPr>
          <w:rFonts w:eastAsia="Calibri"/>
          <w:sz w:val="20"/>
          <w:szCs w:val="20"/>
          <w:lang w:eastAsia="en-US"/>
        </w:rPr>
        <w:t xml:space="preserve">es responsable internacionalmente por </w:t>
      </w:r>
      <w:r w:rsidR="00920D09" w:rsidRPr="00A145A0">
        <w:rPr>
          <w:rFonts w:eastAsia="Calibri"/>
          <w:sz w:val="20"/>
          <w:szCs w:val="20"/>
          <w:lang w:eastAsia="en-US"/>
        </w:rPr>
        <w:t xml:space="preserve">la falta de garantía de los </w:t>
      </w:r>
      <w:r w:rsidR="000055DC" w:rsidRPr="00A145A0">
        <w:rPr>
          <w:rFonts w:eastAsia="Calibri"/>
          <w:sz w:val="20"/>
          <w:szCs w:val="20"/>
          <w:lang w:eastAsia="en-US"/>
        </w:rPr>
        <w:t>derechos a la salud, vida,</w:t>
      </w:r>
      <w:r w:rsidR="001D21F5" w:rsidRPr="00A145A0">
        <w:rPr>
          <w:rFonts w:eastAsia="Calibri"/>
          <w:sz w:val="20"/>
          <w:szCs w:val="20"/>
          <w:lang w:eastAsia="en-US"/>
        </w:rPr>
        <w:t xml:space="preserve"> integridad personal,</w:t>
      </w:r>
      <w:r w:rsidR="000055DC" w:rsidRPr="00A145A0">
        <w:rPr>
          <w:rFonts w:eastAsia="Calibri"/>
          <w:sz w:val="20"/>
          <w:szCs w:val="20"/>
          <w:lang w:eastAsia="en-US"/>
        </w:rPr>
        <w:t xml:space="preserve"> </w:t>
      </w:r>
      <w:r w:rsidR="00E83EA1" w:rsidRPr="00B1523A">
        <w:rPr>
          <w:rFonts w:eastAsia="Calibri"/>
          <w:sz w:val="20"/>
          <w:szCs w:val="20"/>
          <w:lang w:eastAsia="en-US"/>
        </w:rPr>
        <w:t xml:space="preserve">libertad, dignidad y </w:t>
      </w:r>
      <w:r w:rsidR="000055DC" w:rsidRPr="00A145A0">
        <w:rPr>
          <w:rFonts w:eastAsia="Calibri"/>
          <w:sz w:val="20"/>
          <w:szCs w:val="20"/>
          <w:lang w:eastAsia="en-US"/>
        </w:rPr>
        <w:t xml:space="preserve">acceso a la información, de conformidad con los </w:t>
      </w:r>
      <w:r w:rsidRPr="00A145A0">
        <w:rPr>
          <w:rFonts w:eastAsia="Calibri"/>
          <w:sz w:val="20"/>
          <w:szCs w:val="20"/>
          <w:lang w:eastAsia="en-US"/>
        </w:rPr>
        <w:t>artículos 26, 4</w:t>
      </w:r>
      <w:r w:rsidR="001D21F5" w:rsidRPr="00B1523A">
        <w:rPr>
          <w:rFonts w:eastAsia="Calibri"/>
          <w:sz w:val="20"/>
          <w:szCs w:val="20"/>
          <w:lang w:eastAsia="en-US"/>
        </w:rPr>
        <w:t>, 5</w:t>
      </w:r>
      <w:r w:rsidR="00E83EA1" w:rsidRPr="00B1523A">
        <w:rPr>
          <w:rFonts w:eastAsia="Calibri"/>
          <w:sz w:val="20"/>
          <w:szCs w:val="20"/>
          <w:lang w:eastAsia="en-US"/>
        </w:rPr>
        <w:t xml:space="preserve">, </w:t>
      </w:r>
      <w:r w:rsidR="00F46F85" w:rsidRPr="00A145A0">
        <w:rPr>
          <w:rFonts w:eastAsia="Calibri"/>
          <w:sz w:val="20"/>
          <w:szCs w:val="20"/>
          <w:lang w:eastAsia="en-US"/>
        </w:rPr>
        <w:t xml:space="preserve">13, </w:t>
      </w:r>
      <w:r w:rsidR="00E83EA1" w:rsidRPr="00B1523A">
        <w:rPr>
          <w:rFonts w:eastAsia="Calibri"/>
          <w:sz w:val="20"/>
          <w:szCs w:val="20"/>
          <w:lang w:eastAsia="en-US"/>
        </w:rPr>
        <w:t>7</w:t>
      </w:r>
      <w:r w:rsidR="00F46F85" w:rsidRPr="00B1523A">
        <w:rPr>
          <w:rFonts w:eastAsia="Calibri"/>
          <w:sz w:val="20"/>
          <w:szCs w:val="20"/>
          <w:lang w:eastAsia="en-US"/>
        </w:rPr>
        <w:t xml:space="preserve"> y</w:t>
      </w:r>
      <w:r w:rsidR="00E83EA1" w:rsidRPr="00B1523A">
        <w:rPr>
          <w:rFonts w:eastAsia="Calibri"/>
          <w:sz w:val="20"/>
          <w:szCs w:val="20"/>
          <w:lang w:eastAsia="en-US"/>
        </w:rPr>
        <w:t xml:space="preserve"> 11</w:t>
      </w:r>
      <w:r w:rsidRPr="00A145A0">
        <w:rPr>
          <w:rFonts w:eastAsia="Calibri"/>
          <w:sz w:val="20"/>
          <w:szCs w:val="20"/>
          <w:lang w:eastAsia="en-US"/>
        </w:rPr>
        <w:t xml:space="preserve"> de la Convención Americana, </w:t>
      </w:r>
      <w:r w:rsidR="000055DC" w:rsidRPr="00A145A0">
        <w:rPr>
          <w:rFonts w:eastAsia="Calibri"/>
          <w:sz w:val="20"/>
          <w:szCs w:val="20"/>
          <w:lang w:eastAsia="en-US"/>
        </w:rPr>
        <w:t xml:space="preserve">en relación con las obligaciones de no discriminación del artículo 1.1 del mismo instrumento, </w:t>
      </w:r>
      <w:r w:rsidRPr="00A145A0">
        <w:rPr>
          <w:rFonts w:eastAsia="Calibri"/>
          <w:sz w:val="20"/>
          <w:szCs w:val="20"/>
          <w:lang w:eastAsia="en-US"/>
        </w:rPr>
        <w:t>en perjuicio del señor Poblete Vilches. As</w:t>
      </w:r>
      <w:r w:rsidR="000055DC" w:rsidRPr="00A145A0">
        <w:rPr>
          <w:rFonts w:eastAsia="Calibri"/>
          <w:sz w:val="20"/>
          <w:szCs w:val="20"/>
          <w:lang w:eastAsia="en-US"/>
        </w:rPr>
        <w:t>imismo, el Estado es responsable de la violación de los</w:t>
      </w:r>
      <w:r w:rsidRPr="00A145A0">
        <w:rPr>
          <w:rFonts w:eastAsia="Calibri"/>
          <w:sz w:val="20"/>
          <w:szCs w:val="20"/>
          <w:lang w:eastAsia="en-US"/>
        </w:rPr>
        <w:t xml:space="preserve"> artículos </w:t>
      </w:r>
      <w:r w:rsidR="00E83EA1" w:rsidRPr="00B1523A">
        <w:rPr>
          <w:rFonts w:eastAsia="Calibri"/>
          <w:sz w:val="20"/>
          <w:szCs w:val="20"/>
          <w:lang w:eastAsia="en-US"/>
        </w:rPr>
        <w:t>26</w:t>
      </w:r>
      <w:r w:rsidR="00F46F85" w:rsidRPr="00B1523A">
        <w:rPr>
          <w:rFonts w:eastAsia="Calibri"/>
          <w:sz w:val="20"/>
          <w:szCs w:val="20"/>
          <w:lang w:eastAsia="en-US"/>
        </w:rPr>
        <w:t>, 13, 7 y 11, en</w:t>
      </w:r>
      <w:r w:rsidRPr="00A145A0">
        <w:rPr>
          <w:rFonts w:eastAsia="Calibri"/>
          <w:sz w:val="20"/>
          <w:szCs w:val="20"/>
          <w:lang w:eastAsia="en-US"/>
        </w:rPr>
        <w:t xml:space="preserve"> perjuicio de sus familiares. </w:t>
      </w:r>
    </w:p>
    <w:p w14:paraId="6F1D04E1" w14:textId="77777777" w:rsidR="00D34E7C" w:rsidRPr="002570D1" w:rsidRDefault="00D34E7C" w:rsidP="00A83854">
      <w:pPr>
        <w:rPr>
          <w:sz w:val="20"/>
          <w:szCs w:val="20"/>
        </w:rPr>
      </w:pPr>
    </w:p>
    <w:p w14:paraId="47512F9D" w14:textId="77777777" w:rsidR="00E67349" w:rsidRPr="00E67349" w:rsidRDefault="00E67349" w:rsidP="006B2A4D">
      <w:pPr>
        <w:pStyle w:val="Title"/>
      </w:pPr>
      <w:bookmarkStart w:id="88" w:name="_Toc504131610"/>
      <w:bookmarkStart w:id="89" w:name="_Toc504484544"/>
      <w:bookmarkStart w:id="90" w:name="_Toc513644476"/>
      <w:r>
        <w:t>VI</w:t>
      </w:r>
      <w:r w:rsidR="00A83854">
        <w:t>I-2</w:t>
      </w:r>
      <w:bookmarkEnd w:id="88"/>
      <w:bookmarkEnd w:id="89"/>
      <w:bookmarkEnd w:id="90"/>
    </w:p>
    <w:p w14:paraId="109C7ED1" w14:textId="77777777" w:rsidR="00E67349" w:rsidRDefault="00E67349" w:rsidP="006B2A4D">
      <w:pPr>
        <w:pStyle w:val="Title"/>
      </w:pPr>
      <w:bookmarkStart w:id="91" w:name="_Toc513644477"/>
      <w:r w:rsidRPr="00E67349">
        <w:t>DERECHO</w:t>
      </w:r>
      <w:r w:rsidR="00A54B13">
        <w:t>S</w:t>
      </w:r>
      <w:r w:rsidRPr="00E67349">
        <w:t xml:space="preserve"> A LAS GARANTÍAS JUDICIALES Y A LA PROTECCIÓN JUDICIAL </w:t>
      </w:r>
      <w:bookmarkEnd w:id="66"/>
      <w:r w:rsidRPr="00E67349">
        <w:t xml:space="preserve">(ARTÍCULOS 8 </w:t>
      </w:r>
      <w:r w:rsidR="006A08E5">
        <w:t>Y 25 DE LA CONVENCIÓN AMERICANA</w:t>
      </w:r>
      <w:r w:rsidRPr="00E67349">
        <w:t>)</w:t>
      </w:r>
      <w:bookmarkEnd w:id="91"/>
    </w:p>
    <w:p w14:paraId="5EB9D72A" w14:textId="77777777" w:rsidR="000D4A1F" w:rsidRPr="000D4A1F" w:rsidRDefault="000D4A1F" w:rsidP="000D4A1F">
      <w:pPr>
        <w:rPr>
          <w:rFonts w:eastAsiaTheme="minorHAnsi"/>
          <w:sz w:val="20"/>
          <w:szCs w:val="20"/>
        </w:rPr>
      </w:pPr>
    </w:p>
    <w:p w14:paraId="1A804BCA" w14:textId="77777777" w:rsidR="00E67349" w:rsidRPr="000D4A1F" w:rsidRDefault="00E67349" w:rsidP="002726E0">
      <w:pPr>
        <w:pStyle w:val="Heading2"/>
        <w:numPr>
          <w:ilvl w:val="0"/>
          <w:numId w:val="11"/>
        </w:numPr>
      </w:pPr>
      <w:bookmarkStart w:id="92" w:name="_Toc513644478"/>
      <w:r w:rsidRPr="00E67349">
        <w:t>Argumentos de las partes y de la Comisión</w:t>
      </w:r>
      <w:bookmarkEnd w:id="92"/>
    </w:p>
    <w:p w14:paraId="46E83C94" w14:textId="77777777" w:rsidR="000D4A1F" w:rsidRPr="00E67349" w:rsidRDefault="000D4A1F" w:rsidP="000D4A1F">
      <w:pPr>
        <w:rPr>
          <w:rFonts w:eastAsiaTheme="minorHAnsi" w:cstheme="minorBidi"/>
          <w:b/>
          <w:sz w:val="20"/>
          <w:szCs w:val="20"/>
          <w:lang w:val="es-AR" w:eastAsia="en-US"/>
        </w:rPr>
      </w:pPr>
    </w:p>
    <w:p w14:paraId="28F6125B" w14:textId="51182518" w:rsidR="00012D32" w:rsidRPr="00B1523A" w:rsidRDefault="00E67349" w:rsidP="00B1523A">
      <w:pPr>
        <w:numPr>
          <w:ilvl w:val="0"/>
          <w:numId w:val="2"/>
        </w:numPr>
        <w:tabs>
          <w:tab w:val="left" w:pos="567"/>
          <w:tab w:val="num" w:pos="1569"/>
          <w:tab w:val="num" w:pos="12305"/>
        </w:tabs>
        <w:ind w:left="0" w:firstLine="0"/>
        <w:contextualSpacing/>
        <w:rPr>
          <w:rFonts w:eastAsiaTheme="minorHAnsi" w:cstheme="minorBidi"/>
          <w:sz w:val="20"/>
          <w:szCs w:val="20"/>
          <w:lang w:val="es-AR" w:eastAsia="en-US"/>
        </w:rPr>
      </w:pPr>
      <w:r w:rsidRPr="00012D32">
        <w:rPr>
          <w:rFonts w:eastAsiaTheme="minorHAnsi" w:cstheme="minorBidi"/>
          <w:sz w:val="20"/>
          <w:szCs w:val="20"/>
          <w:lang w:val="es-AR" w:eastAsia="en-US"/>
        </w:rPr>
        <w:t xml:space="preserve">La </w:t>
      </w:r>
      <w:r w:rsidRPr="00012D32">
        <w:rPr>
          <w:rFonts w:eastAsiaTheme="minorHAnsi" w:cstheme="minorBidi"/>
          <w:b/>
          <w:i/>
          <w:sz w:val="20"/>
          <w:szCs w:val="20"/>
          <w:lang w:val="es-AR" w:eastAsia="en-US"/>
        </w:rPr>
        <w:t>Comisión</w:t>
      </w:r>
      <w:r w:rsidRPr="00012D32">
        <w:rPr>
          <w:rFonts w:eastAsiaTheme="minorHAnsi" w:cstheme="minorBidi"/>
          <w:sz w:val="20"/>
          <w:szCs w:val="20"/>
          <w:lang w:val="es-AR" w:eastAsia="en-US"/>
        </w:rPr>
        <w:t xml:space="preserve"> alegó que el Estado violó los artículos 8 y 25 de la Convención Americana, en relación con el artículo 1.1 del mismo instrumento, respecto al deber de investigar con la debida diligencia y en un plazo razonable los hechos del presente caso, en perjuicio d</w:t>
      </w:r>
      <w:r w:rsidRPr="0042344A">
        <w:rPr>
          <w:rFonts w:eastAsiaTheme="minorHAnsi" w:cstheme="minorBidi"/>
          <w:sz w:val="20"/>
          <w:szCs w:val="20"/>
          <w:lang w:val="es-AR" w:eastAsia="en-US"/>
        </w:rPr>
        <w:t>e los familiares del señor Poblete Vilches. Respecto a la debida diligencia, observó que la primera querella criminal fue presen</w:t>
      </w:r>
      <w:r w:rsidRPr="00577C10">
        <w:rPr>
          <w:rFonts w:eastAsiaTheme="minorHAnsi" w:cstheme="minorBidi"/>
          <w:sz w:val="20"/>
          <w:szCs w:val="20"/>
          <w:lang w:val="es-AR" w:eastAsia="en-US"/>
        </w:rPr>
        <w:t xml:space="preserve">tada por los familiares del señor Poblete Vilches en noviembre de 2001, y que debido a varias declaratorias de incompetencia, fue hasta febrero de 2002 que se determinó cuál era la autoridad judicial competente para conocer de esta. Destacó que se realizaron diligencias en el proceso hasta el mes de octubre de 2002, ocho meses después, cuando se solicitó al Hospital </w:t>
      </w:r>
      <w:proofErr w:type="spellStart"/>
      <w:r w:rsidRPr="00577C10">
        <w:rPr>
          <w:rFonts w:eastAsiaTheme="minorHAnsi" w:cstheme="minorBidi"/>
          <w:sz w:val="20"/>
          <w:szCs w:val="20"/>
          <w:lang w:val="es-AR" w:eastAsia="en-US"/>
        </w:rPr>
        <w:t>Sótero</w:t>
      </w:r>
      <w:proofErr w:type="spellEnd"/>
      <w:r w:rsidRPr="00577C10">
        <w:rPr>
          <w:rFonts w:eastAsiaTheme="minorHAnsi" w:cstheme="minorBidi"/>
          <w:sz w:val="20"/>
          <w:szCs w:val="20"/>
          <w:lang w:val="es-AR" w:eastAsia="en-US"/>
        </w:rPr>
        <w:t xml:space="preserve"> del Río la ficha clínica del señor Poblete Vilches. Además, </w:t>
      </w:r>
      <w:r w:rsidR="00012D32" w:rsidRPr="00A42EDD">
        <w:rPr>
          <w:rFonts w:eastAsiaTheme="minorHAnsi" w:cstheme="minorBidi"/>
          <w:sz w:val="20"/>
          <w:szCs w:val="20"/>
          <w:lang w:val="es-AR" w:eastAsia="en-US"/>
        </w:rPr>
        <w:t>notó que entre la interposición de la primera querella y</w:t>
      </w:r>
      <w:r w:rsidRPr="00474B8B">
        <w:rPr>
          <w:rFonts w:eastAsiaTheme="minorHAnsi" w:cstheme="minorBidi"/>
          <w:sz w:val="20"/>
          <w:szCs w:val="20"/>
          <w:lang w:val="es-AR" w:eastAsia="en-US"/>
        </w:rPr>
        <w:t xml:space="preserve"> la citación de los primeros declarantes</w:t>
      </w:r>
      <w:r w:rsidR="00012D32" w:rsidRPr="00474B8B">
        <w:rPr>
          <w:rFonts w:eastAsiaTheme="minorHAnsi" w:cstheme="minorBidi"/>
          <w:sz w:val="20"/>
          <w:szCs w:val="20"/>
          <w:lang w:val="es-AR" w:eastAsia="en-US"/>
        </w:rPr>
        <w:t xml:space="preserve"> </w:t>
      </w:r>
      <w:r w:rsidRPr="00012D32">
        <w:rPr>
          <w:rFonts w:eastAsiaTheme="minorHAnsi" w:cstheme="minorBidi"/>
          <w:sz w:val="20"/>
          <w:szCs w:val="20"/>
          <w:lang w:val="es-AR" w:eastAsia="en-US"/>
        </w:rPr>
        <w:t xml:space="preserve">transcurrió </w:t>
      </w:r>
      <w:r w:rsidR="00012D32" w:rsidRPr="00012D32">
        <w:rPr>
          <w:rFonts w:eastAsiaTheme="minorHAnsi" w:cstheme="minorBidi"/>
          <w:sz w:val="20"/>
          <w:szCs w:val="20"/>
          <w:lang w:val="es-AR" w:eastAsia="en-US"/>
        </w:rPr>
        <w:t xml:space="preserve">más de </w:t>
      </w:r>
      <w:r w:rsidRPr="00012D32">
        <w:rPr>
          <w:rFonts w:eastAsiaTheme="minorHAnsi" w:cstheme="minorBidi"/>
          <w:sz w:val="20"/>
          <w:szCs w:val="20"/>
          <w:lang w:val="es-AR" w:eastAsia="en-US"/>
        </w:rPr>
        <w:t xml:space="preserve">un año y medio. Además, mencionó que en un periodo de cinco años, de 2003 a 2008, solo se solicitó un peritaje médico. Agregó que a la fecha no se ha realizado la exhumación del cuerpo del señor Poblete Vilches para efectos de realizar </w:t>
      </w:r>
      <w:r w:rsidR="00012D32">
        <w:rPr>
          <w:rFonts w:eastAsiaTheme="minorHAnsi" w:cstheme="minorBidi"/>
          <w:sz w:val="20"/>
          <w:szCs w:val="20"/>
          <w:lang w:val="es-AR" w:eastAsia="en-US"/>
        </w:rPr>
        <w:t>la</w:t>
      </w:r>
      <w:r w:rsidR="00012D32" w:rsidRPr="00012D32">
        <w:rPr>
          <w:rFonts w:eastAsiaTheme="minorHAnsi" w:cstheme="minorBidi"/>
          <w:sz w:val="20"/>
          <w:szCs w:val="20"/>
          <w:lang w:val="es-AR" w:eastAsia="en-US"/>
        </w:rPr>
        <w:t xml:space="preserve"> </w:t>
      </w:r>
      <w:r w:rsidRPr="00012D32">
        <w:rPr>
          <w:rFonts w:eastAsiaTheme="minorHAnsi" w:cstheme="minorBidi"/>
          <w:sz w:val="20"/>
          <w:szCs w:val="20"/>
          <w:lang w:val="es-AR" w:eastAsia="en-US"/>
        </w:rPr>
        <w:t>autopsia solicitada, en múltiples ocasiones por los representantes y resaltó que el Estado no justificó la no realización de estas diligencias. Adicionalmente, resaltó que no cuenta con información sobre la adopción de medidas correctivas para obtener una pericia que aclarara</w:t>
      </w:r>
      <w:r w:rsidR="00012D32">
        <w:rPr>
          <w:rFonts w:eastAsiaTheme="minorHAnsi" w:cstheme="minorBidi"/>
          <w:sz w:val="20"/>
          <w:szCs w:val="20"/>
          <w:lang w:val="es-AR" w:eastAsia="en-US"/>
        </w:rPr>
        <w:t xml:space="preserve"> los</w:t>
      </w:r>
      <w:r w:rsidRPr="00012D32">
        <w:rPr>
          <w:rFonts w:eastAsiaTheme="minorHAnsi" w:cstheme="minorBidi"/>
          <w:sz w:val="20"/>
          <w:szCs w:val="20"/>
          <w:lang w:val="es-AR" w:eastAsia="en-US"/>
        </w:rPr>
        <w:t xml:space="preserve"> interrogantes esenciales para determinar posibles responsabilidades por la muerte del señor Poblete Vilches.</w:t>
      </w:r>
      <w:r w:rsidRPr="00012D32">
        <w:rPr>
          <w:rFonts w:eastAsiaTheme="minorHAnsi" w:cstheme="minorBidi"/>
          <w:b/>
          <w:sz w:val="20"/>
          <w:szCs w:val="20"/>
          <w:lang w:val="es-AR" w:eastAsia="en-US"/>
        </w:rPr>
        <w:t xml:space="preserve"> </w:t>
      </w:r>
    </w:p>
    <w:p w14:paraId="0FDDE3B9" w14:textId="77777777" w:rsidR="00E67349" w:rsidRPr="00012D32" w:rsidRDefault="00E67349" w:rsidP="00B1523A">
      <w:pPr>
        <w:tabs>
          <w:tab w:val="left" w:pos="567"/>
        </w:tabs>
        <w:contextualSpacing/>
        <w:rPr>
          <w:rFonts w:eastAsiaTheme="minorHAnsi" w:cstheme="minorBidi"/>
          <w:sz w:val="20"/>
          <w:szCs w:val="20"/>
          <w:lang w:val="es-AR" w:eastAsia="en-US"/>
        </w:rPr>
      </w:pPr>
    </w:p>
    <w:p w14:paraId="4E75EFAC" w14:textId="7D79B1F2" w:rsidR="00E67349" w:rsidRPr="00E67349" w:rsidRDefault="00E67349" w:rsidP="000D4A1F">
      <w:pPr>
        <w:numPr>
          <w:ilvl w:val="0"/>
          <w:numId w:val="2"/>
        </w:numPr>
        <w:tabs>
          <w:tab w:val="left" w:pos="567"/>
          <w:tab w:val="num" w:pos="1569"/>
          <w:tab w:val="num" w:pos="12305"/>
        </w:tabs>
        <w:ind w:left="0" w:firstLine="0"/>
        <w:rPr>
          <w:rFonts w:eastAsiaTheme="minorHAnsi" w:cstheme="minorBidi"/>
          <w:sz w:val="20"/>
          <w:szCs w:val="20"/>
          <w:lang w:val="es-AR" w:eastAsia="en-US"/>
        </w:rPr>
      </w:pPr>
      <w:r w:rsidRPr="00E67349">
        <w:rPr>
          <w:rFonts w:eastAsiaTheme="minorHAnsi" w:cstheme="minorBidi"/>
          <w:sz w:val="20"/>
          <w:szCs w:val="20"/>
          <w:lang w:val="es-AR" w:eastAsia="en-US"/>
        </w:rPr>
        <w:lastRenderedPageBreak/>
        <w:t xml:space="preserve">De igual manera, la </w:t>
      </w:r>
      <w:r w:rsidRPr="00E67349">
        <w:rPr>
          <w:rFonts w:eastAsiaTheme="minorHAnsi" w:cstheme="minorBidi"/>
          <w:b/>
          <w:i/>
          <w:sz w:val="20"/>
          <w:szCs w:val="20"/>
          <w:lang w:val="es-AR" w:eastAsia="en-US"/>
        </w:rPr>
        <w:t xml:space="preserve">Comisión </w:t>
      </w:r>
      <w:r w:rsidRPr="00E67349">
        <w:rPr>
          <w:rFonts w:eastAsiaTheme="minorHAnsi" w:cstheme="minorBidi"/>
          <w:sz w:val="20"/>
          <w:szCs w:val="20"/>
          <w:lang w:val="es-AR" w:eastAsia="en-US"/>
        </w:rPr>
        <w:t xml:space="preserve">señaló que la declaración indagatoria del imputado Luis Carvajal Freire nunca fue realizada, a pesar de que el Primer Juzgado Civil comprobó que seguía laborando en el Hospital </w:t>
      </w:r>
      <w:proofErr w:type="spellStart"/>
      <w:r w:rsidRPr="00E67349">
        <w:rPr>
          <w:rFonts w:eastAsiaTheme="minorHAnsi" w:cstheme="minorBidi"/>
          <w:sz w:val="20"/>
          <w:szCs w:val="20"/>
          <w:lang w:val="es-AR" w:eastAsia="en-US"/>
        </w:rPr>
        <w:t>Sótero</w:t>
      </w:r>
      <w:proofErr w:type="spellEnd"/>
      <w:r w:rsidRPr="00E67349">
        <w:rPr>
          <w:rFonts w:eastAsiaTheme="minorHAnsi" w:cstheme="minorBidi"/>
          <w:sz w:val="20"/>
          <w:szCs w:val="20"/>
          <w:lang w:val="es-AR" w:eastAsia="en-US"/>
        </w:rPr>
        <w:t xml:space="preserve"> del Río, y que tampoco se obtuvieron algunas de las declaraciones solicitadas dentro del proceso por los familiares del señor Poblete Vilches. En este sentido, resaltó que a pesar de dichas omisiones probatorias, las autoridades judiciales dispusieron en dos oportunidades el sobreseimiento de la causa, en diciembre de 2006 y en junio de 2008. Además, la Comisión mencionó que desde la segunda reapertura de la investigación, no se cuenta con información que permita establecer que se han intentado subsanar las referidas omisiones. Finalmente, en relación a la obtención del consentimiento de los familiares para la realización del procedimiento del 26 de enero de 2001, resaltó la omisión del Estado de esclarecer las irregularidades verificadas respecto de estos hechos</w:t>
      </w:r>
      <w:r w:rsidR="00012D32" w:rsidRPr="00E67349">
        <w:rPr>
          <w:rFonts w:eastAsiaTheme="minorHAnsi" w:cstheme="minorBidi"/>
          <w:sz w:val="20"/>
          <w:szCs w:val="20"/>
          <w:lang w:val="es-AR" w:eastAsia="en-US"/>
        </w:rPr>
        <w:t>.</w:t>
      </w:r>
      <w:r w:rsidR="00012D32">
        <w:rPr>
          <w:rFonts w:eastAsiaTheme="minorHAnsi" w:cstheme="minorBidi"/>
          <w:sz w:val="20"/>
          <w:szCs w:val="20"/>
          <w:lang w:val="es-AR" w:eastAsia="en-US"/>
        </w:rPr>
        <w:t xml:space="preserve"> </w:t>
      </w:r>
      <w:r w:rsidRPr="00E67349">
        <w:rPr>
          <w:rFonts w:eastAsiaTheme="minorHAnsi" w:cstheme="minorBidi"/>
          <w:sz w:val="20"/>
          <w:szCs w:val="20"/>
          <w:lang w:val="es-AR" w:eastAsia="en-US"/>
        </w:rPr>
        <w:t xml:space="preserve">Por tanto, concluyó que el Estado “no investigó los hechos del presente caso con la debida diligencia”. </w:t>
      </w:r>
    </w:p>
    <w:p w14:paraId="1D786D8E" w14:textId="77777777" w:rsidR="00E67349" w:rsidRPr="00E67349" w:rsidRDefault="00E67349" w:rsidP="000D4A1F">
      <w:pPr>
        <w:tabs>
          <w:tab w:val="left" w:pos="0"/>
        </w:tabs>
        <w:contextualSpacing/>
        <w:rPr>
          <w:rFonts w:eastAsiaTheme="minorHAnsi" w:cstheme="minorBidi"/>
          <w:sz w:val="20"/>
          <w:szCs w:val="20"/>
          <w:lang w:val="es-AR" w:eastAsia="en-US"/>
        </w:rPr>
      </w:pPr>
    </w:p>
    <w:p w14:paraId="300FB2C9" w14:textId="7548D43E" w:rsidR="00E67349" w:rsidRDefault="00E67349" w:rsidP="000D4A1F">
      <w:pPr>
        <w:numPr>
          <w:ilvl w:val="0"/>
          <w:numId w:val="2"/>
        </w:numPr>
        <w:tabs>
          <w:tab w:val="left" w:pos="567"/>
          <w:tab w:val="num" w:pos="1569"/>
          <w:tab w:val="num" w:pos="12305"/>
        </w:tabs>
        <w:ind w:left="0" w:firstLine="0"/>
        <w:rPr>
          <w:rFonts w:eastAsiaTheme="minorHAnsi" w:cstheme="minorBidi"/>
          <w:sz w:val="20"/>
          <w:szCs w:val="20"/>
          <w:lang w:val="es-AR" w:eastAsia="en-US"/>
        </w:rPr>
      </w:pPr>
      <w:r w:rsidRPr="00E67349">
        <w:rPr>
          <w:rFonts w:eastAsiaTheme="minorHAnsi" w:cstheme="minorBidi"/>
          <w:sz w:val="20"/>
          <w:szCs w:val="20"/>
          <w:lang w:val="es-AR" w:eastAsia="en-US"/>
        </w:rPr>
        <w:t>Por otra parte, en relación al deber de investigar en un plazo razonable, la Comisión examinó los cuatro criterios establecidos en la jurisprudencia de la Corte. Respecto al primer elemento, la complejidad del asunto, observó que el presente caso versa sobre un alegado homicidio culposo en perjuicio de una sola víctima, ocurrido en un hospital público, en el que supuestamente estuvieron involucrados algunos médicos, por lo que no encontró motivos para considerar que este caso envolvió un nivel de complejidad tal que justificara la demora de más de 14 años. Sobre el segundo elemento, la actividad procesal del interesado, destacó que fue a instancia de parte, mediante las querellas criminales, que se iniciaron e impulsaron las investigaciones, por lo que argumentó que no es posible considerar que la demora se debió a acciones u omisiones de los familiares del señor Poblete. En relación al tercer elemento, la conducta de las autoridades judiciales, destacó que la reapertura de la causa en dos oportunidades no ha activado la realización de diligencias para subsanar las falencias en la investigación por parte de las autoridad, y por el contrario, señaló que desde la reapertura en 2008 hasta la fecha, no cuenta con información sobre actividad en el expediente, a excepción de las respuestas dadas por la Corte Suprema de Justicia ante las solicitudes de intervención por parte de los familiares. Por último, consideró que no resultaba necesario analizar el cuarto elemento, la afectación generada en la situación jurídica de la persona involucrada en el proceso. No obstante, hizo notar que en este tipo de casos, el resultado del proceso penal puede tener incidencia en las perspectivas de reparación. Finalmente, la Comisión concluyó que las investigaciones llevadas a cabo a nivel interno no cumplieron con la garantía de plazo razonable.</w:t>
      </w:r>
      <w:r w:rsidR="0042344A">
        <w:rPr>
          <w:rFonts w:eastAsiaTheme="minorHAnsi" w:cstheme="minorBidi"/>
          <w:sz w:val="20"/>
          <w:szCs w:val="20"/>
          <w:lang w:val="es-AR" w:eastAsia="en-US"/>
        </w:rPr>
        <w:t xml:space="preserve"> </w:t>
      </w:r>
      <w:r w:rsidRPr="00E67349">
        <w:rPr>
          <w:rFonts w:eastAsiaTheme="minorHAnsi" w:cstheme="minorBidi"/>
          <w:sz w:val="20"/>
          <w:szCs w:val="20"/>
          <w:lang w:val="es-AR" w:eastAsia="en-US"/>
        </w:rPr>
        <w:t>La Comisión consideró que el Estado no logró comprobar cómo un retardo injustificado en el proceso careció de impacto directo en el deber de debida diligencia en la investigación y resolución del proceso. Cabe señalar que la Comisión no se pronunció al respecto de la violación al derecho a un juez imparcial.</w:t>
      </w:r>
    </w:p>
    <w:p w14:paraId="654A8675" w14:textId="77777777" w:rsidR="00E67349" w:rsidRPr="00E67349" w:rsidRDefault="00E67349" w:rsidP="000D4A1F">
      <w:pPr>
        <w:tabs>
          <w:tab w:val="left" w:pos="567"/>
          <w:tab w:val="num" w:pos="12305"/>
        </w:tabs>
        <w:rPr>
          <w:rFonts w:eastAsiaTheme="minorHAnsi" w:cstheme="minorBidi"/>
          <w:sz w:val="20"/>
          <w:szCs w:val="20"/>
          <w:lang w:val="es-AR" w:eastAsia="en-US"/>
        </w:rPr>
      </w:pPr>
    </w:p>
    <w:p w14:paraId="7715349B" w14:textId="15235DE9" w:rsidR="00E67349" w:rsidRPr="00E67349" w:rsidRDefault="00E67349" w:rsidP="000D4A1F">
      <w:pPr>
        <w:numPr>
          <w:ilvl w:val="0"/>
          <w:numId w:val="2"/>
        </w:numPr>
        <w:tabs>
          <w:tab w:val="left" w:pos="567"/>
          <w:tab w:val="num" w:pos="1569"/>
          <w:tab w:val="num" w:pos="12305"/>
        </w:tabs>
        <w:ind w:left="0" w:firstLine="0"/>
        <w:rPr>
          <w:rFonts w:eastAsiaTheme="minorHAnsi" w:cstheme="minorBidi"/>
          <w:sz w:val="20"/>
          <w:szCs w:val="20"/>
          <w:lang w:val="es-AR" w:eastAsia="en-US"/>
        </w:rPr>
      </w:pPr>
      <w:r w:rsidRPr="00E67349">
        <w:rPr>
          <w:rFonts w:eastAsiaTheme="minorHAnsi" w:cstheme="minorBidi"/>
          <w:sz w:val="20"/>
          <w:szCs w:val="20"/>
          <w:lang w:val="es-AR" w:eastAsia="en-US"/>
        </w:rPr>
        <w:t xml:space="preserve">Las </w:t>
      </w:r>
      <w:r w:rsidRPr="00E67349">
        <w:rPr>
          <w:rFonts w:eastAsiaTheme="minorHAnsi" w:cstheme="minorBidi"/>
          <w:b/>
          <w:i/>
          <w:sz w:val="20"/>
          <w:szCs w:val="20"/>
          <w:lang w:val="es-AR" w:eastAsia="en-US"/>
        </w:rPr>
        <w:t>representantes</w:t>
      </w:r>
      <w:r w:rsidRPr="00E67349">
        <w:rPr>
          <w:rFonts w:eastAsiaTheme="minorHAnsi" w:cstheme="minorBidi"/>
          <w:sz w:val="20"/>
          <w:szCs w:val="20"/>
          <w:lang w:val="es-AR" w:eastAsia="en-US"/>
        </w:rPr>
        <w:t xml:space="preserve"> coincidieron con lo expuesto por la Comisión en torno a la violación de los artículos 8 y 25 de la Convención Americana.</w:t>
      </w:r>
      <w:r w:rsidR="0042344A">
        <w:rPr>
          <w:rFonts w:eastAsiaTheme="minorHAnsi" w:cstheme="minorBidi"/>
          <w:sz w:val="20"/>
          <w:szCs w:val="20"/>
          <w:lang w:val="es-AR" w:eastAsia="en-US"/>
        </w:rPr>
        <w:t xml:space="preserve"> </w:t>
      </w:r>
      <w:r w:rsidRPr="00E67349">
        <w:rPr>
          <w:rFonts w:eastAsiaTheme="minorHAnsi" w:cstheme="minorBidi"/>
          <w:sz w:val="20"/>
          <w:szCs w:val="20"/>
          <w:lang w:val="es-AR" w:eastAsia="en-US"/>
        </w:rPr>
        <w:t xml:space="preserve">En este sentido, sostuvieron que el proceso penal no cumplió con los estándares exigibles y que las víctimas no tuvieron acceso a un recurso eficaz contra la violación </w:t>
      </w:r>
      <w:r w:rsidR="00012D32">
        <w:rPr>
          <w:rFonts w:eastAsiaTheme="minorHAnsi" w:cstheme="minorBidi"/>
          <w:sz w:val="20"/>
          <w:szCs w:val="20"/>
          <w:lang w:val="es-AR" w:eastAsia="en-US"/>
        </w:rPr>
        <w:t>de</w:t>
      </w:r>
      <w:r w:rsidR="00012D32" w:rsidRPr="00E67349">
        <w:rPr>
          <w:rFonts w:eastAsiaTheme="minorHAnsi" w:cstheme="minorBidi"/>
          <w:sz w:val="20"/>
          <w:szCs w:val="20"/>
          <w:lang w:val="es-AR" w:eastAsia="en-US"/>
        </w:rPr>
        <w:t xml:space="preserve"> </w:t>
      </w:r>
      <w:r w:rsidRPr="00E67349">
        <w:rPr>
          <w:rFonts w:eastAsiaTheme="minorHAnsi" w:cstheme="minorBidi"/>
          <w:sz w:val="20"/>
          <w:szCs w:val="20"/>
          <w:lang w:val="es-AR" w:eastAsia="en-US"/>
        </w:rPr>
        <w:t>sus derechos, lo cual tuvo como consecuencia el que no pudieran gozar de una protección judicial efectiva. Resaltaron la ineficacia con la cual se desarrolló el proceso, y como muestra de ésta señalaron que no se realizaron los careos solicitados.</w:t>
      </w:r>
      <w:r w:rsidR="0042344A">
        <w:rPr>
          <w:rFonts w:eastAsiaTheme="minorHAnsi" w:cstheme="minorBidi"/>
          <w:sz w:val="20"/>
          <w:szCs w:val="20"/>
          <w:lang w:val="es-AR" w:eastAsia="en-US"/>
        </w:rPr>
        <w:t xml:space="preserve"> </w:t>
      </w:r>
      <w:r w:rsidRPr="00E67349">
        <w:rPr>
          <w:rFonts w:eastAsiaTheme="minorHAnsi" w:cstheme="minorBidi"/>
          <w:sz w:val="20"/>
          <w:szCs w:val="20"/>
          <w:lang w:val="es-AR" w:eastAsia="en-US"/>
        </w:rPr>
        <w:t xml:space="preserve">Asimismo, destacaron la falta de diligencia y efectividad de los operadores de justicia en impulsar las investigaciones, que fueron interrumpidas y dilatadas injustificadamente </w:t>
      </w:r>
      <w:r w:rsidR="0042344A">
        <w:rPr>
          <w:rFonts w:eastAsiaTheme="minorHAnsi" w:cstheme="minorBidi"/>
          <w:sz w:val="20"/>
          <w:szCs w:val="20"/>
          <w:lang w:val="es-AR" w:eastAsia="en-US"/>
        </w:rPr>
        <w:t>lo que provocó que el</w:t>
      </w:r>
      <w:r w:rsidRPr="00E67349">
        <w:rPr>
          <w:rFonts w:eastAsiaTheme="minorHAnsi" w:cstheme="minorBidi"/>
          <w:sz w:val="20"/>
          <w:szCs w:val="20"/>
          <w:lang w:val="es-AR" w:eastAsia="en-US"/>
        </w:rPr>
        <w:t xml:space="preserve"> proceso interno</w:t>
      </w:r>
      <w:r w:rsidR="0042344A">
        <w:rPr>
          <w:rFonts w:eastAsiaTheme="minorHAnsi" w:cstheme="minorBidi"/>
          <w:sz w:val="20"/>
          <w:szCs w:val="20"/>
          <w:lang w:val="es-AR" w:eastAsia="en-US"/>
        </w:rPr>
        <w:t xml:space="preserve"> tardara </w:t>
      </w:r>
      <w:r w:rsidRPr="00E67349">
        <w:rPr>
          <w:rFonts w:eastAsiaTheme="minorHAnsi" w:cstheme="minorBidi"/>
          <w:sz w:val="20"/>
          <w:szCs w:val="20"/>
          <w:lang w:val="es-AR" w:eastAsia="en-US"/>
        </w:rPr>
        <w:t xml:space="preserve">siete años. Adicionalmente alegaron la violación al derecho a un tribunal imparcial, previsto en el artículo 8.1 de la Convención Americana en perjuicio de los familiares del señor Poblete Vilches. En relación a lo anterior, estimaron que la solicitud de la jueza de realizar estudios sobre las facultades mentales de Vinicio y </w:t>
      </w:r>
      <w:proofErr w:type="spellStart"/>
      <w:r w:rsidRPr="00E67349">
        <w:rPr>
          <w:rFonts w:eastAsiaTheme="minorHAnsi" w:cstheme="minorBidi"/>
          <w:sz w:val="20"/>
          <w:szCs w:val="20"/>
          <w:lang w:val="es-AR" w:eastAsia="en-US"/>
        </w:rPr>
        <w:t>Cesia</w:t>
      </w:r>
      <w:proofErr w:type="spellEnd"/>
      <w:r w:rsidRPr="00E67349">
        <w:rPr>
          <w:rFonts w:eastAsiaTheme="minorHAnsi" w:cstheme="minorBidi"/>
          <w:sz w:val="20"/>
          <w:szCs w:val="20"/>
          <w:lang w:val="es-AR" w:eastAsia="en-US"/>
        </w:rPr>
        <w:t xml:space="preserve"> Poblete Tapia fue tomada de modo completamente infundado sin que del expediente pudiera desprenderse algún elemento que la motivara. Agregaron que la decisión de la jueza fue arbitraria ya que carecía de fundamento, y en consecuencia, la consideraron como una muestra </w:t>
      </w:r>
      <w:r w:rsidRPr="00E67349">
        <w:rPr>
          <w:rFonts w:eastAsiaTheme="minorHAnsi" w:cstheme="minorBidi"/>
          <w:sz w:val="20"/>
          <w:szCs w:val="20"/>
          <w:lang w:val="es-AR" w:eastAsia="en-US"/>
        </w:rPr>
        <w:lastRenderedPageBreak/>
        <w:t xml:space="preserve">de la falta de imparcialidad de la juzgadora. Concluyeron que el Estado falló en sus obligaciones de proporcionar acceso a la justicia y a la verdad. </w:t>
      </w:r>
    </w:p>
    <w:p w14:paraId="0390130D" w14:textId="77777777" w:rsidR="00E67349" w:rsidRPr="00E67349" w:rsidRDefault="00E67349" w:rsidP="000D4A1F">
      <w:pPr>
        <w:tabs>
          <w:tab w:val="left" w:pos="567"/>
          <w:tab w:val="num" w:pos="12305"/>
        </w:tabs>
        <w:rPr>
          <w:rFonts w:eastAsiaTheme="minorHAnsi" w:cstheme="minorBidi"/>
          <w:sz w:val="20"/>
          <w:szCs w:val="20"/>
          <w:lang w:val="es-AR" w:eastAsia="en-US"/>
        </w:rPr>
      </w:pPr>
    </w:p>
    <w:p w14:paraId="49378D0C" w14:textId="00EFEB69" w:rsidR="00E67349" w:rsidRDefault="00E67349" w:rsidP="000D4A1F">
      <w:pPr>
        <w:numPr>
          <w:ilvl w:val="0"/>
          <w:numId w:val="2"/>
        </w:numPr>
        <w:tabs>
          <w:tab w:val="left" w:pos="567"/>
          <w:tab w:val="num" w:pos="1569"/>
          <w:tab w:val="num" w:pos="12305"/>
        </w:tabs>
        <w:ind w:left="0" w:firstLine="0"/>
        <w:rPr>
          <w:b/>
          <w:sz w:val="20"/>
          <w:szCs w:val="20"/>
          <w:lang w:val="es-ES" w:eastAsia="en-US"/>
        </w:rPr>
      </w:pPr>
      <w:r w:rsidRPr="00E67349">
        <w:rPr>
          <w:sz w:val="20"/>
          <w:szCs w:val="20"/>
          <w:lang w:val="es-ES" w:eastAsia="en-US"/>
        </w:rPr>
        <w:t xml:space="preserve">El </w:t>
      </w:r>
      <w:r w:rsidRPr="00E67349">
        <w:rPr>
          <w:b/>
          <w:i/>
          <w:sz w:val="20"/>
          <w:szCs w:val="20"/>
          <w:lang w:val="es-ES" w:eastAsia="en-US"/>
        </w:rPr>
        <w:t>Estado</w:t>
      </w:r>
      <w:r w:rsidRPr="00E67349">
        <w:rPr>
          <w:sz w:val="20"/>
          <w:szCs w:val="20"/>
          <w:lang w:val="es-ES" w:eastAsia="en-US"/>
        </w:rPr>
        <w:t xml:space="preserve"> reconoció la violación de los artículos 8 y 25 de la Convención Americana, en relación con el derecho a un plazo razonable, considerando que la actuación de las autoridades chilenas no fue lo suficientemente diligente (</w:t>
      </w:r>
      <w:r w:rsidR="00062586" w:rsidRPr="00062586">
        <w:rPr>
          <w:i/>
          <w:sz w:val="20"/>
          <w:szCs w:val="20"/>
          <w:lang w:val="es-ES" w:eastAsia="en-US"/>
        </w:rPr>
        <w:t>supra</w:t>
      </w:r>
      <w:r w:rsidRPr="00E67349">
        <w:rPr>
          <w:i/>
          <w:sz w:val="20"/>
          <w:szCs w:val="20"/>
          <w:lang w:val="es-ES" w:eastAsia="en-US"/>
        </w:rPr>
        <w:t xml:space="preserve"> </w:t>
      </w:r>
      <w:r w:rsidRPr="00E67349">
        <w:rPr>
          <w:sz w:val="20"/>
          <w:szCs w:val="20"/>
          <w:lang w:val="es-ES" w:eastAsia="en-US"/>
        </w:rPr>
        <w:t xml:space="preserve">párr. </w:t>
      </w:r>
      <w:r w:rsidR="0042344A">
        <w:rPr>
          <w:sz w:val="20"/>
          <w:szCs w:val="20"/>
          <w:lang w:val="es-ES" w:eastAsia="en-US"/>
        </w:rPr>
        <w:t>16</w:t>
      </w:r>
      <w:r w:rsidR="0042344A" w:rsidRPr="00E67349">
        <w:rPr>
          <w:sz w:val="20"/>
          <w:szCs w:val="20"/>
          <w:lang w:val="es-ES" w:eastAsia="en-US"/>
        </w:rPr>
        <w:t xml:space="preserve">). </w:t>
      </w:r>
      <w:r w:rsidRPr="00E67349">
        <w:rPr>
          <w:sz w:val="20"/>
          <w:szCs w:val="20"/>
          <w:lang w:val="es-ES" w:eastAsia="en-US"/>
        </w:rPr>
        <w:t>No obstante, no reconoció la violación del derecho a la debida diligencia (</w:t>
      </w:r>
      <w:r w:rsidR="00062586" w:rsidRPr="00062586">
        <w:rPr>
          <w:i/>
          <w:sz w:val="20"/>
          <w:szCs w:val="20"/>
          <w:lang w:val="es-ES" w:eastAsia="en-US"/>
        </w:rPr>
        <w:t>supra</w:t>
      </w:r>
      <w:r w:rsidRPr="00E67349">
        <w:rPr>
          <w:i/>
          <w:sz w:val="20"/>
          <w:szCs w:val="20"/>
          <w:lang w:val="es-ES" w:eastAsia="en-US"/>
        </w:rPr>
        <w:t xml:space="preserve"> </w:t>
      </w:r>
      <w:r w:rsidRPr="00E67349">
        <w:rPr>
          <w:sz w:val="20"/>
          <w:szCs w:val="20"/>
          <w:lang w:val="es-ES" w:eastAsia="en-US"/>
        </w:rPr>
        <w:t xml:space="preserve">párr. </w:t>
      </w:r>
      <w:r w:rsidR="0096292E">
        <w:rPr>
          <w:sz w:val="20"/>
          <w:szCs w:val="20"/>
          <w:lang w:val="es-ES" w:eastAsia="en-US"/>
        </w:rPr>
        <w:t>20</w:t>
      </w:r>
      <w:r w:rsidRPr="00E67349">
        <w:rPr>
          <w:sz w:val="20"/>
          <w:szCs w:val="20"/>
          <w:lang w:val="es-ES" w:eastAsia="en-US"/>
        </w:rPr>
        <w:t xml:space="preserve">) debido a que estimó que el Primer Juzgado Civil realizó todas las diligencias probatorias necesarias. En particular, el Estado resaltó que respecto a la causa de muerte del señor Poblete Vilches se realizaron dos pericias médico-legales que establecieron que no se había faltado a la </w:t>
      </w:r>
      <w:proofErr w:type="spellStart"/>
      <w:r w:rsidRPr="00E67349">
        <w:rPr>
          <w:i/>
          <w:sz w:val="20"/>
          <w:szCs w:val="20"/>
          <w:lang w:val="es-ES" w:eastAsia="en-US"/>
        </w:rPr>
        <w:t>lex</w:t>
      </w:r>
      <w:proofErr w:type="spellEnd"/>
      <w:r w:rsidRPr="00E67349">
        <w:rPr>
          <w:i/>
          <w:sz w:val="20"/>
          <w:szCs w:val="20"/>
          <w:lang w:val="es-ES" w:eastAsia="en-US"/>
        </w:rPr>
        <w:t xml:space="preserve"> </w:t>
      </w:r>
      <w:proofErr w:type="spellStart"/>
      <w:r w:rsidRPr="00E67349">
        <w:rPr>
          <w:i/>
          <w:sz w:val="20"/>
          <w:szCs w:val="20"/>
          <w:lang w:val="es-ES" w:eastAsia="en-US"/>
        </w:rPr>
        <w:t>artis</w:t>
      </w:r>
      <w:proofErr w:type="spellEnd"/>
      <w:r w:rsidRPr="00E67349">
        <w:rPr>
          <w:sz w:val="20"/>
          <w:szCs w:val="20"/>
          <w:lang w:val="es-ES" w:eastAsia="en-US"/>
        </w:rPr>
        <w:t xml:space="preserve">, descartando el nexo causal entre el actuar de los médicos y la muerte del paciente. Agregó que las dos querellas interpuestas fueron tramitadas en su antiguo proceso penal inquisitivo en el cual quien conducía la investigación era la misma persona que juzgaba el asunto, restando la imparcialidad que exige el debido proceso. Resaltó que todas las diligencias probatorias fueron concedidas a excepción de la exhumación del cuerpo y los careos. En este sentido, señaló que se realizaron 19 de las 26 diligencias solicitadas, y aclaró que en el presente caso hubo dos querellas; la primera de mayo de 2001, en la cual todas las diligencias solicitadas fueron concedidas y el señor Vinicio y la señora </w:t>
      </w:r>
      <w:proofErr w:type="spellStart"/>
      <w:r w:rsidRPr="00E67349">
        <w:rPr>
          <w:sz w:val="20"/>
          <w:szCs w:val="20"/>
          <w:lang w:val="es-ES" w:eastAsia="en-US"/>
        </w:rPr>
        <w:t>Cesia</w:t>
      </w:r>
      <w:proofErr w:type="spellEnd"/>
      <w:r w:rsidRPr="00E67349">
        <w:rPr>
          <w:sz w:val="20"/>
          <w:szCs w:val="20"/>
          <w:lang w:val="es-ES" w:eastAsia="en-US"/>
        </w:rPr>
        <w:t xml:space="preserve"> Poblete Tapia no solicitaron ser citados a ratificar la querella, y la segunda interpuesta en octubre de 2005, para la cual los señores Poblete Tapia sí solicitaron la ratificación de la querella, siendo citados para abril de 2006, por lo que no fueron cinco años de demora en la citación, sino seis meses.</w:t>
      </w:r>
      <w:r w:rsidRPr="00E67349">
        <w:rPr>
          <w:b/>
          <w:sz w:val="20"/>
          <w:szCs w:val="20"/>
          <w:lang w:val="es-ES" w:eastAsia="en-US"/>
        </w:rPr>
        <w:t xml:space="preserve"> </w:t>
      </w:r>
      <w:r w:rsidRPr="00E67349">
        <w:rPr>
          <w:sz w:val="20"/>
          <w:szCs w:val="20"/>
          <w:lang w:val="es-ES" w:eastAsia="en-US"/>
        </w:rPr>
        <w:t>El Estado arguyó que la actividad investigativa del tribunal fue positiva y sustantiva, agotando todos los recursos legales a su alcance.</w:t>
      </w:r>
      <w:r w:rsidRPr="00E67349">
        <w:rPr>
          <w:b/>
          <w:sz w:val="20"/>
          <w:szCs w:val="20"/>
          <w:lang w:val="es-ES" w:eastAsia="en-US"/>
        </w:rPr>
        <w:t xml:space="preserve"> </w:t>
      </w:r>
      <w:r w:rsidRPr="00E67349">
        <w:rPr>
          <w:sz w:val="20"/>
          <w:szCs w:val="20"/>
          <w:lang w:val="es-ES" w:eastAsia="en-US"/>
        </w:rPr>
        <w:t>Asimismo, el Estado tampoco reconoció la violación al derecho a ser juzgado por un tribunal imparcial (</w:t>
      </w:r>
      <w:r w:rsidR="00062586" w:rsidRPr="00062586">
        <w:rPr>
          <w:i/>
          <w:sz w:val="20"/>
          <w:szCs w:val="20"/>
          <w:lang w:val="es-ES" w:eastAsia="en-US"/>
        </w:rPr>
        <w:t>supra</w:t>
      </w:r>
      <w:r w:rsidRPr="00E67349">
        <w:rPr>
          <w:i/>
          <w:sz w:val="20"/>
          <w:szCs w:val="20"/>
          <w:lang w:val="es-ES" w:eastAsia="en-US"/>
        </w:rPr>
        <w:t xml:space="preserve"> </w:t>
      </w:r>
      <w:r w:rsidRPr="00E67349">
        <w:rPr>
          <w:sz w:val="20"/>
          <w:szCs w:val="20"/>
          <w:lang w:val="es-ES" w:eastAsia="en-US"/>
        </w:rPr>
        <w:t xml:space="preserve">párr. </w:t>
      </w:r>
      <w:r w:rsidR="0042344A">
        <w:rPr>
          <w:sz w:val="20"/>
          <w:szCs w:val="20"/>
          <w:lang w:val="es-ES" w:eastAsia="en-US"/>
        </w:rPr>
        <w:t>20</w:t>
      </w:r>
      <w:r w:rsidR="0042344A" w:rsidRPr="00E67349">
        <w:rPr>
          <w:sz w:val="20"/>
          <w:szCs w:val="20"/>
          <w:lang w:val="es-ES" w:eastAsia="en-US"/>
        </w:rPr>
        <w:t xml:space="preserve">) </w:t>
      </w:r>
      <w:r w:rsidRPr="00E67349">
        <w:rPr>
          <w:sz w:val="20"/>
          <w:szCs w:val="20"/>
          <w:lang w:val="es-ES" w:eastAsia="en-US"/>
        </w:rPr>
        <w:t xml:space="preserve">debido a que consideró que el Juzgado competente actuó dentro de sus facultades legales teniendo como motivación la contenida en las normas. Al respecto, resaltó que la </w:t>
      </w:r>
      <w:r w:rsidR="0042344A">
        <w:rPr>
          <w:sz w:val="20"/>
          <w:szCs w:val="20"/>
          <w:lang w:val="es-ES" w:eastAsia="en-US"/>
        </w:rPr>
        <w:t>imparcialidad subjetiva</w:t>
      </w:r>
      <w:r w:rsidR="0042344A" w:rsidRPr="00E67349">
        <w:rPr>
          <w:sz w:val="20"/>
          <w:szCs w:val="20"/>
          <w:lang w:val="es-ES" w:eastAsia="en-US"/>
        </w:rPr>
        <w:t xml:space="preserve"> </w:t>
      </w:r>
      <w:r w:rsidRPr="00E67349">
        <w:rPr>
          <w:sz w:val="20"/>
          <w:szCs w:val="20"/>
          <w:lang w:val="es-ES" w:eastAsia="en-US"/>
        </w:rPr>
        <w:t xml:space="preserve">se presume a favor del juez y por tanto quien la alega debe probarla a través de elementos probatorios específicos y concretos. </w:t>
      </w:r>
    </w:p>
    <w:p w14:paraId="732AEF74" w14:textId="77777777" w:rsidR="00E67349" w:rsidRPr="00E67349" w:rsidRDefault="00E67349" w:rsidP="000D4A1F">
      <w:pPr>
        <w:tabs>
          <w:tab w:val="left" w:pos="567"/>
          <w:tab w:val="num" w:pos="12305"/>
        </w:tabs>
        <w:rPr>
          <w:b/>
          <w:sz w:val="20"/>
          <w:szCs w:val="20"/>
          <w:lang w:val="es-ES" w:eastAsia="en-US"/>
        </w:rPr>
      </w:pPr>
    </w:p>
    <w:p w14:paraId="51313D22" w14:textId="77777777" w:rsidR="00E67349" w:rsidRPr="00225E59" w:rsidRDefault="00E67349" w:rsidP="002A64C9">
      <w:pPr>
        <w:pStyle w:val="Heading2"/>
        <w:numPr>
          <w:ilvl w:val="0"/>
          <w:numId w:val="11"/>
        </w:numPr>
      </w:pPr>
      <w:bookmarkStart w:id="93" w:name="_Toc513644479"/>
      <w:r w:rsidRPr="00225E59">
        <w:t>Consideraciones de la Corte</w:t>
      </w:r>
      <w:bookmarkEnd w:id="93"/>
    </w:p>
    <w:p w14:paraId="69033543" w14:textId="77777777" w:rsidR="000D4A1F" w:rsidRPr="00E67349" w:rsidRDefault="000D4A1F" w:rsidP="000D4A1F">
      <w:pPr>
        <w:rPr>
          <w:b/>
          <w:i/>
          <w:sz w:val="20"/>
          <w:szCs w:val="20"/>
          <w:lang w:val="es-ES" w:eastAsia="en-US"/>
        </w:rPr>
      </w:pPr>
    </w:p>
    <w:p w14:paraId="3B1F4B78" w14:textId="0F26C1E3" w:rsidR="00E67349" w:rsidRPr="00E67349" w:rsidRDefault="00E67349" w:rsidP="000D4A1F">
      <w:pPr>
        <w:numPr>
          <w:ilvl w:val="0"/>
          <w:numId w:val="2"/>
        </w:numPr>
        <w:tabs>
          <w:tab w:val="left" w:pos="567"/>
          <w:tab w:val="num" w:pos="1569"/>
          <w:tab w:val="num" w:pos="12305"/>
        </w:tabs>
        <w:ind w:left="0" w:firstLine="0"/>
        <w:rPr>
          <w:rFonts w:eastAsiaTheme="minorHAnsi" w:cstheme="minorBidi"/>
          <w:b/>
          <w:i/>
          <w:sz w:val="20"/>
          <w:szCs w:val="20"/>
          <w:lang w:val="es-AR" w:eastAsia="en-US"/>
        </w:rPr>
      </w:pPr>
      <w:r w:rsidRPr="00E67349">
        <w:rPr>
          <w:rFonts w:eastAsiaTheme="minorHAnsi" w:cstheme="minorBidi"/>
          <w:sz w:val="20"/>
          <w:szCs w:val="20"/>
          <w:lang w:val="es-AR" w:eastAsia="en-US"/>
        </w:rPr>
        <w:t>La Corte recuerda que en el presente caso se presentó una primera querella criminal en el año 2001, y una segunda querella en el año 2005, por parte de los familiares del señor Poblete Vilches. El 11 de diciembre de 2006 el Juzgado Primero Civil ordenó el sobreseimiento de la causa, no obstante, el 17 de febrero de 2007 desarchivo la causa. Nuevamente, el 30 junio de 2008 dictó el sobreseimiento de la causa y el 5 de agosto de 2008 ordenó su desarchivo. A la fecha, no se han establecido las responsabilidades penales correspondientes por los hechos del presente caso (</w:t>
      </w:r>
      <w:r w:rsidR="00062586" w:rsidRPr="00062586">
        <w:rPr>
          <w:rFonts w:eastAsiaTheme="minorHAnsi" w:cstheme="minorBidi"/>
          <w:i/>
          <w:sz w:val="20"/>
          <w:szCs w:val="20"/>
          <w:lang w:val="es-AR" w:eastAsia="en-US"/>
        </w:rPr>
        <w:t>supra</w:t>
      </w:r>
      <w:r w:rsidRPr="00E67349">
        <w:rPr>
          <w:rFonts w:eastAsiaTheme="minorHAnsi" w:cstheme="minorBidi"/>
          <w:i/>
          <w:sz w:val="20"/>
          <w:szCs w:val="20"/>
          <w:lang w:val="es-AR" w:eastAsia="en-US"/>
        </w:rPr>
        <w:t xml:space="preserve"> </w:t>
      </w:r>
      <w:proofErr w:type="spellStart"/>
      <w:r w:rsidRPr="00E67349">
        <w:rPr>
          <w:rFonts w:eastAsiaTheme="minorHAnsi" w:cstheme="minorBidi"/>
          <w:sz w:val="20"/>
          <w:szCs w:val="20"/>
          <w:lang w:val="es-AR" w:eastAsia="en-US"/>
        </w:rPr>
        <w:t>párrs</w:t>
      </w:r>
      <w:proofErr w:type="spellEnd"/>
      <w:r w:rsidRPr="00E67349">
        <w:rPr>
          <w:rFonts w:eastAsiaTheme="minorHAnsi" w:cstheme="minorBidi"/>
          <w:sz w:val="20"/>
          <w:szCs w:val="20"/>
          <w:lang w:val="es-AR" w:eastAsia="en-US"/>
        </w:rPr>
        <w:t xml:space="preserve">. </w:t>
      </w:r>
      <w:r w:rsidR="00974D1E">
        <w:rPr>
          <w:rFonts w:eastAsiaTheme="minorHAnsi" w:cstheme="minorBidi"/>
          <w:sz w:val="20"/>
          <w:szCs w:val="20"/>
          <w:lang w:val="es-AR" w:eastAsia="en-US"/>
        </w:rPr>
        <w:t>59</w:t>
      </w:r>
      <w:r w:rsidR="00974D1E" w:rsidRPr="00E67349">
        <w:rPr>
          <w:rFonts w:eastAsiaTheme="minorHAnsi" w:cstheme="minorBidi"/>
          <w:sz w:val="20"/>
          <w:szCs w:val="20"/>
          <w:lang w:val="es-AR" w:eastAsia="en-US"/>
        </w:rPr>
        <w:t xml:space="preserve"> </w:t>
      </w:r>
      <w:r w:rsidRPr="00E67349">
        <w:rPr>
          <w:rFonts w:eastAsiaTheme="minorHAnsi" w:cstheme="minorBidi"/>
          <w:sz w:val="20"/>
          <w:szCs w:val="20"/>
          <w:lang w:val="es-AR" w:eastAsia="en-US"/>
        </w:rPr>
        <w:t xml:space="preserve">a </w:t>
      </w:r>
      <w:r w:rsidR="00974D1E">
        <w:rPr>
          <w:rFonts w:eastAsiaTheme="minorHAnsi" w:cstheme="minorBidi"/>
          <w:sz w:val="20"/>
          <w:szCs w:val="20"/>
          <w:lang w:val="es-AR" w:eastAsia="en-US"/>
        </w:rPr>
        <w:t>79</w:t>
      </w:r>
      <w:r w:rsidR="00974D1E" w:rsidRPr="00E67349">
        <w:rPr>
          <w:rFonts w:eastAsiaTheme="minorHAnsi" w:cstheme="minorBidi"/>
          <w:sz w:val="20"/>
          <w:szCs w:val="20"/>
          <w:lang w:val="es-AR" w:eastAsia="en-US"/>
        </w:rPr>
        <w:t>).</w:t>
      </w:r>
    </w:p>
    <w:p w14:paraId="3A9F054C" w14:textId="77777777" w:rsidR="00E67349" w:rsidRPr="00E67349" w:rsidRDefault="00E67349" w:rsidP="000D4A1F">
      <w:pPr>
        <w:tabs>
          <w:tab w:val="left" w:pos="0"/>
        </w:tabs>
        <w:contextualSpacing/>
        <w:rPr>
          <w:rFonts w:eastAsiaTheme="minorHAnsi" w:cstheme="minorBidi"/>
          <w:b/>
          <w:i/>
          <w:sz w:val="20"/>
          <w:szCs w:val="20"/>
          <w:lang w:val="es-AR" w:eastAsia="en-US"/>
        </w:rPr>
      </w:pPr>
    </w:p>
    <w:p w14:paraId="019B1220" w14:textId="3BB77B7C" w:rsidR="00E67349" w:rsidRPr="00152F4C" w:rsidRDefault="00152F4C" w:rsidP="00152F4C">
      <w:pPr>
        <w:numPr>
          <w:ilvl w:val="0"/>
          <w:numId w:val="2"/>
        </w:numPr>
        <w:tabs>
          <w:tab w:val="left" w:pos="567"/>
          <w:tab w:val="num" w:pos="1569"/>
          <w:tab w:val="num" w:pos="12305"/>
        </w:tabs>
        <w:ind w:left="0" w:firstLine="0"/>
        <w:rPr>
          <w:rFonts w:eastAsiaTheme="minorHAnsi" w:cstheme="minorBidi"/>
          <w:b/>
          <w:i/>
          <w:sz w:val="20"/>
          <w:szCs w:val="20"/>
          <w:lang w:val="es-AR" w:eastAsia="en-US"/>
        </w:rPr>
      </w:pPr>
      <w:r>
        <w:rPr>
          <w:rFonts w:eastAsiaTheme="minorHAnsi" w:cstheme="minorBidi"/>
          <w:sz w:val="20"/>
          <w:szCs w:val="20"/>
          <w:lang w:val="es-AR" w:eastAsia="en-US"/>
        </w:rPr>
        <w:t>La Corte recuerda que el Estado ya reconoció su responsabilidad en relación con el incumplimiento del plazo razonable</w:t>
      </w:r>
      <w:r w:rsidRPr="00152F4C">
        <w:rPr>
          <w:rFonts w:eastAsiaTheme="minorHAnsi" w:cstheme="minorBidi"/>
          <w:sz w:val="20"/>
          <w:szCs w:val="20"/>
          <w:lang w:val="es-AR" w:eastAsia="en-US"/>
        </w:rPr>
        <w:t xml:space="preserve">, </w:t>
      </w:r>
      <w:r w:rsidRPr="00C27894">
        <w:rPr>
          <w:rFonts w:eastAsiaTheme="minorHAnsi" w:cstheme="minorBidi"/>
          <w:sz w:val="20"/>
          <w:szCs w:val="20"/>
          <w:lang w:val="es-AR" w:eastAsia="en-US"/>
        </w:rPr>
        <w:t>tomando en cuenta</w:t>
      </w:r>
      <w:r w:rsidR="00BF56F2" w:rsidRPr="00BF56F2">
        <w:rPr>
          <w:rFonts w:eastAsiaTheme="minorHAnsi" w:cstheme="minorBidi"/>
          <w:sz w:val="20"/>
          <w:szCs w:val="20"/>
          <w:lang w:val="es-AR" w:eastAsia="en-US"/>
        </w:rPr>
        <w:t xml:space="preserve"> la demora de aproximadamente 1</w:t>
      </w:r>
      <w:r w:rsidR="00BF56F2">
        <w:rPr>
          <w:rFonts w:eastAsiaTheme="minorHAnsi" w:cstheme="minorBidi"/>
          <w:sz w:val="20"/>
          <w:szCs w:val="20"/>
          <w:lang w:val="es-AR" w:eastAsia="en-US"/>
        </w:rPr>
        <w:t>7</w:t>
      </w:r>
      <w:r w:rsidRPr="00C27894">
        <w:rPr>
          <w:rFonts w:eastAsiaTheme="minorHAnsi" w:cstheme="minorBidi"/>
          <w:sz w:val="20"/>
          <w:szCs w:val="20"/>
          <w:lang w:val="es-AR" w:eastAsia="en-US"/>
        </w:rPr>
        <w:t xml:space="preserve"> años en la investigación del presente caso sin resultados</w:t>
      </w:r>
      <w:r w:rsidRPr="00152F4C">
        <w:rPr>
          <w:rFonts w:eastAsiaTheme="minorHAnsi" w:cstheme="minorBidi"/>
          <w:sz w:val="20"/>
          <w:szCs w:val="20"/>
          <w:lang w:val="es-AR" w:eastAsia="en-US"/>
        </w:rPr>
        <w:t xml:space="preserve"> (</w:t>
      </w:r>
      <w:r w:rsidR="00062586" w:rsidRPr="00062586">
        <w:rPr>
          <w:rFonts w:eastAsiaTheme="minorHAnsi" w:cstheme="minorBidi"/>
          <w:i/>
          <w:sz w:val="20"/>
          <w:szCs w:val="20"/>
          <w:lang w:val="es-AR" w:eastAsia="en-US"/>
        </w:rPr>
        <w:t>supra</w:t>
      </w:r>
      <w:r w:rsidRPr="00152F4C">
        <w:rPr>
          <w:rFonts w:eastAsiaTheme="minorHAnsi" w:cstheme="minorBidi"/>
          <w:sz w:val="20"/>
          <w:szCs w:val="20"/>
          <w:lang w:val="es-AR" w:eastAsia="en-US"/>
        </w:rPr>
        <w:t xml:space="preserve"> párr. </w:t>
      </w:r>
      <w:r w:rsidR="00974D1E">
        <w:rPr>
          <w:rFonts w:eastAsiaTheme="minorHAnsi" w:cstheme="minorBidi"/>
          <w:sz w:val="20"/>
          <w:szCs w:val="20"/>
          <w:lang w:val="es-AR" w:eastAsia="en-US"/>
        </w:rPr>
        <w:t>16</w:t>
      </w:r>
      <w:r w:rsidR="00974D1E" w:rsidRPr="00152F4C">
        <w:rPr>
          <w:rFonts w:eastAsiaTheme="minorHAnsi" w:cstheme="minorBidi"/>
          <w:sz w:val="20"/>
          <w:szCs w:val="20"/>
          <w:lang w:val="es-AR" w:eastAsia="en-US"/>
        </w:rPr>
        <w:t xml:space="preserve">). </w:t>
      </w:r>
      <w:r w:rsidRPr="00152F4C">
        <w:rPr>
          <w:rFonts w:eastAsiaTheme="minorHAnsi" w:cstheme="minorBidi"/>
          <w:sz w:val="20"/>
          <w:szCs w:val="20"/>
          <w:lang w:val="es-AR" w:eastAsia="en-US"/>
        </w:rPr>
        <w:t xml:space="preserve">Al respecto, </w:t>
      </w:r>
      <w:r w:rsidR="00BF56F2">
        <w:rPr>
          <w:rFonts w:eastAsiaTheme="minorHAnsi" w:cstheme="minorBidi"/>
          <w:sz w:val="20"/>
          <w:szCs w:val="20"/>
          <w:lang w:val="es-AR" w:eastAsia="en-US"/>
        </w:rPr>
        <w:t>la C</w:t>
      </w:r>
      <w:r w:rsidRPr="00152F4C">
        <w:rPr>
          <w:rFonts w:eastAsiaTheme="minorHAnsi" w:cstheme="minorBidi"/>
          <w:sz w:val="20"/>
          <w:szCs w:val="20"/>
          <w:lang w:val="es-AR" w:eastAsia="en-US"/>
        </w:rPr>
        <w:t xml:space="preserve">orte </w:t>
      </w:r>
      <w:r w:rsidRPr="00AA7ACB">
        <w:rPr>
          <w:rFonts w:eastAsiaTheme="minorHAnsi" w:cstheme="minorBidi"/>
          <w:sz w:val="20"/>
          <w:szCs w:val="20"/>
          <w:lang w:val="es-AR" w:eastAsia="en-US"/>
        </w:rPr>
        <w:t>nota que</w:t>
      </w:r>
      <w:r w:rsidRPr="001B6272">
        <w:rPr>
          <w:rFonts w:eastAsiaTheme="minorHAnsi"/>
          <w:sz w:val="20"/>
          <w:szCs w:val="20"/>
          <w:lang w:eastAsia="en-US"/>
        </w:rPr>
        <w:t xml:space="preserve"> ha cesado </w:t>
      </w:r>
      <w:r w:rsidRPr="00453423">
        <w:rPr>
          <w:rFonts w:eastAsiaTheme="minorHAnsi"/>
          <w:sz w:val="20"/>
          <w:szCs w:val="20"/>
          <w:lang w:eastAsia="en-US"/>
        </w:rPr>
        <w:t>esta controversia</w:t>
      </w:r>
      <w:r w:rsidRPr="00453423">
        <w:rPr>
          <w:rFonts w:eastAsiaTheme="minorHAnsi" w:cstheme="minorBidi"/>
          <w:sz w:val="20"/>
          <w:szCs w:val="20"/>
          <w:lang w:val="es-AR" w:eastAsia="en-US"/>
        </w:rPr>
        <w:t>.</w:t>
      </w:r>
      <w:r w:rsidRPr="00152F4C">
        <w:rPr>
          <w:rFonts w:eastAsiaTheme="minorHAnsi" w:cstheme="minorBidi"/>
          <w:sz w:val="20"/>
          <w:szCs w:val="20"/>
          <w:lang w:val="es-AR" w:eastAsia="en-US"/>
        </w:rPr>
        <w:t xml:space="preserve"> </w:t>
      </w:r>
      <w:r w:rsidR="00E67349" w:rsidRPr="00152F4C">
        <w:rPr>
          <w:rFonts w:eastAsiaTheme="minorHAnsi" w:cstheme="minorBidi"/>
          <w:sz w:val="20"/>
          <w:szCs w:val="20"/>
          <w:lang w:val="es-AR" w:eastAsia="en-US"/>
        </w:rPr>
        <w:t xml:space="preserve">En virtud de lo anterior, a continuación la Corte se referirá </w:t>
      </w:r>
      <w:r w:rsidRPr="00152F4C">
        <w:rPr>
          <w:rFonts w:eastAsiaTheme="minorHAnsi" w:cstheme="minorBidi"/>
          <w:sz w:val="20"/>
          <w:szCs w:val="20"/>
          <w:lang w:val="es-AR" w:eastAsia="en-US"/>
        </w:rPr>
        <w:t xml:space="preserve">sobre </w:t>
      </w:r>
      <w:r w:rsidR="00E67349" w:rsidRPr="00152F4C">
        <w:rPr>
          <w:rFonts w:eastAsiaTheme="minorHAnsi" w:cstheme="minorBidi"/>
          <w:sz w:val="20"/>
          <w:szCs w:val="20"/>
          <w:lang w:val="es-AR" w:eastAsia="en-US"/>
        </w:rPr>
        <w:t xml:space="preserve">la alegada vulneración de los artículos 8 y 25 de la Convención Americana, por la </w:t>
      </w:r>
      <w:r>
        <w:rPr>
          <w:rFonts w:eastAsiaTheme="minorHAnsi" w:cstheme="minorBidi"/>
          <w:sz w:val="20"/>
          <w:szCs w:val="20"/>
          <w:lang w:val="es-AR" w:eastAsia="en-US"/>
        </w:rPr>
        <w:t>alegada</w:t>
      </w:r>
      <w:r w:rsidRPr="00152F4C">
        <w:rPr>
          <w:rFonts w:eastAsiaTheme="minorHAnsi" w:cstheme="minorBidi"/>
          <w:sz w:val="20"/>
          <w:szCs w:val="20"/>
          <w:lang w:val="es-AR" w:eastAsia="en-US"/>
        </w:rPr>
        <w:t xml:space="preserve"> </w:t>
      </w:r>
      <w:r w:rsidR="00E67349" w:rsidRPr="00152F4C">
        <w:rPr>
          <w:rFonts w:eastAsiaTheme="minorHAnsi" w:cstheme="minorBidi"/>
          <w:sz w:val="20"/>
          <w:szCs w:val="20"/>
          <w:lang w:val="es-AR" w:eastAsia="en-US"/>
        </w:rPr>
        <w:t xml:space="preserve">violación de los derechos a: 1) </w:t>
      </w:r>
      <w:r w:rsidRPr="00152F4C">
        <w:rPr>
          <w:rFonts w:eastAsiaTheme="minorHAnsi" w:cstheme="minorBidi"/>
          <w:sz w:val="20"/>
          <w:szCs w:val="20"/>
          <w:lang w:val="es-AR" w:eastAsia="en-US"/>
        </w:rPr>
        <w:t xml:space="preserve">la </w:t>
      </w:r>
      <w:r w:rsidR="00E67349" w:rsidRPr="00152F4C">
        <w:rPr>
          <w:rFonts w:eastAsiaTheme="minorHAnsi" w:cstheme="minorBidi"/>
          <w:sz w:val="20"/>
          <w:szCs w:val="20"/>
          <w:lang w:val="es-AR" w:eastAsia="en-US"/>
        </w:rPr>
        <w:t xml:space="preserve">debida diligencia y </w:t>
      </w:r>
      <w:r w:rsidRPr="00152F4C">
        <w:rPr>
          <w:rFonts w:eastAsiaTheme="minorHAnsi" w:cstheme="minorBidi"/>
          <w:sz w:val="20"/>
          <w:szCs w:val="20"/>
          <w:lang w:val="es-AR" w:eastAsia="en-US"/>
        </w:rPr>
        <w:t>2</w:t>
      </w:r>
      <w:r w:rsidR="00E67349" w:rsidRPr="00152F4C">
        <w:rPr>
          <w:rFonts w:eastAsiaTheme="minorHAnsi" w:cstheme="minorBidi"/>
          <w:sz w:val="20"/>
          <w:szCs w:val="20"/>
          <w:lang w:val="es-AR" w:eastAsia="en-US"/>
        </w:rPr>
        <w:t xml:space="preserve">) </w:t>
      </w:r>
      <w:r w:rsidRPr="00152F4C">
        <w:rPr>
          <w:rFonts w:eastAsiaTheme="minorHAnsi" w:cstheme="minorBidi"/>
          <w:sz w:val="20"/>
          <w:szCs w:val="20"/>
          <w:lang w:val="es-AR" w:eastAsia="en-US"/>
        </w:rPr>
        <w:t xml:space="preserve">la </w:t>
      </w:r>
      <w:r w:rsidR="00E67349" w:rsidRPr="00152F4C">
        <w:rPr>
          <w:rFonts w:eastAsiaTheme="minorHAnsi" w:cstheme="minorBidi"/>
          <w:sz w:val="20"/>
          <w:szCs w:val="20"/>
          <w:lang w:val="es-AR" w:eastAsia="en-US"/>
        </w:rPr>
        <w:t xml:space="preserve">imparcialidad judicial.  </w:t>
      </w:r>
    </w:p>
    <w:p w14:paraId="3512FD1D" w14:textId="77777777" w:rsidR="00E67349" w:rsidRPr="00E67349" w:rsidRDefault="00E67349" w:rsidP="000D4A1F">
      <w:pPr>
        <w:tabs>
          <w:tab w:val="left" w:pos="567"/>
          <w:tab w:val="num" w:pos="12305"/>
        </w:tabs>
        <w:rPr>
          <w:rFonts w:eastAsiaTheme="minorHAnsi" w:cstheme="minorBidi"/>
          <w:b/>
          <w:i/>
          <w:sz w:val="20"/>
          <w:szCs w:val="20"/>
          <w:lang w:val="es-AR" w:eastAsia="en-US"/>
        </w:rPr>
      </w:pPr>
    </w:p>
    <w:p w14:paraId="348510D0" w14:textId="77777777" w:rsidR="00E67349" w:rsidRPr="00164C05" w:rsidRDefault="00E67349" w:rsidP="00225E59">
      <w:pPr>
        <w:pStyle w:val="Heading3"/>
        <w:rPr>
          <w:b/>
        </w:rPr>
      </w:pPr>
      <w:bookmarkStart w:id="94" w:name="_Toc513644480"/>
      <w:r w:rsidRPr="00164C05">
        <w:rPr>
          <w:b/>
        </w:rPr>
        <w:t>1. Respecto de la debida diligencia</w:t>
      </w:r>
      <w:bookmarkEnd w:id="94"/>
    </w:p>
    <w:p w14:paraId="6FE2C148" w14:textId="77777777" w:rsidR="000D4A1F" w:rsidRPr="00E67349" w:rsidRDefault="000D4A1F" w:rsidP="000D4A1F">
      <w:pPr>
        <w:ind w:firstLine="360"/>
        <w:rPr>
          <w:i/>
          <w:sz w:val="20"/>
          <w:szCs w:val="20"/>
          <w:lang w:val="es-ES" w:eastAsia="en-US"/>
        </w:rPr>
      </w:pPr>
    </w:p>
    <w:p w14:paraId="691DD4D0" w14:textId="64897AD2" w:rsidR="00E67349" w:rsidRPr="00E67349" w:rsidRDefault="00E67349" w:rsidP="000D4A1F">
      <w:pPr>
        <w:numPr>
          <w:ilvl w:val="0"/>
          <w:numId w:val="2"/>
        </w:numPr>
        <w:tabs>
          <w:tab w:val="left" w:pos="567"/>
          <w:tab w:val="num" w:pos="1569"/>
          <w:tab w:val="num" w:pos="12305"/>
        </w:tabs>
        <w:ind w:left="0" w:firstLine="0"/>
        <w:rPr>
          <w:rFonts w:eastAsiaTheme="minorHAnsi" w:cstheme="minorBidi"/>
          <w:sz w:val="20"/>
          <w:szCs w:val="20"/>
          <w:lang w:val="es-AR" w:eastAsia="en-US"/>
        </w:rPr>
      </w:pPr>
      <w:r w:rsidRPr="00E67349">
        <w:rPr>
          <w:rFonts w:eastAsiaTheme="minorHAnsi" w:cstheme="minorBidi"/>
          <w:sz w:val="20"/>
          <w:szCs w:val="20"/>
          <w:lang w:val="es-AR" w:eastAsia="en-US"/>
        </w:rPr>
        <w:t>Esta Corte ha sostenido que la protección judicial “constituye uno de los pilares básicos de la Convención Americana y del propio Estado de Derecho en una sociedad democrática</w:t>
      </w:r>
      <w:r w:rsidRPr="00E67349">
        <w:rPr>
          <w:rFonts w:eastAsiaTheme="minorHAnsi" w:cstheme="minorBidi"/>
          <w:sz w:val="20"/>
          <w:szCs w:val="20"/>
          <w:vertAlign w:val="superscript"/>
          <w:lang w:val="es-AR" w:eastAsia="en-US"/>
        </w:rPr>
        <w:footnoteReference w:id="271"/>
      </w:r>
      <w:r w:rsidRPr="00E67349">
        <w:rPr>
          <w:rFonts w:eastAsiaTheme="minorHAnsi" w:cstheme="minorBidi"/>
          <w:sz w:val="20"/>
          <w:szCs w:val="20"/>
          <w:lang w:val="es-AR" w:eastAsia="en-US"/>
        </w:rPr>
        <w:t xml:space="preserve">”. La Corte ha señalado que “los artículos 8 y 25 de la Convención también consagran el derecho al </w:t>
      </w:r>
      <w:r w:rsidRPr="00E67349">
        <w:rPr>
          <w:rFonts w:eastAsiaTheme="minorHAnsi" w:cstheme="minorBidi"/>
          <w:sz w:val="20"/>
          <w:szCs w:val="20"/>
          <w:lang w:val="es-AR" w:eastAsia="en-US"/>
        </w:rPr>
        <w:lastRenderedPageBreak/>
        <w:t>acceso a la justicia, norma imperativa del Derecho Internacional</w:t>
      </w:r>
      <w:r w:rsidRPr="00E67349">
        <w:rPr>
          <w:rFonts w:eastAsiaTheme="minorHAnsi" w:cstheme="minorBidi"/>
          <w:sz w:val="20"/>
          <w:szCs w:val="20"/>
          <w:vertAlign w:val="superscript"/>
          <w:lang w:val="es-AR" w:eastAsia="en-US"/>
        </w:rPr>
        <w:footnoteReference w:id="272"/>
      </w:r>
      <w:r w:rsidRPr="00E67349">
        <w:rPr>
          <w:rFonts w:eastAsiaTheme="minorHAnsi" w:cstheme="minorBidi"/>
          <w:sz w:val="20"/>
          <w:szCs w:val="20"/>
          <w:lang w:val="es-AR" w:eastAsia="en-US"/>
        </w:rPr>
        <w:t>”. Asimismo, el principio de tutela judicial efectiva requiere que los procedimientos judiciales sean accesibles para las partes, sin obstáculos o demoras indebidas, a fin de que alcancen su objetivo de manera rápida, sencilla e integral</w:t>
      </w:r>
      <w:r w:rsidRPr="00E67349">
        <w:rPr>
          <w:rFonts w:eastAsiaTheme="minorHAnsi" w:cstheme="minorBidi"/>
          <w:sz w:val="20"/>
          <w:szCs w:val="20"/>
          <w:vertAlign w:val="superscript"/>
          <w:lang w:val="es-AR" w:eastAsia="en-US"/>
        </w:rPr>
        <w:footnoteReference w:id="273"/>
      </w:r>
      <w:r w:rsidRPr="00E67349">
        <w:rPr>
          <w:rFonts w:eastAsiaTheme="minorHAnsi" w:cstheme="minorBidi"/>
          <w:sz w:val="20"/>
          <w:szCs w:val="20"/>
          <w:lang w:val="es-AR" w:eastAsia="en-US"/>
        </w:rPr>
        <w:t>. Aunado a lo anterior, este Tribunal ha señalado que el artículo 25.1 de la Convención contempla la obligación de los Estados Partes de garantizar, a todas las personas bajo su jurisdicción, un recurso judicial efectivo contra actos violatorios de sus derechos fundamentales</w:t>
      </w:r>
      <w:r w:rsidRPr="00E67349">
        <w:rPr>
          <w:rFonts w:eastAsiaTheme="minorHAnsi" w:cstheme="minorBidi"/>
          <w:sz w:val="20"/>
          <w:szCs w:val="20"/>
          <w:vertAlign w:val="superscript"/>
          <w:lang w:val="es-AR" w:eastAsia="en-US"/>
        </w:rPr>
        <w:footnoteReference w:id="274"/>
      </w:r>
      <w:r w:rsidRPr="00E67349">
        <w:rPr>
          <w:rFonts w:eastAsiaTheme="minorHAnsi" w:cstheme="minorBidi"/>
          <w:sz w:val="20"/>
          <w:szCs w:val="20"/>
          <w:lang w:val="es-AR" w:eastAsia="en-US"/>
        </w:rPr>
        <w:t>, reconocidos ya sea en la Constitución, en las leyes o en la Convención</w:t>
      </w:r>
      <w:r w:rsidRPr="00E67349">
        <w:rPr>
          <w:rFonts w:eastAsiaTheme="minorHAnsi" w:cstheme="minorBidi"/>
          <w:sz w:val="20"/>
          <w:szCs w:val="20"/>
          <w:vertAlign w:val="superscript"/>
          <w:lang w:val="es-AR" w:eastAsia="en-US"/>
        </w:rPr>
        <w:footnoteReference w:id="275"/>
      </w:r>
      <w:r w:rsidRPr="00E67349">
        <w:rPr>
          <w:rFonts w:eastAsiaTheme="minorHAnsi" w:cstheme="minorBidi"/>
          <w:sz w:val="20"/>
          <w:szCs w:val="20"/>
          <w:lang w:val="es-AR" w:eastAsia="en-US"/>
        </w:rPr>
        <w:t xml:space="preserve">. </w:t>
      </w:r>
    </w:p>
    <w:p w14:paraId="387A1624" w14:textId="77777777" w:rsidR="00E67349" w:rsidRPr="00E67349" w:rsidRDefault="00E67349" w:rsidP="000D4A1F">
      <w:pPr>
        <w:tabs>
          <w:tab w:val="left" w:pos="0"/>
        </w:tabs>
        <w:contextualSpacing/>
        <w:rPr>
          <w:rFonts w:eastAsiaTheme="minorHAnsi" w:cs="Times"/>
          <w:sz w:val="20"/>
          <w:szCs w:val="20"/>
          <w:lang w:val="es-AR" w:eastAsia="en-US"/>
        </w:rPr>
      </w:pPr>
    </w:p>
    <w:p w14:paraId="3EB0301B" w14:textId="77777777" w:rsidR="00E67349" w:rsidRPr="00E67349" w:rsidRDefault="00E67349" w:rsidP="000D4A1F">
      <w:pPr>
        <w:numPr>
          <w:ilvl w:val="0"/>
          <w:numId w:val="2"/>
        </w:numPr>
        <w:tabs>
          <w:tab w:val="left" w:pos="567"/>
          <w:tab w:val="num" w:pos="1569"/>
          <w:tab w:val="num" w:pos="12305"/>
        </w:tabs>
        <w:ind w:left="0" w:firstLine="0"/>
        <w:rPr>
          <w:rFonts w:eastAsiaTheme="minorHAnsi" w:cs="Times"/>
          <w:sz w:val="20"/>
          <w:szCs w:val="20"/>
          <w:lang w:val="es-AR" w:eastAsia="en-US"/>
        </w:rPr>
      </w:pPr>
      <w:r w:rsidRPr="00E67349">
        <w:rPr>
          <w:rFonts w:eastAsiaTheme="minorHAnsi" w:cstheme="minorBidi"/>
          <w:sz w:val="20"/>
          <w:szCs w:val="20"/>
          <w:lang w:val="es-AR" w:eastAsia="en-US"/>
        </w:rPr>
        <w:t>Por otra parte, la Corte ha señalado de manera consistente que el deber de investigar es una obligación de medios y no de resultados, que debe ser asumida por el Estado como un deber jurídico propio y no como una simple formalidad condenada de antemano a ser infructuosa, o como una mera gestión de intereses particulares, que dependa de la iniciativa procesal de las víctimas o de sus familiares o de la aportación privada de elementos probatorios</w:t>
      </w:r>
      <w:r w:rsidRPr="00E67349">
        <w:rPr>
          <w:rFonts w:eastAsiaTheme="minorHAnsi" w:cstheme="minorBidi"/>
          <w:sz w:val="20"/>
          <w:szCs w:val="20"/>
          <w:vertAlign w:val="superscript"/>
          <w:lang w:val="es-AR" w:eastAsia="en-US"/>
        </w:rPr>
        <w:footnoteReference w:id="276"/>
      </w:r>
      <w:r w:rsidRPr="00E67349">
        <w:rPr>
          <w:rFonts w:eastAsiaTheme="minorHAnsi" w:cstheme="minorBidi"/>
          <w:sz w:val="20"/>
          <w:szCs w:val="20"/>
          <w:lang w:val="es-AR" w:eastAsia="en-US"/>
        </w:rPr>
        <w:t>. Además, la investigación debe ser seria, objetiva y efectiva, y estar orientada a la determinación de la verdad y a la persecución, captura, y eventual enjuiciamiento y castigo de los autores de los hechos</w:t>
      </w:r>
      <w:r w:rsidRPr="00E67349">
        <w:rPr>
          <w:rFonts w:eastAsiaTheme="minorHAnsi" w:cstheme="minorBidi"/>
          <w:sz w:val="20"/>
          <w:szCs w:val="20"/>
          <w:vertAlign w:val="superscript"/>
          <w:lang w:val="es-AR" w:eastAsia="en-US"/>
        </w:rPr>
        <w:footnoteReference w:id="277"/>
      </w:r>
      <w:r w:rsidRPr="00E67349">
        <w:rPr>
          <w:rFonts w:eastAsiaTheme="minorHAnsi" w:cstheme="minorBidi"/>
          <w:sz w:val="20"/>
          <w:szCs w:val="20"/>
          <w:lang w:val="es-AR" w:eastAsia="en-US"/>
        </w:rPr>
        <w:t>. Asimismo, la debida diligencia exige que el órgano que investiga lleve a cabo todas aquellas actuaciones y averiguaciones necesarias para procurar el resultado que se persigue</w:t>
      </w:r>
      <w:r w:rsidRPr="00E67349">
        <w:rPr>
          <w:rFonts w:eastAsiaTheme="minorHAnsi" w:cstheme="minorBidi"/>
          <w:sz w:val="20"/>
          <w:szCs w:val="20"/>
          <w:vertAlign w:val="superscript"/>
          <w:lang w:val="es-AR" w:eastAsia="en-US"/>
        </w:rPr>
        <w:footnoteReference w:id="278"/>
      </w:r>
      <w:r w:rsidRPr="00E67349">
        <w:rPr>
          <w:rFonts w:eastAsiaTheme="minorHAnsi" w:cstheme="minorBidi"/>
          <w:sz w:val="20"/>
          <w:szCs w:val="20"/>
          <w:lang w:val="es-AR" w:eastAsia="en-US"/>
        </w:rPr>
        <w:t>.</w:t>
      </w:r>
    </w:p>
    <w:p w14:paraId="08324B29" w14:textId="77777777" w:rsidR="00E67349" w:rsidRPr="00E67349" w:rsidRDefault="00E67349" w:rsidP="000D4A1F">
      <w:pPr>
        <w:tabs>
          <w:tab w:val="left" w:pos="0"/>
        </w:tabs>
        <w:contextualSpacing/>
        <w:rPr>
          <w:rFonts w:eastAsiaTheme="minorHAnsi" w:cs="Times"/>
          <w:sz w:val="20"/>
          <w:szCs w:val="20"/>
          <w:lang w:val="es-AR" w:eastAsia="en-US"/>
        </w:rPr>
      </w:pPr>
    </w:p>
    <w:p w14:paraId="0C7A2516" w14:textId="77777777" w:rsidR="00E67349" w:rsidRPr="00E67349" w:rsidRDefault="00E67349" w:rsidP="000D4A1F">
      <w:pPr>
        <w:numPr>
          <w:ilvl w:val="0"/>
          <w:numId w:val="2"/>
        </w:numPr>
        <w:tabs>
          <w:tab w:val="left" w:pos="567"/>
          <w:tab w:val="num" w:pos="1569"/>
          <w:tab w:val="num" w:pos="12305"/>
        </w:tabs>
        <w:ind w:left="0" w:firstLine="0"/>
        <w:rPr>
          <w:rFonts w:eastAsiaTheme="minorHAnsi" w:cs="Times"/>
          <w:sz w:val="20"/>
          <w:szCs w:val="20"/>
          <w:lang w:val="es-AR" w:eastAsia="en-US"/>
        </w:rPr>
      </w:pPr>
      <w:r w:rsidRPr="00E67349">
        <w:rPr>
          <w:rFonts w:eastAsiaTheme="minorHAnsi" w:cstheme="minorBidi"/>
          <w:sz w:val="20"/>
          <w:szCs w:val="20"/>
          <w:lang w:val="es-AR" w:eastAsia="en-US"/>
        </w:rPr>
        <w:t>Ahora bien, la posibilidad de la Corte, en el ámbito de su competencia, coadyuvante y complementaria, de examinar los procedimientos internos de investigación</w:t>
      </w:r>
      <w:r w:rsidRPr="00E67349">
        <w:rPr>
          <w:rFonts w:eastAsiaTheme="minorHAnsi" w:cstheme="minorBidi"/>
          <w:sz w:val="20"/>
          <w:szCs w:val="20"/>
          <w:vertAlign w:val="superscript"/>
          <w:lang w:val="es-AR" w:eastAsia="en-US"/>
        </w:rPr>
        <w:footnoteReference w:id="279"/>
      </w:r>
      <w:r w:rsidRPr="00E67349">
        <w:rPr>
          <w:rFonts w:eastAsiaTheme="minorHAnsi" w:cstheme="minorBidi"/>
          <w:sz w:val="20"/>
          <w:szCs w:val="20"/>
          <w:lang w:val="es-AR" w:eastAsia="en-US"/>
        </w:rPr>
        <w:t>, puede llevar a la determinación de fallas en la debida diligencia en los mismos</w:t>
      </w:r>
      <w:r w:rsidRPr="00E67349">
        <w:rPr>
          <w:rFonts w:eastAsiaTheme="minorHAnsi"/>
          <w:sz w:val="20"/>
          <w:szCs w:val="20"/>
          <w:vertAlign w:val="superscript"/>
          <w:lang w:val="es-AR" w:eastAsia="en-US"/>
        </w:rPr>
        <w:footnoteReference w:id="280"/>
      </w:r>
      <w:r w:rsidRPr="00E67349">
        <w:rPr>
          <w:rFonts w:eastAsiaTheme="minorHAnsi" w:cstheme="minorBidi"/>
          <w:sz w:val="20"/>
          <w:szCs w:val="20"/>
          <w:lang w:val="es-AR" w:eastAsia="en-US"/>
        </w:rPr>
        <w:t>. No obstante, ello será procedente en tanto se evidencie que las falencias que se aduzcan pudieran haber afectado la investigación en su conjunto, de modo “que conforme el tiempo vaya transcurriendo, se afecte indebidamente la posibilidad de obtener y presentar pruebas pertinentes que permitan esclarecer los hechos y determinar las responsabilidades que correspondan”</w:t>
      </w:r>
      <w:r w:rsidRPr="00E67349">
        <w:rPr>
          <w:rFonts w:eastAsiaTheme="minorHAnsi" w:cstheme="minorBidi"/>
          <w:sz w:val="20"/>
          <w:szCs w:val="20"/>
          <w:vertAlign w:val="superscript"/>
          <w:lang w:val="es-AR" w:eastAsia="en-US"/>
        </w:rPr>
        <w:footnoteReference w:id="281"/>
      </w:r>
      <w:r w:rsidRPr="00E67349">
        <w:rPr>
          <w:rFonts w:eastAsiaTheme="minorHAnsi" w:cstheme="minorBidi"/>
          <w:sz w:val="20"/>
          <w:szCs w:val="20"/>
          <w:lang w:val="es-AR" w:eastAsia="en-US"/>
        </w:rPr>
        <w:t>. En ese sentido,</w:t>
      </w:r>
      <w:r w:rsidRPr="00E67349">
        <w:rPr>
          <w:rFonts w:eastAsia="Cambria" w:cstheme="minorBidi"/>
          <w:sz w:val="20"/>
          <w:szCs w:val="20"/>
          <w:lang w:val="es-AR" w:eastAsia="en-US"/>
        </w:rPr>
        <w:t xml:space="preserve"> </w:t>
      </w:r>
      <w:r w:rsidRPr="00E67349">
        <w:rPr>
          <w:rFonts w:eastAsiaTheme="minorHAnsi" w:cstheme="minorBidi"/>
          <w:sz w:val="20"/>
          <w:szCs w:val="20"/>
          <w:lang w:val="es-AR" w:eastAsia="en-US"/>
        </w:rPr>
        <w:t>no debe asumirse que fallas en medidas puntuales de investigación tengan un impacto negativo sobre el conjunto del proceso si, pese a ellas, la investigación tuvo un resultado efectivo en la determinación de los hechos</w:t>
      </w:r>
      <w:r w:rsidRPr="00E67349">
        <w:rPr>
          <w:rFonts w:eastAsiaTheme="minorHAnsi" w:cstheme="minorBidi"/>
          <w:sz w:val="20"/>
          <w:szCs w:val="20"/>
          <w:vertAlign w:val="superscript"/>
          <w:lang w:val="es-AR" w:eastAsia="en-US"/>
        </w:rPr>
        <w:footnoteReference w:id="282"/>
      </w:r>
      <w:r w:rsidRPr="00E67349">
        <w:rPr>
          <w:rFonts w:eastAsiaTheme="minorHAnsi" w:cstheme="minorBidi"/>
          <w:sz w:val="20"/>
          <w:szCs w:val="20"/>
          <w:lang w:val="es-AR" w:eastAsia="en-US"/>
        </w:rPr>
        <w:t xml:space="preserve">. </w:t>
      </w:r>
    </w:p>
    <w:p w14:paraId="44ED7184" w14:textId="77777777" w:rsidR="00E67349" w:rsidRPr="00E67349" w:rsidRDefault="00E67349" w:rsidP="000D4A1F">
      <w:pPr>
        <w:tabs>
          <w:tab w:val="left" w:pos="0"/>
        </w:tabs>
        <w:contextualSpacing/>
        <w:rPr>
          <w:rFonts w:eastAsiaTheme="minorHAnsi" w:cs="Times"/>
          <w:sz w:val="20"/>
          <w:szCs w:val="20"/>
          <w:lang w:val="es-AR" w:eastAsia="en-US"/>
        </w:rPr>
      </w:pPr>
    </w:p>
    <w:p w14:paraId="6428BB74" w14:textId="77777777" w:rsidR="00E67349" w:rsidRPr="00E67349" w:rsidRDefault="00E67349" w:rsidP="000D4A1F">
      <w:pPr>
        <w:numPr>
          <w:ilvl w:val="0"/>
          <w:numId w:val="2"/>
        </w:numPr>
        <w:tabs>
          <w:tab w:val="left" w:pos="567"/>
          <w:tab w:val="num" w:pos="1569"/>
          <w:tab w:val="num" w:pos="12305"/>
        </w:tabs>
        <w:ind w:left="0" w:firstLine="0"/>
        <w:rPr>
          <w:rFonts w:eastAsiaTheme="minorHAnsi" w:cstheme="minorBidi"/>
          <w:sz w:val="16"/>
          <w:szCs w:val="16"/>
          <w:lang w:val="es-AR" w:eastAsia="en-US"/>
        </w:rPr>
      </w:pPr>
      <w:r w:rsidRPr="00E67349">
        <w:rPr>
          <w:rFonts w:eastAsiaTheme="minorHAnsi" w:cstheme="minorBidi"/>
          <w:sz w:val="20"/>
          <w:szCs w:val="16"/>
          <w:lang w:val="es-AR" w:eastAsia="en-US"/>
        </w:rPr>
        <w:t xml:space="preserve">Por otra parte, la Corte recuerda que </w:t>
      </w:r>
      <w:r w:rsidRPr="00E67349">
        <w:rPr>
          <w:rFonts w:eastAsiaTheme="minorHAnsi" w:cstheme="minorBidi"/>
          <w:sz w:val="20"/>
          <w:szCs w:val="20"/>
          <w:lang w:val="es-AR" w:eastAsia="en-US"/>
        </w:rPr>
        <w:t xml:space="preserve">en cuanto al tratamiento del cadáver de la víctima, deben realizarse algunas diligencias mínimas e indispensables para la conservación de los elementos de prueba y evidencias que puedan contribuir al éxito de la investigación, tales como </w:t>
      </w:r>
      <w:r w:rsidRPr="00E67349">
        <w:rPr>
          <w:rFonts w:eastAsiaTheme="minorHAnsi" w:cstheme="minorBidi"/>
          <w:sz w:val="20"/>
          <w:szCs w:val="20"/>
          <w:lang w:val="es-AR" w:eastAsia="en-US"/>
        </w:rPr>
        <w:lastRenderedPageBreak/>
        <w:t>la autopsia</w:t>
      </w:r>
      <w:r w:rsidRPr="00E67349">
        <w:rPr>
          <w:rFonts w:eastAsiaTheme="minorHAnsi"/>
          <w:sz w:val="20"/>
          <w:szCs w:val="20"/>
          <w:vertAlign w:val="superscript"/>
          <w:lang w:val="es-AR" w:eastAsia="en-US"/>
        </w:rPr>
        <w:footnoteReference w:id="283"/>
      </w:r>
      <w:r w:rsidRPr="00E67349">
        <w:rPr>
          <w:rFonts w:eastAsiaTheme="minorHAnsi" w:cstheme="minorBidi"/>
          <w:sz w:val="20"/>
          <w:szCs w:val="20"/>
          <w:lang w:val="es-AR" w:eastAsia="en-US"/>
        </w:rPr>
        <w:t>. En este sentido, la Corte ha establecido que las autopsias y análisis de restos humanos deben realizarse en forma rigurosa, por profesionales competentes y empleando los procedimientos más apropiados</w:t>
      </w:r>
      <w:r w:rsidRPr="00E67349">
        <w:rPr>
          <w:rFonts w:eastAsiaTheme="minorHAnsi"/>
          <w:sz w:val="20"/>
          <w:szCs w:val="20"/>
          <w:vertAlign w:val="superscript"/>
          <w:lang w:val="es-AR" w:eastAsia="en-US"/>
        </w:rPr>
        <w:footnoteReference w:id="284"/>
      </w:r>
      <w:r w:rsidRPr="00E67349">
        <w:rPr>
          <w:rFonts w:eastAsiaTheme="minorHAnsi" w:cstheme="minorBidi"/>
          <w:sz w:val="20"/>
          <w:szCs w:val="20"/>
          <w:lang w:val="es-AR" w:eastAsia="en-US"/>
        </w:rPr>
        <w:t>.</w:t>
      </w:r>
    </w:p>
    <w:p w14:paraId="09AC3D91" w14:textId="77777777" w:rsidR="00E67349" w:rsidRPr="00E67349" w:rsidRDefault="00E67349" w:rsidP="000D4A1F">
      <w:pPr>
        <w:tabs>
          <w:tab w:val="left" w:pos="0"/>
        </w:tabs>
        <w:contextualSpacing/>
        <w:rPr>
          <w:rFonts w:eastAsiaTheme="minorHAnsi" w:cstheme="minorBidi"/>
          <w:sz w:val="16"/>
          <w:szCs w:val="16"/>
          <w:lang w:val="es-AR" w:eastAsia="en-US"/>
        </w:rPr>
      </w:pPr>
    </w:p>
    <w:p w14:paraId="2FC290C9" w14:textId="46D0128D" w:rsidR="00E67349" w:rsidRPr="00E67349" w:rsidRDefault="00E67349" w:rsidP="000D4A1F">
      <w:pPr>
        <w:numPr>
          <w:ilvl w:val="0"/>
          <w:numId w:val="2"/>
        </w:numPr>
        <w:tabs>
          <w:tab w:val="left" w:pos="567"/>
          <w:tab w:val="num" w:pos="1569"/>
          <w:tab w:val="num" w:pos="12305"/>
        </w:tabs>
        <w:ind w:left="0" w:firstLine="0"/>
        <w:rPr>
          <w:rFonts w:eastAsiaTheme="minorHAnsi" w:cstheme="minorBidi"/>
          <w:sz w:val="16"/>
          <w:szCs w:val="16"/>
          <w:lang w:val="es-AR" w:eastAsia="en-US"/>
        </w:rPr>
      </w:pPr>
      <w:r w:rsidRPr="00E67349">
        <w:rPr>
          <w:rFonts w:eastAsiaTheme="minorHAnsi" w:cstheme="minorBidi"/>
          <w:sz w:val="20"/>
          <w:szCs w:val="20"/>
          <w:lang w:val="es-AR" w:eastAsia="en-US"/>
        </w:rPr>
        <w:t xml:space="preserve">En el presente caso, la Corte </w:t>
      </w:r>
      <w:r w:rsidR="00B820DD">
        <w:rPr>
          <w:rFonts w:eastAsiaTheme="minorHAnsi" w:cstheme="minorBidi"/>
          <w:sz w:val="20"/>
          <w:szCs w:val="20"/>
          <w:lang w:val="es-AR" w:eastAsia="en-US"/>
        </w:rPr>
        <w:t>reitera</w:t>
      </w:r>
      <w:r w:rsidRPr="00E67349">
        <w:rPr>
          <w:rFonts w:eastAsiaTheme="minorHAnsi" w:cstheme="minorBidi"/>
          <w:sz w:val="20"/>
          <w:szCs w:val="20"/>
          <w:lang w:val="es-AR" w:eastAsia="en-US"/>
        </w:rPr>
        <w:t xml:space="preserve"> que el Estado </w:t>
      </w:r>
      <w:r w:rsidR="00B820DD">
        <w:rPr>
          <w:rFonts w:eastAsiaTheme="minorHAnsi" w:cstheme="minorBidi"/>
          <w:sz w:val="20"/>
          <w:szCs w:val="20"/>
          <w:lang w:val="es-AR" w:eastAsia="en-US"/>
        </w:rPr>
        <w:t>chileno</w:t>
      </w:r>
      <w:r w:rsidRPr="00E67349">
        <w:rPr>
          <w:rFonts w:eastAsiaTheme="minorHAnsi" w:cstheme="minorBidi"/>
          <w:sz w:val="20"/>
          <w:szCs w:val="20"/>
          <w:lang w:val="es-AR" w:eastAsia="en-US"/>
        </w:rPr>
        <w:t xml:space="preserve"> no reconoció su responsabilidad por la violación relativa a la debida diligencia, en consecuencia subsiste la controversia al respecto (</w:t>
      </w:r>
      <w:r w:rsidR="00062586" w:rsidRPr="00062586">
        <w:rPr>
          <w:rFonts w:eastAsiaTheme="minorHAnsi" w:cstheme="minorBidi"/>
          <w:i/>
          <w:sz w:val="20"/>
          <w:szCs w:val="20"/>
          <w:lang w:val="es-AR" w:eastAsia="en-US"/>
        </w:rPr>
        <w:t>supra</w:t>
      </w:r>
      <w:r w:rsidRPr="00E67349">
        <w:rPr>
          <w:rFonts w:eastAsiaTheme="minorHAnsi" w:cstheme="minorBidi"/>
          <w:sz w:val="20"/>
          <w:szCs w:val="20"/>
          <w:lang w:val="es-AR" w:eastAsia="en-US"/>
        </w:rPr>
        <w:t xml:space="preserve"> </w:t>
      </w:r>
      <w:proofErr w:type="spellStart"/>
      <w:r w:rsidRPr="00E67349">
        <w:rPr>
          <w:rFonts w:eastAsiaTheme="minorHAnsi" w:cstheme="minorBidi"/>
          <w:sz w:val="20"/>
          <w:szCs w:val="20"/>
          <w:lang w:val="es-AR" w:eastAsia="en-US"/>
        </w:rPr>
        <w:t>párr</w:t>
      </w:r>
      <w:r w:rsidR="0096292E">
        <w:rPr>
          <w:rFonts w:eastAsiaTheme="minorHAnsi" w:cstheme="minorBidi"/>
          <w:sz w:val="20"/>
          <w:szCs w:val="20"/>
          <w:lang w:val="es-AR" w:eastAsia="en-US"/>
        </w:rPr>
        <w:t>s</w:t>
      </w:r>
      <w:proofErr w:type="spellEnd"/>
      <w:r w:rsidRPr="00E67349">
        <w:rPr>
          <w:rFonts w:eastAsiaTheme="minorHAnsi" w:cstheme="minorBidi"/>
          <w:sz w:val="20"/>
          <w:szCs w:val="20"/>
          <w:lang w:val="es-AR" w:eastAsia="en-US"/>
        </w:rPr>
        <w:t xml:space="preserve">. </w:t>
      </w:r>
      <w:r w:rsidR="0096292E">
        <w:rPr>
          <w:rFonts w:eastAsiaTheme="minorHAnsi" w:cstheme="minorBidi"/>
          <w:sz w:val="20"/>
          <w:szCs w:val="20"/>
          <w:lang w:val="es-AR" w:eastAsia="en-US"/>
        </w:rPr>
        <w:t xml:space="preserve">30 y </w:t>
      </w:r>
      <w:r w:rsidR="00A42EDD">
        <w:rPr>
          <w:rFonts w:eastAsiaTheme="minorHAnsi" w:cstheme="minorBidi"/>
          <w:sz w:val="20"/>
          <w:szCs w:val="20"/>
          <w:lang w:val="es-AR" w:eastAsia="en-US"/>
        </w:rPr>
        <w:t>181</w:t>
      </w:r>
      <w:r w:rsidR="00A42EDD" w:rsidRPr="00E67349">
        <w:rPr>
          <w:rFonts w:eastAsiaTheme="minorHAnsi" w:cstheme="minorBidi"/>
          <w:sz w:val="20"/>
          <w:szCs w:val="20"/>
          <w:lang w:val="es-AR" w:eastAsia="en-US"/>
        </w:rPr>
        <w:t xml:space="preserve">). </w:t>
      </w:r>
    </w:p>
    <w:p w14:paraId="56392FD5" w14:textId="77777777" w:rsidR="00E67349" w:rsidRPr="00E67349" w:rsidRDefault="00E67349" w:rsidP="000D4A1F">
      <w:pPr>
        <w:tabs>
          <w:tab w:val="left" w:pos="0"/>
        </w:tabs>
        <w:contextualSpacing/>
        <w:rPr>
          <w:rFonts w:eastAsiaTheme="minorHAnsi" w:cstheme="minorBidi"/>
          <w:sz w:val="16"/>
          <w:szCs w:val="16"/>
          <w:lang w:val="es-AR" w:eastAsia="en-US"/>
        </w:rPr>
      </w:pPr>
    </w:p>
    <w:p w14:paraId="6AECDCC9" w14:textId="1139EFB9" w:rsidR="00E67349" w:rsidRPr="00383565" w:rsidRDefault="00E67349" w:rsidP="000D4A1F">
      <w:pPr>
        <w:numPr>
          <w:ilvl w:val="0"/>
          <w:numId w:val="2"/>
        </w:numPr>
        <w:tabs>
          <w:tab w:val="left" w:pos="567"/>
          <w:tab w:val="num" w:pos="1569"/>
          <w:tab w:val="num" w:pos="12305"/>
        </w:tabs>
        <w:ind w:left="0" w:firstLine="0"/>
        <w:rPr>
          <w:rFonts w:eastAsiaTheme="minorHAnsi" w:cstheme="minorBidi"/>
          <w:sz w:val="16"/>
          <w:szCs w:val="16"/>
          <w:lang w:val="es-AR" w:eastAsia="en-US"/>
        </w:rPr>
      </w:pPr>
      <w:r w:rsidRPr="00383565">
        <w:rPr>
          <w:rFonts w:eastAsiaTheme="minorHAnsi" w:cstheme="minorBidi"/>
          <w:sz w:val="20"/>
          <w:szCs w:val="20"/>
          <w:lang w:val="es-AR" w:eastAsia="en-US"/>
        </w:rPr>
        <w:t xml:space="preserve">Este Tribunal advierte que el Estado chileno, </w:t>
      </w:r>
      <w:r w:rsidR="00B820DD">
        <w:rPr>
          <w:rFonts w:eastAsiaTheme="minorHAnsi" w:cstheme="minorBidi"/>
          <w:sz w:val="20"/>
          <w:szCs w:val="20"/>
          <w:lang w:val="es-AR" w:eastAsia="en-US"/>
        </w:rPr>
        <w:t>realizó</w:t>
      </w:r>
      <w:r w:rsidRPr="00383565">
        <w:rPr>
          <w:rFonts w:eastAsiaTheme="minorHAnsi" w:cstheme="minorBidi"/>
          <w:sz w:val="20"/>
          <w:szCs w:val="20"/>
          <w:lang w:val="es-AR" w:eastAsia="en-US"/>
        </w:rPr>
        <w:t xml:space="preserve"> una serie de diligencias probatorias en la investigación de los hechos del presente caso, tales como: a) la solicitud de la ficha clínica del señor Poblete Vilches al Hospital Sotero del Río; b) tomas de declaración de algunos querellados y familiares del señor Poblete</w:t>
      </w:r>
      <w:r w:rsidRPr="00383565">
        <w:rPr>
          <w:rFonts w:eastAsiaTheme="minorHAnsi" w:cs="Times"/>
          <w:sz w:val="20"/>
          <w:szCs w:val="20"/>
          <w:lang w:val="es-AR" w:eastAsia="en-US"/>
        </w:rPr>
        <w:t>; c) p</w:t>
      </w:r>
      <w:r w:rsidRPr="00383565">
        <w:rPr>
          <w:rFonts w:eastAsiaTheme="minorHAnsi" w:cstheme="minorBidi"/>
          <w:sz w:val="20"/>
          <w:szCs w:val="20"/>
          <w:lang w:val="es-AR" w:eastAsia="en-US"/>
        </w:rPr>
        <w:t xml:space="preserve">ericias médico-legales, y d) despachó órdenes de arresto en contra del médico Luis Carvajal Freire. </w:t>
      </w:r>
    </w:p>
    <w:p w14:paraId="1BDF0621" w14:textId="77777777" w:rsidR="00E67349" w:rsidRPr="00E67349" w:rsidRDefault="00E67349" w:rsidP="000D4A1F">
      <w:pPr>
        <w:tabs>
          <w:tab w:val="left" w:pos="0"/>
        </w:tabs>
        <w:contextualSpacing/>
        <w:rPr>
          <w:rFonts w:eastAsiaTheme="minorHAnsi" w:cstheme="minorBidi"/>
          <w:sz w:val="16"/>
          <w:szCs w:val="16"/>
          <w:lang w:val="es-AR" w:eastAsia="en-US"/>
        </w:rPr>
      </w:pPr>
    </w:p>
    <w:p w14:paraId="55FAE43F" w14:textId="78BFC956" w:rsidR="00E67349" w:rsidRPr="00F24D93" w:rsidRDefault="00E67349" w:rsidP="000D4A1F">
      <w:pPr>
        <w:numPr>
          <w:ilvl w:val="0"/>
          <w:numId w:val="2"/>
        </w:numPr>
        <w:tabs>
          <w:tab w:val="left" w:pos="567"/>
          <w:tab w:val="num" w:pos="1569"/>
          <w:tab w:val="num" w:pos="12305"/>
        </w:tabs>
        <w:ind w:left="0" w:firstLine="0"/>
        <w:rPr>
          <w:rFonts w:eastAsiaTheme="minorHAnsi" w:cs="Times"/>
          <w:sz w:val="20"/>
          <w:szCs w:val="20"/>
          <w:lang w:val="es-AR" w:eastAsia="en-US"/>
        </w:rPr>
      </w:pPr>
      <w:r w:rsidRPr="00E67349">
        <w:rPr>
          <w:rFonts w:eastAsiaTheme="minorHAnsi" w:cstheme="minorBidi"/>
          <w:sz w:val="20"/>
          <w:szCs w:val="20"/>
          <w:lang w:val="es-AR" w:eastAsia="en-US"/>
        </w:rPr>
        <w:t>Sin embargo, la Corte constata que nunca fueron realizadas</w:t>
      </w:r>
      <w:r w:rsidR="005A39DD" w:rsidRPr="005A39DD">
        <w:rPr>
          <w:rFonts w:eastAsiaTheme="minorHAnsi" w:cstheme="minorBidi"/>
          <w:sz w:val="20"/>
          <w:szCs w:val="20"/>
          <w:lang w:val="es-AR" w:eastAsia="en-US"/>
        </w:rPr>
        <w:t xml:space="preserve"> </w:t>
      </w:r>
      <w:r w:rsidR="005A39DD" w:rsidRPr="00E67349">
        <w:rPr>
          <w:rFonts w:eastAsiaTheme="minorHAnsi" w:cstheme="minorBidi"/>
          <w:sz w:val="20"/>
          <w:szCs w:val="20"/>
          <w:lang w:val="es-AR" w:eastAsia="en-US"/>
        </w:rPr>
        <w:t>diversas diligencias probatorias</w:t>
      </w:r>
      <w:r w:rsidR="005A39DD">
        <w:rPr>
          <w:rFonts w:eastAsiaTheme="minorHAnsi" w:cstheme="minorBidi"/>
          <w:sz w:val="20"/>
          <w:szCs w:val="20"/>
          <w:lang w:val="es-AR" w:eastAsia="en-US"/>
        </w:rPr>
        <w:t xml:space="preserve"> o actuaciones judiciales</w:t>
      </w:r>
      <w:r w:rsidRPr="00E67349">
        <w:rPr>
          <w:rFonts w:eastAsiaTheme="minorHAnsi" w:cstheme="minorBidi"/>
          <w:sz w:val="20"/>
          <w:szCs w:val="20"/>
          <w:lang w:val="es-AR" w:eastAsia="en-US"/>
        </w:rPr>
        <w:t xml:space="preserve">, a saber: a) la exhumación del cadáver del señor Poblete Vilches, con el fin de realizar una autopsia que determine la causa real de su muerte, solicitada el 12 de noviembre de 2001 y ordenada el 13 de febrero de </w:t>
      </w:r>
      <w:r w:rsidRPr="007E5CD5">
        <w:rPr>
          <w:rFonts w:eastAsiaTheme="minorHAnsi" w:cstheme="minorBidi"/>
          <w:sz w:val="20"/>
          <w:szCs w:val="20"/>
          <w:lang w:val="es-AR" w:eastAsia="en-US"/>
        </w:rPr>
        <w:t>20</w:t>
      </w:r>
      <w:r w:rsidR="008F36CB" w:rsidRPr="007E5CD5">
        <w:rPr>
          <w:rFonts w:eastAsiaTheme="minorHAnsi" w:cstheme="minorBidi"/>
          <w:sz w:val="20"/>
          <w:szCs w:val="20"/>
          <w:lang w:val="es-AR" w:eastAsia="en-US"/>
        </w:rPr>
        <w:t>0</w:t>
      </w:r>
      <w:r w:rsidRPr="007E5CD5">
        <w:rPr>
          <w:rFonts w:eastAsiaTheme="minorHAnsi" w:cstheme="minorBidi"/>
          <w:sz w:val="20"/>
          <w:szCs w:val="20"/>
          <w:lang w:val="es-AR" w:eastAsia="en-US"/>
        </w:rPr>
        <w:t xml:space="preserve">2 </w:t>
      </w:r>
      <w:r w:rsidRPr="00B1523A">
        <w:rPr>
          <w:rFonts w:eastAsiaTheme="minorHAnsi" w:cstheme="minorBidi"/>
          <w:sz w:val="20"/>
          <w:szCs w:val="20"/>
          <w:lang w:val="es-AR" w:eastAsia="en-US"/>
        </w:rPr>
        <w:t>(</w:t>
      </w:r>
      <w:r w:rsidR="008F36CB" w:rsidRPr="00B1523A">
        <w:rPr>
          <w:rFonts w:eastAsiaTheme="minorHAnsi" w:cstheme="minorBidi"/>
          <w:i/>
          <w:sz w:val="20"/>
          <w:szCs w:val="20"/>
          <w:lang w:val="es-AR" w:eastAsia="en-US"/>
        </w:rPr>
        <w:t>supra</w:t>
      </w:r>
      <w:r w:rsidR="008F36CB" w:rsidRPr="00B1523A">
        <w:rPr>
          <w:rFonts w:eastAsiaTheme="minorHAnsi" w:cstheme="minorBidi"/>
          <w:sz w:val="20"/>
          <w:szCs w:val="20"/>
          <w:lang w:val="es-AR" w:eastAsia="en-US"/>
        </w:rPr>
        <w:t xml:space="preserve"> párr. 60)</w:t>
      </w:r>
      <w:r w:rsidRPr="00E67349">
        <w:rPr>
          <w:rFonts w:eastAsiaTheme="minorHAnsi" w:cstheme="minorBidi"/>
          <w:sz w:val="20"/>
          <w:szCs w:val="20"/>
          <w:lang w:val="es-AR" w:eastAsia="en-US"/>
        </w:rPr>
        <w:t>, y solicitada nuevamente el 7 de octubre de 2005 y el 29 de enero de 2007 por los familiares del señor Poblete</w:t>
      </w:r>
      <w:r w:rsidR="00A42EDD">
        <w:rPr>
          <w:rFonts w:eastAsiaTheme="minorHAnsi" w:cstheme="minorBidi"/>
          <w:sz w:val="20"/>
          <w:szCs w:val="20"/>
          <w:lang w:val="es-AR" w:eastAsia="en-US"/>
        </w:rPr>
        <w:t>;</w:t>
      </w:r>
      <w:r w:rsidR="00A42EDD" w:rsidRPr="00E67349">
        <w:rPr>
          <w:rFonts w:eastAsiaTheme="minorHAnsi" w:cstheme="minorBidi"/>
          <w:sz w:val="20"/>
          <w:szCs w:val="20"/>
          <w:lang w:val="es-AR" w:eastAsia="en-US"/>
        </w:rPr>
        <w:t xml:space="preserve"> </w:t>
      </w:r>
      <w:r w:rsidRPr="00E67349">
        <w:rPr>
          <w:rFonts w:eastAsiaTheme="minorHAnsi" w:cstheme="minorBidi"/>
          <w:sz w:val="20"/>
          <w:szCs w:val="20"/>
          <w:lang w:val="es-AR" w:eastAsia="en-US"/>
        </w:rPr>
        <w:t xml:space="preserve">b) </w:t>
      </w:r>
      <w:r w:rsidR="00CD5738" w:rsidRPr="00152F4C">
        <w:rPr>
          <w:rFonts w:eastAsiaTheme="minorHAnsi" w:cstheme="minorBidi"/>
          <w:sz w:val="20"/>
          <w:szCs w:val="20"/>
          <w:lang w:val="es-AR" w:eastAsia="en-US"/>
        </w:rPr>
        <w:t>la causa penal por el fallecimiento del señor Poblete Vilches fue sobreseída en dos ocasiones en un período de aproximadamente 1 año y 6 meses.</w:t>
      </w:r>
      <w:r w:rsidR="00CD5738" w:rsidRPr="00E67349">
        <w:rPr>
          <w:rFonts w:eastAsiaTheme="minorHAnsi" w:cstheme="minorBidi"/>
          <w:sz w:val="20"/>
          <w:szCs w:val="20"/>
          <w:lang w:val="es-AR" w:eastAsia="en-US"/>
        </w:rPr>
        <w:t xml:space="preserve"> Aunado a ello, desde la segunda reapertura de la causa el 4 de agosto de 2008, no se cuenta con evidencia de actuaciones por parte de las autoridades judiciales en el expediente encaminadas a investigaciones los hechos ocurridos en el presente caso, y a juzgar y sancionar a los responsables</w:t>
      </w:r>
      <w:r w:rsidR="00474B8B" w:rsidRPr="00E67349">
        <w:rPr>
          <w:rFonts w:eastAsiaTheme="minorHAnsi"/>
          <w:sz w:val="20"/>
          <w:szCs w:val="20"/>
          <w:vertAlign w:val="superscript"/>
          <w:lang w:val="es-AR" w:eastAsia="en-US"/>
        </w:rPr>
        <w:footnoteReference w:id="285"/>
      </w:r>
      <w:r w:rsidR="00474B8B">
        <w:rPr>
          <w:rFonts w:eastAsiaTheme="minorHAnsi" w:cstheme="minorBidi"/>
          <w:sz w:val="20"/>
          <w:szCs w:val="20"/>
          <w:lang w:val="es-AR" w:eastAsia="en-US"/>
        </w:rPr>
        <w:t>;</w:t>
      </w:r>
      <w:r w:rsidR="00474B8B" w:rsidRPr="00E67349">
        <w:rPr>
          <w:rFonts w:eastAsiaTheme="minorHAnsi" w:cstheme="minorBidi"/>
          <w:sz w:val="20"/>
          <w:szCs w:val="20"/>
          <w:lang w:val="es-AR" w:eastAsia="en-US"/>
        </w:rPr>
        <w:t xml:space="preserve"> </w:t>
      </w:r>
      <w:r w:rsidRPr="00152F4C">
        <w:rPr>
          <w:rFonts w:eastAsiaTheme="minorHAnsi" w:cstheme="minorBidi"/>
          <w:sz w:val="20"/>
          <w:szCs w:val="20"/>
          <w:lang w:val="es-AR" w:eastAsia="en-US"/>
        </w:rPr>
        <w:t xml:space="preserve">c) </w:t>
      </w:r>
      <w:r w:rsidR="00CD5738" w:rsidRPr="00E67349">
        <w:rPr>
          <w:rFonts w:eastAsiaTheme="minorHAnsi" w:cstheme="minorBidi"/>
          <w:sz w:val="20"/>
          <w:szCs w:val="20"/>
          <w:lang w:val="es-AR" w:eastAsia="en-US"/>
        </w:rPr>
        <w:t xml:space="preserve">el careo entre el señor Vinicio Poblete Tapia y la señora </w:t>
      </w:r>
      <w:proofErr w:type="spellStart"/>
      <w:r w:rsidR="00CD5738" w:rsidRPr="00E67349">
        <w:rPr>
          <w:rFonts w:eastAsiaTheme="minorHAnsi" w:cstheme="minorBidi"/>
          <w:sz w:val="20"/>
          <w:szCs w:val="20"/>
          <w:lang w:val="es-AR" w:eastAsia="en-US"/>
        </w:rPr>
        <w:t>Cesia</w:t>
      </w:r>
      <w:proofErr w:type="spellEnd"/>
      <w:r w:rsidR="00CD5738" w:rsidRPr="00E67349">
        <w:rPr>
          <w:rFonts w:eastAsiaTheme="minorHAnsi" w:cstheme="minorBidi"/>
          <w:sz w:val="20"/>
          <w:szCs w:val="20"/>
          <w:lang w:val="es-AR" w:eastAsia="en-US"/>
        </w:rPr>
        <w:t xml:space="preserve"> </w:t>
      </w:r>
      <w:proofErr w:type="spellStart"/>
      <w:r w:rsidR="00CD5738" w:rsidRPr="00E67349">
        <w:rPr>
          <w:rFonts w:eastAsiaTheme="minorHAnsi" w:cstheme="minorBidi"/>
          <w:sz w:val="20"/>
          <w:szCs w:val="20"/>
          <w:lang w:val="es-AR" w:eastAsia="en-US"/>
        </w:rPr>
        <w:t>Leyla</w:t>
      </w:r>
      <w:proofErr w:type="spellEnd"/>
      <w:r w:rsidR="00CD5738" w:rsidRPr="00E67349">
        <w:rPr>
          <w:rFonts w:eastAsiaTheme="minorHAnsi" w:cstheme="minorBidi"/>
          <w:sz w:val="20"/>
          <w:szCs w:val="20"/>
          <w:lang w:val="es-AR" w:eastAsia="en-US"/>
        </w:rPr>
        <w:t xml:space="preserve"> Poblete Tapia, con la doctora María Carolina Chacón Fernández, solicitada por el primero el 21 de marzo de 2006</w:t>
      </w:r>
      <w:r w:rsidRPr="00152F4C">
        <w:rPr>
          <w:rFonts w:eastAsiaTheme="minorHAnsi" w:cstheme="minorBidi"/>
          <w:sz w:val="20"/>
          <w:szCs w:val="20"/>
          <w:lang w:val="es-AR" w:eastAsia="en-US"/>
        </w:rPr>
        <w:t>, y d)</w:t>
      </w:r>
      <w:r w:rsidR="00CD5738" w:rsidRPr="00CD5738">
        <w:rPr>
          <w:rFonts w:eastAsiaTheme="minorHAnsi" w:cstheme="minorBidi"/>
          <w:sz w:val="20"/>
          <w:szCs w:val="20"/>
          <w:lang w:val="es-AR" w:eastAsia="en-US"/>
        </w:rPr>
        <w:t xml:space="preserve"> </w:t>
      </w:r>
      <w:r w:rsidR="00CD5738" w:rsidRPr="00152F4C">
        <w:rPr>
          <w:rFonts w:eastAsiaTheme="minorHAnsi" w:cstheme="minorBidi"/>
          <w:sz w:val="20"/>
          <w:szCs w:val="20"/>
          <w:lang w:val="es-AR" w:eastAsia="en-US"/>
        </w:rPr>
        <w:t xml:space="preserve">no se practicó el arresto del doctor Luis Carvajal Freire. Lo anterior pese a que los días </w:t>
      </w:r>
      <w:r w:rsidR="00474B8B">
        <w:rPr>
          <w:rFonts w:eastAsiaTheme="minorHAnsi" w:cstheme="minorBidi"/>
          <w:sz w:val="20"/>
          <w:szCs w:val="20"/>
          <w:lang w:val="es-AR" w:eastAsia="en-US"/>
        </w:rPr>
        <w:t>2</w:t>
      </w:r>
      <w:r w:rsidR="00CD5738" w:rsidRPr="00152F4C">
        <w:rPr>
          <w:rFonts w:eastAsiaTheme="minorHAnsi" w:cstheme="minorBidi"/>
          <w:sz w:val="20"/>
          <w:szCs w:val="20"/>
          <w:lang w:val="es-AR" w:eastAsia="en-US"/>
        </w:rPr>
        <w:t>8 de febrero de 2004, 20 de diciembre de 2004 y 31 de octubre de 2005 el Primer Juzgado Civil despachó las órdenes de arresto en su contra, el 6 de abril de 2004 el 19</w:t>
      </w:r>
      <w:r w:rsidR="00CD5738" w:rsidRPr="00152F4C">
        <w:rPr>
          <w:rFonts w:eastAsiaTheme="minorHAnsi" w:cstheme="minorBidi"/>
          <w:sz w:val="18"/>
          <w:szCs w:val="20"/>
          <w:lang w:val="es-AR" w:eastAsia="en-US"/>
        </w:rPr>
        <w:t>º</w:t>
      </w:r>
      <w:r w:rsidR="00CD5738" w:rsidRPr="00152F4C">
        <w:rPr>
          <w:rFonts w:eastAsiaTheme="minorHAnsi" w:cstheme="minorBidi"/>
          <w:sz w:val="20"/>
          <w:szCs w:val="20"/>
          <w:lang w:val="es-AR" w:eastAsia="en-US"/>
        </w:rPr>
        <w:t xml:space="preserve"> Juzgado del Crimen ordenó el arresto en su contra por el delito de desobediencia a las órdenes del Primer Juzgado Civil de Puente Alto, el</w:t>
      </w:r>
      <w:r w:rsidR="00CD5738" w:rsidRPr="00152F4C">
        <w:rPr>
          <w:rFonts w:eastAsiaTheme="minorHAnsi" w:cstheme="minorBidi"/>
          <w:sz w:val="16"/>
          <w:szCs w:val="16"/>
          <w:lang w:val="es-AR" w:eastAsia="en-US"/>
        </w:rPr>
        <w:t xml:space="preserve"> </w:t>
      </w:r>
      <w:r w:rsidR="00CD5738" w:rsidRPr="00152F4C">
        <w:rPr>
          <w:rFonts w:eastAsiaTheme="minorHAnsi" w:cstheme="minorBidi"/>
          <w:sz w:val="20"/>
          <w:szCs w:val="20"/>
          <w:lang w:val="es-AR" w:eastAsia="en-US"/>
        </w:rPr>
        <w:t>8 de enero de 2005 el 19</w:t>
      </w:r>
      <w:r w:rsidR="00CD5738" w:rsidRPr="00152F4C">
        <w:rPr>
          <w:rFonts w:eastAsiaTheme="minorHAnsi" w:cstheme="minorBidi"/>
          <w:sz w:val="18"/>
          <w:szCs w:val="20"/>
          <w:lang w:val="es-AR" w:eastAsia="en-US"/>
        </w:rPr>
        <w:t>º</w:t>
      </w:r>
      <w:r w:rsidR="00CD5738" w:rsidRPr="00152F4C">
        <w:rPr>
          <w:rFonts w:eastAsiaTheme="minorHAnsi" w:cstheme="minorBidi"/>
          <w:sz w:val="20"/>
          <w:szCs w:val="20"/>
          <w:lang w:val="es-AR" w:eastAsia="en-US"/>
        </w:rPr>
        <w:t xml:space="preserve"> Juzgado del Crimen ordenó su arresto por el cuasidelito de homicidio, y el 23 de mayo de 2007 el Primer Juzgado Civil comprobó que el doctor Luis Carvajal Freire continuaba trabajando en el Hospital </w:t>
      </w:r>
      <w:proofErr w:type="spellStart"/>
      <w:r w:rsidR="00CD5738" w:rsidRPr="00152F4C">
        <w:rPr>
          <w:rFonts w:eastAsiaTheme="minorHAnsi" w:cstheme="minorBidi"/>
          <w:sz w:val="20"/>
          <w:szCs w:val="20"/>
          <w:lang w:val="es-AR" w:eastAsia="en-US"/>
        </w:rPr>
        <w:t>Sótero</w:t>
      </w:r>
      <w:proofErr w:type="spellEnd"/>
      <w:r w:rsidR="00CD5738" w:rsidRPr="00152F4C">
        <w:rPr>
          <w:rFonts w:eastAsiaTheme="minorHAnsi" w:cstheme="minorBidi"/>
          <w:sz w:val="20"/>
          <w:szCs w:val="20"/>
          <w:lang w:val="es-AR" w:eastAsia="en-US"/>
        </w:rPr>
        <w:t xml:space="preserve"> del Río</w:t>
      </w:r>
      <w:r w:rsidRPr="00E67349">
        <w:rPr>
          <w:rFonts w:eastAsiaTheme="minorHAnsi" w:cstheme="minorBidi"/>
          <w:sz w:val="20"/>
          <w:szCs w:val="20"/>
          <w:lang w:val="es-AR" w:eastAsia="en-US"/>
        </w:rPr>
        <w:t>.</w:t>
      </w:r>
    </w:p>
    <w:p w14:paraId="151330F0" w14:textId="77777777" w:rsidR="005326B4" w:rsidRPr="00F24D93" w:rsidRDefault="005326B4" w:rsidP="0059117C">
      <w:pPr>
        <w:tabs>
          <w:tab w:val="left" w:pos="567"/>
        </w:tabs>
        <w:rPr>
          <w:rFonts w:eastAsiaTheme="minorHAnsi" w:cs="Times"/>
          <w:sz w:val="20"/>
          <w:szCs w:val="20"/>
          <w:lang w:val="es-AR" w:eastAsia="en-US"/>
        </w:rPr>
      </w:pPr>
    </w:p>
    <w:p w14:paraId="1C4917D2" w14:textId="1873590B" w:rsidR="005326B4" w:rsidRDefault="005326B4" w:rsidP="0059117C">
      <w:pPr>
        <w:numPr>
          <w:ilvl w:val="0"/>
          <w:numId w:val="2"/>
        </w:numPr>
        <w:tabs>
          <w:tab w:val="left" w:pos="567"/>
          <w:tab w:val="num" w:pos="12305"/>
        </w:tabs>
        <w:ind w:left="0" w:firstLine="0"/>
        <w:rPr>
          <w:rFonts w:eastAsiaTheme="minorHAnsi" w:cs="Times"/>
          <w:sz w:val="20"/>
          <w:szCs w:val="20"/>
          <w:lang w:val="es-AR" w:eastAsia="en-US"/>
        </w:rPr>
      </w:pPr>
      <w:r>
        <w:rPr>
          <w:rFonts w:eastAsiaTheme="minorHAnsi" w:cs="Times"/>
          <w:sz w:val="20"/>
          <w:szCs w:val="20"/>
          <w:lang w:val="es-AR" w:eastAsia="en-US"/>
        </w:rPr>
        <w:t xml:space="preserve">Respecto a las omisiones descritas en el párrafo anterior, esta Corte enfatiza </w:t>
      </w:r>
      <w:r w:rsidRPr="005326B4">
        <w:rPr>
          <w:rFonts w:eastAsiaTheme="minorHAnsi" w:cs="Times"/>
          <w:sz w:val="20"/>
          <w:szCs w:val="20"/>
          <w:lang w:val="es-AR" w:eastAsia="en-US"/>
        </w:rPr>
        <w:t xml:space="preserve">que </w:t>
      </w:r>
      <w:r>
        <w:rPr>
          <w:rFonts w:eastAsiaTheme="minorHAnsi" w:cs="Times"/>
          <w:sz w:val="20"/>
          <w:szCs w:val="20"/>
          <w:lang w:val="es-AR" w:eastAsia="en-US"/>
        </w:rPr>
        <w:t xml:space="preserve">las mismas </w:t>
      </w:r>
      <w:r w:rsidRPr="005326B4">
        <w:rPr>
          <w:rFonts w:eastAsiaTheme="minorHAnsi" w:cs="Times"/>
          <w:sz w:val="20"/>
          <w:szCs w:val="20"/>
          <w:lang w:val="es-AR" w:eastAsia="en-US"/>
        </w:rPr>
        <w:t>revisten</w:t>
      </w:r>
      <w:r>
        <w:rPr>
          <w:rFonts w:eastAsiaTheme="minorHAnsi" w:cs="Times"/>
          <w:sz w:val="20"/>
          <w:szCs w:val="20"/>
          <w:lang w:val="es-AR" w:eastAsia="en-US"/>
        </w:rPr>
        <w:t xml:space="preserve"> </w:t>
      </w:r>
      <w:r w:rsidRPr="00F24D93">
        <w:rPr>
          <w:rFonts w:eastAsiaTheme="minorHAnsi" w:cs="Times"/>
          <w:sz w:val="20"/>
          <w:szCs w:val="20"/>
          <w:lang w:val="es-AR" w:eastAsia="en-US"/>
        </w:rPr>
        <w:t>tal importancia para la averiguación de la verdad jurídica puesto que normalmente eran idóneas</w:t>
      </w:r>
      <w:r w:rsidR="00940884">
        <w:rPr>
          <w:rFonts w:eastAsiaTheme="minorHAnsi" w:cs="Times"/>
          <w:sz w:val="20"/>
          <w:szCs w:val="20"/>
          <w:lang w:val="es-AR" w:eastAsia="en-US"/>
        </w:rPr>
        <w:t xml:space="preserve"> </w:t>
      </w:r>
      <w:r w:rsidRPr="00F24D93">
        <w:rPr>
          <w:rFonts w:eastAsiaTheme="minorHAnsi" w:cs="Times"/>
          <w:sz w:val="20"/>
          <w:szCs w:val="20"/>
          <w:lang w:val="es-AR" w:eastAsia="en-US"/>
        </w:rPr>
        <w:t xml:space="preserve">para esclarecer </w:t>
      </w:r>
      <w:r>
        <w:rPr>
          <w:rFonts w:eastAsiaTheme="minorHAnsi" w:cs="Times"/>
          <w:sz w:val="20"/>
          <w:szCs w:val="20"/>
          <w:lang w:val="es-AR" w:eastAsia="en-US"/>
        </w:rPr>
        <w:t>los hechos ocurridos en el presente caso e</w:t>
      </w:r>
      <w:r w:rsidR="00B820DD">
        <w:rPr>
          <w:rFonts w:eastAsiaTheme="minorHAnsi" w:cs="Times"/>
          <w:sz w:val="20"/>
          <w:szCs w:val="20"/>
          <w:lang w:val="es-AR" w:eastAsia="en-US"/>
        </w:rPr>
        <w:t xml:space="preserve"> identificar </w:t>
      </w:r>
      <w:r w:rsidR="00B820DD">
        <w:rPr>
          <w:rFonts w:eastAsiaTheme="minorHAnsi" w:cs="Times"/>
          <w:sz w:val="20"/>
          <w:szCs w:val="20"/>
          <w:lang w:val="es-AR" w:eastAsia="en-US"/>
        </w:rPr>
        <w:lastRenderedPageBreak/>
        <w:t>las responsabilidades correspondientes</w:t>
      </w:r>
      <w:r>
        <w:rPr>
          <w:rFonts w:eastAsiaTheme="minorHAnsi" w:cs="Times"/>
          <w:sz w:val="20"/>
          <w:szCs w:val="20"/>
          <w:lang w:val="es-AR" w:eastAsia="en-US"/>
        </w:rPr>
        <w:t>, todo lo cual ha provocado una situación de impunidad</w:t>
      </w:r>
      <w:r>
        <w:rPr>
          <w:rStyle w:val="FootnoteReference"/>
          <w:rFonts w:eastAsiaTheme="minorHAnsi" w:cs="Times"/>
          <w:sz w:val="20"/>
          <w:szCs w:val="20"/>
          <w:lang w:val="es-AR" w:eastAsia="en-US"/>
        </w:rPr>
        <w:footnoteReference w:id="286"/>
      </w:r>
      <w:r>
        <w:rPr>
          <w:rFonts w:eastAsiaTheme="minorHAnsi" w:cs="Times"/>
          <w:sz w:val="20"/>
          <w:szCs w:val="20"/>
          <w:lang w:val="es-AR" w:eastAsia="en-US"/>
        </w:rPr>
        <w:t>.</w:t>
      </w:r>
    </w:p>
    <w:p w14:paraId="3B238258" w14:textId="77777777" w:rsidR="008F1192" w:rsidRDefault="008F1192" w:rsidP="000D4A1F">
      <w:pPr>
        <w:tabs>
          <w:tab w:val="left" w:pos="567"/>
          <w:tab w:val="num" w:pos="12305"/>
        </w:tabs>
        <w:rPr>
          <w:rFonts w:eastAsiaTheme="minorHAnsi" w:cstheme="minorBidi"/>
          <w:sz w:val="20"/>
          <w:szCs w:val="20"/>
          <w:lang w:eastAsia="en-US"/>
        </w:rPr>
      </w:pPr>
    </w:p>
    <w:p w14:paraId="5C4C4681" w14:textId="766EA166" w:rsidR="00A6246E" w:rsidRPr="00A6246E" w:rsidRDefault="00840E52" w:rsidP="0059117C">
      <w:pPr>
        <w:numPr>
          <w:ilvl w:val="0"/>
          <w:numId w:val="2"/>
        </w:numPr>
        <w:tabs>
          <w:tab w:val="left" w:pos="567"/>
          <w:tab w:val="num" w:pos="12305"/>
        </w:tabs>
        <w:ind w:left="0" w:firstLine="0"/>
        <w:rPr>
          <w:rFonts w:eastAsiaTheme="minorHAnsi" w:cs="Verdana"/>
          <w:color w:val="000000"/>
          <w:sz w:val="20"/>
          <w:szCs w:val="20"/>
          <w:lang w:eastAsia="en-US"/>
        </w:rPr>
      </w:pPr>
      <w:r>
        <w:rPr>
          <w:rFonts w:eastAsiaTheme="minorHAnsi" w:cs="Verdana"/>
          <w:color w:val="000000"/>
          <w:sz w:val="20"/>
          <w:szCs w:val="20"/>
          <w:lang w:eastAsia="en-US"/>
        </w:rPr>
        <w:t>En vista de ello,</w:t>
      </w:r>
      <w:r w:rsidR="00A6246E" w:rsidRPr="00A6246E">
        <w:rPr>
          <w:rFonts w:eastAsiaTheme="minorHAnsi" w:cs="Verdana"/>
          <w:color w:val="000000"/>
          <w:sz w:val="20"/>
          <w:szCs w:val="20"/>
          <w:lang w:eastAsia="en-US"/>
        </w:rPr>
        <w:t xml:space="preserve"> la Corte considera que, en el presente caso, las falencias, retrasos y omisiones en la investigación penal demuestran que las autoridades estatales no actuaron con la debida diligencia ni con arreglo a las obligaciones de investigar y de cumplir con una tutela judicial efectiva dentro de un plazo razonabl</w:t>
      </w:r>
      <w:r w:rsidR="00A6246E">
        <w:rPr>
          <w:rFonts w:eastAsiaTheme="minorHAnsi" w:cs="Verdana"/>
          <w:color w:val="000000"/>
          <w:sz w:val="20"/>
          <w:szCs w:val="20"/>
          <w:lang w:eastAsia="en-US"/>
        </w:rPr>
        <w:t>e, en función de garantizar el esclarecimiento de los hechos y determinación de las respectivas responsabilidades</w:t>
      </w:r>
      <w:r>
        <w:rPr>
          <w:rFonts w:eastAsiaTheme="minorHAnsi" w:cs="Verdana"/>
          <w:color w:val="000000"/>
          <w:sz w:val="20"/>
          <w:szCs w:val="20"/>
          <w:lang w:eastAsia="en-US"/>
        </w:rPr>
        <w:t>.</w:t>
      </w:r>
      <w:r w:rsidR="00A6246E">
        <w:rPr>
          <w:rFonts w:eastAsiaTheme="minorHAnsi" w:cs="Verdana"/>
          <w:color w:val="000000"/>
          <w:sz w:val="20"/>
          <w:szCs w:val="20"/>
          <w:lang w:eastAsia="en-US"/>
        </w:rPr>
        <w:t xml:space="preserve"> </w:t>
      </w:r>
      <w:r w:rsidRPr="00E67349">
        <w:rPr>
          <w:rFonts w:eastAsiaTheme="minorHAnsi" w:cstheme="minorBidi"/>
          <w:sz w:val="20"/>
          <w:szCs w:val="20"/>
          <w:lang w:val="es-AR" w:eastAsia="en-US"/>
        </w:rPr>
        <w:t xml:space="preserve">Luego de aproximadamente </w:t>
      </w:r>
      <w:r w:rsidR="00474B8B" w:rsidRPr="00E67349">
        <w:rPr>
          <w:rFonts w:eastAsiaTheme="minorHAnsi" w:cstheme="minorBidi"/>
          <w:sz w:val="20"/>
          <w:szCs w:val="20"/>
          <w:lang w:val="es-AR" w:eastAsia="en-US"/>
        </w:rPr>
        <w:t>1</w:t>
      </w:r>
      <w:r w:rsidR="00474B8B">
        <w:rPr>
          <w:rFonts w:eastAsiaTheme="minorHAnsi" w:cstheme="minorBidi"/>
          <w:sz w:val="20"/>
          <w:szCs w:val="20"/>
          <w:lang w:val="es-AR" w:eastAsia="en-US"/>
        </w:rPr>
        <w:t>7</w:t>
      </w:r>
      <w:r w:rsidR="00474B8B" w:rsidRPr="00E67349">
        <w:rPr>
          <w:rFonts w:eastAsiaTheme="minorHAnsi" w:cstheme="minorBidi"/>
          <w:sz w:val="20"/>
          <w:szCs w:val="20"/>
          <w:lang w:val="es-AR" w:eastAsia="en-US"/>
        </w:rPr>
        <w:t xml:space="preserve"> </w:t>
      </w:r>
      <w:r w:rsidRPr="00E67349">
        <w:rPr>
          <w:rFonts w:eastAsiaTheme="minorHAnsi" w:cstheme="minorBidi"/>
          <w:sz w:val="20"/>
          <w:szCs w:val="20"/>
          <w:lang w:val="es-AR" w:eastAsia="en-US"/>
        </w:rPr>
        <w:t>años, los hechos del presente caso permanecen en la impunidad</w:t>
      </w:r>
      <w:r w:rsidRPr="00E67349">
        <w:rPr>
          <w:rFonts w:eastAsiaTheme="minorHAnsi" w:cs="Arial"/>
          <w:sz w:val="20"/>
          <w:szCs w:val="20"/>
          <w:lang w:eastAsia="en-US"/>
        </w:rPr>
        <w:t>.</w:t>
      </w:r>
      <w:r w:rsidRPr="00E67349">
        <w:rPr>
          <w:rFonts w:eastAsiaTheme="minorHAnsi" w:cstheme="minorBidi"/>
          <w:sz w:val="20"/>
          <w:szCs w:val="20"/>
          <w:lang w:val="es-AR" w:eastAsia="en-US"/>
        </w:rPr>
        <w:t xml:space="preserve"> Por tanto, este Tribunal considera que el Estado no garantizó el acceso a la justicia</w:t>
      </w:r>
      <w:r>
        <w:rPr>
          <w:rFonts w:eastAsiaTheme="minorHAnsi" w:cstheme="minorBidi"/>
          <w:sz w:val="20"/>
          <w:szCs w:val="20"/>
          <w:lang w:val="es-AR" w:eastAsia="en-US"/>
        </w:rPr>
        <w:t>, en</w:t>
      </w:r>
      <w:r w:rsidRPr="00E67349">
        <w:rPr>
          <w:rFonts w:eastAsiaTheme="minorHAnsi" w:cstheme="minorBidi"/>
          <w:sz w:val="20"/>
          <w:szCs w:val="20"/>
          <w:lang w:val="es-AR" w:eastAsia="en-US"/>
        </w:rPr>
        <w:t xml:space="preserve"> </w:t>
      </w:r>
      <w:r>
        <w:rPr>
          <w:rFonts w:eastAsiaTheme="minorHAnsi" w:cstheme="minorBidi"/>
          <w:sz w:val="20"/>
          <w:szCs w:val="20"/>
          <w:lang w:val="es-AR" w:eastAsia="en-US"/>
        </w:rPr>
        <w:t>contravención de</w:t>
      </w:r>
      <w:r w:rsidRPr="00E67349">
        <w:rPr>
          <w:rFonts w:eastAsiaTheme="minorHAnsi" w:cstheme="minorBidi"/>
          <w:sz w:val="20"/>
          <w:szCs w:val="20"/>
          <w:lang w:val="es-AR" w:eastAsia="en-US"/>
        </w:rPr>
        <w:t xml:space="preserve"> los artículos 8.1 y 25.1 de la Convención Americana, en relación con el artículo 1.1 de la misma, en perjuicio de los familiares del señor Poblete Vilches.</w:t>
      </w:r>
    </w:p>
    <w:p w14:paraId="7539A936" w14:textId="77777777" w:rsidR="00A6246E" w:rsidRDefault="00A6246E" w:rsidP="000D4A1F">
      <w:pPr>
        <w:tabs>
          <w:tab w:val="left" w:pos="567"/>
          <w:tab w:val="num" w:pos="12305"/>
        </w:tabs>
        <w:rPr>
          <w:rFonts w:eastAsiaTheme="minorHAnsi" w:cstheme="minorBidi"/>
          <w:sz w:val="20"/>
          <w:szCs w:val="20"/>
          <w:lang w:eastAsia="en-US"/>
        </w:rPr>
      </w:pPr>
    </w:p>
    <w:p w14:paraId="401D8177" w14:textId="65AAF792" w:rsidR="00312262" w:rsidRPr="00F24D93" w:rsidRDefault="00312262" w:rsidP="00312262">
      <w:pPr>
        <w:numPr>
          <w:ilvl w:val="0"/>
          <w:numId w:val="2"/>
        </w:numPr>
        <w:tabs>
          <w:tab w:val="left" w:pos="567"/>
          <w:tab w:val="num" w:pos="12305"/>
        </w:tabs>
        <w:ind w:left="0" w:firstLine="0"/>
        <w:rPr>
          <w:rFonts w:eastAsiaTheme="minorHAnsi" w:cs="Times"/>
          <w:sz w:val="20"/>
          <w:szCs w:val="20"/>
          <w:lang w:val="es-AR" w:eastAsia="en-US"/>
        </w:rPr>
      </w:pPr>
      <w:r>
        <w:rPr>
          <w:rFonts w:eastAsiaTheme="minorHAnsi" w:cs="Times"/>
          <w:sz w:val="20"/>
          <w:szCs w:val="20"/>
          <w:lang w:val="es-AR" w:eastAsia="en-US"/>
        </w:rPr>
        <w:t>Finalmente, la Corte llama la atención sobre la labor que los órganos médicos colegiados de mediación deben, en todo caso</w:t>
      </w:r>
      <w:r w:rsidR="007626CD">
        <w:rPr>
          <w:rFonts w:eastAsiaTheme="minorHAnsi" w:cs="Times"/>
          <w:sz w:val="20"/>
          <w:szCs w:val="20"/>
          <w:lang w:val="es-AR" w:eastAsia="en-US"/>
        </w:rPr>
        <w:t>, cumplir</w:t>
      </w:r>
      <w:r>
        <w:rPr>
          <w:rFonts w:eastAsiaTheme="minorHAnsi" w:cs="Times"/>
          <w:sz w:val="20"/>
          <w:szCs w:val="20"/>
          <w:lang w:val="es-AR" w:eastAsia="en-US"/>
        </w:rPr>
        <w:t xml:space="preserve"> al momento de valorar situaciones de negación de servicio de salud o mala praxis médica. Para </w:t>
      </w:r>
      <w:r w:rsidR="007626CD">
        <w:rPr>
          <w:rFonts w:eastAsiaTheme="minorHAnsi" w:cs="Times"/>
          <w:sz w:val="20"/>
          <w:szCs w:val="20"/>
          <w:lang w:val="es-AR" w:eastAsia="en-US"/>
        </w:rPr>
        <w:t xml:space="preserve">ello, resulta indispensable una </w:t>
      </w:r>
      <w:r>
        <w:rPr>
          <w:rFonts w:eastAsiaTheme="minorHAnsi" w:cs="Times"/>
          <w:sz w:val="20"/>
          <w:szCs w:val="20"/>
          <w:lang w:val="es-AR" w:eastAsia="en-US"/>
        </w:rPr>
        <w:t xml:space="preserve">aproximación integral del derecho a la salud, desde la perspectiva de los derechos humanos, así como de impactos diferenciados, a fin de constituirse como órganos independientes que, a la luz de su experiencia médica, garanticen también los derechos de los pacientes. </w:t>
      </w:r>
    </w:p>
    <w:p w14:paraId="46FC8E04" w14:textId="77777777" w:rsidR="00312262" w:rsidRPr="0059117C" w:rsidRDefault="00312262" w:rsidP="000D4A1F">
      <w:pPr>
        <w:tabs>
          <w:tab w:val="left" w:pos="567"/>
          <w:tab w:val="num" w:pos="12305"/>
        </w:tabs>
        <w:rPr>
          <w:rFonts w:eastAsiaTheme="minorHAnsi" w:cstheme="minorBidi"/>
          <w:sz w:val="20"/>
          <w:szCs w:val="20"/>
          <w:lang w:val="es-AR" w:eastAsia="en-US"/>
        </w:rPr>
      </w:pPr>
    </w:p>
    <w:p w14:paraId="61E11CD9" w14:textId="77777777" w:rsidR="00E67349" w:rsidRPr="00164C05" w:rsidRDefault="00152F4C" w:rsidP="00225E59">
      <w:pPr>
        <w:pStyle w:val="Heading3"/>
        <w:rPr>
          <w:b/>
        </w:rPr>
      </w:pPr>
      <w:bookmarkStart w:id="95" w:name="_Toc513644481"/>
      <w:r>
        <w:rPr>
          <w:b/>
        </w:rPr>
        <w:t>2</w:t>
      </w:r>
      <w:r w:rsidR="00E67349" w:rsidRPr="00164C05">
        <w:rPr>
          <w:b/>
        </w:rPr>
        <w:t>. Respecto de la imparcialidad judicial</w:t>
      </w:r>
      <w:bookmarkEnd w:id="95"/>
    </w:p>
    <w:p w14:paraId="141C922B" w14:textId="77777777" w:rsidR="000D4A1F" w:rsidRPr="00E67349" w:rsidRDefault="000D4A1F" w:rsidP="000D4A1F">
      <w:pPr>
        <w:ind w:firstLine="360"/>
        <w:rPr>
          <w:i/>
          <w:sz w:val="20"/>
          <w:szCs w:val="20"/>
          <w:lang w:val="es-ES" w:eastAsia="en-US"/>
        </w:rPr>
      </w:pPr>
    </w:p>
    <w:p w14:paraId="27202D3A" w14:textId="77777777" w:rsidR="00E67349" w:rsidRPr="00E67349" w:rsidRDefault="00E67349" w:rsidP="000D4A1F">
      <w:pPr>
        <w:numPr>
          <w:ilvl w:val="0"/>
          <w:numId w:val="2"/>
        </w:numPr>
        <w:tabs>
          <w:tab w:val="left" w:pos="567"/>
          <w:tab w:val="num" w:pos="1569"/>
          <w:tab w:val="num" w:pos="12305"/>
        </w:tabs>
        <w:ind w:left="0" w:firstLine="0"/>
        <w:rPr>
          <w:rFonts w:eastAsiaTheme="minorHAnsi" w:cstheme="minorBidi"/>
          <w:sz w:val="20"/>
          <w:szCs w:val="20"/>
          <w:lang w:val="es-AR" w:eastAsia="en-US"/>
        </w:rPr>
      </w:pPr>
      <w:r w:rsidRPr="00E67349">
        <w:rPr>
          <w:rFonts w:eastAsiaTheme="minorHAnsi" w:cstheme="minorBidi"/>
          <w:sz w:val="20"/>
          <w:szCs w:val="20"/>
          <w:lang w:val="es-AR" w:eastAsia="en-US"/>
        </w:rPr>
        <w:t>El artículo 8.1 de la Convención garantiza que las decisiones en las cuales se determinen derechos de las personas deben ser adoptadas por las autoridades competentes que la ley interna determine</w:t>
      </w:r>
      <w:r w:rsidRPr="00E67349">
        <w:rPr>
          <w:rFonts w:eastAsiaTheme="minorHAnsi"/>
          <w:sz w:val="20"/>
          <w:szCs w:val="20"/>
          <w:vertAlign w:val="superscript"/>
          <w:lang w:val="es-AR" w:eastAsia="en-US"/>
        </w:rPr>
        <w:footnoteReference w:id="287"/>
      </w:r>
      <w:r w:rsidRPr="00E67349">
        <w:rPr>
          <w:rFonts w:eastAsiaTheme="minorHAnsi" w:cstheme="minorBidi"/>
          <w:sz w:val="20"/>
          <w:szCs w:val="20"/>
          <w:lang w:val="es-AR" w:eastAsia="en-US"/>
        </w:rPr>
        <w:t xml:space="preserve"> y bajo el procedimiento dispuesto para ello</w:t>
      </w:r>
      <w:r w:rsidRPr="00E67349">
        <w:rPr>
          <w:rFonts w:eastAsiaTheme="minorHAnsi"/>
          <w:sz w:val="20"/>
          <w:szCs w:val="20"/>
          <w:vertAlign w:val="superscript"/>
          <w:lang w:val="es-AR" w:eastAsia="en-US"/>
        </w:rPr>
        <w:footnoteReference w:id="288"/>
      </w:r>
      <w:r w:rsidRPr="00E67349">
        <w:rPr>
          <w:rFonts w:eastAsiaTheme="minorHAnsi" w:cstheme="minorBidi"/>
          <w:sz w:val="20"/>
          <w:szCs w:val="20"/>
          <w:lang w:val="es-AR" w:eastAsia="en-US"/>
        </w:rPr>
        <w:t>.</w:t>
      </w:r>
    </w:p>
    <w:p w14:paraId="1873C6FD" w14:textId="77777777" w:rsidR="00E67349" w:rsidRPr="00E67349" w:rsidRDefault="00E67349" w:rsidP="000D4A1F">
      <w:pPr>
        <w:tabs>
          <w:tab w:val="left" w:pos="0"/>
        </w:tabs>
        <w:contextualSpacing/>
        <w:rPr>
          <w:rFonts w:eastAsiaTheme="minorHAnsi" w:cstheme="minorBidi"/>
          <w:sz w:val="20"/>
          <w:szCs w:val="20"/>
          <w:lang w:val="es-AR" w:eastAsia="en-US"/>
        </w:rPr>
      </w:pPr>
    </w:p>
    <w:p w14:paraId="2CA5A53D" w14:textId="77777777" w:rsidR="00E67349" w:rsidRPr="00E67349" w:rsidRDefault="00E67349" w:rsidP="000D4A1F">
      <w:pPr>
        <w:numPr>
          <w:ilvl w:val="0"/>
          <w:numId w:val="2"/>
        </w:numPr>
        <w:tabs>
          <w:tab w:val="left" w:pos="567"/>
          <w:tab w:val="num" w:pos="1569"/>
          <w:tab w:val="num" w:pos="12305"/>
        </w:tabs>
        <w:ind w:left="0" w:firstLine="0"/>
        <w:rPr>
          <w:rFonts w:eastAsiaTheme="minorHAnsi" w:cstheme="minorBidi"/>
          <w:sz w:val="20"/>
          <w:szCs w:val="20"/>
          <w:lang w:val="es-AR" w:eastAsia="en-US"/>
        </w:rPr>
      </w:pPr>
      <w:r w:rsidRPr="00E67349">
        <w:rPr>
          <w:rFonts w:eastAsiaTheme="minorHAnsi" w:cstheme="minorBidi"/>
          <w:sz w:val="20"/>
          <w:szCs w:val="20"/>
          <w:lang w:val="es-PA" w:eastAsia="en-US"/>
        </w:rPr>
        <w:t>La</w:t>
      </w:r>
      <w:r w:rsidRPr="00E67349">
        <w:rPr>
          <w:rFonts w:eastAsiaTheme="minorHAnsi" w:cs="Arial"/>
          <w:sz w:val="20"/>
          <w:szCs w:val="20"/>
          <w:lang w:val="es-AR" w:eastAsia="en-US"/>
        </w:rPr>
        <w:t xml:space="preserve"> Corte resalta que el derecho a ser juzgado por un juez o tribunal imparcial es una garantía fundamental del debido proceso, debiéndose garantizar que el juez o tribunal en el ejercicio de su función como juzgador cuente con la mayor objetividad para enfrentar el juicio</w:t>
      </w:r>
      <w:r w:rsidRPr="00E67349">
        <w:rPr>
          <w:rFonts w:eastAsiaTheme="majorEastAsia" w:cs="Arial"/>
          <w:sz w:val="20"/>
          <w:szCs w:val="20"/>
          <w:vertAlign w:val="superscript"/>
          <w:lang w:val="es-AR" w:eastAsia="en-US"/>
        </w:rPr>
        <w:footnoteReference w:id="289"/>
      </w:r>
      <w:r w:rsidRPr="00E67349">
        <w:rPr>
          <w:rFonts w:eastAsiaTheme="minorHAnsi" w:cs="Arial"/>
          <w:sz w:val="20"/>
          <w:szCs w:val="20"/>
          <w:lang w:val="es-AR" w:eastAsia="en-US"/>
        </w:rPr>
        <w:t>. Este Tribunal ha establecido que la </w:t>
      </w:r>
      <w:r w:rsidRPr="00E67349">
        <w:rPr>
          <w:rFonts w:eastAsiaTheme="minorHAnsi" w:cs="Arial"/>
          <w:bCs/>
          <w:iCs/>
          <w:sz w:val="20"/>
          <w:szCs w:val="20"/>
          <w:lang w:val="es-AR" w:eastAsia="en-US"/>
        </w:rPr>
        <w:t>imparcialidad</w:t>
      </w:r>
      <w:r w:rsidRPr="00E67349">
        <w:rPr>
          <w:rFonts w:eastAsiaTheme="minorHAnsi" w:cs="Arial"/>
          <w:sz w:val="20"/>
          <w:szCs w:val="20"/>
          <w:lang w:val="es-AR" w:eastAsia="en-US"/>
        </w:rPr>
        <w:t xml:space="preserve"> exige que el juez que interviene en una contienda particular se aproxime a los hechos de la causa careciendo, de manera subjetiva, de todo prejuicio y, asimismo, ofreciendo garantías suficientes de índole objetiva que </w:t>
      </w:r>
      <w:r w:rsidRPr="00E67349">
        <w:rPr>
          <w:rFonts w:eastAsiaTheme="minorHAnsi" w:cstheme="minorBidi"/>
          <w:sz w:val="20"/>
          <w:szCs w:val="20"/>
          <w:lang w:val="es-AR" w:eastAsia="en-US"/>
        </w:rPr>
        <w:t>inspiren la confianza necesaria a las partes en el caso, así como a los ciudadanos en una sociedad democrática</w:t>
      </w:r>
      <w:r w:rsidRPr="00E67349">
        <w:rPr>
          <w:rFonts w:eastAsiaTheme="majorEastAsia"/>
          <w:sz w:val="20"/>
          <w:szCs w:val="20"/>
          <w:vertAlign w:val="superscript"/>
          <w:lang w:val="es-AR" w:eastAsia="en-US"/>
        </w:rPr>
        <w:footnoteReference w:id="290"/>
      </w:r>
      <w:r w:rsidRPr="00E67349">
        <w:rPr>
          <w:rFonts w:eastAsiaTheme="minorHAnsi" w:cstheme="minorBidi"/>
          <w:sz w:val="20"/>
          <w:szCs w:val="20"/>
          <w:lang w:val="es-AR" w:eastAsia="en-US"/>
        </w:rPr>
        <w:t>.</w:t>
      </w:r>
      <w:r w:rsidRPr="00E67349">
        <w:rPr>
          <w:rFonts w:eastAsiaTheme="minorHAnsi" w:cs="Arial"/>
          <w:sz w:val="20"/>
          <w:szCs w:val="20"/>
          <w:lang w:val="es-AR" w:eastAsia="en-US"/>
        </w:rPr>
        <w:t xml:space="preserve"> La </w:t>
      </w:r>
      <w:r w:rsidRPr="00E67349">
        <w:rPr>
          <w:rFonts w:eastAsiaTheme="minorHAnsi" w:cs="Arial"/>
          <w:bCs/>
          <w:iCs/>
          <w:sz w:val="20"/>
          <w:szCs w:val="20"/>
          <w:lang w:val="es-AR" w:eastAsia="en-US"/>
        </w:rPr>
        <w:t>imparcialidad</w:t>
      </w:r>
      <w:r w:rsidRPr="00E67349">
        <w:rPr>
          <w:rFonts w:eastAsiaTheme="minorHAnsi" w:cs="Arial"/>
          <w:sz w:val="20"/>
          <w:szCs w:val="20"/>
          <w:lang w:val="es-AR" w:eastAsia="en-US"/>
        </w:rPr>
        <w:t> del tribunal implica que sus integrantes no tengan un interés directo, una posición tomada, una preferencia por alguna de las partes y que no se encuentren involucrados en la controversia</w:t>
      </w:r>
      <w:r w:rsidRPr="00E67349">
        <w:rPr>
          <w:rFonts w:eastAsiaTheme="majorEastAsia" w:cs="Arial"/>
          <w:sz w:val="20"/>
          <w:szCs w:val="20"/>
          <w:vertAlign w:val="superscript"/>
          <w:lang w:val="es-AR" w:eastAsia="en-US"/>
        </w:rPr>
        <w:footnoteReference w:id="291"/>
      </w:r>
      <w:r w:rsidRPr="00E67349">
        <w:rPr>
          <w:rFonts w:eastAsiaTheme="minorHAnsi" w:cs="Arial"/>
          <w:sz w:val="20"/>
          <w:szCs w:val="20"/>
          <w:lang w:val="es-AR" w:eastAsia="en-US"/>
        </w:rPr>
        <w:t xml:space="preserve">. </w:t>
      </w:r>
      <w:r w:rsidRPr="00E67349">
        <w:rPr>
          <w:rFonts w:eastAsiaTheme="minorHAnsi" w:cstheme="minorBidi"/>
          <w:sz w:val="20"/>
          <w:szCs w:val="20"/>
          <w:lang w:val="es-AR" w:eastAsia="en-US"/>
        </w:rPr>
        <w:t>Ello puesto que el juez debe aparecer como actuando sin estar sujeto a influencia, aliciente, presión, amenaza o intromisión, directa o indirecta</w:t>
      </w:r>
      <w:r w:rsidRPr="00E67349">
        <w:rPr>
          <w:rFonts w:eastAsiaTheme="minorHAnsi" w:cstheme="minorBidi"/>
          <w:sz w:val="20"/>
          <w:szCs w:val="20"/>
          <w:vertAlign w:val="superscript"/>
          <w:lang w:val="es-AR" w:eastAsia="en-US"/>
        </w:rPr>
        <w:footnoteReference w:id="292"/>
      </w:r>
      <w:r w:rsidRPr="00E67349">
        <w:rPr>
          <w:rFonts w:eastAsiaTheme="minorHAnsi" w:cstheme="minorBidi"/>
          <w:sz w:val="20"/>
          <w:szCs w:val="20"/>
          <w:lang w:val="es-AR" w:eastAsia="en-US"/>
        </w:rPr>
        <w:t>, sino única y exclusivamente conforme a -y movido por- el Derecho</w:t>
      </w:r>
      <w:r w:rsidRPr="00E67349">
        <w:rPr>
          <w:rFonts w:eastAsiaTheme="majorEastAsia"/>
          <w:sz w:val="20"/>
          <w:szCs w:val="20"/>
          <w:vertAlign w:val="superscript"/>
          <w:lang w:val="es-AR" w:eastAsia="en-US"/>
        </w:rPr>
        <w:footnoteReference w:id="293"/>
      </w:r>
      <w:r w:rsidRPr="00E67349">
        <w:rPr>
          <w:rFonts w:eastAsiaTheme="minorHAnsi" w:cstheme="minorBidi"/>
          <w:sz w:val="20"/>
          <w:szCs w:val="20"/>
          <w:lang w:val="es-AR" w:eastAsia="en-US"/>
        </w:rPr>
        <w:t xml:space="preserve">. </w:t>
      </w:r>
    </w:p>
    <w:p w14:paraId="69C0DA04" w14:textId="77777777" w:rsidR="00E67349" w:rsidRPr="00E67349" w:rsidRDefault="00E67349" w:rsidP="000D4A1F">
      <w:pPr>
        <w:tabs>
          <w:tab w:val="left" w:pos="0"/>
        </w:tabs>
        <w:contextualSpacing/>
        <w:rPr>
          <w:rFonts w:eastAsiaTheme="minorHAnsi" w:cstheme="minorBidi"/>
          <w:sz w:val="20"/>
          <w:szCs w:val="20"/>
          <w:lang w:val="es-AR" w:eastAsia="en-US"/>
        </w:rPr>
      </w:pPr>
    </w:p>
    <w:p w14:paraId="2678C8E3" w14:textId="5FB68C61" w:rsidR="00E67349" w:rsidRPr="00E67349" w:rsidRDefault="00E67349" w:rsidP="000D4A1F">
      <w:pPr>
        <w:numPr>
          <w:ilvl w:val="0"/>
          <w:numId w:val="2"/>
        </w:numPr>
        <w:tabs>
          <w:tab w:val="left" w:pos="567"/>
          <w:tab w:val="num" w:pos="1569"/>
          <w:tab w:val="num" w:pos="12305"/>
        </w:tabs>
        <w:ind w:left="0" w:firstLine="0"/>
        <w:rPr>
          <w:rFonts w:eastAsiaTheme="minorHAnsi" w:cstheme="minorBidi"/>
          <w:sz w:val="20"/>
          <w:szCs w:val="20"/>
          <w:lang w:val="es-AR" w:eastAsia="en-US"/>
        </w:rPr>
      </w:pPr>
      <w:r w:rsidRPr="00E67349">
        <w:rPr>
          <w:rFonts w:eastAsiaTheme="minorHAnsi" w:cstheme="minorBidi"/>
          <w:sz w:val="20"/>
          <w:szCs w:val="20"/>
          <w:lang w:val="es-CO" w:eastAsia="en-US"/>
        </w:rPr>
        <w:t xml:space="preserve">Asimismo, el Tribunal reitera que la imparcialidad personal de un juez debe ser presumida, salvo prueba en contrario. Para el análisis de la imparcialidad subjetiva, el Tribunal </w:t>
      </w:r>
      <w:r w:rsidRPr="00E67349">
        <w:rPr>
          <w:rFonts w:eastAsiaTheme="minorHAnsi" w:cstheme="minorBidi"/>
          <w:sz w:val="20"/>
          <w:szCs w:val="20"/>
          <w:lang w:val="es-CO" w:eastAsia="en-US"/>
        </w:rPr>
        <w:lastRenderedPageBreak/>
        <w:t>debe intentar averiguar los intereses o motivaciones personales del juez en un determinado caso. En cuanto al tipo de evidencia que se necesita para probar la imparcialidad subjetiva, se debe tratar de determinar si el juez ha manifestado hostilidad o si ha hecho que el caso sea asignado a él por razones personales</w:t>
      </w:r>
      <w:r w:rsidRPr="00E67349">
        <w:rPr>
          <w:rFonts w:eastAsiaTheme="majorEastAsia"/>
          <w:sz w:val="20"/>
          <w:szCs w:val="20"/>
          <w:vertAlign w:val="superscript"/>
          <w:lang w:val="es-CO" w:eastAsia="en-US"/>
        </w:rPr>
        <w:footnoteReference w:id="294"/>
      </w:r>
      <w:r w:rsidRPr="00E67349">
        <w:rPr>
          <w:rFonts w:eastAsiaTheme="minorHAnsi" w:cstheme="minorBidi"/>
          <w:sz w:val="20"/>
          <w:szCs w:val="20"/>
          <w:lang w:val="es-AR" w:eastAsia="en-US"/>
        </w:rPr>
        <w:t>.</w:t>
      </w:r>
    </w:p>
    <w:p w14:paraId="02BF627E" w14:textId="77777777" w:rsidR="00E67349" w:rsidRPr="00E67349" w:rsidRDefault="00E67349" w:rsidP="000D4A1F">
      <w:pPr>
        <w:tabs>
          <w:tab w:val="left" w:pos="0"/>
        </w:tabs>
        <w:contextualSpacing/>
        <w:rPr>
          <w:rFonts w:eastAsiaTheme="minorHAnsi" w:cstheme="minorBidi"/>
          <w:sz w:val="20"/>
          <w:szCs w:val="20"/>
          <w:lang w:val="es-AR" w:eastAsia="en-US"/>
        </w:rPr>
      </w:pPr>
    </w:p>
    <w:p w14:paraId="03322DD4" w14:textId="77777777" w:rsidR="00E67349" w:rsidRPr="00E67349" w:rsidRDefault="00E67349" w:rsidP="000D4A1F">
      <w:pPr>
        <w:numPr>
          <w:ilvl w:val="0"/>
          <w:numId w:val="2"/>
        </w:numPr>
        <w:tabs>
          <w:tab w:val="left" w:pos="567"/>
          <w:tab w:val="num" w:pos="1569"/>
          <w:tab w:val="num" w:pos="12305"/>
        </w:tabs>
        <w:ind w:left="0" w:firstLine="0"/>
        <w:rPr>
          <w:rFonts w:eastAsiaTheme="minorHAnsi" w:cstheme="minorBidi"/>
          <w:sz w:val="20"/>
          <w:szCs w:val="20"/>
          <w:lang w:val="es-AR" w:eastAsia="en-US"/>
        </w:rPr>
      </w:pPr>
      <w:r w:rsidRPr="00E67349">
        <w:rPr>
          <w:rFonts w:eastAsiaTheme="minorHAnsi" w:cstheme="minorBidi"/>
          <w:sz w:val="20"/>
          <w:szCs w:val="20"/>
          <w:lang w:val="es-AR" w:eastAsia="en-US"/>
        </w:rPr>
        <w:t>Una violación del artículo 8.1 de la Convención por la presunta falta de imparcialidad judicial de los jueces debe establecerse a partir de elementos probatorios específicos y concretos que indiquen que se está efectivamente ante un caso en el que los jueces claramente se han dejado influenciar por aspectos o criterios ajenos a las normas legales</w:t>
      </w:r>
      <w:r w:rsidRPr="00E67349">
        <w:rPr>
          <w:rFonts w:eastAsiaTheme="minorHAnsi"/>
          <w:sz w:val="20"/>
          <w:szCs w:val="20"/>
          <w:vertAlign w:val="superscript"/>
          <w:lang w:val="es-AR" w:eastAsia="en-US"/>
        </w:rPr>
        <w:footnoteReference w:id="295"/>
      </w:r>
      <w:r w:rsidRPr="00E67349">
        <w:rPr>
          <w:rFonts w:eastAsiaTheme="minorHAnsi" w:cstheme="minorBidi"/>
          <w:sz w:val="20"/>
          <w:szCs w:val="20"/>
          <w:lang w:val="es-AR" w:eastAsia="en-US"/>
        </w:rPr>
        <w:t xml:space="preserve">. En el presente caso, </w:t>
      </w:r>
      <w:r w:rsidR="006D78F3">
        <w:rPr>
          <w:rFonts w:eastAsiaTheme="minorHAnsi" w:cstheme="minorBidi"/>
          <w:sz w:val="20"/>
          <w:szCs w:val="20"/>
          <w:lang w:val="es-AR" w:eastAsia="en-US"/>
        </w:rPr>
        <w:t>las representantes</w:t>
      </w:r>
      <w:r w:rsidR="0059400D">
        <w:rPr>
          <w:rFonts w:eastAsiaTheme="minorHAnsi" w:cstheme="minorBidi"/>
          <w:sz w:val="20"/>
          <w:szCs w:val="20"/>
          <w:lang w:val="es-AR" w:eastAsia="en-US"/>
        </w:rPr>
        <w:t xml:space="preserve"> </w:t>
      </w:r>
      <w:r w:rsidR="006D78F3">
        <w:rPr>
          <w:rFonts w:eastAsiaTheme="minorHAnsi" w:cstheme="minorBidi"/>
          <w:sz w:val="20"/>
          <w:szCs w:val="20"/>
          <w:lang w:val="es-AR" w:eastAsia="en-US"/>
        </w:rPr>
        <w:t xml:space="preserve">no </w:t>
      </w:r>
      <w:r w:rsidR="0059400D">
        <w:rPr>
          <w:rFonts w:eastAsiaTheme="minorHAnsi" w:cstheme="minorBidi"/>
          <w:sz w:val="20"/>
          <w:szCs w:val="20"/>
          <w:lang w:val="es-AR" w:eastAsia="en-US"/>
        </w:rPr>
        <w:t xml:space="preserve">aportaron </w:t>
      </w:r>
      <w:r w:rsidRPr="00E67349">
        <w:rPr>
          <w:rFonts w:eastAsiaTheme="minorHAnsi" w:cstheme="minorBidi"/>
          <w:sz w:val="20"/>
          <w:szCs w:val="20"/>
          <w:lang w:val="es-AR" w:eastAsia="en-US"/>
        </w:rPr>
        <w:t xml:space="preserve">elementos probatorios o indicios que le permitan </w:t>
      </w:r>
      <w:r w:rsidR="0059400D">
        <w:rPr>
          <w:rFonts w:eastAsiaTheme="minorHAnsi" w:cstheme="minorBidi"/>
          <w:sz w:val="20"/>
          <w:szCs w:val="20"/>
          <w:lang w:val="es-AR" w:eastAsia="en-US"/>
        </w:rPr>
        <w:t xml:space="preserve">a esta Corte </w:t>
      </w:r>
      <w:r w:rsidRPr="00E67349">
        <w:rPr>
          <w:rFonts w:eastAsiaTheme="minorHAnsi" w:cstheme="minorBidi"/>
          <w:sz w:val="20"/>
          <w:szCs w:val="20"/>
          <w:lang w:val="es-AR" w:eastAsia="en-US"/>
        </w:rPr>
        <w:t>considerar que las autoridades judiciales actuaron con ausencia de imparcialidad.</w:t>
      </w:r>
    </w:p>
    <w:p w14:paraId="3714DE62" w14:textId="77777777" w:rsidR="00E67349" w:rsidRPr="00E67349" w:rsidRDefault="00E67349" w:rsidP="000D4A1F">
      <w:pPr>
        <w:tabs>
          <w:tab w:val="left" w:pos="0"/>
        </w:tabs>
        <w:contextualSpacing/>
        <w:rPr>
          <w:rFonts w:eastAsiaTheme="minorHAnsi" w:cstheme="minorBidi"/>
          <w:sz w:val="20"/>
          <w:szCs w:val="20"/>
          <w:lang w:val="es-AR" w:eastAsia="en-US"/>
        </w:rPr>
      </w:pPr>
    </w:p>
    <w:p w14:paraId="36A42133" w14:textId="77777777" w:rsidR="00E67349" w:rsidRDefault="00E67349" w:rsidP="000D4A1F">
      <w:pPr>
        <w:numPr>
          <w:ilvl w:val="0"/>
          <w:numId w:val="2"/>
        </w:numPr>
        <w:tabs>
          <w:tab w:val="left" w:pos="567"/>
          <w:tab w:val="num" w:pos="1569"/>
          <w:tab w:val="num" w:pos="12305"/>
        </w:tabs>
        <w:ind w:left="0" w:firstLine="0"/>
        <w:rPr>
          <w:rFonts w:eastAsiaTheme="minorHAnsi" w:cstheme="minorBidi"/>
          <w:sz w:val="20"/>
          <w:szCs w:val="20"/>
          <w:lang w:val="es-AR" w:eastAsia="en-US"/>
        </w:rPr>
      </w:pPr>
      <w:r w:rsidRPr="00E67349">
        <w:rPr>
          <w:rFonts w:eastAsiaTheme="minorHAnsi" w:cstheme="minorBidi"/>
          <w:sz w:val="20"/>
          <w:szCs w:val="20"/>
          <w:lang w:val="es-AR" w:eastAsia="en-US"/>
        </w:rPr>
        <w:t>En consecuencia, la Corte concluye que el Estado no es responsable por la violación de las garantías judiciales establecidas en el artículo 8.1 de la Convención, por la alegada falta de imparcialidad judicial.</w:t>
      </w:r>
    </w:p>
    <w:p w14:paraId="519A7E4A" w14:textId="77777777" w:rsidR="000214BA" w:rsidRDefault="000214BA" w:rsidP="00BE6F31">
      <w:pPr>
        <w:contextualSpacing/>
        <w:rPr>
          <w:rFonts w:eastAsia="Calibri"/>
          <w:sz w:val="20"/>
          <w:szCs w:val="20"/>
          <w:lang w:eastAsia="en-US"/>
        </w:rPr>
      </w:pPr>
    </w:p>
    <w:p w14:paraId="2EEBB1C7" w14:textId="77777777" w:rsidR="003E7F63" w:rsidRPr="006B2A4D" w:rsidRDefault="006A08E5" w:rsidP="006B2A4D">
      <w:pPr>
        <w:pStyle w:val="Title"/>
      </w:pPr>
      <w:bookmarkStart w:id="96" w:name="_Toc504484552"/>
      <w:bookmarkStart w:id="97" w:name="_Toc513644482"/>
      <w:r w:rsidRPr="006B2A4D">
        <w:t>V</w:t>
      </w:r>
      <w:r w:rsidR="00024506">
        <w:t>I</w:t>
      </w:r>
      <w:r w:rsidRPr="006B2A4D">
        <w:t>I-3</w:t>
      </w:r>
      <w:bookmarkEnd w:id="96"/>
      <w:bookmarkEnd w:id="97"/>
    </w:p>
    <w:p w14:paraId="230FF16B" w14:textId="77777777" w:rsidR="00BE6F31" w:rsidRPr="006B2A4D" w:rsidRDefault="00BE6F31" w:rsidP="006B2A4D">
      <w:pPr>
        <w:pStyle w:val="Title"/>
      </w:pPr>
      <w:bookmarkStart w:id="98" w:name="_Toc513644483"/>
      <w:r w:rsidRPr="006B2A4D">
        <w:t>DERECHO A LA INTEGRIDAD PERSONAL</w:t>
      </w:r>
      <w:r w:rsidR="003E7F63" w:rsidRPr="006B2A4D">
        <w:t xml:space="preserve"> DE LOS FAMILIARES</w:t>
      </w:r>
      <w:bookmarkEnd w:id="98"/>
    </w:p>
    <w:p w14:paraId="35AD4C58" w14:textId="77777777" w:rsidR="00BE6F31" w:rsidRPr="006B2A4D" w:rsidRDefault="00BE6F31" w:rsidP="006B2A4D">
      <w:pPr>
        <w:pStyle w:val="Title"/>
      </w:pPr>
      <w:bookmarkStart w:id="99" w:name="_Toc482355929"/>
      <w:bookmarkStart w:id="100" w:name="_Toc494123989"/>
      <w:bookmarkStart w:id="101" w:name="_Toc513644484"/>
      <w:r w:rsidRPr="006B2A4D">
        <w:t>(ARTÍCULO 5.1 DE LA CONVENCIÓN AMERICANA)</w:t>
      </w:r>
      <w:bookmarkEnd w:id="99"/>
      <w:bookmarkEnd w:id="100"/>
      <w:bookmarkEnd w:id="101"/>
    </w:p>
    <w:p w14:paraId="5456A7D4" w14:textId="77777777" w:rsidR="00BE6F31" w:rsidRPr="00F1435E" w:rsidRDefault="00BE6F31" w:rsidP="00BE6F31">
      <w:pPr>
        <w:ind w:left="-90" w:right="-360"/>
        <w:jc w:val="center"/>
        <w:rPr>
          <w:b/>
          <w:sz w:val="20"/>
          <w:szCs w:val="20"/>
          <w:lang w:val="es-ES_tradnl"/>
        </w:rPr>
      </w:pPr>
    </w:p>
    <w:p w14:paraId="1B716462" w14:textId="77777777" w:rsidR="00BE6F31" w:rsidRPr="00BE6F31" w:rsidRDefault="00BE6F31" w:rsidP="002726E0">
      <w:pPr>
        <w:pStyle w:val="Heading2"/>
        <w:numPr>
          <w:ilvl w:val="0"/>
          <w:numId w:val="12"/>
        </w:numPr>
      </w:pPr>
      <w:bookmarkStart w:id="102" w:name="_Toc513644485"/>
      <w:r w:rsidRPr="00BE6F31">
        <w:t>Argumentos de la Comisión y de las partes</w:t>
      </w:r>
      <w:bookmarkEnd w:id="102"/>
    </w:p>
    <w:p w14:paraId="6824BA72" w14:textId="77777777" w:rsidR="00BE6F31" w:rsidRPr="00BE6F31" w:rsidRDefault="00BE6F31" w:rsidP="00BE6F31">
      <w:pPr>
        <w:ind w:left="-90" w:right="-360"/>
        <w:rPr>
          <w:sz w:val="20"/>
          <w:szCs w:val="20"/>
          <w:lang w:val="es-AR"/>
        </w:rPr>
      </w:pPr>
    </w:p>
    <w:p w14:paraId="6411A61E" w14:textId="316FA63E" w:rsidR="00BE6F31" w:rsidRPr="0095252C" w:rsidRDefault="00BE6F31" w:rsidP="00BE6F31">
      <w:pPr>
        <w:numPr>
          <w:ilvl w:val="0"/>
          <w:numId w:val="2"/>
        </w:numPr>
        <w:tabs>
          <w:tab w:val="left" w:pos="567"/>
          <w:tab w:val="num" w:pos="1569"/>
          <w:tab w:val="num" w:pos="12305"/>
        </w:tabs>
        <w:ind w:left="0" w:firstLine="0"/>
        <w:rPr>
          <w:b/>
          <w:sz w:val="20"/>
          <w:szCs w:val="20"/>
          <w:lang w:val="es-AR"/>
        </w:rPr>
      </w:pPr>
      <w:r w:rsidRPr="00F1435E">
        <w:rPr>
          <w:sz w:val="20"/>
          <w:szCs w:val="20"/>
          <w:lang w:val="es-AR"/>
        </w:rPr>
        <w:t xml:space="preserve">La </w:t>
      </w:r>
      <w:r w:rsidRPr="00F1435E">
        <w:rPr>
          <w:b/>
          <w:i/>
          <w:sz w:val="20"/>
          <w:szCs w:val="20"/>
          <w:lang w:val="es-AR"/>
        </w:rPr>
        <w:t>Comisión</w:t>
      </w:r>
      <w:r w:rsidRPr="00F1435E">
        <w:rPr>
          <w:sz w:val="20"/>
          <w:szCs w:val="20"/>
          <w:lang w:val="es-AR"/>
        </w:rPr>
        <w:t xml:space="preserve"> alegó que el Estado violó el artículo 5.1 de la Convención Americana, en relación con el artículo 1.1 del mismo instrumento, respecto del derecho a la integridad psíquica y moral en perjuicio de los familiares del señor Poblete Vilches, con motivo del sufrimiento adicional que estos han padecido como producto de las circunstancias particulares correspondientes a las violaciones perpetradas contra sus seres queridos y a causa de las actuaciones u omisiones de las autoridades estatales frente a los hechos</w:t>
      </w:r>
      <w:r w:rsidR="00586679">
        <w:rPr>
          <w:sz w:val="20"/>
          <w:szCs w:val="20"/>
          <w:lang w:val="es-AR"/>
        </w:rPr>
        <w:t>.</w:t>
      </w:r>
      <w:r w:rsidR="00586679">
        <w:rPr>
          <w:b/>
          <w:sz w:val="20"/>
          <w:szCs w:val="20"/>
          <w:lang w:val="es-AR"/>
        </w:rPr>
        <w:t xml:space="preserve"> </w:t>
      </w:r>
      <w:r w:rsidRPr="00F1435E">
        <w:rPr>
          <w:sz w:val="20"/>
          <w:szCs w:val="20"/>
          <w:lang w:val="es-AR"/>
        </w:rPr>
        <w:t>C</w:t>
      </w:r>
      <w:proofErr w:type="spellStart"/>
      <w:r w:rsidRPr="00F1435E">
        <w:rPr>
          <w:sz w:val="20"/>
          <w:szCs w:val="20"/>
          <w:lang w:val="es-ES"/>
        </w:rPr>
        <w:t>on</w:t>
      </w:r>
      <w:proofErr w:type="spellEnd"/>
      <w:r w:rsidRPr="00F1435E">
        <w:rPr>
          <w:sz w:val="20"/>
          <w:szCs w:val="20"/>
          <w:lang w:val="es-ES"/>
        </w:rPr>
        <w:t xml:space="preserve"> relación a los alegados </w:t>
      </w:r>
      <w:r w:rsidR="00586679" w:rsidRPr="00F1435E">
        <w:rPr>
          <w:sz w:val="20"/>
          <w:szCs w:val="20"/>
          <w:lang w:val="es-ES"/>
        </w:rPr>
        <w:t xml:space="preserve">maltratos </w:t>
      </w:r>
      <w:r w:rsidRPr="00F1435E">
        <w:rPr>
          <w:sz w:val="20"/>
          <w:szCs w:val="20"/>
          <w:lang w:val="es-ES"/>
        </w:rPr>
        <w:t>sufridos por los familiares del señor Poblete Vilches, la Comisión manifestó que no cuenta con elementos probatorios que le permitan realizar un análisis jurídico respecto de los mismos. No obstante lo anterior, resaltó que el Estado tuvo conocimiento de los alegatos de las presuntas víctimas sobre actos incompatibles tanto con su integridad personal como la del señor Poblete Vilches desde la denuncia interpuesta por ellos el 12 de noviembre de 2001</w:t>
      </w:r>
      <w:r w:rsidR="00586679">
        <w:rPr>
          <w:sz w:val="20"/>
          <w:szCs w:val="20"/>
          <w:lang w:val="es-ES"/>
        </w:rPr>
        <w:t>.</w:t>
      </w:r>
    </w:p>
    <w:p w14:paraId="141EACA9" w14:textId="77777777" w:rsidR="00BE6F31" w:rsidRPr="0095252C" w:rsidRDefault="00BE6F31" w:rsidP="00BE6F31">
      <w:pPr>
        <w:pStyle w:val="ListParagraph"/>
        <w:ind w:left="-90" w:right="-360"/>
        <w:rPr>
          <w:b/>
          <w:sz w:val="20"/>
          <w:szCs w:val="20"/>
          <w:lang w:val="es-AR"/>
        </w:rPr>
      </w:pPr>
    </w:p>
    <w:p w14:paraId="77D2881D" w14:textId="229FD8BC" w:rsidR="00BE6F31" w:rsidRPr="0095252C" w:rsidRDefault="00BE6F31" w:rsidP="00BE6F31">
      <w:pPr>
        <w:numPr>
          <w:ilvl w:val="0"/>
          <w:numId w:val="2"/>
        </w:numPr>
        <w:tabs>
          <w:tab w:val="left" w:pos="567"/>
          <w:tab w:val="num" w:pos="1569"/>
          <w:tab w:val="num" w:pos="12305"/>
        </w:tabs>
        <w:ind w:left="0" w:firstLine="0"/>
        <w:rPr>
          <w:rFonts w:cs="Arial"/>
          <w:b/>
          <w:sz w:val="20"/>
          <w:szCs w:val="20"/>
          <w:lang w:val="es-AR"/>
        </w:rPr>
      </w:pPr>
      <w:r w:rsidRPr="0095252C">
        <w:rPr>
          <w:sz w:val="20"/>
          <w:szCs w:val="20"/>
          <w:lang w:val="es-AR"/>
        </w:rPr>
        <w:t>L</w:t>
      </w:r>
      <w:r w:rsidRPr="00417979">
        <w:rPr>
          <w:sz w:val="20"/>
          <w:szCs w:val="20"/>
          <w:lang w:val="es-AR"/>
        </w:rPr>
        <w:t>as</w:t>
      </w:r>
      <w:r w:rsidRPr="00F1435E">
        <w:rPr>
          <w:sz w:val="20"/>
          <w:szCs w:val="20"/>
          <w:lang w:val="es-AR"/>
        </w:rPr>
        <w:t xml:space="preserve"> </w:t>
      </w:r>
      <w:r w:rsidRPr="00F1435E">
        <w:rPr>
          <w:b/>
          <w:i/>
          <w:sz w:val="20"/>
          <w:szCs w:val="20"/>
          <w:lang w:val="es-AR"/>
        </w:rPr>
        <w:t>Representantes</w:t>
      </w:r>
      <w:r w:rsidRPr="00F1435E">
        <w:rPr>
          <w:b/>
          <w:sz w:val="20"/>
          <w:szCs w:val="20"/>
          <w:lang w:val="es-AR"/>
        </w:rPr>
        <w:t xml:space="preserve"> </w:t>
      </w:r>
      <w:r w:rsidRPr="00F1435E">
        <w:rPr>
          <w:sz w:val="20"/>
          <w:szCs w:val="20"/>
          <w:lang w:val="es-AR"/>
        </w:rPr>
        <w:t>alegaron que el Estado violó el derecho a la integridad personal en perjuicio de los familiares directos del señor Poblete Vilches. Señalaron que sus familiares sufrieron una profunda depresión tras la muerte del señor Poblete Vilches que afectó su capacidad para enfrentar sus nuevas condiciones de vida e impactó gravemente sus relaciones sociales, vínculos familiares y proyectos de vida. En sustento a lo anterior, aportaron como anexos los informes que documentan el cuadro depresivo padecido por la se</w:t>
      </w:r>
      <w:r w:rsidRPr="00F1435E">
        <w:rPr>
          <w:rFonts w:cs="Arial"/>
          <w:sz w:val="20"/>
          <w:szCs w:val="20"/>
          <w:lang w:val="es-AR"/>
        </w:rPr>
        <w:t xml:space="preserve">ñora Blanca Margarita Tapia Encina y </w:t>
      </w:r>
      <w:r w:rsidRPr="006B14CE">
        <w:rPr>
          <w:rFonts w:cs="Arial"/>
          <w:sz w:val="20"/>
          <w:szCs w:val="20"/>
          <w:lang w:val="es-AR"/>
        </w:rPr>
        <w:t xml:space="preserve">el intento de suicidio de </w:t>
      </w:r>
      <w:proofErr w:type="spellStart"/>
      <w:r w:rsidRPr="006B14CE">
        <w:rPr>
          <w:rFonts w:cs="Arial"/>
          <w:sz w:val="20"/>
          <w:szCs w:val="20"/>
          <w:lang w:val="es-AR"/>
        </w:rPr>
        <w:t>Cesia</w:t>
      </w:r>
      <w:proofErr w:type="spellEnd"/>
      <w:r w:rsidRPr="006B14CE">
        <w:rPr>
          <w:rFonts w:cs="Arial"/>
          <w:sz w:val="20"/>
          <w:szCs w:val="20"/>
          <w:lang w:val="es-AR"/>
        </w:rPr>
        <w:t xml:space="preserve"> Poblete Tapia tras la muerte del señor Poblete Vilchis</w:t>
      </w:r>
      <w:r w:rsidR="00586679">
        <w:rPr>
          <w:rFonts w:cs="Arial"/>
          <w:sz w:val="20"/>
          <w:szCs w:val="20"/>
          <w:lang w:val="es-AR"/>
        </w:rPr>
        <w:t xml:space="preserve">. </w:t>
      </w:r>
      <w:r w:rsidRPr="0095252C">
        <w:rPr>
          <w:sz w:val="20"/>
          <w:szCs w:val="20"/>
          <w:lang w:val="es-AR"/>
        </w:rPr>
        <w:t xml:space="preserve">En este sentido, señalaron que la Comisión ha identificado violaciones al artículo 5.1 “[…] en que actos imputables a los Estados resultaron en </w:t>
      </w:r>
      <w:r w:rsidRPr="0095252C">
        <w:rPr>
          <w:sz w:val="20"/>
          <w:szCs w:val="20"/>
          <w:lang w:val="es-ES"/>
        </w:rPr>
        <w:t xml:space="preserve">algún ‘trauma emocional’, en ‘traumas y ansiedad’, en impedimentos para ‘llevar adelante la vida como (la víctima) lo hubiera deseado’, en ‘efectos </w:t>
      </w:r>
      <w:r w:rsidR="00586679" w:rsidRPr="0095252C">
        <w:rPr>
          <w:sz w:val="20"/>
          <w:szCs w:val="20"/>
          <w:lang w:val="es-ES"/>
        </w:rPr>
        <w:t>psicólogos</w:t>
      </w:r>
      <w:r w:rsidRPr="0095252C">
        <w:rPr>
          <w:sz w:val="20"/>
          <w:szCs w:val="20"/>
          <w:lang w:val="es-ES"/>
        </w:rPr>
        <w:t xml:space="preserve"> derivados’ o en ‘afectaciones a la autoestima personal’”</w:t>
      </w:r>
      <w:r w:rsidR="00586679">
        <w:rPr>
          <w:sz w:val="20"/>
          <w:szCs w:val="20"/>
          <w:lang w:val="es-ES"/>
        </w:rPr>
        <w:t>.</w:t>
      </w:r>
    </w:p>
    <w:p w14:paraId="62BCADA1" w14:textId="77777777" w:rsidR="00BE6F31" w:rsidRPr="00F1435E" w:rsidRDefault="00BE6F31" w:rsidP="00BE6F31">
      <w:pPr>
        <w:ind w:right="-360"/>
        <w:rPr>
          <w:sz w:val="20"/>
          <w:szCs w:val="20"/>
          <w:lang w:val="es-AR"/>
        </w:rPr>
      </w:pPr>
    </w:p>
    <w:p w14:paraId="7B5DE54F" w14:textId="6064F28F" w:rsidR="00BE6F31" w:rsidRPr="00F1435E" w:rsidRDefault="00BE6F31" w:rsidP="00BE6F31">
      <w:pPr>
        <w:numPr>
          <w:ilvl w:val="0"/>
          <w:numId w:val="2"/>
        </w:numPr>
        <w:tabs>
          <w:tab w:val="left" w:pos="567"/>
          <w:tab w:val="num" w:pos="1569"/>
          <w:tab w:val="num" w:pos="12305"/>
        </w:tabs>
        <w:ind w:left="0" w:firstLine="0"/>
        <w:rPr>
          <w:sz w:val="20"/>
          <w:szCs w:val="20"/>
          <w:lang w:val="es-AR"/>
        </w:rPr>
      </w:pPr>
      <w:r w:rsidRPr="00F1435E">
        <w:rPr>
          <w:sz w:val="20"/>
          <w:szCs w:val="20"/>
          <w:lang w:val="es-AR"/>
        </w:rPr>
        <w:t xml:space="preserve">Las Representantes agregaron que “[…] </w:t>
      </w:r>
      <w:r w:rsidR="00586679">
        <w:rPr>
          <w:sz w:val="20"/>
          <w:szCs w:val="20"/>
          <w:lang w:val="es-AR"/>
        </w:rPr>
        <w:t>[</w:t>
      </w:r>
      <w:r w:rsidRPr="00F1435E">
        <w:rPr>
          <w:sz w:val="20"/>
          <w:szCs w:val="20"/>
          <w:lang w:val="es-AR"/>
        </w:rPr>
        <w:t>s</w:t>
      </w:r>
      <w:r w:rsidR="00586679">
        <w:rPr>
          <w:sz w:val="20"/>
          <w:szCs w:val="20"/>
          <w:lang w:val="es-AR"/>
        </w:rPr>
        <w:t>]</w:t>
      </w:r>
      <w:r w:rsidRPr="00F1435E">
        <w:rPr>
          <w:sz w:val="20"/>
          <w:szCs w:val="20"/>
          <w:lang w:val="es-AR"/>
        </w:rPr>
        <w:t xml:space="preserve">in perjuicio de la afectación a la integridad personal que los familiares del </w:t>
      </w:r>
      <w:r w:rsidR="00586679">
        <w:rPr>
          <w:sz w:val="20"/>
          <w:szCs w:val="20"/>
          <w:lang w:val="es-AR"/>
        </w:rPr>
        <w:t>[señor]</w:t>
      </w:r>
      <w:r w:rsidRPr="00F1435E">
        <w:rPr>
          <w:sz w:val="20"/>
          <w:szCs w:val="20"/>
          <w:lang w:val="es-AR"/>
        </w:rPr>
        <w:t xml:space="preserve"> Poblete Vilches sufrieran como consecuencia de los hechos que desembocaron en su muerte, padecieron además otras afectaciones a la integridad personal durante la internación [del señor Poblete Vilches] por haber sido víctimas directas de </w:t>
      </w:r>
      <w:r w:rsidRPr="00F1435E">
        <w:rPr>
          <w:sz w:val="20"/>
          <w:szCs w:val="20"/>
          <w:lang w:val="es-AR"/>
        </w:rPr>
        <w:lastRenderedPageBreak/>
        <w:t xml:space="preserve">maltrato y humillaciones” por el personal del Hospital </w:t>
      </w:r>
      <w:proofErr w:type="spellStart"/>
      <w:r w:rsidRPr="00F1435E">
        <w:rPr>
          <w:sz w:val="20"/>
          <w:szCs w:val="20"/>
          <w:lang w:val="es-ES"/>
        </w:rPr>
        <w:t>Sótero</w:t>
      </w:r>
      <w:proofErr w:type="spellEnd"/>
      <w:r w:rsidRPr="00F1435E">
        <w:rPr>
          <w:sz w:val="20"/>
          <w:szCs w:val="20"/>
          <w:lang w:val="es-ES"/>
        </w:rPr>
        <w:t xml:space="preserve"> del Río durante los ingresos del señor Poblete Vilches afectando su integridad personal. </w:t>
      </w:r>
      <w:r w:rsidRPr="0095252C">
        <w:rPr>
          <w:sz w:val="20"/>
          <w:szCs w:val="20"/>
          <w:lang w:val="es-ES"/>
        </w:rPr>
        <w:t xml:space="preserve">Como ejemplos del dicho maltrato las representantes alegaron que el personal médico intentó impedirle a la familia ver al señor Poblete Vilches, “cerrándoles la puerta en la cara”, y que el personal negó información </w:t>
      </w:r>
      <w:r w:rsidR="00AA4FE7">
        <w:rPr>
          <w:sz w:val="20"/>
          <w:szCs w:val="20"/>
          <w:lang w:val="es-ES"/>
        </w:rPr>
        <w:t xml:space="preserve">o brindó información inexacta </w:t>
      </w:r>
      <w:r w:rsidRPr="0095252C">
        <w:rPr>
          <w:sz w:val="20"/>
          <w:szCs w:val="20"/>
          <w:lang w:val="es-ES"/>
        </w:rPr>
        <w:t>sobre el estado de salud del señor Poblete Vilches cada vez que los familiares la solicitaron</w:t>
      </w:r>
      <w:r w:rsidRPr="0095252C">
        <w:rPr>
          <w:rStyle w:val="FootnoteReference"/>
          <w:sz w:val="20"/>
          <w:szCs w:val="20"/>
          <w:lang w:val="es-ES"/>
        </w:rPr>
        <w:footnoteReference w:id="296"/>
      </w:r>
      <w:r w:rsidRPr="0095252C">
        <w:rPr>
          <w:sz w:val="20"/>
          <w:szCs w:val="20"/>
          <w:lang w:val="es-ES"/>
        </w:rPr>
        <w:t>.</w:t>
      </w:r>
      <w:r w:rsidRPr="00F1435E">
        <w:rPr>
          <w:sz w:val="20"/>
          <w:szCs w:val="20"/>
          <w:lang w:val="es-ES"/>
        </w:rPr>
        <w:t xml:space="preserve"> En este sentido, agregaron que en su entendimiento existió una violación autónoma del derecho a la integridad personal de la señora Blanca </w:t>
      </w:r>
      <w:r w:rsidR="00AA4FE7">
        <w:rPr>
          <w:sz w:val="20"/>
          <w:szCs w:val="20"/>
          <w:lang w:val="es-ES"/>
        </w:rPr>
        <w:t>Tapia</w:t>
      </w:r>
      <w:r w:rsidR="00AA4FE7" w:rsidRPr="00F1435E">
        <w:rPr>
          <w:sz w:val="20"/>
          <w:szCs w:val="20"/>
          <w:lang w:val="es-ES"/>
        </w:rPr>
        <w:t xml:space="preserve"> </w:t>
      </w:r>
      <w:r w:rsidRPr="00F1435E">
        <w:rPr>
          <w:sz w:val="20"/>
          <w:szCs w:val="20"/>
          <w:lang w:val="es-ES"/>
        </w:rPr>
        <w:t xml:space="preserve">Encina y sus hijos, Vinicio Marco Antonio Poblete Tapia y </w:t>
      </w:r>
      <w:proofErr w:type="spellStart"/>
      <w:r w:rsidRPr="00F1435E">
        <w:rPr>
          <w:sz w:val="20"/>
          <w:szCs w:val="20"/>
          <w:lang w:val="es-ES"/>
        </w:rPr>
        <w:t>Cesia</w:t>
      </w:r>
      <w:proofErr w:type="spellEnd"/>
      <w:r w:rsidRPr="00F1435E">
        <w:rPr>
          <w:sz w:val="20"/>
          <w:szCs w:val="20"/>
          <w:lang w:val="es-ES"/>
        </w:rPr>
        <w:t xml:space="preserve"> Leila Poblete Tapia de modo que se debía declarar la responsabilidad del Estado de Chile por la violación del artículo 5.1 en conexión con el artículo 1.1 de la </w:t>
      </w:r>
      <w:r w:rsidR="00AA4FE7" w:rsidRPr="00F1435E">
        <w:rPr>
          <w:sz w:val="20"/>
          <w:szCs w:val="20"/>
          <w:lang w:val="es-ES"/>
        </w:rPr>
        <w:t>C</w:t>
      </w:r>
      <w:r w:rsidR="00AA4FE7">
        <w:rPr>
          <w:sz w:val="20"/>
          <w:szCs w:val="20"/>
          <w:lang w:val="es-ES"/>
        </w:rPr>
        <w:t>onvención</w:t>
      </w:r>
      <w:r w:rsidR="00AA4FE7" w:rsidRPr="00F1435E">
        <w:rPr>
          <w:sz w:val="20"/>
          <w:szCs w:val="20"/>
          <w:lang w:val="es-ES"/>
        </w:rPr>
        <w:t xml:space="preserve"> </w:t>
      </w:r>
      <w:r w:rsidRPr="00F1435E">
        <w:rPr>
          <w:sz w:val="20"/>
          <w:szCs w:val="20"/>
          <w:lang w:val="es-ES"/>
        </w:rPr>
        <w:t>en perjuicio de los familiares del señor Poblete Vilches</w:t>
      </w:r>
      <w:r w:rsidR="00586679">
        <w:rPr>
          <w:b/>
          <w:sz w:val="20"/>
          <w:szCs w:val="20"/>
          <w:lang w:val="es-AR"/>
        </w:rPr>
        <w:t xml:space="preserve">. </w:t>
      </w:r>
      <w:r w:rsidRPr="00F1435E">
        <w:rPr>
          <w:sz w:val="20"/>
          <w:szCs w:val="20"/>
          <w:lang w:val="es-AR"/>
        </w:rPr>
        <w:t xml:space="preserve">   </w:t>
      </w:r>
    </w:p>
    <w:p w14:paraId="5C32F026" w14:textId="77777777" w:rsidR="00BE6F31" w:rsidRPr="00F1435E" w:rsidRDefault="00BE6F31" w:rsidP="00BE6F31">
      <w:pPr>
        <w:tabs>
          <w:tab w:val="left" w:pos="3195"/>
        </w:tabs>
        <w:ind w:right="-360"/>
        <w:rPr>
          <w:sz w:val="20"/>
          <w:szCs w:val="20"/>
          <w:lang w:val="es-ES"/>
        </w:rPr>
      </w:pPr>
      <w:r w:rsidRPr="00F1435E">
        <w:rPr>
          <w:sz w:val="20"/>
          <w:szCs w:val="20"/>
          <w:lang w:val="es-ES"/>
        </w:rPr>
        <w:tab/>
      </w:r>
    </w:p>
    <w:p w14:paraId="6DA4A524" w14:textId="08C0F975" w:rsidR="00AB34B8" w:rsidRPr="00B1523A" w:rsidRDefault="00BE6F31" w:rsidP="00B1523A">
      <w:pPr>
        <w:numPr>
          <w:ilvl w:val="0"/>
          <w:numId w:val="2"/>
        </w:numPr>
        <w:tabs>
          <w:tab w:val="left" w:pos="567"/>
          <w:tab w:val="num" w:pos="1569"/>
          <w:tab w:val="num" w:pos="12305"/>
        </w:tabs>
        <w:ind w:left="0" w:firstLine="0"/>
        <w:rPr>
          <w:b/>
          <w:sz w:val="20"/>
          <w:szCs w:val="20"/>
          <w:lang w:val="es-AR"/>
        </w:rPr>
      </w:pPr>
      <w:r w:rsidRPr="00AB34B8">
        <w:rPr>
          <w:sz w:val="20"/>
          <w:szCs w:val="20"/>
          <w:lang w:val="es-AR"/>
        </w:rPr>
        <w:t xml:space="preserve">Por su parte, el </w:t>
      </w:r>
      <w:r w:rsidRPr="00AB34B8">
        <w:rPr>
          <w:b/>
          <w:i/>
          <w:sz w:val="20"/>
          <w:szCs w:val="20"/>
          <w:lang w:val="es-AR"/>
        </w:rPr>
        <w:t>Estado</w:t>
      </w:r>
      <w:r w:rsidRPr="00AB34B8">
        <w:rPr>
          <w:sz w:val="20"/>
          <w:szCs w:val="20"/>
          <w:lang w:val="es-AR"/>
        </w:rPr>
        <w:t xml:space="preserve"> no reconoci</w:t>
      </w:r>
      <w:r w:rsidRPr="00AB34B8">
        <w:rPr>
          <w:rFonts w:cs="Arial"/>
          <w:sz w:val="20"/>
          <w:szCs w:val="20"/>
          <w:lang w:val="es-AR"/>
        </w:rPr>
        <w:t>ó haber violado el derecho a la integridad personal en perjuicio de los familiares directos del señor Vinicio Pob</w:t>
      </w:r>
      <w:r w:rsidRPr="00225483">
        <w:rPr>
          <w:rFonts w:cs="Arial"/>
          <w:sz w:val="20"/>
          <w:szCs w:val="20"/>
          <w:lang w:val="es-AR"/>
        </w:rPr>
        <w:t>lete Vilches, argumentando que no logró acreditarse que la muerte de este último haya sido consecuencia de su actuar negligente, por lo que “[…] una supuesta vulneración a la integridad personal de los familiares tendría que ser necesariamente consecuencia</w:t>
      </w:r>
      <w:r w:rsidRPr="005F2639">
        <w:rPr>
          <w:rFonts w:cs="Arial"/>
          <w:sz w:val="20"/>
          <w:szCs w:val="20"/>
          <w:lang w:val="es-AR"/>
        </w:rPr>
        <w:t xml:space="preserve"> directa de una vulneración de parte del Estado respecto de la muerte [del señor] Vinicio Poblete Vilches”, lo cual considera que no sucedió</w:t>
      </w:r>
      <w:r w:rsidRPr="005F2639">
        <w:rPr>
          <w:sz w:val="20"/>
          <w:szCs w:val="20"/>
          <w:lang w:val="es-AR"/>
        </w:rPr>
        <w:t>. En este sentido, el Estado recordó que, respecto de la afectación al derecho a la integridad personal por los alegados maltratos recibidos por el señor Poblete Vilches y sus familiares, la Comisión señaló en su Informe de Fondo que “[…] no cuenta con elementos adicionales que le permitan establecer como probados y, por lo tanto, efectuar un análisis jurídico sobre los alegados maltratos sufridos por el señor Poblete Vilches y su familia”.</w:t>
      </w:r>
      <w:r w:rsidR="006B33AD">
        <w:rPr>
          <w:sz w:val="20"/>
          <w:szCs w:val="20"/>
          <w:lang w:val="es-AR"/>
        </w:rPr>
        <w:t xml:space="preserve"> </w:t>
      </w:r>
      <w:r w:rsidRPr="00B1523A">
        <w:rPr>
          <w:sz w:val="20"/>
          <w:szCs w:val="20"/>
          <w:lang w:val="es-AR"/>
        </w:rPr>
        <w:t xml:space="preserve">Por último, en sus Observaciones Finales, el Estado agregó que, en su entender, no es posible hacer extensible su responsabilidad internacional por la violación autónoma del derecho a la integridad de los familiares en virtud de que no se encuentra acreditado el nexo causal entre el fallecimiento del señor Vinicio Poblete Vilchis y </w:t>
      </w:r>
      <w:r w:rsidR="00AA4FE7" w:rsidRPr="00B1523A">
        <w:rPr>
          <w:sz w:val="20"/>
          <w:szCs w:val="20"/>
          <w:lang w:val="es-AR"/>
        </w:rPr>
        <w:t xml:space="preserve">la </w:t>
      </w:r>
      <w:r w:rsidRPr="00B1523A">
        <w:rPr>
          <w:sz w:val="20"/>
          <w:szCs w:val="20"/>
          <w:lang w:val="es-AR"/>
        </w:rPr>
        <w:t>actuaci</w:t>
      </w:r>
      <w:r w:rsidRPr="00B1523A">
        <w:rPr>
          <w:rFonts w:cs="Arial"/>
          <w:sz w:val="20"/>
          <w:szCs w:val="20"/>
          <w:lang w:val="es-AR"/>
        </w:rPr>
        <w:t xml:space="preserve">ón propia del Estado </w:t>
      </w:r>
      <w:r w:rsidRPr="00B1523A">
        <w:rPr>
          <w:sz w:val="20"/>
          <w:szCs w:val="20"/>
          <w:lang w:val="es-AR"/>
        </w:rPr>
        <w:t>en el caso concreto</w:t>
      </w:r>
      <w:r w:rsidR="00AB34B8">
        <w:rPr>
          <w:sz w:val="20"/>
          <w:szCs w:val="20"/>
          <w:lang w:val="es-AR"/>
        </w:rPr>
        <w:t>.</w:t>
      </w:r>
    </w:p>
    <w:p w14:paraId="41E32CE8" w14:textId="77777777" w:rsidR="00BE6F31" w:rsidRPr="00AB34B8" w:rsidRDefault="00BE6F31" w:rsidP="00B1523A">
      <w:pPr>
        <w:tabs>
          <w:tab w:val="left" w:pos="567"/>
        </w:tabs>
        <w:rPr>
          <w:b/>
          <w:sz w:val="20"/>
          <w:szCs w:val="20"/>
          <w:lang w:val="es-AR"/>
        </w:rPr>
      </w:pPr>
    </w:p>
    <w:p w14:paraId="433E8AD6" w14:textId="77777777" w:rsidR="00BE6F31" w:rsidRDefault="00BE6F31" w:rsidP="002726E0">
      <w:pPr>
        <w:pStyle w:val="Heading2"/>
        <w:numPr>
          <w:ilvl w:val="0"/>
          <w:numId w:val="12"/>
        </w:numPr>
      </w:pPr>
      <w:bookmarkStart w:id="103" w:name="_Toc513644486"/>
      <w:r>
        <w:t>Consideraciones de la Corte</w:t>
      </w:r>
      <w:bookmarkEnd w:id="103"/>
      <w:r>
        <w:t xml:space="preserve"> </w:t>
      </w:r>
    </w:p>
    <w:p w14:paraId="51610351" w14:textId="77777777" w:rsidR="00BE6F31" w:rsidRPr="00BE6F31" w:rsidRDefault="00BE6F31" w:rsidP="00BE6F31"/>
    <w:p w14:paraId="11C91086" w14:textId="77777777" w:rsidR="00BE6F31" w:rsidRDefault="00BE6F31" w:rsidP="00BE6F31">
      <w:pPr>
        <w:numPr>
          <w:ilvl w:val="0"/>
          <w:numId w:val="2"/>
        </w:numPr>
        <w:tabs>
          <w:tab w:val="left" w:pos="567"/>
          <w:tab w:val="num" w:pos="1569"/>
          <w:tab w:val="num" w:pos="12305"/>
        </w:tabs>
        <w:ind w:left="0" w:firstLine="0"/>
        <w:rPr>
          <w:sz w:val="20"/>
          <w:szCs w:val="20"/>
        </w:rPr>
      </w:pPr>
      <w:r w:rsidRPr="006C0D07">
        <w:rPr>
          <w:sz w:val="20"/>
          <w:szCs w:val="20"/>
        </w:rPr>
        <w:t>En el presente caso,</w:t>
      </w:r>
      <w:r w:rsidRPr="006C0D07">
        <w:rPr>
          <w:rFonts w:cs="Arial"/>
          <w:sz w:val="20"/>
          <w:szCs w:val="20"/>
        </w:rPr>
        <w:t xml:space="preserve"> </w:t>
      </w:r>
      <w:r w:rsidRPr="00417979">
        <w:rPr>
          <w:sz w:val="20"/>
          <w:szCs w:val="20"/>
        </w:rPr>
        <w:t xml:space="preserve">subsiste la controversia entre las partes </w:t>
      </w:r>
      <w:r w:rsidRPr="00417979">
        <w:rPr>
          <w:sz w:val="20"/>
          <w:szCs w:val="20"/>
          <w:lang w:val="es-AR"/>
        </w:rPr>
        <w:t>respecto de la violación autónoma del derecho a la integridad en perjuicio de Blanca Tapia Encina, Vinicio Marco Antonio Poblete Vilches</w:t>
      </w:r>
      <w:r w:rsidRPr="0095252C">
        <w:rPr>
          <w:sz w:val="20"/>
          <w:szCs w:val="20"/>
        </w:rPr>
        <w:t xml:space="preserve">, </w:t>
      </w:r>
      <w:proofErr w:type="spellStart"/>
      <w:r w:rsidRPr="0095252C">
        <w:rPr>
          <w:sz w:val="20"/>
          <w:szCs w:val="20"/>
        </w:rPr>
        <w:t>Cesia</w:t>
      </w:r>
      <w:proofErr w:type="spellEnd"/>
      <w:r w:rsidRPr="0095252C">
        <w:rPr>
          <w:sz w:val="20"/>
          <w:szCs w:val="20"/>
        </w:rPr>
        <w:t xml:space="preserve"> Leila Siria Poblete Vilches y Gonzalo Poblete Vilches, derivada de sus padecimientos físicos y psicológicos sufridos por la muerte del señor Vinicio Poblete Vilches y la cual se imputa al Estado, así como derivados de la denegación de justicia y los alegados maltratos recibidos en el Hospital. </w:t>
      </w:r>
    </w:p>
    <w:p w14:paraId="698B8CD7" w14:textId="77777777" w:rsidR="00BE6F31" w:rsidRPr="00BE6F31" w:rsidRDefault="00BE6F31" w:rsidP="00BE6F31">
      <w:pPr>
        <w:tabs>
          <w:tab w:val="left" w:pos="567"/>
          <w:tab w:val="num" w:pos="12305"/>
        </w:tabs>
        <w:rPr>
          <w:sz w:val="20"/>
          <w:szCs w:val="20"/>
        </w:rPr>
      </w:pPr>
    </w:p>
    <w:p w14:paraId="29A6FBBC" w14:textId="77777777" w:rsidR="00BE6F31" w:rsidRDefault="00BE6F31" w:rsidP="00BE6F31">
      <w:pPr>
        <w:numPr>
          <w:ilvl w:val="0"/>
          <w:numId w:val="2"/>
        </w:numPr>
        <w:tabs>
          <w:tab w:val="left" w:pos="567"/>
          <w:tab w:val="num" w:pos="1569"/>
          <w:tab w:val="num" w:pos="12305"/>
        </w:tabs>
        <w:ind w:left="0" w:firstLine="0"/>
        <w:rPr>
          <w:rFonts w:cs="Arial"/>
          <w:sz w:val="20"/>
          <w:szCs w:val="20"/>
        </w:rPr>
      </w:pPr>
      <w:r w:rsidRPr="0095252C">
        <w:rPr>
          <w:sz w:val="20"/>
          <w:szCs w:val="20"/>
        </w:rPr>
        <w:t>El Tribunal ha entendido que en determinados casos de violaciones graves a los derechos humanos es posible presumir el daño de ciertos familiares de las víctimas, tras el sufrimiento y la angustia que los hechos de dichos casos suponen</w:t>
      </w:r>
      <w:r w:rsidRPr="00417979">
        <w:rPr>
          <w:rStyle w:val="FootnoteReference"/>
          <w:sz w:val="20"/>
          <w:szCs w:val="20"/>
        </w:rPr>
        <w:footnoteReference w:id="297"/>
      </w:r>
      <w:r w:rsidRPr="00417979">
        <w:rPr>
          <w:sz w:val="20"/>
          <w:szCs w:val="20"/>
        </w:rPr>
        <w:t xml:space="preserve">. </w:t>
      </w:r>
      <w:r w:rsidRPr="0095252C">
        <w:rPr>
          <w:rFonts w:cs="Arial"/>
          <w:sz w:val="20"/>
          <w:szCs w:val="20"/>
        </w:rPr>
        <w:t xml:space="preserve">Una vez valoradas las circunstancias del presente caso, la Corte ha determinado que, al no tratarse de un caso que se corresponda con una violación grave a los derechos humanos en términos de su jurisprudencia, la violación a la integridad personal de los </w:t>
      </w:r>
      <w:r w:rsidRPr="0095252C">
        <w:rPr>
          <w:sz w:val="20"/>
          <w:szCs w:val="20"/>
        </w:rPr>
        <w:t>familiares del señor Vinicio Poblete Vilches</w:t>
      </w:r>
      <w:r w:rsidRPr="0095252C">
        <w:rPr>
          <w:rFonts w:cs="Arial"/>
          <w:sz w:val="20"/>
          <w:szCs w:val="20"/>
        </w:rPr>
        <w:t xml:space="preserve">, en atención a su sufrimiento, </w:t>
      </w:r>
      <w:r w:rsidRPr="0095252C">
        <w:rPr>
          <w:rFonts w:cs="Arial"/>
          <w:sz w:val="20"/>
          <w:szCs w:val="20"/>
          <w:rtl/>
          <w:lang w:bidi="he-IL"/>
        </w:rPr>
        <w:t xml:space="preserve"> </w:t>
      </w:r>
      <w:r w:rsidRPr="0095252C">
        <w:rPr>
          <w:rFonts w:cs="Arial"/>
          <w:sz w:val="20"/>
          <w:szCs w:val="20"/>
        </w:rPr>
        <w:t>debe ser comprobada</w:t>
      </w:r>
      <w:r w:rsidRPr="00417979">
        <w:rPr>
          <w:rStyle w:val="FootnoteReference"/>
          <w:rFonts w:cs="Arial"/>
          <w:sz w:val="20"/>
          <w:szCs w:val="20"/>
        </w:rPr>
        <w:footnoteReference w:id="298"/>
      </w:r>
      <w:r w:rsidRPr="00417979">
        <w:rPr>
          <w:rFonts w:cs="Arial"/>
          <w:sz w:val="20"/>
          <w:szCs w:val="20"/>
        </w:rPr>
        <w:t>.</w:t>
      </w:r>
    </w:p>
    <w:p w14:paraId="061416CB" w14:textId="77777777" w:rsidR="00BE6F31" w:rsidRPr="00BE6F31" w:rsidRDefault="00BE6F31" w:rsidP="00BE6F31">
      <w:pPr>
        <w:tabs>
          <w:tab w:val="left" w:pos="567"/>
          <w:tab w:val="num" w:pos="12305"/>
        </w:tabs>
        <w:rPr>
          <w:rFonts w:cs="Arial"/>
          <w:sz w:val="20"/>
          <w:szCs w:val="20"/>
        </w:rPr>
      </w:pPr>
    </w:p>
    <w:p w14:paraId="4BBB25C3" w14:textId="418F9264" w:rsidR="00BE6F31" w:rsidRPr="00AB34B8" w:rsidRDefault="00593BF7" w:rsidP="00BE6F31">
      <w:pPr>
        <w:numPr>
          <w:ilvl w:val="0"/>
          <w:numId w:val="2"/>
        </w:numPr>
        <w:tabs>
          <w:tab w:val="left" w:pos="567"/>
          <w:tab w:val="num" w:pos="1569"/>
          <w:tab w:val="num" w:pos="12305"/>
        </w:tabs>
        <w:ind w:left="0" w:firstLine="0"/>
        <w:rPr>
          <w:sz w:val="20"/>
          <w:szCs w:val="20"/>
        </w:rPr>
      </w:pPr>
      <w:r w:rsidRPr="00593BF7">
        <w:rPr>
          <w:sz w:val="20"/>
          <w:szCs w:val="20"/>
        </w:rPr>
        <w:lastRenderedPageBreak/>
        <w:t>Esta Corte</w:t>
      </w:r>
      <w:r>
        <w:rPr>
          <w:sz w:val="20"/>
          <w:szCs w:val="20"/>
        </w:rPr>
        <w:t xml:space="preserve"> </w:t>
      </w:r>
      <w:r w:rsidR="00BE6F31" w:rsidRPr="00AB34B8">
        <w:rPr>
          <w:sz w:val="20"/>
          <w:szCs w:val="20"/>
        </w:rPr>
        <w:t xml:space="preserve">también ha destacado que la contribución de parte del Estado para crear o agravar la situación de vulnerabilidad de una persona </w:t>
      </w:r>
      <w:r w:rsidR="00BE6F31" w:rsidRPr="00225483">
        <w:rPr>
          <w:sz w:val="20"/>
          <w:szCs w:val="20"/>
        </w:rPr>
        <w:t>posee un impacto significativo en la integridad de las personas que le rodean, en particular de los familiares cercanos que se ven obligados a afrontar la incertidumbre e inseguridad generada por la vulneración de su familia nuclear o cercana</w:t>
      </w:r>
      <w:r w:rsidR="00BE6F31" w:rsidRPr="00AB34B8">
        <w:rPr>
          <w:sz w:val="20"/>
          <w:szCs w:val="20"/>
          <w:vertAlign w:val="superscript"/>
        </w:rPr>
        <w:footnoteReference w:id="299"/>
      </w:r>
      <w:r w:rsidR="00BE6F31" w:rsidRPr="00AB34B8">
        <w:rPr>
          <w:sz w:val="20"/>
          <w:szCs w:val="20"/>
        </w:rPr>
        <w:t>.</w:t>
      </w:r>
    </w:p>
    <w:p w14:paraId="65A496A2" w14:textId="77777777" w:rsidR="00BE6F31" w:rsidRPr="00BE6F31" w:rsidRDefault="00BE6F31" w:rsidP="00BE6F31">
      <w:pPr>
        <w:tabs>
          <w:tab w:val="left" w:pos="567"/>
          <w:tab w:val="num" w:pos="12305"/>
        </w:tabs>
        <w:rPr>
          <w:sz w:val="20"/>
          <w:szCs w:val="20"/>
        </w:rPr>
      </w:pPr>
    </w:p>
    <w:p w14:paraId="7633BB29" w14:textId="05D20873" w:rsidR="00BE6F31" w:rsidRPr="00F1435E" w:rsidRDefault="00BE6F31" w:rsidP="00BE6F31">
      <w:pPr>
        <w:numPr>
          <w:ilvl w:val="0"/>
          <w:numId w:val="2"/>
        </w:numPr>
        <w:tabs>
          <w:tab w:val="left" w:pos="567"/>
          <w:tab w:val="num" w:pos="1569"/>
          <w:tab w:val="num" w:pos="12305"/>
        </w:tabs>
        <w:ind w:left="0" w:firstLine="0"/>
        <w:rPr>
          <w:sz w:val="20"/>
          <w:szCs w:val="20"/>
        </w:rPr>
      </w:pPr>
      <w:r w:rsidRPr="0095252C">
        <w:rPr>
          <w:sz w:val="20"/>
          <w:szCs w:val="20"/>
        </w:rPr>
        <w:t>En</w:t>
      </w:r>
      <w:r w:rsidRPr="00F1435E">
        <w:rPr>
          <w:sz w:val="20"/>
          <w:szCs w:val="20"/>
        </w:rPr>
        <w:t xml:space="preserve"> el caso concreto, las afectaciones físicas y psicológicas de los familiares del señor Poblete Vilches consistentes en: i) que la señora Blanca Tapia Encina “cayó en una profunda depresión [que] se [fue] agravando a medida que los intentos de esclarecer la muerte de su esposo y obtener justicia se fueron frustrando uno tras otro. Poco después le diagnosticaron cáncer, enfermedad que de modo fulminante desencadenó su muerte el 13 de enero de 2003, es decir menos de dos años después de la muerte de su esposo. La causa de la muerte se determinó como estado séptico, cáncer vesícula biliar con metástasis múltiple”; ii) el cuadro depresivo padecido por la señora </w:t>
      </w:r>
      <w:proofErr w:type="spellStart"/>
      <w:r w:rsidRPr="00F1435E">
        <w:rPr>
          <w:sz w:val="20"/>
          <w:szCs w:val="20"/>
        </w:rPr>
        <w:t>Cesia</w:t>
      </w:r>
      <w:proofErr w:type="spellEnd"/>
      <w:r w:rsidRPr="00F1435E">
        <w:rPr>
          <w:sz w:val="20"/>
          <w:szCs w:val="20"/>
        </w:rPr>
        <w:t xml:space="preserve"> Leila Poblete Tapia, ocasionado por la muerte del señor Vinicio Poblete Vilches y que le orilló a un intento suicida; iii) el cáncer diagnosticado al señor Vinicio Marco Antonio Poblete Tapia, en el año 2005, la posterior extirpaci</w:t>
      </w:r>
      <w:r w:rsidRPr="00F1435E">
        <w:rPr>
          <w:rFonts w:cs="Arial"/>
          <w:sz w:val="20"/>
          <w:szCs w:val="20"/>
        </w:rPr>
        <w:t>ón de su</w:t>
      </w:r>
      <w:r w:rsidRPr="00F1435E">
        <w:rPr>
          <w:sz w:val="20"/>
          <w:szCs w:val="20"/>
        </w:rPr>
        <w:t xml:space="preserve"> riñón derecho y sus respectivas secuelas, así como la enfermedad pulmonar obstructiva crónica, “producto de un </w:t>
      </w:r>
      <w:proofErr w:type="spellStart"/>
      <w:r w:rsidRPr="00F1435E">
        <w:rPr>
          <w:sz w:val="20"/>
          <w:szCs w:val="20"/>
        </w:rPr>
        <w:t>efisema</w:t>
      </w:r>
      <w:proofErr w:type="spellEnd"/>
      <w:r w:rsidRPr="00F1435E">
        <w:rPr>
          <w:sz w:val="20"/>
          <w:szCs w:val="20"/>
        </w:rPr>
        <w:t xml:space="preserve"> pulmonar previo”, el diagnóstico de diabetes tipo </w:t>
      </w:r>
      <w:r w:rsidR="009050E8" w:rsidRPr="005430FF">
        <w:rPr>
          <w:sz w:val="20"/>
          <w:szCs w:val="20"/>
        </w:rPr>
        <w:t>mellitus</w:t>
      </w:r>
      <w:r w:rsidRPr="00F1435E">
        <w:rPr>
          <w:sz w:val="20"/>
          <w:szCs w:val="20"/>
        </w:rPr>
        <w:t xml:space="preserve"> en el año 2013 y la aparición de nódulos tiroideos; y, por último, iv) la muerte del señor Gonzalo Poblete Tapia como consecuencia de un infarto, quien previamente padecía de una severa apoplejía desde su infancia producto de u</w:t>
      </w:r>
      <w:r>
        <w:rPr>
          <w:sz w:val="20"/>
          <w:szCs w:val="20"/>
        </w:rPr>
        <w:t>na meningitis intrahospitalaria y</w:t>
      </w:r>
      <w:r w:rsidRPr="00F1435E">
        <w:rPr>
          <w:sz w:val="20"/>
          <w:szCs w:val="20"/>
        </w:rPr>
        <w:t xml:space="preserve"> manifestó síntomas de depresión y un deterioro general de su salud</w:t>
      </w:r>
      <w:r>
        <w:rPr>
          <w:sz w:val="20"/>
          <w:szCs w:val="20"/>
        </w:rPr>
        <w:t>.</w:t>
      </w:r>
    </w:p>
    <w:p w14:paraId="39A00CD4" w14:textId="77777777" w:rsidR="00BE6F31" w:rsidRPr="00F1435E" w:rsidRDefault="00BE6F31" w:rsidP="00BE6F31">
      <w:pPr>
        <w:ind w:right="-360"/>
        <w:rPr>
          <w:sz w:val="20"/>
          <w:szCs w:val="20"/>
        </w:rPr>
      </w:pPr>
    </w:p>
    <w:p w14:paraId="4C19014C" w14:textId="2FDAD2D7" w:rsidR="00BE6F31" w:rsidRDefault="00BE6F31" w:rsidP="00BE6F31">
      <w:pPr>
        <w:numPr>
          <w:ilvl w:val="0"/>
          <w:numId w:val="2"/>
        </w:numPr>
        <w:tabs>
          <w:tab w:val="left" w:pos="567"/>
          <w:tab w:val="num" w:pos="1569"/>
          <w:tab w:val="num" w:pos="12305"/>
        </w:tabs>
        <w:ind w:left="0" w:firstLine="0"/>
        <w:rPr>
          <w:sz w:val="20"/>
          <w:szCs w:val="20"/>
        </w:rPr>
      </w:pPr>
      <w:r>
        <w:rPr>
          <w:sz w:val="20"/>
          <w:szCs w:val="20"/>
        </w:rPr>
        <w:t xml:space="preserve">Al respecto, </w:t>
      </w:r>
      <w:r w:rsidRPr="00F1435E">
        <w:rPr>
          <w:sz w:val="20"/>
          <w:szCs w:val="20"/>
        </w:rPr>
        <w:t xml:space="preserve">la </w:t>
      </w:r>
      <w:r>
        <w:rPr>
          <w:sz w:val="20"/>
          <w:szCs w:val="20"/>
        </w:rPr>
        <w:t>Corte no cuenta c</w:t>
      </w:r>
      <w:proofErr w:type="spellStart"/>
      <w:r w:rsidRPr="00BE61A4">
        <w:rPr>
          <w:sz w:val="20"/>
          <w:szCs w:val="20"/>
          <w:lang w:val="es-ES_tradnl"/>
        </w:rPr>
        <w:t>on</w:t>
      </w:r>
      <w:proofErr w:type="spellEnd"/>
      <w:r w:rsidRPr="00BE61A4">
        <w:rPr>
          <w:sz w:val="20"/>
          <w:szCs w:val="20"/>
          <w:lang w:val="es-ES_tradnl"/>
        </w:rPr>
        <w:t xml:space="preserve"> eleme</w:t>
      </w:r>
      <w:r>
        <w:rPr>
          <w:sz w:val="20"/>
          <w:szCs w:val="20"/>
          <w:lang w:val="es-ES_tradnl"/>
        </w:rPr>
        <w:t xml:space="preserve">ntos para determinar </w:t>
      </w:r>
      <w:r w:rsidR="00634EC2">
        <w:rPr>
          <w:sz w:val="20"/>
          <w:szCs w:val="20"/>
          <w:lang w:val="es-ES_tradnl"/>
        </w:rPr>
        <w:t>fehacientemente</w:t>
      </w:r>
      <w:r w:rsidR="00634EC2" w:rsidRPr="00F1435E">
        <w:rPr>
          <w:sz w:val="20"/>
          <w:szCs w:val="20"/>
        </w:rPr>
        <w:t xml:space="preserve"> </w:t>
      </w:r>
      <w:r w:rsidRPr="00F1435E">
        <w:rPr>
          <w:sz w:val="20"/>
          <w:szCs w:val="20"/>
        </w:rPr>
        <w:t xml:space="preserve">que los padecimientos físicos y </w:t>
      </w:r>
      <w:r>
        <w:rPr>
          <w:sz w:val="20"/>
          <w:szCs w:val="20"/>
        </w:rPr>
        <w:t xml:space="preserve">los </w:t>
      </w:r>
      <w:r w:rsidRPr="00F1435E">
        <w:rPr>
          <w:sz w:val="20"/>
          <w:szCs w:val="20"/>
        </w:rPr>
        <w:t xml:space="preserve">desenlaces mortales referidos </w:t>
      </w:r>
      <w:r>
        <w:rPr>
          <w:sz w:val="20"/>
          <w:szCs w:val="20"/>
        </w:rPr>
        <w:t xml:space="preserve">por los familiares </w:t>
      </w:r>
      <w:r w:rsidRPr="00F1435E">
        <w:rPr>
          <w:sz w:val="20"/>
          <w:szCs w:val="20"/>
        </w:rPr>
        <w:t xml:space="preserve">fueran consecuencia necesaria de los hechos </w:t>
      </w:r>
      <w:r>
        <w:rPr>
          <w:sz w:val="20"/>
          <w:szCs w:val="20"/>
        </w:rPr>
        <w:t>analizados en este caso</w:t>
      </w:r>
      <w:r w:rsidR="00AA4FE7">
        <w:rPr>
          <w:sz w:val="20"/>
          <w:szCs w:val="20"/>
        </w:rPr>
        <w:t>. A</w:t>
      </w:r>
      <w:r>
        <w:rPr>
          <w:sz w:val="20"/>
          <w:szCs w:val="20"/>
        </w:rPr>
        <w:t xml:space="preserve">l </w:t>
      </w:r>
      <w:r w:rsidRPr="00F1435E">
        <w:rPr>
          <w:sz w:val="20"/>
          <w:szCs w:val="20"/>
        </w:rPr>
        <w:t xml:space="preserve">no existir prueba </w:t>
      </w:r>
      <w:r w:rsidRPr="00F1435E">
        <w:rPr>
          <w:sz w:val="20"/>
          <w:szCs w:val="20"/>
          <w:lang w:val="es-ES"/>
        </w:rPr>
        <w:t>que acredite el</w:t>
      </w:r>
      <w:r w:rsidRPr="00F1435E">
        <w:rPr>
          <w:sz w:val="20"/>
          <w:szCs w:val="20"/>
        </w:rPr>
        <w:t xml:space="preserve"> nexo causal entre sus afectaciones físicas y la</w:t>
      </w:r>
      <w:r>
        <w:rPr>
          <w:sz w:val="20"/>
          <w:szCs w:val="20"/>
        </w:rPr>
        <w:t xml:space="preserve">s imputaciones realizadas al Estado, </w:t>
      </w:r>
      <w:r w:rsidR="00AA4FE7">
        <w:rPr>
          <w:sz w:val="20"/>
          <w:szCs w:val="20"/>
        </w:rPr>
        <w:t>la Corte concluye que</w:t>
      </w:r>
      <w:r>
        <w:rPr>
          <w:sz w:val="20"/>
          <w:szCs w:val="20"/>
        </w:rPr>
        <w:t xml:space="preserve"> no se acreditó una violación en este aspecto a </w:t>
      </w:r>
      <w:r w:rsidRPr="00F1435E">
        <w:rPr>
          <w:sz w:val="20"/>
          <w:szCs w:val="20"/>
        </w:rPr>
        <w:t xml:space="preserve">la integridad personal </w:t>
      </w:r>
      <w:r>
        <w:rPr>
          <w:sz w:val="20"/>
          <w:szCs w:val="20"/>
        </w:rPr>
        <w:t>en perjuicio de</w:t>
      </w:r>
      <w:r w:rsidRPr="00F1435E">
        <w:rPr>
          <w:sz w:val="20"/>
          <w:szCs w:val="20"/>
        </w:rPr>
        <w:t xml:space="preserve"> </w:t>
      </w:r>
      <w:r w:rsidRPr="00F1435E">
        <w:rPr>
          <w:sz w:val="20"/>
          <w:szCs w:val="20"/>
          <w:lang w:val="es-AR"/>
        </w:rPr>
        <w:t>Blanca Tapia Encina, Vinicio Marco Antonio Poblete Vilches</w:t>
      </w:r>
      <w:r w:rsidRPr="00F1435E">
        <w:rPr>
          <w:sz w:val="20"/>
          <w:szCs w:val="20"/>
        </w:rPr>
        <w:t xml:space="preserve">, </w:t>
      </w:r>
      <w:proofErr w:type="spellStart"/>
      <w:r w:rsidRPr="00F1435E">
        <w:rPr>
          <w:sz w:val="20"/>
          <w:szCs w:val="20"/>
        </w:rPr>
        <w:t>Cesia</w:t>
      </w:r>
      <w:proofErr w:type="spellEnd"/>
      <w:r w:rsidRPr="00F1435E">
        <w:rPr>
          <w:sz w:val="20"/>
          <w:szCs w:val="20"/>
        </w:rPr>
        <w:t xml:space="preserve"> Leila Siria Poblete Vilches y Gonzalo Poblete</w:t>
      </w:r>
      <w:r>
        <w:rPr>
          <w:sz w:val="20"/>
          <w:szCs w:val="20"/>
        </w:rPr>
        <w:t xml:space="preserve"> Vilches.</w:t>
      </w:r>
    </w:p>
    <w:p w14:paraId="7653AA1B" w14:textId="77777777" w:rsidR="00BE6F31" w:rsidRDefault="00BE6F31" w:rsidP="00BE6F31">
      <w:pPr>
        <w:ind w:right="-360"/>
        <w:rPr>
          <w:sz w:val="20"/>
          <w:szCs w:val="20"/>
        </w:rPr>
      </w:pPr>
    </w:p>
    <w:p w14:paraId="02B1C46D" w14:textId="778ACB9F" w:rsidR="008F1192" w:rsidRDefault="00BE6F31" w:rsidP="00C27894">
      <w:pPr>
        <w:numPr>
          <w:ilvl w:val="0"/>
          <w:numId w:val="2"/>
        </w:numPr>
        <w:tabs>
          <w:tab w:val="left" w:pos="567"/>
          <w:tab w:val="num" w:pos="1569"/>
          <w:tab w:val="num" w:pos="12305"/>
        </w:tabs>
        <w:ind w:left="0" w:firstLine="0"/>
        <w:rPr>
          <w:sz w:val="20"/>
          <w:szCs w:val="20"/>
        </w:rPr>
      </w:pPr>
      <w:r w:rsidRPr="008F1192">
        <w:rPr>
          <w:sz w:val="20"/>
          <w:szCs w:val="20"/>
        </w:rPr>
        <w:t xml:space="preserve">No obstante, el Tribunal ha estimado violado </w:t>
      </w:r>
      <w:r w:rsidRPr="008B0574">
        <w:rPr>
          <w:sz w:val="20"/>
          <w:szCs w:val="20"/>
        </w:rPr>
        <w:t>el derecho a la integridad psíquica y moral en perjuicio de determinados familiares con motivo del sufrimiento que estos han padecido a causa de las actuaciones u omisiones de las autoridades estatales</w:t>
      </w:r>
      <w:r w:rsidRPr="00F1435E">
        <w:rPr>
          <w:rStyle w:val="FootnoteReference"/>
          <w:sz w:val="20"/>
          <w:szCs w:val="20"/>
        </w:rPr>
        <w:footnoteReference w:id="300"/>
      </w:r>
      <w:r w:rsidRPr="008F1192">
        <w:rPr>
          <w:sz w:val="20"/>
          <w:szCs w:val="20"/>
        </w:rPr>
        <w:t xml:space="preserve">, considerando, entre otros aspectos, </w:t>
      </w:r>
      <w:r w:rsidRPr="008B0574">
        <w:rPr>
          <w:sz w:val="20"/>
          <w:szCs w:val="20"/>
        </w:rPr>
        <w:t xml:space="preserve">las gestiones llevadas a cabo por </w:t>
      </w:r>
      <w:r w:rsidRPr="008B0574">
        <w:rPr>
          <w:rFonts w:cs="Arial"/>
          <w:sz w:val="20"/>
          <w:szCs w:val="20"/>
        </w:rPr>
        <w:t>éstos</w:t>
      </w:r>
      <w:r w:rsidRPr="008B0574">
        <w:rPr>
          <w:sz w:val="20"/>
          <w:szCs w:val="20"/>
        </w:rPr>
        <w:t xml:space="preserve"> para obtener justicia y la existencia de un estrecho vínculo familiar</w:t>
      </w:r>
      <w:r w:rsidRPr="00F1435E">
        <w:rPr>
          <w:rStyle w:val="FootnoteReference"/>
          <w:sz w:val="20"/>
          <w:szCs w:val="20"/>
        </w:rPr>
        <w:footnoteReference w:id="301"/>
      </w:r>
      <w:r w:rsidRPr="008F1192">
        <w:rPr>
          <w:sz w:val="20"/>
          <w:szCs w:val="20"/>
        </w:rPr>
        <w:t xml:space="preserve">. Del mismo modo, ha sido </w:t>
      </w:r>
      <w:r w:rsidR="002B0772" w:rsidRPr="008F1192">
        <w:rPr>
          <w:sz w:val="20"/>
          <w:szCs w:val="20"/>
        </w:rPr>
        <w:t>determinad</w:t>
      </w:r>
      <w:r w:rsidR="002B0772">
        <w:rPr>
          <w:sz w:val="20"/>
          <w:szCs w:val="20"/>
        </w:rPr>
        <w:t>o</w:t>
      </w:r>
      <w:r w:rsidR="002B0772" w:rsidRPr="008F1192">
        <w:rPr>
          <w:sz w:val="20"/>
          <w:szCs w:val="20"/>
        </w:rPr>
        <w:t xml:space="preserve"> </w:t>
      </w:r>
      <w:r w:rsidRPr="008F1192">
        <w:rPr>
          <w:sz w:val="20"/>
          <w:szCs w:val="20"/>
        </w:rPr>
        <w:t>la violación de este derecho en virtud del sufrimiento ocasionado a partir de los hechos perpetrados en contra de sus seres queridos</w:t>
      </w:r>
      <w:r w:rsidRPr="00F1435E">
        <w:rPr>
          <w:rStyle w:val="FootnoteReference"/>
          <w:sz w:val="20"/>
          <w:szCs w:val="20"/>
        </w:rPr>
        <w:footnoteReference w:id="302"/>
      </w:r>
      <w:r w:rsidRPr="008F1192">
        <w:rPr>
          <w:sz w:val="20"/>
          <w:szCs w:val="20"/>
        </w:rPr>
        <w:t xml:space="preserve">. </w:t>
      </w:r>
    </w:p>
    <w:p w14:paraId="78C92B63" w14:textId="77777777" w:rsidR="001C1F1A" w:rsidRDefault="001C1F1A" w:rsidP="00C27894">
      <w:pPr>
        <w:tabs>
          <w:tab w:val="left" w:pos="567"/>
        </w:tabs>
        <w:rPr>
          <w:strike/>
          <w:sz w:val="20"/>
          <w:szCs w:val="20"/>
        </w:rPr>
      </w:pPr>
    </w:p>
    <w:p w14:paraId="58927219" w14:textId="77777777" w:rsidR="00BE6F31" w:rsidRDefault="001C1F1A" w:rsidP="006B458C">
      <w:pPr>
        <w:numPr>
          <w:ilvl w:val="0"/>
          <w:numId w:val="2"/>
        </w:numPr>
        <w:tabs>
          <w:tab w:val="left" w:pos="567"/>
          <w:tab w:val="num" w:pos="1569"/>
          <w:tab w:val="num" w:pos="12305"/>
        </w:tabs>
        <w:ind w:left="0" w:firstLine="0"/>
        <w:rPr>
          <w:sz w:val="20"/>
          <w:szCs w:val="20"/>
        </w:rPr>
      </w:pPr>
      <w:r w:rsidRPr="00C27894">
        <w:rPr>
          <w:sz w:val="20"/>
          <w:szCs w:val="20"/>
        </w:rPr>
        <w:t xml:space="preserve">Al respecto, </w:t>
      </w:r>
      <w:r>
        <w:rPr>
          <w:sz w:val="20"/>
          <w:szCs w:val="20"/>
        </w:rPr>
        <w:t xml:space="preserve">en audiencia pública Vinicio Marco Poblete declaró ante la Corte que: </w:t>
      </w:r>
    </w:p>
    <w:p w14:paraId="05300087" w14:textId="77777777" w:rsidR="001C1F1A" w:rsidRDefault="001C1F1A" w:rsidP="00C27894">
      <w:pPr>
        <w:tabs>
          <w:tab w:val="left" w:pos="567"/>
        </w:tabs>
        <w:rPr>
          <w:sz w:val="20"/>
          <w:szCs w:val="20"/>
        </w:rPr>
      </w:pPr>
    </w:p>
    <w:p w14:paraId="1D90ED8C" w14:textId="77777777" w:rsidR="001C1F1A" w:rsidRPr="00C27894" w:rsidRDefault="001C1F1A" w:rsidP="00C27894">
      <w:pPr>
        <w:ind w:left="708"/>
        <w:rPr>
          <w:sz w:val="18"/>
        </w:rPr>
      </w:pPr>
      <w:r>
        <w:rPr>
          <w:sz w:val="18"/>
        </w:rPr>
        <w:t xml:space="preserve">“[…] </w:t>
      </w:r>
      <w:r w:rsidRPr="00C27894">
        <w:rPr>
          <w:sz w:val="18"/>
        </w:rPr>
        <w:t>mi familia se destruyó por la injusticia, fuimos discriminados, humillados por ser pobres, por el órgano del Estado de Chile. El Estado durante más de 16 años están en conocimiento de lo que había sucedido con mi padre en el hospital Sotero del Río y el Estado nunca invest</w:t>
      </w:r>
      <w:r w:rsidRPr="001C1F1A">
        <w:rPr>
          <w:sz w:val="18"/>
        </w:rPr>
        <w:t>igó la muerte de mi papá, jamás</w:t>
      </w:r>
      <w:r w:rsidRPr="00C27894">
        <w:rPr>
          <w:sz w:val="18"/>
        </w:rPr>
        <w:t xml:space="preserve"> </w:t>
      </w:r>
      <w:r>
        <w:rPr>
          <w:sz w:val="18"/>
        </w:rPr>
        <w:t>[…].</w:t>
      </w:r>
      <w:r w:rsidRPr="001C1F1A">
        <w:rPr>
          <w:sz w:val="18"/>
        </w:rPr>
        <w:t xml:space="preserve"> </w:t>
      </w:r>
      <w:r>
        <w:rPr>
          <w:sz w:val="18"/>
        </w:rPr>
        <w:t>[P]</w:t>
      </w:r>
      <w:r w:rsidRPr="00C27894">
        <w:rPr>
          <w:sz w:val="18"/>
        </w:rPr>
        <w:t xml:space="preserve">ara ellos solo fue un hombre pobre que mataron en un hospital público. Mi papá fue humillado, maltratado física y psicológicamente por ser una persona mayor en un hospital </w:t>
      </w:r>
      <w:r w:rsidRPr="00C27894">
        <w:rPr>
          <w:sz w:val="18"/>
        </w:rPr>
        <w:lastRenderedPageBreak/>
        <w:t>público. Fue una víctima de la salud pública chilena y todos los sufrimientos destruyeron a mi familia […]</w:t>
      </w:r>
      <w:r>
        <w:rPr>
          <w:sz w:val="18"/>
        </w:rPr>
        <w:t xml:space="preserve"> </w:t>
      </w:r>
      <w:r w:rsidRPr="00C27894">
        <w:rPr>
          <w:sz w:val="18"/>
        </w:rPr>
        <w:t xml:space="preserve">han sido años de sufrimiento y de injusticia </w:t>
      </w:r>
      <w:r>
        <w:rPr>
          <w:sz w:val="18"/>
        </w:rPr>
        <w:t xml:space="preserve">[para] </w:t>
      </w:r>
      <w:r w:rsidRPr="00C27894">
        <w:rPr>
          <w:sz w:val="18"/>
        </w:rPr>
        <w:t>nosotros. Hemos sufrido demasiado, demasiado con mi hermana [...]”</w:t>
      </w:r>
      <w:r>
        <w:rPr>
          <w:sz w:val="18"/>
        </w:rPr>
        <w:t>.</w:t>
      </w:r>
    </w:p>
    <w:p w14:paraId="5BF5D7AB" w14:textId="77777777" w:rsidR="001C1F1A" w:rsidRPr="008F1192" w:rsidRDefault="001C1F1A" w:rsidP="00C27894">
      <w:pPr>
        <w:tabs>
          <w:tab w:val="left" w:pos="567"/>
        </w:tabs>
        <w:rPr>
          <w:sz w:val="20"/>
          <w:szCs w:val="20"/>
        </w:rPr>
      </w:pPr>
    </w:p>
    <w:p w14:paraId="015FA3BA" w14:textId="09090D7B" w:rsidR="00CD3FD7" w:rsidRPr="00AA7ACB" w:rsidRDefault="00BE6F31" w:rsidP="009943EE">
      <w:pPr>
        <w:numPr>
          <w:ilvl w:val="0"/>
          <w:numId w:val="2"/>
        </w:numPr>
        <w:tabs>
          <w:tab w:val="left" w:pos="567"/>
          <w:tab w:val="num" w:pos="1569"/>
          <w:tab w:val="num" w:pos="12305"/>
        </w:tabs>
        <w:ind w:left="0" w:firstLine="0"/>
        <w:rPr>
          <w:sz w:val="20"/>
          <w:szCs w:val="20"/>
        </w:rPr>
      </w:pPr>
      <w:r w:rsidRPr="00AA7ACB">
        <w:rPr>
          <w:sz w:val="20"/>
          <w:szCs w:val="20"/>
        </w:rPr>
        <w:t>En este sentido,</w:t>
      </w:r>
      <w:r w:rsidR="001C1F1A" w:rsidRPr="00C27894">
        <w:rPr>
          <w:sz w:val="20"/>
          <w:szCs w:val="20"/>
        </w:rPr>
        <w:t xml:space="preserve"> </w:t>
      </w:r>
      <w:r w:rsidRPr="00AA7ACB">
        <w:rPr>
          <w:sz w:val="20"/>
          <w:szCs w:val="20"/>
        </w:rPr>
        <w:t xml:space="preserve">el Tribunal estima que para el caso concreto </w:t>
      </w:r>
      <w:r w:rsidR="001C1F1A" w:rsidRPr="00C27894">
        <w:rPr>
          <w:sz w:val="20"/>
          <w:szCs w:val="20"/>
        </w:rPr>
        <w:t xml:space="preserve">se acreditó que, con motivo del </w:t>
      </w:r>
      <w:r w:rsidRPr="00AA7ACB">
        <w:rPr>
          <w:sz w:val="20"/>
          <w:szCs w:val="20"/>
        </w:rPr>
        <w:t>estrecho vínculo familiar</w:t>
      </w:r>
      <w:r w:rsidR="001C1F1A" w:rsidRPr="00C27894">
        <w:rPr>
          <w:sz w:val="20"/>
          <w:szCs w:val="20"/>
        </w:rPr>
        <w:t xml:space="preserve"> que </w:t>
      </w:r>
      <w:r w:rsidRPr="00AA7ACB">
        <w:rPr>
          <w:sz w:val="20"/>
          <w:szCs w:val="20"/>
        </w:rPr>
        <w:t>guardaban con la víctima</w:t>
      </w:r>
      <w:r w:rsidR="00AA7ACB">
        <w:rPr>
          <w:sz w:val="20"/>
          <w:szCs w:val="20"/>
        </w:rPr>
        <w:t xml:space="preserve"> directa</w:t>
      </w:r>
      <w:r w:rsidRPr="00AA7ACB">
        <w:rPr>
          <w:sz w:val="20"/>
          <w:szCs w:val="20"/>
        </w:rPr>
        <w:t>, se desprende</w:t>
      </w:r>
      <w:r w:rsidR="001C1F1A" w:rsidRPr="00C27894">
        <w:rPr>
          <w:sz w:val="20"/>
          <w:szCs w:val="20"/>
        </w:rPr>
        <w:t>n</w:t>
      </w:r>
      <w:r w:rsidRPr="00AA7ACB">
        <w:rPr>
          <w:sz w:val="20"/>
          <w:szCs w:val="20"/>
        </w:rPr>
        <w:t xml:space="preserve"> </w:t>
      </w:r>
      <w:r w:rsidR="001C1F1A" w:rsidRPr="00C27894">
        <w:rPr>
          <w:sz w:val="20"/>
          <w:szCs w:val="20"/>
        </w:rPr>
        <w:t xml:space="preserve">lógicos los </w:t>
      </w:r>
      <w:r w:rsidRPr="00AA7ACB">
        <w:rPr>
          <w:sz w:val="20"/>
          <w:szCs w:val="20"/>
        </w:rPr>
        <w:t>sufrimiento</w:t>
      </w:r>
      <w:r w:rsidR="001C1F1A" w:rsidRPr="00C27894">
        <w:rPr>
          <w:sz w:val="20"/>
          <w:szCs w:val="20"/>
        </w:rPr>
        <w:t>s</w:t>
      </w:r>
      <w:r w:rsidRPr="00AA7ACB">
        <w:rPr>
          <w:sz w:val="20"/>
          <w:szCs w:val="20"/>
        </w:rPr>
        <w:t xml:space="preserve"> ocasionado</w:t>
      </w:r>
      <w:r w:rsidR="0070441D">
        <w:rPr>
          <w:sz w:val="20"/>
          <w:szCs w:val="20"/>
        </w:rPr>
        <w:t>s</w:t>
      </w:r>
      <w:r w:rsidRPr="00AA7ACB">
        <w:rPr>
          <w:sz w:val="20"/>
          <w:szCs w:val="20"/>
        </w:rPr>
        <w:t xml:space="preserve"> </w:t>
      </w:r>
      <w:r w:rsidR="001C1F1A" w:rsidRPr="00C27894">
        <w:rPr>
          <w:sz w:val="20"/>
          <w:szCs w:val="20"/>
        </w:rPr>
        <w:t xml:space="preserve">con motivo del trato recibido </w:t>
      </w:r>
      <w:r w:rsidRPr="00AA7ACB">
        <w:rPr>
          <w:sz w:val="20"/>
          <w:szCs w:val="20"/>
        </w:rPr>
        <w:t xml:space="preserve">en un primer momento en el Hospital </w:t>
      </w:r>
      <w:proofErr w:type="spellStart"/>
      <w:r w:rsidRPr="00AA7ACB">
        <w:rPr>
          <w:sz w:val="20"/>
          <w:szCs w:val="20"/>
        </w:rPr>
        <w:t>Sótero</w:t>
      </w:r>
      <w:proofErr w:type="spellEnd"/>
      <w:r w:rsidRPr="00AA7ACB">
        <w:rPr>
          <w:sz w:val="20"/>
          <w:szCs w:val="20"/>
        </w:rPr>
        <w:t xml:space="preserve"> del Río, tales como </w:t>
      </w:r>
      <w:r w:rsidR="001C1F1A" w:rsidRPr="00C27894">
        <w:rPr>
          <w:sz w:val="20"/>
          <w:szCs w:val="20"/>
        </w:rPr>
        <w:t xml:space="preserve">la imposibilidad de ver a su familiar, la falta de información </w:t>
      </w:r>
      <w:r w:rsidR="00AA7ACB">
        <w:rPr>
          <w:sz w:val="20"/>
          <w:szCs w:val="20"/>
        </w:rPr>
        <w:t>sobre un</w:t>
      </w:r>
      <w:r w:rsidR="001C1F1A" w:rsidRPr="00C27894">
        <w:rPr>
          <w:sz w:val="20"/>
          <w:szCs w:val="20"/>
        </w:rPr>
        <w:t xml:space="preserve"> diagnóstico claro </w:t>
      </w:r>
      <w:r w:rsidR="00AA7ACB">
        <w:rPr>
          <w:sz w:val="20"/>
          <w:szCs w:val="20"/>
        </w:rPr>
        <w:t xml:space="preserve">del paciente </w:t>
      </w:r>
      <w:r w:rsidR="001C1F1A" w:rsidRPr="00C27894">
        <w:rPr>
          <w:sz w:val="20"/>
          <w:szCs w:val="20"/>
        </w:rPr>
        <w:t>y forma de atender</w:t>
      </w:r>
      <w:r w:rsidR="00AA7ACB">
        <w:rPr>
          <w:sz w:val="20"/>
          <w:szCs w:val="20"/>
        </w:rPr>
        <w:t xml:space="preserve">lo </w:t>
      </w:r>
      <w:r w:rsidR="001C1F1A" w:rsidRPr="00C27894">
        <w:rPr>
          <w:sz w:val="20"/>
          <w:szCs w:val="20"/>
        </w:rPr>
        <w:t xml:space="preserve">en su </w:t>
      </w:r>
      <w:r w:rsidR="00AA7ACB" w:rsidRPr="00C27894">
        <w:rPr>
          <w:sz w:val="20"/>
          <w:szCs w:val="20"/>
        </w:rPr>
        <w:t>domicilio</w:t>
      </w:r>
      <w:r w:rsidR="00AA7ACB">
        <w:rPr>
          <w:sz w:val="20"/>
          <w:szCs w:val="20"/>
        </w:rPr>
        <w:t xml:space="preserve"> al ser dado de alta,</w:t>
      </w:r>
      <w:r w:rsidRPr="00AA7ACB">
        <w:rPr>
          <w:sz w:val="20"/>
          <w:szCs w:val="20"/>
        </w:rPr>
        <w:t xml:space="preserve"> </w:t>
      </w:r>
      <w:r w:rsidR="00C850E0" w:rsidRPr="00C27894">
        <w:rPr>
          <w:sz w:val="20"/>
          <w:szCs w:val="20"/>
        </w:rPr>
        <w:t xml:space="preserve">y particularmente la falta de obtención de su consentimiento </w:t>
      </w:r>
      <w:r w:rsidR="00AA7ACB">
        <w:rPr>
          <w:sz w:val="20"/>
          <w:szCs w:val="20"/>
        </w:rPr>
        <w:t xml:space="preserve">respecto de la intervención a su familiar </w:t>
      </w:r>
      <w:r w:rsidRPr="00AA7ACB">
        <w:rPr>
          <w:sz w:val="20"/>
          <w:szCs w:val="20"/>
        </w:rPr>
        <w:t>(</w:t>
      </w:r>
      <w:r w:rsidR="00062586" w:rsidRPr="00062586">
        <w:rPr>
          <w:i/>
          <w:sz w:val="20"/>
          <w:szCs w:val="20"/>
        </w:rPr>
        <w:t>supra</w:t>
      </w:r>
      <w:r w:rsidRPr="00AA7ACB">
        <w:rPr>
          <w:sz w:val="20"/>
          <w:szCs w:val="20"/>
        </w:rPr>
        <w:t xml:space="preserve"> párr</w:t>
      </w:r>
      <w:r w:rsidR="002B0772" w:rsidRPr="00AA7ACB">
        <w:rPr>
          <w:sz w:val="20"/>
          <w:szCs w:val="20"/>
        </w:rPr>
        <w:t>.</w:t>
      </w:r>
      <w:r w:rsidR="002B0772">
        <w:rPr>
          <w:sz w:val="20"/>
          <w:szCs w:val="20"/>
        </w:rPr>
        <w:t xml:space="preserve"> </w:t>
      </w:r>
      <w:r w:rsidR="00AB34B8">
        <w:rPr>
          <w:sz w:val="20"/>
          <w:szCs w:val="20"/>
        </w:rPr>
        <w:t>173</w:t>
      </w:r>
      <w:r w:rsidRPr="00AA7ACB">
        <w:rPr>
          <w:sz w:val="20"/>
          <w:szCs w:val="20"/>
        </w:rPr>
        <w:t xml:space="preserve">). Asimismo, </w:t>
      </w:r>
      <w:r w:rsidR="00AA7ACB" w:rsidRPr="00C27894">
        <w:rPr>
          <w:sz w:val="20"/>
          <w:szCs w:val="20"/>
        </w:rPr>
        <w:t xml:space="preserve">la Corte entiende el sufrimiento de los familiares derivado </w:t>
      </w:r>
      <w:r w:rsidR="00AA7ACB">
        <w:rPr>
          <w:sz w:val="20"/>
          <w:szCs w:val="20"/>
        </w:rPr>
        <w:t>d</w:t>
      </w:r>
      <w:r w:rsidR="00AA7ACB" w:rsidRPr="00C27894">
        <w:rPr>
          <w:sz w:val="20"/>
          <w:szCs w:val="20"/>
        </w:rPr>
        <w:t xml:space="preserve">el </w:t>
      </w:r>
      <w:r w:rsidR="00AA7ACB">
        <w:rPr>
          <w:sz w:val="20"/>
          <w:szCs w:val="20"/>
        </w:rPr>
        <w:t xml:space="preserve">largo </w:t>
      </w:r>
      <w:r w:rsidR="00AA7ACB" w:rsidRPr="00C27894">
        <w:rPr>
          <w:sz w:val="20"/>
          <w:szCs w:val="20"/>
        </w:rPr>
        <w:t>proceso en</w:t>
      </w:r>
      <w:r w:rsidRPr="00AA7ACB">
        <w:rPr>
          <w:sz w:val="20"/>
          <w:szCs w:val="20"/>
        </w:rPr>
        <w:t xml:space="preserve"> la búsqueda </w:t>
      </w:r>
      <w:r w:rsidR="00AA7ACB" w:rsidRPr="00C27894">
        <w:rPr>
          <w:sz w:val="20"/>
          <w:szCs w:val="20"/>
        </w:rPr>
        <w:t xml:space="preserve">de la </w:t>
      </w:r>
      <w:r w:rsidRPr="00AA7ACB">
        <w:rPr>
          <w:sz w:val="20"/>
          <w:szCs w:val="20"/>
        </w:rPr>
        <w:t>justicia</w:t>
      </w:r>
      <w:r w:rsidR="00AA7ACB" w:rsidRPr="00C27894">
        <w:rPr>
          <w:sz w:val="20"/>
          <w:szCs w:val="20"/>
        </w:rPr>
        <w:t>, particularmente</w:t>
      </w:r>
      <w:r w:rsidRPr="00AA7ACB">
        <w:rPr>
          <w:sz w:val="20"/>
          <w:szCs w:val="20"/>
        </w:rPr>
        <w:t xml:space="preserve"> </w:t>
      </w:r>
      <w:r w:rsidR="00AA7ACB">
        <w:rPr>
          <w:sz w:val="20"/>
          <w:szCs w:val="20"/>
        </w:rPr>
        <w:t xml:space="preserve">sobre el </w:t>
      </w:r>
      <w:r w:rsidRPr="00AA7ACB">
        <w:rPr>
          <w:sz w:val="20"/>
          <w:szCs w:val="20"/>
        </w:rPr>
        <w:t>esclarecimiento de los hechos,</w:t>
      </w:r>
      <w:r w:rsidR="00AA7ACB">
        <w:rPr>
          <w:sz w:val="20"/>
          <w:szCs w:val="20"/>
        </w:rPr>
        <w:t xml:space="preserve"> así como de</w:t>
      </w:r>
      <w:r w:rsidRPr="00AA7ACB">
        <w:rPr>
          <w:sz w:val="20"/>
          <w:szCs w:val="20"/>
        </w:rPr>
        <w:t xml:space="preserve"> </w:t>
      </w:r>
      <w:r w:rsidR="00AA7ACB" w:rsidRPr="00C27894">
        <w:rPr>
          <w:sz w:val="20"/>
          <w:szCs w:val="20"/>
        </w:rPr>
        <w:t xml:space="preserve">la incertidumbre </w:t>
      </w:r>
      <w:r w:rsidR="00AA7ACB">
        <w:rPr>
          <w:sz w:val="20"/>
          <w:szCs w:val="20"/>
        </w:rPr>
        <w:t xml:space="preserve">por la indeterminación de la causa de muerte </w:t>
      </w:r>
      <w:r w:rsidR="00AA7ACB" w:rsidRPr="00C27894">
        <w:rPr>
          <w:sz w:val="20"/>
          <w:szCs w:val="20"/>
        </w:rPr>
        <w:t xml:space="preserve">del señor Poblete Vilches, y frente a ello </w:t>
      </w:r>
      <w:r w:rsidRPr="00AA7ACB">
        <w:rPr>
          <w:sz w:val="20"/>
          <w:szCs w:val="20"/>
        </w:rPr>
        <w:t>la respuesta ofrecida por</w:t>
      </w:r>
      <w:r w:rsidR="00AA7ACB" w:rsidRPr="00C27894">
        <w:rPr>
          <w:sz w:val="20"/>
          <w:szCs w:val="20"/>
        </w:rPr>
        <w:t xml:space="preserve"> las autoridades</w:t>
      </w:r>
      <w:r w:rsidR="00AA7ACB">
        <w:rPr>
          <w:sz w:val="20"/>
          <w:szCs w:val="20"/>
        </w:rPr>
        <w:t xml:space="preserve"> en distintas instancias (</w:t>
      </w:r>
      <w:r w:rsidR="00062586" w:rsidRPr="00062586">
        <w:rPr>
          <w:i/>
          <w:sz w:val="20"/>
          <w:szCs w:val="20"/>
        </w:rPr>
        <w:t>supra</w:t>
      </w:r>
      <w:r w:rsidR="00AA7ACB">
        <w:rPr>
          <w:sz w:val="20"/>
          <w:szCs w:val="20"/>
        </w:rPr>
        <w:t xml:space="preserve"> </w:t>
      </w:r>
      <w:proofErr w:type="spellStart"/>
      <w:r w:rsidR="00AA7ACB">
        <w:rPr>
          <w:sz w:val="20"/>
          <w:szCs w:val="20"/>
        </w:rPr>
        <w:t>párr</w:t>
      </w:r>
      <w:r w:rsidR="00AB34B8">
        <w:rPr>
          <w:sz w:val="20"/>
          <w:szCs w:val="20"/>
        </w:rPr>
        <w:t>s</w:t>
      </w:r>
      <w:proofErr w:type="spellEnd"/>
      <w:r w:rsidR="002B0772">
        <w:rPr>
          <w:sz w:val="20"/>
          <w:szCs w:val="20"/>
        </w:rPr>
        <w:t>. 59</w:t>
      </w:r>
      <w:r w:rsidR="00AB34B8">
        <w:rPr>
          <w:sz w:val="20"/>
          <w:szCs w:val="20"/>
        </w:rPr>
        <w:t xml:space="preserve"> y 81</w:t>
      </w:r>
      <w:r w:rsidR="002B0772">
        <w:rPr>
          <w:sz w:val="20"/>
          <w:szCs w:val="20"/>
        </w:rPr>
        <w:t>)</w:t>
      </w:r>
      <w:r w:rsidR="002B0772" w:rsidRPr="00C27894">
        <w:rPr>
          <w:sz w:val="20"/>
          <w:szCs w:val="20"/>
        </w:rPr>
        <w:t xml:space="preserve">. </w:t>
      </w:r>
      <w:r w:rsidR="00AA7ACB" w:rsidRPr="00C27894">
        <w:rPr>
          <w:sz w:val="20"/>
          <w:szCs w:val="20"/>
        </w:rPr>
        <w:t xml:space="preserve">Dichas afectaciones repercutieron en el seno familiar y </w:t>
      </w:r>
      <w:r w:rsidR="00AA7ACB">
        <w:rPr>
          <w:sz w:val="20"/>
          <w:szCs w:val="20"/>
        </w:rPr>
        <w:t xml:space="preserve">en el </w:t>
      </w:r>
      <w:r w:rsidR="00AA7ACB" w:rsidRPr="00C27894">
        <w:rPr>
          <w:sz w:val="20"/>
          <w:szCs w:val="20"/>
        </w:rPr>
        <w:t xml:space="preserve">desarrollo </w:t>
      </w:r>
      <w:r w:rsidR="00AA7ACB">
        <w:rPr>
          <w:sz w:val="20"/>
          <w:szCs w:val="20"/>
        </w:rPr>
        <w:t xml:space="preserve">de </w:t>
      </w:r>
      <w:r w:rsidR="00AA7ACB" w:rsidRPr="00C27894">
        <w:rPr>
          <w:sz w:val="20"/>
          <w:szCs w:val="20"/>
        </w:rPr>
        <w:t xml:space="preserve">sus planes de vida. Por tanto, </w:t>
      </w:r>
      <w:r w:rsidR="001B6272" w:rsidRPr="001B6272">
        <w:rPr>
          <w:sz w:val="20"/>
          <w:szCs w:val="20"/>
        </w:rPr>
        <w:t xml:space="preserve">resulta responsable el Estado </w:t>
      </w:r>
      <w:r w:rsidR="001B6272">
        <w:rPr>
          <w:sz w:val="20"/>
          <w:szCs w:val="20"/>
        </w:rPr>
        <w:t>por</w:t>
      </w:r>
      <w:r w:rsidR="00AA7ACB" w:rsidRPr="00C27894">
        <w:rPr>
          <w:sz w:val="20"/>
          <w:szCs w:val="20"/>
        </w:rPr>
        <w:t xml:space="preserve"> la violación del </w:t>
      </w:r>
      <w:r w:rsidRPr="00AA7ACB">
        <w:rPr>
          <w:sz w:val="20"/>
          <w:szCs w:val="20"/>
        </w:rPr>
        <w:t>artículo 5.1 de la Convención</w:t>
      </w:r>
      <w:r w:rsidR="00AA7ACB" w:rsidRPr="00C27894">
        <w:rPr>
          <w:sz w:val="20"/>
          <w:szCs w:val="20"/>
        </w:rPr>
        <w:t>,</w:t>
      </w:r>
      <w:r w:rsidRPr="00AA7ACB">
        <w:rPr>
          <w:sz w:val="20"/>
          <w:szCs w:val="20"/>
        </w:rPr>
        <w:t xml:space="preserve"> en perjuicio de los familiares del señor Poblete Vilches.</w:t>
      </w:r>
    </w:p>
    <w:p w14:paraId="61E717D0" w14:textId="77777777" w:rsidR="00312262" w:rsidRDefault="00312262" w:rsidP="006B2A4D">
      <w:pPr>
        <w:tabs>
          <w:tab w:val="left" w:pos="567"/>
        </w:tabs>
        <w:rPr>
          <w:sz w:val="20"/>
          <w:szCs w:val="20"/>
        </w:rPr>
      </w:pPr>
    </w:p>
    <w:p w14:paraId="79896D70" w14:textId="77777777" w:rsidR="006B2A4D" w:rsidRPr="006B2A4D" w:rsidRDefault="006B2A4D" w:rsidP="006B2A4D">
      <w:pPr>
        <w:pStyle w:val="Title"/>
      </w:pPr>
      <w:bookmarkStart w:id="104" w:name="_Toc504484557"/>
      <w:bookmarkStart w:id="105" w:name="_Toc513644487"/>
      <w:r w:rsidRPr="006B2A4D">
        <w:t>VI</w:t>
      </w:r>
      <w:r>
        <w:t>I</w:t>
      </w:r>
      <w:r w:rsidR="00024506">
        <w:t>I</w:t>
      </w:r>
      <w:bookmarkEnd w:id="104"/>
      <w:bookmarkEnd w:id="105"/>
    </w:p>
    <w:p w14:paraId="28384A97" w14:textId="77777777" w:rsidR="006B2A4D" w:rsidRPr="006B2A4D" w:rsidRDefault="006B2A4D" w:rsidP="006B2A4D">
      <w:pPr>
        <w:pStyle w:val="Title"/>
      </w:pPr>
      <w:bookmarkStart w:id="106" w:name="_Toc513644488"/>
      <w:r>
        <w:t>REPARACIONES</w:t>
      </w:r>
      <w:bookmarkEnd w:id="106"/>
    </w:p>
    <w:p w14:paraId="129241B9" w14:textId="77777777" w:rsidR="006B2A4D" w:rsidRDefault="006B2A4D" w:rsidP="006B2A4D">
      <w:pPr>
        <w:pStyle w:val="Title"/>
      </w:pPr>
      <w:bookmarkStart w:id="107" w:name="_Toc513644489"/>
      <w:r w:rsidRPr="006B2A4D">
        <w:t>(</w:t>
      </w:r>
      <w:r w:rsidRPr="00641CEB">
        <w:rPr>
          <w:i/>
        </w:rPr>
        <w:t>APLICACIÓN DEL ARTÍCULO 63.1 DE LA CONVENCIÓN AMERICANA</w:t>
      </w:r>
      <w:r w:rsidRPr="006B2A4D">
        <w:t>)</w:t>
      </w:r>
      <w:bookmarkEnd w:id="107"/>
    </w:p>
    <w:p w14:paraId="0FF018E5" w14:textId="77777777" w:rsidR="006B2A4D" w:rsidRPr="006B2A4D" w:rsidRDefault="006B2A4D" w:rsidP="006B2A4D">
      <w:pPr>
        <w:rPr>
          <w:sz w:val="20"/>
          <w:szCs w:val="20"/>
        </w:rPr>
      </w:pPr>
    </w:p>
    <w:p w14:paraId="08F7D5FF" w14:textId="77777777" w:rsidR="006B2A4D"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Con base en lo dispuesto en el artículo 63.1 de la Convención Americana</w:t>
      </w:r>
      <w:r w:rsidRPr="006B2A4D">
        <w:rPr>
          <w:rFonts w:eastAsia="Calibri"/>
          <w:sz w:val="20"/>
          <w:szCs w:val="20"/>
          <w:vertAlign w:val="superscript"/>
          <w:lang w:val="es-ES" w:eastAsia="es-ES"/>
        </w:rPr>
        <w:footnoteReference w:id="303"/>
      </w:r>
      <w:r w:rsidRPr="006B2A4D">
        <w:rPr>
          <w:rFonts w:eastAsia="Calibri"/>
          <w:sz w:val="20"/>
          <w:szCs w:val="20"/>
          <w:lang w:val="es-ES" w:eastAsia="es-ES"/>
        </w:rPr>
        <w:t>,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6B2A4D">
        <w:rPr>
          <w:rFonts w:eastAsia="Calibri"/>
          <w:sz w:val="20"/>
          <w:szCs w:val="20"/>
          <w:vertAlign w:val="superscript"/>
          <w:lang w:val="es-ES" w:eastAsia="es-ES"/>
        </w:rPr>
        <w:footnoteReference w:id="304"/>
      </w:r>
      <w:r w:rsidRPr="006B2A4D">
        <w:rPr>
          <w:rFonts w:eastAsia="Calibri"/>
          <w:sz w:val="20"/>
          <w:szCs w:val="20"/>
          <w:lang w:val="es-ES" w:eastAsia="es-ES"/>
        </w:rPr>
        <w:t>.</w:t>
      </w:r>
    </w:p>
    <w:p w14:paraId="26D95215" w14:textId="77777777" w:rsidR="006B2A4D" w:rsidRPr="006B2A4D" w:rsidRDefault="006B2A4D" w:rsidP="006B2A4D">
      <w:pPr>
        <w:rPr>
          <w:rFonts w:eastAsia="Calibri"/>
          <w:sz w:val="20"/>
          <w:szCs w:val="20"/>
          <w:lang w:val="es-ES" w:eastAsia="es-ES"/>
        </w:rPr>
      </w:pPr>
    </w:p>
    <w:p w14:paraId="7A2EBD2D" w14:textId="77777777" w:rsidR="006B2A4D" w:rsidRDefault="006B2A4D" w:rsidP="006B2A4D">
      <w:pPr>
        <w:numPr>
          <w:ilvl w:val="0"/>
          <w:numId w:val="2"/>
        </w:numPr>
        <w:tabs>
          <w:tab w:val="left" w:pos="567"/>
          <w:tab w:val="num" w:pos="1569"/>
          <w:tab w:val="num" w:pos="12305"/>
        </w:tabs>
        <w:ind w:left="0" w:firstLine="0"/>
        <w:rPr>
          <w:rFonts w:eastAsia="Calibri"/>
          <w:sz w:val="20"/>
          <w:szCs w:val="20"/>
          <w:lang w:val="es-ES" w:eastAsia="es-ES"/>
        </w:rPr>
      </w:pPr>
      <w:r w:rsidRPr="006B2A4D">
        <w:rPr>
          <w:rFonts w:eastAsia="Calibri"/>
          <w:sz w:val="20"/>
          <w:szCs w:val="20"/>
          <w:lang w:val="es-ES" w:eastAsia="es-ES"/>
        </w:rPr>
        <w:t>La Corte ha establecido que las reparaciones deben tener un nexo causal con los hechos del caso, las violaciones declaradas, los daños acreditados, así como con las medidas solicitadas para reparar los daños respectivos. Por lo tanto, la Corte deberá analizar dicha concurrencia para pronunciarse debidamente y conforme a derecho</w:t>
      </w:r>
      <w:r w:rsidRPr="006B2A4D">
        <w:rPr>
          <w:rFonts w:eastAsia="Calibri"/>
          <w:sz w:val="20"/>
          <w:szCs w:val="20"/>
          <w:vertAlign w:val="superscript"/>
          <w:lang w:val="es-ES" w:eastAsia="es-ES"/>
        </w:rPr>
        <w:footnoteReference w:id="305"/>
      </w:r>
      <w:r w:rsidRPr="006B2A4D">
        <w:rPr>
          <w:rFonts w:eastAsia="Calibri"/>
          <w:sz w:val="20"/>
          <w:szCs w:val="20"/>
          <w:lang w:val="es-ES" w:eastAsia="es-ES"/>
        </w:rPr>
        <w:t>.</w:t>
      </w:r>
    </w:p>
    <w:p w14:paraId="6E1C6779" w14:textId="77777777" w:rsidR="006B2A4D" w:rsidRDefault="006B2A4D" w:rsidP="006B2A4D">
      <w:pPr>
        <w:tabs>
          <w:tab w:val="left" w:pos="567"/>
        </w:tabs>
        <w:rPr>
          <w:rFonts w:eastAsia="Calibri"/>
          <w:sz w:val="20"/>
          <w:szCs w:val="20"/>
          <w:lang w:val="es-ES" w:eastAsia="es-ES"/>
        </w:rPr>
      </w:pPr>
    </w:p>
    <w:p w14:paraId="52BA7E06" w14:textId="77777777" w:rsidR="006B2A4D" w:rsidRDefault="006B2A4D" w:rsidP="006B2A4D">
      <w:pPr>
        <w:numPr>
          <w:ilvl w:val="0"/>
          <w:numId w:val="2"/>
        </w:numPr>
        <w:tabs>
          <w:tab w:val="left" w:pos="567"/>
          <w:tab w:val="num" w:pos="1569"/>
          <w:tab w:val="num" w:pos="12305"/>
        </w:tabs>
        <w:ind w:left="0" w:firstLine="0"/>
        <w:rPr>
          <w:rFonts w:eastAsia="Calibri"/>
          <w:sz w:val="20"/>
          <w:szCs w:val="20"/>
          <w:lang w:val="es-ES" w:eastAsia="es-ES"/>
        </w:rPr>
      </w:pPr>
      <w:r w:rsidRPr="006B2A4D">
        <w:rPr>
          <w:rFonts w:eastAsia="Calibri"/>
          <w:sz w:val="20"/>
          <w:szCs w:val="20"/>
          <w:lang w:val="es-ES" w:eastAsia="es-ES"/>
        </w:rPr>
        <w:t>La reparación del daño ocasionado por la infracción de una obligación internacional requiere, siempre que sea posible, la plena restitución, que consiste en el restablecimiento de la situación anterior. De no ser esto factible, el Tribunal determinará medidas para garantizar los derechos conculcados y reparar las consecuencias que las infracciones produjeron</w:t>
      </w:r>
      <w:r w:rsidRPr="006B2A4D">
        <w:rPr>
          <w:rFonts w:eastAsia="Calibri"/>
          <w:sz w:val="20"/>
          <w:szCs w:val="20"/>
          <w:vertAlign w:val="superscript"/>
          <w:lang w:val="es-ES" w:eastAsia="es-ES"/>
        </w:rPr>
        <w:footnoteReference w:id="306"/>
      </w:r>
      <w:r w:rsidRPr="006B2A4D">
        <w:rPr>
          <w:rFonts w:eastAsia="Calibri"/>
          <w:sz w:val="20"/>
          <w:szCs w:val="20"/>
          <w:lang w:val="es-ES" w:eastAsia="es-ES"/>
        </w:rPr>
        <w:t>.</w:t>
      </w:r>
    </w:p>
    <w:p w14:paraId="578189C4" w14:textId="77777777" w:rsidR="006B2A4D" w:rsidRPr="006B2A4D" w:rsidRDefault="006B2A4D" w:rsidP="006B2A4D">
      <w:pPr>
        <w:widowControl w:val="0"/>
        <w:tabs>
          <w:tab w:val="left" w:pos="567"/>
          <w:tab w:val="num" w:pos="1569"/>
          <w:tab w:val="num" w:pos="12305"/>
        </w:tabs>
        <w:adjustRightInd w:val="0"/>
        <w:textAlignment w:val="baseline"/>
        <w:rPr>
          <w:rFonts w:eastAsia="Calibri"/>
          <w:sz w:val="20"/>
          <w:szCs w:val="20"/>
          <w:lang w:val="es-ES" w:eastAsia="es-ES"/>
        </w:rPr>
      </w:pPr>
    </w:p>
    <w:p w14:paraId="1F8EF906" w14:textId="77777777" w:rsidR="006B2A4D" w:rsidRPr="006B2A4D"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b/>
          <w:sz w:val="20"/>
          <w:szCs w:val="20"/>
          <w:lang w:val="es-ES" w:eastAsia="es-ES"/>
        </w:rPr>
      </w:pPr>
      <w:r w:rsidRPr="006B2A4D">
        <w:rPr>
          <w:rFonts w:eastAsia="Calibri"/>
          <w:sz w:val="20"/>
          <w:szCs w:val="20"/>
          <w:lang w:val="es-ES" w:eastAsia="es-ES"/>
        </w:rPr>
        <w:t>En consideración de las violaciones a la Convención declaradas en los capítulos anteriores, la Corte procede a analizar las pretensiones presentadas por la Comisión y los representantes, así como los argumentos del Estado, a la luz de los criterios fijados en su jurisprudencia en relación con la naturaleza y alcance de la obligación de reparar</w:t>
      </w:r>
      <w:r w:rsidRPr="006B2A4D">
        <w:rPr>
          <w:rFonts w:eastAsia="Calibri"/>
          <w:sz w:val="20"/>
          <w:szCs w:val="20"/>
          <w:vertAlign w:val="superscript"/>
          <w:lang w:val="es-ES" w:eastAsia="es-ES"/>
        </w:rPr>
        <w:footnoteReference w:id="307"/>
      </w:r>
      <w:r w:rsidRPr="006B2A4D">
        <w:rPr>
          <w:rFonts w:eastAsia="Calibri"/>
          <w:sz w:val="20"/>
          <w:szCs w:val="20"/>
          <w:lang w:val="es-ES" w:eastAsia="es-ES"/>
        </w:rPr>
        <w:t xml:space="preserve">, con el objeto de disponer las </w:t>
      </w:r>
      <w:r w:rsidRPr="006B2A4D">
        <w:rPr>
          <w:rFonts w:eastAsia="Calibri"/>
          <w:sz w:val="20"/>
          <w:szCs w:val="20"/>
          <w:lang w:val="es-ES" w:eastAsia="es-ES"/>
        </w:rPr>
        <w:lastRenderedPageBreak/>
        <w:t>medidas dirigidas a reparar los daños ocasionados a la víctima.</w:t>
      </w:r>
    </w:p>
    <w:p w14:paraId="4AF42655" w14:textId="77777777" w:rsidR="006B2A4D" w:rsidRPr="006B2A4D" w:rsidRDefault="006B2A4D" w:rsidP="006B2A4D">
      <w:pPr>
        <w:rPr>
          <w:rFonts w:eastAsia="Calibri"/>
          <w:b/>
          <w:sz w:val="20"/>
          <w:szCs w:val="20"/>
          <w:lang w:val="es-ES" w:eastAsia="es-ES"/>
        </w:rPr>
      </w:pPr>
    </w:p>
    <w:p w14:paraId="136F6BD7" w14:textId="77777777" w:rsidR="006B2A4D" w:rsidRPr="00AD229D" w:rsidRDefault="006B2A4D" w:rsidP="002726E0">
      <w:pPr>
        <w:pStyle w:val="Heading2"/>
        <w:numPr>
          <w:ilvl w:val="0"/>
          <w:numId w:val="13"/>
        </w:numPr>
      </w:pPr>
      <w:bookmarkStart w:id="108" w:name="_Toc457464007"/>
      <w:bookmarkStart w:id="109" w:name="_Toc458175997"/>
      <w:bookmarkStart w:id="110" w:name="_Toc467060528"/>
      <w:bookmarkStart w:id="111" w:name="_Toc467060643"/>
      <w:bookmarkStart w:id="112" w:name="_Toc467060882"/>
      <w:bookmarkStart w:id="113" w:name="_Toc467060923"/>
      <w:bookmarkStart w:id="114" w:name="_Toc457464008"/>
      <w:bookmarkStart w:id="115" w:name="_Toc458175998"/>
      <w:bookmarkStart w:id="116" w:name="_Toc467060529"/>
      <w:bookmarkStart w:id="117" w:name="_Toc467060644"/>
      <w:bookmarkStart w:id="118" w:name="_Toc467060883"/>
      <w:bookmarkStart w:id="119" w:name="_Toc467060924"/>
      <w:bookmarkStart w:id="120" w:name="_Toc494271563"/>
      <w:bookmarkStart w:id="121" w:name="_Toc513644490"/>
      <w:bookmarkEnd w:id="108"/>
      <w:bookmarkEnd w:id="109"/>
      <w:bookmarkEnd w:id="110"/>
      <w:bookmarkEnd w:id="111"/>
      <w:bookmarkEnd w:id="112"/>
      <w:bookmarkEnd w:id="113"/>
      <w:bookmarkEnd w:id="114"/>
      <w:bookmarkEnd w:id="115"/>
      <w:bookmarkEnd w:id="116"/>
      <w:bookmarkEnd w:id="117"/>
      <w:bookmarkEnd w:id="118"/>
      <w:bookmarkEnd w:id="119"/>
      <w:r w:rsidRPr="00AD229D">
        <w:t>Parte lesionada</w:t>
      </w:r>
      <w:bookmarkEnd w:id="120"/>
      <w:bookmarkEnd w:id="121"/>
    </w:p>
    <w:p w14:paraId="3488CC3B" w14:textId="77777777" w:rsidR="006B2A4D" w:rsidRPr="006B2A4D" w:rsidRDefault="006B2A4D" w:rsidP="006B2A4D">
      <w:pPr>
        <w:keepNext/>
        <w:keepLines/>
        <w:outlineLvl w:val="1"/>
        <w:rPr>
          <w:b/>
          <w:bCs/>
          <w:i/>
          <w:sz w:val="20"/>
          <w:szCs w:val="20"/>
          <w:lang w:val="es-ES" w:eastAsia="en-US"/>
        </w:rPr>
      </w:pPr>
    </w:p>
    <w:p w14:paraId="7F0FC4F4" w14:textId="77D8DFE6" w:rsidR="006B2A4D"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 xml:space="preserve">Este Tribunal, en los términos del artículo 63.1 de la Convención,  considera parte lesionada a quienes han sido declaradas víctimas de la violación de algún derecho reconocido en la misma. </w:t>
      </w:r>
      <w:r w:rsidRPr="00BC17B7">
        <w:rPr>
          <w:rFonts w:eastAsia="Calibri"/>
          <w:sz w:val="20"/>
          <w:szCs w:val="20"/>
          <w:lang w:val="es-ES" w:eastAsia="es-ES"/>
        </w:rPr>
        <w:t>Por lo tanto, esta Corte considera como “parte lesionada” al señor Vinicio Antonio Poblete Vilches (fallecido)</w:t>
      </w:r>
      <w:r w:rsidR="00AB34B8">
        <w:rPr>
          <w:rFonts w:eastAsia="Calibri"/>
          <w:sz w:val="20"/>
          <w:szCs w:val="20"/>
          <w:lang w:val="es-ES" w:eastAsia="es-ES"/>
        </w:rPr>
        <w:t>,</w:t>
      </w:r>
      <w:r w:rsidRPr="00BC17B7">
        <w:rPr>
          <w:rFonts w:eastAsia="Calibri"/>
          <w:sz w:val="20"/>
          <w:szCs w:val="20"/>
          <w:lang w:val="es-ES" w:eastAsia="es-ES"/>
        </w:rPr>
        <w:t xml:space="preserve"> </w:t>
      </w:r>
      <w:r w:rsidR="00AB34B8">
        <w:rPr>
          <w:rFonts w:eastAsia="Calibri"/>
          <w:sz w:val="20"/>
          <w:szCs w:val="20"/>
          <w:lang w:val="es-ES" w:eastAsia="es-ES"/>
        </w:rPr>
        <w:t>así como a</w:t>
      </w:r>
      <w:r w:rsidRPr="00BC17B7">
        <w:rPr>
          <w:rFonts w:eastAsia="Calibri"/>
          <w:sz w:val="20"/>
          <w:szCs w:val="20"/>
          <w:lang w:val="es-ES" w:eastAsia="es-ES"/>
        </w:rPr>
        <w:t xml:space="preserve"> sus familiares</w:t>
      </w:r>
      <w:r w:rsidR="00AB34B8">
        <w:rPr>
          <w:rFonts w:eastAsia="Calibri"/>
          <w:sz w:val="20"/>
          <w:szCs w:val="20"/>
          <w:lang w:val="es-ES" w:eastAsia="es-ES"/>
        </w:rPr>
        <w:t>:</w:t>
      </w:r>
      <w:r w:rsidRPr="00BC17B7">
        <w:rPr>
          <w:rFonts w:eastAsia="Calibri"/>
          <w:sz w:val="20"/>
          <w:szCs w:val="20"/>
          <w:lang w:val="es-ES" w:eastAsia="es-ES"/>
        </w:rPr>
        <w:t xml:space="preserve"> Blanca Tapia Encina (fallecida), </w:t>
      </w:r>
      <w:r w:rsidR="00BC17B7" w:rsidRPr="00BC17B7">
        <w:rPr>
          <w:rFonts w:eastAsia="Calibri"/>
          <w:sz w:val="20"/>
          <w:szCs w:val="20"/>
          <w:lang w:eastAsia="en-US"/>
        </w:rPr>
        <w:t>Gonzalo Poblete Tapia</w:t>
      </w:r>
      <w:r w:rsidR="00BC17B7" w:rsidRPr="0059117C">
        <w:rPr>
          <w:rFonts w:eastAsia="Calibri"/>
          <w:sz w:val="20"/>
          <w:szCs w:val="20"/>
          <w:lang w:val="es-ES" w:eastAsia="es-ES"/>
        </w:rPr>
        <w:t xml:space="preserve"> (fallecido),</w:t>
      </w:r>
      <w:r w:rsidRPr="00BC17B7">
        <w:rPr>
          <w:rFonts w:eastAsia="Calibri"/>
          <w:sz w:val="20"/>
          <w:szCs w:val="20"/>
          <w:lang w:val="es-ES" w:eastAsia="es-ES"/>
        </w:rPr>
        <w:t xml:space="preserve"> Vinicio </w:t>
      </w:r>
      <w:r w:rsidR="00BC17B7" w:rsidRPr="0059117C">
        <w:rPr>
          <w:rFonts w:eastAsia="Calibri"/>
          <w:sz w:val="20"/>
          <w:szCs w:val="20"/>
          <w:lang w:val="es-ES" w:eastAsia="es-ES"/>
        </w:rPr>
        <w:t xml:space="preserve">Marco </w:t>
      </w:r>
      <w:r w:rsidRPr="00BC17B7">
        <w:rPr>
          <w:rFonts w:eastAsia="Calibri"/>
          <w:sz w:val="20"/>
          <w:szCs w:val="20"/>
          <w:lang w:val="es-ES" w:eastAsia="es-ES"/>
        </w:rPr>
        <w:t xml:space="preserve">Poblete Tapia y </w:t>
      </w:r>
      <w:proofErr w:type="spellStart"/>
      <w:r w:rsidRPr="00BC17B7">
        <w:rPr>
          <w:rFonts w:eastAsia="Calibri"/>
          <w:sz w:val="20"/>
          <w:szCs w:val="20"/>
          <w:lang w:val="es-ES" w:eastAsia="es-ES"/>
        </w:rPr>
        <w:t>Cesia</w:t>
      </w:r>
      <w:proofErr w:type="spellEnd"/>
      <w:r w:rsidRPr="00BC17B7">
        <w:rPr>
          <w:rFonts w:eastAsia="Calibri"/>
          <w:sz w:val="20"/>
          <w:szCs w:val="20"/>
          <w:lang w:val="es-ES" w:eastAsia="es-ES"/>
        </w:rPr>
        <w:t xml:space="preserve"> Poblete Tapia</w:t>
      </w:r>
      <w:r w:rsidR="00AB34B8">
        <w:rPr>
          <w:rFonts w:eastAsia="Calibri"/>
          <w:sz w:val="20"/>
          <w:szCs w:val="20"/>
          <w:lang w:val="es-ES" w:eastAsia="es-ES"/>
        </w:rPr>
        <w:t xml:space="preserve"> (</w:t>
      </w:r>
      <w:r w:rsidR="00AB34B8" w:rsidRPr="00B1523A">
        <w:rPr>
          <w:rFonts w:eastAsia="Calibri"/>
          <w:i/>
          <w:sz w:val="20"/>
          <w:szCs w:val="20"/>
          <w:lang w:val="es-ES" w:eastAsia="es-ES"/>
        </w:rPr>
        <w:t>supra</w:t>
      </w:r>
      <w:r w:rsidR="00AB34B8">
        <w:rPr>
          <w:rFonts w:eastAsia="Calibri"/>
          <w:sz w:val="20"/>
          <w:szCs w:val="20"/>
          <w:lang w:val="es-ES" w:eastAsia="es-ES"/>
        </w:rPr>
        <w:t xml:space="preserve"> párr. 41)</w:t>
      </w:r>
      <w:r w:rsidRPr="00BC17B7">
        <w:rPr>
          <w:rFonts w:eastAsia="Calibri"/>
          <w:sz w:val="20"/>
          <w:szCs w:val="20"/>
          <w:lang w:val="es-ES" w:eastAsia="es-ES"/>
        </w:rPr>
        <w:t>.</w:t>
      </w:r>
    </w:p>
    <w:p w14:paraId="1B03B676" w14:textId="77777777" w:rsidR="00121AA0" w:rsidRPr="006B2A4D" w:rsidRDefault="00121AA0" w:rsidP="00121AA0">
      <w:pPr>
        <w:widowControl w:val="0"/>
        <w:tabs>
          <w:tab w:val="left" w:pos="567"/>
          <w:tab w:val="num" w:pos="12305"/>
        </w:tabs>
        <w:adjustRightInd w:val="0"/>
        <w:textAlignment w:val="baseline"/>
        <w:rPr>
          <w:rFonts w:eastAsia="Calibri"/>
          <w:b/>
          <w:sz w:val="20"/>
          <w:szCs w:val="20"/>
          <w:lang w:val="es-HN" w:eastAsia="es-ES"/>
        </w:rPr>
      </w:pPr>
    </w:p>
    <w:p w14:paraId="787B7D0B" w14:textId="77777777" w:rsidR="00121AA0" w:rsidRPr="00AD229D" w:rsidRDefault="00121AA0" w:rsidP="002726E0">
      <w:pPr>
        <w:pStyle w:val="Heading2"/>
        <w:numPr>
          <w:ilvl w:val="0"/>
          <w:numId w:val="13"/>
        </w:numPr>
      </w:pPr>
      <w:bookmarkStart w:id="122" w:name="_Toc513644491"/>
      <w:r w:rsidRPr="00AD229D">
        <w:t>Investigación</w:t>
      </w:r>
      <w:bookmarkEnd w:id="122"/>
      <w:r w:rsidRPr="00AD229D">
        <w:t xml:space="preserve"> </w:t>
      </w:r>
    </w:p>
    <w:p w14:paraId="34790755" w14:textId="77777777" w:rsidR="00121AA0" w:rsidRPr="006B2A4D" w:rsidRDefault="00121AA0" w:rsidP="00121AA0">
      <w:pPr>
        <w:keepNext/>
        <w:keepLines/>
        <w:outlineLvl w:val="1"/>
        <w:rPr>
          <w:b/>
          <w:bCs/>
          <w:i/>
          <w:sz w:val="20"/>
          <w:szCs w:val="20"/>
          <w:lang w:val="es-ES" w:eastAsia="en-US"/>
        </w:rPr>
      </w:pPr>
    </w:p>
    <w:p w14:paraId="221B16C8" w14:textId="0BBA3A08" w:rsidR="00121AA0" w:rsidRPr="006B2A4D" w:rsidRDefault="00121AA0" w:rsidP="00121AA0">
      <w:pPr>
        <w:widowControl w:val="0"/>
        <w:numPr>
          <w:ilvl w:val="0"/>
          <w:numId w:val="2"/>
        </w:numPr>
        <w:tabs>
          <w:tab w:val="left" w:pos="567"/>
          <w:tab w:val="num" w:pos="1569"/>
          <w:tab w:val="num" w:pos="12305"/>
        </w:tabs>
        <w:adjustRightInd w:val="0"/>
        <w:ind w:left="0" w:firstLine="0"/>
        <w:textAlignment w:val="baseline"/>
        <w:rPr>
          <w:rFonts w:ascii="Mangal" w:eastAsia="Calibri" w:hAnsi="Mangal" w:cs="Mangal"/>
          <w:sz w:val="20"/>
          <w:szCs w:val="20"/>
          <w:lang w:val="es-ES" w:eastAsia="es-ES"/>
        </w:rPr>
      </w:pPr>
      <w:r w:rsidRPr="006B2A4D">
        <w:rPr>
          <w:rFonts w:eastAsia="Calibri"/>
          <w:sz w:val="20"/>
          <w:szCs w:val="20"/>
          <w:lang w:val="es-ES" w:eastAsia="es-ES"/>
        </w:rPr>
        <w:t xml:space="preserve">La </w:t>
      </w:r>
      <w:r w:rsidRPr="006B2A4D">
        <w:rPr>
          <w:rFonts w:eastAsia="Calibri"/>
          <w:b/>
          <w:i/>
          <w:sz w:val="20"/>
          <w:szCs w:val="20"/>
          <w:lang w:val="es-ES" w:eastAsia="es-ES"/>
        </w:rPr>
        <w:t>Comisión</w:t>
      </w:r>
      <w:r w:rsidRPr="006B2A4D">
        <w:rPr>
          <w:rFonts w:eastAsia="Calibri"/>
          <w:sz w:val="20"/>
          <w:szCs w:val="20"/>
          <w:lang w:val="es-ES" w:eastAsia="es-ES"/>
        </w:rPr>
        <w:t xml:space="preserve"> solicitó que el Estado realice una investigación “completa y efectiva” de modo que se esclarezca lo sucedido y, de resultar necesario, “se impongan la sanciones correspondientes”. En este sentido, la Comisión declaró que el Estado debe continuar la investigación que fue reabierta en el 2008 o iniciar una nueva investigación tal que pueda superar los obstáculos que impidieron “la obtención de justicia” en la primera. La Comisión reiteró la importancia de reparaciones en relación a la necesidad de esclarecimiento efectivo y completo de las acciones u omisiones que causaron responsabilidad internacional al Estado, incluyendo aspectos de carácter estructural en relación a la atención médica recibida por el señor Poblete Vilches</w:t>
      </w:r>
      <w:r w:rsidR="00AB34B8">
        <w:rPr>
          <w:rFonts w:eastAsia="Calibri"/>
          <w:sz w:val="20"/>
          <w:szCs w:val="20"/>
          <w:lang w:val="es-ES" w:eastAsia="es-ES"/>
        </w:rPr>
        <w:t>.</w:t>
      </w:r>
    </w:p>
    <w:p w14:paraId="0445B467" w14:textId="77777777" w:rsidR="00121AA0" w:rsidRPr="006B2A4D" w:rsidRDefault="00121AA0" w:rsidP="00121AA0">
      <w:pPr>
        <w:widowControl w:val="0"/>
        <w:tabs>
          <w:tab w:val="left" w:pos="567"/>
          <w:tab w:val="num" w:pos="12305"/>
        </w:tabs>
        <w:adjustRightInd w:val="0"/>
        <w:textAlignment w:val="baseline"/>
        <w:rPr>
          <w:rFonts w:eastAsia="Calibri" w:cs="Mangal"/>
          <w:sz w:val="20"/>
          <w:szCs w:val="20"/>
          <w:lang w:val="es-ES" w:eastAsia="es-ES"/>
        </w:rPr>
      </w:pPr>
    </w:p>
    <w:p w14:paraId="01267A4F" w14:textId="6543CEC4" w:rsidR="00121AA0" w:rsidRDefault="00121AA0" w:rsidP="00121AA0">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 xml:space="preserve">Las </w:t>
      </w:r>
      <w:r w:rsidRPr="006B2A4D">
        <w:rPr>
          <w:rFonts w:eastAsia="Calibri"/>
          <w:b/>
          <w:i/>
          <w:sz w:val="20"/>
          <w:szCs w:val="20"/>
          <w:lang w:val="es-ES" w:eastAsia="es-ES"/>
        </w:rPr>
        <w:t>representantes</w:t>
      </w:r>
      <w:r w:rsidRPr="006B2A4D">
        <w:rPr>
          <w:rFonts w:eastAsia="Calibri"/>
          <w:sz w:val="20"/>
          <w:szCs w:val="20"/>
          <w:lang w:val="es-ES" w:eastAsia="es-ES"/>
        </w:rPr>
        <w:t xml:space="preserve"> también solicitaron que se ordene que el Estado reabra la investigación penal y que dé las instrucciones relevantes administrativas para determinar las causas y responsabilidades en el caso</w:t>
      </w:r>
      <w:r w:rsidR="00AB34B8">
        <w:rPr>
          <w:rFonts w:eastAsia="Calibri"/>
          <w:sz w:val="20"/>
          <w:szCs w:val="20"/>
          <w:lang w:val="es-ES" w:eastAsia="es-ES"/>
        </w:rPr>
        <w:t>.</w:t>
      </w:r>
    </w:p>
    <w:p w14:paraId="3C2EE697" w14:textId="77777777" w:rsidR="00121AA0" w:rsidRPr="006B2A4D" w:rsidRDefault="00121AA0" w:rsidP="00121AA0">
      <w:pPr>
        <w:widowControl w:val="0"/>
        <w:tabs>
          <w:tab w:val="left" w:pos="567"/>
          <w:tab w:val="num" w:pos="12305"/>
        </w:tabs>
        <w:adjustRightInd w:val="0"/>
        <w:textAlignment w:val="baseline"/>
        <w:rPr>
          <w:rFonts w:eastAsia="Calibri"/>
          <w:sz w:val="20"/>
          <w:szCs w:val="20"/>
          <w:lang w:val="es-ES" w:eastAsia="es-ES"/>
        </w:rPr>
      </w:pPr>
    </w:p>
    <w:p w14:paraId="6E510A0B" w14:textId="2795EFC7" w:rsidR="00121AA0" w:rsidRPr="006B2A4D" w:rsidRDefault="00121AA0" w:rsidP="00121AA0">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 xml:space="preserve">El </w:t>
      </w:r>
      <w:r w:rsidRPr="006B2A4D">
        <w:rPr>
          <w:rFonts w:eastAsia="Calibri"/>
          <w:b/>
          <w:i/>
          <w:sz w:val="20"/>
          <w:szCs w:val="20"/>
          <w:lang w:val="es-ES" w:eastAsia="es-ES"/>
        </w:rPr>
        <w:t>Estado</w:t>
      </w:r>
      <w:r w:rsidRPr="006B2A4D">
        <w:rPr>
          <w:rFonts w:eastAsia="Calibri"/>
          <w:sz w:val="20"/>
          <w:szCs w:val="20"/>
          <w:lang w:val="es-ES" w:eastAsia="es-ES"/>
        </w:rPr>
        <w:t xml:space="preserve"> hizo referencia a una serie de diligencias solicitadas por los querellantes, las cuales fueron concedidas tanto durante la primera querella, como durante la segunda. En sus alegatos finales, en respuesta a la pregunta realizada por la Corte respecto a la posible prescripción de la acción penal; el Estado se refirió a la legislación interna penal, la cual establece para el instituto de la prescripción diferentes plazos según el tipo de delito, llegando a la conclusión de que el plazo de prescripción de la acción penal, en este caso es de 5 años. Respecto al cómputo del plazo, refirió que el mismo comienza a correr desde el día que se hubiere cometido el delito. Agregó que si bien, se produce la suspensión de la prescripción desde el momento que el procedimiento se dirige en contra del delincuente, en junio de 2008 se paralizó el procedimiento penal y como consecuencia el cómputo de la prescripción opera como si nunca se hubiese suspendido. </w:t>
      </w:r>
    </w:p>
    <w:p w14:paraId="35FB2F79" w14:textId="77777777" w:rsidR="00121AA0" w:rsidRPr="006B2A4D" w:rsidRDefault="00121AA0" w:rsidP="00121AA0">
      <w:pPr>
        <w:widowControl w:val="0"/>
        <w:tabs>
          <w:tab w:val="left" w:pos="567"/>
          <w:tab w:val="num" w:pos="12305"/>
        </w:tabs>
        <w:adjustRightInd w:val="0"/>
        <w:textAlignment w:val="baseline"/>
        <w:rPr>
          <w:rFonts w:eastAsia="Calibri"/>
          <w:sz w:val="20"/>
          <w:szCs w:val="20"/>
          <w:lang w:val="es-ES" w:eastAsia="es-ES"/>
        </w:rPr>
      </w:pPr>
    </w:p>
    <w:p w14:paraId="005908F5" w14:textId="77777777" w:rsidR="00121AA0" w:rsidRDefault="00121AA0" w:rsidP="005430FF">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La Corte</w:t>
      </w:r>
      <w:r w:rsidRPr="006B2A4D">
        <w:rPr>
          <w:rFonts w:eastAsia="Calibri"/>
          <w:b/>
          <w:i/>
          <w:sz w:val="20"/>
          <w:szCs w:val="20"/>
          <w:lang w:val="es-ES" w:eastAsia="es-ES"/>
        </w:rPr>
        <w:t xml:space="preserve"> </w:t>
      </w:r>
      <w:r w:rsidRPr="006B2A4D">
        <w:rPr>
          <w:rFonts w:eastAsia="Calibri"/>
          <w:sz w:val="20"/>
          <w:szCs w:val="20"/>
          <w:lang w:val="es-ES" w:eastAsia="es-ES"/>
        </w:rPr>
        <w:t xml:space="preserve">en su jurisprudencia ha señalado que la prescripción en materia penal determina la extinción de la pretensión punitiva por el transcurso del tiempo y que, generalmente, limita el poder punitivo del Estado para perseguir la conducta ilícita y sancionar a sus autores. En vista de lo anterior, </w:t>
      </w:r>
      <w:r>
        <w:rPr>
          <w:rFonts w:eastAsia="Calibri"/>
          <w:sz w:val="20"/>
          <w:szCs w:val="20"/>
          <w:lang w:val="es-ES" w:eastAsia="es-ES"/>
        </w:rPr>
        <w:t xml:space="preserve">y siendo que los hechos del caso están prescritos de conformidad con la legislación chilena, </w:t>
      </w:r>
      <w:r w:rsidR="00840E52">
        <w:rPr>
          <w:rFonts w:eastAsia="Calibri"/>
          <w:sz w:val="20"/>
          <w:szCs w:val="20"/>
          <w:lang w:val="es-ES" w:eastAsia="es-ES"/>
        </w:rPr>
        <w:t>la Corte estima que,</w:t>
      </w:r>
      <w:r w:rsidRPr="006B2A4D">
        <w:rPr>
          <w:rFonts w:eastAsia="Calibri"/>
          <w:sz w:val="20"/>
          <w:szCs w:val="20"/>
          <w:lang w:val="es-ES" w:eastAsia="es-ES"/>
        </w:rPr>
        <w:t xml:space="preserve"> </w:t>
      </w:r>
      <w:r>
        <w:rPr>
          <w:rFonts w:eastAsia="Calibri"/>
          <w:sz w:val="20"/>
          <w:szCs w:val="20"/>
          <w:lang w:val="es-ES" w:eastAsia="es-ES"/>
        </w:rPr>
        <w:t xml:space="preserve">tomando en cuenta </w:t>
      </w:r>
      <w:r w:rsidRPr="006B2A4D">
        <w:rPr>
          <w:rFonts w:eastAsia="Calibri"/>
          <w:sz w:val="20"/>
          <w:szCs w:val="20"/>
          <w:lang w:val="es-ES" w:eastAsia="es-ES"/>
        </w:rPr>
        <w:t>el tipo de violación acreditada</w:t>
      </w:r>
      <w:r w:rsidRPr="006B2A4D">
        <w:rPr>
          <w:rFonts w:eastAsia="Calibri"/>
          <w:sz w:val="20"/>
          <w:szCs w:val="20"/>
          <w:vertAlign w:val="superscript"/>
          <w:lang w:val="es-ES" w:eastAsia="es-ES"/>
        </w:rPr>
        <w:footnoteReference w:id="308"/>
      </w:r>
      <w:r w:rsidRPr="006B2A4D">
        <w:rPr>
          <w:rFonts w:eastAsia="Calibri"/>
          <w:sz w:val="20"/>
          <w:szCs w:val="20"/>
          <w:lang w:val="es-ES" w:eastAsia="es-ES"/>
        </w:rPr>
        <w:t>, no resulta procedente en el presente caso ordenar al Estado una reapertura de las investigaciones penales sobre hechos relacionados con el fallecimiento del señor Vinicio Antonio Poblete Vilches en febrero del año 2001.</w:t>
      </w:r>
      <w:r>
        <w:rPr>
          <w:rFonts w:eastAsia="Calibri"/>
          <w:sz w:val="20"/>
          <w:szCs w:val="20"/>
          <w:lang w:val="es-ES" w:eastAsia="es-ES"/>
        </w:rPr>
        <w:t xml:space="preserve"> </w:t>
      </w:r>
    </w:p>
    <w:p w14:paraId="72B943DE" w14:textId="77777777" w:rsidR="00121AA0" w:rsidRDefault="00121AA0" w:rsidP="005430FF">
      <w:pPr>
        <w:widowControl w:val="0"/>
        <w:tabs>
          <w:tab w:val="left" w:pos="567"/>
        </w:tabs>
        <w:adjustRightInd w:val="0"/>
        <w:textAlignment w:val="baseline"/>
        <w:rPr>
          <w:rFonts w:eastAsia="Calibri"/>
          <w:sz w:val="20"/>
          <w:szCs w:val="20"/>
          <w:lang w:val="es-ES" w:eastAsia="es-ES"/>
        </w:rPr>
      </w:pPr>
    </w:p>
    <w:p w14:paraId="486D8393" w14:textId="77777777" w:rsidR="00121AA0" w:rsidRPr="00121AA0" w:rsidRDefault="00121AA0" w:rsidP="005430FF">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Pr>
          <w:rFonts w:eastAsia="Calibri"/>
          <w:sz w:val="20"/>
          <w:szCs w:val="20"/>
          <w:lang w:val="es-ES" w:eastAsia="es-ES"/>
        </w:rPr>
        <w:t xml:space="preserve">Sin perjuicio de lo anterior, la Corte dispondrá de otras medidas para satisfacer los derechos vulnerados. </w:t>
      </w:r>
    </w:p>
    <w:p w14:paraId="2C5D8415" w14:textId="77777777" w:rsidR="00121AA0" w:rsidRPr="006B2A4D" w:rsidRDefault="00121AA0" w:rsidP="006B2A4D">
      <w:pPr>
        <w:widowControl w:val="0"/>
        <w:tabs>
          <w:tab w:val="left" w:pos="567"/>
          <w:tab w:val="num" w:pos="12305"/>
        </w:tabs>
        <w:adjustRightInd w:val="0"/>
        <w:textAlignment w:val="baseline"/>
        <w:rPr>
          <w:rFonts w:eastAsia="Calibri"/>
          <w:sz w:val="20"/>
          <w:szCs w:val="20"/>
          <w:lang w:val="es-ES" w:eastAsia="es-ES"/>
        </w:rPr>
      </w:pPr>
    </w:p>
    <w:p w14:paraId="1AA0DFC4" w14:textId="4D8CA070" w:rsidR="006B2A4D" w:rsidRPr="00AD229D" w:rsidRDefault="006B2A4D" w:rsidP="002726E0">
      <w:pPr>
        <w:pStyle w:val="Heading2"/>
        <w:numPr>
          <w:ilvl w:val="0"/>
          <w:numId w:val="13"/>
        </w:numPr>
      </w:pPr>
      <w:bookmarkStart w:id="123" w:name="_Toc494271564"/>
      <w:bookmarkStart w:id="124" w:name="_Toc513644492"/>
      <w:r w:rsidRPr="00AD229D">
        <w:lastRenderedPageBreak/>
        <w:t>Satisfacción</w:t>
      </w:r>
      <w:bookmarkEnd w:id="123"/>
      <w:bookmarkEnd w:id="124"/>
    </w:p>
    <w:p w14:paraId="28B51648" w14:textId="77777777" w:rsidR="006B2A4D" w:rsidRPr="006B2A4D" w:rsidRDefault="006B2A4D" w:rsidP="006B2A4D">
      <w:pPr>
        <w:keepNext/>
        <w:keepLines/>
        <w:tabs>
          <w:tab w:val="left" w:pos="720"/>
        </w:tabs>
        <w:outlineLvl w:val="1"/>
        <w:rPr>
          <w:b/>
          <w:bCs/>
          <w:i/>
          <w:sz w:val="20"/>
          <w:szCs w:val="20"/>
          <w:lang w:val="es-ES" w:eastAsia="en-US"/>
        </w:rPr>
      </w:pPr>
    </w:p>
    <w:p w14:paraId="462484D9" w14:textId="369880C4" w:rsidR="006B2A4D" w:rsidRDefault="006B2A4D" w:rsidP="006B2A4D">
      <w:pPr>
        <w:numPr>
          <w:ilvl w:val="0"/>
          <w:numId w:val="2"/>
        </w:numPr>
        <w:tabs>
          <w:tab w:val="left" w:pos="567"/>
          <w:tab w:val="num" w:pos="1569"/>
          <w:tab w:val="num" w:pos="12305"/>
        </w:tabs>
        <w:ind w:left="0" w:firstLine="0"/>
        <w:rPr>
          <w:rFonts w:eastAsia="Calibri"/>
          <w:sz w:val="20"/>
          <w:szCs w:val="20"/>
          <w:lang w:val="es-ES" w:eastAsia="es-ES"/>
        </w:rPr>
      </w:pPr>
      <w:r w:rsidRPr="006B2A4D">
        <w:rPr>
          <w:rFonts w:eastAsia="Calibri"/>
          <w:sz w:val="20"/>
          <w:szCs w:val="20"/>
          <w:lang w:val="es-ES" w:eastAsia="es-ES"/>
        </w:rPr>
        <w:t xml:space="preserve">La </w:t>
      </w:r>
      <w:r w:rsidRPr="006B2A4D">
        <w:rPr>
          <w:rFonts w:eastAsia="Calibri"/>
          <w:b/>
          <w:i/>
          <w:sz w:val="20"/>
          <w:szCs w:val="20"/>
          <w:lang w:val="es-ES" w:eastAsia="es-ES"/>
        </w:rPr>
        <w:t>Comisión</w:t>
      </w:r>
      <w:r w:rsidRPr="006B2A4D">
        <w:rPr>
          <w:rFonts w:eastAsia="Calibri"/>
          <w:sz w:val="20"/>
          <w:szCs w:val="20"/>
          <w:lang w:val="es-ES" w:eastAsia="es-ES"/>
        </w:rPr>
        <w:t xml:space="preserve"> solicitó que, además de la reparación integral por daños materiales y morales, se incorporen “medidas de satisfacción moral”</w:t>
      </w:r>
      <w:r w:rsidR="00AB34B8">
        <w:rPr>
          <w:rFonts w:eastAsia="Calibri"/>
          <w:sz w:val="20"/>
          <w:szCs w:val="20"/>
          <w:lang w:val="es-ES" w:eastAsia="es-ES"/>
        </w:rPr>
        <w:t>.</w:t>
      </w:r>
    </w:p>
    <w:p w14:paraId="0209579F" w14:textId="77777777" w:rsidR="006B2A4D" w:rsidRPr="006B2A4D" w:rsidRDefault="006B2A4D" w:rsidP="006B2A4D">
      <w:pPr>
        <w:widowControl w:val="0"/>
        <w:tabs>
          <w:tab w:val="left" w:pos="567"/>
          <w:tab w:val="num" w:pos="12305"/>
        </w:tabs>
        <w:adjustRightInd w:val="0"/>
        <w:textAlignment w:val="baseline"/>
        <w:rPr>
          <w:rFonts w:eastAsia="Calibri"/>
          <w:sz w:val="20"/>
          <w:szCs w:val="20"/>
          <w:lang w:val="es-ES" w:eastAsia="es-ES"/>
        </w:rPr>
      </w:pPr>
    </w:p>
    <w:p w14:paraId="3B73199F" w14:textId="6F1CB335" w:rsidR="006B2A4D"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bookmarkStart w:id="125" w:name="_Toc472528612"/>
      <w:r w:rsidRPr="006B2A4D">
        <w:rPr>
          <w:rFonts w:eastAsia="Calibri"/>
          <w:sz w:val="20"/>
          <w:szCs w:val="20"/>
          <w:lang w:val="es-ES" w:eastAsia="es-ES"/>
        </w:rPr>
        <w:t xml:space="preserve">Las </w:t>
      </w:r>
      <w:r w:rsidRPr="006B2A4D">
        <w:rPr>
          <w:rFonts w:eastAsia="Calibri"/>
          <w:b/>
          <w:i/>
          <w:sz w:val="20"/>
          <w:szCs w:val="20"/>
          <w:lang w:val="es-ES" w:eastAsia="es-ES"/>
        </w:rPr>
        <w:t>representantes</w:t>
      </w:r>
      <w:r w:rsidRPr="006B2A4D">
        <w:rPr>
          <w:rFonts w:eastAsia="Calibri"/>
          <w:sz w:val="20"/>
          <w:szCs w:val="20"/>
          <w:lang w:val="es-ES" w:eastAsia="es-ES"/>
        </w:rPr>
        <w:t xml:space="preserve"> </w:t>
      </w:r>
      <w:bookmarkEnd w:id="125"/>
      <w:r w:rsidRPr="006B2A4D">
        <w:rPr>
          <w:rFonts w:eastAsia="Calibri"/>
          <w:sz w:val="20"/>
          <w:szCs w:val="20"/>
          <w:lang w:val="es-ES" w:eastAsia="es-ES"/>
        </w:rPr>
        <w:t>solicitaron que se publique la sentencia íntegra “en tres diarios de gran circulación del país” y en el Registro Oficial de Chile tal como “la elaboración y publicación de un folleto” que resuma la sentencia</w:t>
      </w:r>
      <w:r w:rsidR="00AB34B8">
        <w:rPr>
          <w:rFonts w:eastAsia="Calibri"/>
          <w:sz w:val="20"/>
          <w:szCs w:val="20"/>
          <w:lang w:val="es-ES" w:eastAsia="es-ES"/>
        </w:rPr>
        <w:t>.</w:t>
      </w:r>
    </w:p>
    <w:p w14:paraId="49AABEB5" w14:textId="77777777" w:rsidR="006B2A4D" w:rsidRPr="006B2A4D" w:rsidRDefault="006B2A4D" w:rsidP="006B2A4D">
      <w:pPr>
        <w:rPr>
          <w:rFonts w:eastAsia="Calibri"/>
          <w:sz w:val="20"/>
          <w:szCs w:val="20"/>
          <w:lang w:val="es-ES" w:eastAsia="es-ES"/>
        </w:rPr>
      </w:pPr>
    </w:p>
    <w:p w14:paraId="3662FD59" w14:textId="603253A3" w:rsidR="006B2A4D"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 xml:space="preserve">Las representantes además solicitaron que la Corte ordene al Estado que realice una ceremonia pública “de desagravio con reconocimiento de responsabilidad internacional y disculpas públicas” a través del Ministerio de Justicia chileno y el Ministerio de la Salud. Respecto a dicha ceremonia, las representantes indicaron que autoridades locales y el director del Hospital </w:t>
      </w:r>
      <w:proofErr w:type="spellStart"/>
      <w:r w:rsidRPr="006B2A4D">
        <w:rPr>
          <w:rFonts w:eastAsia="Calibri"/>
          <w:sz w:val="20"/>
          <w:szCs w:val="20"/>
          <w:lang w:val="es-ES" w:eastAsia="es-ES"/>
        </w:rPr>
        <w:t>Sótero</w:t>
      </w:r>
      <w:proofErr w:type="spellEnd"/>
      <w:r w:rsidRPr="006B2A4D">
        <w:rPr>
          <w:rFonts w:eastAsia="Calibri"/>
          <w:sz w:val="20"/>
          <w:szCs w:val="20"/>
          <w:lang w:val="es-ES" w:eastAsia="es-ES"/>
        </w:rPr>
        <w:t xml:space="preserve"> del Río deben participar y que se deben convocar </w:t>
      </w:r>
      <w:r w:rsidR="009E543A" w:rsidRPr="00B1523A">
        <w:rPr>
          <w:rFonts w:eastAsia="Calibri"/>
          <w:sz w:val="20"/>
          <w:szCs w:val="20"/>
          <w:lang w:val="es-ES" w:eastAsia="es-ES"/>
        </w:rPr>
        <w:t>a</w:t>
      </w:r>
      <w:r w:rsidR="009E543A">
        <w:rPr>
          <w:rFonts w:eastAsia="Calibri"/>
          <w:sz w:val="20"/>
          <w:szCs w:val="20"/>
          <w:lang w:val="es-ES" w:eastAsia="es-ES"/>
        </w:rPr>
        <w:t xml:space="preserve"> </w:t>
      </w:r>
      <w:r w:rsidRPr="006B2A4D">
        <w:rPr>
          <w:rFonts w:eastAsia="Calibri"/>
          <w:sz w:val="20"/>
          <w:szCs w:val="20"/>
          <w:lang w:val="es-ES" w:eastAsia="es-ES"/>
        </w:rPr>
        <w:t xml:space="preserve">los medios de comunicación “a nivel nacional para su difusión”. Por otra parte, solicitaron que el Estado envíe una carta oficial al señor Vinicio Poblete Tapia y la señora </w:t>
      </w:r>
      <w:proofErr w:type="spellStart"/>
      <w:r w:rsidRPr="006B2A4D">
        <w:rPr>
          <w:rFonts w:eastAsia="Calibri"/>
          <w:sz w:val="20"/>
          <w:szCs w:val="20"/>
          <w:lang w:val="es-ES" w:eastAsia="es-ES"/>
        </w:rPr>
        <w:t>Cesia</w:t>
      </w:r>
      <w:proofErr w:type="spellEnd"/>
      <w:r w:rsidRPr="006B2A4D">
        <w:rPr>
          <w:rFonts w:eastAsia="Calibri"/>
          <w:sz w:val="20"/>
          <w:szCs w:val="20"/>
          <w:lang w:val="es-ES" w:eastAsia="es-ES"/>
        </w:rPr>
        <w:t xml:space="preserve"> Poblete Tapia donde reconozca las violaciones a sus derechos y pida disculpas por las mismas</w:t>
      </w:r>
      <w:r w:rsidR="00AB34B8">
        <w:rPr>
          <w:rFonts w:eastAsia="Calibri"/>
          <w:sz w:val="20"/>
          <w:szCs w:val="20"/>
          <w:lang w:val="es-ES" w:eastAsia="es-ES"/>
        </w:rPr>
        <w:t>.</w:t>
      </w:r>
    </w:p>
    <w:p w14:paraId="0E9DFFC6" w14:textId="77777777" w:rsidR="006B2A4D" w:rsidRPr="006B2A4D" w:rsidRDefault="006B2A4D" w:rsidP="006B2A4D">
      <w:pPr>
        <w:rPr>
          <w:rFonts w:eastAsia="Calibri"/>
          <w:sz w:val="20"/>
          <w:szCs w:val="20"/>
          <w:lang w:val="es-ES" w:eastAsia="es-ES"/>
        </w:rPr>
      </w:pPr>
    </w:p>
    <w:p w14:paraId="5E6A0A7F" w14:textId="2054AE10" w:rsidR="006B2A4D"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 xml:space="preserve">Por último, las representantes solicitaron que el Estado, tal como la Corte lo ordenó en el </w:t>
      </w:r>
      <w:r w:rsidRPr="006B2A4D">
        <w:rPr>
          <w:rFonts w:eastAsia="Calibri"/>
          <w:i/>
          <w:sz w:val="20"/>
          <w:szCs w:val="20"/>
          <w:lang w:val="es-ES" w:eastAsia="es-ES"/>
        </w:rPr>
        <w:t>Caso Ruano Torres y otros Vs. El Salvador</w:t>
      </w:r>
      <w:r w:rsidRPr="006B2A4D">
        <w:rPr>
          <w:rFonts w:eastAsia="Calibri"/>
          <w:sz w:val="20"/>
          <w:szCs w:val="20"/>
          <w:lang w:val="es-ES" w:eastAsia="es-ES"/>
        </w:rPr>
        <w:t>, “coloque una placa en un lugar visible de la sede de la Unidad de Defensoría Pública […] dentro del año siguiente a la notificación de la […] Sentencia”</w:t>
      </w:r>
      <w:r w:rsidRPr="006B2A4D">
        <w:rPr>
          <w:rFonts w:eastAsia="Calibri"/>
          <w:sz w:val="20"/>
          <w:szCs w:val="20"/>
          <w:vertAlign w:val="superscript"/>
          <w:lang w:val="es-ES" w:eastAsia="es-ES"/>
        </w:rPr>
        <w:footnoteReference w:id="309"/>
      </w:r>
      <w:r w:rsidRPr="006B2A4D">
        <w:rPr>
          <w:rFonts w:eastAsia="Calibri"/>
          <w:sz w:val="20"/>
          <w:szCs w:val="20"/>
          <w:lang w:val="es-ES" w:eastAsia="es-ES"/>
        </w:rPr>
        <w:t xml:space="preserve"> y una placa conmemorativa por el señor Poblete Vilches en un lugar a definir, “preferentemente próximo al Hospital”, cuyo contenido debe ser acordado con las presuntas víctimas y el Estado. </w:t>
      </w:r>
    </w:p>
    <w:p w14:paraId="2521937D" w14:textId="77777777" w:rsidR="006B2A4D" w:rsidRPr="006B2A4D" w:rsidRDefault="006B2A4D" w:rsidP="006B2A4D">
      <w:pPr>
        <w:rPr>
          <w:rFonts w:eastAsia="Calibri"/>
          <w:sz w:val="20"/>
          <w:szCs w:val="20"/>
          <w:lang w:val="es-ES" w:eastAsia="es-ES"/>
        </w:rPr>
      </w:pPr>
    </w:p>
    <w:p w14:paraId="1423E4BA" w14:textId="77777777" w:rsidR="006B2A4D"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 xml:space="preserve">El </w:t>
      </w:r>
      <w:r w:rsidRPr="006B2A4D">
        <w:rPr>
          <w:rFonts w:eastAsia="Calibri"/>
          <w:b/>
          <w:i/>
          <w:sz w:val="20"/>
          <w:szCs w:val="20"/>
          <w:lang w:val="es-ES" w:eastAsia="es-ES"/>
        </w:rPr>
        <w:t>Estado</w:t>
      </w:r>
      <w:r w:rsidRPr="006B2A4D">
        <w:rPr>
          <w:rFonts w:eastAsia="Calibri"/>
          <w:sz w:val="20"/>
          <w:szCs w:val="20"/>
          <w:lang w:val="es-ES" w:eastAsia="es-ES"/>
        </w:rPr>
        <w:t xml:space="preserve"> no se pronunció al respecto. </w:t>
      </w:r>
    </w:p>
    <w:p w14:paraId="492C6A76" w14:textId="77777777" w:rsidR="004A0BDC" w:rsidRDefault="004A0BDC" w:rsidP="00531D45">
      <w:pPr>
        <w:ind w:left="1416"/>
        <w:rPr>
          <w:rFonts w:eastAsia="Calibri"/>
          <w:sz w:val="20"/>
          <w:szCs w:val="20"/>
          <w:lang w:val="es-ES" w:eastAsia="es-ES"/>
        </w:rPr>
      </w:pPr>
    </w:p>
    <w:p w14:paraId="400A5D88" w14:textId="6848BAA0" w:rsidR="006B2A4D" w:rsidRPr="00531D45" w:rsidRDefault="004A0BDC" w:rsidP="00531D45">
      <w:pPr>
        <w:ind w:left="1416"/>
        <w:rPr>
          <w:rFonts w:eastAsia="Calibri"/>
          <w:i/>
          <w:sz w:val="20"/>
          <w:szCs w:val="20"/>
          <w:lang w:val="es-ES" w:eastAsia="es-ES"/>
        </w:rPr>
      </w:pPr>
      <w:r w:rsidRPr="00531D45">
        <w:rPr>
          <w:rFonts w:eastAsia="Calibri"/>
          <w:i/>
          <w:sz w:val="20"/>
          <w:szCs w:val="20"/>
          <w:lang w:val="es-ES" w:eastAsia="es-ES"/>
        </w:rPr>
        <w:t>i) Publicación de la Sentencia</w:t>
      </w:r>
    </w:p>
    <w:p w14:paraId="3C80653D" w14:textId="77777777" w:rsidR="004A0BDC" w:rsidRPr="006B2A4D" w:rsidRDefault="004A0BDC" w:rsidP="00531D45">
      <w:pPr>
        <w:ind w:left="1416"/>
        <w:rPr>
          <w:rFonts w:eastAsia="Calibri"/>
          <w:sz w:val="20"/>
          <w:szCs w:val="20"/>
          <w:lang w:val="es-ES" w:eastAsia="es-ES"/>
        </w:rPr>
      </w:pPr>
    </w:p>
    <w:p w14:paraId="164F5522" w14:textId="26848A20" w:rsidR="005F2639" w:rsidRPr="00803896" w:rsidRDefault="006B2A4D" w:rsidP="00B1523A">
      <w:pPr>
        <w:widowControl w:val="0"/>
        <w:numPr>
          <w:ilvl w:val="0"/>
          <w:numId w:val="2"/>
        </w:numPr>
        <w:tabs>
          <w:tab w:val="left" w:pos="567"/>
          <w:tab w:val="num" w:pos="1569"/>
          <w:tab w:val="num" w:pos="12305"/>
        </w:tabs>
        <w:adjustRightInd w:val="0"/>
        <w:ind w:left="0" w:firstLine="0"/>
        <w:textAlignment w:val="baseline"/>
        <w:rPr>
          <w:rFonts w:eastAsia="Calibri"/>
          <w:sz w:val="20"/>
          <w:szCs w:val="20"/>
          <w:lang w:eastAsia="es-ES"/>
        </w:rPr>
      </w:pPr>
      <w:r w:rsidRPr="006B2A4D">
        <w:rPr>
          <w:rFonts w:eastAsia="Calibri"/>
          <w:sz w:val="20"/>
          <w:szCs w:val="20"/>
          <w:lang w:val="es-ES" w:eastAsia="es-ES"/>
        </w:rPr>
        <w:t>La Corte estima, como lo ha dispuesto en otros casos</w:t>
      </w:r>
      <w:r w:rsidRPr="006B2A4D">
        <w:rPr>
          <w:rFonts w:eastAsia="Calibri"/>
          <w:sz w:val="20"/>
          <w:szCs w:val="20"/>
          <w:vertAlign w:val="superscript"/>
          <w:lang w:val="es-ES" w:eastAsia="es-ES"/>
        </w:rPr>
        <w:footnoteReference w:id="310"/>
      </w:r>
      <w:r w:rsidRPr="006B2A4D">
        <w:rPr>
          <w:rFonts w:eastAsia="Calibri"/>
          <w:sz w:val="20"/>
          <w:szCs w:val="20"/>
          <w:lang w:val="es-ES" w:eastAsia="es-ES"/>
        </w:rPr>
        <w:t xml:space="preserve">, que el Estado deberá publicar, en el plazo de seis meses, contado a partir de la notificación de la presente Sentencia: a) el resumen oficial de esta Sentencia elaborado por la Corte, por una sola vez, en el Diario Oficial en un tamaño de letra legible y adecuado; b) el resumen oficial de la Sentencia elaborado por la Corte, por una sola vez, en un diario de amplia circulación nacional en un tamaño de letra legible y adecuado, y c) la presente Sentencia en su integridad, disponible por un período de un año, en un sitio web oficial, de manera accesible al público y desde la página de inicio del sitio web. </w:t>
      </w:r>
      <w:r w:rsidR="005F2639" w:rsidRPr="005F2639">
        <w:rPr>
          <w:rFonts w:eastAsia="Calibri"/>
          <w:sz w:val="20"/>
          <w:szCs w:val="20"/>
          <w:lang w:eastAsia="es-ES"/>
        </w:rPr>
        <w:t>El Estado deberá informar de forma inmediata a esta Corte una vez que proceda a realizar cada una de las publicaciones dispuestas, independientemente del plazo de un año para presentar su primer informe dis</w:t>
      </w:r>
      <w:r w:rsidR="005F2639">
        <w:rPr>
          <w:rFonts w:eastAsia="Calibri"/>
          <w:sz w:val="20"/>
          <w:szCs w:val="20"/>
          <w:lang w:eastAsia="es-ES"/>
        </w:rPr>
        <w:t>puesto en el Punto Resolutivo 19</w:t>
      </w:r>
      <w:r w:rsidR="005F2639" w:rsidRPr="005F2639">
        <w:rPr>
          <w:rFonts w:eastAsia="Calibri"/>
          <w:sz w:val="20"/>
          <w:szCs w:val="20"/>
          <w:lang w:eastAsia="es-ES"/>
        </w:rPr>
        <w:t xml:space="preserve"> de la Sentencia.</w:t>
      </w:r>
    </w:p>
    <w:p w14:paraId="3518C92F" w14:textId="77777777" w:rsidR="006B2A4D" w:rsidRDefault="006B2A4D" w:rsidP="006B2A4D">
      <w:pPr>
        <w:rPr>
          <w:rFonts w:eastAsia="Calibri"/>
          <w:sz w:val="20"/>
          <w:szCs w:val="20"/>
          <w:lang w:val="es-ES" w:eastAsia="es-ES"/>
        </w:rPr>
      </w:pPr>
    </w:p>
    <w:p w14:paraId="1DD6B3E4" w14:textId="6B7EA0D8" w:rsidR="004A0BDC" w:rsidRPr="00AB34B8" w:rsidRDefault="004A0BDC" w:rsidP="00531D45">
      <w:pPr>
        <w:ind w:left="708" w:firstLine="708"/>
        <w:rPr>
          <w:rFonts w:eastAsia="Calibri"/>
          <w:i/>
          <w:sz w:val="20"/>
          <w:szCs w:val="20"/>
          <w:lang w:val="es-ES" w:eastAsia="es-ES"/>
        </w:rPr>
      </w:pPr>
      <w:r w:rsidRPr="00AB34B8">
        <w:rPr>
          <w:rFonts w:eastAsia="Calibri"/>
          <w:i/>
          <w:sz w:val="20"/>
          <w:szCs w:val="20"/>
          <w:lang w:val="es-ES" w:eastAsia="es-ES"/>
        </w:rPr>
        <w:t xml:space="preserve">ii) </w:t>
      </w:r>
      <w:r w:rsidR="00EC161E" w:rsidRPr="00B1523A">
        <w:rPr>
          <w:rFonts w:eastAsia="Calibri"/>
          <w:i/>
          <w:sz w:val="20"/>
          <w:szCs w:val="20"/>
          <w:lang w:val="es-ES" w:eastAsia="es-ES"/>
        </w:rPr>
        <w:t>Acto público de reconocimiento de responsabilidad</w:t>
      </w:r>
    </w:p>
    <w:p w14:paraId="25DC5995" w14:textId="77777777" w:rsidR="004A0BDC" w:rsidRPr="00225483" w:rsidRDefault="004A0BDC" w:rsidP="00531D45">
      <w:pPr>
        <w:ind w:left="708" w:firstLine="708"/>
        <w:rPr>
          <w:rFonts w:eastAsia="Calibri"/>
          <w:i/>
          <w:sz w:val="20"/>
          <w:szCs w:val="20"/>
          <w:lang w:val="es-ES" w:eastAsia="es-ES"/>
        </w:rPr>
      </w:pPr>
    </w:p>
    <w:p w14:paraId="12EAD516" w14:textId="359A4294" w:rsidR="006B2A4D" w:rsidRPr="00AB34B8" w:rsidRDefault="00EC161E" w:rsidP="006C0F76">
      <w:pPr>
        <w:widowControl w:val="0"/>
        <w:numPr>
          <w:ilvl w:val="0"/>
          <w:numId w:val="2"/>
        </w:numPr>
        <w:tabs>
          <w:tab w:val="left" w:pos="567"/>
          <w:tab w:val="num" w:pos="1569"/>
          <w:tab w:val="num" w:pos="12305"/>
        </w:tabs>
        <w:adjustRightInd w:val="0"/>
        <w:ind w:left="0" w:firstLine="0"/>
        <w:textAlignment w:val="baseline"/>
        <w:rPr>
          <w:rFonts w:eastAsia="Calibri"/>
          <w:sz w:val="20"/>
          <w:szCs w:val="20"/>
          <w:lang w:eastAsia="es-ES"/>
        </w:rPr>
      </w:pPr>
      <w:r w:rsidRPr="005F2639">
        <w:rPr>
          <w:rFonts w:eastAsia="Calibri"/>
          <w:sz w:val="20"/>
          <w:szCs w:val="20"/>
          <w:lang w:val="es-ES" w:eastAsia="es-ES"/>
        </w:rPr>
        <w:t>L</w:t>
      </w:r>
      <w:r w:rsidR="00512FDD" w:rsidRPr="005F2639">
        <w:rPr>
          <w:rFonts w:eastAsia="Calibri"/>
          <w:sz w:val="20"/>
          <w:szCs w:val="20"/>
          <w:lang w:val="es-ES" w:eastAsia="es-ES"/>
        </w:rPr>
        <w:t>a</w:t>
      </w:r>
      <w:r w:rsidR="00512FDD" w:rsidRPr="005F2639">
        <w:rPr>
          <w:rFonts w:eastAsia="Calibri"/>
          <w:sz w:val="20"/>
          <w:lang w:val="es-ES" w:eastAsia="es-ES"/>
        </w:rPr>
        <w:t xml:space="preserve"> Corte </w:t>
      </w:r>
      <w:r w:rsidR="006B2A4D" w:rsidRPr="005F2639">
        <w:rPr>
          <w:rFonts w:eastAsia="Calibri"/>
          <w:sz w:val="20"/>
          <w:lang w:val="es-ES" w:eastAsia="es-ES"/>
        </w:rPr>
        <w:t>dispone</w:t>
      </w:r>
      <w:r w:rsidR="00512FDD" w:rsidRPr="005F2639">
        <w:rPr>
          <w:rFonts w:eastAsia="Calibri"/>
          <w:sz w:val="20"/>
          <w:lang w:val="es-ES" w:eastAsia="es-ES"/>
        </w:rPr>
        <w:t>,</w:t>
      </w:r>
      <w:r w:rsidR="006B2A4D" w:rsidRPr="005F2639">
        <w:rPr>
          <w:rFonts w:eastAsia="Calibri"/>
          <w:sz w:val="20"/>
          <w:lang w:val="es-ES" w:eastAsia="es-ES"/>
        </w:rPr>
        <w:t xml:space="preserve"> </w:t>
      </w:r>
      <w:r w:rsidR="00512FDD" w:rsidRPr="005F2639">
        <w:rPr>
          <w:rFonts w:eastAsia="Calibri"/>
          <w:sz w:val="20"/>
          <w:lang w:val="es-ES" w:eastAsia="es-ES"/>
        </w:rPr>
        <w:t xml:space="preserve">como </w:t>
      </w:r>
      <w:r w:rsidR="006C0F76" w:rsidRPr="005F2639">
        <w:rPr>
          <w:rFonts w:eastAsia="Calibri"/>
          <w:sz w:val="20"/>
          <w:szCs w:val="20"/>
          <w:lang w:val="es-ES" w:eastAsia="es-ES"/>
        </w:rPr>
        <w:t xml:space="preserve">lo ha hecho </w:t>
      </w:r>
      <w:r w:rsidR="00512FDD" w:rsidRPr="005F2639">
        <w:rPr>
          <w:rFonts w:eastAsia="Calibri"/>
          <w:sz w:val="20"/>
          <w:lang w:val="es-ES" w:eastAsia="es-ES"/>
        </w:rPr>
        <w:t>en otros casos</w:t>
      </w:r>
      <w:r w:rsidR="00512FDD" w:rsidRPr="00AB34B8">
        <w:rPr>
          <w:rFonts w:eastAsia="Calibri"/>
          <w:sz w:val="20"/>
          <w:vertAlign w:val="superscript"/>
          <w:lang w:val="es-ES" w:eastAsia="es-ES"/>
        </w:rPr>
        <w:footnoteReference w:id="311"/>
      </w:r>
      <w:r w:rsidR="00512FDD" w:rsidRPr="00AB34B8">
        <w:rPr>
          <w:rFonts w:eastAsia="Calibri"/>
          <w:sz w:val="20"/>
          <w:lang w:val="es-ES" w:eastAsia="es-ES"/>
        </w:rPr>
        <w:t xml:space="preserve">, </w:t>
      </w:r>
      <w:r w:rsidR="006B2A4D" w:rsidRPr="00AB34B8">
        <w:rPr>
          <w:rFonts w:eastAsia="Calibri"/>
          <w:sz w:val="20"/>
          <w:lang w:val="es-ES" w:eastAsia="es-ES"/>
        </w:rPr>
        <w:t xml:space="preserve">que </w:t>
      </w:r>
      <w:r w:rsidR="006C0F76" w:rsidRPr="00B1523A">
        <w:rPr>
          <w:rFonts w:eastAsia="Calibri"/>
          <w:sz w:val="20"/>
          <w:szCs w:val="20"/>
          <w:lang w:eastAsia="es-ES"/>
        </w:rPr>
        <w:t xml:space="preserve">el Estado debe realizar un acto público de reconocimiento de responsabilidad internacional en Chile, en el cual deberá hacer referencia a las violaciones de derechos humanos declaradas en la presente Sentencia. Este acto deberá llevarse a cabo mediante una ceremonia pública en presencia de altos funcionarios del Estado, así como con la participación de las víctimas de este caso. El Estado deberá acordar </w:t>
      </w:r>
      <w:r w:rsidR="006C0F76" w:rsidRPr="00B1523A">
        <w:rPr>
          <w:rFonts w:eastAsia="Calibri"/>
          <w:sz w:val="20"/>
          <w:szCs w:val="20"/>
          <w:lang w:eastAsia="es-ES"/>
        </w:rPr>
        <w:lastRenderedPageBreak/>
        <w:t>con las víctimas o sus representantes la modalidad de cumplimiento del acto público de reconocimiento, así como las particularidades que se requieran, tales como el lugar y la fecha para su realización. Para ello, el Estado cuenta con el plazo de un año, contado a partir de la notificación de la presente Sentencia.</w:t>
      </w:r>
    </w:p>
    <w:p w14:paraId="6A8184CD" w14:textId="7160A6DE" w:rsidR="006B2A4D" w:rsidRPr="006B2A4D" w:rsidRDefault="006B2A4D" w:rsidP="006B2A4D">
      <w:pPr>
        <w:widowControl w:val="0"/>
        <w:tabs>
          <w:tab w:val="left" w:pos="567"/>
          <w:tab w:val="num" w:pos="12305"/>
        </w:tabs>
        <w:adjustRightInd w:val="0"/>
        <w:textAlignment w:val="baseline"/>
        <w:rPr>
          <w:rFonts w:eastAsia="Calibri"/>
          <w:b/>
          <w:sz w:val="20"/>
          <w:szCs w:val="20"/>
          <w:lang w:val="es-ES" w:eastAsia="es-ES"/>
        </w:rPr>
      </w:pPr>
    </w:p>
    <w:p w14:paraId="05D08C29" w14:textId="77777777" w:rsidR="006B2A4D" w:rsidRPr="00AD229D" w:rsidRDefault="006B2A4D" w:rsidP="002726E0">
      <w:pPr>
        <w:pStyle w:val="Heading2"/>
        <w:numPr>
          <w:ilvl w:val="0"/>
          <w:numId w:val="13"/>
        </w:numPr>
      </w:pPr>
      <w:bookmarkStart w:id="126" w:name="_Toc513644493"/>
      <w:r w:rsidRPr="00AD229D">
        <w:t>Rehabilitación</w:t>
      </w:r>
      <w:bookmarkEnd w:id="126"/>
    </w:p>
    <w:p w14:paraId="2C9DB2A6" w14:textId="77777777" w:rsidR="006B2A4D" w:rsidRPr="006B2A4D" w:rsidRDefault="006B2A4D" w:rsidP="006B2A4D">
      <w:pPr>
        <w:rPr>
          <w:rFonts w:eastAsia="Calibri"/>
          <w:b/>
          <w:i/>
          <w:sz w:val="20"/>
          <w:szCs w:val="20"/>
          <w:lang w:val="es-ES" w:eastAsia="es-ES"/>
        </w:rPr>
      </w:pPr>
    </w:p>
    <w:p w14:paraId="38DB5529" w14:textId="77777777" w:rsidR="006B2A4D" w:rsidRPr="006B2A4D"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b/>
          <w:sz w:val="20"/>
          <w:szCs w:val="20"/>
          <w:lang w:val="es-ES" w:eastAsia="es-ES"/>
        </w:rPr>
      </w:pPr>
      <w:r w:rsidRPr="006B2A4D">
        <w:rPr>
          <w:rFonts w:eastAsia="Calibri"/>
          <w:sz w:val="20"/>
          <w:szCs w:val="20"/>
          <w:lang w:val="es-ES" w:eastAsia="es-ES"/>
        </w:rPr>
        <w:t>La</w:t>
      </w:r>
      <w:r w:rsidRPr="006B2A4D">
        <w:rPr>
          <w:rFonts w:eastAsia="Calibri"/>
          <w:b/>
          <w:sz w:val="20"/>
          <w:szCs w:val="20"/>
          <w:lang w:val="es-ES" w:eastAsia="es-ES"/>
        </w:rPr>
        <w:t xml:space="preserve"> </w:t>
      </w:r>
      <w:r w:rsidRPr="006B2A4D">
        <w:rPr>
          <w:rFonts w:eastAsia="Calibri"/>
          <w:b/>
          <w:i/>
          <w:sz w:val="20"/>
          <w:szCs w:val="20"/>
          <w:lang w:val="es-ES" w:eastAsia="es-ES"/>
        </w:rPr>
        <w:t>Comisión</w:t>
      </w:r>
      <w:r w:rsidRPr="006B2A4D">
        <w:rPr>
          <w:rFonts w:eastAsia="Calibri"/>
          <w:b/>
          <w:sz w:val="20"/>
          <w:szCs w:val="20"/>
          <w:lang w:val="es-ES" w:eastAsia="es-ES"/>
        </w:rPr>
        <w:t xml:space="preserve"> </w:t>
      </w:r>
      <w:r w:rsidRPr="006B2A4D">
        <w:rPr>
          <w:rFonts w:eastAsia="Calibri"/>
          <w:sz w:val="20"/>
          <w:szCs w:val="20"/>
          <w:lang w:val="es-ES" w:eastAsia="es-ES"/>
        </w:rPr>
        <w:t>no se pronunció al respecto.</w:t>
      </w:r>
    </w:p>
    <w:p w14:paraId="515ECAFA" w14:textId="77777777" w:rsidR="006B2A4D" w:rsidRPr="006B2A4D" w:rsidRDefault="006B2A4D" w:rsidP="006B2A4D">
      <w:pPr>
        <w:widowControl w:val="0"/>
        <w:tabs>
          <w:tab w:val="left" w:pos="567"/>
          <w:tab w:val="num" w:pos="12305"/>
        </w:tabs>
        <w:adjustRightInd w:val="0"/>
        <w:textAlignment w:val="baseline"/>
        <w:rPr>
          <w:rFonts w:eastAsia="Calibri"/>
          <w:b/>
          <w:sz w:val="20"/>
          <w:szCs w:val="20"/>
          <w:lang w:val="es-ES" w:eastAsia="es-ES"/>
        </w:rPr>
      </w:pPr>
    </w:p>
    <w:p w14:paraId="3C9DC4CB" w14:textId="783B533D" w:rsidR="006B2A4D"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Las</w:t>
      </w:r>
      <w:r w:rsidRPr="006B2A4D">
        <w:rPr>
          <w:rFonts w:eastAsia="Calibri"/>
          <w:b/>
          <w:sz w:val="20"/>
          <w:szCs w:val="20"/>
          <w:lang w:val="es-ES" w:eastAsia="es-ES"/>
        </w:rPr>
        <w:t xml:space="preserve"> </w:t>
      </w:r>
      <w:r w:rsidRPr="006B2A4D">
        <w:rPr>
          <w:rFonts w:eastAsia="Calibri"/>
          <w:b/>
          <w:i/>
          <w:sz w:val="20"/>
          <w:szCs w:val="20"/>
          <w:lang w:val="es-ES" w:eastAsia="es-ES"/>
        </w:rPr>
        <w:t>representantes</w:t>
      </w:r>
      <w:r w:rsidRPr="006B2A4D">
        <w:rPr>
          <w:rFonts w:eastAsia="Calibri"/>
          <w:sz w:val="20"/>
          <w:szCs w:val="20"/>
          <w:lang w:val="es-ES" w:eastAsia="es-ES"/>
        </w:rPr>
        <w:t xml:space="preserve"> solicitaron que las presuntas víctimas en el presente caso reciban atención médica y psicológica. En este sentido, solicitaron que el Estado le proporcione a</w:t>
      </w:r>
      <w:r w:rsidR="00D72D2D">
        <w:rPr>
          <w:rFonts w:eastAsia="Calibri"/>
          <w:sz w:val="20"/>
          <w:szCs w:val="20"/>
          <w:lang w:val="es-ES" w:eastAsia="es-ES"/>
        </w:rPr>
        <w:t xml:space="preserve"> cada víctima un monto </w:t>
      </w:r>
      <w:r w:rsidR="00D72D2D" w:rsidRPr="005F2639">
        <w:rPr>
          <w:rFonts w:eastAsia="Calibri"/>
          <w:sz w:val="20"/>
          <w:szCs w:val="20"/>
          <w:lang w:val="es-ES" w:eastAsia="es-ES"/>
        </w:rPr>
        <w:t xml:space="preserve">de </w:t>
      </w:r>
      <w:r w:rsidR="00D72D2D" w:rsidRPr="00B1523A">
        <w:rPr>
          <w:rFonts w:eastAsia="Calibri"/>
          <w:sz w:val="20"/>
          <w:szCs w:val="20"/>
          <w:lang w:val="es-ES" w:eastAsia="es-ES"/>
        </w:rPr>
        <w:t>US$10,</w:t>
      </w:r>
      <w:r w:rsidRPr="00B1523A">
        <w:rPr>
          <w:rFonts w:eastAsia="Calibri"/>
          <w:sz w:val="20"/>
          <w:szCs w:val="20"/>
          <w:lang w:val="es-ES" w:eastAsia="es-ES"/>
        </w:rPr>
        <w:t>000</w:t>
      </w:r>
      <w:r w:rsidRPr="005F2639">
        <w:rPr>
          <w:rFonts w:eastAsia="Calibri"/>
          <w:sz w:val="20"/>
          <w:szCs w:val="20"/>
          <w:lang w:val="es-ES" w:eastAsia="es-ES"/>
        </w:rPr>
        <w:t xml:space="preserve"> por</w:t>
      </w:r>
      <w:r w:rsidRPr="006B2A4D">
        <w:rPr>
          <w:rFonts w:eastAsia="Calibri"/>
          <w:sz w:val="20"/>
          <w:szCs w:val="20"/>
          <w:lang w:val="es-ES" w:eastAsia="es-ES"/>
        </w:rPr>
        <w:t xml:space="preserve"> los gastos relacionados a dichos tratamientos médicos y psicológicos. </w:t>
      </w:r>
      <w:r w:rsidR="006656A6" w:rsidRPr="002A64C9">
        <w:rPr>
          <w:rFonts w:eastAsia="Calibri"/>
          <w:sz w:val="20"/>
          <w:szCs w:val="20"/>
          <w:lang w:val="es-ES" w:eastAsia="es-ES"/>
        </w:rPr>
        <w:t xml:space="preserve">Asimismo, solicitaron se garantice una atención de salud de calidad para </w:t>
      </w:r>
      <w:r w:rsidR="006656A6" w:rsidRPr="006656A6">
        <w:rPr>
          <w:rFonts w:eastAsia="Calibri"/>
          <w:sz w:val="20"/>
          <w:szCs w:val="20"/>
          <w:lang w:val="es-ES" w:eastAsia="es-ES"/>
        </w:rPr>
        <w:t>los múltiples padecimientos físicos</w:t>
      </w:r>
      <w:r w:rsidR="006656A6" w:rsidRPr="002A64C9">
        <w:rPr>
          <w:rFonts w:eastAsia="Calibri"/>
          <w:sz w:val="20"/>
          <w:szCs w:val="20"/>
          <w:lang w:val="es-ES" w:eastAsia="es-ES"/>
        </w:rPr>
        <w:t xml:space="preserve"> que sufren en la actualidad</w:t>
      </w:r>
      <w:r w:rsidR="005F2639">
        <w:rPr>
          <w:rFonts w:eastAsia="Calibri"/>
          <w:sz w:val="20"/>
          <w:szCs w:val="20"/>
          <w:lang w:val="es-ES" w:eastAsia="es-ES"/>
        </w:rPr>
        <w:t>.</w:t>
      </w:r>
    </w:p>
    <w:p w14:paraId="0B936FC6" w14:textId="77777777" w:rsidR="006B2A4D" w:rsidRPr="006B2A4D" w:rsidRDefault="006B2A4D" w:rsidP="006B2A4D">
      <w:pPr>
        <w:rPr>
          <w:rFonts w:eastAsia="Calibri"/>
          <w:sz w:val="20"/>
          <w:szCs w:val="20"/>
          <w:lang w:val="es-ES" w:eastAsia="es-ES"/>
        </w:rPr>
      </w:pPr>
    </w:p>
    <w:p w14:paraId="3233B21B" w14:textId="77777777" w:rsidR="006B2A4D"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 xml:space="preserve">El </w:t>
      </w:r>
      <w:r w:rsidRPr="006B2A4D">
        <w:rPr>
          <w:rFonts w:eastAsia="Calibri"/>
          <w:b/>
          <w:i/>
          <w:sz w:val="20"/>
          <w:szCs w:val="20"/>
          <w:lang w:val="es-ES" w:eastAsia="es-ES"/>
        </w:rPr>
        <w:t>Estado</w:t>
      </w:r>
      <w:r w:rsidRPr="006B2A4D">
        <w:rPr>
          <w:rFonts w:eastAsia="Calibri"/>
          <w:sz w:val="20"/>
          <w:szCs w:val="20"/>
          <w:lang w:val="es-ES" w:eastAsia="es-ES"/>
        </w:rPr>
        <w:t xml:space="preserve"> no se pronunció al respecto.</w:t>
      </w:r>
    </w:p>
    <w:p w14:paraId="044491F9" w14:textId="77777777" w:rsidR="006B2A4D" w:rsidRPr="006B2A4D" w:rsidRDefault="006B2A4D" w:rsidP="006B2A4D">
      <w:pPr>
        <w:rPr>
          <w:rFonts w:eastAsia="Calibri"/>
          <w:sz w:val="20"/>
          <w:szCs w:val="20"/>
          <w:lang w:val="es-ES" w:eastAsia="es-ES"/>
        </w:rPr>
      </w:pPr>
    </w:p>
    <w:p w14:paraId="55A0C0F7" w14:textId="0FD3D7DC" w:rsidR="006B2A4D"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 xml:space="preserve">La </w:t>
      </w:r>
      <w:r w:rsidRPr="00541592">
        <w:rPr>
          <w:rFonts w:eastAsia="Calibri"/>
          <w:i/>
          <w:sz w:val="20"/>
          <w:szCs w:val="20"/>
          <w:lang w:val="es-ES" w:eastAsia="es-ES"/>
        </w:rPr>
        <w:t xml:space="preserve">Corte </w:t>
      </w:r>
      <w:r w:rsidRPr="006B2A4D">
        <w:rPr>
          <w:rFonts w:eastAsia="Calibri"/>
          <w:sz w:val="20"/>
          <w:szCs w:val="20"/>
          <w:lang w:val="es-ES" w:eastAsia="es-ES"/>
        </w:rPr>
        <w:t>constata que existe un nexo causal entre los hechos del caso y las afectaciones psicológicas y emocionales sufridas por las víctimas, las cuales fueron a</w:t>
      </w:r>
      <w:r w:rsidR="004034AA">
        <w:rPr>
          <w:rFonts w:eastAsia="Calibri"/>
          <w:sz w:val="20"/>
          <w:szCs w:val="20"/>
          <w:lang w:val="es-ES" w:eastAsia="es-ES"/>
        </w:rPr>
        <w:t xml:space="preserve">creditadas en el Capítulo </w:t>
      </w:r>
      <w:r w:rsidR="004034AA" w:rsidRPr="004450BE">
        <w:rPr>
          <w:rFonts w:eastAsia="Calibri"/>
          <w:sz w:val="20"/>
          <w:szCs w:val="20"/>
          <w:lang w:val="es-ES" w:eastAsia="es-ES"/>
        </w:rPr>
        <w:t>VI</w:t>
      </w:r>
      <w:r w:rsidR="004450BE">
        <w:rPr>
          <w:rFonts w:eastAsia="Calibri"/>
          <w:sz w:val="20"/>
          <w:szCs w:val="20"/>
          <w:lang w:val="es-ES" w:eastAsia="es-ES"/>
        </w:rPr>
        <w:t>i</w:t>
      </w:r>
      <w:r w:rsidR="004034AA" w:rsidRPr="004450BE">
        <w:rPr>
          <w:rFonts w:eastAsia="Calibri"/>
          <w:sz w:val="20"/>
          <w:szCs w:val="20"/>
          <w:lang w:val="es-ES" w:eastAsia="es-ES"/>
        </w:rPr>
        <w:t>-3</w:t>
      </w:r>
      <w:r w:rsidRPr="004450BE">
        <w:rPr>
          <w:rFonts w:eastAsia="Calibri"/>
          <w:sz w:val="20"/>
          <w:szCs w:val="20"/>
          <w:lang w:val="es-ES" w:eastAsia="es-ES"/>
        </w:rPr>
        <w:t>.</w:t>
      </w:r>
      <w:r w:rsidRPr="006B2A4D">
        <w:rPr>
          <w:rFonts w:eastAsia="Calibri"/>
          <w:sz w:val="20"/>
          <w:szCs w:val="20"/>
          <w:lang w:val="es-ES" w:eastAsia="es-ES"/>
        </w:rPr>
        <w:t xml:space="preserve"> En consecuencia, este Tribunal estima pertinente que, de ser solicitado por las víctimas, se les brinde atención psicológica profesional como medida de rehabilitación de las afectaciones psicológicas y emocionales que sufrieron como consecuencia de los hechos del presente caso. Por lo tanto, la Corte dispone la obligación a cargo del Estado de brindar, a través de sus instituciones de salud, la atención médica psicológica de manera gratuita e inmediata a las víctimas, atendiendo a sus necesidades específicas. Al momento de proveer el tratamiento es esencial atender a las circunstancias y necesidades de cada víctima con el fin de obtener un tratamiento personalizado y eficaz. Asimismo, los tratamientos deberán incluir la provisión de medicamentos y, en su caso, transporte y otros gastos directamente relacionados y estrictamente necesarios. Particularmente, dicho tratamiento se deberá brindar, en la medida de las posibilidades, en los centros más cercanos a su lugar de residencia. Las víctimas que soliciten esta medida de reparación, o sus representantes legales, disponen de un plazo de seis meses, contados a partir de la notificación de la presente Sentencia, para dar a conocer al Estado su intención de recibir atención psicológica o psiquiátrica.</w:t>
      </w:r>
    </w:p>
    <w:p w14:paraId="1317B6D3" w14:textId="77777777" w:rsidR="006B2A4D" w:rsidRPr="006B2A4D" w:rsidRDefault="006B2A4D" w:rsidP="006B2A4D">
      <w:pPr>
        <w:rPr>
          <w:rFonts w:eastAsia="Calibri"/>
          <w:sz w:val="20"/>
          <w:szCs w:val="20"/>
          <w:lang w:val="es-ES" w:eastAsia="es-ES"/>
        </w:rPr>
      </w:pPr>
    </w:p>
    <w:p w14:paraId="0FCD7022" w14:textId="77777777" w:rsidR="006B2A4D" w:rsidRPr="00AD229D" w:rsidRDefault="006B2A4D" w:rsidP="002726E0">
      <w:pPr>
        <w:pStyle w:val="Heading2"/>
        <w:numPr>
          <w:ilvl w:val="0"/>
          <w:numId w:val="13"/>
        </w:numPr>
      </w:pPr>
      <w:bookmarkStart w:id="127" w:name="_Toc494271566"/>
      <w:bookmarkStart w:id="128" w:name="_Toc513644494"/>
      <w:r w:rsidRPr="00AD229D">
        <w:t>Garantías de no repetición</w:t>
      </w:r>
      <w:bookmarkEnd w:id="127"/>
      <w:bookmarkEnd w:id="128"/>
    </w:p>
    <w:p w14:paraId="575373A9" w14:textId="77777777" w:rsidR="006B2A4D" w:rsidRPr="006B2A4D" w:rsidRDefault="006B2A4D" w:rsidP="006B2A4D">
      <w:pPr>
        <w:rPr>
          <w:rFonts w:eastAsia="Calibri"/>
          <w:b/>
          <w:i/>
          <w:sz w:val="20"/>
          <w:szCs w:val="20"/>
          <w:lang w:val="es-ES" w:eastAsia="es-ES"/>
        </w:rPr>
      </w:pPr>
    </w:p>
    <w:p w14:paraId="3788F3C9" w14:textId="0E5F2FE1" w:rsidR="006B2A4D"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 xml:space="preserve">La </w:t>
      </w:r>
      <w:r w:rsidRPr="006B2A4D">
        <w:rPr>
          <w:rFonts w:eastAsia="Calibri"/>
          <w:b/>
          <w:i/>
          <w:sz w:val="20"/>
          <w:szCs w:val="20"/>
          <w:lang w:val="es-ES" w:eastAsia="es-ES"/>
        </w:rPr>
        <w:t>Comisión</w:t>
      </w:r>
      <w:r w:rsidRPr="006B2A4D">
        <w:rPr>
          <w:rFonts w:eastAsia="Calibri"/>
          <w:sz w:val="20"/>
          <w:szCs w:val="20"/>
          <w:lang w:val="es-ES" w:eastAsia="es-ES"/>
        </w:rPr>
        <w:t xml:space="preserve"> solicitó adoptar mecanismos de no repetición, incluyendo: “i) las medidas legislativas, administrativas y de otra índole que se requieran para la implementación del consentimiento informado en materia de salud de conformidad con los estándares establecidos en el presente informe; ii) las medidas necesarias, incluyendo medidas presupuestarias, para asegurar que el Hospital </w:t>
      </w:r>
      <w:proofErr w:type="spellStart"/>
      <w:r w:rsidRPr="006B2A4D">
        <w:rPr>
          <w:rFonts w:eastAsia="Calibri"/>
          <w:sz w:val="20"/>
          <w:szCs w:val="20"/>
          <w:lang w:val="es-ES" w:eastAsia="es-ES"/>
        </w:rPr>
        <w:t>Sótero</w:t>
      </w:r>
      <w:proofErr w:type="spellEnd"/>
      <w:r w:rsidRPr="006B2A4D">
        <w:rPr>
          <w:rFonts w:eastAsia="Calibri"/>
          <w:sz w:val="20"/>
          <w:szCs w:val="20"/>
          <w:lang w:val="es-ES" w:eastAsia="es-ES"/>
        </w:rPr>
        <w:t xml:space="preserve"> del Río cuente con los medios e infraestructura necesarios para brindar una atención adecuada, particularmente cuando se requiera terapia intensiva; y iii) las medidas de capacitación y entrenamiento a los operadores judiciales en cuanto al deber de investigar posibles responsabilidades derivadas de la muerte de una persona como consecuencia de una atención inadecuada en salud”</w:t>
      </w:r>
      <w:r w:rsidR="00A303F0">
        <w:rPr>
          <w:rFonts w:eastAsia="Calibri"/>
          <w:sz w:val="20"/>
          <w:szCs w:val="20"/>
          <w:lang w:val="es-ES" w:eastAsia="es-ES"/>
        </w:rPr>
        <w:t>.</w:t>
      </w:r>
    </w:p>
    <w:p w14:paraId="1BFD343F" w14:textId="77777777" w:rsidR="006B2A4D" w:rsidRPr="006B2A4D" w:rsidRDefault="006B2A4D" w:rsidP="006B2A4D">
      <w:pPr>
        <w:widowControl w:val="0"/>
        <w:tabs>
          <w:tab w:val="left" w:pos="567"/>
          <w:tab w:val="num" w:pos="12305"/>
        </w:tabs>
        <w:adjustRightInd w:val="0"/>
        <w:textAlignment w:val="baseline"/>
        <w:rPr>
          <w:rFonts w:eastAsia="Calibri"/>
          <w:sz w:val="20"/>
          <w:szCs w:val="20"/>
          <w:lang w:val="es-ES" w:eastAsia="es-ES"/>
        </w:rPr>
      </w:pPr>
    </w:p>
    <w:p w14:paraId="5BCA20A3" w14:textId="3283D6D9" w:rsidR="006B2A4D" w:rsidRPr="006B2A4D"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 xml:space="preserve">Las </w:t>
      </w:r>
      <w:r w:rsidRPr="006B2A4D">
        <w:rPr>
          <w:rFonts w:eastAsia="Calibri"/>
          <w:b/>
          <w:i/>
          <w:sz w:val="20"/>
          <w:szCs w:val="20"/>
          <w:lang w:val="es-ES" w:eastAsia="es-ES"/>
        </w:rPr>
        <w:t>representantes</w:t>
      </w:r>
      <w:r w:rsidRPr="006B2A4D">
        <w:rPr>
          <w:rFonts w:eastAsia="Calibri"/>
          <w:sz w:val="20"/>
          <w:szCs w:val="20"/>
          <w:lang w:val="es-ES" w:eastAsia="es-ES"/>
        </w:rPr>
        <w:t xml:space="preserve"> solicitaron la adopción de medidas en derecho interno relativas a la regulación de la conducta de los profesionales de la salud, conforme a los estándares relevantes naciones e internacionales en la materia, así como medidas legislativas y de cualquier otra índole “destinadas a robustecer la responsabilidad civil y penal de los médicos y servidores de la salud”</w:t>
      </w:r>
      <w:r w:rsidR="005F2639">
        <w:rPr>
          <w:rFonts w:eastAsia="Calibri"/>
          <w:sz w:val="20"/>
          <w:szCs w:val="20"/>
          <w:lang w:val="es-ES" w:eastAsia="es-ES"/>
        </w:rPr>
        <w:t>.</w:t>
      </w:r>
      <w:r w:rsidRPr="006B2A4D">
        <w:rPr>
          <w:rFonts w:eastAsia="Calibri"/>
          <w:sz w:val="20"/>
          <w:szCs w:val="20"/>
          <w:lang w:val="es-ES" w:eastAsia="es-ES"/>
        </w:rPr>
        <w:t xml:space="preserve"> También requirieron que se implemente debidamente la obligación de transparencia activa respecto a las prestaciones en salud con la finalidad de asegurar el derecho a brindar libre consentimiento informado a todos los pacientes sometidos a tratamiento médico en el sistema de salud pública y privada chileno. Asimismo, solicitaron la capacitación de los </w:t>
      </w:r>
      <w:r w:rsidRPr="006B2A4D">
        <w:rPr>
          <w:rFonts w:eastAsia="Calibri"/>
          <w:sz w:val="20"/>
          <w:szCs w:val="20"/>
          <w:lang w:val="es-ES" w:eastAsia="es-ES"/>
        </w:rPr>
        <w:lastRenderedPageBreak/>
        <w:t>profesionales de la salud de hospitales y clínicas públicas y privadas respecto a “derechos humanos, derecho penal, derechos de los pacientes y la jurisprudencia de la Corte Interamericana”</w:t>
      </w:r>
      <w:r w:rsidR="00A303F0">
        <w:rPr>
          <w:rFonts w:eastAsia="Calibri"/>
          <w:sz w:val="20"/>
          <w:szCs w:val="20"/>
          <w:lang w:val="es-ES" w:eastAsia="es-ES"/>
        </w:rPr>
        <w:t xml:space="preserve">. </w:t>
      </w:r>
      <w:r w:rsidRPr="006B2A4D">
        <w:rPr>
          <w:rFonts w:eastAsia="Calibri"/>
          <w:sz w:val="20"/>
          <w:szCs w:val="20"/>
          <w:lang w:val="es-ES" w:eastAsia="es-ES"/>
        </w:rPr>
        <w:t>Finalmente, requirieron la construcción de un hospital para personas adultas mayores o la remodelación de hospitales existentes con fin de contar con un ala de atención para los adultos mayores específicamente y consecuentemente el aumento de camas disponibles para este grupo particular</w:t>
      </w:r>
      <w:r w:rsidR="005F2639">
        <w:rPr>
          <w:rFonts w:eastAsia="Calibri"/>
          <w:sz w:val="20"/>
          <w:szCs w:val="20"/>
          <w:lang w:val="es-ES" w:eastAsia="es-ES"/>
        </w:rPr>
        <w:t>.</w:t>
      </w:r>
    </w:p>
    <w:p w14:paraId="7452FF8D" w14:textId="77777777" w:rsidR="006B2A4D" w:rsidRPr="006B2A4D" w:rsidRDefault="006B2A4D" w:rsidP="006B2A4D">
      <w:pPr>
        <w:widowControl w:val="0"/>
        <w:tabs>
          <w:tab w:val="left" w:pos="567"/>
          <w:tab w:val="num" w:pos="12305"/>
        </w:tabs>
        <w:adjustRightInd w:val="0"/>
        <w:textAlignment w:val="baseline"/>
        <w:rPr>
          <w:rFonts w:eastAsia="Calibri"/>
          <w:sz w:val="20"/>
          <w:szCs w:val="20"/>
          <w:lang w:val="es-ES" w:eastAsia="es-ES"/>
        </w:rPr>
      </w:pPr>
    </w:p>
    <w:p w14:paraId="2F22CB78" w14:textId="165749C8" w:rsidR="006B2A4D" w:rsidRPr="006B2A4D"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eastAsia="es-ES"/>
        </w:rPr>
      </w:pPr>
      <w:r w:rsidRPr="006B2A4D">
        <w:rPr>
          <w:rFonts w:eastAsia="Calibri"/>
          <w:sz w:val="20"/>
          <w:szCs w:val="20"/>
          <w:lang w:val="es-ES" w:eastAsia="es-ES"/>
        </w:rPr>
        <w:t xml:space="preserve">El </w:t>
      </w:r>
      <w:r w:rsidRPr="006B2A4D">
        <w:rPr>
          <w:rFonts w:eastAsia="Calibri"/>
          <w:b/>
          <w:i/>
          <w:sz w:val="20"/>
          <w:szCs w:val="20"/>
          <w:lang w:val="es-ES" w:eastAsia="es-ES"/>
        </w:rPr>
        <w:t>Estado</w:t>
      </w:r>
      <w:r w:rsidRPr="006B2A4D">
        <w:rPr>
          <w:rFonts w:eastAsia="Calibri"/>
          <w:sz w:val="20"/>
          <w:szCs w:val="20"/>
          <w:lang w:val="es-ES" w:eastAsia="es-ES"/>
        </w:rPr>
        <w:t xml:space="preserve"> hizo referencia a diversas medidas que ha implementado durante los años en materia de consentimiento informado en el ámbito de la salud, para ajustarse a los estándares internacionales en la materia</w:t>
      </w:r>
      <w:r w:rsidR="00A303F0">
        <w:rPr>
          <w:rFonts w:eastAsia="Calibri"/>
          <w:sz w:val="20"/>
          <w:szCs w:val="20"/>
          <w:lang w:val="es-ES" w:eastAsia="es-ES"/>
        </w:rPr>
        <w:t xml:space="preserve">. </w:t>
      </w:r>
      <w:r w:rsidRPr="006B2A4D">
        <w:rPr>
          <w:rFonts w:eastAsia="Calibri"/>
          <w:sz w:val="20"/>
          <w:szCs w:val="20"/>
          <w:lang w:val="es-ES" w:eastAsia="es-ES"/>
        </w:rPr>
        <w:t>En este sentido, mencionó que el documento “Normas y Documentos de Ética Médica” realizado en 1986 por el Colegio Médico de Chile fue actualizado en el 2013 y ahora incluye el consentimiento informado</w:t>
      </w:r>
      <w:r w:rsidR="00A303F0">
        <w:rPr>
          <w:rFonts w:eastAsia="Calibri"/>
          <w:sz w:val="20"/>
          <w:szCs w:val="20"/>
          <w:lang w:val="es-ES" w:eastAsia="es-ES"/>
        </w:rPr>
        <w:t xml:space="preserve">. </w:t>
      </w:r>
      <w:r w:rsidRPr="006B2A4D">
        <w:rPr>
          <w:rFonts w:eastAsia="Calibri"/>
          <w:sz w:val="20"/>
          <w:szCs w:val="20"/>
          <w:lang w:val="es-ES" w:eastAsia="es-ES"/>
        </w:rPr>
        <w:t>Asimismo, señaló que el 1</w:t>
      </w:r>
      <w:r w:rsidR="005F2639">
        <w:rPr>
          <w:rFonts w:eastAsia="Calibri"/>
          <w:sz w:val="20"/>
          <w:szCs w:val="20"/>
          <w:lang w:val="es-ES" w:eastAsia="es-ES"/>
        </w:rPr>
        <w:t xml:space="preserve">º </w:t>
      </w:r>
      <w:r w:rsidRPr="006B2A4D">
        <w:rPr>
          <w:rFonts w:eastAsia="Calibri"/>
          <w:sz w:val="20"/>
          <w:szCs w:val="20"/>
          <w:lang w:val="es-ES" w:eastAsia="es-ES"/>
        </w:rPr>
        <w:t>de octubre de 2012 entro en vigor</w:t>
      </w:r>
      <w:r w:rsidRPr="006B2A4D">
        <w:rPr>
          <w:rFonts w:eastAsia="Calibri"/>
          <w:b/>
          <w:sz w:val="20"/>
          <w:szCs w:val="20"/>
          <w:lang w:val="es-ES" w:eastAsia="es-ES"/>
        </w:rPr>
        <w:t xml:space="preserve"> </w:t>
      </w:r>
      <w:r w:rsidRPr="006B2A4D">
        <w:rPr>
          <w:rFonts w:eastAsia="Calibri"/>
          <w:sz w:val="20"/>
          <w:szCs w:val="20"/>
          <w:lang w:val="es-ES" w:eastAsia="es-ES"/>
        </w:rPr>
        <w:t>la Ley No. 20.584, la cual “regula el consentimiento informado del paciente proporcionándole autonomía para decidir a qué procedimientos médicos someterse” y “el derecho a obtener información necesaria para prestar el consentimiento”. En este sentido, la Ley anterior aplica para cualquier tipo de prestador de servicios de la salud, sea del sector privado o público, y regula la manera de entregar la información al paciente, la cual, debe ser suficiente, oportuna, veraz y comprensible para éste o su representante legal o persona bajo cuyo cuidado se encuentre, en caso de que éste no pueda recibirla. También, la Ley incluye la creación de comités de ética asistencial y comités de evaluación ético científica</w:t>
      </w:r>
      <w:r w:rsidR="00A303F0">
        <w:rPr>
          <w:rFonts w:eastAsia="Calibri"/>
          <w:sz w:val="20"/>
          <w:szCs w:val="20"/>
          <w:lang w:val="es-ES" w:eastAsia="es-ES"/>
        </w:rPr>
        <w:t xml:space="preserve">. </w:t>
      </w:r>
      <w:r w:rsidRPr="006B2A4D">
        <w:rPr>
          <w:rFonts w:eastAsia="Calibri"/>
          <w:sz w:val="20"/>
          <w:szCs w:val="20"/>
          <w:lang w:val="es-ES" w:eastAsia="es-ES"/>
        </w:rPr>
        <w:t>El</w:t>
      </w:r>
      <w:r w:rsidRPr="00920D09">
        <w:rPr>
          <w:rFonts w:eastAsia="Calibri"/>
          <w:sz w:val="20"/>
          <w:szCs w:val="20"/>
          <w:lang w:val="es-ES" w:eastAsia="es-ES"/>
        </w:rPr>
        <w:t xml:space="preserve"> </w:t>
      </w:r>
      <w:r w:rsidRPr="002A64C9">
        <w:rPr>
          <w:rFonts w:eastAsia="Calibri"/>
          <w:i/>
          <w:sz w:val="20"/>
          <w:szCs w:val="20"/>
          <w:lang w:val="es-ES" w:eastAsia="es-ES"/>
        </w:rPr>
        <w:t>Estado</w:t>
      </w:r>
      <w:r w:rsidRPr="006B2A4D">
        <w:rPr>
          <w:rFonts w:eastAsia="Calibri"/>
          <w:sz w:val="20"/>
          <w:szCs w:val="20"/>
          <w:lang w:val="es-ES" w:eastAsia="es-ES"/>
        </w:rPr>
        <w:t xml:space="preserve"> también indicó que el 26 de noviembre de 2012 entró en vigor el “Reglamento sobre entrega de información y expresión de consentimiento informado en las atenciones de salud”, el cual desarrolla la normativa anterior y regula la entrega de información para llevar a cabo cualquier actuación en salud y la manera de obtener el consentimiento informado del paciente.</w:t>
      </w:r>
      <w:r w:rsidRPr="006B2A4D">
        <w:rPr>
          <w:rFonts w:eastAsia="Calibri"/>
          <w:b/>
          <w:sz w:val="20"/>
          <w:szCs w:val="20"/>
          <w:lang w:val="es-ES" w:eastAsia="es-ES"/>
        </w:rPr>
        <w:t xml:space="preserve"> </w:t>
      </w:r>
    </w:p>
    <w:p w14:paraId="64E48F30" w14:textId="77777777" w:rsidR="006B2A4D" w:rsidRPr="006B2A4D" w:rsidRDefault="006B2A4D" w:rsidP="006B2A4D">
      <w:pPr>
        <w:widowControl w:val="0"/>
        <w:tabs>
          <w:tab w:val="left" w:pos="567"/>
          <w:tab w:val="num" w:pos="12305"/>
        </w:tabs>
        <w:adjustRightInd w:val="0"/>
        <w:textAlignment w:val="baseline"/>
        <w:rPr>
          <w:rFonts w:eastAsia="Calibri"/>
          <w:sz w:val="20"/>
          <w:szCs w:val="20"/>
          <w:lang w:eastAsia="es-ES"/>
        </w:rPr>
      </w:pPr>
    </w:p>
    <w:p w14:paraId="2F56010D" w14:textId="4C6A5820" w:rsidR="006B2A4D" w:rsidRPr="002A64C9"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eastAsia="es-ES"/>
        </w:rPr>
      </w:pPr>
      <w:r w:rsidRPr="006B2A4D">
        <w:rPr>
          <w:rFonts w:eastAsia="Calibri"/>
          <w:sz w:val="20"/>
          <w:szCs w:val="20"/>
          <w:lang w:val="es-ES" w:eastAsia="es-ES"/>
        </w:rPr>
        <w:t xml:space="preserve">En relación a la petición de las representantes de construir un hospital para adultos mayores o establecer pabellones específicos para estos, el </w:t>
      </w:r>
      <w:r w:rsidRPr="002A64C9">
        <w:rPr>
          <w:rFonts w:eastAsia="Calibri"/>
          <w:i/>
          <w:sz w:val="20"/>
          <w:szCs w:val="20"/>
          <w:lang w:val="es-ES" w:eastAsia="es-ES"/>
        </w:rPr>
        <w:t>Estado</w:t>
      </w:r>
      <w:r w:rsidRPr="006B2A4D">
        <w:rPr>
          <w:rFonts w:eastAsia="Calibri"/>
          <w:sz w:val="20"/>
          <w:szCs w:val="20"/>
          <w:lang w:val="es-ES" w:eastAsia="es-ES"/>
        </w:rPr>
        <w:t xml:space="preserve"> la calificó de desproporcionada e innecesaria, ya que destacó que cuenta con el Instituto Nacional de </w:t>
      </w:r>
      <w:proofErr w:type="spellStart"/>
      <w:r w:rsidRPr="006B2A4D">
        <w:rPr>
          <w:rFonts w:eastAsia="Calibri"/>
          <w:sz w:val="20"/>
          <w:szCs w:val="20"/>
          <w:lang w:val="es-ES" w:eastAsia="es-ES"/>
        </w:rPr>
        <w:t>Geriatr</w:t>
      </w:r>
      <w:r w:rsidRPr="006B2A4D">
        <w:rPr>
          <w:rFonts w:eastAsia="Calibri"/>
          <w:sz w:val="20"/>
          <w:szCs w:val="20"/>
          <w:lang w:val="es-HN" w:eastAsia="es-ES"/>
        </w:rPr>
        <w:t>ía</w:t>
      </w:r>
      <w:proofErr w:type="spellEnd"/>
      <w:r w:rsidRPr="006B2A4D">
        <w:rPr>
          <w:rFonts w:eastAsia="Calibri"/>
          <w:sz w:val="20"/>
          <w:szCs w:val="20"/>
          <w:lang w:val="es-HN" w:eastAsia="es-ES"/>
        </w:rPr>
        <w:t xml:space="preserve"> (INGER). Además, señaló que ha llevado a cabo una profunda política pública en materia de accesibilidad </w:t>
      </w:r>
      <w:r w:rsidR="005F2639">
        <w:rPr>
          <w:rFonts w:eastAsia="Calibri"/>
          <w:sz w:val="20"/>
          <w:szCs w:val="20"/>
          <w:lang w:val="es-HN" w:eastAsia="es-ES"/>
        </w:rPr>
        <w:t>de</w:t>
      </w:r>
      <w:r w:rsidRPr="006B2A4D">
        <w:rPr>
          <w:rFonts w:eastAsia="Calibri"/>
          <w:sz w:val="20"/>
          <w:szCs w:val="20"/>
          <w:lang w:val="es-HN" w:eastAsia="es-ES"/>
        </w:rPr>
        <w:t xml:space="preserve"> camas, lo cual considera que constituye una clara garantía de no repetición en el presente caso. En este sentido, resaltó que </w:t>
      </w:r>
      <w:r w:rsidRPr="006B2A4D">
        <w:rPr>
          <w:rFonts w:eastAsia="Calibri"/>
          <w:sz w:val="20"/>
          <w:szCs w:val="20"/>
          <w:lang w:eastAsia="es-ES"/>
        </w:rPr>
        <w:t>existe un aumento de camas críticas, de 1</w:t>
      </w:r>
      <w:r w:rsidR="005F2639">
        <w:rPr>
          <w:rFonts w:eastAsia="Calibri"/>
          <w:sz w:val="20"/>
          <w:szCs w:val="20"/>
          <w:lang w:eastAsia="es-ES"/>
        </w:rPr>
        <w:t>,</w:t>
      </w:r>
      <w:r w:rsidRPr="006B2A4D">
        <w:rPr>
          <w:rFonts w:eastAsia="Calibri"/>
          <w:sz w:val="20"/>
          <w:szCs w:val="20"/>
          <w:lang w:eastAsia="es-ES"/>
        </w:rPr>
        <w:t>234 en el 2006 a 2</w:t>
      </w:r>
      <w:r w:rsidR="005F2639">
        <w:rPr>
          <w:rFonts w:eastAsia="Calibri"/>
          <w:sz w:val="20"/>
          <w:szCs w:val="20"/>
          <w:lang w:eastAsia="es-ES"/>
        </w:rPr>
        <w:t>,</w:t>
      </w:r>
      <w:r w:rsidRPr="006B2A4D">
        <w:rPr>
          <w:rFonts w:eastAsia="Calibri"/>
          <w:sz w:val="20"/>
          <w:szCs w:val="20"/>
          <w:lang w:eastAsia="es-ES"/>
        </w:rPr>
        <w:t>839 en el 2016, y manifestó que el éxito de esta política se explica por la creación de la Unidad de Gestión centralizada de camas en el Ministerio de Salud que opera las 24 horas del día, 7 días a la semana</w:t>
      </w:r>
      <w:r w:rsidR="00A303F0">
        <w:rPr>
          <w:rFonts w:eastAsia="Calibri"/>
          <w:sz w:val="20"/>
          <w:szCs w:val="20"/>
          <w:lang w:val="es-HN" w:eastAsia="es-ES"/>
        </w:rPr>
        <w:t xml:space="preserve">. </w:t>
      </w:r>
      <w:r w:rsidRPr="006B2A4D">
        <w:rPr>
          <w:rFonts w:eastAsia="Calibri"/>
          <w:sz w:val="20"/>
          <w:szCs w:val="20"/>
          <w:lang w:val="es-ES" w:eastAsia="es-ES"/>
        </w:rPr>
        <w:t xml:space="preserve">Finalmente, señaló que otro fundamento para rechazar la medida es la reflexión acerca de la pertinencia de que por vías judiciales se establezcan políticas públicas de ese nivel de detalle y compromiso para el gasto público, </w:t>
      </w:r>
      <w:r w:rsidRPr="002A64C9">
        <w:rPr>
          <w:rFonts w:eastAsia="Calibri"/>
          <w:sz w:val="20"/>
          <w:szCs w:val="20"/>
          <w:lang w:val="es-ES" w:eastAsia="es-ES"/>
        </w:rPr>
        <w:t>ya que considera que</w:t>
      </w:r>
      <w:r w:rsidRPr="002A64C9">
        <w:rPr>
          <w:rFonts w:eastAsia="Calibri"/>
          <w:sz w:val="20"/>
          <w:szCs w:val="20"/>
          <w:lang w:eastAsia="es-ES"/>
        </w:rPr>
        <w:t xml:space="preserve"> “una decisión de estas características es de aquellas donde se le da al Estado un margen de apreciación para su ejecución”</w:t>
      </w:r>
      <w:r w:rsidRPr="00A303F0">
        <w:rPr>
          <w:rFonts w:eastAsia="Calibri"/>
          <w:sz w:val="20"/>
          <w:szCs w:val="20"/>
          <w:lang w:val="es-ES" w:eastAsia="es-ES"/>
        </w:rPr>
        <w:t>.</w:t>
      </w:r>
    </w:p>
    <w:p w14:paraId="117316AF" w14:textId="77777777" w:rsidR="006B2A4D" w:rsidRPr="002A64C9" w:rsidRDefault="006B2A4D" w:rsidP="006B2A4D">
      <w:pPr>
        <w:widowControl w:val="0"/>
        <w:tabs>
          <w:tab w:val="left" w:pos="567"/>
          <w:tab w:val="num" w:pos="12305"/>
        </w:tabs>
        <w:adjustRightInd w:val="0"/>
        <w:textAlignment w:val="baseline"/>
        <w:rPr>
          <w:rFonts w:eastAsia="Calibri"/>
          <w:sz w:val="20"/>
          <w:szCs w:val="20"/>
          <w:lang w:eastAsia="es-ES"/>
        </w:rPr>
      </w:pPr>
    </w:p>
    <w:p w14:paraId="0739EB94" w14:textId="4D182AC9" w:rsidR="006B2A4D" w:rsidRPr="002A64C9"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b/>
          <w:sz w:val="20"/>
          <w:szCs w:val="20"/>
          <w:lang w:val="es-HN" w:eastAsia="es-ES"/>
        </w:rPr>
      </w:pPr>
      <w:r w:rsidRPr="002A64C9">
        <w:rPr>
          <w:rFonts w:eastAsia="Calibri"/>
          <w:sz w:val="20"/>
          <w:szCs w:val="20"/>
          <w:lang w:val="es-ES" w:eastAsia="es-ES"/>
        </w:rPr>
        <w:t xml:space="preserve">La </w:t>
      </w:r>
      <w:r w:rsidRPr="00541592">
        <w:rPr>
          <w:rFonts w:eastAsia="Calibri"/>
          <w:i/>
          <w:sz w:val="20"/>
          <w:szCs w:val="20"/>
          <w:lang w:val="es-ES" w:eastAsia="es-ES"/>
        </w:rPr>
        <w:t>Corte</w:t>
      </w:r>
      <w:r w:rsidRPr="00541592">
        <w:rPr>
          <w:rFonts w:eastAsia="Calibri"/>
          <w:sz w:val="20"/>
          <w:szCs w:val="20"/>
          <w:lang w:val="es-ES" w:eastAsia="es-ES"/>
        </w:rPr>
        <w:t xml:space="preserve"> </w:t>
      </w:r>
      <w:r w:rsidR="00920D09" w:rsidRPr="00B1523A">
        <w:rPr>
          <w:rFonts w:eastAsia="Calibri"/>
          <w:sz w:val="20"/>
          <w:szCs w:val="20"/>
          <w:lang w:val="es-ES" w:eastAsia="es-ES"/>
        </w:rPr>
        <w:t>toma nota y</w:t>
      </w:r>
      <w:r w:rsidR="00920D09" w:rsidRPr="002A64C9">
        <w:rPr>
          <w:rFonts w:eastAsia="Calibri"/>
          <w:b/>
          <w:sz w:val="20"/>
          <w:szCs w:val="20"/>
          <w:lang w:val="es-ES" w:eastAsia="es-ES"/>
        </w:rPr>
        <w:t xml:space="preserve"> </w:t>
      </w:r>
      <w:r w:rsidRPr="002A64C9">
        <w:rPr>
          <w:rFonts w:eastAsia="Calibri"/>
          <w:sz w:val="20"/>
          <w:szCs w:val="20"/>
          <w:lang w:val="es-ES" w:eastAsia="es-ES"/>
        </w:rPr>
        <w:t xml:space="preserve">valora todas las acciones y los avances implementados por el Estado con el fin de dar cumplimiento a sus obligaciones en relación a la implementación del consentimiento informado, de conformidad con los estándares internacionales en la materia. En este sentido, reconoce los esfuerzos del Estado chileno en la promulgación de la Ley No. 20.584 y su respectivo Reglamento, que regulan la manera en que debe ser obtenido el consentimiento informado, y las obligaciones de los prestadores de los servicios de salud sobre la información que deben brindad a los paciente. Adicionalmente, la Corte valora positivamente el incremento en el número de camas </w:t>
      </w:r>
      <w:r w:rsidR="00A7540B" w:rsidRPr="002A64C9">
        <w:rPr>
          <w:rFonts w:eastAsia="Calibri"/>
          <w:sz w:val="20"/>
          <w:szCs w:val="20"/>
          <w:lang w:val="es-ES" w:eastAsia="es-ES"/>
        </w:rPr>
        <w:t xml:space="preserve">de cuidados </w:t>
      </w:r>
      <w:r w:rsidR="00927C16" w:rsidRPr="002A64C9">
        <w:rPr>
          <w:rFonts w:eastAsia="Calibri"/>
          <w:sz w:val="20"/>
          <w:szCs w:val="20"/>
          <w:lang w:val="es-ES" w:eastAsia="es-ES"/>
        </w:rPr>
        <w:t>y la Unidad de Gestión Centralizada de camas</w:t>
      </w:r>
      <w:r w:rsidR="00A7540B" w:rsidRPr="002A64C9">
        <w:rPr>
          <w:rStyle w:val="FootnoteReference"/>
          <w:rFonts w:eastAsia="Calibri"/>
          <w:sz w:val="20"/>
          <w:szCs w:val="20"/>
          <w:lang w:val="es-ES" w:eastAsia="es-ES"/>
        </w:rPr>
        <w:footnoteReference w:id="312"/>
      </w:r>
      <w:r w:rsidR="00A303F0">
        <w:rPr>
          <w:rFonts w:eastAsia="Calibri"/>
          <w:sz w:val="20"/>
          <w:szCs w:val="20"/>
          <w:lang w:val="es-ES" w:eastAsia="es-ES"/>
        </w:rPr>
        <w:t xml:space="preserve">. </w:t>
      </w:r>
      <w:r w:rsidR="00927C16" w:rsidRPr="002A64C9">
        <w:rPr>
          <w:rFonts w:eastAsia="Calibri"/>
          <w:sz w:val="20"/>
          <w:szCs w:val="20"/>
          <w:lang w:val="es-ES" w:eastAsia="es-ES"/>
        </w:rPr>
        <w:t xml:space="preserve">No obstante, la Corte observa que en cuanto a la disponibilidad de camas en UCI, no se </w:t>
      </w:r>
      <w:r w:rsidR="00A7540B" w:rsidRPr="002A64C9">
        <w:rPr>
          <w:rFonts w:eastAsia="Calibri"/>
          <w:sz w:val="20"/>
          <w:szCs w:val="20"/>
          <w:lang w:val="es-ES" w:eastAsia="es-ES"/>
        </w:rPr>
        <w:t>desprende</w:t>
      </w:r>
      <w:r w:rsidR="00927C16" w:rsidRPr="002A64C9">
        <w:rPr>
          <w:rFonts w:eastAsia="Calibri"/>
          <w:sz w:val="20"/>
          <w:szCs w:val="20"/>
          <w:lang w:val="es-ES" w:eastAsia="es-ES"/>
        </w:rPr>
        <w:t xml:space="preserve"> </w:t>
      </w:r>
      <w:r w:rsidR="00927C16" w:rsidRPr="002A64C9">
        <w:rPr>
          <w:rFonts w:eastAsia="Calibri"/>
          <w:sz w:val="20"/>
          <w:szCs w:val="20"/>
          <w:lang w:val="es-ES" w:eastAsia="es-ES"/>
        </w:rPr>
        <w:lastRenderedPageBreak/>
        <w:t>un incremento significativo</w:t>
      </w:r>
      <w:r w:rsidR="00A7540B" w:rsidRPr="002A64C9">
        <w:rPr>
          <w:rFonts w:eastAsia="Calibri"/>
          <w:sz w:val="20"/>
          <w:szCs w:val="20"/>
          <w:lang w:val="es-ES" w:eastAsia="es-ES"/>
        </w:rPr>
        <w:t xml:space="preserve"> en su </w:t>
      </w:r>
      <w:r w:rsidR="00C426E9" w:rsidRPr="002A64C9">
        <w:rPr>
          <w:rFonts w:eastAsia="Calibri"/>
          <w:sz w:val="20"/>
          <w:szCs w:val="20"/>
          <w:lang w:val="es-ES" w:eastAsia="es-ES"/>
        </w:rPr>
        <w:t>infraestructura</w:t>
      </w:r>
      <w:r w:rsidR="00927C16" w:rsidRPr="002A64C9">
        <w:rPr>
          <w:rStyle w:val="FootnoteReference"/>
          <w:rFonts w:eastAsia="Calibri"/>
          <w:sz w:val="20"/>
          <w:szCs w:val="20"/>
          <w:lang w:val="es-ES" w:eastAsia="es-ES"/>
        </w:rPr>
        <w:footnoteReference w:id="313"/>
      </w:r>
      <w:r w:rsidR="00927C16" w:rsidRPr="002A64C9">
        <w:rPr>
          <w:rFonts w:eastAsia="Calibri"/>
          <w:sz w:val="20"/>
          <w:szCs w:val="20"/>
          <w:lang w:val="es-ES" w:eastAsia="es-ES"/>
        </w:rPr>
        <w:t>.</w:t>
      </w:r>
      <w:r w:rsidR="00927C16" w:rsidRPr="00A303F0">
        <w:rPr>
          <w:rFonts w:eastAsia="Calibri"/>
          <w:sz w:val="20"/>
          <w:szCs w:val="20"/>
          <w:lang w:val="es-ES" w:eastAsia="es-ES"/>
        </w:rPr>
        <w:t xml:space="preserve"> </w:t>
      </w:r>
      <w:r w:rsidR="005F2639">
        <w:rPr>
          <w:rFonts w:eastAsia="Calibri"/>
          <w:sz w:val="20"/>
          <w:szCs w:val="20"/>
          <w:lang w:val="es-ES" w:eastAsia="es-ES"/>
        </w:rPr>
        <w:t>En vista de los hechos y violaciones acreditadas; a</w:t>
      </w:r>
      <w:r w:rsidR="00497952" w:rsidRPr="00B1523A">
        <w:rPr>
          <w:rFonts w:eastAsia="Calibri"/>
          <w:sz w:val="20"/>
          <w:szCs w:val="20"/>
          <w:lang w:val="es-ES" w:eastAsia="es-ES"/>
        </w:rPr>
        <w:t xml:space="preserve"> la luz de la información remitida</w:t>
      </w:r>
      <w:r w:rsidR="005F2639">
        <w:rPr>
          <w:rFonts w:eastAsia="Calibri"/>
          <w:sz w:val="20"/>
          <w:szCs w:val="20"/>
          <w:lang w:val="es-ES" w:eastAsia="es-ES"/>
        </w:rPr>
        <w:t>,</w:t>
      </w:r>
      <w:r w:rsidR="00497952" w:rsidRPr="00B1523A">
        <w:rPr>
          <w:rFonts w:eastAsia="Calibri"/>
          <w:sz w:val="20"/>
          <w:szCs w:val="20"/>
          <w:lang w:val="es-ES" w:eastAsia="es-ES"/>
        </w:rPr>
        <w:t xml:space="preserve"> la Corte estima pertinente dictar las siguientes medidas como garantías de no repetición</w:t>
      </w:r>
      <w:r w:rsidR="00C426E9" w:rsidRPr="00B1523A">
        <w:rPr>
          <w:rStyle w:val="FootnoteReference"/>
          <w:rFonts w:eastAsia="Calibri"/>
          <w:sz w:val="20"/>
          <w:szCs w:val="20"/>
          <w:lang w:val="es-ES" w:eastAsia="es-ES"/>
        </w:rPr>
        <w:footnoteReference w:id="314"/>
      </w:r>
      <w:r w:rsidR="00497952" w:rsidRPr="00B1523A">
        <w:rPr>
          <w:rFonts w:eastAsia="Calibri"/>
          <w:sz w:val="20"/>
          <w:szCs w:val="20"/>
          <w:lang w:val="es-ES" w:eastAsia="es-ES"/>
        </w:rPr>
        <w:t>:</w:t>
      </w:r>
    </w:p>
    <w:p w14:paraId="540F427D" w14:textId="77777777" w:rsidR="006B2A4D" w:rsidRPr="002A64C9" w:rsidRDefault="006B2A4D" w:rsidP="006B2A4D">
      <w:pPr>
        <w:widowControl w:val="0"/>
        <w:tabs>
          <w:tab w:val="left" w:pos="567"/>
          <w:tab w:val="num" w:pos="12305"/>
        </w:tabs>
        <w:adjustRightInd w:val="0"/>
        <w:textAlignment w:val="baseline"/>
        <w:rPr>
          <w:rFonts w:eastAsia="Calibri"/>
          <w:b/>
          <w:sz w:val="20"/>
          <w:szCs w:val="20"/>
          <w:lang w:val="es-HN" w:eastAsia="es-ES"/>
        </w:rPr>
      </w:pPr>
    </w:p>
    <w:p w14:paraId="68769850" w14:textId="77777777" w:rsidR="00121AA0" w:rsidRPr="002A64C9" w:rsidRDefault="00121AA0" w:rsidP="005430FF">
      <w:pPr>
        <w:widowControl w:val="0"/>
        <w:tabs>
          <w:tab w:val="left" w:pos="567"/>
          <w:tab w:val="num" w:pos="12305"/>
        </w:tabs>
        <w:adjustRightInd w:val="0"/>
        <w:ind w:left="708"/>
        <w:textAlignment w:val="baseline"/>
        <w:rPr>
          <w:rFonts w:eastAsia="Calibri"/>
          <w:i/>
          <w:sz w:val="20"/>
          <w:szCs w:val="20"/>
          <w:lang w:val="es-HN" w:eastAsia="es-ES"/>
        </w:rPr>
      </w:pPr>
      <w:r w:rsidRPr="002A64C9">
        <w:rPr>
          <w:rFonts w:eastAsia="Calibri"/>
          <w:i/>
          <w:sz w:val="20"/>
          <w:szCs w:val="20"/>
          <w:lang w:val="es-HN" w:eastAsia="es-ES"/>
        </w:rPr>
        <w:t xml:space="preserve">1. Capacitaciones </w:t>
      </w:r>
    </w:p>
    <w:p w14:paraId="28BE2C46" w14:textId="77777777" w:rsidR="00121AA0" w:rsidRPr="002A64C9" w:rsidRDefault="00121AA0" w:rsidP="006B2A4D">
      <w:pPr>
        <w:widowControl w:val="0"/>
        <w:tabs>
          <w:tab w:val="left" w:pos="567"/>
          <w:tab w:val="num" w:pos="12305"/>
        </w:tabs>
        <w:adjustRightInd w:val="0"/>
        <w:textAlignment w:val="baseline"/>
        <w:rPr>
          <w:rFonts w:eastAsia="Calibri"/>
          <w:b/>
          <w:sz w:val="20"/>
          <w:szCs w:val="20"/>
          <w:lang w:val="es-HN" w:eastAsia="es-ES"/>
        </w:rPr>
      </w:pPr>
    </w:p>
    <w:p w14:paraId="22B552E5" w14:textId="1903DA60" w:rsidR="00121AA0" w:rsidRPr="002A64C9" w:rsidRDefault="005F2639" w:rsidP="00F43DFC">
      <w:pPr>
        <w:widowControl w:val="0"/>
        <w:numPr>
          <w:ilvl w:val="0"/>
          <w:numId w:val="2"/>
        </w:numPr>
        <w:tabs>
          <w:tab w:val="left" w:pos="567"/>
          <w:tab w:val="num" w:pos="1569"/>
          <w:tab w:val="num" w:pos="12305"/>
        </w:tabs>
        <w:adjustRightInd w:val="0"/>
        <w:ind w:left="0" w:firstLine="0"/>
        <w:textAlignment w:val="baseline"/>
        <w:rPr>
          <w:sz w:val="20"/>
          <w:szCs w:val="20"/>
        </w:rPr>
      </w:pPr>
      <w:r>
        <w:rPr>
          <w:rFonts w:eastAsia="Calibri"/>
          <w:sz w:val="20"/>
          <w:szCs w:val="20"/>
          <w:lang w:val="es-ES" w:eastAsia="es-ES"/>
        </w:rPr>
        <w:t>C</w:t>
      </w:r>
      <w:r w:rsidR="006B2A4D" w:rsidRPr="002A64C9">
        <w:rPr>
          <w:rFonts w:eastAsia="Calibri"/>
          <w:sz w:val="20"/>
          <w:szCs w:val="20"/>
          <w:lang w:val="es-ES" w:eastAsia="es-ES"/>
        </w:rPr>
        <w:t xml:space="preserve">on el propósito de reparar el daño </w:t>
      </w:r>
      <w:r w:rsidR="00920D09" w:rsidRPr="002A64C9">
        <w:rPr>
          <w:rFonts w:eastAsia="Calibri"/>
          <w:sz w:val="20"/>
          <w:szCs w:val="20"/>
          <w:lang w:val="es-ES" w:eastAsia="es-ES"/>
        </w:rPr>
        <w:t>de manera integral</w:t>
      </w:r>
      <w:r w:rsidR="006B2A4D" w:rsidRPr="002A64C9">
        <w:rPr>
          <w:rFonts w:eastAsia="Calibri"/>
          <w:sz w:val="20"/>
          <w:szCs w:val="20"/>
          <w:lang w:val="es-ES" w:eastAsia="es-ES"/>
        </w:rPr>
        <w:t xml:space="preserve"> y de evitar que hechos similares a los del presente caso se repitan, la Corte estima necesario </w:t>
      </w:r>
      <w:r w:rsidR="00F43DFC" w:rsidRPr="002A64C9">
        <w:rPr>
          <w:rFonts w:eastAsia="Calibri"/>
          <w:sz w:val="20"/>
          <w:szCs w:val="20"/>
          <w:lang w:val="es-ES" w:eastAsia="es-ES"/>
        </w:rPr>
        <w:t xml:space="preserve">ordenar al </w:t>
      </w:r>
      <w:r w:rsidR="006B2A4D" w:rsidRPr="002A64C9">
        <w:rPr>
          <w:rFonts w:eastAsia="Calibri"/>
          <w:sz w:val="20"/>
          <w:szCs w:val="20"/>
          <w:lang w:val="es-ES" w:eastAsia="es-ES"/>
        </w:rPr>
        <w:t>Estado</w:t>
      </w:r>
      <w:r w:rsidR="0026263B">
        <w:rPr>
          <w:rFonts w:eastAsiaTheme="minorHAnsi" w:cs="Verdana"/>
          <w:color w:val="000000"/>
          <w:sz w:val="20"/>
          <w:szCs w:val="20"/>
          <w:lang w:eastAsia="en-US"/>
        </w:rPr>
        <w:t xml:space="preserve"> que</w:t>
      </w:r>
      <w:r w:rsidR="00BF689D" w:rsidRPr="002A64C9">
        <w:rPr>
          <w:rStyle w:val="FootnoteReference"/>
          <w:rFonts w:eastAsia="Calibri"/>
          <w:sz w:val="20"/>
          <w:szCs w:val="20"/>
          <w:lang w:val="es-ES" w:eastAsia="es-ES"/>
        </w:rPr>
        <w:footnoteReference w:id="315"/>
      </w:r>
      <w:r w:rsidR="0026263B" w:rsidRPr="00B1523A">
        <w:rPr>
          <w:rFonts w:eastAsiaTheme="minorHAnsi" w:cs="Verdana"/>
          <w:color w:val="000000"/>
          <w:sz w:val="20"/>
          <w:szCs w:val="20"/>
          <w:lang w:eastAsia="en-US"/>
        </w:rPr>
        <w:t>,</w:t>
      </w:r>
      <w:r w:rsidR="00A303F0">
        <w:rPr>
          <w:rFonts w:eastAsiaTheme="minorHAnsi" w:cs="Verdana"/>
          <w:color w:val="000000"/>
          <w:sz w:val="20"/>
          <w:szCs w:val="20"/>
          <w:lang w:eastAsia="en-US"/>
        </w:rPr>
        <w:t xml:space="preserve"> </w:t>
      </w:r>
      <w:r w:rsidR="00F43DFC" w:rsidRPr="002A64C9">
        <w:rPr>
          <w:rFonts w:eastAsiaTheme="minorHAnsi" w:cs="Verdana"/>
          <w:color w:val="000000"/>
          <w:sz w:val="20"/>
          <w:szCs w:val="20"/>
          <w:lang w:eastAsia="en-US"/>
        </w:rPr>
        <w:t xml:space="preserve">dentro de un plazo de un año, adopte programas de educación y formación permanentes dirigidos a los estudiantes de medicina y profesionales médicos, así como a todo el personal que conforma el sistema de salud y seguridad social, </w:t>
      </w:r>
      <w:r w:rsidR="00312262" w:rsidRPr="002A64C9">
        <w:rPr>
          <w:sz w:val="20"/>
          <w:szCs w:val="20"/>
        </w:rPr>
        <w:t xml:space="preserve">incluyendo órganos de mediación, </w:t>
      </w:r>
      <w:r w:rsidR="006B2A4D" w:rsidRPr="002A64C9">
        <w:rPr>
          <w:rFonts w:eastAsia="Calibri"/>
          <w:sz w:val="20"/>
          <w:szCs w:val="20"/>
          <w:lang w:val="es-ES" w:eastAsia="es-ES"/>
        </w:rPr>
        <w:t xml:space="preserve">sobre el adecuado trato a </w:t>
      </w:r>
      <w:r w:rsidR="0001661C">
        <w:rPr>
          <w:rFonts w:eastAsia="Calibri"/>
          <w:sz w:val="20"/>
          <w:szCs w:val="20"/>
          <w:lang w:val="es-ES" w:eastAsia="es-ES"/>
        </w:rPr>
        <w:t>las personas mayores</w:t>
      </w:r>
      <w:r w:rsidR="006B2A4D" w:rsidRPr="002A64C9">
        <w:rPr>
          <w:rFonts w:eastAsia="Calibri"/>
          <w:sz w:val="20"/>
          <w:szCs w:val="20"/>
          <w:lang w:val="es-ES" w:eastAsia="es-ES"/>
        </w:rPr>
        <w:t xml:space="preserve"> en materia de salud </w:t>
      </w:r>
      <w:r w:rsidR="00312262" w:rsidRPr="002A64C9">
        <w:rPr>
          <w:rFonts w:eastAsia="Calibri"/>
          <w:sz w:val="20"/>
          <w:szCs w:val="20"/>
          <w:lang w:val="es-ES" w:eastAsia="es-ES"/>
        </w:rPr>
        <w:t>desde la perspectiva de los</w:t>
      </w:r>
      <w:r w:rsidR="006B2A4D" w:rsidRPr="002A64C9">
        <w:rPr>
          <w:rFonts w:eastAsia="Calibri"/>
          <w:sz w:val="20"/>
          <w:szCs w:val="20"/>
          <w:lang w:val="es-ES" w:eastAsia="es-ES"/>
        </w:rPr>
        <w:t xml:space="preserve"> derechos humanos</w:t>
      </w:r>
      <w:r w:rsidR="00BF689D" w:rsidRPr="002A64C9">
        <w:rPr>
          <w:rFonts w:eastAsia="Calibri"/>
          <w:sz w:val="20"/>
          <w:szCs w:val="20"/>
          <w:lang w:val="es-ES" w:eastAsia="es-ES"/>
        </w:rPr>
        <w:t xml:space="preserve"> </w:t>
      </w:r>
      <w:r w:rsidR="00312262" w:rsidRPr="002A64C9">
        <w:rPr>
          <w:rFonts w:eastAsia="Calibri"/>
          <w:sz w:val="20"/>
          <w:szCs w:val="20"/>
          <w:lang w:val="es-ES" w:eastAsia="es-ES"/>
        </w:rPr>
        <w:t>e impactos diferenciados</w:t>
      </w:r>
      <w:r w:rsidR="00F43DFC" w:rsidRPr="002A64C9">
        <w:rPr>
          <w:rFonts w:eastAsia="Calibri"/>
          <w:sz w:val="20"/>
          <w:szCs w:val="20"/>
          <w:lang w:val="es-ES" w:eastAsia="es-ES"/>
        </w:rPr>
        <w:t>.</w:t>
      </w:r>
      <w:r w:rsidR="00DB4A77" w:rsidRPr="002A64C9">
        <w:rPr>
          <w:sz w:val="20"/>
          <w:szCs w:val="20"/>
        </w:rPr>
        <w:t xml:space="preserve"> </w:t>
      </w:r>
      <w:r w:rsidR="00121AA0" w:rsidRPr="002A64C9">
        <w:rPr>
          <w:sz w:val="20"/>
          <w:szCs w:val="20"/>
        </w:rPr>
        <w:t>Dentro de dichos programas se deberá hacer especial mención a la presente Sentencia y a los instrumentos internacionales de derechos humanos, específicamente a los relativos al derecho a la salud</w:t>
      </w:r>
      <w:r w:rsidR="00F43DFC" w:rsidRPr="002A64C9">
        <w:rPr>
          <w:sz w:val="20"/>
          <w:szCs w:val="20"/>
        </w:rPr>
        <w:t xml:space="preserve"> </w:t>
      </w:r>
      <w:r>
        <w:rPr>
          <w:sz w:val="20"/>
          <w:szCs w:val="20"/>
        </w:rPr>
        <w:t>(</w:t>
      </w:r>
      <w:r w:rsidRPr="00B1523A">
        <w:rPr>
          <w:i/>
          <w:sz w:val="20"/>
          <w:szCs w:val="20"/>
        </w:rPr>
        <w:t>supra</w:t>
      </w:r>
      <w:r>
        <w:rPr>
          <w:sz w:val="20"/>
          <w:szCs w:val="20"/>
        </w:rPr>
        <w:t xml:space="preserve"> </w:t>
      </w:r>
      <w:proofErr w:type="spellStart"/>
      <w:r>
        <w:rPr>
          <w:sz w:val="20"/>
          <w:szCs w:val="20"/>
        </w:rPr>
        <w:t>párrs</w:t>
      </w:r>
      <w:proofErr w:type="spellEnd"/>
      <w:r>
        <w:rPr>
          <w:sz w:val="20"/>
          <w:szCs w:val="20"/>
        </w:rPr>
        <w:t xml:space="preserve">. 118 a 132) </w:t>
      </w:r>
      <w:r w:rsidR="00F43DFC" w:rsidRPr="002A64C9">
        <w:rPr>
          <w:sz w:val="20"/>
          <w:szCs w:val="20"/>
        </w:rPr>
        <w:t>y acceso a la información</w:t>
      </w:r>
      <w:r>
        <w:rPr>
          <w:sz w:val="20"/>
          <w:szCs w:val="20"/>
        </w:rPr>
        <w:t xml:space="preserve"> (</w:t>
      </w:r>
      <w:r w:rsidRPr="00F13E3B">
        <w:rPr>
          <w:i/>
          <w:sz w:val="20"/>
          <w:szCs w:val="20"/>
        </w:rPr>
        <w:t>supra</w:t>
      </w:r>
      <w:r>
        <w:rPr>
          <w:sz w:val="20"/>
          <w:szCs w:val="20"/>
        </w:rPr>
        <w:t xml:space="preserve"> </w:t>
      </w:r>
      <w:proofErr w:type="spellStart"/>
      <w:r>
        <w:rPr>
          <w:sz w:val="20"/>
          <w:szCs w:val="20"/>
        </w:rPr>
        <w:t>párrs</w:t>
      </w:r>
      <w:proofErr w:type="spellEnd"/>
      <w:r>
        <w:rPr>
          <w:sz w:val="20"/>
          <w:szCs w:val="20"/>
        </w:rPr>
        <w:t>. 160 a 171)</w:t>
      </w:r>
      <w:r w:rsidR="00121AA0" w:rsidRPr="002A64C9">
        <w:rPr>
          <w:rStyle w:val="FootnoteReference"/>
          <w:sz w:val="20"/>
          <w:szCs w:val="20"/>
        </w:rPr>
        <w:footnoteReference w:id="316"/>
      </w:r>
      <w:r w:rsidR="00121AA0" w:rsidRPr="002A64C9">
        <w:rPr>
          <w:sz w:val="20"/>
          <w:szCs w:val="20"/>
        </w:rPr>
        <w:t xml:space="preserve">. </w:t>
      </w:r>
      <w:r w:rsidR="00A7540B" w:rsidRPr="002A64C9">
        <w:rPr>
          <w:rFonts w:eastAsiaTheme="minorHAnsi" w:cs="Verdana"/>
          <w:color w:val="000000"/>
          <w:sz w:val="20"/>
          <w:szCs w:val="20"/>
          <w:lang w:eastAsia="en-US"/>
        </w:rPr>
        <w:t>El Estado deberá informar anualmente sobre su implementación.</w:t>
      </w:r>
    </w:p>
    <w:p w14:paraId="2139F063" w14:textId="77777777" w:rsidR="00121AA0" w:rsidRPr="002A64C9" w:rsidRDefault="00121AA0" w:rsidP="006B2A4D">
      <w:pPr>
        <w:widowControl w:val="0"/>
        <w:tabs>
          <w:tab w:val="left" w:pos="567"/>
          <w:tab w:val="num" w:pos="12305"/>
        </w:tabs>
        <w:adjustRightInd w:val="0"/>
        <w:textAlignment w:val="baseline"/>
        <w:rPr>
          <w:rFonts w:eastAsia="Calibri"/>
          <w:b/>
          <w:sz w:val="20"/>
          <w:szCs w:val="20"/>
          <w:lang w:eastAsia="es-ES"/>
        </w:rPr>
      </w:pPr>
    </w:p>
    <w:p w14:paraId="46C7CD99" w14:textId="43DD4401" w:rsidR="00121AA0" w:rsidRPr="002A64C9" w:rsidRDefault="00121AA0" w:rsidP="00121AA0">
      <w:pPr>
        <w:widowControl w:val="0"/>
        <w:tabs>
          <w:tab w:val="left" w:pos="567"/>
          <w:tab w:val="num" w:pos="12305"/>
        </w:tabs>
        <w:adjustRightInd w:val="0"/>
        <w:ind w:left="708"/>
        <w:textAlignment w:val="baseline"/>
        <w:rPr>
          <w:rFonts w:eastAsia="Calibri"/>
          <w:i/>
          <w:sz w:val="20"/>
          <w:szCs w:val="20"/>
          <w:lang w:val="es-HN" w:eastAsia="es-ES"/>
        </w:rPr>
      </w:pPr>
      <w:r w:rsidRPr="002A64C9">
        <w:rPr>
          <w:rFonts w:eastAsia="Calibri"/>
          <w:i/>
          <w:sz w:val="20"/>
          <w:szCs w:val="20"/>
          <w:lang w:val="es-HN" w:eastAsia="es-ES"/>
        </w:rPr>
        <w:t xml:space="preserve">2. </w:t>
      </w:r>
      <w:r w:rsidR="005F2639">
        <w:rPr>
          <w:rFonts w:eastAsia="Calibri"/>
          <w:i/>
          <w:sz w:val="20"/>
          <w:szCs w:val="20"/>
          <w:lang w:val="es-HN" w:eastAsia="es-ES"/>
        </w:rPr>
        <w:t>I</w:t>
      </w:r>
      <w:r w:rsidR="00497952">
        <w:rPr>
          <w:rFonts w:eastAsia="Calibri"/>
          <w:i/>
          <w:sz w:val="20"/>
          <w:szCs w:val="20"/>
          <w:lang w:val="es-HN" w:eastAsia="es-ES"/>
        </w:rPr>
        <w:t>nforme sobre implementación de avances en el H</w:t>
      </w:r>
      <w:r w:rsidR="004A0BDC">
        <w:rPr>
          <w:rFonts w:eastAsia="Calibri"/>
          <w:i/>
          <w:sz w:val="20"/>
          <w:szCs w:val="20"/>
          <w:lang w:val="es-HN" w:eastAsia="es-ES"/>
        </w:rPr>
        <w:t>ospital</w:t>
      </w:r>
      <w:r w:rsidR="00497952">
        <w:rPr>
          <w:rFonts w:eastAsia="Calibri"/>
          <w:i/>
          <w:sz w:val="20"/>
          <w:szCs w:val="20"/>
          <w:lang w:val="es-HN" w:eastAsia="es-ES"/>
        </w:rPr>
        <w:t xml:space="preserve"> Sotero del Río</w:t>
      </w:r>
    </w:p>
    <w:p w14:paraId="7A2732EE" w14:textId="77777777" w:rsidR="00121AA0" w:rsidRPr="002A64C9" w:rsidRDefault="00121AA0" w:rsidP="006B2A4D">
      <w:pPr>
        <w:widowControl w:val="0"/>
        <w:tabs>
          <w:tab w:val="left" w:pos="567"/>
          <w:tab w:val="num" w:pos="12305"/>
        </w:tabs>
        <w:adjustRightInd w:val="0"/>
        <w:textAlignment w:val="baseline"/>
        <w:rPr>
          <w:rFonts w:eastAsia="Calibri"/>
          <w:b/>
          <w:sz w:val="20"/>
          <w:szCs w:val="20"/>
          <w:lang w:eastAsia="es-ES"/>
        </w:rPr>
      </w:pPr>
    </w:p>
    <w:p w14:paraId="4CD9D82F" w14:textId="24E9C999" w:rsidR="006B2A4D" w:rsidRPr="002A64C9"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b/>
          <w:sz w:val="20"/>
          <w:szCs w:val="20"/>
          <w:lang w:val="es-HN" w:eastAsia="es-ES"/>
        </w:rPr>
      </w:pPr>
      <w:r w:rsidRPr="002A64C9">
        <w:rPr>
          <w:rFonts w:eastAsia="Calibri"/>
          <w:sz w:val="20"/>
          <w:szCs w:val="20"/>
          <w:lang w:val="es-HN" w:eastAsia="es-ES"/>
        </w:rPr>
        <w:t xml:space="preserve">Asimismo, la Corte considera necesario que el Estado chileno asegure, a través de las medidas </w:t>
      </w:r>
      <w:r w:rsidR="00EB29D7" w:rsidRPr="002A64C9">
        <w:rPr>
          <w:rFonts w:eastAsia="Calibri"/>
          <w:sz w:val="20"/>
          <w:szCs w:val="20"/>
          <w:lang w:val="es-HN" w:eastAsia="es-ES"/>
        </w:rPr>
        <w:t>suficientes y necesarias</w:t>
      </w:r>
      <w:r w:rsidRPr="002A64C9">
        <w:rPr>
          <w:rFonts w:eastAsia="Calibri"/>
          <w:sz w:val="20"/>
          <w:szCs w:val="20"/>
          <w:lang w:val="es-HN" w:eastAsia="es-ES"/>
        </w:rPr>
        <w:t xml:space="preserve">, </w:t>
      </w:r>
      <w:r w:rsidRPr="002A64C9">
        <w:rPr>
          <w:rFonts w:eastAsia="Calibri"/>
          <w:sz w:val="20"/>
          <w:szCs w:val="20"/>
          <w:lang w:val="es-ES" w:eastAsia="es-ES"/>
        </w:rPr>
        <w:t xml:space="preserve">que el Hospital </w:t>
      </w:r>
      <w:proofErr w:type="spellStart"/>
      <w:r w:rsidRPr="002A64C9">
        <w:rPr>
          <w:rFonts w:eastAsia="Calibri"/>
          <w:sz w:val="20"/>
          <w:szCs w:val="20"/>
          <w:lang w:val="es-ES" w:eastAsia="es-ES"/>
        </w:rPr>
        <w:t>Sótero</w:t>
      </w:r>
      <w:proofErr w:type="spellEnd"/>
      <w:r w:rsidRPr="002A64C9">
        <w:rPr>
          <w:rFonts w:eastAsia="Calibri"/>
          <w:sz w:val="20"/>
          <w:szCs w:val="20"/>
          <w:lang w:val="es-ES" w:eastAsia="es-ES"/>
        </w:rPr>
        <w:t xml:space="preserve"> del Río cuente con los medios </w:t>
      </w:r>
      <w:r w:rsidR="00A303F0">
        <w:rPr>
          <w:rFonts w:eastAsia="Calibri"/>
          <w:sz w:val="20"/>
          <w:szCs w:val="20"/>
          <w:lang w:val="es-ES" w:eastAsia="es-ES"/>
        </w:rPr>
        <w:t>d</w:t>
      </w:r>
      <w:r w:rsidRPr="002A64C9">
        <w:rPr>
          <w:rFonts w:eastAsia="Calibri"/>
          <w:sz w:val="20"/>
          <w:szCs w:val="20"/>
          <w:lang w:val="es-ES" w:eastAsia="es-ES"/>
        </w:rPr>
        <w:t xml:space="preserve">e infraestructura </w:t>
      </w:r>
      <w:r w:rsidR="00EB29D7" w:rsidRPr="002A64C9">
        <w:rPr>
          <w:rFonts w:eastAsia="Calibri"/>
          <w:sz w:val="20"/>
          <w:szCs w:val="20"/>
          <w:lang w:val="es-ES" w:eastAsia="es-ES"/>
        </w:rPr>
        <w:t xml:space="preserve">indispensables </w:t>
      </w:r>
      <w:r w:rsidRPr="002A64C9">
        <w:rPr>
          <w:rFonts w:eastAsia="Calibri"/>
          <w:sz w:val="20"/>
          <w:szCs w:val="20"/>
          <w:lang w:val="es-ES" w:eastAsia="es-ES"/>
        </w:rPr>
        <w:t>para brindar una atención adecuada</w:t>
      </w:r>
      <w:r w:rsidR="00EB29D7" w:rsidRPr="002A64C9">
        <w:rPr>
          <w:rFonts w:eastAsia="Calibri"/>
          <w:sz w:val="20"/>
          <w:szCs w:val="20"/>
          <w:lang w:val="es-ES" w:eastAsia="es-ES"/>
        </w:rPr>
        <w:t>,</w:t>
      </w:r>
      <w:r w:rsidRPr="002A64C9">
        <w:rPr>
          <w:rFonts w:eastAsia="Calibri"/>
          <w:sz w:val="20"/>
          <w:szCs w:val="20"/>
          <w:lang w:val="es-ES" w:eastAsia="es-ES"/>
        </w:rPr>
        <w:t xml:space="preserve"> oportuna </w:t>
      </w:r>
      <w:r w:rsidR="00EB29D7" w:rsidRPr="002A64C9">
        <w:rPr>
          <w:rFonts w:eastAsia="Calibri"/>
          <w:sz w:val="20"/>
          <w:szCs w:val="20"/>
          <w:lang w:val="es-ES" w:eastAsia="es-ES"/>
        </w:rPr>
        <w:t xml:space="preserve">y de calidad </w:t>
      </w:r>
      <w:r w:rsidRPr="002A64C9">
        <w:rPr>
          <w:rFonts w:eastAsia="Calibri"/>
          <w:sz w:val="20"/>
          <w:szCs w:val="20"/>
          <w:lang w:val="es-ES" w:eastAsia="es-ES"/>
        </w:rPr>
        <w:t xml:space="preserve">a sus pacientes, </w:t>
      </w:r>
      <w:r w:rsidR="00121AA0" w:rsidRPr="002A64C9">
        <w:rPr>
          <w:rFonts w:eastAsia="Calibri"/>
          <w:sz w:val="20"/>
          <w:szCs w:val="20"/>
          <w:lang w:val="es-ES" w:eastAsia="es-ES"/>
        </w:rPr>
        <w:t xml:space="preserve">particularmente </w:t>
      </w:r>
      <w:r w:rsidR="005F2639">
        <w:rPr>
          <w:rFonts w:eastAsia="Calibri"/>
          <w:sz w:val="20"/>
          <w:szCs w:val="20"/>
          <w:lang w:val="es-ES" w:eastAsia="es-ES"/>
        </w:rPr>
        <w:t>relacionados con</w:t>
      </w:r>
      <w:r w:rsidR="00121AA0" w:rsidRPr="002A64C9">
        <w:rPr>
          <w:rFonts w:eastAsia="Calibri"/>
          <w:sz w:val="20"/>
          <w:szCs w:val="20"/>
          <w:lang w:val="es-ES" w:eastAsia="es-ES"/>
        </w:rPr>
        <w:t xml:space="preserve"> situaciones de </w:t>
      </w:r>
      <w:r w:rsidR="002A64C9" w:rsidRPr="002A64C9">
        <w:rPr>
          <w:rFonts w:eastAsia="Calibri"/>
          <w:sz w:val="20"/>
          <w:szCs w:val="20"/>
          <w:lang w:val="es-ES" w:eastAsia="es-ES"/>
        </w:rPr>
        <w:t xml:space="preserve">urgencia </w:t>
      </w:r>
      <w:r w:rsidR="00EB29D7" w:rsidRPr="002A64C9">
        <w:rPr>
          <w:rFonts w:eastAsia="Calibri"/>
          <w:sz w:val="20"/>
          <w:szCs w:val="20"/>
          <w:lang w:val="es-ES" w:eastAsia="es-ES"/>
        </w:rPr>
        <w:t>en</w:t>
      </w:r>
      <w:r w:rsidRPr="002A64C9">
        <w:rPr>
          <w:rFonts w:eastAsia="Calibri"/>
          <w:sz w:val="20"/>
          <w:szCs w:val="20"/>
          <w:lang w:val="es-ES" w:eastAsia="es-ES"/>
        </w:rPr>
        <w:t xml:space="preserve"> atención de la salud</w:t>
      </w:r>
      <w:r w:rsidR="00920D09" w:rsidRPr="002A64C9">
        <w:rPr>
          <w:rFonts w:eastAsia="Calibri"/>
          <w:sz w:val="20"/>
          <w:szCs w:val="20"/>
          <w:lang w:val="es-ES" w:eastAsia="es-ES"/>
        </w:rPr>
        <w:t xml:space="preserve">, brindando una protección reforzada a </w:t>
      </w:r>
      <w:r w:rsidR="0001661C" w:rsidRPr="00B1523A">
        <w:rPr>
          <w:rFonts w:eastAsia="Calibri"/>
          <w:sz w:val="20"/>
          <w:lang w:val="es-ES" w:eastAsia="es-ES"/>
        </w:rPr>
        <w:t>las personas mayores</w:t>
      </w:r>
      <w:r w:rsidRPr="00A303F0">
        <w:rPr>
          <w:rFonts w:eastAsia="Calibri"/>
          <w:sz w:val="20"/>
          <w:szCs w:val="20"/>
          <w:lang w:val="es-ES" w:eastAsia="es-ES"/>
        </w:rPr>
        <w:t>.</w:t>
      </w:r>
      <w:r w:rsidRPr="002A64C9">
        <w:rPr>
          <w:rFonts w:eastAsia="Calibri"/>
          <w:sz w:val="20"/>
          <w:szCs w:val="20"/>
          <w:lang w:val="es-ES" w:eastAsia="es-ES"/>
        </w:rPr>
        <w:t xml:space="preserve"> Para ello, la Corte solicita al Estado que informe, en el plazo de una año</w:t>
      </w:r>
      <w:r w:rsidR="00DB4A77" w:rsidRPr="002A64C9">
        <w:rPr>
          <w:rFonts w:eastAsia="Calibri"/>
          <w:sz w:val="20"/>
          <w:szCs w:val="20"/>
          <w:lang w:val="es-ES" w:eastAsia="es-ES"/>
        </w:rPr>
        <w:t xml:space="preserve">, </w:t>
      </w:r>
      <w:r w:rsidRPr="002A64C9">
        <w:rPr>
          <w:rFonts w:eastAsia="Calibri"/>
          <w:sz w:val="20"/>
          <w:szCs w:val="20"/>
          <w:lang w:val="es-ES" w:eastAsia="es-ES"/>
        </w:rPr>
        <w:t>sobre</w:t>
      </w:r>
      <w:r w:rsidR="002B3EE6" w:rsidRPr="002A64C9">
        <w:rPr>
          <w:rFonts w:eastAsia="Calibri"/>
          <w:sz w:val="20"/>
          <w:szCs w:val="20"/>
          <w:lang w:val="es-ES" w:eastAsia="es-ES"/>
        </w:rPr>
        <w:t>:</w:t>
      </w:r>
      <w:r w:rsidRPr="002A64C9">
        <w:rPr>
          <w:rFonts w:eastAsia="Calibri"/>
          <w:sz w:val="20"/>
          <w:szCs w:val="20"/>
          <w:lang w:val="es-ES" w:eastAsia="es-ES"/>
        </w:rPr>
        <w:t xml:space="preserve"> </w:t>
      </w:r>
      <w:r w:rsidR="002B3EE6" w:rsidRPr="002A64C9">
        <w:rPr>
          <w:rFonts w:eastAsia="Calibri"/>
          <w:sz w:val="20"/>
          <w:szCs w:val="20"/>
          <w:lang w:val="es-ES" w:eastAsia="es-ES"/>
        </w:rPr>
        <w:t xml:space="preserve">a) </w:t>
      </w:r>
      <w:r w:rsidRPr="002A64C9">
        <w:rPr>
          <w:rFonts w:eastAsia="Calibri"/>
          <w:sz w:val="20"/>
          <w:szCs w:val="20"/>
          <w:lang w:val="es-ES" w:eastAsia="es-ES"/>
        </w:rPr>
        <w:t>los avances que ha implementado</w:t>
      </w:r>
      <w:r w:rsidR="00294152">
        <w:rPr>
          <w:rFonts w:eastAsia="Calibri"/>
          <w:sz w:val="20"/>
          <w:szCs w:val="20"/>
          <w:lang w:val="es-ES" w:eastAsia="es-ES"/>
        </w:rPr>
        <w:t>,</w:t>
      </w:r>
      <w:r w:rsidRPr="002A64C9">
        <w:rPr>
          <w:rFonts w:eastAsia="Calibri"/>
          <w:sz w:val="20"/>
          <w:szCs w:val="20"/>
          <w:lang w:val="es-ES" w:eastAsia="es-ES"/>
        </w:rPr>
        <w:t xml:space="preserve"> </w:t>
      </w:r>
      <w:r w:rsidR="002B3EE6" w:rsidRPr="002A64C9">
        <w:rPr>
          <w:rFonts w:eastAsia="Calibri"/>
          <w:sz w:val="20"/>
          <w:szCs w:val="20"/>
          <w:lang w:val="es-ES" w:eastAsia="es-ES"/>
        </w:rPr>
        <w:t xml:space="preserve">a la actualidad </w:t>
      </w:r>
      <w:r w:rsidR="00294152">
        <w:rPr>
          <w:rFonts w:eastAsia="Calibri"/>
          <w:sz w:val="20"/>
          <w:szCs w:val="20"/>
          <w:lang w:val="es-ES" w:eastAsia="es-ES"/>
        </w:rPr>
        <w:t xml:space="preserve">del informe, </w:t>
      </w:r>
      <w:r w:rsidRPr="002A64C9">
        <w:rPr>
          <w:rFonts w:eastAsia="Calibri"/>
          <w:sz w:val="20"/>
          <w:szCs w:val="20"/>
          <w:lang w:val="es-ES" w:eastAsia="es-ES"/>
        </w:rPr>
        <w:t xml:space="preserve">en infraestructura </w:t>
      </w:r>
      <w:r w:rsidR="00294152">
        <w:rPr>
          <w:rFonts w:eastAsia="Calibri"/>
          <w:sz w:val="20"/>
          <w:szCs w:val="20"/>
          <w:lang w:val="es-ES" w:eastAsia="es-ES"/>
        </w:rPr>
        <w:t>de</w:t>
      </w:r>
      <w:r w:rsidRPr="002A64C9">
        <w:rPr>
          <w:rFonts w:eastAsia="Calibri"/>
          <w:sz w:val="20"/>
          <w:szCs w:val="20"/>
          <w:lang w:val="es-ES" w:eastAsia="es-ES"/>
        </w:rPr>
        <w:t xml:space="preserve"> la U</w:t>
      </w:r>
      <w:r w:rsidR="002B3EE6" w:rsidRPr="002A64C9">
        <w:rPr>
          <w:rFonts w:eastAsia="Calibri"/>
          <w:sz w:val="20"/>
          <w:szCs w:val="20"/>
          <w:lang w:val="es-ES" w:eastAsia="es-ES"/>
        </w:rPr>
        <w:t>nidad de C</w:t>
      </w:r>
      <w:r w:rsidR="00EB29D7" w:rsidRPr="002A64C9">
        <w:rPr>
          <w:rFonts w:eastAsia="Calibri"/>
          <w:sz w:val="20"/>
          <w:szCs w:val="20"/>
          <w:lang w:val="es-ES" w:eastAsia="es-ES"/>
        </w:rPr>
        <w:t xml:space="preserve">uidados </w:t>
      </w:r>
      <w:r w:rsidR="002B3EE6" w:rsidRPr="002A64C9">
        <w:rPr>
          <w:rFonts w:eastAsia="Calibri"/>
          <w:sz w:val="20"/>
          <w:szCs w:val="20"/>
          <w:lang w:val="es-ES" w:eastAsia="es-ES"/>
        </w:rPr>
        <w:t>I</w:t>
      </w:r>
      <w:r w:rsidR="00EB29D7" w:rsidRPr="002A64C9">
        <w:rPr>
          <w:rFonts w:eastAsia="Calibri"/>
          <w:sz w:val="20"/>
          <w:szCs w:val="20"/>
          <w:lang w:val="es-ES" w:eastAsia="es-ES"/>
        </w:rPr>
        <w:t xml:space="preserve">ntensivos </w:t>
      </w:r>
      <w:r w:rsidRPr="002A64C9">
        <w:rPr>
          <w:rFonts w:eastAsia="Calibri"/>
          <w:sz w:val="20"/>
          <w:szCs w:val="20"/>
          <w:lang w:val="es-ES" w:eastAsia="es-ES"/>
        </w:rPr>
        <w:t>de dicho Hospita</w:t>
      </w:r>
      <w:r w:rsidR="00657861" w:rsidRPr="002A64C9">
        <w:rPr>
          <w:rFonts w:eastAsia="Calibri"/>
          <w:sz w:val="20"/>
          <w:szCs w:val="20"/>
          <w:lang w:val="es-ES" w:eastAsia="es-ES"/>
        </w:rPr>
        <w:t>l</w:t>
      </w:r>
      <w:r w:rsidR="002B3EE6" w:rsidRPr="002A64C9">
        <w:rPr>
          <w:rFonts w:eastAsia="Calibri"/>
          <w:sz w:val="20"/>
          <w:szCs w:val="20"/>
          <w:lang w:val="es-ES" w:eastAsia="es-ES"/>
        </w:rPr>
        <w:t>; b)</w:t>
      </w:r>
      <w:r w:rsidRPr="002A64C9">
        <w:rPr>
          <w:rFonts w:eastAsia="Calibri"/>
          <w:sz w:val="20"/>
          <w:szCs w:val="20"/>
          <w:lang w:val="es-ES" w:eastAsia="es-ES"/>
        </w:rPr>
        <w:t xml:space="preserve"> </w:t>
      </w:r>
      <w:r w:rsidR="00EB29D7" w:rsidRPr="002A64C9">
        <w:rPr>
          <w:rFonts w:eastAsia="Calibri"/>
          <w:sz w:val="20"/>
          <w:szCs w:val="20"/>
          <w:lang w:val="es-ES" w:eastAsia="es-ES"/>
        </w:rPr>
        <w:t xml:space="preserve">los protocolos </w:t>
      </w:r>
      <w:r w:rsidR="002B3EE6" w:rsidRPr="002A64C9">
        <w:rPr>
          <w:rFonts w:eastAsia="Calibri"/>
          <w:sz w:val="20"/>
          <w:szCs w:val="20"/>
          <w:lang w:val="es-ES" w:eastAsia="es-ES"/>
        </w:rPr>
        <w:t xml:space="preserve">vigentes </w:t>
      </w:r>
      <w:r w:rsidR="00EB29D7" w:rsidRPr="002A64C9">
        <w:rPr>
          <w:rFonts w:eastAsia="Calibri"/>
          <w:sz w:val="20"/>
          <w:szCs w:val="20"/>
          <w:lang w:val="es-ES" w:eastAsia="es-ES"/>
        </w:rPr>
        <w:t xml:space="preserve">de atención frente a </w:t>
      </w:r>
      <w:r w:rsidR="002A64C9" w:rsidRPr="002A64C9">
        <w:rPr>
          <w:rFonts w:eastAsia="Calibri"/>
          <w:sz w:val="20"/>
          <w:szCs w:val="20"/>
          <w:lang w:val="es-ES" w:eastAsia="es-ES"/>
        </w:rPr>
        <w:t xml:space="preserve">urgencias </w:t>
      </w:r>
      <w:r w:rsidR="00EB29D7" w:rsidRPr="002A64C9">
        <w:rPr>
          <w:rFonts w:eastAsia="Calibri"/>
          <w:sz w:val="20"/>
          <w:szCs w:val="20"/>
          <w:lang w:val="es-ES" w:eastAsia="es-ES"/>
        </w:rPr>
        <w:t>médicas,</w:t>
      </w:r>
      <w:r w:rsidR="002B3EE6" w:rsidRPr="002A64C9">
        <w:rPr>
          <w:rFonts w:eastAsia="Calibri"/>
          <w:sz w:val="20"/>
          <w:szCs w:val="20"/>
          <w:lang w:val="es-ES" w:eastAsia="es-ES"/>
        </w:rPr>
        <w:t xml:space="preserve"> y c)</w:t>
      </w:r>
      <w:r w:rsidR="00EB29D7" w:rsidRPr="002A64C9">
        <w:rPr>
          <w:rFonts w:eastAsia="Calibri"/>
          <w:sz w:val="20"/>
          <w:szCs w:val="20"/>
          <w:lang w:val="es-ES" w:eastAsia="es-ES"/>
        </w:rPr>
        <w:t xml:space="preserve"> </w:t>
      </w:r>
      <w:r w:rsidRPr="002A64C9">
        <w:rPr>
          <w:rFonts w:eastAsia="Calibri"/>
          <w:sz w:val="20"/>
          <w:szCs w:val="20"/>
          <w:lang w:val="es-ES" w:eastAsia="es-ES"/>
        </w:rPr>
        <w:t>las acciones implementadas para la mejora en la atención médica de los pacientes en</w:t>
      </w:r>
      <w:r w:rsidR="002B3EE6" w:rsidRPr="002A64C9">
        <w:rPr>
          <w:rFonts w:eastAsia="Calibri"/>
          <w:sz w:val="20"/>
          <w:szCs w:val="20"/>
          <w:lang w:val="es-ES" w:eastAsia="es-ES"/>
        </w:rPr>
        <w:t xml:space="preserve"> la UCI</w:t>
      </w:r>
      <w:r w:rsidRPr="002A64C9">
        <w:rPr>
          <w:rFonts w:eastAsia="Calibri"/>
          <w:sz w:val="20"/>
          <w:szCs w:val="20"/>
          <w:lang w:val="es-ES" w:eastAsia="es-ES"/>
        </w:rPr>
        <w:t xml:space="preserve">, particularmente de </w:t>
      </w:r>
      <w:r w:rsidR="0001661C" w:rsidRPr="00B1523A">
        <w:rPr>
          <w:rFonts w:eastAsia="Calibri"/>
          <w:sz w:val="20"/>
          <w:lang w:val="es-ES" w:eastAsia="es-ES"/>
        </w:rPr>
        <w:t>las personas mayores</w:t>
      </w:r>
      <w:r w:rsidR="00EB29D7" w:rsidRPr="002A64C9">
        <w:rPr>
          <w:rFonts w:eastAsia="Calibri"/>
          <w:sz w:val="20"/>
          <w:szCs w:val="20"/>
          <w:lang w:val="es-ES" w:eastAsia="es-ES"/>
        </w:rPr>
        <w:t xml:space="preserve"> </w:t>
      </w:r>
      <w:r w:rsidR="002B3EE6" w:rsidRPr="002A64C9">
        <w:rPr>
          <w:rFonts w:eastAsia="Calibri"/>
          <w:sz w:val="20"/>
          <w:szCs w:val="20"/>
          <w:lang w:val="es-ES" w:eastAsia="es-ES"/>
        </w:rPr>
        <w:t>–desde la perspectiva geriátric</w:t>
      </w:r>
      <w:r w:rsidR="002B3EE6" w:rsidRPr="00A303F0">
        <w:rPr>
          <w:rFonts w:eastAsia="Calibri"/>
          <w:sz w:val="20"/>
          <w:szCs w:val="20"/>
          <w:lang w:val="es-ES" w:eastAsia="es-ES"/>
        </w:rPr>
        <w:t>a</w:t>
      </w:r>
      <w:r w:rsidR="00A431D7" w:rsidRPr="00B1523A">
        <w:rPr>
          <w:rFonts w:eastAsia="Calibri"/>
          <w:sz w:val="20"/>
          <w:szCs w:val="20"/>
          <w:lang w:val="es-ES" w:eastAsia="es-ES"/>
        </w:rPr>
        <w:t>–</w:t>
      </w:r>
      <w:r w:rsidR="00EB29D7" w:rsidRPr="00A303F0">
        <w:rPr>
          <w:rFonts w:eastAsia="Calibri"/>
          <w:sz w:val="20"/>
          <w:szCs w:val="20"/>
          <w:lang w:val="es-ES" w:eastAsia="es-ES"/>
        </w:rPr>
        <w:t>,</w:t>
      </w:r>
      <w:r w:rsidRPr="002A64C9">
        <w:rPr>
          <w:rFonts w:eastAsia="Calibri"/>
          <w:sz w:val="20"/>
          <w:szCs w:val="20"/>
          <w:lang w:val="es-ES" w:eastAsia="es-ES"/>
        </w:rPr>
        <w:t xml:space="preserve"> </w:t>
      </w:r>
      <w:r w:rsidR="002B3EE6" w:rsidRPr="002A64C9">
        <w:rPr>
          <w:rFonts w:eastAsia="Calibri"/>
          <w:sz w:val="20"/>
          <w:szCs w:val="20"/>
          <w:lang w:val="es-ES" w:eastAsia="es-ES"/>
        </w:rPr>
        <w:t xml:space="preserve">y </w:t>
      </w:r>
      <w:r w:rsidRPr="002A64C9">
        <w:rPr>
          <w:rFonts w:eastAsia="Calibri"/>
          <w:sz w:val="20"/>
          <w:szCs w:val="20"/>
          <w:lang w:val="es-ES" w:eastAsia="es-ES"/>
        </w:rPr>
        <w:t xml:space="preserve">a la luz de los estándares de esta Sentencia. </w:t>
      </w:r>
      <w:r w:rsidR="00DB4A77" w:rsidRPr="002A64C9">
        <w:rPr>
          <w:rFonts w:eastAsiaTheme="minorHAnsi" w:cs="Verdana"/>
          <w:color w:val="000000"/>
          <w:sz w:val="20"/>
          <w:szCs w:val="20"/>
          <w:lang w:eastAsia="en-US"/>
        </w:rPr>
        <w:t xml:space="preserve">El Estado deberá informar anualmente sobre </w:t>
      </w:r>
      <w:r w:rsidR="00A60A35" w:rsidRPr="002A64C9">
        <w:rPr>
          <w:rFonts w:eastAsiaTheme="minorHAnsi" w:cs="Verdana"/>
          <w:color w:val="000000"/>
          <w:sz w:val="20"/>
          <w:szCs w:val="20"/>
          <w:lang w:eastAsia="en-US"/>
        </w:rPr>
        <w:t xml:space="preserve">estos avances </w:t>
      </w:r>
      <w:r w:rsidR="00DB4A77" w:rsidRPr="002A64C9">
        <w:rPr>
          <w:rFonts w:eastAsiaTheme="minorHAnsi" w:cs="Verdana"/>
          <w:color w:val="000000"/>
          <w:sz w:val="20"/>
          <w:szCs w:val="20"/>
          <w:lang w:eastAsia="en-US"/>
        </w:rPr>
        <w:t xml:space="preserve">por un período de </w:t>
      </w:r>
      <w:r w:rsidR="00A60A35" w:rsidRPr="002A64C9">
        <w:rPr>
          <w:rFonts w:eastAsiaTheme="minorHAnsi" w:cs="Verdana"/>
          <w:color w:val="000000"/>
          <w:sz w:val="20"/>
          <w:szCs w:val="20"/>
          <w:lang w:eastAsia="en-US"/>
        </w:rPr>
        <w:t>tres</w:t>
      </w:r>
      <w:r w:rsidR="00DB4A77" w:rsidRPr="002A64C9">
        <w:rPr>
          <w:rFonts w:eastAsiaTheme="minorHAnsi" w:cs="Verdana"/>
          <w:color w:val="000000"/>
          <w:sz w:val="20"/>
          <w:szCs w:val="20"/>
          <w:lang w:eastAsia="en-US"/>
        </w:rPr>
        <w:t xml:space="preserve"> años. </w:t>
      </w:r>
      <w:r w:rsidR="00EB29D7" w:rsidRPr="002A64C9">
        <w:rPr>
          <w:rFonts w:eastAsia="Calibri"/>
          <w:sz w:val="20"/>
          <w:szCs w:val="20"/>
          <w:lang w:val="es-ES" w:eastAsia="es-ES"/>
        </w:rPr>
        <w:t xml:space="preserve">La Corte valorará esta información en su supervisión y se pronunciará al respecto. </w:t>
      </w:r>
    </w:p>
    <w:p w14:paraId="5C47695A" w14:textId="77777777" w:rsidR="00121AA0" w:rsidRPr="002A64C9" w:rsidRDefault="00121AA0" w:rsidP="006B2A4D">
      <w:pPr>
        <w:widowControl w:val="0"/>
        <w:tabs>
          <w:tab w:val="left" w:pos="567"/>
          <w:tab w:val="num" w:pos="12305"/>
        </w:tabs>
        <w:adjustRightInd w:val="0"/>
        <w:textAlignment w:val="baseline"/>
        <w:rPr>
          <w:rFonts w:eastAsia="Calibri"/>
          <w:b/>
          <w:sz w:val="20"/>
          <w:szCs w:val="20"/>
          <w:lang w:val="es-HN" w:eastAsia="es-ES"/>
        </w:rPr>
      </w:pPr>
    </w:p>
    <w:p w14:paraId="3AA17936" w14:textId="181A7682" w:rsidR="00EB29D7" w:rsidRPr="002A64C9" w:rsidRDefault="00EB29D7" w:rsidP="005430FF">
      <w:pPr>
        <w:widowControl w:val="0"/>
        <w:tabs>
          <w:tab w:val="left" w:pos="567"/>
          <w:tab w:val="num" w:pos="12305"/>
        </w:tabs>
        <w:adjustRightInd w:val="0"/>
        <w:ind w:left="708"/>
        <w:textAlignment w:val="baseline"/>
        <w:rPr>
          <w:rFonts w:eastAsia="Calibri"/>
          <w:i/>
          <w:sz w:val="20"/>
          <w:szCs w:val="20"/>
          <w:lang w:val="es-HN" w:eastAsia="es-ES"/>
        </w:rPr>
      </w:pPr>
      <w:r w:rsidRPr="002A64C9">
        <w:rPr>
          <w:rFonts w:eastAsia="Calibri"/>
          <w:i/>
          <w:sz w:val="20"/>
          <w:szCs w:val="20"/>
          <w:lang w:val="es-HN" w:eastAsia="es-ES"/>
        </w:rPr>
        <w:t xml:space="preserve">3. </w:t>
      </w:r>
      <w:r w:rsidR="00272E30" w:rsidRPr="002A64C9">
        <w:rPr>
          <w:rFonts w:eastAsia="Calibri"/>
          <w:i/>
          <w:sz w:val="20"/>
          <w:szCs w:val="20"/>
          <w:lang w:val="es-HN" w:eastAsia="es-ES"/>
        </w:rPr>
        <w:t>I</w:t>
      </w:r>
      <w:r w:rsidRPr="002A64C9">
        <w:rPr>
          <w:rFonts w:eastAsia="Calibri"/>
          <w:i/>
          <w:sz w:val="20"/>
          <w:szCs w:val="20"/>
          <w:lang w:val="es-HN" w:eastAsia="es-ES"/>
        </w:rPr>
        <w:t xml:space="preserve">ncidencia </w:t>
      </w:r>
      <w:r w:rsidR="00A60A35" w:rsidRPr="002A64C9">
        <w:rPr>
          <w:rFonts w:eastAsia="Calibri"/>
          <w:i/>
          <w:sz w:val="20"/>
          <w:szCs w:val="20"/>
          <w:lang w:val="es-HN" w:eastAsia="es-ES"/>
        </w:rPr>
        <w:t>geriátrica</w:t>
      </w:r>
      <w:r w:rsidR="00A17AB4" w:rsidRPr="002A64C9">
        <w:rPr>
          <w:rFonts w:eastAsia="Calibri"/>
          <w:i/>
          <w:sz w:val="20"/>
          <w:szCs w:val="20"/>
          <w:lang w:val="es-HN" w:eastAsia="es-ES"/>
        </w:rPr>
        <w:t xml:space="preserve"> en la salud</w:t>
      </w:r>
      <w:r w:rsidR="00272E30" w:rsidRPr="002A64C9">
        <w:rPr>
          <w:rFonts w:eastAsia="Calibri"/>
          <w:i/>
          <w:sz w:val="20"/>
          <w:szCs w:val="20"/>
          <w:lang w:val="es-HN" w:eastAsia="es-ES"/>
        </w:rPr>
        <w:t xml:space="preserve"> y medidas a favor de las personas adultas mayores</w:t>
      </w:r>
    </w:p>
    <w:p w14:paraId="5FB3EC73" w14:textId="755CCDD3" w:rsidR="00EB29D7" w:rsidRDefault="004A0BDC" w:rsidP="006B2A4D">
      <w:pPr>
        <w:widowControl w:val="0"/>
        <w:tabs>
          <w:tab w:val="left" w:pos="567"/>
          <w:tab w:val="num" w:pos="12305"/>
        </w:tabs>
        <w:adjustRightInd w:val="0"/>
        <w:textAlignment w:val="baseline"/>
        <w:rPr>
          <w:rFonts w:eastAsia="Calibri"/>
          <w:sz w:val="20"/>
          <w:szCs w:val="20"/>
          <w:lang w:val="es-HN" w:eastAsia="es-ES"/>
        </w:rPr>
      </w:pPr>
      <w:r>
        <w:rPr>
          <w:rFonts w:eastAsia="Calibri"/>
          <w:sz w:val="20"/>
          <w:szCs w:val="20"/>
          <w:lang w:val="es-HN" w:eastAsia="es-ES"/>
        </w:rPr>
        <w:tab/>
        <w:t xml:space="preserve"> </w:t>
      </w:r>
    </w:p>
    <w:p w14:paraId="437D6FFB" w14:textId="37E7CAC6" w:rsidR="004A0BDC" w:rsidRDefault="004A0BDC" w:rsidP="006B2A4D">
      <w:pPr>
        <w:widowControl w:val="0"/>
        <w:tabs>
          <w:tab w:val="left" w:pos="567"/>
          <w:tab w:val="num" w:pos="12305"/>
        </w:tabs>
        <w:adjustRightInd w:val="0"/>
        <w:textAlignment w:val="baseline"/>
        <w:rPr>
          <w:rFonts w:eastAsia="Calibri"/>
          <w:i/>
          <w:sz w:val="20"/>
          <w:szCs w:val="20"/>
          <w:lang w:val="es-HN" w:eastAsia="es-ES"/>
        </w:rPr>
      </w:pPr>
      <w:r>
        <w:rPr>
          <w:rFonts w:eastAsia="Calibri"/>
          <w:i/>
          <w:sz w:val="20"/>
          <w:szCs w:val="20"/>
          <w:lang w:val="es-HN" w:eastAsia="es-ES"/>
        </w:rPr>
        <w:tab/>
        <w:t xml:space="preserve">            </w:t>
      </w:r>
      <w:r w:rsidRPr="00DB0B4E">
        <w:rPr>
          <w:rFonts w:eastAsia="Calibri"/>
          <w:i/>
          <w:sz w:val="20"/>
          <w:szCs w:val="20"/>
          <w:lang w:val="es-HN" w:eastAsia="es-ES"/>
        </w:rPr>
        <w:t xml:space="preserve">i) </w:t>
      </w:r>
      <w:r w:rsidR="005F2639">
        <w:rPr>
          <w:rFonts w:eastAsia="Calibri"/>
          <w:i/>
          <w:sz w:val="20"/>
          <w:szCs w:val="20"/>
          <w:lang w:val="es-HN" w:eastAsia="es-ES"/>
        </w:rPr>
        <w:t>F</w:t>
      </w:r>
      <w:r w:rsidRPr="00DB0B4E">
        <w:rPr>
          <w:rFonts w:eastAsia="Calibri"/>
          <w:i/>
          <w:sz w:val="20"/>
          <w:szCs w:val="20"/>
          <w:lang w:val="es-HN" w:eastAsia="es-ES"/>
        </w:rPr>
        <w:t>ortalecimiento institucional</w:t>
      </w:r>
    </w:p>
    <w:p w14:paraId="78D15E9B" w14:textId="77777777" w:rsidR="004A0BDC" w:rsidRPr="00531D45" w:rsidRDefault="004A0BDC" w:rsidP="006B2A4D">
      <w:pPr>
        <w:widowControl w:val="0"/>
        <w:tabs>
          <w:tab w:val="left" w:pos="567"/>
          <w:tab w:val="num" w:pos="12305"/>
        </w:tabs>
        <w:adjustRightInd w:val="0"/>
        <w:textAlignment w:val="baseline"/>
        <w:rPr>
          <w:rFonts w:eastAsia="Calibri"/>
          <w:sz w:val="20"/>
          <w:szCs w:val="20"/>
          <w:lang w:val="es-HN" w:eastAsia="es-ES"/>
        </w:rPr>
      </w:pPr>
    </w:p>
    <w:p w14:paraId="1482DDD5" w14:textId="525ADFC0" w:rsidR="00EB29D7" w:rsidRPr="002A64C9"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b/>
          <w:sz w:val="20"/>
          <w:szCs w:val="20"/>
          <w:lang w:val="es-HN" w:eastAsia="es-ES"/>
        </w:rPr>
      </w:pPr>
      <w:r w:rsidRPr="002A64C9">
        <w:rPr>
          <w:rFonts w:eastAsia="Calibri"/>
          <w:sz w:val="20"/>
          <w:szCs w:val="20"/>
          <w:lang w:val="es-ES" w:eastAsia="es-ES"/>
        </w:rPr>
        <w:t xml:space="preserve">Respecto de la solicitud de las representantes de crear un hospital especializado en el trato médico de adultos mayores, o en su defecto la habilitación </w:t>
      </w:r>
      <w:r w:rsidRPr="00A303F0">
        <w:rPr>
          <w:rFonts w:eastAsia="Calibri"/>
          <w:sz w:val="20"/>
          <w:szCs w:val="20"/>
          <w:lang w:val="es-ES" w:eastAsia="es-ES"/>
        </w:rPr>
        <w:t>de un</w:t>
      </w:r>
      <w:r w:rsidR="002D3464" w:rsidRPr="00B1523A">
        <w:rPr>
          <w:rFonts w:eastAsia="Calibri"/>
          <w:sz w:val="20"/>
          <w:szCs w:val="20"/>
          <w:lang w:val="es-ES" w:eastAsia="es-ES"/>
        </w:rPr>
        <w:t>a</w:t>
      </w:r>
      <w:r w:rsidRPr="002A64C9">
        <w:rPr>
          <w:rFonts w:eastAsia="Calibri"/>
          <w:sz w:val="20"/>
          <w:szCs w:val="20"/>
          <w:lang w:val="es-ES" w:eastAsia="es-ES"/>
        </w:rPr>
        <w:t xml:space="preserve"> ala especializada para el adulto mayor dentro de los hospitales ya existentes y de robustecer la responsabilidad civil y penal de los servidores de salud en estos casos, el Tribunal </w:t>
      </w:r>
      <w:r w:rsidR="00DB4A77" w:rsidRPr="002A64C9">
        <w:rPr>
          <w:rFonts w:eastAsia="Calibri"/>
          <w:sz w:val="20"/>
          <w:szCs w:val="20"/>
          <w:lang w:val="es-ES" w:eastAsia="es-ES"/>
        </w:rPr>
        <w:t xml:space="preserve">toma nota de </w:t>
      </w:r>
      <w:r w:rsidRPr="002A64C9">
        <w:rPr>
          <w:rFonts w:eastAsia="Calibri"/>
          <w:sz w:val="20"/>
          <w:szCs w:val="20"/>
          <w:lang w:val="es-ES" w:eastAsia="es-ES"/>
        </w:rPr>
        <w:t xml:space="preserve">la existencia del </w:t>
      </w:r>
      <w:r w:rsidR="00A7540B" w:rsidRPr="002A64C9">
        <w:rPr>
          <w:rFonts w:eastAsia="Calibri"/>
          <w:sz w:val="20"/>
          <w:szCs w:val="20"/>
          <w:lang w:val="es-ES" w:eastAsia="es-ES"/>
        </w:rPr>
        <w:lastRenderedPageBreak/>
        <w:t>“</w:t>
      </w:r>
      <w:r w:rsidRPr="002A64C9">
        <w:rPr>
          <w:rFonts w:eastAsia="Calibri"/>
          <w:sz w:val="20"/>
          <w:szCs w:val="20"/>
          <w:lang w:val="es-ES" w:eastAsia="es-ES"/>
        </w:rPr>
        <w:t>Instituto Nacional de Geriatría</w:t>
      </w:r>
      <w:r w:rsidR="00A7540B" w:rsidRPr="002A64C9">
        <w:rPr>
          <w:rFonts w:eastAsia="Calibri"/>
          <w:sz w:val="20"/>
          <w:szCs w:val="20"/>
          <w:lang w:val="es-ES" w:eastAsia="es-ES"/>
        </w:rPr>
        <w:t>”</w:t>
      </w:r>
      <w:r w:rsidRPr="002A64C9">
        <w:rPr>
          <w:rFonts w:eastAsia="Calibri"/>
          <w:sz w:val="20"/>
          <w:szCs w:val="20"/>
          <w:lang w:val="es-ES" w:eastAsia="es-ES"/>
        </w:rPr>
        <w:t xml:space="preserve"> en el mejoramiento de la atención médica a las personas adultas mayores en Chile, por lo que insta al Estado </w:t>
      </w:r>
      <w:r w:rsidR="00444715" w:rsidRPr="002A64C9">
        <w:rPr>
          <w:rFonts w:eastAsia="Calibri"/>
          <w:sz w:val="20"/>
          <w:szCs w:val="20"/>
          <w:lang w:val="es-ES" w:eastAsia="es-ES"/>
        </w:rPr>
        <w:t>fortalecer</w:t>
      </w:r>
      <w:r w:rsidRPr="002A64C9">
        <w:rPr>
          <w:rFonts w:eastAsia="Calibri"/>
          <w:sz w:val="20"/>
          <w:szCs w:val="20"/>
          <w:lang w:val="es-ES" w:eastAsia="es-ES"/>
        </w:rPr>
        <w:t xml:space="preserve"> esta institución y su incidencia en la red </w:t>
      </w:r>
      <w:r w:rsidR="00937D84" w:rsidRPr="002A64C9">
        <w:rPr>
          <w:rFonts w:eastAsia="Calibri"/>
          <w:sz w:val="20"/>
          <w:szCs w:val="20"/>
          <w:lang w:val="es-ES" w:eastAsia="es-ES"/>
        </w:rPr>
        <w:t>hospitalaria</w:t>
      </w:r>
      <w:r w:rsidR="00DB4A77" w:rsidRPr="002A64C9">
        <w:rPr>
          <w:rFonts w:eastAsia="Calibri"/>
          <w:sz w:val="20"/>
          <w:szCs w:val="20"/>
          <w:lang w:val="es-ES" w:eastAsia="es-ES"/>
        </w:rPr>
        <w:t xml:space="preserve"> tanto pública como privada</w:t>
      </w:r>
      <w:r w:rsidR="00EB29D7" w:rsidRPr="002A64C9">
        <w:rPr>
          <w:rFonts w:eastAsia="Calibri"/>
          <w:sz w:val="20"/>
          <w:szCs w:val="20"/>
          <w:lang w:val="es-ES" w:eastAsia="es-ES"/>
        </w:rPr>
        <w:t>, vinculándose también en la capacitaci</w:t>
      </w:r>
      <w:r w:rsidR="008E7915" w:rsidRPr="002A64C9">
        <w:rPr>
          <w:rFonts w:eastAsia="Calibri"/>
          <w:sz w:val="20"/>
          <w:szCs w:val="20"/>
          <w:lang w:val="es-ES" w:eastAsia="es-ES"/>
        </w:rPr>
        <w:t>ó</w:t>
      </w:r>
      <w:r w:rsidR="00EB29D7" w:rsidRPr="002A64C9">
        <w:rPr>
          <w:rFonts w:eastAsia="Calibri"/>
          <w:sz w:val="20"/>
          <w:szCs w:val="20"/>
          <w:lang w:val="es-ES" w:eastAsia="es-ES"/>
        </w:rPr>
        <w:t xml:space="preserve">n dispuesta en el párrafo </w:t>
      </w:r>
      <w:r w:rsidR="00657861" w:rsidRPr="002A64C9">
        <w:rPr>
          <w:rFonts w:eastAsia="Calibri"/>
          <w:sz w:val="20"/>
          <w:szCs w:val="20"/>
          <w:lang w:val="es-ES" w:eastAsia="es-ES"/>
        </w:rPr>
        <w:t>23</w:t>
      </w:r>
      <w:r w:rsidR="00294152">
        <w:rPr>
          <w:rFonts w:eastAsia="Calibri"/>
          <w:sz w:val="20"/>
          <w:szCs w:val="20"/>
          <w:lang w:val="es-ES" w:eastAsia="es-ES"/>
        </w:rPr>
        <w:t>7</w:t>
      </w:r>
      <w:r w:rsidR="00EB29D7" w:rsidRPr="002A64C9">
        <w:rPr>
          <w:rFonts w:eastAsia="Calibri"/>
          <w:sz w:val="20"/>
          <w:szCs w:val="20"/>
          <w:lang w:val="es-ES" w:eastAsia="es-ES"/>
        </w:rPr>
        <w:t>.</w:t>
      </w:r>
      <w:r w:rsidR="008E7915" w:rsidRPr="002A64C9">
        <w:rPr>
          <w:rFonts w:eastAsia="Calibri"/>
          <w:sz w:val="20"/>
          <w:szCs w:val="20"/>
          <w:lang w:val="es-ES" w:eastAsia="es-ES"/>
        </w:rPr>
        <w:t xml:space="preserve"> </w:t>
      </w:r>
      <w:r w:rsidR="008E7915" w:rsidRPr="002A64C9">
        <w:rPr>
          <w:sz w:val="20"/>
          <w:szCs w:val="20"/>
        </w:rPr>
        <w:t>En razón de las particularidades de esta medida, la Corte no supervisará el cumplimiento de este punto.</w:t>
      </w:r>
    </w:p>
    <w:p w14:paraId="40AAF66D" w14:textId="30CCF58F" w:rsidR="008704CD" w:rsidRDefault="008704CD" w:rsidP="002A64C9">
      <w:pPr>
        <w:widowControl w:val="0"/>
        <w:tabs>
          <w:tab w:val="left" w:pos="567"/>
        </w:tabs>
        <w:adjustRightInd w:val="0"/>
        <w:textAlignment w:val="baseline"/>
        <w:rPr>
          <w:rFonts w:eastAsiaTheme="minorHAnsi" w:cs="Verdana"/>
          <w:color w:val="000000"/>
          <w:sz w:val="20"/>
          <w:szCs w:val="20"/>
          <w:lang w:eastAsia="en-US"/>
        </w:rPr>
      </w:pPr>
    </w:p>
    <w:p w14:paraId="3ACB133C" w14:textId="0346B015" w:rsidR="004A0BDC" w:rsidRDefault="004A0BDC" w:rsidP="002A64C9">
      <w:pPr>
        <w:widowControl w:val="0"/>
        <w:tabs>
          <w:tab w:val="left" w:pos="567"/>
        </w:tabs>
        <w:adjustRightInd w:val="0"/>
        <w:textAlignment w:val="baseline"/>
        <w:rPr>
          <w:rFonts w:eastAsiaTheme="minorHAnsi" w:cs="Verdana"/>
          <w:i/>
          <w:color w:val="000000"/>
          <w:sz w:val="20"/>
          <w:szCs w:val="20"/>
          <w:lang w:eastAsia="en-US"/>
        </w:rPr>
      </w:pPr>
      <w:r>
        <w:rPr>
          <w:rFonts w:eastAsiaTheme="minorHAnsi" w:cs="Verdana"/>
          <w:i/>
          <w:color w:val="000000"/>
          <w:sz w:val="20"/>
          <w:szCs w:val="20"/>
          <w:lang w:eastAsia="en-US"/>
        </w:rPr>
        <w:tab/>
      </w:r>
      <w:r>
        <w:rPr>
          <w:rFonts w:eastAsiaTheme="minorHAnsi" w:cs="Verdana"/>
          <w:i/>
          <w:color w:val="000000"/>
          <w:sz w:val="20"/>
          <w:szCs w:val="20"/>
          <w:lang w:eastAsia="en-US"/>
        </w:rPr>
        <w:tab/>
      </w:r>
      <w:r>
        <w:rPr>
          <w:rFonts w:eastAsiaTheme="minorHAnsi" w:cs="Verdana"/>
          <w:i/>
          <w:color w:val="000000"/>
          <w:sz w:val="20"/>
          <w:szCs w:val="20"/>
          <w:lang w:eastAsia="en-US"/>
        </w:rPr>
        <w:tab/>
      </w:r>
      <w:r w:rsidRPr="00531D45">
        <w:rPr>
          <w:rFonts w:eastAsiaTheme="minorHAnsi" w:cs="Verdana"/>
          <w:i/>
          <w:color w:val="000000"/>
          <w:sz w:val="20"/>
          <w:szCs w:val="20"/>
          <w:lang w:eastAsia="en-US"/>
        </w:rPr>
        <w:t xml:space="preserve">ii) </w:t>
      </w:r>
      <w:r w:rsidR="005F2639">
        <w:rPr>
          <w:rFonts w:eastAsiaTheme="minorHAnsi" w:cs="Verdana"/>
          <w:i/>
          <w:color w:val="000000"/>
          <w:sz w:val="20"/>
          <w:szCs w:val="20"/>
          <w:lang w:eastAsia="en-US"/>
        </w:rPr>
        <w:t>C</w:t>
      </w:r>
      <w:r w:rsidRPr="00531D45">
        <w:rPr>
          <w:rFonts w:eastAsiaTheme="minorHAnsi" w:cs="Verdana"/>
          <w:i/>
          <w:color w:val="000000"/>
          <w:sz w:val="20"/>
          <w:szCs w:val="20"/>
          <w:lang w:eastAsia="en-US"/>
        </w:rPr>
        <w:t xml:space="preserve">artilla sobre </w:t>
      </w:r>
      <w:r>
        <w:rPr>
          <w:rFonts w:eastAsiaTheme="minorHAnsi" w:cs="Verdana"/>
          <w:i/>
          <w:color w:val="000000"/>
          <w:sz w:val="20"/>
          <w:szCs w:val="20"/>
          <w:lang w:eastAsia="en-US"/>
        </w:rPr>
        <w:t xml:space="preserve">personas </w:t>
      </w:r>
      <w:r w:rsidRPr="00531D45">
        <w:rPr>
          <w:rFonts w:eastAsiaTheme="minorHAnsi" w:cs="Verdana"/>
          <w:i/>
          <w:color w:val="000000"/>
          <w:sz w:val="20"/>
          <w:szCs w:val="20"/>
          <w:lang w:eastAsia="en-US"/>
        </w:rPr>
        <w:t>mayores</w:t>
      </w:r>
    </w:p>
    <w:p w14:paraId="0DC20CEA" w14:textId="77777777" w:rsidR="004A0BDC" w:rsidRPr="00531D45" w:rsidRDefault="004A0BDC" w:rsidP="002A64C9">
      <w:pPr>
        <w:widowControl w:val="0"/>
        <w:tabs>
          <w:tab w:val="left" w:pos="567"/>
        </w:tabs>
        <w:adjustRightInd w:val="0"/>
        <w:textAlignment w:val="baseline"/>
        <w:rPr>
          <w:rFonts w:eastAsiaTheme="minorHAnsi" w:cs="Verdana"/>
          <w:i/>
          <w:color w:val="000000"/>
          <w:sz w:val="20"/>
          <w:szCs w:val="20"/>
          <w:lang w:eastAsia="en-US"/>
        </w:rPr>
      </w:pPr>
    </w:p>
    <w:p w14:paraId="0E4DB7DE" w14:textId="7DB1DC0C" w:rsidR="00DB4A77" w:rsidRPr="00DB4A77" w:rsidRDefault="00294152" w:rsidP="00016220">
      <w:pPr>
        <w:widowControl w:val="0"/>
        <w:numPr>
          <w:ilvl w:val="0"/>
          <w:numId w:val="2"/>
        </w:numPr>
        <w:tabs>
          <w:tab w:val="left" w:pos="567"/>
          <w:tab w:val="num" w:pos="1569"/>
          <w:tab w:val="num" w:pos="12305"/>
        </w:tabs>
        <w:adjustRightInd w:val="0"/>
        <w:ind w:left="0" w:firstLine="0"/>
        <w:textAlignment w:val="baseline"/>
        <w:rPr>
          <w:rFonts w:eastAsiaTheme="minorHAnsi" w:cs="Verdana"/>
          <w:color w:val="000000"/>
          <w:sz w:val="20"/>
          <w:szCs w:val="20"/>
          <w:lang w:eastAsia="en-US"/>
        </w:rPr>
      </w:pPr>
      <w:r>
        <w:rPr>
          <w:rFonts w:eastAsiaTheme="minorHAnsi" w:cs="Verdana"/>
          <w:color w:val="000000"/>
          <w:sz w:val="20"/>
          <w:szCs w:val="20"/>
          <w:lang w:eastAsia="en-US"/>
        </w:rPr>
        <w:t>C</w:t>
      </w:r>
      <w:r w:rsidR="008704CD" w:rsidRPr="00DB4A77">
        <w:rPr>
          <w:rFonts w:eastAsiaTheme="minorHAnsi" w:cs="Verdana"/>
          <w:color w:val="000000"/>
          <w:sz w:val="20"/>
          <w:szCs w:val="20"/>
          <w:lang w:eastAsia="en-US"/>
        </w:rPr>
        <w:t>omo lo ha hecho en otro caso</w:t>
      </w:r>
      <w:r w:rsidR="008704CD">
        <w:rPr>
          <w:rStyle w:val="FootnoteReference"/>
          <w:rFonts w:eastAsiaTheme="minorHAnsi" w:cs="Verdana"/>
          <w:color w:val="000000"/>
          <w:sz w:val="20"/>
          <w:szCs w:val="20"/>
          <w:lang w:eastAsia="en-US"/>
        </w:rPr>
        <w:footnoteReference w:id="317"/>
      </w:r>
      <w:r w:rsidR="008704CD" w:rsidRPr="00DB4A77">
        <w:rPr>
          <w:rFonts w:eastAsiaTheme="minorHAnsi" w:cs="Verdana"/>
          <w:color w:val="000000"/>
          <w:sz w:val="20"/>
          <w:szCs w:val="20"/>
          <w:lang w:eastAsia="en-US"/>
        </w:rPr>
        <w:t xml:space="preserve">, </w:t>
      </w:r>
      <w:r w:rsidR="00272E30">
        <w:rPr>
          <w:rFonts w:eastAsiaTheme="minorHAnsi" w:cs="Verdana"/>
          <w:color w:val="000000"/>
          <w:sz w:val="20"/>
          <w:szCs w:val="20"/>
          <w:lang w:eastAsia="en-US"/>
        </w:rPr>
        <w:t xml:space="preserve">estima </w:t>
      </w:r>
      <w:r w:rsidR="00DB4A77" w:rsidRPr="00DB4A77">
        <w:rPr>
          <w:rFonts w:eastAsiaTheme="minorHAnsi" w:cs="Verdana"/>
          <w:color w:val="000000"/>
          <w:sz w:val="20"/>
          <w:szCs w:val="20"/>
          <w:lang w:eastAsia="en-US"/>
        </w:rPr>
        <w:t xml:space="preserve">pertinente ordenar al Estado que diseñe una publicación o cartilla que desarrolle en forma sintética, clara y accesible los derechos de </w:t>
      </w:r>
      <w:r w:rsidR="0001661C">
        <w:rPr>
          <w:rFonts w:eastAsiaTheme="minorHAnsi" w:cs="Verdana"/>
          <w:color w:val="000000"/>
          <w:sz w:val="20"/>
          <w:szCs w:val="20"/>
          <w:lang w:eastAsia="en-US"/>
        </w:rPr>
        <w:t>las personas mayores</w:t>
      </w:r>
      <w:r w:rsidR="00DB4A77" w:rsidRPr="00DB4A77">
        <w:rPr>
          <w:rFonts w:eastAsiaTheme="minorHAnsi" w:cs="Verdana"/>
          <w:color w:val="000000"/>
          <w:sz w:val="20"/>
          <w:szCs w:val="20"/>
          <w:lang w:eastAsia="en-US"/>
        </w:rPr>
        <w:t xml:space="preserve"> en </w:t>
      </w:r>
      <w:r w:rsidR="00DB4A77">
        <w:rPr>
          <w:rFonts w:eastAsiaTheme="minorHAnsi" w:cs="Verdana"/>
          <w:color w:val="000000"/>
          <w:sz w:val="20"/>
          <w:szCs w:val="20"/>
          <w:lang w:eastAsia="en-US"/>
        </w:rPr>
        <w:t>relación con la salud</w:t>
      </w:r>
      <w:r w:rsidR="00DB4A77" w:rsidRPr="00DB4A77">
        <w:rPr>
          <w:rFonts w:eastAsiaTheme="minorHAnsi" w:cs="Verdana"/>
          <w:color w:val="000000"/>
          <w:sz w:val="20"/>
          <w:szCs w:val="20"/>
          <w:lang w:eastAsia="en-US"/>
        </w:rPr>
        <w:t xml:space="preserve">, contemplados en los estándares  establecidos en esta Sentencia, así como las obligaciones del personal médico al proveer la atención </w:t>
      </w:r>
      <w:r w:rsidR="00DB4A77">
        <w:rPr>
          <w:rFonts w:eastAsiaTheme="minorHAnsi" w:cs="Verdana"/>
          <w:color w:val="000000"/>
          <w:sz w:val="20"/>
          <w:szCs w:val="20"/>
          <w:lang w:eastAsia="en-US"/>
        </w:rPr>
        <w:t>médica</w:t>
      </w:r>
      <w:r w:rsidR="00DB4A77" w:rsidRPr="00DB4A77">
        <w:rPr>
          <w:rFonts w:eastAsiaTheme="minorHAnsi" w:cs="Verdana"/>
          <w:color w:val="000000"/>
          <w:sz w:val="20"/>
          <w:szCs w:val="20"/>
          <w:lang w:eastAsia="en-US"/>
        </w:rPr>
        <w:t xml:space="preserve">. Dicha publicación </w:t>
      </w:r>
      <w:r w:rsidR="00C35975">
        <w:rPr>
          <w:rFonts w:eastAsiaTheme="minorHAnsi" w:cs="Verdana"/>
          <w:color w:val="000000"/>
          <w:sz w:val="20"/>
          <w:szCs w:val="20"/>
          <w:lang w:eastAsia="en-US"/>
        </w:rPr>
        <w:t xml:space="preserve">(impresa </w:t>
      </w:r>
      <w:r w:rsidR="00272E30">
        <w:rPr>
          <w:rFonts w:eastAsiaTheme="minorHAnsi" w:cs="Verdana"/>
          <w:color w:val="000000"/>
          <w:sz w:val="20"/>
          <w:szCs w:val="20"/>
          <w:lang w:eastAsia="en-US"/>
        </w:rPr>
        <w:t>y/</w:t>
      </w:r>
      <w:r w:rsidR="00C35975">
        <w:rPr>
          <w:rFonts w:eastAsiaTheme="minorHAnsi" w:cs="Verdana"/>
          <w:color w:val="000000"/>
          <w:sz w:val="20"/>
          <w:szCs w:val="20"/>
          <w:lang w:eastAsia="en-US"/>
        </w:rPr>
        <w:t xml:space="preserve">o digital) </w:t>
      </w:r>
      <w:r w:rsidR="00DB4A77" w:rsidRPr="00DB4A77">
        <w:rPr>
          <w:rFonts w:eastAsiaTheme="minorHAnsi" w:cs="Verdana"/>
          <w:color w:val="000000"/>
          <w:sz w:val="20"/>
          <w:szCs w:val="20"/>
          <w:lang w:eastAsia="en-US"/>
        </w:rPr>
        <w:t xml:space="preserve">deberá estar disponible en todos los hospitales públicos y privados de </w:t>
      </w:r>
      <w:r w:rsidR="00DB4A77">
        <w:rPr>
          <w:rFonts w:eastAsiaTheme="minorHAnsi" w:cs="Verdana"/>
          <w:color w:val="000000"/>
          <w:sz w:val="20"/>
          <w:szCs w:val="20"/>
          <w:lang w:eastAsia="en-US"/>
        </w:rPr>
        <w:t>Chile</w:t>
      </w:r>
      <w:r w:rsidR="00C35975">
        <w:rPr>
          <w:rFonts w:eastAsiaTheme="minorHAnsi" w:cs="Verdana"/>
          <w:color w:val="000000"/>
          <w:sz w:val="20"/>
          <w:szCs w:val="20"/>
          <w:lang w:eastAsia="en-US"/>
        </w:rPr>
        <w:t>, tanto para lo</w:t>
      </w:r>
      <w:r w:rsidR="00DB4A77" w:rsidRPr="00DB4A77">
        <w:rPr>
          <w:rFonts w:eastAsiaTheme="minorHAnsi" w:cs="Verdana"/>
          <w:color w:val="000000"/>
          <w:sz w:val="20"/>
          <w:szCs w:val="20"/>
          <w:lang w:eastAsia="en-US"/>
        </w:rPr>
        <w:t>s</w:t>
      </w:r>
      <w:r w:rsidR="00C35975">
        <w:rPr>
          <w:rFonts w:eastAsiaTheme="minorHAnsi" w:cs="Verdana"/>
          <w:color w:val="000000"/>
          <w:sz w:val="20"/>
          <w:szCs w:val="20"/>
          <w:lang w:eastAsia="en-US"/>
        </w:rPr>
        <w:t xml:space="preserve"> y las</w:t>
      </w:r>
      <w:r w:rsidR="00DB4A77" w:rsidRPr="00DB4A77">
        <w:rPr>
          <w:rFonts w:eastAsiaTheme="minorHAnsi" w:cs="Verdana"/>
          <w:color w:val="000000"/>
          <w:sz w:val="20"/>
          <w:szCs w:val="20"/>
          <w:lang w:eastAsia="en-US"/>
        </w:rPr>
        <w:t xml:space="preserve"> pacientes como para el personal médico, así como en el sitio web del Ministerio de Salud. El Estado deberá informar anualmente sobre la implementación de esta medida por un período de tres años</w:t>
      </w:r>
      <w:r>
        <w:rPr>
          <w:rFonts w:eastAsiaTheme="minorHAnsi" w:cs="Verdana"/>
          <w:color w:val="000000"/>
          <w:sz w:val="20"/>
          <w:szCs w:val="20"/>
          <w:lang w:eastAsia="en-US"/>
        </w:rPr>
        <w:t>,</w:t>
      </w:r>
      <w:r w:rsidR="00DB4A77" w:rsidRPr="00DB4A77">
        <w:rPr>
          <w:rFonts w:eastAsiaTheme="minorHAnsi" w:cs="Verdana"/>
          <w:color w:val="000000"/>
          <w:sz w:val="20"/>
          <w:szCs w:val="20"/>
          <w:lang w:eastAsia="en-US"/>
        </w:rPr>
        <w:t xml:space="preserve"> una vez se inicie la implementación de dicho mecanismo. </w:t>
      </w:r>
    </w:p>
    <w:p w14:paraId="385F0179" w14:textId="77777777" w:rsidR="00DB4A77" w:rsidRDefault="00DB4A77" w:rsidP="005430FF">
      <w:pPr>
        <w:widowControl w:val="0"/>
        <w:tabs>
          <w:tab w:val="left" w:pos="567"/>
        </w:tabs>
        <w:adjustRightInd w:val="0"/>
        <w:textAlignment w:val="baseline"/>
        <w:rPr>
          <w:rFonts w:eastAsia="Calibri"/>
          <w:b/>
          <w:sz w:val="20"/>
          <w:szCs w:val="20"/>
          <w:lang w:eastAsia="es-ES"/>
        </w:rPr>
      </w:pPr>
    </w:p>
    <w:p w14:paraId="67F5856A" w14:textId="2B53B3B1" w:rsidR="004A0BDC" w:rsidRDefault="004A0BDC" w:rsidP="005430FF">
      <w:pPr>
        <w:widowControl w:val="0"/>
        <w:tabs>
          <w:tab w:val="left" w:pos="567"/>
        </w:tabs>
        <w:adjustRightInd w:val="0"/>
        <w:textAlignment w:val="baseline"/>
        <w:rPr>
          <w:rFonts w:eastAsia="Calibri"/>
          <w:i/>
          <w:sz w:val="20"/>
          <w:szCs w:val="20"/>
          <w:lang w:eastAsia="es-ES"/>
        </w:rPr>
      </w:pPr>
      <w:r>
        <w:rPr>
          <w:rFonts w:eastAsia="Calibri"/>
          <w:i/>
          <w:sz w:val="20"/>
          <w:szCs w:val="20"/>
          <w:lang w:eastAsia="es-ES"/>
        </w:rPr>
        <w:tab/>
      </w:r>
      <w:r>
        <w:rPr>
          <w:rFonts w:eastAsia="Calibri"/>
          <w:i/>
          <w:sz w:val="20"/>
          <w:szCs w:val="20"/>
          <w:lang w:eastAsia="es-ES"/>
        </w:rPr>
        <w:tab/>
      </w:r>
      <w:r>
        <w:rPr>
          <w:rFonts w:eastAsia="Calibri"/>
          <w:i/>
          <w:sz w:val="20"/>
          <w:szCs w:val="20"/>
          <w:lang w:eastAsia="es-ES"/>
        </w:rPr>
        <w:tab/>
      </w:r>
      <w:r w:rsidRPr="00531D45">
        <w:rPr>
          <w:rFonts w:eastAsia="Calibri"/>
          <w:i/>
          <w:sz w:val="20"/>
          <w:szCs w:val="20"/>
          <w:lang w:eastAsia="es-ES"/>
        </w:rPr>
        <w:t xml:space="preserve">iii) </w:t>
      </w:r>
      <w:r w:rsidR="00294152">
        <w:rPr>
          <w:rFonts w:eastAsia="Calibri"/>
          <w:i/>
          <w:sz w:val="20"/>
          <w:szCs w:val="20"/>
          <w:lang w:eastAsia="es-ES"/>
        </w:rPr>
        <w:t>P</w:t>
      </w:r>
      <w:r w:rsidRPr="00531D45">
        <w:rPr>
          <w:rFonts w:eastAsia="Calibri"/>
          <w:i/>
          <w:sz w:val="20"/>
          <w:szCs w:val="20"/>
          <w:lang w:eastAsia="es-ES"/>
        </w:rPr>
        <w:t xml:space="preserve">rotección integral </w:t>
      </w:r>
      <w:r>
        <w:rPr>
          <w:rFonts w:eastAsia="Calibri"/>
          <w:i/>
          <w:sz w:val="20"/>
          <w:szCs w:val="20"/>
          <w:lang w:eastAsia="es-ES"/>
        </w:rPr>
        <w:t xml:space="preserve">a </w:t>
      </w:r>
      <w:r>
        <w:rPr>
          <w:rFonts w:eastAsiaTheme="minorHAnsi" w:cs="Verdana"/>
          <w:i/>
          <w:color w:val="000000"/>
          <w:sz w:val="20"/>
          <w:szCs w:val="20"/>
          <w:lang w:eastAsia="en-US"/>
        </w:rPr>
        <w:t xml:space="preserve">personas </w:t>
      </w:r>
      <w:r w:rsidRPr="00DB0B4E">
        <w:rPr>
          <w:rFonts w:eastAsiaTheme="minorHAnsi" w:cs="Verdana"/>
          <w:i/>
          <w:color w:val="000000"/>
          <w:sz w:val="20"/>
          <w:szCs w:val="20"/>
          <w:lang w:eastAsia="en-US"/>
        </w:rPr>
        <w:t>mayores</w:t>
      </w:r>
    </w:p>
    <w:p w14:paraId="1467FB9E" w14:textId="77777777" w:rsidR="004A0BDC" w:rsidRPr="00531D45" w:rsidRDefault="004A0BDC" w:rsidP="005430FF">
      <w:pPr>
        <w:widowControl w:val="0"/>
        <w:tabs>
          <w:tab w:val="left" w:pos="567"/>
        </w:tabs>
        <w:adjustRightInd w:val="0"/>
        <w:textAlignment w:val="baseline"/>
        <w:rPr>
          <w:rFonts w:eastAsia="Calibri"/>
          <w:i/>
          <w:sz w:val="20"/>
          <w:szCs w:val="20"/>
          <w:lang w:eastAsia="es-ES"/>
        </w:rPr>
      </w:pPr>
    </w:p>
    <w:p w14:paraId="7823ADD3" w14:textId="45216664" w:rsidR="00272E30" w:rsidRDefault="00272E30" w:rsidP="00272E30">
      <w:pPr>
        <w:widowControl w:val="0"/>
        <w:numPr>
          <w:ilvl w:val="0"/>
          <w:numId w:val="2"/>
        </w:numPr>
        <w:tabs>
          <w:tab w:val="left" w:pos="567"/>
          <w:tab w:val="num" w:pos="1569"/>
          <w:tab w:val="num" w:pos="12305"/>
        </w:tabs>
        <w:adjustRightInd w:val="0"/>
        <w:ind w:left="0" w:firstLine="0"/>
        <w:textAlignment w:val="baseline"/>
        <w:rPr>
          <w:rFonts w:eastAsiaTheme="minorHAnsi" w:cs="Verdana"/>
          <w:color w:val="000000"/>
          <w:sz w:val="20"/>
          <w:szCs w:val="20"/>
          <w:lang w:eastAsia="en-US"/>
        </w:rPr>
      </w:pPr>
      <w:r>
        <w:rPr>
          <w:rFonts w:eastAsiaTheme="minorHAnsi" w:cs="Verdana"/>
          <w:color w:val="000000"/>
          <w:sz w:val="20"/>
          <w:szCs w:val="20"/>
          <w:lang w:eastAsia="en-US"/>
        </w:rPr>
        <w:t>Finalmente, l</w:t>
      </w:r>
      <w:r w:rsidRPr="00DB4A77">
        <w:rPr>
          <w:rFonts w:eastAsiaTheme="minorHAnsi" w:cs="Verdana"/>
          <w:color w:val="000000"/>
          <w:sz w:val="20"/>
          <w:szCs w:val="20"/>
          <w:lang w:eastAsia="en-US"/>
        </w:rPr>
        <w:t xml:space="preserve">a Corte </w:t>
      </w:r>
      <w:r>
        <w:rPr>
          <w:rFonts w:eastAsiaTheme="minorHAnsi" w:cs="Verdana"/>
          <w:color w:val="000000"/>
          <w:sz w:val="20"/>
          <w:szCs w:val="20"/>
          <w:lang w:eastAsia="en-US"/>
        </w:rPr>
        <w:t>dispone</w:t>
      </w:r>
      <w:r w:rsidR="002E1F02">
        <w:rPr>
          <w:rFonts w:eastAsiaTheme="minorHAnsi" w:cs="Verdana"/>
          <w:color w:val="000000"/>
          <w:sz w:val="20"/>
          <w:szCs w:val="20"/>
          <w:lang w:eastAsia="en-US"/>
        </w:rPr>
        <w:t xml:space="preserve"> que el Estado adopte</w:t>
      </w:r>
      <w:r>
        <w:rPr>
          <w:rFonts w:eastAsiaTheme="minorHAnsi" w:cs="Verdana"/>
          <w:color w:val="000000"/>
          <w:sz w:val="20"/>
          <w:szCs w:val="20"/>
          <w:lang w:eastAsia="en-US"/>
        </w:rPr>
        <w:t xml:space="preserve"> las medidas nece</w:t>
      </w:r>
      <w:r w:rsidR="00C47603">
        <w:rPr>
          <w:rFonts w:eastAsiaTheme="minorHAnsi" w:cs="Verdana"/>
          <w:color w:val="000000"/>
          <w:sz w:val="20"/>
          <w:szCs w:val="20"/>
          <w:lang w:eastAsia="en-US"/>
        </w:rPr>
        <w:t>s</w:t>
      </w:r>
      <w:r>
        <w:rPr>
          <w:rFonts w:eastAsiaTheme="minorHAnsi" w:cs="Verdana"/>
          <w:color w:val="000000"/>
          <w:sz w:val="20"/>
          <w:szCs w:val="20"/>
          <w:lang w:eastAsia="en-US"/>
        </w:rPr>
        <w:t>ar</w:t>
      </w:r>
      <w:r w:rsidR="00C47603">
        <w:rPr>
          <w:rFonts w:eastAsiaTheme="minorHAnsi" w:cs="Verdana"/>
          <w:color w:val="000000"/>
          <w:sz w:val="20"/>
          <w:szCs w:val="20"/>
          <w:lang w:eastAsia="en-US"/>
        </w:rPr>
        <w:t>i</w:t>
      </w:r>
      <w:r>
        <w:rPr>
          <w:rFonts w:eastAsiaTheme="minorHAnsi" w:cs="Verdana"/>
          <w:color w:val="000000"/>
          <w:sz w:val="20"/>
          <w:szCs w:val="20"/>
          <w:lang w:eastAsia="en-US"/>
        </w:rPr>
        <w:t xml:space="preserve">as, a fin de </w:t>
      </w:r>
      <w:r w:rsidR="002E1F02">
        <w:rPr>
          <w:rFonts w:eastAsiaTheme="minorHAnsi" w:cs="Verdana"/>
          <w:color w:val="000000"/>
          <w:sz w:val="20"/>
          <w:szCs w:val="20"/>
          <w:lang w:eastAsia="en-US"/>
        </w:rPr>
        <w:t>diseñar</w:t>
      </w:r>
      <w:r>
        <w:rPr>
          <w:rFonts w:eastAsiaTheme="minorHAnsi" w:cs="Verdana"/>
          <w:color w:val="000000"/>
          <w:sz w:val="20"/>
          <w:szCs w:val="20"/>
          <w:lang w:eastAsia="en-US"/>
        </w:rPr>
        <w:t xml:space="preserve"> una política general de protección integral a las personas mayores, de conformidad con los estándares en la materia. Para ello, el Estado deberá implementar la misma durante el plazo de tres años, a partir de la notificación de la Sentencia.  </w:t>
      </w:r>
    </w:p>
    <w:p w14:paraId="374FD4BD" w14:textId="77777777" w:rsidR="006B2A4D" w:rsidRPr="006B2A4D" w:rsidRDefault="006B2A4D" w:rsidP="006B2A4D">
      <w:pPr>
        <w:widowControl w:val="0"/>
        <w:tabs>
          <w:tab w:val="left" w:pos="567"/>
          <w:tab w:val="num" w:pos="12305"/>
        </w:tabs>
        <w:adjustRightInd w:val="0"/>
        <w:textAlignment w:val="baseline"/>
        <w:rPr>
          <w:rFonts w:eastAsia="Calibri"/>
          <w:sz w:val="20"/>
          <w:szCs w:val="20"/>
          <w:lang w:val="es-ES" w:eastAsia="es-ES"/>
        </w:rPr>
      </w:pPr>
    </w:p>
    <w:p w14:paraId="0CA123D7" w14:textId="77777777" w:rsidR="006B2A4D" w:rsidRPr="00AD229D" w:rsidRDefault="006B2A4D" w:rsidP="002726E0">
      <w:pPr>
        <w:pStyle w:val="Heading2"/>
        <w:numPr>
          <w:ilvl w:val="0"/>
          <w:numId w:val="13"/>
        </w:numPr>
      </w:pPr>
      <w:bookmarkStart w:id="129" w:name="_Toc494271567"/>
      <w:bookmarkStart w:id="130" w:name="_Toc513644495"/>
      <w:r w:rsidRPr="00AD229D">
        <w:t>Indemnización compensatoria</w:t>
      </w:r>
      <w:bookmarkEnd w:id="129"/>
      <w:bookmarkEnd w:id="130"/>
    </w:p>
    <w:p w14:paraId="1CE8A608" w14:textId="77777777" w:rsidR="006B2A4D" w:rsidRPr="006B2A4D" w:rsidRDefault="006B2A4D" w:rsidP="006B2A4D">
      <w:pPr>
        <w:keepNext/>
        <w:keepLines/>
        <w:outlineLvl w:val="1"/>
        <w:rPr>
          <w:b/>
          <w:bCs/>
          <w:i/>
          <w:sz w:val="20"/>
          <w:szCs w:val="20"/>
          <w:lang w:val="es-ES" w:eastAsia="en-US"/>
        </w:rPr>
      </w:pPr>
    </w:p>
    <w:p w14:paraId="243639DB" w14:textId="5A193D46" w:rsidR="006B2A4D"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 xml:space="preserve">La </w:t>
      </w:r>
      <w:r w:rsidRPr="006B2A4D">
        <w:rPr>
          <w:rFonts w:eastAsia="Calibri"/>
          <w:b/>
          <w:i/>
          <w:sz w:val="20"/>
          <w:szCs w:val="20"/>
          <w:lang w:val="es-ES" w:eastAsia="es-ES"/>
        </w:rPr>
        <w:t>Comisión</w:t>
      </w:r>
      <w:r w:rsidRPr="006B2A4D">
        <w:rPr>
          <w:rFonts w:eastAsia="Calibri"/>
          <w:sz w:val="20"/>
          <w:szCs w:val="20"/>
          <w:lang w:val="es-ES" w:eastAsia="es-ES"/>
        </w:rPr>
        <w:t xml:space="preserve"> solicitó incorporar en la reparación integral a los familiares del señor Poblete Vilches tanto el daño material como moral</w:t>
      </w:r>
      <w:r w:rsidR="00E21370">
        <w:rPr>
          <w:rFonts w:eastAsia="Calibri"/>
          <w:sz w:val="20"/>
          <w:szCs w:val="20"/>
          <w:lang w:val="es-ES" w:eastAsia="es-ES"/>
        </w:rPr>
        <w:t>.</w:t>
      </w:r>
    </w:p>
    <w:p w14:paraId="4F563BD5" w14:textId="77777777" w:rsidR="006B2A4D" w:rsidRPr="006B2A4D" w:rsidRDefault="006B2A4D" w:rsidP="006B2A4D">
      <w:pPr>
        <w:widowControl w:val="0"/>
        <w:tabs>
          <w:tab w:val="left" w:pos="567"/>
          <w:tab w:val="num" w:pos="12305"/>
        </w:tabs>
        <w:adjustRightInd w:val="0"/>
        <w:textAlignment w:val="baseline"/>
        <w:rPr>
          <w:rFonts w:eastAsia="Calibri"/>
          <w:sz w:val="20"/>
          <w:szCs w:val="20"/>
          <w:lang w:val="es-ES" w:eastAsia="es-ES"/>
        </w:rPr>
      </w:pPr>
    </w:p>
    <w:p w14:paraId="3A4239D7" w14:textId="31BCAE1F" w:rsidR="006B2A4D" w:rsidRDefault="006B2A4D" w:rsidP="00B658A3">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sidRPr="00B658A3">
        <w:rPr>
          <w:rFonts w:eastAsia="Calibri"/>
          <w:sz w:val="20"/>
          <w:szCs w:val="20"/>
          <w:lang w:val="es-ES" w:eastAsia="es-ES"/>
        </w:rPr>
        <w:t xml:space="preserve">Las </w:t>
      </w:r>
      <w:r w:rsidRPr="00B658A3">
        <w:rPr>
          <w:rFonts w:eastAsia="Calibri"/>
          <w:b/>
          <w:i/>
          <w:sz w:val="20"/>
          <w:szCs w:val="20"/>
          <w:lang w:val="es-ES" w:eastAsia="es-ES"/>
        </w:rPr>
        <w:t>representantes</w:t>
      </w:r>
      <w:r w:rsidRPr="00B658A3">
        <w:rPr>
          <w:rFonts w:eastAsia="Calibri"/>
          <w:i/>
          <w:sz w:val="20"/>
          <w:szCs w:val="20"/>
          <w:lang w:val="es-ES" w:eastAsia="es-ES"/>
        </w:rPr>
        <w:t xml:space="preserve"> </w:t>
      </w:r>
      <w:r w:rsidRPr="00C27894">
        <w:rPr>
          <w:rFonts w:eastAsia="Calibri"/>
          <w:sz w:val="20"/>
          <w:szCs w:val="20"/>
          <w:lang w:val="es-ES" w:eastAsia="es-ES"/>
        </w:rPr>
        <w:t>solicitaron una indemnización compensatoria por los daños materiales e inmateriales</w:t>
      </w:r>
      <w:r w:rsidR="00E21370">
        <w:rPr>
          <w:rFonts w:eastAsia="Calibri"/>
          <w:sz w:val="20"/>
          <w:szCs w:val="20"/>
          <w:lang w:val="es-ES" w:eastAsia="es-ES"/>
        </w:rPr>
        <w:t xml:space="preserve">. </w:t>
      </w:r>
      <w:r w:rsidRPr="00B658A3">
        <w:rPr>
          <w:rFonts w:eastAsia="Calibri"/>
          <w:sz w:val="20"/>
          <w:szCs w:val="20"/>
          <w:lang w:val="es-ES" w:eastAsia="es-ES"/>
        </w:rPr>
        <w:t>En cuanto a los daños materiales, las representantes indicaron que no fue posible obtener pruebas del salario del señor Poblete Vilches dado</w:t>
      </w:r>
      <w:r w:rsidR="00826773">
        <w:rPr>
          <w:rFonts w:eastAsia="Calibri"/>
          <w:sz w:val="20"/>
          <w:szCs w:val="20"/>
          <w:lang w:val="es-ES" w:eastAsia="es-ES"/>
        </w:rPr>
        <w:t xml:space="preserve"> que el trabajo que desarrollaba era completamente informal</w:t>
      </w:r>
      <w:r w:rsidR="00787014" w:rsidRPr="00B1523A">
        <w:rPr>
          <w:rFonts w:eastAsia="Calibri"/>
          <w:sz w:val="20"/>
          <w:szCs w:val="20"/>
          <w:lang w:val="es-CL" w:eastAsia="es-ES"/>
        </w:rPr>
        <w:t>,</w:t>
      </w:r>
      <w:r w:rsidR="00787014">
        <w:rPr>
          <w:rFonts w:eastAsia="Calibri"/>
          <w:sz w:val="20"/>
          <w:szCs w:val="20"/>
          <w:lang w:val="es-CL" w:eastAsia="es-ES"/>
        </w:rPr>
        <w:t xml:space="preserve"> </w:t>
      </w:r>
      <w:r w:rsidRPr="00C27894">
        <w:rPr>
          <w:rFonts w:eastAsia="Calibri"/>
          <w:sz w:val="20"/>
          <w:szCs w:val="20"/>
          <w:lang w:val="es-CL" w:eastAsia="es-ES"/>
        </w:rPr>
        <w:t xml:space="preserve">sin embargo, sus hijos declararon que ganaba aproximadamente </w:t>
      </w:r>
      <w:r w:rsidR="00826773">
        <w:rPr>
          <w:rFonts w:eastAsia="Calibri"/>
          <w:sz w:val="20"/>
          <w:szCs w:val="20"/>
          <w:lang w:val="es-CL" w:eastAsia="es-ES"/>
        </w:rPr>
        <w:t>quinientos mil pesos chilenos (</w:t>
      </w:r>
      <w:r w:rsidRPr="00C27894">
        <w:rPr>
          <w:rFonts w:eastAsia="Calibri"/>
          <w:sz w:val="20"/>
          <w:szCs w:val="20"/>
          <w:lang w:val="es-CL" w:eastAsia="es-ES"/>
        </w:rPr>
        <w:t>50</w:t>
      </w:r>
      <w:r w:rsidR="00E21370">
        <w:rPr>
          <w:rFonts w:eastAsia="Calibri"/>
          <w:sz w:val="20"/>
          <w:szCs w:val="20"/>
          <w:lang w:val="es-CL" w:eastAsia="es-ES"/>
        </w:rPr>
        <w:t>0,000</w:t>
      </w:r>
      <w:r w:rsidR="00826773">
        <w:rPr>
          <w:rFonts w:eastAsia="Calibri"/>
          <w:sz w:val="20"/>
          <w:szCs w:val="20"/>
          <w:lang w:val="es-CL" w:eastAsia="es-ES"/>
        </w:rPr>
        <w:t>)</w:t>
      </w:r>
      <w:r w:rsidRPr="00C27894">
        <w:rPr>
          <w:rFonts w:eastAsia="Calibri"/>
          <w:sz w:val="20"/>
          <w:szCs w:val="20"/>
          <w:lang w:val="es-CL" w:eastAsia="es-ES"/>
        </w:rPr>
        <w:t xml:space="preserve"> al mes” (US$: </w:t>
      </w:r>
      <w:r w:rsidR="007D1C3E" w:rsidRPr="00C27894">
        <w:rPr>
          <w:rFonts w:eastAsia="Calibri"/>
          <w:sz w:val="20"/>
          <w:szCs w:val="20"/>
          <w:lang w:val="es-CL" w:eastAsia="es-ES"/>
        </w:rPr>
        <w:t>8</w:t>
      </w:r>
      <w:r w:rsidR="007D1C3E">
        <w:rPr>
          <w:rFonts w:eastAsia="Calibri"/>
          <w:sz w:val="20"/>
          <w:szCs w:val="20"/>
          <w:lang w:val="es-CL" w:eastAsia="es-ES"/>
        </w:rPr>
        <w:t>88</w:t>
      </w:r>
      <w:r w:rsidR="007D1C3E" w:rsidRPr="00C27894">
        <w:rPr>
          <w:rFonts w:eastAsia="Calibri"/>
          <w:sz w:val="20"/>
          <w:szCs w:val="20"/>
          <w:lang w:val="es-CL" w:eastAsia="es-ES"/>
        </w:rPr>
        <w:t xml:space="preserve"> </w:t>
      </w:r>
      <w:r w:rsidRPr="00C27894">
        <w:rPr>
          <w:rFonts w:eastAsia="Calibri"/>
          <w:sz w:val="20"/>
          <w:szCs w:val="20"/>
          <w:lang w:val="es-CL" w:eastAsia="es-ES"/>
        </w:rPr>
        <w:t>aproximadamente en febrero del año 2001)</w:t>
      </w:r>
      <w:r w:rsidRPr="006B2A4D">
        <w:rPr>
          <w:rFonts w:eastAsia="Calibri"/>
          <w:sz w:val="20"/>
          <w:szCs w:val="20"/>
          <w:vertAlign w:val="superscript"/>
          <w:lang w:val="es-CL" w:eastAsia="es-ES"/>
        </w:rPr>
        <w:footnoteReference w:id="318"/>
      </w:r>
      <w:r w:rsidR="002C672D">
        <w:rPr>
          <w:rFonts w:eastAsia="Calibri"/>
          <w:sz w:val="20"/>
          <w:szCs w:val="20"/>
          <w:lang w:val="es-CL" w:eastAsia="es-ES"/>
        </w:rPr>
        <w:t>.</w:t>
      </w:r>
      <w:r w:rsidRPr="00B658A3">
        <w:rPr>
          <w:rFonts w:eastAsia="Calibri"/>
          <w:sz w:val="20"/>
          <w:szCs w:val="20"/>
          <w:lang w:val="es-CL" w:eastAsia="es-ES"/>
        </w:rPr>
        <w:t xml:space="preserve"> </w:t>
      </w:r>
      <w:r w:rsidRPr="00C27894">
        <w:rPr>
          <w:rFonts w:eastAsia="Calibri"/>
          <w:sz w:val="20"/>
          <w:szCs w:val="20"/>
          <w:lang w:val="es-ES" w:eastAsia="es-ES"/>
        </w:rPr>
        <w:t xml:space="preserve">Respecto a la señora </w:t>
      </w:r>
      <w:proofErr w:type="spellStart"/>
      <w:r w:rsidRPr="00C27894">
        <w:rPr>
          <w:rFonts w:eastAsia="Calibri"/>
          <w:sz w:val="20"/>
          <w:szCs w:val="20"/>
          <w:lang w:val="es-ES" w:eastAsia="es-ES"/>
        </w:rPr>
        <w:t>Cesia</w:t>
      </w:r>
      <w:proofErr w:type="spellEnd"/>
      <w:r w:rsidRPr="00C27894">
        <w:rPr>
          <w:rFonts w:eastAsia="Calibri"/>
          <w:sz w:val="20"/>
          <w:szCs w:val="20"/>
          <w:lang w:val="es-ES" w:eastAsia="es-ES"/>
        </w:rPr>
        <w:t xml:space="preserve"> Poblete Tapia, ella ganaba aproximadamente </w:t>
      </w:r>
      <w:r w:rsidR="00126389">
        <w:rPr>
          <w:rFonts w:eastAsia="Calibri"/>
          <w:sz w:val="20"/>
          <w:szCs w:val="20"/>
          <w:lang w:val="es-ES" w:eastAsia="es-ES"/>
        </w:rPr>
        <w:t>trescientos mil pesos chilenos (</w:t>
      </w:r>
      <w:r w:rsidRPr="00C27894">
        <w:rPr>
          <w:rFonts w:eastAsia="Calibri"/>
          <w:sz w:val="20"/>
          <w:szCs w:val="20"/>
          <w:lang w:val="es-ES" w:eastAsia="es-ES"/>
        </w:rPr>
        <w:t>300</w:t>
      </w:r>
      <w:r w:rsidR="00E21370">
        <w:rPr>
          <w:rFonts w:eastAsia="Calibri"/>
          <w:sz w:val="20"/>
          <w:szCs w:val="20"/>
          <w:lang w:val="es-ES" w:eastAsia="es-ES"/>
        </w:rPr>
        <w:t>,000</w:t>
      </w:r>
      <w:r w:rsidR="00126389">
        <w:rPr>
          <w:rFonts w:eastAsia="Calibri"/>
          <w:sz w:val="20"/>
          <w:szCs w:val="20"/>
          <w:lang w:val="es-ES" w:eastAsia="es-ES"/>
        </w:rPr>
        <w:t>)</w:t>
      </w:r>
      <w:r w:rsidRPr="00C27894">
        <w:rPr>
          <w:rFonts w:eastAsia="Calibri"/>
          <w:sz w:val="20"/>
          <w:szCs w:val="20"/>
          <w:lang w:val="es-ES" w:eastAsia="es-ES"/>
        </w:rPr>
        <w:t xml:space="preserve"> chilenos </w:t>
      </w:r>
      <w:r w:rsidRPr="00C27894">
        <w:rPr>
          <w:rFonts w:eastAsia="Calibri"/>
          <w:sz w:val="20"/>
          <w:szCs w:val="20"/>
          <w:lang w:val="es-CL" w:eastAsia="es-ES"/>
        </w:rPr>
        <w:t xml:space="preserve">(US$ </w:t>
      </w:r>
      <w:r w:rsidR="007D1C3E" w:rsidRPr="00C27894">
        <w:rPr>
          <w:rFonts w:eastAsia="Calibri"/>
          <w:sz w:val="20"/>
          <w:szCs w:val="20"/>
          <w:lang w:val="es-CL" w:eastAsia="es-ES"/>
        </w:rPr>
        <w:t>5</w:t>
      </w:r>
      <w:r w:rsidR="007D1C3E">
        <w:rPr>
          <w:rFonts w:eastAsia="Calibri"/>
          <w:sz w:val="20"/>
          <w:szCs w:val="20"/>
          <w:lang w:val="es-CL" w:eastAsia="es-ES"/>
        </w:rPr>
        <w:t>32</w:t>
      </w:r>
      <w:r w:rsidR="007D1C3E" w:rsidRPr="00C27894">
        <w:rPr>
          <w:rFonts w:eastAsia="Calibri"/>
          <w:sz w:val="20"/>
          <w:szCs w:val="20"/>
          <w:lang w:val="es-CL" w:eastAsia="es-ES"/>
        </w:rPr>
        <w:t xml:space="preserve"> </w:t>
      </w:r>
      <w:r w:rsidRPr="00C27894">
        <w:rPr>
          <w:rFonts w:eastAsia="Calibri"/>
          <w:sz w:val="20"/>
          <w:szCs w:val="20"/>
          <w:lang w:val="es-CL" w:eastAsia="es-ES"/>
        </w:rPr>
        <w:t>aproximadamente en febrero del año 2001)</w:t>
      </w:r>
      <w:r w:rsidRPr="006B2A4D">
        <w:rPr>
          <w:rFonts w:eastAsia="Calibri"/>
          <w:sz w:val="20"/>
          <w:szCs w:val="20"/>
          <w:vertAlign w:val="superscript"/>
          <w:lang w:val="es-CL" w:eastAsia="es-ES"/>
        </w:rPr>
        <w:footnoteReference w:id="319"/>
      </w:r>
      <w:r w:rsidRPr="00B658A3">
        <w:rPr>
          <w:rFonts w:eastAsia="Calibri"/>
          <w:sz w:val="20"/>
          <w:szCs w:val="20"/>
          <w:lang w:val="es-ES" w:eastAsia="es-ES"/>
        </w:rPr>
        <w:t xml:space="preserve"> al mes al tiempo de la muerte de su padre, pero consecuentemente tuvo que dejar de trabajar para cuidar a su madre y hermano menor inválido</w:t>
      </w:r>
      <w:r w:rsidR="00E21370">
        <w:rPr>
          <w:rFonts w:eastAsia="Calibri"/>
          <w:sz w:val="20"/>
          <w:szCs w:val="20"/>
          <w:lang w:val="es-ES" w:eastAsia="es-ES"/>
        </w:rPr>
        <w:t xml:space="preserve">. </w:t>
      </w:r>
      <w:r w:rsidRPr="00C27894">
        <w:rPr>
          <w:rFonts w:eastAsia="Calibri"/>
          <w:sz w:val="20"/>
          <w:szCs w:val="20"/>
          <w:lang w:val="es-ES" w:eastAsia="es-ES"/>
        </w:rPr>
        <w:t>Por otra parte, las representantes agregaron que las presuntas víctimas gastaron alrededor de</w:t>
      </w:r>
      <w:r w:rsidR="00E21370">
        <w:rPr>
          <w:rFonts w:eastAsia="Calibri"/>
          <w:sz w:val="20"/>
          <w:szCs w:val="20"/>
          <w:lang w:val="es-ES" w:eastAsia="es-ES"/>
        </w:rPr>
        <w:t xml:space="preserve"> siete </w:t>
      </w:r>
      <w:r w:rsidRPr="00C27894">
        <w:rPr>
          <w:rFonts w:eastAsia="Calibri"/>
          <w:sz w:val="20"/>
          <w:szCs w:val="20"/>
          <w:lang w:val="es-ES" w:eastAsia="es-ES"/>
        </w:rPr>
        <w:t>millones de pesos chilenos</w:t>
      </w:r>
      <w:r w:rsidR="00E21370">
        <w:rPr>
          <w:rFonts w:eastAsia="Calibri"/>
          <w:sz w:val="20"/>
          <w:szCs w:val="20"/>
          <w:lang w:val="es-ES" w:eastAsia="es-ES"/>
        </w:rPr>
        <w:t xml:space="preserve"> (7, 000,000)</w:t>
      </w:r>
      <w:r w:rsidRPr="00C27894">
        <w:rPr>
          <w:rFonts w:eastAsia="Calibri"/>
          <w:sz w:val="20"/>
          <w:szCs w:val="20"/>
          <w:lang w:val="es-ES" w:eastAsia="es-ES"/>
        </w:rPr>
        <w:t xml:space="preserve"> </w:t>
      </w:r>
      <w:r w:rsidRPr="00531D45">
        <w:rPr>
          <w:rFonts w:eastAsia="Calibri"/>
          <w:sz w:val="20"/>
          <w:szCs w:val="20"/>
          <w:lang w:val="es-ES" w:eastAsia="es-ES"/>
        </w:rPr>
        <w:t>(</w:t>
      </w:r>
      <w:r w:rsidR="007D1C3E" w:rsidRPr="004A0BDC">
        <w:rPr>
          <w:rFonts w:eastAsia="Calibri"/>
          <w:sz w:val="20"/>
          <w:szCs w:val="20"/>
          <w:lang w:val="es-CL" w:eastAsia="es-ES"/>
        </w:rPr>
        <w:t>US</w:t>
      </w:r>
      <w:r w:rsidR="007D1C3E" w:rsidRPr="00C27894">
        <w:rPr>
          <w:rFonts w:eastAsia="Calibri"/>
          <w:sz w:val="20"/>
          <w:szCs w:val="20"/>
          <w:lang w:val="es-CL" w:eastAsia="es-ES"/>
        </w:rPr>
        <w:t xml:space="preserve">$ </w:t>
      </w:r>
      <w:r w:rsidR="007D1C3E" w:rsidRPr="00B1523A">
        <w:rPr>
          <w:rFonts w:eastAsia="Calibri"/>
          <w:sz w:val="20"/>
          <w:szCs w:val="20"/>
          <w:lang w:val="es-CL" w:eastAsia="es-ES"/>
        </w:rPr>
        <w:t>12</w:t>
      </w:r>
      <w:r w:rsidR="009C51B9" w:rsidRPr="00B1523A">
        <w:rPr>
          <w:rFonts w:eastAsia="Calibri"/>
          <w:sz w:val="20"/>
          <w:szCs w:val="20"/>
          <w:lang w:val="es-CL" w:eastAsia="es-ES"/>
        </w:rPr>
        <w:t>,</w:t>
      </w:r>
      <w:r w:rsidR="007D1C3E" w:rsidRPr="00B1523A">
        <w:rPr>
          <w:rFonts w:eastAsia="Calibri"/>
          <w:sz w:val="20"/>
          <w:szCs w:val="20"/>
          <w:lang w:val="es-CL" w:eastAsia="es-ES"/>
        </w:rPr>
        <w:t>43</w:t>
      </w:r>
      <w:r w:rsidR="00E21370" w:rsidRPr="00B1523A">
        <w:rPr>
          <w:rFonts w:eastAsia="Calibri"/>
          <w:sz w:val="20"/>
          <w:szCs w:val="20"/>
          <w:lang w:val="es-CL" w:eastAsia="es-ES"/>
        </w:rPr>
        <w:t>0</w:t>
      </w:r>
      <w:r w:rsidR="007D1C3E" w:rsidRPr="00C27894">
        <w:rPr>
          <w:rFonts w:eastAsia="Calibri"/>
          <w:sz w:val="20"/>
          <w:szCs w:val="20"/>
          <w:lang w:val="es-CL" w:eastAsia="es-ES"/>
        </w:rPr>
        <w:t xml:space="preserve"> aproximadamente en febrero del año 2001</w:t>
      </w:r>
      <w:r w:rsidR="007D1C3E">
        <w:rPr>
          <w:rFonts w:eastAsia="Calibri"/>
          <w:sz w:val="20"/>
          <w:szCs w:val="20"/>
          <w:lang w:val="es-CL" w:eastAsia="es-ES"/>
        </w:rPr>
        <w:t xml:space="preserve">) </w:t>
      </w:r>
      <w:r w:rsidRPr="00C27894">
        <w:rPr>
          <w:rFonts w:eastAsia="Calibri"/>
          <w:sz w:val="20"/>
          <w:szCs w:val="20"/>
          <w:lang w:val="es-ES" w:eastAsia="es-ES"/>
        </w:rPr>
        <w:t xml:space="preserve">durante más de 14 años en remitir documentos por correos a la Comisión Interamericana y realizar llamadas telefónicas relacionadas con el caso. </w:t>
      </w:r>
      <w:r w:rsidR="00E21370">
        <w:rPr>
          <w:rFonts w:eastAsia="Calibri"/>
          <w:sz w:val="20"/>
          <w:szCs w:val="20"/>
          <w:lang w:val="es-ES" w:eastAsia="es-ES"/>
        </w:rPr>
        <w:t>Asimismo n</w:t>
      </w:r>
      <w:r w:rsidRPr="00C27894">
        <w:rPr>
          <w:rFonts w:eastAsia="Calibri"/>
          <w:sz w:val="20"/>
          <w:szCs w:val="20"/>
          <w:lang w:val="es-ES" w:eastAsia="es-ES"/>
        </w:rPr>
        <w:t>otaron que toda la documentación al respecto, que las presuntas víctimas habían archivado, se quemó en el incendio de su hogar. Solicitaron también que se consideren todos los gastos relacionados con la muerte del señor Poblete Vilches, la señora Blanca Tapia Encina y del señor Gonzalo Poblete</w:t>
      </w:r>
      <w:r w:rsidR="00B658A3">
        <w:rPr>
          <w:rStyle w:val="FootnoteReference"/>
          <w:rFonts w:eastAsia="Calibri"/>
          <w:sz w:val="20"/>
          <w:szCs w:val="20"/>
          <w:lang w:val="es-ES" w:eastAsia="es-ES"/>
        </w:rPr>
        <w:footnoteReference w:id="320"/>
      </w:r>
      <w:r w:rsidRPr="00B658A3">
        <w:rPr>
          <w:rFonts w:eastAsia="Calibri"/>
          <w:sz w:val="20"/>
          <w:szCs w:val="20"/>
          <w:lang w:val="es-ES" w:eastAsia="es-ES"/>
        </w:rPr>
        <w:t>, como por ejemplo, los que incurrieron en relación al funeral, entierro y servicios religiosos</w:t>
      </w:r>
      <w:r w:rsidR="00E21370">
        <w:rPr>
          <w:rFonts w:eastAsia="Calibri"/>
          <w:sz w:val="20"/>
          <w:szCs w:val="20"/>
          <w:lang w:val="es-ES" w:eastAsia="es-ES"/>
        </w:rPr>
        <w:t xml:space="preserve">. </w:t>
      </w:r>
      <w:r w:rsidRPr="00C27894">
        <w:rPr>
          <w:rFonts w:eastAsia="Calibri"/>
          <w:sz w:val="20"/>
          <w:szCs w:val="20"/>
          <w:lang w:val="es-ES" w:eastAsia="es-ES"/>
        </w:rPr>
        <w:t xml:space="preserve">Tomando las referidas consideraciones en cuenta, las representantes solicitaron que </w:t>
      </w:r>
      <w:r w:rsidRPr="00C27894">
        <w:rPr>
          <w:rFonts w:eastAsia="Calibri"/>
          <w:sz w:val="20"/>
          <w:szCs w:val="20"/>
          <w:lang w:val="es-ES" w:eastAsia="es-ES"/>
        </w:rPr>
        <w:lastRenderedPageBreak/>
        <w:t>la Corte otorgue un pago indemnizatorio de</w:t>
      </w:r>
      <w:r w:rsidR="00E21370">
        <w:rPr>
          <w:rFonts w:eastAsia="Calibri"/>
          <w:sz w:val="20"/>
          <w:szCs w:val="20"/>
          <w:lang w:val="es-ES" w:eastAsia="es-ES"/>
        </w:rPr>
        <w:t xml:space="preserve"> veinte mil dólares de los Estados Unidos de Norte América</w:t>
      </w:r>
      <w:r w:rsidRPr="00C27894">
        <w:rPr>
          <w:rFonts w:eastAsia="Calibri"/>
          <w:sz w:val="20"/>
          <w:szCs w:val="20"/>
          <w:lang w:val="es-ES" w:eastAsia="es-ES"/>
        </w:rPr>
        <w:t xml:space="preserve"> </w:t>
      </w:r>
      <w:r w:rsidR="00E21370">
        <w:rPr>
          <w:rFonts w:eastAsia="Calibri"/>
          <w:sz w:val="20"/>
          <w:szCs w:val="20"/>
          <w:lang w:val="es-ES" w:eastAsia="es-ES"/>
        </w:rPr>
        <w:t>(</w:t>
      </w:r>
      <w:r w:rsidRPr="00B1523A">
        <w:rPr>
          <w:rFonts w:eastAsia="Calibri"/>
          <w:sz w:val="20"/>
          <w:szCs w:val="20"/>
          <w:lang w:val="es-ES" w:eastAsia="es-ES"/>
        </w:rPr>
        <w:t>US$20,000</w:t>
      </w:r>
      <w:r w:rsidR="00E21370">
        <w:rPr>
          <w:rFonts w:eastAsia="Calibri"/>
          <w:sz w:val="20"/>
          <w:szCs w:val="20"/>
          <w:lang w:val="es-ES" w:eastAsia="es-ES"/>
        </w:rPr>
        <w:t>) o la cifra que la Honorable Corte estime en equidad</w:t>
      </w:r>
      <w:r w:rsidRPr="006B2A4D">
        <w:rPr>
          <w:rFonts w:eastAsia="Calibri"/>
          <w:sz w:val="20"/>
          <w:szCs w:val="20"/>
          <w:vertAlign w:val="superscript"/>
          <w:lang w:val="es-ES" w:eastAsia="es-ES"/>
        </w:rPr>
        <w:footnoteReference w:id="321"/>
      </w:r>
      <w:r w:rsidR="00B658A3">
        <w:rPr>
          <w:rFonts w:eastAsia="Calibri"/>
          <w:sz w:val="20"/>
          <w:szCs w:val="20"/>
          <w:lang w:val="es-ES" w:eastAsia="es-ES"/>
        </w:rPr>
        <w:t xml:space="preserve">. </w:t>
      </w:r>
    </w:p>
    <w:p w14:paraId="19B1B052" w14:textId="77777777" w:rsidR="00B658A3" w:rsidRDefault="00B658A3" w:rsidP="00C27894">
      <w:pPr>
        <w:widowControl w:val="0"/>
        <w:tabs>
          <w:tab w:val="left" w:pos="567"/>
        </w:tabs>
        <w:adjustRightInd w:val="0"/>
        <w:textAlignment w:val="baseline"/>
        <w:rPr>
          <w:rFonts w:eastAsia="Calibri"/>
          <w:sz w:val="20"/>
          <w:szCs w:val="20"/>
          <w:lang w:val="es-ES" w:eastAsia="es-ES"/>
        </w:rPr>
      </w:pPr>
    </w:p>
    <w:p w14:paraId="50C5EAA4" w14:textId="6026A06E" w:rsidR="00B658A3" w:rsidRPr="00B658A3" w:rsidRDefault="00B658A3" w:rsidP="00C27894">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 xml:space="preserve">Respecto de los daños inmateriales, las representantes señalaron que producto de los hechos del presente caso: i) la señora Blanca Tapia Encina sufrió de una profunda depresión, seguida de cáncer, enfermedad de la cual falleció; ii) la señora </w:t>
      </w:r>
      <w:proofErr w:type="spellStart"/>
      <w:r w:rsidRPr="006B2A4D">
        <w:rPr>
          <w:rFonts w:eastAsia="Calibri"/>
          <w:sz w:val="20"/>
          <w:szCs w:val="20"/>
          <w:lang w:val="es-ES" w:eastAsia="es-ES"/>
        </w:rPr>
        <w:t>Cesia</w:t>
      </w:r>
      <w:proofErr w:type="spellEnd"/>
      <w:r w:rsidRPr="006B2A4D">
        <w:rPr>
          <w:rFonts w:eastAsia="Calibri"/>
          <w:sz w:val="20"/>
          <w:szCs w:val="20"/>
          <w:lang w:val="es-ES" w:eastAsia="es-ES"/>
        </w:rPr>
        <w:t xml:space="preserve"> Poblete Tapia también sufrió de una grave depresión e intentó suicidarse tras la muerte de su padre; iii) el señor Vinicio Marco Poblete Tapia tuvo que asumir el cuidado de su familia, dedicó su tiempo libre a los procesos judiciales y terapias psicológicas lo que provocó que no pudiera obtener un trabajo estable y además, empezó a sufrir problemas graves de salud ya que fue diagnosticado con cáncer y perdió su riñón derecho, y iv) por último, el señor Gonzalo Poblete Tapia, quien padecía de una severa apoplejía desde la infancia, “comenzó a manifestar también síntomas compatibles con un cuadro depresivo como consecuencia del cual se produjo un deterioro general de su estado de salud” y falleció de un infarto en el año 2011. En este sentido, las representantes solicitaron qu</w:t>
      </w:r>
      <w:r w:rsidR="00724CA8">
        <w:rPr>
          <w:rFonts w:eastAsia="Calibri"/>
          <w:sz w:val="20"/>
          <w:szCs w:val="20"/>
          <w:lang w:val="es-ES" w:eastAsia="es-ES"/>
        </w:rPr>
        <w:t>e se otorgue un monto de</w:t>
      </w:r>
      <w:r w:rsidR="0011447C" w:rsidRPr="0011447C">
        <w:rPr>
          <w:rFonts w:eastAsia="Calibri"/>
          <w:sz w:val="20"/>
          <w:szCs w:val="20"/>
          <w:lang w:val="es-ES" w:eastAsia="es-ES"/>
        </w:rPr>
        <w:t xml:space="preserve"> </w:t>
      </w:r>
      <w:r w:rsidR="0011447C" w:rsidRPr="00E17C4C">
        <w:rPr>
          <w:rFonts w:eastAsia="Calibri"/>
          <w:sz w:val="20"/>
          <w:szCs w:val="20"/>
          <w:lang w:val="es-ES" w:eastAsia="es-ES"/>
        </w:rPr>
        <w:t>US$600,000</w:t>
      </w:r>
      <w:r w:rsidR="00724CA8">
        <w:rPr>
          <w:rFonts w:eastAsia="Calibri"/>
          <w:sz w:val="20"/>
          <w:szCs w:val="20"/>
          <w:lang w:val="es-ES" w:eastAsia="es-ES"/>
        </w:rPr>
        <w:t xml:space="preserve"> </w:t>
      </w:r>
      <w:r w:rsidR="00071FF3">
        <w:rPr>
          <w:rFonts w:eastAsia="Calibri"/>
          <w:sz w:val="20"/>
          <w:szCs w:val="20"/>
          <w:lang w:val="es-ES" w:eastAsia="es-ES"/>
        </w:rPr>
        <w:t>(</w:t>
      </w:r>
      <w:r w:rsidR="0011447C">
        <w:rPr>
          <w:rFonts w:eastAsia="Calibri"/>
          <w:sz w:val="20"/>
          <w:szCs w:val="20"/>
          <w:lang w:val="es-ES" w:eastAsia="es-ES"/>
        </w:rPr>
        <w:t>seiscientos mil dólares de los Estados Unidos de Norte América</w:t>
      </w:r>
      <w:r w:rsidR="00071FF3">
        <w:rPr>
          <w:rFonts w:eastAsia="Calibri"/>
          <w:sz w:val="20"/>
          <w:szCs w:val="20"/>
          <w:lang w:val="es-ES" w:eastAsia="es-ES"/>
        </w:rPr>
        <w:t>)</w:t>
      </w:r>
      <w:r w:rsidRPr="006B2A4D">
        <w:rPr>
          <w:rFonts w:eastAsia="Calibri"/>
          <w:sz w:val="20"/>
          <w:szCs w:val="20"/>
          <w:lang w:val="es-ES" w:eastAsia="es-ES"/>
        </w:rPr>
        <w:t xml:space="preserve"> por concepto de daño inmaterial, o, en caso que la Corte no esté de acuerdo con el monto solicitado, que ésta lo determine conforme al principio de equidad.</w:t>
      </w:r>
      <w:r w:rsidR="00071FF3">
        <w:rPr>
          <w:rFonts w:eastAsia="Calibri"/>
          <w:b/>
          <w:sz w:val="20"/>
          <w:szCs w:val="20"/>
          <w:lang w:val="es-ES" w:eastAsia="es-ES"/>
        </w:rPr>
        <w:t xml:space="preserve"> </w:t>
      </w:r>
      <w:r w:rsidRPr="006B2A4D">
        <w:rPr>
          <w:rFonts w:eastAsia="Calibri"/>
          <w:sz w:val="20"/>
          <w:szCs w:val="20"/>
          <w:lang w:val="es-ES" w:eastAsia="es-ES"/>
        </w:rPr>
        <w:t>Del monto solicitado, las representantes solici</w:t>
      </w:r>
      <w:r w:rsidR="00724CA8">
        <w:rPr>
          <w:rFonts w:eastAsia="Calibri"/>
          <w:sz w:val="20"/>
          <w:szCs w:val="20"/>
          <w:lang w:val="es-ES" w:eastAsia="es-ES"/>
        </w:rPr>
        <w:t>taron que se le entregue</w:t>
      </w:r>
      <w:r w:rsidR="0011447C" w:rsidRPr="0011447C">
        <w:rPr>
          <w:rFonts w:eastAsia="Calibri"/>
          <w:sz w:val="20"/>
          <w:szCs w:val="20"/>
          <w:lang w:val="es-ES" w:eastAsia="es-ES"/>
        </w:rPr>
        <w:t xml:space="preserve"> </w:t>
      </w:r>
      <w:r w:rsidR="0011447C" w:rsidRPr="00E17C4C">
        <w:rPr>
          <w:rFonts w:eastAsia="Calibri"/>
          <w:sz w:val="20"/>
          <w:szCs w:val="20"/>
          <w:lang w:val="es-ES" w:eastAsia="es-ES"/>
        </w:rPr>
        <w:t>US$200,000</w:t>
      </w:r>
      <w:r w:rsidR="00724CA8">
        <w:rPr>
          <w:rFonts w:eastAsia="Calibri"/>
          <w:sz w:val="20"/>
          <w:szCs w:val="20"/>
          <w:lang w:val="es-ES" w:eastAsia="es-ES"/>
        </w:rPr>
        <w:t xml:space="preserve"> </w:t>
      </w:r>
      <w:r w:rsidR="00071FF3">
        <w:rPr>
          <w:rFonts w:eastAsia="Calibri"/>
          <w:sz w:val="20"/>
          <w:szCs w:val="20"/>
          <w:lang w:val="es-ES" w:eastAsia="es-ES"/>
        </w:rPr>
        <w:t>(</w:t>
      </w:r>
      <w:r w:rsidR="0011447C">
        <w:rPr>
          <w:rFonts w:eastAsia="Calibri"/>
          <w:sz w:val="20"/>
          <w:szCs w:val="20"/>
          <w:lang w:val="es-ES" w:eastAsia="es-ES"/>
        </w:rPr>
        <w:t xml:space="preserve">doscientos mil dólares de los Estados Unidos de Norte América </w:t>
      </w:r>
      <w:r w:rsidR="00071FF3">
        <w:rPr>
          <w:rFonts w:eastAsia="Calibri"/>
          <w:sz w:val="20"/>
          <w:szCs w:val="20"/>
          <w:lang w:val="es-ES" w:eastAsia="es-ES"/>
        </w:rPr>
        <w:t>)</w:t>
      </w:r>
      <w:r w:rsidRPr="00071FF3">
        <w:rPr>
          <w:rFonts w:eastAsia="Calibri"/>
          <w:sz w:val="20"/>
          <w:lang w:val="es-ES" w:eastAsia="es-ES"/>
        </w:rPr>
        <w:t xml:space="preserve"> al señor Poblete Vilches y que este monto le sea en</w:t>
      </w:r>
      <w:r w:rsidR="00724CA8" w:rsidRPr="00071FF3">
        <w:rPr>
          <w:rFonts w:eastAsia="Calibri"/>
          <w:sz w:val="20"/>
          <w:lang w:val="es-ES" w:eastAsia="es-ES"/>
        </w:rPr>
        <w:t xml:space="preserve">tregado a sus herederos, </w:t>
      </w:r>
      <w:r w:rsidR="0011447C" w:rsidRPr="00E17C4C">
        <w:rPr>
          <w:rFonts w:eastAsia="Calibri"/>
          <w:sz w:val="20"/>
          <w:szCs w:val="20"/>
          <w:lang w:val="es-ES" w:eastAsia="es-ES"/>
        </w:rPr>
        <w:t>US$150,000</w:t>
      </w:r>
      <w:r w:rsidR="0011447C">
        <w:rPr>
          <w:rFonts w:eastAsia="Calibri"/>
          <w:sz w:val="20"/>
          <w:szCs w:val="20"/>
          <w:lang w:val="es-ES" w:eastAsia="es-ES"/>
        </w:rPr>
        <w:t xml:space="preserve"> </w:t>
      </w:r>
      <w:r w:rsidR="00071FF3">
        <w:rPr>
          <w:rFonts w:eastAsia="Calibri"/>
          <w:sz w:val="20"/>
          <w:szCs w:val="20"/>
          <w:lang w:val="es-ES" w:eastAsia="es-ES"/>
        </w:rPr>
        <w:t>(</w:t>
      </w:r>
      <w:r w:rsidR="0011447C">
        <w:rPr>
          <w:rFonts w:eastAsia="Calibri"/>
          <w:sz w:val="20"/>
          <w:szCs w:val="20"/>
          <w:lang w:val="es-ES" w:eastAsia="es-ES"/>
        </w:rPr>
        <w:t>ciento cincuenta mil dólares de los Estados Unidos de Norte América</w:t>
      </w:r>
      <w:r w:rsidR="0011447C" w:rsidDel="0011447C">
        <w:rPr>
          <w:rFonts w:eastAsia="Calibri"/>
          <w:sz w:val="20"/>
          <w:lang w:val="es-ES" w:eastAsia="es-ES"/>
        </w:rPr>
        <w:t xml:space="preserve"> </w:t>
      </w:r>
      <w:r w:rsidR="00071FF3">
        <w:rPr>
          <w:rFonts w:eastAsia="Calibri"/>
          <w:sz w:val="20"/>
          <w:szCs w:val="20"/>
          <w:lang w:val="es-ES" w:eastAsia="es-ES"/>
        </w:rPr>
        <w:t>)</w:t>
      </w:r>
      <w:r w:rsidRPr="00071FF3">
        <w:rPr>
          <w:rFonts w:eastAsia="Calibri"/>
          <w:sz w:val="20"/>
          <w:lang w:val="es-ES" w:eastAsia="es-ES"/>
        </w:rPr>
        <w:t xml:space="preserve"> a la señora Blanca Tapia Encina</w:t>
      </w:r>
      <w:r w:rsidRPr="00071FF3" w:rsidDel="00772CF9">
        <w:rPr>
          <w:rFonts w:eastAsia="Calibri"/>
          <w:sz w:val="20"/>
          <w:lang w:val="es-ES" w:eastAsia="es-ES"/>
        </w:rPr>
        <w:t xml:space="preserve"> </w:t>
      </w:r>
      <w:r w:rsidRPr="00071FF3">
        <w:rPr>
          <w:rFonts w:eastAsia="Calibri"/>
          <w:sz w:val="20"/>
          <w:lang w:val="es-ES" w:eastAsia="es-ES"/>
        </w:rPr>
        <w:t>y que este monto le sea e</w:t>
      </w:r>
      <w:r w:rsidR="00724CA8" w:rsidRPr="00071FF3">
        <w:rPr>
          <w:rFonts w:eastAsia="Calibri"/>
          <w:sz w:val="20"/>
          <w:lang w:val="es-ES" w:eastAsia="es-ES"/>
        </w:rPr>
        <w:t xml:space="preserve">ntregad a sus herederos, </w:t>
      </w:r>
      <w:r w:rsidR="0011447C" w:rsidRPr="00E17C4C">
        <w:rPr>
          <w:rFonts w:eastAsia="Calibri"/>
          <w:sz w:val="20"/>
          <w:szCs w:val="20"/>
          <w:lang w:val="es-ES" w:eastAsia="es-ES"/>
        </w:rPr>
        <w:t>US$125,000</w:t>
      </w:r>
      <w:r w:rsidR="0011447C">
        <w:rPr>
          <w:rFonts w:eastAsia="Calibri"/>
          <w:sz w:val="20"/>
          <w:szCs w:val="20"/>
          <w:lang w:val="es-ES" w:eastAsia="es-ES"/>
        </w:rPr>
        <w:t xml:space="preserve"> </w:t>
      </w:r>
      <w:r w:rsidR="00071FF3">
        <w:rPr>
          <w:rFonts w:eastAsia="Calibri"/>
          <w:sz w:val="20"/>
          <w:szCs w:val="20"/>
          <w:lang w:val="es-ES" w:eastAsia="es-ES"/>
        </w:rPr>
        <w:t>(</w:t>
      </w:r>
      <w:r w:rsidR="0011447C">
        <w:rPr>
          <w:rFonts w:eastAsia="Calibri"/>
          <w:sz w:val="20"/>
          <w:szCs w:val="20"/>
          <w:lang w:val="es-ES" w:eastAsia="es-ES"/>
        </w:rPr>
        <w:t>ciento veinte cinco mil dólares de los Estados Unidos de Norte América</w:t>
      </w:r>
      <w:r w:rsidR="00071FF3">
        <w:rPr>
          <w:rFonts w:eastAsia="Calibri"/>
          <w:sz w:val="20"/>
          <w:szCs w:val="20"/>
          <w:lang w:val="es-ES" w:eastAsia="es-ES"/>
        </w:rPr>
        <w:t>)</w:t>
      </w:r>
      <w:r w:rsidRPr="006B2A4D">
        <w:rPr>
          <w:rFonts w:eastAsia="Calibri"/>
          <w:sz w:val="20"/>
          <w:szCs w:val="20"/>
          <w:lang w:val="es-ES" w:eastAsia="es-ES"/>
        </w:rPr>
        <w:t xml:space="preserve"> a la señora </w:t>
      </w:r>
      <w:proofErr w:type="spellStart"/>
      <w:r w:rsidRPr="006B2A4D">
        <w:rPr>
          <w:rFonts w:eastAsia="Calibri"/>
          <w:sz w:val="20"/>
          <w:szCs w:val="20"/>
          <w:lang w:val="es-ES" w:eastAsia="es-ES"/>
        </w:rPr>
        <w:t>Cesia</w:t>
      </w:r>
      <w:proofErr w:type="spellEnd"/>
      <w:r w:rsidRPr="006B2A4D">
        <w:rPr>
          <w:rFonts w:eastAsia="Calibri"/>
          <w:sz w:val="20"/>
          <w:szCs w:val="20"/>
          <w:lang w:val="es-ES" w:eastAsia="es-ES"/>
        </w:rPr>
        <w:t xml:space="preserve"> Poblete Tapia y</w:t>
      </w:r>
      <w:r w:rsidR="00071FF3">
        <w:rPr>
          <w:rFonts w:eastAsia="Calibri"/>
          <w:sz w:val="20"/>
          <w:szCs w:val="20"/>
          <w:lang w:val="es-ES" w:eastAsia="es-ES"/>
        </w:rPr>
        <w:t xml:space="preserve"> </w:t>
      </w:r>
      <w:r w:rsidR="0011447C" w:rsidRPr="00E17C4C">
        <w:rPr>
          <w:rFonts w:eastAsia="Calibri"/>
          <w:sz w:val="20"/>
          <w:szCs w:val="20"/>
          <w:lang w:val="es-ES" w:eastAsia="es-ES"/>
        </w:rPr>
        <w:t>US$125,000</w:t>
      </w:r>
      <w:r w:rsidRPr="006B2A4D" w:rsidDel="00772CF9">
        <w:rPr>
          <w:rFonts w:eastAsia="Calibri"/>
          <w:sz w:val="20"/>
          <w:szCs w:val="20"/>
          <w:lang w:val="es-ES" w:eastAsia="es-ES"/>
        </w:rPr>
        <w:t xml:space="preserve"> </w:t>
      </w:r>
      <w:r w:rsidR="00071FF3">
        <w:rPr>
          <w:rFonts w:eastAsia="Calibri"/>
          <w:sz w:val="20"/>
          <w:szCs w:val="20"/>
          <w:lang w:val="es-ES" w:eastAsia="es-ES"/>
        </w:rPr>
        <w:t>(</w:t>
      </w:r>
      <w:r w:rsidR="0011447C">
        <w:rPr>
          <w:rFonts w:eastAsia="Calibri"/>
          <w:sz w:val="20"/>
          <w:szCs w:val="20"/>
          <w:lang w:val="es-ES" w:eastAsia="es-ES"/>
        </w:rPr>
        <w:t>ciento veinte cinco mil dólares de los Estados Unidos de Norte América</w:t>
      </w:r>
      <w:r w:rsidR="00071FF3">
        <w:rPr>
          <w:rFonts w:eastAsia="Calibri"/>
          <w:sz w:val="20"/>
          <w:szCs w:val="20"/>
          <w:lang w:val="es-ES" w:eastAsia="es-ES"/>
        </w:rPr>
        <w:t>)</w:t>
      </w:r>
      <w:r w:rsidRPr="006B2A4D">
        <w:rPr>
          <w:rFonts w:eastAsia="Calibri"/>
          <w:sz w:val="20"/>
          <w:szCs w:val="20"/>
          <w:lang w:val="es-ES" w:eastAsia="es-ES"/>
        </w:rPr>
        <w:t xml:space="preserve"> al señor Vinicio Poblete Tapia.</w:t>
      </w:r>
      <w:r w:rsidRPr="006B2A4D" w:rsidDel="00772CF9">
        <w:rPr>
          <w:rFonts w:eastAsia="Calibri"/>
          <w:sz w:val="20"/>
          <w:szCs w:val="20"/>
          <w:lang w:val="es-ES" w:eastAsia="es-ES"/>
        </w:rPr>
        <w:t xml:space="preserve"> </w:t>
      </w:r>
      <w:r w:rsidRPr="006B2A4D">
        <w:rPr>
          <w:rFonts w:eastAsia="Calibri"/>
          <w:sz w:val="20"/>
          <w:szCs w:val="20"/>
          <w:lang w:val="es-ES" w:eastAsia="es-ES"/>
        </w:rPr>
        <w:t xml:space="preserve"> </w:t>
      </w:r>
    </w:p>
    <w:p w14:paraId="53C77FE7" w14:textId="77777777" w:rsidR="006B2A4D" w:rsidRPr="006B2A4D" w:rsidRDefault="006B2A4D" w:rsidP="006B2A4D">
      <w:pPr>
        <w:widowControl w:val="0"/>
        <w:tabs>
          <w:tab w:val="left" w:pos="567"/>
          <w:tab w:val="num" w:pos="12305"/>
        </w:tabs>
        <w:adjustRightInd w:val="0"/>
        <w:textAlignment w:val="baseline"/>
        <w:rPr>
          <w:rFonts w:eastAsia="Calibri"/>
          <w:sz w:val="20"/>
          <w:szCs w:val="20"/>
          <w:lang w:val="es-ES" w:eastAsia="es-ES"/>
        </w:rPr>
      </w:pPr>
    </w:p>
    <w:p w14:paraId="27829118" w14:textId="4DEE0232" w:rsidR="006B2A4D"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 xml:space="preserve">El </w:t>
      </w:r>
      <w:r w:rsidRPr="006B2A4D">
        <w:rPr>
          <w:rFonts w:eastAsia="Calibri"/>
          <w:b/>
          <w:i/>
          <w:sz w:val="20"/>
          <w:szCs w:val="20"/>
          <w:lang w:val="es-ES" w:eastAsia="es-ES"/>
        </w:rPr>
        <w:t>Estado</w:t>
      </w:r>
      <w:r w:rsidRPr="006B2A4D">
        <w:rPr>
          <w:rFonts w:eastAsia="Calibri"/>
          <w:sz w:val="20"/>
          <w:szCs w:val="20"/>
          <w:lang w:val="es-ES" w:eastAsia="es-ES"/>
        </w:rPr>
        <w:t xml:space="preserve"> señaló que, respecto al daño moral, el dolor y sufrimiento indicado por las representantes tendrían que ser consecuencia de un ilícito internacional. En cuanto a la muerte del señor Poblete Vilches, el Estado señaló que no se pudo comprobar que su muerte fuese resultado de conducta negligente imputable al Estado. En este sentido, el Estado sostuvo que debido a la falta de un nexo causal la Corte no podría considerar la muerte del señor Poblete Vilches como un hecho del cual podría surgir la obligación para el Estado de reparar. Agregó que la Corte tampoco podría considerar la muerte de la señora Blanca Tapia Encina o del señor Gonzalo Poblete Tapia, así como los problemas de salud de los que padecieron </w:t>
      </w:r>
      <w:proofErr w:type="spellStart"/>
      <w:r w:rsidRPr="006B2A4D">
        <w:rPr>
          <w:rFonts w:eastAsia="Calibri"/>
          <w:sz w:val="20"/>
          <w:szCs w:val="20"/>
          <w:lang w:val="es-ES" w:eastAsia="es-ES"/>
        </w:rPr>
        <w:t>Cesia</w:t>
      </w:r>
      <w:proofErr w:type="spellEnd"/>
      <w:r w:rsidRPr="006B2A4D">
        <w:rPr>
          <w:rFonts w:eastAsia="Calibri"/>
          <w:sz w:val="20"/>
          <w:szCs w:val="20"/>
          <w:lang w:val="es-ES" w:eastAsia="es-ES"/>
        </w:rPr>
        <w:t xml:space="preserve"> Poblete Tapia y Vinicio Poblete Tapia posteriormente a la muerte de su padre dado que éstos tuvieron causas naturales, es decir, que no resultaron de hechos imputables al Estado. Respecto al daño material, el Estado señaló que en relación con los salarios dejados de percibir por el señor Poblete Vilches, las representantes no demostraron la existencia de un nexo causal y que su muerte fuese consecuencia directa de la conducta negligente por parte del Estado.</w:t>
      </w:r>
      <w:r w:rsidR="00705A0B">
        <w:rPr>
          <w:rFonts w:eastAsia="Calibri"/>
          <w:sz w:val="20"/>
          <w:szCs w:val="20"/>
          <w:lang w:val="es-ES" w:eastAsia="es-ES"/>
        </w:rPr>
        <w:t xml:space="preserve"> </w:t>
      </w:r>
      <w:r w:rsidRPr="006B2A4D">
        <w:rPr>
          <w:rFonts w:eastAsia="Calibri"/>
          <w:sz w:val="20"/>
          <w:szCs w:val="20"/>
          <w:lang w:val="es-ES" w:eastAsia="es-ES"/>
        </w:rPr>
        <w:t xml:space="preserve">El Estado añadió que por las mismas razones anteriormente señaladas, tampoco existe un nexo causal entre los daños reclamados por gastos relativos a los servicios de funeral, entierros y servicios religiosos incurridos tras las muertes del señor Poblete Vilches, de la señora Blanca Tapia Encina y del señor Gonzalo Poblete Vilches ya que estas no están directamente relacionadas con los hechos del presente caso y se debieron a causas naturales. </w:t>
      </w:r>
    </w:p>
    <w:p w14:paraId="570506D5" w14:textId="77777777" w:rsidR="006B2A4D" w:rsidRPr="006B2A4D" w:rsidRDefault="006B2A4D" w:rsidP="006B2A4D">
      <w:pPr>
        <w:widowControl w:val="0"/>
        <w:tabs>
          <w:tab w:val="left" w:pos="567"/>
          <w:tab w:val="num" w:pos="12305"/>
        </w:tabs>
        <w:adjustRightInd w:val="0"/>
        <w:textAlignment w:val="baseline"/>
        <w:rPr>
          <w:rFonts w:eastAsia="Calibri"/>
          <w:sz w:val="20"/>
          <w:szCs w:val="20"/>
          <w:lang w:val="es-ES" w:eastAsia="es-ES"/>
        </w:rPr>
      </w:pPr>
    </w:p>
    <w:p w14:paraId="76E3ED4C" w14:textId="77777777" w:rsidR="006B2A4D" w:rsidRPr="00164C05" w:rsidRDefault="006B2A4D" w:rsidP="00AD229D">
      <w:pPr>
        <w:pStyle w:val="Heading3"/>
        <w:rPr>
          <w:b/>
        </w:rPr>
      </w:pPr>
      <w:bookmarkStart w:id="131" w:name="_Toc513644496"/>
      <w:r w:rsidRPr="00164C05">
        <w:rPr>
          <w:b/>
        </w:rPr>
        <w:t>1. Daño Material</w:t>
      </w:r>
      <w:bookmarkEnd w:id="131"/>
    </w:p>
    <w:p w14:paraId="2113673C" w14:textId="77777777" w:rsidR="006B2A4D" w:rsidRPr="006B2A4D" w:rsidRDefault="006B2A4D" w:rsidP="006B2A4D">
      <w:pPr>
        <w:rPr>
          <w:rFonts w:eastAsia="Calibri"/>
          <w:i/>
          <w:sz w:val="20"/>
          <w:szCs w:val="20"/>
          <w:lang w:val="es-ES" w:eastAsia="es-ES"/>
        </w:rPr>
      </w:pPr>
    </w:p>
    <w:p w14:paraId="006C2E8F" w14:textId="77777777" w:rsidR="006B2A4D" w:rsidRDefault="006B2A4D" w:rsidP="006B2A4D">
      <w:pPr>
        <w:widowControl w:val="0"/>
        <w:numPr>
          <w:ilvl w:val="0"/>
          <w:numId w:val="2"/>
        </w:numPr>
        <w:tabs>
          <w:tab w:val="left" w:pos="567"/>
          <w:tab w:val="num" w:pos="1569"/>
          <w:tab w:val="num" w:pos="12305"/>
        </w:tabs>
        <w:adjustRightInd w:val="0"/>
        <w:ind w:left="0" w:firstLine="0"/>
        <w:textAlignment w:val="baseline"/>
        <w:rPr>
          <w:rFonts w:eastAsia="Calibri"/>
          <w:sz w:val="20"/>
          <w:szCs w:val="20"/>
          <w:lang w:val="es-ES" w:eastAsia="es-ES"/>
        </w:rPr>
      </w:pPr>
      <w:r w:rsidRPr="006B2A4D">
        <w:rPr>
          <w:rFonts w:eastAsia="Calibri" w:cs="Verdana"/>
          <w:sz w:val="20"/>
          <w:szCs w:val="20"/>
          <w:lang w:val="es-ES" w:eastAsia="es-ES" w:bidi="en-US"/>
        </w:rPr>
        <w:t xml:space="preserve">La Corte ha desarrollado en su jurisprudencia el concepto de daño material y </w:t>
      </w:r>
      <w:r w:rsidRPr="006B2A4D">
        <w:rPr>
          <w:rFonts w:eastAsia="Calibri"/>
          <w:bCs/>
          <w:sz w:val="20"/>
          <w:szCs w:val="20"/>
          <w:lang w:val="es-ES" w:eastAsia="es-ES"/>
        </w:rPr>
        <w:t>ha establecido que supone “la pérdida o detrimento de los ingresos de las víctimas, los gastos efectuados con motivo de los hechos y las consecuencias de carácter pecuniario que tengan un nexo causal con los hechos del caso”</w:t>
      </w:r>
      <w:r w:rsidRPr="006B2A4D">
        <w:rPr>
          <w:rFonts w:eastAsia="Calibri"/>
          <w:bCs/>
          <w:sz w:val="20"/>
          <w:szCs w:val="20"/>
          <w:vertAlign w:val="superscript"/>
          <w:lang w:val="es-ES" w:eastAsia="es-ES"/>
        </w:rPr>
        <w:footnoteReference w:id="322"/>
      </w:r>
      <w:r w:rsidRPr="006B2A4D">
        <w:rPr>
          <w:rFonts w:eastAsia="Calibri"/>
          <w:bCs/>
          <w:sz w:val="20"/>
          <w:szCs w:val="20"/>
          <w:lang w:val="es-ES" w:eastAsia="es-ES"/>
        </w:rPr>
        <w:t xml:space="preserve"> </w:t>
      </w:r>
      <w:r w:rsidRPr="006B2A4D">
        <w:rPr>
          <w:rFonts w:eastAsia="Calibri"/>
          <w:sz w:val="20"/>
          <w:szCs w:val="20"/>
          <w:lang w:val="es-ES" w:eastAsia="es-ES"/>
        </w:rPr>
        <w:t>En razón de ello, la Corte determinará la pertinencia de otorgar reparaciones pecuniarias y los montos respectivos debidos en este caso.</w:t>
      </w:r>
    </w:p>
    <w:p w14:paraId="5142DB8C" w14:textId="77777777" w:rsidR="006B2A4D" w:rsidRPr="006B2A4D" w:rsidRDefault="006B2A4D" w:rsidP="006B2A4D">
      <w:pPr>
        <w:widowControl w:val="0"/>
        <w:tabs>
          <w:tab w:val="left" w:pos="567"/>
          <w:tab w:val="num" w:pos="12305"/>
        </w:tabs>
        <w:adjustRightInd w:val="0"/>
        <w:textAlignment w:val="baseline"/>
        <w:rPr>
          <w:rFonts w:eastAsia="Calibri"/>
          <w:sz w:val="20"/>
          <w:szCs w:val="20"/>
          <w:lang w:val="es-ES" w:eastAsia="es-ES"/>
        </w:rPr>
      </w:pPr>
    </w:p>
    <w:p w14:paraId="0CED5B29" w14:textId="3B12E837" w:rsidR="006B2A4D" w:rsidRPr="00AA65C5" w:rsidRDefault="006B2A4D"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 xml:space="preserve">Respecto del </w:t>
      </w:r>
      <w:r w:rsidRPr="006B2A4D">
        <w:rPr>
          <w:rFonts w:eastAsia="Calibri"/>
          <w:i/>
          <w:sz w:val="20"/>
          <w:szCs w:val="20"/>
          <w:lang w:val="es-ES" w:eastAsia="es-ES"/>
        </w:rPr>
        <w:t>lucro cesante</w:t>
      </w:r>
      <w:r w:rsidRPr="006B2A4D">
        <w:rPr>
          <w:rFonts w:eastAsia="Calibri"/>
          <w:sz w:val="20"/>
          <w:szCs w:val="20"/>
          <w:lang w:val="es-ES" w:eastAsia="es-ES"/>
        </w:rPr>
        <w:t xml:space="preserve">, la Corte observa que las representantes no presentaron prueba concreta sobre los salarios dejados de percibir por el señor Poblete Vilches, dado que el puesto que ocupaba era de carácter informal y sólo se cuenta con el salario aproximado indicado por sus hijos que consta de </w:t>
      </w:r>
      <w:r w:rsidRPr="006B2A4D">
        <w:rPr>
          <w:rFonts w:eastAsia="Calibri"/>
          <w:sz w:val="20"/>
          <w:szCs w:val="20"/>
          <w:lang w:val="es-CL" w:eastAsia="es-ES"/>
        </w:rPr>
        <w:t>500 mil pesos chilenos al mes.</w:t>
      </w:r>
      <w:r w:rsidRPr="006B2A4D">
        <w:rPr>
          <w:rFonts w:eastAsia="Calibri"/>
          <w:sz w:val="20"/>
          <w:szCs w:val="20"/>
          <w:lang w:val="es-ES" w:eastAsia="es-ES"/>
        </w:rPr>
        <w:t xml:space="preserve"> En virtud de que el Estado fue </w:t>
      </w:r>
      <w:r w:rsidRPr="006B2A4D">
        <w:rPr>
          <w:rFonts w:eastAsia="Calibri"/>
          <w:sz w:val="20"/>
          <w:lang w:val="es-ES" w:eastAsia="es-ES"/>
        </w:rPr>
        <w:t xml:space="preserve">encontrado responsable por violaciones </w:t>
      </w:r>
      <w:r w:rsidRPr="00AB1E03">
        <w:rPr>
          <w:rFonts w:eastAsia="Calibri"/>
          <w:sz w:val="20"/>
          <w:lang w:val="es-ES" w:eastAsia="es-ES"/>
        </w:rPr>
        <w:t xml:space="preserve">a </w:t>
      </w:r>
      <w:r w:rsidR="00497952" w:rsidRPr="00B1523A">
        <w:rPr>
          <w:rFonts w:eastAsia="Calibri"/>
          <w:sz w:val="20"/>
          <w:szCs w:val="20"/>
          <w:lang w:val="es-ES" w:eastAsia="es-ES"/>
        </w:rPr>
        <w:t>los artículo 26, 4, 5, 13, 11 y 7 de la Convención</w:t>
      </w:r>
      <w:r w:rsidRPr="00AB1E03">
        <w:rPr>
          <w:rFonts w:eastAsia="Calibri"/>
          <w:sz w:val="20"/>
          <w:lang w:val="es-ES" w:eastAsia="es-ES"/>
        </w:rPr>
        <w:t>,</w:t>
      </w:r>
      <w:r w:rsidRPr="006B2A4D">
        <w:rPr>
          <w:rFonts w:eastAsia="Calibri"/>
          <w:sz w:val="20"/>
          <w:lang w:val="es-ES" w:eastAsia="es-ES"/>
        </w:rPr>
        <w:t xml:space="preserve"> y tomando en consideración </w:t>
      </w:r>
      <w:r w:rsidRPr="00B1523A">
        <w:rPr>
          <w:rFonts w:eastAsia="Calibri"/>
          <w:sz w:val="20"/>
          <w:szCs w:val="20"/>
          <w:lang w:val="es-ES" w:eastAsia="es-ES"/>
        </w:rPr>
        <w:t>la</w:t>
      </w:r>
      <w:r w:rsidR="00497952" w:rsidRPr="00B1523A">
        <w:rPr>
          <w:rFonts w:eastAsia="Calibri"/>
          <w:sz w:val="20"/>
          <w:szCs w:val="20"/>
          <w:lang w:val="es-ES" w:eastAsia="es-ES"/>
        </w:rPr>
        <w:t>s condiciones particulares</w:t>
      </w:r>
      <w:r w:rsidR="00497952" w:rsidRPr="00AB1E03">
        <w:rPr>
          <w:rFonts w:eastAsia="Calibri"/>
          <w:b/>
          <w:sz w:val="20"/>
          <w:szCs w:val="20"/>
          <w:lang w:val="es-ES" w:eastAsia="es-ES"/>
        </w:rPr>
        <w:t xml:space="preserve"> </w:t>
      </w:r>
      <w:r w:rsidR="00497952" w:rsidRPr="00B1523A">
        <w:rPr>
          <w:rFonts w:eastAsia="Calibri"/>
          <w:sz w:val="20"/>
          <w:szCs w:val="20"/>
          <w:lang w:val="es-ES" w:eastAsia="es-ES"/>
        </w:rPr>
        <w:t>del</w:t>
      </w:r>
      <w:r w:rsidRPr="006B2A4D">
        <w:rPr>
          <w:rFonts w:eastAsia="Calibri"/>
          <w:sz w:val="20"/>
          <w:szCs w:val="20"/>
          <w:lang w:val="es-ES" w:eastAsia="es-ES"/>
        </w:rPr>
        <w:t xml:space="preserve"> señor Poblete Vilches, la Corte dispone que el Estado debe </w:t>
      </w:r>
      <w:r w:rsidRPr="00AA65C5">
        <w:rPr>
          <w:rFonts w:eastAsia="Calibri"/>
          <w:sz w:val="20"/>
          <w:szCs w:val="20"/>
          <w:lang w:val="es-ES" w:eastAsia="es-ES"/>
        </w:rPr>
        <w:t xml:space="preserve">pagar, por concepto de indemnización compensatoria con motivo del lucro cesante, la suma de </w:t>
      </w:r>
      <w:r w:rsidR="00F24D4D" w:rsidRPr="007E5CD5">
        <w:rPr>
          <w:rFonts w:eastAsia="Calibri"/>
          <w:sz w:val="20"/>
          <w:szCs w:val="20"/>
          <w:lang w:val="es-ES" w:eastAsia="es-ES"/>
        </w:rPr>
        <w:t xml:space="preserve">US $ </w:t>
      </w:r>
      <w:r w:rsidR="00F377B4" w:rsidRPr="00B1523A">
        <w:rPr>
          <w:rFonts w:eastAsia="Calibri"/>
          <w:sz w:val="20"/>
          <w:szCs w:val="20"/>
          <w:lang w:val="es-ES" w:eastAsia="es-ES"/>
        </w:rPr>
        <w:t>10,000</w:t>
      </w:r>
      <w:r w:rsidRPr="007E5CD5">
        <w:rPr>
          <w:rFonts w:eastAsia="Calibri"/>
          <w:sz w:val="20"/>
          <w:szCs w:val="20"/>
          <w:lang w:val="es-ES" w:eastAsia="es-ES"/>
        </w:rPr>
        <w:t xml:space="preserve"> </w:t>
      </w:r>
      <w:r w:rsidR="00F24D4D" w:rsidRPr="00AA65C5">
        <w:rPr>
          <w:rFonts w:eastAsia="Calibri"/>
          <w:sz w:val="20"/>
          <w:szCs w:val="20"/>
          <w:lang w:val="es-ES" w:eastAsia="es-ES"/>
        </w:rPr>
        <w:t xml:space="preserve"> </w:t>
      </w:r>
      <w:r w:rsidRPr="00AA65C5">
        <w:rPr>
          <w:rFonts w:eastAsia="Calibri"/>
          <w:sz w:val="20"/>
          <w:szCs w:val="20"/>
          <w:lang w:val="es-ES" w:eastAsia="es-ES"/>
        </w:rPr>
        <w:t>(</w:t>
      </w:r>
      <w:r w:rsidR="00F24D4D" w:rsidRPr="00AA65C5">
        <w:rPr>
          <w:rFonts w:eastAsia="Calibri"/>
          <w:sz w:val="20"/>
          <w:szCs w:val="20"/>
          <w:lang w:val="es-ES" w:eastAsia="es-ES"/>
        </w:rPr>
        <w:t xml:space="preserve">diez mil </w:t>
      </w:r>
      <w:r w:rsidRPr="00AA65C5">
        <w:rPr>
          <w:rFonts w:eastAsia="Calibri"/>
          <w:sz w:val="20"/>
          <w:szCs w:val="20"/>
          <w:lang w:val="es-ES" w:eastAsia="es-ES"/>
        </w:rPr>
        <w:t>dólares de los Estados Unidos de América).</w:t>
      </w:r>
    </w:p>
    <w:p w14:paraId="08CEF5E9" w14:textId="77777777" w:rsidR="006B2A4D" w:rsidRPr="007E5CD5" w:rsidRDefault="006B2A4D" w:rsidP="006B2A4D">
      <w:pPr>
        <w:widowControl w:val="0"/>
        <w:tabs>
          <w:tab w:val="left" w:pos="567"/>
          <w:tab w:val="num" w:pos="1569"/>
          <w:tab w:val="num" w:pos="12305"/>
        </w:tabs>
        <w:adjustRightInd w:val="0"/>
        <w:textAlignment w:val="baseline"/>
        <w:rPr>
          <w:rFonts w:eastAsia="Calibri"/>
          <w:sz w:val="20"/>
          <w:szCs w:val="20"/>
          <w:lang w:val="es-ES" w:eastAsia="es-ES"/>
        </w:rPr>
      </w:pPr>
      <w:r w:rsidRPr="007E5CD5">
        <w:rPr>
          <w:rFonts w:eastAsia="Calibri"/>
          <w:sz w:val="20"/>
          <w:szCs w:val="20"/>
          <w:lang w:val="es-ES" w:eastAsia="es-ES"/>
        </w:rPr>
        <w:t xml:space="preserve"> </w:t>
      </w:r>
    </w:p>
    <w:p w14:paraId="06BCA019" w14:textId="3B56DB76" w:rsidR="006B2A4D" w:rsidRPr="007E5CD5" w:rsidRDefault="006B2A4D"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s-ES" w:eastAsia="es-ES"/>
        </w:rPr>
      </w:pPr>
      <w:r w:rsidRPr="007E5CD5">
        <w:rPr>
          <w:rFonts w:eastAsia="Calibri"/>
          <w:sz w:val="20"/>
          <w:szCs w:val="20"/>
          <w:lang w:val="es-ES" w:eastAsia="es-ES"/>
        </w:rPr>
        <w:t>Por otra parte, la Corte observa que no se acreditó en el capítulo correspondiente (</w:t>
      </w:r>
      <w:r w:rsidR="00062586" w:rsidRPr="007E5CD5">
        <w:rPr>
          <w:rFonts w:eastAsia="Calibri"/>
          <w:i/>
          <w:sz w:val="20"/>
          <w:szCs w:val="20"/>
          <w:lang w:val="es-ES" w:eastAsia="es-ES"/>
        </w:rPr>
        <w:t>supra</w:t>
      </w:r>
      <w:r w:rsidR="00062586" w:rsidRPr="007E5CD5">
        <w:rPr>
          <w:rFonts w:eastAsia="Calibri"/>
          <w:sz w:val="20"/>
          <w:szCs w:val="20"/>
          <w:lang w:val="es-ES" w:eastAsia="es-ES"/>
        </w:rPr>
        <w:t xml:space="preserve"> párr</w:t>
      </w:r>
      <w:r w:rsidR="00BF62C7">
        <w:rPr>
          <w:rFonts w:eastAsia="Calibri"/>
          <w:sz w:val="20"/>
          <w:szCs w:val="20"/>
          <w:lang w:val="es-ES" w:eastAsia="es-ES"/>
        </w:rPr>
        <w:t xml:space="preserve">. </w:t>
      </w:r>
      <w:r w:rsidR="00541592">
        <w:rPr>
          <w:rFonts w:eastAsia="Calibri"/>
          <w:sz w:val="20"/>
          <w:szCs w:val="20"/>
          <w:lang w:val="es-ES" w:eastAsia="es-ES"/>
        </w:rPr>
        <w:t>20</w:t>
      </w:r>
      <w:r w:rsidR="00BF62C7" w:rsidRPr="003F5FC6">
        <w:rPr>
          <w:rFonts w:eastAsia="Calibri"/>
          <w:sz w:val="20"/>
          <w:szCs w:val="20"/>
          <w:lang w:val="es-ES" w:eastAsia="es-ES"/>
        </w:rPr>
        <w:t>7</w:t>
      </w:r>
      <w:r w:rsidRPr="007E5CD5">
        <w:rPr>
          <w:rFonts w:eastAsia="Calibri"/>
          <w:sz w:val="20"/>
          <w:szCs w:val="20"/>
          <w:lang w:val="es-ES" w:eastAsia="es-ES"/>
        </w:rPr>
        <w:t xml:space="preserve">) las violaciones derivadas de la muerte de la señora Blanca Margarita Tapia Encina y Gonzalo Poblete Tapia por lo que no se otorgará un rubro por lucro cesante o daño emergente por estos hechos.  </w:t>
      </w:r>
    </w:p>
    <w:p w14:paraId="0D569841" w14:textId="77777777" w:rsidR="006B2A4D" w:rsidRPr="007E5CD5" w:rsidRDefault="006B2A4D" w:rsidP="006B2A4D">
      <w:pPr>
        <w:widowControl w:val="0"/>
        <w:tabs>
          <w:tab w:val="left" w:pos="567"/>
          <w:tab w:val="num" w:pos="1569"/>
          <w:tab w:val="num" w:pos="12305"/>
        </w:tabs>
        <w:adjustRightInd w:val="0"/>
        <w:textAlignment w:val="baseline"/>
        <w:rPr>
          <w:rFonts w:eastAsia="Calibri"/>
          <w:sz w:val="20"/>
          <w:szCs w:val="20"/>
          <w:lang w:val="es-ES" w:eastAsia="es-ES"/>
        </w:rPr>
      </w:pPr>
    </w:p>
    <w:p w14:paraId="4E1BBFCB" w14:textId="48FD4EAC" w:rsidR="006B2A4D" w:rsidRPr="00AA65C5" w:rsidRDefault="006B2A4D"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eastAsia="es-ES"/>
        </w:rPr>
      </w:pPr>
      <w:r w:rsidRPr="007E5CD5">
        <w:rPr>
          <w:rFonts w:eastAsia="Calibri"/>
          <w:sz w:val="20"/>
          <w:szCs w:val="20"/>
          <w:lang w:val="es-ES" w:eastAsia="es-ES"/>
        </w:rPr>
        <w:t xml:space="preserve">Respecto del </w:t>
      </w:r>
      <w:r w:rsidRPr="007E5CD5">
        <w:rPr>
          <w:rFonts w:eastAsia="Calibri"/>
          <w:i/>
          <w:sz w:val="20"/>
          <w:szCs w:val="20"/>
          <w:lang w:val="es-ES" w:eastAsia="es-ES"/>
        </w:rPr>
        <w:t>daño emergente</w:t>
      </w:r>
      <w:r w:rsidRPr="007E5CD5">
        <w:rPr>
          <w:rFonts w:eastAsia="Calibri"/>
          <w:sz w:val="20"/>
          <w:szCs w:val="20"/>
          <w:lang w:val="es-ES" w:eastAsia="es-ES"/>
        </w:rPr>
        <w:t xml:space="preserve">, la Corte constata que derivado de la muerte del señor Poblete Vilches y de las violaciones declaradas en </w:t>
      </w:r>
      <w:r w:rsidR="00AA65C5" w:rsidRPr="007E5CD5">
        <w:rPr>
          <w:rFonts w:eastAsia="Calibri"/>
          <w:sz w:val="20"/>
          <w:szCs w:val="20"/>
          <w:lang w:val="es-ES" w:eastAsia="es-ES"/>
        </w:rPr>
        <w:t>el</w:t>
      </w:r>
      <w:r w:rsidRPr="007E5CD5">
        <w:rPr>
          <w:rFonts w:eastAsia="Calibri"/>
          <w:sz w:val="20"/>
          <w:szCs w:val="20"/>
          <w:lang w:val="es-ES" w:eastAsia="es-ES"/>
        </w:rPr>
        <w:t xml:space="preserve"> capítulo</w:t>
      </w:r>
      <w:r w:rsidRPr="007E5CD5">
        <w:rPr>
          <w:rFonts w:eastAsia="Calibri"/>
          <w:sz w:val="20"/>
          <w:lang w:val="es-ES" w:eastAsia="es-ES"/>
        </w:rPr>
        <w:t xml:space="preserve"> </w:t>
      </w:r>
      <w:r w:rsidR="00AA65C5" w:rsidRPr="00B1523A">
        <w:rPr>
          <w:rFonts w:eastAsia="Calibri"/>
          <w:sz w:val="20"/>
          <w:szCs w:val="20"/>
          <w:lang w:val="es-ES" w:eastAsia="es-ES"/>
        </w:rPr>
        <w:t>VII</w:t>
      </w:r>
      <w:r w:rsidRPr="00AA65C5">
        <w:rPr>
          <w:rFonts w:eastAsia="Calibri"/>
          <w:sz w:val="20"/>
          <w:szCs w:val="20"/>
          <w:lang w:val="es-ES" w:eastAsia="es-ES"/>
        </w:rPr>
        <w:t xml:space="preserve"> de la presente Sentencia, se realizaron gastos relacionados con el transporte en ambulancia del señor Poblete Vilches, y su posterior funeral, entierro y servicios religiosos</w:t>
      </w:r>
      <w:r w:rsidRPr="00AA65C5">
        <w:rPr>
          <w:rFonts w:eastAsia="Calibri"/>
          <w:sz w:val="20"/>
          <w:szCs w:val="20"/>
          <w:vertAlign w:val="superscript"/>
          <w:lang w:val="es-ES" w:eastAsia="es-ES"/>
        </w:rPr>
        <w:footnoteReference w:id="323"/>
      </w:r>
      <w:r w:rsidRPr="00AA65C5">
        <w:rPr>
          <w:rFonts w:eastAsia="Calibri"/>
          <w:sz w:val="20"/>
          <w:szCs w:val="20"/>
          <w:lang w:val="es-ES" w:eastAsia="es-ES"/>
        </w:rPr>
        <w:t xml:space="preserve">. Este Tribunal entiende que debido al incendio sufrido en la vivienda familiar, algunos comprobantes fueron destruidos o se han perdido con el transcurso del tiempo. </w:t>
      </w:r>
      <w:r w:rsidRPr="00AA65C5">
        <w:rPr>
          <w:rFonts w:eastAsia="Calibri"/>
          <w:sz w:val="20"/>
          <w:szCs w:val="20"/>
          <w:lang w:val="es-MX" w:eastAsia="es-ES"/>
        </w:rPr>
        <w:t xml:space="preserve">En razón de lo anterior, </w:t>
      </w:r>
      <w:r w:rsidRPr="007E5CD5">
        <w:rPr>
          <w:rFonts w:eastAsia="Calibri"/>
          <w:sz w:val="20"/>
          <w:szCs w:val="20"/>
          <w:lang w:val="es-MX" w:eastAsia="es-ES"/>
        </w:rPr>
        <w:t xml:space="preserve">la Corte estima que se le otorgue un monto razonable de </w:t>
      </w:r>
      <w:r w:rsidRPr="00D83D35">
        <w:rPr>
          <w:rFonts w:eastAsia="Calibri"/>
          <w:sz w:val="20"/>
          <w:szCs w:val="20"/>
          <w:lang w:eastAsia="es-ES"/>
        </w:rPr>
        <w:t>US $</w:t>
      </w:r>
      <w:r w:rsidR="002C4EDE" w:rsidRPr="00B1523A">
        <w:rPr>
          <w:rFonts w:eastAsia="Calibri"/>
          <w:sz w:val="20"/>
          <w:szCs w:val="20"/>
          <w:lang w:eastAsia="es-ES"/>
        </w:rPr>
        <w:t>1</w:t>
      </w:r>
      <w:r w:rsidR="00C32C1D" w:rsidRPr="00B1523A">
        <w:rPr>
          <w:rFonts w:eastAsia="Calibri"/>
          <w:sz w:val="20"/>
          <w:szCs w:val="20"/>
          <w:lang w:eastAsia="es-ES"/>
        </w:rPr>
        <w:t>,</w:t>
      </w:r>
      <w:r w:rsidR="00F377B4" w:rsidRPr="00B1523A">
        <w:rPr>
          <w:rFonts w:eastAsia="Calibri"/>
          <w:sz w:val="20"/>
          <w:szCs w:val="20"/>
          <w:lang w:eastAsia="es-ES"/>
        </w:rPr>
        <w:t>000</w:t>
      </w:r>
      <w:r w:rsidRPr="007E5CD5">
        <w:rPr>
          <w:rFonts w:eastAsia="Calibri"/>
          <w:b/>
          <w:sz w:val="20"/>
          <w:szCs w:val="20"/>
          <w:lang w:eastAsia="es-ES"/>
        </w:rPr>
        <w:t xml:space="preserve"> </w:t>
      </w:r>
      <w:r w:rsidR="00F24D4D" w:rsidRPr="007E5CD5">
        <w:rPr>
          <w:rFonts w:eastAsia="Calibri"/>
          <w:sz w:val="20"/>
          <w:szCs w:val="20"/>
          <w:lang w:eastAsia="es-ES"/>
        </w:rPr>
        <w:t>(</w:t>
      </w:r>
      <w:r w:rsidR="00F24D4D" w:rsidRPr="00AA65C5">
        <w:rPr>
          <w:rFonts w:eastAsia="Calibri"/>
          <w:sz w:val="20"/>
          <w:szCs w:val="20"/>
          <w:lang w:eastAsia="es-ES"/>
        </w:rPr>
        <w:t xml:space="preserve">mil </w:t>
      </w:r>
      <w:r w:rsidRPr="00AA65C5">
        <w:rPr>
          <w:rFonts w:eastAsia="Calibri"/>
          <w:sz w:val="20"/>
          <w:szCs w:val="20"/>
          <w:lang w:eastAsia="es-ES"/>
        </w:rPr>
        <w:t xml:space="preserve">dólares de los Estados Unidos de América). </w:t>
      </w:r>
    </w:p>
    <w:p w14:paraId="1999A1D8" w14:textId="77777777" w:rsidR="00AE16A7" w:rsidRDefault="00AE16A7" w:rsidP="0059117C">
      <w:pPr>
        <w:widowControl w:val="0"/>
        <w:tabs>
          <w:tab w:val="left" w:pos="567"/>
          <w:tab w:val="num" w:pos="12305"/>
        </w:tabs>
        <w:adjustRightInd w:val="0"/>
        <w:textAlignment w:val="baseline"/>
        <w:rPr>
          <w:rFonts w:eastAsia="Calibri"/>
          <w:sz w:val="20"/>
          <w:szCs w:val="20"/>
          <w:lang w:eastAsia="es-ES"/>
        </w:rPr>
      </w:pPr>
    </w:p>
    <w:p w14:paraId="5D310476" w14:textId="62751AC4" w:rsidR="002E620D" w:rsidRDefault="00AE16A7" w:rsidP="002A64C9">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s-ES" w:eastAsia="es-ES"/>
        </w:rPr>
      </w:pPr>
      <w:r>
        <w:rPr>
          <w:rFonts w:eastAsia="Calibri"/>
          <w:sz w:val="20"/>
          <w:szCs w:val="20"/>
          <w:lang w:val="es-ES" w:eastAsia="es-ES"/>
        </w:rPr>
        <w:t>Los montos establecidos por la Corte, por el rubro de lucro cesante y daño emergente, deberán ser entregados</w:t>
      </w:r>
      <w:r w:rsidR="002E620D">
        <w:rPr>
          <w:rFonts w:eastAsia="Calibri"/>
          <w:sz w:val="20"/>
          <w:szCs w:val="20"/>
          <w:lang w:val="es-ES" w:eastAsia="es-ES"/>
        </w:rPr>
        <w:t xml:space="preserve"> </w:t>
      </w:r>
      <w:r>
        <w:rPr>
          <w:rFonts w:eastAsia="Calibri"/>
          <w:sz w:val="20"/>
          <w:szCs w:val="20"/>
          <w:lang w:val="es-ES" w:eastAsia="es-ES"/>
        </w:rPr>
        <w:t xml:space="preserve">a sus dos hijos en </w:t>
      </w:r>
      <w:r w:rsidR="002E620D">
        <w:rPr>
          <w:rFonts w:eastAsia="Calibri"/>
          <w:sz w:val="20"/>
          <w:szCs w:val="20"/>
          <w:lang w:val="es-ES" w:eastAsia="es-ES"/>
        </w:rPr>
        <w:t xml:space="preserve">partes iguales, en </w:t>
      </w:r>
      <w:r>
        <w:rPr>
          <w:rFonts w:eastAsia="Calibri"/>
          <w:sz w:val="20"/>
          <w:szCs w:val="20"/>
          <w:lang w:val="es-ES" w:eastAsia="es-ES"/>
        </w:rPr>
        <w:t xml:space="preserve">el plazo </w:t>
      </w:r>
      <w:r w:rsidR="002E620D">
        <w:rPr>
          <w:rFonts w:eastAsia="Calibri"/>
          <w:sz w:val="20"/>
          <w:szCs w:val="20"/>
          <w:lang w:val="es-ES" w:eastAsia="es-ES"/>
        </w:rPr>
        <w:t xml:space="preserve">de un año a partir de la notificación de la Sentencia. </w:t>
      </w:r>
    </w:p>
    <w:p w14:paraId="206BAA4B" w14:textId="77777777" w:rsidR="006B2A4D" w:rsidRPr="006B2A4D" w:rsidRDefault="006B2A4D" w:rsidP="002A64C9">
      <w:pPr>
        <w:widowControl w:val="0"/>
        <w:tabs>
          <w:tab w:val="left" w:pos="567"/>
          <w:tab w:val="num" w:pos="12305"/>
        </w:tabs>
        <w:adjustRightInd w:val="0"/>
        <w:textAlignment w:val="baseline"/>
        <w:rPr>
          <w:rFonts w:eastAsia="Calibri"/>
          <w:sz w:val="20"/>
          <w:szCs w:val="20"/>
          <w:lang w:eastAsia="es-ES"/>
        </w:rPr>
      </w:pPr>
    </w:p>
    <w:p w14:paraId="5D70D0FE" w14:textId="3ED71AD8" w:rsidR="006B2A4D" w:rsidRPr="00164C05" w:rsidRDefault="006B2A4D" w:rsidP="00AD229D">
      <w:pPr>
        <w:pStyle w:val="Heading3"/>
        <w:ind w:left="0"/>
        <w:rPr>
          <w:b/>
        </w:rPr>
      </w:pPr>
      <w:r w:rsidRPr="006B2A4D">
        <w:rPr>
          <w:lang w:eastAsia="es-ES"/>
        </w:rPr>
        <w:tab/>
      </w:r>
      <w:r w:rsidRPr="006B2A4D">
        <w:rPr>
          <w:lang w:eastAsia="es-ES"/>
        </w:rPr>
        <w:tab/>
      </w:r>
      <w:r w:rsidRPr="006B2A4D">
        <w:rPr>
          <w:i w:val="0"/>
          <w:lang w:eastAsia="es-ES"/>
        </w:rPr>
        <w:tab/>
      </w:r>
      <w:bookmarkStart w:id="132" w:name="_Toc513644497"/>
      <w:r w:rsidRPr="00164C05">
        <w:rPr>
          <w:b/>
        </w:rPr>
        <w:t xml:space="preserve">2. Daño </w:t>
      </w:r>
      <w:r w:rsidR="00D83D35">
        <w:rPr>
          <w:b/>
        </w:rPr>
        <w:t>I</w:t>
      </w:r>
      <w:r w:rsidRPr="00164C05">
        <w:rPr>
          <w:b/>
        </w:rPr>
        <w:t>nmaterial</w:t>
      </w:r>
      <w:bookmarkEnd w:id="132"/>
    </w:p>
    <w:p w14:paraId="4C0E80A1" w14:textId="77777777" w:rsidR="006B2A4D" w:rsidRPr="006B2A4D" w:rsidRDefault="006B2A4D" w:rsidP="006B2A4D">
      <w:pPr>
        <w:tabs>
          <w:tab w:val="center" w:pos="567"/>
        </w:tabs>
        <w:autoSpaceDE w:val="0"/>
        <w:autoSpaceDN w:val="0"/>
        <w:ind w:right="-90"/>
        <w:rPr>
          <w:rFonts w:eastAsia="Calibri"/>
          <w:i/>
          <w:sz w:val="20"/>
          <w:szCs w:val="20"/>
          <w:lang w:eastAsia="es-ES"/>
        </w:rPr>
      </w:pPr>
    </w:p>
    <w:p w14:paraId="636990F4" w14:textId="77777777" w:rsidR="006B2A4D" w:rsidRDefault="006B2A4D"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En cuanto al daño inmaterial este Tribunal ha determinado que “puede comprender tanto los sufrimientos y las aflicciones causados a la víctima directa y a sus allegados, el menoscabo de valores muy significativos para las personas, así como las alteraciones, de carácter no pecuniario, en las condiciones de existencia de la víctima o su familia”</w:t>
      </w:r>
      <w:r w:rsidRPr="006B2A4D">
        <w:rPr>
          <w:rFonts w:eastAsia="Calibri"/>
          <w:sz w:val="20"/>
          <w:szCs w:val="20"/>
          <w:vertAlign w:val="superscript"/>
          <w:lang w:val="es-ES" w:eastAsia="es-ES"/>
        </w:rPr>
        <w:footnoteReference w:id="324"/>
      </w:r>
      <w:r w:rsidRPr="006B2A4D">
        <w:rPr>
          <w:rFonts w:eastAsia="Calibri"/>
          <w:sz w:val="20"/>
          <w:szCs w:val="20"/>
          <w:lang w:val="es-ES" w:eastAsia="es-ES"/>
        </w:rPr>
        <w:t xml:space="preserve">. </w:t>
      </w:r>
    </w:p>
    <w:p w14:paraId="63EAD321" w14:textId="77777777" w:rsidR="006B2A4D" w:rsidRPr="006B2A4D" w:rsidRDefault="006B2A4D" w:rsidP="006B2A4D">
      <w:pPr>
        <w:widowControl w:val="0"/>
        <w:tabs>
          <w:tab w:val="left" w:pos="567"/>
          <w:tab w:val="num" w:pos="1569"/>
          <w:tab w:val="num" w:pos="12305"/>
        </w:tabs>
        <w:adjustRightInd w:val="0"/>
        <w:textAlignment w:val="baseline"/>
        <w:rPr>
          <w:rFonts w:eastAsia="Calibri"/>
          <w:sz w:val="20"/>
          <w:szCs w:val="20"/>
          <w:lang w:val="es-ES" w:eastAsia="es-ES"/>
        </w:rPr>
      </w:pPr>
    </w:p>
    <w:p w14:paraId="2DD0D3F3" w14:textId="2EA38E47" w:rsidR="002E620D" w:rsidRPr="00D83D35" w:rsidRDefault="006B2A4D" w:rsidP="002E620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s-ES" w:eastAsia="es-ES"/>
        </w:rPr>
      </w:pPr>
      <w:r w:rsidRPr="002E620D">
        <w:rPr>
          <w:rFonts w:eastAsia="Calibri"/>
          <w:sz w:val="20"/>
          <w:szCs w:val="20"/>
          <w:lang w:val="es-ES" w:eastAsia="es-ES"/>
        </w:rPr>
        <w:t xml:space="preserve">De conformidad con los criterios desarrollados por la Corte sobre el concepto de </w:t>
      </w:r>
      <w:r w:rsidRPr="002E620D">
        <w:rPr>
          <w:rFonts w:eastAsia="Calibri"/>
          <w:i/>
          <w:sz w:val="20"/>
          <w:szCs w:val="20"/>
          <w:lang w:val="es-ES" w:eastAsia="es-ES"/>
        </w:rPr>
        <w:t xml:space="preserve">daño </w:t>
      </w:r>
      <w:r w:rsidRPr="002E620D">
        <w:rPr>
          <w:rFonts w:eastAsia="Calibri"/>
          <w:i/>
          <w:sz w:val="20"/>
          <w:szCs w:val="20"/>
          <w:lang w:val="es-ES" w:eastAsia="es-ES"/>
        </w:rPr>
        <w:lastRenderedPageBreak/>
        <w:t>inmaterial</w:t>
      </w:r>
      <w:r w:rsidRPr="006B2A4D">
        <w:rPr>
          <w:rFonts w:eastAsia="Calibri"/>
          <w:sz w:val="20"/>
          <w:szCs w:val="20"/>
          <w:vertAlign w:val="superscript"/>
          <w:lang w:val="es-ES" w:eastAsia="es-ES"/>
        </w:rPr>
        <w:footnoteReference w:id="325"/>
      </w:r>
      <w:r w:rsidRPr="002E620D">
        <w:rPr>
          <w:rFonts w:eastAsia="Calibri"/>
          <w:sz w:val="20"/>
          <w:szCs w:val="20"/>
          <w:lang w:val="es-ES" w:eastAsia="es-ES"/>
        </w:rPr>
        <w:t xml:space="preserve"> y atendiendo a las circunstancias del </w:t>
      </w:r>
      <w:r w:rsidRPr="00AA65C5">
        <w:rPr>
          <w:rFonts w:eastAsia="Calibri"/>
          <w:sz w:val="20"/>
          <w:szCs w:val="20"/>
          <w:lang w:val="es-ES" w:eastAsia="es-ES"/>
        </w:rPr>
        <w:t xml:space="preserve">presente caso, el carácter de las violaciones cometidas, la Corte fija en equidad, el monto de </w:t>
      </w:r>
      <w:r w:rsidR="00F24D4D" w:rsidRPr="00D83D35">
        <w:rPr>
          <w:rFonts w:eastAsia="Calibri"/>
          <w:sz w:val="20"/>
          <w:szCs w:val="20"/>
          <w:lang w:eastAsia="es-ES"/>
        </w:rPr>
        <w:t xml:space="preserve">US </w:t>
      </w:r>
      <w:r w:rsidR="00F377B4" w:rsidRPr="00B1523A">
        <w:rPr>
          <w:rFonts w:eastAsia="Calibri"/>
          <w:sz w:val="20"/>
          <w:szCs w:val="20"/>
          <w:lang w:val="es-ES" w:eastAsia="es-ES"/>
        </w:rPr>
        <w:t>$</w:t>
      </w:r>
      <w:r w:rsidR="00C47603" w:rsidRPr="00B1523A">
        <w:rPr>
          <w:rFonts w:eastAsia="Calibri"/>
          <w:sz w:val="20"/>
          <w:szCs w:val="20"/>
          <w:lang w:val="es-ES" w:eastAsia="es-ES"/>
        </w:rPr>
        <w:t>10</w:t>
      </w:r>
      <w:r w:rsidR="00F377B4" w:rsidRPr="00B1523A">
        <w:rPr>
          <w:rFonts w:eastAsia="Calibri"/>
          <w:sz w:val="20"/>
          <w:szCs w:val="20"/>
          <w:lang w:val="es-ES" w:eastAsia="es-ES"/>
        </w:rPr>
        <w:t>0,000</w:t>
      </w:r>
      <w:r w:rsidR="00F377B4" w:rsidRPr="007E5CD5">
        <w:rPr>
          <w:rFonts w:eastAsia="Calibri"/>
          <w:sz w:val="20"/>
          <w:szCs w:val="20"/>
          <w:lang w:val="es-ES" w:eastAsia="es-ES"/>
        </w:rPr>
        <w:t xml:space="preserve"> (</w:t>
      </w:r>
      <w:r w:rsidR="00C47603" w:rsidRPr="007E5CD5">
        <w:rPr>
          <w:rFonts w:eastAsia="Calibri"/>
          <w:sz w:val="20"/>
          <w:szCs w:val="20"/>
          <w:lang w:val="es-ES" w:eastAsia="es-ES"/>
        </w:rPr>
        <w:t xml:space="preserve">cien </w:t>
      </w:r>
      <w:r w:rsidR="00F24D4D" w:rsidRPr="007E5CD5">
        <w:rPr>
          <w:rFonts w:eastAsia="Calibri"/>
          <w:sz w:val="20"/>
          <w:szCs w:val="20"/>
          <w:lang w:val="es-ES" w:eastAsia="es-ES"/>
        </w:rPr>
        <w:t>mil dólares de los Estados Unidos de América</w:t>
      </w:r>
      <w:r w:rsidR="00F377B4" w:rsidRPr="007E5CD5">
        <w:rPr>
          <w:rFonts w:eastAsia="Calibri"/>
          <w:sz w:val="20"/>
          <w:szCs w:val="20"/>
          <w:lang w:val="es-ES" w:eastAsia="es-ES"/>
        </w:rPr>
        <w:t>)</w:t>
      </w:r>
      <w:r w:rsidRPr="00AA65C5">
        <w:rPr>
          <w:rFonts w:eastAsia="Calibri"/>
          <w:sz w:val="20"/>
          <w:szCs w:val="20"/>
          <w:lang w:val="es-ES" w:eastAsia="es-ES"/>
        </w:rPr>
        <w:t xml:space="preserve"> a favor del señor Poblete Vilches</w:t>
      </w:r>
      <w:r w:rsidRPr="00AA65C5">
        <w:rPr>
          <w:rFonts w:eastAsia="Calibri"/>
          <w:sz w:val="20"/>
          <w:szCs w:val="20"/>
          <w:vertAlign w:val="superscript"/>
          <w:lang w:val="es-ES" w:eastAsia="es-ES"/>
        </w:rPr>
        <w:footnoteReference w:id="326"/>
      </w:r>
      <w:r w:rsidR="00AE16A7" w:rsidRPr="00AA65C5">
        <w:rPr>
          <w:rFonts w:eastAsia="Calibri"/>
          <w:sz w:val="20"/>
          <w:szCs w:val="20"/>
          <w:lang w:val="es-ES" w:eastAsia="es-ES"/>
        </w:rPr>
        <w:t>. El monto establecido por la Corte deberá ser entregado</w:t>
      </w:r>
      <w:r w:rsidR="002E620D" w:rsidRPr="00AA65C5">
        <w:rPr>
          <w:rFonts w:eastAsia="Calibri"/>
          <w:sz w:val="20"/>
          <w:szCs w:val="20"/>
          <w:lang w:val="es-ES" w:eastAsia="es-ES"/>
        </w:rPr>
        <w:t xml:space="preserve"> </w:t>
      </w:r>
      <w:r w:rsidR="00AE16A7" w:rsidRPr="00AA65C5">
        <w:rPr>
          <w:rFonts w:eastAsia="Calibri"/>
          <w:sz w:val="20"/>
          <w:szCs w:val="20"/>
          <w:lang w:val="es-ES" w:eastAsia="es-ES"/>
        </w:rPr>
        <w:t xml:space="preserve">a </w:t>
      </w:r>
      <w:r w:rsidR="00AE16A7" w:rsidRPr="00D83D35">
        <w:rPr>
          <w:rFonts w:eastAsia="Calibri"/>
          <w:sz w:val="20"/>
          <w:szCs w:val="20"/>
          <w:lang w:val="es-ES" w:eastAsia="es-ES"/>
        </w:rPr>
        <w:t xml:space="preserve">sus </w:t>
      </w:r>
      <w:r w:rsidR="00F377B4" w:rsidRPr="00B1523A">
        <w:rPr>
          <w:rFonts w:eastAsia="Calibri"/>
          <w:sz w:val="20"/>
          <w:szCs w:val="20"/>
          <w:lang w:val="es-ES" w:eastAsia="es-ES"/>
        </w:rPr>
        <w:t xml:space="preserve">herederos como beneficiario de la reparación </w:t>
      </w:r>
      <w:r w:rsidR="002E620D" w:rsidRPr="00D83D35">
        <w:rPr>
          <w:rFonts w:eastAsia="Calibri"/>
          <w:sz w:val="20"/>
          <w:szCs w:val="20"/>
          <w:lang w:val="es-ES" w:eastAsia="es-ES"/>
        </w:rPr>
        <w:t xml:space="preserve">en el plazo de un año a partir de la notificación de la Sentencia. </w:t>
      </w:r>
    </w:p>
    <w:p w14:paraId="44A2E918" w14:textId="77777777" w:rsidR="006B2A4D" w:rsidRPr="007E5CD5" w:rsidRDefault="006B2A4D" w:rsidP="006B2A4D">
      <w:pPr>
        <w:widowControl w:val="0"/>
        <w:tabs>
          <w:tab w:val="left" w:pos="567"/>
          <w:tab w:val="num" w:pos="1569"/>
          <w:tab w:val="num" w:pos="12305"/>
        </w:tabs>
        <w:adjustRightInd w:val="0"/>
        <w:textAlignment w:val="baseline"/>
        <w:rPr>
          <w:rFonts w:eastAsia="Calibri"/>
          <w:sz w:val="20"/>
          <w:szCs w:val="20"/>
          <w:lang w:val="es-ES" w:eastAsia="es-ES"/>
        </w:rPr>
      </w:pPr>
    </w:p>
    <w:p w14:paraId="38D52113" w14:textId="0E2E050D" w:rsidR="00AE16A7" w:rsidRPr="00D83D35" w:rsidRDefault="006B2A4D"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s-ES" w:eastAsia="es-ES"/>
        </w:rPr>
      </w:pPr>
      <w:r w:rsidRPr="007E5CD5">
        <w:rPr>
          <w:rFonts w:eastAsia="Calibri"/>
          <w:sz w:val="20"/>
          <w:szCs w:val="20"/>
          <w:lang w:val="es-ES" w:eastAsia="es-ES"/>
        </w:rPr>
        <w:t>Adicionalmente, en vista de la violación acreditada en perjuicio de los familiares, que derivaron en afectaciones en su esfera moral y psicológica, la Corte fija en equidad, las siguientes sumas de di</w:t>
      </w:r>
      <w:r w:rsidRPr="00D83D35">
        <w:rPr>
          <w:rFonts w:eastAsia="Calibri"/>
          <w:sz w:val="20"/>
          <w:szCs w:val="20"/>
          <w:lang w:val="es-ES" w:eastAsia="es-ES"/>
        </w:rPr>
        <w:t>nero</w:t>
      </w:r>
      <w:r w:rsidR="00F377B4" w:rsidRPr="00D83D35">
        <w:rPr>
          <w:rFonts w:eastAsia="Calibri"/>
          <w:sz w:val="20"/>
          <w:szCs w:val="20"/>
          <w:lang w:val="es-ES" w:eastAsia="es-ES"/>
        </w:rPr>
        <w:t xml:space="preserve">, correspondiente a </w:t>
      </w:r>
      <w:r w:rsidR="00F24D4D" w:rsidRPr="00B1523A">
        <w:rPr>
          <w:rFonts w:eastAsia="Calibri"/>
          <w:sz w:val="20"/>
          <w:szCs w:val="20"/>
          <w:lang w:val="es-ES" w:eastAsia="es-ES"/>
        </w:rPr>
        <w:t xml:space="preserve">US $ </w:t>
      </w:r>
      <w:r w:rsidR="00F377B4" w:rsidRPr="00B1523A">
        <w:rPr>
          <w:rFonts w:eastAsia="Calibri"/>
          <w:sz w:val="20"/>
          <w:szCs w:val="20"/>
          <w:lang w:val="es-ES" w:eastAsia="es-ES"/>
        </w:rPr>
        <w:t xml:space="preserve">15,000 </w:t>
      </w:r>
      <w:r w:rsidR="00F24D4D" w:rsidRPr="00D83D35">
        <w:rPr>
          <w:rFonts w:eastAsia="Calibri"/>
          <w:sz w:val="20"/>
          <w:szCs w:val="20"/>
          <w:lang w:val="es-ES" w:eastAsia="es-ES"/>
        </w:rPr>
        <w:t>(quince mil dólares de los Estados Unidos de América)</w:t>
      </w:r>
      <w:r w:rsidR="002C4EDE" w:rsidRPr="00D83D35">
        <w:rPr>
          <w:rFonts w:eastAsia="Calibri"/>
          <w:sz w:val="20"/>
          <w:szCs w:val="20"/>
          <w:lang w:val="es-ES" w:eastAsia="es-ES"/>
        </w:rPr>
        <w:t xml:space="preserve"> </w:t>
      </w:r>
      <w:r w:rsidR="00F377B4" w:rsidRPr="00B1523A">
        <w:rPr>
          <w:rFonts w:eastAsia="Calibri"/>
          <w:sz w:val="20"/>
          <w:szCs w:val="20"/>
          <w:lang w:val="es-ES" w:eastAsia="es-ES"/>
        </w:rPr>
        <w:t>para cada una de los cuatro familiares víctimas del presente caso (</w:t>
      </w:r>
      <w:r w:rsidR="00F377B4" w:rsidRPr="00B1523A">
        <w:rPr>
          <w:rFonts w:eastAsia="Calibri"/>
          <w:i/>
          <w:sz w:val="20"/>
          <w:szCs w:val="20"/>
          <w:lang w:val="es-ES" w:eastAsia="es-ES"/>
        </w:rPr>
        <w:t>supra</w:t>
      </w:r>
      <w:r w:rsidR="00F377B4" w:rsidRPr="00B1523A">
        <w:rPr>
          <w:rFonts w:eastAsia="Calibri"/>
          <w:sz w:val="20"/>
          <w:szCs w:val="20"/>
          <w:lang w:val="es-ES" w:eastAsia="es-ES"/>
        </w:rPr>
        <w:t xml:space="preserve"> párr.</w:t>
      </w:r>
      <w:r w:rsidR="00D83D35" w:rsidRPr="00B1523A">
        <w:rPr>
          <w:rFonts w:eastAsia="Calibri"/>
          <w:sz w:val="20"/>
          <w:szCs w:val="20"/>
          <w:lang w:val="es-ES" w:eastAsia="es-ES"/>
        </w:rPr>
        <w:t xml:space="preserve"> 244</w:t>
      </w:r>
      <w:r w:rsidR="00F377B4" w:rsidRPr="00B1523A">
        <w:rPr>
          <w:rFonts w:eastAsia="Calibri"/>
          <w:sz w:val="20"/>
          <w:szCs w:val="20"/>
          <w:lang w:val="es-ES" w:eastAsia="es-ES"/>
        </w:rPr>
        <w:t>)</w:t>
      </w:r>
      <w:r w:rsidR="00920D09" w:rsidRPr="00B1523A">
        <w:rPr>
          <w:rFonts w:eastAsia="Calibri"/>
          <w:sz w:val="20"/>
          <w:szCs w:val="20"/>
          <w:lang w:val="es-ES" w:eastAsia="es-ES"/>
        </w:rPr>
        <w:t>.</w:t>
      </w:r>
      <w:r w:rsidR="00F377B4" w:rsidRPr="00B1523A">
        <w:rPr>
          <w:rFonts w:eastAsia="Calibri"/>
          <w:sz w:val="20"/>
          <w:szCs w:val="20"/>
          <w:lang w:val="es-ES" w:eastAsia="es-ES"/>
        </w:rPr>
        <w:t xml:space="preserve"> En el caso de las personas fallecidas, el monto deberá ser entregado a sus herederos. </w:t>
      </w:r>
    </w:p>
    <w:p w14:paraId="2DF1EB4F" w14:textId="77777777" w:rsidR="006B2A4D" w:rsidRPr="006B2A4D" w:rsidRDefault="006B2A4D" w:rsidP="006B2A4D">
      <w:pPr>
        <w:widowControl w:val="0"/>
        <w:tabs>
          <w:tab w:val="left" w:pos="567"/>
          <w:tab w:val="num" w:pos="1569"/>
          <w:tab w:val="num" w:pos="12305"/>
        </w:tabs>
        <w:adjustRightInd w:val="0"/>
        <w:textAlignment w:val="baseline"/>
        <w:rPr>
          <w:rFonts w:eastAsia="Calibri"/>
          <w:sz w:val="20"/>
          <w:szCs w:val="20"/>
          <w:lang w:val="es-ES" w:eastAsia="es-ES"/>
        </w:rPr>
      </w:pPr>
    </w:p>
    <w:p w14:paraId="34DCF983" w14:textId="77777777" w:rsidR="006B2A4D" w:rsidRPr="00AD229D" w:rsidRDefault="006B2A4D" w:rsidP="002726E0">
      <w:pPr>
        <w:pStyle w:val="Heading2"/>
        <w:numPr>
          <w:ilvl w:val="0"/>
          <w:numId w:val="13"/>
        </w:numPr>
      </w:pPr>
      <w:bookmarkStart w:id="133" w:name="_Toc513644498"/>
      <w:r w:rsidRPr="00AD229D">
        <w:t>Gastos y Costas</w:t>
      </w:r>
      <w:bookmarkEnd w:id="133"/>
      <w:r w:rsidRPr="00AD229D">
        <w:t xml:space="preserve"> </w:t>
      </w:r>
    </w:p>
    <w:p w14:paraId="1C5CD8D4" w14:textId="77777777" w:rsidR="006B2A4D" w:rsidRPr="006B2A4D" w:rsidRDefault="006B2A4D" w:rsidP="006B2A4D">
      <w:pPr>
        <w:keepNext/>
        <w:keepLines/>
        <w:outlineLvl w:val="1"/>
        <w:rPr>
          <w:b/>
          <w:bCs/>
          <w:i/>
          <w:sz w:val="20"/>
          <w:szCs w:val="20"/>
          <w:lang w:val="es-ES" w:eastAsia="en-US"/>
        </w:rPr>
      </w:pPr>
    </w:p>
    <w:p w14:paraId="30F7065F" w14:textId="77777777" w:rsidR="006B2A4D" w:rsidRDefault="006B2A4D"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 xml:space="preserve">La </w:t>
      </w:r>
      <w:r w:rsidRPr="006B2A4D">
        <w:rPr>
          <w:rFonts w:eastAsia="Calibri"/>
          <w:b/>
          <w:i/>
          <w:sz w:val="20"/>
          <w:szCs w:val="20"/>
          <w:lang w:val="es-ES" w:eastAsia="es-ES"/>
        </w:rPr>
        <w:t>Comisión</w:t>
      </w:r>
      <w:r w:rsidRPr="006B2A4D">
        <w:rPr>
          <w:rFonts w:eastAsia="Calibri"/>
          <w:sz w:val="20"/>
          <w:szCs w:val="20"/>
          <w:lang w:val="es-ES" w:eastAsia="es-ES"/>
        </w:rPr>
        <w:t xml:space="preserve"> no se pronunció respecto los gastos y costas.</w:t>
      </w:r>
    </w:p>
    <w:p w14:paraId="0FBC3DAF" w14:textId="77777777" w:rsidR="006B2A4D" w:rsidRPr="006B2A4D" w:rsidRDefault="006B2A4D" w:rsidP="006B2A4D">
      <w:pPr>
        <w:widowControl w:val="0"/>
        <w:tabs>
          <w:tab w:val="left" w:pos="567"/>
          <w:tab w:val="num" w:pos="1569"/>
          <w:tab w:val="num" w:pos="12305"/>
        </w:tabs>
        <w:adjustRightInd w:val="0"/>
        <w:textAlignment w:val="baseline"/>
        <w:rPr>
          <w:rFonts w:eastAsia="Calibri"/>
          <w:sz w:val="20"/>
          <w:szCs w:val="20"/>
          <w:lang w:val="es-ES" w:eastAsia="es-ES"/>
        </w:rPr>
      </w:pPr>
    </w:p>
    <w:p w14:paraId="43972DE1" w14:textId="77777777" w:rsidR="006B2A4D" w:rsidRPr="002A64C9" w:rsidRDefault="006B2A4D"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s-ES" w:eastAsia="es-ES"/>
        </w:rPr>
      </w:pPr>
      <w:r w:rsidRPr="006B2A4D">
        <w:rPr>
          <w:rFonts w:eastAsia="Calibri"/>
          <w:sz w:val="20"/>
          <w:szCs w:val="20"/>
          <w:lang w:val="es-ES" w:eastAsia="es-ES"/>
        </w:rPr>
        <w:t xml:space="preserve">Las </w:t>
      </w:r>
      <w:r w:rsidRPr="006B2A4D">
        <w:rPr>
          <w:rFonts w:eastAsia="Calibri"/>
          <w:b/>
          <w:i/>
          <w:sz w:val="20"/>
          <w:szCs w:val="20"/>
          <w:lang w:val="es-ES" w:eastAsia="es-ES"/>
        </w:rPr>
        <w:t xml:space="preserve">representantes </w:t>
      </w:r>
      <w:r w:rsidRPr="006B2A4D">
        <w:rPr>
          <w:rFonts w:eastAsia="Calibri"/>
          <w:sz w:val="20"/>
          <w:szCs w:val="20"/>
          <w:lang w:val="es-ES" w:eastAsia="es-ES"/>
        </w:rPr>
        <w:t xml:space="preserve">señalaron que las presuntas víctimas gastaron alrededor de 7 millones de pesos chilenos durante más de 14 años en remitir documentos por correos a la </w:t>
      </w:r>
      <w:r w:rsidRPr="00A7540B">
        <w:rPr>
          <w:rFonts w:eastAsia="Calibri"/>
          <w:sz w:val="20"/>
          <w:szCs w:val="20"/>
          <w:lang w:val="es-ES" w:eastAsia="es-ES"/>
        </w:rPr>
        <w:t>Comisión Interamericana y realizar llamadas telefónicas relacionadas con el caso. Además, las representantes notaron que tod</w:t>
      </w:r>
      <w:r w:rsidRPr="002A64C9">
        <w:rPr>
          <w:rFonts w:eastAsia="Calibri"/>
          <w:sz w:val="20"/>
          <w:szCs w:val="20"/>
          <w:lang w:val="es-ES" w:eastAsia="es-ES"/>
        </w:rPr>
        <w:t>a la documentación al respecto, que las presuntas víctimas habían archivado, se quemó en el incendio de su hogar.</w:t>
      </w:r>
    </w:p>
    <w:p w14:paraId="19C7D946" w14:textId="77777777" w:rsidR="006B2A4D" w:rsidRPr="002A64C9" w:rsidRDefault="006B2A4D" w:rsidP="006B2A4D">
      <w:pPr>
        <w:widowControl w:val="0"/>
        <w:tabs>
          <w:tab w:val="left" w:pos="567"/>
          <w:tab w:val="num" w:pos="1569"/>
          <w:tab w:val="num" w:pos="12305"/>
        </w:tabs>
        <w:adjustRightInd w:val="0"/>
        <w:textAlignment w:val="baseline"/>
        <w:rPr>
          <w:rFonts w:eastAsia="Calibri"/>
          <w:sz w:val="20"/>
          <w:szCs w:val="20"/>
          <w:lang w:val="es-ES" w:eastAsia="es-ES"/>
        </w:rPr>
      </w:pPr>
    </w:p>
    <w:p w14:paraId="22E6FF50" w14:textId="77777777" w:rsidR="006B2A4D" w:rsidRPr="002A64C9" w:rsidRDefault="006B2A4D"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s-ES" w:eastAsia="es-ES"/>
        </w:rPr>
      </w:pPr>
      <w:r w:rsidRPr="002A64C9">
        <w:rPr>
          <w:rFonts w:eastAsia="Calibri"/>
          <w:sz w:val="20"/>
          <w:szCs w:val="20"/>
          <w:lang w:val="es-ES" w:eastAsia="es-ES"/>
        </w:rPr>
        <w:t xml:space="preserve">El </w:t>
      </w:r>
      <w:r w:rsidRPr="002A64C9">
        <w:rPr>
          <w:rFonts w:eastAsia="Calibri"/>
          <w:b/>
          <w:i/>
          <w:sz w:val="20"/>
          <w:szCs w:val="20"/>
          <w:lang w:val="es-ES" w:eastAsia="es-ES"/>
        </w:rPr>
        <w:t>Estado</w:t>
      </w:r>
      <w:r w:rsidRPr="002A64C9">
        <w:rPr>
          <w:rFonts w:eastAsia="Calibri"/>
          <w:sz w:val="20"/>
          <w:szCs w:val="20"/>
          <w:lang w:val="es-ES" w:eastAsia="es-ES"/>
        </w:rPr>
        <w:t xml:space="preserve"> no se pronunció al respecto.</w:t>
      </w:r>
    </w:p>
    <w:p w14:paraId="12DD7256" w14:textId="77777777" w:rsidR="006B2A4D" w:rsidRPr="002A64C9" w:rsidRDefault="006B2A4D" w:rsidP="006B2A4D">
      <w:pPr>
        <w:rPr>
          <w:rFonts w:eastAsia="Calibri"/>
          <w:sz w:val="20"/>
          <w:szCs w:val="20"/>
          <w:lang w:val="es-ES" w:eastAsia="es-ES"/>
        </w:rPr>
      </w:pPr>
    </w:p>
    <w:p w14:paraId="547811A7" w14:textId="77777777" w:rsidR="006B2A4D" w:rsidRDefault="006B2A4D"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eastAsia="es-ES"/>
        </w:rPr>
      </w:pPr>
      <w:r w:rsidRPr="002A64C9">
        <w:rPr>
          <w:rFonts w:eastAsia="Calibri"/>
          <w:sz w:val="20"/>
          <w:szCs w:val="20"/>
          <w:lang w:eastAsia="es-ES"/>
        </w:rPr>
        <w:t xml:space="preserve">La </w:t>
      </w:r>
      <w:r w:rsidRPr="004450BE">
        <w:rPr>
          <w:rFonts w:eastAsia="Calibri"/>
          <w:i/>
          <w:sz w:val="20"/>
          <w:szCs w:val="20"/>
          <w:lang w:eastAsia="es-ES"/>
        </w:rPr>
        <w:t>Corte</w:t>
      </w:r>
      <w:r w:rsidRPr="004450BE">
        <w:rPr>
          <w:rFonts w:eastAsia="Calibri"/>
          <w:sz w:val="20"/>
          <w:szCs w:val="20"/>
          <w:lang w:eastAsia="es-ES"/>
        </w:rPr>
        <w:t xml:space="preserve"> </w:t>
      </w:r>
      <w:r w:rsidRPr="002A64C9">
        <w:rPr>
          <w:rFonts w:eastAsia="Calibri"/>
          <w:sz w:val="20"/>
          <w:szCs w:val="20"/>
          <w:lang w:eastAsia="es-ES"/>
        </w:rPr>
        <w:t>reitera que, conforme a su jurisprudencia</w:t>
      </w:r>
      <w:r w:rsidRPr="00A7540B">
        <w:rPr>
          <w:rFonts w:eastAsia="Calibri"/>
          <w:sz w:val="20"/>
          <w:szCs w:val="20"/>
          <w:vertAlign w:val="superscript"/>
          <w:lang w:eastAsia="es-ES"/>
        </w:rPr>
        <w:footnoteReference w:id="327"/>
      </w:r>
      <w:r w:rsidRPr="00A7540B">
        <w:rPr>
          <w:rFonts w:eastAsia="Calibri"/>
          <w:sz w:val="20"/>
          <w:szCs w:val="20"/>
          <w:lang w:eastAsia="es-ES"/>
        </w:rPr>
        <w:t xml:space="preserve">, las costas y gastos hacen parte del concepto de </w:t>
      </w:r>
      <w:r w:rsidRPr="002A64C9">
        <w:rPr>
          <w:rFonts w:eastAsia="Calibri"/>
          <w:sz w:val="20"/>
          <w:szCs w:val="20"/>
          <w:lang w:eastAsia="es-ES"/>
        </w:rPr>
        <w:t>reparación, toda vez que la actividad desplegada por las víctimas con el fin de obtener justicia, tanto a nivel nacional como internacional, implica erogaciones que deben ser compensadas cuando la responsabilidad internacional del Estado es declarada mediante una sentencia</w:t>
      </w:r>
      <w:r w:rsidRPr="006B2A4D">
        <w:rPr>
          <w:rFonts w:eastAsia="Calibri"/>
          <w:sz w:val="20"/>
          <w:szCs w:val="20"/>
          <w:lang w:eastAsia="es-ES"/>
        </w:rPr>
        <w:t xml:space="preserve"> condenatoria. En cuanto al reembolso de las costas y gastos, corresponde al Tribunal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derechos humanos. Esta apreciación debe ser realizada tomando en cuenta los gastos señalados por las partes, siempre que su </w:t>
      </w:r>
      <w:r w:rsidRPr="006B2A4D">
        <w:rPr>
          <w:rFonts w:eastAsia="Calibri"/>
          <w:i/>
          <w:sz w:val="20"/>
          <w:szCs w:val="20"/>
          <w:lang w:eastAsia="es-ES"/>
        </w:rPr>
        <w:t>quantum</w:t>
      </w:r>
      <w:r w:rsidRPr="006B2A4D">
        <w:rPr>
          <w:rFonts w:eastAsia="Calibri"/>
          <w:sz w:val="20"/>
          <w:szCs w:val="20"/>
          <w:lang w:eastAsia="es-ES"/>
        </w:rPr>
        <w:t xml:space="preserve"> sea razonable</w:t>
      </w:r>
      <w:r w:rsidRPr="006B2A4D">
        <w:rPr>
          <w:rFonts w:eastAsia="Calibri"/>
          <w:sz w:val="20"/>
          <w:szCs w:val="20"/>
          <w:vertAlign w:val="superscript"/>
          <w:lang w:eastAsia="es-ES"/>
        </w:rPr>
        <w:footnoteReference w:id="328"/>
      </w:r>
      <w:r w:rsidRPr="006B2A4D">
        <w:rPr>
          <w:rFonts w:eastAsia="Calibri"/>
          <w:sz w:val="20"/>
          <w:szCs w:val="20"/>
          <w:lang w:eastAsia="es-ES"/>
        </w:rPr>
        <w:t xml:space="preserve">. </w:t>
      </w:r>
    </w:p>
    <w:p w14:paraId="1D4A074A" w14:textId="77777777" w:rsidR="006B2A4D" w:rsidRPr="006B2A4D" w:rsidRDefault="006B2A4D" w:rsidP="006B2A4D">
      <w:pPr>
        <w:widowControl w:val="0"/>
        <w:tabs>
          <w:tab w:val="left" w:pos="567"/>
          <w:tab w:val="num" w:pos="1569"/>
          <w:tab w:val="num" w:pos="12305"/>
        </w:tabs>
        <w:adjustRightInd w:val="0"/>
        <w:textAlignment w:val="baseline"/>
        <w:rPr>
          <w:rFonts w:eastAsia="Calibri"/>
          <w:sz w:val="20"/>
          <w:szCs w:val="20"/>
          <w:lang w:eastAsia="es-ES"/>
        </w:rPr>
      </w:pPr>
    </w:p>
    <w:p w14:paraId="3C0670A2" w14:textId="77777777" w:rsidR="006B2A4D" w:rsidRDefault="006B2A4D"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eastAsia="es-ES"/>
        </w:rPr>
      </w:pPr>
      <w:r w:rsidRPr="006B2A4D">
        <w:rPr>
          <w:rFonts w:eastAsia="Calibri"/>
          <w:sz w:val="20"/>
          <w:szCs w:val="20"/>
          <w:lang w:eastAsia="es-ES"/>
        </w:rPr>
        <w:t>Este</w:t>
      </w:r>
      <w:r w:rsidRPr="006B2A4D">
        <w:rPr>
          <w:rFonts w:eastAsia="Calibri"/>
          <w:spacing w:val="-2"/>
          <w:sz w:val="20"/>
          <w:szCs w:val="20"/>
          <w:lang w:eastAsia="es-ES"/>
        </w:rPr>
        <w:t xml:space="preserve"> Tribunal </w:t>
      </w:r>
      <w:r w:rsidRPr="006B2A4D">
        <w:rPr>
          <w:rFonts w:eastAsia="Verdana" w:cs="Verdana"/>
          <w:spacing w:val="1"/>
          <w:sz w:val="20"/>
          <w:szCs w:val="20"/>
          <w:lang w:eastAsia="es-ES"/>
        </w:rPr>
        <w:t>h</w:t>
      </w:r>
      <w:r w:rsidRPr="006B2A4D">
        <w:rPr>
          <w:rFonts w:eastAsia="Verdana" w:cs="Verdana"/>
          <w:sz w:val="20"/>
          <w:szCs w:val="20"/>
          <w:lang w:eastAsia="es-ES"/>
        </w:rPr>
        <w:t>a</w:t>
      </w:r>
      <w:r w:rsidRPr="006B2A4D">
        <w:rPr>
          <w:rFonts w:eastAsia="Verdana" w:cs="Verdana"/>
          <w:spacing w:val="59"/>
          <w:sz w:val="20"/>
          <w:szCs w:val="20"/>
          <w:lang w:eastAsia="es-ES"/>
        </w:rPr>
        <w:t xml:space="preserve"> </w:t>
      </w:r>
      <w:r w:rsidRPr="006B2A4D">
        <w:rPr>
          <w:rFonts w:eastAsia="Verdana" w:cs="Verdana"/>
          <w:sz w:val="20"/>
          <w:szCs w:val="20"/>
          <w:lang w:eastAsia="es-ES"/>
        </w:rPr>
        <w:t>s</w:t>
      </w:r>
      <w:r w:rsidRPr="006B2A4D">
        <w:rPr>
          <w:rFonts w:eastAsia="Verdana" w:cs="Verdana"/>
          <w:spacing w:val="-2"/>
          <w:sz w:val="20"/>
          <w:szCs w:val="20"/>
          <w:lang w:eastAsia="es-ES"/>
        </w:rPr>
        <w:t>e</w:t>
      </w:r>
      <w:r w:rsidRPr="006B2A4D">
        <w:rPr>
          <w:rFonts w:eastAsia="Verdana" w:cs="Verdana"/>
          <w:spacing w:val="1"/>
          <w:sz w:val="20"/>
          <w:szCs w:val="20"/>
          <w:lang w:eastAsia="es-ES"/>
        </w:rPr>
        <w:t>ñ</w:t>
      </w:r>
      <w:r w:rsidRPr="006B2A4D">
        <w:rPr>
          <w:rFonts w:eastAsia="Verdana" w:cs="Verdana"/>
          <w:sz w:val="20"/>
          <w:szCs w:val="20"/>
          <w:lang w:eastAsia="es-ES"/>
        </w:rPr>
        <w:t>a</w:t>
      </w:r>
      <w:r w:rsidRPr="006B2A4D">
        <w:rPr>
          <w:rFonts w:eastAsia="Verdana" w:cs="Verdana"/>
          <w:spacing w:val="3"/>
          <w:sz w:val="20"/>
          <w:szCs w:val="20"/>
          <w:lang w:eastAsia="es-ES"/>
        </w:rPr>
        <w:t>l</w:t>
      </w:r>
      <w:r w:rsidRPr="006B2A4D">
        <w:rPr>
          <w:rFonts w:eastAsia="Verdana" w:cs="Verdana"/>
          <w:sz w:val="20"/>
          <w:szCs w:val="20"/>
          <w:lang w:eastAsia="es-ES"/>
        </w:rPr>
        <w:t>a</w:t>
      </w:r>
      <w:r w:rsidRPr="006B2A4D">
        <w:rPr>
          <w:rFonts w:eastAsia="Verdana" w:cs="Verdana"/>
          <w:spacing w:val="-1"/>
          <w:sz w:val="20"/>
          <w:szCs w:val="20"/>
          <w:lang w:eastAsia="es-ES"/>
        </w:rPr>
        <w:t>d</w:t>
      </w:r>
      <w:r w:rsidRPr="006B2A4D">
        <w:rPr>
          <w:rFonts w:eastAsia="Verdana" w:cs="Verdana"/>
          <w:sz w:val="20"/>
          <w:szCs w:val="20"/>
          <w:lang w:eastAsia="es-ES"/>
        </w:rPr>
        <w:t>o</w:t>
      </w:r>
      <w:r w:rsidRPr="006B2A4D">
        <w:rPr>
          <w:rFonts w:eastAsia="Verdana" w:cs="Verdana"/>
          <w:spacing w:val="51"/>
          <w:sz w:val="20"/>
          <w:szCs w:val="20"/>
          <w:lang w:eastAsia="es-ES"/>
        </w:rPr>
        <w:t xml:space="preserve"> </w:t>
      </w:r>
      <w:r w:rsidRPr="006B2A4D">
        <w:rPr>
          <w:rFonts w:eastAsia="Verdana" w:cs="Verdana"/>
          <w:spacing w:val="1"/>
          <w:sz w:val="20"/>
          <w:szCs w:val="20"/>
          <w:lang w:eastAsia="es-ES"/>
        </w:rPr>
        <w:t>qu</w:t>
      </w:r>
      <w:r w:rsidRPr="006B2A4D">
        <w:rPr>
          <w:rFonts w:eastAsia="Verdana" w:cs="Verdana"/>
          <w:sz w:val="20"/>
          <w:szCs w:val="20"/>
          <w:lang w:eastAsia="es-ES"/>
        </w:rPr>
        <w:t>e</w:t>
      </w:r>
      <w:r w:rsidRPr="006B2A4D">
        <w:rPr>
          <w:rFonts w:eastAsia="Verdana" w:cs="Verdana"/>
          <w:spacing w:val="59"/>
          <w:sz w:val="20"/>
          <w:szCs w:val="20"/>
          <w:lang w:eastAsia="es-ES"/>
        </w:rPr>
        <w:t xml:space="preserve"> </w:t>
      </w:r>
      <w:r w:rsidRPr="006B2A4D">
        <w:rPr>
          <w:rFonts w:eastAsia="Verdana" w:cs="Verdana"/>
          <w:sz w:val="20"/>
          <w:szCs w:val="20"/>
          <w:lang w:eastAsia="es-ES"/>
        </w:rPr>
        <w:t>“</w:t>
      </w:r>
      <w:r w:rsidRPr="006B2A4D">
        <w:rPr>
          <w:rFonts w:eastAsia="Verdana" w:cs="Verdana"/>
          <w:spacing w:val="3"/>
          <w:sz w:val="20"/>
          <w:szCs w:val="20"/>
          <w:lang w:eastAsia="es-ES"/>
        </w:rPr>
        <w:t>l</w:t>
      </w:r>
      <w:r w:rsidRPr="006B2A4D">
        <w:rPr>
          <w:rFonts w:eastAsia="Verdana" w:cs="Verdana"/>
          <w:sz w:val="20"/>
          <w:szCs w:val="20"/>
          <w:lang w:eastAsia="es-ES"/>
        </w:rPr>
        <w:t>as</w:t>
      </w:r>
      <w:r w:rsidRPr="006B2A4D">
        <w:rPr>
          <w:rFonts w:eastAsia="Verdana" w:cs="Verdana"/>
          <w:spacing w:val="58"/>
          <w:sz w:val="20"/>
          <w:szCs w:val="20"/>
          <w:lang w:eastAsia="es-ES"/>
        </w:rPr>
        <w:t xml:space="preserve"> </w:t>
      </w:r>
      <w:r w:rsidRPr="006B2A4D">
        <w:rPr>
          <w:rFonts w:eastAsia="Verdana" w:cs="Verdana"/>
          <w:spacing w:val="1"/>
          <w:sz w:val="20"/>
          <w:szCs w:val="20"/>
          <w:lang w:eastAsia="es-ES"/>
        </w:rPr>
        <w:t>p</w:t>
      </w:r>
      <w:r w:rsidRPr="006B2A4D">
        <w:rPr>
          <w:rFonts w:eastAsia="Verdana" w:cs="Verdana"/>
          <w:spacing w:val="-1"/>
          <w:sz w:val="20"/>
          <w:szCs w:val="20"/>
          <w:lang w:eastAsia="es-ES"/>
        </w:rPr>
        <w:t>re</w:t>
      </w:r>
      <w:r w:rsidRPr="006B2A4D">
        <w:rPr>
          <w:rFonts w:eastAsia="Verdana" w:cs="Verdana"/>
          <w:spacing w:val="3"/>
          <w:sz w:val="20"/>
          <w:szCs w:val="20"/>
          <w:lang w:eastAsia="es-ES"/>
        </w:rPr>
        <w:t>t</w:t>
      </w:r>
      <w:r w:rsidRPr="006B2A4D">
        <w:rPr>
          <w:rFonts w:eastAsia="Verdana" w:cs="Verdana"/>
          <w:spacing w:val="-1"/>
          <w:sz w:val="20"/>
          <w:szCs w:val="20"/>
          <w:lang w:eastAsia="es-ES"/>
        </w:rPr>
        <w:t>e</w:t>
      </w:r>
      <w:r w:rsidRPr="006B2A4D">
        <w:rPr>
          <w:rFonts w:eastAsia="Verdana" w:cs="Verdana"/>
          <w:spacing w:val="1"/>
          <w:sz w:val="20"/>
          <w:szCs w:val="20"/>
          <w:lang w:eastAsia="es-ES"/>
        </w:rPr>
        <w:t>n</w:t>
      </w:r>
      <w:r w:rsidRPr="006B2A4D">
        <w:rPr>
          <w:rFonts w:eastAsia="Verdana" w:cs="Verdana"/>
          <w:sz w:val="20"/>
          <w:szCs w:val="20"/>
          <w:lang w:eastAsia="es-ES"/>
        </w:rPr>
        <w:t>s</w:t>
      </w:r>
      <w:r w:rsidRPr="006B2A4D">
        <w:rPr>
          <w:rFonts w:eastAsia="Verdana" w:cs="Verdana"/>
          <w:spacing w:val="2"/>
          <w:sz w:val="20"/>
          <w:szCs w:val="20"/>
          <w:lang w:eastAsia="es-ES"/>
        </w:rPr>
        <w:t>i</w:t>
      </w:r>
      <w:r w:rsidRPr="006B2A4D">
        <w:rPr>
          <w:rFonts w:eastAsia="Verdana" w:cs="Verdana"/>
          <w:spacing w:val="-1"/>
          <w:sz w:val="20"/>
          <w:szCs w:val="20"/>
          <w:lang w:eastAsia="es-ES"/>
        </w:rPr>
        <w:t>o</w:t>
      </w:r>
      <w:r w:rsidRPr="006B2A4D">
        <w:rPr>
          <w:rFonts w:eastAsia="Verdana" w:cs="Verdana"/>
          <w:spacing w:val="1"/>
          <w:sz w:val="20"/>
          <w:szCs w:val="20"/>
          <w:lang w:eastAsia="es-ES"/>
        </w:rPr>
        <w:t>ne</w:t>
      </w:r>
      <w:r w:rsidRPr="006B2A4D">
        <w:rPr>
          <w:rFonts w:eastAsia="Verdana" w:cs="Verdana"/>
          <w:sz w:val="20"/>
          <w:szCs w:val="20"/>
          <w:lang w:eastAsia="es-ES"/>
        </w:rPr>
        <w:t>s</w:t>
      </w:r>
      <w:r w:rsidRPr="006B2A4D">
        <w:rPr>
          <w:rFonts w:eastAsia="Verdana" w:cs="Verdana"/>
          <w:spacing w:val="48"/>
          <w:sz w:val="20"/>
          <w:szCs w:val="20"/>
          <w:lang w:eastAsia="es-ES"/>
        </w:rPr>
        <w:t xml:space="preserve"> </w:t>
      </w:r>
      <w:r w:rsidRPr="006B2A4D">
        <w:rPr>
          <w:rFonts w:eastAsia="Verdana" w:cs="Verdana"/>
          <w:spacing w:val="1"/>
          <w:sz w:val="20"/>
          <w:szCs w:val="20"/>
          <w:lang w:eastAsia="es-ES"/>
        </w:rPr>
        <w:t>d</w:t>
      </w:r>
      <w:r w:rsidRPr="006B2A4D">
        <w:rPr>
          <w:rFonts w:eastAsia="Verdana" w:cs="Verdana"/>
          <w:sz w:val="20"/>
          <w:szCs w:val="20"/>
          <w:lang w:eastAsia="es-ES"/>
        </w:rPr>
        <w:t>e</w:t>
      </w:r>
      <w:r w:rsidRPr="006B2A4D">
        <w:rPr>
          <w:rFonts w:eastAsia="Verdana" w:cs="Verdana"/>
          <w:spacing w:val="58"/>
          <w:sz w:val="20"/>
          <w:szCs w:val="20"/>
          <w:lang w:eastAsia="es-ES"/>
        </w:rPr>
        <w:t xml:space="preserve"> </w:t>
      </w:r>
      <w:r w:rsidRPr="006B2A4D">
        <w:rPr>
          <w:rFonts w:eastAsia="Verdana" w:cs="Verdana"/>
          <w:spacing w:val="3"/>
          <w:sz w:val="20"/>
          <w:szCs w:val="20"/>
          <w:lang w:eastAsia="es-ES"/>
        </w:rPr>
        <w:t>l</w:t>
      </w:r>
      <w:r w:rsidRPr="006B2A4D">
        <w:rPr>
          <w:rFonts w:eastAsia="Verdana" w:cs="Verdana"/>
          <w:sz w:val="20"/>
          <w:szCs w:val="20"/>
          <w:lang w:eastAsia="es-ES"/>
        </w:rPr>
        <w:t>as</w:t>
      </w:r>
      <w:r w:rsidRPr="006B2A4D">
        <w:rPr>
          <w:rFonts w:eastAsia="Verdana" w:cs="Verdana"/>
          <w:spacing w:val="59"/>
          <w:sz w:val="20"/>
          <w:szCs w:val="20"/>
          <w:lang w:eastAsia="es-ES"/>
        </w:rPr>
        <w:t xml:space="preserve"> </w:t>
      </w:r>
      <w:r w:rsidRPr="006B2A4D">
        <w:rPr>
          <w:rFonts w:eastAsia="Verdana" w:cs="Verdana"/>
          <w:sz w:val="20"/>
          <w:szCs w:val="20"/>
          <w:lang w:eastAsia="es-ES"/>
        </w:rPr>
        <w:t>v</w:t>
      </w:r>
      <w:r w:rsidRPr="006B2A4D">
        <w:rPr>
          <w:rFonts w:eastAsia="Verdana" w:cs="Verdana"/>
          <w:spacing w:val="3"/>
          <w:sz w:val="20"/>
          <w:szCs w:val="20"/>
          <w:lang w:eastAsia="es-ES"/>
        </w:rPr>
        <w:t>í</w:t>
      </w:r>
      <w:r w:rsidRPr="006B2A4D">
        <w:rPr>
          <w:rFonts w:eastAsia="Verdana" w:cs="Verdana"/>
          <w:sz w:val="20"/>
          <w:szCs w:val="20"/>
          <w:lang w:eastAsia="es-ES"/>
        </w:rPr>
        <w:t>ct</w:t>
      </w:r>
      <w:r w:rsidRPr="006B2A4D">
        <w:rPr>
          <w:rFonts w:eastAsia="Verdana" w:cs="Verdana"/>
          <w:spacing w:val="3"/>
          <w:sz w:val="20"/>
          <w:szCs w:val="20"/>
          <w:lang w:eastAsia="es-ES"/>
        </w:rPr>
        <w:t>i</w:t>
      </w:r>
      <w:r w:rsidRPr="006B2A4D">
        <w:rPr>
          <w:rFonts w:eastAsia="Verdana" w:cs="Verdana"/>
          <w:sz w:val="20"/>
          <w:szCs w:val="20"/>
          <w:lang w:eastAsia="es-ES"/>
        </w:rPr>
        <w:t>m</w:t>
      </w:r>
      <w:r w:rsidRPr="006B2A4D">
        <w:rPr>
          <w:rFonts w:eastAsia="Verdana" w:cs="Verdana"/>
          <w:spacing w:val="1"/>
          <w:sz w:val="20"/>
          <w:szCs w:val="20"/>
          <w:lang w:eastAsia="es-ES"/>
        </w:rPr>
        <w:t>a</w:t>
      </w:r>
      <w:r w:rsidRPr="006B2A4D">
        <w:rPr>
          <w:rFonts w:eastAsia="Verdana" w:cs="Verdana"/>
          <w:sz w:val="20"/>
          <w:szCs w:val="20"/>
          <w:lang w:eastAsia="es-ES"/>
        </w:rPr>
        <w:t>s</w:t>
      </w:r>
      <w:r w:rsidRPr="006B2A4D">
        <w:rPr>
          <w:rFonts w:eastAsia="Verdana" w:cs="Verdana"/>
          <w:spacing w:val="52"/>
          <w:sz w:val="20"/>
          <w:szCs w:val="20"/>
          <w:lang w:eastAsia="es-ES"/>
        </w:rPr>
        <w:t xml:space="preserve"> </w:t>
      </w:r>
      <w:r w:rsidRPr="006B2A4D">
        <w:rPr>
          <w:rFonts w:eastAsia="Verdana" w:cs="Verdana"/>
          <w:sz w:val="20"/>
          <w:szCs w:val="20"/>
          <w:lang w:eastAsia="es-ES"/>
        </w:rPr>
        <w:t>o</w:t>
      </w:r>
      <w:r w:rsidRPr="006B2A4D">
        <w:rPr>
          <w:rFonts w:eastAsia="Verdana" w:cs="Verdana"/>
          <w:spacing w:val="59"/>
          <w:sz w:val="20"/>
          <w:szCs w:val="20"/>
          <w:lang w:eastAsia="es-ES"/>
        </w:rPr>
        <w:t xml:space="preserve"> </w:t>
      </w:r>
      <w:r w:rsidRPr="006B2A4D">
        <w:rPr>
          <w:rFonts w:eastAsia="Verdana" w:cs="Verdana"/>
          <w:spacing w:val="2"/>
          <w:sz w:val="20"/>
          <w:szCs w:val="20"/>
          <w:lang w:eastAsia="es-ES"/>
        </w:rPr>
        <w:t>s</w:t>
      </w:r>
      <w:r w:rsidRPr="006B2A4D">
        <w:rPr>
          <w:rFonts w:eastAsia="Verdana" w:cs="Verdana"/>
          <w:spacing w:val="1"/>
          <w:sz w:val="20"/>
          <w:szCs w:val="20"/>
          <w:lang w:eastAsia="es-ES"/>
        </w:rPr>
        <w:t>u</w:t>
      </w:r>
      <w:r w:rsidRPr="006B2A4D">
        <w:rPr>
          <w:rFonts w:eastAsia="Verdana" w:cs="Verdana"/>
          <w:sz w:val="20"/>
          <w:szCs w:val="20"/>
          <w:lang w:eastAsia="es-ES"/>
        </w:rPr>
        <w:t>s</w:t>
      </w:r>
      <w:r w:rsidRPr="006B2A4D">
        <w:rPr>
          <w:rFonts w:eastAsia="Verdana" w:cs="Verdana"/>
          <w:spacing w:val="57"/>
          <w:sz w:val="20"/>
          <w:szCs w:val="20"/>
          <w:lang w:eastAsia="es-ES"/>
        </w:rPr>
        <w:t xml:space="preserve"> </w:t>
      </w:r>
      <w:r w:rsidRPr="006B2A4D">
        <w:rPr>
          <w:rFonts w:eastAsia="Verdana" w:cs="Verdana"/>
          <w:spacing w:val="1"/>
          <w:sz w:val="20"/>
          <w:szCs w:val="20"/>
          <w:lang w:eastAsia="es-ES"/>
        </w:rPr>
        <w:t>r</w:t>
      </w:r>
      <w:r w:rsidRPr="006B2A4D">
        <w:rPr>
          <w:rFonts w:eastAsia="Verdana" w:cs="Verdana"/>
          <w:spacing w:val="-1"/>
          <w:sz w:val="20"/>
          <w:szCs w:val="20"/>
          <w:lang w:eastAsia="es-ES"/>
        </w:rPr>
        <w:t>e</w:t>
      </w:r>
      <w:r w:rsidRPr="006B2A4D">
        <w:rPr>
          <w:rFonts w:eastAsia="Verdana" w:cs="Verdana"/>
          <w:spacing w:val="1"/>
          <w:sz w:val="20"/>
          <w:szCs w:val="20"/>
          <w:lang w:eastAsia="es-ES"/>
        </w:rPr>
        <w:t>pr</w:t>
      </w:r>
      <w:r w:rsidRPr="006B2A4D">
        <w:rPr>
          <w:rFonts w:eastAsia="Verdana" w:cs="Verdana"/>
          <w:spacing w:val="-1"/>
          <w:sz w:val="20"/>
          <w:szCs w:val="20"/>
          <w:lang w:eastAsia="es-ES"/>
        </w:rPr>
        <w:t>e</w:t>
      </w:r>
      <w:r w:rsidRPr="006B2A4D">
        <w:rPr>
          <w:rFonts w:eastAsia="Verdana" w:cs="Verdana"/>
          <w:spacing w:val="2"/>
          <w:sz w:val="20"/>
          <w:szCs w:val="20"/>
          <w:lang w:eastAsia="es-ES"/>
        </w:rPr>
        <w:t>s</w:t>
      </w:r>
      <w:r w:rsidRPr="006B2A4D">
        <w:rPr>
          <w:rFonts w:eastAsia="Verdana" w:cs="Verdana"/>
          <w:spacing w:val="-1"/>
          <w:sz w:val="20"/>
          <w:szCs w:val="20"/>
          <w:lang w:eastAsia="es-ES"/>
        </w:rPr>
        <w:t>e</w:t>
      </w:r>
      <w:r w:rsidRPr="006B2A4D">
        <w:rPr>
          <w:rFonts w:eastAsia="Verdana" w:cs="Verdana"/>
          <w:spacing w:val="1"/>
          <w:sz w:val="20"/>
          <w:szCs w:val="20"/>
          <w:lang w:eastAsia="es-ES"/>
        </w:rPr>
        <w:t>nt</w:t>
      </w:r>
      <w:r w:rsidRPr="006B2A4D">
        <w:rPr>
          <w:rFonts w:eastAsia="Verdana" w:cs="Verdana"/>
          <w:sz w:val="20"/>
          <w:szCs w:val="20"/>
          <w:lang w:eastAsia="es-ES"/>
        </w:rPr>
        <w:t>a</w:t>
      </w:r>
      <w:r w:rsidRPr="006B2A4D">
        <w:rPr>
          <w:rFonts w:eastAsia="Verdana" w:cs="Verdana"/>
          <w:spacing w:val="1"/>
          <w:sz w:val="20"/>
          <w:szCs w:val="20"/>
          <w:lang w:eastAsia="es-ES"/>
        </w:rPr>
        <w:t>nt</w:t>
      </w:r>
      <w:r w:rsidRPr="006B2A4D">
        <w:rPr>
          <w:rFonts w:eastAsia="Verdana" w:cs="Verdana"/>
          <w:spacing w:val="-1"/>
          <w:sz w:val="20"/>
          <w:szCs w:val="20"/>
          <w:lang w:eastAsia="es-ES"/>
        </w:rPr>
        <w:t>e</w:t>
      </w:r>
      <w:r w:rsidRPr="006B2A4D">
        <w:rPr>
          <w:rFonts w:eastAsia="Verdana" w:cs="Verdana"/>
          <w:sz w:val="20"/>
          <w:szCs w:val="20"/>
          <w:lang w:eastAsia="es-ES"/>
        </w:rPr>
        <w:t>s</w:t>
      </w:r>
      <w:r w:rsidRPr="006B2A4D">
        <w:rPr>
          <w:rFonts w:eastAsia="Verdana" w:cs="Verdana"/>
          <w:spacing w:val="48"/>
          <w:sz w:val="20"/>
          <w:szCs w:val="20"/>
          <w:lang w:eastAsia="es-ES"/>
        </w:rPr>
        <w:t xml:space="preserve"> </w:t>
      </w:r>
      <w:r w:rsidRPr="006B2A4D">
        <w:rPr>
          <w:rFonts w:eastAsia="Verdana" w:cs="Verdana"/>
          <w:spacing w:val="-1"/>
          <w:sz w:val="20"/>
          <w:szCs w:val="20"/>
          <w:lang w:eastAsia="es-ES"/>
        </w:rPr>
        <w:t>e</w:t>
      </w:r>
      <w:r w:rsidRPr="006B2A4D">
        <w:rPr>
          <w:rFonts w:eastAsia="Verdana" w:cs="Verdana"/>
          <w:sz w:val="20"/>
          <w:szCs w:val="20"/>
          <w:lang w:eastAsia="es-ES"/>
        </w:rPr>
        <w:t>n m</w:t>
      </w:r>
      <w:r w:rsidRPr="006B2A4D">
        <w:rPr>
          <w:rFonts w:eastAsia="Verdana" w:cs="Verdana"/>
          <w:spacing w:val="1"/>
          <w:sz w:val="20"/>
          <w:szCs w:val="20"/>
          <w:lang w:eastAsia="es-ES"/>
        </w:rPr>
        <w:t>at</w:t>
      </w:r>
      <w:r w:rsidRPr="006B2A4D">
        <w:rPr>
          <w:rFonts w:eastAsia="Verdana" w:cs="Verdana"/>
          <w:spacing w:val="-1"/>
          <w:sz w:val="20"/>
          <w:szCs w:val="20"/>
          <w:lang w:eastAsia="es-ES"/>
        </w:rPr>
        <w:t>er</w:t>
      </w:r>
      <w:r w:rsidRPr="006B2A4D">
        <w:rPr>
          <w:rFonts w:eastAsia="Verdana" w:cs="Verdana"/>
          <w:spacing w:val="3"/>
          <w:sz w:val="20"/>
          <w:szCs w:val="20"/>
          <w:lang w:eastAsia="es-ES"/>
        </w:rPr>
        <w:t>i</w:t>
      </w:r>
      <w:r w:rsidRPr="006B2A4D">
        <w:rPr>
          <w:rFonts w:eastAsia="Verdana" w:cs="Verdana"/>
          <w:sz w:val="20"/>
          <w:szCs w:val="20"/>
          <w:lang w:eastAsia="es-ES"/>
        </w:rPr>
        <w:t>a</w:t>
      </w:r>
      <w:r w:rsidRPr="006B2A4D">
        <w:rPr>
          <w:rFonts w:eastAsia="Verdana" w:cs="Verdana"/>
          <w:spacing w:val="6"/>
          <w:sz w:val="20"/>
          <w:szCs w:val="20"/>
          <w:lang w:eastAsia="es-ES"/>
        </w:rPr>
        <w:t xml:space="preserve"> </w:t>
      </w:r>
      <w:r w:rsidRPr="006B2A4D">
        <w:rPr>
          <w:rFonts w:eastAsia="Verdana" w:cs="Verdana"/>
          <w:spacing w:val="1"/>
          <w:sz w:val="20"/>
          <w:szCs w:val="20"/>
          <w:lang w:eastAsia="es-ES"/>
        </w:rPr>
        <w:t>d</w:t>
      </w:r>
      <w:r w:rsidRPr="006B2A4D">
        <w:rPr>
          <w:rFonts w:eastAsia="Verdana" w:cs="Verdana"/>
          <w:sz w:val="20"/>
          <w:szCs w:val="20"/>
          <w:lang w:eastAsia="es-ES"/>
        </w:rPr>
        <w:t>e</w:t>
      </w:r>
      <w:r w:rsidRPr="006B2A4D">
        <w:rPr>
          <w:rFonts w:eastAsia="Verdana" w:cs="Verdana"/>
          <w:spacing w:val="10"/>
          <w:sz w:val="20"/>
          <w:szCs w:val="20"/>
          <w:lang w:eastAsia="es-ES"/>
        </w:rPr>
        <w:t xml:space="preserve"> </w:t>
      </w:r>
      <w:r w:rsidRPr="006B2A4D">
        <w:rPr>
          <w:rFonts w:eastAsia="Verdana" w:cs="Verdana"/>
          <w:sz w:val="20"/>
          <w:szCs w:val="20"/>
          <w:lang w:eastAsia="es-ES"/>
        </w:rPr>
        <w:t>c</w:t>
      </w:r>
      <w:r w:rsidRPr="006B2A4D">
        <w:rPr>
          <w:rFonts w:eastAsia="Verdana" w:cs="Verdana"/>
          <w:spacing w:val="3"/>
          <w:sz w:val="20"/>
          <w:szCs w:val="20"/>
          <w:lang w:eastAsia="es-ES"/>
        </w:rPr>
        <w:t>o</w:t>
      </w:r>
      <w:r w:rsidRPr="006B2A4D">
        <w:rPr>
          <w:rFonts w:eastAsia="Verdana" w:cs="Verdana"/>
          <w:sz w:val="20"/>
          <w:szCs w:val="20"/>
          <w:lang w:eastAsia="es-ES"/>
        </w:rPr>
        <w:t>stas</w:t>
      </w:r>
      <w:r w:rsidRPr="006B2A4D">
        <w:rPr>
          <w:rFonts w:eastAsia="Verdana" w:cs="Verdana"/>
          <w:spacing w:val="8"/>
          <w:sz w:val="20"/>
          <w:szCs w:val="20"/>
          <w:lang w:eastAsia="es-ES"/>
        </w:rPr>
        <w:t xml:space="preserve"> </w:t>
      </w:r>
      <w:r w:rsidRPr="006B2A4D">
        <w:rPr>
          <w:rFonts w:eastAsia="Verdana" w:cs="Verdana"/>
          <w:sz w:val="20"/>
          <w:szCs w:val="20"/>
          <w:lang w:eastAsia="es-ES"/>
        </w:rPr>
        <w:t>y</w:t>
      </w:r>
      <w:r w:rsidRPr="006B2A4D">
        <w:rPr>
          <w:rFonts w:eastAsia="Verdana" w:cs="Verdana"/>
          <w:spacing w:val="13"/>
          <w:sz w:val="20"/>
          <w:szCs w:val="20"/>
          <w:lang w:eastAsia="es-ES"/>
        </w:rPr>
        <w:t xml:space="preserve"> </w:t>
      </w:r>
      <w:r w:rsidRPr="006B2A4D">
        <w:rPr>
          <w:rFonts w:eastAsia="Verdana" w:cs="Verdana"/>
          <w:spacing w:val="1"/>
          <w:sz w:val="20"/>
          <w:szCs w:val="20"/>
          <w:lang w:eastAsia="es-ES"/>
        </w:rPr>
        <w:t>g</w:t>
      </w:r>
      <w:r w:rsidRPr="006B2A4D">
        <w:rPr>
          <w:rFonts w:eastAsia="Verdana" w:cs="Verdana"/>
          <w:spacing w:val="2"/>
          <w:sz w:val="20"/>
          <w:szCs w:val="20"/>
          <w:lang w:eastAsia="es-ES"/>
        </w:rPr>
        <w:t>a</w:t>
      </w:r>
      <w:r w:rsidRPr="006B2A4D">
        <w:rPr>
          <w:rFonts w:eastAsia="Verdana" w:cs="Verdana"/>
          <w:sz w:val="20"/>
          <w:szCs w:val="20"/>
          <w:lang w:eastAsia="es-ES"/>
        </w:rPr>
        <w:t>st</w:t>
      </w:r>
      <w:r w:rsidRPr="006B2A4D">
        <w:rPr>
          <w:rFonts w:eastAsia="Verdana" w:cs="Verdana"/>
          <w:spacing w:val="-1"/>
          <w:sz w:val="20"/>
          <w:szCs w:val="20"/>
          <w:lang w:eastAsia="es-ES"/>
        </w:rPr>
        <w:t>o</w:t>
      </w:r>
      <w:r w:rsidRPr="006B2A4D">
        <w:rPr>
          <w:rFonts w:eastAsia="Verdana" w:cs="Verdana"/>
          <w:spacing w:val="2"/>
          <w:sz w:val="20"/>
          <w:szCs w:val="20"/>
          <w:lang w:eastAsia="es-ES"/>
        </w:rPr>
        <w:t>s</w:t>
      </w:r>
      <w:r w:rsidRPr="006B2A4D">
        <w:rPr>
          <w:rFonts w:eastAsia="Verdana" w:cs="Verdana"/>
          <w:sz w:val="20"/>
          <w:szCs w:val="20"/>
          <w:lang w:eastAsia="es-ES"/>
        </w:rPr>
        <w:t>,</w:t>
      </w:r>
      <w:r w:rsidRPr="006B2A4D">
        <w:rPr>
          <w:rFonts w:eastAsia="Verdana" w:cs="Verdana"/>
          <w:spacing w:val="7"/>
          <w:sz w:val="20"/>
          <w:szCs w:val="20"/>
          <w:lang w:eastAsia="es-ES"/>
        </w:rPr>
        <w:t xml:space="preserve"> </w:t>
      </w:r>
      <w:r w:rsidRPr="006B2A4D">
        <w:rPr>
          <w:rFonts w:eastAsia="Verdana" w:cs="Verdana"/>
          <w:sz w:val="20"/>
          <w:szCs w:val="20"/>
          <w:lang w:eastAsia="es-ES"/>
        </w:rPr>
        <w:t>y</w:t>
      </w:r>
      <w:r w:rsidRPr="006B2A4D">
        <w:rPr>
          <w:rFonts w:eastAsia="Verdana" w:cs="Verdana"/>
          <w:spacing w:val="13"/>
          <w:sz w:val="20"/>
          <w:szCs w:val="20"/>
          <w:lang w:eastAsia="es-ES"/>
        </w:rPr>
        <w:t xml:space="preserve"> </w:t>
      </w:r>
      <w:r w:rsidRPr="006B2A4D">
        <w:rPr>
          <w:rFonts w:eastAsia="Verdana" w:cs="Verdana"/>
          <w:spacing w:val="3"/>
          <w:sz w:val="20"/>
          <w:szCs w:val="20"/>
          <w:lang w:eastAsia="es-ES"/>
        </w:rPr>
        <w:t>l</w:t>
      </w:r>
      <w:r w:rsidRPr="006B2A4D">
        <w:rPr>
          <w:rFonts w:eastAsia="Verdana" w:cs="Verdana"/>
          <w:sz w:val="20"/>
          <w:szCs w:val="20"/>
          <w:lang w:eastAsia="es-ES"/>
        </w:rPr>
        <w:t>as</w:t>
      </w:r>
      <w:r w:rsidRPr="006B2A4D">
        <w:rPr>
          <w:rFonts w:eastAsia="Verdana" w:cs="Verdana"/>
          <w:spacing w:val="11"/>
          <w:sz w:val="20"/>
          <w:szCs w:val="20"/>
          <w:lang w:eastAsia="es-ES"/>
        </w:rPr>
        <w:t xml:space="preserve"> </w:t>
      </w:r>
      <w:r w:rsidRPr="006B2A4D">
        <w:rPr>
          <w:rFonts w:eastAsia="Verdana" w:cs="Verdana"/>
          <w:spacing w:val="1"/>
          <w:sz w:val="20"/>
          <w:szCs w:val="20"/>
          <w:lang w:eastAsia="es-ES"/>
        </w:rPr>
        <w:t>p</w:t>
      </w:r>
      <w:r w:rsidRPr="006B2A4D">
        <w:rPr>
          <w:rFonts w:eastAsia="Verdana" w:cs="Verdana"/>
          <w:spacing w:val="-1"/>
          <w:sz w:val="20"/>
          <w:szCs w:val="20"/>
          <w:lang w:eastAsia="es-ES"/>
        </w:rPr>
        <w:t>r</w:t>
      </w:r>
      <w:r w:rsidRPr="006B2A4D">
        <w:rPr>
          <w:rFonts w:eastAsia="Verdana" w:cs="Verdana"/>
          <w:spacing w:val="1"/>
          <w:sz w:val="20"/>
          <w:szCs w:val="20"/>
          <w:lang w:eastAsia="es-ES"/>
        </w:rPr>
        <w:t>u</w:t>
      </w:r>
      <w:r w:rsidRPr="006B2A4D">
        <w:rPr>
          <w:rFonts w:eastAsia="Verdana" w:cs="Verdana"/>
          <w:spacing w:val="-1"/>
          <w:sz w:val="20"/>
          <w:szCs w:val="20"/>
          <w:lang w:eastAsia="es-ES"/>
        </w:rPr>
        <w:t>e</w:t>
      </w:r>
      <w:r w:rsidRPr="006B2A4D">
        <w:rPr>
          <w:rFonts w:eastAsia="Verdana" w:cs="Verdana"/>
          <w:spacing w:val="1"/>
          <w:sz w:val="20"/>
          <w:szCs w:val="20"/>
          <w:lang w:eastAsia="es-ES"/>
        </w:rPr>
        <w:t>b</w:t>
      </w:r>
      <w:r w:rsidRPr="006B2A4D">
        <w:rPr>
          <w:rFonts w:eastAsia="Verdana" w:cs="Verdana"/>
          <w:sz w:val="20"/>
          <w:szCs w:val="20"/>
          <w:lang w:eastAsia="es-ES"/>
        </w:rPr>
        <w:t>as</w:t>
      </w:r>
      <w:r w:rsidRPr="006B2A4D">
        <w:rPr>
          <w:rFonts w:eastAsia="Verdana" w:cs="Verdana"/>
          <w:spacing w:val="6"/>
          <w:sz w:val="20"/>
          <w:szCs w:val="20"/>
          <w:lang w:eastAsia="es-ES"/>
        </w:rPr>
        <w:t xml:space="preserve"> </w:t>
      </w:r>
      <w:r w:rsidRPr="006B2A4D">
        <w:rPr>
          <w:rFonts w:eastAsia="Verdana" w:cs="Verdana"/>
          <w:spacing w:val="1"/>
          <w:sz w:val="20"/>
          <w:szCs w:val="20"/>
          <w:lang w:eastAsia="es-ES"/>
        </w:rPr>
        <w:t>qu</w:t>
      </w:r>
      <w:r w:rsidRPr="006B2A4D">
        <w:rPr>
          <w:rFonts w:eastAsia="Verdana" w:cs="Verdana"/>
          <w:sz w:val="20"/>
          <w:szCs w:val="20"/>
          <w:lang w:eastAsia="es-ES"/>
        </w:rPr>
        <w:t>e</w:t>
      </w:r>
      <w:r w:rsidRPr="006B2A4D">
        <w:rPr>
          <w:rFonts w:eastAsia="Verdana" w:cs="Verdana"/>
          <w:spacing w:val="11"/>
          <w:sz w:val="20"/>
          <w:szCs w:val="20"/>
          <w:lang w:eastAsia="es-ES"/>
        </w:rPr>
        <w:t xml:space="preserve"> </w:t>
      </w:r>
      <w:r w:rsidRPr="006B2A4D">
        <w:rPr>
          <w:rFonts w:eastAsia="Verdana" w:cs="Verdana"/>
          <w:spacing w:val="3"/>
          <w:sz w:val="20"/>
          <w:szCs w:val="20"/>
          <w:lang w:eastAsia="es-ES"/>
        </w:rPr>
        <w:t>l</w:t>
      </w:r>
      <w:r w:rsidRPr="006B2A4D">
        <w:rPr>
          <w:rFonts w:eastAsia="Verdana" w:cs="Verdana"/>
          <w:sz w:val="20"/>
          <w:szCs w:val="20"/>
          <w:lang w:eastAsia="es-ES"/>
        </w:rPr>
        <w:t>as</w:t>
      </w:r>
      <w:r w:rsidRPr="006B2A4D">
        <w:rPr>
          <w:rFonts w:eastAsia="Verdana" w:cs="Verdana"/>
          <w:spacing w:val="11"/>
          <w:sz w:val="20"/>
          <w:szCs w:val="20"/>
          <w:lang w:eastAsia="es-ES"/>
        </w:rPr>
        <w:t xml:space="preserve"> </w:t>
      </w:r>
      <w:r w:rsidRPr="006B2A4D">
        <w:rPr>
          <w:rFonts w:eastAsia="Verdana" w:cs="Verdana"/>
          <w:sz w:val="20"/>
          <w:szCs w:val="20"/>
          <w:lang w:eastAsia="es-ES"/>
        </w:rPr>
        <w:t>sust</w:t>
      </w:r>
      <w:r w:rsidRPr="006B2A4D">
        <w:rPr>
          <w:rFonts w:eastAsia="Verdana" w:cs="Verdana"/>
          <w:spacing w:val="-1"/>
          <w:sz w:val="20"/>
          <w:szCs w:val="20"/>
          <w:lang w:eastAsia="es-ES"/>
        </w:rPr>
        <w:t>e</w:t>
      </w:r>
      <w:r w:rsidRPr="006B2A4D">
        <w:rPr>
          <w:rFonts w:eastAsia="Verdana" w:cs="Verdana"/>
          <w:spacing w:val="1"/>
          <w:sz w:val="20"/>
          <w:szCs w:val="20"/>
          <w:lang w:eastAsia="es-ES"/>
        </w:rPr>
        <w:t>nt</w:t>
      </w:r>
      <w:r w:rsidRPr="006B2A4D">
        <w:rPr>
          <w:rFonts w:eastAsia="Verdana" w:cs="Verdana"/>
          <w:sz w:val="20"/>
          <w:szCs w:val="20"/>
          <w:lang w:eastAsia="es-ES"/>
        </w:rPr>
        <w:t>a</w:t>
      </w:r>
      <w:r w:rsidRPr="006B2A4D">
        <w:rPr>
          <w:rFonts w:eastAsia="Verdana" w:cs="Verdana"/>
          <w:spacing w:val="1"/>
          <w:sz w:val="20"/>
          <w:szCs w:val="20"/>
          <w:lang w:eastAsia="es-ES"/>
        </w:rPr>
        <w:t>n</w:t>
      </w:r>
      <w:r w:rsidRPr="006B2A4D">
        <w:rPr>
          <w:rFonts w:eastAsia="Verdana" w:cs="Verdana"/>
          <w:sz w:val="20"/>
          <w:szCs w:val="20"/>
          <w:lang w:eastAsia="es-ES"/>
        </w:rPr>
        <w:t>,</w:t>
      </w:r>
      <w:r w:rsidRPr="006B2A4D">
        <w:rPr>
          <w:rFonts w:eastAsia="Verdana" w:cs="Verdana"/>
          <w:spacing w:val="3"/>
          <w:sz w:val="20"/>
          <w:szCs w:val="20"/>
          <w:lang w:eastAsia="es-ES"/>
        </w:rPr>
        <w:t xml:space="preserve"> </w:t>
      </w:r>
      <w:r w:rsidRPr="006B2A4D">
        <w:rPr>
          <w:rFonts w:eastAsia="Verdana" w:cs="Verdana"/>
          <w:spacing w:val="1"/>
          <w:sz w:val="20"/>
          <w:szCs w:val="20"/>
          <w:lang w:eastAsia="es-ES"/>
        </w:rPr>
        <w:t>d</w:t>
      </w:r>
      <w:r w:rsidRPr="006B2A4D">
        <w:rPr>
          <w:rFonts w:eastAsia="Verdana" w:cs="Verdana"/>
          <w:spacing w:val="-1"/>
          <w:sz w:val="20"/>
          <w:szCs w:val="20"/>
          <w:lang w:eastAsia="es-ES"/>
        </w:rPr>
        <w:t>e</w:t>
      </w:r>
      <w:r w:rsidRPr="006B2A4D">
        <w:rPr>
          <w:rFonts w:eastAsia="Verdana" w:cs="Verdana"/>
          <w:spacing w:val="1"/>
          <w:sz w:val="20"/>
          <w:szCs w:val="20"/>
          <w:lang w:eastAsia="es-ES"/>
        </w:rPr>
        <w:t>b</w:t>
      </w:r>
      <w:r w:rsidRPr="006B2A4D">
        <w:rPr>
          <w:rFonts w:eastAsia="Verdana" w:cs="Verdana"/>
          <w:spacing w:val="-1"/>
          <w:sz w:val="20"/>
          <w:szCs w:val="20"/>
          <w:lang w:eastAsia="es-ES"/>
        </w:rPr>
        <w:t>e</w:t>
      </w:r>
      <w:r w:rsidRPr="006B2A4D">
        <w:rPr>
          <w:rFonts w:eastAsia="Verdana" w:cs="Verdana"/>
          <w:sz w:val="20"/>
          <w:szCs w:val="20"/>
          <w:lang w:eastAsia="es-ES"/>
        </w:rPr>
        <w:t>n</w:t>
      </w:r>
      <w:r w:rsidRPr="006B2A4D">
        <w:rPr>
          <w:rFonts w:eastAsia="Verdana" w:cs="Verdana"/>
          <w:spacing w:val="9"/>
          <w:sz w:val="20"/>
          <w:szCs w:val="20"/>
          <w:lang w:eastAsia="es-ES"/>
        </w:rPr>
        <w:t xml:space="preserve"> </w:t>
      </w:r>
      <w:r w:rsidRPr="006B2A4D">
        <w:rPr>
          <w:rFonts w:eastAsia="Verdana" w:cs="Verdana"/>
          <w:spacing w:val="1"/>
          <w:sz w:val="20"/>
          <w:szCs w:val="20"/>
          <w:lang w:eastAsia="es-ES"/>
        </w:rPr>
        <w:t>p</w:t>
      </w:r>
      <w:r w:rsidRPr="006B2A4D">
        <w:rPr>
          <w:rFonts w:eastAsia="Verdana" w:cs="Verdana"/>
          <w:spacing w:val="-1"/>
          <w:sz w:val="20"/>
          <w:szCs w:val="20"/>
          <w:lang w:eastAsia="es-ES"/>
        </w:rPr>
        <w:t>r</w:t>
      </w:r>
      <w:r w:rsidRPr="006B2A4D">
        <w:rPr>
          <w:rFonts w:eastAsia="Verdana" w:cs="Verdana"/>
          <w:spacing w:val="1"/>
          <w:sz w:val="20"/>
          <w:szCs w:val="20"/>
          <w:lang w:eastAsia="es-ES"/>
        </w:rPr>
        <w:t>e</w:t>
      </w:r>
      <w:r w:rsidRPr="006B2A4D">
        <w:rPr>
          <w:rFonts w:eastAsia="Verdana" w:cs="Verdana"/>
          <w:sz w:val="20"/>
          <w:szCs w:val="20"/>
          <w:lang w:eastAsia="es-ES"/>
        </w:rPr>
        <w:t>s</w:t>
      </w:r>
      <w:r w:rsidRPr="006B2A4D">
        <w:rPr>
          <w:rFonts w:eastAsia="Verdana" w:cs="Verdana"/>
          <w:spacing w:val="-2"/>
          <w:sz w:val="20"/>
          <w:szCs w:val="20"/>
          <w:lang w:eastAsia="es-ES"/>
        </w:rPr>
        <w:t>e</w:t>
      </w:r>
      <w:r w:rsidRPr="006B2A4D">
        <w:rPr>
          <w:rFonts w:eastAsia="Verdana" w:cs="Verdana"/>
          <w:spacing w:val="1"/>
          <w:sz w:val="20"/>
          <w:szCs w:val="20"/>
          <w:lang w:eastAsia="es-ES"/>
        </w:rPr>
        <w:t>nt</w:t>
      </w:r>
      <w:r w:rsidRPr="006B2A4D">
        <w:rPr>
          <w:rFonts w:eastAsia="Verdana" w:cs="Verdana"/>
          <w:sz w:val="20"/>
          <w:szCs w:val="20"/>
          <w:lang w:eastAsia="es-ES"/>
        </w:rPr>
        <w:t>a</w:t>
      </w:r>
      <w:r w:rsidRPr="006B2A4D">
        <w:rPr>
          <w:rFonts w:eastAsia="Verdana" w:cs="Verdana"/>
          <w:spacing w:val="2"/>
          <w:sz w:val="20"/>
          <w:szCs w:val="20"/>
          <w:lang w:eastAsia="es-ES"/>
        </w:rPr>
        <w:t>r</w:t>
      </w:r>
      <w:r w:rsidRPr="006B2A4D">
        <w:rPr>
          <w:rFonts w:eastAsia="Verdana" w:cs="Verdana"/>
          <w:sz w:val="20"/>
          <w:szCs w:val="20"/>
          <w:lang w:eastAsia="es-ES"/>
        </w:rPr>
        <w:t>se a</w:t>
      </w:r>
      <w:r w:rsidRPr="006B2A4D">
        <w:rPr>
          <w:rFonts w:eastAsia="Verdana" w:cs="Verdana"/>
          <w:spacing w:val="13"/>
          <w:sz w:val="20"/>
          <w:szCs w:val="20"/>
          <w:lang w:eastAsia="es-ES"/>
        </w:rPr>
        <w:t xml:space="preserve"> </w:t>
      </w:r>
      <w:r w:rsidRPr="006B2A4D">
        <w:rPr>
          <w:rFonts w:eastAsia="Verdana" w:cs="Verdana"/>
          <w:spacing w:val="3"/>
          <w:sz w:val="20"/>
          <w:szCs w:val="20"/>
          <w:lang w:eastAsia="es-ES"/>
        </w:rPr>
        <w:t>l</w:t>
      </w:r>
      <w:r w:rsidRPr="006B2A4D">
        <w:rPr>
          <w:rFonts w:eastAsia="Verdana" w:cs="Verdana"/>
          <w:sz w:val="20"/>
          <w:szCs w:val="20"/>
          <w:lang w:eastAsia="es-ES"/>
        </w:rPr>
        <w:t>a</w:t>
      </w:r>
      <w:r w:rsidRPr="006B2A4D">
        <w:rPr>
          <w:rFonts w:eastAsia="Verdana" w:cs="Verdana"/>
          <w:spacing w:val="12"/>
          <w:sz w:val="20"/>
          <w:szCs w:val="20"/>
          <w:lang w:eastAsia="es-ES"/>
        </w:rPr>
        <w:t xml:space="preserve"> </w:t>
      </w:r>
      <w:r w:rsidRPr="006B2A4D">
        <w:rPr>
          <w:rFonts w:eastAsia="Verdana" w:cs="Verdana"/>
          <w:sz w:val="20"/>
          <w:szCs w:val="20"/>
          <w:lang w:eastAsia="es-ES"/>
        </w:rPr>
        <w:t>C</w:t>
      </w:r>
      <w:r w:rsidRPr="006B2A4D">
        <w:rPr>
          <w:rFonts w:eastAsia="Verdana" w:cs="Verdana"/>
          <w:spacing w:val="-1"/>
          <w:sz w:val="20"/>
          <w:szCs w:val="20"/>
          <w:lang w:eastAsia="es-ES"/>
        </w:rPr>
        <w:t>or</w:t>
      </w:r>
      <w:r w:rsidRPr="006B2A4D">
        <w:rPr>
          <w:rFonts w:eastAsia="Verdana" w:cs="Verdana"/>
          <w:spacing w:val="3"/>
          <w:sz w:val="20"/>
          <w:szCs w:val="20"/>
          <w:lang w:eastAsia="es-ES"/>
        </w:rPr>
        <w:t>t</w:t>
      </w:r>
      <w:r w:rsidRPr="006B2A4D">
        <w:rPr>
          <w:rFonts w:eastAsia="Verdana" w:cs="Verdana"/>
          <w:sz w:val="20"/>
          <w:szCs w:val="20"/>
          <w:lang w:eastAsia="es-ES"/>
        </w:rPr>
        <w:t>e</w:t>
      </w:r>
      <w:r w:rsidRPr="006B2A4D">
        <w:rPr>
          <w:rFonts w:eastAsia="Verdana" w:cs="Verdana"/>
          <w:spacing w:val="9"/>
          <w:sz w:val="20"/>
          <w:szCs w:val="20"/>
          <w:lang w:eastAsia="es-ES"/>
        </w:rPr>
        <w:t xml:space="preserve"> </w:t>
      </w:r>
      <w:r w:rsidRPr="006B2A4D">
        <w:rPr>
          <w:rFonts w:eastAsia="Verdana" w:cs="Verdana"/>
          <w:spacing w:val="-1"/>
          <w:sz w:val="20"/>
          <w:szCs w:val="20"/>
          <w:lang w:eastAsia="es-ES"/>
        </w:rPr>
        <w:t>e</w:t>
      </w:r>
      <w:r w:rsidRPr="006B2A4D">
        <w:rPr>
          <w:rFonts w:eastAsia="Verdana" w:cs="Verdana"/>
          <w:sz w:val="20"/>
          <w:szCs w:val="20"/>
          <w:lang w:eastAsia="es-ES"/>
        </w:rPr>
        <w:t>n</w:t>
      </w:r>
      <w:r w:rsidRPr="006B2A4D">
        <w:rPr>
          <w:rFonts w:eastAsia="Verdana" w:cs="Verdana"/>
          <w:spacing w:val="12"/>
          <w:sz w:val="20"/>
          <w:szCs w:val="20"/>
          <w:lang w:eastAsia="es-ES"/>
        </w:rPr>
        <w:t xml:space="preserve"> </w:t>
      </w:r>
      <w:r w:rsidRPr="006B2A4D">
        <w:rPr>
          <w:rFonts w:eastAsia="Verdana" w:cs="Verdana"/>
          <w:spacing w:val="-1"/>
          <w:sz w:val="20"/>
          <w:szCs w:val="20"/>
          <w:lang w:eastAsia="es-ES"/>
        </w:rPr>
        <w:t>e</w:t>
      </w:r>
      <w:r w:rsidRPr="006B2A4D">
        <w:rPr>
          <w:rFonts w:eastAsia="Verdana" w:cs="Verdana"/>
          <w:sz w:val="20"/>
          <w:szCs w:val="20"/>
          <w:lang w:eastAsia="es-ES"/>
        </w:rPr>
        <w:t xml:space="preserve">l </w:t>
      </w:r>
      <w:r w:rsidRPr="006B2A4D">
        <w:rPr>
          <w:rFonts w:eastAsia="Verdana" w:cs="Verdana"/>
          <w:spacing w:val="1"/>
          <w:sz w:val="20"/>
          <w:szCs w:val="20"/>
          <w:lang w:eastAsia="es-ES"/>
        </w:rPr>
        <w:t>p</w:t>
      </w:r>
      <w:r w:rsidRPr="006B2A4D">
        <w:rPr>
          <w:rFonts w:eastAsia="Verdana" w:cs="Verdana"/>
          <w:spacing w:val="-1"/>
          <w:sz w:val="20"/>
          <w:szCs w:val="20"/>
          <w:lang w:eastAsia="es-ES"/>
        </w:rPr>
        <w:t>r</w:t>
      </w:r>
      <w:r w:rsidRPr="006B2A4D">
        <w:rPr>
          <w:rFonts w:eastAsia="Verdana" w:cs="Verdana"/>
          <w:spacing w:val="3"/>
          <w:sz w:val="20"/>
          <w:szCs w:val="20"/>
          <w:lang w:eastAsia="es-ES"/>
        </w:rPr>
        <w:t>i</w:t>
      </w:r>
      <w:r w:rsidRPr="006B2A4D">
        <w:rPr>
          <w:rFonts w:eastAsia="Verdana" w:cs="Verdana"/>
          <w:sz w:val="20"/>
          <w:szCs w:val="20"/>
          <w:lang w:eastAsia="es-ES"/>
        </w:rPr>
        <w:t>mer</w:t>
      </w:r>
      <w:r w:rsidRPr="006B2A4D">
        <w:rPr>
          <w:rFonts w:eastAsia="Verdana" w:cs="Verdana"/>
          <w:spacing w:val="-5"/>
          <w:sz w:val="20"/>
          <w:szCs w:val="20"/>
          <w:lang w:eastAsia="es-ES"/>
        </w:rPr>
        <w:t xml:space="preserve"> </w:t>
      </w:r>
      <w:r w:rsidRPr="006B2A4D">
        <w:rPr>
          <w:rFonts w:eastAsia="Verdana" w:cs="Verdana"/>
          <w:sz w:val="20"/>
          <w:szCs w:val="20"/>
          <w:lang w:eastAsia="es-ES"/>
        </w:rPr>
        <w:t>mo</w:t>
      </w:r>
      <w:r w:rsidRPr="006B2A4D">
        <w:rPr>
          <w:rFonts w:eastAsia="Verdana" w:cs="Verdana"/>
          <w:spacing w:val="3"/>
          <w:sz w:val="20"/>
          <w:szCs w:val="20"/>
          <w:lang w:eastAsia="es-ES"/>
        </w:rPr>
        <w:t>m</w:t>
      </w:r>
      <w:r w:rsidRPr="006B2A4D">
        <w:rPr>
          <w:rFonts w:eastAsia="Verdana" w:cs="Verdana"/>
          <w:spacing w:val="-1"/>
          <w:sz w:val="20"/>
          <w:szCs w:val="20"/>
          <w:lang w:eastAsia="es-ES"/>
        </w:rPr>
        <w:t>e</w:t>
      </w:r>
      <w:r w:rsidRPr="006B2A4D">
        <w:rPr>
          <w:rFonts w:eastAsia="Verdana" w:cs="Verdana"/>
          <w:spacing w:val="1"/>
          <w:sz w:val="20"/>
          <w:szCs w:val="20"/>
          <w:lang w:eastAsia="es-ES"/>
        </w:rPr>
        <w:t>nt</w:t>
      </w:r>
      <w:r w:rsidRPr="006B2A4D">
        <w:rPr>
          <w:rFonts w:eastAsia="Verdana" w:cs="Verdana"/>
          <w:sz w:val="20"/>
          <w:szCs w:val="20"/>
          <w:lang w:eastAsia="es-ES"/>
        </w:rPr>
        <w:t>o</w:t>
      </w:r>
      <w:r w:rsidRPr="006B2A4D">
        <w:rPr>
          <w:rFonts w:eastAsia="Verdana" w:cs="Verdana"/>
          <w:spacing w:val="-7"/>
          <w:sz w:val="20"/>
          <w:szCs w:val="20"/>
          <w:lang w:eastAsia="es-ES"/>
        </w:rPr>
        <w:t xml:space="preserve"> </w:t>
      </w:r>
      <w:r w:rsidRPr="006B2A4D">
        <w:rPr>
          <w:rFonts w:eastAsia="Verdana" w:cs="Verdana"/>
          <w:spacing w:val="1"/>
          <w:sz w:val="20"/>
          <w:szCs w:val="20"/>
          <w:lang w:eastAsia="es-ES"/>
        </w:rPr>
        <w:t>p</w:t>
      </w:r>
      <w:r w:rsidRPr="006B2A4D">
        <w:rPr>
          <w:rFonts w:eastAsia="Verdana" w:cs="Verdana"/>
          <w:spacing w:val="-1"/>
          <w:sz w:val="20"/>
          <w:szCs w:val="20"/>
          <w:lang w:eastAsia="es-ES"/>
        </w:rPr>
        <w:t>r</w:t>
      </w:r>
      <w:r w:rsidRPr="006B2A4D">
        <w:rPr>
          <w:rFonts w:eastAsia="Verdana" w:cs="Verdana"/>
          <w:spacing w:val="1"/>
          <w:sz w:val="20"/>
          <w:szCs w:val="20"/>
          <w:lang w:eastAsia="es-ES"/>
        </w:rPr>
        <w:t>o</w:t>
      </w:r>
      <w:r w:rsidRPr="006B2A4D">
        <w:rPr>
          <w:rFonts w:eastAsia="Verdana" w:cs="Verdana"/>
          <w:sz w:val="20"/>
          <w:szCs w:val="20"/>
          <w:lang w:eastAsia="es-ES"/>
        </w:rPr>
        <w:t>ce</w:t>
      </w:r>
      <w:r w:rsidRPr="006B2A4D">
        <w:rPr>
          <w:rFonts w:eastAsia="Verdana" w:cs="Verdana"/>
          <w:spacing w:val="2"/>
          <w:sz w:val="20"/>
          <w:szCs w:val="20"/>
          <w:lang w:eastAsia="es-ES"/>
        </w:rPr>
        <w:t>s</w:t>
      </w:r>
      <w:r w:rsidRPr="006B2A4D">
        <w:rPr>
          <w:rFonts w:eastAsia="Verdana" w:cs="Verdana"/>
          <w:sz w:val="20"/>
          <w:szCs w:val="20"/>
          <w:lang w:eastAsia="es-ES"/>
        </w:rPr>
        <w:t>al</w:t>
      </w:r>
      <w:r w:rsidRPr="006B2A4D">
        <w:rPr>
          <w:rFonts w:eastAsia="Verdana" w:cs="Verdana"/>
          <w:spacing w:val="-4"/>
          <w:sz w:val="20"/>
          <w:szCs w:val="20"/>
          <w:lang w:eastAsia="es-ES"/>
        </w:rPr>
        <w:t xml:space="preserve"> </w:t>
      </w:r>
      <w:r w:rsidRPr="006B2A4D">
        <w:rPr>
          <w:rFonts w:eastAsia="Verdana" w:cs="Verdana"/>
          <w:spacing w:val="1"/>
          <w:sz w:val="20"/>
          <w:szCs w:val="20"/>
          <w:lang w:eastAsia="es-ES"/>
        </w:rPr>
        <w:t>qu</w:t>
      </w:r>
      <w:r w:rsidRPr="006B2A4D">
        <w:rPr>
          <w:rFonts w:eastAsia="Verdana" w:cs="Verdana"/>
          <w:sz w:val="20"/>
          <w:szCs w:val="20"/>
          <w:lang w:eastAsia="es-ES"/>
        </w:rPr>
        <w:t>e</w:t>
      </w:r>
      <w:r w:rsidRPr="006B2A4D">
        <w:rPr>
          <w:rFonts w:eastAsia="Verdana" w:cs="Verdana"/>
          <w:spacing w:val="-1"/>
          <w:sz w:val="20"/>
          <w:szCs w:val="20"/>
          <w:lang w:eastAsia="es-ES"/>
        </w:rPr>
        <w:t xml:space="preserve"> </w:t>
      </w:r>
      <w:r w:rsidRPr="006B2A4D">
        <w:rPr>
          <w:rFonts w:eastAsia="Verdana" w:cs="Verdana"/>
          <w:sz w:val="20"/>
          <w:szCs w:val="20"/>
          <w:lang w:eastAsia="es-ES"/>
        </w:rPr>
        <w:t xml:space="preserve">se </w:t>
      </w:r>
      <w:r w:rsidRPr="006B2A4D">
        <w:rPr>
          <w:rFonts w:eastAsia="Verdana" w:cs="Verdana"/>
          <w:spacing w:val="3"/>
          <w:sz w:val="20"/>
          <w:szCs w:val="20"/>
          <w:lang w:eastAsia="es-ES"/>
        </w:rPr>
        <w:t>l</w:t>
      </w:r>
      <w:r w:rsidRPr="006B2A4D">
        <w:rPr>
          <w:rFonts w:eastAsia="Verdana" w:cs="Verdana"/>
          <w:spacing w:val="-1"/>
          <w:sz w:val="20"/>
          <w:szCs w:val="20"/>
          <w:lang w:eastAsia="es-ES"/>
        </w:rPr>
        <w:t>e</w:t>
      </w:r>
      <w:r w:rsidRPr="006B2A4D">
        <w:rPr>
          <w:rFonts w:eastAsia="Verdana" w:cs="Verdana"/>
          <w:sz w:val="20"/>
          <w:szCs w:val="20"/>
          <w:lang w:eastAsia="es-ES"/>
        </w:rPr>
        <w:t>s c</w:t>
      </w:r>
      <w:r w:rsidRPr="006B2A4D">
        <w:rPr>
          <w:rFonts w:eastAsia="Verdana" w:cs="Verdana"/>
          <w:spacing w:val="-2"/>
          <w:sz w:val="20"/>
          <w:szCs w:val="20"/>
          <w:lang w:eastAsia="es-ES"/>
        </w:rPr>
        <w:t>o</w:t>
      </w:r>
      <w:r w:rsidRPr="006B2A4D">
        <w:rPr>
          <w:rFonts w:eastAsia="Verdana" w:cs="Verdana"/>
          <w:spacing w:val="1"/>
          <w:sz w:val="20"/>
          <w:szCs w:val="20"/>
          <w:lang w:eastAsia="es-ES"/>
        </w:rPr>
        <w:t>n</w:t>
      </w:r>
      <w:r w:rsidRPr="006B2A4D">
        <w:rPr>
          <w:rFonts w:eastAsia="Verdana" w:cs="Verdana"/>
          <w:sz w:val="20"/>
          <w:szCs w:val="20"/>
          <w:lang w:eastAsia="es-ES"/>
        </w:rPr>
        <w:t>c</w:t>
      </w:r>
      <w:r w:rsidRPr="006B2A4D">
        <w:rPr>
          <w:rFonts w:eastAsia="Verdana" w:cs="Verdana"/>
          <w:spacing w:val="-2"/>
          <w:sz w:val="20"/>
          <w:szCs w:val="20"/>
          <w:lang w:eastAsia="es-ES"/>
        </w:rPr>
        <w:t>e</w:t>
      </w:r>
      <w:r w:rsidRPr="006B2A4D">
        <w:rPr>
          <w:rFonts w:eastAsia="Verdana" w:cs="Verdana"/>
          <w:spacing w:val="3"/>
          <w:sz w:val="20"/>
          <w:szCs w:val="20"/>
          <w:lang w:eastAsia="es-ES"/>
        </w:rPr>
        <w:t>d</w:t>
      </w:r>
      <w:r w:rsidRPr="006B2A4D">
        <w:rPr>
          <w:rFonts w:eastAsia="Verdana" w:cs="Verdana"/>
          <w:spacing w:val="-1"/>
          <w:sz w:val="20"/>
          <w:szCs w:val="20"/>
          <w:lang w:eastAsia="es-ES"/>
        </w:rPr>
        <w:t>e</w:t>
      </w:r>
      <w:r w:rsidRPr="006B2A4D">
        <w:rPr>
          <w:rFonts w:eastAsia="Verdana" w:cs="Verdana"/>
          <w:sz w:val="20"/>
          <w:szCs w:val="20"/>
          <w:lang w:eastAsia="es-ES"/>
        </w:rPr>
        <w:t>,</w:t>
      </w:r>
      <w:r w:rsidRPr="006B2A4D">
        <w:rPr>
          <w:rFonts w:eastAsia="Verdana" w:cs="Verdana"/>
          <w:spacing w:val="-3"/>
          <w:sz w:val="20"/>
          <w:szCs w:val="20"/>
          <w:lang w:eastAsia="es-ES"/>
        </w:rPr>
        <w:t xml:space="preserve"> </w:t>
      </w:r>
      <w:r w:rsidRPr="006B2A4D">
        <w:rPr>
          <w:rFonts w:eastAsia="Verdana" w:cs="Verdana"/>
          <w:spacing w:val="1"/>
          <w:sz w:val="20"/>
          <w:szCs w:val="20"/>
          <w:lang w:eastAsia="es-ES"/>
        </w:rPr>
        <w:t>e</w:t>
      </w:r>
      <w:r w:rsidRPr="006B2A4D">
        <w:rPr>
          <w:rFonts w:eastAsia="Verdana" w:cs="Verdana"/>
          <w:sz w:val="20"/>
          <w:szCs w:val="20"/>
          <w:lang w:eastAsia="es-ES"/>
        </w:rPr>
        <w:t>sto</w:t>
      </w:r>
      <w:r w:rsidRPr="006B2A4D">
        <w:rPr>
          <w:rFonts w:eastAsia="Verdana" w:cs="Verdana"/>
          <w:spacing w:val="-1"/>
          <w:sz w:val="20"/>
          <w:szCs w:val="20"/>
          <w:lang w:eastAsia="es-ES"/>
        </w:rPr>
        <w:t xml:space="preserve"> </w:t>
      </w:r>
      <w:r w:rsidRPr="006B2A4D">
        <w:rPr>
          <w:rFonts w:eastAsia="Verdana" w:cs="Verdana"/>
          <w:spacing w:val="1"/>
          <w:sz w:val="20"/>
          <w:szCs w:val="20"/>
          <w:lang w:eastAsia="es-ES"/>
        </w:rPr>
        <w:t>e</w:t>
      </w:r>
      <w:r w:rsidRPr="006B2A4D">
        <w:rPr>
          <w:rFonts w:eastAsia="Verdana" w:cs="Verdana"/>
          <w:sz w:val="20"/>
          <w:szCs w:val="20"/>
          <w:lang w:eastAsia="es-ES"/>
        </w:rPr>
        <w:t xml:space="preserve">s, </w:t>
      </w:r>
      <w:r w:rsidRPr="006B2A4D">
        <w:rPr>
          <w:rFonts w:eastAsia="Verdana" w:cs="Verdana"/>
          <w:spacing w:val="-1"/>
          <w:sz w:val="20"/>
          <w:szCs w:val="20"/>
          <w:lang w:eastAsia="es-ES"/>
        </w:rPr>
        <w:t>e</w:t>
      </w:r>
      <w:r w:rsidRPr="006B2A4D">
        <w:rPr>
          <w:rFonts w:eastAsia="Verdana" w:cs="Verdana"/>
          <w:sz w:val="20"/>
          <w:szCs w:val="20"/>
          <w:lang w:eastAsia="es-ES"/>
        </w:rPr>
        <w:t>n</w:t>
      </w:r>
      <w:r w:rsidRPr="006B2A4D">
        <w:rPr>
          <w:rFonts w:eastAsia="Verdana" w:cs="Verdana"/>
          <w:spacing w:val="3"/>
          <w:sz w:val="20"/>
          <w:szCs w:val="20"/>
          <w:lang w:eastAsia="es-ES"/>
        </w:rPr>
        <w:t xml:space="preserve"> </w:t>
      </w:r>
      <w:r w:rsidRPr="006B2A4D">
        <w:rPr>
          <w:rFonts w:eastAsia="Verdana" w:cs="Verdana"/>
          <w:spacing w:val="-1"/>
          <w:sz w:val="20"/>
          <w:szCs w:val="20"/>
          <w:lang w:eastAsia="es-ES"/>
        </w:rPr>
        <w:t>e</w:t>
      </w:r>
      <w:r w:rsidRPr="006B2A4D">
        <w:rPr>
          <w:rFonts w:eastAsia="Verdana" w:cs="Verdana"/>
          <w:sz w:val="20"/>
          <w:szCs w:val="20"/>
          <w:lang w:eastAsia="es-ES"/>
        </w:rPr>
        <w:t>l</w:t>
      </w:r>
      <w:r w:rsidRPr="006B2A4D">
        <w:rPr>
          <w:rFonts w:eastAsia="Verdana" w:cs="Verdana"/>
          <w:spacing w:val="4"/>
          <w:sz w:val="20"/>
          <w:szCs w:val="20"/>
          <w:lang w:eastAsia="es-ES"/>
        </w:rPr>
        <w:t xml:space="preserve"> </w:t>
      </w:r>
      <w:r w:rsidRPr="006B2A4D">
        <w:rPr>
          <w:rFonts w:eastAsia="Verdana" w:cs="Verdana"/>
          <w:spacing w:val="-1"/>
          <w:sz w:val="20"/>
          <w:szCs w:val="20"/>
          <w:lang w:eastAsia="es-ES"/>
        </w:rPr>
        <w:t>e</w:t>
      </w:r>
      <w:r w:rsidRPr="006B2A4D">
        <w:rPr>
          <w:rFonts w:eastAsia="Verdana" w:cs="Verdana"/>
          <w:sz w:val="20"/>
          <w:szCs w:val="20"/>
          <w:lang w:eastAsia="es-ES"/>
        </w:rPr>
        <w:t>s</w:t>
      </w:r>
      <w:r w:rsidRPr="006B2A4D">
        <w:rPr>
          <w:rFonts w:eastAsia="Verdana" w:cs="Verdana"/>
          <w:spacing w:val="1"/>
          <w:sz w:val="20"/>
          <w:szCs w:val="20"/>
          <w:lang w:eastAsia="es-ES"/>
        </w:rPr>
        <w:t>c</w:t>
      </w:r>
      <w:r w:rsidRPr="006B2A4D">
        <w:rPr>
          <w:rFonts w:eastAsia="Verdana" w:cs="Verdana"/>
          <w:spacing w:val="-1"/>
          <w:sz w:val="20"/>
          <w:szCs w:val="20"/>
          <w:lang w:eastAsia="es-ES"/>
        </w:rPr>
        <w:t>r</w:t>
      </w:r>
      <w:r w:rsidRPr="006B2A4D">
        <w:rPr>
          <w:rFonts w:eastAsia="Verdana" w:cs="Verdana"/>
          <w:spacing w:val="3"/>
          <w:sz w:val="20"/>
          <w:szCs w:val="20"/>
          <w:lang w:eastAsia="es-ES"/>
        </w:rPr>
        <w:t>i</w:t>
      </w:r>
      <w:r w:rsidRPr="006B2A4D">
        <w:rPr>
          <w:rFonts w:eastAsia="Verdana" w:cs="Verdana"/>
          <w:spacing w:val="1"/>
          <w:sz w:val="20"/>
          <w:szCs w:val="20"/>
          <w:lang w:eastAsia="es-ES"/>
        </w:rPr>
        <w:t>t</w:t>
      </w:r>
      <w:r w:rsidRPr="006B2A4D">
        <w:rPr>
          <w:rFonts w:eastAsia="Verdana" w:cs="Verdana"/>
          <w:sz w:val="20"/>
          <w:szCs w:val="20"/>
          <w:lang w:eastAsia="es-ES"/>
        </w:rPr>
        <w:t>o</w:t>
      </w:r>
      <w:r w:rsidRPr="006B2A4D">
        <w:rPr>
          <w:rFonts w:eastAsia="Verdana" w:cs="Verdana"/>
          <w:spacing w:val="-4"/>
          <w:sz w:val="20"/>
          <w:szCs w:val="20"/>
          <w:lang w:eastAsia="es-ES"/>
        </w:rPr>
        <w:t xml:space="preserve"> </w:t>
      </w:r>
      <w:r w:rsidRPr="006B2A4D">
        <w:rPr>
          <w:rFonts w:eastAsia="Verdana" w:cs="Verdana"/>
          <w:spacing w:val="1"/>
          <w:sz w:val="20"/>
          <w:szCs w:val="20"/>
          <w:lang w:eastAsia="es-ES"/>
        </w:rPr>
        <w:t>d</w:t>
      </w:r>
      <w:r w:rsidRPr="006B2A4D">
        <w:rPr>
          <w:rFonts w:eastAsia="Verdana" w:cs="Verdana"/>
          <w:sz w:val="20"/>
          <w:szCs w:val="20"/>
          <w:lang w:eastAsia="es-ES"/>
        </w:rPr>
        <w:t>e</w:t>
      </w:r>
      <w:r w:rsidRPr="006B2A4D">
        <w:rPr>
          <w:rFonts w:eastAsia="Verdana" w:cs="Verdana"/>
          <w:spacing w:val="1"/>
          <w:sz w:val="20"/>
          <w:szCs w:val="20"/>
          <w:lang w:eastAsia="es-ES"/>
        </w:rPr>
        <w:t xml:space="preserve"> </w:t>
      </w:r>
      <w:r w:rsidRPr="006B2A4D">
        <w:rPr>
          <w:rFonts w:eastAsia="Verdana" w:cs="Verdana"/>
          <w:sz w:val="20"/>
          <w:szCs w:val="20"/>
          <w:lang w:eastAsia="es-ES"/>
        </w:rPr>
        <w:t>s</w:t>
      </w:r>
      <w:r w:rsidRPr="006B2A4D">
        <w:rPr>
          <w:rFonts w:eastAsia="Verdana" w:cs="Verdana"/>
          <w:spacing w:val="-2"/>
          <w:sz w:val="20"/>
          <w:szCs w:val="20"/>
          <w:lang w:eastAsia="es-ES"/>
        </w:rPr>
        <w:t>o</w:t>
      </w:r>
      <w:r w:rsidRPr="006B2A4D">
        <w:rPr>
          <w:rFonts w:eastAsia="Verdana" w:cs="Verdana"/>
          <w:spacing w:val="3"/>
          <w:sz w:val="20"/>
          <w:szCs w:val="20"/>
          <w:lang w:eastAsia="es-ES"/>
        </w:rPr>
        <w:t>li</w:t>
      </w:r>
      <w:r w:rsidRPr="006B2A4D">
        <w:rPr>
          <w:rFonts w:eastAsia="Verdana" w:cs="Verdana"/>
          <w:spacing w:val="-3"/>
          <w:sz w:val="20"/>
          <w:szCs w:val="20"/>
          <w:lang w:eastAsia="es-ES"/>
        </w:rPr>
        <w:t>c</w:t>
      </w:r>
      <w:r w:rsidRPr="006B2A4D">
        <w:rPr>
          <w:rFonts w:eastAsia="Verdana" w:cs="Verdana"/>
          <w:spacing w:val="3"/>
          <w:sz w:val="20"/>
          <w:szCs w:val="20"/>
          <w:lang w:eastAsia="es-ES"/>
        </w:rPr>
        <w:t>i</w:t>
      </w:r>
      <w:r w:rsidRPr="006B2A4D">
        <w:rPr>
          <w:rFonts w:eastAsia="Verdana" w:cs="Verdana"/>
          <w:spacing w:val="1"/>
          <w:sz w:val="20"/>
          <w:szCs w:val="20"/>
          <w:lang w:eastAsia="es-ES"/>
        </w:rPr>
        <w:t>tud</w:t>
      </w:r>
      <w:r w:rsidRPr="006B2A4D">
        <w:rPr>
          <w:rFonts w:eastAsia="Verdana" w:cs="Verdana"/>
          <w:spacing w:val="-1"/>
          <w:sz w:val="20"/>
          <w:szCs w:val="20"/>
          <w:lang w:eastAsia="es-ES"/>
        </w:rPr>
        <w:t>e</w:t>
      </w:r>
      <w:r w:rsidRPr="006B2A4D">
        <w:rPr>
          <w:rFonts w:eastAsia="Verdana" w:cs="Verdana"/>
          <w:sz w:val="20"/>
          <w:szCs w:val="20"/>
          <w:lang w:eastAsia="es-ES"/>
        </w:rPr>
        <w:t>s</w:t>
      </w:r>
      <w:r w:rsidRPr="006B2A4D">
        <w:rPr>
          <w:rFonts w:eastAsia="Verdana" w:cs="Verdana"/>
          <w:spacing w:val="-7"/>
          <w:sz w:val="20"/>
          <w:szCs w:val="20"/>
          <w:lang w:eastAsia="es-ES"/>
        </w:rPr>
        <w:t xml:space="preserve"> </w:t>
      </w:r>
      <w:r w:rsidRPr="006B2A4D">
        <w:rPr>
          <w:rFonts w:eastAsia="Verdana" w:cs="Verdana"/>
          <w:sz w:val="20"/>
          <w:szCs w:val="20"/>
          <w:lang w:eastAsia="es-ES"/>
        </w:rPr>
        <w:t>y</w:t>
      </w:r>
      <w:r w:rsidRPr="006B2A4D">
        <w:rPr>
          <w:rFonts w:eastAsia="Verdana" w:cs="Verdana"/>
          <w:spacing w:val="3"/>
          <w:sz w:val="20"/>
          <w:szCs w:val="20"/>
          <w:lang w:eastAsia="es-ES"/>
        </w:rPr>
        <w:t xml:space="preserve"> </w:t>
      </w:r>
      <w:r w:rsidRPr="006B2A4D">
        <w:rPr>
          <w:rFonts w:eastAsia="Verdana" w:cs="Verdana"/>
          <w:sz w:val="20"/>
          <w:szCs w:val="20"/>
          <w:lang w:eastAsia="es-ES"/>
        </w:rPr>
        <w:t>a</w:t>
      </w:r>
      <w:r w:rsidRPr="006B2A4D">
        <w:rPr>
          <w:rFonts w:eastAsia="Verdana" w:cs="Verdana"/>
          <w:spacing w:val="-1"/>
          <w:sz w:val="20"/>
          <w:szCs w:val="20"/>
          <w:lang w:eastAsia="es-ES"/>
        </w:rPr>
        <w:t>r</w:t>
      </w:r>
      <w:r w:rsidRPr="006B2A4D">
        <w:rPr>
          <w:rFonts w:eastAsia="Verdana" w:cs="Verdana"/>
          <w:spacing w:val="1"/>
          <w:sz w:val="20"/>
          <w:szCs w:val="20"/>
          <w:lang w:eastAsia="es-ES"/>
        </w:rPr>
        <w:t>gu</w:t>
      </w:r>
      <w:r w:rsidRPr="006B2A4D">
        <w:rPr>
          <w:rFonts w:eastAsia="Verdana" w:cs="Verdana"/>
          <w:sz w:val="20"/>
          <w:szCs w:val="20"/>
          <w:lang w:eastAsia="es-ES"/>
        </w:rPr>
        <w:t>men</w:t>
      </w:r>
      <w:r w:rsidRPr="006B2A4D">
        <w:rPr>
          <w:rFonts w:eastAsia="Verdana" w:cs="Verdana"/>
          <w:spacing w:val="1"/>
          <w:sz w:val="20"/>
          <w:szCs w:val="20"/>
          <w:lang w:eastAsia="es-ES"/>
        </w:rPr>
        <w:t>t</w:t>
      </w:r>
      <w:r w:rsidRPr="006B2A4D">
        <w:rPr>
          <w:rFonts w:eastAsia="Verdana" w:cs="Verdana"/>
          <w:spacing w:val="-1"/>
          <w:sz w:val="20"/>
          <w:szCs w:val="20"/>
          <w:lang w:eastAsia="es-ES"/>
        </w:rPr>
        <w:t>o</w:t>
      </w:r>
      <w:r w:rsidRPr="006B2A4D">
        <w:rPr>
          <w:rFonts w:eastAsia="Verdana" w:cs="Verdana"/>
          <w:sz w:val="20"/>
          <w:szCs w:val="20"/>
          <w:lang w:eastAsia="es-ES"/>
        </w:rPr>
        <w:t>s,</w:t>
      </w:r>
      <w:r w:rsidRPr="006B2A4D">
        <w:rPr>
          <w:rFonts w:eastAsia="Verdana" w:cs="Verdana"/>
          <w:spacing w:val="-10"/>
          <w:sz w:val="20"/>
          <w:szCs w:val="20"/>
          <w:lang w:eastAsia="es-ES"/>
        </w:rPr>
        <w:t xml:space="preserve"> </w:t>
      </w:r>
      <w:r w:rsidRPr="006B2A4D">
        <w:rPr>
          <w:rFonts w:eastAsia="Verdana" w:cs="Verdana"/>
          <w:sz w:val="20"/>
          <w:szCs w:val="20"/>
          <w:lang w:eastAsia="es-ES"/>
        </w:rPr>
        <w:t>s</w:t>
      </w:r>
      <w:r w:rsidRPr="006B2A4D">
        <w:rPr>
          <w:rFonts w:eastAsia="Verdana" w:cs="Verdana"/>
          <w:spacing w:val="2"/>
          <w:sz w:val="20"/>
          <w:szCs w:val="20"/>
          <w:lang w:eastAsia="es-ES"/>
        </w:rPr>
        <w:t>i</w:t>
      </w:r>
      <w:r w:rsidRPr="006B2A4D">
        <w:rPr>
          <w:rFonts w:eastAsia="Verdana" w:cs="Verdana"/>
          <w:sz w:val="20"/>
          <w:szCs w:val="20"/>
          <w:lang w:eastAsia="es-ES"/>
        </w:rPr>
        <w:t xml:space="preserve">n </w:t>
      </w:r>
      <w:r w:rsidRPr="006B2A4D">
        <w:rPr>
          <w:rFonts w:eastAsia="Verdana" w:cs="Verdana"/>
          <w:spacing w:val="1"/>
          <w:sz w:val="20"/>
          <w:szCs w:val="20"/>
          <w:lang w:eastAsia="es-ES"/>
        </w:rPr>
        <w:t>p</w:t>
      </w:r>
      <w:r w:rsidRPr="006B2A4D">
        <w:rPr>
          <w:rFonts w:eastAsia="Verdana" w:cs="Verdana"/>
          <w:spacing w:val="-1"/>
          <w:sz w:val="20"/>
          <w:szCs w:val="20"/>
          <w:lang w:eastAsia="es-ES"/>
        </w:rPr>
        <w:t>er</w:t>
      </w:r>
      <w:r w:rsidRPr="006B2A4D">
        <w:rPr>
          <w:rFonts w:eastAsia="Verdana" w:cs="Verdana"/>
          <w:spacing w:val="1"/>
          <w:sz w:val="20"/>
          <w:szCs w:val="20"/>
          <w:lang w:eastAsia="es-ES"/>
        </w:rPr>
        <w:t>ju</w:t>
      </w:r>
      <w:r w:rsidRPr="006B2A4D">
        <w:rPr>
          <w:rFonts w:eastAsia="Verdana" w:cs="Verdana"/>
          <w:spacing w:val="3"/>
          <w:sz w:val="20"/>
          <w:szCs w:val="20"/>
          <w:lang w:eastAsia="es-ES"/>
        </w:rPr>
        <w:t>i</w:t>
      </w:r>
      <w:r w:rsidRPr="006B2A4D">
        <w:rPr>
          <w:rFonts w:eastAsia="Verdana" w:cs="Verdana"/>
          <w:sz w:val="20"/>
          <w:szCs w:val="20"/>
          <w:lang w:eastAsia="es-ES"/>
        </w:rPr>
        <w:t>c</w:t>
      </w:r>
      <w:r w:rsidRPr="006B2A4D">
        <w:rPr>
          <w:rFonts w:eastAsia="Verdana" w:cs="Verdana"/>
          <w:spacing w:val="2"/>
          <w:sz w:val="20"/>
          <w:szCs w:val="20"/>
          <w:lang w:eastAsia="es-ES"/>
        </w:rPr>
        <w:t>i</w:t>
      </w:r>
      <w:r w:rsidRPr="006B2A4D">
        <w:rPr>
          <w:rFonts w:eastAsia="Verdana" w:cs="Verdana"/>
          <w:sz w:val="20"/>
          <w:szCs w:val="20"/>
          <w:lang w:eastAsia="es-ES"/>
        </w:rPr>
        <w:t>o</w:t>
      </w:r>
      <w:r w:rsidRPr="006B2A4D">
        <w:rPr>
          <w:rFonts w:eastAsia="Verdana" w:cs="Verdana"/>
          <w:spacing w:val="1"/>
          <w:sz w:val="20"/>
          <w:szCs w:val="20"/>
          <w:lang w:eastAsia="es-ES"/>
        </w:rPr>
        <w:t xml:space="preserve"> d</w:t>
      </w:r>
      <w:r w:rsidRPr="006B2A4D">
        <w:rPr>
          <w:rFonts w:eastAsia="Verdana" w:cs="Verdana"/>
          <w:sz w:val="20"/>
          <w:szCs w:val="20"/>
          <w:lang w:eastAsia="es-ES"/>
        </w:rPr>
        <w:t>e</w:t>
      </w:r>
      <w:r w:rsidRPr="006B2A4D">
        <w:rPr>
          <w:rFonts w:eastAsia="Verdana" w:cs="Verdana"/>
          <w:spacing w:val="7"/>
          <w:sz w:val="20"/>
          <w:szCs w:val="20"/>
          <w:lang w:eastAsia="es-ES"/>
        </w:rPr>
        <w:t xml:space="preserve"> </w:t>
      </w:r>
      <w:r w:rsidRPr="006B2A4D">
        <w:rPr>
          <w:rFonts w:eastAsia="Verdana" w:cs="Verdana"/>
          <w:spacing w:val="1"/>
          <w:sz w:val="20"/>
          <w:szCs w:val="20"/>
          <w:lang w:eastAsia="es-ES"/>
        </w:rPr>
        <w:t>qu</w:t>
      </w:r>
      <w:r w:rsidRPr="006B2A4D">
        <w:rPr>
          <w:rFonts w:eastAsia="Verdana" w:cs="Verdana"/>
          <w:sz w:val="20"/>
          <w:szCs w:val="20"/>
          <w:lang w:eastAsia="es-ES"/>
        </w:rPr>
        <w:t>e</w:t>
      </w:r>
      <w:r w:rsidRPr="006B2A4D">
        <w:rPr>
          <w:rFonts w:eastAsia="Verdana" w:cs="Verdana"/>
          <w:spacing w:val="6"/>
          <w:sz w:val="20"/>
          <w:szCs w:val="20"/>
          <w:lang w:eastAsia="es-ES"/>
        </w:rPr>
        <w:t xml:space="preserve"> </w:t>
      </w:r>
      <w:r w:rsidRPr="006B2A4D">
        <w:rPr>
          <w:rFonts w:eastAsia="Verdana" w:cs="Verdana"/>
          <w:spacing w:val="1"/>
          <w:sz w:val="20"/>
          <w:szCs w:val="20"/>
          <w:lang w:eastAsia="es-ES"/>
        </w:rPr>
        <w:t>t</w:t>
      </w:r>
      <w:r w:rsidRPr="006B2A4D">
        <w:rPr>
          <w:rFonts w:eastAsia="Verdana" w:cs="Verdana"/>
          <w:sz w:val="20"/>
          <w:szCs w:val="20"/>
          <w:lang w:eastAsia="es-ES"/>
        </w:rPr>
        <w:t>a</w:t>
      </w:r>
      <w:r w:rsidRPr="006B2A4D">
        <w:rPr>
          <w:rFonts w:eastAsia="Verdana" w:cs="Verdana"/>
          <w:spacing w:val="3"/>
          <w:sz w:val="20"/>
          <w:szCs w:val="20"/>
          <w:lang w:eastAsia="es-ES"/>
        </w:rPr>
        <w:t>l</w:t>
      </w:r>
      <w:r w:rsidRPr="006B2A4D">
        <w:rPr>
          <w:rFonts w:eastAsia="Verdana" w:cs="Verdana"/>
          <w:spacing w:val="-1"/>
          <w:sz w:val="20"/>
          <w:szCs w:val="20"/>
          <w:lang w:eastAsia="es-ES"/>
        </w:rPr>
        <w:t>e</w:t>
      </w:r>
      <w:r w:rsidRPr="006B2A4D">
        <w:rPr>
          <w:rFonts w:eastAsia="Verdana" w:cs="Verdana"/>
          <w:sz w:val="20"/>
          <w:szCs w:val="20"/>
          <w:lang w:eastAsia="es-ES"/>
        </w:rPr>
        <w:t>s</w:t>
      </w:r>
      <w:r w:rsidRPr="006B2A4D">
        <w:rPr>
          <w:rFonts w:eastAsia="Verdana" w:cs="Verdana"/>
          <w:spacing w:val="5"/>
          <w:sz w:val="20"/>
          <w:szCs w:val="20"/>
          <w:lang w:eastAsia="es-ES"/>
        </w:rPr>
        <w:t xml:space="preserve"> </w:t>
      </w:r>
      <w:r w:rsidRPr="006B2A4D">
        <w:rPr>
          <w:rFonts w:eastAsia="Verdana" w:cs="Verdana"/>
          <w:spacing w:val="3"/>
          <w:sz w:val="20"/>
          <w:szCs w:val="20"/>
          <w:lang w:eastAsia="es-ES"/>
        </w:rPr>
        <w:t>p</w:t>
      </w:r>
      <w:r w:rsidRPr="006B2A4D">
        <w:rPr>
          <w:rFonts w:eastAsia="Verdana" w:cs="Verdana"/>
          <w:spacing w:val="-1"/>
          <w:sz w:val="20"/>
          <w:szCs w:val="20"/>
          <w:lang w:eastAsia="es-ES"/>
        </w:rPr>
        <w:t>re</w:t>
      </w:r>
      <w:r w:rsidRPr="006B2A4D">
        <w:rPr>
          <w:rFonts w:eastAsia="Verdana" w:cs="Verdana"/>
          <w:spacing w:val="3"/>
          <w:sz w:val="20"/>
          <w:szCs w:val="20"/>
          <w:lang w:eastAsia="es-ES"/>
        </w:rPr>
        <w:t>t</w:t>
      </w:r>
      <w:r w:rsidRPr="006B2A4D">
        <w:rPr>
          <w:rFonts w:eastAsia="Verdana" w:cs="Verdana"/>
          <w:spacing w:val="-1"/>
          <w:sz w:val="20"/>
          <w:szCs w:val="20"/>
          <w:lang w:eastAsia="es-ES"/>
        </w:rPr>
        <w:t>e</w:t>
      </w:r>
      <w:r w:rsidRPr="006B2A4D">
        <w:rPr>
          <w:rFonts w:eastAsia="Verdana" w:cs="Verdana"/>
          <w:spacing w:val="1"/>
          <w:sz w:val="20"/>
          <w:szCs w:val="20"/>
          <w:lang w:eastAsia="es-ES"/>
        </w:rPr>
        <w:t>n</w:t>
      </w:r>
      <w:r w:rsidRPr="006B2A4D">
        <w:rPr>
          <w:rFonts w:eastAsia="Verdana" w:cs="Verdana"/>
          <w:sz w:val="20"/>
          <w:szCs w:val="20"/>
          <w:lang w:eastAsia="es-ES"/>
        </w:rPr>
        <w:t>s</w:t>
      </w:r>
      <w:r w:rsidRPr="006B2A4D">
        <w:rPr>
          <w:rFonts w:eastAsia="Verdana" w:cs="Verdana"/>
          <w:spacing w:val="2"/>
          <w:sz w:val="20"/>
          <w:szCs w:val="20"/>
          <w:lang w:eastAsia="es-ES"/>
        </w:rPr>
        <w:t>i</w:t>
      </w:r>
      <w:r w:rsidRPr="006B2A4D">
        <w:rPr>
          <w:rFonts w:eastAsia="Verdana" w:cs="Verdana"/>
          <w:spacing w:val="-1"/>
          <w:sz w:val="20"/>
          <w:szCs w:val="20"/>
          <w:lang w:eastAsia="es-ES"/>
        </w:rPr>
        <w:t>o</w:t>
      </w:r>
      <w:r w:rsidRPr="006B2A4D">
        <w:rPr>
          <w:rFonts w:eastAsia="Verdana" w:cs="Verdana"/>
          <w:spacing w:val="1"/>
          <w:sz w:val="20"/>
          <w:szCs w:val="20"/>
          <w:lang w:eastAsia="es-ES"/>
        </w:rPr>
        <w:t>n</w:t>
      </w:r>
      <w:r w:rsidRPr="006B2A4D">
        <w:rPr>
          <w:rFonts w:eastAsia="Verdana" w:cs="Verdana"/>
          <w:spacing w:val="-1"/>
          <w:sz w:val="20"/>
          <w:szCs w:val="20"/>
          <w:lang w:eastAsia="es-ES"/>
        </w:rPr>
        <w:t>e</w:t>
      </w:r>
      <w:r w:rsidRPr="006B2A4D">
        <w:rPr>
          <w:rFonts w:eastAsia="Verdana" w:cs="Verdana"/>
          <w:sz w:val="20"/>
          <w:szCs w:val="20"/>
          <w:lang w:eastAsia="es-ES"/>
        </w:rPr>
        <w:t xml:space="preserve">s </w:t>
      </w:r>
      <w:r w:rsidRPr="006B2A4D">
        <w:rPr>
          <w:rFonts w:eastAsia="Verdana" w:cs="Verdana"/>
          <w:spacing w:val="2"/>
          <w:sz w:val="20"/>
          <w:szCs w:val="20"/>
          <w:lang w:eastAsia="es-ES"/>
        </w:rPr>
        <w:t>s</w:t>
      </w:r>
      <w:r w:rsidRPr="006B2A4D">
        <w:rPr>
          <w:rFonts w:eastAsia="Verdana" w:cs="Verdana"/>
          <w:sz w:val="20"/>
          <w:szCs w:val="20"/>
          <w:lang w:eastAsia="es-ES"/>
        </w:rPr>
        <w:t>e</w:t>
      </w:r>
      <w:r w:rsidRPr="006B2A4D">
        <w:rPr>
          <w:rFonts w:eastAsia="Verdana" w:cs="Verdana"/>
          <w:spacing w:val="8"/>
          <w:sz w:val="20"/>
          <w:szCs w:val="20"/>
          <w:lang w:eastAsia="es-ES"/>
        </w:rPr>
        <w:t xml:space="preserve"> </w:t>
      </w:r>
      <w:r w:rsidRPr="006B2A4D">
        <w:rPr>
          <w:rFonts w:eastAsia="Verdana" w:cs="Verdana"/>
          <w:sz w:val="20"/>
          <w:szCs w:val="20"/>
          <w:lang w:eastAsia="es-ES"/>
        </w:rPr>
        <w:t>act</w:t>
      </w:r>
      <w:r w:rsidRPr="006B2A4D">
        <w:rPr>
          <w:rFonts w:eastAsia="Verdana" w:cs="Verdana"/>
          <w:spacing w:val="2"/>
          <w:sz w:val="20"/>
          <w:szCs w:val="20"/>
          <w:lang w:eastAsia="es-ES"/>
        </w:rPr>
        <w:t>u</w:t>
      </w:r>
      <w:r w:rsidRPr="006B2A4D">
        <w:rPr>
          <w:rFonts w:eastAsia="Verdana" w:cs="Verdana"/>
          <w:sz w:val="20"/>
          <w:szCs w:val="20"/>
          <w:lang w:eastAsia="es-ES"/>
        </w:rPr>
        <w:t>a</w:t>
      </w:r>
      <w:r w:rsidRPr="006B2A4D">
        <w:rPr>
          <w:rFonts w:eastAsia="Verdana" w:cs="Verdana"/>
          <w:spacing w:val="3"/>
          <w:sz w:val="20"/>
          <w:szCs w:val="20"/>
          <w:lang w:eastAsia="es-ES"/>
        </w:rPr>
        <w:t>li</w:t>
      </w:r>
      <w:r w:rsidRPr="006B2A4D">
        <w:rPr>
          <w:rFonts w:eastAsia="Verdana" w:cs="Verdana"/>
          <w:sz w:val="20"/>
          <w:szCs w:val="20"/>
          <w:lang w:eastAsia="es-ES"/>
        </w:rPr>
        <w:t>c</w:t>
      </w:r>
      <w:r w:rsidRPr="006B2A4D">
        <w:rPr>
          <w:rFonts w:eastAsia="Verdana" w:cs="Verdana"/>
          <w:spacing w:val="-2"/>
          <w:sz w:val="20"/>
          <w:szCs w:val="20"/>
          <w:lang w:eastAsia="es-ES"/>
        </w:rPr>
        <w:t>e</w:t>
      </w:r>
      <w:r w:rsidRPr="006B2A4D">
        <w:rPr>
          <w:rFonts w:eastAsia="Verdana" w:cs="Verdana"/>
          <w:sz w:val="20"/>
          <w:szCs w:val="20"/>
          <w:lang w:eastAsia="es-ES"/>
        </w:rPr>
        <w:t>n</w:t>
      </w:r>
      <w:r w:rsidRPr="006B2A4D">
        <w:rPr>
          <w:rFonts w:eastAsia="Verdana" w:cs="Verdana"/>
          <w:spacing w:val="2"/>
          <w:sz w:val="20"/>
          <w:szCs w:val="20"/>
          <w:lang w:eastAsia="es-ES"/>
        </w:rPr>
        <w:t xml:space="preserve"> </w:t>
      </w:r>
      <w:r w:rsidRPr="006B2A4D">
        <w:rPr>
          <w:rFonts w:eastAsia="Verdana" w:cs="Verdana"/>
          <w:spacing w:val="-1"/>
          <w:sz w:val="20"/>
          <w:szCs w:val="20"/>
          <w:lang w:eastAsia="es-ES"/>
        </w:rPr>
        <w:t>e</w:t>
      </w:r>
      <w:r w:rsidRPr="006B2A4D">
        <w:rPr>
          <w:rFonts w:eastAsia="Verdana" w:cs="Verdana"/>
          <w:sz w:val="20"/>
          <w:szCs w:val="20"/>
          <w:lang w:eastAsia="es-ES"/>
        </w:rPr>
        <w:t>n</w:t>
      </w:r>
      <w:r w:rsidRPr="006B2A4D">
        <w:rPr>
          <w:rFonts w:eastAsia="Verdana" w:cs="Verdana"/>
          <w:spacing w:val="9"/>
          <w:sz w:val="20"/>
          <w:szCs w:val="20"/>
          <w:lang w:eastAsia="es-ES"/>
        </w:rPr>
        <w:t xml:space="preserve"> </w:t>
      </w:r>
      <w:r w:rsidRPr="006B2A4D">
        <w:rPr>
          <w:rFonts w:eastAsia="Verdana" w:cs="Verdana"/>
          <w:spacing w:val="1"/>
          <w:sz w:val="20"/>
          <w:szCs w:val="20"/>
          <w:lang w:eastAsia="es-ES"/>
        </w:rPr>
        <w:t>u</w:t>
      </w:r>
      <w:r w:rsidRPr="006B2A4D">
        <w:rPr>
          <w:rFonts w:eastAsia="Verdana" w:cs="Verdana"/>
          <w:sz w:val="20"/>
          <w:szCs w:val="20"/>
          <w:lang w:eastAsia="es-ES"/>
        </w:rPr>
        <w:t>n</w:t>
      </w:r>
      <w:r w:rsidRPr="006B2A4D">
        <w:rPr>
          <w:rFonts w:eastAsia="Verdana" w:cs="Verdana"/>
          <w:spacing w:val="9"/>
          <w:sz w:val="20"/>
          <w:szCs w:val="20"/>
          <w:lang w:eastAsia="es-ES"/>
        </w:rPr>
        <w:t xml:space="preserve"> </w:t>
      </w:r>
      <w:r w:rsidRPr="006B2A4D">
        <w:rPr>
          <w:rFonts w:eastAsia="Verdana" w:cs="Verdana"/>
          <w:sz w:val="20"/>
          <w:szCs w:val="20"/>
          <w:lang w:eastAsia="es-ES"/>
        </w:rPr>
        <w:t>mo</w:t>
      </w:r>
      <w:r w:rsidRPr="006B2A4D">
        <w:rPr>
          <w:rFonts w:eastAsia="Verdana" w:cs="Verdana"/>
          <w:spacing w:val="3"/>
          <w:sz w:val="20"/>
          <w:szCs w:val="20"/>
          <w:lang w:eastAsia="es-ES"/>
        </w:rPr>
        <w:t>m</w:t>
      </w:r>
      <w:r w:rsidRPr="006B2A4D">
        <w:rPr>
          <w:rFonts w:eastAsia="Verdana" w:cs="Verdana"/>
          <w:spacing w:val="-1"/>
          <w:sz w:val="20"/>
          <w:szCs w:val="20"/>
          <w:lang w:eastAsia="es-ES"/>
        </w:rPr>
        <w:t>e</w:t>
      </w:r>
      <w:r w:rsidRPr="006B2A4D">
        <w:rPr>
          <w:rFonts w:eastAsia="Verdana" w:cs="Verdana"/>
          <w:spacing w:val="1"/>
          <w:sz w:val="20"/>
          <w:szCs w:val="20"/>
          <w:lang w:eastAsia="es-ES"/>
        </w:rPr>
        <w:t>nt</w:t>
      </w:r>
      <w:r w:rsidRPr="006B2A4D">
        <w:rPr>
          <w:rFonts w:eastAsia="Verdana" w:cs="Verdana"/>
          <w:sz w:val="20"/>
          <w:szCs w:val="20"/>
          <w:lang w:eastAsia="es-ES"/>
        </w:rPr>
        <w:t>o</w:t>
      </w:r>
      <w:r w:rsidRPr="006B2A4D">
        <w:rPr>
          <w:rFonts w:eastAsia="Verdana" w:cs="Verdana"/>
          <w:spacing w:val="2"/>
          <w:sz w:val="20"/>
          <w:szCs w:val="20"/>
          <w:lang w:eastAsia="es-ES"/>
        </w:rPr>
        <w:t xml:space="preserve"> </w:t>
      </w:r>
      <w:r w:rsidRPr="006B2A4D">
        <w:rPr>
          <w:rFonts w:eastAsia="Verdana" w:cs="Verdana"/>
          <w:spacing w:val="1"/>
          <w:sz w:val="20"/>
          <w:szCs w:val="20"/>
          <w:lang w:eastAsia="es-ES"/>
        </w:rPr>
        <w:t>po</w:t>
      </w:r>
      <w:r w:rsidRPr="006B2A4D">
        <w:rPr>
          <w:rFonts w:eastAsia="Verdana" w:cs="Verdana"/>
          <w:sz w:val="20"/>
          <w:szCs w:val="20"/>
          <w:lang w:eastAsia="es-ES"/>
        </w:rPr>
        <w:t>st</w:t>
      </w:r>
      <w:r w:rsidRPr="006B2A4D">
        <w:rPr>
          <w:rFonts w:eastAsia="Verdana" w:cs="Verdana"/>
          <w:spacing w:val="-1"/>
          <w:sz w:val="20"/>
          <w:szCs w:val="20"/>
          <w:lang w:eastAsia="es-ES"/>
        </w:rPr>
        <w:t>er</w:t>
      </w:r>
      <w:r w:rsidRPr="006B2A4D">
        <w:rPr>
          <w:rFonts w:eastAsia="Verdana" w:cs="Verdana"/>
          <w:spacing w:val="3"/>
          <w:sz w:val="20"/>
          <w:szCs w:val="20"/>
          <w:lang w:eastAsia="es-ES"/>
        </w:rPr>
        <w:t>i</w:t>
      </w:r>
      <w:r w:rsidRPr="006B2A4D">
        <w:rPr>
          <w:rFonts w:eastAsia="Verdana" w:cs="Verdana"/>
          <w:spacing w:val="-1"/>
          <w:sz w:val="20"/>
          <w:szCs w:val="20"/>
          <w:lang w:eastAsia="es-ES"/>
        </w:rPr>
        <w:t>o</w:t>
      </w:r>
      <w:r w:rsidRPr="006B2A4D">
        <w:rPr>
          <w:rFonts w:eastAsia="Verdana" w:cs="Verdana"/>
          <w:spacing w:val="10"/>
          <w:sz w:val="20"/>
          <w:szCs w:val="20"/>
          <w:lang w:eastAsia="es-ES"/>
        </w:rPr>
        <w:t>r</w:t>
      </w:r>
      <w:r w:rsidRPr="006B2A4D">
        <w:rPr>
          <w:rFonts w:eastAsia="Verdana" w:cs="Verdana"/>
          <w:sz w:val="20"/>
          <w:szCs w:val="20"/>
          <w:lang w:eastAsia="es-ES"/>
        </w:rPr>
        <w:t xml:space="preserve">, </w:t>
      </w:r>
      <w:r w:rsidRPr="006B2A4D">
        <w:rPr>
          <w:rFonts w:eastAsia="Verdana" w:cs="Verdana"/>
          <w:spacing w:val="2"/>
          <w:sz w:val="20"/>
          <w:szCs w:val="20"/>
          <w:lang w:eastAsia="es-ES"/>
        </w:rPr>
        <w:t>c</w:t>
      </w:r>
      <w:r w:rsidRPr="006B2A4D">
        <w:rPr>
          <w:rFonts w:eastAsia="Verdana" w:cs="Verdana"/>
          <w:spacing w:val="-1"/>
          <w:sz w:val="20"/>
          <w:szCs w:val="20"/>
          <w:lang w:eastAsia="es-ES"/>
        </w:rPr>
        <w:t>o</w:t>
      </w:r>
      <w:r w:rsidRPr="006B2A4D">
        <w:rPr>
          <w:rFonts w:eastAsia="Verdana" w:cs="Verdana"/>
          <w:spacing w:val="1"/>
          <w:sz w:val="20"/>
          <w:szCs w:val="20"/>
          <w:lang w:eastAsia="es-ES"/>
        </w:rPr>
        <w:t>n</w:t>
      </w:r>
      <w:r w:rsidRPr="006B2A4D">
        <w:rPr>
          <w:rFonts w:eastAsia="Verdana" w:cs="Verdana"/>
          <w:spacing w:val="2"/>
          <w:sz w:val="20"/>
          <w:szCs w:val="20"/>
          <w:lang w:eastAsia="es-ES"/>
        </w:rPr>
        <w:t>f</w:t>
      </w:r>
      <w:r w:rsidRPr="006B2A4D">
        <w:rPr>
          <w:rFonts w:eastAsia="Verdana" w:cs="Verdana"/>
          <w:spacing w:val="-1"/>
          <w:sz w:val="20"/>
          <w:szCs w:val="20"/>
          <w:lang w:eastAsia="es-ES"/>
        </w:rPr>
        <w:t>or</w:t>
      </w:r>
      <w:r w:rsidRPr="006B2A4D">
        <w:rPr>
          <w:rFonts w:eastAsia="Verdana" w:cs="Verdana"/>
          <w:spacing w:val="3"/>
          <w:sz w:val="20"/>
          <w:szCs w:val="20"/>
          <w:lang w:eastAsia="es-ES"/>
        </w:rPr>
        <w:t>m</w:t>
      </w:r>
      <w:r w:rsidRPr="006B2A4D">
        <w:rPr>
          <w:rFonts w:eastAsia="Verdana" w:cs="Verdana"/>
          <w:sz w:val="20"/>
          <w:szCs w:val="20"/>
          <w:lang w:eastAsia="es-ES"/>
        </w:rPr>
        <w:t>e a</w:t>
      </w:r>
      <w:r w:rsidRPr="006B2A4D">
        <w:rPr>
          <w:rFonts w:eastAsia="Verdana" w:cs="Verdana"/>
          <w:spacing w:val="12"/>
          <w:sz w:val="20"/>
          <w:szCs w:val="20"/>
          <w:lang w:eastAsia="es-ES"/>
        </w:rPr>
        <w:t xml:space="preserve"> </w:t>
      </w:r>
      <w:r w:rsidRPr="006B2A4D">
        <w:rPr>
          <w:rFonts w:eastAsia="Verdana" w:cs="Verdana"/>
          <w:spacing w:val="3"/>
          <w:sz w:val="20"/>
          <w:szCs w:val="20"/>
          <w:lang w:eastAsia="es-ES"/>
        </w:rPr>
        <w:t>l</w:t>
      </w:r>
      <w:r w:rsidRPr="006B2A4D">
        <w:rPr>
          <w:rFonts w:eastAsia="Verdana" w:cs="Verdana"/>
          <w:sz w:val="20"/>
          <w:szCs w:val="20"/>
          <w:lang w:eastAsia="es-ES"/>
        </w:rPr>
        <w:t>as</w:t>
      </w:r>
      <w:r w:rsidRPr="006B2A4D">
        <w:rPr>
          <w:rFonts w:eastAsia="Verdana" w:cs="Verdana"/>
          <w:spacing w:val="8"/>
          <w:sz w:val="20"/>
          <w:szCs w:val="20"/>
          <w:lang w:eastAsia="es-ES"/>
        </w:rPr>
        <w:t xml:space="preserve"> </w:t>
      </w:r>
      <w:r w:rsidRPr="006B2A4D">
        <w:rPr>
          <w:rFonts w:eastAsia="Verdana" w:cs="Verdana"/>
          <w:spacing w:val="1"/>
          <w:sz w:val="20"/>
          <w:szCs w:val="20"/>
          <w:lang w:eastAsia="es-ES"/>
        </w:rPr>
        <w:t>nu</w:t>
      </w:r>
      <w:r w:rsidRPr="006B2A4D">
        <w:rPr>
          <w:rFonts w:eastAsia="Verdana" w:cs="Verdana"/>
          <w:spacing w:val="-1"/>
          <w:sz w:val="20"/>
          <w:szCs w:val="20"/>
          <w:lang w:eastAsia="es-ES"/>
        </w:rPr>
        <w:t>e</w:t>
      </w:r>
      <w:r w:rsidRPr="006B2A4D">
        <w:rPr>
          <w:rFonts w:eastAsia="Verdana" w:cs="Verdana"/>
          <w:sz w:val="20"/>
          <w:szCs w:val="20"/>
          <w:lang w:eastAsia="es-ES"/>
        </w:rPr>
        <w:t>v</w:t>
      </w:r>
      <w:r w:rsidRPr="006B2A4D">
        <w:rPr>
          <w:rFonts w:eastAsia="Verdana" w:cs="Verdana"/>
          <w:spacing w:val="2"/>
          <w:sz w:val="20"/>
          <w:szCs w:val="20"/>
          <w:lang w:eastAsia="es-ES"/>
        </w:rPr>
        <w:t>a</w:t>
      </w:r>
      <w:r w:rsidRPr="006B2A4D">
        <w:rPr>
          <w:rFonts w:eastAsia="Verdana" w:cs="Verdana"/>
          <w:sz w:val="20"/>
          <w:szCs w:val="20"/>
          <w:lang w:eastAsia="es-ES"/>
        </w:rPr>
        <w:t>s c</w:t>
      </w:r>
      <w:r w:rsidRPr="006B2A4D">
        <w:rPr>
          <w:rFonts w:eastAsia="Verdana" w:cs="Verdana"/>
          <w:spacing w:val="-2"/>
          <w:sz w:val="20"/>
          <w:szCs w:val="20"/>
          <w:lang w:eastAsia="es-ES"/>
        </w:rPr>
        <w:t>o</w:t>
      </w:r>
      <w:r w:rsidRPr="006B2A4D">
        <w:rPr>
          <w:rFonts w:eastAsia="Verdana" w:cs="Verdana"/>
          <w:sz w:val="20"/>
          <w:szCs w:val="20"/>
          <w:lang w:eastAsia="es-ES"/>
        </w:rPr>
        <w:t>st</w:t>
      </w:r>
      <w:r w:rsidRPr="006B2A4D">
        <w:rPr>
          <w:rFonts w:eastAsia="Verdana" w:cs="Verdana"/>
          <w:spacing w:val="3"/>
          <w:sz w:val="20"/>
          <w:szCs w:val="20"/>
          <w:lang w:eastAsia="es-ES"/>
        </w:rPr>
        <w:t>a</w:t>
      </w:r>
      <w:r w:rsidRPr="006B2A4D">
        <w:rPr>
          <w:rFonts w:eastAsia="Verdana" w:cs="Verdana"/>
          <w:sz w:val="20"/>
          <w:szCs w:val="20"/>
          <w:lang w:eastAsia="es-ES"/>
        </w:rPr>
        <w:t>s</w:t>
      </w:r>
      <w:r w:rsidRPr="006B2A4D">
        <w:rPr>
          <w:rFonts w:eastAsia="Verdana" w:cs="Verdana"/>
          <w:spacing w:val="8"/>
          <w:sz w:val="20"/>
          <w:szCs w:val="20"/>
          <w:lang w:eastAsia="es-ES"/>
        </w:rPr>
        <w:t xml:space="preserve"> </w:t>
      </w:r>
      <w:r w:rsidRPr="006B2A4D">
        <w:rPr>
          <w:rFonts w:eastAsia="Verdana" w:cs="Verdana"/>
          <w:sz w:val="20"/>
          <w:szCs w:val="20"/>
          <w:lang w:eastAsia="es-ES"/>
        </w:rPr>
        <w:t>y</w:t>
      </w:r>
      <w:r w:rsidRPr="006B2A4D">
        <w:rPr>
          <w:rFonts w:eastAsia="Verdana" w:cs="Verdana"/>
          <w:spacing w:val="13"/>
          <w:sz w:val="20"/>
          <w:szCs w:val="20"/>
          <w:lang w:eastAsia="es-ES"/>
        </w:rPr>
        <w:t xml:space="preserve"> </w:t>
      </w:r>
      <w:r w:rsidRPr="006B2A4D">
        <w:rPr>
          <w:rFonts w:eastAsia="Verdana" w:cs="Verdana"/>
          <w:spacing w:val="1"/>
          <w:sz w:val="20"/>
          <w:szCs w:val="20"/>
          <w:lang w:eastAsia="es-ES"/>
        </w:rPr>
        <w:t>g</w:t>
      </w:r>
      <w:r w:rsidRPr="006B2A4D">
        <w:rPr>
          <w:rFonts w:eastAsia="Verdana" w:cs="Verdana"/>
          <w:sz w:val="20"/>
          <w:szCs w:val="20"/>
          <w:lang w:eastAsia="es-ES"/>
        </w:rPr>
        <w:t>astos</w:t>
      </w:r>
      <w:r w:rsidRPr="006B2A4D">
        <w:rPr>
          <w:rFonts w:eastAsia="Verdana" w:cs="Verdana"/>
          <w:spacing w:val="10"/>
          <w:sz w:val="20"/>
          <w:szCs w:val="20"/>
          <w:lang w:eastAsia="es-ES"/>
        </w:rPr>
        <w:t xml:space="preserve"> </w:t>
      </w:r>
      <w:r w:rsidRPr="006B2A4D">
        <w:rPr>
          <w:rFonts w:eastAsia="Verdana" w:cs="Verdana"/>
          <w:spacing w:val="-1"/>
          <w:sz w:val="20"/>
          <w:szCs w:val="20"/>
          <w:lang w:eastAsia="es-ES"/>
        </w:rPr>
        <w:t>e</w:t>
      </w:r>
      <w:r w:rsidRPr="006B2A4D">
        <w:rPr>
          <w:rFonts w:eastAsia="Verdana" w:cs="Verdana"/>
          <w:sz w:val="20"/>
          <w:szCs w:val="20"/>
          <w:lang w:eastAsia="es-ES"/>
        </w:rPr>
        <w:t>n</w:t>
      </w:r>
      <w:r w:rsidRPr="006B2A4D">
        <w:rPr>
          <w:rFonts w:eastAsia="Verdana" w:cs="Verdana"/>
          <w:spacing w:val="14"/>
          <w:sz w:val="20"/>
          <w:szCs w:val="20"/>
          <w:lang w:eastAsia="es-ES"/>
        </w:rPr>
        <w:t xml:space="preserve"> </w:t>
      </w:r>
      <w:r w:rsidRPr="006B2A4D">
        <w:rPr>
          <w:rFonts w:eastAsia="Verdana" w:cs="Verdana"/>
          <w:spacing w:val="1"/>
          <w:sz w:val="20"/>
          <w:szCs w:val="20"/>
          <w:lang w:eastAsia="es-ES"/>
        </w:rPr>
        <w:t>qu</w:t>
      </w:r>
      <w:r w:rsidRPr="006B2A4D">
        <w:rPr>
          <w:rFonts w:eastAsia="Verdana" w:cs="Verdana"/>
          <w:sz w:val="20"/>
          <w:szCs w:val="20"/>
          <w:lang w:eastAsia="es-ES"/>
        </w:rPr>
        <w:t>e</w:t>
      </w:r>
      <w:r w:rsidRPr="006B2A4D">
        <w:rPr>
          <w:rFonts w:eastAsia="Verdana" w:cs="Verdana"/>
          <w:spacing w:val="11"/>
          <w:sz w:val="20"/>
          <w:szCs w:val="20"/>
          <w:lang w:eastAsia="es-ES"/>
        </w:rPr>
        <w:t xml:space="preserve"> </w:t>
      </w:r>
      <w:r w:rsidRPr="006B2A4D">
        <w:rPr>
          <w:rFonts w:eastAsia="Verdana" w:cs="Verdana"/>
          <w:sz w:val="20"/>
          <w:szCs w:val="20"/>
          <w:lang w:eastAsia="es-ES"/>
        </w:rPr>
        <w:t>se</w:t>
      </w:r>
      <w:r w:rsidRPr="006B2A4D">
        <w:rPr>
          <w:rFonts w:eastAsia="Verdana" w:cs="Verdana"/>
          <w:spacing w:val="11"/>
          <w:sz w:val="20"/>
          <w:szCs w:val="20"/>
          <w:lang w:eastAsia="es-ES"/>
        </w:rPr>
        <w:t xml:space="preserve"> </w:t>
      </w:r>
      <w:r w:rsidRPr="006B2A4D">
        <w:rPr>
          <w:rFonts w:eastAsia="Verdana" w:cs="Verdana"/>
          <w:spacing w:val="1"/>
          <w:sz w:val="20"/>
          <w:szCs w:val="20"/>
          <w:lang w:eastAsia="es-ES"/>
        </w:rPr>
        <w:t>h</w:t>
      </w:r>
      <w:r w:rsidRPr="006B2A4D">
        <w:rPr>
          <w:rFonts w:eastAsia="Verdana" w:cs="Verdana"/>
          <w:sz w:val="20"/>
          <w:szCs w:val="20"/>
          <w:lang w:eastAsia="es-ES"/>
        </w:rPr>
        <w:t>aya</w:t>
      </w:r>
      <w:r w:rsidRPr="006B2A4D">
        <w:rPr>
          <w:rFonts w:eastAsia="Verdana" w:cs="Verdana"/>
          <w:spacing w:val="10"/>
          <w:sz w:val="20"/>
          <w:szCs w:val="20"/>
          <w:lang w:eastAsia="es-ES"/>
        </w:rPr>
        <w:t xml:space="preserve"> </w:t>
      </w:r>
      <w:r w:rsidRPr="006B2A4D">
        <w:rPr>
          <w:rFonts w:eastAsia="Verdana" w:cs="Verdana"/>
          <w:spacing w:val="3"/>
          <w:sz w:val="20"/>
          <w:szCs w:val="20"/>
          <w:lang w:eastAsia="es-ES"/>
        </w:rPr>
        <w:t>i</w:t>
      </w:r>
      <w:r w:rsidRPr="006B2A4D">
        <w:rPr>
          <w:rFonts w:eastAsia="Verdana" w:cs="Verdana"/>
          <w:spacing w:val="1"/>
          <w:sz w:val="20"/>
          <w:szCs w:val="20"/>
          <w:lang w:eastAsia="es-ES"/>
        </w:rPr>
        <w:t>n</w:t>
      </w:r>
      <w:r w:rsidRPr="006B2A4D">
        <w:rPr>
          <w:rFonts w:eastAsia="Verdana" w:cs="Verdana"/>
          <w:sz w:val="20"/>
          <w:szCs w:val="20"/>
          <w:lang w:eastAsia="es-ES"/>
        </w:rPr>
        <w:t>cur</w:t>
      </w:r>
      <w:r w:rsidRPr="006B2A4D">
        <w:rPr>
          <w:rFonts w:eastAsia="Verdana" w:cs="Verdana"/>
          <w:spacing w:val="-2"/>
          <w:sz w:val="20"/>
          <w:szCs w:val="20"/>
          <w:lang w:eastAsia="es-ES"/>
        </w:rPr>
        <w:t>r</w:t>
      </w:r>
      <w:r w:rsidRPr="006B2A4D">
        <w:rPr>
          <w:rFonts w:eastAsia="Verdana" w:cs="Verdana"/>
          <w:spacing w:val="3"/>
          <w:sz w:val="20"/>
          <w:szCs w:val="20"/>
          <w:lang w:eastAsia="es-ES"/>
        </w:rPr>
        <w:t>i</w:t>
      </w:r>
      <w:r w:rsidRPr="006B2A4D">
        <w:rPr>
          <w:rFonts w:eastAsia="Verdana" w:cs="Verdana"/>
          <w:spacing w:val="1"/>
          <w:sz w:val="20"/>
          <w:szCs w:val="20"/>
          <w:lang w:eastAsia="es-ES"/>
        </w:rPr>
        <w:t>d</w:t>
      </w:r>
      <w:r w:rsidRPr="006B2A4D">
        <w:rPr>
          <w:rFonts w:eastAsia="Verdana" w:cs="Verdana"/>
          <w:sz w:val="20"/>
          <w:szCs w:val="20"/>
          <w:lang w:eastAsia="es-ES"/>
        </w:rPr>
        <w:t>o</w:t>
      </w:r>
      <w:r w:rsidRPr="006B2A4D">
        <w:rPr>
          <w:rFonts w:eastAsia="Verdana" w:cs="Verdana"/>
          <w:spacing w:val="5"/>
          <w:sz w:val="20"/>
          <w:szCs w:val="20"/>
          <w:lang w:eastAsia="es-ES"/>
        </w:rPr>
        <w:t xml:space="preserve"> </w:t>
      </w:r>
      <w:r w:rsidRPr="006B2A4D">
        <w:rPr>
          <w:rFonts w:eastAsia="Verdana" w:cs="Verdana"/>
          <w:sz w:val="20"/>
          <w:szCs w:val="20"/>
          <w:lang w:eastAsia="es-ES"/>
        </w:rPr>
        <w:t>c</w:t>
      </w:r>
      <w:r w:rsidRPr="006B2A4D">
        <w:rPr>
          <w:rFonts w:eastAsia="Verdana" w:cs="Verdana"/>
          <w:spacing w:val="-2"/>
          <w:sz w:val="20"/>
          <w:szCs w:val="20"/>
          <w:lang w:eastAsia="es-ES"/>
        </w:rPr>
        <w:t>o</w:t>
      </w:r>
      <w:r w:rsidRPr="006B2A4D">
        <w:rPr>
          <w:rFonts w:eastAsia="Verdana" w:cs="Verdana"/>
          <w:sz w:val="20"/>
          <w:szCs w:val="20"/>
          <w:lang w:eastAsia="es-ES"/>
        </w:rPr>
        <w:t>n</w:t>
      </w:r>
      <w:r w:rsidRPr="006B2A4D">
        <w:rPr>
          <w:rFonts w:eastAsia="Verdana" w:cs="Verdana"/>
          <w:spacing w:val="13"/>
          <w:sz w:val="20"/>
          <w:szCs w:val="20"/>
          <w:lang w:eastAsia="es-ES"/>
        </w:rPr>
        <w:t xml:space="preserve"> </w:t>
      </w:r>
      <w:r w:rsidRPr="006B2A4D">
        <w:rPr>
          <w:rFonts w:eastAsia="Verdana" w:cs="Verdana"/>
          <w:spacing w:val="-1"/>
          <w:sz w:val="20"/>
          <w:szCs w:val="20"/>
          <w:lang w:eastAsia="es-ES"/>
        </w:rPr>
        <w:t>o</w:t>
      </w:r>
      <w:r w:rsidRPr="006B2A4D">
        <w:rPr>
          <w:rFonts w:eastAsia="Verdana" w:cs="Verdana"/>
          <w:sz w:val="20"/>
          <w:szCs w:val="20"/>
          <w:lang w:eastAsia="es-ES"/>
        </w:rPr>
        <w:t>ca</w:t>
      </w:r>
      <w:r w:rsidRPr="006B2A4D">
        <w:rPr>
          <w:rFonts w:eastAsia="Verdana" w:cs="Verdana"/>
          <w:spacing w:val="-1"/>
          <w:sz w:val="20"/>
          <w:szCs w:val="20"/>
          <w:lang w:eastAsia="es-ES"/>
        </w:rPr>
        <w:t>s</w:t>
      </w:r>
      <w:r w:rsidRPr="006B2A4D">
        <w:rPr>
          <w:rFonts w:eastAsia="Verdana" w:cs="Verdana"/>
          <w:spacing w:val="3"/>
          <w:sz w:val="20"/>
          <w:szCs w:val="20"/>
          <w:lang w:eastAsia="es-ES"/>
        </w:rPr>
        <w:t>i</w:t>
      </w:r>
      <w:r w:rsidRPr="006B2A4D">
        <w:rPr>
          <w:rFonts w:eastAsia="Verdana" w:cs="Verdana"/>
          <w:spacing w:val="-1"/>
          <w:sz w:val="20"/>
          <w:szCs w:val="20"/>
          <w:lang w:eastAsia="es-ES"/>
        </w:rPr>
        <w:t>ó</w:t>
      </w:r>
      <w:r w:rsidRPr="006B2A4D">
        <w:rPr>
          <w:rFonts w:eastAsia="Verdana" w:cs="Verdana"/>
          <w:sz w:val="20"/>
          <w:szCs w:val="20"/>
          <w:lang w:eastAsia="es-ES"/>
        </w:rPr>
        <w:t>n</w:t>
      </w:r>
      <w:r w:rsidRPr="006B2A4D">
        <w:rPr>
          <w:rFonts w:eastAsia="Verdana" w:cs="Verdana"/>
          <w:spacing w:val="9"/>
          <w:sz w:val="20"/>
          <w:szCs w:val="20"/>
          <w:lang w:eastAsia="es-ES"/>
        </w:rPr>
        <w:t xml:space="preserve"> </w:t>
      </w:r>
      <w:r w:rsidRPr="006B2A4D">
        <w:rPr>
          <w:rFonts w:eastAsia="Verdana" w:cs="Verdana"/>
          <w:spacing w:val="1"/>
          <w:sz w:val="20"/>
          <w:szCs w:val="20"/>
          <w:lang w:eastAsia="es-ES"/>
        </w:rPr>
        <w:t>d</w:t>
      </w:r>
      <w:r w:rsidRPr="006B2A4D">
        <w:rPr>
          <w:rFonts w:eastAsia="Verdana" w:cs="Verdana"/>
          <w:spacing w:val="-1"/>
          <w:sz w:val="20"/>
          <w:szCs w:val="20"/>
          <w:lang w:eastAsia="es-ES"/>
        </w:rPr>
        <w:t>e</w:t>
      </w:r>
      <w:r w:rsidRPr="006B2A4D">
        <w:rPr>
          <w:rFonts w:eastAsia="Verdana" w:cs="Verdana"/>
          <w:sz w:val="20"/>
          <w:szCs w:val="20"/>
          <w:lang w:eastAsia="es-ES"/>
        </w:rPr>
        <w:t>l</w:t>
      </w:r>
      <w:r w:rsidRPr="006B2A4D">
        <w:rPr>
          <w:rFonts w:eastAsia="Verdana" w:cs="Verdana"/>
          <w:spacing w:val="15"/>
          <w:sz w:val="20"/>
          <w:szCs w:val="20"/>
          <w:lang w:eastAsia="es-ES"/>
        </w:rPr>
        <w:t xml:space="preserve"> </w:t>
      </w:r>
      <w:r w:rsidRPr="006B2A4D">
        <w:rPr>
          <w:rFonts w:eastAsia="Verdana" w:cs="Verdana"/>
          <w:spacing w:val="1"/>
          <w:sz w:val="20"/>
          <w:szCs w:val="20"/>
          <w:lang w:eastAsia="es-ES"/>
        </w:rPr>
        <w:t>p</w:t>
      </w:r>
      <w:r w:rsidRPr="006B2A4D">
        <w:rPr>
          <w:rFonts w:eastAsia="Verdana" w:cs="Verdana"/>
          <w:spacing w:val="-1"/>
          <w:sz w:val="20"/>
          <w:szCs w:val="20"/>
          <w:lang w:eastAsia="es-ES"/>
        </w:rPr>
        <w:t>ro</w:t>
      </w:r>
      <w:r w:rsidRPr="006B2A4D">
        <w:rPr>
          <w:rFonts w:eastAsia="Verdana" w:cs="Verdana"/>
          <w:sz w:val="20"/>
          <w:szCs w:val="20"/>
          <w:lang w:eastAsia="es-ES"/>
        </w:rPr>
        <w:t>c</w:t>
      </w:r>
      <w:r w:rsidRPr="006B2A4D">
        <w:rPr>
          <w:rFonts w:eastAsia="Verdana" w:cs="Verdana"/>
          <w:spacing w:val="-2"/>
          <w:sz w:val="20"/>
          <w:szCs w:val="20"/>
          <w:lang w:eastAsia="es-ES"/>
        </w:rPr>
        <w:t>e</w:t>
      </w:r>
      <w:r w:rsidRPr="006B2A4D">
        <w:rPr>
          <w:rFonts w:eastAsia="Verdana" w:cs="Verdana"/>
          <w:spacing w:val="1"/>
          <w:sz w:val="20"/>
          <w:szCs w:val="20"/>
          <w:lang w:eastAsia="es-ES"/>
        </w:rPr>
        <w:t>d</w:t>
      </w:r>
      <w:r w:rsidRPr="006B2A4D">
        <w:rPr>
          <w:rFonts w:eastAsia="Verdana" w:cs="Verdana"/>
          <w:spacing w:val="3"/>
          <w:sz w:val="20"/>
          <w:szCs w:val="20"/>
          <w:lang w:eastAsia="es-ES"/>
        </w:rPr>
        <w:t>i</w:t>
      </w:r>
      <w:r w:rsidRPr="006B2A4D">
        <w:rPr>
          <w:rFonts w:eastAsia="Verdana" w:cs="Verdana"/>
          <w:sz w:val="20"/>
          <w:szCs w:val="20"/>
          <w:lang w:eastAsia="es-ES"/>
        </w:rPr>
        <w:t>m</w:t>
      </w:r>
      <w:r w:rsidRPr="006B2A4D">
        <w:rPr>
          <w:rFonts w:eastAsia="Verdana" w:cs="Verdana"/>
          <w:spacing w:val="3"/>
          <w:sz w:val="20"/>
          <w:szCs w:val="20"/>
          <w:lang w:eastAsia="es-ES"/>
        </w:rPr>
        <w:t>i</w:t>
      </w:r>
      <w:r w:rsidRPr="006B2A4D">
        <w:rPr>
          <w:rFonts w:eastAsia="Verdana" w:cs="Verdana"/>
          <w:spacing w:val="-1"/>
          <w:sz w:val="20"/>
          <w:szCs w:val="20"/>
          <w:lang w:eastAsia="es-ES"/>
        </w:rPr>
        <w:t>e</w:t>
      </w:r>
      <w:r w:rsidRPr="006B2A4D">
        <w:rPr>
          <w:rFonts w:eastAsia="Verdana" w:cs="Verdana"/>
          <w:spacing w:val="1"/>
          <w:sz w:val="20"/>
          <w:szCs w:val="20"/>
          <w:lang w:eastAsia="es-ES"/>
        </w:rPr>
        <w:t>nt</w:t>
      </w:r>
      <w:r w:rsidRPr="006B2A4D">
        <w:rPr>
          <w:rFonts w:eastAsia="Verdana" w:cs="Verdana"/>
          <w:sz w:val="20"/>
          <w:szCs w:val="20"/>
          <w:lang w:eastAsia="es-ES"/>
        </w:rPr>
        <w:t>o a</w:t>
      </w:r>
      <w:r w:rsidRPr="006B2A4D">
        <w:rPr>
          <w:rFonts w:eastAsia="Verdana" w:cs="Verdana"/>
          <w:spacing w:val="1"/>
          <w:sz w:val="20"/>
          <w:szCs w:val="20"/>
          <w:lang w:eastAsia="es-ES"/>
        </w:rPr>
        <w:t>nt</w:t>
      </w:r>
      <w:r w:rsidRPr="006B2A4D">
        <w:rPr>
          <w:rFonts w:eastAsia="Verdana" w:cs="Verdana"/>
          <w:sz w:val="20"/>
          <w:szCs w:val="20"/>
          <w:lang w:eastAsia="es-ES"/>
        </w:rPr>
        <w:t>e</w:t>
      </w:r>
      <w:r w:rsidRPr="006B2A4D">
        <w:rPr>
          <w:rFonts w:eastAsia="Verdana" w:cs="Verdana"/>
          <w:spacing w:val="10"/>
          <w:sz w:val="20"/>
          <w:szCs w:val="20"/>
          <w:lang w:eastAsia="es-ES"/>
        </w:rPr>
        <w:t xml:space="preserve"> </w:t>
      </w:r>
      <w:r w:rsidRPr="006B2A4D">
        <w:rPr>
          <w:rFonts w:eastAsia="Verdana" w:cs="Verdana"/>
          <w:spacing w:val="-1"/>
          <w:sz w:val="20"/>
          <w:szCs w:val="20"/>
          <w:lang w:eastAsia="es-ES"/>
        </w:rPr>
        <w:t>e</w:t>
      </w:r>
      <w:r w:rsidRPr="006B2A4D">
        <w:rPr>
          <w:rFonts w:eastAsia="Verdana" w:cs="Verdana"/>
          <w:sz w:val="20"/>
          <w:szCs w:val="20"/>
          <w:lang w:eastAsia="es-ES"/>
        </w:rPr>
        <w:t>sta</w:t>
      </w:r>
      <w:r w:rsidRPr="006B2A4D">
        <w:rPr>
          <w:rFonts w:eastAsia="Verdana" w:cs="Verdana"/>
          <w:spacing w:val="11"/>
          <w:sz w:val="20"/>
          <w:szCs w:val="20"/>
          <w:lang w:eastAsia="es-ES"/>
        </w:rPr>
        <w:t xml:space="preserve"> </w:t>
      </w:r>
      <w:r w:rsidRPr="006B2A4D">
        <w:rPr>
          <w:rFonts w:eastAsia="Verdana" w:cs="Verdana"/>
          <w:sz w:val="20"/>
          <w:szCs w:val="20"/>
          <w:lang w:eastAsia="es-ES"/>
        </w:rPr>
        <w:t>C</w:t>
      </w:r>
      <w:r w:rsidRPr="006B2A4D">
        <w:rPr>
          <w:rFonts w:eastAsia="Verdana" w:cs="Verdana"/>
          <w:spacing w:val="-1"/>
          <w:sz w:val="20"/>
          <w:szCs w:val="20"/>
          <w:lang w:eastAsia="es-ES"/>
        </w:rPr>
        <w:t>or</w:t>
      </w:r>
      <w:r w:rsidRPr="006B2A4D">
        <w:rPr>
          <w:rFonts w:eastAsia="Verdana" w:cs="Verdana"/>
          <w:spacing w:val="3"/>
          <w:sz w:val="20"/>
          <w:szCs w:val="20"/>
          <w:lang w:eastAsia="es-ES"/>
        </w:rPr>
        <w:t>t</w:t>
      </w:r>
      <w:r w:rsidRPr="006B2A4D">
        <w:rPr>
          <w:rFonts w:eastAsia="Verdana" w:cs="Verdana"/>
          <w:spacing w:val="-1"/>
          <w:sz w:val="20"/>
          <w:szCs w:val="20"/>
          <w:lang w:eastAsia="es-ES"/>
        </w:rPr>
        <w:t>e</w:t>
      </w:r>
      <w:r w:rsidRPr="006B2A4D">
        <w:rPr>
          <w:rFonts w:eastAsia="Verdana" w:cs="Verdana"/>
          <w:spacing w:val="11"/>
          <w:sz w:val="20"/>
          <w:szCs w:val="20"/>
          <w:lang w:eastAsia="es-ES"/>
        </w:rPr>
        <w:t>”</w:t>
      </w:r>
      <w:r w:rsidRPr="006B2A4D">
        <w:rPr>
          <w:rFonts w:eastAsia="Verdana" w:cs="Verdana"/>
          <w:spacing w:val="11"/>
          <w:sz w:val="20"/>
          <w:szCs w:val="20"/>
          <w:vertAlign w:val="superscript"/>
          <w:lang w:eastAsia="es-ES"/>
        </w:rPr>
        <w:footnoteReference w:id="329"/>
      </w:r>
      <w:r w:rsidRPr="006B2A4D">
        <w:rPr>
          <w:rFonts w:eastAsia="Verdana" w:cs="Verdana"/>
          <w:sz w:val="20"/>
          <w:szCs w:val="20"/>
          <w:lang w:eastAsia="es-ES"/>
        </w:rPr>
        <w:t>. As</w:t>
      </w:r>
      <w:r w:rsidRPr="006B2A4D">
        <w:rPr>
          <w:rFonts w:eastAsia="Verdana" w:cs="Verdana"/>
          <w:spacing w:val="3"/>
          <w:sz w:val="20"/>
          <w:szCs w:val="20"/>
          <w:lang w:eastAsia="es-ES"/>
        </w:rPr>
        <w:t>i</w:t>
      </w:r>
      <w:r w:rsidRPr="006B2A4D">
        <w:rPr>
          <w:rFonts w:eastAsia="Verdana" w:cs="Verdana"/>
          <w:spacing w:val="-2"/>
          <w:sz w:val="20"/>
          <w:szCs w:val="20"/>
          <w:lang w:eastAsia="es-ES"/>
        </w:rPr>
        <w:t>m</w:t>
      </w:r>
      <w:r w:rsidRPr="006B2A4D">
        <w:rPr>
          <w:rFonts w:eastAsia="Verdana" w:cs="Verdana"/>
          <w:spacing w:val="3"/>
          <w:sz w:val="20"/>
          <w:szCs w:val="20"/>
          <w:lang w:eastAsia="es-ES"/>
        </w:rPr>
        <w:t>i</w:t>
      </w:r>
      <w:r w:rsidRPr="006B2A4D">
        <w:rPr>
          <w:rFonts w:eastAsia="Verdana" w:cs="Verdana"/>
          <w:sz w:val="20"/>
          <w:szCs w:val="20"/>
          <w:lang w:eastAsia="es-ES"/>
        </w:rPr>
        <w:t>sm</w:t>
      </w:r>
      <w:r w:rsidRPr="006B2A4D">
        <w:rPr>
          <w:rFonts w:eastAsia="Verdana" w:cs="Verdana"/>
          <w:spacing w:val="-1"/>
          <w:sz w:val="20"/>
          <w:szCs w:val="20"/>
          <w:lang w:eastAsia="es-ES"/>
        </w:rPr>
        <w:t>o</w:t>
      </w:r>
      <w:r w:rsidRPr="006B2A4D">
        <w:rPr>
          <w:rFonts w:eastAsia="Verdana" w:cs="Verdana"/>
          <w:sz w:val="20"/>
          <w:szCs w:val="20"/>
          <w:lang w:eastAsia="es-ES"/>
        </w:rPr>
        <w:t>,</w:t>
      </w:r>
      <w:r w:rsidRPr="006B2A4D">
        <w:rPr>
          <w:rFonts w:eastAsia="Verdana" w:cs="Verdana"/>
          <w:spacing w:val="1"/>
          <w:sz w:val="20"/>
          <w:szCs w:val="20"/>
          <w:lang w:eastAsia="es-ES"/>
        </w:rPr>
        <w:t xml:space="preserve"> </w:t>
      </w:r>
      <w:r w:rsidRPr="006B2A4D">
        <w:rPr>
          <w:rFonts w:eastAsia="Verdana" w:cs="Verdana"/>
          <w:spacing w:val="3"/>
          <w:sz w:val="20"/>
          <w:szCs w:val="20"/>
          <w:lang w:eastAsia="es-ES"/>
        </w:rPr>
        <w:t>l</w:t>
      </w:r>
      <w:r w:rsidRPr="006B2A4D">
        <w:rPr>
          <w:rFonts w:eastAsia="Verdana" w:cs="Verdana"/>
          <w:sz w:val="20"/>
          <w:szCs w:val="20"/>
          <w:lang w:eastAsia="es-ES"/>
        </w:rPr>
        <w:t>a</w:t>
      </w:r>
      <w:r w:rsidRPr="006B2A4D">
        <w:rPr>
          <w:rFonts w:eastAsia="Verdana" w:cs="Verdana"/>
          <w:spacing w:val="9"/>
          <w:sz w:val="20"/>
          <w:szCs w:val="20"/>
          <w:lang w:eastAsia="es-ES"/>
        </w:rPr>
        <w:t xml:space="preserve"> </w:t>
      </w:r>
      <w:r w:rsidRPr="006B2A4D">
        <w:rPr>
          <w:rFonts w:eastAsia="Verdana" w:cs="Verdana"/>
          <w:sz w:val="20"/>
          <w:szCs w:val="20"/>
          <w:lang w:eastAsia="es-ES"/>
        </w:rPr>
        <w:t>C</w:t>
      </w:r>
      <w:r w:rsidRPr="006B2A4D">
        <w:rPr>
          <w:rFonts w:eastAsia="Verdana" w:cs="Verdana"/>
          <w:spacing w:val="-1"/>
          <w:sz w:val="20"/>
          <w:szCs w:val="20"/>
          <w:lang w:eastAsia="es-ES"/>
        </w:rPr>
        <w:t>or</w:t>
      </w:r>
      <w:r w:rsidRPr="006B2A4D">
        <w:rPr>
          <w:rFonts w:eastAsia="Verdana" w:cs="Verdana"/>
          <w:spacing w:val="3"/>
          <w:sz w:val="20"/>
          <w:szCs w:val="20"/>
          <w:lang w:eastAsia="es-ES"/>
        </w:rPr>
        <w:t>t</w:t>
      </w:r>
      <w:r w:rsidRPr="006B2A4D">
        <w:rPr>
          <w:rFonts w:eastAsia="Verdana" w:cs="Verdana"/>
          <w:sz w:val="20"/>
          <w:szCs w:val="20"/>
          <w:lang w:eastAsia="es-ES"/>
        </w:rPr>
        <w:t>e</w:t>
      </w:r>
      <w:r w:rsidRPr="006B2A4D">
        <w:rPr>
          <w:rFonts w:eastAsia="Verdana" w:cs="Verdana"/>
          <w:spacing w:val="7"/>
          <w:sz w:val="20"/>
          <w:szCs w:val="20"/>
          <w:lang w:eastAsia="es-ES"/>
        </w:rPr>
        <w:t xml:space="preserve"> </w:t>
      </w:r>
      <w:r w:rsidRPr="006B2A4D">
        <w:rPr>
          <w:rFonts w:eastAsia="Verdana" w:cs="Verdana"/>
          <w:spacing w:val="-1"/>
          <w:sz w:val="20"/>
          <w:szCs w:val="20"/>
          <w:lang w:eastAsia="es-ES"/>
        </w:rPr>
        <w:t>re</w:t>
      </w:r>
      <w:r w:rsidRPr="006B2A4D">
        <w:rPr>
          <w:rFonts w:eastAsia="Verdana" w:cs="Verdana"/>
          <w:spacing w:val="3"/>
          <w:sz w:val="20"/>
          <w:szCs w:val="20"/>
          <w:lang w:eastAsia="es-ES"/>
        </w:rPr>
        <w:t>i</w:t>
      </w:r>
      <w:r w:rsidRPr="006B2A4D">
        <w:rPr>
          <w:rFonts w:eastAsia="Verdana" w:cs="Verdana"/>
          <w:spacing w:val="1"/>
          <w:sz w:val="20"/>
          <w:szCs w:val="20"/>
          <w:lang w:eastAsia="es-ES"/>
        </w:rPr>
        <w:t>t</w:t>
      </w:r>
      <w:r w:rsidRPr="006B2A4D">
        <w:rPr>
          <w:rFonts w:eastAsia="Verdana" w:cs="Verdana"/>
          <w:spacing w:val="-1"/>
          <w:sz w:val="20"/>
          <w:szCs w:val="20"/>
          <w:lang w:eastAsia="es-ES"/>
        </w:rPr>
        <w:t>er</w:t>
      </w:r>
      <w:r w:rsidRPr="006B2A4D">
        <w:rPr>
          <w:rFonts w:eastAsia="Verdana" w:cs="Verdana"/>
          <w:sz w:val="20"/>
          <w:szCs w:val="20"/>
          <w:lang w:eastAsia="es-ES"/>
        </w:rPr>
        <w:t>a</w:t>
      </w:r>
      <w:r w:rsidRPr="006B2A4D">
        <w:rPr>
          <w:rFonts w:eastAsia="Verdana" w:cs="Verdana"/>
          <w:spacing w:val="7"/>
          <w:sz w:val="20"/>
          <w:szCs w:val="20"/>
          <w:lang w:eastAsia="es-ES"/>
        </w:rPr>
        <w:t xml:space="preserve"> </w:t>
      </w:r>
      <w:r w:rsidRPr="006B2A4D">
        <w:rPr>
          <w:rFonts w:eastAsia="Verdana" w:cs="Verdana"/>
          <w:spacing w:val="1"/>
          <w:sz w:val="20"/>
          <w:szCs w:val="20"/>
          <w:lang w:eastAsia="es-ES"/>
        </w:rPr>
        <w:t>qu</w:t>
      </w:r>
      <w:r w:rsidRPr="006B2A4D">
        <w:rPr>
          <w:rFonts w:eastAsia="Verdana" w:cs="Verdana"/>
          <w:sz w:val="20"/>
          <w:szCs w:val="20"/>
          <w:lang w:eastAsia="es-ES"/>
        </w:rPr>
        <w:t>e</w:t>
      </w:r>
      <w:r w:rsidRPr="006B2A4D">
        <w:rPr>
          <w:rFonts w:eastAsia="Verdana" w:cs="Verdana"/>
          <w:spacing w:val="6"/>
          <w:sz w:val="20"/>
          <w:szCs w:val="20"/>
          <w:lang w:eastAsia="es-ES"/>
        </w:rPr>
        <w:t xml:space="preserve"> </w:t>
      </w:r>
      <w:r w:rsidRPr="006B2A4D">
        <w:rPr>
          <w:rFonts w:eastAsia="Verdana" w:cs="Verdana"/>
          <w:spacing w:val="1"/>
          <w:sz w:val="20"/>
          <w:szCs w:val="20"/>
          <w:lang w:eastAsia="es-ES"/>
        </w:rPr>
        <w:t>n</w:t>
      </w:r>
      <w:r w:rsidRPr="006B2A4D">
        <w:rPr>
          <w:rFonts w:eastAsia="Verdana" w:cs="Verdana"/>
          <w:sz w:val="20"/>
          <w:szCs w:val="20"/>
          <w:lang w:eastAsia="es-ES"/>
        </w:rPr>
        <w:t>o</w:t>
      </w:r>
      <w:r w:rsidRPr="006B2A4D">
        <w:rPr>
          <w:rFonts w:eastAsia="Verdana" w:cs="Verdana"/>
          <w:spacing w:val="10"/>
          <w:sz w:val="20"/>
          <w:szCs w:val="20"/>
          <w:lang w:eastAsia="es-ES"/>
        </w:rPr>
        <w:t xml:space="preserve"> </w:t>
      </w:r>
      <w:r w:rsidRPr="006B2A4D">
        <w:rPr>
          <w:rFonts w:eastAsia="Verdana" w:cs="Verdana"/>
          <w:spacing w:val="1"/>
          <w:sz w:val="20"/>
          <w:szCs w:val="20"/>
          <w:lang w:eastAsia="es-ES"/>
        </w:rPr>
        <w:t>e</w:t>
      </w:r>
      <w:r w:rsidRPr="006B2A4D">
        <w:rPr>
          <w:rFonts w:eastAsia="Verdana" w:cs="Verdana"/>
          <w:sz w:val="20"/>
          <w:szCs w:val="20"/>
          <w:lang w:eastAsia="es-ES"/>
        </w:rPr>
        <w:t>s</w:t>
      </w:r>
      <w:r w:rsidRPr="006B2A4D">
        <w:rPr>
          <w:rFonts w:eastAsia="Verdana" w:cs="Verdana"/>
          <w:spacing w:val="8"/>
          <w:sz w:val="20"/>
          <w:szCs w:val="20"/>
          <w:lang w:eastAsia="es-ES"/>
        </w:rPr>
        <w:t xml:space="preserve"> </w:t>
      </w:r>
      <w:r w:rsidRPr="006B2A4D">
        <w:rPr>
          <w:rFonts w:eastAsia="Verdana" w:cs="Verdana"/>
          <w:sz w:val="20"/>
          <w:szCs w:val="20"/>
          <w:lang w:eastAsia="es-ES"/>
        </w:rPr>
        <w:t>suf</w:t>
      </w:r>
      <w:r w:rsidRPr="006B2A4D">
        <w:rPr>
          <w:rFonts w:eastAsia="Verdana" w:cs="Verdana"/>
          <w:spacing w:val="3"/>
          <w:sz w:val="20"/>
          <w:szCs w:val="20"/>
          <w:lang w:eastAsia="es-ES"/>
        </w:rPr>
        <w:t>i</w:t>
      </w:r>
      <w:r w:rsidRPr="006B2A4D">
        <w:rPr>
          <w:rFonts w:eastAsia="Verdana" w:cs="Verdana"/>
          <w:sz w:val="20"/>
          <w:szCs w:val="20"/>
          <w:lang w:eastAsia="es-ES"/>
        </w:rPr>
        <w:t>c</w:t>
      </w:r>
      <w:r w:rsidRPr="006B2A4D">
        <w:rPr>
          <w:rFonts w:eastAsia="Verdana" w:cs="Verdana"/>
          <w:spacing w:val="2"/>
          <w:sz w:val="20"/>
          <w:szCs w:val="20"/>
          <w:lang w:eastAsia="es-ES"/>
        </w:rPr>
        <w:t>i</w:t>
      </w:r>
      <w:r w:rsidRPr="006B2A4D">
        <w:rPr>
          <w:rFonts w:eastAsia="Verdana" w:cs="Verdana"/>
          <w:spacing w:val="-1"/>
          <w:sz w:val="20"/>
          <w:szCs w:val="20"/>
          <w:lang w:eastAsia="es-ES"/>
        </w:rPr>
        <w:t>e</w:t>
      </w:r>
      <w:r w:rsidRPr="006B2A4D">
        <w:rPr>
          <w:rFonts w:eastAsia="Verdana" w:cs="Verdana"/>
          <w:spacing w:val="1"/>
          <w:sz w:val="20"/>
          <w:szCs w:val="20"/>
          <w:lang w:eastAsia="es-ES"/>
        </w:rPr>
        <w:t>nt</w:t>
      </w:r>
      <w:r w:rsidRPr="006B2A4D">
        <w:rPr>
          <w:rFonts w:eastAsia="Verdana" w:cs="Verdana"/>
          <w:sz w:val="20"/>
          <w:szCs w:val="20"/>
          <w:lang w:eastAsia="es-ES"/>
        </w:rPr>
        <w:t xml:space="preserve">e </w:t>
      </w:r>
      <w:r w:rsidRPr="006B2A4D">
        <w:rPr>
          <w:rFonts w:eastAsia="Verdana" w:cs="Verdana"/>
          <w:spacing w:val="3"/>
          <w:sz w:val="20"/>
          <w:szCs w:val="20"/>
          <w:lang w:eastAsia="es-ES"/>
        </w:rPr>
        <w:t>l</w:t>
      </w:r>
      <w:r w:rsidRPr="006B2A4D">
        <w:rPr>
          <w:rFonts w:eastAsia="Verdana" w:cs="Verdana"/>
          <w:sz w:val="20"/>
          <w:szCs w:val="20"/>
          <w:lang w:eastAsia="es-ES"/>
        </w:rPr>
        <w:t>a</w:t>
      </w:r>
      <w:r w:rsidRPr="006B2A4D">
        <w:rPr>
          <w:rFonts w:eastAsia="Verdana" w:cs="Verdana"/>
          <w:spacing w:val="9"/>
          <w:sz w:val="20"/>
          <w:szCs w:val="20"/>
          <w:lang w:eastAsia="es-ES"/>
        </w:rPr>
        <w:t xml:space="preserve"> </w:t>
      </w:r>
      <w:r w:rsidRPr="006B2A4D">
        <w:rPr>
          <w:rFonts w:eastAsia="Verdana" w:cs="Verdana"/>
          <w:spacing w:val="-1"/>
          <w:sz w:val="20"/>
          <w:szCs w:val="20"/>
          <w:lang w:eastAsia="es-ES"/>
        </w:rPr>
        <w:t>re</w:t>
      </w:r>
      <w:r w:rsidRPr="006B2A4D">
        <w:rPr>
          <w:rFonts w:eastAsia="Verdana" w:cs="Verdana"/>
          <w:sz w:val="20"/>
          <w:szCs w:val="20"/>
          <w:lang w:eastAsia="es-ES"/>
        </w:rPr>
        <w:t>m</w:t>
      </w:r>
      <w:r w:rsidRPr="006B2A4D">
        <w:rPr>
          <w:rFonts w:eastAsia="Verdana" w:cs="Verdana"/>
          <w:spacing w:val="3"/>
          <w:sz w:val="20"/>
          <w:szCs w:val="20"/>
          <w:lang w:eastAsia="es-ES"/>
        </w:rPr>
        <w:t>i</w:t>
      </w:r>
      <w:r w:rsidRPr="006B2A4D">
        <w:rPr>
          <w:rFonts w:eastAsia="Verdana" w:cs="Verdana"/>
          <w:sz w:val="20"/>
          <w:szCs w:val="20"/>
          <w:lang w:eastAsia="es-ES"/>
        </w:rPr>
        <w:t>s</w:t>
      </w:r>
      <w:r w:rsidRPr="006B2A4D">
        <w:rPr>
          <w:rFonts w:eastAsia="Verdana" w:cs="Verdana"/>
          <w:spacing w:val="2"/>
          <w:sz w:val="20"/>
          <w:szCs w:val="20"/>
          <w:lang w:eastAsia="es-ES"/>
        </w:rPr>
        <w:t>i</w:t>
      </w:r>
      <w:r w:rsidRPr="006B2A4D">
        <w:rPr>
          <w:rFonts w:eastAsia="Verdana" w:cs="Verdana"/>
          <w:spacing w:val="-1"/>
          <w:sz w:val="20"/>
          <w:szCs w:val="20"/>
          <w:lang w:eastAsia="es-ES"/>
        </w:rPr>
        <w:t>ó</w:t>
      </w:r>
      <w:r w:rsidRPr="006B2A4D">
        <w:rPr>
          <w:rFonts w:eastAsia="Verdana" w:cs="Verdana"/>
          <w:sz w:val="20"/>
          <w:szCs w:val="20"/>
          <w:lang w:eastAsia="es-ES"/>
        </w:rPr>
        <w:t>n</w:t>
      </w:r>
      <w:r w:rsidRPr="006B2A4D">
        <w:rPr>
          <w:rFonts w:eastAsia="Verdana" w:cs="Verdana"/>
          <w:spacing w:val="3"/>
          <w:sz w:val="20"/>
          <w:szCs w:val="20"/>
          <w:lang w:eastAsia="es-ES"/>
        </w:rPr>
        <w:t xml:space="preserve"> </w:t>
      </w:r>
      <w:r w:rsidRPr="006B2A4D">
        <w:rPr>
          <w:rFonts w:eastAsia="Verdana" w:cs="Verdana"/>
          <w:spacing w:val="1"/>
          <w:sz w:val="20"/>
          <w:szCs w:val="20"/>
          <w:lang w:eastAsia="es-ES"/>
        </w:rPr>
        <w:t>d</w:t>
      </w:r>
      <w:r w:rsidRPr="006B2A4D">
        <w:rPr>
          <w:rFonts w:eastAsia="Verdana" w:cs="Verdana"/>
          <w:sz w:val="20"/>
          <w:szCs w:val="20"/>
          <w:lang w:eastAsia="es-ES"/>
        </w:rPr>
        <w:t>e</w:t>
      </w:r>
      <w:r w:rsidRPr="006B2A4D">
        <w:rPr>
          <w:rFonts w:eastAsia="Verdana" w:cs="Verdana"/>
          <w:spacing w:val="8"/>
          <w:sz w:val="20"/>
          <w:szCs w:val="20"/>
          <w:lang w:eastAsia="es-ES"/>
        </w:rPr>
        <w:t xml:space="preserve"> </w:t>
      </w:r>
      <w:r w:rsidRPr="006B2A4D">
        <w:rPr>
          <w:rFonts w:eastAsia="Verdana" w:cs="Verdana"/>
          <w:spacing w:val="1"/>
          <w:sz w:val="20"/>
          <w:szCs w:val="20"/>
          <w:lang w:eastAsia="es-ES"/>
        </w:rPr>
        <w:t>d</w:t>
      </w:r>
      <w:r w:rsidRPr="006B2A4D">
        <w:rPr>
          <w:rFonts w:eastAsia="Verdana" w:cs="Verdana"/>
          <w:spacing w:val="-1"/>
          <w:sz w:val="20"/>
          <w:szCs w:val="20"/>
          <w:lang w:eastAsia="es-ES"/>
        </w:rPr>
        <w:t>o</w:t>
      </w:r>
      <w:r w:rsidRPr="006B2A4D">
        <w:rPr>
          <w:rFonts w:eastAsia="Verdana" w:cs="Verdana"/>
          <w:sz w:val="20"/>
          <w:szCs w:val="20"/>
          <w:lang w:eastAsia="es-ES"/>
        </w:rPr>
        <w:t>cu</w:t>
      </w:r>
      <w:r w:rsidRPr="006B2A4D">
        <w:rPr>
          <w:rFonts w:eastAsia="Verdana" w:cs="Verdana"/>
          <w:spacing w:val="3"/>
          <w:sz w:val="20"/>
          <w:szCs w:val="20"/>
          <w:lang w:eastAsia="es-ES"/>
        </w:rPr>
        <w:t>m</w:t>
      </w:r>
      <w:r w:rsidRPr="006B2A4D">
        <w:rPr>
          <w:rFonts w:eastAsia="Verdana" w:cs="Verdana"/>
          <w:spacing w:val="1"/>
          <w:sz w:val="20"/>
          <w:szCs w:val="20"/>
          <w:lang w:eastAsia="es-ES"/>
        </w:rPr>
        <w:t>ent</w:t>
      </w:r>
      <w:r w:rsidRPr="006B2A4D">
        <w:rPr>
          <w:rFonts w:eastAsia="Verdana" w:cs="Verdana"/>
          <w:spacing w:val="-1"/>
          <w:sz w:val="20"/>
          <w:szCs w:val="20"/>
          <w:lang w:eastAsia="es-ES"/>
        </w:rPr>
        <w:t>o</w:t>
      </w:r>
      <w:r w:rsidRPr="006B2A4D">
        <w:rPr>
          <w:rFonts w:eastAsia="Verdana" w:cs="Verdana"/>
          <w:sz w:val="20"/>
          <w:szCs w:val="20"/>
          <w:lang w:eastAsia="es-ES"/>
        </w:rPr>
        <w:t>s</w:t>
      </w:r>
      <w:r w:rsidRPr="006B2A4D">
        <w:rPr>
          <w:rFonts w:eastAsia="Verdana" w:cs="Verdana"/>
          <w:spacing w:val="-2"/>
          <w:sz w:val="20"/>
          <w:szCs w:val="20"/>
          <w:lang w:eastAsia="es-ES"/>
        </w:rPr>
        <w:t xml:space="preserve"> </w:t>
      </w:r>
      <w:r w:rsidRPr="006B2A4D">
        <w:rPr>
          <w:rFonts w:eastAsia="Verdana" w:cs="Verdana"/>
          <w:spacing w:val="1"/>
          <w:sz w:val="20"/>
          <w:szCs w:val="20"/>
          <w:lang w:eastAsia="es-ES"/>
        </w:rPr>
        <w:t>pr</w:t>
      </w:r>
      <w:r w:rsidRPr="006B2A4D">
        <w:rPr>
          <w:rFonts w:eastAsia="Verdana" w:cs="Verdana"/>
          <w:spacing w:val="-1"/>
          <w:sz w:val="20"/>
          <w:szCs w:val="20"/>
          <w:lang w:eastAsia="es-ES"/>
        </w:rPr>
        <w:t>o</w:t>
      </w:r>
      <w:r w:rsidRPr="006B2A4D">
        <w:rPr>
          <w:rFonts w:eastAsia="Verdana" w:cs="Verdana"/>
          <w:spacing w:val="1"/>
          <w:sz w:val="20"/>
          <w:szCs w:val="20"/>
          <w:lang w:eastAsia="es-ES"/>
        </w:rPr>
        <w:t>b</w:t>
      </w:r>
      <w:r w:rsidRPr="006B2A4D">
        <w:rPr>
          <w:rFonts w:eastAsia="Verdana" w:cs="Verdana"/>
          <w:sz w:val="20"/>
          <w:szCs w:val="20"/>
          <w:lang w:eastAsia="es-ES"/>
        </w:rPr>
        <w:t>a</w:t>
      </w:r>
      <w:r w:rsidRPr="006B2A4D">
        <w:rPr>
          <w:rFonts w:eastAsia="Verdana" w:cs="Verdana"/>
          <w:spacing w:val="1"/>
          <w:sz w:val="20"/>
          <w:szCs w:val="20"/>
          <w:lang w:eastAsia="es-ES"/>
        </w:rPr>
        <w:t>to</w:t>
      </w:r>
      <w:r w:rsidRPr="006B2A4D">
        <w:rPr>
          <w:rFonts w:eastAsia="Verdana" w:cs="Verdana"/>
          <w:spacing w:val="-1"/>
          <w:sz w:val="20"/>
          <w:szCs w:val="20"/>
          <w:lang w:eastAsia="es-ES"/>
        </w:rPr>
        <w:t>r</w:t>
      </w:r>
      <w:r w:rsidRPr="006B2A4D">
        <w:rPr>
          <w:rFonts w:eastAsia="Verdana" w:cs="Verdana"/>
          <w:spacing w:val="3"/>
          <w:sz w:val="20"/>
          <w:szCs w:val="20"/>
          <w:lang w:eastAsia="es-ES"/>
        </w:rPr>
        <w:t>i</w:t>
      </w:r>
      <w:r w:rsidRPr="006B2A4D">
        <w:rPr>
          <w:rFonts w:eastAsia="Verdana" w:cs="Verdana"/>
          <w:spacing w:val="-1"/>
          <w:sz w:val="20"/>
          <w:szCs w:val="20"/>
          <w:lang w:eastAsia="es-ES"/>
        </w:rPr>
        <w:t>o</w:t>
      </w:r>
      <w:r w:rsidRPr="006B2A4D">
        <w:rPr>
          <w:rFonts w:eastAsia="Verdana" w:cs="Verdana"/>
          <w:sz w:val="20"/>
          <w:szCs w:val="20"/>
          <w:lang w:eastAsia="es-ES"/>
        </w:rPr>
        <w:t>s,</w:t>
      </w:r>
      <w:r w:rsidRPr="006B2A4D">
        <w:rPr>
          <w:rFonts w:eastAsia="Verdana" w:cs="Verdana"/>
          <w:spacing w:val="1"/>
          <w:sz w:val="20"/>
          <w:szCs w:val="20"/>
          <w:lang w:eastAsia="es-ES"/>
        </w:rPr>
        <w:t xml:space="preserve"> </w:t>
      </w:r>
      <w:r w:rsidRPr="006B2A4D">
        <w:rPr>
          <w:rFonts w:eastAsia="Verdana" w:cs="Verdana"/>
          <w:sz w:val="20"/>
          <w:szCs w:val="20"/>
          <w:lang w:eastAsia="es-ES"/>
        </w:rPr>
        <w:t>s</w:t>
      </w:r>
      <w:r w:rsidRPr="006B2A4D">
        <w:rPr>
          <w:rFonts w:eastAsia="Verdana" w:cs="Verdana"/>
          <w:spacing w:val="2"/>
          <w:sz w:val="20"/>
          <w:szCs w:val="20"/>
          <w:lang w:eastAsia="es-ES"/>
        </w:rPr>
        <w:t>i</w:t>
      </w:r>
      <w:r w:rsidRPr="006B2A4D">
        <w:rPr>
          <w:rFonts w:eastAsia="Verdana" w:cs="Verdana"/>
          <w:spacing w:val="1"/>
          <w:sz w:val="20"/>
          <w:szCs w:val="20"/>
          <w:lang w:eastAsia="es-ES"/>
        </w:rPr>
        <w:t>n</w:t>
      </w:r>
      <w:r w:rsidRPr="006B2A4D">
        <w:rPr>
          <w:rFonts w:eastAsia="Verdana" w:cs="Verdana"/>
          <w:sz w:val="20"/>
          <w:szCs w:val="20"/>
          <w:lang w:eastAsia="es-ES"/>
        </w:rPr>
        <w:t>o</w:t>
      </w:r>
      <w:r w:rsidRPr="006B2A4D">
        <w:rPr>
          <w:rFonts w:eastAsia="Verdana" w:cs="Verdana"/>
          <w:spacing w:val="6"/>
          <w:sz w:val="20"/>
          <w:szCs w:val="20"/>
          <w:lang w:eastAsia="es-ES"/>
        </w:rPr>
        <w:t xml:space="preserve"> </w:t>
      </w:r>
      <w:r w:rsidRPr="006B2A4D">
        <w:rPr>
          <w:rFonts w:eastAsia="Verdana" w:cs="Verdana"/>
          <w:spacing w:val="1"/>
          <w:sz w:val="20"/>
          <w:szCs w:val="20"/>
          <w:lang w:eastAsia="es-ES"/>
        </w:rPr>
        <w:t>qu</w:t>
      </w:r>
      <w:r w:rsidRPr="006B2A4D">
        <w:rPr>
          <w:rFonts w:eastAsia="Verdana" w:cs="Verdana"/>
          <w:sz w:val="20"/>
          <w:szCs w:val="20"/>
          <w:lang w:eastAsia="es-ES"/>
        </w:rPr>
        <w:t>e</w:t>
      </w:r>
      <w:r w:rsidRPr="006B2A4D">
        <w:rPr>
          <w:rFonts w:eastAsia="Verdana" w:cs="Verdana"/>
          <w:spacing w:val="6"/>
          <w:sz w:val="20"/>
          <w:szCs w:val="20"/>
          <w:lang w:eastAsia="es-ES"/>
        </w:rPr>
        <w:t xml:space="preserve"> </w:t>
      </w:r>
      <w:r w:rsidRPr="006B2A4D">
        <w:rPr>
          <w:rFonts w:eastAsia="Verdana" w:cs="Verdana"/>
          <w:spacing w:val="2"/>
          <w:sz w:val="20"/>
          <w:szCs w:val="20"/>
          <w:lang w:eastAsia="es-ES"/>
        </w:rPr>
        <w:t>s</w:t>
      </w:r>
      <w:r w:rsidRPr="006B2A4D">
        <w:rPr>
          <w:rFonts w:eastAsia="Verdana" w:cs="Verdana"/>
          <w:sz w:val="20"/>
          <w:szCs w:val="20"/>
          <w:lang w:eastAsia="es-ES"/>
        </w:rPr>
        <w:t xml:space="preserve">e </w:t>
      </w:r>
      <w:r w:rsidRPr="006B2A4D">
        <w:rPr>
          <w:rFonts w:eastAsia="Verdana" w:cs="Verdana"/>
          <w:spacing w:val="-1"/>
          <w:sz w:val="20"/>
          <w:szCs w:val="20"/>
          <w:lang w:eastAsia="es-ES"/>
        </w:rPr>
        <w:t>re</w:t>
      </w:r>
      <w:r w:rsidRPr="006B2A4D">
        <w:rPr>
          <w:rFonts w:eastAsia="Verdana" w:cs="Verdana"/>
          <w:spacing w:val="1"/>
          <w:sz w:val="20"/>
          <w:szCs w:val="20"/>
          <w:lang w:eastAsia="es-ES"/>
        </w:rPr>
        <w:t>qu</w:t>
      </w:r>
      <w:r w:rsidRPr="006B2A4D">
        <w:rPr>
          <w:rFonts w:eastAsia="Verdana" w:cs="Verdana"/>
          <w:spacing w:val="3"/>
          <w:sz w:val="20"/>
          <w:szCs w:val="20"/>
          <w:lang w:eastAsia="es-ES"/>
        </w:rPr>
        <w:t>i</w:t>
      </w:r>
      <w:r w:rsidRPr="006B2A4D">
        <w:rPr>
          <w:rFonts w:eastAsia="Verdana" w:cs="Verdana"/>
          <w:spacing w:val="-1"/>
          <w:sz w:val="20"/>
          <w:szCs w:val="20"/>
          <w:lang w:eastAsia="es-ES"/>
        </w:rPr>
        <w:t>e</w:t>
      </w:r>
      <w:r w:rsidRPr="006B2A4D">
        <w:rPr>
          <w:rFonts w:eastAsia="Verdana" w:cs="Verdana"/>
          <w:spacing w:val="1"/>
          <w:sz w:val="20"/>
          <w:szCs w:val="20"/>
          <w:lang w:eastAsia="es-ES"/>
        </w:rPr>
        <w:t>r</w:t>
      </w:r>
      <w:r w:rsidRPr="006B2A4D">
        <w:rPr>
          <w:rFonts w:eastAsia="Verdana" w:cs="Verdana"/>
          <w:sz w:val="20"/>
          <w:szCs w:val="20"/>
          <w:lang w:eastAsia="es-ES"/>
        </w:rPr>
        <w:t>e</w:t>
      </w:r>
      <w:r w:rsidRPr="006B2A4D">
        <w:rPr>
          <w:rFonts w:eastAsia="Verdana" w:cs="Verdana"/>
          <w:spacing w:val="33"/>
          <w:sz w:val="20"/>
          <w:szCs w:val="20"/>
          <w:lang w:eastAsia="es-ES"/>
        </w:rPr>
        <w:t xml:space="preserve"> </w:t>
      </w:r>
      <w:r w:rsidRPr="006B2A4D">
        <w:rPr>
          <w:rFonts w:eastAsia="Verdana" w:cs="Verdana"/>
          <w:spacing w:val="1"/>
          <w:sz w:val="20"/>
          <w:szCs w:val="20"/>
          <w:lang w:eastAsia="es-ES"/>
        </w:rPr>
        <w:t>qu</w:t>
      </w:r>
      <w:r w:rsidRPr="006B2A4D">
        <w:rPr>
          <w:rFonts w:eastAsia="Verdana" w:cs="Verdana"/>
          <w:sz w:val="20"/>
          <w:szCs w:val="20"/>
          <w:lang w:eastAsia="es-ES"/>
        </w:rPr>
        <w:t>e</w:t>
      </w:r>
      <w:r w:rsidRPr="006B2A4D">
        <w:rPr>
          <w:rFonts w:eastAsia="Verdana" w:cs="Verdana"/>
          <w:spacing w:val="38"/>
          <w:sz w:val="20"/>
          <w:szCs w:val="20"/>
          <w:lang w:eastAsia="es-ES"/>
        </w:rPr>
        <w:t xml:space="preserve"> </w:t>
      </w:r>
      <w:r w:rsidRPr="006B2A4D">
        <w:rPr>
          <w:rFonts w:eastAsia="Verdana" w:cs="Verdana"/>
          <w:spacing w:val="3"/>
          <w:sz w:val="20"/>
          <w:szCs w:val="20"/>
          <w:lang w:eastAsia="es-ES"/>
        </w:rPr>
        <w:t>l</w:t>
      </w:r>
      <w:r w:rsidRPr="006B2A4D">
        <w:rPr>
          <w:rFonts w:eastAsia="Verdana" w:cs="Verdana"/>
          <w:sz w:val="20"/>
          <w:szCs w:val="20"/>
          <w:lang w:eastAsia="es-ES"/>
        </w:rPr>
        <w:t>as</w:t>
      </w:r>
      <w:r w:rsidRPr="006B2A4D">
        <w:rPr>
          <w:rFonts w:eastAsia="Verdana" w:cs="Verdana"/>
          <w:spacing w:val="40"/>
          <w:sz w:val="20"/>
          <w:szCs w:val="20"/>
          <w:lang w:eastAsia="es-ES"/>
        </w:rPr>
        <w:t xml:space="preserve"> </w:t>
      </w:r>
      <w:r w:rsidRPr="006B2A4D">
        <w:rPr>
          <w:rFonts w:eastAsia="Verdana" w:cs="Verdana"/>
          <w:spacing w:val="1"/>
          <w:sz w:val="20"/>
          <w:szCs w:val="20"/>
          <w:lang w:eastAsia="es-ES"/>
        </w:rPr>
        <w:t>p</w:t>
      </w:r>
      <w:r w:rsidRPr="006B2A4D">
        <w:rPr>
          <w:rFonts w:eastAsia="Verdana" w:cs="Verdana"/>
          <w:sz w:val="20"/>
          <w:szCs w:val="20"/>
          <w:lang w:eastAsia="es-ES"/>
        </w:rPr>
        <w:t>a</w:t>
      </w:r>
      <w:r w:rsidRPr="006B2A4D">
        <w:rPr>
          <w:rFonts w:eastAsia="Verdana" w:cs="Verdana"/>
          <w:spacing w:val="-1"/>
          <w:sz w:val="20"/>
          <w:szCs w:val="20"/>
          <w:lang w:eastAsia="es-ES"/>
        </w:rPr>
        <w:t>r</w:t>
      </w:r>
      <w:r w:rsidRPr="006B2A4D">
        <w:rPr>
          <w:rFonts w:eastAsia="Verdana" w:cs="Verdana"/>
          <w:spacing w:val="1"/>
          <w:sz w:val="20"/>
          <w:szCs w:val="20"/>
          <w:lang w:eastAsia="es-ES"/>
        </w:rPr>
        <w:t>te</w:t>
      </w:r>
      <w:r w:rsidRPr="006B2A4D">
        <w:rPr>
          <w:rFonts w:eastAsia="Verdana" w:cs="Verdana"/>
          <w:sz w:val="20"/>
          <w:szCs w:val="20"/>
          <w:lang w:eastAsia="es-ES"/>
        </w:rPr>
        <w:t>s</w:t>
      </w:r>
      <w:r w:rsidRPr="006B2A4D">
        <w:rPr>
          <w:rFonts w:eastAsia="Verdana" w:cs="Verdana"/>
          <w:spacing w:val="37"/>
          <w:sz w:val="20"/>
          <w:szCs w:val="20"/>
          <w:lang w:eastAsia="es-ES"/>
        </w:rPr>
        <w:t xml:space="preserve"> </w:t>
      </w:r>
      <w:r w:rsidRPr="006B2A4D">
        <w:rPr>
          <w:rFonts w:eastAsia="Verdana" w:cs="Verdana"/>
          <w:spacing w:val="1"/>
          <w:sz w:val="20"/>
          <w:szCs w:val="20"/>
          <w:lang w:eastAsia="es-ES"/>
        </w:rPr>
        <w:t>h</w:t>
      </w:r>
      <w:r w:rsidRPr="006B2A4D">
        <w:rPr>
          <w:rFonts w:eastAsia="Verdana" w:cs="Verdana"/>
          <w:sz w:val="20"/>
          <w:szCs w:val="20"/>
          <w:lang w:eastAsia="es-ES"/>
        </w:rPr>
        <w:t>a</w:t>
      </w:r>
      <w:r w:rsidRPr="006B2A4D">
        <w:rPr>
          <w:rFonts w:eastAsia="Verdana" w:cs="Verdana"/>
          <w:spacing w:val="1"/>
          <w:sz w:val="20"/>
          <w:szCs w:val="20"/>
          <w:lang w:eastAsia="es-ES"/>
        </w:rPr>
        <w:t>g</w:t>
      </w:r>
      <w:r w:rsidRPr="006B2A4D">
        <w:rPr>
          <w:rFonts w:eastAsia="Verdana" w:cs="Verdana"/>
          <w:sz w:val="20"/>
          <w:szCs w:val="20"/>
          <w:lang w:eastAsia="es-ES"/>
        </w:rPr>
        <w:t>an</w:t>
      </w:r>
      <w:r w:rsidRPr="006B2A4D">
        <w:rPr>
          <w:rFonts w:eastAsia="Verdana" w:cs="Verdana"/>
          <w:spacing w:val="37"/>
          <w:sz w:val="20"/>
          <w:szCs w:val="20"/>
          <w:lang w:eastAsia="es-ES"/>
        </w:rPr>
        <w:t xml:space="preserve"> </w:t>
      </w:r>
      <w:r w:rsidRPr="006B2A4D">
        <w:rPr>
          <w:rFonts w:eastAsia="Verdana" w:cs="Verdana"/>
          <w:spacing w:val="1"/>
          <w:sz w:val="20"/>
          <w:szCs w:val="20"/>
          <w:lang w:eastAsia="es-ES"/>
        </w:rPr>
        <w:t>un</w:t>
      </w:r>
      <w:r w:rsidRPr="006B2A4D">
        <w:rPr>
          <w:rFonts w:eastAsia="Verdana" w:cs="Verdana"/>
          <w:sz w:val="20"/>
          <w:szCs w:val="20"/>
          <w:lang w:eastAsia="es-ES"/>
        </w:rPr>
        <w:t>a</w:t>
      </w:r>
      <w:r w:rsidRPr="006B2A4D">
        <w:rPr>
          <w:rFonts w:eastAsia="Verdana" w:cs="Verdana"/>
          <w:spacing w:val="39"/>
          <w:sz w:val="20"/>
          <w:szCs w:val="20"/>
          <w:lang w:eastAsia="es-ES"/>
        </w:rPr>
        <w:t xml:space="preserve"> </w:t>
      </w:r>
      <w:r w:rsidRPr="006B2A4D">
        <w:rPr>
          <w:rFonts w:eastAsia="Verdana" w:cs="Verdana"/>
          <w:sz w:val="20"/>
          <w:szCs w:val="20"/>
          <w:lang w:eastAsia="es-ES"/>
        </w:rPr>
        <w:t>a</w:t>
      </w:r>
      <w:r w:rsidRPr="006B2A4D">
        <w:rPr>
          <w:rFonts w:eastAsia="Verdana" w:cs="Verdana"/>
          <w:spacing w:val="-1"/>
          <w:sz w:val="20"/>
          <w:szCs w:val="20"/>
          <w:lang w:eastAsia="es-ES"/>
        </w:rPr>
        <w:t>r</w:t>
      </w:r>
      <w:r w:rsidRPr="006B2A4D">
        <w:rPr>
          <w:rFonts w:eastAsia="Verdana" w:cs="Verdana"/>
          <w:spacing w:val="1"/>
          <w:sz w:val="20"/>
          <w:szCs w:val="20"/>
          <w:lang w:eastAsia="es-ES"/>
        </w:rPr>
        <w:t>gu</w:t>
      </w:r>
      <w:r w:rsidRPr="006B2A4D">
        <w:rPr>
          <w:rFonts w:eastAsia="Verdana" w:cs="Verdana"/>
          <w:sz w:val="20"/>
          <w:szCs w:val="20"/>
          <w:lang w:eastAsia="es-ES"/>
        </w:rPr>
        <w:t>men</w:t>
      </w:r>
      <w:r w:rsidRPr="006B2A4D">
        <w:rPr>
          <w:rFonts w:eastAsia="Verdana" w:cs="Verdana"/>
          <w:spacing w:val="1"/>
          <w:sz w:val="20"/>
          <w:szCs w:val="20"/>
          <w:lang w:eastAsia="es-ES"/>
        </w:rPr>
        <w:t>t</w:t>
      </w:r>
      <w:r w:rsidRPr="006B2A4D">
        <w:rPr>
          <w:rFonts w:eastAsia="Verdana" w:cs="Verdana"/>
          <w:spacing w:val="6"/>
          <w:sz w:val="20"/>
          <w:szCs w:val="20"/>
          <w:lang w:eastAsia="es-ES"/>
        </w:rPr>
        <w:t>a</w:t>
      </w:r>
      <w:r w:rsidRPr="006B2A4D">
        <w:rPr>
          <w:rFonts w:eastAsia="Verdana" w:cs="Verdana"/>
          <w:sz w:val="20"/>
          <w:szCs w:val="20"/>
          <w:lang w:eastAsia="es-ES"/>
        </w:rPr>
        <w:t>c</w:t>
      </w:r>
      <w:r w:rsidRPr="006B2A4D">
        <w:rPr>
          <w:rFonts w:eastAsia="Verdana" w:cs="Verdana"/>
          <w:spacing w:val="2"/>
          <w:sz w:val="20"/>
          <w:szCs w:val="20"/>
          <w:lang w:eastAsia="es-ES"/>
        </w:rPr>
        <w:t>i</w:t>
      </w:r>
      <w:r w:rsidRPr="006B2A4D">
        <w:rPr>
          <w:rFonts w:eastAsia="Verdana" w:cs="Verdana"/>
          <w:spacing w:val="-1"/>
          <w:sz w:val="20"/>
          <w:szCs w:val="20"/>
          <w:lang w:eastAsia="es-ES"/>
        </w:rPr>
        <w:t>ó</w:t>
      </w:r>
      <w:r w:rsidRPr="006B2A4D">
        <w:rPr>
          <w:rFonts w:eastAsia="Verdana" w:cs="Verdana"/>
          <w:sz w:val="20"/>
          <w:szCs w:val="20"/>
          <w:lang w:eastAsia="es-ES"/>
        </w:rPr>
        <w:t>n</w:t>
      </w:r>
      <w:r w:rsidRPr="006B2A4D">
        <w:rPr>
          <w:rFonts w:eastAsia="Verdana" w:cs="Verdana"/>
          <w:spacing w:val="28"/>
          <w:sz w:val="20"/>
          <w:szCs w:val="20"/>
          <w:lang w:eastAsia="es-ES"/>
        </w:rPr>
        <w:t xml:space="preserve"> </w:t>
      </w:r>
      <w:r w:rsidRPr="006B2A4D">
        <w:rPr>
          <w:rFonts w:eastAsia="Verdana" w:cs="Verdana"/>
          <w:spacing w:val="1"/>
          <w:sz w:val="20"/>
          <w:szCs w:val="20"/>
          <w:lang w:eastAsia="es-ES"/>
        </w:rPr>
        <w:t>qu</w:t>
      </w:r>
      <w:r w:rsidRPr="006B2A4D">
        <w:rPr>
          <w:rFonts w:eastAsia="Verdana" w:cs="Verdana"/>
          <w:sz w:val="20"/>
          <w:szCs w:val="20"/>
          <w:lang w:eastAsia="es-ES"/>
        </w:rPr>
        <w:t>e</w:t>
      </w:r>
      <w:r w:rsidRPr="006B2A4D">
        <w:rPr>
          <w:rFonts w:eastAsia="Verdana" w:cs="Verdana"/>
          <w:spacing w:val="38"/>
          <w:sz w:val="20"/>
          <w:szCs w:val="20"/>
          <w:lang w:eastAsia="es-ES"/>
        </w:rPr>
        <w:t xml:space="preserve"> </w:t>
      </w:r>
      <w:r w:rsidRPr="006B2A4D">
        <w:rPr>
          <w:rFonts w:eastAsia="Verdana" w:cs="Verdana"/>
          <w:spacing w:val="-1"/>
          <w:sz w:val="20"/>
          <w:szCs w:val="20"/>
          <w:lang w:eastAsia="es-ES"/>
        </w:rPr>
        <w:t>re</w:t>
      </w:r>
      <w:r w:rsidRPr="006B2A4D">
        <w:rPr>
          <w:rFonts w:eastAsia="Verdana" w:cs="Verdana"/>
          <w:spacing w:val="3"/>
          <w:sz w:val="20"/>
          <w:szCs w:val="20"/>
          <w:lang w:eastAsia="es-ES"/>
        </w:rPr>
        <w:t>l</w:t>
      </w:r>
      <w:r w:rsidRPr="006B2A4D">
        <w:rPr>
          <w:rFonts w:eastAsia="Verdana" w:cs="Verdana"/>
          <w:sz w:val="20"/>
          <w:szCs w:val="20"/>
          <w:lang w:eastAsia="es-ES"/>
        </w:rPr>
        <w:t>ac</w:t>
      </w:r>
      <w:r w:rsidRPr="006B2A4D">
        <w:rPr>
          <w:rFonts w:eastAsia="Verdana" w:cs="Verdana"/>
          <w:spacing w:val="3"/>
          <w:sz w:val="20"/>
          <w:szCs w:val="20"/>
          <w:lang w:eastAsia="es-ES"/>
        </w:rPr>
        <w:t>i</w:t>
      </w:r>
      <w:r w:rsidRPr="006B2A4D">
        <w:rPr>
          <w:rFonts w:eastAsia="Verdana" w:cs="Verdana"/>
          <w:spacing w:val="-1"/>
          <w:sz w:val="20"/>
          <w:szCs w:val="20"/>
          <w:lang w:eastAsia="es-ES"/>
        </w:rPr>
        <w:t>o</w:t>
      </w:r>
      <w:r w:rsidRPr="006B2A4D">
        <w:rPr>
          <w:rFonts w:eastAsia="Verdana" w:cs="Verdana"/>
          <w:spacing w:val="1"/>
          <w:sz w:val="20"/>
          <w:szCs w:val="20"/>
          <w:lang w:eastAsia="es-ES"/>
        </w:rPr>
        <w:t>n</w:t>
      </w:r>
      <w:r w:rsidRPr="006B2A4D">
        <w:rPr>
          <w:rFonts w:eastAsia="Verdana" w:cs="Verdana"/>
          <w:sz w:val="20"/>
          <w:szCs w:val="20"/>
          <w:lang w:eastAsia="es-ES"/>
        </w:rPr>
        <w:t>e</w:t>
      </w:r>
      <w:r w:rsidRPr="006B2A4D">
        <w:rPr>
          <w:rFonts w:eastAsia="Verdana" w:cs="Verdana"/>
          <w:spacing w:val="32"/>
          <w:sz w:val="20"/>
          <w:szCs w:val="20"/>
          <w:lang w:eastAsia="es-ES"/>
        </w:rPr>
        <w:t xml:space="preserve"> </w:t>
      </w:r>
      <w:r w:rsidRPr="006B2A4D">
        <w:rPr>
          <w:rFonts w:eastAsia="Verdana" w:cs="Verdana"/>
          <w:spacing w:val="3"/>
          <w:sz w:val="20"/>
          <w:szCs w:val="20"/>
          <w:lang w:eastAsia="es-ES"/>
        </w:rPr>
        <w:t>l</w:t>
      </w:r>
      <w:r w:rsidRPr="006B2A4D">
        <w:rPr>
          <w:rFonts w:eastAsia="Verdana" w:cs="Verdana"/>
          <w:sz w:val="20"/>
          <w:szCs w:val="20"/>
          <w:lang w:eastAsia="es-ES"/>
        </w:rPr>
        <w:t>a</w:t>
      </w:r>
      <w:r w:rsidRPr="006B2A4D">
        <w:rPr>
          <w:rFonts w:eastAsia="Verdana" w:cs="Verdana"/>
          <w:spacing w:val="41"/>
          <w:sz w:val="20"/>
          <w:szCs w:val="20"/>
          <w:lang w:eastAsia="es-ES"/>
        </w:rPr>
        <w:t xml:space="preserve"> </w:t>
      </w:r>
      <w:r w:rsidRPr="006B2A4D">
        <w:rPr>
          <w:rFonts w:eastAsia="Verdana" w:cs="Verdana"/>
          <w:spacing w:val="-2"/>
          <w:sz w:val="20"/>
          <w:szCs w:val="20"/>
          <w:lang w:eastAsia="es-ES"/>
        </w:rPr>
        <w:lastRenderedPageBreak/>
        <w:t>p</w:t>
      </w:r>
      <w:r w:rsidRPr="006B2A4D">
        <w:rPr>
          <w:rFonts w:eastAsia="Verdana" w:cs="Verdana"/>
          <w:spacing w:val="-1"/>
          <w:sz w:val="20"/>
          <w:szCs w:val="20"/>
          <w:lang w:eastAsia="es-ES"/>
        </w:rPr>
        <w:t>r</w:t>
      </w:r>
      <w:r w:rsidRPr="006B2A4D">
        <w:rPr>
          <w:rFonts w:eastAsia="Verdana" w:cs="Verdana"/>
          <w:spacing w:val="1"/>
          <w:sz w:val="20"/>
          <w:szCs w:val="20"/>
          <w:lang w:eastAsia="es-ES"/>
        </w:rPr>
        <w:t>u</w:t>
      </w:r>
      <w:r w:rsidRPr="006B2A4D">
        <w:rPr>
          <w:rFonts w:eastAsia="Verdana" w:cs="Verdana"/>
          <w:spacing w:val="-1"/>
          <w:sz w:val="20"/>
          <w:szCs w:val="20"/>
          <w:lang w:eastAsia="es-ES"/>
        </w:rPr>
        <w:t>e</w:t>
      </w:r>
      <w:r w:rsidRPr="006B2A4D">
        <w:rPr>
          <w:rFonts w:eastAsia="Verdana" w:cs="Verdana"/>
          <w:spacing w:val="1"/>
          <w:sz w:val="20"/>
          <w:szCs w:val="20"/>
          <w:lang w:eastAsia="es-ES"/>
        </w:rPr>
        <w:t>b</w:t>
      </w:r>
      <w:r w:rsidRPr="006B2A4D">
        <w:rPr>
          <w:rFonts w:eastAsia="Verdana" w:cs="Verdana"/>
          <w:sz w:val="20"/>
          <w:szCs w:val="20"/>
          <w:lang w:eastAsia="es-ES"/>
        </w:rPr>
        <w:t>a</w:t>
      </w:r>
      <w:r w:rsidRPr="006B2A4D">
        <w:rPr>
          <w:rFonts w:eastAsia="Verdana" w:cs="Verdana"/>
          <w:spacing w:val="35"/>
          <w:sz w:val="20"/>
          <w:szCs w:val="20"/>
          <w:lang w:eastAsia="es-ES"/>
        </w:rPr>
        <w:t xml:space="preserve"> </w:t>
      </w:r>
      <w:r w:rsidRPr="006B2A4D">
        <w:rPr>
          <w:rFonts w:eastAsia="Verdana" w:cs="Verdana"/>
          <w:spacing w:val="2"/>
          <w:sz w:val="20"/>
          <w:szCs w:val="20"/>
          <w:lang w:eastAsia="es-ES"/>
        </w:rPr>
        <w:t>c</w:t>
      </w:r>
      <w:r w:rsidRPr="006B2A4D">
        <w:rPr>
          <w:rFonts w:eastAsia="Verdana" w:cs="Verdana"/>
          <w:spacing w:val="-1"/>
          <w:sz w:val="20"/>
          <w:szCs w:val="20"/>
          <w:lang w:eastAsia="es-ES"/>
        </w:rPr>
        <w:t>o</w:t>
      </w:r>
      <w:r w:rsidRPr="006B2A4D">
        <w:rPr>
          <w:rFonts w:eastAsia="Verdana" w:cs="Verdana"/>
          <w:sz w:val="20"/>
          <w:szCs w:val="20"/>
          <w:lang w:eastAsia="es-ES"/>
        </w:rPr>
        <w:t>n</w:t>
      </w:r>
      <w:r w:rsidRPr="006B2A4D">
        <w:rPr>
          <w:rFonts w:eastAsia="Verdana" w:cs="Verdana"/>
          <w:spacing w:val="40"/>
          <w:sz w:val="20"/>
          <w:szCs w:val="20"/>
          <w:lang w:eastAsia="es-ES"/>
        </w:rPr>
        <w:t xml:space="preserve"> </w:t>
      </w:r>
      <w:r w:rsidRPr="006B2A4D">
        <w:rPr>
          <w:rFonts w:eastAsia="Verdana" w:cs="Verdana"/>
          <w:spacing w:val="-1"/>
          <w:sz w:val="20"/>
          <w:szCs w:val="20"/>
          <w:lang w:eastAsia="es-ES"/>
        </w:rPr>
        <w:t>e</w:t>
      </w:r>
      <w:r w:rsidRPr="006B2A4D">
        <w:rPr>
          <w:rFonts w:eastAsia="Verdana" w:cs="Verdana"/>
          <w:sz w:val="20"/>
          <w:szCs w:val="20"/>
          <w:lang w:eastAsia="es-ES"/>
        </w:rPr>
        <w:t>l</w:t>
      </w:r>
      <w:r w:rsidRPr="006B2A4D">
        <w:rPr>
          <w:rFonts w:eastAsia="Verdana" w:cs="Verdana"/>
          <w:spacing w:val="43"/>
          <w:sz w:val="20"/>
          <w:szCs w:val="20"/>
          <w:lang w:eastAsia="es-ES"/>
        </w:rPr>
        <w:t xml:space="preserve"> </w:t>
      </w:r>
      <w:r w:rsidRPr="006B2A4D">
        <w:rPr>
          <w:rFonts w:eastAsia="Verdana" w:cs="Verdana"/>
          <w:spacing w:val="1"/>
          <w:sz w:val="20"/>
          <w:szCs w:val="20"/>
          <w:lang w:eastAsia="es-ES"/>
        </w:rPr>
        <w:t>h</w:t>
      </w:r>
      <w:r w:rsidRPr="006B2A4D">
        <w:rPr>
          <w:rFonts w:eastAsia="Verdana" w:cs="Verdana"/>
          <w:spacing w:val="-1"/>
          <w:sz w:val="20"/>
          <w:szCs w:val="20"/>
          <w:lang w:eastAsia="es-ES"/>
        </w:rPr>
        <w:t>e</w:t>
      </w:r>
      <w:r w:rsidRPr="006B2A4D">
        <w:rPr>
          <w:rFonts w:eastAsia="Verdana" w:cs="Verdana"/>
          <w:sz w:val="20"/>
          <w:szCs w:val="20"/>
          <w:lang w:eastAsia="es-ES"/>
        </w:rPr>
        <w:t>cho</w:t>
      </w:r>
      <w:r w:rsidRPr="006B2A4D">
        <w:rPr>
          <w:rFonts w:eastAsia="Verdana" w:cs="Verdana"/>
          <w:spacing w:val="35"/>
          <w:sz w:val="20"/>
          <w:szCs w:val="20"/>
          <w:lang w:eastAsia="es-ES"/>
        </w:rPr>
        <w:t xml:space="preserve"> </w:t>
      </w:r>
      <w:r w:rsidRPr="006B2A4D">
        <w:rPr>
          <w:rFonts w:eastAsia="Verdana" w:cs="Verdana"/>
          <w:spacing w:val="1"/>
          <w:sz w:val="20"/>
          <w:szCs w:val="20"/>
          <w:lang w:eastAsia="es-ES"/>
        </w:rPr>
        <w:t>q</w:t>
      </w:r>
      <w:r w:rsidRPr="006B2A4D">
        <w:rPr>
          <w:rFonts w:eastAsia="Verdana" w:cs="Verdana"/>
          <w:spacing w:val="3"/>
          <w:sz w:val="20"/>
          <w:szCs w:val="20"/>
          <w:lang w:eastAsia="es-ES"/>
        </w:rPr>
        <w:t>u</w:t>
      </w:r>
      <w:r w:rsidRPr="006B2A4D">
        <w:rPr>
          <w:rFonts w:eastAsia="Verdana" w:cs="Verdana"/>
          <w:sz w:val="20"/>
          <w:szCs w:val="20"/>
          <w:lang w:eastAsia="es-ES"/>
        </w:rPr>
        <w:t>e</w:t>
      </w:r>
      <w:r w:rsidRPr="006B2A4D">
        <w:rPr>
          <w:rFonts w:eastAsia="Verdana" w:cs="Verdana"/>
          <w:spacing w:val="38"/>
          <w:sz w:val="20"/>
          <w:szCs w:val="20"/>
          <w:lang w:eastAsia="es-ES"/>
        </w:rPr>
        <w:t xml:space="preserve"> </w:t>
      </w:r>
      <w:r w:rsidRPr="006B2A4D">
        <w:rPr>
          <w:rFonts w:eastAsia="Verdana" w:cs="Verdana"/>
          <w:spacing w:val="2"/>
          <w:sz w:val="20"/>
          <w:szCs w:val="20"/>
          <w:lang w:eastAsia="es-ES"/>
        </w:rPr>
        <w:t>s</w:t>
      </w:r>
      <w:r w:rsidRPr="006B2A4D">
        <w:rPr>
          <w:rFonts w:eastAsia="Verdana" w:cs="Verdana"/>
          <w:sz w:val="20"/>
          <w:szCs w:val="20"/>
          <w:lang w:eastAsia="es-ES"/>
        </w:rPr>
        <w:t>e c</w:t>
      </w:r>
      <w:r w:rsidRPr="006B2A4D">
        <w:rPr>
          <w:rFonts w:eastAsia="Verdana" w:cs="Verdana"/>
          <w:spacing w:val="-2"/>
          <w:sz w:val="20"/>
          <w:szCs w:val="20"/>
          <w:lang w:eastAsia="es-ES"/>
        </w:rPr>
        <w:t>o</w:t>
      </w:r>
      <w:r w:rsidRPr="006B2A4D">
        <w:rPr>
          <w:rFonts w:eastAsia="Verdana" w:cs="Verdana"/>
          <w:spacing w:val="1"/>
          <w:sz w:val="20"/>
          <w:szCs w:val="20"/>
          <w:lang w:eastAsia="es-ES"/>
        </w:rPr>
        <w:t>n</w:t>
      </w:r>
      <w:r w:rsidRPr="006B2A4D">
        <w:rPr>
          <w:rFonts w:eastAsia="Verdana" w:cs="Verdana"/>
          <w:sz w:val="20"/>
          <w:szCs w:val="20"/>
          <w:lang w:eastAsia="es-ES"/>
        </w:rPr>
        <w:t>s</w:t>
      </w:r>
      <w:r w:rsidRPr="006B2A4D">
        <w:rPr>
          <w:rFonts w:eastAsia="Verdana" w:cs="Verdana"/>
          <w:spacing w:val="2"/>
          <w:sz w:val="20"/>
          <w:szCs w:val="20"/>
          <w:lang w:eastAsia="es-ES"/>
        </w:rPr>
        <w:t>i</w:t>
      </w:r>
      <w:r w:rsidRPr="006B2A4D">
        <w:rPr>
          <w:rFonts w:eastAsia="Verdana" w:cs="Verdana"/>
          <w:spacing w:val="1"/>
          <w:sz w:val="20"/>
          <w:szCs w:val="20"/>
          <w:lang w:eastAsia="es-ES"/>
        </w:rPr>
        <w:t>d</w:t>
      </w:r>
      <w:r w:rsidRPr="006B2A4D">
        <w:rPr>
          <w:rFonts w:eastAsia="Verdana" w:cs="Verdana"/>
          <w:spacing w:val="-1"/>
          <w:sz w:val="20"/>
          <w:szCs w:val="20"/>
          <w:lang w:eastAsia="es-ES"/>
        </w:rPr>
        <w:t>er</w:t>
      </w:r>
      <w:r w:rsidRPr="006B2A4D">
        <w:rPr>
          <w:rFonts w:eastAsia="Verdana" w:cs="Verdana"/>
          <w:sz w:val="20"/>
          <w:szCs w:val="20"/>
          <w:lang w:eastAsia="es-ES"/>
        </w:rPr>
        <w:t>a</w:t>
      </w:r>
      <w:r w:rsidRPr="006B2A4D">
        <w:rPr>
          <w:rFonts w:eastAsia="Verdana" w:cs="Verdana"/>
          <w:spacing w:val="-6"/>
          <w:sz w:val="20"/>
          <w:szCs w:val="20"/>
          <w:lang w:eastAsia="es-ES"/>
        </w:rPr>
        <w:t xml:space="preserve"> </w:t>
      </w:r>
      <w:r w:rsidRPr="006B2A4D">
        <w:rPr>
          <w:rFonts w:eastAsia="Verdana" w:cs="Verdana"/>
          <w:spacing w:val="-1"/>
          <w:sz w:val="20"/>
          <w:szCs w:val="20"/>
          <w:lang w:eastAsia="es-ES"/>
        </w:rPr>
        <w:t>re</w:t>
      </w:r>
      <w:r w:rsidRPr="006B2A4D">
        <w:rPr>
          <w:rFonts w:eastAsia="Verdana" w:cs="Verdana"/>
          <w:spacing w:val="3"/>
          <w:sz w:val="20"/>
          <w:szCs w:val="20"/>
          <w:lang w:eastAsia="es-ES"/>
        </w:rPr>
        <w:t>p</w:t>
      </w:r>
      <w:r w:rsidRPr="006B2A4D">
        <w:rPr>
          <w:rFonts w:eastAsia="Verdana" w:cs="Verdana"/>
          <w:spacing w:val="-1"/>
          <w:sz w:val="20"/>
          <w:szCs w:val="20"/>
          <w:lang w:eastAsia="es-ES"/>
        </w:rPr>
        <w:t>r</w:t>
      </w:r>
      <w:r w:rsidRPr="006B2A4D">
        <w:rPr>
          <w:rFonts w:eastAsia="Verdana" w:cs="Verdana"/>
          <w:spacing w:val="1"/>
          <w:sz w:val="20"/>
          <w:szCs w:val="20"/>
          <w:lang w:eastAsia="es-ES"/>
        </w:rPr>
        <w:t>e</w:t>
      </w:r>
      <w:r w:rsidRPr="006B2A4D">
        <w:rPr>
          <w:rFonts w:eastAsia="Verdana" w:cs="Verdana"/>
          <w:sz w:val="20"/>
          <w:szCs w:val="20"/>
          <w:lang w:eastAsia="es-ES"/>
        </w:rPr>
        <w:t>s</w:t>
      </w:r>
      <w:r w:rsidRPr="006B2A4D">
        <w:rPr>
          <w:rFonts w:eastAsia="Verdana" w:cs="Verdana"/>
          <w:spacing w:val="-2"/>
          <w:sz w:val="20"/>
          <w:szCs w:val="20"/>
          <w:lang w:eastAsia="es-ES"/>
        </w:rPr>
        <w:t>e</w:t>
      </w:r>
      <w:r w:rsidRPr="006B2A4D">
        <w:rPr>
          <w:rFonts w:eastAsia="Verdana" w:cs="Verdana"/>
          <w:spacing w:val="1"/>
          <w:sz w:val="20"/>
          <w:szCs w:val="20"/>
          <w:lang w:eastAsia="es-ES"/>
        </w:rPr>
        <w:t>nt</w:t>
      </w:r>
      <w:r w:rsidRPr="006B2A4D">
        <w:rPr>
          <w:rFonts w:eastAsia="Verdana" w:cs="Verdana"/>
          <w:sz w:val="20"/>
          <w:szCs w:val="20"/>
          <w:lang w:eastAsia="es-ES"/>
        </w:rPr>
        <w:t>a</w:t>
      </w:r>
      <w:r w:rsidRPr="006B2A4D">
        <w:rPr>
          <w:rFonts w:eastAsia="Verdana" w:cs="Verdana"/>
          <w:spacing w:val="3"/>
          <w:sz w:val="20"/>
          <w:szCs w:val="20"/>
          <w:lang w:eastAsia="es-ES"/>
        </w:rPr>
        <w:t>d</w:t>
      </w:r>
      <w:r w:rsidRPr="006B2A4D">
        <w:rPr>
          <w:rFonts w:eastAsia="Verdana" w:cs="Verdana"/>
          <w:spacing w:val="-1"/>
          <w:sz w:val="20"/>
          <w:szCs w:val="20"/>
          <w:lang w:eastAsia="es-ES"/>
        </w:rPr>
        <w:t>o</w:t>
      </w:r>
      <w:r w:rsidRPr="006B2A4D">
        <w:rPr>
          <w:rFonts w:eastAsia="Verdana" w:cs="Verdana"/>
          <w:sz w:val="20"/>
          <w:szCs w:val="20"/>
          <w:lang w:eastAsia="es-ES"/>
        </w:rPr>
        <w:t>,</w:t>
      </w:r>
      <w:r w:rsidRPr="006B2A4D">
        <w:rPr>
          <w:rFonts w:eastAsia="Verdana" w:cs="Verdana"/>
          <w:spacing w:val="-11"/>
          <w:sz w:val="20"/>
          <w:szCs w:val="20"/>
          <w:lang w:eastAsia="es-ES"/>
        </w:rPr>
        <w:t xml:space="preserve"> </w:t>
      </w:r>
      <w:r w:rsidRPr="006B2A4D">
        <w:rPr>
          <w:rFonts w:eastAsia="Verdana" w:cs="Verdana"/>
          <w:sz w:val="20"/>
          <w:szCs w:val="20"/>
          <w:lang w:eastAsia="es-ES"/>
        </w:rPr>
        <w:t xml:space="preserve">y </w:t>
      </w:r>
      <w:r w:rsidRPr="006B2A4D">
        <w:rPr>
          <w:rFonts w:eastAsia="Verdana" w:cs="Verdana"/>
          <w:spacing w:val="1"/>
          <w:sz w:val="20"/>
          <w:szCs w:val="20"/>
          <w:lang w:eastAsia="es-ES"/>
        </w:rPr>
        <w:t>qu</w:t>
      </w:r>
      <w:r w:rsidRPr="006B2A4D">
        <w:rPr>
          <w:rFonts w:eastAsia="Verdana" w:cs="Verdana"/>
          <w:spacing w:val="-1"/>
          <w:sz w:val="20"/>
          <w:szCs w:val="20"/>
          <w:lang w:eastAsia="es-ES"/>
        </w:rPr>
        <w:t>e</w:t>
      </w:r>
      <w:r w:rsidRPr="006B2A4D">
        <w:rPr>
          <w:rFonts w:eastAsia="Verdana" w:cs="Verdana"/>
          <w:sz w:val="20"/>
          <w:szCs w:val="20"/>
          <w:lang w:eastAsia="es-ES"/>
        </w:rPr>
        <w:t>,</w:t>
      </w:r>
      <w:r w:rsidRPr="006B2A4D">
        <w:rPr>
          <w:rFonts w:eastAsia="Verdana" w:cs="Verdana"/>
          <w:spacing w:val="-3"/>
          <w:sz w:val="20"/>
          <w:szCs w:val="20"/>
          <w:lang w:eastAsia="es-ES"/>
        </w:rPr>
        <w:t xml:space="preserve"> </w:t>
      </w:r>
      <w:r w:rsidRPr="006B2A4D">
        <w:rPr>
          <w:rFonts w:eastAsia="Verdana" w:cs="Verdana"/>
          <w:sz w:val="20"/>
          <w:szCs w:val="20"/>
          <w:lang w:eastAsia="es-ES"/>
        </w:rPr>
        <w:t>al</w:t>
      </w:r>
      <w:r w:rsidRPr="006B2A4D">
        <w:rPr>
          <w:rFonts w:eastAsia="Verdana" w:cs="Verdana"/>
          <w:spacing w:val="2"/>
          <w:sz w:val="20"/>
          <w:szCs w:val="20"/>
          <w:lang w:eastAsia="es-ES"/>
        </w:rPr>
        <w:t xml:space="preserve"> </w:t>
      </w:r>
      <w:r w:rsidRPr="006B2A4D">
        <w:rPr>
          <w:rFonts w:eastAsia="Verdana" w:cs="Verdana"/>
          <w:spacing w:val="1"/>
          <w:sz w:val="20"/>
          <w:szCs w:val="20"/>
          <w:lang w:eastAsia="es-ES"/>
        </w:rPr>
        <w:t>t</w:t>
      </w:r>
      <w:r w:rsidRPr="006B2A4D">
        <w:rPr>
          <w:rFonts w:eastAsia="Verdana" w:cs="Verdana"/>
          <w:spacing w:val="-1"/>
          <w:sz w:val="20"/>
          <w:szCs w:val="20"/>
          <w:lang w:eastAsia="es-ES"/>
        </w:rPr>
        <w:t>r</w:t>
      </w:r>
      <w:r w:rsidRPr="006B2A4D">
        <w:rPr>
          <w:rFonts w:eastAsia="Verdana" w:cs="Verdana"/>
          <w:sz w:val="20"/>
          <w:szCs w:val="20"/>
          <w:lang w:eastAsia="es-ES"/>
        </w:rPr>
        <w:t>a</w:t>
      </w:r>
      <w:r w:rsidRPr="006B2A4D">
        <w:rPr>
          <w:rFonts w:eastAsia="Verdana" w:cs="Verdana"/>
          <w:spacing w:val="1"/>
          <w:sz w:val="20"/>
          <w:szCs w:val="20"/>
          <w:lang w:eastAsia="es-ES"/>
        </w:rPr>
        <w:t>t</w:t>
      </w:r>
      <w:r w:rsidRPr="006B2A4D">
        <w:rPr>
          <w:rFonts w:eastAsia="Verdana" w:cs="Verdana"/>
          <w:sz w:val="20"/>
          <w:szCs w:val="20"/>
          <w:lang w:eastAsia="es-ES"/>
        </w:rPr>
        <w:t>a</w:t>
      </w:r>
      <w:r w:rsidRPr="006B2A4D">
        <w:rPr>
          <w:rFonts w:eastAsia="Verdana" w:cs="Verdana"/>
          <w:spacing w:val="-1"/>
          <w:sz w:val="20"/>
          <w:szCs w:val="20"/>
          <w:lang w:eastAsia="es-ES"/>
        </w:rPr>
        <w:t>r</w:t>
      </w:r>
      <w:r w:rsidRPr="006B2A4D">
        <w:rPr>
          <w:rFonts w:eastAsia="Verdana" w:cs="Verdana"/>
          <w:sz w:val="20"/>
          <w:szCs w:val="20"/>
          <w:lang w:eastAsia="es-ES"/>
        </w:rPr>
        <w:t>se</w:t>
      </w:r>
      <w:r w:rsidRPr="006B2A4D">
        <w:rPr>
          <w:rFonts w:eastAsia="Verdana" w:cs="Verdana"/>
          <w:spacing w:val="-8"/>
          <w:sz w:val="20"/>
          <w:szCs w:val="20"/>
          <w:lang w:eastAsia="es-ES"/>
        </w:rPr>
        <w:t xml:space="preserve"> </w:t>
      </w:r>
      <w:r w:rsidRPr="006B2A4D">
        <w:rPr>
          <w:rFonts w:eastAsia="Verdana" w:cs="Verdana"/>
          <w:spacing w:val="1"/>
          <w:sz w:val="20"/>
          <w:szCs w:val="20"/>
          <w:lang w:eastAsia="es-ES"/>
        </w:rPr>
        <w:t>d</w:t>
      </w:r>
      <w:r w:rsidRPr="006B2A4D">
        <w:rPr>
          <w:rFonts w:eastAsia="Verdana" w:cs="Verdana"/>
          <w:sz w:val="20"/>
          <w:szCs w:val="20"/>
          <w:lang w:eastAsia="es-ES"/>
        </w:rPr>
        <w:t>e</w:t>
      </w:r>
      <w:r w:rsidRPr="006B2A4D">
        <w:rPr>
          <w:rFonts w:eastAsia="Verdana" w:cs="Verdana"/>
          <w:spacing w:val="-2"/>
          <w:sz w:val="20"/>
          <w:szCs w:val="20"/>
          <w:lang w:eastAsia="es-ES"/>
        </w:rPr>
        <w:t xml:space="preserve"> </w:t>
      </w:r>
      <w:r w:rsidRPr="006B2A4D">
        <w:rPr>
          <w:rFonts w:eastAsia="Verdana" w:cs="Verdana"/>
          <w:sz w:val="20"/>
          <w:szCs w:val="20"/>
          <w:lang w:eastAsia="es-ES"/>
        </w:rPr>
        <w:t>a</w:t>
      </w:r>
      <w:r w:rsidRPr="006B2A4D">
        <w:rPr>
          <w:rFonts w:eastAsia="Verdana" w:cs="Verdana"/>
          <w:spacing w:val="3"/>
          <w:sz w:val="20"/>
          <w:szCs w:val="20"/>
          <w:lang w:eastAsia="es-ES"/>
        </w:rPr>
        <w:t>l</w:t>
      </w:r>
      <w:r w:rsidRPr="006B2A4D">
        <w:rPr>
          <w:rFonts w:eastAsia="Verdana" w:cs="Verdana"/>
          <w:spacing w:val="-1"/>
          <w:sz w:val="20"/>
          <w:szCs w:val="20"/>
          <w:lang w:eastAsia="es-ES"/>
        </w:rPr>
        <w:t>e</w:t>
      </w:r>
      <w:r w:rsidRPr="006B2A4D">
        <w:rPr>
          <w:rFonts w:eastAsia="Verdana" w:cs="Verdana"/>
          <w:spacing w:val="1"/>
          <w:sz w:val="20"/>
          <w:szCs w:val="20"/>
          <w:lang w:eastAsia="es-ES"/>
        </w:rPr>
        <w:t>g</w:t>
      </w:r>
      <w:r w:rsidRPr="006B2A4D">
        <w:rPr>
          <w:rFonts w:eastAsia="Verdana" w:cs="Verdana"/>
          <w:sz w:val="20"/>
          <w:szCs w:val="20"/>
          <w:lang w:eastAsia="es-ES"/>
        </w:rPr>
        <w:t>a</w:t>
      </w:r>
      <w:r w:rsidRPr="006B2A4D">
        <w:rPr>
          <w:rFonts w:eastAsia="Verdana" w:cs="Verdana"/>
          <w:spacing w:val="1"/>
          <w:sz w:val="20"/>
          <w:szCs w:val="20"/>
          <w:lang w:eastAsia="es-ES"/>
        </w:rPr>
        <w:t>do</w:t>
      </w:r>
      <w:r w:rsidRPr="006B2A4D">
        <w:rPr>
          <w:rFonts w:eastAsia="Verdana" w:cs="Verdana"/>
          <w:sz w:val="20"/>
          <w:szCs w:val="20"/>
          <w:lang w:eastAsia="es-ES"/>
        </w:rPr>
        <w:t>s</w:t>
      </w:r>
      <w:r w:rsidRPr="006B2A4D">
        <w:rPr>
          <w:rFonts w:eastAsia="Verdana" w:cs="Verdana"/>
          <w:spacing w:val="-8"/>
          <w:sz w:val="20"/>
          <w:szCs w:val="20"/>
          <w:lang w:eastAsia="es-ES"/>
        </w:rPr>
        <w:t xml:space="preserve"> </w:t>
      </w:r>
      <w:r w:rsidRPr="006B2A4D">
        <w:rPr>
          <w:rFonts w:eastAsia="Verdana" w:cs="Verdana"/>
          <w:spacing w:val="1"/>
          <w:sz w:val="20"/>
          <w:szCs w:val="20"/>
          <w:lang w:eastAsia="es-ES"/>
        </w:rPr>
        <w:t>d</w:t>
      </w:r>
      <w:r w:rsidRPr="006B2A4D">
        <w:rPr>
          <w:rFonts w:eastAsia="Verdana" w:cs="Verdana"/>
          <w:spacing w:val="-1"/>
          <w:sz w:val="20"/>
          <w:szCs w:val="20"/>
          <w:lang w:eastAsia="es-ES"/>
        </w:rPr>
        <w:t>e</w:t>
      </w:r>
      <w:r w:rsidRPr="006B2A4D">
        <w:rPr>
          <w:rFonts w:eastAsia="Verdana" w:cs="Verdana"/>
          <w:spacing w:val="2"/>
          <w:sz w:val="20"/>
          <w:szCs w:val="20"/>
          <w:lang w:eastAsia="es-ES"/>
        </w:rPr>
        <w:t>s</w:t>
      </w:r>
      <w:r w:rsidRPr="006B2A4D">
        <w:rPr>
          <w:rFonts w:eastAsia="Verdana" w:cs="Verdana"/>
          <w:spacing w:val="-1"/>
          <w:sz w:val="20"/>
          <w:szCs w:val="20"/>
          <w:lang w:eastAsia="es-ES"/>
        </w:rPr>
        <w:t>e</w:t>
      </w:r>
      <w:r w:rsidRPr="006B2A4D">
        <w:rPr>
          <w:rFonts w:eastAsia="Verdana" w:cs="Verdana"/>
          <w:sz w:val="20"/>
          <w:szCs w:val="20"/>
          <w:lang w:eastAsia="es-ES"/>
        </w:rPr>
        <w:t>m</w:t>
      </w:r>
      <w:r w:rsidRPr="006B2A4D">
        <w:rPr>
          <w:rFonts w:eastAsia="Verdana" w:cs="Verdana"/>
          <w:spacing w:val="3"/>
          <w:sz w:val="20"/>
          <w:szCs w:val="20"/>
          <w:lang w:eastAsia="es-ES"/>
        </w:rPr>
        <w:t>b</w:t>
      </w:r>
      <w:r w:rsidRPr="006B2A4D">
        <w:rPr>
          <w:rFonts w:eastAsia="Verdana" w:cs="Verdana"/>
          <w:spacing w:val="-1"/>
          <w:sz w:val="20"/>
          <w:szCs w:val="20"/>
          <w:lang w:eastAsia="es-ES"/>
        </w:rPr>
        <w:t>o</w:t>
      </w:r>
      <w:r w:rsidRPr="006B2A4D">
        <w:rPr>
          <w:rFonts w:eastAsia="Verdana" w:cs="Verdana"/>
          <w:spacing w:val="3"/>
          <w:sz w:val="20"/>
          <w:szCs w:val="20"/>
          <w:lang w:eastAsia="es-ES"/>
        </w:rPr>
        <w:t>l</w:t>
      </w:r>
      <w:r w:rsidRPr="006B2A4D">
        <w:rPr>
          <w:rFonts w:eastAsia="Verdana" w:cs="Verdana"/>
          <w:sz w:val="20"/>
          <w:szCs w:val="20"/>
          <w:lang w:eastAsia="es-ES"/>
        </w:rPr>
        <w:t>s</w:t>
      </w:r>
      <w:r w:rsidRPr="006B2A4D">
        <w:rPr>
          <w:rFonts w:eastAsia="Verdana" w:cs="Verdana"/>
          <w:spacing w:val="-2"/>
          <w:sz w:val="20"/>
          <w:szCs w:val="20"/>
          <w:lang w:eastAsia="es-ES"/>
        </w:rPr>
        <w:t>o</w:t>
      </w:r>
      <w:r w:rsidRPr="006B2A4D">
        <w:rPr>
          <w:rFonts w:eastAsia="Verdana" w:cs="Verdana"/>
          <w:sz w:val="20"/>
          <w:szCs w:val="20"/>
          <w:lang w:eastAsia="es-ES"/>
        </w:rPr>
        <w:t>s</w:t>
      </w:r>
      <w:r w:rsidRPr="006B2A4D">
        <w:rPr>
          <w:rFonts w:eastAsia="Verdana" w:cs="Verdana"/>
          <w:spacing w:val="-12"/>
          <w:sz w:val="20"/>
          <w:szCs w:val="20"/>
          <w:lang w:eastAsia="es-ES"/>
        </w:rPr>
        <w:t xml:space="preserve"> </w:t>
      </w:r>
      <w:r w:rsidRPr="006B2A4D">
        <w:rPr>
          <w:rFonts w:eastAsia="Verdana" w:cs="Verdana"/>
          <w:spacing w:val="1"/>
          <w:sz w:val="20"/>
          <w:szCs w:val="20"/>
          <w:lang w:eastAsia="es-ES"/>
        </w:rPr>
        <w:t>e</w:t>
      </w:r>
      <w:r w:rsidRPr="006B2A4D">
        <w:rPr>
          <w:rFonts w:eastAsia="Verdana" w:cs="Verdana"/>
          <w:spacing w:val="2"/>
          <w:sz w:val="20"/>
          <w:szCs w:val="20"/>
          <w:lang w:eastAsia="es-ES"/>
        </w:rPr>
        <w:t>c</w:t>
      </w:r>
      <w:r w:rsidRPr="006B2A4D">
        <w:rPr>
          <w:rFonts w:eastAsia="Verdana" w:cs="Verdana"/>
          <w:spacing w:val="-1"/>
          <w:sz w:val="20"/>
          <w:szCs w:val="20"/>
          <w:lang w:eastAsia="es-ES"/>
        </w:rPr>
        <w:t>o</w:t>
      </w:r>
      <w:r w:rsidRPr="006B2A4D">
        <w:rPr>
          <w:rFonts w:eastAsia="Verdana" w:cs="Verdana"/>
          <w:spacing w:val="1"/>
          <w:sz w:val="20"/>
          <w:szCs w:val="20"/>
          <w:lang w:eastAsia="es-ES"/>
        </w:rPr>
        <w:t>n</w:t>
      </w:r>
      <w:r w:rsidRPr="006B2A4D">
        <w:rPr>
          <w:rFonts w:eastAsia="Verdana" w:cs="Verdana"/>
          <w:spacing w:val="-1"/>
          <w:sz w:val="20"/>
          <w:szCs w:val="20"/>
          <w:lang w:eastAsia="es-ES"/>
        </w:rPr>
        <w:t>ó</w:t>
      </w:r>
      <w:r w:rsidRPr="006B2A4D">
        <w:rPr>
          <w:rFonts w:eastAsia="Verdana" w:cs="Verdana"/>
          <w:sz w:val="20"/>
          <w:szCs w:val="20"/>
          <w:lang w:eastAsia="es-ES"/>
        </w:rPr>
        <w:t>m</w:t>
      </w:r>
      <w:r w:rsidRPr="006B2A4D">
        <w:rPr>
          <w:rFonts w:eastAsia="Verdana" w:cs="Verdana"/>
          <w:spacing w:val="3"/>
          <w:sz w:val="20"/>
          <w:szCs w:val="20"/>
          <w:lang w:eastAsia="es-ES"/>
        </w:rPr>
        <w:t>i</w:t>
      </w:r>
      <w:r w:rsidRPr="006B2A4D">
        <w:rPr>
          <w:rFonts w:eastAsia="Verdana" w:cs="Verdana"/>
          <w:sz w:val="20"/>
          <w:szCs w:val="20"/>
          <w:lang w:eastAsia="es-ES"/>
        </w:rPr>
        <w:t>c</w:t>
      </w:r>
      <w:r w:rsidRPr="006B2A4D">
        <w:rPr>
          <w:rFonts w:eastAsia="Verdana" w:cs="Verdana"/>
          <w:spacing w:val="-2"/>
          <w:sz w:val="20"/>
          <w:szCs w:val="20"/>
          <w:lang w:eastAsia="es-ES"/>
        </w:rPr>
        <w:t>o</w:t>
      </w:r>
      <w:r w:rsidRPr="006B2A4D">
        <w:rPr>
          <w:rFonts w:eastAsia="Verdana" w:cs="Verdana"/>
          <w:spacing w:val="2"/>
          <w:sz w:val="20"/>
          <w:szCs w:val="20"/>
          <w:lang w:eastAsia="es-ES"/>
        </w:rPr>
        <w:t>s</w:t>
      </w:r>
      <w:r w:rsidRPr="006B2A4D">
        <w:rPr>
          <w:rFonts w:eastAsia="Verdana" w:cs="Verdana"/>
          <w:sz w:val="20"/>
          <w:szCs w:val="20"/>
          <w:lang w:eastAsia="es-ES"/>
        </w:rPr>
        <w:t>,</w:t>
      </w:r>
      <w:r w:rsidRPr="006B2A4D">
        <w:rPr>
          <w:rFonts w:eastAsia="Verdana" w:cs="Verdana"/>
          <w:spacing w:val="-11"/>
          <w:sz w:val="20"/>
          <w:szCs w:val="20"/>
          <w:lang w:eastAsia="es-ES"/>
        </w:rPr>
        <w:t xml:space="preserve"> </w:t>
      </w:r>
      <w:r w:rsidRPr="006B2A4D">
        <w:rPr>
          <w:rFonts w:eastAsia="Verdana" w:cs="Verdana"/>
          <w:sz w:val="20"/>
          <w:szCs w:val="20"/>
          <w:lang w:eastAsia="es-ES"/>
        </w:rPr>
        <w:t xml:space="preserve">se </w:t>
      </w:r>
      <w:r w:rsidRPr="006B2A4D">
        <w:rPr>
          <w:rFonts w:eastAsia="Verdana" w:cs="Verdana"/>
          <w:spacing w:val="-1"/>
          <w:sz w:val="20"/>
          <w:szCs w:val="20"/>
          <w:lang w:eastAsia="es-ES"/>
        </w:rPr>
        <w:t>e</w:t>
      </w:r>
      <w:r w:rsidRPr="006B2A4D">
        <w:rPr>
          <w:rFonts w:eastAsia="Verdana" w:cs="Verdana"/>
          <w:sz w:val="20"/>
          <w:szCs w:val="20"/>
          <w:lang w:eastAsia="es-ES"/>
        </w:rPr>
        <w:t>sta</w:t>
      </w:r>
      <w:r w:rsidRPr="006B2A4D">
        <w:rPr>
          <w:rFonts w:eastAsia="Verdana" w:cs="Verdana"/>
          <w:spacing w:val="1"/>
          <w:sz w:val="20"/>
          <w:szCs w:val="20"/>
          <w:lang w:eastAsia="es-ES"/>
        </w:rPr>
        <w:t>b</w:t>
      </w:r>
      <w:r w:rsidRPr="006B2A4D">
        <w:rPr>
          <w:rFonts w:eastAsia="Verdana" w:cs="Verdana"/>
          <w:spacing w:val="3"/>
          <w:sz w:val="20"/>
          <w:szCs w:val="20"/>
          <w:lang w:eastAsia="es-ES"/>
        </w:rPr>
        <w:t>l</w:t>
      </w:r>
      <w:r w:rsidRPr="006B2A4D">
        <w:rPr>
          <w:rFonts w:eastAsia="Verdana" w:cs="Verdana"/>
          <w:spacing w:val="-1"/>
          <w:sz w:val="20"/>
          <w:szCs w:val="20"/>
          <w:lang w:eastAsia="es-ES"/>
        </w:rPr>
        <w:t>e</w:t>
      </w:r>
      <w:r w:rsidRPr="006B2A4D">
        <w:rPr>
          <w:rFonts w:eastAsia="Verdana" w:cs="Verdana"/>
          <w:spacing w:val="1"/>
          <w:sz w:val="20"/>
          <w:szCs w:val="20"/>
          <w:lang w:eastAsia="es-ES"/>
        </w:rPr>
        <w:t>z</w:t>
      </w:r>
      <w:r w:rsidRPr="006B2A4D">
        <w:rPr>
          <w:rFonts w:eastAsia="Verdana" w:cs="Verdana"/>
          <w:sz w:val="20"/>
          <w:szCs w:val="20"/>
          <w:lang w:eastAsia="es-ES"/>
        </w:rPr>
        <w:t>c</w:t>
      </w:r>
      <w:r w:rsidRPr="006B2A4D">
        <w:rPr>
          <w:rFonts w:eastAsia="Verdana" w:cs="Verdana"/>
          <w:spacing w:val="2"/>
          <w:sz w:val="20"/>
          <w:szCs w:val="20"/>
          <w:lang w:eastAsia="es-ES"/>
        </w:rPr>
        <w:t>a</w:t>
      </w:r>
      <w:r w:rsidRPr="006B2A4D">
        <w:rPr>
          <w:rFonts w:eastAsia="Verdana" w:cs="Verdana"/>
          <w:sz w:val="20"/>
          <w:szCs w:val="20"/>
          <w:lang w:eastAsia="es-ES"/>
        </w:rPr>
        <w:t>n</w:t>
      </w:r>
      <w:r w:rsidRPr="006B2A4D">
        <w:rPr>
          <w:rFonts w:eastAsia="Verdana" w:cs="Verdana"/>
          <w:spacing w:val="-10"/>
          <w:sz w:val="20"/>
          <w:szCs w:val="20"/>
          <w:lang w:eastAsia="es-ES"/>
        </w:rPr>
        <w:t xml:space="preserve"> </w:t>
      </w:r>
      <w:r w:rsidRPr="006B2A4D">
        <w:rPr>
          <w:rFonts w:eastAsia="Verdana" w:cs="Verdana"/>
          <w:sz w:val="20"/>
          <w:szCs w:val="20"/>
          <w:lang w:eastAsia="es-ES"/>
        </w:rPr>
        <w:t>c</w:t>
      </w:r>
      <w:r w:rsidRPr="006B2A4D">
        <w:rPr>
          <w:rFonts w:eastAsia="Verdana" w:cs="Verdana"/>
          <w:spacing w:val="-2"/>
          <w:sz w:val="20"/>
          <w:szCs w:val="20"/>
          <w:lang w:eastAsia="es-ES"/>
        </w:rPr>
        <w:t>o</w:t>
      </w:r>
      <w:r w:rsidRPr="006B2A4D">
        <w:rPr>
          <w:rFonts w:eastAsia="Verdana" w:cs="Verdana"/>
          <w:sz w:val="20"/>
          <w:szCs w:val="20"/>
          <w:lang w:eastAsia="es-ES"/>
        </w:rPr>
        <w:t>n c</w:t>
      </w:r>
      <w:r w:rsidRPr="006B2A4D">
        <w:rPr>
          <w:rFonts w:eastAsia="Verdana" w:cs="Verdana"/>
          <w:spacing w:val="2"/>
          <w:sz w:val="20"/>
          <w:szCs w:val="20"/>
          <w:lang w:eastAsia="es-ES"/>
        </w:rPr>
        <w:t>l</w:t>
      </w:r>
      <w:r w:rsidRPr="006B2A4D">
        <w:rPr>
          <w:rFonts w:eastAsia="Verdana" w:cs="Verdana"/>
          <w:sz w:val="20"/>
          <w:szCs w:val="20"/>
          <w:lang w:eastAsia="es-ES"/>
        </w:rPr>
        <w:t>a</w:t>
      </w:r>
      <w:r w:rsidRPr="006B2A4D">
        <w:rPr>
          <w:rFonts w:eastAsia="Verdana" w:cs="Verdana"/>
          <w:spacing w:val="-1"/>
          <w:sz w:val="20"/>
          <w:szCs w:val="20"/>
          <w:lang w:eastAsia="es-ES"/>
        </w:rPr>
        <w:t>r</w:t>
      </w:r>
      <w:r w:rsidRPr="006B2A4D">
        <w:rPr>
          <w:rFonts w:eastAsia="Verdana" w:cs="Verdana"/>
          <w:spacing w:val="3"/>
          <w:sz w:val="20"/>
          <w:szCs w:val="20"/>
          <w:lang w:eastAsia="es-ES"/>
        </w:rPr>
        <w:t>i</w:t>
      </w:r>
      <w:r w:rsidRPr="006B2A4D">
        <w:rPr>
          <w:rFonts w:eastAsia="Verdana" w:cs="Verdana"/>
          <w:spacing w:val="1"/>
          <w:sz w:val="20"/>
          <w:szCs w:val="20"/>
          <w:lang w:eastAsia="es-ES"/>
        </w:rPr>
        <w:t>d</w:t>
      </w:r>
      <w:r w:rsidRPr="006B2A4D">
        <w:rPr>
          <w:rFonts w:eastAsia="Verdana" w:cs="Verdana"/>
          <w:sz w:val="20"/>
          <w:szCs w:val="20"/>
          <w:lang w:eastAsia="es-ES"/>
        </w:rPr>
        <w:t>ad</w:t>
      </w:r>
      <w:r w:rsidRPr="006B2A4D">
        <w:rPr>
          <w:rFonts w:eastAsia="Verdana" w:cs="Verdana"/>
          <w:spacing w:val="-10"/>
          <w:sz w:val="20"/>
          <w:szCs w:val="20"/>
          <w:lang w:eastAsia="es-ES"/>
        </w:rPr>
        <w:t xml:space="preserve"> </w:t>
      </w:r>
      <w:r w:rsidRPr="006B2A4D">
        <w:rPr>
          <w:rFonts w:eastAsia="Verdana" w:cs="Verdana"/>
          <w:spacing w:val="3"/>
          <w:sz w:val="20"/>
          <w:szCs w:val="20"/>
          <w:lang w:eastAsia="es-ES"/>
        </w:rPr>
        <w:t>l</w:t>
      </w:r>
      <w:r w:rsidRPr="006B2A4D">
        <w:rPr>
          <w:rFonts w:eastAsia="Verdana" w:cs="Verdana"/>
          <w:spacing w:val="-1"/>
          <w:sz w:val="20"/>
          <w:szCs w:val="20"/>
          <w:lang w:eastAsia="es-ES"/>
        </w:rPr>
        <w:t>o</w:t>
      </w:r>
      <w:r w:rsidRPr="006B2A4D">
        <w:rPr>
          <w:rFonts w:eastAsia="Verdana" w:cs="Verdana"/>
          <w:sz w:val="20"/>
          <w:szCs w:val="20"/>
          <w:lang w:eastAsia="es-ES"/>
        </w:rPr>
        <w:t>s</w:t>
      </w:r>
      <w:r w:rsidRPr="006B2A4D">
        <w:rPr>
          <w:rFonts w:eastAsia="Verdana" w:cs="Verdana"/>
          <w:spacing w:val="-4"/>
          <w:sz w:val="20"/>
          <w:szCs w:val="20"/>
          <w:lang w:eastAsia="es-ES"/>
        </w:rPr>
        <w:t xml:space="preserve"> </w:t>
      </w:r>
      <w:r w:rsidRPr="006B2A4D">
        <w:rPr>
          <w:rFonts w:eastAsia="Verdana" w:cs="Verdana"/>
          <w:spacing w:val="-1"/>
          <w:sz w:val="20"/>
          <w:szCs w:val="20"/>
          <w:lang w:eastAsia="es-ES"/>
        </w:rPr>
        <w:t>r</w:t>
      </w:r>
      <w:r w:rsidRPr="006B2A4D">
        <w:rPr>
          <w:rFonts w:eastAsia="Verdana" w:cs="Verdana"/>
          <w:spacing w:val="1"/>
          <w:sz w:val="20"/>
          <w:szCs w:val="20"/>
          <w:lang w:eastAsia="es-ES"/>
        </w:rPr>
        <w:t>ubr</w:t>
      </w:r>
      <w:r w:rsidRPr="006B2A4D">
        <w:rPr>
          <w:rFonts w:eastAsia="Verdana" w:cs="Verdana"/>
          <w:spacing w:val="-1"/>
          <w:sz w:val="20"/>
          <w:szCs w:val="20"/>
          <w:lang w:eastAsia="es-ES"/>
        </w:rPr>
        <w:t>o</w:t>
      </w:r>
      <w:r w:rsidRPr="006B2A4D">
        <w:rPr>
          <w:rFonts w:eastAsia="Verdana" w:cs="Verdana"/>
          <w:sz w:val="20"/>
          <w:szCs w:val="20"/>
          <w:lang w:eastAsia="es-ES"/>
        </w:rPr>
        <w:t>s</w:t>
      </w:r>
      <w:r w:rsidRPr="006B2A4D">
        <w:rPr>
          <w:rFonts w:eastAsia="Verdana" w:cs="Verdana"/>
          <w:spacing w:val="-5"/>
          <w:sz w:val="20"/>
          <w:szCs w:val="20"/>
          <w:lang w:eastAsia="es-ES"/>
        </w:rPr>
        <w:t xml:space="preserve"> </w:t>
      </w:r>
      <w:r w:rsidRPr="006B2A4D">
        <w:rPr>
          <w:rFonts w:eastAsia="Verdana" w:cs="Verdana"/>
          <w:sz w:val="20"/>
          <w:szCs w:val="20"/>
          <w:lang w:eastAsia="es-ES"/>
        </w:rPr>
        <w:t>y</w:t>
      </w:r>
      <w:r w:rsidRPr="006B2A4D">
        <w:rPr>
          <w:rFonts w:eastAsia="Verdana" w:cs="Verdana"/>
          <w:spacing w:val="-2"/>
          <w:sz w:val="20"/>
          <w:szCs w:val="20"/>
          <w:lang w:eastAsia="es-ES"/>
        </w:rPr>
        <w:t xml:space="preserve"> </w:t>
      </w:r>
      <w:r w:rsidRPr="006B2A4D">
        <w:rPr>
          <w:rFonts w:eastAsia="Verdana" w:cs="Verdana"/>
          <w:spacing w:val="3"/>
          <w:sz w:val="20"/>
          <w:szCs w:val="20"/>
          <w:lang w:eastAsia="es-ES"/>
        </w:rPr>
        <w:t>l</w:t>
      </w:r>
      <w:r w:rsidRPr="006B2A4D">
        <w:rPr>
          <w:rFonts w:eastAsia="Verdana" w:cs="Verdana"/>
          <w:sz w:val="20"/>
          <w:szCs w:val="20"/>
          <w:lang w:eastAsia="es-ES"/>
        </w:rPr>
        <w:t>a</w:t>
      </w:r>
      <w:r w:rsidRPr="006B2A4D">
        <w:rPr>
          <w:rFonts w:eastAsia="Verdana" w:cs="Verdana"/>
          <w:spacing w:val="-2"/>
          <w:sz w:val="20"/>
          <w:szCs w:val="20"/>
          <w:lang w:eastAsia="es-ES"/>
        </w:rPr>
        <w:t xml:space="preserve"> </w:t>
      </w:r>
      <w:r w:rsidRPr="006B2A4D">
        <w:rPr>
          <w:rFonts w:eastAsia="Verdana" w:cs="Verdana"/>
          <w:spacing w:val="1"/>
          <w:sz w:val="20"/>
          <w:szCs w:val="20"/>
          <w:lang w:eastAsia="es-ES"/>
        </w:rPr>
        <w:t>ju</w:t>
      </w:r>
      <w:r w:rsidRPr="006B2A4D">
        <w:rPr>
          <w:rFonts w:eastAsia="Verdana" w:cs="Verdana"/>
          <w:sz w:val="20"/>
          <w:szCs w:val="20"/>
          <w:lang w:eastAsia="es-ES"/>
        </w:rPr>
        <w:t>st</w:t>
      </w:r>
      <w:r w:rsidRPr="006B2A4D">
        <w:rPr>
          <w:rFonts w:eastAsia="Verdana" w:cs="Verdana"/>
          <w:spacing w:val="3"/>
          <w:sz w:val="20"/>
          <w:szCs w:val="20"/>
          <w:lang w:eastAsia="es-ES"/>
        </w:rPr>
        <w:t>i</w:t>
      </w:r>
      <w:r w:rsidRPr="006B2A4D">
        <w:rPr>
          <w:rFonts w:eastAsia="Verdana" w:cs="Verdana"/>
          <w:spacing w:val="-3"/>
          <w:sz w:val="20"/>
          <w:szCs w:val="20"/>
          <w:lang w:eastAsia="es-ES"/>
        </w:rPr>
        <w:t>f</w:t>
      </w:r>
      <w:r w:rsidRPr="006B2A4D">
        <w:rPr>
          <w:rFonts w:eastAsia="Verdana" w:cs="Verdana"/>
          <w:spacing w:val="3"/>
          <w:sz w:val="20"/>
          <w:szCs w:val="20"/>
          <w:lang w:eastAsia="es-ES"/>
        </w:rPr>
        <w:t>i</w:t>
      </w:r>
      <w:r w:rsidRPr="006B2A4D">
        <w:rPr>
          <w:rFonts w:eastAsia="Verdana" w:cs="Verdana"/>
          <w:sz w:val="20"/>
          <w:szCs w:val="20"/>
          <w:lang w:eastAsia="es-ES"/>
        </w:rPr>
        <w:t>ca</w:t>
      </w:r>
      <w:r w:rsidRPr="006B2A4D">
        <w:rPr>
          <w:rFonts w:eastAsia="Verdana" w:cs="Verdana"/>
          <w:spacing w:val="-1"/>
          <w:sz w:val="20"/>
          <w:szCs w:val="20"/>
          <w:lang w:eastAsia="es-ES"/>
        </w:rPr>
        <w:t>c</w:t>
      </w:r>
      <w:r w:rsidRPr="006B2A4D">
        <w:rPr>
          <w:rFonts w:eastAsia="Verdana" w:cs="Verdana"/>
          <w:spacing w:val="3"/>
          <w:sz w:val="20"/>
          <w:szCs w:val="20"/>
          <w:lang w:eastAsia="es-ES"/>
        </w:rPr>
        <w:t>i</w:t>
      </w:r>
      <w:r w:rsidRPr="006B2A4D">
        <w:rPr>
          <w:rFonts w:eastAsia="Verdana" w:cs="Verdana"/>
          <w:spacing w:val="-1"/>
          <w:sz w:val="20"/>
          <w:szCs w:val="20"/>
          <w:lang w:eastAsia="es-ES"/>
        </w:rPr>
        <w:t>ó</w:t>
      </w:r>
      <w:r w:rsidRPr="006B2A4D">
        <w:rPr>
          <w:rFonts w:eastAsia="Verdana" w:cs="Verdana"/>
          <w:sz w:val="20"/>
          <w:szCs w:val="20"/>
          <w:lang w:eastAsia="es-ES"/>
        </w:rPr>
        <w:t>n</w:t>
      </w:r>
      <w:r w:rsidRPr="006B2A4D">
        <w:rPr>
          <w:rFonts w:eastAsia="Verdana" w:cs="Verdana"/>
          <w:spacing w:val="-11"/>
          <w:sz w:val="20"/>
          <w:szCs w:val="20"/>
          <w:lang w:eastAsia="es-ES"/>
        </w:rPr>
        <w:t xml:space="preserve"> </w:t>
      </w:r>
      <w:r w:rsidRPr="006B2A4D">
        <w:rPr>
          <w:rFonts w:eastAsia="Verdana" w:cs="Verdana"/>
          <w:sz w:val="20"/>
          <w:szCs w:val="20"/>
          <w:lang w:eastAsia="es-ES"/>
        </w:rPr>
        <w:t>de</w:t>
      </w:r>
      <w:r w:rsidRPr="006B2A4D">
        <w:rPr>
          <w:rFonts w:eastAsia="Verdana" w:cs="Verdana"/>
          <w:spacing w:val="-3"/>
          <w:sz w:val="20"/>
          <w:szCs w:val="20"/>
          <w:lang w:eastAsia="es-ES"/>
        </w:rPr>
        <w:t xml:space="preserve"> </w:t>
      </w:r>
      <w:r w:rsidRPr="006B2A4D">
        <w:rPr>
          <w:rFonts w:eastAsia="Verdana" w:cs="Verdana"/>
          <w:spacing w:val="2"/>
          <w:sz w:val="20"/>
          <w:szCs w:val="20"/>
          <w:lang w:eastAsia="es-ES"/>
        </w:rPr>
        <w:t>l</w:t>
      </w:r>
      <w:r w:rsidRPr="006B2A4D">
        <w:rPr>
          <w:rFonts w:eastAsia="Verdana" w:cs="Verdana"/>
          <w:spacing w:val="-1"/>
          <w:sz w:val="20"/>
          <w:szCs w:val="20"/>
          <w:lang w:eastAsia="es-ES"/>
        </w:rPr>
        <w:t>o</w:t>
      </w:r>
      <w:r w:rsidRPr="006B2A4D">
        <w:rPr>
          <w:rFonts w:eastAsia="Verdana" w:cs="Verdana"/>
          <w:sz w:val="20"/>
          <w:szCs w:val="20"/>
          <w:lang w:eastAsia="es-ES"/>
        </w:rPr>
        <w:t>s</w:t>
      </w:r>
      <w:r w:rsidRPr="006B2A4D">
        <w:rPr>
          <w:rFonts w:eastAsia="Verdana" w:cs="Verdana"/>
          <w:spacing w:val="-4"/>
          <w:sz w:val="20"/>
          <w:szCs w:val="20"/>
          <w:lang w:eastAsia="es-ES"/>
        </w:rPr>
        <w:t xml:space="preserve"> </w:t>
      </w:r>
      <w:r w:rsidRPr="006B2A4D">
        <w:rPr>
          <w:rFonts w:eastAsia="Verdana" w:cs="Verdana"/>
          <w:sz w:val="20"/>
          <w:szCs w:val="20"/>
          <w:lang w:eastAsia="es-ES"/>
        </w:rPr>
        <w:t>m</w:t>
      </w:r>
      <w:r w:rsidRPr="006B2A4D">
        <w:rPr>
          <w:rFonts w:eastAsia="Verdana" w:cs="Verdana"/>
          <w:spacing w:val="3"/>
          <w:sz w:val="20"/>
          <w:szCs w:val="20"/>
          <w:lang w:eastAsia="es-ES"/>
        </w:rPr>
        <w:t>i</w:t>
      </w:r>
      <w:r w:rsidRPr="006B2A4D">
        <w:rPr>
          <w:rFonts w:eastAsia="Verdana" w:cs="Verdana"/>
          <w:sz w:val="20"/>
          <w:szCs w:val="20"/>
          <w:lang w:eastAsia="es-ES"/>
        </w:rPr>
        <w:t>sm</w:t>
      </w:r>
      <w:r w:rsidRPr="006B2A4D">
        <w:rPr>
          <w:rFonts w:eastAsia="Verdana" w:cs="Verdana"/>
          <w:spacing w:val="-1"/>
          <w:sz w:val="20"/>
          <w:szCs w:val="20"/>
          <w:lang w:eastAsia="es-ES"/>
        </w:rPr>
        <w:t>o</w:t>
      </w:r>
      <w:r w:rsidRPr="006B2A4D">
        <w:rPr>
          <w:rFonts w:eastAsia="Verdana" w:cs="Verdana"/>
          <w:spacing w:val="7"/>
          <w:sz w:val="20"/>
          <w:szCs w:val="20"/>
          <w:lang w:eastAsia="es-ES"/>
        </w:rPr>
        <w:t>s</w:t>
      </w:r>
      <w:r w:rsidRPr="006B2A4D">
        <w:rPr>
          <w:rFonts w:eastAsia="Verdana" w:cs="Verdana"/>
          <w:spacing w:val="7"/>
          <w:sz w:val="20"/>
          <w:szCs w:val="20"/>
          <w:vertAlign w:val="superscript"/>
          <w:lang w:eastAsia="es-ES"/>
        </w:rPr>
        <w:footnoteReference w:id="330"/>
      </w:r>
      <w:r w:rsidRPr="006B2A4D">
        <w:rPr>
          <w:rFonts w:eastAsia="Verdana" w:cs="Verdana"/>
          <w:sz w:val="20"/>
          <w:szCs w:val="20"/>
          <w:lang w:eastAsia="es-ES"/>
        </w:rPr>
        <w:t>.</w:t>
      </w:r>
      <w:r w:rsidRPr="006B2A4D">
        <w:rPr>
          <w:rFonts w:eastAsia="Calibri"/>
          <w:sz w:val="20"/>
          <w:szCs w:val="20"/>
          <w:lang w:eastAsia="es-ES"/>
        </w:rPr>
        <w:t xml:space="preserve"> </w:t>
      </w:r>
    </w:p>
    <w:p w14:paraId="5E1BCD05" w14:textId="77777777" w:rsidR="006B2A4D" w:rsidRPr="006B2A4D" w:rsidRDefault="006B2A4D" w:rsidP="006B2A4D">
      <w:pPr>
        <w:widowControl w:val="0"/>
        <w:tabs>
          <w:tab w:val="left" w:pos="567"/>
          <w:tab w:val="num" w:pos="1569"/>
          <w:tab w:val="num" w:pos="12305"/>
        </w:tabs>
        <w:adjustRightInd w:val="0"/>
        <w:textAlignment w:val="baseline"/>
        <w:rPr>
          <w:rFonts w:eastAsia="Calibri"/>
          <w:sz w:val="20"/>
          <w:szCs w:val="20"/>
          <w:lang w:eastAsia="es-ES"/>
        </w:rPr>
      </w:pPr>
    </w:p>
    <w:p w14:paraId="6B950E4F" w14:textId="155CB91A" w:rsidR="006B2A4D" w:rsidRDefault="006B2A4D"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eastAsia="es-ES"/>
        </w:rPr>
      </w:pPr>
      <w:r w:rsidRPr="006B2A4D">
        <w:rPr>
          <w:rFonts w:eastAsia="Calibri"/>
          <w:sz w:val="20"/>
          <w:szCs w:val="20"/>
          <w:lang w:eastAsia="es-ES"/>
        </w:rPr>
        <w:t>En el presente caso</w:t>
      </w:r>
      <w:r w:rsidRPr="006B2A4D">
        <w:rPr>
          <w:rFonts w:eastAsia="Calibri"/>
          <w:color w:val="000000"/>
          <w:sz w:val="20"/>
          <w:szCs w:val="20"/>
          <w:lang w:eastAsia="es-ES"/>
        </w:rPr>
        <w:t xml:space="preserve">, la Corte constata que los representantes no se refirieron al monto de los gastos incurridos durante el litigio a nivel nacional ni tampoco aportaron prueba al respecto. Por tanto, la Corte no cuenta con el respaldo probatorio para determinar los gastos realizados. En relación con los gastos incurridos durante el proceso internacional tampoco se aportó prueba para establecer los gastos realizados debido a su perdida en el incendio ocurrido en la vivienda familiar. Sin embargo, la Corte considera que es razonable suponer que durante los años de trámite del presente caso ante la jurisdicción interna la víctima realizó erogaciones económicas. Por otra parte, la Corte también considera razonable que las víctimas del presente caso y sus representantes han incurrido en diversos gastos relativos a honorarios, recolección de prueba, transporte, servicios de comunicación, entre otros, en el trámite internacional del presente caso. </w:t>
      </w:r>
      <w:r w:rsidRPr="006B2A4D">
        <w:rPr>
          <w:rFonts w:eastAsia="Calibri"/>
          <w:sz w:val="20"/>
          <w:szCs w:val="20"/>
          <w:lang w:eastAsia="es-ES"/>
        </w:rPr>
        <w:t xml:space="preserve">En consecuencia, la Corte decide fijar un monto razonable por la cantidad </w:t>
      </w:r>
      <w:r w:rsidRPr="00AA65C5">
        <w:rPr>
          <w:rFonts w:eastAsia="Calibri"/>
          <w:sz w:val="20"/>
          <w:szCs w:val="20"/>
          <w:lang w:eastAsia="es-ES"/>
        </w:rPr>
        <w:t xml:space="preserve">de </w:t>
      </w:r>
      <w:r w:rsidRPr="00B1523A">
        <w:rPr>
          <w:rFonts w:eastAsia="Calibri"/>
          <w:sz w:val="20"/>
          <w:lang w:eastAsia="es-ES"/>
        </w:rPr>
        <w:t>US</w:t>
      </w:r>
      <w:r w:rsidRPr="007E5CD5">
        <w:rPr>
          <w:rFonts w:eastAsia="Calibri"/>
          <w:b/>
          <w:sz w:val="20"/>
          <w:lang w:eastAsia="es-ES"/>
        </w:rPr>
        <w:t xml:space="preserve"> </w:t>
      </w:r>
      <w:r w:rsidRPr="00B1523A">
        <w:rPr>
          <w:rFonts w:eastAsia="Calibri"/>
          <w:sz w:val="20"/>
          <w:szCs w:val="20"/>
          <w:lang w:eastAsia="es-ES"/>
        </w:rPr>
        <w:t>$</w:t>
      </w:r>
      <w:r w:rsidR="00F377B4" w:rsidRPr="00B1523A">
        <w:rPr>
          <w:rFonts w:eastAsia="Calibri"/>
          <w:sz w:val="20"/>
          <w:szCs w:val="20"/>
          <w:lang w:eastAsia="es-ES"/>
        </w:rPr>
        <w:t>15,000</w:t>
      </w:r>
      <w:r w:rsidRPr="007E5CD5">
        <w:rPr>
          <w:rFonts w:eastAsia="Calibri"/>
          <w:sz w:val="20"/>
          <w:lang w:eastAsia="es-ES"/>
        </w:rPr>
        <w:t xml:space="preserve"> </w:t>
      </w:r>
      <w:r w:rsidR="00F24D4D" w:rsidRPr="007E5CD5">
        <w:rPr>
          <w:rFonts w:eastAsia="Calibri"/>
          <w:sz w:val="20"/>
          <w:lang w:eastAsia="es-ES"/>
        </w:rPr>
        <w:t xml:space="preserve">(quince mil </w:t>
      </w:r>
      <w:r w:rsidRPr="007E5CD5">
        <w:rPr>
          <w:rFonts w:eastAsia="Calibri"/>
          <w:sz w:val="20"/>
          <w:lang w:eastAsia="es-ES"/>
        </w:rPr>
        <w:t>dólares de los Estados Unidos de América)</w:t>
      </w:r>
      <w:r w:rsidRPr="00AA65C5">
        <w:rPr>
          <w:rFonts w:eastAsia="Calibri"/>
          <w:sz w:val="20"/>
          <w:szCs w:val="20"/>
          <w:lang w:eastAsia="es-ES"/>
        </w:rPr>
        <w:t xml:space="preserve"> con motivo de las labores realizadas</w:t>
      </w:r>
      <w:r w:rsidRPr="006B2A4D">
        <w:rPr>
          <w:rFonts w:eastAsia="Calibri"/>
          <w:sz w:val="20"/>
          <w:szCs w:val="20"/>
          <w:lang w:eastAsia="es-ES"/>
        </w:rPr>
        <w:t xml:space="preserve"> en el litigio del presente caso, el cual deberá ser entregado a las víctimas sobrevivientes en presente caso, quienes a su vez podrán otorgarlo a quien corresponda</w:t>
      </w:r>
      <w:r w:rsidR="00340F58">
        <w:rPr>
          <w:rFonts w:eastAsia="Calibri"/>
          <w:sz w:val="20"/>
          <w:szCs w:val="20"/>
          <w:lang w:eastAsia="es-ES"/>
        </w:rPr>
        <w:t>,</w:t>
      </w:r>
      <w:r w:rsidR="002A5941">
        <w:rPr>
          <w:rFonts w:eastAsia="Calibri"/>
          <w:sz w:val="20"/>
          <w:szCs w:val="20"/>
          <w:lang w:eastAsia="es-ES"/>
        </w:rPr>
        <w:t xml:space="preserve"> lo cual no será supervisado por la Corte</w:t>
      </w:r>
      <w:r w:rsidRPr="006B2A4D">
        <w:rPr>
          <w:rFonts w:eastAsia="Calibri"/>
          <w:sz w:val="20"/>
          <w:szCs w:val="20"/>
          <w:lang w:eastAsia="es-ES"/>
        </w:rPr>
        <w:t>.</w:t>
      </w:r>
    </w:p>
    <w:p w14:paraId="5052D034" w14:textId="77777777" w:rsidR="006B2A4D" w:rsidRPr="006B2A4D" w:rsidRDefault="006B2A4D" w:rsidP="006B2A4D">
      <w:pPr>
        <w:widowControl w:val="0"/>
        <w:tabs>
          <w:tab w:val="left" w:pos="567"/>
          <w:tab w:val="num" w:pos="1569"/>
          <w:tab w:val="num" w:pos="12305"/>
        </w:tabs>
        <w:adjustRightInd w:val="0"/>
        <w:textAlignment w:val="baseline"/>
        <w:rPr>
          <w:rFonts w:eastAsia="Calibri"/>
          <w:sz w:val="20"/>
          <w:szCs w:val="20"/>
          <w:lang w:eastAsia="es-ES"/>
        </w:rPr>
      </w:pPr>
    </w:p>
    <w:p w14:paraId="140A3D20" w14:textId="77777777" w:rsidR="006B2A4D" w:rsidRPr="00AD229D" w:rsidRDefault="006B2A4D" w:rsidP="002726E0">
      <w:pPr>
        <w:pStyle w:val="Heading2"/>
        <w:numPr>
          <w:ilvl w:val="0"/>
          <w:numId w:val="13"/>
        </w:numPr>
      </w:pPr>
      <w:bookmarkStart w:id="134" w:name="_Toc498333530"/>
      <w:bookmarkStart w:id="135" w:name="_Toc513644499"/>
      <w:r w:rsidRPr="00AD229D">
        <w:t>Reintegro de los gastos al Fondo de Asistencia Legal de Víctimas</w:t>
      </w:r>
      <w:bookmarkEnd w:id="134"/>
      <w:bookmarkEnd w:id="135"/>
    </w:p>
    <w:p w14:paraId="67D7AD1E" w14:textId="77777777" w:rsidR="006B2A4D" w:rsidRPr="006B2A4D" w:rsidRDefault="006B2A4D" w:rsidP="006B2A4D">
      <w:pPr>
        <w:keepNext/>
        <w:keepLines/>
        <w:outlineLvl w:val="1"/>
        <w:rPr>
          <w:b/>
          <w:bCs/>
          <w:i/>
          <w:sz w:val="20"/>
          <w:szCs w:val="20"/>
          <w:lang w:val="es-ES" w:eastAsia="en-US"/>
        </w:rPr>
      </w:pPr>
    </w:p>
    <w:p w14:paraId="58195674" w14:textId="7416B67F" w:rsidR="006B2A4D" w:rsidRPr="006B2A4D" w:rsidRDefault="006B2A4D"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cs="Verdana"/>
          <w:color w:val="000000"/>
          <w:sz w:val="20"/>
          <w:szCs w:val="20"/>
          <w:lang w:eastAsia="es-ES"/>
        </w:rPr>
      </w:pPr>
      <w:r w:rsidRPr="006B2A4D">
        <w:rPr>
          <w:rFonts w:eastAsia="Calibri" w:cs="Verdana"/>
          <w:color w:val="000000"/>
          <w:sz w:val="20"/>
          <w:szCs w:val="20"/>
          <w:lang w:eastAsia="es-ES"/>
        </w:rPr>
        <w:t xml:space="preserve"> </w:t>
      </w:r>
      <w:r w:rsidRPr="006B2A4D">
        <w:rPr>
          <w:rFonts w:eastAsia="Calibri" w:cs="Verdana"/>
          <w:bCs/>
          <w:iCs/>
          <w:color w:val="000000"/>
          <w:sz w:val="20"/>
          <w:szCs w:val="20"/>
          <w:lang w:val="es-ES_tradnl" w:eastAsia="es-ES"/>
        </w:rPr>
        <w:t>En el 2008 la Asamblea General de la Organización de los Estados Americanos creó el Fondo de Asistencia Legal del Sistema Interamericano de Derechos Humanos (en adelante también “FALV”), con el “objeto [de] facilitar el acceso al sistema interamericano de derechos humanos a aquellas personas que actualmente no tienen los recursos necesarios para llevar su caso al sistema”</w:t>
      </w:r>
      <w:r w:rsidRPr="006B2A4D">
        <w:rPr>
          <w:rFonts w:eastAsia="Calibri" w:cs="Verdana"/>
          <w:bCs/>
          <w:iCs/>
          <w:color w:val="000000"/>
          <w:sz w:val="20"/>
          <w:szCs w:val="20"/>
          <w:vertAlign w:val="superscript"/>
          <w:lang w:val="es-ES_tradnl" w:eastAsia="es-ES"/>
        </w:rPr>
        <w:footnoteReference w:id="331"/>
      </w:r>
      <w:r w:rsidRPr="006B2A4D">
        <w:rPr>
          <w:rFonts w:eastAsia="Calibri" w:cs="Verdana"/>
          <w:bCs/>
          <w:iCs/>
          <w:color w:val="000000"/>
          <w:sz w:val="20"/>
          <w:szCs w:val="20"/>
          <w:lang w:val="es-ES_tradnl" w:eastAsia="es-ES"/>
        </w:rPr>
        <w:t xml:space="preserve">. </w:t>
      </w:r>
      <w:r w:rsidRPr="006B2A4D">
        <w:rPr>
          <w:rFonts w:eastAsia="Calibri" w:cs="Verdana"/>
          <w:color w:val="000000"/>
          <w:sz w:val="20"/>
          <w:szCs w:val="20"/>
          <w:lang w:eastAsia="es-ES"/>
        </w:rPr>
        <w:t>Las representantes, en su escrito de solicitudes, argumentos y pruebas, solicitaron acogerse al Fondo de Asistencia de la Corte</w:t>
      </w:r>
      <w:r w:rsidRPr="006B2A4D">
        <w:rPr>
          <w:rFonts w:eastAsia="Calibri"/>
          <w:sz w:val="20"/>
          <w:szCs w:val="20"/>
          <w:lang w:val="es-ES" w:eastAsia="es-ES"/>
        </w:rPr>
        <w:t>.</w:t>
      </w:r>
      <w:r w:rsidRPr="006B2A4D">
        <w:rPr>
          <w:rFonts w:eastAsia="Calibri" w:cs="Verdana"/>
          <w:color w:val="000000"/>
          <w:sz w:val="20"/>
          <w:szCs w:val="20"/>
          <w:lang w:eastAsia="es-ES"/>
        </w:rPr>
        <w:t xml:space="preserve"> </w:t>
      </w:r>
      <w:r w:rsidRPr="006B2A4D">
        <w:rPr>
          <w:rFonts w:eastAsia="Calibri"/>
          <w:sz w:val="20"/>
          <w:szCs w:val="20"/>
          <w:lang w:val="es-ES" w:eastAsia="es-ES"/>
        </w:rPr>
        <w:t>Mediante Resolución emitida por el Presidente de la Corte Interamericana el día 21 de septiembre de 2017</w:t>
      </w:r>
      <w:r w:rsidRPr="006B2A4D">
        <w:rPr>
          <w:rFonts w:eastAsia="Calibri"/>
          <w:sz w:val="20"/>
          <w:szCs w:val="20"/>
          <w:vertAlign w:val="superscript"/>
          <w:lang w:val="es-ES" w:eastAsia="es-ES"/>
        </w:rPr>
        <w:footnoteReference w:id="332"/>
      </w:r>
      <w:r w:rsidRPr="006B2A4D">
        <w:rPr>
          <w:rFonts w:eastAsia="Calibri"/>
          <w:sz w:val="20"/>
          <w:szCs w:val="20"/>
          <w:lang w:val="es-ES" w:eastAsia="es-ES"/>
        </w:rPr>
        <w:t xml:space="preserve">, se declaró procedente la aplicación del Fondo </w:t>
      </w:r>
      <w:r w:rsidRPr="006B2A4D">
        <w:rPr>
          <w:rFonts w:eastAsia="Calibri"/>
          <w:sz w:val="20"/>
          <w:szCs w:val="20"/>
          <w:lang w:eastAsia="es-ES"/>
        </w:rPr>
        <w:t xml:space="preserve">para cubrir los gastos de: i) viaje y estadía necesarios para que las dos defensoras interamericanas asistan a la audiencia pública a ejercer sus labores de representación; ii) viaje y estadía necesarios para que el señor Vinicio Marco Antonio Poblete Tapia, el señor Javier Alejandro Santos comparezcan en dicha audiencia a rendir su declaración y dictamen pericial, respectivamente; iii) los costos que generen las declaraciones por </w:t>
      </w:r>
      <w:r w:rsidRPr="006B2A4D">
        <w:rPr>
          <w:rFonts w:eastAsia="Calibri"/>
          <w:i/>
          <w:sz w:val="20"/>
          <w:szCs w:val="20"/>
          <w:lang w:eastAsia="es-ES"/>
        </w:rPr>
        <w:t>affidávit</w:t>
      </w:r>
      <w:r w:rsidRPr="006B2A4D">
        <w:rPr>
          <w:rFonts w:eastAsia="Calibri"/>
          <w:sz w:val="20"/>
          <w:szCs w:val="20"/>
          <w:lang w:eastAsia="es-ES"/>
        </w:rPr>
        <w:t xml:space="preserve"> de 5 declarantes o peritos en total propuestos por las defensoras, según se especifica en la parte resolutiva de esta decisión; i</w:t>
      </w:r>
      <w:r w:rsidRPr="006B2A4D">
        <w:rPr>
          <w:rFonts w:eastAsia="Calibri"/>
          <w:sz w:val="20"/>
          <w:szCs w:val="20"/>
          <w:lang w:val="es-MX" w:eastAsia="es-ES"/>
        </w:rPr>
        <w:t xml:space="preserve">v) los demás gastos razonables y necesarios en que hayan incurrido o puedan incurrir </w:t>
      </w:r>
      <w:r w:rsidR="00854F1A">
        <w:rPr>
          <w:rFonts w:eastAsia="Calibri"/>
          <w:sz w:val="20"/>
          <w:szCs w:val="20"/>
          <w:lang w:val="es-MX" w:eastAsia="es-ES"/>
        </w:rPr>
        <w:t xml:space="preserve">las defensoras interamericanas. </w:t>
      </w:r>
    </w:p>
    <w:p w14:paraId="5F1671F6" w14:textId="77777777" w:rsidR="006B2A4D" w:rsidRPr="006B2A4D" w:rsidRDefault="006B2A4D" w:rsidP="006B2A4D">
      <w:pPr>
        <w:widowControl w:val="0"/>
        <w:tabs>
          <w:tab w:val="left" w:pos="567"/>
          <w:tab w:val="num" w:pos="1569"/>
          <w:tab w:val="num" w:pos="12305"/>
        </w:tabs>
        <w:adjustRightInd w:val="0"/>
        <w:textAlignment w:val="baseline"/>
        <w:rPr>
          <w:rFonts w:eastAsia="Calibri" w:cs="Verdana"/>
          <w:color w:val="000000"/>
          <w:sz w:val="20"/>
          <w:szCs w:val="20"/>
          <w:lang w:eastAsia="es-ES"/>
        </w:rPr>
      </w:pPr>
    </w:p>
    <w:p w14:paraId="7B1ED1B1" w14:textId="588132F7" w:rsidR="006B2A4D" w:rsidRPr="00C079F5" w:rsidRDefault="006B2A4D"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cs="Verdana"/>
          <w:color w:val="000000"/>
          <w:sz w:val="20"/>
          <w:szCs w:val="20"/>
          <w:lang w:eastAsia="es-ES"/>
        </w:rPr>
      </w:pPr>
      <w:r w:rsidRPr="006B2A4D">
        <w:rPr>
          <w:rFonts w:eastAsia="Calibri" w:cs="Verdana"/>
          <w:color w:val="000000"/>
          <w:sz w:val="20"/>
          <w:szCs w:val="20"/>
          <w:lang w:eastAsia="es-ES"/>
        </w:rPr>
        <w:t xml:space="preserve">Mediante nota de Secretaría de la Corte de </w:t>
      </w:r>
      <w:r w:rsidR="00201CC4">
        <w:rPr>
          <w:rFonts w:eastAsia="Calibri" w:cs="Verdana"/>
          <w:sz w:val="20"/>
          <w:szCs w:val="20"/>
          <w:lang w:eastAsia="es-ES"/>
        </w:rPr>
        <w:t>12 de enero de 2018</w:t>
      </w:r>
      <w:r w:rsidR="00201CC4">
        <w:rPr>
          <w:rStyle w:val="FootnoteReference"/>
          <w:rFonts w:eastAsia="Calibri" w:cs="Verdana"/>
          <w:sz w:val="20"/>
          <w:szCs w:val="20"/>
          <w:lang w:eastAsia="es-ES"/>
        </w:rPr>
        <w:footnoteReference w:id="333"/>
      </w:r>
      <w:r w:rsidRPr="006B2A4D">
        <w:rPr>
          <w:rFonts w:eastAsia="Calibri" w:cs="Verdana"/>
          <w:sz w:val="20"/>
          <w:szCs w:val="20"/>
          <w:lang w:eastAsia="es-ES"/>
        </w:rPr>
        <w:t xml:space="preserve">, </w:t>
      </w:r>
      <w:r w:rsidRPr="006B2A4D">
        <w:rPr>
          <w:rFonts w:eastAsia="Calibri" w:cs="Verdana"/>
          <w:color w:val="000000"/>
          <w:sz w:val="20"/>
          <w:szCs w:val="20"/>
          <w:lang w:eastAsia="es-ES"/>
        </w:rPr>
        <w:t xml:space="preserve">se remitió un informe al Estado sobre las erogaciones efectuadas en aplicación del Fondo de Asistencia en el presente caso, las cuales ascendieron a la suma de </w:t>
      </w:r>
      <w:r w:rsidRPr="002C4EDE">
        <w:rPr>
          <w:rFonts w:eastAsia="Calibri"/>
          <w:color w:val="000000"/>
          <w:sz w:val="20"/>
          <w:lang w:eastAsia="es-ES"/>
        </w:rPr>
        <w:t xml:space="preserve">US </w:t>
      </w:r>
      <w:r w:rsidRPr="002C4EDE">
        <w:rPr>
          <w:rFonts w:eastAsia="Calibri"/>
          <w:sz w:val="20"/>
          <w:lang w:eastAsia="es-ES"/>
        </w:rPr>
        <w:t>10,939.93</w:t>
      </w:r>
      <w:r w:rsidRPr="002C4EDE">
        <w:rPr>
          <w:rFonts w:eastAsia="Calibri"/>
          <w:sz w:val="20"/>
          <w:vertAlign w:val="superscript"/>
          <w:lang w:eastAsia="es-ES"/>
        </w:rPr>
        <w:footnoteReference w:id="334"/>
      </w:r>
      <w:r w:rsidRPr="006B2A4D">
        <w:rPr>
          <w:rFonts w:eastAsia="Calibri" w:cs="Verdana"/>
          <w:sz w:val="20"/>
          <w:szCs w:val="20"/>
          <w:lang w:eastAsia="es-ES"/>
        </w:rPr>
        <w:t xml:space="preserve"> (diez mil novecientos treinta y nueve </w:t>
      </w:r>
      <w:r w:rsidRPr="006B2A4D">
        <w:rPr>
          <w:rFonts w:eastAsia="Calibri" w:cs="Verdana"/>
          <w:sz w:val="20"/>
          <w:szCs w:val="20"/>
          <w:lang w:eastAsia="es-ES"/>
        </w:rPr>
        <w:lastRenderedPageBreak/>
        <w:t>dólares con noventa y tres centavos de los Estados Unidos de América)</w:t>
      </w:r>
      <w:r w:rsidRPr="006B2A4D">
        <w:rPr>
          <w:rFonts w:eastAsia="Calibri"/>
          <w:sz w:val="20"/>
          <w:szCs w:val="20"/>
          <w:vertAlign w:val="superscript"/>
          <w:lang w:eastAsia="es-ES"/>
        </w:rPr>
        <w:footnoteReference w:id="335"/>
      </w:r>
      <w:r w:rsidRPr="006B2A4D">
        <w:rPr>
          <w:rFonts w:eastAsia="Calibri" w:cs="Verdana"/>
          <w:sz w:val="20"/>
          <w:szCs w:val="20"/>
          <w:lang w:eastAsia="es-ES"/>
        </w:rPr>
        <w:t xml:space="preserve"> </w:t>
      </w:r>
      <w:r w:rsidRPr="006B2A4D">
        <w:rPr>
          <w:rFonts w:eastAsia="Calibri" w:cs="Verdana"/>
          <w:color w:val="000000"/>
          <w:sz w:val="20"/>
          <w:szCs w:val="20"/>
          <w:lang w:eastAsia="es-ES"/>
        </w:rPr>
        <w:t>y, según lo dispuesto en el artículo 5 del Reglamento de la Corte sobre el Funcionamiento del referido Fondo, se otorgó un plazo para que el Estado chileno presentara las observaciones que estimara pertinentes</w:t>
      </w:r>
      <w:r w:rsidRPr="006B2A4D">
        <w:rPr>
          <w:rFonts w:eastAsia="Calibri"/>
          <w:sz w:val="20"/>
          <w:szCs w:val="20"/>
          <w:vertAlign w:val="superscript"/>
          <w:lang w:eastAsia="es-ES"/>
        </w:rPr>
        <w:footnoteReference w:id="336"/>
      </w:r>
      <w:r w:rsidRPr="006B2A4D">
        <w:rPr>
          <w:rFonts w:eastAsia="Calibri" w:cs="Verdana"/>
          <w:sz w:val="20"/>
          <w:szCs w:val="20"/>
          <w:lang w:eastAsia="es-ES"/>
        </w:rPr>
        <w:t>. En vista de lo anterior, dicha cantidad deberá ser reintegrada en el plazo de noventa días, contados a partir de la notificación del presente Fallo.</w:t>
      </w:r>
    </w:p>
    <w:p w14:paraId="685F5FA5" w14:textId="77777777" w:rsidR="00C079F5" w:rsidRPr="006B2A4D" w:rsidRDefault="00C079F5" w:rsidP="00C079F5">
      <w:pPr>
        <w:widowControl w:val="0"/>
        <w:tabs>
          <w:tab w:val="left" w:pos="567"/>
          <w:tab w:val="num" w:pos="12305"/>
        </w:tabs>
        <w:adjustRightInd w:val="0"/>
        <w:textAlignment w:val="baseline"/>
        <w:rPr>
          <w:rFonts w:eastAsia="Calibri" w:cs="Verdana"/>
          <w:color w:val="000000"/>
          <w:sz w:val="20"/>
          <w:szCs w:val="20"/>
          <w:lang w:eastAsia="es-ES"/>
        </w:rPr>
      </w:pPr>
    </w:p>
    <w:p w14:paraId="2DE52FCF" w14:textId="77777777" w:rsidR="006B2A4D" w:rsidRPr="00AD229D" w:rsidRDefault="006B2A4D" w:rsidP="002726E0">
      <w:pPr>
        <w:pStyle w:val="Heading2"/>
        <w:numPr>
          <w:ilvl w:val="0"/>
          <w:numId w:val="13"/>
        </w:numPr>
      </w:pPr>
      <w:bookmarkStart w:id="136" w:name="_Toc498333531"/>
      <w:bookmarkStart w:id="137" w:name="_Toc513644500"/>
      <w:r w:rsidRPr="00AD229D">
        <w:t>Modalidad de cumplimiento de los pagos ordenados</w:t>
      </w:r>
      <w:bookmarkEnd w:id="136"/>
      <w:bookmarkEnd w:id="137"/>
    </w:p>
    <w:p w14:paraId="4C67DD22" w14:textId="77777777" w:rsidR="00C079F5" w:rsidRPr="006B2A4D" w:rsidRDefault="00C079F5" w:rsidP="00C079F5">
      <w:pPr>
        <w:keepNext/>
        <w:keepLines/>
        <w:outlineLvl w:val="1"/>
        <w:rPr>
          <w:b/>
          <w:bCs/>
          <w:i/>
          <w:sz w:val="20"/>
          <w:szCs w:val="20"/>
          <w:lang w:val="es-ES" w:eastAsia="en-US"/>
        </w:rPr>
      </w:pPr>
    </w:p>
    <w:p w14:paraId="479B3F63" w14:textId="77777777" w:rsidR="006B2A4D" w:rsidRDefault="006B2A4D" w:rsidP="00C079F5">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eastAsia="es-ES"/>
        </w:rPr>
      </w:pPr>
      <w:r w:rsidRPr="006B2A4D">
        <w:rPr>
          <w:rFonts w:eastAsia="Calibri"/>
          <w:sz w:val="20"/>
          <w:szCs w:val="20"/>
          <w:lang w:eastAsia="es-ES"/>
        </w:rPr>
        <w:t xml:space="preserve">El Estado deberá efectuar el pago de las indemnizaciones por concepto de daño material e inmaterial, así como el reintegro de las costas y gastos establecidos en la presente Sentencia directamente a la persona indicada en la misma, dentro del plazo de un año contado a partir de la notificación del presente Fallo, en los términos de los siguientes párrafos. </w:t>
      </w:r>
    </w:p>
    <w:p w14:paraId="29DB913B" w14:textId="77777777" w:rsidR="00C079F5" w:rsidRPr="006B2A4D" w:rsidRDefault="00C079F5" w:rsidP="00C079F5">
      <w:pPr>
        <w:widowControl w:val="0"/>
        <w:tabs>
          <w:tab w:val="left" w:pos="567"/>
          <w:tab w:val="num" w:pos="1569"/>
          <w:tab w:val="num" w:pos="12305"/>
        </w:tabs>
        <w:adjustRightInd w:val="0"/>
        <w:textAlignment w:val="baseline"/>
        <w:rPr>
          <w:rFonts w:eastAsia="Calibri"/>
          <w:sz w:val="20"/>
          <w:szCs w:val="20"/>
          <w:lang w:eastAsia="es-ES"/>
        </w:rPr>
      </w:pPr>
    </w:p>
    <w:p w14:paraId="675F5D39" w14:textId="77777777" w:rsidR="006B2A4D" w:rsidRDefault="006B2A4D" w:rsidP="00C079F5">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eastAsia="es-ES"/>
        </w:rPr>
      </w:pPr>
      <w:r w:rsidRPr="006B2A4D">
        <w:rPr>
          <w:rFonts w:eastAsia="Calibri"/>
          <w:sz w:val="20"/>
          <w:szCs w:val="20"/>
          <w:lang w:eastAsia="es-ES"/>
        </w:rPr>
        <w:t xml:space="preserve">En caso de que el beneficiario fallezca antes de que les sean entregadas las indemnizaciones respectivas, éstas se efectuarán directamente a sus derechohabientes, conforme al derecho interno aplicable. </w:t>
      </w:r>
    </w:p>
    <w:p w14:paraId="508836E9" w14:textId="77777777" w:rsidR="00C079F5" w:rsidRPr="006B2A4D" w:rsidRDefault="00C079F5" w:rsidP="00C079F5">
      <w:pPr>
        <w:widowControl w:val="0"/>
        <w:tabs>
          <w:tab w:val="left" w:pos="567"/>
          <w:tab w:val="num" w:pos="1569"/>
          <w:tab w:val="num" w:pos="12305"/>
        </w:tabs>
        <w:adjustRightInd w:val="0"/>
        <w:textAlignment w:val="baseline"/>
        <w:rPr>
          <w:rFonts w:eastAsia="Calibri"/>
          <w:sz w:val="20"/>
          <w:szCs w:val="20"/>
          <w:lang w:eastAsia="es-ES"/>
        </w:rPr>
      </w:pPr>
    </w:p>
    <w:p w14:paraId="14AF755E" w14:textId="77777777" w:rsidR="006B2A4D" w:rsidRDefault="006B2A4D" w:rsidP="00C079F5">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eastAsia="es-ES"/>
        </w:rPr>
      </w:pPr>
      <w:r w:rsidRPr="006B2A4D">
        <w:rPr>
          <w:rFonts w:eastAsia="Calibri"/>
          <w:sz w:val="20"/>
          <w:szCs w:val="20"/>
          <w:lang w:eastAsia="es-ES"/>
        </w:rPr>
        <w:t xml:space="preserve">El Estado debe cumplir sus obligaciones monetarias mediante el pago en dólares de los Estados Unidos de América o su equivalente en moneda chilena, utilizando para el cálculo respectivo el tipo de cambio que se encuentre vigente en la bolsa de Nueva York, Estados Unidos de América, el día anterior al pago. </w:t>
      </w:r>
    </w:p>
    <w:p w14:paraId="2A366021" w14:textId="77777777" w:rsidR="00C079F5" w:rsidRPr="006B2A4D" w:rsidRDefault="00C079F5" w:rsidP="00C079F5">
      <w:pPr>
        <w:widowControl w:val="0"/>
        <w:tabs>
          <w:tab w:val="left" w:pos="567"/>
          <w:tab w:val="num" w:pos="1569"/>
          <w:tab w:val="num" w:pos="12305"/>
        </w:tabs>
        <w:adjustRightInd w:val="0"/>
        <w:textAlignment w:val="baseline"/>
        <w:rPr>
          <w:rFonts w:eastAsia="Calibri"/>
          <w:sz w:val="20"/>
          <w:szCs w:val="20"/>
          <w:lang w:eastAsia="es-ES"/>
        </w:rPr>
      </w:pPr>
    </w:p>
    <w:p w14:paraId="0312A8AF" w14:textId="77777777" w:rsidR="006B2A4D" w:rsidRDefault="006B2A4D" w:rsidP="00C079F5">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eastAsia="es-ES"/>
        </w:rPr>
      </w:pPr>
      <w:r w:rsidRPr="006B2A4D">
        <w:rPr>
          <w:rFonts w:eastAsia="Calibri"/>
          <w:sz w:val="20"/>
          <w:szCs w:val="20"/>
          <w:lang w:eastAsia="es-ES"/>
        </w:rPr>
        <w:t xml:space="preserve">Si por causas atribuibles al beneficiario de las indemnizaciones o a sus derechohabientes no fuese posible el pago de las cantidades determinadas dentro del plazo indicado, el Estado consignará dichos montos a su favor en una cuenta o certificado de depósito en una institución financiera chilena solvente, en dólares de los Estados Unidos de América, y en las condiciones financieras más favorables que permitan la legislación y la práctica bancaria del Estado. Si no se reclama la indemnización correspondiente una vez transcurridos diez años, las cantidades serán devueltas al Estado con los intereses devengados. </w:t>
      </w:r>
    </w:p>
    <w:p w14:paraId="7DDDFB1E" w14:textId="77777777" w:rsidR="00C079F5" w:rsidRPr="006B2A4D" w:rsidRDefault="00C079F5" w:rsidP="00C079F5">
      <w:pPr>
        <w:widowControl w:val="0"/>
        <w:tabs>
          <w:tab w:val="left" w:pos="567"/>
          <w:tab w:val="num" w:pos="1569"/>
          <w:tab w:val="num" w:pos="12305"/>
        </w:tabs>
        <w:adjustRightInd w:val="0"/>
        <w:textAlignment w:val="baseline"/>
        <w:rPr>
          <w:rFonts w:eastAsia="Calibri"/>
          <w:sz w:val="20"/>
          <w:szCs w:val="20"/>
          <w:lang w:eastAsia="es-ES"/>
        </w:rPr>
      </w:pPr>
    </w:p>
    <w:p w14:paraId="47F79AEC" w14:textId="77777777" w:rsidR="006B2A4D" w:rsidRDefault="006B2A4D" w:rsidP="00C079F5">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eastAsia="es-ES"/>
        </w:rPr>
      </w:pPr>
      <w:r w:rsidRPr="006B2A4D">
        <w:rPr>
          <w:rFonts w:eastAsia="Calibri"/>
          <w:sz w:val="20"/>
          <w:szCs w:val="20"/>
          <w:lang w:eastAsia="es-ES"/>
        </w:rPr>
        <w:t xml:space="preserve">Las cantidades asignadas en la presente Sentencia como indemnización por daño inmaterial, y como reintegro de costas y gastos deberán ser entregadas a las personas indicadas en forma íntegra, conforme a lo establecido en este Fallo, sin reducciones derivadas de eventuales cargas fiscales. </w:t>
      </w:r>
    </w:p>
    <w:p w14:paraId="00FF253B" w14:textId="77777777" w:rsidR="00C079F5" w:rsidRPr="006B2A4D" w:rsidRDefault="00C079F5" w:rsidP="00C079F5">
      <w:pPr>
        <w:widowControl w:val="0"/>
        <w:tabs>
          <w:tab w:val="left" w:pos="567"/>
          <w:tab w:val="num" w:pos="1569"/>
          <w:tab w:val="num" w:pos="12305"/>
        </w:tabs>
        <w:adjustRightInd w:val="0"/>
        <w:textAlignment w:val="baseline"/>
        <w:rPr>
          <w:rFonts w:eastAsia="Calibri"/>
          <w:sz w:val="20"/>
          <w:szCs w:val="20"/>
          <w:lang w:eastAsia="es-ES"/>
        </w:rPr>
      </w:pPr>
    </w:p>
    <w:p w14:paraId="57440593" w14:textId="77777777" w:rsidR="006B2A4D" w:rsidRPr="002A64C9" w:rsidRDefault="006B2A4D" w:rsidP="006B2A4D">
      <w:pPr>
        <w:widowControl w:val="0"/>
        <w:numPr>
          <w:ilvl w:val="0"/>
          <w:numId w:val="2"/>
        </w:numPr>
        <w:tabs>
          <w:tab w:val="left" w:pos="567"/>
          <w:tab w:val="num" w:pos="709"/>
          <w:tab w:val="num" w:pos="1569"/>
          <w:tab w:val="num" w:pos="12305"/>
        </w:tabs>
        <w:adjustRightInd w:val="0"/>
        <w:ind w:left="0" w:firstLine="0"/>
        <w:textAlignment w:val="baseline"/>
        <w:rPr>
          <w:rFonts w:eastAsia="Calibri"/>
          <w:sz w:val="20"/>
          <w:szCs w:val="20"/>
          <w:lang w:val="es-ES" w:eastAsia="es-ES"/>
        </w:rPr>
      </w:pPr>
      <w:r w:rsidRPr="006B2A4D">
        <w:rPr>
          <w:rFonts w:eastAsia="Calibri"/>
          <w:spacing w:val="-2"/>
          <w:sz w:val="20"/>
          <w:szCs w:val="20"/>
          <w:lang w:val="es-ES" w:eastAsia="es-ES"/>
        </w:rPr>
        <w:t>En caso de que el Estado incurriera en mora</w:t>
      </w:r>
      <w:r w:rsidRPr="006B2A4D">
        <w:rPr>
          <w:rFonts w:eastAsia="Calibri" w:cs="Verdana"/>
          <w:spacing w:val="-2"/>
          <w:sz w:val="20"/>
          <w:szCs w:val="20"/>
          <w:lang w:val="es-ES" w:eastAsia="es-ES"/>
        </w:rPr>
        <w:t>, incluyendo en el reintegro de los gastos al Fondo de Asistencia Legal de Víctimas</w:t>
      </w:r>
      <w:r w:rsidRPr="006B2A4D">
        <w:rPr>
          <w:rFonts w:eastAsia="Calibri"/>
          <w:spacing w:val="-2"/>
          <w:sz w:val="20"/>
          <w:szCs w:val="20"/>
          <w:lang w:val="es-ES" w:eastAsia="es-ES"/>
        </w:rPr>
        <w:t>, deberá pagar un interés sobre la cantidad adeudada, correspondiente al interés bancario moratorio en la República de Chile.</w:t>
      </w:r>
    </w:p>
    <w:p w14:paraId="50FD59F8" w14:textId="4A5871AD" w:rsidR="002A64C9" w:rsidRPr="002A64C9" w:rsidRDefault="002A64C9" w:rsidP="002A64C9">
      <w:pPr>
        <w:widowControl w:val="0"/>
        <w:tabs>
          <w:tab w:val="left" w:pos="567"/>
          <w:tab w:val="num" w:pos="12305"/>
        </w:tabs>
        <w:adjustRightInd w:val="0"/>
        <w:textAlignment w:val="baseline"/>
        <w:rPr>
          <w:rFonts w:eastAsia="Calibri"/>
          <w:spacing w:val="-2"/>
          <w:sz w:val="20"/>
          <w:szCs w:val="20"/>
          <w:lang w:val="es-ES" w:eastAsia="es-ES"/>
        </w:rPr>
      </w:pPr>
    </w:p>
    <w:p w14:paraId="08667CEC" w14:textId="77777777" w:rsidR="008A113A" w:rsidRDefault="008A113A" w:rsidP="00641CEB">
      <w:pPr>
        <w:pStyle w:val="Title"/>
      </w:pPr>
      <w:bookmarkStart w:id="138" w:name="_Toc513644501"/>
    </w:p>
    <w:p w14:paraId="5ED31A10" w14:textId="77777777" w:rsidR="008A113A" w:rsidRDefault="008A113A" w:rsidP="00641CEB">
      <w:pPr>
        <w:pStyle w:val="Title"/>
      </w:pPr>
    </w:p>
    <w:p w14:paraId="639BB7B8" w14:textId="77777777" w:rsidR="008A113A" w:rsidRDefault="008A113A" w:rsidP="00641CEB">
      <w:pPr>
        <w:pStyle w:val="Title"/>
      </w:pPr>
    </w:p>
    <w:p w14:paraId="67E3FADD" w14:textId="77777777" w:rsidR="008A113A" w:rsidRDefault="008A113A" w:rsidP="00641CEB">
      <w:pPr>
        <w:pStyle w:val="Title"/>
      </w:pPr>
    </w:p>
    <w:p w14:paraId="1C82C32D" w14:textId="77777777" w:rsidR="00A07555" w:rsidRPr="00641CEB" w:rsidRDefault="00A07555" w:rsidP="00641CEB">
      <w:pPr>
        <w:pStyle w:val="Title"/>
      </w:pPr>
      <w:r w:rsidRPr="00641CEB">
        <w:lastRenderedPageBreak/>
        <w:t>IX</w:t>
      </w:r>
      <w:bookmarkEnd w:id="138"/>
    </w:p>
    <w:p w14:paraId="5F866585" w14:textId="77777777" w:rsidR="00A07555" w:rsidRPr="00641CEB" w:rsidRDefault="00A07555" w:rsidP="00641CEB">
      <w:pPr>
        <w:pStyle w:val="Title"/>
      </w:pPr>
      <w:bookmarkStart w:id="139" w:name="_Toc513644502"/>
      <w:r w:rsidRPr="00641CEB">
        <w:t>PUNTOS RESOLUTIVOS</w:t>
      </w:r>
      <w:bookmarkEnd w:id="139"/>
    </w:p>
    <w:p w14:paraId="41F186CB" w14:textId="77777777" w:rsidR="00A07555" w:rsidRPr="0029137A" w:rsidRDefault="00A07555" w:rsidP="00A07555">
      <w:pPr>
        <w:pStyle w:val="Prrafodelista2"/>
        <w:tabs>
          <w:tab w:val="left" w:pos="0"/>
          <w:tab w:val="num" w:pos="12305"/>
        </w:tabs>
        <w:ind w:left="0" w:right="-90"/>
        <w:jc w:val="both"/>
      </w:pPr>
      <w:r w:rsidRPr="0029137A">
        <w:t xml:space="preserve">Por tanto, </w:t>
      </w:r>
    </w:p>
    <w:p w14:paraId="69CCEDAA" w14:textId="77777777" w:rsidR="00A07555" w:rsidRDefault="00A07555" w:rsidP="00A07555">
      <w:pPr>
        <w:pStyle w:val="Prrafodelista2"/>
        <w:tabs>
          <w:tab w:val="left" w:pos="720"/>
        </w:tabs>
        <w:ind w:left="0" w:right="-90"/>
        <w:contextualSpacing/>
        <w:rPr>
          <w:rFonts w:asciiTheme="minorHAnsi" w:eastAsiaTheme="minorHAnsi" w:hAnsiTheme="minorHAnsi" w:cstheme="minorBidi"/>
          <w:sz w:val="22"/>
          <w:szCs w:val="22"/>
          <w:lang w:bidi="ar-SA"/>
        </w:rPr>
      </w:pPr>
    </w:p>
    <w:p w14:paraId="75C67D61" w14:textId="77777777" w:rsidR="00A07555" w:rsidRPr="0029137A" w:rsidRDefault="00A07555" w:rsidP="00A07555">
      <w:pPr>
        <w:pStyle w:val="Prrafodelista2"/>
        <w:tabs>
          <w:tab w:val="left" w:pos="720"/>
        </w:tabs>
        <w:ind w:left="0" w:right="-90"/>
        <w:contextualSpacing/>
        <w:rPr>
          <w:b/>
          <w:bCs/>
        </w:rPr>
      </w:pPr>
      <w:r w:rsidRPr="0029137A">
        <w:rPr>
          <w:b/>
          <w:bCs/>
        </w:rPr>
        <w:t xml:space="preserve">LA CORTE </w:t>
      </w:r>
    </w:p>
    <w:p w14:paraId="5AC4DE49" w14:textId="77777777" w:rsidR="00A07555" w:rsidRPr="0029137A" w:rsidRDefault="00A07555" w:rsidP="00A07555">
      <w:pPr>
        <w:pStyle w:val="Prrafodelista2"/>
        <w:tabs>
          <w:tab w:val="left" w:pos="720"/>
        </w:tabs>
        <w:ind w:left="0" w:right="-90"/>
        <w:contextualSpacing/>
        <w:rPr>
          <w:b/>
          <w:bCs/>
        </w:rPr>
      </w:pPr>
    </w:p>
    <w:p w14:paraId="4D906D83" w14:textId="77777777" w:rsidR="00A07555" w:rsidRDefault="00A07555" w:rsidP="00A07555">
      <w:pPr>
        <w:pStyle w:val="Prrafodelista2"/>
        <w:tabs>
          <w:tab w:val="left" w:pos="720"/>
        </w:tabs>
        <w:ind w:left="0" w:right="-90"/>
        <w:contextualSpacing/>
        <w:rPr>
          <w:b/>
          <w:bCs/>
        </w:rPr>
      </w:pPr>
      <w:r w:rsidRPr="0029137A">
        <w:rPr>
          <w:b/>
          <w:bCs/>
        </w:rPr>
        <w:t xml:space="preserve">DECIDE, </w:t>
      </w:r>
    </w:p>
    <w:p w14:paraId="1287284B" w14:textId="77777777" w:rsidR="00E32C76" w:rsidRDefault="00E32C76" w:rsidP="00E32C76">
      <w:pPr>
        <w:pStyle w:val="Prrafodelista2"/>
        <w:ind w:left="0" w:right="-90"/>
        <w:contextualSpacing/>
      </w:pPr>
    </w:p>
    <w:p w14:paraId="7707474C" w14:textId="64C03619" w:rsidR="00E32C76" w:rsidRPr="00E32C76" w:rsidRDefault="00E32C76" w:rsidP="00E32C76">
      <w:pPr>
        <w:pStyle w:val="Prrafodelista2"/>
        <w:ind w:left="0" w:right="-90"/>
        <w:contextualSpacing/>
      </w:pPr>
      <w:r>
        <w:t>Por unanimidad</w:t>
      </w:r>
      <w:r w:rsidRPr="0029137A">
        <w:t>, que:</w:t>
      </w:r>
    </w:p>
    <w:p w14:paraId="38C61002" w14:textId="77777777" w:rsidR="00A07555" w:rsidRPr="00067421" w:rsidRDefault="00A07555" w:rsidP="00A07555">
      <w:pPr>
        <w:pStyle w:val="Prrafodelista2"/>
        <w:tabs>
          <w:tab w:val="left" w:pos="720"/>
        </w:tabs>
        <w:ind w:left="0" w:right="-90"/>
        <w:contextualSpacing/>
      </w:pPr>
      <w:r w:rsidRPr="0029137A">
        <w:t xml:space="preserve"> </w:t>
      </w:r>
    </w:p>
    <w:p w14:paraId="2160F944" w14:textId="1123154F" w:rsidR="00A07555" w:rsidRDefault="00A07555" w:rsidP="00A07555">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sidRPr="00AA691F">
        <w:rPr>
          <w:sz w:val="20"/>
          <w:szCs w:val="20"/>
          <w:lang w:val="es-MX"/>
        </w:rPr>
        <w:t xml:space="preserve"> Aceptar el reconocimiento parcial de responsabilidad internacional efectuado por el Estado, en los </w:t>
      </w:r>
      <w:r w:rsidR="0022762E">
        <w:rPr>
          <w:sz w:val="20"/>
          <w:szCs w:val="20"/>
          <w:lang w:val="es-MX"/>
        </w:rPr>
        <w:t xml:space="preserve">términos de los párrafos </w:t>
      </w:r>
      <w:r w:rsidR="00294152">
        <w:rPr>
          <w:sz w:val="20"/>
          <w:szCs w:val="20"/>
          <w:lang w:val="es-MX"/>
        </w:rPr>
        <w:t>25 a 34</w:t>
      </w:r>
      <w:r w:rsidRPr="00AA691F">
        <w:rPr>
          <w:sz w:val="20"/>
          <w:szCs w:val="20"/>
          <w:lang w:val="es-MX"/>
        </w:rPr>
        <w:t xml:space="preserve"> de la presente Sentencia.</w:t>
      </w:r>
    </w:p>
    <w:p w14:paraId="204765B2" w14:textId="77777777" w:rsidR="00A07555" w:rsidRPr="00AA691F" w:rsidRDefault="00A07555" w:rsidP="00A07555">
      <w:pPr>
        <w:pStyle w:val="ListParagraph"/>
        <w:widowControl w:val="0"/>
        <w:tabs>
          <w:tab w:val="center" w:pos="567"/>
        </w:tabs>
        <w:autoSpaceDE w:val="0"/>
        <w:autoSpaceDN w:val="0"/>
        <w:adjustRightInd w:val="0"/>
        <w:ind w:left="0" w:right="-90"/>
        <w:rPr>
          <w:sz w:val="20"/>
          <w:szCs w:val="20"/>
          <w:lang w:val="es-MX"/>
        </w:rPr>
      </w:pPr>
    </w:p>
    <w:p w14:paraId="6E1515C8" w14:textId="77777777" w:rsidR="00A07555" w:rsidRPr="0029137A" w:rsidRDefault="00A07555" w:rsidP="00A07555">
      <w:pPr>
        <w:pStyle w:val="Prrafodelista2"/>
        <w:tabs>
          <w:tab w:val="left" w:pos="720"/>
        </w:tabs>
        <w:ind w:left="0" w:right="-90"/>
        <w:contextualSpacing/>
        <w:rPr>
          <w:b/>
          <w:bCs/>
        </w:rPr>
      </w:pPr>
      <w:r w:rsidRPr="0029137A">
        <w:rPr>
          <w:b/>
          <w:bCs/>
        </w:rPr>
        <w:t xml:space="preserve">DECLARA: </w:t>
      </w:r>
    </w:p>
    <w:p w14:paraId="39F19BBC" w14:textId="77777777" w:rsidR="00A07555" w:rsidRDefault="00A07555" w:rsidP="00A07555">
      <w:pPr>
        <w:pStyle w:val="ListParagraph"/>
        <w:widowControl w:val="0"/>
        <w:tabs>
          <w:tab w:val="center" w:pos="567"/>
        </w:tabs>
        <w:autoSpaceDE w:val="0"/>
        <w:autoSpaceDN w:val="0"/>
        <w:adjustRightInd w:val="0"/>
        <w:ind w:left="0" w:right="-90"/>
        <w:rPr>
          <w:sz w:val="20"/>
          <w:szCs w:val="20"/>
          <w:lang w:val="es-MX"/>
        </w:rPr>
      </w:pPr>
    </w:p>
    <w:p w14:paraId="1E013F84" w14:textId="77777777" w:rsidR="00E32C76" w:rsidRPr="00E32C76" w:rsidRDefault="00E32C76" w:rsidP="00E32C76">
      <w:pPr>
        <w:pStyle w:val="Prrafodelista2"/>
        <w:ind w:left="0" w:right="-90"/>
        <w:contextualSpacing/>
      </w:pPr>
      <w:r>
        <w:t>Por unanimidad</w:t>
      </w:r>
      <w:r w:rsidRPr="0029137A">
        <w:t>, que:</w:t>
      </w:r>
    </w:p>
    <w:p w14:paraId="070CB820" w14:textId="77777777" w:rsidR="00E32C76" w:rsidRPr="00BF545D" w:rsidRDefault="00E32C76" w:rsidP="00A07555">
      <w:pPr>
        <w:pStyle w:val="ListParagraph"/>
        <w:widowControl w:val="0"/>
        <w:tabs>
          <w:tab w:val="center" w:pos="567"/>
        </w:tabs>
        <w:autoSpaceDE w:val="0"/>
        <w:autoSpaceDN w:val="0"/>
        <w:adjustRightInd w:val="0"/>
        <w:ind w:left="0" w:right="-90"/>
        <w:rPr>
          <w:sz w:val="20"/>
          <w:szCs w:val="20"/>
          <w:lang w:val="es-MX"/>
        </w:rPr>
      </w:pPr>
    </w:p>
    <w:p w14:paraId="04F03B5D" w14:textId="78E053C4" w:rsidR="00A07555" w:rsidRPr="0029137A" w:rsidRDefault="00A07555" w:rsidP="00A07555">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sidRPr="0029137A">
        <w:rPr>
          <w:sz w:val="20"/>
          <w:szCs w:val="20"/>
          <w:lang w:val="es-MX"/>
        </w:rPr>
        <w:t>El Estado es re</w:t>
      </w:r>
      <w:r>
        <w:rPr>
          <w:sz w:val="20"/>
          <w:szCs w:val="20"/>
          <w:lang w:val="es-MX"/>
        </w:rPr>
        <w:t xml:space="preserve">sponsable por la violación del </w:t>
      </w:r>
      <w:r>
        <w:rPr>
          <w:sz w:val="20"/>
          <w:szCs w:val="20"/>
          <w:lang w:val="es-AR"/>
        </w:rPr>
        <w:t>derecho a la salud</w:t>
      </w:r>
      <w:r>
        <w:rPr>
          <w:sz w:val="20"/>
          <w:szCs w:val="20"/>
          <w:lang w:val="es-MX"/>
        </w:rPr>
        <w:t xml:space="preserve">, </w:t>
      </w:r>
      <w:r w:rsidR="003437A0">
        <w:rPr>
          <w:sz w:val="20"/>
          <w:szCs w:val="20"/>
          <w:lang w:val="es-MX"/>
        </w:rPr>
        <w:t xml:space="preserve">de conformidad con </w:t>
      </w:r>
      <w:r>
        <w:rPr>
          <w:sz w:val="20"/>
          <w:szCs w:val="20"/>
          <w:lang w:val="es-MX"/>
        </w:rPr>
        <w:t>el artículo 26</w:t>
      </w:r>
      <w:r w:rsidRPr="0029137A">
        <w:rPr>
          <w:sz w:val="20"/>
          <w:szCs w:val="20"/>
          <w:lang w:val="es-MX"/>
        </w:rPr>
        <w:t xml:space="preserve"> de la Convención Americana, en relación con el artículo 1.1 de la misma, en perjuicio del señor</w:t>
      </w:r>
      <w:r>
        <w:rPr>
          <w:sz w:val="20"/>
          <w:szCs w:val="20"/>
          <w:lang w:val="es-MX"/>
        </w:rPr>
        <w:t xml:space="preserve"> </w:t>
      </w:r>
      <w:r w:rsidR="00460FE6">
        <w:rPr>
          <w:sz w:val="20"/>
          <w:szCs w:val="20"/>
          <w:lang w:val="es-MX"/>
        </w:rPr>
        <w:t xml:space="preserve">Vinicio </w:t>
      </w:r>
      <w:r>
        <w:rPr>
          <w:sz w:val="20"/>
          <w:szCs w:val="20"/>
          <w:lang w:val="es-MX"/>
        </w:rPr>
        <w:t>Poblete Vilches</w:t>
      </w:r>
      <w:r w:rsidRPr="0029137A">
        <w:rPr>
          <w:sz w:val="20"/>
          <w:szCs w:val="20"/>
          <w:lang w:val="es-MX"/>
        </w:rPr>
        <w:t>, en</w:t>
      </w:r>
      <w:r>
        <w:rPr>
          <w:sz w:val="20"/>
          <w:szCs w:val="20"/>
          <w:lang w:val="es-MX"/>
        </w:rPr>
        <w:t xml:space="preserve"> </w:t>
      </w:r>
      <w:r w:rsidR="0022762E">
        <w:rPr>
          <w:sz w:val="20"/>
          <w:szCs w:val="20"/>
          <w:lang w:val="es-MX"/>
        </w:rPr>
        <w:t xml:space="preserve">los términos de los párrafos </w:t>
      </w:r>
      <w:r w:rsidR="00294152">
        <w:rPr>
          <w:sz w:val="20"/>
          <w:szCs w:val="20"/>
          <w:lang w:val="es-MX"/>
        </w:rPr>
        <w:t>99 a 143 y 174 a 176</w:t>
      </w:r>
      <w:r w:rsidR="0022762E">
        <w:rPr>
          <w:sz w:val="20"/>
          <w:szCs w:val="20"/>
          <w:lang w:val="es-MX"/>
        </w:rPr>
        <w:t xml:space="preserve"> </w:t>
      </w:r>
      <w:r w:rsidRPr="0029137A">
        <w:rPr>
          <w:sz w:val="20"/>
          <w:szCs w:val="20"/>
          <w:lang w:val="es-MX"/>
        </w:rPr>
        <w:t>de la presente Sentencia.</w:t>
      </w:r>
    </w:p>
    <w:p w14:paraId="0F221DE1" w14:textId="77777777" w:rsidR="00A07555" w:rsidRPr="00BF545D" w:rsidRDefault="00A07555" w:rsidP="00A07555">
      <w:pPr>
        <w:pStyle w:val="ListParagraph"/>
        <w:widowControl w:val="0"/>
        <w:tabs>
          <w:tab w:val="center" w:pos="567"/>
        </w:tabs>
        <w:autoSpaceDE w:val="0"/>
        <w:autoSpaceDN w:val="0"/>
        <w:adjustRightInd w:val="0"/>
        <w:ind w:left="0" w:right="-90"/>
        <w:rPr>
          <w:sz w:val="20"/>
          <w:szCs w:val="20"/>
          <w:lang w:val="es-MX"/>
        </w:rPr>
      </w:pPr>
    </w:p>
    <w:p w14:paraId="2AE0F1F8" w14:textId="347F06EA" w:rsidR="00A07555" w:rsidRPr="0029137A" w:rsidRDefault="00A07555" w:rsidP="00A07555">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sidRPr="0029137A">
        <w:rPr>
          <w:sz w:val="20"/>
          <w:szCs w:val="20"/>
          <w:lang w:val="es-MX"/>
        </w:rPr>
        <w:t xml:space="preserve">El Estado es responsable por la violación </w:t>
      </w:r>
      <w:r>
        <w:rPr>
          <w:sz w:val="20"/>
          <w:szCs w:val="20"/>
          <w:lang w:val="es-MX"/>
        </w:rPr>
        <w:t>del</w:t>
      </w:r>
      <w:r w:rsidRPr="0029137A">
        <w:rPr>
          <w:sz w:val="20"/>
          <w:szCs w:val="20"/>
          <w:lang w:val="es-MX"/>
        </w:rPr>
        <w:t xml:space="preserve"> derecho a la</w:t>
      </w:r>
      <w:r>
        <w:rPr>
          <w:sz w:val="20"/>
          <w:szCs w:val="20"/>
          <w:lang w:val="es-MX"/>
        </w:rPr>
        <w:t xml:space="preserve"> vida</w:t>
      </w:r>
      <w:r w:rsidRPr="0029137A">
        <w:rPr>
          <w:sz w:val="20"/>
          <w:szCs w:val="20"/>
          <w:lang w:val="es-MX"/>
        </w:rPr>
        <w:t>, reconocid</w:t>
      </w:r>
      <w:r>
        <w:rPr>
          <w:sz w:val="20"/>
          <w:szCs w:val="20"/>
          <w:lang w:val="es-MX"/>
        </w:rPr>
        <w:t>o en el artículo 4</w:t>
      </w:r>
      <w:r w:rsidRPr="0029137A">
        <w:rPr>
          <w:sz w:val="20"/>
          <w:szCs w:val="20"/>
          <w:lang w:val="es-MX"/>
        </w:rPr>
        <w:t xml:space="preserve"> de la Convención Americana, e</w:t>
      </w:r>
      <w:r>
        <w:rPr>
          <w:sz w:val="20"/>
          <w:szCs w:val="20"/>
          <w:lang w:val="es-MX"/>
        </w:rPr>
        <w:t>n relación con los artículos 26 y 1.1</w:t>
      </w:r>
      <w:r w:rsidRPr="0029137A">
        <w:rPr>
          <w:sz w:val="20"/>
          <w:szCs w:val="20"/>
          <w:lang w:val="es-MX"/>
        </w:rPr>
        <w:t xml:space="preserve"> de la misma, en per</w:t>
      </w:r>
      <w:r>
        <w:rPr>
          <w:sz w:val="20"/>
          <w:szCs w:val="20"/>
          <w:lang w:val="es-MX"/>
        </w:rPr>
        <w:t xml:space="preserve">juicio del señor </w:t>
      </w:r>
      <w:r w:rsidR="00460FE6">
        <w:rPr>
          <w:sz w:val="20"/>
          <w:szCs w:val="20"/>
          <w:lang w:val="es-MX"/>
        </w:rPr>
        <w:t xml:space="preserve">Vinicio </w:t>
      </w:r>
      <w:r>
        <w:rPr>
          <w:sz w:val="20"/>
          <w:szCs w:val="20"/>
          <w:lang w:val="es-MX"/>
        </w:rPr>
        <w:t>Poblete Vilches</w:t>
      </w:r>
      <w:r w:rsidRPr="0029137A">
        <w:rPr>
          <w:sz w:val="20"/>
          <w:szCs w:val="20"/>
          <w:lang w:val="es-MX"/>
        </w:rPr>
        <w:t xml:space="preserve">, en </w:t>
      </w:r>
      <w:r w:rsidR="0022762E">
        <w:rPr>
          <w:sz w:val="20"/>
          <w:szCs w:val="20"/>
          <w:lang w:val="es-MX"/>
        </w:rPr>
        <w:t xml:space="preserve">los términos de los párrafos </w:t>
      </w:r>
      <w:r w:rsidR="00294152">
        <w:rPr>
          <w:sz w:val="20"/>
          <w:szCs w:val="20"/>
          <w:lang w:val="es-MX"/>
        </w:rPr>
        <w:t>144</w:t>
      </w:r>
      <w:r>
        <w:rPr>
          <w:sz w:val="20"/>
          <w:szCs w:val="20"/>
          <w:lang w:val="es-MX"/>
        </w:rPr>
        <w:t xml:space="preserve"> a </w:t>
      </w:r>
      <w:r w:rsidR="00294152">
        <w:rPr>
          <w:sz w:val="20"/>
          <w:szCs w:val="20"/>
          <w:lang w:val="es-MX"/>
        </w:rPr>
        <w:t>151 y 174 a 176</w:t>
      </w:r>
      <w:r>
        <w:rPr>
          <w:sz w:val="20"/>
          <w:szCs w:val="20"/>
          <w:lang w:val="es-MX"/>
        </w:rPr>
        <w:t xml:space="preserve"> </w:t>
      </w:r>
      <w:r w:rsidRPr="0029137A">
        <w:rPr>
          <w:sz w:val="20"/>
          <w:szCs w:val="20"/>
          <w:lang w:val="es-MX"/>
        </w:rPr>
        <w:t>de la presente Sentencia.</w:t>
      </w:r>
    </w:p>
    <w:p w14:paraId="12AF7789" w14:textId="77777777" w:rsidR="00A07555" w:rsidRPr="00BF545D" w:rsidRDefault="00A07555" w:rsidP="00A07555">
      <w:pPr>
        <w:pStyle w:val="ListParagraph"/>
        <w:widowControl w:val="0"/>
        <w:tabs>
          <w:tab w:val="center" w:pos="567"/>
        </w:tabs>
        <w:autoSpaceDE w:val="0"/>
        <w:autoSpaceDN w:val="0"/>
        <w:adjustRightInd w:val="0"/>
        <w:ind w:left="0" w:right="-90"/>
        <w:rPr>
          <w:sz w:val="20"/>
          <w:szCs w:val="20"/>
          <w:lang w:val="es-MX"/>
        </w:rPr>
      </w:pPr>
    </w:p>
    <w:p w14:paraId="740ADAF3" w14:textId="0E8CD043" w:rsidR="00F377B4" w:rsidRPr="007E5CD5" w:rsidRDefault="00F377B4" w:rsidP="00F377B4">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sidRPr="007E5CD5">
        <w:rPr>
          <w:sz w:val="20"/>
          <w:szCs w:val="20"/>
          <w:lang w:val="es-MX"/>
        </w:rPr>
        <w:t xml:space="preserve">El Estado es responsable por la violación del derecho a la integridad personal, reconocido en el artículo 5 de la Convención Americana, en relación con los artículos 26 y 1.1 de la misma, en perjuicio del señor </w:t>
      </w:r>
      <w:r w:rsidR="00460FE6" w:rsidRPr="00867138">
        <w:rPr>
          <w:sz w:val="20"/>
          <w:szCs w:val="20"/>
          <w:lang w:val="es-MX"/>
        </w:rPr>
        <w:t>Vinicio</w:t>
      </w:r>
      <w:r w:rsidR="00460FE6" w:rsidRPr="007E5CD5">
        <w:rPr>
          <w:sz w:val="20"/>
          <w:szCs w:val="20"/>
          <w:lang w:val="es-MX"/>
        </w:rPr>
        <w:t xml:space="preserve"> </w:t>
      </w:r>
      <w:r w:rsidRPr="007E5CD5">
        <w:rPr>
          <w:sz w:val="20"/>
          <w:szCs w:val="20"/>
          <w:lang w:val="es-MX"/>
        </w:rPr>
        <w:t xml:space="preserve">Poblete Vilches, en los términos de los párrafos </w:t>
      </w:r>
      <w:r w:rsidR="00294152">
        <w:rPr>
          <w:sz w:val="20"/>
          <w:szCs w:val="20"/>
          <w:lang w:val="es-MX"/>
        </w:rPr>
        <w:t>158</w:t>
      </w:r>
      <w:r w:rsidRPr="007E5CD5">
        <w:rPr>
          <w:sz w:val="20"/>
          <w:szCs w:val="20"/>
          <w:lang w:val="es-MX"/>
        </w:rPr>
        <w:t xml:space="preserve"> a </w:t>
      </w:r>
      <w:r w:rsidR="00294152">
        <w:rPr>
          <w:sz w:val="20"/>
          <w:szCs w:val="20"/>
          <w:lang w:val="es-MX"/>
        </w:rPr>
        <w:t>160 y 174 a 176</w:t>
      </w:r>
      <w:r w:rsidRPr="007E5CD5">
        <w:rPr>
          <w:sz w:val="20"/>
          <w:szCs w:val="20"/>
          <w:lang w:val="es-MX"/>
        </w:rPr>
        <w:t xml:space="preserve"> de la presente Sentencia.</w:t>
      </w:r>
    </w:p>
    <w:p w14:paraId="1DB68162" w14:textId="77777777" w:rsidR="00F377B4" w:rsidRPr="00BF545D" w:rsidRDefault="00F377B4" w:rsidP="00A07555">
      <w:pPr>
        <w:pStyle w:val="ListParagraph"/>
        <w:widowControl w:val="0"/>
        <w:tabs>
          <w:tab w:val="center" w:pos="567"/>
        </w:tabs>
        <w:autoSpaceDE w:val="0"/>
        <w:autoSpaceDN w:val="0"/>
        <w:adjustRightInd w:val="0"/>
        <w:ind w:left="0" w:right="-90"/>
        <w:rPr>
          <w:sz w:val="20"/>
          <w:szCs w:val="20"/>
          <w:lang w:val="es-MX"/>
        </w:rPr>
      </w:pPr>
    </w:p>
    <w:p w14:paraId="70897E56" w14:textId="6D95538C" w:rsidR="00A07555" w:rsidRDefault="00A07555" w:rsidP="00A07555">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sidRPr="0029137A">
        <w:rPr>
          <w:sz w:val="20"/>
          <w:szCs w:val="20"/>
          <w:lang w:val="es-MX"/>
        </w:rPr>
        <w:t xml:space="preserve">El Estado es responsable por la violación </w:t>
      </w:r>
      <w:r>
        <w:rPr>
          <w:sz w:val="20"/>
          <w:szCs w:val="20"/>
          <w:lang w:val="es-MX"/>
        </w:rPr>
        <w:t>del</w:t>
      </w:r>
      <w:r w:rsidRPr="0029137A">
        <w:rPr>
          <w:sz w:val="20"/>
          <w:szCs w:val="20"/>
          <w:lang w:val="es-MX"/>
        </w:rPr>
        <w:t xml:space="preserve"> derecho</w:t>
      </w:r>
      <w:r>
        <w:rPr>
          <w:sz w:val="20"/>
          <w:szCs w:val="20"/>
          <w:lang w:val="es-MX"/>
        </w:rPr>
        <w:t xml:space="preserve"> </w:t>
      </w:r>
      <w:r w:rsidRPr="002A2E31">
        <w:rPr>
          <w:sz w:val="20"/>
          <w:szCs w:val="20"/>
          <w:lang w:val="es-MX"/>
        </w:rPr>
        <w:t xml:space="preserve">a obtener un consentimiento informado </w:t>
      </w:r>
      <w:r>
        <w:rPr>
          <w:sz w:val="20"/>
          <w:szCs w:val="20"/>
          <w:lang w:val="es-MX"/>
        </w:rPr>
        <w:t xml:space="preserve">y acceso a la información </w:t>
      </w:r>
      <w:r w:rsidRPr="002A2E31">
        <w:rPr>
          <w:sz w:val="20"/>
          <w:szCs w:val="20"/>
          <w:lang w:val="es-MX"/>
        </w:rPr>
        <w:t>en materia de salud</w:t>
      </w:r>
      <w:r>
        <w:rPr>
          <w:sz w:val="20"/>
          <w:szCs w:val="20"/>
          <w:lang w:val="es-MX"/>
        </w:rPr>
        <w:t xml:space="preserve">, </w:t>
      </w:r>
      <w:r w:rsidR="003437A0">
        <w:rPr>
          <w:sz w:val="20"/>
          <w:szCs w:val="20"/>
          <w:lang w:val="es-MX"/>
        </w:rPr>
        <w:t xml:space="preserve">de conformidad con los </w:t>
      </w:r>
      <w:r>
        <w:rPr>
          <w:sz w:val="20"/>
          <w:szCs w:val="20"/>
          <w:lang w:val="es-MX"/>
        </w:rPr>
        <w:t>artículos 26</w:t>
      </w:r>
      <w:r w:rsidR="00460FE6">
        <w:rPr>
          <w:sz w:val="20"/>
          <w:szCs w:val="20"/>
          <w:lang w:val="es-MX"/>
        </w:rPr>
        <w:t>,</w:t>
      </w:r>
      <w:r>
        <w:rPr>
          <w:sz w:val="20"/>
          <w:szCs w:val="20"/>
          <w:lang w:val="es-MX"/>
        </w:rPr>
        <w:t xml:space="preserve"> </w:t>
      </w:r>
      <w:r w:rsidRPr="007E5CD5">
        <w:rPr>
          <w:sz w:val="20"/>
          <w:lang w:val="es-MX"/>
        </w:rPr>
        <w:t>13</w:t>
      </w:r>
      <w:r w:rsidR="002C4EDE" w:rsidRPr="007E5CD5">
        <w:rPr>
          <w:sz w:val="20"/>
          <w:szCs w:val="20"/>
          <w:lang w:val="es-MX"/>
        </w:rPr>
        <w:t>, 7 y 11</w:t>
      </w:r>
      <w:r w:rsidR="00F377B4" w:rsidRPr="00AB1E03">
        <w:rPr>
          <w:b/>
          <w:sz w:val="20"/>
          <w:szCs w:val="20"/>
          <w:lang w:val="es-MX"/>
        </w:rPr>
        <w:t xml:space="preserve"> </w:t>
      </w:r>
      <w:r w:rsidRPr="0029137A">
        <w:rPr>
          <w:sz w:val="20"/>
          <w:szCs w:val="20"/>
          <w:lang w:val="es-MX"/>
        </w:rPr>
        <w:t xml:space="preserve">de la Convención Americana, en </w:t>
      </w:r>
      <w:r>
        <w:rPr>
          <w:sz w:val="20"/>
          <w:szCs w:val="20"/>
          <w:lang w:val="es-MX"/>
        </w:rPr>
        <w:t xml:space="preserve">relación con el artículo 1.1 </w:t>
      </w:r>
      <w:r w:rsidRPr="0029137A">
        <w:rPr>
          <w:sz w:val="20"/>
          <w:szCs w:val="20"/>
          <w:lang w:val="es-MX"/>
        </w:rPr>
        <w:t>de la misma, en perjuicio del señor</w:t>
      </w:r>
      <w:r>
        <w:rPr>
          <w:sz w:val="20"/>
          <w:szCs w:val="20"/>
          <w:lang w:val="es-MX"/>
        </w:rPr>
        <w:t xml:space="preserve"> </w:t>
      </w:r>
      <w:r w:rsidR="00460FE6">
        <w:rPr>
          <w:sz w:val="20"/>
          <w:szCs w:val="20"/>
          <w:lang w:val="es-MX"/>
        </w:rPr>
        <w:t xml:space="preserve">Vinicio </w:t>
      </w:r>
      <w:r>
        <w:rPr>
          <w:sz w:val="20"/>
          <w:szCs w:val="20"/>
          <w:lang w:val="es-MX"/>
        </w:rPr>
        <w:t>Poblete Vilches y de sus familiares</w:t>
      </w:r>
      <w:r w:rsidRPr="0029137A">
        <w:rPr>
          <w:sz w:val="20"/>
          <w:szCs w:val="20"/>
          <w:lang w:val="es-MX"/>
        </w:rPr>
        <w:t>, en los términos de</w:t>
      </w:r>
      <w:r>
        <w:rPr>
          <w:sz w:val="20"/>
          <w:szCs w:val="20"/>
          <w:lang w:val="es-MX"/>
        </w:rPr>
        <w:t xml:space="preserve"> los párrafos </w:t>
      </w:r>
      <w:r w:rsidR="00294152">
        <w:rPr>
          <w:sz w:val="20"/>
          <w:szCs w:val="20"/>
          <w:lang w:val="es-MX"/>
        </w:rPr>
        <w:t>161</w:t>
      </w:r>
      <w:r>
        <w:rPr>
          <w:sz w:val="20"/>
          <w:szCs w:val="20"/>
          <w:lang w:val="es-MX"/>
        </w:rPr>
        <w:t xml:space="preserve"> a </w:t>
      </w:r>
      <w:r w:rsidR="00294152">
        <w:rPr>
          <w:sz w:val="20"/>
          <w:szCs w:val="20"/>
          <w:lang w:val="es-MX"/>
        </w:rPr>
        <w:t xml:space="preserve">173 y 174 a 176 </w:t>
      </w:r>
      <w:r w:rsidRPr="0029137A">
        <w:rPr>
          <w:sz w:val="20"/>
          <w:szCs w:val="20"/>
          <w:lang w:val="es-MX"/>
        </w:rPr>
        <w:t>de la presente Sentencia.</w:t>
      </w:r>
    </w:p>
    <w:p w14:paraId="65C09297" w14:textId="77777777" w:rsidR="00A07555" w:rsidRDefault="00A07555" w:rsidP="00A07555">
      <w:pPr>
        <w:pStyle w:val="ListParagraph"/>
        <w:widowControl w:val="0"/>
        <w:tabs>
          <w:tab w:val="center" w:pos="567"/>
        </w:tabs>
        <w:autoSpaceDE w:val="0"/>
        <w:autoSpaceDN w:val="0"/>
        <w:adjustRightInd w:val="0"/>
        <w:ind w:left="0" w:right="-90"/>
        <w:rPr>
          <w:sz w:val="20"/>
          <w:szCs w:val="20"/>
          <w:lang w:val="es-MX"/>
        </w:rPr>
      </w:pPr>
    </w:p>
    <w:p w14:paraId="27C49388" w14:textId="362BDD33" w:rsidR="00A07555" w:rsidRPr="002A64C9" w:rsidRDefault="00A07555" w:rsidP="00A07555">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sidRPr="0073302C">
        <w:rPr>
          <w:sz w:val="20"/>
          <w:szCs w:val="20"/>
          <w:lang w:val="es-MX"/>
        </w:rPr>
        <w:t xml:space="preserve">El Estado es responsable por la violación </w:t>
      </w:r>
      <w:r>
        <w:rPr>
          <w:sz w:val="20"/>
          <w:szCs w:val="20"/>
          <w:lang w:val="es-MX"/>
        </w:rPr>
        <w:t>de los</w:t>
      </w:r>
      <w:r w:rsidRPr="0073302C">
        <w:rPr>
          <w:sz w:val="20"/>
          <w:szCs w:val="20"/>
          <w:lang w:val="es-MX"/>
        </w:rPr>
        <w:t xml:space="preserve"> derecho</w:t>
      </w:r>
      <w:r>
        <w:rPr>
          <w:sz w:val="20"/>
          <w:szCs w:val="20"/>
          <w:lang w:val="es-MX"/>
        </w:rPr>
        <w:t>s</w:t>
      </w:r>
      <w:r w:rsidRPr="0073302C">
        <w:rPr>
          <w:sz w:val="20"/>
          <w:szCs w:val="20"/>
          <w:lang w:val="es-MX"/>
        </w:rPr>
        <w:t xml:space="preserve"> </w:t>
      </w:r>
      <w:r>
        <w:rPr>
          <w:sz w:val="20"/>
          <w:szCs w:val="20"/>
        </w:rPr>
        <w:t>a las garantías judiciales y protección judicial, reconocidos en los artículos</w:t>
      </w:r>
      <w:r w:rsidRPr="0073302C">
        <w:rPr>
          <w:sz w:val="20"/>
          <w:szCs w:val="20"/>
        </w:rPr>
        <w:t xml:space="preserve"> </w:t>
      </w:r>
      <w:r w:rsidRPr="0073302C">
        <w:rPr>
          <w:sz w:val="20"/>
          <w:szCs w:val="20"/>
          <w:lang w:val="es-AR"/>
        </w:rPr>
        <w:t>8.1 y 25.1 de la Convención</w:t>
      </w:r>
      <w:r>
        <w:rPr>
          <w:sz w:val="20"/>
          <w:szCs w:val="20"/>
          <w:lang w:val="es-AR"/>
        </w:rPr>
        <w:t xml:space="preserve"> Americana, en relación con el artículo 1.1 de la misma, en perjuicio de </w:t>
      </w:r>
      <w:r w:rsidR="006E671C">
        <w:rPr>
          <w:sz w:val="20"/>
          <w:szCs w:val="20"/>
          <w:lang w:val="es-AR"/>
        </w:rPr>
        <w:t xml:space="preserve">sus </w:t>
      </w:r>
      <w:r>
        <w:rPr>
          <w:sz w:val="20"/>
          <w:szCs w:val="20"/>
          <w:lang w:val="es-AR"/>
        </w:rPr>
        <w:t>familiares</w:t>
      </w:r>
      <w:r w:rsidR="006E671C" w:rsidRPr="006E671C">
        <w:rPr>
          <w:sz w:val="20"/>
          <w:szCs w:val="20"/>
          <w:lang w:val="es-MX"/>
        </w:rPr>
        <w:t xml:space="preserve"> </w:t>
      </w:r>
      <w:r w:rsidR="006E671C">
        <w:rPr>
          <w:sz w:val="20"/>
          <w:szCs w:val="20"/>
          <w:lang w:val="es-MX"/>
        </w:rPr>
        <w:t>Blanca Tapia Encina, Gonzalo</w:t>
      </w:r>
      <w:r w:rsidR="00460FE6">
        <w:rPr>
          <w:sz w:val="20"/>
          <w:szCs w:val="20"/>
          <w:lang w:val="es-MX"/>
        </w:rPr>
        <w:t xml:space="preserve"> Poblete Tapia</w:t>
      </w:r>
      <w:r w:rsidR="006E671C">
        <w:rPr>
          <w:sz w:val="20"/>
          <w:szCs w:val="20"/>
          <w:lang w:val="es-MX"/>
        </w:rPr>
        <w:t xml:space="preserve">, Vinicio Marco </w:t>
      </w:r>
      <w:r w:rsidR="00460FE6">
        <w:rPr>
          <w:sz w:val="20"/>
          <w:szCs w:val="20"/>
          <w:lang w:val="es-MX"/>
        </w:rPr>
        <w:t xml:space="preserve">Poblete Tapia </w:t>
      </w:r>
      <w:r w:rsidR="006E671C">
        <w:rPr>
          <w:sz w:val="20"/>
          <w:szCs w:val="20"/>
          <w:lang w:val="es-MX"/>
        </w:rPr>
        <w:t xml:space="preserve">y </w:t>
      </w:r>
      <w:proofErr w:type="spellStart"/>
      <w:r w:rsidR="006E671C">
        <w:rPr>
          <w:sz w:val="20"/>
          <w:szCs w:val="20"/>
          <w:lang w:val="es-MX"/>
        </w:rPr>
        <w:t>Cesia</w:t>
      </w:r>
      <w:proofErr w:type="spellEnd"/>
      <w:r w:rsidR="006E671C">
        <w:rPr>
          <w:sz w:val="20"/>
          <w:szCs w:val="20"/>
          <w:lang w:val="es-MX"/>
        </w:rPr>
        <w:t xml:space="preserve"> Poblete Tapia,</w:t>
      </w:r>
      <w:r>
        <w:rPr>
          <w:sz w:val="20"/>
          <w:szCs w:val="20"/>
          <w:lang w:val="es-AR"/>
        </w:rPr>
        <w:t xml:space="preserve"> en los términos de los párrafos </w:t>
      </w:r>
      <w:r w:rsidR="00294152">
        <w:rPr>
          <w:sz w:val="20"/>
          <w:szCs w:val="20"/>
          <w:lang w:val="es-AR"/>
        </w:rPr>
        <w:t>182</w:t>
      </w:r>
      <w:r>
        <w:rPr>
          <w:sz w:val="20"/>
          <w:szCs w:val="20"/>
          <w:lang w:val="es-AR"/>
        </w:rPr>
        <w:t xml:space="preserve"> a </w:t>
      </w:r>
      <w:r w:rsidR="00294152">
        <w:rPr>
          <w:sz w:val="20"/>
          <w:szCs w:val="20"/>
          <w:lang w:val="es-AR"/>
        </w:rPr>
        <w:t>193</w:t>
      </w:r>
      <w:r>
        <w:rPr>
          <w:sz w:val="20"/>
          <w:szCs w:val="20"/>
          <w:lang w:val="es-AR"/>
        </w:rPr>
        <w:t xml:space="preserve"> de la presente Sentencia.</w:t>
      </w:r>
    </w:p>
    <w:p w14:paraId="1D8B4431" w14:textId="77777777" w:rsidR="003437A0" w:rsidRPr="0029137A" w:rsidRDefault="003437A0" w:rsidP="002A64C9">
      <w:pPr>
        <w:pStyle w:val="ListParagraph"/>
        <w:widowControl w:val="0"/>
        <w:tabs>
          <w:tab w:val="center" w:pos="567"/>
        </w:tabs>
        <w:autoSpaceDE w:val="0"/>
        <w:autoSpaceDN w:val="0"/>
        <w:adjustRightInd w:val="0"/>
        <w:ind w:left="0" w:right="-90"/>
        <w:contextualSpacing/>
        <w:rPr>
          <w:sz w:val="20"/>
          <w:szCs w:val="20"/>
          <w:lang w:val="es-MX"/>
        </w:rPr>
      </w:pPr>
    </w:p>
    <w:p w14:paraId="6666F43A" w14:textId="6E2EBD31" w:rsidR="003437A0" w:rsidRPr="009D1266" w:rsidRDefault="003437A0" w:rsidP="003437A0">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sidRPr="009D1266">
        <w:rPr>
          <w:sz w:val="20"/>
          <w:szCs w:val="20"/>
          <w:lang w:val="es-MX"/>
        </w:rPr>
        <w:t>El Estado es responsable por la violación</w:t>
      </w:r>
      <w:r>
        <w:rPr>
          <w:sz w:val="20"/>
          <w:szCs w:val="20"/>
          <w:lang w:val="es-MX"/>
        </w:rPr>
        <w:t xml:space="preserve"> </w:t>
      </w:r>
      <w:r w:rsidR="00002BD1">
        <w:rPr>
          <w:sz w:val="20"/>
          <w:szCs w:val="20"/>
          <w:lang w:val="es-MX"/>
        </w:rPr>
        <w:t>a la integ</w:t>
      </w:r>
      <w:r w:rsidR="00AC78D0">
        <w:rPr>
          <w:sz w:val="20"/>
          <w:szCs w:val="20"/>
          <w:lang w:val="es-MX"/>
        </w:rPr>
        <w:t>r</w:t>
      </w:r>
      <w:r w:rsidR="00002BD1">
        <w:rPr>
          <w:sz w:val="20"/>
          <w:szCs w:val="20"/>
          <w:lang w:val="es-MX"/>
        </w:rPr>
        <w:t xml:space="preserve">idad personal, reconocida en </w:t>
      </w:r>
      <w:r>
        <w:rPr>
          <w:sz w:val="20"/>
          <w:szCs w:val="20"/>
          <w:lang w:val="es-MX"/>
        </w:rPr>
        <w:t xml:space="preserve">el artículo 5.1 de la Convención Americana, en perjuicio de </w:t>
      </w:r>
      <w:r w:rsidR="006E671C">
        <w:rPr>
          <w:sz w:val="20"/>
          <w:szCs w:val="20"/>
          <w:lang w:val="es-MX"/>
        </w:rPr>
        <w:t>sus</w:t>
      </w:r>
      <w:r>
        <w:rPr>
          <w:sz w:val="20"/>
          <w:szCs w:val="20"/>
          <w:lang w:val="es-MX"/>
        </w:rPr>
        <w:t xml:space="preserve"> familiares</w:t>
      </w:r>
      <w:r w:rsidR="00002BD1">
        <w:rPr>
          <w:sz w:val="20"/>
          <w:szCs w:val="20"/>
          <w:lang w:val="es-MX"/>
        </w:rPr>
        <w:t xml:space="preserve"> Blanca</w:t>
      </w:r>
      <w:r w:rsidR="006E671C">
        <w:rPr>
          <w:sz w:val="20"/>
          <w:szCs w:val="20"/>
          <w:lang w:val="es-MX"/>
        </w:rPr>
        <w:t xml:space="preserve"> Tapia Encina, Gonzalo</w:t>
      </w:r>
      <w:r w:rsidR="00460FE6">
        <w:rPr>
          <w:sz w:val="20"/>
          <w:szCs w:val="20"/>
          <w:lang w:val="es-MX"/>
        </w:rPr>
        <w:t xml:space="preserve"> Poblete Tapia</w:t>
      </w:r>
      <w:r w:rsidR="006E671C">
        <w:rPr>
          <w:sz w:val="20"/>
          <w:szCs w:val="20"/>
          <w:lang w:val="es-MX"/>
        </w:rPr>
        <w:t xml:space="preserve">, Vinicio Marco </w:t>
      </w:r>
      <w:r w:rsidR="00460FE6">
        <w:rPr>
          <w:sz w:val="20"/>
          <w:szCs w:val="20"/>
          <w:lang w:val="es-MX"/>
        </w:rPr>
        <w:t xml:space="preserve">Poblete Tapia </w:t>
      </w:r>
      <w:r w:rsidR="006E671C">
        <w:rPr>
          <w:sz w:val="20"/>
          <w:szCs w:val="20"/>
          <w:lang w:val="es-MX"/>
        </w:rPr>
        <w:t xml:space="preserve">y </w:t>
      </w:r>
      <w:proofErr w:type="spellStart"/>
      <w:r w:rsidR="006E671C">
        <w:rPr>
          <w:sz w:val="20"/>
          <w:szCs w:val="20"/>
          <w:lang w:val="es-MX"/>
        </w:rPr>
        <w:t>Cesia</w:t>
      </w:r>
      <w:proofErr w:type="spellEnd"/>
      <w:r w:rsidR="006E671C">
        <w:rPr>
          <w:sz w:val="20"/>
          <w:szCs w:val="20"/>
          <w:lang w:val="es-MX"/>
        </w:rPr>
        <w:t xml:space="preserve"> Poblete Tapia</w:t>
      </w:r>
      <w:r w:rsidR="00294152">
        <w:rPr>
          <w:sz w:val="20"/>
          <w:szCs w:val="20"/>
          <w:lang w:val="es-MX"/>
        </w:rPr>
        <w:t>,</w:t>
      </w:r>
      <w:r w:rsidR="00002BD1">
        <w:rPr>
          <w:sz w:val="20"/>
          <w:szCs w:val="20"/>
          <w:lang w:val="es-MX"/>
        </w:rPr>
        <w:t xml:space="preserve"> </w:t>
      </w:r>
      <w:r>
        <w:rPr>
          <w:sz w:val="20"/>
          <w:szCs w:val="20"/>
          <w:lang w:val="es-MX"/>
        </w:rPr>
        <w:t xml:space="preserve">en los términos de los párrafos </w:t>
      </w:r>
      <w:r w:rsidR="00294152">
        <w:rPr>
          <w:sz w:val="20"/>
          <w:szCs w:val="20"/>
          <w:lang w:val="es-MX"/>
        </w:rPr>
        <w:t>203</w:t>
      </w:r>
      <w:r>
        <w:rPr>
          <w:sz w:val="20"/>
          <w:szCs w:val="20"/>
          <w:lang w:val="es-MX"/>
        </w:rPr>
        <w:t xml:space="preserve"> a </w:t>
      </w:r>
      <w:r w:rsidR="00294152">
        <w:rPr>
          <w:sz w:val="20"/>
          <w:szCs w:val="20"/>
          <w:lang w:val="es-MX"/>
        </w:rPr>
        <w:t>210</w:t>
      </w:r>
      <w:r w:rsidR="00002BD1" w:rsidRPr="00002BD1">
        <w:rPr>
          <w:sz w:val="20"/>
          <w:szCs w:val="20"/>
          <w:lang w:val="es-AR"/>
        </w:rPr>
        <w:t xml:space="preserve"> </w:t>
      </w:r>
      <w:r w:rsidR="00002BD1">
        <w:rPr>
          <w:sz w:val="20"/>
          <w:szCs w:val="20"/>
          <w:lang w:val="es-AR"/>
        </w:rPr>
        <w:t>de la presente Sentencia</w:t>
      </w:r>
      <w:r>
        <w:rPr>
          <w:sz w:val="20"/>
          <w:szCs w:val="20"/>
          <w:lang w:val="es-MX"/>
        </w:rPr>
        <w:t>.</w:t>
      </w:r>
    </w:p>
    <w:p w14:paraId="744983A0" w14:textId="77777777" w:rsidR="00F377B4" w:rsidRDefault="00F377B4" w:rsidP="00AB1E03">
      <w:pPr>
        <w:pStyle w:val="ListParagraph"/>
        <w:widowControl w:val="0"/>
        <w:tabs>
          <w:tab w:val="center" w:pos="567"/>
        </w:tabs>
        <w:autoSpaceDE w:val="0"/>
        <w:autoSpaceDN w:val="0"/>
        <w:adjustRightInd w:val="0"/>
        <w:ind w:left="0" w:right="-90"/>
        <w:contextualSpacing/>
        <w:rPr>
          <w:sz w:val="20"/>
          <w:szCs w:val="20"/>
          <w:lang w:val="es-MX"/>
        </w:rPr>
      </w:pPr>
    </w:p>
    <w:p w14:paraId="69D18F75" w14:textId="4ACF8A52" w:rsidR="00F377B4" w:rsidRPr="007E5CD5" w:rsidRDefault="00F377B4" w:rsidP="00A07555">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sidRPr="007E5CD5">
        <w:rPr>
          <w:sz w:val="20"/>
          <w:szCs w:val="20"/>
          <w:lang w:val="es-MX"/>
        </w:rPr>
        <w:t xml:space="preserve">El Estado no es responsable por la violación del derecho a la seguridad social, de conformidad con el artículo 26 de la Convención Americana, </w:t>
      </w:r>
      <w:r w:rsidR="00541592">
        <w:rPr>
          <w:sz w:val="20"/>
          <w:szCs w:val="20"/>
          <w:lang w:val="es-MX"/>
        </w:rPr>
        <w:t xml:space="preserve">ni del derecho a la imparcialidad judicial, de conformidad con el artículo 8 de la misma, </w:t>
      </w:r>
      <w:r w:rsidRPr="007E5CD5">
        <w:rPr>
          <w:sz w:val="20"/>
          <w:szCs w:val="20"/>
          <w:lang w:val="es-MX"/>
        </w:rPr>
        <w:t>en los términos de</w:t>
      </w:r>
      <w:r w:rsidR="00294152">
        <w:rPr>
          <w:sz w:val="20"/>
          <w:szCs w:val="20"/>
          <w:lang w:val="es-MX"/>
        </w:rPr>
        <w:t>l</w:t>
      </w:r>
      <w:r w:rsidRPr="007E5CD5">
        <w:rPr>
          <w:sz w:val="20"/>
          <w:szCs w:val="20"/>
          <w:lang w:val="es-MX"/>
        </w:rPr>
        <w:t xml:space="preserve"> párrafo</w:t>
      </w:r>
      <w:r w:rsidR="00294152">
        <w:rPr>
          <w:sz w:val="20"/>
          <w:szCs w:val="20"/>
          <w:lang w:val="es-MX"/>
        </w:rPr>
        <w:t xml:space="preserve"> 99</w:t>
      </w:r>
      <w:r w:rsidRPr="007E5CD5">
        <w:rPr>
          <w:sz w:val="20"/>
          <w:szCs w:val="20"/>
          <w:lang w:val="es-MX"/>
        </w:rPr>
        <w:t xml:space="preserve"> </w:t>
      </w:r>
      <w:r w:rsidR="00541592">
        <w:rPr>
          <w:sz w:val="20"/>
          <w:szCs w:val="20"/>
          <w:lang w:val="es-MX"/>
        </w:rPr>
        <w:t xml:space="preserve">y 194 a 198, respectivamente, </w:t>
      </w:r>
      <w:r w:rsidRPr="007E5CD5">
        <w:rPr>
          <w:sz w:val="20"/>
          <w:szCs w:val="20"/>
          <w:lang w:val="es-MX"/>
        </w:rPr>
        <w:t>de la presente Sentencia.</w:t>
      </w:r>
    </w:p>
    <w:p w14:paraId="61D14544" w14:textId="77777777" w:rsidR="00A07555" w:rsidRPr="00477366" w:rsidRDefault="00A07555" w:rsidP="00A07555">
      <w:pPr>
        <w:pStyle w:val="Prrafodelista2"/>
        <w:tabs>
          <w:tab w:val="left" w:pos="720"/>
        </w:tabs>
        <w:ind w:left="0" w:right="-90"/>
        <w:contextualSpacing/>
        <w:rPr>
          <w:b/>
          <w:bCs/>
          <w:lang w:val="es-MX"/>
        </w:rPr>
      </w:pPr>
    </w:p>
    <w:p w14:paraId="345B3C36" w14:textId="77777777" w:rsidR="00A07555" w:rsidRPr="0029137A" w:rsidRDefault="00A07555" w:rsidP="00A07555">
      <w:pPr>
        <w:pStyle w:val="Prrafodelista2"/>
        <w:tabs>
          <w:tab w:val="left" w:pos="720"/>
        </w:tabs>
        <w:ind w:left="0" w:right="-90"/>
        <w:contextualSpacing/>
        <w:rPr>
          <w:b/>
          <w:bCs/>
        </w:rPr>
      </w:pPr>
      <w:r w:rsidRPr="0029137A">
        <w:rPr>
          <w:b/>
          <w:bCs/>
        </w:rPr>
        <w:lastRenderedPageBreak/>
        <w:t>Y DISPONE:</w:t>
      </w:r>
    </w:p>
    <w:p w14:paraId="2B21BCC9" w14:textId="77777777" w:rsidR="00A07555" w:rsidRDefault="00A07555" w:rsidP="00A07555">
      <w:pPr>
        <w:pStyle w:val="Prrafodelista2"/>
        <w:ind w:left="0" w:right="-90"/>
        <w:contextualSpacing/>
        <w:rPr>
          <w:rFonts w:asciiTheme="minorHAnsi" w:eastAsiaTheme="minorHAnsi" w:hAnsiTheme="minorHAnsi" w:cstheme="minorBidi"/>
          <w:b/>
          <w:bCs/>
          <w:sz w:val="22"/>
          <w:szCs w:val="22"/>
          <w:lang w:bidi="ar-SA"/>
        </w:rPr>
      </w:pPr>
    </w:p>
    <w:p w14:paraId="13D0A16B" w14:textId="77777777" w:rsidR="00E32C76" w:rsidRPr="00E32C76" w:rsidRDefault="00E32C76" w:rsidP="00E32C76">
      <w:pPr>
        <w:pStyle w:val="Prrafodelista2"/>
        <w:ind w:left="0" w:right="-90"/>
        <w:contextualSpacing/>
      </w:pPr>
      <w:r>
        <w:t>Por unanimidad</w:t>
      </w:r>
      <w:r w:rsidRPr="0029137A">
        <w:t>, que:</w:t>
      </w:r>
    </w:p>
    <w:p w14:paraId="5F02F5B8" w14:textId="77777777" w:rsidR="00A07555" w:rsidRPr="00E32C76" w:rsidRDefault="00A07555" w:rsidP="00A07555">
      <w:pPr>
        <w:pStyle w:val="ListParagraph"/>
        <w:widowControl w:val="0"/>
        <w:tabs>
          <w:tab w:val="center" w:pos="567"/>
        </w:tabs>
        <w:autoSpaceDE w:val="0"/>
        <w:autoSpaceDN w:val="0"/>
        <w:adjustRightInd w:val="0"/>
        <w:ind w:left="0" w:right="-90"/>
        <w:rPr>
          <w:sz w:val="20"/>
          <w:szCs w:val="20"/>
          <w:lang w:val="es-ES_tradnl"/>
        </w:rPr>
      </w:pPr>
    </w:p>
    <w:p w14:paraId="0F998510" w14:textId="4FF98C3B" w:rsidR="00A07555" w:rsidRPr="0029137A" w:rsidRDefault="00A07555" w:rsidP="00A07555">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sidRPr="0029137A">
        <w:rPr>
          <w:sz w:val="20"/>
          <w:szCs w:val="20"/>
          <w:lang w:val="es-MX"/>
        </w:rPr>
        <w:t>Esta Sentencia constituye, por sí misma, una forma de reparación.</w:t>
      </w:r>
    </w:p>
    <w:p w14:paraId="0F927BE6" w14:textId="77777777" w:rsidR="00A07555" w:rsidRPr="0029137A" w:rsidRDefault="00A07555" w:rsidP="00A07555">
      <w:pPr>
        <w:pStyle w:val="ListParagraph"/>
        <w:widowControl w:val="0"/>
        <w:tabs>
          <w:tab w:val="center" w:pos="567"/>
        </w:tabs>
        <w:autoSpaceDE w:val="0"/>
        <w:autoSpaceDN w:val="0"/>
        <w:adjustRightInd w:val="0"/>
        <w:ind w:left="0" w:right="-90"/>
        <w:rPr>
          <w:sz w:val="20"/>
          <w:szCs w:val="20"/>
          <w:lang w:val="es-MX"/>
        </w:rPr>
      </w:pPr>
    </w:p>
    <w:p w14:paraId="01A7EC2B" w14:textId="326910D1" w:rsidR="00A07555" w:rsidRDefault="00A07555" w:rsidP="00A07555">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sidRPr="0029137A">
        <w:rPr>
          <w:sz w:val="20"/>
          <w:szCs w:val="20"/>
          <w:lang w:val="es-MX"/>
        </w:rPr>
        <w:t>El Estado debe</w:t>
      </w:r>
      <w:r>
        <w:rPr>
          <w:sz w:val="20"/>
          <w:szCs w:val="20"/>
          <w:lang w:val="es-MX"/>
        </w:rPr>
        <w:t>, dentro del plazo de seis meses contado a partir de la notificación de esta Sentencia,</w:t>
      </w:r>
      <w:r w:rsidRPr="0029137A">
        <w:rPr>
          <w:sz w:val="20"/>
          <w:szCs w:val="20"/>
          <w:lang w:val="es-MX"/>
        </w:rPr>
        <w:t xml:space="preserve"> realizar las publicaci</w:t>
      </w:r>
      <w:r>
        <w:rPr>
          <w:sz w:val="20"/>
          <w:szCs w:val="20"/>
          <w:lang w:val="es-MX"/>
        </w:rPr>
        <w:t xml:space="preserve">ones indicadas en el párrafo </w:t>
      </w:r>
      <w:r w:rsidR="00294152">
        <w:rPr>
          <w:sz w:val="20"/>
          <w:szCs w:val="20"/>
          <w:lang w:val="es-MX"/>
        </w:rPr>
        <w:t>226</w:t>
      </w:r>
      <w:r w:rsidRPr="0029137A">
        <w:rPr>
          <w:sz w:val="20"/>
          <w:szCs w:val="20"/>
          <w:lang w:val="es-MX"/>
        </w:rPr>
        <w:t xml:space="preserve"> </w:t>
      </w:r>
      <w:r>
        <w:rPr>
          <w:sz w:val="20"/>
          <w:szCs w:val="20"/>
          <w:lang w:val="es-MX"/>
        </w:rPr>
        <w:t xml:space="preserve">de la presente </w:t>
      </w:r>
      <w:r w:rsidRPr="0029137A">
        <w:rPr>
          <w:sz w:val="20"/>
          <w:szCs w:val="20"/>
          <w:lang w:val="es-MX"/>
        </w:rPr>
        <w:t>Sentencia.</w:t>
      </w:r>
    </w:p>
    <w:p w14:paraId="221BD749" w14:textId="77777777" w:rsidR="00A07555" w:rsidRDefault="00A07555" w:rsidP="00A07555">
      <w:pPr>
        <w:pStyle w:val="ListParagraph"/>
        <w:widowControl w:val="0"/>
        <w:tabs>
          <w:tab w:val="center" w:pos="567"/>
        </w:tabs>
        <w:autoSpaceDE w:val="0"/>
        <w:autoSpaceDN w:val="0"/>
        <w:adjustRightInd w:val="0"/>
        <w:ind w:left="0" w:right="-90"/>
        <w:rPr>
          <w:sz w:val="20"/>
          <w:szCs w:val="20"/>
          <w:lang w:val="es-MX"/>
        </w:rPr>
      </w:pPr>
    </w:p>
    <w:p w14:paraId="211EBEB3" w14:textId="03B6DDCC" w:rsidR="00A07555" w:rsidRDefault="00A07555" w:rsidP="00A07555">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Pr>
          <w:sz w:val="20"/>
          <w:szCs w:val="20"/>
          <w:lang w:val="es-MX"/>
        </w:rPr>
        <w:t>El Estado debe, dentro del plazo de un año contado a partir de la n</w:t>
      </w:r>
      <w:r w:rsidR="00840E52">
        <w:rPr>
          <w:sz w:val="20"/>
          <w:szCs w:val="20"/>
          <w:lang w:val="es-MX"/>
        </w:rPr>
        <w:t xml:space="preserve">otificación de esta Sentencia, </w:t>
      </w:r>
      <w:r w:rsidR="006E671C">
        <w:rPr>
          <w:sz w:val="20"/>
          <w:szCs w:val="20"/>
          <w:lang w:val="es-MX"/>
        </w:rPr>
        <w:t>realizar un acto público de reconocimiento de responsabilidad</w:t>
      </w:r>
      <w:r>
        <w:rPr>
          <w:sz w:val="20"/>
          <w:szCs w:val="20"/>
          <w:lang w:val="es-MX"/>
        </w:rPr>
        <w:t xml:space="preserve">, en los términos del párrafo </w:t>
      </w:r>
      <w:r w:rsidR="00294152">
        <w:rPr>
          <w:sz w:val="20"/>
          <w:szCs w:val="20"/>
          <w:lang w:val="es-MX"/>
        </w:rPr>
        <w:t>227</w:t>
      </w:r>
      <w:r>
        <w:rPr>
          <w:sz w:val="20"/>
          <w:szCs w:val="20"/>
          <w:lang w:val="es-MX"/>
        </w:rPr>
        <w:t xml:space="preserve"> de la presente Sentencia.  </w:t>
      </w:r>
    </w:p>
    <w:p w14:paraId="33869A54" w14:textId="77777777" w:rsidR="00A07555" w:rsidRDefault="00A07555" w:rsidP="00A07555">
      <w:pPr>
        <w:pStyle w:val="ListParagraph"/>
        <w:widowControl w:val="0"/>
        <w:tabs>
          <w:tab w:val="center" w:pos="567"/>
        </w:tabs>
        <w:autoSpaceDE w:val="0"/>
        <w:autoSpaceDN w:val="0"/>
        <w:adjustRightInd w:val="0"/>
        <w:ind w:left="0" w:right="-90"/>
        <w:rPr>
          <w:sz w:val="20"/>
          <w:szCs w:val="20"/>
          <w:lang w:val="es-MX"/>
        </w:rPr>
      </w:pPr>
    </w:p>
    <w:p w14:paraId="4DDB5AAD" w14:textId="1967939C" w:rsidR="00A07555" w:rsidRPr="0029137A" w:rsidRDefault="00A07555" w:rsidP="00A07555">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Pr>
          <w:sz w:val="20"/>
          <w:szCs w:val="20"/>
          <w:lang w:val="es-MX"/>
        </w:rPr>
        <w:t xml:space="preserve">El Estado debe </w:t>
      </w:r>
      <w:r w:rsidRPr="004A27E5">
        <w:rPr>
          <w:sz w:val="20"/>
          <w:szCs w:val="20"/>
          <w:lang w:val="es-ES"/>
        </w:rPr>
        <w:t>brindar, a través de sus instituciones de salud, la atención médica psicológica de manera gratuita e inmediata a las víctimas</w:t>
      </w:r>
      <w:r>
        <w:rPr>
          <w:sz w:val="20"/>
          <w:szCs w:val="20"/>
          <w:lang w:val="es-ES"/>
        </w:rPr>
        <w:t>, en el modo</w:t>
      </w:r>
      <w:r w:rsidR="00294152">
        <w:rPr>
          <w:sz w:val="20"/>
          <w:szCs w:val="20"/>
          <w:lang w:val="es-ES"/>
        </w:rPr>
        <w:t xml:space="preserve"> y plazo</w:t>
      </w:r>
      <w:r>
        <w:rPr>
          <w:sz w:val="20"/>
          <w:szCs w:val="20"/>
          <w:lang w:val="es-ES"/>
        </w:rPr>
        <w:t xml:space="preserve"> fijado en el párrafo </w:t>
      </w:r>
      <w:r w:rsidR="00294152">
        <w:rPr>
          <w:sz w:val="20"/>
          <w:szCs w:val="20"/>
          <w:lang w:val="es-ES"/>
        </w:rPr>
        <w:t>231</w:t>
      </w:r>
      <w:r>
        <w:rPr>
          <w:sz w:val="20"/>
          <w:szCs w:val="20"/>
          <w:lang w:val="es-ES"/>
        </w:rPr>
        <w:t xml:space="preserve"> de la presente Sentencia</w:t>
      </w:r>
      <w:r w:rsidRPr="004A27E5">
        <w:rPr>
          <w:sz w:val="20"/>
          <w:szCs w:val="20"/>
          <w:lang w:val="es-ES"/>
        </w:rPr>
        <w:t>.</w:t>
      </w:r>
    </w:p>
    <w:p w14:paraId="73326BFC" w14:textId="77777777" w:rsidR="00A07555" w:rsidRDefault="00A07555" w:rsidP="00A07555">
      <w:pPr>
        <w:pStyle w:val="ListParagraph"/>
        <w:widowControl w:val="0"/>
        <w:tabs>
          <w:tab w:val="center" w:pos="567"/>
        </w:tabs>
        <w:autoSpaceDE w:val="0"/>
        <w:autoSpaceDN w:val="0"/>
        <w:adjustRightInd w:val="0"/>
        <w:ind w:left="0" w:right="-90"/>
        <w:rPr>
          <w:sz w:val="20"/>
          <w:szCs w:val="20"/>
          <w:lang w:val="es-MX"/>
        </w:rPr>
      </w:pPr>
    </w:p>
    <w:p w14:paraId="70658F91" w14:textId="35967980" w:rsidR="00A07555" w:rsidRPr="006E671C" w:rsidRDefault="00A07555" w:rsidP="006E671C">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Pr>
          <w:sz w:val="20"/>
          <w:szCs w:val="20"/>
          <w:lang w:val="es-MX"/>
        </w:rPr>
        <w:t xml:space="preserve">El Estado debe </w:t>
      </w:r>
      <w:r w:rsidRPr="00B71C34">
        <w:rPr>
          <w:sz w:val="20"/>
          <w:szCs w:val="20"/>
        </w:rPr>
        <w:t xml:space="preserve">implementar, en un plazo </w:t>
      </w:r>
      <w:r w:rsidR="00A7540B">
        <w:rPr>
          <w:sz w:val="20"/>
          <w:szCs w:val="20"/>
        </w:rPr>
        <w:t>de un año</w:t>
      </w:r>
      <w:r w:rsidRPr="006E671C">
        <w:rPr>
          <w:sz w:val="20"/>
          <w:szCs w:val="20"/>
        </w:rPr>
        <w:t xml:space="preserve">, programas permanentes de educación en derechos humanos, en los términos referidos en el párrafo </w:t>
      </w:r>
      <w:r w:rsidR="00294152">
        <w:rPr>
          <w:sz w:val="20"/>
          <w:szCs w:val="20"/>
        </w:rPr>
        <w:t>237</w:t>
      </w:r>
      <w:r w:rsidRPr="006E671C">
        <w:rPr>
          <w:sz w:val="20"/>
          <w:szCs w:val="20"/>
        </w:rPr>
        <w:t xml:space="preserve"> de esta Sentencia. </w:t>
      </w:r>
    </w:p>
    <w:p w14:paraId="0341929C" w14:textId="77777777" w:rsidR="00A07555" w:rsidRDefault="00A07555" w:rsidP="00A07555">
      <w:pPr>
        <w:pStyle w:val="ListParagraph"/>
        <w:widowControl w:val="0"/>
        <w:tabs>
          <w:tab w:val="center" w:pos="567"/>
        </w:tabs>
        <w:autoSpaceDE w:val="0"/>
        <w:autoSpaceDN w:val="0"/>
        <w:adjustRightInd w:val="0"/>
        <w:ind w:left="0" w:right="-90"/>
        <w:rPr>
          <w:sz w:val="20"/>
          <w:szCs w:val="20"/>
          <w:lang w:val="es-MX"/>
        </w:rPr>
      </w:pPr>
    </w:p>
    <w:p w14:paraId="179E3847" w14:textId="6C7A9EF2" w:rsidR="00E32C76" w:rsidRPr="00E32C76" w:rsidRDefault="00E32C76" w:rsidP="00E32C76">
      <w:pPr>
        <w:pStyle w:val="Prrafodelista2"/>
        <w:ind w:left="0" w:right="-90"/>
        <w:contextualSpacing/>
      </w:pPr>
      <w:r>
        <w:t>Por cuatro votos a favor y uno en contra</w:t>
      </w:r>
      <w:r w:rsidRPr="0029137A">
        <w:t>, que:</w:t>
      </w:r>
    </w:p>
    <w:p w14:paraId="1D905422" w14:textId="77777777" w:rsidR="00E32C76" w:rsidRPr="008145EA" w:rsidRDefault="00E32C76" w:rsidP="00A07555">
      <w:pPr>
        <w:pStyle w:val="ListParagraph"/>
        <w:widowControl w:val="0"/>
        <w:tabs>
          <w:tab w:val="center" w:pos="567"/>
        </w:tabs>
        <w:autoSpaceDE w:val="0"/>
        <w:autoSpaceDN w:val="0"/>
        <w:adjustRightInd w:val="0"/>
        <w:ind w:left="0" w:right="-90"/>
        <w:rPr>
          <w:sz w:val="20"/>
          <w:szCs w:val="20"/>
          <w:lang w:val="es-MX"/>
        </w:rPr>
      </w:pPr>
    </w:p>
    <w:p w14:paraId="05A21190" w14:textId="61A8A09A" w:rsidR="00A07555" w:rsidRPr="00016220" w:rsidRDefault="00A07555" w:rsidP="00A07555">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Pr>
          <w:sz w:val="20"/>
          <w:szCs w:val="20"/>
          <w:lang w:val="es-MX"/>
        </w:rPr>
        <w:t xml:space="preserve">El Estado debe </w:t>
      </w:r>
      <w:r>
        <w:rPr>
          <w:sz w:val="20"/>
          <w:szCs w:val="20"/>
          <w:lang w:val="es-ES"/>
        </w:rPr>
        <w:t>informar al Tribunal, en el plazo de un</w:t>
      </w:r>
      <w:r w:rsidRPr="008145EA">
        <w:rPr>
          <w:sz w:val="20"/>
          <w:szCs w:val="20"/>
          <w:lang w:val="es-ES"/>
        </w:rPr>
        <w:t xml:space="preserve"> año, sobre los avances que ha implementado en </w:t>
      </w:r>
      <w:r w:rsidR="00A60A35">
        <w:rPr>
          <w:sz w:val="20"/>
          <w:szCs w:val="20"/>
          <w:lang w:val="es-ES"/>
        </w:rPr>
        <w:t>hospital</w:t>
      </w:r>
      <w:r w:rsidR="00294152">
        <w:rPr>
          <w:sz w:val="20"/>
          <w:szCs w:val="20"/>
          <w:lang w:val="es-ES"/>
        </w:rPr>
        <w:t xml:space="preserve"> de referencia</w:t>
      </w:r>
      <w:r>
        <w:rPr>
          <w:sz w:val="20"/>
          <w:szCs w:val="20"/>
          <w:lang w:val="es-ES"/>
        </w:rPr>
        <w:t xml:space="preserve">, en los términos del párrafo </w:t>
      </w:r>
      <w:r w:rsidR="00294152">
        <w:rPr>
          <w:sz w:val="20"/>
          <w:szCs w:val="20"/>
          <w:lang w:val="es-ES"/>
        </w:rPr>
        <w:t>238</w:t>
      </w:r>
      <w:r w:rsidR="006E671C">
        <w:rPr>
          <w:sz w:val="20"/>
          <w:szCs w:val="20"/>
          <w:lang w:val="es-ES"/>
        </w:rPr>
        <w:t xml:space="preserve"> de la presente Sentencia</w:t>
      </w:r>
      <w:r>
        <w:rPr>
          <w:sz w:val="20"/>
          <w:szCs w:val="20"/>
          <w:lang w:val="es-ES"/>
        </w:rPr>
        <w:t>.</w:t>
      </w:r>
    </w:p>
    <w:p w14:paraId="454761F1" w14:textId="77777777" w:rsidR="00A60A35" w:rsidRPr="00016220" w:rsidRDefault="00A60A35" w:rsidP="00016220">
      <w:pPr>
        <w:pStyle w:val="ListParagraph"/>
        <w:widowControl w:val="0"/>
        <w:tabs>
          <w:tab w:val="center" w:pos="567"/>
        </w:tabs>
        <w:autoSpaceDE w:val="0"/>
        <w:autoSpaceDN w:val="0"/>
        <w:adjustRightInd w:val="0"/>
        <w:ind w:left="0" w:right="-90"/>
        <w:contextualSpacing/>
        <w:rPr>
          <w:sz w:val="20"/>
          <w:szCs w:val="20"/>
          <w:lang w:val="es-MX"/>
        </w:rPr>
      </w:pPr>
    </w:p>
    <w:p w14:paraId="4E37E6FC" w14:textId="5A8C4B6E" w:rsidR="00A60A35" w:rsidRDefault="00A60A35" w:rsidP="00016220">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sidRPr="00016220">
        <w:rPr>
          <w:sz w:val="20"/>
          <w:szCs w:val="20"/>
          <w:lang w:val="es-MX"/>
        </w:rPr>
        <w:t xml:space="preserve">El Estado debe </w:t>
      </w:r>
      <w:r>
        <w:rPr>
          <w:sz w:val="20"/>
          <w:szCs w:val="20"/>
          <w:lang w:val="es-MX"/>
        </w:rPr>
        <w:t xml:space="preserve">fortalecer </w:t>
      </w:r>
      <w:r w:rsidR="006E671C">
        <w:rPr>
          <w:sz w:val="20"/>
          <w:szCs w:val="20"/>
          <w:lang w:val="es-MX"/>
        </w:rPr>
        <w:t>el</w:t>
      </w:r>
      <w:r>
        <w:rPr>
          <w:sz w:val="20"/>
          <w:szCs w:val="20"/>
          <w:lang w:val="es-MX"/>
        </w:rPr>
        <w:t xml:space="preserve"> </w:t>
      </w:r>
      <w:r w:rsidRPr="00F24D93">
        <w:rPr>
          <w:rFonts w:eastAsia="Calibri"/>
          <w:sz w:val="20"/>
          <w:szCs w:val="20"/>
          <w:lang w:val="es-ES" w:eastAsia="es-ES"/>
        </w:rPr>
        <w:t>Instituto Nacional de Geriatría</w:t>
      </w:r>
      <w:r w:rsidR="006E671C">
        <w:rPr>
          <w:rFonts w:eastAsia="Calibri"/>
          <w:sz w:val="20"/>
          <w:szCs w:val="20"/>
          <w:lang w:val="es-ES" w:eastAsia="es-ES"/>
        </w:rPr>
        <w:t xml:space="preserve"> y su incidencia en la red hospitalaria</w:t>
      </w:r>
      <w:r>
        <w:rPr>
          <w:rFonts w:eastAsia="Calibri"/>
          <w:sz w:val="20"/>
          <w:szCs w:val="20"/>
          <w:lang w:val="es-ES" w:eastAsia="es-ES"/>
        </w:rPr>
        <w:t xml:space="preserve">, </w:t>
      </w:r>
      <w:r w:rsidRPr="00C64243">
        <w:rPr>
          <w:sz w:val="20"/>
          <w:szCs w:val="20"/>
          <w:lang w:val="es-MX"/>
        </w:rPr>
        <w:t xml:space="preserve">de conformidad con </w:t>
      </w:r>
      <w:r w:rsidRPr="00A60A35">
        <w:rPr>
          <w:sz w:val="20"/>
          <w:szCs w:val="20"/>
          <w:lang w:val="es-MX"/>
        </w:rPr>
        <w:t xml:space="preserve">lo establecido en el párrafo </w:t>
      </w:r>
      <w:r w:rsidR="00294152">
        <w:rPr>
          <w:sz w:val="20"/>
          <w:szCs w:val="20"/>
          <w:lang w:val="es-MX"/>
        </w:rPr>
        <w:t>239</w:t>
      </w:r>
      <w:r>
        <w:rPr>
          <w:sz w:val="20"/>
          <w:szCs w:val="20"/>
          <w:lang w:val="es-MX"/>
        </w:rPr>
        <w:t xml:space="preserve"> de esta Sentencia, así como</w:t>
      </w:r>
      <w:r w:rsidRPr="00A60A35">
        <w:rPr>
          <w:rFonts w:eastAsia="Calibri"/>
          <w:sz w:val="20"/>
          <w:szCs w:val="20"/>
          <w:lang w:val="es-ES" w:eastAsia="es-ES"/>
        </w:rPr>
        <w:t xml:space="preserve"> </w:t>
      </w:r>
      <w:r w:rsidRPr="00016220">
        <w:rPr>
          <w:sz w:val="20"/>
          <w:szCs w:val="20"/>
          <w:lang w:val="es-MX"/>
        </w:rPr>
        <w:t xml:space="preserve">diseñar una publicación o cartilla que desarrolle los derechos de </w:t>
      </w:r>
      <w:r w:rsidR="0001661C">
        <w:rPr>
          <w:sz w:val="20"/>
          <w:szCs w:val="20"/>
          <w:lang w:val="es-MX"/>
        </w:rPr>
        <w:t>las personas mayores</w:t>
      </w:r>
      <w:r w:rsidRPr="00A60A35">
        <w:rPr>
          <w:sz w:val="20"/>
          <w:szCs w:val="20"/>
          <w:lang w:val="es-MX"/>
        </w:rPr>
        <w:t xml:space="preserve"> en materia de salud</w:t>
      </w:r>
      <w:r w:rsidRPr="00016220">
        <w:rPr>
          <w:sz w:val="20"/>
          <w:szCs w:val="20"/>
          <w:lang w:val="es-MX"/>
        </w:rPr>
        <w:t xml:space="preserve">, de conformidad con </w:t>
      </w:r>
      <w:r w:rsidRPr="00A60A35">
        <w:rPr>
          <w:sz w:val="20"/>
          <w:szCs w:val="20"/>
          <w:lang w:val="es-MX"/>
        </w:rPr>
        <w:t xml:space="preserve">lo establecido en el párrafo </w:t>
      </w:r>
      <w:r w:rsidR="00294152">
        <w:rPr>
          <w:sz w:val="20"/>
          <w:szCs w:val="20"/>
          <w:lang w:val="es-MX"/>
        </w:rPr>
        <w:t>240</w:t>
      </w:r>
      <w:r w:rsidRPr="00016220">
        <w:rPr>
          <w:sz w:val="20"/>
          <w:szCs w:val="20"/>
          <w:lang w:val="es-MX"/>
        </w:rPr>
        <w:t xml:space="preserve"> de esta Sentencia.</w:t>
      </w:r>
    </w:p>
    <w:p w14:paraId="55CD4DF6" w14:textId="77777777" w:rsidR="002E1F02" w:rsidRDefault="002E1F02" w:rsidP="002A64C9">
      <w:pPr>
        <w:pStyle w:val="ListParagraph"/>
        <w:widowControl w:val="0"/>
        <w:tabs>
          <w:tab w:val="center" w:pos="567"/>
        </w:tabs>
        <w:autoSpaceDE w:val="0"/>
        <w:autoSpaceDN w:val="0"/>
        <w:adjustRightInd w:val="0"/>
        <w:ind w:left="0" w:right="-90"/>
        <w:contextualSpacing/>
        <w:rPr>
          <w:sz w:val="20"/>
          <w:szCs w:val="20"/>
          <w:lang w:val="es-MX"/>
        </w:rPr>
      </w:pPr>
    </w:p>
    <w:p w14:paraId="467DA553" w14:textId="53368F1B" w:rsidR="002E1F02" w:rsidRPr="00016220" w:rsidRDefault="002E1F02" w:rsidP="00016220">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Pr>
          <w:sz w:val="20"/>
          <w:szCs w:val="20"/>
          <w:lang w:val="es-MX"/>
        </w:rPr>
        <w:t xml:space="preserve">El Estado debe adoptar las medidas necesarias, </w:t>
      </w:r>
      <w:r>
        <w:rPr>
          <w:rFonts w:eastAsiaTheme="minorHAnsi" w:cs="Verdana"/>
          <w:color w:val="000000"/>
          <w:sz w:val="20"/>
          <w:szCs w:val="20"/>
          <w:lang w:eastAsia="en-US"/>
        </w:rPr>
        <w:t>a fin de diseñar una política general de protección integral a las personas mayores,</w:t>
      </w:r>
      <w:r w:rsidRPr="002E1F02">
        <w:rPr>
          <w:sz w:val="20"/>
          <w:szCs w:val="20"/>
        </w:rPr>
        <w:t xml:space="preserve"> </w:t>
      </w:r>
      <w:r>
        <w:rPr>
          <w:sz w:val="20"/>
          <w:szCs w:val="20"/>
        </w:rPr>
        <w:t xml:space="preserve">en los términos referidos en el párrafo </w:t>
      </w:r>
      <w:r w:rsidR="00294152">
        <w:rPr>
          <w:sz w:val="20"/>
          <w:szCs w:val="20"/>
        </w:rPr>
        <w:t>241</w:t>
      </w:r>
      <w:r>
        <w:rPr>
          <w:sz w:val="20"/>
          <w:szCs w:val="20"/>
        </w:rPr>
        <w:t xml:space="preserve"> de esta Sentencia.</w:t>
      </w:r>
    </w:p>
    <w:p w14:paraId="35887F35" w14:textId="77777777" w:rsidR="00A07555" w:rsidRDefault="00A07555" w:rsidP="00A07555">
      <w:pPr>
        <w:pStyle w:val="ListParagraph"/>
        <w:widowControl w:val="0"/>
        <w:tabs>
          <w:tab w:val="center" w:pos="567"/>
        </w:tabs>
        <w:autoSpaceDE w:val="0"/>
        <w:autoSpaceDN w:val="0"/>
        <w:adjustRightInd w:val="0"/>
        <w:ind w:left="0" w:right="-90"/>
        <w:rPr>
          <w:sz w:val="20"/>
          <w:szCs w:val="20"/>
          <w:lang w:val="es-MX"/>
        </w:rPr>
      </w:pPr>
    </w:p>
    <w:p w14:paraId="6F248DB2" w14:textId="03F642B0" w:rsidR="00E32C76" w:rsidRDefault="00E32C76" w:rsidP="00A07555">
      <w:pPr>
        <w:pStyle w:val="ListParagraph"/>
        <w:widowControl w:val="0"/>
        <w:tabs>
          <w:tab w:val="center" w:pos="567"/>
        </w:tabs>
        <w:autoSpaceDE w:val="0"/>
        <w:autoSpaceDN w:val="0"/>
        <w:adjustRightInd w:val="0"/>
        <w:ind w:left="0" w:right="-90"/>
        <w:rPr>
          <w:sz w:val="20"/>
          <w:szCs w:val="20"/>
          <w:lang w:val="es-MX"/>
        </w:rPr>
      </w:pPr>
      <w:r>
        <w:rPr>
          <w:sz w:val="20"/>
          <w:szCs w:val="20"/>
          <w:lang w:val="es-MX"/>
        </w:rPr>
        <w:t>Disiente el juez Humberto Antonio Sierra Porto</w:t>
      </w:r>
      <w:r w:rsidR="008F6D80">
        <w:rPr>
          <w:sz w:val="20"/>
          <w:szCs w:val="20"/>
          <w:lang w:val="es-MX"/>
        </w:rPr>
        <w:t>.</w:t>
      </w:r>
      <w:r>
        <w:rPr>
          <w:sz w:val="20"/>
          <w:szCs w:val="20"/>
          <w:lang w:val="es-MX"/>
        </w:rPr>
        <w:t xml:space="preserve"> </w:t>
      </w:r>
    </w:p>
    <w:p w14:paraId="601004B3" w14:textId="77777777" w:rsidR="00E32C76" w:rsidRDefault="00E32C76" w:rsidP="00A07555">
      <w:pPr>
        <w:pStyle w:val="ListParagraph"/>
        <w:widowControl w:val="0"/>
        <w:tabs>
          <w:tab w:val="center" w:pos="567"/>
        </w:tabs>
        <w:autoSpaceDE w:val="0"/>
        <w:autoSpaceDN w:val="0"/>
        <w:adjustRightInd w:val="0"/>
        <w:ind w:left="0" w:right="-90"/>
        <w:rPr>
          <w:sz w:val="20"/>
          <w:szCs w:val="20"/>
          <w:lang w:val="es-MX"/>
        </w:rPr>
      </w:pPr>
    </w:p>
    <w:p w14:paraId="75CA9281" w14:textId="77777777" w:rsidR="00E32C76" w:rsidRPr="00E32C76" w:rsidRDefault="00E32C76" w:rsidP="00E32C76">
      <w:pPr>
        <w:pStyle w:val="Prrafodelista2"/>
        <w:ind w:left="0" w:right="-90"/>
        <w:contextualSpacing/>
      </w:pPr>
      <w:r>
        <w:t>Por unanimidad</w:t>
      </w:r>
      <w:r w:rsidRPr="0029137A">
        <w:t>, que:</w:t>
      </w:r>
    </w:p>
    <w:p w14:paraId="36C3416C" w14:textId="77777777" w:rsidR="00E32C76" w:rsidRDefault="00E32C76" w:rsidP="00A07555">
      <w:pPr>
        <w:pStyle w:val="ListParagraph"/>
        <w:widowControl w:val="0"/>
        <w:tabs>
          <w:tab w:val="center" w:pos="567"/>
        </w:tabs>
        <w:autoSpaceDE w:val="0"/>
        <w:autoSpaceDN w:val="0"/>
        <w:adjustRightInd w:val="0"/>
        <w:ind w:left="0" w:right="-90"/>
        <w:rPr>
          <w:sz w:val="20"/>
          <w:szCs w:val="20"/>
          <w:lang w:val="es-MX"/>
        </w:rPr>
      </w:pPr>
    </w:p>
    <w:p w14:paraId="5084E013" w14:textId="462534E3" w:rsidR="00A07555" w:rsidRPr="005F2849" w:rsidRDefault="00A07555" w:rsidP="00A07555">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sidRPr="005F2849">
        <w:rPr>
          <w:sz w:val="20"/>
          <w:szCs w:val="20"/>
          <w:lang w:val="es-MX"/>
        </w:rPr>
        <w:t xml:space="preserve">El Estado debe pagar las cantidades fijadas en </w:t>
      </w:r>
      <w:r>
        <w:rPr>
          <w:sz w:val="20"/>
          <w:szCs w:val="20"/>
          <w:lang w:val="es-MX"/>
        </w:rPr>
        <w:t xml:space="preserve">los párrafos </w:t>
      </w:r>
      <w:r w:rsidR="00294152">
        <w:rPr>
          <w:sz w:val="20"/>
          <w:szCs w:val="20"/>
          <w:lang w:val="es-MX"/>
        </w:rPr>
        <w:t>247, 249, 252, 253 y 259</w:t>
      </w:r>
      <w:r w:rsidRPr="005F2849">
        <w:rPr>
          <w:sz w:val="20"/>
          <w:szCs w:val="20"/>
          <w:lang w:val="es-MX"/>
        </w:rPr>
        <w:t xml:space="preserve"> de la presente Sentencia, por concepto de compensación por daño material e inmaterial y por el reintegro de costas y gastos, en los términos de los referidos párrafos y de lo previsto en los párrafos </w:t>
      </w:r>
      <w:r w:rsidR="00294152">
        <w:rPr>
          <w:sz w:val="20"/>
          <w:szCs w:val="20"/>
          <w:lang w:val="es-MX"/>
        </w:rPr>
        <w:t>250, 253, 259 y 262 a 267</w:t>
      </w:r>
      <w:r w:rsidRPr="005F2849">
        <w:rPr>
          <w:sz w:val="20"/>
          <w:szCs w:val="20"/>
          <w:lang w:val="es-MX"/>
        </w:rPr>
        <w:t xml:space="preserve"> de esta Sentencia.</w:t>
      </w:r>
    </w:p>
    <w:p w14:paraId="14952A92" w14:textId="77777777" w:rsidR="00A07555" w:rsidRPr="00BF545D" w:rsidRDefault="00A07555" w:rsidP="00A07555">
      <w:pPr>
        <w:pStyle w:val="ListParagraph"/>
        <w:widowControl w:val="0"/>
        <w:tabs>
          <w:tab w:val="center" w:pos="567"/>
        </w:tabs>
        <w:autoSpaceDE w:val="0"/>
        <w:autoSpaceDN w:val="0"/>
        <w:adjustRightInd w:val="0"/>
        <w:ind w:left="0" w:right="-90"/>
        <w:rPr>
          <w:sz w:val="20"/>
          <w:szCs w:val="20"/>
          <w:lang w:val="es-MX"/>
        </w:rPr>
      </w:pPr>
    </w:p>
    <w:p w14:paraId="398EEB92" w14:textId="1C6ACFCB" w:rsidR="00A07555" w:rsidRPr="0029137A" w:rsidRDefault="00A07555" w:rsidP="00A07555">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sidRPr="0029137A">
        <w:rPr>
          <w:sz w:val="20"/>
          <w:szCs w:val="20"/>
          <w:lang w:val="es-MX"/>
        </w:rPr>
        <w:t>El Estado debe reintegrar al Fondo de Asistencia Legal de Víctimas de la Corte Interamericana de Derechos Humanos</w:t>
      </w:r>
      <w:r>
        <w:rPr>
          <w:sz w:val="20"/>
          <w:szCs w:val="20"/>
          <w:lang w:val="es-MX"/>
        </w:rPr>
        <w:t>,</w:t>
      </w:r>
      <w:r w:rsidRPr="0029137A">
        <w:rPr>
          <w:sz w:val="20"/>
          <w:szCs w:val="20"/>
          <w:lang w:val="es-MX"/>
        </w:rPr>
        <w:t xml:space="preserve"> la cantidad erogada durante la tramitación del presente caso, en los términos del párrafo </w:t>
      </w:r>
      <w:r w:rsidR="00294152">
        <w:rPr>
          <w:sz w:val="20"/>
          <w:szCs w:val="20"/>
          <w:lang w:val="es-MX"/>
        </w:rPr>
        <w:t>261</w:t>
      </w:r>
      <w:r w:rsidRPr="0029137A">
        <w:rPr>
          <w:sz w:val="20"/>
          <w:szCs w:val="20"/>
          <w:lang w:val="es-MX"/>
        </w:rPr>
        <w:t xml:space="preserve"> de esta Sentencia.</w:t>
      </w:r>
    </w:p>
    <w:p w14:paraId="3AF01349" w14:textId="77777777" w:rsidR="00A07555" w:rsidRPr="00BF545D" w:rsidRDefault="00A07555" w:rsidP="00A07555">
      <w:pPr>
        <w:pStyle w:val="ListParagraph"/>
        <w:widowControl w:val="0"/>
        <w:tabs>
          <w:tab w:val="center" w:pos="567"/>
        </w:tabs>
        <w:autoSpaceDE w:val="0"/>
        <w:autoSpaceDN w:val="0"/>
        <w:adjustRightInd w:val="0"/>
        <w:ind w:left="0" w:right="-90"/>
        <w:rPr>
          <w:sz w:val="20"/>
          <w:szCs w:val="20"/>
          <w:lang w:val="es-MX"/>
        </w:rPr>
      </w:pPr>
    </w:p>
    <w:p w14:paraId="2720A9CB" w14:textId="3181C0CC" w:rsidR="00A07555" w:rsidRPr="0029137A" w:rsidRDefault="00A07555" w:rsidP="00A07555">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sidRPr="0029137A">
        <w:rPr>
          <w:sz w:val="20"/>
          <w:szCs w:val="20"/>
          <w:lang w:val="es-MX"/>
        </w:rPr>
        <w:t xml:space="preserve">El Estado debe, dentro del plazo de un año contado a partir de la notificación de esta Sentencia, rendir al Tribunal un informe sobre las medidas adoptadas para cumplir con la misma, sin perjuicio de lo establecido en </w:t>
      </w:r>
      <w:r w:rsidR="00294152">
        <w:rPr>
          <w:sz w:val="20"/>
          <w:szCs w:val="20"/>
          <w:lang w:val="es-MX"/>
        </w:rPr>
        <w:t>los</w:t>
      </w:r>
      <w:r w:rsidRPr="0029137A">
        <w:rPr>
          <w:sz w:val="20"/>
          <w:szCs w:val="20"/>
          <w:lang w:val="es-MX"/>
        </w:rPr>
        <w:t xml:space="preserve"> p</w:t>
      </w:r>
      <w:r>
        <w:rPr>
          <w:sz w:val="20"/>
          <w:szCs w:val="20"/>
          <w:lang w:val="es-MX"/>
        </w:rPr>
        <w:t>árrafo</w:t>
      </w:r>
      <w:r w:rsidR="00294152">
        <w:rPr>
          <w:sz w:val="20"/>
          <w:szCs w:val="20"/>
          <w:lang w:val="es-MX"/>
        </w:rPr>
        <w:t>s 226 y 231</w:t>
      </w:r>
      <w:r w:rsidRPr="0029137A">
        <w:rPr>
          <w:sz w:val="20"/>
          <w:szCs w:val="20"/>
          <w:lang w:val="es-MX"/>
        </w:rPr>
        <w:t xml:space="preserve"> de la presente Sentencia.</w:t>
      </w:r>
    </w:p>
    <w:p w14:paraId="2B1E9528" w14:textId="77777777" w:rsidR="00A07555" w:rsidRPr="00BF545D" w:rsidRDefault="00A07555" w:rsidP="00A07555">
      <w:pPr>
        <w:pStyle w:val="ListParagraph"/>
        <w:widowControl w:val="0"/>
        <w:tabs>
          <w:tab w:val="center" w:pos="567"/>
        </w:tabs>
        <w:autoSpaceDE w:val="0"/>
        <w:autoSpaceDN w:val="0"/>
        <w:adjustRightInd w:val="0"/>
        <w:ind w:left="0" w:right="-90"/>
        <w:rPr>
          <w:sz w:val="20"/>
          <w:szCs w:val="20"/>
          <w:lang w:val="es-MX"/>
        </w:rPr>
      </w:pPr>
    </w:p>
    <w:p w14:paraId="4F4CF327" w14:textId="77777777" w:rsidR="00A07555" w:rsidRPr="0029137A" w:rsidRDefault="00A07555" w:rsidP="00A07555">
      <w:pPr>
        <w:pStyle w:val="ListParagraph"/>
        <w:widowControl w:val="0"/>
        <w:numPr>
          <w:ilvl w:val="0"/>
          <w:numId w:val="24"/>
        </w:numPr>
        <w:tabs>
          <w:tab w:val="center" w:pos="567"/>
        </w:tabs>
        <w:autoSpaceDE w:val="0"/>
        <w:autoSpaceDN w:val="0"/>
        <w:adjustRightInd w:val="0"/>
        <w:ind w:left="0" w:right="-90" w:hanging="11"/>
        <w:contextualSpacing/>
        <w:rPr>
          <w:sz w:val="20"/>
          <w:szCs w:val="20"/>
          <w:lang w:val="es-MX"/>
        </w:rPr>
      </w:pPr>
      <w:r w:rsidRPr="0029137A">
        <w:rPr>
          <w:sz w:val="20"/>
          <w:szCs w:val="20"/>
          <w:lang w:val="es-MX"/>
        </w:rPr>
        <w:t xml:space="preserve">La Corte supervisará el cumplimiento íntegro de esta Sentencia, en ejercicio de sus atribuciones y en cumplimiento de sus deberes conforme a la Convención Americana sobre </w:t>
      </w:r>
      <w:r w:rsidRPr="0029137A">
        <w:rPr>
          <w:sz w:val="20"/>
          <w:szCs w:val="20"/>
          <w:lang w:val="es-MX"/>
        </w:rPr>
        <w:lastRenderedPageBreak/>
        <w:t>Derechos Humanos, y dará por concluido el presente caso una vez que el Estado haya dado cabal cumplimiento a lo dispuesto en la misma.</w:t>
      </w:r>
    </w:p>
    <w:p w14:paraId="5AF14532" w14:textId="77777777" w:rsidR="000663FA" w:rsidRDefault="000663FA" w:rsidP="00840E52">
      <w:pPr>
        <w:rPr>
          <w:lang w:val="es-MX"/>
        </w:rPr>
      </w:pPr>
    </w:p>
    <w:p w14:paraId="301BD524" w14:textId="77777777" w:rsidR="008A113A" w:rsidRDefault="008A113A" w:rsidP="00840E52">
      <w:pPr>
        <w:rPr>
          <w:lang w:val="es-MX"/>
        </w:rPr>
      </w:pPr>
    </w:p>
    <w:p w14:paraId="36CC8C49" w14:textId="77777777" w:rsidR="008A113A" w:rsidRDefault="008A113A" w:rsidP="00840E52">
      <w:pPr>
        <w:rPr>
          <w:sz w:val="20"/>
          <w:szCs w:val="20"/>
          <w:lang w:val="es-MX"/>
        </w:rPr>
      </w:pPr>
    </w:p>
    <w:p w14:paraId="7AB23555" w14:textId="77777777" w:rsidR="000663FA" w:rsidRDefault="000663FA" w:rsidP="000663FA">
      <w:pPr>
        <w:rPr>
          <w:sz w:val="20"/>
          <w:lang w:val="es-MX"/>
        </w:rPr>
      </w:pPr>
      <w:r>
        <w:rPr>
          <w:sz w:val="20"/>
          <w:lang w:val="es-MX"/>
        </w:rPr>
        <w:t xml:space="preserve">El juez Humberto Sierra Porto hizo conocer su voto individual parcialmente disidente, el cual acompaña esta Sentencia. </w:t>
      </w:r>
    </w:p>
    <w:p w14:paraId="21B4FC36" w14:textId="77777777" w:rsidR="000663FA" w:rsidRDefault="000663FA" w:rsidP="000663FA">
      <w:pPr>
        <w:rPr>
          <w:lang w:val="es-MX"/>
        </w:rPr>
      </w:pPr>
    </w:p>
    <w:p w14:paraId="7A11C4F0" w14:textId="77777777" w:rsidR="000663FA" w:rsidRDefault="000663FA" w:rsidP="000663FA">
      <w:pPr>
        <w:rPr>
          <w:sz w:val="20"/>
          <w:szCs w:val="20"/>
          <w:lang w:val="es-MX"/>
        </w:rPr>
      </w:pPr>
    </w:p>
    <w:p w14:paraId="3CD3246F" w14:textId="77777777" w:rsidR="000663FA" w:rsidRDefault="000663FA" w:rsidP="000663FA">
      <w:pPr>
        <w:rPr>
          <w:sz w:val="20"/>
          <w:szCs w:val="20"/>
          <w:lang w:val="es-MX"/>
        </w:rPr>
      </w:pPr>
    </w:p>
    <w:p w14:paraId="16BD289F" w14:textId="77777777" w:rsidR="000663FA" w:rsidRDefault="000663FA" w:rsidP="000663FA">
      <w:pPr>
        <w:rPr>
          <w:sz w:val="20"/>
          <w:szCs w:val="20"/>
          <w:lang w:val="es-MX"/>
        </w:rPr>
      </w:pPr>
    </w:p>
    <w:p w14:paraId="71CC11C8" w14:textId="77777777" w:rsidR="000663FA" w:rsidRDefault="000663FA" w:rsidP="000663FA">
      <w:pPr>
        <w:rPr>
          <w:sz w:val="20"/>
          <w:szCs w:val="20"/>
          <w:lang w:val="es-MX"/>
        </w:rPr>
      </w:pPr>
      <w:r>
        <w:rPr>
          <w:sz w:val="20"/>
          <w:szCs w:val="20"/>
          <w:lang w:val="es-MX"/>
        </w:rPr>
        <w:t>Emitida en español en San José, Costa Rica, el 8 de marzo de 2018.</w:t>
      </w:r>
    </w:p>
    <w:p w14:paraId="74F86E2C" w14:textId="77777777" w:rsidR="000663FA" w:rsidRDefault="000663FA" w:rsidP="00840E52">
      <w:pPr>
        <w:rPr>
          <w:sz w:val="20"/>
          <w:szCs w:val="20"/>
          <w:lang w:val="es-MX"/>
        </w:rPr>
      </w:pPr>
    </w:p>
    <w:p w14:paraId="385161F7" w14:textId="77777777" w:rsidR="003C025E" w:rsidRDefault="003C025E" w:rsidP="003C025E">
      <w:pPr>
        <w:rPr>
          <w:sz w:val="20"/>
        </w:rPr>
      </w:pPr>
    </w:p>
    <w:p w14:paraId="0B299D0E" w14:textId="567AD6AF" w:rsidR="000663FA" w:rsidRDefault="000663FA">
      <w:pPr>
        <w:rPr>
          <w:sz w:val="20"/>
        </w:rPr>
      </w:pPr>
      <w:r>
        <w:rPr>
          <w:sz w:val="20"/>
        </w:rPr>
        <w:br w:type="page"/>
      </w:r>
    </w:p>
    <w:p w14:paraId="418AE50B" w14:textId="77777777" w:rsidR="000663FA" w:rsidRDefault="000663FA" w:rsidP="003C025E">
      <w:pPr>
        <w:rPr>
          <w:sz w:val="20"/>
        </w:rPr>
      </w:pPr>
    </w:p>
    <w:p w14:paraId="25280B23" w14:textId="77777777" w:rsidR="003C025E" w:rsidRDefault="003C025E" w:rsidP="003C025E">
      <w:pPr>
        <w:rPr>
          <w:sz w:val="20"/>
        </w:rPr>
      </w:pPr>
      <w:r>
        <w:rPr>
          <w:sz w:val="20"/>
        </w:rPr>
        <w:t xml:space="preserve">Corte IDH. Caso </w:t>
      </w:r>
      <w:r>
        <w:rPr>
          <w:i/>
          <w:sz w:val="20"/>
        </w:rPr>
        <w:t>Poblete Vilches y otros Vs. Chile.</w:t>
      </w:r>
      <w:r>
        <w:rPr>
          <w:sz w:val="20"/>
        </w:rPr>
        <w:t xml:space="preserve"> Fondo, Reparaciones y Costas. Sentencia de 9 de marzo de 2018.</w:t>
      </w:r>
    </w:p>
    <w:p w14:paraId="0C3FFF5B" w14:textId="77777777" w:rsidR="003C025E" w:rsidRDefault="003C025E" w:rsidP="003C025E">
      <w:pPr>
        <w:rPr>
          <w:sz w:val="20"/>
        </w:rPr>
      </w:pPr>
    </w:p>
    <w:p w14:paraId="0E33FE09" w14:textId="77777777" w:rsidR="003C025E" w:rsidRDefault="003C025E" w:rsidP="003C025E">
      <w:pPr>
        <w:rPr>
          <w:sz w:val="20"/>
        </w:rPr>
      </w:pPr>
    </w:p>
    <w:p w14:paraId="7BA546AE" w14:textId="77777777" w:rsidR="003C025E" w:rsidRDefault="003C025E" w:rsidP="003C025E">
      <w:pPr>
        <w:rPr>
          <w:sz w:val="20"/>
        </w:rPr>
      </w:pPr>
    </w:p>
    <w:p w14:paraId="0E956FE2" w14:textId="77777777" w:rsidR="003C025E" w:rsidRDefault="003C025E" w:rsidP="003C025E">
      <w:pPr>
        <w:rPr>
          <w:sz w:val="20"/>
        </w:rPr>
      </w:pPr>
    </w:p>
    <w:p w14:paraId="15F1EF85" w14:textId="77777777" w:rsidR="003C025E" w:rsidRDefault="003C025E" w:rsidP="003C025E">
      <w:pPr>
        <w:jc w:val="center"/>
        <w:rPr>
          <w:sz w:val="20"/>
        </w:rPr>
      </w:pPr>
    </w:p>
    <w:p w14:paraId="7D7E808D" w14:textId="77777777" w:rsidR="003C025E" w:rsidRDefault="003C025E" w:rsidP="003C025E">
      <w:pPr>
        <w:jc w:val="center"/>
        <w:rPr>
          <w:sz w:val="20"/>
        </w:rPr>
      </w:pPr>
      <w:r>
        <w:rPr>
          <w:sz w:val="20"/>
        </w:rPr>
        <w:t>Eduardo Ferrer Mac-</w:t>
      </w:r>
      <w:proofErr w:type="spellStart"/>
      <w:r>
        <w:rPr>
          <w:sz w:val="20"/>
        </w:rPr>
        <w:t>Gregor</w:t>
      </w:r>
      <w:proofErr w:type="spellEnd"/>
      <w:r>
        <w:rPr>
          <w:sz w:val="20"/>
        </w:rPr>
        <w:t xml:space="preserve"> </w:t>
      </w:r>
      <w:proofErr w:type="spellStart"/>
      <w:r>
        <w:rPr>
          <w:sz w:val="20"/>
        </w:rPr>
        <w:t>Poisot</w:t>
      </w:r>
      <w:proofErr w:type="spellEnd"/>
      <w:r>
        <w:rPr>
          <w:sz w:val="20"/>
        </w:rPr>
        <w:t xml:space="preserve"> </w:t>
      </w:r>
    </w:p>
    <w:p w14:paraId="7916AD1C" w14:textId="77777777" w:rsidR="003C025E" w:rsidRDefault="003C025E" w:rsidP="003C025E">
      <w:pPr>
        <w:jc w:val="center"/>
        <w:rPr>
          <w:sz w:val="20"/>
        </w:rPr>
      </w:pPr>
      <w:r>
        <w:rPr>
          <w:sz w:val="20"/>
        </w:rPr>
        <w:t>Presidente</w:t>
      </w:r>
    </w:p>
    <w:p w14:paraId="75FC102B" w14:textId="77777777" w:rsidR="003C025E" w:rsidRDefault="003C025E" w:rsidP="003C025E">
      <w:pPr>
        <w:rPr>
          <w:sz w:val="20"/>
        </w:rPr>
      </w:pPr>
    </w:p>
    <w:p w14:paraId="62052B58" w14:textId="77777777" w:rsidR="003C025E" w:rsidRDefault="003C025E" w:rsidP="003C025E">
      <w:pPr>
        <w:rPr>
          <w:sz w:val="20"/>
        </w:rPr>
      </w:pPr>
    </w:p>
    <w:p w14:paraId="7B5CB432" w14:textId="77777777" w:rsidR="003C025E" w:rsidRDefault="003C025E" w:rsidP="003C025E">
      <w:pPr>
        <w:rPr>
          <w:sz w:val="20"/>
        </w:rPr>
      </w:pPr>
    </w:p>
    <w:p w14:paraId="2E79CB37" w14:textId="77777777" w:rsidR="003C025E" w:rsidRDefault="003C025E" w:rsidP="003C025E">
      <w:pPr>
        <w:rPr>
          <w:sz w:val="20"/>
        </w:rPr>
      </w:pPr>
    </w:p>
    <w:p w14:paraId="1175C9C9" w14:textId="77777777" w:rsidR="003C025E" w:rsidRDefault="003C025E" w:rsidP="003C025E">
      <w:pPr>
        <w:rPr>
          <w:sz w:val="20"/>
        </w:rPr>
      </w:pPr>
      <w:r>
        <w:rPr>
          <w:sz w:val="20"/>
        </w:rPr>
        <w:tab/>
      </w:r>
      <w:r>
        <w:rPr>
          <w:sz w:val="20"/>
        </w:rPr>
        <w:tab/>
      </w:r>
      <w:r>
        <w:rPr>
          <w:sz w:val="20"/>
        </w:rPr>
        <w:tab/>
      </w:r>
    </w:p>
    <w:p w14:paraId="6ECADE76" w14:textId="77777777" w:rsidR="003C025E" w:rsidRPr="003D7CEE" w:rsidRDefault="003C025E" w:rsidP="003C025E">
      <w:pPr>
        <w:rPr>
          <w:sz w:val="20"/>
        </w:rPr>
      </w:pPr>
      <w:r>
        <w:rPr>
          <w:sz w:val="20"/>
        </w:rPr>
        <w:t>Humberto A. Sierra Porto</w:t>
      </w:r>
      <w:r>
        <w:rPr>
          <w:sz w:val="20"/>
        </w:rPr>
        <w:tab/>
      </w:r>
      <w:r>
        <w:rPr>
          <w:sz w:val="20"/>
        </w:rPr>
        <w:tab/>
        <w:t xml:space="preserve">  </w:t>
      </w:r>
      <w:r>
        <w:rPr>
          <w:sz w:val="20"/>
        </w:rPr>
        <w:tab/>
      </w:r>
      <w:r>
        <w:rPr>
          <w:sz w:val="20"/>
        </w:rPr>
        <w:tab/>
      </w:r>
      <w:r>
        <w:rPr>
          <w:sz w:val="20"/>
        </w:rPr>
        <w:tab/>
      </w:r>
      <w:r>
        <w:rPr>
          <w:sz w:val="20"/>
        </w:rPr>
        <w:tab/>
      </w:r>
      <w:r>
        <w:rPr>
          <w:sz w:val="20"/>
        </w:rPr>
        <w:tab/>
        <w:t xml:space="preserve"> Elizabeth Odio Benito</w:t>
      </w:r>
    </w:p>
    <w:p w14:paraId="77C548C7" w14:textId="77777777" w:rsidR="003C025E" w:rsidRDefault="003C025E" w:rsidP="003C025E">
      <w:pPr>
        <w:jc w:val="center"/>
        <w:rPr>
          <w:sz w:val="20"/>
        </w:rPr>
      </w:pPr>
    </w:p>
    <w:p w14:paraId="6685FA7E" w14:textId="77777777" w:rsidR="003C025E" w:rsidRDefault="003C025E" w:rsidP="003C025E">
      <w:pPr>
        <w:rPr>
          <w:sz w:val="20"/>
        </w:rPr>
      </w:pPr>
    </w:p>
    <w:p w14:paraId="3CE7ABE2" w14:textId="77777777" w:rsidR="003C025E" w:rsidRDefault="003C025E" w:rsidP="003C025E">
      <w:pPr>
        <w:jc w:val="center"/>
        <w:rPr>
          <w:sz w:val="20"/>
        </w:rPr>
      </w:pPr>
    </w:p>
    <w:p w14:paraId="1EB9DD76" w14:textId="77777777" w:rsidR="003C025E" w:rsidRDefault="003C025E" w:rsidP="003C025E">
      <w:pPr>
        <w:jc w:val="center"/>
        <w:rPr>
          <w:sz w:val="20"/>
        </w:rPr>
      </w:pPr>
    </w:p>
    <w:p w14:paraId="5B71C1F8" w14:textId="77777777" w:rsidR="003C025E" w:rsidRDefault="003C025E" w:rsidP="003C025E">
      <w:pPr>
        <w:rPr>
          <w:sz w:val="20"/>
        </w:rPr>
      </w:pPr>
      <w:r>
        <w:rPr>
          <w:sz w:val="20"/>
        </w:rPr>
        <w:tab/>
      </w:r>
      <w:r>
        <w:rPr>
          <w:sz w:val="20"/>
        </w:rPr>
        <w:tab/>
      </w:r>
      <w:r>
        <w:rPr>
          <w:sz w:val="20"/>
        </w:rPr>
        <w:tab/>
      </w:r>
    </w:p>
    <w:p w14:paraId="362B3996" w14:textId="77777777" w:rsidR="003C025E" w:rsidRDefault="003C025E" w:rsidP="003C025E">
      <w:pPr>
        <w:rPr>
          <w:sz w:val="20"/>
        </w:rPr>
      </w:pPr>
      <w:r>
        <w:rPr>
          <w:sz w:val="20"/>
        </w:rPr>
        <w:t xml:space="preserve">Eugenio Raúl </w:t>
      </w:r>
      <w:proofErr w:type="spellStart"/>
      <w:r>
        <w:rPr>
          <w:sz w:val="20"/>
        </w:rPr>
        <w:t>Zaffaroni</w:t>
      </w:r>
      <w:proofErr w:type="spellEnd"/>
      <w:r>
        <w:rPr>
          <w:sz w:val="20"/>
        </w:rPr>
        <w:tab/>
      </w:r>
      <w:r>
        <w:rPr>
          <w:sz w:val="20"/>
        </w:rPr>
        <w:tab/>
      </w:r>
      <w:r>
        <w:rPr>
          <w:sz w:val="20"/>
        </w:rPr>
        <w:tab/>
      </w:r>
      <w:r>
        <w:rPr>
          <w:sz w:val="20"/>
        </w:rPr>
        <w:tab/>
      </w:r>
      <w:r>
        <w:rPr>
          <w:sz w:val="20"/>
        </w:rPr>
        <w:tab/>
        <w:t xml:space="preserve">                L. Patricio Pazmiño Freire</w:t>
      </w:r>
    </w:p>
    <w:p w14:paraId="334CF7F3" w14:textId="77777777" w:rsidR="003C025E" w:rsidRDefault="003C025E" w:rsidP="003C025E">
      <w:pPr>
        <w:rPr>
          <w:sz w:val="20"/>
        </w:rPr>
      </w:pPr>
      <w:r>
        <w:rPr>
          <w:sz w:val="20"/>
        </w:rPr>
        <w:tab/>
      </w:r>
      <w:r>
        <w:rPr>
          <w:sz w:val="20"/>
        </w:rPr>
        <w:tab/>
      </w:r>
      <w:r>
        <w:rPr>
          <w:sz w:val="20"/>
        </w:rPr>
        <w:tab/>
      </w:r>
    </w:p>
    <w:p w14:paraId="2AD0F18E" w14:textId="77777777" w:rsidR="003C025E" w:rsidRDefault="003C025E" w:rsidP="003C025E">
      <w:pPr>
        <w:rPr>
          <w:sz w:val="20"/>
        </w:rPr>
      </w:pPr>
    </w:p>
    <w:p w14:paraId="2CCFAAFB" w14:textId="77777777" w:rsidR="003C025E" w:rsidRDefault="003C025E" w:rsidP="003C025E">
      <w:pPr>
        <w:tabs>
          <w:tab w:val="left" w:pos="8460"/>
          <w:tab w:val="left" w:pos="8640"/>
        </w:tabs>
        <w:rPr>
          <w:sz w:val="20"/>
        </w:rPr>
      </w:pPr>
    </w:p>
    <w:p w14:paraId="35DF2338" w14:textId="77777777" w:rsidR="003C025E" w:rsidRDefault="003C025E" w:rsidP="003C025E">
      <w:pPr>
        <w:tabs>
          <w:tab w:val="left" w:pos="8460"/>
          <w:tab w:val="left" w:pos="8640"/>
        </w:tabs>
        <w:rPr>
          <w:sz w:val="20"/>
        </w:rPr>
      </w:pPr>
    </w:p>
    <w:p w14:paraId="4C56F27C" w14:textId="77777777" w:rsidR="003C025E" w:rsidRPr="00274D2F" w:rsidRDefault="003C025E" w:rsidP="003C025E">
      <w:pPr>
        <w:tabs>
          <w:tab w:val="left" w:pos="8460"/>
          <w:tab w:val="left" w:pos="8640"/>
        </w:tabs>
        <w:jc w:val="center"/>
        <w:rPr>
          <w:sz w:val="20"/>
        </w:rPr>
      </w:pPr>
    </w:p>
    <w:p w14:paraId="3EA16267" w14:textId="77777777" w:rsidR="003C025E" w:rsidRDefault="003C025E" w:rsidP="003C025E">
      <w:pPr>
        <w:tabs>
          <w:tab w:val="left" w:pos="8460"/>
          <w:tab w:val="left" w:pos="8640"/>
        </w:tabs>
        <w:jc w:val="center"/>
        <w:rPr>
          <w:sz w:val="20"/>
        </w:rPr>
      </w:pPr>
      <w:r>
        <w:rPr>
          <w:sz w:val="20"/>
        </w:rPr>
        <w:t>Emilia Segares Rodríguez</w:t>
      </w:r>
    </w:p>
    <w:p w14:paraId="5048DDB6" w14:textId="77777777" w:rsidR="003C025E" w:rsidRDefault="003C025E" w:rsidP="003C025E">
      <w:pPr>
        <w:tabs>
          <w:tab w:val="left" w:pos="8460"/>
          <w:tab w:val="left" w:pos="8640"/>
        </w:tabs>
        <w:jc w:val="center"/>
        <w:rPr>
          <w:sz w:val="20"/>
        </w:rPr>
      </w:pPr>
      <w:r>
        <w:rPr>
          <w:sz w:val="20"/>
        </w:rPr>
        <w:t>Secretaria Adjunta</w:t>
      </w:r>
    </w:p>
    <w:p w14:paraId="166E7639" w14:textId="77777777" w:rsidR="003C025E" w:rsidRDefault="003C025E" w:rsidP="003C025E">
      <w:pPr>
        <w:rPr>
          <w:sz w:val="20"/>
        </w:rPr>
      </w:pPr>
    </w:p>
    <w:p w14:paraId="26BA19C9" w14:textId="77777777" w:rsidR="003C025E" w:rsidRDefault="003C025E" w:rsidP="003C025E">
      <w:pPr>
        <w:tabs>
          <w:tab w:val="left" w:pos="8460"/>
          <w:tab w:val="left" w:pos="8640"/>
        </w:tabs>
        <w:rPr>
          <w:sz w:val="20"/>
        </w:rPr>
      </w:pPr>
      <w:r>
        <w:rPr>
          <w:sz w:val="20"/>
        </w:rPr>
        <w:t>Comuníquese y ejecútese,</w:t>
      </w:r>
    </w:p>
    <w:p w14:paraId="4C7C0CE2" w14:textId="77777777" w:rsidR="003C025E" w:rsidRDefault="003C025E" w:rsidP="003C025E">
      <w:pPr>
        <w:tabs>
          <w:tab w:val="left" w:pos="8460"/>
          <w:tab w:val="left" w:pos="8640"/>
        </w:tabs>
        <w:rPr>
          <w:sz w:val="20"/>
        </w:rPr>
      </w:pPr>
    </w:p>
    <w:p w14:paraId="4E072446" w14:textId="77777777" w:rsidR="003C025E" w:rsidRDefault="003C025E" w:rsidP="003C025E">
      <w:pPr>
        <w:tabs>
          <w:tab w:val="left" w:pos="8460"/>
          <w:tab w:val="left" w:pos="8640"/>
        </w:tabs>
        <w:rPr>
          <w:sz w:val="20"/>
        </w:rPr>
      </w:pPr>
    </w:p>
    <w:p w14:paraId="03077A09" w14:textId="77777777" w:rsidR="003C025E" w:rsidRDefault="003C025E" w:rsidP="003C025E">
      <w:pPr>
        <w:tabs>
          <w:tab w:val="left" w:pos="8460"/>
          <w:tab w:val="left" w:pos="8640"/>
        </w:tabs>
        <w:jc w:val="right"/>
        <w:rPr>
          <w:sz w:val="20"/>
        </w:rPr>
      </w:pPr>
    </w:p>
    <w:p w14:paraId="50E14E43" w14:textId="77777777" w:rsidR="003C025E" w:rsidRDefault="003C025E" w:rsidP="003C025E">
      <w:pPr>
        <w:ind w:left="5760"/>
        <w:jc w:val="center"/>
        <w:rPr>
          <w:sz w:val="20"/>
        </w:rPr>
      </w:pPr>
      <w:r>
        <w:rPr>
          <w:sz w:val="20"/>
        </w:rPr>
        <w:t xml:space="preserve">   Eduardo Ferrer Mac-</w:t>
      </w:r>
      <w:proofErr w:type="spellStart"/>
      <w:r>
        <w:rPr>
          <w:sz w:val="20"/>
        </w:rPr>
        <w:t>Gregor</w:t>
      </w:r>
      <w:proofErr w:type="spellEnd"/>
      <w:r>
        <w:rPr>
          <w:sz w:val="20"/>
        </w:rPr>
        <w:t xml:space="preserve"> </w:t>
      </w:r>
      <w:proofErr w:type="spellStart"/>
      <w:r>
        <w:rPr>
          <w:sz w:val="20"/>
        </w:rPr>
        <w:t>Poisot</w:t>
      </w:r>
      <w:proofErr w:type="spellEnd"/>
      <w:r>
        <w:rPr>
          <w:sz w:val="20"/>
        </w:rPr>
        <w:t xml:space="preserve"> </w:t>
      </w:r>
    </w:p>
    <w:p w14:paraId="6E843383" w14:textId="77777777" w:rsidR="003C025E" w:rsidRDefault="003C025E" w:rsidP="003C025E">
      <w:pPr>
        <w:ind w:left="5040" w:firstLine="720"/>
        <w:jc w:val="center"/>
        <w:rPr>
          <w:sz w:val="20"/>
        </w:rPr>
      </w:pPr>
      <w:r>
        <w:rPr>
          <w:sz w:val="20"/>
        </w:rPr>
        <w:t xml:space="preserve">   Presidente</w:t>
      </w:r>
    </w:p>
    <w:p w14:paraId="60B90AE5" w14:textId="77777777" w:rsidR="003C025E" w:rsidRDefault="003C025E" w:rsidP="003C025E">
      <w:pPr>
        <w:tabs>
          <w:tab w:val="left" w:pos="8460"/>
          <w:tab w:val="left" w:pos="8640"/>
        </w:tabs>
        <w:rPr>
          <w:sz w:val="20"/>
        </w:rPr>
      </w:pPr>
    </w:p>
    <w:p w14:paraId="35E3D905" w14:textId="77777777" w:rsidR="003C025E" w:rsidRDefault="003C025E" w:rsidP="003C025E">
      <w:pPr>
        <w:tabs>
          <w:tab w:val="left" w:pos="8460"/>
          <w:tab w:val="left" w:pos="8640"/>
        </w:tabs>
        <w:rPr>
          <w:sz w:val="20"/>
        </w:rPr>
      </w:pPr>
    </w:p>
    <w:p w14:paraId="010968E4" w14:textId="77777777" w:rsidR="003C025E" w:rsidRDefault="003C025E" w:rsidP="003C025E">
      <w:pPr>
        <w:tabs>
          <w:tab w:val="left" w:pos="8460"/>
          <w:tab w:val="left" w:pos="8640"/>
        </w:tabs>
        <w:rPr>
          <w:sz w:val="20"/>
        </w:rPr>
      </w:pPr>
    </w:p>
    <w:p w14:paraId="61099EA9" w14:textId="77777777" w:rsidR="003C025E" w:rsidRDefault="003C025E" w:rsidP="003C025E">
      <w:pPr>
        <w:tabs>
          <w:tab w:val="left" w:pos="8460"/>
          <w:tab w:val="left" w:pos="8640"/>
        </w:tabs>
        <w:rPr>
          <w:sz w:val="20"/>
        </w:rPr>
      </w:pPr>
    </w:p>
    <w:p w14:paraId="49189D33" w14:textId="77777777" w:rsidR="003C025E" w:rsidRDefault="003C025E" w:rsidP="003C025E">
      <w:pPr>
        <w:tabs>
          <w:tab w:val="left" w:pos="8460"/>
          <w:tab w:val="left" w:pos="8640"/>
        </w:tabs>
        <w:rPr>
          <w:sz w:val="20"/>
        </w:rPr>
      </w:pPr>
      <w:r>
        <w:rPr>
          <w:sz w:val="20"/>
        </w:rPr>
        <w:t xml:space="preserve">   Emilia Segares Rodríguez</w:t>
      </w:r>
    </w:p>
    <w:p w14:paraId="505390BB" w14:textId="77777777" w:rsidR="003C025E" w:rsidRDefault="003C025E" w:rsidP="003C025E">
      <w:pPr>
        <w:tabs>
          <w:tab w:val="left" w:pos="8460"/>
          <w:tab w:val="left" w:pos="8640"/>
        </w:tabs>
        <w:rPr>
          <w:sz w:val="20"/>
        </w:rPr>
      </w:pPr>
      <w:r>
        <w:rPr>
          <w:sz w:val="20"/>
        </w:rPr>
        <w:t xml:space="preserve">        Secretaria Adjunta</w:t>
      </w:r>
    </w:p>
    <w:p w14:paraId="250601D5" w14:textId="77777777" w:rsidR="00B370D2" w:rsidRDefault="00B370D2" w:rsidP="003C025E">
      <w:pPr>
        <w:rPr>
          <w:sz w:val="20"/>
        </w:rPr>
        <w:sectPr w:rsidR="00B370D2" w:rsidSect="004450BE">
          <w:headerReference w:type="default" r:id="rId12"/>
          <w:footerReference w:type="even" r:id="rId13"/>
          <w:headerReference w:type="first" r:id="rId14"/>
          <w:footnotePr>
            <w:numRestart w:val="eachSect"/>
          </w:footnotePr>
          <w:pgSz w:w="12240" w:h="15840"/>
          <w:pgMar w:top="1247" w:right="1247" w:bottom="1247" w:left="1247" w:header="709" w:footer="709" w:gutter="0"/>
          <w:pgNumType w:start="1"/>
          <w:cols w:space="708"/>
          <w:titlePg/>
          <w:docGrid w:linePitch="360"/>
        </w:sectPr>
      </w:pPr>
    </w:p>
    <w:p w14:paraId="3AE68A61" w14:textId="77777777" w:rsidR="00B370D2" w:rsidRPr="00BE7922" w:rsidRDefault="00B370D2" w:rsidP="00B370D2">
      <w:pPr>
        <w:jc w:val="center"/>
        <w:rPr>
          <w:b/>
          <w:sz w:val="18"/>
        </w:rPr>
      </w:pPr>
    </w:p>
    <w:p w14:paraId="39579184" w14:textId="77777777" w:rsidR="00B370D2" w:rsidRPr="00BE7922" w:rsidRDefault="00B370D2" w:rsidP="00B370D2">
      <w:pPr>
        <w:jc w:val="center"/>
        <w:rPr>
          <w:b/>
          <w:sz w:val="18"/>
        </w:rPr>
      </w:pPr>
    </w:p>
    <w:p w14:paraId="6F764C78" w14:textId="77777777" w:rsidR="00B370D2" w:rsidRPr="00BE7922" w:rsidRDefault="00B370D2" w:rsidP="00B370D2">
      <w:pPr>
        <w:jc w:val="center"/>
        <w:rPr>
          <w:b/>
          <w:sz w:val="18"/>
        </w:rPr>
      </w:pPr>
    </w:p>
    <w:p w14:paraId="2860776E" w14:textId="77777777" w:rsidR="00B370D2" w:rsidRPr="00BE7922" w:rsidRDefault="00B370D2" w:rsidP="00B370D2">
      <w:pPr>
        <w:jc w:val="center"/>
        <w:rPr>
          <w:b/>
          <w:sz w:val="18"/>
        </w:rPr>
      </w:pPr>
    </w:p>
    <w:p w14:paraId="17D276BA" w14:textId="77777777" w:rsidR="00B370D2" w:rsidRPr="00BE7922" w:rsidRDefault="00B370D2" w:rsidP="00B370D2">
      <w:pPr>
        <w:jc w:val="center"/>
        <w:rPr>
          <w:b/>
          <w:sz w:val="18"/>
        </w:rPr>
      </w:pPr>
    </w:p>
    <w:p w14:paraId="00218727" w14:textId="77777777" w:rsidR="00B370D2" w:rsidRPr="00BE7922" w:rsidRDefault="00B370D2" w:rsidP="00B370D2">
      <w:pPr>
        <w:jc w:val="center"/>
        <w:rPr>
          <w:b/>
          <w:sz w:val="18"/>
        </w:rPr>
      </w:pPr>
    </w:p>
    <w:p w14:paraId="214AA4E2" w14:textId="77777777" w:rsidR="00B370D2" w:rsidRPr="00BE7922" w:rsidRDefault="00B370D2" w:rsidP="00B370D2">
      <w:pPr>
        <w:jc w:val="center"/>
        <w:rPr>
          <w:b/>
          <w:sz w:val="18"/>
        </w:rPr>
      </w:pPr>
    </w:p>
    <w:p w14:paraId="47A4310B" w14:textId="77777777" w:rsidR="00B370D2" w:rsidRPr="00BE7922" w:rsidRDefault="00B370D2" w:rsidP="00B370D2">
      <w:pPr>
        <w:jc w:val="center"/>
        <w:rPr>
          <w:rFonts w:eastAsia="Calibri"/>
          <w:b/>
          <w:sz w:val="20"/>
          <w:szCs w:val="20"/>
          <w:lang w:val="es-ES_tradnl"/>
        </w:rPr>
      </w:pPr>
      <w:r w:rsidRPr="00BE7922">
        <w:rPr>
          <w:rFonts w:eastAsia="Calibri"/>
          <w:b/>
          <w:sz w:val="20"/>
          <w:szCs w:val="20"/>
          <w:lang w:val="es-ES_tradnl"/>
        </w:rPr>
        <w:t xml:space="preserve">VOTO CONCURRENTE DEL </w:t>
      </w:r>
    </w:p>
    <w:p w14:paraId="00FA4B0A" w14:textId="77777777" w:rsidR="00B370D2" w:rsidRPr="00BE7922" w:rsidRDefault="00B370D2" w:rsidP="00B370D2">
      <w:pPr>
        <w:jc w:val="center"/>
        <w:rPr>
          <w:rFonts w:eastAsia="Calibri"/>
          <w:b/>
          <w:sz w:val="20"/>
          <w:szCs w:val="20"/>
          <w:lang w:val="es-ES_tradnl"/>
        </w:rPr>
      </w:pPr>
      <w:r w:rsidRPr="00BE7922">
        <w:rPr>
          <w:rFonts w:eastAsia="Calibri"/>
          <w:b/>
          <w:sz w:val="20"/>
          <w:szCs w:val="20"/>
          <w:lang w:val="es-ES_tradnl"/>
        </w:rPr>
        <w:t xml:space="preserve">JUEZ HUMBERTO ANTONIO SIERRA PORTO </w:t>
      </w:r>
    </w:p>
    <w:p w14:paraId="1D1D8285" w14:textId="77777777" w:rsidR="00B370D2" w:rsidRPr="00BE7922" w:rsidRDefault="00B370D2" w:rsidP="00B370D2">
      <w:pPr>
        <w:jc w:val="center"/>
        <w:rPr>
          <w:rFonts w:eastAsia="Calibri"/>
          <w:b/>
          <w:sz w:val="20"/>
          <w:szCs w:val="20"/>
          <w:lang w:val="es-ES_tradnl"/>
        </w:rPr>
      </w:pPr>
    </w:p>
    <w:p w14:paraId="1024F187" w14:textId="77777777" w:rsidR="00B370D2" w:rsidRPr="00BE7922" w:rsidRDefault="00B370D2" w:rsidP="00B370D2">
      <w:pPr>
        <w:jc w:val="center"/>
        <w:rPr>
          <w:rFonts w:eastAsia="Calibri"/>
          <w:b/>
          <w:sz w:val="20"/>
          <w:szCs w:val="20"/>
          <w:lang w:val="es-ES_tradnl"/>
        </w:rPr>
      </w:pPr>
      <w:r w:rsidRPr="00BE7922">
        <w:rPr>
          <w:rFonts w:eastAsia="Calibri"/>
          <w:b/>
          <w:sz w:val="20"/>
          <w:szCs w:val="20"/>
          <w:lang w:val="es-ES_tradnl"/>
        </w:rPr>
        <w:t>A LA SENTENCIA DE 8 DE MARZO DE 2018</w:t>
      </w:r>
    </w:p>
    <w:p w14:paraId="74527269" w14:textId="77777777" w:rsidR="00B370D2" w:rsidRPr="00BE7922" w:rsidRDefault="00B370D2" w:rsidP="00BE7922">
      <w:pPr>
        <w:jc w:val="center"/>
        <w:rPr>
          <w:rFonts w:eastAsia="Calibri"/>
          <w:b/>
          <w:sz w:val="20"/>
          <w:szCs w:val="20"/>
          <w:lang w:val="es-ES_tradnl"/>
        </w:rPr>
      </w:pPr>
      <w:r w:rsidRPr="00BE7922">
        <w:rPr>
          <w:rFonts w:eastAsia="Calibri"/>
          <w:b/>
          <w:sz w:val="20"/>
          <w:szCs w:val="20"/>
          <w:lang w:val="es-ES_tradnl"/>
        </w:rPr>
        <w:t>DE LA CORTE INTERAMERICANA DE DERECHOS HUMANOS</w:t>
      </w:r>
    </w:p>
    <w:p w14:paraId="19FC2EB4" w14:textId="77777777" w:rsidR="00B370D2" w:rsidRPr="00BE7922" w:rsidRDefault="00B370D2" w:rsidP="00B370D2">
      <w:pPr>
        <w:jc w:val="center"/>
        <w:rPr>
          <w:rFonts w:eastAsia="Calibri"/>
          <w:b/>
          <w:sz w:val="20"/>
          <w:szCs w:val="20"/>
          <w:lang w:val="es-ES_tradnl"/>
        </w:rPr>
      </w:pPr>
    </w:p>
    <w:p w14:paraId="7A98778B" w14:textId="77777777" w:rsidR="00B370D2" w:rsidRDefault="00B370D2" w:rsidP="00BE7922">
      <w:pPr>
        <w:jc w:val="center"/>
        <w:rPr>
          <w:b/>
        </w:rPr>
      </w:pPr>
      <w:r w:rsidRPr="00BE7922">
        <w:rPr>
          <w:rFonts w:eastAsia="Calibri"/>
          <w:b/>
          <w:sz w:val="20"/>
          <w:szCs w:val="20"/>
          <w:lang w:val="es-ES_tradnl"/>
        </w:rPr>
        <w:t>EN EL CASO DE POBLETE VILCHES Y OTROS VS. CHILE</w:t>
      </w:r>
    </w:p>
    <w:p w14:paraId="462F0CA0" w14:textId="77777777" w:rsidR="00B370D2" w:rsidRPr="00BE7922" w:rsidRDefault="00B370D2" w:rsidP="00B370D2">
      <w:pPr>
        <w:rPr>
          <w:b/>
          <w:sz w:val="18"/>
        </w:rPr>
      </w:pPr>
    </w:p>
    <w:p w14:paraId="16043D01" w14:textId="77777777" w:rsidR="00B370D2" w:rsidRPr="00BE7922" w:rsidRDefault="00B370D2" w:rsidP="00BE7922">
      <w:pPr>
        <w:jc w:val="left"/>
        <w:rPr>
          <w:rFonts w:eastAsia="Calibri"/>
          <w:b/>
          <w:i/>
          <w:sz w:val="20"/>
          <w:szCs w:val="20"/>
          <w:lang w:val="es-ES_tradnl"/>
        </w:rPr>
      </w:pPr>
      <w:r w:rsidRPr="00BE7922">
        <w:rPr>
          <w:rFonts w:eastAsia="Calibri"/>
          <w:b/>
          <w:i/>
          <w:sz w:val="20"/>
          <w:szCs w:val="20"/>
          <w:lang w:val="es-ES_tradnl"/>
        </w:rPr>
        <w:t>I. Introducción</w:t>
      </w:r>
    </w:p>
    <w:p w14:paraId="3BA511E6" w14:textId="77777777" w:rsidR="00B370D2" w:rsidRPr="00BE7922" w:rsidRDefault="00B370D2" w:rsidP="00B370D2">
      <w:pPr>
        <w:rPr>
          <w:b/>
          <w:sz w:val="16"/>
        </w:rPr>
      </w:pPr>
    </w:p>
    <w:p w14:paraId="46AC89C8" w14:textId="77777777" w:rsidR="00B370D2" w:rsidRDefault="00B370D2" w:rsidP="00B370D2">
      <w:pPr>
        <w:pStyle w:val="ListParagraph"/>
        <w:numPr>
          <w:ilvl w:val="0"/>
          <w:numId w:val="33"/>
        </w:numPr>
        <w:ind w:left="0" w:firstLine="0"/>
        <w:rPr>
          <w:sz w:val="20"/>
          <w:szCs w:val="20"/>
        </w:rPr>
      </w:pPr>
      <w:r w:rsidRPr="009D7294">
        <w:rPr>
          <w:sz w:val="20"/>
          <w:szCs w:val="20"/>
        </w:rPr>
        <w:t xml:space="preserve">Con el acostumbrado </w:t>
      </w:r>
      <w:r w:rsidRPr="003552CE">
        <w:rPr>
          <w:sz w:val="20"/>
          <w:szCs w:val="20"/>
        </w:rPr>
        <w:t xml:space="preserve">respeto por las decisiones de </w:t>
      </w:r>
      <w:r>
        <w:rPr>
          <w:sz w:val="20"/>
          <w:szCs w:val="20"/>
        </w:rPr>
        <w:t>la</w:t>
      </w:r>
      <w:r w:rsidRPr="009D7294">
        <w:rPr>
          <w:sz w:val="20"/>
          <w:szCs w:val="20"/>
        </w:rPr>
        <w:t xml:space="preserve"> Corte</w:t>
      </w:r>
      <w:r>
        <w:rPr>
          <w:sz w:val="20"/>
          <w:szCs w:val="20"/>
        </w:rPr>
        <w:t xml:space="preserve"> Interamericana de Derechos Humanos (en adelante, también</w:t>
      </w:r>
      <w:r w:rsidRPr="003F45A4">
        <w:rPr>
          <w:sz w:val="20"/>
          <w:szCs w:val="20"/>
        </w:rPr>
        <w:t xml:space="preserve"> “la Corte” o “el Tribunal”), me permito formular el presente voto concurrente. El voto se centra en el análisis de fondo que realizó la Corte acerca de la responsabilidad internacional del Estado por la violación de los derechos a la salud, vida, integridad personal y acceso a la información. En concreto, explicaré las razones por las que me sumé al voto de la mayoría en la declaración de responsabilidad internacional por la violación al derecho a la salud</w:t>
      </w:r>
      <w:r>
        <w:rPr>
          <w:sz w:val="20"/>
          <w:szCs w:val="20"/>
        </w:rPr>
        <w:t xml:space="preserve"> (</w:t>
      </w:r>
      <w:r w:rsidRPr="00AF6286">
        <w:rPr>
          <w:i/>
          <w:sz w:val="20"/>
          <w:szCs w:val="20"/>
        </w:rPr>
        <w:t>supra</w:t>
      </w:r>
      <w:r>
        <w:rPr>
          <w:sz w:val="20"/>
          <w:szCs w:val="20"/>
        </w:rPr>
        <w:t xml:space="preserve">, </w:t>
      </w:r>
      <w:r w:rsidRPr="00AF6286">
        <w:rPr>
          <w:sz w:val="20"/>
          <w:szCs w:val="20"/>
        </w:rPr>
        <w:t>párr</w:t>
      </w:r>
      <w:r>
        <w:rPr>
          <w:sz w:val="20"/>
          <w:szCs w:val="20"/>
        </w:rPr>
        <w:t>. 143)</w:t>
      </w:r>
      <w:r w:rsidRPr="003F45A4">
        <w:rPr>
          <w:sz w:val="20"/>
          <w:szCs w:val="20"/>
        </w:rPr>
        <w:t xml:space="preserve">, y </w:t>
      </w:r>
      <w:r>
        <w:rPr>
          <w:sz w:val="20"/>
          <w:szCs w:val="20"/>
        </w:rPr>
        <w:t>realizaré</w:t>
      </w:r>
      <w:r w:rsidRPr="003F45A4">
        <w:rPr>
          <w:sz w:val="20"/>
          <w:szCs w:val="20"/>
        </w:rPr>
        <w:t xml:space="preserve"> algunas reflexiones acerca del análisis que la Corte hace sobre violaciones a los</w:t>
      </w:r>
      <w:r>
        <w:rPr>
          <w:sz w:val="20"/>
          <w:szCs w:val="20"/>
        </w:rPr>
        <w:t xml:space="preserve"> derechos económicos, sociales,</w:t>
      </w:r>
      <w:r w:rsidRPr="003F45A4">
        <w:rPr>
          <w:sz w:val="20"/>
          <w:szCs w:val="20"/>
        </w:rPr>
        <w:t xml:space="preserve"> culturales</w:t>
      </w:r>
      <w:r>
        <w:rPr>
          <w:sz w:val="20"/>
          <w:szCs w:val="20"/>
        </w:rPr>
        <w:t xml:space="preserve"> y ambientales</w:t>
      </w:r>
      <w:r w:rsidRPr="003F45A4">
        <w:rPr>
          <w:sz w:val="20"/>
          <w:szCs w:val="20"/>
        </w:rPr>
        <w:t xml:space="preserve"> (en adelante, también “DESC</w:t>
      </w:r>
      <w:r>
        <w:rPr>
          <w:sz w:val="20"/>
          <w:szCs w:val="20"/>
        </w:rPr>
        <w:t>A</w:t>
      </w:r>
      <w:r w:rsidRPr="003F45A4">
        <w:rPr>
          <w:sz w:val="20"/>
          <w:szCs w:val="20"/>
        </w:rPr>
        <w:t xml:space="preserve">”) sobre la base del artículo 26 de la Convención Americana sobre Derechos Humanos (en adelante, también “la Convención”). En ese sentido, advierto que mis reflexiones complementan lo ya expresado en mis votos parcialmente disidentes de los casos </w:t>
      </w:r>
      <w:r w:rsidRPr="003F45A4">
        <w:rPr>
          <w:i/>
          <w:sz w:val="20"/>
          <w:szCs w:val="20"/>
        </w:rPr>
        <w:t>Lagos del Campo Vs. Perú</w:t>
      </w:r>
      <w:r w:rsidRPr="005F6D97">
        <w:rPr>
          <w:rStyle w:val="FootnoteReference"/>
          <w:sz w:val="20"/>
          <w:szCs w:val="20"/>
        </w:rPr>
        <w:footnoteReference w:id="337"/>
      </w:r>
      <w:r w:rsidRPr="003F45A4">
        <w:rPr>
          <w:sz w:val="20"/>
          <w:szCs w:val="20"/>
        </w:rPr>
        <w:t xml:space="preserve">, </w:t>
      </w:r>
      <w:r>
        <w:rPr>
          <w:i/>
          <w:sz w:val="20"/>
          <w:szCs w:val="20"/>
        </w:rPr>
        <w:t xml:space="preserve">Trabajadores Cesados de </w:t>
      </w:r>
      <w:r w:rsidRPr="003F45A4">
        <w:rPr>
          <w:i/>
          <w:sz w:val="20"/>
          <w:szCs w:val="20"/>
        </w:rPr>
        <w:t>Petroperú y otros Vs. Perú</w:t>
      </w:r>
      <w:r>
        <w:rPr>
          <w:rStyle w:val="FootnoteReference"/>
          <w:i/>
          <w:sz w:val="20"/>
          <w:szCs w:val="20"/>
        </w:rPr>
        <w:footnoteReference w:id="338"/>
      </w:r>
      <w:r w:rsidRPr="003F45A4">
        <w:rPr>
          <w:sz w:val="20"/>
          <w:szCs w:val="20"/>
        </w:rPr>
        <w:t xml:space="preserve">, y </w:t>
      </w:r>
      <w:r w:rsidRPr="00154A93">
        <w:rPr>
          <w:i/>
          <w:sz w:val="20"/>
          <w:szCs w:val="20"/>
        </w:rPr>
        <w:t>San Miguel Sosa y otras Vs. Venezuela</w:t>
      </w:r>
      <w:r w:rsidRPr="00154A93">
        <w:rPr>
          <w:rStyle w:val="FootnoteReference"/>
          <w:i/>
          <w:sz w:val="20"/>
          <w:szCs w:val="20"/>
        </w:rPr>
        <w:footnoteReference w:id="339"/>
      </w:r>
      <w:r w:rsidRPr="00154A93">
        <w:rPr>
          <w:sz w:val="20"/>
          <w:szCs w:val="20"/>
        </w:rPr>
        <w:t>; así como</w:t>
      </w:r>
      <w:r>
        <w:rPr>
          <w:sz w:val="20"/>
          <w:szCs w:val="20"/>
        </w:rPr>
        <w:t xml:space="preserve"> </w:t>
      </w:r>
      <w:r w:rsidRPr="0082385B">
        <w:rPr>
          <w:sz w:val="20"/>
          <w:szCs w:val="20"/>
        </w:rPr>
        <w:t>en mi voto</w:t>
      </w:r>
      <w:r w:rsidRPr="003F45A4">
        <w:rPr>
          <w:sz w:val="20"/>
          <w:szCs w:val="20"/>
        </w:rPr>
        <w:t xml:space="preserve"> concurrente del caso </w:t>
      </w:r>
      <w:r w:rsidRPr="003F45A4">
        <w:rPr>
          <w:i/>
          <w:sz w:val="20"/>
          <w:szCs w:val="20"/>
        </w:rPr>
        <w:t xml:space="preserve">Gonzales </w:t>
      </w:r>
      <w:proofErr w:type="spellStart"/>
      <w:r w:rsidRPr="003F45A4">
        <w:rPr>
          <w:i/>
          <w:sz w:val="20"/>
          <w:szCs w:val="20"/>
        </w:rPr>
        <w:t>Lluy</w:t>
      </w:r>
      <w:proofErr w:type="spellEnd"/>
      <w:r w:rsidRPr="003F45A4">
        <w:rPr>
          <w:i/>
          <w:sz w:val="20"/>
          <w:szCs w:val="20"/>
        </w:rPr>
        <w:t xml:space="preserve"> y otros Vs. Ecuador</w:t>
      </w:r>
      <w:r w:rsidRPr="005F6D97">
        <w:rPr>
          <w:rStyle w:val="FootnoteReference"/>
          <w:sz w:val="20"/>
          <w:szCs w:val="20"/>
        </w:rPr>
        <w:footnoteReference w:id="340"/>
      </w:r>
      <w:r w:rsidRPr="003F45A4">
        <w:rPr>
          <w:sz w:val="20"/>
          <w:szCs w:val="20"/>
        </w:rPr>
        <w:t xml:space="preserve">. </w:t>
      </w:r>
    </w:p>
    <w:p w14:paraId="642EA6B4" w14:textId="77777777" w:rsidR="00B370D2" w:rsidRPr="00BE7922" w:rsidRDefault="00B370D2" w:rsidP="00B370D2">
      <w:pPr>
        <w:pStyle w:val="ListParagraph"/>
        <w:ind w:left="0"/>
        <w:rPr>
          <w:sz w:val="16"/>
          <w:szCs w:val="20"/>
        </w:rPr>
      </w:pPr>
    </w:p>
    <w:p w14:paraId="6CBE3A8E" w14:textId="77777777" w:rsidR="00B370D2" w:rsidRPr="00BE7922" w:rsidRDefault="00B370D2" w:rsidP="00B370D2">
      <w:pPr>
        <w:pStyle w:val="ListParagraph"/>
        <w:ind w:left="0"/>
        <w:rPr>
          <w:rFonts w:eastAsia="Cambria" w:cs="Cambria"/>
          <w:color w:val="000000"/>
          <w:sz w:val="20"/>
          <w:szCs w:val="20"/>
          <w:u w:color="000000"/>
          <w:lang w:eastAsia="es-ES"/>
        </w:rPr>
      </w:pPr>
      <w:r w:rsidRPr="00BE7922">
        <w:rPr>
          <w:rFonts w:eastAsia="Cambria" w:cs="Cambria"/>
          <w:b/>
          <w:i/>
          <w:color w:val="000000"/>
          <w:sz w:val="20"/>
          <w:szCs w:val="20"/>
          <w:u w:color="000000"/>
          <w:lang w:eastAsia="es-ES"/>
        </w:rPr>
        <w:t>II. Respecto a mi adhesión a la declaración de responsabilidad internacional por violación al derecho a la</w:t>
      </w:r>
      <w:r w:rsidRPr="00BE7922">
        <w:rPr>
          <w:rFonts w:eastAsia="Cambria" w:cs="Cambria"/>
          <w:color w:val="000000"/>
          <w:sz w:val="20"/>
          <w:szCs w:val="20"/>
          <w:u w:color="000000"/>
          <w:lang w:eastAsia="es-ES"/>
        </w:rPr>
        <w:t xml:space="preserve"> </w:t>
      </w:r>
      <w:r w:rsidRPr="00BE7922">
        <w:rPr>
          <w:rFonts w:eastAsia="Cambria" w:cs="Cambria"/>
          <w:b/>
          <w:i/>
          <w:color w:val="000000"/>
          <w:sz w:val="20"/>
          <w:szCs w:val="20"/>
          <w:u w:color="000000"/>
          <w:lang w:eastAsia="es-ES"/>
        </w:rPr>
        <w:t>salud</w:t>
      </w:r>
    </w:p>
    <w:p w14:paraId="58D93A64" w14:textId="77777777" w:rsidR="00B370D2" w:rsidRPr="0052514A" w:rsidRDefault="00B370D2" w:rsidP="00B370D2">
      <w:pPr>
        <w:pStyle w:val="ListParagraph"/>
        <w:ind w:left="0"/>
        <w:rPr>
          <w:sz w:val="20"/>
          <w:szCs w:val="20"/>
        </w:rPr>
      </w:pPr>
    </w:p>
    <w:p w14:paraId="20A2023F" w14:textId="77777777" w:rsidR="00B370D2" w:rsidRPr="00FF45E5" w:rsidRDefault="00B370D2" w:rsidP="00BE7922">
      <w:pPr>
        <w:pStyle w:val="ListParagraph"/>
        <w:numPr>
          <w:ilvl w:val="0"/>
          <w:numId w:val="33"/>
        </w:numPr>
        <w:ind w:left="0" w:firstLine="0"/>
        <w:rPr>
          <w:sz w:val="20"/>
          <w:szCs w:val="20"/>
        </w:rPr>
      </w:pPr>
      <w:r w:rsidRPr="00FF45E5">
        <w:rPr>
          <w:sz w:val="20"/>
          <w:szCs w:val="20"/>
        </w:rPr>
        <w:t xml:space="preserve">En </w:t>
      </w:r>
      <w:r>
        <w:rPr>
          <w:sz w:val="20"/>
          <w:szCs w:val="20"/>
        </w:rPr>
        <w:t>la presente</w:t>
      </w:r>
      <w:r w:rsidRPr="00FF45E5">
        <w:rPr>
          <w:sz w:val="20"/>
          <w:szCs w:val="20"/>
        </w:rPr>
        <w:t xml:space="preserve"> sentencia, la Corte concluyó, en esencia, (i) que los servicios de salud b</w:t>
      </w:r>
      <w:r>
        <w:rPr>
          <w:sz w:val="20"/>
          <w:szCs w:val="20"/>
        </w:rPr>
        <w:t>rindados al señor Poblete Vilche</w:t>
      </w:r>
      <w:r w:rsidRPr="00FF45E5">
        <w:rPr>
          <w:sz w:val="20"/>
          <w:szCs w:val="20"/>
        </w:rPr>
        <w:t xml:space="preserve">s no cumplieron con los estándares de disponibilidad, accesibilidad, calidad y aceptabilidad, lo que constituyó una violación a su derecho a la salud; (ii) que el Estado incumplió con su deber de obtener el consentimiento informado de los familiares de la víctima frente a la intervención quirúrgica practicada; y (iii) que el Estado violó su derecho a la vida y a la integridad personal, pues la falta de una adecuada atención médica derivó en un resultado </w:t>
      </w:r>
      <w:r w:rsidRPr="00FF45E5">
        <w:rPr>
          <w:sz w:val="20"/>
          <w:szCs w:val="20"/>
        </w:rPr>
        <w:lastRenderedPageBreak/>
        <w:t>dañoso y, en última instancia, en su muerte (</w:t>
      </w:r>
      <w:proofErr w:type="spellStart"/>
      <w:r w:rsidRPr="00FF45E5">
        <w:rPr>
          <w:sz w:val="20"/>
          <w:szCs w:val="20"/>
        </w:rPr>
        <w:t>párrs</w:t>
      </w:r>
      <w:proofErr w:type="spellEnd"/>
      <w:r w:rsidRPr="00FF45E5">
        <w:rPr>
          <w:sz w:val="20"/>
          <w:szCs w:val="20"/>
        </w:rPr>
        <w:t xml:space="preserve">. 174-175). Por lo tanto, el Tribunal consideró que el Estado chileno es responsable por la violación a los artículos 26, 4, 5, 13, 7 y 11 de la Convención Americana en relación con las obligaciones de no discriminación, previstas en el artículo 1.1 del mismo instrumento; </w:t>
      </w:r>
      <w:r w:rsidRPr="00D728B1">
        <w:rPr>
          <w:sz w:val="20"/>
          <w:szCs w:val="20"/>
        </w:rPr>
        <w:t>así como de la violación a los diversos numerales 26, 13, 7 y 11, en perjuicio de sus familiares (párr. 176).</w:t>
      </w:r>
    </w:p>
    <w:p w14:paraId="023CDE4B" w14:textId="77777777" w:rsidR="00B370D2" w:rsidRPr="00BE7922" w:rsidRDefault="00B370D2" w:rsidP="00B370D2">
      <w:pPr>
        <w:pStyle w:val="ListParagraph"/>
        <w:ind w:left="0"/>
        <w:rPr>
          <w:sz w:val="16"/>
          <w:szCs w:val="20"/>
        </w:rPr>
      </w:pPr>
    </w:p>
    <w:p w14:paraId="74288795" w14:textId="77777777" w:rsidR="00B370D2" w:rsidRDefault="00B370D2" w:rsidP="00BE7922">
      <w:pPr>
        <w:pStyle w:val="ListParagraph"/>
        <w:numPr>
          <w:ilvl w:val="0"/>
          <w:numId w:val="33"/>
        </w:numPr>
        <w:ind w:left="0" w:firstLine="0"/>
        <w:rPr>
          <w:sz w:val="20"/>
          <w:szCs w:val="20"/>
        </w:rPr>
      </w:pPr>
      <w:r>
        <w:rPr>
          <w:sz w:val="20"/>
          <w:szCs w:val="20"/>
        </w:rPr>
        <w:t>Si bien comparto el criterio sostenido por mis colegas Jueces y Jueza, lo cual quedó manifestado en mi adhesión a su posición en los Puntos Resolutivos de la sentencia (</w:t>
      </w:r>
      <w:r>
        <w:rPr>
          <w:i/>
          <w:sz w:val="20"/>
          <w:szCs w:val="20"/>
        </w:rPr>
        <w:t>supra</w:t>
      </w:r>
      <w:r>
        <w:rPr>
          <w:sz w:val="20"/>
          <w:szCs w:val="20"/>
        </w:rPr>
        <w:t>, Punto Resolutivo 2), es relevante aclarar que esto no significa un distanciamiento de lo ya sostenido en otros votos disidentes o concurrentes anteriores</w:t>
      </w:r>
      <w:r>
        <w:rPr>
          <w:rStyle w:val="FootnoteReference"/>
          <w:sz w:val="20"/>
          <w:szCs w:val="20"/>
        </w:rPr>
        <w:footnoteReference w:id="341"/>
      </w:r>
      <w:r>
        <w:rPr>
          <w:sz w:val="20"/>
          <w:szCs w:val="20"/>
        </w:rPr>
        <w:t xml:space="preserve">. Reitero que la </w:t>
      </w:r>
      <w:proofErr w:type="spellStart"/>
      <w:r>
        <w:rPr>
          <w:sz w:val="20"/>
          <w:szCs w:val="20"/>
        </w:rPr>
        <w:t>justiciabilidad</w:t>
      </w:r>
      <w:proofErr w:type="spellEnd"/>
      <w:r>
        <w:rPr>
          <w:sz w:val="20"/>
          <w:szCs w:val="20"/>
        </w:rPr>
        <w:t xml:space="preserve"> de los DESCA, a través de una aplicación directa del artículo 26 de la Convención, presenta al menos dos grandes falencias: </w:t>
      </w:r>
      <w:r w:rsidRPr="00D728B1">
        <w:rPr>
          <w:sz w:val="20"/>
          <w:szCs w:val="20"/>
        </w:rPr>
        <w:t>la primera</w:t>
      </w:r>
      <w:r>
        <w:rPr>
          <w:sz w:val="20"/>
          <w:szCs w:val="20"/>
        </w:rPr>
        <w:t>, que el mencionado artículo 26 no contiene propiamente un catálogo de derechos, sino que remite a la Carta de la Organización de Estados Americanos (en adelante, “la Carta de la OEA”), y que, a su vez, la Carta de la OEA tampoco contiene un catálogo de derechos claros y precisos que permita derivar de ellos obligaciones exigibles a los Estados por vía del sistema de peticiones individuales, y en todo caso reconoce derechos de naturaleza prestacional</w:t>
      </w:r>
      <w:r w:rsidRPr="001D195B">
        <w:rPr>
          <w:rStyle w:val="FootnoteReference"/>
          <w:sz w:val="20"/>
          <w:szCs w:val="20"/>
        </w:rPr>
        <w:footnoteReference w:id="342"/>
      </w:r>
      <w:r>
        <w:rPr>
          <w:sz w:val="20"/>
          <w:szCs w:val="20"/>
        </w:rPr>
        <w:t>. L</w:t>
      </w:r>
      <w:r w:rsidRPr="001D195B">
        <w:rPr>
          <w:sz w:val="20"/>
          <w:szCs w:val="20"/>
        </w:rPr>
        <w:t>a segunda,</w:t>
      </w:r>
      <w:r>
        <w:rPr>
          <w:sz w:val="20"/>
          <w:szCs w:val="20"/>
        </w:rPr>
        <w:t xml:space="preserve"> que el argumento utilizado en la Sentencia para justificar la competencia de la Corte ignora que los Estados acordaron, en el Protocolo de San Salvador</w:t>
      </w:r>
      <w:r>
        <w:rPr>
          <w:rStyle w:val="FootnoteReference"/>
          <w:sz w:val="20"/>
          <w:szCs w:val="20"/>
        </w:rPr>
        <w:footnoteReference w:id="343"/>
      </w:r>
      <w:r>
        <w:rPr>
          <w:sz w:val="20"/>
          <w:szCs w:val="20"/>
        </w:rPr>
        <w:t>, que la competencia de la Corte para conocer sobre violaciones a los DESC, a través del sistema de peticiones individuales, queda restringido a algunos aspectos del derecho a la libertad sindical y el derecho a la educación</w:t>
      </w:r>
      <w:r>
        <w:rPr>
          <w:rStyle w:val="FootnoteReference"/>
          <w:sz w:val="20"/>
          <w:szCs w:val="20"/>
        </w:rPr>
        <w:footnoteReference w:id="344"/>
      </w:r>
      <w:r>
        <w:rPr>
          <w:sz w:val="20"/>
          <w:szCs w:val="20"/>
        </w:rPr>
        <w:t>.</w:t>
      </w:r>
    </w:p>
    <w:p w14:paraId="51E66301" w14:textId="77777777" w:rsidR="00B370D2" w:rsidRPr="00BE7922" w:rsidRDefault="00B370D2" w:rsidP="00B370D2">
      <w:pPr>
        <w:rPr>
          <w:sz w:val="16"/>
        </w:rPr>
      </w:pPr>
    </w:p>
    <w:p w14:paraId="0E710225" w14:textId="017FB864" w:rsidR="00B370D2" w:rsidRDefault="00B370D2" w:rsidP="00B370D2">
      <w:pPr>
        <w:pStyle w:val="ListParagraph"/>
        <w:numPr>
          <w:ilvl w:val="0"/>
          <w:numId w:val="33"/>
        </w:numPr>
        <w:ind w:left="0" w:firstLine="0"/>
        <w:rPr>
          <w:sz w:val="20"/>
          <w:szCs w:val="20"/>
        </w:rPr>
      </w:pPr>
      <w:r>
        <w:rPr>
          <w:sz w:val="20"/>
          <w:szCs w:val="20"/>
        </w:rPr>
        <w:t xml:space="preserve">Sin perjuicio de lo anterior, no cabe duda que las violaciones a los derechos humanos del señor Poblete </w:t>
      </w:r>
      <w:proofErr w:type="gramStart"/>
      <w:r>
        <w:rPr>
          <w:sz w:val="20"/>
          <w:szCs w:val="20"/>
        </w:rPr>
        <w:t>Viches, declaradas</w:t>
      </w:r>
      <w:proofErr w:type="gramEnd"/>
      <w:r>
        <w:rPr>
          <w:sz w:val="20"/>
          <w:szCs w:val="20"/>
        </w:rPr>
        <w:t xml:space="preserve"> en esta sentencia, fueron resultado del deficiente tratamiento médico recibido, lo cual afectó su integridad personal y su vida. La Corte encontró que el Estado negó a la víctima un tratamiento médico de urgencia, no obstante existía un riesgo, por lo que concluyó que el Estado no habría adoptado las medidas necesarias para garantizar su derecho a la vida, en violación al artículo 4.1 de la Convención en relación con el artículo 26 y 1.1 del mismo instrumento (párr. 150). En un sentido similar, la Corte consideró que las distintas omisiones en que incurrió el personal médico del ho</w:t>
      </w:r>
      <w:bookmarkStart w:id="140" w:name="_GoBack"/>
      <w:bookmarkEnd w:id="140"/>
      <w:r>
        <w:rPr>
          <w:sz w:val="20"/>
          <w:szCs w:val="20"/>
        </w:rPr>
        <w:t>spital contribuyeron al deterioro de la salud del señor Poblete,</w:t>
      </w:r>
      <w:r w:rsidR="00BE7922">
        <w:rPr>
          <w:sz w:val="20"/>
          <w:szCs w:val="20"/>
        </w:rPr>
        <w:t xml:space="preserve"> </w:t>
      </w:r>
      <w:r>
        <w:rPr>
          <w:sz w:val="20"/>
          <w:szCs w:val="20"/>
        </w:rPr>
        <w:lastRenderedPageBreak/>
        <w:t xml:space="preserve">afectando así su integridad personal, en violación al artículo 5.1 de la Convención en relación con el artículo 26 y 1.1 del mismo instrumento. </w:t>
      </w:r>
    </w:p>
    <w:p w14:paraId="206C04AF" w14:textId="77777777" w:rsidR="00B370D2" w:rsidRPr="0050400F" w:rsidRDefault="00B370D2" w:rsidP="00B370D2"/>
    <w:p w14:paraId="6AFC6CBD" w14:textId="77777777" w:rsidR="00B370D2" w:rsidRDefault="00B370D2" w:rsidP="00B370D2">
      <w:pPr>
        <w:pStyle w:val="ListParagraph"/>
        <w:numPr>
          <w:ilvl w:val="0"/>
          <w:numId w:val="33"/>
        </w:numPr>
        <w:ind w:left="0" w:firstLine="0"/>
        <w:rPr>
          <w:sz w:val="20"/>
          <w:szCs w:val="20"/>
        </w:rPr>
      </w:pPr>
      <w:r>
        <w:rPr>
          <w:sz w:val="20"/>
          <w:szCs w:val="20"/>
        </w:rPr>
        <w:t>La Corte fue acertada en vincular su análisis de las violaciones a la vida y la integridad personal de la víctima a la luz de diversos aspectos prestacionales del derecho a la salud. En lo que respecta a este punto de análisis, la Corte siguió la tesis –en mi visión acertada- que había sostenido a lo largo de su jurisprudencia de analizar las violaciones en materia de DESCA por conexidad</w:t>
      </w:r>
      <w:r>
        <w:rPr>
          <w:rStyle w:val="FootnoteReference"/>
          <w:sz w:val="20"/>
          <w:szCs w:val="20"/>
        </w:rPr>
        <w:footnoteReference w:id="345"/>
      </w:r>
      <w:r>
        <w:rPr>
          <w:sz w:val="20"/>
          <w:szCs w:val="20"/>
        </w:rPr>
        <w:t xml:space="preserve">. El análisis de este caso comprobó la pertinencia de la aproximación de la Corte a este tipo de situaciones antes del caso </w:t>
      </w:r>
      <w:r>
        <w:rPr>
          <w:i/>
          <w:sz w:val="20"/>
          <w:szCs w:val="20"/>
        </w:rPr>
        <w:t>Lagos del Campo</w:t>
      </w:r>
      <w:r>
        <w:rPr>
          <w:sz w:val="20"/>
          <w:szCs w:val="20"/>
        </w:rPr>
        <w:t xml:space="preserve">. En efecto, como ya he mencionado en otras ocasiones, el análisis de los DESCA por conexidad permite definir las obligaciones en materia de derecho a la salud sin expandir las competencias de la Corte más allá de lo que correspondería a cualquier Tribunal, y lo que una lectura apegada </w:t>
      </w:r>
      <w:r w:rsidRPr="0052514A">
        <w:rPr>
          <w:sz w:val="20"/>
          <w:szCs w:val="20"/>
        </w:rPr>
        <w:t>a</w:t>
      </w:r>
      <w:r>
        <w:rPr>
          <w:sz w:val="20"/>
          <w:szCs w:val="20"/>
        </w:rPr>
        <w:t xml:space="preserve"> derecho </w:t>
      </w:r>
      <w:r w:rsidRPr="00FB29C8">
        <w:rPr>
          <w:sz w:val="20"/>
          <w:szCs w:val="20"/>
        </w:rPr>
        <w:t>en</w:t>
      </w:r>
      <w:r>
        <w:rPr>
          <w:sz w:val="20"/>
          <w:szCs w:val="20"/>
        </w:rPr>
        <w:t xml:space="preserve"> la Convención Americana, el Protocolo de San Salvador y el derecho internacional permiten.</w:t>
      </w:r>
    </w:p>
    <w:p w14:paraId="70E46D38" w14:textId="77777777" w:rsidR="00B370D2" w:rsidRPr="00910284" w:rsidRDefault="00B370D2" w:rsidP="00B370D2"/>
    <w:p w14:paraId="063EE007" w14:textId="77777777" w:rsidR="00B370D2" w:rsidRDefault="00B370D2" w:rsidP="00B370D2">
      <w:pPr>
        <w:pStyle w:val="ListParagraph"/>
        <w:numPr>
          <w:ilvl w:val="0"/>
          <w:numId w:val="33"/>
        </w:numPr>
        <w:ind w:left="0" w:firstLine="0"/>
        <w:rPr>
          <w:sz w:val="20"/>
          <w:szCs w:val="20"/>
        </w:rPr>
      </w:pPr>
      <w:r>
        <w:rPr>
          <w:sz w:val="20"/>
          <w:szCs w:val="20"/>
        </w:rPr>
        <w:t xml:space="preserve">Con esto no quiero decir que el análisis de este caso constituya un acierto en todos sus niveles. La sentencia incluye múltiples referencias expresas a la aproximación que la Corte ha realizado a partir del caso </w:t>
      </w:r>
      <w:r>
        <w:rPr>
          <w:i/>
          <w:sz w:val="20"/>
          <w:szCs w:val="20"/>
        </w:rPr>
        <w:t>Lagos del Campo</w:t>
      </w:r>
      <w:r>
        <w:rPr>
          <w:sz w:val="20"/>
          <w:szCs w:val="20"/>
        </w:rPr>
        <w:t>,</w:t>
      </w:r>
      <w:r>
        <w:rPr>
          <w:i/>
          <w:sz w:val="20"/>
          <w:szCs w:val="20"/>
        </w:rPr>
        <w:t xml:space="preserve"> </w:t>
      </w:r>
      <w:r>
        <w:rPr>
          <w:sz w:val="20"/>
          <w:szCs w:val="20"/>
        </w:rPr>
        <w:t xml:space="preserve">en lo que respecta a la posibilidad de declarar violaciones al artículo 26 de manera autónoma y por una violación “individual” (párr. 100-132), y declaró la responsabilidad internacional del Estado en esos términos (párr. 143). Pero si se lee con detalle la sentencia, es posible percibir que el análisis relacionado con la violación al derecho a la salud está íntimamente ligado a las afectaciones que el señor Poblete Vilches sufrió a su vida y a su integridad personal. De hecho, es bastante difícil, sino imposible, discernir dónde comienza y dónde termina el ilícito internacional respecto de cada uno de los derechos que se declaran violados. En ese sentido, es posible afirmar que las consideraciones relacionadas con las obligaciones del Estado en materia de salud que están contenidas en la sentencia cobran sentido práctico una vez que se reflejan en el análisis de los artículos 4.1 y 5.1 de la Convención. En mi consideración, resulta </w:t>
      </w:r>
      <w:r w:rsidRPr="00FB29C8">
        <w:rPr>
          <w:sz w:val="20"/>
          <w:szCs w:val="20"/>
        </w:rPr>
        <w:t>innecesario</w:t>
      </w:r>
      <w:r>
        <w:rPr>
          <w:sz w:val="20"/>
          <w:szCs w:val="20"/>
        </w:rPr>
        <w:t xml:space="preserve"> el análisis del artículo 26 entendido de manera autónoma, aunque tiene una enorme relevancia cuando se le considera en conexidad con el derecho a la vida y a la integridad personal. En el caso concreto, este análisis conlleva una duplicidad innecesaria en cuanto a la declaratoria de los derechos convencionales violados, lo que queda de manifiesto en la medida que las conductas y omisiones que se le imputan al Estado como vulneradoras de los derechos a la salud, la vida y la integridad personal son, en esencia, las mismas. </w:t>
      </w:r>
    </w:p>
    <w:p w14:paraId="35252890" w14:textId="77777777" w:rsidR="00B370D2" w:rsidRPr="0089740C" w:rsidRDefault="00B370D2" w:rsidP="00B370D2">
      <w:pPr>
        <w:pStyle w:val="ListParagraph"/>
        <w:rPr>
          <w:sz w:val="20"/>
          <w:szCs w:val="20"/>
        </w:rPr>
      </w:pPr>
    </w:p>
    <w:p w14:paraId="6D91E2BE" w14:textId="77777777" w:rsidR="00B370D2" w:rsidRDefault="00B370D2" w:rsidP="00B370D2">
      <w:pPr>
        <w:pStyle w:val="ListParagraph"/>
        <w:numPr>
          <w:ilvl w:val="0"/>
          <w:numId w:val="33"/>
        </w:numPr>
        <w:ind w:left="0" w:firstLine="0"/>
        <w:rPr>
          <w:sz w:val="20"/>
          <w:szCs w:val="20"/>
        </w:rPr>
      </w:pPr>
      <w:r>
        <w:rPr>
          <w:sz w:val="20"/>
          <w:szCs w:val="20"/>
        </w:rPr>
        <w:t xml:space="preserve">Por lo anterior, aclaro que mi voto a favor de la sentencia en el Punto Resolutivo 2 no debe entenderse como una aceptación de la tesis – en mi concepto </w:t>
      </w:r>
      <w:proofErr w:type="gramStart"/>
      <w:r>
        <w:rPr>
          <w:sz w:val="20"/>
          <w:szCs w:val="20"/>
        </w:rPr>
        <w:t>errada</w:t>
      </w:r>
      <w:proofErr w:type="gramEnd"/>
      <w:r>
        <w:rPr>
          <w:sz w:val="20"/>
          <w:szCs w:val="20"/>
        </w:rPr>
        <w:t xml:space="preserve"> - que la Corte ha sostenido recientemente sobre la posibilidad de declarar violaciones autónomas al artículo 26 de la Convención Americana. Por el contrario, se debe entender como un voto a favor de la responsabilidad internacional de Chile por la falta de atención médica del señor Poblete Vilches, lo cual derivó en la violación a sus derechos a la integridad personal y a su vida en relación con el derecho a la salud.</w:t>
      </w:r>
    </w:p>
    <w:p w14:paraId="10B48957" w14:textId="77777777" w:rsidR="00B370D2" w:rsidRDefault="00B370D2" w:rsidP="00B370D2">
      <w:pPr>
        <w:pStyle w:val="ListParagraph"/>
        <w:rPr>
          <w:sz w:val="20"/>
          <w:szCs w:val="20"/>
        </w:rPr>
      </w:pPr>
    </w:p>
    <w:p w14:paraId="79057AE3" w14:textId="77777777" w:rsidR="00B370D2" w:rsidRDefault="00B370D2" w:rsidP="00B370D2">
      <w:pPr>
        <w:pStyle w:val="ListParagraph"/>
        <w:rPr>
          <w:sz w:val="20"/>
          <w:szCs w:val="20"/>
        </w:rPr>
      </w:pPr>
    </w:p>
    <w:p w14:paraId="62483DB7" w14:textId="77777777" w:rsidR="00B370D2" w:rsidRPr="0089740C" w:rsidRDefault="00B370D2" w:rsidP="00B370D2">
      <w:pPr>
        <w:pStyle w:val="ListParagraph"/>
        <w:rPr>
          <w:sz w:val="20"/>
          <w:szCs w:val="20"/>
        </w:rPr>
      </w:pPr>
    </w:p>
    <w:p w14:paraId="08747ADD" w14:textId="77777777" w:rsidR="00B370D2" w:rsidRPr="00C0565D" w:rsidRDefault="00B370D2" w:rsidP="00B370D2">
      <w:pPr>
        <w:rPr>
          <w:b/>
          <w:i/>
        </w:rPr>
      </w:pPr>
      <w:r w:rsidRPr="00FB29C8">
        <w:rPr>
          <w:b/>
          <w:i/>
        </w:rPr>
        <w:t>III. Reflexiones sobre el análisis de la violación al derecho a la salud en el presente caso.</w:t>
      </w:r>
    </w:p>
    <w:p w14:paraId="779A1A8B" w14:textId="77777777" w:rsidR="00B370D2" w:rsidRDefault="00B370D2" w:rsidP="00B370D2">
      <w:pPr>
        <w:pStyle w:val="ListParagraph"/>
        <w:ind w:left="0"/>
        <w:rPr>
          <w:sz w:val="20"/>
          <w:szCs w:val="20"/>
        </w:rPr>
      </w:pPr>
    </w:p>
    <w:p w14:paraId="6DF9316B" w14:textId="77777777" w:rsidR="00B370D2" w:rsidRDefault="00B370D2" w:rsidP="00B370D2">
      <w:pPr>
        <w:pStyle w:val="ListParagraph"/>
        <w:numPr>
          <w:ilvl w:val="0"/>
          <w:numId w:val="33"/>
        </w:numPr>
        <w:ind w:left="0" w:firstLine="0"/>
        <w:rPr>
          <w:sz w:val="20"/>
          <w:szCs w:val="20"/>
        </w:rPr>
      </w:pPr>
      <w:r>
        <w:rPr>
          <w:sz w:val="20"/>
          <w:szCs w:val="20"/>
        </w:rPr>
        <w:t>Por otro lado, este caso también permite elaborar algunas reflexiones adicionales a las ya expuestas en otras ocasiones sobre la problemática aproximación que la Corte ha decidido adoptar en el análisis de la violación autónoma al artículo 26 de la Convención. Estas reflexiones deben ser leídas en relación con los argumentos ya expuestos en mis otros votos disidentes o concurrentes de casos recientes</w:t>
      </w:r>
      <w:r>
        <w:rPr>
          <w:rStyle w:val="FootnoteReference"/>
          <w:sz w:val="20"/>
          <w:szCs w:val="20"/>
        </w:rPr>
        <w:footnoteReference w:id="346"/>
      </w:r>
      <w:r>
        <w:rPr>
          <w:sz w:val="20"/>
          <w:szCs w:val="20"/>
        </w:rPr>
        <w:t>.</w:t>
      </w:r>
    </w:p>
    <w:p w14:paraId="0BE9B782" w14:textId="77777777" w:rsidR="00B370D2" w:rsidRDefault="00B370D2" w:rsidP="00B370D2">
      <w:pPr>
        <w:pStyle w:val="ListParagraph"/>
        <w:ind w:left="0"/>
        <w:rPr>
          <w:sz w:val="20"/>
          <w:szCs w:val="20"/>
        </w:rPr>
      </w:pPr>
    </w:p>
    <w:p w14:paraId="20319D6B" w14:textId="77777777" w:rsidR="00B370D2" w:rsidRDefault="00B370D2" w:rsidP="00B370D2">
      <w:pPr>
        <w:pStyle w:val="ListParagraph"/>
        <w:numPr>
          <w:ilvl w:val="0"/>
          <w:numId w:val="33"/>
        </w:numPr>
        <w:ind w:left="0" w:firstLine="0"/>
        <w:rPr>
          <w:sz w:val="20"/>
          <w:szCs w:val="20"/>
        </w:rPr>
      </w:pPr>
      <w:r>
        <w:rPr>
          <w:sz w:val="20"/>
          <w:szCs w:val="20"/>
        </w:rPr>
        <w:t xml:space="preserve">En primer lugar, y en relación con lo mencionado en el apartado anterior, cabe cuestionar el sentido práctico del actuar de la Corte al declarar la violación al artículo 26 de manera autónoma, cuando la afectación que se acreditó en este caso es a la integridad personal y a la vida del señor Poblete Vilches. El análisis parece sugerir que, cuando se produce una violación a la integridad personal o a la vida de una persona, como resultado de una deficiente atención médica, se produce una violación automática al derecho a la salud en su dimensión “individual” </w:t>
      </w:r>
      <w:r w:rsidRPr="000935F7">
        <w:rPr>
          <w:sz w:val="20"/>
          <w:szCs w:val="20"/>
        </w:rPr>
        <w:t>(</w:t>
      </w:r>
      <w:proofErr w:type="spellStart"/>
      <w:r w:rsidRPr="000935F7">
        <w:rPr>
          <w:sz w:val="20"/>
          <w:szCs w:val="20"/>
        </w:rPr>
        <w:t>párr</w:t>
      </w:r>
      <w:r w:rsidRPr="004C1688">
        <w:rPr>
          <w:sz w:val="20"/>
          <w:szCs w:val="20"/>
        </w:rPr>
        <w:t>s</w:t>
      </w:r>
      <w:proofErr w:type="spellEnd"/>
      <w:r w:rsidRPr="000935F7">
        <w:rPr>
          <w:sz w:val="20"/>
          <w:szCs w:val="20"/>
        </w:rPr>
        <w:t xml:space="preserve">. </w:t>
      </w:r>
      <w:r w:rsidRPr="004C1688">
        <w:rPr>
          <w:sz w:val="20"/>
          <w:szCs w:val="20"/>
        </w:rPr>
        <w:t>150 y 155</w:t>
      </w:r>
      <w:r w:rsidRPr="000935F7">
        <w:rPr>
          <w:sz w:val="20"/>
          <w:szCs w:val="20"/>
        </w:rPr>
        <w:t>);</w:t>
      </w:r>
      <w:r>
        <w:rPr>
          <w:sz w:val="20"/>
          <w:szCs w:val="20"/>
        </w:rPr>
        <w:t xml:space="preserve"> sin embargo, la sentencia no establece con claridad cuál es la afectación específica al derecho a la salud de la víctima en esa dimensión “individual”, sino que se centra en establecer las razones por las que el Estado incumplió con sus deberes y obligaciones en materia de prestación adecuada del servicio a la salud, y de ahí deriva que se afectó su salud </w:t>
      </w:r>
      <w:r w:rsidRPr="006039CC">
        <w:rPr>
          <w:sz w:val="20"/>
          <w:szCs w:val="20"/>
        </w:rPr>
        <w:t>(párr. 138).</w:t>
      </w:r>
      <w:r>
        <w:rPr>
          <w:sz w:val="20"/>
          <w:szCs w:val="20"/>
        </w:rPr>
        <w:t xml:space="preserve"> </w:t>
      </w:r>
      <w:r w:rsidRPr="00140F35">
        <w:rPr>
          <w:sz w:val="20"/>
          <w:szCs w:val="20"/>
        </w:rPr>
        <w:t xml:space="preserve">La Corte, de esta forma, asume una posición </w:t>
      </w:r>
      <w:proofErr w:type="spellStart"/>
      <w:r w:rsidRPr="00140F35">
        <w:rPr>
          <w:sz w:val="20"/>
          <w:szCs w:val="20"/>
        </w:rPr>
        <w:t>consecuencialista</w:t>
      </w:r>
      <w:proofErr w:type="spellEnd"/>
      <w:r w:rsidRPr="00140F35">
        <w:rPr>
          <w:sz w:val="20"/>
          <w:szCs w:val="20"/>
        </w:rPr>
        <w:t xml:space="preserve"> que funde –y confunde- la afectación a la integridad y la vida del señor Poblete Vilch</w:t>
      </w:r>
      <w:r>
        <w:rPr>
          <w:sz w:val="20"/>
          <w:szCs w:val="20"/>
        </w:rPr>
        <w:t>e</w:t>
      </w:r>
      <w:r w:rsidRPr="00140F35">
        <w:rPr>
          <w:sz w:val="20"/>
          <w:szCs w:val="20"/>
        </w:rPr>
        <w:t xml:space="preserve">s, con la violación a su derecho a la salud. Este es el mismo error conceptual en que la Corte incurrió en </w:t>
      </w:r>
      <w:r w:rsidRPr="00140F35">
        <w:rPr>
          <w:i/>
          <w:sz w:val="20"/>
          <w:szCs w:val="20"/>
        </w:rPr>
        <w:t>Lagos del Campo</w:t>
      </w:r>
      <w:r w:rsidRPr="00140F35">
        <w:rPr>
          <w:sz w:val="20"/>
          <w:szCs w:val="20"/>
        </w:rPr>
        <w:t xml:space="preserve">, </w:t>
      </w:r>
      <w:r w:rsidRPr="00140F35">
        <w:rPr>
          <w:i/>
          <w:sz w:val="20"/>
          <w:szCs w:val="20"/>
        </w:rPr>
        <w:t>Trabajadores Cesados de Petroperú y otros</w:t>
      </w:r>
      <w:r w:rsidRPr="00140F35">
        <w:rPr>
          <w:sz w:val="20"/>
          <w:szCs w:val="20"/>
        </w:rPr>
        <w:t xml:space="preserve">, y en </w:t>
      </w:r>
      <w:r w:rsidRPr="00140F35">
        <w:rPr>
          <w:i/>
          <w:sz w:val="20"/>
          <w:szCs w:val="20"/>
        </w:rPr>
        <w:t>San Miguel Sosa y otras.</w:t>
      </w:r>
      <w:r>
        <w:rPr>
          <w:sz w:val="20"/>
          <w:szCs w:val="20"/>
        </w:rPr>
        <w:t xml:space="preserve"> </w:t>
      </w:r>
    </w:p>
    <w:p w14:paraId="2A70C546" w14:textId="77777777" w:rsidR="00B370D2" w:rsidRDefault="00B370D2" w:rsidP="00B370D2">
      <w:pPr>
        <w:pStyle w:val="ListParagraph"/>
        <w:ind w:left="0"/>
        <w:rPr>
          <w:sz w:val="20"/>
          <w:szCs w:val="20"/>
        </w:rPr>
      </w:pPr>
    </w:p>
    <w:p w14:paraId="434CD922" w14:textId="77777777" w:rsidR="00B370D2" w:rsidRDefault="00B370D2" w:rsidP="00B370D2">
      <w:pPr>
        <w:pStyle w:val="ListParagraph"/>
        <w:numPr>
          <w:ilvl w:val="0"/>
          <w:numId w:val="33"/>
        </w:numPr>
        <w:ind w:left="0" w:firstLine="0"/>
        <w:rPr>
          <w:sz w:val="20"/>
          <w:szCs w:val="20"/>
        </w:rPr>
      </w:pPr>
      <w:r>
        <w:rPr>
          <w:sz w:val="20"/>
          <w:szCs w:val="20"/>
        </w:rPr>
        <w:t xml:space="preserve">Esta omisión conceptual, estimo, tiene un efecto directo en la seguridad jurídica de la cual también somos guardianes, pues resulta en la imposibilidad de realizar una adecuada subsunción de un hecho concreto respecto a una norma. De hecho, esta aproximación pareciera que subsume la norma respecto de un hecho. En ese sentido, cabe preguntar: ¿Cuál es, exactamente, el catálogo de DESCA protegidos por la Convención? ¿Dónde comienza y dónde termina dicho catálogo? Esta incertidumbre jurídica no solo afecta a los Estados, sino a las víctimas de violaciones de derechos fundamentales que busquen utilizar el sistema de peticiones individuales. Por ejemplo, cabe preguntarse, ¿respecto de cuál agravio se deberían agotan los recursos de la jurisdicción interna? ¿Uno que se configure en atención de la dimensión “individual”, o uno que se configure en la dimensión “colectiva”, pero que tenga efectos en lo particular? A mi manera de ver las cosas, el abordaje de los casos antes citados no tiene una respuesta a ninguna de las preguntas planteadas. Como Tribunal, estamos obligados a dar una respuesta que permita previsibilidad; de ello depende la confianza pública en la institucionalidad interamericana. </w:t>
      </w:r>
    </w:p>
    <w:p w14:paraId="7632CADC" w14:textId="77777777" w:rsidR="00B370D2" w:rsidRDefault="00B370D2" w:rsidP="00B370D2">
      <w:pPr>
        <w:pStyle w:val="ListParagraph"/>
        <w:ind w:left="0"/>
        <w:rPr>
          <w:sz w:val="20"/>
          <w:szCs w:val="20"/>
        </w:rPr>
      </w:pPr>
    </w:p>
    <w:p w14:paraId="159D4E23" w14:textId="77777777" w:rsidR="00B370D2" w:rsidRPr="007C14B2" w:rsidRDefault="00B370D2" w:rsidP="00B370D2">
      <w:pPr>
        <w:pStyle w:val="ListParagraph"/>
        <w:numPr>
          <w:ilvl w:val="0"/>
          <w:numId w:val="33"/>
        </w:numPr>
        <w:ind w:left="0" w:firstLine="0"/>
        <w:rPr>
          <w:sz w:val="20"/>
          <w:szCs w:val="20"/>
        </w:rPr>
      </w:pPr>
      <w:r>
        <w:rPr>
          <w:sz w:val="20"/>
          <w:szCs w:val="20"/>
        </w:rPr>
        <w:lastRenderedPageBreak/>
        <w:t xml:space="preserve">Estas reflexiones no son motivadas únicamente en el espíritu de generar un vigoroso debate de ideas, sino también por la auténtica preocupación de las consecuencias y el impacto que puedan tener nuestras decisiones. En el actual clima de inseguridad jurídica generado por el caso </w:t>
      </w:r>
      <w:r w:rsidRPr="00436FD5">
        <w:rPr>
          <w:i/>
          <w:sz w:val="20"/>
          <w:szCs w:val="20"/>
        </w:rPr>
        <w:t>Lagos del Campo</w:t>
      </w:r>
      <w:r>
        <w:rPr>
          <w:sz w:val="20"/>
          <w:szCs w:val="20"/>
        </w:rPr>
        <w:t xml:space="preserve">, se abre la posibilidad de una ola de peticiones individuales basadas en presuntas violaciones a DESCA que podrían agravar el problema de congestión procesal de la Comisión, lo cual redundaría precisamente en perjuicio de las personas que se pretendía proteger. Como Tribunal, tenemos la responsabilidad y la obligación de no desconocer esa realidad, ni muchas otras realidades en las que nuestras decisiones serán finalmente aplicadas. </w:t>
      </w:r>
    </w:p>
    <w:p w14:paraId="4ECB6410" w14:textId="77777777" w:rsidR="00B370D2" w:rsidRPr="00033A29" w:rsidRDefault="00B370D2" w:rsidP="00B370D2"/>
    <w:p w14:paraId="6BCAA15C" w14:textId="77777777" w:rsidR="00B370D2" w:rsidRDefault="00B370D2" w:rsidP="00B370D2">
      <w:pPr>
        <w:pStyle w:val="ListParagraph"/>
        <w:numPr>
          <w:ilvl w:val="0"/>
          <w:numId w:val="33"/>
        </w:numPr>
        <w:ind w:left="0" w:firstLine="0"/>
        <w:rPr>
          <w:sz w:val="20"/>
          <w:szCs w:val="20"/>
        </w:rPr>
      </w:pPr>
      <w:r>
        <w:rPr>
          <w:sz w:val="20"/>
          <w:szCs w:val="20"/>
        </w:rPr>
        <w:t xml:space="preserve">Además, este tipo de análisis hace parecer ociosa la declaración de responsabilidad internacional del Estado por violación al derecho a la salud, pues en realidad el bien afectado –y acreditado ante esta Corte– es la integridad personal y la vida del señor Poblete Vilches. Esto refuerza la prudencia de la tesis que sostiene que el derecho a la salud debe ser analizado, en su faceta “individual”, en relación con el derecho a la integridad personal o a la vida, y en su faceta “progresiva”, en relación con la suficiencia de los servicios de salud que el Estado provee. Enfocar el análisis de esta forma le permitiría a la Corte identificar, por un lado, cuándo es posible vincular las acciones del Estado en materia de prestación de servicios de salud, con la violación a la integridad personal o a la vida de una persona. Por otro lado, le permitiría evaluar cuándo la política pública en materia de DESCA en el Estado es </w:t>
      </w:r>
      <w:r>
        <w:rPr>
          <w:i/>
          <w:sz w:val="20"/>
          <w:szCs w:val="20"/>
        </w:rPr>
        <w:t xml:space="preserve">per se </w:t>
      </w:r>
      <w:r>
        <w:rPr>
          <w:sz w:val="20"/>
          <w:szCs w:val="20"/>
        </w:rPr>
        <w:t>violatoria de las obligaciones de progresividad establecidas en el artículo 26 de la Convención. En la primera hipótesis, el análisis se haría sobre la base del artículo 4 y/o 5 en relación con el artículo 26 y 1.1; y, en la segunda hipótesis, se haría directamente sobre la base del artículo 26 en relación con el artículo 1.1 de la Convención.</w:t>
      </w:r>
    </w:p>
    <w:p w14:paraId="579D47AC" w14:textId="77777777" w:rsidR="00B370D2" w:rsidRPr="008E70EC" w:rsidRDefault="00B370D2" w:rsidP="00B370D2"/>
    <w:p w14:paraId="47D37810" w14:textId="77777777" w:rsidR="00B370D2" w:rsidRDefault="00B370D2" w:rsidP="00B370D2">
      <w:pPr>
        <w:pStyle w:val="ListParagraph"/>
        <w:numPr>
          <w:ilvl w:val="0"/>
          <w:numId w:val="33"/>
        </w:numPr>
        <w:ind w:left="0" w:firstLine="0"/>
        <w:rPr>
          <w:sz w:val="20"/>
          <w:szCs w:val="20"/>
        </w:rPr>
      </w:pPr>
      <w:r>
        <w:rPr>
          <w:sz w:val="20"/>
          <w:szCs w:val="20"/>
        </w:rPr>
        <w:t>Una aproximación de esta naturaleza permitiría distinguir aquellos casos donde el Estado es responsable por la violación a un derecho individual como resultado de la deficiente atención médica en un hospital público, y aquellos donde los elementos prestacionales en materia de servicios de salud son en sí mismos violatorios del artículo 26 de la Convención. Por supuesto, entrar en el análisis de aspectos prestacionales requiere un esfuerzo metodológico y conceptual de enorme trascendencia, pero permitiría establecer cierta racionalidad y objetividad a la atribución de responsabilidad del Estado sobre la base del artículo 26. También permitiría establecer un nexo causal entre la declaración de violación al derecho a la salud y las medidas de reparación enfocadas en mejorar la política pública de un Estado. Sucede que, en este caso, la Corte evaluó la prestación de un servicio de salud en un hospital público, y de ahí deriva una violación “individual” al derecho de salud del señor Poblete Vilches sobre la base del artículo 26 de la Convención.</w:t>
      </w:r>
    </w:p>
    <w:p w14:paraId="16B1CAD7" w14:textId="77777777" w:rsidR="00B370D2" w:rsidRDefault="00B370D2" w:rsidP="00B370D2">
      <w:pPr>
        <w:pStyle w:val="ListParagraph"/>
        <w:ind w:left="0"/>
        <w:rPr>
          <w:sz w:val="20"/>
          <w:szCs w:val="20"/>
        </w:rPr>
      </w:pPr>
    </w:p>
    <w:p w14:paraId="3DBF6974" w14:textId="77777777" w:rsidR="00B370D2" w:rsidRPr="00474CD0" w:rsidRDefault="00B370D2" w:rsidP="00B370D2">
      <w:pPr>
        <w:pStyle w:val="ListParagraph"/>
        <w:numPr>
          <w:ilvl w:val="0"/>
          <w:numId w:val="33"/>
        </w:numPr>
        <w:ind w:left="0" w:firstLine="0"/>
        <w:rPr>
          <w:sz w:val="20"/>
          <w:szCs w:val="20"/>
        </w:rPr>
      </w:pPr>
      <w:r w:rsidRPr="00474CD0">
        <w:rPr>
          <w:sz w:val="20"/>
          <w:szCs w:val="20"/>
        </w:rPr>
        <w:t>Pero la metodología seguida por la Corte hace difícil –o imposible, en este caso– identificar el nexo causal entre las acciones y omisiones del Estado y la afectación al derecho a la salud del señor Poblete Vilches. Cierto, la Sentencia consideró una serie de actos que determinaron la violación del derecho a la salud</w:t>
      </w:r>
      <w:r w:rsidRPr="00474CD0">
        <w:rPr>
          <w:rStyle w:val="FootnoteReference"/>
          <w:sz w:val="20"/>
          <w:szCs w:val="20"/>
        </w:rPr>
        <w:footnoteReference w:id="347"/>
      </w:r>
      <w:r w:rsidRPr="00474CD0">
        <w:rPr>
          <w:sz w:val="20"/>
          <w:szCs w:val="20"/>
        </w:rPr>
        <w:t xml:space="preserve">. Sin embargo, no quedó claro cómo esos actos repercutieron en la salud de la víctima, y pareciera que </w:t>
      </w:r>
      <w:r w:rsidRPr="00474CD0">
        <w:rPr>
          <w:sz w:val="20"/>
          <w:szCs w:val="20"/>
        </w:rPr>
        <w:lastRenderedPageBreak/>
        <w:t>como existieron una serie de omisiones en la prestación del servicio, ello implicó una violación automática al derecho a la salud</w:t>
      </w:r>
      <w:r w:rsidRPr="00474CD0">
        <w:rPr>
          <w:sz w:val="20"/>
          <w:szCs w:val="20"/>
          <w:lang w:val="es-CL"/>
        </w:rPr>
        <w:t>. Quizás, para salvar este problema, habría sido necesario determinar con claridad en qué consiste el derecho a la salud en su faceta “individual”, y establecer con claridad cómo las acciones estatales vulneraron ese derecho. Pero incluso en ese supuesto, el Tribunal tendría que actuar como un legislador, pues el derecho a la salud es, tal y como está regulado en el artículo 26 de la Convención, un derecho prestacional, por lo que declarar a un Estado responsable por la violación a ese derecho porque una persona no tuvo acceso a un adecuado servicio médico, implicaría que de un hecho concreto se juzgue un sistema de prestación de servicios de salud.</w:t>
      </w:r>
    </w:p>
    <w:p w14:paraId="733D6EB0" w14:textId="77777777" w:rsidR="00B370D2" w:rsidRPr="00D41D14" w:rsidRDefault="00B370D2" w:rsidP="00B370D2">
      <w:pPr>
        <w:pStyle w:val="ListParagraph"/>
        <w:rPr>
          <w:sz w:val="20"/>
          <w:szCs w:val="20"/>
        </w:rPr>
      </w:pPr>
    </w:p>
    <w:p w14:paraId="16CC5731" w14:textId="77777777" w:rsidR="00B370D2" w:rsidRPr="00D355BE" w:rsidRDefault="00B370D2" w:rsidP="00B370D2">
      <w:pPr>
        <w:pStyle w:val="ListParagraph"/>
        <w:numPr>
          <w:ilvl w:val="0"/>
          <w:numId w:val="33"/>
        </w:numPr>
        <w:ind w:left="0" w:firstLine="0"/>
        <w:rPr>
          <w:sz w:val="20"/>
          <w:szCs w:val="20"/>
        </w:rPr>
      </w:pPr>
      <w:r w:rsidRPr="00D355BE">
        <w:rPr>
          <w:sz w:val="20"/>
          <w:szCs w:val="20"/>
        </w:rPr>
        <w:t>En segundo lugar, reitero mi desacuerdo con los alcances que la Sentencia da al principio de interdependencia e indivisibilidad en relación con su interpretación al artículo 26</w:t>
      </w:r>
      <w:r w:rsidRPr="00D355BE">
        <w:rPr>
          <w:rStyle w:val="CommentReference"/>
          <w:rFonts w:ascii="Calibri" w:eastAsia="Calibri" w:hAnsi="Calibri"/>
          <w:lang w:val="es-ES_tradnl"/>
        </w:rPr>
        <w:t xml:space="preserve">. </w:t>
      </w:r>
      <w:r w:rsidRPr="00D355BE">
        <w:rPr>
          <w:sz w:val="20"/>
          <w:szCs w:val="20"/>
        </w:rPr>
        <w:t xml:space="preserve">En efecto, dicho principio señala que el disfrute de un derecho depende para su existencia de la realización de otros, pero ello no implica que automáticamente se deban incorporar DESCA al contenido de la Convención. De similar manera, en relación al principio de indivisibilidad, es cierto que los derechos están intrínsecamente conectados y no deben ser vistos de manera aislada, pero la indivisibilidad de los derechos tampoco es suficiente para modificar la competencia de un tribunal, como lo proponen quienes pretenden una </w:t>
      </w:r>
      <w:proofErr w:type="spellStart"/>
      <w:r w:rsidRPr="00D355BE">
        <w:rPr>
          <w:sz w:val="20"/>
          <w:szCs w:val="20"/>
        </w:rPr>
        <w:t>justiciabilidad</w:t>
      </w:r>
      <w:proofErr w:type="spellEnd"/>
      <w:r w:rsidRPr="00D355BE">
        <w:rPr>
          <w:sz w:val="20"/>
          <w:szCs w:val="20"/>
        </w:rPr>
        <w:t xml:space="preserve"> directa por medio de la interpretación amplia del artículo 26 de la Convención</w:t>
      </w:r>
      <w:r w:rsidRPr="00D355BE">
        <w:rPr>
          <w:rStyle w:val="FootnoteReference"/>
          <w:sz w:val="20"/>
          <w:szCs w:val="20"/>
        </w:rPr>
        <w:footnoteReference w:id="348"/>
      </w:r>
      <w:r w:rsidRPr="00D355BE">
        <w:rPr>
          <w:sz w:val="20"/>
          <w:szCs w:val="20"/>
        </w:rPr>
        <w:t>. De hecho, los principios de indivisibilidad e interdependencia son congruentes con un análisis de los DESCA desde la perspectiva de la conexidad, pues su aplicación no implica una expansión ilimitada de las competencias de la Corte, pero sí permite un entendimiento más amplio de los derechos protegidos por la Convención.</w:t>
      </w:r>
    </w:p>
    <w:p w14:paraId="3839B304" w14:textId="77777777" w:rsidR="00B370D2" w:rsidRPr="00646DC4" w:rsidRDefault="00B370D2" w:rsidP="00B370D2">
      <w:pPr>
        <w:pStyle w:val="ListParagraph"/>
        <w:tabs>
          <w:tab w:val="left" w:pos="426"/>
          <w:tab w:val="left" w:pos="709"/>
        </w:tabs>
        <w:ind w:left="0"/>
        <w:contextualSpacing/>
        <w:rPr>
          <w:sz w:val="20"/>
          <w:szCs w:val="20"/>
        </w:rPr>
      </w:pPr>
    </w:p>
    <w:p w14:paraId="18956D7B" w14:textId="77777777" w:rsidR="00B370D2" w:rsidRDefault="00B370D2" w:rsidP="00B370D2">
      <w:pPr>
        <w:pStyle w:val="ListParagraph"/>
        <w:numPr>
          <w:ilvl w:val="0"/>
          <w:numId w:val="33"/>
        </w:numPr>
        <w:ind w:left="0" w:firstLine="0"/>
        <w:rPr>
          <w:sz w:val="20"/>
          <w:szCs w:val="20"/>
        </w:rPr>
      </w:pPr>
      <w:r>
        <w:rPr>
          <w:sz w:val="20"/>
          <w:szCs w:val="20"/>
        </w:rPr>
        <w:t xml:space="preserve">Por otro lado, la Sentencia afirma que “resulta claro interpretar que la Convención Americana incorporó en su catálogo de derechos protegidos los denominados derechos económicos, sociales, culturales y ambientales (DESCA), a través de una derivación de las normas reconocidas en la Carta de la Organización de los Estados Americanos (OEA), así como de las normas de interpretación previstas en el artículo 29 de la Convención; particularmente, que impide limitar o excluir el goce de los derechos establecidos en la Declaración Americana e inclusive reconocidos en materia interna” (párr. 103). A partir de esta interpretación, la Sentencia sugiere que los DESCA que pueden ser objeto de análisis a través del sistema de peticiones individuales son aquellos contenidos en la Carta de la OEA, aquellos reconocidos en la Declaración Americana, aquellos reconocidos en “materia interna”, y aquellos que se deriven del </w:t>
      </w:r>
      <w:r>
        <w:rPr>
          <w:i/>
          <w:sz w:val="20"/>
          <w:szCs w:val="20"/>
        </w:rPr>
        <w:t xml:space="preserve">corpus iuris </w:t>
      </w:r>
      <w:r>
        <w:rPr>
          <w:sz w:val="20"/>
          <w:szCs w:val="20"/>
        </w:rPr>
        <w:t>internacional y nacional en la materia.</w:t>
      </w:r>
    </w:p>
    <w:p w14:paraId="3795D709" w14:textId="77777777" w:rsidR="00B370D2" w:rsidRPr="00F70766" w:rsidRDefault="00B370D2" w:rsidP="00B370D2">
      <w:pPr>
        <w:pStyle w:val="ListParagraph"/>
        <w:rPr>
          <w:sz w:val="20"/>
          <w:szCs w:val="20"/>
        </w:rPr>
      </w:pPr>
    </w:p>
    <w:p w14:paraId="0A673576" w14:textId="77777777" w:rsidR="00B370D2" w:rsidRDefault="00B370D2" w:rsidP="00B370D2">
      <w:pPr>
        <w:pStyle w:val="ListParagraph"/>
        <w:numPr>
          <w:ilvl w:val="0"/>
          <w:numId w:val="33"/>
        </w:numPr>
        <w:ind w:left="0" w:firstLine="0"/>
        <w:rPr>
          <w:sz w:val="20"/>
          <w:szCs w:val="20"/>
        </w:rPr>
      </w:pPr>
      <w:r>
        <w:rPr>
          <w:sz w:val="20"/>
          <w:szCs w:val="20"/>
        </w:rPr>
        <w:t>Según esta aproximación, el artículo 26 es una especie de norma de remisión a toda la normativa nacional e internacional que se refiere a los DESCA, lo que potencialmente le reconocería a la Corte, en virtud de una lectura peculiar del artículo 29 de la Convención, la competencia para declarar violaciones a cualquier derecho previsto en cualquier instrumento nacional e internacional que lo contenga, siempre que se le pueda categorizar como un DESCA. Esta interpretación es tan ajena de las reglas de la Convención de Viena sobre el Derecho de los Tratados y de la Convención Americana</w:t>
      </w:r>
      <w:r>
        <w:rPr>
          <w:rStyle w:val="FootnoteReference"/>
          <w:sz w:val="20"/>
          <w:szCs w:val="20"/>
        </w:rPr>
        <w:footnoteReference w:id="349"/>
      </w:r>
      <w:r>
        <w:rPr>
          <w:sz w:val="20"/>
          <w:szCs w:val="20"/>
        </w:rPr>
        <w:t xml:space="preserve">, y tan distante del sistema de fuentes de derecho previsto por el derecho </w:t>
      </w:r>
      <w:r>
        <w:rPr>
          <w:sz w:val="20"/>
          <w:szCs w:val="20"/>
        </w:rPr>
        <w:lastRenderedPageBreak/>
        <w:t>internacional</w:t>
      </w:r>
      <w:r>
        <w:rPr>
          <w:rStyle w:val="FootnoteReference"/>
          <w:sz w:val="20"/>
          <w:szCs w:val="20"/>
        </w:rPr>
        <w:footnoteReference w:id="350"/>
      </w:r>
      <w:r>
        <w:rPr>
          <w:sz w:val="20"/>
          <w:szCs w:val="20"/>
        </w:rPr>
        <w:t>, que resulta un acto de creación normativa y de expansión de competencias como quizás nunca antes habría visto la comunidad internacional. Siguiendo esta lógica maximalista, sobre la base del artículo 29 de la Convención, la Corte tendría competencia para declarar la responsabilidad internacional del Estado cuando califique que ha violentado un DESCA reconocido en alguna norma de derecho nacional o internacional, sin mayores consideraciones de orden formal. En ese sentido, cabe recordarle a la mayoría que la Corte Interamericana es un tribunal internacional, no un tribunal constitucional, y que la Convención Americana es un tratado internacional, y no una constitución nacional.</w:t>
      </w:r>
    </w:p>
    <w:p w14:paraId="347AA465" w14:textId="77777777" w:rsidR="00B370D2" w:rsidRPr="00D261B1" w:rsidRDefault="00B370D2" w:rsidP="00B370D2"/>
    <w:p w14:paraId="600176D4" w14:textId="77777777" w:rsidR="00B370D2" w:rsidRDefault="00B370D2" w:rsidP="00B370D2">
      <w:pPr>
        <w:pStyle w:val="ListParagraph"/>
        <w:numPr>
          <w:ilvl w:val="0"/>
          <w:numId w:val="33"/>
        </w:numPr>
        <w:ind w:left="0" w:firstLine="0"/>
        <w:rPr>
          <w:sz w:val="20"/>
          <w:szCs w:val="20"/>
        </w:rPr>
      </w:pPr>
      <w:r>
        <w:rPr>
          <w:sz w:val="20"/>
          <w:szCs w:val="20"/>
        </w:rPr>
        <w:t>Respecto a lo anterior, aunque puedan parecer obvias, es fundamental recordar el significado de algunas normas básicas del derecho internacional. La primera norma es el artículo 26 de la Convención de Viena, el cual prevé la obligación de los Estados de cumplir de buena fe con las normas pactadas por ellos. Esto significa que las obligaciones internacionales dependen, en primer término, de su aceptación por parte de los Estados signatarios de un tratado, por lo que una norma que no ha sido aceptada por un Estado como fuente de una obligación internacional (como lo es una norma contenida en el derecho nacional de otro Estado, o una norma contenida en un tratado sobre el que la Corte no tiene competencia), no puede ser exigida en el plano internacional mediante el sistema de peticiones individuales del Sistema Interamericano. Es cierto que los tribunales internacionales tienen un papel en el desarrollo del derecho, pero este papel debe estar limitado de forma que la Corte no se transforme en un legislador irrestricto, como la posición asumida por la mayoría requiere en materia de DESCA.</w:t>
      </w:r>
    </w:p>
    <w:p w14:paraId="33388F70" w14:textId="77777777" w:rsidR="00B370D2" w:rsidRPr="009651F9" w:rsidRDefault="00B370D2" w:rsidP="00B370D2">
      <w:pPr>
        <w:pStyle w:val="ListParagraph"/>
        <w:rPr>
          <w:sz w:val="20"/>
          <w:szCs w:val="20"/>
        </w:rPr>
      </w:pPr>
    </w:p>
    <w:p w14:paraId="1BE38F29" w14:textId="77777777" w:rsidR="00B370D2" w:rsidRDefault="00B370D2" w:rsidP="00B370D2">
      <w:pPr>
        <w:pStyle w:val="ListParagraph"/>
        <w:numPr>
          <w:ilvl w:val="0"/>
          <w:numId w:val="33"/>
        </w:numPr>
        <w:ind w:left="0" w:firstLine="0"/>
        <w:rPr>
          <w:sz w:val="20"/>
          <w:szCs w:val="20"/>
        </w:rPr>
      </w:pPr>
      <w:r>
        <w:rPr>
          <w:sz w:val="20"/>
          <w:szCs w:val="20"/>
        </w:rPr>
        <w:t>La segunda norma es el artículo 29 de la Convención Americana, el cual prevé –</w:t>
      </w:r>
      <w:r>
        <w:rPr>
          <w:i/>
          <w:sz w:val="20"/>
          <w:szCs w:val="20"/>
        </w:rPr>
        <w:t xml:space="preserve">inter </w:t>
      </w:r>
      <w:proofErr w:type="spellStart"/>
      <w:r w:rsidRPr="00DC1327">
        <w:rPr>
          <w:i/>
          <w:sz w:val="20"/>
          <w:szCs w:val="20"/>
        </w:rPr>
        <w:t>alia</w:t>
      </w:r>
      <w:proofErr w:type="spellEnd"/>
      <w:r>
        <w:rPr>
          <w:sz w:val="20"/>
          <w:szCs w:val="20"/>
        </w:rPr>
        <w:t>– que ninguna disposición de la Convención puede ser interpretada en el sentido de:</w:t>
      </w:r>
    </w:p>
    <w:p w14:paraId="03F7D8B6" w14:textId="77777777" w:rsidR="00B370D2" w:rsidRPr="00DC1327" w:rsidRDefault="00B370D2" w:rsidP="00B370D2">
      <w:pPr>
        <w:pStyle w:val="ListParagraph"/>
        <w:rPr>
          <w:sz w:val="20"/>
          <w:szCs w:val="20"/>
        </w:rPr>
      </w:pPr>
    </w:p>
    <w:p w14:paraId="5641762A" w14:textId="77777777" w:rsidR="00B370D2" w:rsidRPr="00DC1327" w:rsidRDefault="00B370D2" w:rsidP="00B370D2">
      <w:pPr>
        <w:pStyle w:val="ListParagraph"/>
        <w:ind w:right="900"/>
        <w:rPr>
          <w:rFonts w:cs="Tahoma"/>
          <w:sz w:val="20"/>
          <w:szCs w:val="20"/>
        </w:rPr>
      </w:pPr>
      <w:r w:rsidRPr="00DC1327">
        <w:rPr>
          <w:rFonts w:cs="Tahoma"/>
          <w:sz w:val="20"/>
          <w:szCs w:val="20"/>
        </w:rPr>
        <w:t>b) limitar el goce y ejercicio de cualquier derecho o libertad que pueda estar reconocido de acuerdo con las leyes de cualquiera de los Estados Partes o de acuerdo con otra convención en que sea parte uno de dichos Estados;</w:t>
      </w:r>
    </w:p>
    <w:p w14:paraId="285EFE01" w14:textId="77777777" w:rsidR="00B370D2" w:rsidRPr="00DC1327" w:rsidRDefault="00B370D2" w:rsidP="00B370D2">
      <w:pPr>
        <w:pStyle w:val="ListParagraph"/>
        <w:ind w:right="900"/>
        <w:rPr>
          <w:sz w:val="20"/>
          <w:szCs w:val="20"/>
        </w:rPr>
      </w:pPr>
      <w:r w:rsidRPr="00DC1327">
        <w:rPr>
          <w:rFonts w:cs="Tahoma"/>
          <w:sz w:val="20"/>
          <w:szCs w:val="20"/>
        </w:rPr>
        <w:t>d) excluir o limitar el efecto que puedan producir la Declaración Americana de Derechos y Deberes del Hombre y otros actos internacionales de la misma naturaleza.</w:t>
      </w:r>
    </w:p>
    <w:p w14:paraId="5F43308C" w14:textId="77777777" w:rsidR="00B370D2" w:rsidRDefault="00B370D2" w:rsidP="00B370D2"/>
    <w:p w14:paraId="2FAA4FF0" w14:textId="77777777" w:rsidR="00B370D2" w:rsidRDefault="00B370D2" w:rsidP="00B370D2">
      <w:pPr>
        <w:pStyle w:val="ListParagraph"/>
        <w:numPr>
          <w:ilvl w:val="0"/>
          <w:numId w:val="33"/>
        </w:numPr>
        <w:ind w:left="0" w:firstLine="0"/>
      </w:pPr>
      <w:r>
        <w:rPr>
          <w:sz w:val="20"/>
          <w:szCs w:val="20"/>
        </w:rPr>
        <w:lastRenderedPageBreak/>
        <w:t>El artículo 29 de la Convención juega el importante papel de evitar que, de una interpretación de la Convención Americana, los Estados puedan limitar el goce o ejercicio de un derecho contenido en el derecho nacional o en el derecho internacional. Para la Corte Interamericana, esta norma ha servido para interpretar las cláusulas de la Convención a la luz de otros instrumentos nacionales e internacionales en materia de derechos humanos y de esta forma darles mayor contenido</w:t>
      </w:r>
      <w:r>
        <w:rPr>
          <w:rStyle w:val="FootnoteReference"/>
          <w:sz w:val="20"/>
          <w:szCs w:val="20"/>
        </w:rPr>
        <w:footnoteReference w:id="351"/>
      </w:r>
      <w:r>
        <w:rPr>
          <w:sz w:val="20"/>
          <w:szCs w:val="20"/>
        </w:rPr>
        <w:t xml:space="preserve">. Pero una cosa es utilizar el artículo 29 de la Convención para evitar que los Estados limiten derechos reconocidos en el ámbito nacional o en otros instrumentos internacionales al invocar la Convención, y que la Corte lo utilice como medio interpretativo para actualizar el contenido normativo de las cláusulas de la Convención, y otra muy distinta es utilizar el artículo 29 de la Convención como una especie de norma de remisión a otras normas de derecho nacional e internacional para así “afirmar” la competencia de la Corte para declarar violaciones de derechos previstos en instrumentos nacionales e internacionales sobre los que la Corte claramente carece de competencia. A todas luces, esa lectura es un abuso del principio </w:t>
      </w:r>
      <w:proofErr w:type="spellStart"/>
      <w:r w:rsidRPr="00CC1A0C">
        <w:rPr>
          <w:i/>
          <w:sz w:val="20"/>
          <w:szCs w:val="20"/>
        </w:rPr>
        <w:t>pro</w:t>
      </w:r>
      <w:proofErr w:type="spellEnd"/>
      <w:r w:rsidRPr="00CC1A0C">
        <w:rPr>
          <w:i/>
          <w:sz w:val="20"/>
          <w:szCs w:val="20"/>
        </w:rPr>
        <w:t xml:space="preserve"> persona</w:t>
      </w:r>
      <w:r>
        <w:rPr>
          <w:sz w:val="20"/>
          <w:szCs w:val="20"/>
        </w:rPr>
        <w:t xml:space="preserve"> y una violación al principio de seguridad jurídica que no le permitiría a los Estados prever el tipo de conducta que deben realizar en cumplimiento de sus obligaciones internacionales.</w:t>
      </w:r>
    </w:p>
    <w:p w14:paraId="33C9854D" w14:textId="77777777" w:rsidR="00B370D2" w:rsidRDefault="00B370D2" w:rsidP="00B370D2">
      <w:pPr>
        <w:pStyle w:val="ListParagraph"/>
        <w:ind w:left="0"/>
      </w:pPr>
    </w:p>
    <w:p w14:paraId="550BB004" w14:textId="77777777" w:rsidR="00B370D2" w:rsidRPr="007B7C21" w:rsidRDefault="00B370D2" w:rsidP="00B370D2">
      <w:pPr>
        <w:pStyle w:val="ListParagraph"/>
        <w:numPr>
          <w:ilvl w:val="0"/>
          <w:numId w:val="33"/>
        </w:numPr>
        <w:ind w:left="0" w:firstLine="0"/>
      </w:pPr>
      <w:r>
        <w:rPr>
          <w:sz w:val="20"/>
          <w:szCs w:val="20"/>
        </w:rPr>
        <w:t>Como complemento de lo anterior, es importante señalar que las normas de derechos humanos previstas en instrumentos como la Declaración Americana de Derechos Humanos, u otros actos de la misma naturaleza, sí tienen un valor normativo que es relevante para la identificación del contenido de las obligaciones internacionales previstas por la Convención</w:t>
      </w:r>
      <w:r>
        <w:rPr>
          <w:rStyle w:val="FootnoteReference"/>
          <w:sz w:val="20"/>
          <w:szCs w:val="20"/>
        </w:rPr>
        <w:footnoteReference w:id="352"/>
      </w:r>
      <w:r>
        <w:rPr>
          <w:sz w:val="20"/>
          <w:szCs w:val="20"/>
        </w:rPr>
        <w:t xml:space="preserve">. Pero esto no significa que estos instrumentos gocen de la misma obligatoriedad que un tratado internacional, y más bien hay que reconocerlos como normas de </w:t>
      </w:r>
      <w:proofErr w:type="spellStart"/>
      <w:r>
        <w:rPr>
          <w:i/>
          <w:sz w:val="20"/>
          <w:szCs w:val="20"/>
        </w:rPr>
        <w:t>soft</w:t>
      </w:r>
      <w:proofErr w:type="spellEnd"/>
      <w:r>
        <w:rPr>
          <w:i/>
          <w:sz w:val="20"/>
          <w:szCs w:val="20"/>
        </w:rPr>
        <w:t xml:space="preserve"> </w:t>
      </w:r>
      <w:proofErr w:type="spellStart"/>
      <w:r>
        <w:rPr>
          <w:i/>
          <w:sz w:val="20"/>
          <w:szCs w:val="20"/>
        </w:rPr>
        <w:t>law</w:t>
      </w:r>
      <w:proofErr w:type="spellEnd"/>
      <w:r>
        <w:rPr>
          <w:sz w:val="20"/>
          <w:szCs w:val="20"/>
        </w:rPr>
        <w:t>. Esto implica que su obligatoriedad dentro del sistema de fuentes de derecho internacional está “relativizado”, y que no constituye una fuente de derechos y obligaciones autónoma que puede dar lugar a la responsabilidad internacional del Estado por su incumplimiento. Esto es importante pues la Corte debe ser especialmente cuidadosa de no confundir las obligaciones que emanan para los Estados en virtud de cláusulas convencionales, que reconocen derechos y obligaciones de exigibilidad inmediata, y sobre las que la Corte tiene competencia, de aquellas normas o principios que sirven para la interpretación de dichas cláusulas convencionales.</w:t>
      </w:r>
    </w:p>
    <w:p w14:paraId="3C6C6983" w14:textId="77777777" w:rsidR="00B370D2" w:rsidRPr="007B7C21" w:rsidRDefault="00B370D2" w:rsidP="00B370D2">
      <w:pPr>
        <w:pStyle w:val="ListParagraph"/>
        <w:ind w:left="0"/>
      </w:pPr>
    </w:p>
    <w:p w14:paraId="26189B30" w14:textId="77777777" w:rsidR="00B370D2" w:rsidRDefault="00B370D2" w:rsidP="00B370D2">
      <w:pPr>
        <w:pStyle w:val="ListParagraph"/>
        <w:numPr>
          <w:ilvl w:val="0"/>
          <w:numId w:val="33"/>
        </w:numPr>
        <w:ind w:left="0" w:firstLine="0"/>
        <w:rPr>
          <w:sz w:val="20"/>
          <w:szCs w:val="20"/>
        </w:rPr>
      </w:pPr>
      <w:r w:rsidRPr="00861EE1">
        <w:rPr>
          <w:sz w:val="20"/>
          <w:szCs w:val="20"/>
        </w:rPr>
        <w:t xml:space="preserve">Como lo he expresado en otras ocasiones, es importante recordar que la utilización de normas externas a la Convención para su interpretación debe operar sobre una serie de presupuestos sobre el valor normativo que tienen tanto las normas y principios que son interpretados (por ejemplo, la Convención), como aquellas que se </w:t>
      </w:r>
      <w:r w:rsidRPr="00861EE1">
        <w:rPr>
          <w:sz w:val="20"/>
          <w:szCs w:val="20"/>
        </w:rPr>
        <w:lastRenderedPageBreak/>
        <w:t>utilizan como parámetros de interpretación (por ejemplo, la Declaración Americana</w:t>
      </w:r>
      <w:r>
        <w:rPr>
          <w:rStyle w:val="FootnoteReference"/>
          <w:sz w:val="20"/>
          <w:szCs w:val="20"/>
        </w:rPr>
        <w:footnoteReference w:id="353"/>
      </w:r>
      <w:r>
        <w:rPr>
          <w:sz w:val="20"/>
          <w:szCs w:val="20"/>
        </w:rPr>
        <w:t>)</w:t>
      </w:r>
      <w:r w:rsidRPr="00861EE1">
        <w:rPr>
          <w:sz w:val="20"/>
          <w:szCs w:val="20"/>
        </w:rPr>
        <w:t xml:space="preserve">. Es decir, la interpretación que hace la Corte no es –ni debe ser– absolutamente libre, sino que se debe realizar en el marco de lo previsto por reglas secundarias de derecho internacional que determinan </w:t>
      </w:r>
      <w:r>
        <w:rPr>
          <w:sz w:val="20"/>
          <w:szCs w:val="20"/>
        </w:rPr>
        <w:t>la obligatoriedad</w:t>
      </w:r>
      <w:r w:rsidRPr="00861EE1">
        <w:rPr>
          <w:sz w:val="20"/>
          <w:szCs w:val="20"/>
        </w:rPr>
        <w:t xml:space="preserve"> de las fuentes del derecho y la manera en que estas deben ser interpretadas (como lo es el artículo 38 del Estatuto de la </w:t>
      </w:r>
      <w:r>
        <w:rPr>
          <w:sz w:val="20"/>
          <w:szCs w:val="20"/>
        </w:rPr>
        <w:t>Corte Internacional de Justicia</w:t>
      </w:r>
      <w:r w:rsidRPr="00861EE1">
        <w:rPr>
          <w:sz w:val="20"/>
          <w:szCs w:val="20"/>
        </w:rPr>
        <w:t xml:space="preserve"> o la propia </w:t>
      </w:r>
      <w:r>
        <w:rPr>
          <w:sz w:val="20"/>
          <w:szCs w:val="20"/>
        </w:rPr>
        <w:t>Convención de Viena sobre el Derecho de los Tratados</w:t>
      </w:r>
      <w:r w:rsidRPr="00861EE1">
        <w:rPr>
          <w:sz w:val="20"/>
          <w:szCs w:val="20"/>
        </w:rPr>
        <w:t>). La Corte Interamericana es un tribunal internacional y, por tanto, es razonable asumir que se comporte como tal.</w:t>
      </w:r>
      <w:r>
        <w:rPr>
          <w:sz w:val="20"/>
          <w:szCs w:val="20"/>
        </w:rPr>
        <w:t xml:space="preserve"> Esta labor será especialmente relevante en la medida en que la Corte comience a “desarrollar” el contenido de los DESCA a la luz de la interpretación que ha seguido desde el caso </w:t>
      </w:r>
      <w:r>
        <w:rPr>
          <w:i/>
          <w:sz w:val="20"/>
          <w:szCs w:val="20"/>
        </w:rPr>
        <w:t>Lagos del Campo</w:t>
      </w:r>
      <w:r>
        <w:rPr>
          <w:sz w:val="20"/>
          <w:szCs w:val="20"/>
        </w:rPr>
        <w:t xml:space="preserve"> y con la que he manifestado mi desacuerdo.</w:t>
      </w:r>
    </w:p>
    <w:p w14:paraId="190636B0" w14:textId="77777777" w:rsidR="00B370D2" w:rsidRPr="001C66C8" w:rsidRDefault="00B370D2" w:rsidP="00B370D2"/>
    <w:p w14:paraId="1E6CC4E6" w14:textId="77777777" w:rsidR="00B370D2" w:rsidRDefault="00B370D2" w:rsidP="00B370D2"/>
    <w:p w14:paraId="4DCA5F8E" w14:textId="77777777" w:rsidR="00B370D2" w:rsidRDefault="00B370D2" w:rsidP="00B370D2">
      <w:pPr>
        <w:pStyle w:val="ListParagraph"/>
        <w:jc w:val="center"/>
        <w:rPr>
          <w:sz w:val="20"/>
          <w:szCs w:val="20"/>
          <w:lang w:val="es-ES"/>
        </w:rPr>
      </w:pPr>
    </w:p>
    <w:p w14:paraId="67C0A6AC" w14:textId="77777777" w:rsidR="00B370D2" w:rsidRDefault="00B370D2" w:rsidP="00B370D2">
      <w:pPr>
        <w:pStyle w:val="ListParagraph"/>
        <w:jc w:val="center"/>
        <w:rPr>
          <w:sz w:val="20"/>
          <w:szCs w:val="20"/>
          <w:lang w:val="es-ES"/>
        </w:rPr>
      </w:pPr>
    </w:p>
    <w:p w14:paraId="64C6F763" w14:textId="77777777" w:rsidR="00B370D2" w:rsidRDefault="00B370D2" w:rsidP="00B370D2">
      <w:pPr>
        <w:pStyle w:val="ListParagraph"/>
        <w:jc w:val="center"/>
        <w:rPr>
          <w:sz w:val="20"/>
          <w:szCs w:val="20"/>
          <w:lang w:val="es-ES"/>
        </w:rPr>
      </w:pPr>
    </w:p>
    <w:p w14:paraId="400D882D" w14:textId="77777777" w:rsidR="00B370D2" w:rsidRDefault="00B370D2" w:rsidP="00B370D2">
      <w:pPr>
        <w:pStyle w:val="ListParagraph"/>
        <w:jc w:val="center"/>
        <w:rPr>
          <w:sz w:val="20"/>
          <w:szCs w:val="20"/>
          <w:lang w:val="es-ES"/>
        </w:rPr>
      </w:pPr>
    </w:p>
    <w:p w14:paraId="622DFFCF" w14:textId="77777777" w:rsidR="00B370D2" w:rsidRPr="00B370D2" w:rsidRDefault="00B370D2" w:rsidP="00B370D2">
      <w:pPr>
        <w:pStyle w:val="ListParagraph"/>
        <w:jc w:val="center"/>
        <w:rPr>
          <w:sz w:val="16"/>
          <w:szCs w:val="20"/>
          <w:lang w:val="es-ES"/>
        </w:rPr>
      </w:pPr>
    </w:p>
    <w:p w14:paraId="19BBA3C2" w14:textId="77777777" w:rsidR="00B370D2" w:rsidRPr="00B370D2" w:rsidRDefault="00B370D2" w:rsidP="00B370D2">
      <w:pPr>
        <w:ind w:left="4248"/>
        <w:jc w:val="center"/>
        <w:rPr>
          <w:sz w:val="20"/>
        </w:rPr>
      </w:pPr>
      <w:r w:rsidRPr="00B370D2">
        <w:rPr>
          <w:sz w:val="20"/>
          <w:lang w:val="pt-BR"/>
        </w:rPr>
        <w:t>Humberto Antonio Sierra Porto</w:t>
      </w:r>
    </w:p>
    <w:p w14:paraId="4E86111C" w14:textId="77777777" w:rsidR="00B370D2" w:rsidRPr="00B370D2" w:rsidRDefault="00B370D2" w:rsidP="00B370D2">
      <w:pPr>
        <w:ind w:left="4248"/>
        <w:jc w:val="center"/>
        <w:rPr>
          <w:sz w:val="20"/>
        </w:rPr>
      </w:pPr>
      <w:r w:rsidRPr="00B370D2">
        <w:rPr>
          <w:sz w:val="20"/>
        </w:rPr>
        <w:t>Juez</w:t>
      </w:r>
    </w:p>
    <w:p w14:paraId="084B2B87" w14:textId="77777777" w:rsidR="00B370D2" w:rsidRPr="00DB0D75" w:rsidRDefault="00B370D2" w:rsidP="00B370D2">
      <w:pPr>
        <w:tabs>
          <w:tab w:val="left" w:pos="1440"/>
        </w:tabs>
        <w:jc w:val="center"/>
        <w:rPr>
          <w:highlight w:val="yellow"/>
        </w:rPr>
      </w:pPr>
    </w:p>
    <w:p w14:paraId="46D1910A" w14:textId="77777777" w:rsidR="00B370D2" w:rsidRPr="00DB0D75" w:rsidRDefault="00B370D2" w:rsidP="00B370D2">
      <w:pPr>
        <w:tabs>
          <w:tab w:val="left" w:pos="1440"/>
        </w:tabs>
        <w:rPr>
          <w:highlight w:val="yellow"/>
        </w:rPr>
      </w:pPr>
    </w:p>
    <w:p w14:paraId="70B612E8" w14:textId="77777777" w:rsidR="00B370D2" w:rsidRPr="00DB0D75" w:rsidRDefault="00B370D2" w:rsidP="00B370D2">
      <w:pPr>
        <w:tabs>
          <w:tab w:val="left" w:pos="1440"/>
        </w:tabs>
        <w:rPr>
          <w:highlight w:val="yellow"/>
        </w:rPr>
      </w:pPr>
    </w:p>
    <w:p w14:paraId="14004C2A" w14:textId="77777777" w:rsidR="00B370D2" w:rsidRPr="00DB0D75" w:rsidRDefault="00B370D2" w:rsidP="00B370D2">
      <w:pPr>
        <w:tabs>
          <w:tab w:val="left" w:pos="1440"/>
        </w:tabs>
        <w:rPr>
          <w:highlight w:val="yellow"/>
        </w:rPr>
      </w:pPr>
    </w:p>
    <w:p w14:paraId="6A76A0BA" w14:textId="77777777" w:rsidR="00B370D2" w:rsidRPr="00DB0D75" w:rsidRDefault="00B370D2" w:rsidP="00B370D2">
      <w:pPr>
        <w:tabs>
          <w:tab w:val="left" w:pos="1440"/>
        </w:tabs>
        <w:rPr>
          <w:highlight w:val="yellow"/>
        </w:rPr>
      </w:pPr>
    </w:p>
    <w:p w14:paraId="6400E59F" w14:textId="77777777" w:rsidR="00B370D2" w:rsidRPr="00DB0D75" w:rsidRDefault="00B370D2" w:rsidP="00B370D2">
      <w:pPr>
        <w:tabs>
          <w:tab w:val="left" w:pos="1440"/>
        </w:tabs>
        <w:rPr>
          <w:highlight w:val="yellow"/>
        </w:rPr>
      </w:pPr>
    </w:p>
    <w:p w14:paraId="1175EDBD" w14:textId="77777777" w:rsidR="00B370D2" w:rsidRPr="00DB0D75" w:rsidRDefault="00B370D2" w:rsidP="00B370D2">
      <w:pPr>
        <w:tabs>
          <w:tab w:val="left" w:pos="1440"/>
        </w:tabs>
        <w:rPr>
          <w:highlight w:val="yellow"/>
        </w:rPr>
      </w:pPr>
    </w:p>
    <w:p w14:paraId="742E317E" w14:textId="77777777" w:rsidR="00B370D2" w:rsidRPr="00DB0D75" w:rsidRDefault="00B370D2" w:rsidP="00B370D2">
      <w:pPr>
        <w:tabs>
          <w:tab w:val="left" w:pos="1440"/>
        </w:tabs>
        <w:rPr>
          <w:highlight w:val="yellow"/>
        </w:rPr>
      </w:pPr>
    </w:p>
    <w:p w14:paraId="2B2D93B4" w14:textId="77777777" w:rsidR="00B370D2" w:rsidRPr="00B370D2" w:rsidRDefault="00B370D2" w:rsidP="00B370D2">
      <w:pPr>
        <w:tabs>
          <w:tab w:val="left" w:pos="1440"/>
        </w:tabs>
        <w:rPr>
          <w:sz w:val="20"/>
          <w:szCs w:val="20"/>
        </w:rPr>
      </w:pPr>
      <w:r w:rsidRPr="00B370D2">
        <w:rPr>
          <w:sz w:val="20"/>
          <w:szCs w:val="20"/>
        </w:rPr>
        <w:t xml:space="preserve">        Emilia Segares Rodríguez</w:t>
      </w:r>
    </w:p>
    <w:p w14:paraId="0E882DA5" w14:textId="77777777" w:rsidR="00B370D2" w:rsidRPr="00B370D2" w:rsidRDefault="00B370D2" w:rsidP="00B370D2">
      <w:pPr>
        <w:tabs>
          <w:tab w:val="left" w:pos="1440"/>
        </w:tabs>
        <w:rPr>
          <w:sz w:val="20"/>
          <w:szCs w:val="20"/>
        </w:rPr>
      </w:pPr>
      <w:r w:rsidRPr="00B370D2">
        <w:rPr>
          <w:sz w:val="20"/>
          <w:szCs w:val="20"/>
        </w:rPr>
        <w:t xml:space="preserve">             Secretaria Adjunta</w:t>
      </w:r>
    </w:p>
    <w:p w14:paraId="479B5B02" w14:textId="77777777" w:rsidR="003C025E" w:rsidRPr="00840E52" w:rsidRDefault="003C025E" w:rsidP="00840E52">
      <w:pPr>
        <w:rPr>
          <w:sz w:val="20"/>
          <w:szCs w:val="20"/>
          <w:lang w:val="es-MX"/>
        </w:rPr>
      </w:pPr>
    </w:p>
    <w:sectPr w:rsidR="003C025E" w:rsidRPr="00840E52" w:rsidSect="00B370D2">
      <w:headerReference w:type="default" r:id="rId15"/>
      <w:footerReference w:type="default" r:id="rId16"/>
      <w:footnotePr>
        <w:numRestart w:val="eachSect"/>
      </w:footnotePr>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719BF" w14:textId="77777777" w:rsidR="003C025E" w:rsidRDefault="003C025E" w:rsidP="00085BDD">
      <w:r>
        <w:separator/>
      </w:r>
    </w:p>
  </w:endnote>
  <w:endnote w:type="continuationSeparator" w:id="0">
    <w:p w14:paraId="0E7A612B" w14:textId="77777777" w:rsidR="003C025E" w:rsidRDefault="003C025E" w:rsidP="00085BDD">
      <w:r>
        <w:continuationSeparator/>
      </w:r>
    </w:p>
  </w:endnote>
  <w:endnote w:type="continuationNotice" w:id="1">
    <w:p w14:paraId="600AECAF" w14:textId="77777777" w:rsidR="003C025E" w:rsidRDefault="003C0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roman"/>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Verdana-Italic">
    <w:panose1 w:val="00000000000000000000"/>
    <w:charset w:val="00"/>
    <w:family w:val="swiss"/>
    <w:notTrueType/>
    <w:pitch w:val="default"/>
    <w:sig w:usb0="00000003" w:usb1="00000000" w:usb2="00000000" w:usb3="00000000" w:csb0="00000001" w:csb1="00000000"/>
  </w:font>
  <w:font w:name="Verdana-Bold">
    <w:altName w:val="Verdana"/>
    <w:panose1 w:val="00000000000000000000"/>
    <w:charset w:val="4D"/>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AD926" w14:textId="77777777" w:rsidR="003C025E" w:rsidRDefault="003C025E" w:rsidP="00B824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8953E9" w14:textId="77777777" w:rsidR="003C025E" w:rsidRDefault="003C025E" w:rsidP="00B824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C73CB" w14:textId="77777777" w:rsidR="00DD607A" w:rsidRDefault="00BE7922">
    <w:pPr>
      <w:pStyle w:val="Footer"/>
      <w:jc w:val="right"/>
    </w:pPr>
  </w:p>
  <w:p w14:paraId="34C320F7" w14:textId="77777777" w:rsidR="00DD607A" w:rsidRDefault="00BE7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CC3FB" w14:textId="77777777" w:rsidR="003C025E" w:rsidRDefault="003C025E" w:rsidP="00085BDD">
      <w:r>
        <w:separator/>
      </w:r>
    </w:p>
  </w:footnote>
  <w:footnote w:type="continuationSeparator" w:id="0">
    <w:p w14:paraId="529A2DDE" w14:textId="77777777" w:rsidR="003C025E" w:rsidRDefault="003C025E" w:rsidP="00085BDD">
      <w:r>
        <w:continuationSeparator/>
      </w:r>
    </w:p>
  </w:footnote>
  <w:footnote w:type="continuationNotice" w:id="1">
    <w:p w14:paraId="15895D5A" w14:textId="77777777" w:rsidR="003C025E" w:rsidRDefault="003C025E"/>
  </w:footnote>
  <w:footnote w:id="2">
    <w:p w14:paraId="308A7494" w14:textId="42D3ED80" w:rsidR="003C025E" w:rsidRPr="00AB1E03" w:rsidRDefault="003C025E" w:rsidP="00587043">
      <w:pPr>
        <w:pStyle w:val="FootnoteText"/>
        <w:rPr>
          <w:sz w:val="16"/>
          <w:szCs w:val="16"/>
        </w:rPr>
      </w:pPr>
      <w:r w:rsidRPr="00BB5B49">
        <w:rPr>
          <w:rStyle w:val="FootnoteReference"/>
          <w:szCs w:val="16"/>
        </w:rPr>
        <w:t>*</w:t>
      </w:r>
      <w:r w:rsidRPr="00BB5B49">
        <w:rPr>
          <w:szCs w:val="16"/>
        </w:rPr>
        <w:t xml:space="preserve"> </w:t>
      </w:r>
      <w:r w:rsidRPr="00BB5B49">
        <w:rPr>
          <w:szCs w:val="16"/>
        </w:rPr>
        <w:tab/>
      </w:r>
      <w:r w:rsidRPr="00AB1E03">
        <w:rPr>
          <w:sz w:val="16"/>
          <w:szCs w:val="16"/>
        </w:rPr>
        <w:t>De conformidad con el artículo 19.1 del Reglamento de la Corte Interamericana aplicable al presente caso, el Juez Eduardo Vio Grossi, de nacionalidad chilena, no participó en la deliberación de esta Sentencia. Por otra parte, el Juez Roberto F. Caldas, no participó en la deliberación y firma de la presente Sentencia por razones de fuer</w:t>
      </w:r>
      <w:r>
        <w:rPr>
          <w:sz w:val="16"/>
          <w:szCs w:val="16"/>
        </w:rPr>
        <w:t>za mayor aceptadas por el Pleno</w:t>
      </w:r>
      <w:r w:rsidRPr="00AB1E03">
        <w:rPr>
          <w:sz w:val="16"/>
          <w:szCs w:val="16"/>
        </w:rPr>
        <w:t>.</w:t>
      </w:r>
    </w:p>
  </w:footnote>
  <w:footnote w:id="3">
    <w:p w14:paraId="4AA71F64" w14:textId="77777777" w:rsidR="003C025E" w:rsidRPr="00BB5B49" w:rsidRDefault="003C025E" w:rsidP="00587043">
      <w:pPr>
        <w:pStyle w:val="FootnoteText"/>
        <w:rPr>
          <w:szCs w:val="16"/>
        </w:rPr>
      </w:pPr>
      <w:r w:rsidRPr="00AB1E03">
        <w:rPr>
          <w:rStyle w:val="FootnoteReference"/>
          <w:szCs w:val="16"/>
        </w:rPr>
        <w:t>**</w:t>
      </w:r>
      <w:r w:rsidRPr="00AB1E03">
        <w:rPr>
          <w:szCs w:val="16"/>
        </w:rPr>
        <w:t xml:space="preserve"> </w:t>
      </w:r>
      <w:r w:rsidRPr="00AB1E03">
        <w:rPr>
          <w:szCs w:val="16"/>
        </w:rPr>
        <w:tab/>
      </w:r>
      <w:r w:rsidRPr="00AB1E03">
        <w:rPr>
          <w:sz w:val="16"/>
          <w:szCs w:val="16"/>
        </w:rPr>
        <w:t>El Secretario Pablo Saavedra Alessandri se excusó de participar en el presente caso. La Corte aceptó la excusa presentada.</w:t>
      </w:r>
    </w:p>
  </w:footnote>
  <w:footnote w:id="4">
    <w:p w14:paraId="64D830B2" w14:textId="77777777" w:rsidR="003C025E" w:rsidRPr="00BB5B49" w:rsidRDefault="003C025E" w:rsidP="00587043">
      <w:pPr>
        <w:pStyle w:val="FootnoteText"/>
        <w:rPr>
          <w:szCs w:val="16"/>
        </w:rPr>
      </w:pPr>
    </w:p>
  </w:footnote>
  <w:footnote w:id="5">
    <w:p w14:paraId="3716CC65" w14:textId="77777777" w:rsidR="003C025E" w:rsidRPr="00431F9F" w:rsidRDefault="003C025E" w:rsidP="00383565">
      <w:pPr>
        <w:tabs>
          <w:tab w:val="left" w:pos="567"/>
        </w:tabs>
        <w:ind w:right="148"/>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t xml:space="preserve">En dicho informe, la Comisión decidió que la petición era admisible respecto de la presunta violación de los derechos </w:t>
      </w:r>
      <w:r>
        <w:rPr>
          <w:sz w:val="16"/>
          <w:szCs w:val="16"/>
        </w:rPr>
        <w:t xml:space="preserve">reconocidos en los artículos 4, 8, </w:t>
      </w:r>
      <w:r w:rsidRPr="00B1523A">
        <w:rPr>
          <w:sz w:val="16"/>
          <w:szCs w:val="16"/>
        </w:rPr>
        <w:t>24</w:t>
      </w:r>
      <w:r>
        <w:rPr>
          <w:sz w:val="16"/>
          <w:szCs w:val="16"/>
        </w:rPr>
        <w:t xml:space="preserve"> y 25</w:t>
      </w:r>
      <w:r w:rsidRPr="00431F9F">
        <w:rPr>
          <w:sz w:val="16"/>
          <w:szCs w:val="16"/>
        </w:rPr>
        <w:t xml:space="preserve"> de la Convención Americana, en relación con el artí</w:t>
      </w:r>
      <w:r>
        <w:rPr>
          <w:sz w:val="16"/>
          <w:szCs w:val="16"/>
        </w:rPr>
        <w:t>culo 1.1 del mismo instrumento. CIDH</w:t>
      </w:r>
      <w:r w:rsidRPr="00431F9F">
        <w:rPr>
          <w:i/>
          <w:sz w:val="16"/>
          <w:szCs w:val="16"/>
        </w:rPr>
        <w:t xml:space="preserve">. </w:t>
      </w:r>
      <w:r>
        <w:rPr>
          <w:rFonts w:cs="Verdana"/>
          <w:sz w:val="16"/>
          <w:szCs w:val="16"/>
        </w:rPr>
        <w:t>Informe de Admisibilidad No. 13/09</w:t>
      </w:r>
      <w:r w:rsidRPr="00431F9F">
        <w:rPr>
          <w:rFonts w:cs="Verdana"/>
          <w:sz w:val="16"/>
          <w:szCs w:val="16"/>
        </w:rPr>
        <w:t xml:space="preserve">, </w:t>
      </w:r>
      <w:r>
        <w:rPr>
          <w:rFonts w:cs="Verdana"/>
          <w:sz w:val="16"/>
          <w:szCs w:val="16"/>
        </w:rPr>
        <w:t xml:space="preserve">Petición 339-02. </w:t>
      </w:r>
      <w:r w:rsidRPr="00B1523A">
        <w:rPr>
          <w:rFonts w:cs="Verdana"/>
          <w:i/>
          <w:sz w:val="16"/>
          <w:szCs w:val="16"/>
        </w:rPr>
        <w:t>Caso Poblete Vilches y otros Vs. Chile</w:t>
      </w:r>
      <w:r w:rsidRPr="00431F9F">
        <w:rPr>
          <w:rFonts w:cs="Verdana"/>
          <w:sz w:val="16"/>
          <w:szCs w:val="16"/>
        </w:rPr>
        <w:t xml:space="preserve">, </w:t>
      </w:r>
      <w:r>
        <w:rPr>
          <w:rFonts w:cs="Verdana"/>
          <w:sz w:val="16"/>
          <w:szCs w:val="16"/>
        </w:rPr>
        <w:t>19</w:t>
      </w:r>
      <w:r w:rsidRPr="00431F9F">
        <w:rPr>
          <w:rFonts w:cs="Verdana"/>
          <w:sz w:val="16"/>
          <w:szCs w:val="16"/>
        </w:rPr>
        <w:t xml:space="preserve"> de</w:t>
      </w:r>
      <w:r>
        <w:rPr>
          <w:rFonts w:cs="Verdana"/>
          <w:sz w:val="16"/>
          <w:szCs w:val="16"/>
        </w:rPr>
        <w:t xml:space="preserve"> marzo de 2009</w:t>
      </w:r>
      <w:r w:rsidRPr="00431F9F">
        <w:rPr>
          <w:rFonts w:cs="Verdana"/>
          <w:sz w:val="16"/>
          <w:szCs w:val="16"/>
        </w:rPr>
        <w:t xml:space="preserve"> (expediente de trámite ante la Comisión, </w:t>
      </w:r>
      <w:r w:rsidRPr="004D7E7A">
        <w:rPr>
          <w:rFonts w:cs="Verdana"/>
          <w:sz w:val="16"/>
          <w:szCs w:val="16"/>
        </w:rPr>
        <w:t>tomo IV, folios 1310</w:t>
      </w:r>
      <w:r>
        <w:rPr>
          <w:rFonts w:cs="Verdana"/>
          <w:sz w:val="16"/>
          <w:szCs w:val="16"/>
        </w:rPr>
        <w:t>-1322</w:t>
      </w:r>
      <w:r w:rsidRPr="00431F9F">
        <w:rPr>
          <w:rFonts w:cs="Verdana"/>
          <w:sz w:val="16"/>
          <w:szCs w:val="16"/>
        </w:rPr>
        <w:t>).</w:t>
      </w:r>
    </w:p>
  </w:footnote>
  <w:footnote w:id="6">
    <w:p w14:paraId="00AC1C95" w14:textId="77777777" w:rsidR="003C025E" w:rsidRPr="000214BA" w:rsidRDefault="003C025E" w:rsidP="00383565">
      <w:pPr>
        <w:pStyle w:val="FootnoteText"/>
        <w:tabs>
          <w:tab w:val="left" w:pos="567"/>
        </w:tabs>
        <w:rPr>
          <w:sz w:val="16"/>
          <w:szCs w:val="16"/>
        </w:rPr>
      </w:pPr>
      <w:r w:rsidRPr="00431F9F">
        <w:rPr>
          <w:rStyle w:val="FootnoteReference"/>
          <w:sz w:val="16"/>
          <w:szCs w:val="16"/>
        </w:rPr>
        <w:footnoteRef/>
      </w:r>
      <w:r w:rsidRPr="00431F9F">
        <w:rPr>
          <w:sz w:val="16"/>
          <w:szCs w:val="16"/>
        </w:rPr>
        <w:t xml:space="preserve"> </w:t>
      </w:r>
      <w:r w:rsidRPr="00431F9F">
        <w:rPr>
          <w:sz w:val="16"/>
          <w:szCs w:val="16"/>
        </w:rPr>
        <w:tab/>
        <w:t>La Comisión designó, como sus delegados ante la Corte, a</w:t>
      </w:r>
      <w:r>
        <w:rPr>
          <w:sz w:val="16"/>
          <w:szCs w:val="16"/>
        </w:rPr>
        <w:t>l Comisionado</w:t>
      </w:r>
      <w:r w:rsidRPr="00431F9F">
        <w:rPr>
          <w:sz w:val="16"/>
          <w:szCs w:val="16"/>
        </w:rPr>
        <w:t xml:space="preserve"> </w:t>
      </w:r>
      <w:r>
        <w:rPr>
          <w:sz w:val="16"/>
          <w:szCs w:val="16"/>
        </w:rPr>
        <w:t>Enrique Gil Botero y</w:t>
      </w:r>
      <w:r w:rsidRPr="00431F9F">
        <w:rPr>
          <w:sz w:val="16"/>
          <w:szCs w:val="16"/>
        </w:rPr>
        <w:t xml:space="preserve"> al </w:t>
      </w:r>
      <w:r>
        <w:rPr>
          <w:sz w:val="16"/>
          <w:szCs w:val="16"/>
        </w:rPr>
        <w:t xml:space="preserve">Secretario Ejecutivo Paulo </w:t>
      </w:r>
      <w:proofErr w:type="spellStart"/>
      <w:r>
        <w:rPr>
          <w:sz w:val="16"/>
          <w:szCs w:val="16"/>
        </w:rPr>
        <w:t>Abrão</w:t>
      </w:r>
      <w:proofErr w:type="spellEnd"/>
      <w:r w:rsidRPr="00431F9F">
        <w:rPr>
          <w:sz w:val="16"/>
          <w:szCs w:val="16"/>
        </w:rPr>
        <w:t xml:space="preserve"> </w:t>
      </w:r>
      <w:r>
        <w:rPr>
          <w:sz w:val="16"/>
          <w:szCs w:val="16"/>
        </w:rPr>
        <w:t xml:space="preserve">y </w:t>
      </w:r>
      <w:r w:rsidRPr="00431F9F">
        <w:rPr>
          <w:sz w:val="16"/>
          <w:szCs w:val="16"/>
        </w:rPr>
        <w:t>desig</w:t>
      </w:r>
      <w:r>
        <w:rPr>
          <w:sz w:val="16"/>
          <w:szCs w:val="16"/>
        </w:rPr>
        <w:t>nó, como asesoras legales, a la señora</w:t>
      </w:r>
      <w:r w:rsidRPr="00431F9F">
        <w:rPr>
          <w:sz w:val="16"/>
          <w:szCs w:val="16"/>
        </w:rPr>
        <w:t xml:space="preserve"> Elizabeth </w:t>
      </w:r>
      <w:proofErr w:type="spellStart"/>
      <w:r w:rsidRPr="00431F9F">
        <w:rPr>
          <w:sz w:val="16"/>
          <w:szCs w:val="16"/>
        </w:rPr>
        <w:t>Abi-Mershed</w:t>
      </w:r>
      <w:proofErr w:type="spellEnd"/>
      <w:r w:rsidRPr="00431F9F">
        <w:rPr>
          <w:sz w:val="16"/>
          <w:szCs w:val="16"/>
        </w:rPr>
        <w:t xml:space="preserve">, </w:t>
      </w:r>
      <w:r>
        <w:rPr>
          <w:sz w:val="16"/>
          <w:szCs w:val="16"/>
        </w:rPr>
        <w:t xml:space="preserve">Secretaria Ejecutiva </w:t>
      </w:r>
      <w:r w:rsidRPr="000214BA">
        <w:rPr>
          <w:sz w:val="16"/>
          <w:szCs w:val="16"/>
        </w:rPr>
        <w:t>Adjunta y a la señora Silvia Serrano Guzmán, abogada de la Secretaría Ejecutiva.</w:t>
      </w:r>
    </w:p>
  </w:footnote>
  <w:footnote w:id="7">
    <w:p w14:paraId="65D12418" w14:textId="77777777" w:rsidR="003C025E" w:rsidRPr="000214BA" w:rsidRDefault="003C025E" w:rsidP="00383565">
      <w:pPr>
        <w:pStyle w:val="FootnoteText"/>
        <w:rPr>
          <w:sz w:val="16"/>
          <w:szCs w:val="16"/>
        </w:rPr>
      </w:pPr>
      <w:r w:rsidRPr="000214BA">
        <w:rPr>
          <w:rStyle w:val="FootnoteReference"/>
          <w:sz w:val="16"/>
          <w:szCs w:val="16"/>
        </w:rPr>
        <w:footnoteRef/>
      </w:r>
      <w:r w:rsidRPr="000214BA">
        <w:rPr>
          <w:sz w:val="16"/>
          <w:szCs w:val="16"/>
        </w:rPr>
        <w:t xml:space="preserve"> </w:t>
      </w:r>
      <w:r w:rsidRPr="000214BA">
        <w:rPr>
          <w:sz w:val="16"/>
          <w:szCs w:val="16"/>
        </w:rPr>
        <w:tab/>
      </w:r>
      <w:r w:rsidRPr="00062586">
        <w:rPr>
          <w:i/>
          <w:sz w:val="16"/>
          <w:szCs w:val="16"/>
          <w:lang w:val="es-ES"/>
        </w:rPr>
        <w:t>Cfr.</w:t>
      </w:r>
      <w:r w:rsidRPr="000214BA">
        <w:rPr>
          <w:sz w:val="16"/>
          <w:szCs w:val="16"/>
          <w:lang w:val="es-ES"/>
        </w:rPr>
        <w:t xml:space="preserve"> Caso </w:t>
      </w:r>
      <w:r w:rsidRPr="000214BA">
        <w:rPr>
          <w:i/>
          <w:sz w:val="16"/>
          <w:szCs w:val="16"/>
          <w:lang w:val="es-ES"/>
        </w:rPr>
        <w:t>Poblete Vilches y otros Vs. Chile.</w:t>
      </w:r>
      <w:r w:rsidRPr="000214BA">
        <w:rPr>
          <w:sz w:val="16"/>
          <w:szCs w:val="16"/>
          <w:lang w:val="es-ES"/>
        </w:rPr>
        <w:t xml:space="preserve"> Resolución del Presidente de la Corte Interamericana de 25 de noviembre de 2016. Disponible en: </w:t>
      </w:r>
      <w:hyperlink r:id="rId1" w:history="1">
        <w:r w:rsidRPr="000214BA">
          <w:rPr>
            <w:rStyle w:val="Hyperlink"/>
            <w:sz w:val="16"/>
            <w:szCs w:val="16"/>
          </w:rPr>
          <w:t>http://www.corteidh.or.cr/docs/asuntos/poblete_25_11_16.pdf</w:t>
        </w:r>
      </w:hyperlink>
      <w:r w:rsidRPr="000214BA">
        <w:rPr>
          <w:sz w:val="16"/>
          <w:szCs w:val="16"/>
        </w:rPr>
        <w:t xml:space="preserve"> </w:t>
      </w:r>
    </w:p>
  </w:footnote>
  <w:footnote w:id="8">
    <w:p w14:paraId="23628DC1" w14:textId="30302A17" w:rsidR="003C025E" w:rsidRPr="000214BA" w:rsidRDefault="003C025E" w:rsidP="00383565">
      <w:pPr>
        <w:pStyle w:val="FootnoteText"/>
        <w:tabs>
          <w:tab w:val="left" w:pos="567"/>
        </w:tabs>
        <w:rPr>
          <w:sz w:val="16"/>
          <w:szCs w:val="16"/>
        </w:rPr>
      </w:pPr>
      <w:r w:rsidRPr="000214BA">
        <w:rPr>
          <w:rStyle w:val="FootnoteReference"/>
          <w:sz w:val="16"/>
          <w:szCs w:val="16"/>
        </w:rPr>
        <w:footnoteRef/>
      </w:r>
      <w:r w:rsidRPr="000214BA">
        <w:rPr>
          <w:sz w:val="16"/>
          <w:szCs w:val="16"/>
        </w:rPr>
        <w:t xml:space="preserve"> </w:t>
      </w:r>
      <w:r w:rsidRPr="000214BA">
        <w:rPr>
          <w:sz w:val="16"/>
          <w:szCs w:val="16"/>
          <w:lang w:val="es-CR"/>
        </w:rPr>
        <w:tab/>
      </w:r>
      <w:r w:rsidRPr="000214BA">
        <w:rPr>
          <w:sz w:val="16"/>
          <w:szCs w:val="16"/>
        </w:rPr>
        <w:t>El Estado designó como Agentes del Estado Hernán Quezada Cabrera</w:t>
      </w:r>
      <w:r>
        <w:rPr>
          <w:sz w:val="16"/>
          <w:szCs w:val="16"/>
        </w:rPr>
        <w:t xml:space="preserve">, </w:t>
      </w:r>
      <w:r w:rsidRPr="000214BA">
        <w:rPr>
          <w:sz w:val="16"/>
          <w:szCs w:val="16"/>
        </w:rPr>
        <w:t xml:space="preserve">Óscar </w:t>
      </w:r>
      <w:proofErr w:type="spellStart"/>
      <w:r w:rsidRPr="000214BA">
        <w:rPr>
          <w:sz w:val="16"/>
          <w:szCs w:val="16"/>
        </w:rPr>
        <w:t>Alcamán</w:t>
      </w:r>
      <w:proofErr w:type="spellEnd"/>
      <w:r w:rsidRPr="000214BA">
        <w:rPr>
          <w:sz w:val="16"/>
          <w:szCs w:val="16"/>
        </w:rPr>
        <w:t xml:space="preserve"> </w:t>
      </w:r>
      <w:proofErr w:type="spellStart"/>
      <w:r w:rsidRPr="000214BA">
        <w:rPr>
          <w:sz w:val="16"/>
          <w:szCs w:val="16"/>
        </w:rPr>
        <w:t>Riffo</w:t>
      </w:r>
      <w:proofErr w:type="spellEnd"/>
      <w:r w:rsidRPr="000214BA">
        <w:rPr>
          <w:sz w:val="16"/>
          <w:szCs w:val="16"/>
        </w:rPr>
        <w:t xml:space="preserve"> y Diana </w:t>
      </w:r>
      <w:proofErr w:type="spellStart"/>
      <w:r w:rsidRPr="000214BA">
        <w:rPr>
          <w:sz w:val="16"/>
          <w:szCs w:val="16"/>
        </w:rPr>
        <w:t>Maquil</w:t>
      </w:r>
      <w:r>
        <w:rPr>
          <w:sz w:val="16"/>
          <w:szCs w:val="16"/>
        </w:rPr>
        <w:t>o</w:t>
      </w:r>
      <w:r w:rsidRPr="000214BA">
        <w:rPr>
          <w:sz w:val="16"/>
          <w:szCs w:val="16"/>
        </w:rPr>
        <w:t>n</w:t>
      </w:r>
      <w:proofErr w:type="spellEnd"/>
      <w:r w:rsidRPr="000214BA">
        <w:rPr>
          <w:sz w:val="16"/>
          <w:szCs w:val="16"/>
        </w:rPr>
        <w:t xml:space="preserve"> Tamayo, y como agentes alternas Beatriz Contreras e Isidora Rojas </w:t>
      </w:r>
      <w:proofErr w:type="spellStart"/>
      <w:r w:rsidRPr="000214BA">
        <w:rPr>
          <w:sz w:val="16"/>
          <w:szCs w:val="16"/>
        </w:rPr>
        <w:t>Fermandois</w:t>
      </w:r>
      <w:proofErr w:type="spellEnd"/>
      <w:r w:rsidRPr="000214BA">
        <w:rPr>
          <w:sz w:val="16"/>
          <w:szCs w:val="16"/>
        </w:rPr>
        <w:t>.</w:t>
      </w:r>
    </w:p>
  </w:footnote>
  <w:footnote w:id="9">
    <w:p w14:paraId="16E4ECAC" w14:textId="68BD87F8" w:rsidR="003C025E" w:rsidRPr="000214BA" w:rsidRDefault="003C025E" w:rsidP="00383565">
      <w:pPr>
        <w:pStyle w:val="FootnoteText"/>
        <w:tabs>
          <w:tab w:val="left" w:pos="567"/>
        </w:tabs>
        <w:rPr>
          <w:sz w:val="16"/>
          <w:szCs w:val="16"/>
          <w:lang w:val="es-ES"/>
        </w:rPr>
      </w:pPr>
      <w:r w:rsidRPr="00431F9F">
        <w:rPr>
          <w:rStyle w:val="FootnoteReference"/>
          <w:sz w:val="16"/>
          <w:szCs w:val="16"/>
        </w:rPr>
        <w:footnoteRef/>
      </w:r>
      <w:r w:rsidRPr="00431F9F">
        <w:rPr>
          <w:sz w:val="16"/>
          <w:szCs w:val="16"/>
        </w:rPr>
        <w:t xml:space="preserve"> </w:t>
      </w:r>
      <w:r w:rsidRPr="00431F9F">
        <w:rPr>
          <w:sz w:val="16"/>
          <w:szCs w:val="16"/>
        </w:rPr>
        <w:tab/>
      </w:r>
      <w:r w:rsidRPr="00062586">
        <w:rPr>
          <w:i/>
          <w:sz w:val="16"/>
          <w:szCs w:val="16"/>
          <w:lang w:val="es-ES"/>
        </w:rPr>
        <w:t>Cfr.</w:t>
      </w:r>
      <w:r w:rsidRPr="000214BA">
        <w:rPr>
          <w:sz w:val="16"/>
          <w:szCs w:val="16"/>
          <w:lang w:val="es-ES"/>
        </w:rPr>
        <w:t xml:space="preserve"> Caso </w:t>
      </w:r>
      <w:r w:rsidRPr="000214BA">
        <w:rPr>
          <w:i/>
          <w:sz w:val="16"/>
          <w:szCs w:val="16"/>
          <w:lang w:val="es-ES"/>
        </w:rPr>
        <w:t>Poblete Vilches y otros Vs. Chile.</w:t>
      </w:r>
      <w:r w:rsidRPr="000214BA">
        <w:rPr>
          <w:sz w:val="16"/>
          <w:szCs w:val="16"/>
          <w:lang w:val="es-ES"/>
        </w:rPr>
        <w:t xml:space="preserve"> Resolución del Presidente de la Corte Interamericana de 21 de septiembre de </w:t>
      </w:r>
      <w:r>
        <w:rPr>
          <w:sz w:val="16"/>
          <w:szCs w:val="16"/>
          <w:lang w:val="es-ES"/>
        </w:rPr>
        <w:t>2017</w:t>
      </w:r>
      <w:r w:rsidRPr="000214BA">
        <w:rPr>
          <w:sz w:val="16"/>
          <w:szCs w:val="16"/>
          <w:lang w:val="es-ES"/>
        </w:rPr>
        <w:t>. Disponible en:</w:t>
      </w:r>
      <w:r w:rsidRPr="000214BA">
        <w:rPr>
          <w:sz w:val="16"/>
          <w:szCs w:val="16"/>
        </w:rPr>
        <w:t xml:space="preserve"> </w:t>
      </w:r>
      <w:hyperlink r:id="rId2" w:history="1">
        <w:r w:rsidRPr="000214BA">
          <w:rPr>
            <w:rStyle w:val="Hyperlink"/>
            <w:sz w:val="16"/>
            <w:szCs w:val="16"/>
            <w:lang w:val="es-ES"/>
          </w:rPr>
          <w:t>http://www.corteidh.or.cr/docs/asuntos/poblete_21_09_17.pdf</w:t>
        </w:r>
      </w:hyperlink>
      <w:r w:rsidRPr="000214BA">
        <w:rPr>
          <w:sz w:val="16"/>
          <w:szCs w:val="16"/>
          <w:lang w:val="es-ES"/>
        </w:rPr>
        <w:t xml:space="preserve"> </w:t>
      </w:r>
    </w:p>
  </w:footnote>
  <w:footnote w:id="10">
    <w:p w14:paraId="675847DE" w14:textId="77777777" w:rsidR="003C025E" w:rsidRPr="000214BA" w:rsidRDefault="003C025E" w:rsidP="00383565">
      <w:pPr>
        <w:tabs>
          <w:tab w:val="left" w:pos="567"/>
        </w:tabs>
        <w:ind w:right="-6"/>
        <w:rPr>
          <w:sz w:val="16"/>
          <w:szCs w:val="16"/>
        </w:rPr>
      </w:pPr>
      <w:r w:rsidRPr="000214BA">
        <w:rPr>
          <w:rStyle w:val="FootnoteReference"/>
          <w:sz w:val="16"/>
          <w:szCs w:val="16"/>
        </w:rPr>
        <w:footnoteRef/>
      </w:r>
      <w:r w:rsidRPr="000214BA">
        <w:rPr>
          <w:sz w:val="16"/>
          <w:szCs w:val="16"/>
        </w:rPr>
        <w:t xml:space="preserve"> </w:t>
      </w:r>
      <w:r w:rsidRPr="000214BA">
        <w:rPr>
          <w:sz w:val="16"/>
          <w:szCs w:val="16"/>
        </w:rPr>
        <w:tab/>
      </w:r>
      <w:r w:rsidRPr="000214BA">
        <w:rPr>
          <w:sz w:val="16"/>
          <w:szCs w:val="16"/>
          <w:lang w:val="es-ES"/>
        </w:rPr>
        <w:t>A esta audiencia comparecieron: a) por la Comisión Interamericana:</w:t>
      </w:r>
      <w:r w:rsidRPr="000214BA">
        <w:rPr>
          <w:sz w:val="16"/>
          <w:szCs w:val="16"/>
          <w:lang w:val="es-ES" w:eastAsia="es-ES"/>
        </w:rPr>
        <w:t xml:space="preserve"> el Comisionado </w:t>
      </w:r>
      <w:r w:rsidRPr="000214BA">
        <w:rPr>
          <w:sz w:val="16"/>
          <w:szCs w:val="16"/>
        </w:rPr>
        <w:t>José de Jesús Orozco Henríquez</w:t>
      </w:r>
      <w:r w:rsidRPr="000214BA">
        <w:rPr>
          <w:sz w:val="16"/>
          <w:szCs w:val="16"/>
          <w:lang w:val="es-ES"/>
        </w:rPr>
        <w:t xml:space="preserve">, y las abogadas de la Secretaría Ejecutiva, Silvia Serrano Guzmán, y Selene Soto; b) por los representantes de la presunta víctima: las defensoras interamericanas, señora </w:t>
      </w:r>
      <w:proofErr w:type="spellStart"/>
      <w:r w:rsidRPr="000214BA">
        <w:rPr>
          <w:sz w:val="16"/>
          <w:szCs w:val="16"/>
          <w:lang w:val="es-ES"/>
        </w:rPr>
        <w:t>Rivana</w:t>
      </w:r>
      <w:proofErr w:type="spellEnd"/>
      <w:r w:rsidRPr="000214BA">
        <w:rPr>
          <w:sz w:val="16"/>
          <w:szCs w:val="16"/>
          <w:lang w:val="es-ES"/>
        </w:rPr>
        <w:t xml:space="preserve"> Barreto Ricarte de Olivera y Silvia Edith Martínez, y c) por el Estado de Chile: los agentes Hernán Quezada Cabrera, Oscar </w:t>
      </w:r>
      <w:proofErr w:type="spellStart"/>
      <w:r w:rsidRPr="000214BA">
        <w:rPr>
          <w:sz w:val="16"/>
          <w:szCs w:val="16"/>
          <w:lang w:val="es-ES"/>
        </w:rPr>
        <w:t>Alcamán</w:t>
      </w:r>
      <w:proofErr w:type="spellEnd"/>
      <w:r w:rsidRPr="000214BA">
        <w:rPr>
          <w:sz w:val="16"/>
          <w:szCs w:val="16"/>
          <w:lang w:val="es-ES"/>
        </w:rPr>
        <w:t xml:space="preserve"> </w:t>
      </w:r>
      <w:proofErr w:type="spellStart"/>
      <w:r w:rsidRPr="000214BA">
        <w:rPr>
          <w:sz w:val="16"/>
          <w:szCs w:val="16"/>
          <w:lang w:val="es-ES"/>
        </w:rPr>
        <w:t>Riffo</w:t>
      </w:r>
      <w:proofErr w:type="spellEnd"/>
      <w:r w:rsidRPr="000214BA">
        <w:rPr>
          <w:sz w:val="16"/>
          <w:szCs w:val="16"/>
          <w:lang w:val="es-ES"/>
        </w:rPr>
        <w:t xml:space="preserve"> y Diana </w:t>
      </w:r>
      <w:proofErr w:type="spellStart"/>
      <w:r w:rsidRPr="000214BA">
        <w:rPr>
          <w:sz w:val="16"/>
          <w:szCs w:val="16"/>
          <w:lang w:val="es-ES"/>
        </w:rPr>
        <w:t>Maquilón</w:t>
      </w:r>
      <w:proofErr w:type="spellEnd"/>
      <w:r w:rsidRPr="000214BA">
        <w:rPr>
          <w:sz w:val="16"/>
          <w:szCs w:val="16"/>
          <w:lang w:val="es-ES"/>
        </w:rPr>
        <w:t xml:space="preserve"> Tamayo; las agentes alternas Beatriz Contreras Reyes e Isidora Rojas </w:t>
      </w:r>
      <w:proofErr w:type="spellStart"/>
      <w:r w:rsidRPr="000214BA">
        <w:rPr>
          <w:sz w:val="16"/>
          <w:szCs w:val="16"/>
          <w:lang w:val="es-ES"/>
        </w:rPr>
        <w:t>Fermandois</w:t>
      </w:r>
      <w:proofErr w:type="spellEnd"/>
      <w:r w:rsidRPr="000214BA">
        <w:rPr>
          <w:sz w:val="16"/>
          <w:szCs w:val="16"/>
          <w:lang w:val="es-ES"/>
        </w:rPr>
        <w:t>; el representante de la Subsecretaría de Derechos Humanos, Juan Pablo Gómez y el representante del Poder Judicial, Jorge Sáenz Martin</w:t>
      </w:r>
      <w:r w:rsidRPr="000214BA">
        <w:rPr>
          <w:sz w:val="16"/>
          <w:szCs w:val="16"/>
          <w:lang w:val="es-CO" w:eastAsia="es-ES"/>
        </w:rPr>
        <w:t>.</w:t>
      </w:r>
    </w:p>
  </w:footnote>
  <w:footnote w:id="11">
    <w:p w14:paraId="40C9F121" w14:textId="56E936C4" w:rsidR="003C025E" w:rsidRPr="000214BA" w:rsidRDefault="003C025E" w:rsidP="00542AD4">
      <w:pPr>
        <w:pStyle w:val="FootnoteText"/>
        <w:rPr>
          <w:sz w:val="16"/>
          <w:szCs w:val="16"/>
          <w:lang w:val="es-CR"/>
        </w:rPr>
      </w:pPr>
      <w:r w:rsidRPr="000214BA">
        <w:rPr>
          <w:rStyle w:val="FootnoteReference"/>
          <w:rFonts w:eastAsia="Calibri"/>
          <w:sz w:val="16"/>
          <w:szCs w:val="16"/>
        </w:rPr>
        <w:footnoteRef/>
      </w:r>
      <w:r w:rsidRPr="000214BA">
        <w:rPr>
          <w:sz w:val="16"/>
          <w:szCs w:val="16"/>
        </w:rPr>
        <w:t xml:space="preserve"> </w:t>
      </w:r>
      <w:r w:rsidRPr="000214BA">
        <w:rPr>
          <w:sz w:val="16"/>
          <w:szCs w:val="16"/>
        </w:rPr>
        <w:tab/>
      </w:r>
      <w:r w:rsidRPr="00062586">
        <w:rPr>
          <w:i/>
          <w:iCs/>
          <w:sz w:val="16"/>
          <w:szCs w:val="16"/>
        </w:rPr>
        <w:t>Cfr.</w:t>
      </w:r>
      <w:r w:rsidRPr="000214BA">
        <w:rPr>
          <w:i/>
          <w:iCs/>
          <w:sz w:val="16"/>
          <w:szCs w:val="16"/>
        </w:rPr>
        <w:t xml:space="preserve"> </w:t>
      </w:r>
      <w:r w:rsidRPr="000214BA">
        <w:rPr>
          <w:i/>
          <w:sz w:val="16"/>
          <w:szCs w:val="16"/>
        </w:rPr>
        <w:t xml:space="preserve">Caso </w:t>
      </w:r>
      <w:r>
        <w:rPr>
          <w:i/>
          <w:sz w:val="16"/>
          <w:szCs w:val="16"/>
        </w:rPr>
        <w:t xml:space="preserve">Benavides Cevallos Vs. Ecuador. Fondo, Reparaciones y Costas. </w:t>
      </w:r>
      <w:r w:rsidRPr="00650617">
        <w:rPr>
          <w:sz w:val="16"/>
          <w:szCs w:val="16"/>
        </w:rPr>
        <w:t>Sentencia de 19 de junio de 1998. Serie C N</w:t>
      </w:r>
      <w:r w:rsidRPr="00650617">
        <w:rPr>
          <w:sz w:val="16"/>
          <w:szCs w:val="16"/>
          <w:lang w:val="es-EC"/>
        </w:rPr>
        <w:t>o. 38, párr. 57</w:t>
      </w:r>
      <w:r>
        <w:rPr>
          <w:sz w:val="16"/>
          <w:szCs w:val="16"/>
          <w:lang w:val="es-EC"/>
        </w:rPr>
        <w:t xml:space="preserve">, </w:t>
      </w:r>
      <w:r w:rsidRPr="000214BA">
        <w:rPr>
          <w:sz w:val="16"/>
          <w:szCs w:val="16"/>
        </w:rPr>
        <w:t>y</w:t>
      </w:r>
      <w:r w:rsidRPr="000214BA">
        <w:rPr>
          <w:i/>
          <w:sz w:val="16"/>
          <w:szCs w:val="16"/>
        </w:rPr>
        <w:t xml:space="preserve"> </w:t>
      </w:r>
      <w:r w:rsidRPr="000214BA">
        <w:rPr>
          <w:bCs/>
          <w:i/>
          <w:sz w:val="16"/>
          <w:szCs w:val="16"/>
          <w:lang w:val="es-CR"/>
        </w:rPr>
        <w:t xml:space="preserve">Caso </w:t>
      </w:r>
      <w:r>
        <w:rPr>
          <w:bCs/>
          <w:i/>
          <w:sz w:val="16"/>
          <w:szCs w:val="16"/>
          <w:lang w:val="es-CR"/>
        </w:rPr>
        <w:t xml:space="preserve">Vereda La Esperanza Vs. Colombia. Excepción Preliminar, Fondo, Reparaciones y Costas. </w:t>
      </w:r>
      <w:r w:rsidRPr="00650617">
        <w:rPr>
          <w:bCs/>
          <w:sz w:val="16"/>
          <w:szCs w:val="16"/>
          <w:lang w:val="es-CR"/>
        </w:rPr>
        <w:t>Sentencia de 31 de agosto de 2017. Serie C No. 341, párr. 21.</w:t>
      </w:r>
      <w:r>
        <w:rPr>
          <w:bCs/>
          <w:i/>
          <w:sz w:val="16"/>
          <w:szCs w:val="16"/>
          <w:lang w:val="es-CR"/>
        </w:rPr>
        <w:t xml:space="preserve"> </w:t>
      </w:r>
    </w:p>
  </w:footnote>
  <w:footnote w:id="12">
    <w:p w14:paraId="1E3464E5" w14:textId="20A421B5" w:rsidR="003C025E" w:rsidRPr="000214BA" w:rsidRDefault="003C025E" w:rsidP="00542AD4">
      <w:pPr>
        <w:pStyle w:val="FootnoteText"/>
        <w:rPr>
          <w:sz w:val="16"/>
          <w:szCs w:val="16"/>
          <w:lang w:val="es-CR"/>
        </w:rPr>
      </w:pPr>
      <w:r w:rsidRPr="000214BA">
        <w:rPr>
          <w:rStyle w:val="FootnoteReference"/>
          <w:rFonts w:eastAsia="Calibri"/>
          <w:sz w:val="16"/>
          <w:szCs w:val="16"/>
        </w:rPr>
        <w:footnoteRef/>
      </w:r>
      <w:r w:rsidRPr="000214BA">
        <w:rPr>
          <w:sz w:val="16"/>
          <w:szCs w:val="16"/>
        </w:rPr>
        <w:t xml:space="preserve"> </w:t>
      </w:r>
      <w:r w:rsidRPr="00062586">
        <w:rPr>
          <w:i/>
          <w:sz w:val="16"/>
          <w:szCs w:val="16"/>
          <w:lang w:val="es-CR"/>
        </w:rPr>
        <w:t>Cfr.</w:t>
      </w:r>
      <w:r w:rsidRPr="000214BA">
        <w:rPr>
          <w:sz w:val="16"/>
          <w:szCs w:val="16"/>
          <w:lang w:val="es-CR"/>
        </w:rPr>
        <w:t xml:space="preserve"> </w:t>
      </w:r>
      <w:r w:rsidRPr="000214BA">
        <w:rPr>
          <w:i/>
          <w:sz w:val="16"/>
          <w:szCs w:val="16"/>
          <w:lang w:val="es-CR"/>
        </w:rPr>
        <w:t>Caso Acevedo Jaramillo y otros Vs. Perú. Excepciones Preliminares, Fondo, Reparaciones y Costas</w:t>
      </w:r>
      <w:r w:rsidRPr="000214BA">
        <w:rPr>
          <w:sz w:val="16"/>
          <w:szCs w:val="16"/>
          <w:lang w:val="es-CR"/>
        </w:rPr>
        <w:t xml:space="preserve">. Sentencia de 7 de febrero de 2006. Serie C No. 144, parras. 176 a 180, y </w:t>
      </w:r>
      <w:r w:rsidRPr="009A7BFF">
        <w:rPr>
          <w:bCs/>
          <w:i/>
          <w:sz w:val="16"/>
          <w:szCs w:val="16"/>
          <w:lang w:val="es-CR"/>
        </w:rPr>
        <w:t xml:space="preserve">Caso Ortiz Hernández y otros Vs. Venezuela. Fondo, Reparaciones y Costas. </w:t>
      </w:r>
      <w:r w:rsidRPr="0059117C">
        <w:rPr>
          <w:bCs/>
          <w:sz w:val="16"/>
          <w:szCs w:val="16"/>
          <w:lang w:val="es-CR"/>
        </w:rPr>
        <w:t>Sentencia de 22 de agosto de 2017. Serie C No. 338</w:t>
      </w:r>
      <w:r>
        <w:rPr>
          <w:bCs/>
          <w:sz w:val="16"/>
          <w:szCs w:val="16"/>
          <w:lang w:val="es-CR"/>
        </w:rPr>
        <w:t xml:space="preserve">, párr. 34. </w:t>
      </w:r>
    </w:p>
  </w:footnote>
  <w:footnote w:id="13">
    <w:p w14:paraId="5B0F59DD" w14:textId="77777777" w:rsidR="003C025E" w:rsidRPr="000214BA" w:rsidRDefault="003C025E" w:rsidP="00C27894">
      <w:pPr>
        <w:pStyle w:val="FootnoteText"/>
        <w:tabs>
          <w:tab w:val="left" w:pos="567"/>
        </w:tabs>
        <w:rPr>
          <w:sz w:val="16"/>
          <w:szCs w:val="16"/>
        </w:rPr>
      </w:pPr>
      <w:r w:rsidRPr="000214BA">
        <w:rPr>
          <w:rStyle w:val="FootnoteReference"/>
          <w:rFonts w:eastAsia="Calibri"/>
          <w:sz w:val="16"/>
          <w:szCs w:val="16"/>
        </w:rPr>
        <w:footnoteRef/>
      </w:r>
      <w:r w:rsidRPr="000214BA">
        <w:rPr>
          <w:sz w:val="16"/>
          <w:szCs w:val="16"/>
        </w:rPr>
        <w:t xml:space="preserve"> </w:t>
      </w:r>
      <w:r w:rsidRPr="000214BA">
        <w:rPr>
          <w:sz w:val="16"/>
          <w:szCs w:val="16"/>
        </w:rPr>
        <w:tab/>
        <w:t>Artículo 62. Reconocimiento</w:t>
      </w:r>
      <w:r>
        <w:rPr>
          <w:sz w:val="16"/>
          <w:szCs w:val="16"/>
        </w:rPr>
        <w:t xml:space="preserve">. </w:t>
      </w:r>
      <w:r w:rsidRPr="000214BA">
        <w:rPr>
          <w:sz w:val="16"/>
          <w:szCs w:val="16"/>
        </w:rPr>
        <w:t>Si el demandado comunicare a la Corte su aceptación de los hechos o su allanamiento total o parcial a las pretensiones que constan en el sometimiento del caso o en el escrito de las presuntas víctimas o sus representantes, la Corte, oído el parecer de los demás intervinientes en el proceso, resolverá, en el momento procesal oportuno, sobre su procedencia y sus efectos jurídicos.</w:t>
      </w:r>
    </w:p>
  </w:footnote>
  <w:footnote w:id="14">
    <w:p w14:paraId="76F767B8" w14:textId="77777777" w:rsidR="003C025E" w:rsidRPr="000214BA" w:rsidRDefault="003C025E" w:rsidP="00C27894">
      <w:pPr>
        <w:pStyle w:val="FootnoteText"/>
        <w:tabs>
          <w:tab w:val="left" w:pos="567"/>
        </w:tabs>
        <w:rPr>
          <w:sz w:val="16"/>
          <w:szCs w:val="16"/>
        </w:rPr>
      </w:pPr>
      <w:r w:rsidRPr="000214BA">
        <w:rPr>
          <w:rStyle w:val="FootnoteReference"/>
          <w:rFonts w:eastAsia="Calibri"/>
          <w:sz w:val="16"/>
          <w:szCs w:val="16"/>
        </w:rPr>
        <w:footnoteRef/>
      </w:r>
      <w:r w:rsidRPr="000214BA">
        <w:rPr>
          <w:sz w:val="16"/>
          <w:szCs w:val="16"/>
        </w:rPr>
        <w:t xml:space="preserve"> </w:t>
      </w:r>
      <w:r w:rsidRPr="000214BA">
        <w:rPr>
          <w:sz w:val="16"/>
          <w:szCs w:val="16"/>
        </w:rPr>
        <w:tab/>
        <w:t>Artículo 64. Prosecución del examen del caso</w:t>
      </w:r>
      <w:r>
        <w:rPr>
          <w:sz w:val="16"/>
          <w:szCs w:val="16"/>
        </w:rPr>
        <w:t xml:space="preserve">. </w:t>
      </w:r>
      <w:r w:rsidRPr="000214BA">
        <w:rPr>
          <w:sz w:val="16"/>
          <w:szCs w:val="16"/>
        </w:rPr>
        <w:t xml:space="preserve">La Corte, teniendo en cuenta las responsabilidades que le incumben de proteger los derechos humanos, podrá decidir que prosiga el examen del caso, aun en presencia de los supuestos señalados en los artículos precedentes. </w:t>
      </w:r>
    </w:p>
  </w:footnote>
  <w:footnote w:id="15">
    <w:p w14:paraId="0C530864" w14:textId="50028992" w:rsidR="003C025E" w:rsidRPr="000214BA" w:rsidRDefault="003C025E" w:rsidP="00542AD4">
      <w:pPr>
        <w:tabs>
          <w:tab w:val="left" w:pos="567"/>
          <w:tab w:val="left" w:pos="709"/>
        </w:tabs>
        <w:rPr>
          <w:rFonts w:cs="Courier New"/>
          <w:noProof/>
          <w:sz w:val="16"/>
          <w:szCs w:val="16"/>
        </w:rPr>
      </w:pPr>
      <w:r w:rsidRPr="000214BA">
        <w:rPr>
          <w:rStyle w:val="FootnoteReference"/>
          <w:rFonts w:eastAsia="Calibri"/>
          <w:sz w:val="16"/>
          <w:szCs w:val="16"/>
        </w:rPr>
        <w:footnoteRef/>
      </w:r>
      <w:r w:rsidRPr="000214BA">
        <w:rPr>
          <w:sz w:val="16"/>
          <w:szCs w:val="16"/>
        </w:rPr>
        <w:t xml:space="preserve"> </w:t>
      </w:r>
      <w:r w:rsidRPr="000214BA">
        <w:rPr>
          <w:sz w:val="16"/>
          <w:szCs w:val="16"/>
        </w:rPr>
        <w:tab/>
      </w:r>
      <w:r w:rsidRPr="00062586">
        <w:rPr>
          <w:i/>
          <w:sz w:val="16"/>
          <w:szCs w:val="16"/>
          <w:lang w:val="es-AR"/>
        </w:rPr>
        <w:t>Cfr.</w:t>
      </w:r>
      <w:r w:rsidRPr="000214BA">
        <w:rPr>
          <w:b/>
          <w:i/>
          <w:sz w:val="16"/>
          <w:szCs w:val="16"/>
          <w:lang w:val="es-AR"/>
        </w:rPr>
        <w:t xml:space="preserve"> </w:t>
      </w:r>
      <w:r w:rsidRPr="000214BA">
        <w:rPr>
          <w:bCs/>
          <w:i/>
          <w:sz w:val="16"/>
          <w:szCs w:val="16"/>
          <w:lang w:val="es-AR"/>
        </w:rPr>
        <w:t xml:space="preserve">Caso </w:t>
      </w:r>
      <w:proofErr w:type="spellStart"/>
      <w:r w:rsidRPr="000214BA">
        <w:rPr>
          <w:bCs/>
          <w:i/>
          <w:sz w:val="16"/>
          <w:szCs w:val="16"/>
          <w:lang w:val="es-AR"/>
        </w:rPr>
        <w:t>Kimel</w:t>
      </w:r>
      <w:proofErr w:type="spellEnd"/>
      <w:r w:rsidRPr="000214BA">
        <w:rPr>
          <w:bCs/>
          <w:i/>
          <w:sz w:val="16"/>
          <w:szCs w:val="16"/>
          <w:lang w:val="es-AR"/>
        </w:rPr>
        <w:t xml:space="preserve"> Vs. Argentina. </w:t>
      </w:r>
      <w:r w:rsidRPr="000214BA">
        <w:rPr>
          <w:i/>
          <w:sz w:val="16"/>
          <w:szCs w:val="16"/>
          <w:lang w:val="es-AR"/>
        </w:rPr>
        <w:t>Fondo, Reparaciones y Costas.</w:t>
      </w:r>
      <w:r w:rsidRPr="000214BA">
        <w:rPr>
          <w:sz w:val="16"/>
          <w:szCs w:val="16"/>
          <w:lang w:val="es-AR"/>
        </w:rPr>
        <w:t xml:space="preserve"> Sentencia de 2 de mayo de 2008. Serie C No. 177, párr. 24, y </w:t>
      </w:r>
      <w:r w:rsidRPr="000214BA">
        <w:rPr>
          <w:rFonts w:cs="Courier New"/>
          <w:bCs/>
          <w:i/>
          <w:noProof/>
          <w:sz w:val="16"/>
          <w:szCs w:val="16"/>
        </w:rPr>
        <w:t xml:space="preserve">Caso </w:t>
      </w:r>
      <w:r>
        <w:rPr>
          <w:rFonts w:cs="Courier New"/>
          <w:bCs/>
          <w:i/>
          <w:noProof/>
          <w:sz w:val="16"/>
          <w:szCs w:val="16"/>
        </w:rPr>
        <w:t xml:space="preserve">Vereda La Esperanza </w:t>
      </w:r>
      <w:r>
        <w:rPr>
          <w:bCs/>
          <w:i/>
          <w:sz w:val="16"/>
          <w:szCs w:val="16"/>
        </w:rPr>
        <w:t>Vs. Colombia.</w:t>
      </w:r>
      <w:r>
        <w:rPr>
          <w:rFonts w:cs="Courier New"/>
          <w:bCs/>
          <w:i/>
          <w:noProof/>
          <w:sz w:val="16"/>
          <w:szCs w:val="16"/>
        </w:rPr>
        <w:t>, supra</w:t>
      </w:r>
      <w:r>
        <w:rPr>
          <w:rFonts w:cs="Courier New"/>
          <w:bCs/>
          <w:noProof/>
          <w:sz w:val="16"/>
          <w:szCs w:val="16"/>
        </w:rPr>
        <w:t>,</w:t>
      </w:r>
      <w:r w:rsidRPr="00650617">
        <w:rPr>
          <w:rFonts w:cs="Courier New"/>
          <w:bCs/>
          <w:noProof/>
          <w:sz w:val="16"/>
          <w:szCs w:val="16"/>
        </w:rPr>
        <w:t xml:space="preserve"> </w:t>
      </w:r>
      <w:r>
        <w:rPr>
          <w:rFonts w:cs="Courier New"/>
          <w:bCs/>
          <w:noProof/>
          <w:sz w:val="16"/>
          <w:szCs w:val="16"/>
        </w:rPr>
        <w:t xml:space="preserve">párr. </w:t>
      </w:r>
      <w:r w:rsidRPr="00650617">
        <w:rPr>
          <w:rFonts w:cs="Courier New"/>
          <w:bCs/>
          <w:noProof/>
          <w:sz w:val="16"/>
          <w:szCs w:val="16"/>
        </w:rPr>
        <w:t>21.</w:t>
      </w:r>
    </w:p>
  </w:footnote>
  <w:footnote w:id="16">
    <w:p w14:paraId="68759242" w14:textId="4BE6E281" w:rsidR="003C025E" w:rsidRPr="000214BA" w:rsidRDefault="003C025E" w:rsidP="00542AD4">
      <w:pPr>
        <w:tabs>
          <w:tab w:val="left" w:pos="567"/>
        </w:tabs>
        <w:rPr>
          <w:sz w:val="16"/>
          <w:szCs w:val="16"/>
          <w:lang w:val="es-AR"/>
        </w:rPr>
      </w:pPr>
      <w:r w:rsidRPr="000214BA">
        <w:rPr>
          <w:rStyle w:val="FootnoteReference"/>
          <w:rFonts w:eastAsia="Calibri"/>
          <w:sz w:val="16"/>
          <w:szCs w:val="16"/>
        </w:rPr>
        <w:footnoteRef/>
      </w:r>
      <w:r w:rsidRPr="000214BA">
        <w:rPr>
          <w:sz w:val="16"/>
          <w:szCs w:val="16"/>
        </w:rPr>
        <w:t xml:space="preserve"> </w:t>
      </w:r>
      <w:r w:rsidRPr="000214BA">
        <w:rPr>
          <w:sz w:val="16"/>
          <w:szCs w:val="16"/>
        </w:rPr>
        <w:tab/>
      </w:r>
      <w:r w:rsidRPr="00062586">
        <w:rPr>
          <w:i/>
          <w:sz w:val="16"/>
          <w:szCs w:val="16"/>
        </w:rPr>
        <w:t>Cfr.</w:t>
      </w:r>
      <w:r w:rsidRPr="000214BA">
        <w:rPr>
          <w:b/>
          <w:i/>
          <w:sz w:val="16"/>
          <w:szCs w:val="16"/>
        </w:rPr>
        <w:t xml:space="preserve"> </w:t>
      </w:r>
      <w:r w:rsidRPr="000214BA">
        <w:rPr>
          <w:bCs/>
          <w:i/>
          <w:sz w:val="16"/>
          <w:szCs w:val="16"/>
        </w:rPr>
        <w:t xml:space="preserve">Caso Manuel Cepeda Vargas Vs. </w:t>
      </w:r>
      <w:r w:rsidRPr="000214BA">
        <w:rPr>
          <w:bCs/>
          <w:i/>
          <w:sz w:val="16"/>
          <w:szCs w:val="16"/>
          <w:lang w:val="es-AR"/>
        </w:rPr>
        <w:t xml:space="preserve">Colombia. </w:t>
      </w:r>
      <w:r w:rsidRPr="000214BA">
        <w:rPr>
          <w:i/>
          <w:sz w:val="16"/>
          <w:szCs w:val="16"/>
          <w:lang w:val="es-AR"/>
        </w:rPr>
        <w:t>Excepciones Preliminares, Fondo, Reparaciones y Costas.</w:t>
      </w:r>
      <w:r w:rsidRPr="000214BA">
        <w:rPr>
          <w:sz w:val="16"/>
          <w:szCs w:val="16"/>
          <w:lang w:val="es-AR"/>
        </w:rPr>
        <w:t xml:space="preserve"> Sentencia de 26 de mayo de 2010. Serie C No. 213, párr. 17, y </w:t>
      </w:r>
      <w:r w:rsidRPr="000214BA">
        <w:rPr>
          <w:rFonts w:cs="Courier New"/>
          <w:bCs/>
          <w:i/>
          <w:noProof/>
          <w:sz w:val="16"/>
          <w:szCs w:val="16"/>
        </w:rPr>
        <w:t xml:space="preserve">Caso </w:t>
      </w:r>
      <w:r>
        <w:rPr>
          <w:rFonts w:cs="Courier New"/>
          <w:bCs/>
          <w:i/>
          <w:noProof/>
          <w:sz w:val="16"/>
          <w:szCs w:val="16"/>
        </w:rPr>
        <w:t xml:space="preserve">Vereda La Esperanza </w:t>
      </w:r>
      <w:r>
        <w:rPr>
          <w:bCs/>
          <w:i/>
          <w:sz w:val="16"/>
          <w:szCs w:val="16"/>
        </w:rPr>
        <w:t>Vs. Colombia</w:t>
      </w:r>
      <w:r w:rsidRPr="00E71B59">
        <w:rPr>
          <w:rFonts w:cs="Courier New"/>
          <w:bCs/>
          <w:noProof/>
          <w:sz w:val="16"/>
          <w:szCs w:val="16"/>
        </w:rPr>
        <w:t>,</w:t>
      </w:r>
      <w:r>
        <w:rPr>
          <w:rFonts w:cs="Courier New"/>
          <w:bCs/>
          <w:noProof/>
          <w:sz w:val="16"/>
          <w:szCs w:val="16"/>
        </w:rPr>
        <w:t xml:space="preserve"> </w:t>
      </w:r>
      <w:r w:rsidRPr="00650617">
        <w:rPr>
          <w:rFonts w:cs="Courier New"/>
          <w:bCs/>
          <w:i/>
          <w:noProof/>
          <w:sz w:val="16"/>
          <w:szCs w:val="16"/>
        </w:rPr>
        <w:t>supra</w:t>
      </w:r>
      <w:r>
        <w:rPr>
          <w:rFonts w:cs="Courier New"/>
          <w:bCs/>
          <w:noProof/>
          <w:sz w:val="16"/>
          <w:szCs w:val="16"/>
        </w:rPr>
        <w:t>,</w:t>
      </w:r>
      <w:r w:rsidRPr="00E71B59">
        <w:rPr>
          <w:rFonts w:cs="Courier New"/>
          <w:bCs/>
          <w:noProof/>
          <w:sz w:val="16"/>
          <w:szCs w:val="16"/>
        </w:rPr>
        <w:t xml:space="preserve"> párr.</w:t>
      </w:r>
      <w:r>
        <w:rPr>
          <w:rFonts w:cs="Courier New"/>
          <w:bCs/>
          <w:noProof/>
          <w:sz w:val="16"/>
          <w:szCs w:val="16"/>
        </w:rPr>
        <w:t xml:space="preserve"> 21.</w:t>
      </w:r>
      <w:r w:rsidRPr="00E71B59">
        <w:rPr>
          <w:rFonts w:cs="Courier New"/>
          <w:bCs/>
          <w:noProof/>
          <w:sz w:val="16"/>
          <w:szCs w:val="16"/>
        </w:rPr>
        <w:t xml:space="preserve"> </w:t>
      </w:r>
      <w:r w:rsidRPr="000214BA">
        <w:rPr>
          <w:rFonts w:cs="Courier New"/>
          <w:bCs/>
          <w:i/>
          <w:noProof/>
          <w:sz w:val="16"/>
          <w:szCs w:val="16"/>
        </w:rPr>
        <w:t xml:space="preserve"> </w:t>
      </w:r>
    </w:p>
  </w:footnote>
  <w:footnote w:id="17">
    <w:p w14:paraId="0178D515" w14:textId="77777777" w:rsidR="003C025E" w:rsidRPr="000214BA" w:rsidRDefault="003C025E" w:rsidP="00542AD4">
      <w:pPr>
        <w:pStyle w:val="FootnoteText"/>
        <w:tabs>
          <w:tab w:val="left" w:pos="567"/>
          <w:tab w:val="left" w:pos="709"/>
        </w:tabs>
        <w:rPr>
          <w:sz w:val="16"/>
          <w:szCs w:val="16"/>
        </w:rPr>
      </w:pPr>
      <w:r w:rsidRPr="000214BA">
        <w:rPr>
          <w:rStyle w:val="FootnoteReference"/>
          <w:rFonts w:eastAsia="Calibri"/>
          <w:sz w:val="16"/>
          <w:szCs w:val="16"/>
        </w:rPr>
        <w:footnoteRef/>
      </w:r>
      <w:r w:rsidRPr="000214BA">
        <w:rPr>
          <w:sz w:val="16"/>
          <w:szCs w:val="16"/>
        </w:rPr>
        <w:t xml:space="preserve"> </w:t>
      </w:r>
      <w:r w:rsidRPr="000214BA">
        <w:rPr>
          <w:sz w:val="16"/>
          <w:szCs w:val="16"/>
        </w:rPr>
        <w:tab/>
        <w:t>El artículo 62.3 de la Convención</w:t>
      </w:r>
      <w:r w:rsidRPr="000214BA">
        <w:rPr>
          <w:sz w:val="16"/>
          <w:szCs w:val="16"/>
          <w:lang w:val="es-CO"/>
        </w:rPr>
        <w:t xml:space="preserve"> establece: “[l]a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p>
  </w:footnote>
  <w:footnote w:id="18">
    <w:p w14:paraId="139337B6" w14:textId="738C5EE1" w:rsidR="003C025E" w:rsidRPr="000214BA" w:rsidRDefault="003C025E" w:rsidP="00542AD4">
      <w:pPr>
        <w:pStyle w:val="FootnoteText"/>
        <w:tabs>
          <w:tab w:val="left" w:pos="567"/>
          <w:tab w:val="left" w:pos="709"/>
        </w:tabs>
        <w:rPr>
          <w:sz w:val="16"/>
          <w:szCs w:val="16"/>
          <w:lang w:val="es-CO"/>
        </w:rPr>
      </w:pPr>
      <w:r w:rsidRPr="000214BA">
        <w:rPr>
          <w:rStyle w:val="FootnoteReference"/>
          <w:rFonts w:eastAsia="Calibri"/>
          <w:sz w:val="16"/>
          <w:szCs w:val="16"/>
        </w:rPr>
        <w:footnoteRef/>
      </w:r>
      <w:r w:rsidRPr="000214BA">
        <w:rPr>
          <w:sz w:val="16"/>
          <w:szCs w:val="16"/>
        </w:rPr>
        <w:t xml:space="preserve"> </w:t>
      </w:r>
      <w:r w:rsidRPr="000214BA">
        <w:rPr>
          <w:sz w:val="16"/>
          <w:szCs w:val="16"/>
        </w:rPr>
        <w:tab/>
        <w:t>El artículo 63.1 de la Convención</w:t>
      </w:r>
      <w:r>
        <w:rPr>
          <w:sz w:val="16"/>
          <w:szCs w:val="16"/>
        </w:rPr>
        <w:t>.</w:t>
      </w:r>
    </w:p>
  </w:footnote>
  <w:footnote w:id="19">
    <w:p w14:paraId="11CCF3A0" w14:textId="5D500335" w:rsidR="003C025E" w:rsidRPr="000214BA" w:rsidRDefault="003C025E" w:rsidP="00542AD4">
      <w:pPr>
        <w:tabs>
          <w:tab w:val="left" w:pos="567"/>
        </w:tabs>
        <w:rPr>
          <w:sz w:val="16"/>
          <w:szCs w:val="16"/>
          <w:lang w:bidi="en-US"/>
        </w:rPr>
      </w:pPr>
      <w:r w:rsidRPr="000214BA">
        <w:rPr>
          <w:rStyle w:val="FootnoteReference"/>
          <w:rFonts w:eastAsia="Calibri"/>
          <w:sz w:val="16"/>
          <w:szCs w:val="16"/>
        </w:rPr>
        <w:footnoteRef/>
      </w:r>
      <w:r w:rsidRPr="000214BA">
        <w:rPr>
          <w:sz w:val="16"/>
          <w:szCs w:val="16"/>
        </w:rPr>
        <w:tab/>
      </w:r>
      <w:r w:rsidRPr="00062586">
        <w:rPr>
          <w:i/>
          <w:sz w:val="16"/>
          <w:szCs w:val="16"/>
          <w:lang w:val="es-AR"/>
        </w:rPr>
        <w:t>Cfr.</w:t>
      </w:r>
      <w:r w:rsidRPr="000214BA">
        <w:rPr>
          <w:sz w:val="16"/>
          <w:szCs w:val="16"/>
          <w:lang w:val="es-AR"/>
        </w:rPr>
        <w:t xml:space="preserve"> </w:t>
      </w:r>
      <w:r w:rsidRPr="000214BA">
        <w:rPr>
          <w:rFonts w:cs="Verdana-Italic"/>
          <w:i/>
          <w:iCs/>
          <w:sz w:val="16"/>
          <w:szCs w:val="16"/>
          <w:lang w:val="es-AR" w:bidi="en-US"/>
        </w:rPr>
        <w:t xml:space="preserve">Caso Myrna </w:t>
      </w:r>
      <w:proofErr w:type="spellStart"/>
      <w:r w:rsidRPr="000214BA">
        <w:rPr>
          <w:rFonts w:cs="Verdana-Italic"/>
          <w:i/>
          <w:iCs/>
          <w:sz w:val="16"/>
          <w:szCs w:val="16"/>
          <w:lang w:val="es-AR" w:bidi="en-US"/>
        </w:rPr>
        <w:t>Mack</w:t>
      </w:r>
      <w:proofErr w:type="spellEnd"/>
      <w:r w:rsidRPr="000214BA">
        <w:rPr>
          <w:rFonts w:cs="Verdana-Italic"/>
          <w:i/>
          <w:iCs/>
          <w:sz w:val="16"/>
          <w:szCs w:val="16"/>
          <w:lang w:val="es-AR" w:bidi="en-US"/>
        </w:rPr>
        <w:t xml:space="preserve"> Chang Vs. Guatemala. </w:t>
      </w:r>
      <w:r w:rsidRPr="000214BA">
        <w:rPr>
          <w:sz w:val="16"/>
          <w:szCs w:val="16"/>
          <w:lang w:val="es-AR" w:bidi="en-US"/>
        </w:rPr>
        <w:t>Sentencia de 25 de noviembre de 2003. Serie C No. 101, párr</w:t>
      </w:r>
      <w:r w:rsidRPr="000214BA">
        <w:rPr>
          <w:rFonts w:cs="Verdana-Italic"/>
          <w:i/>
          <w:iCs/>
          <w:sz w:val="16"/>
          <w:szCs w:val="16"/>
          <w:lang w:val="es-AR" w:bidi="en-US"/>
        </w:rPr>
        <w:t xml:space="preserve">. </w:t>
      </w:r>
      <w:r w:rsidRPr="000214BA">
        <w:rPr>
          <w:sz w:val="16"/>
          <w:szCs w:val="16"/>
          <w:lang w:val="es-AR" w:bidi="en-US"/>
        </w:rPr>
        <w:t xml:space="preserve">105, y </w:t>
      </w:r>
      <w:r w:rsidRPr="000214BA">
        <w:rPr>
          <w:i/>
          <w:sz w:val="16"/>
          <w:szCs w:val="16"/>
          <w:lang w:val="es-AR"/>
        </w:rPr>
        <w:t xml:space="preserve">Caso </w:t>
      </w:r>
      <w:r>
        <w:rPr>
          <w:i/>
          <w:sz w:val="16"/>
          <w:szCs w:val="16"/>
          <w:lang w:val="es-AR"/>
        </w:rPr>
        <w:t>Ortiz Hernández y otros Vs. Venezuela, supra</w:t>
      </w:r>
      <w:r w:rsidRPr="00650617">
        <w:rPr>
          <w:sz w:val="16"/>
          <w:szCs w:val="16"/>
          <w:lang w:val="es-AR"/>
        </w:rPr>
        <w:t>, párr. 22.</w:t>
      </w:r>
    </w:p>
  </w:footnote>
  <w:footnote w:id="20">
    <w:p w14:paraId="7EAAEA12" w14:textId="4A10C45C" w:rsidR="003C025E" w:rsidRPr="00C133E5" w:rsidRDefault="003C025E" w:rsidP="00542AD4">
      <w:pPr>
        <w:pStyle w:val="FootnoteText"/>
        <w:rPr>
          <w:sz w:val="16"/>
          <w:szCs w:val="16"/>
          <w:lang w:val="es-CR"/>
        </w:rPr>
      </w:pPr>
      <w:r w:rsidRPr="000214BA">
        <w:rPr>
          <w:rStyle w:val="FootnoteReference"/>
          <w:sz w:val="16"/>
          <w:szCs w:val="16"/>
        </w:rPr>
        <w:footnoteRef/>
      </w:r>
      <w:r w:rsidRPr="000214BA">
        <w:rPr>
          <w:sz w:val="16"/>
          <w:szCs w:val="16"/>
        </w:rPr>
        <w:t xml:space="preserve"> </w:t>
      </w:r>
      <w:r>
        <w:rPr>
          <w:sz w:val="16"/>
          <w:szCs w:val="16"/>
        </w:rPr>
        <w:tab/>
      </w:r>
      <w:r w:rsidRPr="00C133E5">
        <w:rPr>
          <w:i/>
          <w:sz w:val="16"/>
          <w:szCs w:val="16"/>
        </w:rPr>
        <w:t xml:space="preserve">Cfr. Caso de la "Masacre de </w:t>
      </w:r>
      <w:proofErr w:type="spellStart"/>
      <w:r w:rsidRPr="00C133E5">
        <w:rPr>
          <w:i/>
          <w:sz w:val="16"/>
          <w:szCs w:val="16"/>
        </w:rPr>
        <w:t>Mapiripán</w:t>
      </w:r>
      <w:proofErr w:type="spellEnd"/>
      <w:r w:rsidRPr="00C133E5">
        <w:rPr>
          <w:i/>
          <w:sz w:val="16"/>
          <w:szCs w:val="16"/>
        </w:rPr>
        <w:t xml:space="preserve">" Vs. Colombia. </w:t>
      </w:r>
      <w:r w:rsidRPr="00F24D93">
        <w:rPr>
          <w:i/>
          <w:sz w:val="16"/>
          <w:szCs w:val="16"/>
        </w:rPr>
        <w:t>Fondo, Reparaciones y Costas.</w:t>
      </w:r>
      <w:r w:rsidRPr="00F24D93">
        <w:rPr>
          <w:sz w:val="16"/>
          <w:szCs w:val="16"/>
        </w:rPr>
        <w:t xml:space="preserve"> </w:t>
      </w:r>
      <w:r w:rsidRPr="00C133E5">
        <w:rPr>
          <w:sz w:val="16"/>
          <w:szCs w:val="16"/>
        </w:rPr>
        <w:t xml:space="preserve">Sentencia de 15 de septiembre de 2005. Serie C No. 134, párr. 69, y </w:t>
      </w:r>
      <w:r w:rsidRPr="00C133E5">
        <w:rPr>
          <w:rStyle w:val="Strong"/>
          <w:rFonts w:eastAsia="MS ????"/>
          <w:b w:val="0"/>
          <w:i/>
          <w:color w:val="000000"/>
          <w:sz w:val="16"/>
          <w:szCs w:val="16"/>
          <w:shd w:val="clear" w:color="auto" w:fill="FFFFFF"/>
        </w:rPr>
        <w:t>Caso Ortiz Hernández y otros Vs. Venezuela. supra</w:t>
      </w:r>
      <w:r w:rsidRPr="00C133E5">
        <w:rPr>
          <w:rStyle w:val="Strong"/>
          <w:rFonts w:eastAsia="MS ????"/>
          <w:b w:val="0"/>
          <w:color w:val="000000"/>
          <w:sz w:val="16"/>
          <w:szCs w:val="16"/>
          <w:shd w:val="clear" w:color="auto" w:fill="FFFFFF"/>
        </w:rPr>
        <w:t>, párr. 38.</w:t>
      </w:r>
    </w:p>
  </w:footnote>
  <w:footnote w:id="21">
    <w:p w14:paraId="7DE2ABC9" w14:textId="4DB0605F" w:rsidR="003C025E" w:rsidRPr="00453423" w:rsidRDefault="003C025E" w:rsidP="00542AD4">
      <w:pPr>
        <w:pStyle w:val="FootnoteText"/>
        <w:rPr>
          <w:sz w:val="16"/>
          <w:szCs w:val="16"/>
          <w:lang w:val="es-CR"/>
        </w:rPr>
      </w:pPr>
      <w:r w:rsidRPr="00C133E5">
        <w:rPr>
          <w:rStyle w:val="FootnoteReference"/>
          <w:sz w:val="16"/>
          <w:szCs w:val="16"/>
        </w:rPr>
        <w:footnoteRef/>
      </w:r>
      <w:r w:rsidRPr="00C133E5">
        <w:rPr>
          <w:sz w:val="16"/>
          <w:szCs w:val="16"/>
        </w:rPr>
        <w:t xml:space="preserve"> </w:t>
      </w:r>
      <w:r w:rsidRPr="00C133E5">
        <w:rPr>
          <w:sz w:val="16"/>
          <w:szCs w:val="16"/>
        </w:rPr>
        <w:tab/>
      </w:r>
      <w:r w:rsidRPr="00C133E5">
        <w:rPr>
          <w:i/>
          <w:sz w:val="16"/>
          <w:szCs w:val="16"/>
        </w:rPr>
        <w:t>Cfr. Caso de la Masacre de La Rochela Vs. Colombia. Fondo, Reparaciones y Costas. Sentencia de 11 de mayo de 2007. Serie C No. 163</w:t>
      </w:r>
      <w:r>
        <w:rPr>
          <w:sz w:val="16"/>
          <w:szCs w:val="16"/>
        </w:rPr>
        <w:t>, párr. 54, y</w:t>
      </w:r>
      <w:r w:rsidRPr="00C133E5">
        <w:rPr>
          <w:rStyle w:val="Strong"/>
          <w:rFonts w:eastAsia="MS ????"/>
          <w:b w:val="0"/>
          <w:i/>
          <w:color w:val="000000"/>
          <w:sz w:val="16"/>
          <w:szCs w:val="16"/>
          <w:shd w:val="clear" w:color="auto" w:fill="FFFFFF"/>
        </w:rPr>
        <w:t xml:space="preserve"> C</w:t>
      </w:r>
      <w:r w:rsidRPr="005E365A">
        <w:rPr>
          <w:rStyle w:val="Strong"/>
          <w:rFonts w:eastAsia="MS ????"/>
          <w:b w:val="0"/>
          <w:i/>
          <w:color w:val="000000"/>
          <w:sz w:val="16"/>
          <w:szCs w:val="16"/>
          <w:shd w:val="clear" w:color="auto" w:fill="FFFFFF"/>
        </w:rPr>
        <w:t>aso Ortiz Hernández y otros Vs. Venezuela. supra</w:t>
      </w:r>
      <w:r w:rsidRPr="005E365A">
        <w:rPr>
          <w:rStyle w:val="Strong"/>
          <w:rFonts w:eastAsia="MS ????"/>
          <w:b w:val="0"/>
          <w:color w:val="000000"/>
          <w:sz w:val="16"/>
          <w:szCs w:val="16"/>
          <w:shd w:val="clear" w:color="auto" w:fill="FFFFFF"/>
        </w:rPr>
        <w:t>, párr. 39.</w:t>
      </w:r>
    </w:p>
  </w:footnote>
  <w:footnote w:id="22">
    <w:p w14:paraId="3ADF8CF1" w14:textId="0ADCFC6F" w:rsidR="003C025E" w:rsidRPr="002A64C9" w:rsidRDefault="003C025E">
      <w:pPr>
        <w:pStyle w:val="FootnoteText"/>
        <w:rPr>
          <w:lang w:val="es-CR"/>
        </w:rPr>
      </w:pPr>
      <w:r w:rsidRPr="00C133E5">
        <w:rPr>
          <w:rStyle w:val="FootnoteReference"/>
          <w:rFonts w:eastAsia="Calibri"/>
          <w:sz w:val="16"/>
          <w:lang w:val="es-CR" w:eastAsia="es-CR"/>
        </w:rPr>
        <w:t>18</w:t>
      </w:r>
      <w:r>
        <w:rPr>
          <w:lang w:val="es-CR"/>
        </w:rPr>
        <w:tab/>
      </w:r>
      <w:r w:rsidRPr="002A64C9">
        <w:rPr>
          <w:sz w:val="16"/>
          <w:lang w:val="es-CR"/>
        </w:rPr>
        <w:t xml:space="preserve">Respecto de la Resolución de 14 de agosto de 2014, el Estado aclaró que dicha Resolución corresponde a la Resolución de 25 de agosto de 2014 en atención a un error de transcripción.  </w:t>
      </w:r>
    </w:p>
  </w:footnote>
  <w:footnote w:id="23">
    <w:p w14:paraId="7BE52E2F" w14:textId="4AA45F0A" w:rsidR="003C025E" w:rsidRPr="002E06CD" w:rsidRDefault="003C025E" w:rsidP="00383565">
      <w:pPr>
        <w:tabs>
          <w:tab w:val="left" w:pos="567"/>
        </w:tabs>
        <w:autoSpaceDE w:val="0"/>
        <w:autoSpaceDN w:val="0"/>
        <w:rPr>
          <w:sz w:val="16"/>
          <w:szCs w:val="16"/>
          <w:lang w:val="es-ES"/>
        </w:rPr>
      </w:pPr>
      <w:r w:rsidRPr="004D2BDB">
        <w:rPr>
          <w:rStyle w:val="FootnoteReference"/>
          <w:rFonts w:eastAsia="Calibri"/>
          <w:sz w:val="16"/>
          <w:szCs w:val="16"/>
        </w:rPr>
        <w:footnoteRef/>
      </w:r>
      <w:r w:rsidRPr="004D2BDB">
        <w:rPr>
          <w:sz w:val="16"/>
          <w:szCs w:val="16"/>
          <w:lang w:val="es-ES"/>
        </w:rPr>
        <w:tab/>
      </w:r>
      <w:r w:rsidRPr="00062586">
        <w:rPr>
          <w:i/>
          <w:sz w:val="16"/>
          <w:szCs w:val="16"/>
          <w:lang w:val="es-ES"/>
        </w:rPr>
        <w:t>Cfr.</w:t>
      </w:r>
      <w:r w:rsidRPr="005A39DD">
        <w:rPr>
          <w:sz w:val="16"/>
          <w:szCs w:val="16"/>
          <w:lang w:val="es-ES"/>
        </w:rPr>
        <w:t xml:space="preserve"> </w:t>
      </w:r>
      <w:r w:rsidRPr="008B0574">
        <w:rPr>
          <w:i/>
          <w:sz w:val="16"/>
          <w:szCs w:val="16"/>
          <w:lang w:val="es-ES"/>
        </w:rPr>
        <w:t>Caso Velásquez Rodríguez Vs. Honduras</w:t>
      </w:r>
      <w:r w:rsidRPr="008B0574">
        <w:rPr>
          <w:sz w:val="16"/>
          <w:szCs w:val="16"/>
          <w:lang w:val="es-ES"/>
        </w:rPr>
        <w:t xml:space="preserve">. </w:t>
      </w:r>
      <w:r w:rsidRPr="00132C26">
        <w:rPr>
          <w:i/>
          <w:sz w:val="16"/>
          <w:szCs w:val="16"/>
          <w:lang w:val="es-ES"/>
        </w:rPr>
        <w:t xml:space="preserve">Fondo, </w:t>
      </w:r>
      <w:r w:rsidRPr="00C133E5">
        <w:rPr>
          <w:sz w:val="16"/>
          <w:szCs w:val="16"/>
          <w:lang w:val="es-ES"/>
        </w:rPr>
        <w:t>Sentencia de 29 de julio de 1988. Serie C No. 4.</w:t>
      </w:r>
      <w:r w:rsidRPr="00AA7ACB">
        <w:rPr>
          <w:sz w:val="16"/>
          <w:szCs w:val="16"/>
          <w:lang w:val="es-ES"/>
        </w:rPr>
        <w:t xml:space="preserve"> párr. 140, y </w:t>
      </w:r>
      <w:r w:rsidRPr="00531D45">
        <w:rPr>
          <w:i/>
          <w:sz w:val="16"/>
          <w:szCs w:val="16"/>
          <w:lang w:val="es-ES"/>
        </w:rPr>
        <w:t>Caso</w:t>
      </w:r>
      <w:r>
        <w:rPr>
          <w:sz w:val="16"/>
          <w:szCs w:val="16"/>
          <w:lang w:val="es-ES"/>
        </w:rPr>
        <w:t xml:space="preserve"> </w:t>
      </w:r>
      <w:r>
        <w:rPr>
          <w:bCs/>
          <w:i/>
          <w:sz w:val="16"/>
          <w:szCs w:val="16"/>
        </w:rPr>
        <w:t xml:space="preserve">Trabajadores Cesados de Petroperú y otros Vs. Perú. Excepciones Preliminares, Fondo, Reparaciones y Costas. </w:t>
      </w:r>
      <w:r w:rsidRPr="00875847">
        <w:rPr>
          <w:bCs/>
          <w:sz w:val="16"/>
          <w:szCs w:val="16"/>
        </w:rPr>
        <w:t>Sentencia de 23 de noviembre de 2017. Serie C No. 344, párr. 74.</w:t>
      </w:r>
    </w:p>
  </w:footnote>
  <w:footnote w:id="24">
    <w:p w14:paraId="2229BE22" w14:textId="086D7F6D" w:rsidR="003C025E" w:rsidRPr="00C27894" w:rsidRDefault="003C025E" w:rsidP="00C56E9D">
      <w:pPr>
        <w:pStyle w:val="FootnoteText"/>
        <w:tabs>
          <w:tab w:val="left" w:pos="567"/>
        </w:tabs>
        <w:rPr>
          <w:sz w:val="16"/>
          <w:szCs w:val="16"/>
          <w:lang w:val="es-ES"/>
        </w:rPr>
      </w:pPr>
      <w:r w:rsidRPr="005C1E49">
        <w:rPr>
          <w:rStyle w:val="FootnoteReference"/>
          <w:rFonts w:eastAsia="Calibri"/>
          <w:sz w:val="16"/>
          <w:szCs w:val="16"/>
        </w:rPr>
        <w:footnoteRef/>
      </w:r>
      <w:r w:rsidRPr="00790FEF">
        <w:rPr>
          <w:sz w:val="16"/>
          <w:szCs w:val="16"/>
          <w:lang w:val="es-ES"/>
        </w:rPr>
        <w:t xml:space="preserve"> </w:t>
      </w:r>
      <w:r w:rsidRPr="00790FEF">
        <w:rPr>
          <w:sz w:val="16"/>
          <w:szCs w:val="16"/>
          <w:lang w:val="es-ES"/>
        </w:rPr>
        <w:tab/>
        <w:t>Los objetos de todas estas declaraciones se encuentran establecidos en la Resolución del Presidente de la Corte de 21 de septiembre de 201</w:t>
      </w:r>
      <w:r>
        <w:rPr>
          <w:sz w:val="16"/>
          <w:szCs w:val="16"/>
          <w:lang w:val="es-ES"/>
        </w:rPr>
        <w:t>7</w:t>
      </w:r>
      <w:r w:rsidRPr="00790FEF">
        <w:rPr>
          <w:sz w:val="16"/>
          <w:szCs w:val="16"/>
          <w:lang w:val="es-ES"/>
        </w:rPr>
        <w:t xml:space="preserve">, puntos resolutivos primero y quinto, la cual puede ser consultada en la página </w:t>
      </w:r>
      <w:r w:rsidRPr="00790FEF">
        <w:rPr>
          <w:i/>
          <w:sz w:val="16"/>
          <w:szCs w:val="16"/>
          <w:lang w:val="es-ES"/>
        </w:rPr>
        <w:t>web</w:t>
      </w:r>
      <w:r w:rsidRPr="00A767BE">
        <w:rPr>
          <w:sz w:val="16"/>
          <w:szCs w:val="16"/>
          <w:lang w:val="es-ES"/>
        </w:rPr>
        <w:t xml:space="preserve"> de la Corte en el siguiente enlace: </w:t>
      </w:r>
      <w:hyperlink r:id="rId3" w:history="1">
        <w:r w:rsidRPr="00C27894">
          <w:rPr>
            <w:rStyle w:val="Hyperlink"/>
            <w:sz w:val="16"/>
            <w:szCs w:val="16"/>
            <w:lang w:val="es-ES"/>
          </w:rPr>
          <w:t>http://www.corteidh.or.cr/docs/asuntos/poblete_21_09_17.pdf</w:t>
        </w:r>
      </w:hyperlink>
      <w:r w:rsidRPr="00C27894">
        <w:rPr>
          <w:sz w:val="16"/>
          <w:szCs w:val="16"/>
          <w:lang w:val="es-ES"/>
        </w:rPr>
        <w:t xml:space="preserve"> </w:t>
      </w:r>
    </w:p>
  </w:footnote>
  <w:footnote w:id="25">
    <w:p w14:paraId="366FD7F9" w14:textId="7743A260" w:rsidR="003C025E" w:rsidRPr="00C27894" w:rsidRDefault="003C025E" w:rsidP="00383565">
      <w:pPr>
        <w:pStyle w:val="FootnoteText"/>
        <w:tabs>
          <w:tab w:val="left" w:pos="567"/>
        </w:tabs>
        <w:rPr>
          <w:sz w:val="16"/>
          <w:szCs w:val="16"/>
          <w:lang w:val="es-ES"/>
        </w:rPr>
      </w:pPr>
      <w:r w:rsidRPr="00C27894">
        <w:rPr>
          <w:rStyle w:val="FootnoteReference"/>
          <w:rFonts w:eastAsia="Calibri"/>
          <w:sz w:val="16"/>
          <w:szCs w:val="16"/>
        </w:rPr>
        <w:footnoteRef/>
      </w:r>
      <w:r w:rsidRPr="00C27894">
        <w:rPr>
          <w:sz w:val="16"/>
          <w:szCs w:val="16"/>
          <w:lang w:val="es-ES"/>
        </w:rPr>
        <w:t xml:space="preserve"> </w:t>
      </w:r>
      <w:r w:rsidRPr="00C27894">
        <w:rPr>
          <w:sz w:val="16"/>
          <w:szCs w:val="16"/>
          <w:lang w:val="es-ES"/>
        </w:rPr>
        <w:tab/>
      </w:r>
      <w:r w:rsidRPr="00062586">
        <w:rPr>
          <w:i/>
          <w:sz w:val="16"/>
          <w:szCs w:val="16"/>
          <w:lang w:val="es-ES"/>
        </w:rPr>
        <w:t>Cfr.</w:t>
      </w:r>
      <w:r w:rsidRPr="00C27894">
        <w:rPr>
          <w:i/>
          <w:sz w:val="16"/>
          <w:szCs w:val="16"/>
          <w:lang w:val="es-ES"/>
        </w:rPr>
        <w:t xml:space="preserve"> </w:t>
      </w:r>
      <w:r w:rsidRPr="00C27894">
        <w:rPr>
          <w:rFonts w:cs="Verdana-Bold"/>
          <w:bCs/>
          <w:i/>
          <w:sz w:val="16"/>
          <w:szCs w:val="16"/>
          <w:lang w:bidi="en-US"/>
        </w:rPr>
        <w:t>Caso</w:t>
      </w:r>
      <w:r>
        <w:rPr>
          <w:rFonts w:cs="Verdana-Bold"/>
          <w:bCs/>
          <w:i/>
          <w:sz w:val="16"/>
          <w:szCs w:val="16"/>
          <w:lang w:bidi="en-US"/>
        </w:rPr>
        <w:t xml:space="preserve"> </w:t>
      </w:r>
      <w:proofErr w:type="spellStart"/>
      <w:r>
        <w:rPr>
          <w:rFonts w:cs="Verdana-Bold"/>
          <w:bCs/>
          <w:i/>
          <w:sz w:val="16"/>
          <w:szCs w:val="16"/>
          <w:lang w:bidi="en-US"/>
        </w:rPr>
        <w:t>Barbani</w:t>
      </w:r>
      <w:proofErr w:type="spellEnd"/>
      <w:r>
        <w:rPr>
          <w:rFonts w:cs="Verdana-Bold"/>
          <w:bCs/>
          <w:i/>
          <w:sz w:val="16"/>
          <w:szCs w:val="16"/>
          <w:lang w:bidi="en-US"/>
        </w:rPr>
        <w:t xml:space="preserve"> Duarte y otros Vs. Uruguay. Fondo, Reparaciones y Costas. </w:t>
      </w:r>
      <w:r w:rsidRPr="00875847">
        <w:rPr>
          <w:rFonts w:cs="Verdana-Bold"/>
          <w:bCs/>
          <w:sz w:val="16"/>
          <w:szCs w:val="16"/>
          <w:lang w:bidi="en-US"/>
        </w:rPr>
        <w:t>Sentencia de 13 de octubre de 2011. Serie C No. 234, párr.22,</w:t>
      </w:r>
      <w:r>
        <w:rPr>
          <w:rFonts w:cs="Verdana-Bold"/>
          <w:bCs/>
          <w:sz w:val="16"/>
          <w:szCs w:val="16"/>
          <w:lang w:bidi="en-US"/>
        </w:rPr>
        <w:t xml:space="preserve"> </w:t>
      </w:r>
      <w:r w:rsidRPr="00C27894">
        <w:rPr>
          <w:sz w:val="16"/>
          <w:szCs w:val="16"/>
          <w:lang w:val="es-ES"/>
        </w:rPr>
        <w:t xml:space="preserve">y </w:t>
      </w:r>
      <w:r w:rsidRPr="00C27894">
        <w:rPr>
          <w:bCs/>
          <w:i/>
          <w:sz w:val="16"/>
          <w:szCs w:val="16"/>
        </w:rPr>
        <w:t xml:space="preserve">Caso </w:t>
      </w:r>
      <w:r>
        <w:rPr>
          <w:bCs/>
          <w:i/>
          <w:sz w:val="16"/>
          <w:szCs w:val="16"/>
        </w:rPr>
        <w:t xml:space="preserve">Trabajadores Cesados de Petroperú, supra, </w:t>
      </w:r>
      <w:r w:rsidRPr="00875847">
        <w:rPr>
          <w:bCs/>
          <w:sz w:val="16"/>
          <w:szCs w:val="16"/>
        </w:rPr>
        <w:t>párr. 75.</w:t>
      </w:r>
    </w:p>
  </w:footnote>
  <w:footnote w:id="26">
    <w:p w14:paraId="7BBD3914" w14:textId="05C765B7" w:rsidR="003C025E" w:rsidRPr="005750AB" w:rsidRDefault="003C025E" w:rsidP="001C4462">
      <w:pPr>
        <w:pStyle w:val="FootnoteText"/>
        <w:rPr>
          <w:sz w:val="16"/>
          <w:szCs w:val="16"/>
        </w:rPr>
      </w:pPr>
      <w:r w:rsidRPr="00C27894">
        <w:rPr>
          <w:rStyle w:val="FootnoteReference"/>
          <w:rFonts w:eastAsia="Calibri"/>
          <w:sz w:val="16"/>
          <w:szCs w:val="16"/>
        </w:rPr>
        <w:footnoteRef/>
      </w:r>
      <w:r w:rsidRPr="00C27894">
        <w:rPr>
          <w:rStyle w:val="FootnoteReference"/>
          <w:rFonts w:eastAsia="Calibri"/>
          <w:sz w:val="16"/>
          <w:szCs w:val="16"/>
        </w:rPr>
        <w:t xml:space="preserve"> </w:t>
      </w:r>
      <w:r w:rsidRPr="00C27894">
        <w:rPr>
          <w:sz w:val="16"/>
          <w:szCs w:val="16"/>
        </w:rPr>
        <w:tab/>
      </w:r>
      <w:r w:rsidRPr="00062586">
        <w:rPr>
          <w:i/>
          <w:sz w:val="16"/>
          <w:szCs w:val="16"/>
          <w:lang w:val="es-ES"/>
        </w:rPr>
        <w:t>Cfr.</w:t>
      </w:r>
      <w:r w:rsidRPr="00C27894">
        <w:rPr>
          <w:sz w:val="16"/>
          <w:szCs w:val="16"/>
          <w:lang w:val="es-ES"/>
        </w:rPr>
        <w:t xml:space="preserve"> </w:t>
      </w:r>
      <w:r w:rsidRPr="00C27894">
        <w:rPr>
          <w:i/>
          <w:sz w:val="16"/>
          <w:szCs w:val="16"/>
          <w:lang w:val="es-ES"/>
        </w:rPr>
        <w:t>Caso Galindo Cárdenas y otros Vs. Perú</w:t>
      </w:r>
      <w:r>
        <w:rPr>
          <w:sz w:val="16"/>
          <w:szCs w:val="16"/>
          <w:lang w:val="es-ES"/>
        </w:rPr>
        <w:t xml:space="preserve">. </w:t>
      </w:r>
      <w:r w:rsidRPr="00875847">
        <w:rPr>
          <w:i/>
          <w:sz w:val="16"/>
          <w:szCs w:val="16"/>
          <w:lang w:val="es-ES"/>
        </w:rPr>
        <w:t>Excepciones Preliminares, Fondo, Reparaciones y Costas</w:t>
      </w:r>
      <w:r>
        <w:rPr>
          <w:sz w:val="16"/>
          <w:szCs w:val="16"/>
          <w:lang w:val="es-ES"/>
        </w:rPr>
        <w:t>. Sentencia de 2 de octubre de 2015. Serie C No. 301, párr. 70</w:t>
      </w:r>
      <w:r w:rsidRPr="00C27894">
        <w:rPr>
          <w:sz w:val="16"/>
          <w:szCs w:val="16"/>
          <w:lang w:val="es-ES"/>
        </w:rPr>
        <w:t xml:space="preserve">, y </w:t>
      </w:r>
      <w:r w:rsidRPr="00C27894">
        <w:rPr>
          <w:i/>
          <w:sz w:val="16"/>
          <w:szCs w:val="16"/>
          <w:lang w:val="es-ES"/>
        </w:rPr>
        <w:t>Caso</w:t>
      </w:r>
      <w:r>
        <w:rPr>
          <w:i/>
          <w:sz w:val="16"/>
          <w:szCs w:val="16"/>
          <w:lang w:val="es-ES"/>
        </w:rPr>
        <w:t xml:space="preserve"> </w:t>
      </w:r>
      <w:r>
        <w:rPr>
          <w:bCs/>
          <w:i/>
          <w:sz w:val="16"/>
          <w:szCs w:val="16"/>
        </w:rPr>
        <w:t xml:space="preserve">Trabajadores Cesados de Petroperú, supra, </w:t>
      </w:r>
      <w:r w:rsidRPr="00E71B59">
        <w:rPr>
          <w:bCs/>
          <w:sz w:val="16"/>
          <w:szCs w:val="16"/>
        </w:rPr>
        <w:t>párr. 75.</w:t>
      </w:r>
      <w:r w:rsidRPr="00C27894">
        <w:rPr>
          <w:i/>
          <w:sz w:val="16"/>
          <w:szCs w:val="16"/>
          <w:lang w:val="es-ES"/>
        </w:rPr>
        <w:t xml:space="preserve"> </w:t>
      </w:r>
    </w:p>
  </w:footnote>
  <w:footnote w:id="27">
    <w:p w14:paraId="2543BB5D" w14:textId="25B89347" w:rsidR="003C025E" w:rsidRPr="00453423" w:rsidRDefault="003C025E" w:rsidP="00383565">
      <w:pPr>
        <w:tabs>
          <w:tab w:val="left" w:pos="567"/>
        </w:tabs>
        <w:rPr>
          <w:i/>
          <w:sz w:val="16"/>
          <w:szCs w:val="16"/>
          <w:lang w:val="es-ES"/>
        </w:rPr>
      </w:pPr>
      <w:r w:rsidRPr="004D2BDB">
        <w:rPr>
          <w:rStyle w:val="FootnoteReference"/>
          <w:rFonts w:eastAsia="Calibri"/>
          <w:sz w:val="16"/>
          <w:szCs w:val="16"/>
        </w:rPr>
        <w:footnoteRef/>
      </w:r>
      <w:r w:rsidRPr="004D2BDB">
        <w:rPr>
          <w:sz w:val="16"/>
          <w:szCs w:val="16"/>
          <w:vertAlign w:val="superscript"/>
          <w:lang w:val="es-ES"/>
        </w:rPr>
        <w:t xml:space="preserve"> </w:t>
      </w:r>
      <w:r>
        <w:rPr>
          <w:sz w:val="16"/>
          <w:szCs w:val="16"/>
          <w:lang w:val="es-ES"/>
        </w:rPr>
        <w:tab/>
      </w:r>
      <w:r w:rsidRPr="00062586">
        <w:rPr>
          <w:i/>
          <w:sz w:val="16"/>
          <w:szCs w:val="16"/>
          <w:lang w:val="es-ES"/>
        </w:rPr>
        <w:t>Cfr.</w:t>
      </w:r>
      <w:r w:rsidRPr="005A39DD">
        <w:rPr>
          <w:bCs/>
          <w:i/>
          <w:sz w:val="16"/>
          <w:szCs w:val="16"/>
          <w:lang w:val="es-ES"/>
        </w:rPr>
        <w:t xml:space="preserve"> </w:t>
      </w:r>
      <w:r w:rsidRPr="008B0574">
        <w:rPr>
          <w:i/>
          <w:sz w:val="16"/>
          <w:szCs w:val="16"/>
          <w:lang w:val="es-ES"/>
        </w:rPr>
        <w:t xml:space="preserve">Caso de la “Panel Blanca” (Paniagua Morales y otros) Vs. Guatemala. Fondo. </w:t>
      </w:r>
      <w:r w:rsidRPr="008B0574">
        <w:rPr>
          <w:sz w:val="16"/>
          <w:szCs w:val="16"/>
          <w:lang w:val="es-ES"/>
        </w:rPr>
        <w:t xml:space="preserve">Sentencia de 8 de marzo de 1998. Serie C No. 37, </w:t>
      </w:r>
      <w:proofErr w:type="spellStart"/>
      <w:r w:rsidRPr="008B0574">
        <w:rPr>
          <w:sz w:val="16"/>
          <w:szCs w:val="16"/>
          <w:lang w:val="es-ES"/>
        </w:rPr>
        <w:t>párrs</w:t>
      </w:r>
      <w:proofErr w:type="spellEnd"/>
      <w:r w:rsidRPr="008B0574">
        <w:rPr>
          <w:sz w:val="16"/>
          <w:szCs w:val="16"/>
          <w:lang w:val="es-ES"/>
        </w:rPr>
        <w:t xml:space="preserve">. 69 a 76, y </w:t>
      </w:r>
      <w:r w:rsidRPr="00132C26">
        <w:rPr>
          <w:bCs/>
          <w:i/>
          <w:sz w:val="16"/>
          <w:szCs w:val="16"/>
        </w:rPr>
        <w:t xml:space="preserve">Caso </w:t>
      </w:r>
      <w:r>
        <w:rPr>
          <w:bCs/>
          <w:i/>
          <w:sz w:val="16"/>
          <w:szCs w:val="16"/>
        </w:rPr>
        <w:t xml:space="preserve">Trabajadores Cesados de Petroperú, supra, </w:t>
      </w:r>
      <w:r w:rsidRPr="00E71B59">
        <w:rPr>
          <w:bCs/>
          <w:sz w:val="16"/>
          <w:szCs w:val="16"/>
        </w:rPr>
        <w:t xml:space="preserve">párr. </w:t>
      </w:r>
      <w:r>
        <w:rPr>
          <w:bCs/>
          <w:sz w:val="16"/>
          <w:szCs w:val="16"/>
        </w:rPr>
        <w:t>79.</w:t>
      </w:r>
      <w:r w:rsidRPr="00132C26">
        <w:rPr>
          <w:bCs/>
          <w:i/>
          <w:sz w:val="16"/>
          <w:szCs w:val="16"/>
        </w:rPr>
        <w:t xml:space="preserve"> </w:t>
      </w:r>
    </w:p>
  </w:footnote>
  <w:footnote w:id="28">
    <w:p w14:paraId="3277A572" w14:textId="20D06768" w:rsidR="003C025E" w:rsidRPr="00453423" w:rsidRDefault="003C025E" w:rsidP="00383565">
      <w:pPr>
        <w:tabs>
          <w:tab w:val="left" w:pos="567"/>
        </w:tabs>
        <w:rPr>
          <w:sz w:val="16"/>
          <w:szCs w:val="16"/>
          <w:lang w:val="es-ES"/>
        </w:rPr>
      </w:pPr>
      <w:r w:rsidRPr="004D2BDB">
        <w:rPr>
          <w:rStyle w:val="FootnoteReference"/>
          <w:rFonts w:eastAsia="Calibri"/>
          <w:sz w:val="16"/>
          <w:szCs w:val="16"/>
        </w:rPr>
        <w:footnoteRef/>
      </w:r>
      <w:r w:rsidRPr="004D2BDB">
        <w:rPr>
          <w:sz w:val="16"/>
          <w:szCs w:val="16"/>
          <w:lang w:val="es-ES"/>
        </w:rPr>
        <w:t xml:space="preserve"> </w:t>
      </w:r>
      <w:r w:rsidRPr="004D2BDB">
        <w:rPr>
          <w:sz w:val="16"/>
          <w:szCs w:val="16"/>
          <w:lang w:val="es-ES"/>
        </w:rPr>
        <w:tab/>
      </w:r>
      <w:r w:rsidRPr="00062586">
        <w:rPr>
          <w:i/>
          <w:sz w:val="16"/>
          <w:szCs w:val="16"/>
          <w:lang w:val="es-ES"/>
        </w:rPr>
        <w:t>Cfr.</w:t>
      </w:r>
      <w:r w:rsidRPr="004D2BDB">
        <w:rPr>
          <w:i/>
          <w:sz w:val="16"/>
          <w:szCs w:val="16"/>
          <w:lang w:val="es-ES"/>
        </w:rPr>
        <w:t xml:space="preserve"> Caso Loayza Tam</w:t>
      </w:r>
      <w:r w:rsidRPr="00D315EA">
        <w:rPr>
          <w:i/>
          <w:sz w:val="16"/>
          <w:szCs w:val="16"/>
          <w:lang w:val="es-ES"/>
        </w:rPr>
        <w:t xml:space="preserve">ayo Vs. Perú. Fondo. </w:t>
      </w:r>
      <w:r w:rsidRPr="005A39DD">
        <w:rPr>
          <w:sz w:val="16"/>
          <w:szCs w:val="16"/>
          <w:lang w:val="es-ES"/>
        </w:rPr>
        <w:t>Sentencia de 17 de septiembr</w:t>
      </w:r>
      <w:r w:rsidRPr="008B0574">
        <w:rPr>
          <w:sz w:val="16"/>
          <w:szCs w:val="16"/>
          <w:lang w:val="es-ES"/>
        </w:rPr>
        <w:t xml:space="preserve">e de 1997. Serie C No. 33, párr. 43, y </w:t>
      </w:r>
      <w:r w:rsidRPr="00132C26">
        <w:rPr>
          <w:bCs/>
          <w:i/>
          <w:sz w:val="16"/>
          <w:szCs w:val="16"/>
        </w:rPr>
        <w:t xml:space="preserve">Caso </w:t>
      </w:r>
      <w:r>
        <w:rPr>
          <w:bCs/>
          <w:i/>
          <w:sz w:val="16"/>
          <w:szCs w:val="16"/>
        </w:rPr>
        <w:t xml:space="preserve">Lagos del Campo Vs. Perú. Excepciones Preliminares, Fondo, Reparaciones y Costas. </w:t>
      </w:r>
      <w:r w:rsidRPr="00875847">
        <w:rPr>
          <w:bCs/>
          <w:sz w:val="16"/>
          <w:szCs w:val="16"/>
        </w:rPr>
        <w:t>Sentencia de 31 de agosto de 2017. Serie C No. 340, párr. 35.</w:t>
      </w:r>
    </w:p>
  </w:footnote>
  <w:footnote w:id="29">
    <w:p w14:paraId="3312C4E8" w14:textId="23300662" w:rsidR="003C025E" w:rsidRPr="002E06CD" w:rsidRDefault="003C025E" w:rsidP="00E22B60">
      <w:pPr>
        <w:pStyle w:val="FootnoteText"/>
        <w:ind w:right="-360"/>
        <w:rPr>
          <w:sz w:val="16"/>
          <w:szCs w:val="16"/>
          <w:lang w:val="es-MX"/>
        </w:rPr>
      </w:pPr>
      <w:r w:rsidRPr="00453423">
        <w:rPr>
          <w:rStyle w:val="FootnoteReference"/>
          <w:rFonts w:eastAsia="MS Mincho"/>
          <w:sz w:val="16"/>
          <w:szCs w:val="16"/>
        </w:rPr>
        <w:footnoteRef/>
      </w:r>
      <w:r w:rsidRPr="00E279BB">
        <w:rPr>
          <w:sz w:val="16"/>
          <w:szCs w:val="16"/>
        </w:rPr>
        <w:t xml:space="preserve"> </w:t>
      </w:r>
      <w:r>
        <w:rPr>
          <w:sz w:val="16"/>
          <w:szCs w:val="16"/>
        </w:rPr>
        <w:t xml:space="preserve"> </w:t>
      </w:r>
      <w:r w:rsidRPr="00E279BB">
        <w:rPr>
          <w:sz w:val="16"/>
          <w:szCs w:val="16"/>
        </w:rPr>
        <w:t>Certificado de defunción de Vinicio Antonio Poblete Vilches emitido por el Servicio de Registro Civil e Identificación Chile el 9 de marzo de 2001 (expediente de prueba, anexo 1 del Informe de Fondo, f. 7)</w:t>
      </w:r>
      <w:r>
        <w:rPr>
          <w:sz w:val="16"/>
          <w:szCs w:val="16"/>
        </w:rPr>
        <w:t>.</w:t>
      </w:r>
    </w:p>
  </w:footnote>
  <w:footnote w:id="30">
    <w:p w14:paraId="7218BE7D" w14:textId="4A022C7F" w:rsidR="003C025E" w:rsidRPr="00BF56F2" w:rsidRDefault="003C025E" w:rsidP="00C133E5">
      <w:pPr>
        <w:pStyle w:val="BodyText"/>
        <w:spacing w:after="0"/>
        <w:ind w:right="-357"/>
        <w:rPr>
          <w:rFonts w:eastAsia="Calibri"/>
          <w:sz w:val="16"/>
          <w:szCs w:val="16"/>
          <w:lang w:val="es-MX"/>
        </w:rPr>
      </w:pPr>
      <w:r w:rsidRPr="005C1E49">
        <w:rPr>
          <w:rStyle w:val="FootnoteReference"/>
          <w:rFonts w:eastAsia="MS Mincho"/>
          <w:sz w:val="16"/>
          <w:szCs w:val="16"/>
        </w:rPr>
        <w:footnoteRef/>
      </w:r>
      <w:r w:rsidRPr="005C1E49">
        <w:rPr>
          <w:sz w:val="16"/>
          <w:szCs w:val="16"/>
          <w:lang w:val="es-HN"/>
        </w:rPr>
        <w:t xml:space="preserve"> </w:t>
      </w:r>
      <w:r>
        <w:rPr>
          <w:sz w:val="16"/>
          <w:szCs w:val="16"/>
          <w:lang w:val="es-HN"/>
        </w:rPr>
        <w:tab/>
      </w:r>
      <w:r w:rsidRPr="00062586">
        <w:rPr>
          <w:i/>
          <w:sz w:val="16"/>
          <w:szCs w:val="16"/>
          <w:lang w:val="es-HN"/>
        </w:rPr>
        <w:t>Cfr.</w:t>
      </w:r>
      <w:r w:rsidRPr="00304859">
        <w:rPr>
          <w:i/>
          <w:sz w:val="16"/>
          <w:szCs w:val="16"/>
          <w:lang w:val="es-HN"/>
        </w:rPr>
        <w:t xml:space="preserve"> </w:t>
      </w:r>
      <w:r w:rsidRPr="00C64243">
        <w:rPr>
          <w:rFonts w:eastAsia="Calibri"/>
          <w:sz w:val="16"/>
          <w:szCs w:val="16"/>
          <w:lang w:val="es-MX"/>
        </w:rPr>
        <w:t>Declaración rendida por Vinicio Marco Antonio Poblete Tapia ante la Corte en la audiencia pública del 19 de octubre de 2017 (Transcripción de audiencia pública sobre fondo, eventuales reparaciones y costas; 19 de octubre de 2017, pág. 96)</w:t>
      </w:r>
      <w:r w:rsidRPr="00C64243">
        <w:rPr>
          <w:sz w:val="16"/>
          <w:szCs w:val="16"/>
          <w:lang w:val="es-MX"/>
        </w:rPr>
        <w:t>,</w:t>
      </w:r>
      <w:r w:rsidRPr="006E1367">
        <w:rPr>
          <w:sz w:val="16"/>
          <w:szCs w:val="16"/>
        </w:rPr>
        <w:t xml:space="preserve"> </w:t>
      </w:r>
      <w:r>
        <w:rPr>
          <w:sz w:val="16"/>
          <w:szCs w:val="16"/>
        </w:rPr>
        <w:t xml:space="preserve">y </w:t>
      </w:r>
      <w:r w:rsidRPr="006E1367">
        <w:rPr>
          <w:sz w:val="16"/>
          <w:szCs w:val="16"/>
          <w:lang w:val="es-MX"/>
        </w:rPr>
        <w:t xml:space="preserve">Declaración rendida ante fedatario público por </w:t>
      </w:r>
      <w:proofErr w:type="spellStart"/>
      <w:r w:rsidRPr="006E1367">
        <w:rPr>
          <w:sz w:val="16"/>
          <w:szCs w:val="16"/>
          <w:lang w:val="es-MX"/>
        </w:rPr>
        <w:t>Cesia</w:t>
      </w:r>
      <w:proofErr w:type="spellEnd"/>
      <w:r w:rsidRPr="006E1367">
        <w:rPr>
          <w:sz w:val="16"/>
          <w:szCs w:val="16"/>
          <w:lang w:val="es-MX"/>
        </w:rPr>
        <w:t xml:space="preserve"> Leila Siria Poblete Tapia el 6 de octubre de 2017 (expediente de prueba, </w:t>
      </w:r>
      <w:r w:rsidRPr="00C64243">
        <w:rPr>
          <w:i/>
          <w:sz w:val="16"/>
          <w:szCs w:val="16"/>
          <w:lang w:val="es-MX"/>
        </w:rPr>
        <w:t>affidávits</w:t>
      </w:r>
      <w:r w:rsidRPr="006E1367">
        <w:rPr>
          <w:sz w:val="16"/>
          <w:szCs w:val="16"/>
          <w:lang w:val="es-MX"/>
        </w:rPr>
        <w:t>, f</w:t>
      </w:r>
      <w:r>
        <w:rPr>
          <w:sz w:val="16"/>
          <w:szCs w:val="16"/>
          <w:lang w:val="es-MX"/>
        </w:rPr>
        <w:t xml:space="preserve">. </w:t>
      </w:r>
      <w:r w:rsidRPr="006E1367">
        <w:rPr>
          <w:sz w:val="16"/>
          <w:szCs w:val="16"/>
          <w:lang w:val="es-MX"/>
        </w:rPr>
        <w:t>4462).</w:t>
      </w:r>
      <w:r>
        <w:rPr>
          <w:b/>
          <w:i/>
          <w:sz w:val="16"/>
          <w:szCs w:val="16"/>
          <w:lang w:val="es-MX"/>
        </w:rPr>
        <w:t xml:space="preserve"> </w:t>
      </w:r>
      <w:r>
        <w:rPr>
          <w:sz w:val="16"/>
          <w:szCs w:val="16"/>
          <w:lang w:val="es-MX"/>
        </w:rPr>
        <w:t>Por su parte, l</w:t>
      </w:r>
      <w:r w:rsidRPr="00C77484">
        <w:rPr>
          <w:sz w:val="16"/>
          <w:szCs w:val="16"/>
          <w:lang w:val="es-MX"/>
        </w:rPr>
        <w:t>a señora Blanca Tapia Encina falleció el 13 de enero de 2003 por estado séptico y cáncer de vesícula biliar con metástasis múltiple</w:t>
      </w:r>
      <w:r>
        <w:rPr>
          <w:sz w:val="16"/>
          <w:szCs w:val="16"/>
          <w:lang w:val="es-MX"/>
        </w:rPr>
        <w:t>s, mientras que e</w:t>
      </w:r>
      <w:r w:rsidRPr="00C77484">
        <w:rPr>
          <w:sz w:val="16"/>
          <w:szCs w:val="16"/>
          <w:lang w:val="es-MX"/>
        </w:rPr>
        <w:t>l señor Gonzalo Poblete Tapia presentaba daño cerebral y una invalidez física y falleció el 4 de diciembre de 2011.</w:t>
      </w:r>
      <w:r>
        <w:rPr>
          <w:sz w:val="16"/>
          <w:szCs w:val="16"/>
          <w:lang w:val="es-MX"/>
        </w:rPr>
        <w:t xml:space="preserve"> </w:t>
      </w:r>
      <w:r w:rsidRPr="00062586">
        <w:rPr>
          <w:i/>
          <w:sz w:val="16"/>
          <w:szCs w:val="16"/>
          <w:lang w:val="es-MX"/>
        </w:rPr>
        <w:t>Cfr.</w:t>
      </w:r>
      <w:r>
        <w:rPr>
          <w:i/>
          <w:sz w:val="16"/>
          <w:szCs w:val="16"/>
          <w:lang w:val="es-MX"/>
        </w:rPr>
        <w:t xml:space="preserve"> </w:t>
      </w:r>
      <w:r w:rsidRPr="00B11C14">
        <w:rPr>
          <w:sz w:val="16"/>
          <w:szCs w:val="16"/>
        </w:rPr>
        <w:t>Certificado de defunción de Blanca Margarita Tapia Encina emitido por el Servicio de Registro Civil e Identificación Chile del 14 de enero de 2003 (expediente de prueba, anexo 17 del Informe de Fondo, f. 126)</w:t>
      </w:r>
      <w:r>
        <w:rPr>
          <w:sz w:val="16"/>
          <w:szCs w:val="16"/>
        </w:rPr>
        <w:t xml:space="preserve">, y </w:t>
      </w:r>
      <w:r w:rsidRPr="00165FB4">
        <w:rPr>
          <w:sz w:val="16"/>
          <w:szCs w:val="16"/>
        </w:rPr>
        <w:t>Declaración del señor Vinicio Marco Antonio Poblete Tapia ante la Corte en la audiencia pú</w:t>
      </w:r>
      <w:r>
        <w:rPr>
          <w:sz w:val="16"/>
          <w:szCs w:val="16"/>
        </w:rPr>
        <w:t xml:space="preserve">blica del 19 de octubre de 2017, </w:t>
      </w:r>
      <w:r w:rsidRPr="00062586">
        <w:rPr>
          <w:i/>
          <w:sz w:val="16"/>
          <w:szCs w:val="16"/>
        </w:rPr>
        <w:t>supra</w:t>
      </w:r>
      <w:r w:rsidRPr="00165FB4">
        <w:rPr>
          <w:sz w:val="16"/>
          <w:szCs w:val="16"/>
        </w:rPr>
        <w:t>, pág</w:t>
      </w:r>
      <w:r>
        <w:rPr>
          <w:sz w:val="16"/>
          <w:szCs w:val="16"/>
        </w:rPr>
        <w:t>s</w:t>
      </w:r>
      <w:r w:rsidRPr="00165FB4">
        <w:rPr>
          <w:sz w:val="16"/>
          <w:szCs w:val="16"/>
        </w:rPr>
        <w:t xml:space="preserve">. </w:t>
      </w:r>
      <w:r>
        <w:rPr>
          <w:sz w:val="16"/>
          <w:szCs w:val="16"/>
        </w:rPr>
        <w:t>20 y 96, y</w:t>
      </w:r>
      <w:r w:rsidRPr="00165FB4">
        <w:rPr>
          <w:sz w:val="16"/>
          <w:szCs w:val="16"/>
        </w:rPr>
        <w:t xml:space="preserve"> Declaración rendida ante fedatario público por </w:t>
      </w:r>
      <w:proofErr w:type="spellStart"/>
      <w:r w:rsidRPr="00165FB4">
        <w:rPr>
          <w:sz w:val="16"/>
          <w:szCs w:val="16"/>
        </w:rPr>
        <w:t>Cesia</w:t>
      </w:r>
      <w:proofErr w:type="spellEnd"/>
      <w:r w:rsidRPr="00165FB4">
        <w:rPr>
          <w:sz w:val="16"/>
          <w:szCs w:val="16"/>
        </w:rPr>
        <w:t xml:space="preserve"> Leila Siria Poblete Tapia el 6 de octubre de 2017, </w:t>
      </w:r>
      <w:r w:rsidRPr="00062586">
        <w:rPr>
          <w:i/>
          <w:sz w:val="16"/>
          <w:szCs w:val="16"/>
        </w:rPr>
        <w:t>supra</w:t>
      </w:r>
      <w:r>
        <w:rPr>
          <w:sz w:val="16"/>
          <w:szCs w:val="16"/>
        </w:rPr>
        <w:t>, (expediente de prueba,</w:t>
      </w:r>
      <w:r>
        <w:rPr>
          <w:i/>
          <w:sz w:val="16"/>
          <w:szCs w:val="16"/>
        </w:rPr>
        <w:t xml:space="preserve"> </w:t>
      </w:r>
      <w:r w:rsidRPr="00165FB4">
        <w:rPr>
          <w:sz w:val="16"/>
          <w:szCs w:val="16"/>
        </w:rPr>
        <w:t>f</w:t>
      </w:r>
      <w:r>
        <w:rPr>
          <w:sz w:val="16"/>
          <w:szCs w:val="16"/>
        </w:rPr>
        <w:t>.</w:t>
      </w:r>
      <w:r w:rsidRPr="00165FB4">
        <w:rPr>
          <w:sz w:val="16"/>
          <w:szCs w:val="16"/>
        </w:rPr>
        <w:t xml:space="preserve"> 4467).</w:t>
      </w:r>
    </w:p>
  </w:footnote>
  <w:footnote w:id="31">
    <w:p w14:paraId="3A50A2D1" w14:textId="1EDEE40B" w:rsidR="003C025E" w:rsidRPr="008B0574" w:rsidRDefault="003C025E" w:rsidP="00C133E5">
      <w:pPr>
        <w:pStyle w:val="FootnoteText"/>
        <w:ind w:right="-357"/>
        <w:rPr>
          <w:sz w:val="16"/>
          <w:szCs w:val="16"/>
          <w:lang w:val="es-MX"/>
        </w:rPr>
      </w:pPr>
      <w:r w:rsidRPr="005A39DD">
        <w:rPr>
          <w:rStyle w:val="FootnoteReference"/>
          <w:rFonts w:eastAsia="MS Mincho"/>
          <w:sz w:val="16"/>
          <w:szCs w:val="16"/>
        </w:rPr>
        <w:footnoteRef/>
      </w:r>
      <w:r w:rsidRPr="008B0574">
        <w:rPr>
          <w:sz w:val="16"/>
          <w:szCs w:val="16"/>
        </w:rPr>
        <w:t xml:space="preserve"> </w:t>
      </w:r>
      <w:r w:rsidRPr="008B0574">
        <w:rPr>
          <w:sz w:val="16"/>
          <w:szCs w:val="16"/>
        </w:rPr>
        <w:tab/>
      </w:r>
      <w:r w:rsidRPr="00062586">
        <w:rPr>
          <w:i/>
          <w:sz w:val="16"/>
          <w:szCs w:val="16"/>
          <w:lang w:val="es-MX"/>
        </w:rPr>
        <w:t>Cfr.</w:t>
      </w:r>
      <w:r w:rsidRPr="00A4375A">
        <w:rPr>
          <w:i/>
          <w:sz w:val="16"/>
          <w:szCs w:val="16"/>
          <w:lang w:val="es-MX"/>
        </w:rPr>
        <w:t xml:space="preserve"> </w:t>
      </w:r>
      <w:r w:rsidRPr="00C64243">
        <w:rPr>
          <w:sz w:val="16"/>
          <w:szCs w:val="16"/>
          <w:lang w:val="es-MX"/>
        </w:rPr>
        <w:t xml:space="preserve">Declaración rendida por Vinicio Marco Antonio Poblete Tapia ante la Corte en la audiencia pública del 19 de octubre de 2017, </w:t>
      </w:r>
      <w:r w:rsidRPr="00062586">
        <w:rPr>
          <w:i/>
          <w:sz w:val="16"/>
          <w:szCs w:val="16"/>
          <w:lang w:val="es-MX"/>
        </w:rPr>
        <w:t>supra</w:t>
      </w:r>
      <w:r w:rsidRPr="00C64243">
        <w:rPr>
          <w:sz w:val="16"/>
          <w:szCs w:val="16"/>
          <w:lang w:val="es-MX"/>
        </w:rPr>
        <w:t>, pág</w:t>
      </w:r>
      <w:r>
        <w:rPr>
          <w:sz w:val="16"/>
          <w:szCs w:val="16"/>
          <w:lang w:val="es-MX"/>
        </w:rPr>
        <w:t>s</w:t>
      </w:r>
      <w:r w:rsidRPr="00C64243">
        <w:rPr>
          <w:sz w:val="16"/>
          <w:szCs w:val="16"/>
          <w:lang w:val="es-MX"/>
        </w:rPr>
        <w:t>. 4</w:t>
      </w:r>
      <w:r>
        <w:rPr>
          <w:sz w:val="16"/>
          <w:szCs w:val="16"/>
          <w:lang w:val="es-MX"/>
        </w:rPr>
        <w:t xml:space="preserve"> y 12</w:t>
      </w:r>
      <w:r w:rsidRPr="004420E7">
        <w:rPr>
          <w:i/>
          <w:sz w:val="16"/>
          <w:szCs w:val="16"/>
          <w:lang w:val="es-MX"/>
        </w:rPr>
        <w:t xml:space="preserve">, </w:t>
      </w:r>
      <w:r w:rsidRPr="00C64243">
        <w:rPr>
          <w:sz w:val="16"/>
          <w:szCs w:val="16"/>
          <w:lang w:val="es-MX"/>
        </w:rPr>
        <w:t xml:space="preserve">Declaración rendida ante fedatario público por </w:t>
      </w:r>
      <w:proofErr w:type="spellStart"/>
      <w:r w:rsidRPr="00C64243">
        <w:rPr>
          <w:sz w:val="16"/>
          <w:szCs w:val="16"/>
          <w:lang w:val="es-MX"/>
        </w:rPr>
        <w:t>Cesia</w:t>
      </w:r>
      <w:proofErr w:type="spellEnd"/>
      <w:r w:rsidRPr="00C64243">
        <w:rPr>
          <w:sz w:val="16"/>
          <w:szCs w:val="16"/>
          <w:lang w:val="es-MX"/>
        </w:rPr>
        <w:t xml:space="preserve"> Leila Siria Poblete Tapia el 6 de octubre de 2017</w:t>
      </w:r>
      <w:r w:rsidRPr="004420E7">
        <w:rPr>
          <w:i/>
          <w:sz w:val="16"/>
          <w:szCs w:val="16"/>
          <w:lang w:val="es-MX"/>
        </w:rPr>
        <w:t xml:space="preserve">, </w:t>
      </w:r>
      <w:r w:rsidRPr="00062586">
        <w:rPr>
          <w:i/>
          <w:sz w:val="16"/>
          <w:szCs w:val="16"/>
          <w:lang w:val="es-MX"/>
        </w:rPr>
        <w:t>supra</w:t>
      </w:r>
      <w:r w:rsidRPr="004420E7">
        <w:rPr>
          <w:i/>
          <w:sz w:val="16"/>
          <w:szCs w:val="16"/>
          <w:lang w:val="es-MX"/>
        </w:rPr>
        <w:t xml:space="preserve">, </w:t>
      </w:r>
      <w:r w:rsidRPr="00C64243">
        <w:rPr>
          <w:sz w:val="16"/>
          <w:szCs w:val="16"/>
          <w:lang w:val="es-MX"/>
        </w:rPr>
        <w:t xml:space="preserve">f. </w:t>
      </w:r>
      <w:r w:rsidRPr="005A39DD">
        <w:rPr>
          <w:sz w:val="16"/>
          <w:szCs w:val="16"/>
          <w:lang w:val="es-MX"/>
        </w:rPr>
        <w:t>4462</w:t>
      </w:r>
      <w:r>
        <w:rPr>
          <w:sz w:val="16"/>
          <w:szCs w:val="16"/>
          <w:lang w:val="es-MX"/>
        </w:rPr>
        <w:t>, y</w:t>
      </w:r>
      <w:r w:rsidRPr="005A39DD">
        <w:rPr>
          <w:sz w:val="16"/>
          <w:szCs w:val="16"/>
          <w:lang w:val="es-MX"/>
        </w:rPr>
        <w:t xml:space="preserve"> Declar</w:t>
      </w:r>
      <w:r w:rsidRPr="008B0574">
        <w:rPr>
          <w:sz w:val="16"/>
          <w:szCs w:val="16"/>
          <w:lang w:val="es-MX"/>
        </w:rPr>
        <w:t xml:space="preserve">ación rendida ante fedatario público por Alejandra Marcela Fuentes Poblete el 6 de octubre de 2017 (expediente de prueba, </w:t>
      </w:r>
      <w:r w:rsidRPr="00C64243">
        <w:rPr>
          <w:i/>
          <w:sz w:val="16"/>
          <w:szCs w:val="16"/>
          <w:lang w:val="es-MX"/>
        </w:rPr>
        <w:t>affidávits</w:t>
      </w:r>
      <w:r w:rsidRPr="008B0574">
        <w:rPr>
          <w:sz w:val="16"/>
          <w:szCs w:val="16"/>
          <w:lang w:val="es-MX"/>
        </w:rPr>
        <w:t>, f</w:t>
      </w:r>
      <w:r>
        <w:rPr>
          <w:sz w:val="16"/>
          <w:szCs w:val="16"/>
          <w:lang w:val="es-MX"/>
        </w:rPr>
        <w:t>.</w:t>
      </w:r>
      <w:r w:rsidRPr="008B0574">
        <w:rPr>
          <w:sz w:val="16"/>
          <w:szCs w:val="16"/>
          <w:lang w:val="es-MX"/>
        </w:rPr>
        <w:t xml:space="preserve"> 4470)</w:t>
      </w:r>
      <w:r>
        <w:rPr>
          <w:sz w:val="16"/>
          <w:szCs w:val="16"/>
          <w:lang w:val="es-MX"/>
        </w:rPr>
        <w:t>.</w:t>
      </w:r>
    </w:p>
  </w:footnote>
  <w:footnote w:id="32">
    <w:p w14:paraId="42830ADC" w14:textId="40716AF5" w:rsidR="003C025E" w:rsidRPr="00790FEF" w:rsidRDefault="003C025E" w:rsidP="00E22B60">
      <w:pPr>
        <w:pStyle w:val="FootnoteText"/>
        <w:ind w:right="-360"/>
        <w:rPr>
          <w:sz w:val="16"/>
          <w:szCs w:val="16"/>
        </w:rPr>
      </w:pPr>
      <w:r w:rsidRPr="00C64243">
        <w:rPr>
          <w:rStyle w:val="FootnoteReference"/>
          <w:rFonts w:eastAsia="MS Mincho"/>
          <w:sz w:val="16"/>
          <w:szCs w:val="16"/>
        </w:rPr>
        <w:footnoteRef/>
      </w:r>
      <w:r w:rsidRPr="00C64243">
        <w:rPr>
          <w:sz w:val="16"/>
          <w:szCs w:val="16"/>
        </w:rPr>
        <w:t xml:space="preserve"> </w:t>
      </w:r>
      <w:r w:rsidRPr="00132C26">
        <w:tab/>
      </w:r>
      <w:r>
        <w:t>“</w:t>
      </w:r>
      <w:r w:rsidRPr="00AA7ACB">
        <w:rPr>
          <w:rFonts w:eastAsia="Calibri"/>
          <w:sz w:val="16"/>
          <w:szCs w:val="16"/>
          <w:lang w:val="es-CR"/>
        </w:rPr>
        <w:t>[…] Paciente con anteceden</w:t>
      </w:r>
      <w:r w:rsidRPr="001B6272">
        <w:rPr>
          <w:rFonts w:eastAsia="Calibri"/>
          <w:sz w:val="16"/>
          <w:szCs w:val="16"/>
          <w:lang w:val="es-CR"/>
        </w:rPr>
        <w:t xml:space="preserve">tes de DM2 en tratamiento con </w:t>
      </w:r>
      <w:proofErr w:type="spellStart"/>
      <w:r w:rsidRPr="001B6272">
        <w:rPr>
          <w:rFonts w:eastAsia="Calibri"/>
          <w:sz w:val="16"/>
          <w:szCs w:val="16"/>
          <w:lang w:val="es-CR"/>
        </w:rPr>
        <w:t>glibenclamida</w:t>
      </w:r>
      <w:proofErr w:type="spellEnd"/>
      <w:r w:rsidRPr="001B6272">
        <w:rPr>
          <w:rFonts w:eastAsia="Calibri"/>
          <w:sz w:val="16"/>
          <w:szCs w:val="16"/>
          <w:lang w:val="es-CR"/>
        </w:rPr>
        <w:t xml:space="preserve"> 5mg </w:t>
      </w:r>
      <w:r>
        <w:rPr>
          <w:rFonts w:eastAsia="Calibri"/>
          <w:sz w:val="16"/>
          <w:szCs w:val="16"/>
          <w:lang w:val="es-CR"/>
        </w:rPr>
        <w:t xml:space="preserve">c/12 </w:t>
      </w:r>
      <w:r w:rsidRPr="001B6272">
        <w:rPr>
          <w:rFonts w:eastAsia="Calibri"/>
          <w:sz w:val="16"/>
          <w:szCs w:val="16"/>
          <w:lang w:val="es-CR"/>
        </w:rPr>
        <w:t xml:space="preserve">[ilegible] y arritmia cardíaca cuyo [ilegible] no conoce por lo que uso </w:t>
      </w:r>
      <w:proofErr w:type="spellStart"/>
      <w:r w:rsidRPr="001B6272">
        <w:rPr>
          <w:rFonts w:eastAsia="Calibri"/>
          <w:sz w:val="16"/>
          <w:szCs w:val="16"/>
          <w:lang w:val="es-CR"/>
        </w:rPr>
        <w:t>amiodarona</w:t>
      </w:r>
      <w:proofErr w:type="spellEnd"/>
      <w:r w:rsidRPr="001B6272">
        <w:rPr>
          <w:rFonts w:eastAsia="Calibri"/>
          <w:sz w:val="16"/>
          <w:szCs w:val="16"/>
          <w:lang w:val="es-CR"/>
        </w:rPr>
        <w:t xml:space="preserve"> 200 mg/d</w:t>
      </w:r>
      <w:r w:rsidRPr="00E279BB">
        <w:rPr>
          <w:rFonts w:eastAsia="Calibri" w:cs="Arial"/>
          <w:sz w:val="16"/>
          <w:szCs w:val="16"/>
          <w:lang w:val="es-CR"/>
        </w:rPr>
        <w:t xml:space="preserve">ía V.O. </w:t>
      </w:r>
      <w:r>
        <w:rPr>
          <w:rFonts w:eastAsia="Calibri" w:cs="Arial"/>
          <w:sz w:val="16"/>
          <w:szCs w:val="16"/>
          <w:lang w:val="es-CR"/>
        </w:rPr>
        <w:t>Ayer i</w:t>
      </w:r>
      <w:r w:rsidRPr="00E279BB">
        <w:rPr>
          <w:rFonts w:eastAsia="Calibri" w:cs="Arial"/>
          <w:sz w:val="16"/>
          <w:szCs w:val="16"/>
          <w:lang w:val="es-CR"/>
        </w:rPr>
        <w:t>nici</w:t>
      </w:r>
      <w:r>
        <w:rPr>
          <w:rFonts w:eastAsia="Calibri" w:cs="Arial"/>
          <w:sz w:val="16"/>
          <w:szCs w:val="16"/>
          <w:lang w:val="es-CR"/>
        </w:rPr>
        <w:t>ó</w:t>
      </w:r>
      <w:r w:rsidRPr="00E279BB">
        <w:rPr>
          <w:rFonts w:eastAsia="Calibri" w:cs="Arial"/>
          <w:sz w:val="16"/>
          <w:szCs w:val="16"/>
          <w:lang w:val="es-CR"/>
        </w:rPr>
        <w:t xml:space="preserve"> cuadro de dificultad respiratoria asociada a mayor compromiso del estado general […]</w:t>
      </w:r>
      <w:r>
        <w:rPr>
          <w:rFonts w:eastAsia="Calibri" w:cs="Arial"/>
          <w:sz w:val="16"/>
          <w:szCs w:val="16"/>
          <w:lang w:val="es-CR"/>
        </w:rPr>
        <w:t xml:space="preserve">. No se ha objetivado fiebre. </w:t>
      </w:r>
      <w:r w:rsidRPr="00E279BB">
        <w:rPr>
          <w:rFonts w:eastAsia="Calibri" w:cs="Arial"/>
          <w:sz w:val="16"/>
          <w:szCs w:val="16"/>
          <w:lang w:val="es-CR"/>
        </w:rPr>
        <w:t>Hoy empeoró hasta presentar disnea de reposo por lo que es traído al S.U.</w:t>
      </w:r>
      <w:r>
        <w:rPr>
          <w:rFonts w:eastAsia="Calibri" w:cs="Arial"/>
          <w:sz w:val="16"/>
          <w:szCs w:val="16"/>
          <w:lang w:val="es-CR"/>
        </w:rPr>
        <w:t>, en este se objetivó [ilegible</w:t>
      </w:r>
      <w:r w:rsidRPr="00E279BB">
        <w:rPr>
          <w:rFonts w:eastAsia="Calibri" w:cs="Arial"/>
          <w:sz w:val="16"/>
          <w:szCs w:val="16"/>
          <w:lang w:val="es-CR"/>
        </w:rPr>
        <w:t>] apremio respiratorio con taquicardia irregular entre 130-100x […]</w:t>
      </w:r>
      <w:r>
        <w:rPr>
          <w:rFonts w:eastAsia="Calibri" w:cs="Arial"/>
          <w:sz w:val="16"/>
          <w:szCs w:val="16"/>
          <w:lang w:val="es-CR"/>
        </w:rPr>
        <w:t>”</w:t>
      </w:r>
      <w:r w:rsidRPr="00E279BB">
        <w:rPr>
          <w:rFonts w:eastAsia="Calibri" w:cs="Arial"/>
          <w:sz w:val="16"/>
          <w:szCs w:val="16"/>
          <w:lang w:val="es-CR"/>
        </w:rPr>
        <w:t xml:space="preserve">. </w:t>
      </w:r>
      <w:r w:rsidRPr="002E06CD">
        <w:rPr>
          <w:rFonts w:eastAsia="Calibri"/>
          <w:sz w:val="16"/>
          <w:szCs w:val="16"/>
        </w:rPr>
        <w:t xml:space="preserve">Ficha </w:t>
      </w:r>
      <w:r>
        <w:rPr>
          <w:rFonts w:eastAsia="Calibri"/>
          <w:sz w:val="16"/>
          <w:szCs w:val="16"/>
        </w:rPr>
        <w:t>c</w:t>
      </w:r>
      <w:r w:rsidRPr="002E06CD">
        <w:rPr>
          <w:rFonts w:eastAsia="Calibri"/>
          <w:sz w:val="16"/>
          <w:szCs w:val="16"/>
        </w:rPr>
        <w:t>línica del señor Vinicio Poblete Vilches</w:t>
      </w:r>
      <w:r>
        <w:rPr>
          <w:rFonts w:eastAsia="Calibri"/>
          <w:sz w:val="16"/>
          <w:szCs w:val="16"/>
        </w:rPr>
        <w:t>. Documento</w:t>
      </w:r>
      <w:r w:rsidRPr="002E06CD">
        <w:rPr>
          <w:rFonts w:eastAsia="Calibri"/>
          <w:sz w:val="16"/>
          <w:szCs w:val="16"/>
        </w:rPr>
        <w:t xml:space="preserve"> </w:t>
      </w:r>
      <w:r>
        <w:rPr>
          <w:rFonts w:eastAsia="Calibri"/>
          <w:sz w:val="16"/>
          <w:szCs w:val="16"/>
        </w:rPr>
        <w:t>anexo al</w:t>
      </w:r>
      <w:r w:rsidRPr="002E06CD">
        <w:rPr>
          <w:rFonts w:eastAsia="Calibri"/>
          <w:sz w:val="16"/>
          <w:szCs w:val="16"/>
        </w:rPr>
        <w:t xml:space="preserve"> Oficio Reservado No. 026/0</w:t>
      </w:r>
      <w:r w:rsidRPr="00790FEF">
        <w:rPr>
          <w:rFonts w:eastAsia="Calibri"/>
          <w:sz w:val="16"/>
          <w:szCs w:val="16"/>
        </w:rPr>
        <w:t>9 del Director Servicio de Salud Metropolitano Sur Oriente, dirigido al Ministro de Salud, de 31 de agosto de 2009 (</w:t>
      </w:r>
      <w:r>
        <w:rPr>
          <w:rFonts w:eastAsia="Calibri"/>
          <w:sz w:val="16"/>
          <w:szCs w:val="16"/>
        </w:rPr>
        <w:t>e</w:t>
      </w:r>
      <w:r w:rsidRPr="00790FEF">
        <w:rPr>
          <w:rFonts w:eastAsia="Calibri"/>
          <w:sz w:val="16"/>
          <w:szCs w:val="16"/>
        </w:rPr>
        <w:t xml:space="preserve">xpediente de fondo, </w:t>
      </w:r>
      <w:r w:rsidRPr="00790FEF">
        <w:rPr>
          <w:sz w:val="16"/>
          <w:szCs w:val="16"/>
        </w:rPr>
        <w:t>f</w:t>
      </w:r>
      <w:r>
        <w:rPr>
          <w:sz w:val="16"/>
          <w:szCs w:val="16"/>
        </w:rPr>
        <w:t>.</w:t>
      </w:r>
      <w:r w:rsidRPr="00790FEF">
        <w:rPr>
          <w:sz w:val="16"/>
          <w:szCs w:val="16"/>
        </w:rPr>
        <w:t xml:space="preserve"> 1</w:t>
      </w:r>
      <w:r>
        <w:rPr>
          <w:sz w:val="16"/>
          <w:szCs w:val="16"/>
        </w:rPr>
        <w:t>130</w:t>
      </w:r>
      <w:r w:rsidRPr="00790FEF">
        <w:rPr>
          <w:sz w:val="16"/>
          <w:szCs w:val="16"/>
        </w:rPr>
        <w:t xml:space="preserve">). </w:t>
      </w:r>
    </w:p>
  </w:footnote>
  <w:footnote w:id="33">
    <w:p w14:paraId="38447915" w14:textId="44F1F2C6" w:rsidR="003C025E" w:rsidRPr="00C64243" w:rsidRDefault="003C025E" w:rsidP="00E22B60">
      <w:pPr>
        <w:ind w:right="-360"/>
        <w:rPr>
          <w:sz w:val="16"/>
          <w:szCs w:val="16"/>
        </w:rPr>
      </w:pPr>
      <w:r w:rsidRPr="00C64243">
        <w:rPr>
          <w:rStyle w:val="FootnoteReference"/>
          <w:sz w:val="16"/>
        </w:rPr>
        <w:footnoteRef/>
      </w:r>
      <w:r w:rsidRPr="00C64243">
        <w:rPr>
          <w:sz w:val="16"/>
        </w:rPr>
        <w:t xml:space="preserve"> </w:t>
      </w:r>
      <w:r w:rsidRPr="00C64243">
        <w:rPr>
          <w:sz w:val="16"/>
        </w:rPr>
        <w:tab/>
      </w:r>
      <w:r w:rsidRPr="00C64243">
        <w:rPr>
          <w:sz w:val="16"/>
          <w:szCs w:val="16"/>
        </w:rPr>
        <w:t xml:space="preserve">Auditoría Ministerial, Reservado No. </w:t>
      </w:r>
      <w:r w:rsidRPr="001378C6">
        <w:rPr>
          <w:sz w:val="16"/>
          <w:szCs w:val="16"/>
        </w:rPr>
        <w:t>0</w:t>
      </w:r>
      <w:r w:rsidRPr="00C64243">
        <w:rPr>
          <w:sz w:val="16"/>
          <w:szCs w:val="16"/>
        </w:rPr>
        <w:t xml:space="preserve">24, firmada por el Dr. Sergio Valenzuela </w:t>
      </w:r>
      <w:r w:rsidRPr="001378C6">
        <w:rPr>
          <w:sz w:val="16"/>
          <w:szCs w:val="16"/>
        </w:rPr>
        <w:t>Estévez</w:t>
      </w:r>
      <w:r w:rsidRPr="00C64243">
        <w:rPr>
          <w:sz w:val="16"/>
          <w:szCs w:val="16"/>
        </w:rPr>
        <w:t xml:space="preserve">, Jefe de </w:t>
      </w:r>
      <w:r>
        <w:rPr>
          <w:sz w:val="16"/>
          <w:szCs w:val="16"/>
        </w:rPr>
        <w:t>Depto. [</w:t>
      </w:r>
      <w:r w:rsidRPr="00C64243">
        <w:rPr>
          <w:i/>
          <w:sz w:val="16"/>
          <w:szCs w:val="16"/>
        </w:rPr>
        <w:t>sic</w:t>
      </w:r>
      <w:r>
        <w:rPr>
          <w:sz w:val="16"/>
          <w:szCs w:val="16"/>
        </w:rPr>
        <w:t xml:space="preserve">] </w:t>
      </w:r>
      <w:r w:rsidRPr="00C64243">
        <w:rPr>
          <w:sz w:val="16"/>
          <w:szCs w:val="16"/>
        </w:rPr>
        <w:t xml:space="preserve">Auditoría Servicio Salud </w:t>
      </w:r>
      <w:r w:rsidRPr="001378C6">
        <w:rPr>
          <w:sz w:val="16"/>
          <w:szCs w:val="16"/>
        </w:rPr>
        <w:t>O</w:t>
      </w:r>
      <w:r w:rsidRPr="00C64243">
        <w:rPr>
          <w:sz w:val="16"/>
          <w:szCs w:val="16"/>
        </w:rPr>
        <w:t xml:space="preserve">riente. Documento dentro de </w:t>
      </w:r>
      <w:r w:rsidRPr="00C64243">
        <w:rPr>
          <w:rFonts w:eastAsia="Calibri"/>
          <w:sz w:val="16"/>
          <w:szCs w:val="16"/>
        </w:rPr>
        <w:t xml:space="preserve">Oficio Reservado No. 026/09 del Director del Servicio Salud Metropolitano Sur Oriente, </w:t>
      </w:r>
      <w:r w:rsidRPr="00062586">
        <w:rPr>
          <w:rFonts w:eastAsia="Calibri"/>
          <w:i/>
          <w:sz w:val="16"/>
          <w:szCs w:val="16"/>
        </w:rPr>
        <w:t>supra</w:t>
      </w:r>
      <w:r w:rsidRPr="00C64243">
        <w:rPr>
          <w:rFonts w:eastAsia="Calibri"/>
          <w:sz w:val="16"/>
          <w:szCs w:val="16"/>
        </w:rPr>
        <w:t xml:space="preserve">, </w:t>
      </w:r>
      <w:r w:rsidRPr="001378C6">
        <w:rPr>
          <w:rFonts w:eastAsia="Calibri"/>
          <w:sz w:val="16"/>
          <w:szCs w:val="16"/>
        </w:rPr>
        <w:t xml:space="preserve">y </w:t>
      </w:r>
      <w:r w:rsidRPr="00C64243">
        <w:rPr>
          <w:rFonts w:eastAsia="Calibri"/>
          <w:sz w:val="16"/>
          <w:szCs w:val="16"/>
        </w:rPr>
        <w:t xml:space="preserve">que consta dentro del oficio Ordinal No. 0812 del Director </w:t>
      </w:r>
      <w:r w:rsidRPr="001378C6">
        <w:rPr>
          <w:rFonts w:eastAsia="Calibri"/>
          <w:sz w:val="16"/>
          <w:szCs w:val="16"/>
        </w:rPr>
        <w:t>[</w:t>
      </w:r>
      <w:r w:rsidRPr="00C64243">
        <w:rPr>
          <w:rFonts w:eastAsia="Calibri"/>
          <w:sz w:val="16"/>
          <w:szCs w:val="16"/>
        </w:rPr>
        <w:t>S</w:t>
      </w:r>
      <w:r w:rsidRPr="001378C6">
        <w:rPr>
          <w:rFonts w:eastAsia="Calibri"/>
          <w:sz w:val="16"/>
          <w:szCs w:val="16"/>
        </w:rPr>
        <w:t>]</w:t>
      </w:r>
      <w:r w:rsidRPr="00C64243">
        <w:rPr>
          <w:rFonts w:eastAsia="Calibri"/>
          <w:sz w:val="16"/>
          <w:szCs w:val="16"/>
        </w:rPr>
        <w:t xml:space="preserve"> Complejo Asistencia</w:t>
      </w:r>
      <w:r>
        <w:rPr>
          <w:rFonts w:eastAsia="Calibri"/>
          <w:sz w:val="16"/>
          <w:szCs w:val="16"/>
        </w:rPr>
        <w:t>l</w:t>
      </w:r>
      <w:r w:rsidRPr="00C64243">
        <w:rPr>
          <w:rFonts w:eastAsia="Calibri"/>
          <w:sz w:val="16"/>
          <w:szCs w:val="16"/>
        </w:rPr>
        <w:t xml:space="preserve"> Dr. Sotero del Río, dirigido a la Directora de Derechos Humanos del Ministerio de Relaciones Exteriores, de 19 de mayo de 2010</w:t>
      </w:r>
      <w:r>
        <w:rPr>
          <w:rFonts w:eastAsia="Calibri"/>
          <w:sz w:val="16"/>
          <w:szCs w:val="16"/>
        </w:rPr>
        <w:t xml:space="preserve"> (expediente de fondo </w:t>
      </w:r>
      <w:r w:rsidRPr="001378C6">
        <w:rPr>
          <w:sz w:val="16"/>
          <w:szCs w:val="16"/>
        </w:rPr>
        <w:t>f. 1108</w:t>
      </w:r>
      <w:r>
        <w:rPr>
          <w:sz w:val="16"/>
          <w:szCs w:val="16"/>
        </w:rPr>
        <w:t>)</w:t>
      </w:r>
      <w:r w:rsidRPr="00C64243">
        <w:rPr>
          <w:sz w:val="16"/>
          <w:szCs w:val="16"/>
        </w:rPr>
        <w:t>.</w:t>
      </w:r>
    </w:p>
  </w:footnote>
  <w:footnote w:id="34">
    <w:p w14:paraId="73A11141" w14:textId="2EBB7883" w:rsidR="003C025E" w:rsidRPr="001378C6" w:rsidRDefault="003C025E" w:rsidP="00E22B60">
      <w:pPr>
        <w:pStyle w:val="FootnoteText"/>
        <w:ind w:right="-360"/>
        <w:rPr>
          <w:sz w:val="16"/>
          <w:szCs w:val="16"/>
          <w:lang w:val="es-MX"/>
        </w:rPr>
      </w:pPr>
      <w:r w:rsidRPr="001378C6">
        <w:rPr>
          <w:rStyle w:val="FootnoteReference"/>
          <w:rFonts w:eastAsia="MS Mincho"/>
          <w:sz w:val="16"/>
          <w:szCs w:val="16"/>
        </w:rPr>
        <w:footnoteRef/>
      </w:r>
      <w:r w:rsidRPr="001378C6">
        <w:rPr>
          <w:sz w:val="16"/>
          <w:szCs w:val="16"/>
        </w:rPr>
        <w:t xml:space="preserve"> </w:t>
      </w:r>
      <w:r w:rsidRPr="001378C6">
        <w:rPr>
          <w:sz w:val="16"/>
          <w:szCs w:val="16"/>
        </w:rPr>
        <w:tab/>
      </w:r>
      <w:r w:rsidRPr="00062586">
        <w:rPr>
          <w:i/>
          <w:sz w:val="16"/>
          <w:szCs w:val="16"/>
        </w:rPr>
        <w:t>Cfr.</w:t>
      </w:r>
      <w:r w:rsidRPr="001378C6">
        <w:rPr>
          <w:i/>
          <w:sz w:val="16"/>
          <w:szCs w:val="16"/>
        </w:rPr>
        <w:t xml:space="preserve"> </w:t>
      </w:r>
      <w:r w:rsidRPr="001378C6">
        <w:rPr>
          <w:sz w:val="16"/>
          <w:szCs w:val="16"/>
        </w:rPr>
        <w:t xml:space="preserve">Declaración del señor Vinicio Marco Antonio Poblete Tapia </w:t>
      </w:r>
      <w:r w:rsidRPr="001378C6">
        <w:rPr>
          <w:sz w:val="16"/>
          <w:szCs w:val="16"/>
          <w:lang w:val="es-MX"/>
        </w:rPr>
        <w:t xml:space="preserve">ante la Corte en la audiencia pública del 19 de octubre de 2017, </w:t>
      </w:r>
      <w:r w:rsidRPr="00062586">
        <w:rPr>
          <w:i/>
          <w:sz w:val="16"/>
          <w:szCs w:val="16"/>
          <w:lang w:val="es-MX"/>
        </w:rPr>
        <w:t>supra</w:t>
      </w:r>
      <w:r w:rsidRPr="001378C6">
        <w:rPr>
          <w:sz w:val="16"/>
          <w:szCs w:val="16"/>
          <w:lang w:val="es-MX"/>
        </w:rPr>
        <w:t xml:space="preserve">, pág. 4, Declaración rendida ante fedatario público por </w:t>
      </w:r>
      <w:proofErr w:type="spellStart"/>
      <w:r w:rsidRPr="001378C6">
        <w:rPr>
          <w:sz w:val="16"/>
          <w:szCs w:val="16"/>
          <w:lang w:val="es-MX"/>
        </w:rPr>
        <w:t>Cesia</w:t>
      </w:r>
      <w:proofErr w:type="spellEnd"/>
      <w:r w:rsidRPr="001378C6">
        <w:rPr>
          <w:sz w:val="16"/>
          <w:szCs w:val="16"/>
          <w:lang w:val="es-MX"/>
        </w:rPr>
        <w:t xml:space="preserve"> Leila Siria Poblete Tapia el 6 de octubre de 2017, </w:t>
      </w:r>
      <w:r w:rsidRPr="00062586">
        <w:rPr>
          <w:i/>
          <w:sz w:val="16"/>
          <w:szCs w:val="16"/>
          <w:lang w:val="es-MX"/>
        </w:rPr>
        <w:t>supra</w:t>
      </w:r>
      <w:r w:rsidRPr="001378C6">
        <w:rPr>
          <w:sz w:val="16"/>
          <w:szCs w:val="16"/>
          <w:lang w:val="es-MX"/>
        </w:rPr>
        <w:t xml:space="preserve">, f. 4463, y Declaración rendida por Alejandra Marcela Fuentes Poblete ante el Primer Juzgado Civil el </w:t>
      </w:r>
      <w:r>
        <w:rPr>
          <w:sz w:val="16"/>
          <w:szCs w:val="16"/>
          <w:lang w:val="es-MX"/>
        </w:rPr>
        <w:t>15</w:t>
      </w:r>
      <w:r w:rsidRPr="001378C6">
        <w:rPr>
          <w:sz w:val="16"/>
          <w:szCs w:val="16"/>
          <w:lang w:val="es-MX"/>
        </w:rPr>
        <w:t xml:space="preserve"> de </w:t>
      </w:r>
      <w:r>
        <w:rPr>
          <w:sz w:val="16"/>
          <w:szCs w:val="16"/>
          <w:lang w:val="es-MX"/>
        </w:rPr>
        <w:t>junio</w:t>
      </w:r>
      <w:r w:rsidRPr="001378C6">
        <w:rPr>
          <w:sz w:val="16"/>
          <w:szCs w:val="16"/>
          <w:lang w:val="es-MX"/>
        </w:rPr>
        <w:t xml:space="preserve"> de 20</w:t>
      </w:r>
      <w:r>
        <w:rPr>
          <w:sz w:val="16"/>
          <w:szCs w:val="16"/>
          <w:lang w:val="es-MX"/>
        </w:rPr>
        <w:t>0</w:t>
      </w:r>
      <w:r w:rsidRPr="001378C6">
        <w:rPr>
          <w:sz w:val="16"/>
          <w:szCs w:val="16"/>
          <w:lang w:val="es-MX"/>
        </w:rPr>
        <w:t>7 (expediente de prueba, anexo 12 del Informe de Fondo, f. 110).</w:t>
      </w:r>
    </w:p>
  </w:footnote>
  <w:footnote w:id="35">
    <w:p w14:paraId="051FCEF2" w14:textId="77777777" w:rsidR="003C025E" w:rsidRPr="001378C6" w:rsidRDefault="003C025E" w:rsidP="00E22B60">
      <w:pPr>
        <w:pStyle w:val="FootnoteText"/>
        <w:ind w:right="-360"/>
        <w:rPr>
          <w:sz w:val="16"/>
          <w:szCs w:val="16"/>
        </w:rPr>
      </w:pPr>
      <w:r w:rsidRPr="001378C6">
        <w:rPr>
          <w:rStyle w:val="FootnoteReference"/>
          <w:rFonts w:eastAsia="MS Mincho"/>
          <w:sz w:val="16"/>
          <w:szCs w:val="16"/>
        </w:rPr>
        <w:footnoteRef/>
      </w:r>
      <w:r w:rsidRPr="001378C6">
        <w:rPr>
          <w:sz w:val="16"/>
          <w:szCs w:val="16"/>
        </w:rPr>
        <w:t xml:space="preserve"> </w:t>
      </w:r>
      <w:r w:rsidRPr="001378C6">
        <w:rPr>
          <w:sz w:val="16"/>
          <w:szCs w:val="16"/>
        </w:rPr>
        <w:tab/>
      </w:r>
      <w:r w:rsidRPr="00062586">
        <w:rPr>
          <w:i/>
          <w:sz w:val="16"/>
          <w:szCs w:val="16"/>
        </w:rPr>
        <w:t>Cfr.</w:t>
      </w:r>
      <w:r w:rsidRPr="001378C6">
        <w:rPr>
          <w:i/>
          <w:sz w:val="16"/>
          <w:szCs w:val="16"/>
        </w:rPr>
        <w:t xml:space="preserve"> </w:t>
      </w:r>
      <w:r w:rsidRPr="001378C6">
        <w:rPr>
          <w:sz w:val="16"/>
          <w:szCs w:val="16"/>
        </w:rPr>
        <w:t xml:space="preserve">Declaración del señor Vinicio Marco Antonio Poblete Tapia </w:t>
      </w:r>
      <w:r w:rsidRPr="001378C6">
        <w:rPr>
          <w:sz w:val="16"/>
          <w:szCs w:val="16"/>
          <w:lang w:val="es-MX"/>
        </w:rPr>
        <w:t xml:space="preserve">ante la Corte en la audiencia pública del 19 de octubre de 2017, </w:t>
      </w:r>
      <w:r w:rsidRPr="00062586">
        <w:rPr>
          <w:i/>
          <w:sz w:val="16"/>
          <w:szCs w:val="16"/>
          <w:lang w:val="es-MX"/>
        </w:rPr>
        <w:t>supra</w:t>
      </w:r>
      <w:r w:rsidRPr="001378C6">
        <w:rPr>
          <w:sz w:val="16"/>
          <w:szCs w:val="16"/>
          <w:lang w:val="es-MX"/>
        </w:rPr>
        <w:t xml:space="preserve">, págs. 13 y 14, y Declaración rendida ante fedatario público por </w:t>
      </w:r>
      <w:proofErr w:type="spellStart"/>
      <w:r w:rsidRPr="001378C6">
        <w:rPr>
          <w:sz w:val="16"/>
          <w:szCs w:val="16"/>
          <w:lang w:val="es-MX"/>
        </w:rPr>
        <w:t>Cesia</w:t>
      </w:r>
      <w:proofErr w:type="spellEnd"/>
      <w:r w:rsidRPr="001378C6">
        <w:rPr>
          <w:sz w:val="16"/>
          <w:szCs w:val="16"/>
          <w:lang w:val="es-MX"/>
        </w:rPr>
        <w:t xml:space="preserve"> Leila Siria Poblete Tapia el 6 de octubre de 2017, </w:t>
      </w:r>
      <w:r w:rsidRPr="00062586">
        <w:rPr>
          <w:i/>
          <w:sz w:val="16"/>
          <w:szCs w:val="16"/>
          <w:lang w:val="es-MX"/>
        </w:rPr>
        <w:t>supra</w:t>
      </w:r>
      <w:r w:rsidRPr="001378C6">
        <w:rPr>
          <w:i/>
          <w:sz w:val="16"/>
          <w:szCs w:val="16"/>
          <w:lang w:val="es-MX"/>
        </w:rPr>
        <w:t xml:space="preserve">, </w:t>
      </w:r>
      <w:r w:rsidRPr="001378C6">
        <w:rPr>
          <w:sz w:val="16"/>
          <w:szCs w:val="16"/>
          <w:lang w:val="es-MX"/>
        </w:rPr>
        <w:t xml:space="preserve">f. 4463. </w:t>
      </w:r>
    </w:p>
  </w:footnote>
  <w:footnote w:id="36">
    <w:p w14:paraId="0C721520" w14:textId="68937907" w:rsidR="003C025E" w:rsidRPr="00B1523A" w:rsidRDefault="003C025E">
      <w:pPr>
        <w:pStyle w:val="FootnoteText"/>
        <w:rPr>
          <w:rStyle w:val="FootnoteReference"/>
          <w:rFonts w:eastAsia="MS Mincho"/>
          <w:sz w:val="16"/>
          <w:szCs w:val="16"/>
        </w:rPr>
      </w:pPr>
      <w:r w:rsidRPr="00B1523A">
        <w:rPr>
          <w:rStyle w:val="FootnoteReference"/>
          <w:rFonts w:eastAsia="MS Mincho"/>
          <w:sz w:val="16"/>
          <w:szCs w:val="16"/>
        </w:rPr>
        <w:footnoteRef/>
      </w:r>
      <w:r w:rsidRPr="00B1523A">
        <w:rPr>
          <w:rStyle w:val="FootnoteReference"/>
          <w:rFonts w:eastAsia="MS Mincho"/>
          <w:sz w:val="16"/>
          <w:szCs w:val="16"/>
        </w:rPr>
        <w:t xml:space="preserve"> </w:t>
      </w:r>
      <w:r>
        <w:rPr>
          <w:rFonts w:eastAsia="MS Mincho"/>
          <w:sz w:val="16"/>
          <w:szCs w:val="16"/>
        </w:rPr>
        <w:tab/>
        <w:t xml:space="preserve">Declaración rendida ante fedatario público por </w:t>
      </w:r>
      <w:proofErr w:type="spellStart"/>
      <w:r>
        <w:rPr>
          <w:rFonts w:eastAsia="MS Mincho"/>
          <w:sz w:val="16"/>
          <w:szCs w:val="16"/>
        </w:rPr>
        <w:t>Cesia</w:t>
      </w:r>
      <w:proofErr w:type="spellEnd"/>
      <w:r>
        <w:rPr>
          <w:rFonts w:eastAsia="MS Mincho"/>
          <w:sz w:val="16"/>
          <w:szCs w:val="16"/>
        </w:rPr>
        <w:t xml:space="preserve"> Leila Siria Poblete el 6 de octubre de 2017, </w:t>
      </w:r>
      <w:r w:rsidRPr="00B1523A">
        <w:rPr>
          <w:rFonts w:eastAsia="MS Mincho"/>
          <w:i/>
          <w:sz w:val="16"/>
          <w:szCs w:val="16"/>
        </w:rPr>
        <w:t>supr</w:t>
      </w:r>
      <w:r>
        <w:rPr>
          <w:rFonts w:eastAsia="MS Mincho"/>
          <w:sz w:val="16"/>
          <w:szCs w:val="16"/>
        </w:rPr>
        <w:t xml:space="preserve">a, (expediente de prueba, f. 4464). </w:t>
      </w:r>
    </w:p>
  </w:footnote>
  <w:footnote w:id="37">
    <w:p w14:paraId="3052D5C8" w14:textId="7C96F3F5" w:rsidR="003C025E" w:rsidRPr="00DF0588" w:rsidRDefault="003C025E" w:rsidP="00E22B60">
      <w:pPr>
        <w:pStyle w:val="FootnoteText"/>
        <w:ind w:right="-360"/>
        <w:rPr>
          <w:sz w:val="16"/>
          <w:szCs w:val="16"/>
          <w:lang w:val="es-MX"/>
        </w:rPr>
      </w:pPr>
      <w:r w:rsidRPr="001378C6">
        <w:rPr>
          <w:rStyle w:val="FootnoteReference"/>
          <w:rFonts w:eastAsia="MS Mincho"/>
          <w:sz w:val="16"/>
          <w:szCs w:val="16"/>
        </w:rPr>
        <w:footnoteRef/>
      </w:r>
      <w:r w:rsidRPr="001378C6">
        <w:rPr>
          <w:sz w:val="16"/>
          <w:szCs w:val="16"/>
        </w:rPr>
        <w:t xml:space="preserve"> </w:t>
      </w:r>
      <w:r w:rsidRPr="001378C6">
        <w:rPr>
          <w:sz w:val="16"/>
          <w:szCs w:val="16"/>
        </w:rPr>
        <w:tab/>
      </w:r>
      <w:r w:rsidRPr="00062586">
        <w:rPr>
          <w:i/>
          <w:sz w:val="16"/>
          <w:szCs w:val="16"/>
        </w:rPr>
        <w:t>Cfr.</w:t>
      </w:r>
      <w:r w:rsidRPr="001378C6">
        <w:rPr>
          <w:i/>
          <w:sz w:val="16"/>
          <w:szCs w:val="16"/>
        </w:rPr>
        <w:t xml:space="preserve"> </w:t>
      </w:r>
      <w:r w:rsidRPr="001378C6">
        <w:rPr>
          <w:sz w:val="16"/>
          <w:szCs w:val="16"/>
        </w:rPr>
        <w:t xml:space="preserve">Declaración del señor Vinicio Marco Antonio Poblete Tapia </w:t>
      </w:r>
      <w:r w:rsidRPr="001378C6">
        <w:rPr>
          <w:sz w:val="16"/>
          <w:szCs w:val="16"/>
          <w:lang w:val="es-MX"/>
        </w:rPr>
        <w:t xml:space="preserve">ante la Corte en la audiencia pública del 19 de octubre de 2017, </w:t>
      </w:r>
      <w:r w:rsidRPr="00062586">
        <w:rPr>
          <w:i/>
          <w:sz w:val="16"/>
          <w:szCs w:val="16"/>
          <w:lang w:val="es-MX"/>
        </w:rPr>
        <w:t>supra</w:t>
      </w:r>
      <w:r w:rsidRPr="001378C6">
        <w:rPr>
          <w:sz w:val="16"/>
          <w:szCs w:val="16"/>
          <w:lang w:val="es-MX"/>
        </w:rPr>
        <w:t xml:space="preserve">, págs. 4 a 5, Declaración rendida ante fedatario público por </w:t>
      </w:r>
      <w:proofErr w:type="spellStart"/>
      <w:r w:rsidRPr="001378C6">
        <w:rPr>
          <w:sz w:val="16"/>
          <w:szCs w:val="16"/>
          <w:lang w:val="es-MX"/>
        </w:rPr>
        <w:t>Cesia</w:t>
      </w:r>
      <w:proofErr w:type="spellEnd"/>
      <w:r w:rsidRPr="001378C6">
        <w:rPr>
          <w:sz w:val="16"/>
          <w:szCs w:val="16"/>
          <w:lang w:val="es-MX"/>
        </w:rPr>
        <w:t xml:space="preserve"> Leila Siria Poblete Tapia el 6 de octubre de 2017, </w:t>
      </w:r>
      <w:r w:rsidRPr="00062586">
        <w:rPr>
          <w:i/>
          <w:sz w:val="16"/>
          <w:szCs w:val="16"/>
          <w:lang w:val="es-MX"/>
        </w:rPr>
        <w:t>supra</w:t>
      </w:r>
      <w:r w:rsidRPr="001378C6">
        <w:rPr>
          <w:i/>
          <w:sz w:val="16"/>
          <w:szCs w:val="16"/>
          <w:lang w:val="es-MX"/>
        </w:rPr>
        <w:t xml:space="preserve">, </w:t>
      </w:r>
      <w:r w:rsidRPr="001378C6">
        <w:rPr>
          <w:sz w:val="16"/>
          <w:szCs w:val="16"/>
          <w:lang w:val="es-MX"/>
        </w:rPr>
        <w:t>f. 4464</w:t>
      </w:r>
      <w:r>
        <w:rPr>
          <w:sz w:val="16"/>
          <w:szCs w:val="16"/>
          <w:lang w:val="es-MX"/>
        </w:rPr>
        <w:t>, Querella criminal presentad</w:t>
      </w:r>
      <w:r w:rsidRPr="002506B3">
        <w:rPr>
          <w:sz w:val="16"/>
          <w:szCs w:val="16"/>
          <w:lang w:val="es-MX"/>
        </w:rPr>
        <w:t xml:space="preserve">a Blanca Margarita Tapia Encina y </w:t>
      </w:r>
      <w:proofErr w:type="spellStart"/>
      <w:r w:rsidRPr="002506B3">
        <w:rPr>
          <w:sz w:val="16"/>
          <w:szCs w:val="16"/>
          <w:lang w:val="es-MX"/>
        </w:rPr>
        <w:t>Cesia</w:t>
      </w:r>
      <w:proofErr w:type="spellEnd"/>
      <w:r w:rsidRPr="002506B3">
        <w:rPr>
          <w:sz w:val="16"/>
          <w:szCs w:val="16"/>
          <w:lang w:val="es-MX"/>
        </w:rPr>
        <w:t xml:space="preserve"> Leila Poblete Tapia</w:t>
      </w:r>
      <w:r w:rsidRPr="00DF0588">
        <w:rPr>
          <w:sz w:val="16"/>
          <w:szCs w:val="16"/>
          <w:lang w:val="es-MX"/>
        </w:rPr>
        <w:t xml:space="preserve"> ante el Primer Juzgado Civil el 12 de noviembre de 2001 (expediente de prueba, a</w:t>
      </w:r>
      <w:r w:rsidRPr="00F40C93">
        <w:rPr>
          <w:sz w:val="16"/>
          <w:szCs w:val="16"/>
          <w:lang w:val="es-MX"/>
        </w:rPr>
        <w:t xml:space="preserve">nexo 6 al Informe de Fondo, f. </w:t>
      </w:r>
      <w:r w:rsidRPr="00A55BCE">
        <w:rPr>
          <w:sz w:val="16"/>
          <w:szCs w:val="16"/>
          <w:lang w:val="es-MX"/>
        </w:rPr>
        <w:t xml:space="preserve">29), y Declaración rendida ante fedatario público por Alejandra Marcela Fuentes Poblete el 6 de octubre de 2017, </w:t>
      </w:r>
      <w:r w:rsidRPr="00062586">
        <w:rPr>
          <w:i/>
          <w:sz w:val="16"/>
          <w:szCs w:val="16"/>
          <w:lang w:val="es-MX"/>
        </w:rPr>
        <w:t>supra</w:t>
      </w:r>
      <w:r>
        <w:rPr>
          <w:sz w:val="16"/>
          <w:szCs w:val="16"/>
          <w:lang w:val="es-MX"/>
        </w:rPr>
        <w:t xml:space="preserve"> (expediente de fondo,</w:t>
      </w:r>
      <w:r w:rsidRPr="002506B3">
        <w:rPr>
          <w:sz w:val="16"/>
          <w:szCs w:val="16"/>
          <w:lang w:val="es-MX"/>
        </w:rPr>
        <w:t xml:space="preserve"> f.</w:t>
      </w:r>
      <w:r w:rsidRPr="00DF0588">
        <w:rPr>
          <w:sz w:val="16"/>
          <w:szCs w:val="16"/>
          <w:lang w:val="es-MX"/>
        </w:rPr>
        <w:t xml:space="preserve"> 4471</w:t>
      </w:r>
      <w:r>
        <w:rPr>
          <w:sz w:val="16"/>
          <w:szCs w:val="16"/>
          <w:lang w:val="es-MX"/>
        </w:rPr>
        <w:t>)</w:t>
      </w:r>
      <w:r w:rsidRPr="00DF0588">
        <w:rPr>
          <w:sz w:val="16"/>
          <w:szCs w:val="16"/>
          <w:lang w:val="es-MX"/>
        </w:rPr>
        <w:t xml:space="preserve">. </w:t>
      </w:r>
    </w:p>
  </w:footnote>
  <w:footnote w:id="38">
    <w:p w14:paraId="58E4F824" w14:textId="4D9BFEA1" w:rsidR="003C025E" w:rsidRPr="00713D68" w:rsidRDefault="003C025E" w:rsidP="00E22B60">
      <w:pPr>
        <w:pStyle w:val="FootnoteText"/>
        <w:ind w:right="-360"/>
        <w:rPr>
          <w:sz w:val="16"/>
          <w:szCs w:val="16"/>
        </w:rPr>
      </w:pPr>
      <w:r w:rsidRPr="00C64243">
        <w:rPr>
          <w:rStyle w:val="FootnoteReference"/>
          <w:sz w:val="16"/>
          <w:szCs w:val="16"/>
        </w:rPr>
        <w:footnoteRef/>
      </w:r>
      <w:r w:rsidRPr="00C64243">
        <w:rPr>
          <w:sz w:val="16"/>
          <w:szCs w:val="16"/>
        </w:rPr>
        <w:t xml:space="preserve"> </w:t>
      </w:r>
      <w:r w:rsidRPr="002506B3">
        <w:rPr>
          <w:sz w:val="16"/>
          <w:szCs w:val="16"/>
        </w:rPr>
        <w:tab/>
      </w:r>
      <w:r w:rsidRPr="00B1523A">
        <w:rPr>
          <w:sz w:val="16"/>
          <w:szCs w:val="16"/>
        </w:rPr>
        <w:t>Respecto del alcance del estado de “inconsciencia”, “compromiso de consciencia” y/o “desorientación” que presentaba el señor Poblete Vilches previo a la intervención quirúrgica de referencia,</w:t>
      </w:r>
      <w:r w:rsidRPr="00C64243">
        <w:rPr>
          <w:rFonts w:ascii="Arial" w:hAnsi="Arial" w:cs="Arial"/>
          <w:sz w:val="24"/>
          <w:szCs w:val="24"/>
          <w:lang w:val="es-MX"/>
        </w:rPr>
        <w:t xml:space="preserve"> </w:t>
      </w:r>
      <w:r>
        <w:rPr>
          <w:i/>
          <w:sz w:val="16"/>
          <w:szCs w:val="16"/>
        </w:rPr>
        <w:t>C</w:t>
      </w:r>
      <w:r w:rsidRPr="00062586">
        <w:rPr>
          <w:i/>
          <w:sz w:val="16"/>
          <w:szCs w:val="16"/>
        </w:rPr>
        <w:t>fr.</w:t>
      </w:r>
      <w:r w:rsidRPr="00C64243">
        <w:rPr>
          <w:i/>
          <w:sz w:val="16"/>
          <w:szCs w:val="16"/>
        </w:rPr>
        <w:t xml:space="preserve"> </w:t>
      </w:r>
      <w:r w:rsidRPr="002506B3">
        <w:rPr>
          <w:sz w:val="16"/>
          <w:szCs w:val="16"/>
        </w:rPr>
        <w:t>Informe Médico de 19 de abril de 2006 suscrito por el Dr. Jorge</w:t>
      </w:r>
      <w:r w:rsidRPr="00DF0588">
        <w:rPr>
          <w:sz w:val="16"/>
          <w:szCs w:val="16"/>
        </w:rPr>
        <w:t xml:space="preserve"> Godoy Gallardo, Jefe de la Unidad de Paciente Crítico, sobre el ingreso del señor Vinicio Poblete Vilches al Hospital </w:t>
      </w:r>
      <w:proofErr w:type="spellStart"/>
      <w:r w:rsidRPr="00DF0588">
        <w:rPr>
          <w:sz w:val="16"/>
          <w:szCs w:val="16"/>
        </w:rPr>
        <w:t>Sótero</w:t>
      </w:r>
      <w:proofErr w:type="spellEnd"/>
      <w:r w:rsidRPr="00DF0588">
        <w:rPr>
          <w:sz w:val="16"/>
          <w:szCs w:val="16"/>
        </w:rPr>
        <w:t xml:space="preserve"> del Río el 17 de enero de </w:t>
      </w:r>
      <w:r w:rsidRPr="00F40C93">
        <w:rPr>
          <w:sz w:val="16"/>
          <w:szCs w:val="16"/>
        </w:rPr>
        <w:t xml:space="preserve">2001. </w:t>
      </w:r>
      <w:r w:rsidRPr="009324EB">
        <w:rPr>
          <w:sz w:val="16"/>
          <w:szCs w:val="16"/>
          <w:lang w:val="es-MX"/>
        </w:rPr>
        <w:t xml:space="preserve">Documento anexo al Oficio Reservado No. 026/09, </w:t>
      </w:r>
      <w:r w:rsidRPr="00062586">
        <w:rPr>
          <w:i/>
          <w:sz w:val="16"/>
          <w:szCs w:val="16"/>
          <w:lang w:val="es-MX"/>
        </w:rPr>
        <w:t>supra</w:t>
      </w:r>
      <w:r>
        <w:rPr>
          <w:i/>
          <w:sz w:val="16"/>
          <w:szCs w:val="16"/>
          <w:lang w:val="es-MX"/>
        </w:rPr>
        <w:t xml:space="preserve"> </w:t>
      </w:r>
      <w:r>
        <w:rPr>
          <w:sz w:val="16"/>
          <w:szCs w:val="16"/>
          <w:lang w:val="es-MX"/>
        </w:rPr>
        <w:t xml:space="preserve">(expediente de fondo, </w:t>
      </w:r>
      <w:r w:rsidRPr="009324EB">
        <w:rPr>
          <w:i/>
          <w:sz w:val="16"/>
          <w:szCs w:val="16"/>
          <w:lang w:val="es-MX"/>
        </w:rPr>
        <w:t xml:space="preserve"> </w:t>
      </w:r>
      <w:proofErr w:type="spellStart"/>
      <w:r w:rsidRPr="009324EB">
        <w:rPr>
          <w:sz w:val="16"/>
          <w:szCs w:val="16"/>
          <w:lang w:val="es-MX"/>
        </w:rPr>
        <w:t>ff</w:t>
      </w:r>
      <w:proofErr w:type="spellEnd"/>
      <w:r w:rsidRPr="009324EB">
        <w:rPr>
          <w:sz w:val="16"/>
          <w:szCs w:val="16"/>
          <w:lang w:val="es-MX"/>
        </w:rPr>
        <w:t xml:space="preserve">. 1110 a 1111). </w:t>
      </w:r>
      <w:r>
        <w:rPr>
          <w:sz w:val="16"/>
          <w:szCs w:val="16"/>
        </w:rPr>
        <w:t>Respecto del estado que presentaba el señor Poblete Vilches al momento de ser sometido a la referida intervención quirúrgica, e</w:t>
      </w:r>
      <w:r w:rsidRPr="00DF0588">
        <w:rPr>
          <w:sz w:val="16"/>
          <w:szCs w:val="16"/>
        </w:rPr>
        <w:t>n este se informa: “[...] Paciente de 76 años […]</w:t>
      </w:r>
      <w:r w:rsidRPr="009324EB">
        <w:rPr>
          <w:sz w:val="16"/>
          <w:szCs w:val="16"/>
        </w:rPr>
        <w:t xml:space="preserve">. Antecedente de: Diabetes Mellitus, Hipertensión arterial y arritmia cardíaca, que ingresa al Hospital por dificultad respiratoria […] Se conecta a ventilador mecánico hasta el día 20/01/01 […] Se traslada a Medicina el 22/01/01 en condiciones estables, </w:t>
      </w:r>
      <w:proofErr w:type="spellStart"/>
      <w:r w:rsidRPr="009324EB">
        <w:rPr>
          <w:sz w:val="16"/>
          <w:szCs w:val="16"/>
        </w:rPr>
        <w:t>vigil</w:t>
      </w:r>
      <w:proofErr w:type="spellEnd"/>
      <w:r w:rsidRPr="009324EB">
        <w:rPr>
          <w:sz w:val="16"/>
          <w:szCs w:val="16"/>
        </w:rPr>
        <w:t xml:space="preserve">, desorientado pero cooperador. En su estadía en Medicina se le efectúa un ecocardiograma que muestra un derrame pericárdico moderado. Se decide efectuar un drenaje quirúrgico de su derrame pericárdico para lo cual se pide consentimiento informado. El procedimiento se llevó a cabo el día 26/01 realizándose una </w:t>
      </w:r>
      <w:proofErr w:type="spellStart"/>
      <w:r w:rsidRPr="009324EB">
        <w:rPr>
          <w:sz w:val="16"/>
          <w:szCs w:val="16"/>
        </w:rPr>
        <w:t>video</w:t>
      </w:r>
      <w:r>
        <w:rPr>
          <w:sz w:val="16"/>
          <w:szCs w:val="16"/>
        </w:rPr>
        <w:t>toracoscipoa</w:t>
      </w:r>
      <w:proofErr w:type="spellEnd"/>
      <w:r w:rsidRPr="009324EB">
        <w:rPr>
          <w:sz w:val="16"/>
          <w:szCs w:val="16"/>
        </w:rPr>
        <w:t xml:space="preserve"> con ventana pericárdica […]”. </w:t>
      </w:r>
      <w:r>
        <w:rPr>
          <w:sz w:val="16"/>
          <w:szCs w:val="16"/>
        </w:rPr>
        <w:tab/>
      </w:r>
      <w:r w:rsidRPr="00062586">
        <w:rPr>
          <w:i/>
          <w:sz w:val="16"/>
          <w:szCs w:val="16"/>
          <w:lang w:val="es-HN"/>
        </w:rPr>
        <w:t>Cfr.</w:t>
      </w:r>
      <w:r w:rsidRPr="00073329">
        <w:rPr>
          <w:i/>
          <w:sz w:val="16"/>
          <w:szCs w:val="16"/>
          <w:lang w:val="es-HN"/>
        </w:rPr>
        <w:t xml:space="preserve"> </w:t>
      </w:r>
      <w:r w:rsidRPr="00073329">
        <w:rPr>
          <w:sz w:val="16"/>
          <w:szCs w:val="16"/>
          <w:lang w:val="es-MX"/>
        </w:rPr>
        <w:t xml:space="preserve">Declaración rendida por </w:t>
      </w:r>
      <w:r>
        <w:rPr>
          <w:sz w:val="16"/>
          <w:szCs w:val="16"/>
          <w:lang w:val="es-MX"/>
        </w:rPr>
        <w:t>Javier</w:t>
      </w:r>
      <w:r w:rsidRPr="002506B3">
        <w:rPr>
          <w:sz w:val="16"/>
          <w:szCs w:val="16"/>
          <w:lang w:val="es-MX"/>
        </w:rPr>
        <w:t xml:space="preserve"> Alejandro Santos</w:t>
      </w:r>
      <w:r w:rsidRPr="00DF0588">
        <w:rPr>
          <w:sz w:val="16"/>
          <w:szCs w:val="16"/>
          <w:lang w:val="es-MX"/>
        </w:rPr>
        <w:t xml:space="preserve"> ante la Corte en la audiencia pública del 19 de octubre de 2017 (Transcripción de audiencia pública sobre fondo, eventuales reparaciones y costas; 19 de octubre de 2017, págs. 50 a 51</w:t>
      </w:r>
      <w:r w:rsidRPr="00F40C93">
        <w:rPr>
          <w:sz w:val="16"/>
          <w:szCs w:val="16"/>
          <w:lang w:val="es-MX"/>
        </w:rPr>
        <w:t>).</w:t>
      </w:r>
      <w:r>
        <w:rPr>
          <w:sz w:val="16"/>
          <w:szCs w:val="16"/>
          <w:lang w:val="es-MX"/>
        </w:rPr>
        <w:t xml:space="preserve"> </w:t>
      </w:r>
    </w:p>
  </w:footnote>
  <w:footnote w:id="39">
    <w:p w14:paraId="63107556" w14:textId="185578C1" w:rsidR="003C025E" w:rsidRPr="00132C26" w:rsidRDefault="003C025E" w:rsidP="00E22B60">
      <w:pPr>
        <w:pStyle w:val="FootnoteText"/>
        <w:ind w:right="-360"/>
        <w:rPr>
          <w:sz w:val="16"/>
          <w:szCs w:val="16"/>
        </w:rPr>
      </w:pPr>
      <w:r w:rsidRPr="005A39DD">
        <w:rPr>
          <w:rStyle w:val="FootnoteReference"/>
          <w:rFonts w:eastAsia="MS Mincho"/>
          <w:sz w:val="16"/>
          <w:szCs w:val="16"/>
        </w:rPr>
        <w:footnoteRef/>
      </w:r>
      <w:r w:rsidRPr="008B0574">
        <w:rPr>
          <w:sz w:val="16"/>
          <w:szCs w:val="16"/>
        </w:rPr>
        <w:t xml:space="preserve"> </w:t>
      </w:r>
      <w:r w:rsidRPr="008B0574">
        <w:rPr>
          <w:sz w:val="16"/>
          <w:szCs w:val="16"/>
        </w:rPr>
        <w:tab/>
      </w:r>
      <w:r w:rsidRPr="008B0574">
        <w:rPr>
          <w:sz w:val="16"/>
          <w:szCs w:val="16"/>
          <w:lang w:val="es-MX"/>
        </w:rPr>
        <w:t>Ficha clínica de Vinicio Antonio Poblete Tapia (</w:t>
      </w:r>
      <w:r w:rsidRPr="008B0574">
        <w:rPr>
          <w:sz w:val="16"/>
          <w:szCs w:val="16"/>
        </w:rPr>
        <w:t>expediente de prueba, anex</w:t>
      </w:r>
      <w:r w:rsidRPr="00132C26">
        <w:rPr>
          <w:sz w:val="16"/>
          <w:szCs w:val="16"/>
        </w:rPr>
        <w:t>o 8 del Informe de Fondo, f. 79</w:t>
      </w:r>
      <w:r>
        <w:rPr>
          <w:sz w:val="16"/>
          <w:szCs w:val="16"/>
        </w:rPr>
        <w:t>).</w:t>
      </w:r>
    </w:p>
  </w:footnote>
  <w:footnote w:id="40">
    <w:p w14:paraId="0972528A" w14:textId="6FF56007" w:rsidR="003C025E" w:rsidRPr="00E279BB" w:rsidRDefault="003C025E" w:rsidP="00E22B60">
      <w:pPr>
        <w:pStyle w:val="FootnoteText"/>
        <w:ind w:right="-360"/>
        <w:rPr>
          <w:sz w:val="16"/>
          <w:szCs w:val="16"/>
          <w:lang w:val="es-MX"/>
        </w:rPr>
      </w:pPr>
      <w:r w:rsidRPr="00AA7ACB">
        <w:rPr>
          <w:rStyle w:val="FootnoteReference"/>
          <w:rFonts w:eastAsia="MS Mincho"/>
          <w:sz w:val="16"/>
          <w:szCs w:val="16"/>
        </w:rPr>
        <w:footnoteRef/>
      </w:r>
      <w:r w:rsidRPr="001B6272">
        <w:rPr>
          <w:sz w:val="16"/>
          <w:szCs w:val="16"/>
        </w:rPr>
        <w:t xml:space="preserve"> </w:t>
      </w:r>
      <w:r w:rsidRPr="001B6272">
        <w:rPr>
          <w:sz w:val="16"/>
          <w:szCs w:val="16"/>
        </w:rPr>
        <w:tab/>
      </w:r>
      <w:r w:rsidRPr="00453423">
        <w:rPr>
          <w:sz w:val="16"/>
          <w:szCs w:val="16"/>
          <w:lang w:val="es-MX"/>
        </w:rPr>
        <w:t xml:space="preserve">Informe Pericial Caligráfico Privado </w:t>
      </w:r>
      <w:r>
        <w:rPr>
          <w:sz w:val="16"/>
          <w:szCs w:val="16"/>
          <w:lang w:val="es-MX"/>
        </w:rPr>
        <w:t xml:space="preserve">firmado </w:t>
      </w:r>
      <w:r w:rsidRPr="00453423">
        <w:rPr>
          <w:sz w:val="16"/>
          <w:szCs w:val="16"/>
          <w:lang w:val="es-MX"/>
        </w:rPr>
        <w:t xml:space="preserve">por el perito </w:t>
      </w:r>
      <w:r>
        <w:rPr>
          <w:sz w:val="16"/>
          <w:szCs w:val="16"/>
          <w:lang w:val="es-MX"/>
        </w:rPr>
        <w:t xml:space="preserve">Caligráfico Público Nacional </w:t>
      </w:r>
      <w:r w:rsidRPr="00453423">
        <w:rPr>
          <w:sz w:val="16"/>
          <w:szCs w:val="16"/>
          <w:lang w:val="es-MX"/>
        </w:rPr>
        <w:t>José María Buitrago, de fecha 26 de diciembre de 2016 (</w:t>
      </w:r>
      <w:r w:rsidRPr="00E279BB">
        <w:rPr>
          <w:sz w:val="16"/>
          <w:szCs w:val="16"/>
        </w:rPr>
        <w:t>expediente de prueba, anexo 13 de</w:t>
      </w:r>
      <w:r>
        <w:rPr>
          <w:sz w:val="16"/>
          <w:szCs w:val="16"/>
        </w:rPr>
        <w:t>l escrito de solicitudes y argumentos</w:t>
      </w:r>
      <w:r w:rsidRPr="00E279BB">
        <w:rPr>
          <w:sz w:val="16"/>
          <w:szCs w:val="16"/>
        </w:rPr>
        <w:t>, f. 3225)</w:t>
      </w:r>
    </w:p>
  </w:footnote>
  <w:footnote w:id="41">
    <w:p w14:paraId="01D53A00" w14:textId="21D7BE41" w:rsidR="003C025E" w:rsidRPr="00C27894" w:rsidRDefault="003C025E" w:rsidP="00E22B60">
      <w:pPr>
        <w:pStyle w:val="FootnoteText"/>
        <w:ind w:right="-360"/>
        <w:rPr>
          <w:sz w:val="16"/>
          <w:szCs w:val="16"/>
          <w:lang w:val="es-CR"/>
        </w:rPr>
      </w:pPr>
      <w:r w:rsidRPr="00CA4E71">
        <w:rPr>
          <w:rStyle w:val="FootnoteReference"/>
          <w:rFonts w:eastAsia="MS Mincho"/>
          <w:sz w:val="16"/>
          <w:szCs w:val="16"/>
        </w:rPr>
        <w:footnoteRef/>
      </w:r>
      <w:r w:rsidRPr="00CA4E71">
        <w:rPr>
          <w:sz w:val="16"/>
          <w:szCs w:val="16"/>
        </w:rPr>
        <w:t xml:space="preserve"> </w:t>
      </w:r>
      <w:r w:rsidRPr="00CA4E71">
        <w:rPr>
          <w:sz w:val="16"/>
          <w:szCs w:val="16"/>
        </w:rPr>
        <w:tab/>
      </w:r>
      <w:r w:rsidRPr="004D2BDB">
        <w:rPr>
          <w:sz w:val="16"/>
          <w:szCs w:val="16"/>
        </w:rPr>
        <w:t xml:space="preserve">Al respecto, el Estado en su contestación reconoció que el supuesto consentimiento por parte de los familiares que se encuentra en el expediente médico </w:t>
      </w:r>
      <w:r>
        <w:rPr>
          <w:sz w:val="16"/>
          <w:szCs w:val="16"/>
        </w:rPr>
        <w:t xml:space="preserve">“[…] </w:t>
      </w:r>
      <w:r w:rsidRPr="00DB5AA5">
        <w:rPr>
          <w:sz w:val="16"/>
          <w:szCs w:val="16"/>
          <w:lang w:val="es-MX"/>
        </w:rPr>
        <w:t xml:space="preserve">plantea dudas sobre </w:t>
      </w:r>
      <w:r>
        <w:rPr>
          <w:sz w:val="16"/>
          <w:szCs w:val="16"/>
          <w:lang w:val="es-MX"/>
        </w:rPr>
        <w:t>l</w:t>
      </w:r>
      <w:r w:rsidRPr="00C64243">
        <w:rPr>
          <w:sz w:val="16"/>
          <w:szCs w:val="16"/>
          <w:lang w:val="es-MX"/>
        </w:rPr>
        <w:t>a manera en que fue obtenido y su autenticidad</w:t>
      </w:r>
      <w:r>
        <w:rPr>
          <w:sz w:val="16"/>
          <w:szCs w:val="16"/>
        </w:rPr>
        <w:t xml:space="preserve">” (expediente de fondo, </w:t>
      </w:r>
      <w:proofErr w:type="spellStart"/>
      <w:r w:rsidRPr="00CA4E71">
        <w:rPr>
          <w:sz w:val="16"/>
          <w:szCs w:val="16"/>
        </w:rPr>
        <w:t>f</w:t>
      </w:r>
      <w:r>
        <w:rPr>
          <w:sz w:val="16"/>
          <w:szCs w:val="16"/>
        </w:rPr>
        <w:t>f</w:t>
      </w:r>
      <w:proofErr w:type="spellEnd"/>
      <w:r w:rsidRPr="00CA4E71">
        <w:rPr>
          <w:sz w:val="16"/>
          <w:szCs w:val="16"/>
        </w:rPr>
        <w:t>. 380</w:t>
      </w:r>
      <w:r>
        <w:rPr>
          <w:sz w:val="16"/>
          <w:szCs w:val="16"/>
        </w:rPr>
        <w:t xml:space="preserve"> a 381)</w:t>
      </w:r>
      <w:r w:rsidRPr="00CA4E71">
        <w:rPr>
          <w:sz w:val="16"/>
          <w:szCs w:val="16"/>
        </w:rPr>
        <w:t>.</w:t>
      </w:r>
    </w:p>
  </w:footnote>
  <w:footnote w:id="42">
    <w:p w14:paraId="6C1EB883" w14:textId="5317B8D2" w:rsidR="003C025E" w:rsidRPr="00C64243" w:rsidRDefault="003C025E" w:rsidP="00E22B60">
      <w:pPr>
        <w:pStyle w:val="FootnoteText"/>
        <w:ind w:right="-360"/>
        <w:rPr>
          <w:sz w:val="16"/>
          <w:szCs w:val="16"/>
        </w:rPr>
      </w:pPr>
      <w:r w:rsidRPr="00C64243">
        <w:rPr>
          <w:rStyle w:val="FootnoteReference"/>
          <w:sz w:val="16"/>
          <w:szCs w:val="16"/>
        </w:rPr>
        <w:footnoteRef/>
      </w:r>
      <w:r w:rsidRPr="00C64243">
        <w:rPr>
          <w:sz w:val="16"/>
          <w:szCs w:val="16"/>
        </w:rPr>
        <w:t xml:space="preserve"> </w:t>
      </w:r>
      <w:r>
        <w:rPr>
          <w:sz w:val="16"/>
          <w:szCs w:val="16"/>
        </w:rPr>
        <w:tab/>
      </w:r>
      <w:r w:rsidRPr="00062586">
        <w:rPr>
          <w:i/>
          <w:sz w:val="16"/>
          <w:szCs w:val="16"/>
        </w:rPr>
        <w:t>Cfr.</w:t>
      </w:r>
      <w:r>
        <w:rPr>
          <w:i/>
          <w:sz w:val="16"/>
          <w:szCs w:val="16"/>
        </w:rPr>
        <w:t xml:space="preserve"> </w:t>
      </w:r>
      <w:r w:rsidRPr="00C64243">
        <w:rPr>
          <w:sz w:val="16"/>
          <w:szCs w:val="16"/>
          <w:lang w:val="es-MX"/>
        </w:rPr>
        <w:t xml:space="preserve">Declaración del señor Vinicio Marco Antonio Poblete Tapia ante la Corte en la audiencia pública del 19 de octubre de 2017, </w:t>
      </w:r>
      <w:r w:rsidRPr="00062586">
        <w:rPr>
          <w:i/>
          <w:sz w:val="16"/>
          <w:szCs w:val="16"/>
          <w:lang w:val="es-MX"/>
        </w:rPr>
        <w:t>supra</w:t>
      </w:r>
      <w:r w:rsidRPr="00C64243">
        <w:rPr>
          <w:sz w:val="16"/>
          <w:szCs w:val="16"/>
          <w:lang w:val="es-MX"/>
        </w:rPr>
        <w:t>, pág</w:t>
      </w:r>
      <w:r>
        <w:rPr>
          <w:sz w:val="16"/>
          <w:szCs w:val="16"/>
          <w:lang w:val="es-MX"/>
        </w:rPr>
        <w:t>s</w:t>
      </w:r>
      <w:r w:rsidRPr="00C64243">
        <w:rPr>
          <w:sz w:val="16"/>
          <w:szCs w:val="16"/>
          <w:lang w:val="es-MX"/>
        </w:rPr>
        <w:t xml:space="preserve">. </w:t>
      </w:r>
      <w:r>
        <w:rPr>
          <w:sz w:val="16"/>
          <w:szCs w:val="16"/>
          <w:lang w:val="es-MX"/>
        </w:rPr>
        <w:t>5 y 14</w:t>
      </w:r>
      <w:r w:rsidRPr="008E0564">
        <w:rPr>
          <w:i/>
          <w:sz w:val="16"/>
          <w:szCs w:val="16"/>
          <w:lang w:val="es-MX"/>
        </w:rPr>
        <w:t>,</w:t>
      </w:r>
      <w:r>
        <w:rPr>
          <w:i/>
          <w:sz w:val="16"/>
          <w:szCs w:val="16"/>
          <w:lang w:val="es-MX"/>
        </w:rPr>
        <w:t xml:space="preserve"> </w:t>
      </w:r>
      <w:r w:rsidRPr="00104155">
        <w:rPr>
          <w:sz w:val="16"/>
          <w:szCs w:val="16"/>
          <w:lang w:val="es-MX"/>
        </w:rPr>
        <w:t xml:space="preserve">Declaración rendida ante fedatario público por </w:t>
      </w:r>
      <w:proofErr w:type="spellStart"/>
      <w:r w:rsidRPr="00104155">
        <w:rPr>
          <w:sz w:val="16"/>
          <w:szCs w:val="16"/>
          <w:lang w:val="es-MX"/>
        </w:rPr>
        <w:t>Cesia</w:t>
      </w:r>
      <w:proofErr w:type="spellEnd"/>
      <w:r w:rsidRPr="00104155">
        <w:rPr>
          <w:sz w:val="16"/>
          <w:szCs w:val="16"/>
          <w:lang w:val="es-MX"/>
        </w:rPr>
        <w:t xml:space="preserve"> Leila Siria Poblete Tapia el 6 de octubre de 2017, </w:t>
      </w:r>
      <w:r w:rsidRPr="00062586">
        <w:rPr>
          <w:i/>
          <w:sz w:val="16"/>
          <w:szCs w:val="16"/>
          <w:lang w:val="es-MX"/>
        </w:rPr>
        <w:t>supra</w:t>
      </w:r>
      <w:r w:rsidRPr="00104155">
        <w:rPr>
          <w:i/>
          <w:sz w:val="16"/>
          <w:szCs w:val="16"/>
          <w:lang w:val="es-MX"/>
        </w:rPr>
        <w:t>,</w:t>
      </w:r>
      <w:r>
        <w:rPr>
          <w:sz w:val="16"/>
          <w:szCs w:val="16"/>
          <w:lang w:val="es-MX"/>
        </w:rPr>
        <w:t xml:space="preserve"> (expediente de prueba,  </w:t>
      </w:r>
      <w:proofErr w:type="spellStart"/>
      <w:r w:rsidRPr="00104155">
        <w:rPr>
          <w:sz w:val="16"/>
          <w:szCs w:val="16"/>
          <w:lang w:val="es-MX"/>
        </w:rPr>
        <w:t>ff</w:t>
      </w:r>
      <w:proofErr w:type="spellEnd"/>
      <w:r w:rsidRPr="00104155">
        <w:rPr>
          <w:sz w:val="16"/>
          <w:szCs w:val="16"/>
          <w:lang w:val="es-MX"/>
        </w:rPr>
        <w:t>. 4464 a 4465</w:t>
      </w:r>
      <w:r>
        <w:rPr>
          <w:sz w:val="16"/>
          <w:szCs w:val="16"/>
          <w:lang w:val="es-MX"/>
        </w:rPr>
        <w:t>)</w:t>
      </w:r>
      <w:r w:rsidRPr="00104155">
        <w:rPr>
          <w:sz w:val="16"/>
          <w:szCs w:val="16"/>
          <w:lang w:val="es-MX"/>
        </w:rPr>
        <w:t>,</w:t>
      </w:r>
      <w:r>
        <w:rPr>
          <w:sz w:val="16"/>
          <w:szCs w:val="16"/>
          <w:lang w:val="es-MX"/>
        </w:rPr>
        <w:t xml:space="preserve"> y </w:t>
      </w:r>
      <w:r w:rsidRPr="008E0564">
        <w:rPr>
          <w:sz w:val="16"/>
          <w:szCs w:val="16"/>
          <w:lang w:val="es-MX"/>
        </w:rPr>
        <w:t xml:space="preserve">Declaración rendida ante fedatario público por Alejandra Marcela Fuentes Poblete el 6 de octubre de 2017, </w:t>
      </w:r>
      <w:r>
        <w:rPr>
          <w:sz w:val="16"/>
          <w:szCs w:val="16"/>
          <w:lang w:val="es-MX"/>
        </w:rPr>
        <w:t xml:space="preserve">(expediente de prueba </w:t>
      </w:r>
      <w:proofErr w:type="spellStart"/>
      <w:r w:rsidRPr="008E0564">
        <w:rPr>
          <w:sz w:val="16"/>
          <w:szCs w:val="16"/>
          <w:lang w:val="es-MX"/>
        </w:rPr>
        <w:t>f</w:t>
      </w:r>
      <w:r>
        <w:rPr>
          <w:sz w:val="16"/>
          <w:szCs w:val="16"/>
          <w:lang w:val="es-MX"/>
        </w:rPr>
        <w:t>f</w:t>
      </w:r>
      <w:proofErr w:type="spellEnd"/>
      <w:r>
        <w:rPr>
          <w:sz w:val="16"/>
          <w:szCs w:val="16"/>
          <w:lang w:val="es-MX"/>
        </w:rPr>
        <w:t xml:space="preserve">. 4471 a 4472). </w:t>
      </w:r>
    </w:p>
  </w:footnote>
  <w:footnote w:id="43">
    <w:p w14:paraId="7199615D" w14:textId="501A4181" w:rsidR="003C025E" w:rsidRPr="00C27894" w:rsidRDefault="003C025E" w:rsidP="00E22B60">
      <w:pPr>
        <w:pStyle w:val="FootnoteText"/>
        <w:ind w:right="-360"/>
        <w:rPr>
          <w:sz w:val="16"/>
          <w:szCs w:val="16"/>
          <w:lang w:val="es-MX"/>
        </w:rPr>
      </w:pPr>
      <w:r w:rsidRPr="00C27894">
        <w:rPr>
          <w:rStyle w:val="FootnoteReference"/>
          <w:rFonts w:eastAsia="MS Mincho"/>
          <w:sz w:val="16"/>
          <w:szCs w:val="16"/>
        </w:rPr>
        <w:footnoteRef/>
      </w:r>
      <w:r w:rsidRPr="00C27894">
        <w:rPr>
          <w:sz w:val="16"/>
          <w:szCs w:val="16"/>
        </w:rPr>
        <w:t xml:space="preserve"> </w:t>
      </w:r>
      <w:r w:rsidRPr="00C27894">
        <w:rPr>
          <w:sz w:val="16"/>
          <w:szCs w:val="16"/>
        </w:rPr>
        <w:tab/>
      </w:r>
      <w:r w:rsidRPr="00062586">
        <w:rPr>
          <w:i/>
          <w:sz w:val="16"/>
          <w:szCs w:val="16"/>
        </w:rPr>
        <w:t>Cfr.</w:t>
      </w:r>
      <w:r>
        <w:rPr>
          <w:i/>
          <w:sz w:val="16"/>
          <w:szCs w:val="16"/>
        </w:rPr>
        <w:t xml:space="preserve"> </w:t>
      </w:r>
      <w:r w:rsidRPr="00C64243">
        <w:rPr>
          <w:sz w:val="16"/>
          <w:szCs w:val="16"/>
          <w:lang w:val="es-MX"/>
        </w:rPr>
        <w:t>Declaración del señor Vinicio Marco Antonio Poblete Tapia ante la Corte en la audiencia pública del 19 de octubre de 2017,</w:t>
      </w:r>
      <w:r w:rsidRPr="002704AA">
        <w:rPr>
          <w:i/>
          <w:sz w:val="16"/>
          <w:szCs w:val="16"/>
          <w:lang w:val="es-MX"/>
        </w:rPr>
        <w:t xml:space="preserve"> </w:t>
      </w:r>
      <w:r w:rsidRPr="00062586">
        <w:rPr>
          <w:i/>
          <w:sz w:val="16"/>
          <w:szCs w:val="16"/>
          <w:lang w:val="es-MX"/>
        </w:rPr>
        <w:t>supra</w:t>
      </w:r>
      <w:r w:rsidRPr="002704AA">
        <w:rPr>
          <w:i/>
          <w:sz w:val="16"/>
          <w:szCs w:val="16"/>
          <w:lang w:val="es-MX"/>
        </w:rPr>
        <w:t xml:space="preserve">, </w:t>
      </w:r>
      <w:r w:rsidRPr="00C64243">
        <w:rPr>
          <w:sz w:val="16"/>
          <w:szCs w:val="16"/>
          <w:lang w:val="es-MX"/>
        </w:rPr>
        <w:t>pág</w:t>
      </w:r>
      <w:r>
        <w:rPr>
          <w:sz w:val="16"/>
          <w:szCs w:val="16"/>
          <w:lang w:val="es-MX"/>
        </w:rPr>
        <w:t>s</w:t>
      </w:r>
      <w:r w:rsidRPr="002704AA">
        <w:rPr>
          <w:sz w:val="16"/>
          <w:szCs w:val="16"/>
          <w:lang w:val="es-MX"/>
        </w:rPr>
        <w:t xml:space="preserve">. </w:t>
      </w:r>
      <w:r>
        <w:rPr>
          <w:sz w:val="16"/>
          <w:szCs w:val="16"/>
          <w:lang w:val="es-MX"/>
        </w:rPr>
        <w:t>5, 8 y 14</w:t>
      </w:r>
      <w:r w:rsidRPr="00C64243">
        <w:rPr>
          <w:sz w:val="16"/>
          <w:szCs w:val="16"/>
          <w:lang w:val="es-MX"/>
        </w:rPr>
        <w:t>,</w:t>
      </w:r>
      <w:r w:rsidRPr="002704AA">
        <w:rPr>
          <w:i/>
          <w:sz w:val="16"/>
          <w:szCs w:val="16"/>
          <w:lang w:val="es-MX"/>
        </w:rPr>
        <w:t xml:space="preserve"> </w:t>
      </w:r>
      <w:r w:rsidRPr="00C27894">
        <w:rPr>
          <w:sz w:val="16"/>
          <w:szCs w:val="16"/>
          <w:lang w:val="es-MX"/>
        </w:rPr>
        <w:t xml:space="preserve">Declaración rendida ante fedatario público por </w:t>
      </w:r>
      <w:proofErr w:type="spellStart"/>
      <w:r w:rsidRPr="00C27894">
        <w:rPr>
          <w:sz w:val="16"/>
          <w:szCs w:val="16"/>
          <w:lang w:val="es-MX"/>
        </w:rPr>
        <w:t>Cesia</w:t>
      </w:r>
      <w:proofErr w:type="spellEnd"/>
      <w:r w:rsidRPr="00C27894">
        <w:rPr>
          <w:sz w:val="16"/>
          <w:szCs w:val="16"/>
          <w:lang w:val="es-MX"/>
        </w:rPr>
        <w:t xml:space="preserve"> Leila Siria Poblete Tapia el 6 de octubre de 2017,</w:t>
      </w:r>
      <w:r>
        <w:rPr>
          <w:sz w:val="16"/>
          <w:szCs w:val="16"/>
          <w:lang w:val="es-MX"/>
        </w:rPr>
        <w:t xml:space="preserve"> </w:t>
      </w:r>
      <w:r w:rsidRPr="00062586">
        <w:rPr>
          <w:i/>
          <w:sz w:val="16"/>
          <w:szCs w:val="16"/>
          <w:lang w:val="es-MX"/>
        </w:rPr>
        <w:t>supra</w:t>
      </w:r>
      <w:r>
        <w:rPr>
          <w:i/>
          <w:sz w:val="16"/>
          <w:szCs w:val="16"/>
          <w:lang w:val="es-MX"/>
        </w:rPr>
        <w:t>,</w:t>
      </w:r>
      <w:r>
        <w:rPr>
          <w:sz w:val="16"/>
          <w:szCs w:val="16"/>
          <w:lang w:val="es-MX"/>
        </w:rPr>
        <w:t xml:space="preserve"> (expediente de prueba,</w:t>
      </w:r>
      <w:r w:rsidRPr="00C27894">
        <w:rPr>
          <w:sz w:val="16"/>
          <w:szCs w:val="16"/>
          <w:lang w:val="es-MX"/>
        </w:rPr>
        <w:t xml:space="preserve"> f</w:t>
      </w:r>
      <w:r>
        <w:rPr>
          <w:sz w:val="16"/>
          <w:szCs w:val="16"/>
          <w:lang w:val="es-MX"/>
        </w:rPr>
        <w:t xml:space="preserve">. </w:t>
      </w:r>
      <w:r w:rsidRPr="00C27894">
        <w:rPr>
          <w:sz w:val="16"/>
          <w:szCs w:val="16"/>
          <w:lang w:val="es-MX"/>
        </w:rPr>
        <w:t>4465</w:t>
      </w:r>
      <w:r>
        <w:rPr>
          <w:sz w:val="16"/>
          <w:szCs w:val="16"/>
          <w:lang w:val="es-MX"/>
        </w:rPr>
        <w:t>),</w:t>
      </w:r>
      <w:r w:rsidRPr="00C27894">
        <w:rPr>
          <w:sz w:val="16"/>
          <w:szCs w:val="16"/>
          <w:lang w:val="es-MX"/>
        </w:rPr>
        <w:t xml:space="preserve"> </w:t>
      </w:r>
      <w:r>
        <w:rPr>
          <w:sz w:val="16"/>
          <w:szCs w:val="16"/>
          <w:lang w:val="es-MX"/>
        </w:rPr>
        <w:t xml:space="preserve">y </w:t>
      </w:r>
      <w:r w:rsidRPr="00C27894">
        <w:rPr>
          <w:sz w:val="16"/>
          <w:szCs w:val="16"/>
          <w:lang w:val="es-MX"/>
        </w:rPr>
        <w:t>Declaración rendida ante fedatario público por Alejandra Marcela Fuentes Poblete el 6 de octubre de 2017</w:t>
      </w:r>
      <w:r>
        <w:rPr>
          <w:sz w:val="16"/>
          <w:szCs w:val="16"/>
          <w:lang w:val="es-MX"/>
        </w:rPr>
        <w:t xml:space="preserve">, </w:t>
      </w:r>
      <w:r w:rsidRPr="00062586">
        <w:rPr>
          <w:i/>
          <w:sz w:val="16"/>
          <w:szCs w:val="16"/>
          <w:lang w:val="es-MX"/>
        </w:rPr>
        <w:t>supra</w:t>
      </w:r>
      <w:r w:rsidRPr="00C27894">
        <w:rPr>
          <w:sz w:val="16"/>
          <w:szCs w:val="16"/>
          <w:lang w:val="es-MX"/>
        </w:rPr>
        <w:t xml:space="preserve">, </w:t>
      </w:r>
      <w:r>
        <w:rPr>
          <w:sz w:val="16"/>
          <w:szCs w:val="16"/>
          <w:lang w:val="es-MX"/>
        </w:rPr>
        <w:t xml:space="preserve">(expediente de prueba </w:t>
      </w:r>
      <w:r w:rsidRPr="00C27894">
        <w:rPr>
          <w:sz w:val="16"/>
          <w:szCs w:val="16"/>
          <w:lang w:val="es-MX"/>
        </w:rPr>
        <w:t>f</w:t>
      </w:r>
      <w:r>
        <w:rPr>
          <w:sz w:val="16"/>
          <w:szCs w:val="16"/>
          <w:lang w:val="es-MX"/>
        </w:rPr>
        <w:t>.</w:t>
      </w:r>
      <w:r w:rsidRPr="00C27894">
        <w:rPr>
          <w:sz w:val="16"/>
          <w:szCs w:val="16"/>
          <w:lang w:val="es-MX"/>
        </w:rPr>
        <w:t xml:space="preserve"> 4472</w:t>
      </w:r>
      <w:r>
        <w:rPr>
          <w:sz w:val="16"/>
          <w:szCs w:val="16"/>
          <w:lang w:val="es-MX"/>
        </w:rPr>
        <w:t>).</w:t>
      </w:r>
    </w:p>
  </w:footnote>
  <w:footnote w:id="44">
    <w:p w14:paraId="24393395" w14:textId="77777777" w:rsidR="003C025E" w:rsidRPr="00C27894" w:rsidRDefault="003C025E" w:rsidP="00E22B60">
      <w:pPr>
        <w:pStyle w:val="FootnoteText"/>
        <w:ind w:right="-360"/>
        <w:rPr>
          <w:sz w:val="16"/>
          <w:szCs w:val="16"/>
          <w:lang w:val="es-MX"/>
        </w:rPr>
      </w:pPr>
      <w:r w:rsidRPr="00C27894">
        <w:rPr>
          <w:rStyle w:val="FootnoteReference"/>
          <w:rFonts w:eastAsia="MS Mincho"/>
          <w:sz w:val="16"/>
          <w:szCs w:val="16"/>
        </w:rPr>
        <w:footnoteRef/>
      </w:r>
      <w:r w:rsidRPr="00C27894">
        <w:rPr>
          <w:sz w:val="16"/>
          <w:szCs w:val="16"/>
        </w:rPr>
        <w:t xml:space="preserve"> </w:t>
      </w:r>
      <w:r w:rsidRPr="00C27894">
        <w:rPr>
          <w:sz w:val="16"/>
          <w:szCs w:val="16"/>
        </w:rPr>
        <w:tab/>
      </w:r>
      <w:r w:rsidRPr="00062586">
        <w:rPr>
          <w:i/>
          <w:sz w:val="16"/>
          <w:szCs w:val="16"/>
        </w:rPr>
        <w:t>Cfr.</w:t>
      </w:r>
      <w:r>
        <w:rPr>
          <w:i/>
          <w:sz w:val="16"/>
          <w:szCs w:val="16"/>
        </w:rPr>
        <w:t xml:space="preserve"> </w:t>
      </w:r>
      <w:r w:rsidRPr="00C64243">
        <w:rPr>
          <w:sz w:val="16"/>
          <w:szCs w:val="16"/>
          <w:lang w:val="es-MX"/>
        </w:rPr>
        <w:t>Declaración del señor Vinicio Marco Antonio Poblete Tapia ante la Corte en la audiencia pública del 19 de octubre de 2017,</w:t>
      </w:r>
      <w:r w:rsidRPr="00557399">
        <w:rPr>
          <w:i/>
          <w:sz w:val="16"/>
          <w:szCs w:val="16"/>
          <w:lang w:val="es-MX"/>
        </w:rPr>
        <w:t xml:space="preserve"> </w:t>
      </w:r>
      <w:r w:rsidRPr="00062586">
        <w:rPr>
          <w:i/>
          <w:sz w:val="16"/>
          <w:szCs w:val="16"/>
          <w:lang w:val="es-MX"/>
        </w:rPr>
        <w:t>supra</w:t>
      </w:r>
      <w:r w:rsidRPr="00557399">
        <w:rPr>
          <w:i/>
          <w:sz w:val="16"/>
          <w:szCs w:val="16"/>
          <w:lang w:val="es-MX"/>
        </w:rPr>
        <w:t xml:space="preserve">, </w:t>
      </w:r>
      <w:r w:rsidRPr="00C64243">
        <w:rPr>
          <w:sz w:val="16"/>
          <w:szCs w:val="16"/>
          <w:lang w:val="es-MX"/>
        </w:rPr>
        <w:t>págs.</w:t>
      </w:r>
      <w:r>
        <w:rPr>
          <w:sz w:val="16"/>
          <w:szCs w:val="16"/>
          <w:lang w:val="es-MX"/>
        </w:rPr>
        <w:t xml:space="preserve"> 2 y </w:t>
      </w:r>
      <w:r w:rsidRPr="00C64243">
        <w:rPr>
          <w:sz w:val="16"/>
          <w:szCs w:val="16"/>
          <w:lang w:val="es-MX"/>
        </w:rPr>
        <w:t>5,</w:t>
      </w:r>
      <w:r w:rsidRPr="00557399">
        <w:rPr>
          <w:i/>
          <w:sz w:val="16"/>
          <w:szCs w:val="16"/>
          <w:lang w:val="es-MX"/>
        </w:rPr>
        <w:t xml:space="preserve"> </w:t>
      </w:r>
      <w:r w:rsidRPr="00C27894">
        <w:rPr>
          <w:sz w:val="16"/>
          <w:szCs w:val="16"/>
          <w:lang w:val="es-MX"/>
        </w:rPr>
        <w:t xml:space="preserve">Declaración rendida ante fedatario público por </w:t>
      </w:r>
      <w:proofErr w:type="spellStart"/>
      <w:r w:rsidRPr="00C27894">
        <w:rPr>
          <w:sz w:val="16"/>
          <w:szCs w:val="16"/>
          <w:lang w:val="es-MX"/>
        </w:rPr>
        <w:t>Cesia</w:t>
      </w:r>
      <w:proofErr w:type="spellEnd"/>
      <w:r w:rsidRPr="00C27894">
        <w:rPr>
          <w:sz w:val="16"/>
          <w:szCs w:val="16"/>
          <w:lang w:val="es-MX"/>
        </w:rPr>
        <w:t xml:space="preserve"> Leila Siria Poblete Tapia el 6 de octubre de 2017,</w:t>
      </w:r>
      <w:r>
        <w:rPr>
          <w:sz w:val="16"/>
          <w:szCs w:val="16"/>
          <w:lang w:val="es-MX"/>
        </w:rPr>
        <w:t xml:space="preserve"> </w:t>
      </w:r>
      <w:r w:rsidRPr="00062586">
        <w:rPr>
          <w:i/>
          <w:sz w:val="16"/>
          <w:szCs w:val="16"/>
          <w:lang w:val="es-MX"/>
        </w:rPr>
        <w:t>supra</w:t>
      </w:r>
      <w:r>
        <w:rPr>
          <w:i/>
          <w:sz w:val="16"/>
          <w:szCs w:val="16"/>
          <w:lang w:val="es-MX"/>
        </w:rPr>
        <w:t xml:space="preserve">, </w:t>
      </w:r>
      <w:r w:rsidRPr="00C27894">
        <w:rPr>
          <w:sz w:val="16"/>
          <w:szCs w:val="16"/>
          <w:lang w:val="es-MX"/>
        </w:rPr>
        <w:t>f</w:t>
      </w:r>
      <w:r>
        <w:rPr>
          <w:sz w:val="16"/>
          <w:szCs w:val="16"/>
          <w:lang w:val="es-MX"/>
        </w:rPr>
        <w:t>.</w:t>
      </w:r>
      <w:r w:rsidRPr="00C27894">
        <w:rPr>
          <w:sz w:val="16"/>
          <w:szCs w:val="16"/>
          <w:lang w:val="es-MX"/>
        </w:rPr>
        <w:t xml:space="preserve"> 4465</w:t>
      </w:r>
      <w:r>
        <w:rPr>
          <w:sz w:val="16"/>
          <w:szCs w:val="16"/>
          <w:lang w:val="es-MX"/>
        </w:rPr>
        <w:t xml:space="preserve">, </w:t>
      </w:r>
      <w:r w:rsidRPr="004E669C">
        <w:rPr>
          <w:sz w:val="16"/>
          <w:szCs w:val="16"/>
          <w:lang w:val="es-MX"/>
        </w:rPr>
        <w:t xml:space="preserve">y Declaración rendida ante fedatario público por Alejandra Marcela Fuentes Poblete el 6 de octubre de 2017, </w:t>
      </w:r>
      <w:r w:rsidRPr="00062586">
        <w:rPr>
          <w:i/>
          <w:sz w:val="16"/>
          <w:szCs w:val="16"/>
          <w:lang w:val="es-MX"/>
        </w:rPr>
        <w:t>supra</w:t>
      </w:r>
      <w:r w:rsidRPr="004E669C">
        <w:rPr>
          <w:sz w:val="16"/>
          <w:szCs w:val="16"/>
          <w:lang w:val="es-MX"/>
        </w:rPr>
        <w:t>, f.</w:t>
      </w:r>
      <w:r>
        <w:rPr>
          <w:sz w:val="16"/>
          <w:szCs w:val="16"/>
          <w:lang w:val="es-MX"/>
        </w:rPr>
        <w:t xml:space="preserve"> 4471</w:t>
      </w:r>
      <w:r w:rsidRPr="004E669C">
        <w:rPr>
          <w:sz w:val="16"/>
          <w:szCs w:val="16"/>
          <w:lang w:val="es-MX"/>
        </w:rPr>
        <w:t>.</w:t>
      </w:r>
    </w:p>
  </w:footnote>
  <w:footnote w:id="45">
    <w:p w14:paraId="417CAC47" w14:textId="1A4FDD50" w:rsidR="003C025E" w:rsidRPr="000214BA" w:rsidRDefault="003C025E" w:rsidP="00E22B60">
      <w:pPr>
        <w:pStyle w:val="FootnoteText"/>
        <w:ind w:right="-360"/>
        <w:rPr>
          <w:sz w:val="16"/>
          <w:szCs w:val="16"/>
          <w:lang w:val="es-MX"/>
        </w:rPr>
      </w:pPr>
      <w:r w:rsidRPr="00C27894">
        <w:rPr>
          <w:rStyle w:val="FootnoteReference"/>
          <w:rFonts w:eastAsia="MS Mincho"/>
          <w:sz w:val="16"/>
          <w:szCs w:val="16"/>
        </w:rPr>
        <w:footnoteRef/>
      </w:r>
      <w:r w:rsidRPr="00C27894">
        <w:rPr>
          <w:sz w:val="16"/>
          <w:szCs w:val="16"/>
        </w:rPr>
        <w:t xml:space="preserve"> </w:t>
      </w:r>
      <w:r w:rsidRPr="00C27894">
        <w:rPr>
          <w:sz w:val="16"/>
          <w:szCs w:val="16"/>
        </w:rPr>
        <w:tab/>
      </w:r>
      <w:r w:rsidRPr="00C27894">
        <w:rPr>
          <w:sz w:val="16"/>
          <w:szCs w:val="16"/>
          <w:lang w:val="es-MX"/>
        </w:rPr>
        <w:t xml:space="preserve">Declaración rendida ante fedatario público por Sandra Castillo </w:t>
      </w:r>
      <w:proofErr w:type="spellStart"/>
      <w:r w:rsidRPr="00C27894">
        <w:rPr>
          <w:sz w:val="16"/>
          <w:szCs w:val="16"/>
          <w:lang w:val="es-MX"/>
        </w:rPr>
        <w:t>Mont</w:t>
      </w:r>
      <w:r>
        <w:rPr>
          <w:sz w:val="16"/>
          <w:szCs w:val="16"/>
          <w:lang w:val="es-MX"/>
        </w:rPr>
        <w:t>ú</w:t>
      </w:r>
      <w:r w:rsidRPr="00C27894">
        <w:rPr>
          <w:sz w:val="16"/>
          <w:szCs w:val="16"/>
          <w:lang w:val="es-MX"/>
        </w:rPr>
        <w:t>far</w:t>
      </w:r>
      <w:proofErr w:type="spellEnd"/>
      <w:r w:rsidRPr="00C27894">
        <w:rPr>
          <w:sz w:val="16"/>
          <w:szCs w:val="16"/>
          <w:lang w:val="es-MX"/>
        </w:rPr>
        <w:t xml:space="preserve"> el 11 de octubre de 2017, </w:t>
      </w:r>
      <w:r w:rsidRPr="00062586">
        <w:rPr>
          <w:i/>
          <w:sz w:val="16"/>
          <w:szCs w:val="16"/>
          <w:lang w:val="es-MX"/>
        </w:rPr>
        <w:t>supra</w:t>
      </w:r>
      <w:r>
        <w:rPr>
          <w:i/>
          <w:sz w:val="16"/>
          <w:szCs w:val="16"/>
          <w:lang w:val="es-MX"/>
        </w:rPr>
        <w:t>,</w:t>
      </w:r>
      <w:r>
        <w:rPr>
          <w:sz w:val="16"/>
          <w:szCs w:val="16"/>
          <w:lang w:val="es-MX"/>
        </w:rPr>
        <w:t xml:space="preserve"> (expediente de prueba,</w:t>
      </w:r>
      <w:r>
        <w:rPr>
          <w:i/>
          <w:sz w:val="16"/>
          <w:szCs w:val="16"/>
          <w:lang w:val="es-MX"/>
        </w:rPr>
        <w:t xml:space="preserve"> </w:t>
      </w:r>
      <w:r w:rsidRPr="00C27894">
        <w:rPr>
          <w:sz w:val="16"/>
          <w:szCs w:val="16"/>
          <w:lang w:val="es-MX"/>
        </w:rPr>
        <w:t>f</w:t>
      </w:r>
      <w:r>
        <w:rPr>
          <w:sz w:val="16"/>
          <w:szCs w:val="16"/>
          <w:lang w:val="es-MX"/>
        </w:rPr>
        <w:t>.</w:t>
      </w:r>
      <w:r w:rsidRPr="00C27894">
        <w:rPr>
          <w:sz w:val="16"/>
          <w:szCs w:val="16"/>
          <w:lang w:val="es-MX"/>
        </w:rPr>
        <w:t xml:space="preserve"> 4475</w:t>
      </w:r>
      <w:r>
        <w:rPr>
          <w:sz w:val="16"/>
          <w:szCs w:val="16"/>
          <w:lang w:val="es-MX"/>
        </w:rPr>
        <w:t xml:space="preserve">). </w:t>
      </w:r>
      <w:r w:rsidRPr="00062586">
        <w:rPr>
          <w:i/>
          <w:sz w:val="16"/>
          <w:szCs w:val="16"/>
        </w:rPr>
        <w:t>Cfr.</w:t>
      </w:r>
      <w:r>
        <w:rPr>
          <w:i/>
          <w:sz w:val="16"/>
          <w:szCs w:val="16"/>
        </w:rPr>
        <w:t xml:space="preserve"> </w:t>
      </w:r>
      <w:r w:rsidRPr="00C27894">
        <w:rPr>
          <w:sz w:val="16"/>
          <w:szCs w:val="16"/>
        </w:rPr>
        <w:t xml:space="preserve">Declaración del señor Vinicio Marco Antonio Poblete Tapia </w:t>
      </w:r>
      <w:r w:rsidRPr="00C27894">
        <w:rPr>
          <w:sz w:val="16"/>
          <w:szCs w:val="16"/>
          <w:lang w:val="es-MX"/>
        </w:rPr>
        <w:t>ante la Corte en la audiencia pública del 19 de octubre de 2017</w:t>
      </w:r>
      <w:r>
        <w:rPr>
          <w:sz w:val="16"/>
          <w:szCs w:val="16"/>
          <w:lang w:val="es-MX"/>
        </w:rPr>
        <w:t>,</w:t>
      </w:r>
      <w:r w:rsidRPr="00C27894">
        <w:rPr>
          <w:sz w:val="16"/>
          <w:szCs w:val="16"/>
          <w:lang w:val="es-MX"/>
        </w:rPr>
        <w:t xml:space="preserve"> </w:t>
      </w:r>
      <w:r w:rsidRPr="00062586">
        <w:rPr>
          <w:i/>
          <w:sz w:val="16"/>
          <w:szCs w:val="16"/>
          <w:lang w:val="es-MX"/>
        </w:rPr>
        <w:t>supra</w:t>
      </w:r>
      <w:r w:rsidRPr="00C27894">
        <w:rPr>
          <w:sz w:val="16"/>
          <w:szCs w:val="16"/>
          <w:lang w:val="es-MX"/>
        </w:rPr>
        <w:t>, pág. 1</w:t>
      </w:r>
      <w:r>
        <w:rPr>
          <w:sz w:val="16"/>
          <w:szCs w:val="16"/>
          <w:lang w:val="es-MX"/>
        </w:rPr>
        <w:t>6, y De</w:t>
      </w:r>
      <w:r w:rsidRPr="004D2BDB">
        <w:rPr>
          <w:sz w:val="16"/>
          <w:szCs w:val="16"/>
          <w:lang w:val="es-MX"/>
        </w:rPr>
        <w:t>claración rendida ante fedatario público por Alejandra Marcela Fuentes Poblete el 6 de octubre de 2017</w:t>
      </w:r>
      <w:r>
        <w:rPr>
          <w:sz w:val="16"/>
          <w:szCs w:val="16"/>
          <w:lang w:val="es-MX"/>
        </w:rPr>
        <w:t xml:space="preserve">, </w:t>
      </w:r>
      <w:r w:rsidRPr="00062586">
        <w:rPr>
          <w:i/>
          <w:sz w:val="16"/>
          <w:szCs w:val="16"/>
          <w:lang w:val="es-MX"/>
        </w:rPr>
        <w:t>supra</w:t>
      </w:r>
      <w:r>
        <w:rPr>
          <w:sz w:val="16"/>
          <w:szCs w:val="16"/>
          <w:lang w:val="es-MX"/>
        </w:rPr>
        <w:t>, (expediente de prueba, f</w:t>
      </w:r>
      <w:r w:rsidRPr="004D2BDB">
        <w:rPr>
          <w:sz w:val="16"/>
          <w:szCs w:val="16"/>
          <w:lang w:val="es-MX"/>
        </w:rPr>
        <w:t>.</w:t>
      </w:r>
      <w:r>
        <w:rPr>
          <w:sz w:val="16"/>
          <w:szCs w:val="16"/>
          <w:lang w:val="es-MX"/>
        </w:rPr>
        <w:t xml:space="preserve"> 4472).</w:t>
      </w:r>
    </w:p>
  </w:footnote>
  <w:footnote w:id="46">
    <w:p w14:paraId="66E9EEC4" w14:textId="25F9E034" w:rsidR="003C025E" w:rsidRPr="004D2BDB"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sidRPr="000214BA">
        <w:rPr>
          <w:sz w:val="16"/>
          <w:szCs w:val="16"/>
          <w:lang w:val="es-MX"/>
        </w:rPr>
        <w:t xml:space="preserve">Declaración rendida ante </w:t>
      </w:r>
      <w:r w:rsidRPr="004D2BDB">
        <w:rPr>
          <w:sz w:val="16"/>
          <w:szCs w:val="16"/>
          <w:lang w:val="es-MX"/>
        </w:rPr>
        <w:t xml:space="preserve">fedatario público por </w:t>
      </w:r>
      <w:proofErr w:type="spellStart"/>
      <w:r w:rsidRPr="004D2BDB">
        <w:rPr>
          <w:sz w:val="16"/>
          <w:szCs w:val="16"/>
          <w:lang w:val="es-MX"/>
        </w:rPr>
        <w:t>Cesia</w:t>
      </w:r>
      <w:proofErr w:type="spellEnd"/>
      <w:r w:rsidRPr="004D2BDB">
        <w:rPr>
          <w:sz w:val="16"/>
          <w:szCs w:val="16"/>
          <w:lang w:val="es-MX"/>
        </w:rPr>
        <w:t xml:space="preserve"> Leila Siria Poblete Tapia el 6 de octubre de 2017 (expediente de prueba, affidávits, folio 4466)</w:t>
      </w:r>
      <w:r>
        <w:rPr>
          <w:sz w:val="16"/>
          <w:szCs w:val="16"/>
          <w:lang w:val="es-MX"/>
        </w:rPr>
        <w:t>.</w:t>
      </w:r>
      <w:r w:rsidRPr="004D2BDB">
        <w:rPr>
          <w:sz w:val="16"/>
          <w:szCs w:val="16"/>
          <w:lang w:val="es-MX"/>
        </w:rPr>
        <w:t xml:space="preserve"> </w:t>
      </w:r>
    </w:p>
  </w:footnote>
  <w:footnote w:id="47">
    <w:p w14:paraId="54D22CEC" w14:textId="7E1AE422" w:rsidR="003C025E" w:rsidRPr="001D69BA" w:rsidRDefault="003C025E" w:rsidP="00E22B60">
      <w:pPr>
        <w:pStyle w:val="FootnoteText"/>
        <w:ind w:right="-360"/>
        <w:rPr>
          <w:i/>
          <w:sz w:val="16"/>
          <w:szCs w:val="16"/>
        </w:rPr>
      </w:pPr>
      <w:r w:rsidRPr="006E4030">
        <w:rPr>
          <w:rStyle w:val="FootnoteReference"/>
          <w:rFonts w:eastAsia="MS Mincho"/>
          <w:sz w:val="16"/>
          <w:szCs w:val="16"/>
        </w:rPr>
        <w:footnoteRef/>
      </w:r>
      <w:r w:rsidRPr="006E4030">
        <w:rPr>
          <w:sz w:val="16"/>
          <w:szCs w:val="16"/>
        </w:rPr>
        <w:t xml:space="preserve"> </w:t>
      </w:r>
      <w:r w:rsidRPr="006E4030">
        <w:rPr>
          <w:sz w:val="16"/>
          <w:szCs w:val="16"/>
        </w:rPr>
        <w:tab/>
      </w:r>
      <w:r w:rsidRPr="008A6348">
        <w:rPr>
          <w:sz w:val="16"/>
          <w:szCs w:val="16"/>
          <w:lang w:val="es-MX"/>
        </w:rPr>
        <w:t xml:space="preserve">Ficha clínica del señor Vinicio Poblete Vilches de 6 de febrero de 2001 (expediente de prueba, f. 815). </w:t>
      </w:r>
    </w:p>
  </w:footnote>
  <w:footnote w:id="48">
    <w:p w14:paraId="1E123E5E" w14:textId="18686456" w:rsidR="003C025E" w:rsidRPr="004D2BDB" w:rsidRDefault="003C025E" w:rsidP="00E22B60">
      <w:pPr>
        <w:pStyle w:val="FootnoteText"/>
        <w:ind w:right="-360"/>
        <w:rPr>
          <w:sz w:val="16"/>
          <w:szCs w:val="16"/>
          <w:lang w:val="es-MX"/>
        </w:rPr>
      </w:pPr>
      <w:r w:rsidRPr="00E279BB">
        <w:rPr>
          <w:rStyle w:val="FootnoteReference"/>
          <w:rFonts w:eastAsia="MS Mincho"/>
          <w:sz w:val="16"/>
          <w:szCs w:val="16"/>
        </w:rPr>
        <w:footnoteRef/>
      </w:r>
      <w:r w:rsidRPr="002E06CD">
        <w:rPr>
          <w:sz w:val="16"/>
          <w:szCs w:val="16"/>
        </w:rPr>
        <w:t xml:space="preserve"> </w:t>
      </w:r>
      <w:r>
        <w:rPr>
          <w:sz w:val="16"/>
          <w:szCs w:val="16"/>
        </w:rPr>
        <w:tab/>
      </w:r>
      <w:r w:rsidRPr="00062586">
        <w:rPr>
          <w:i/>
          <w:sz w:val="16"/>
          <w:szCs w:val="16"/>
        </w:rPr>
        <w:t>Cfr.</w:t>
      </w:r>
      <w:r>
        <w:rPr>
          <w:i/>
          <w:sz w:val="16"/>
          <w:szCs w:val="16"/>
        </w:rPr>
        <w:t xml:space="preserve"> </w:t>
      </w:r>
      <w:r w:rsidRPr="00C27894">
        <w:rPr>
          <w:sz w:val="16"/>
          <w:szCs w:val="16"/>
        </w:rPr>
        <w:t xml:space="preserve">Declaración del señor Vinicio Marco Antonio Poblete Tapia </w:t>
      </w:r>
      <w:r w:rsidRPr="00C27894">
        <w:rPr>
          <w:sz w:val="16"/>
          <w:szCs w:val="16"/>
          <w:lang w:val="es-MX"/>
        </w:rPr>
        <w:t>ante la Corte en la audiencia pública del 19 de octubre de 2017</w:t>
      </w:r>
      <w:r>
        <w:rPr>
          <w:sz w:val="16"/>
          <w:szCs w:val="16"/>
          <w:lang w:val="es-MX"/>
        </w:rPr>
        <w:t xml:space="preserve">, </w:t>
      </w:r>
      <w:r w:rsidRPr="00062586">
        <w:rPr>
          <w:i/>
          <w:sz w:val="16"/>
          <w:szCs w:val="16"/>
          <w:lang w:val="es-MX"/>
        </w:rPr>
        <w:t>supra</w:t>
      </w:r>
      <w:r w:rsidRPr="00C27894">
        <w:rPr>
          <w:sz w:val="16"/>
          <w:szCs w:val="16"/>
          <w:lang w:val="es-MX"/>
        </w:rPr>
        <w:t xml:space="preserve">, </w:t>
      </w:r>
      <w:r>
        <w:rPr>
          <w:sz w:val="16"/>
          <w:szCs w:val="16"/>
          <w:lang w:val="es-MX"/>
        </w:rPr>
        <w:t xml:space="preserve">pág. 5, y </w:t>
      </w:r>
      <w:r w:rsidRPr="006A6E1B">
        <w:rPr>
          <w:sz w:val="16"/>
          <w:szCs w:val="16"/>
          <w:lang w:val="es-MX"/>
        </w:rPr>
        <w:t xml:space="preserve">Declaración rendida ante fedatario público por </w:t>
      </w:r>
      <w:proofErr w:type="spellStart"/>
      <w:r w:rsidRPr="006A6E1B">
        <w:rPr>
          <w:sz w:val="16"/>
          <w:szCs w:val="16"/>
          <w:lang w:val="es-MX"/>
        </w:rPr>
        <w:t>Cesia</w:t>
      </w:r>
      <w:proofErr w:type="spellEnd"/>
      <w:r w:rsidRPr="006A6E1B">
        <w:rPr>
          <w:sz w:val="16"/>
          <w:szCs w:val="16"/>
          <w:lang w:val="es-MX"/>
        </w:rPr>
        <w:t xml:space="preserve"> Leila Siria Poblet</w:t>
      </w:r>
      <w:r>
        <w:rPr>
          <w:sz w:val="16"/>
          <w:szCs w:val="16"/>
          <w:lang w:val="es-MX"/>
        </w:rPr>
        <w:t xml:space="preserve">e Tapia el 6 de octubre de </w:t>
      </w:r>
      <w:r w:rsidRPr="006A6E1B">
        <w:rPr>
          <w:sz w:val="16"/>
          <w:szCs w:val="16"/>
          <w:lang w:val="es-MX"/>
        </w:rPr>
        <w:t>2017</w:t>
      </w:r>
      <w:r w:rsidRPr="00C64243">
        <w:rPr>
          <w:sz w:val="16"/>
          <w:szCs w:val="16"/>
          <w:lang w:val="es-MX"/>
        </w:rPr>
        <w:t>,</w:t>
      </w:r>
      <w:r>
        <w:rPr>
          <w:i/>
          <w:sz w:val="16"/>
          <w:szCs w:val="16"/>
          <w:lang w:val="es-MX"/>
        </w:rPr>
        <w:t xml:space="preserve"> </w:t>
      </w:r>
      <w:r w:rsidRPr="00062586">
        <w:rPr>
          <w:i/>
          <w:sz w:val="16"/>
          <w:szCs w:val="16"/>
          <w:lang w:val="es-MX"/>
        </w:rPr>
        <w:t>supra</w:t>
      </w:r>
      <w:r>
        <w:rPr>
          <w:i/>
          <w:sz w:val="16"/>
          <w:szCs w:val="16"/>
          <w:lang w:val="es-MX"/>
        </w:rPr>
        <w:t xml:space="preserve">, </w:t>
      </w:r>
      <w:r>
        <w:rPr>
          <w:sz w:val="16"/>
          <w:szCs w:val="16"/>
          <w:lang w:val="es-MX"/>
        </w:rPr>
        <w:t xml:space="preserve">f. </w:t>
      </w:r>
      <w:r w:rsidRPr="006A6E1B">
        <w:rPr>
          <w:sz w:val="16"/>
          <w:szCs w:val="16"/>
          <w:lang w:val="es-MX"/>
        </w:rPr>
        <w:t>4466</w:t>
      </w:r>
      <w:r w:rsidRPr="00C27894">
        <w:rPr>
          <w:sz w:val="16"/>
          <w:szCs w:val="16"/>
          <w:lang w:val="es-MX"/>
        </w:rPr>
        <w:t xml:space="preserve">.   </w:t>
      </w:r>
    </w:p>
  </w:footnote>
  <w:footnote w:id="49">
    <w:p w14:paraId="3CEF4D74" w14:textId="77777777" w:rsidR="003C025E" w:rsidRPr="00E6421C" w:rsidRDefault="003C025E" w:rsidP="00E22B60">
      <w:pPr>
        <w:pStyle w:val="FootnoteText"/>
        <w:ind w:right="-360"/>
        <w:rPr>
          <w:sz w:val="16"/>
          <w:szCs w:val="16"/>
          <w:lang w:val="es-MX"/>
        </w:rPr>
      </w:pPr>
      <w:r w:rsidRPr="00630070">
        <w:rPr>
          <w:rStyle w:val="FootnoteReference"/>
          <w:rFonts w:eastAsia="MS Mincho"/>
          <w:sz w:val="16"/>
          <w:szCs w:val="16"/>
        </w:rPr>
        <w:footnoteRef/>
      </w:r>
      <w:r w:rsidRPr="00E5581F">
        <w:rPr>
          <w:sz w:val="16"/>
          <w:szCs w:val="16"/>
        </w:rPr>
        <w:t xml:space="preserve"> </w:t>
      </w:r>
      <w:r w:rsidRPr="00E5581F">
        <w:rPr>
          <w:sz w:val="16"/>
          <w:szCs w:val="16"/>
        </w:rPr>
        <w:tab/>
      </w:r>
      <w:r w:rsidRPr="007F23C5">
        <w:rPr>
          <w:sz w:val="16"/>
          <w:szCs w:val="16"/>
          <w:lang w:val="es-MX"/>
        </w:rPr>
        <w:t>Declaración de Vinicio Marco Antonio Poblete Tapia de 6 de abril de 2006 ante el Primer Juzgado Penal (</w:t>
      </w:r>
      <w:r w:rsidRPr="00BD41AE">
        <w:rPr>
          <w:sz w:val="16"/>
          <w:szCs w:val="16"/>
          <w:lang w:val="es-MX"/>
        </w:rPr>
        <w:t>expediente de prueba, anexo 4 del Informe de Fondo, f. 570</w:t>
      </w:r>
      <w:r>
        <w:rPr>
          <w:sz w:val="16"/>
          <w:szCs w:val="16"/>
          <w:lang w:val="es-MX"/>
        </w:rPr>
        <w:t>).</w:t>
      </w:r>
    </w:p>
  </w:footnote>
  <w:footnote w:id="50">
    <w:p w14:paraId="437B228C" w14:textId="5D9817B9" w:rsidR="003C025E" w:rsidRPr="00BF56F2" w:rsidRDefault="003C025E" w:rsidP="00E22B60">
      <w:pPr>
        <w:pStyle w:val="FootnoteText"/>
        <w:ind w:right="-360"/>
        <w:rPr>
          <w:sz w:val="16"/>
          <w:szCs w:val="16"/>
          <w:lang w:val="es-MX"/>
        </w:rPr>
      </w:pPr>
      <w:r w:rsidRPr="00E6421C">
        <w:rPr>
          <w:rStyle w:val="FootnoteReference"/>
          <w:rFonts w:eastAsia="MS Mincho"/>
          <w:sz w:val="16"/>
          <w:szCs w:val="16"/>
        </w:rPr>
        <w:footnoteRef/>
      </w:r>
      <w:r w:rsidRPr="00E6421C">
        <w:rPr>
          <w:sz w:val="16"/>
          <w:szCs w:val="16"/>
        </w:rPr>
        <w:t xml:space="preserve"> </w:t>
      </w:r>
      <w:r w:rsidRPr="00E6421C">
        <w:rPr>
          <w:sz w:val="16"/>
          <w:szCs w:val="16"/>
        </w:rPr>
        <w:tab/>
      </w:r>
      <w:r w:rsidRPr="00062586">
        <w:rPr>
          <w:i/>
          <w:sz w:val="16"/>
          <w:szCs w:val="16"/>
        </w:rPr>
        <w:t>Cfr.</w:t>
      </w:r>
      <w:r>
        <w:rPr>
          <w:sz w:val="16"/>
          <w:szCs w:val="16"/>
        </w:rPr>
        <w:t xml:space="preserve"> </w:t>
      </w:r>
      <w:r w:rsidRPr="00E6421C">
        <w:rPr>
          <w:sz w:val="16"/>
          <w:szCs w:val="16"/>
          <w:lang w:val="es-MX"/>
        </w:rPr>
        <w:t xml:space="preserve">Declaración rendida ante fedatario público por </w:t>
      </w:r>
      <w:proofErr w:type="spellStart"/>
      <w:r w:rsidRPr="00E6421C">
        <w:rPr>
          <w:sz w:val="16"/>
          <w:szCs w:val="16"/>
          <w:lang w:val="es-MX"/>
        </w:rPr>
        <w:t>Cesia</w:t>
      </w:r>
      <w:proofErr w:type="spellEnd"/>
      <w:r w:rsidRPr="00E6421C">
        <w:rPr>
          <w:sz w:val="16"/>
          <w:szCs w:val="16"/>
          <w:lang w:val="es-MX"/>
        </w:rPr>
        <w:t xml:space="preserve"> Leila Siria Poblete Tapia el 6 de octubre de 2017</w:t>
      </w:r>
      <w:r>
        <w:rPr>
          <w:sz w:val="16"/>
          <w:szCs w:val="16"/>
          <w:lang w:val="es-MX"/>
        </w:rPr>
        <w:t xml:space="preserve">, </w:t>
      </w:r>
      <w:r w:rsidRPr="00062586">
        <w:rPr>
          <w:i/>
          <w:sz w:val="16"/>
          <w:szCs w:val="16"/>
          <w:lang w:val="es-MX"/>
        </w:rPr>
        <w:t>supra</w:t>
      </w:r>
      <w:r>
        <w:rPr>
          <w:i/>
          <w:sz w:val="16"/>
          <w:szCs w:val="16"/>
          <w:lang w:val="es-MX"/>
        </w:rPr>
        <w:t>,</w:t>
      </w:r>
      <w:r w:rsidRPr="00E6421C">
        <w:rPr>
          <w:sz w:val="16"/>
          <w:szCs w:val="16"/>
          <w:lang w:val="es-MX"/>
        </w:rPr>
        <w:t xml:space="preserve"> </w:t>
      </w:r>
      <w:r>
        <w:rPr>
          <w:sz w:val="16"/>
          <w:szCs w:val="16"/>
          <w:lang w:val="es-MX"/>
        </w:rPr>
        <w:t xml:space="preserve">(expediente de prueba, </w:t>
      </w:r>
      <w:r w:rsidRPr="00E6421C">
        <w:rPr>
          <w:sz w:val="16"/>
          <w:szCs w:val="16"/>
          <w:lang w:val="es-MX"/>
        </w:rPr>
        <w:t>f</w:t>
      </w:r>
      <w:r>
        <w:rPr>
          <w:sz w:val="16"/>
          <w:szCs w:val="16"/>
          <w:lang w:val="es-MX"/>
        </w:rPr>
        <w:t>.</w:t>
      </w:r>
      <w:r w:rsidRPr="00E6421C">
        <w:rPr>
          <w:sz w:val="16"/>
          <w:szCs w:val="16"/>
          <w:lang w:val="es-MX"/>
        </w:rPr>
        <w:t xml:space="preserve"> 4466</w:t>
      </w:r>
      <w:r>
        <w:rPr>
          <w:sz w:val="16"/>
          <w:szCs w:val="16"/>
          <w:lang w:val="es-MX"/>
        </w:rPr>
        <w:t>).</w:t>
      </w:r>
      <w:r w:rsidRPr="00E6421C">
        <w:rPr>
          <w:sz w:val="16"/>
          <w:szCs w:val="16"/>
          <w:lang w:val="es-MX"/>
        </w:rPr>
        <w:t xml:space="preserve"> </w:t>
      </w:r>
    </w:p>
  </w:footnote>
  <w:footnote w:id="51">
    <w:p w14:paraId="65E932AB" w14:textId="77777777" w:rsidR="003C025E" w:rsidRPr="001C4FBC" w:rsidRDefault="003C025E" w:rsidP="00E22B60">
      <w:pPr>
        <w:pStyle w:val="FootnoteText"/>
        <w:ind w:right="-360"/>
        <w:rPr>
          <w:sz w:val="16"/>
          <w:szCs w:val="16"/>
        </w:rPr>
      </w:pPr>
      <w:r w:rsidRPr="001C4FBC">
        <w:rPr>
          <w:rStyle w:val="FootnoteReference"/>
          <w:rFonts w:eastAsia="MS Mincho"/>
          <w:sz w:val="16"/>
          <w:szCs w:val="16"/>
        </w:rPr>
        <w:footnoteRef/>
      </w:r>
      <w:r w:rsidRPr="001C4FBC">
        <w:rPr>
          <w:sz w:val="16"/>
          <w:szCs w:val="16"/>
        </w:rPr>
        <w:t xml:space="preserve"> </w:t>
      </w:r>
      <w:r w:rsidRPr="001C4FBC">
        <w:rPr>
          <w:sz w:val="16"/>
          <w:szCs w:val="16"/>
        </w:rPr>
        <w:tab/>
      </w:r>
      <w:r w:rsidRPr="00062586">
        <w:rPr>
          <w:i/>
          <w:sz w:val="16"/>
          <w:szCs w:val="16"/>
        </w:rPr>
        <w:t>Cfr.</w:t>
      </w:r>
      <w:r w:rsidRPr="00C64243">
        <w:rPr>
          <w:i/>
          <w:sz w:val="16"/>
          <w:szCs w:val="16"/>
        </w:rPr>
        <w:t xml:space="preserve"> </w:t>
      </w:r>
      <w:r w:rsidRPr="001C4FBC">
        <w:rPr>
          <w:sz w:val="16"/>
          <w:szCs w:val="16"/>
          <w:lang w:val="es-MX"/>
        </w:rPr>
        <w:t xml:space="preserve">Declaración rendida ante fedatario público por </w:t>
      </w:r>
      <w:proofErr w:type="spellStart"/>
      <w:r w:rsidRPr="001C4FBC">
        <w:rPr>
          <w:sz w:val="16"/>
          <w:szCs w:val="16"/>
          <w:lang w:val="es-MX"/>
        </w:rPr>
        <w:t>Cesia</w:t>
      </w:r>
      <w:proofErr w:type="spellEnd"/>
      <w:r w:rsidRPr="001C4FBC">
        <w:rPr>
          <w:sz w:val="16"/>
          <w:szCs w:val="16"/>
          <w:lang w:val="es-MX"/>
        </w:rPr>
        <w:t xml:space="preserve"> Leila Siria Poblete Tapia el 6 de octubre de 2017</w:t>
      </w:r>
      <w:r>
        <w:rPr>
          <w:sz w:val="16"/>
          <w:szCs w:val="16"/>
          <w:lang w:val="es-MX"/>
        </w:rPr>
        <w:t xml:space="preserve">, </w:t>
      </w:r>
      <w:r w:rsidRPr="00062586">
        <w:rPr>
          <w:i/>
          <w:sz w:val="16"/>
          <w:szCs w:val="16"/>
          <w:lang w:val="es-MX"/>
        </w:rPr>
        <w:t>supra</w:t>
      </w:r>
      <w:r>
        <w:rPr>
          <w:sz w:val="16"/>
          <w:szCs w:val="16"/>
          <w:lang w:val="es-MX"/>
        </w:rPr>
        <w:t xml:space="preserve">, </w:t>
      </w:r>
      <w:r w:rsidRPr="001C4FBC">
        <w:rPr>
          <w:sz w:val="16"/>
          <w:szCs w:val="16"/>
          <w:lang w:val="es-MX"/>
        </w:rPr>
        <w:t>f</w:t>
      </w:r>
      <w:r>
        <w:rPr>
          <w:sz w:val="16"/>
          <w:szCs w:val="16"/>
          <w:lang w:val="es-MX"/>
        </w:rPr>
        <w:t>.</w:t>
      </w:r>
      <w:r w:rsidRPr="001C4FBC">
        <w:rPr>
          <w:sz w:val="16"/>
          <w:szCs w:val="16"/>
          <w:lang w:val="es-MX"/>
        </w:rPr>
        <w:t xml:space="preserve"> 4466</w:t>
      </w:r>
      <w:r>
        <w:rPr>
          <w:sz w:val="16"/>
          <w:szCs w:val="16"/>
          <w:lang w:val="es-MX"/>
        </w:rPr>
        <w:t xml:space="preserve">, y </w:t>
      </w:r>
      <w:r w:rsidRPr="00850A22">
        <w:rPr>
          <w:sz w:val="16"/>
          <w:szCs w:val="16"/>
          <w:lang w:val="es-MX"/>
        </w:rPr>
        <w:t>Declaración del señor Vinicio Marco Antonio Poblete Tapia ante la Corte en la audiencia pública del 19 de octubre de 2017,</w:t>
      </w:r>
      <w:r w:rsidRPr="00850A22">
        <w:rPr>
          <w:i/>
          <w:sz w:val="16"/>
          <w:szCs w:val="16"/>
          <w:lang w:val="es-MX"/>
        </w:rPr>
        <w:t xml:space="preserve"> </w:t>
      </w:r>
      <w:r w:rsidRPr="00062586">
        <w:rPr>
          <w:i/>
          <w:sz w:val="16"/>
          <w:szCs w:val="16"/>
          <w:lang w:val="es-MX"/>
        </w:rPr>
        <w:t>supra</w:t>
      </w:r>
      <w:r w:rsidRPr="00850A22">
        <w:rPr>
          <w:i/>
          <w:sz w:val="16"/>
          <w:szCs w:val="16"/>
          <w:lang w:val="es-MX"/>
        </w:rPr>
        <w:t xml:space="preserve">, </w:t>
      </w:r>
      <w:r w:rsidRPr="00850A22">
        <w:rPr>
          <w:sz w:val="16"/>
          <w:szCs w:val="16"/>
          <w:lang w:val="es-MX"/>
        </w:rPr>
        <w:t>pág. 5</w:t>
      </w:r>
      <w:r w:rsidRPr="001C4FBC">
        <w:rPr>
          <w:sz w:val="16"/>
          <w:szCs w:val="16"/>
          <w:lang w:val="es-MX"/>
        </w:rPr>
        <w:t>.</w:t>
      </w:r>
    </w:p>
  </w:footnote>
  <w:footnote w:id="52">
    <w:p w14:paraId="3E49B3D8" w14:textId="77777777" w:rsidR="003C025E" w:rsidRPr="00E14B0B" w:rsidRDefault="003C025E" w:rsidP="00E22B60">
      <w:pPr>
        <w:pStyle w:val="FootnoteText"/>
        <w:ind w:right="-360"/>
        <w:rPr>
          <w:sz w:val="16"/>
          <w:szCs w:val="16"/>
        </w:rPr>
      </w:pPr>
      <w:r w:rsidRPr="001C4FBC">
        <w:rPr>
          <w:rStyle w:val="FootnoteReference"/>
          <w:rFonts w:eastAsia="MS Mincho"/>
          <w:sz w:val="16"/>
          <w:szCs w:val="16"/>
        </w:rPr>
        <w:footnoteRef/>
      </w:r>
      <w:r w:rsidRPr="001C4FBC">
        <w:rPr>
          <w:sz w:val="16"/>
          <w:szCs w:val="16"/>
        </w:rPr>
        <w:t xml:space="preserve"> </w:t>
      </w:r>
      <w:r w:rsidRPr="001C4FBC">
        <w:rPr>
          <w:sz w:val="16"/>
          <w:szCs w:val="16"/>
        </w:rPr>
        <w:tab/>
      </w:r>
      <w:r w:rsidRPr="00E14B0B">
        <w:rPr>
          <w:sz w:val="16"/>
          <w:szCs w:val="16"/>
          <w:lang w:val="es-MX"/>
        </w:rPr>
        <w:t xml:space="preserve">Declaración rendida ante fedatario público por </w:t>
      </w:r>
      <w:proofErr w:type="spellStart"/>
      <w:r w:rsidRPr="00E14B0B">
        <w:rPr>
          <w:sz w:val="16"/>
          <w:szCs w:val="16"/>
          <w:lang w:val="es-MX"/>
        </w:rPr>
        <w:t>Cesia</w:t>
      </w:r>
      <w:proofErr w:type="spellEnd"/>
      <w:r w:rsidRPr="00E14B0B">
        <w:rPr>
          <w:sz w:val="16"/>
          <w:szCs w:val="16"/>
          <w:lang w:val="es-MX"/>
        </w:rPr>
        <w:t xml:space="preserve"> Leila Siria Poblete Tapia el 6 de octubre de 2017, </w:t>
      </w:r>
      <w:r w:rsidRPr="00062586">
        <w:rPr>
          <w:i/>
          <w:sz w:val="16"/>
          <w:szCs w:val="16"/>
          <w:lang w:val="es-MX"/>
        </w:rPr>
        <w:t>supra</w:t>
      </w:r>
      <w:r w:rsidRPr="00E14B0B">
        <w:rPr>
          <w:sz w:val="16"/>
          <w:szCs w:val="16"/>
          <w:lang w:val="es-MX"/>
        </w:rPr>
        <w:t xml:space="preserve">, </w:t>
      </w:r>
      <w:proofErr w:type="spellStart"/>
      <w:r w:rsidRPr="00E14B0B">
        <w:rPr>
          <w:sz w:val="16"/>
          <w:szCs w:val="16"/>
          <w:lang w:val="es-MX"/>
        </w:rPr>
        <w:t>ff</w:t>
      </w:r>
      <w:proofErr w:type="spellEnd"/>
      <w:r w:rsidRPr="00E14B0B">
        <w:rPr>
          <w:sz w:val="16"/>
          <w:szCs w:val="16"/>
          <w:lang w:val="es-MX"/>
        </w:rPr>
        <w:t xml:space="preserve">. 4466 y 4467. </w:t>
      </w:r>
      <w:r w:rsidRPr="00062586">
        <w:rPr>
          <w:i/>
          <w:sz w:val="16"/>
          <w:szCs w:val="16"/>
          <w:lang w:val="es-MX"/>
        </w:rPr>
        <w:t>Cfr.</w:t>
      </w:r>
      <w:r w:rsidRPr="00E14B0B">
        <w:rPr>
          <w:sz w:val="16"/>
          <w:szCs w:val="16"/>
          <w:lang w:val="es-MX"/>
        </w:rPr>
        <w:t xml:space="preserve"> Declaración del señor Vinicio Marco Antonio Poblete Tapia ante la Corte en la audiencia pública del 19 de octubre de 2017,</w:t>
      </w:r>
      <w:r w:rsidRPr="00E14B0B">
        <w:rPr>
          <w:i/>
          <w:sz w:val="16"/>
          <w:szCs w:val="16"/>
          <w:lang w:val="es-MX"/>
        </w:rPr>
        <w:t xml:space="preserve"> </w:t>
      </w:r>
      <w:r w:rsidRPr="00062586">
        <w:rPr>
          <w:i/>
          <w:sz w:val="16"/>
          <w:szCs w:val="16"/>
          <w:lang w:val="es-MX"/>
        </w:rPr>
        <w:t>supra</w:t>
      </w:r>
      <w:r w:rsidRPr="00E14B0B">
        <w:rPr>
          <w:i/>
          <w:sz w:val="16"/>
          <w:szCs w:val="16"/>
          <w:lang w:val="es-MX"/>
        </w:rPr>
        <w:t xml:space="preserve">, </w:t>
      </w:r>
      <w:r w:rsidRPr="00E14B0B">
        <w:rPr>
          <w:sz w:val="16"/>
          <w:szCs w:val="16"/>
          <w:lang w:val="es-MX"/>
        </w:rPr>
        <w:t>pág. 5.</w:t>
      </w:r>
    </w:p>
  </w:footnote>
  <w:footnote w:id="53">
    <w:p w14:paraId="2C854AA0" w14:textId="77777777" w:rsidR="003C025E" w:rsidRPr="00E14B0B" w:rsidRDefault="003C025E" w:rsidP="00E22B60">
      <w:pPr>
        <w:pStyle w:val="FootnoteText"/>
        <w:ind w:right="-360"/>
        <w:rPr>
          <w:sz w:val="16"/>
          <w:szCs w:val="16"/>
          <w:lang w:val="es-MX"/>
        </w:rPr>
      </w:pPr>
      <w:r w:rsidRPr="00E14B0B">
        <w:rPr>
          <w:rStyle w:val="FootnoteReference"/>
          <w:rFonts w:eastAsia="MS Mincho"/>
          <w:sz w:val="16"/>
          <w:szCs w:val="16"/>
        </w:rPr>
        <w:footnoteRef/>
      </w:r>
      <w:r w:rsidRPr="00E14B0B">
        <w:rPr>
          <w:sz w:val="16"/>
          <w:szCs w:val="16"/>
        </w:rPr>
        <w:t xml:space="preserve"> </w:t>
      </w:r>
      <w:r w:rsidRPr="00E14B0B">
        <w:rPr>
          <w:sz w:val="16"/>
          <w:szCs w:val="16"/>
        </w:rPr>
        <w:tab/>
      </w:r>
      <w:r w:rsidRPr="00062586">
        <w:rPr>
          <w:i/>
          <w:sz w:val="16"/>
          <w:szCs w:val="16"/>
        </w:rPr>
        <w:t>Cfr.</w:t>
      </w:r>
      <w:r w:rsidRPr="00E14B0B">
        <w:rPr>
          <w:i/>
          <w:sz w:val="16"/>
          <w:szCs w:val="16"/>
        </w:rPr>
        <w:t xml:space="preserve"> </w:t>
      </w:r>
      <w:r w:rsidRPr="00E14B0B">
        <w:rPr>
          <w:sz w:val="16"/>
          <w:szCs w:val="16"/>
          <w:lang w:val="es-MX"/>
        </w:rPr>
        <w:t xml:space="preserve">Declaración rendida ante fedatario público por </w:t>
      </w:r>
      <w:proofErr w:type="spellStart"/>
      <w:r w:rsidRPr="00E14B0B">
        <w:rPr>
          <w:sz w:val="16"/>
          <w:szCs w:val="16"/>
          <w:lang w:val="es-MX"/>
        </w:rPr>
        <w:t>Cesia</w:t>
      </w:r>
      <w:proofErr w:type="spellEnd"/>
      <w:r w:rsidRPr="00E14B0B">
        <w:rPr>
          <w:sz w:val="16"/>
          <w:szCs w:val="16"/>
          <w:lang w:val="es-MX"/>
        </w:rPr>
        <w:t xml:space="preserve"> Leila Siria Poblete Tapia el 6 de octubre de 2017, </w:t>
      </w:r>
      <w:proofErr w:type="spellStart"/>
      <w:r w:rsidRPr="00E14B0B">
        <w:rPr>
          <w:sz w:val="16"/>
          <w:szCs w:val="16"/>
          <w:lang w:val="es-MX"/>
        </w:rPr>
        <w:t>ff</w:t>
      </w:r>
      <w:proofErr w:type="spellEnd"/>
      <w:r w:rsidRPr="00E14B0B">
        <w:rPr>
          <w:sz w:val="16"/>
          <w:szCs w:val="16"/>
          <w:lang w:val="es-MX"/>
        </w:rPr>
        <w:t>. 4466 y 4467</w:t>
      </w:r>
      <w:r>
        <w:rPr>
          <w:sz w:val="16"/>
          <w:szCs w:val="16"/>
          <w:lang w:val="es-MX"/>
        </w:rPr>
        <w:t xml:space="preserve">. </w:t>
      </w:r>
      <w:proofErr w:type="spellStart"/>
      <w:r w:rsidRPr="00C64243">
        <w:rPr>
          <w:i/>
          <w:sz w:val="16"/>
          <w:szCs w:val="16"/>
          <w:lang w:val="es-MX"/>
        </w:rPr>
        <w:t>Cfr</w:t>
      </w:r>
      <w:proofErr w:type="spellEnd"/>
      <w:r w:rsidRPr="00E14B0B">
        <w:rPr>
          <w:sz w:val="16"/>
          <w:szCs w:val="16"/>
          <w:lang w:val="es-MX"/>
        </w:rPr>
        <w:t xml:space="preserve"> </w:t>
      </w:r>
      <w:r w:rsidRPr="00E14B0B">
        <w:rPr>
          <w:sz w:val="16"/>
          <w:szCs w:val="16"/>
        </w:rPr>
        <w:t xml:space="preserve">Declaración del señor Vinicio Marco Antonio Poblete Tapia </w:t>
      </w:r>
      <w:r w:rsidRPr="00E14B0B">
        <w:rPr>
          <w:sz w:val="16"/>
          <w:szCs w:val="16"/>
          <w:lang w:val="es-MX"/>
        </w:rPr>
        <w:t>ante la Corte en la audiencia pública del 19 de octubre de 2017, pág. 5.</w:t>
      </w:r>
    </w:p>
  </w:footnote>
  <w:footnote w:id="54">
    <w:p w14:paraId="108C97D9" w14:textId="237B4A1B" w:rsidR="003C025E" w:rsidRPr="00E14B0B" w:rsidRDefault="003C025E" w:rsidP="00E22B60">
      <w:pPr>
        <w:pStyle w:val="FootnoteText"/>
        <w:ind w:right="-360"/>
        <w:rPr>
          <w:sz w:val="16"/>
          <w:szCs w:val="16"/>
          <w:lang w:val="es-MX"/>
        </w:rPr>
      </w:pPr>
      <w:r w:rsidRPr="00E14B0B">
        <w:rPr>
          <w:rStyle w:val="FootnoteReference"/>
          <w:rFonts w:eastAsia="MS Mincho"/>
          <w:sz w:val="16"/>
          <w:szCs w:val="16"/>
        </w:rPr>
        <w:footnoteRef/>
      </w:r>
      <w:r w:rsidRPr="00E14B0B">
        <w:rPr>
          <w:sz w:val="16"/>
          <w:szCs w:val="16"/>
        </w:rPr>
        <w:t xml:space="preserve"> </w:t>
      </w:r>
      <w:r w:rsidRPr="00E14B0B">
        <w:rPr>
          <w:sz w:val="16"/>
          <w:szCs w:val="16"/>
        </w:rPr>
        <w:tab/>
      </w:r>
      <w:r w:rsidRPr="00E14B0B">
        <w:rPr>
          <w:sz w:val="16"/>
          <w:szCs w:val="16"/>
          <w:lang w:val="es-MX"/>
        </w:rPr>
        <w:t xml:space="preserve">Ficha clínica del señor Vinicio Poblete Vilches. Documento anexo al Oficio Reservado No. 026/09, </w:t>
      </w:r>
      <w:r w:rsidRPr="00062586">
        <w:rPr>
          <w:i/>
          <w:sz w:val="16"/>
          <w:szCs w:val="16"/>
          <w:lang w:val="es-MX"/>
        </w:rPr>
        <w:t>supra</w:t>
      </w:r>
      <w:r w:rsidRPr="00E14B0B">
        <w:rPr>
          <w:i/>
          <w:sz w:val="16"/>
          <w:szCs w:val="16"/>
          <w:lang w:val="es-MX"/>
        </w:rPr>
        <w:t>,</w:t>
      </w:r>
      <w:r>
        <w:rPr>
          <w:i/>
          <w:sz w:val="16"/>
          <w:szCs w:val="16"/>
          <w:lang w:val="es-MX"/>
        </w:rPr>
        <w:t xml:space="preserve"> </w:t>
      </w:r>
      <w:r>
        <w:rPr>
          <w:sz w:val="16"/>
          <w:szCs w:val="16"/>
          <w:lang w:val="es-MX"/>
        </w:rPr>
        <w:t>(expediente de fondo,</w:t>
      </w:r>
      <w:r w:rsidRPr="00E14B0B">
        <w:rPr>
          <w:i/>
          <w:sz w:val="16"/>
          <w:szCs w:val="16"/>
          <w:lang w:val="es-MX"/>
        </w:rPr>
        <w:t xml:space="preserve"> </w:t>
      </w:r>
      <w:r w:rsidRPr="00E14B0B">
        <w:rPr>
          <w:sz w:val="16"/>
          <w:szCs w:val="16"/>
          <w:lang w:val="es-MX"/>
        </w:rPr>
        <w:t>f. 1313</w:t>
      </w:r>
      <w:r>
        <w:rPr>
          <w:sz w:val="16"/>
          <w:szCs w:val="16"/>
          <w:lang w:val="es-MX"/>
        </w:rPr>
        <w:t>)</w:t>
      </w:r>
      <w:r w:rsidRPr="00E14B0B">
        <w:rPr>
          <w:sz w:val="16"/>
          <w:szCs w:val="16"/>
          <w:lang w:val="es-MX"/>
        </w:rPr>
        <w:t xml:space="preserve">. </w:t>
      </w:r>
    </w:p>
  </w:footnote>
  <w:footnote w:id="55">
    <w:p w14:paraId="7CAA0A63" w14:textId="6B901C54" w:rsidR="003C025E" w:rsidRPr="001C4FBC" w:rsidRDefault="003C025E" w:rsidP="00E22B60">
      <w:pPr>
        <w:pStyle w:val="FootnoteText"/>
        <w:ind w:right="-360"/>
      </w:pPr>
      <w:r w:rsidRPr="00C64243">
        <w:rPr>
          <w:rStyle w:val="FootnoteReference"/>
          <w:rFonts w:eastAsia="MS Mincho"/>
          <w:sz w:val="16"/>
          <w:szCs w:val="16"/>
        </w:rPr>
        <w:footnoteRef/>
      </w:r>
      <w:r w:rsidRPr="00C64243">
        <w:rPr>
          <w:sz w:val="16"/>
          <w:szCs w:val="16"/>
        </w:rPr>
        <w:t xml:space="preserve"> </w:t>
      </w:r>
      <w:r w:rsidRPr="00C64243">
        <w:rPr>
          <w:sz w:val="16"/>
          <w:szCs w:val="16"/>
        </w:rPr>
        <w:tab/>
      </w:r>
      <w:r w:rsidRPr="00E14B0B">
        <w:rPr>
          <w:sz w:val="16"/>
          <w:szCs w:val="16"/>
        </w:rPr>
        <w:t>Oficio ordinario No. [ilegible]</w:t>
      </w:r>
      <w:r>
        <w:rPr>
          <w:sz w:val="16"/>
          <w:szCs w:val="16"/>
        </w:rPr>
        <w:t xml:space="preserve"> de Dr. Fernando </w:t>
      </w:r>
      <w:proofErr w:type="spellStart"/>
      <w:r>
        <w:rPr>
          <w:sz w:val="16"/>
          <w:szCs w:val="16"/>
        </w:rPr>
        <w:t>Betanza</w:t>
      </w:r>
      <w:proofErr w:type="spellEnd"/>
      <w:r>
        <w:rPr>
          <w:sz w:val="16"/>
          <w:szCs w:val="16"/>
        </w:rPr>
        <w:t xml:space="preserve"> Vallejos, Director, Complejo Asistencial Dr. Sotero del Río</w:t>
      </w:r>
      <w:r w:rsidRPr="00E14B0B">
        <w:rPr>
          <w:sz w:val="16"/>
          <w:szCs w:val="16"/>
        </w:rPr>
        <w:t>, que “[e]</w:t>
      </w:r>
      <w:proofErr w:type="spellStart"/>
      <w:r w:rsidRPr="00E14B0B">
        <w:rPr>
          <w:sz w:val="16"/>
          <w:szCs w:val="16"/>
        </w:rPr>
        <w:t>nvía</w:t>
      </w:r>
      <w:proofErr w:type="spellEnd"/>
      <w:r w:rsidRPr="00E14B0B">
        <w:rPr>
          <w:sz w:val="16"/>
          <w:szCs w:val="16"/>
        </w:rPr>
        <w:t xml:space="preserve"> antecedentes de atención médica, caso. D. Vinicio Poblete Vilches” [</w:t>
      </w:r>
      <w:r w:rsidRPr="00C64243">
        <w:rPr>
          <w:i/>
          <w:sz w:val="16"/>
          <w:szCs w:val="16"/>
        </w:rPr>
        <w:t>sic</w:t>
      </w:r>
      <w:r w:rsidRPr="00E14B0B">
        <w:rPr>
          <w:sz w:val="16"/>
          <w:szCs w:val="16"/>
        </w:rPr>
        <w:t xml:space="preserve">].  Dirigido al Ministerio de Salud del Gobierno de Chile por el Director del Complejo Asistencial Dr. </w:t>
      </w:r>
      <w:proofErr w:type="spellStart"/>
      <w:r w:rsidRPr="00E14B0B">
        <w:rPr>
          <w:sz w:val="16"/>
          <w:szCs w:val="16"/>
        </w:rPr>
        <w:t>Sótero</w:t>
      </w:r>
      <w:proofErr w:type="spellEnd"/>
      <w:r w:rsidRPr="00E14B0B">
        <w:rPr>
          <w:sz w:val="16"/>
          <w:szCs w:val="16"/>
        </w:rPr>
        <w:t xml:space="preserve"> del Río. </w:t>
      </w:r>
      <w:r>
        <w:rPr>
          <w:sz w:val="16"/>
          <w:szCs w:val="16"/>
        </w:rPr>
        <w:t>1 de septiembre de 2009</w:t>
      </w:r>
      <w:r w:rsidRPr="00E14B0B">
        <w:rPr>
          <w:sz w:val="16"/>
          <w:szCs w:val="16"/>
        </w:rPr>
        <w:t xml:space="preserve"> (expediente de fondo, </w:t>
      </w:r>
      <w:proofErr w:type="spellStart"/>
      <w:r w:rsidRPr="00E14B0B">
        <w:rPr>
          <w:sz w:val="16"/>
          <w:szCs w:val="16"/>
        </w:rPr>
        <w:t>ff</w:t>
      </w:r>
      <w:proofErr w:type="spellEnd"/>
      <w:r w:rsidRPr="00E14B0B">
        <w:rPr>
          <w:sz w:val="16"/>
          <w:szCs w:val="16"/>
        </w:rPr>
        <w:t xml:space="preserve">. 1119 y 1120). </w:t>
      </w:r>
    </w:p>
  </w:footnote>
  <w:footnote w:id="56">
    <w:p w14:paraId="225D7EC3" w14:textId="77777777" w:rsidR="003C025E" w:rsidRPr="000214BA"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sidRPr="000214BA">
        <w:rPr>
          <w:sz w:val="16"/>
          <w:szCs w:val="16"/>
        </w:rPr>
        <w:t>Pericia médico legal No. 140-2005 emitid</w:t>
      </w:r>
      <w:r>
        <w:rPr>
          <w:sz w:val="16"/>
          <w:szCs w:val="16"/>
        </w:rPr>
        <w:t>a</w:t>
      </w:r>
      <w:r w:rsidRPr="000214BA">
        <w:rPr>
          <w:sz w:val="16"/>
          <w:szCs w:val="16"/>
        </w:rPr>
        <w:t xml:space="preserve"> por el Servicio Médico Legal del Gobierno de Chile el 8 de junio de 2006 (expediente de prueba, anexo 48 del Informe de Fondo, f. 205).</w:t>
      </w:r>
    </w:p>
  </w:footnote>
  <w:footnote w:id="57">
    <w:p w14:paraId="77D4CFFC" w14:textId="77777777" w:rsidR="003C025E" w:rsidRPr="000214BA"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sidRPr="000214BA">
        <w:rPr>
          <w:sz w:val="16"/>
          <w:szCs w:val="16"/>
        </w:rPr>
        <w:t>Certificado de defunción de Vinicio Antonio Poblete Vilches emitido por el Servicio de Registro Civil e Identificación Chile el 9 de marzo de 2001 (expediente de prueba, anexo 1 del Informe de Fondo, f. 7).</w:t>
      </w:r>
    </w:p>
  </w:footnote>
  <w:footnote w:id="58">
    <w:p w14:paraId="3A3BEBE3" w14:textId="764EB839" w:rsidR="003C025E" w:rsidRPr="004D2BDB"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Pr>
          <w:i/>
          <w:sz w:val="16"/>
          <w:szCs w:val="16"/>
        </w:rPr>
        <w:t xml:space="preserve"> </w:t>
      </w:r>
      <w:r w:rsidRPr="004D2BDB">
        <w:rPr>
          <w:sz w:val="16"/>
          <w:szCs w:val="16"/>
          <w:lang w:val="es-MX"/>
        </w:rPr>
        <w:t xml:space="preserve">Declaración rendida ante fedatario público por </w:t>
      </w:r>
      <w:proofErr w:type="spellStart"/>
      <w:r w:rsidRPr="004D2BDB">
        <w:rPr>
          <w:sz w:val="16"/>
          <w:szCs w:val="16"/>
          <w:lang w:val="es-MX"/>
        </w:rPr>
        <w:t>Cesia</w:t>
      </w:r>
      <w:proofErr w:type="spellEnd"/>
      <w:r w:rsidRPr="004D2BDB">
        <w:rPr>
          <w:sz w:val="16"/>
          <w:szCs w:val="16"/>
          <w:lang w:val="es-MX"/>
        </w:rPr>
        <w:t xml:space="preserve"> Leila Siria Poblete Tapia el 6 de octubre de 2017,</w:t>
      </w:r>
      <w:r>
        <w:rPr>
          <w:sz w:val="16"/>
          <w:szCs w:val="16"/>
          <w:lang w:val="es-MX"/>
        </w:rPr>
        <w:t xml:space="preserve"> </w:t>
      </w:r>
      <w:r w:rsidRPr="00062586">
        <w:rPr>
          <w:i/>
          <w:sz w:val="16"/>
          <w:szCs w:val="16"/>
          <w:lang w:val="es-MX"/>
        </w:rPr>
        <w:t>supra</w:t>
      </w:r>
      <w:r>
        <w:rPr>
          <w:i/>
          <w:sz w:val="16"/>
          <w:szCs w:val="16"/>
          <w:lang w:val="es-MX"/>
        </w:rPr>
        <w:t xml:space="preserve">, </w:t>
      </w:r>
      <w:r>
        <w:rPr>
          <w:sz w:val="16"/>
          <w:szCs w:val="16"/>
          <w:lang w:val="es-MX"/>
        </w:rPr>
        <w:t xml:space="preserve">(expediente de prueba, </w:t>
      </w:r>
      <w:r w:rsidRPr="004D2BDB">
        <w:rPr>
          <w:sz w:val="16"/>
          <w:szCs w:val="16"/>
          <w:lang w:val="es-MX"/>
        </w:rPr>
        <w:t xml:space="preserve"> f</w:t>
      </w:r>
      <w:r>
        <w:rPr>
          <w:sz w:val="16"/>
          <w:szCs w:val="16"/>
          <w:lang w:val="es-MX"/>
        </w:rPr>
        <w:t>.</w:t>
      </w:r>
      <w:r w:rsidRPr="004D2BDB">
        <w:rPr>
          <w:sz w:val="16"/>
          <w:szCs w:val="16"/>
          <w:lang w:val="es-MX"/>
        </w:rPr>
        <w:t xml:space="preserve"> 4467</w:t>
      </w:r>
      <w:r>
        <w:rPr>
          <w:sz w:val="16"/>
          <w:szCs w:val="16"/>
          <w:lang w:val="es-MX"/>
        </w:rPr>
        <w:t>), y</w:t>
      </w:r>
      <w:r w:rsidRPr="004D2BDB">
        <w:rPr>
          <w:sz w:val="16"/>
          <w:szCs w:val="16"/>
          <w:lang w:val="es-MX"/>
        </w:rPr>
        <w:t xml:space="preserve"> </w:t>
      </w:r>
      <w:r w:rsidRPr="00C27894">
        <w:rPr>
          <w:sz w:val="16"/>
          <w:szCs w:val="16"/>
        </w:rPr>
        <w:t xml:space="preserve">Declaración del señor Vinicio Marco Antonio Poblete Tapia </w:t>
      </w:r>
      <w:r w:rsidRPr="00C27894">
        <w:rPr>
          <w:sz w:val="16"/>
          <w:szCs w:val="16"/>
          <w:lang w:val="es-MX"/>
        </w:rPr>
        <w:t xml:space="preserve">ante la Corte en la audiencia pública el 19 de octubre de 2017, </w:t>
      </w:r>
      <w:r w:rsidRPr="00062586">
        <w:rPr>
          <w:i/>
          <w:sz w:val="16"/>
          <w:szCs w:val="16"/>
          <w:lang w:val="es-MX"/>
        </w:rPr>
        <w:t>supra</w:t>
      </w:r>
      <w:r>
        <w:rPr>
          <w:i/>
          <w:sz w:val="16"/>
          <w:szCs w:val="16"/>
          <w:lang w:val="es-MX"/>
        </w:rPr>
        <w:t xml:space="preserve">, </w:t>
      </w:r>
      <w:r w:rsidRPr="00C27894">
        <w:rPr>
          <w:sz w:val="16"/>
          <w:szCs w:val="16"/>
          <w:lang w:val="es-MX"/>
        </w:rPr>
        <w:t xml:space="preserve">pág. </w:t>
      </w:r>
      <w:r>
        <w:rPr>
          <w:sz w:val="16"/>
          <w:szCs w:val="16"/>
          <w:lang w:val="es-MX"/>
        </w:rPr>
        <w:t>5</w:t>
      </w:r>
      <w:r w:rsidRPr="00C27894">
        <w:rPr>
          <w:sz w:val="16"/>
          <w:szCs w:val="16"/>
          <w:lang w:val="es-MX"/>
        </w:rPr>
        <w:t xml:space="preserve">.  </w:t>
      </w:r>
    </w:p>
  </w:footnote>
  <w:footnote w:id="59">
    <w:p w14:paraId="27D5282D" w14:textId="129BBD7A" w:rsidR="003C025E" w:rsidRPr="00C27894" w:rsidRDefault="003C025E" w:rsidP="00E22B60">
      <w:pPr>
        <w:pStyle w:val="FootnoteText"/>
        <w:ind w:right="-360"/>
        <w:rPr>
          <w:sz w:val="16"/>
          <w:szCs w:val="16"/>
          <w:lang w:val="es-MX"/>
        </w:rPr>
      </w:pPr>
      <w:r w:rsidRPr="004D2BDB">
        <w:rPr>
          <w:rStyle w:val="FootnoteReference"/>
          <w:rFonts w:eastAsia="MS Mincho"/>
          <w:sz w:val="16"/>
          <w:szCs w:val="16"/>
        </w:rPr>
        <w:footnoteRef/>
      </w:r>
      <w:r w:rsidRPr="00D315EA">
        <w:rPr>
          <w:sz w:val="16"/>
          <w:szCs w:val="16"/>
        </w:rPr>
        <w:t xml:space="preserve"> </w:t>
      </w:r>
      <w:r w:rsidRPr="00D315EA">
        <w:rPr>
          <w:sz w:val="16"/>
          <w:szCs w:val="16"/>
        </w:rPr>
        <w:tab/>
      </w:r>
      <w:r w:rsidRPr="00062586">
        <w:rPr>
          <w:i/>
          <w:sz w:val="16"/>
          <w:szCs w:val="16"/>
        </w:rPr>
        <w:t>Cfr.</w:t>
      </w:r>
      <w:r>
        <w:rPr>
          <w:i/>
          <w:sz w:val="16"/>
          <w:szCs w:val="16"/>
        </w:rPr>
        <w:t xml:space="preserve"> </w:t>
      </w:r>
      <w:r w:rsidRPr="00D315EA">
        <w:rPr>
          <w:sz w:val="16"/>
          <w:szCs w:val="16"/>
        </w:rPr>
        <w:t xml:space="preserve">Declaración del señor Vinicio Marco Antonio Poblete </w:t>
      </w:r>
      <w:r>
        <w:rPr>
          <w:sz w:val="16"/>
          <w:szCs w:val="16"/>
        </w:rPr>
        <w:t xml:space="preserve">Tapia </w:t>
      </w:r>
      <w:r w:rsidRPr="00D315EA">
        <w:rPr>
          <w:sz w:val="16"/>
          <w:szCs w:val="16"/>
        </w:rPr>
        <w:t xml:space="preserve">ante el Primer Juzgado </w:t>
      </w:r>
      <w:r>
        <w:rPr>
          <w:sz w:val="16"/>
          <w:szCs w:val="16"/>
        </w:rPr>
        <w:t>Civil</w:t>
      </w:r>
      <w:r w:rsidRPr="00D315EA">
        <w:rPr>
          <w:sz w:val="16"/>
          <w:szCs w:val="16"/>
        </w:rPr>
        <w:t xml:space="preserve"> de </w:t>
      </w:r>
      <w:r w:rsidRPr="005A39DD">
        <w:rPr>
          <w:sz w:val="16"/>
          <w:szCs w:val="16"/>
        </w:rPr>
        <w:t>Puente Alto el 6 de abril de 2006</w:t>
      </w:r>
      <w:r>
        <w:rPr>
          <w:sz w:val="16"/>
          <w:szCs w:val="16"/>
        </w:rPr>
        <w:t xml:space="preserve">, </w:t>
      </w:r>
      <w:r w:rsidRPr="00062586">
        <w:rPr>
          <w:i/>
          <w:sz w:val="16"/>
          <w:szCs w:val="16"/>
        </w:rPr>
        <w:t>supra</w:t>
      </w:r>
      <w:r>
        <w:rPr>
          <w:i/>
          <w:sz w:val="16"/>
          <w:szCs w:val="16"/>
        </w:rPr>
        <w:t xml:space="preserve">, </w:t>
      </w:r>
      <w:r>
        <w:rPr>
          <w:sz w:val="16"/>
          <w:szCs w:val="16"/>
        </w:rPr>
        <w:t>f. 570</w:t>
      </w:r>
      <w:r w:rsidRPr="008B0574">
        <w:rPr>
          <w:sz w:val="16"/>
          <w:szCs w:val="16"/>
        </w:rPr>
        <w:t>.</w:t>
      </w:r>
    </w:p>
  </w:footnote>
  <w:footnote w:id="60">
    <w:p w14:paraId="37730F7B" w14:textId="28EC32DE" w:rsidR="003C025E" w:rsidRPr="004D2BDB" w:rsidRDefault="003C025E" w:rsidP="00E22B60">
      <w:pPr>
        <w:pStyle w:val="FootnoteText"/>
        <w:ind w:right="-360"/>
        <w:rPr>
          <w:sz w:val="16"/>
          <w:szCs w:val="16"/>
          <w:lang w:val="es-MX"/>
        </w:rPr>
      </w:pPr>
      <w:r w:rsidRPr="004D2BDB">
        <w:rPr>
          <w:rStyle w:val="FootnoteReference"/>
          <w:rFonts w:eastAsia="MS Mincho"/>
          <w:sz w:val="16"/>
          <w:szCs w:val="16"/>
        </w:rPr>
        <w:footnoteRef/>
      </w:r>
      <w:r w:rsidRPr="004D2BDB">
        <w:rPr>
          <w:sz w:val="16"/>
          <w:szCs w:val="16"/>
        </w:rPr>
        <w:t xml:space="preserve"> </w:t>
      </w:r>
      <w:r w:rsidRPr="004D2BDB">
        <w:rPr>
          <w:sz w:val="16"/>
          <w:szCs w:val="16"/>
        </w:rPr>
        <w:tab/>
      </w:r>
      <w:r w:rsidRPr="00062586">
        <w:rPr>
          <w:i/>
          <w:sz w:val="16"/>
          <w:szCs w:val="16"/>
        </w:rPr>
        <w:t>Cfr.</w:t>
      </w:r>
      <w:r>
        <w:rPr>
          <w:i/>
          <w:sz w:val="16"/>
          <w:szCs w:val="16"/>
        </w:rPr>
        <w:t xml:space="preserve"> </w:t>
      </w:r>
      <w:r w:rsidRPr="00D315EA">
        <w:rPr>
          <w:sz w:val="16"/>
          <w:szCs w:val="16"/>
          <w:lang w:val="es-MX"/>
        </w:rPr>
        <w:t xml:space="preserve">Declaración rendida ante fedatario público por </w:t>
      </w:r>
      <w:proofErr w:type="spellStart"/>
      <w:r w:rsidRPr="00D315EA">
        <w:rPr>
          <w:sz w:val="16"/>
          <w:szCs w:val="16"/>
          <w:lang w:val="es-MX"/>
        </w:rPr>
        <w:t>Cesia</w:t>
      </w:r>
      <w:proofErr w:type="spellEnd"/>
      <w:r w:rsidRPr="00D315EA">
        <w:rPr>
          <w:sz w:val="16"/>
          <w:szCs w:val="16"/>
          <w:lang w:val="es-MX"/>
        </w:rPr>
        <w:t xml:space="preserve"> Leila Siria Poblete Tapia el 6 de octubre de 2017</w:t>
      </w:r>
      <w:r>
        <w:rPr>
          <w:sz w:val="16"/>
          <w:szCs w:val="16"/>
          <w:lang w:val="es-MX"/>
        </w:rPr>
        <w:t xml:space="preserve">, </w:t>
      </w:r>
      <w:r w:rsidRPr="00062586">
        <w:rPr>
          <w:i/>
          <w:sz w:val="16"/>
          <w:szCs w:val="16"/>
          <w:lang w:val="es-MX"/>
        </w:rPr>
        <w:t>supra</w:t>
      </w:r>
      <w:r>
        <w:rPr>
          <w:i/>
          <w:sz w:val="16"/>
          <w:szCs w:val="16"/>
          <w:lang w:val="es-MX"/>
        </w:rPr>
        <w:t xml:space="preserve">, </w:t>
      </w:r>
      <w:r w:rsidRPr="00D315EA">
        <w:rPr>
          <w:sz w:val="16"/>
          <w:szCs w:val="16"/>
          <w:lang w:val="es-MX"/>
        </w:rPr>
        <w:t>f</w:t>
      </w:r>
      <w:r>
        <w:rPr>
          <w:sz w:val="16"/>
          <w:szCs w:val="16"/>
          <w:lang w:val="es-MX"/>
        </w:rPr>
        <w:t>.</w:t>
      </w:r>
      <w:r w:rsidRPr="00D315EA">
        <w:rPr>
          <w:sz w:val="16"/>
          <w:szCs w:val="16"/>
          <w:lang w:val="es-MX"/>
        </w:rPr>
        <w:t xml:space="preserve"> 4467</w:t>
      </w:r>
      <w:r>
        <w:rPr>
          <w:sz w:val="16"/>
          <w:szCs w:val="16"/>
          <w:lang w:val="es-MX"/>
        </w:rPr>
        <w:t xml:space="preserve">, </w:t>
      </w:r>
      <w:r w:rsidRPr="0073554F">
        <w:rPr>
          <w:sz w:val="16"/>
          <w:szCs w:val="16"/>
          <w:lang w:val="es-MX"/>
        </w:rPr>
        <w:t xml:space="preserve">Declaración del señor Vinicio Marco Antonio Poblete Tapia ante el Primer Juzgado </w:t>
      </w:r>
      <w:r>
        <w:rPr>
          <w:sz w:val="16"/>
          <w:szCs w:val="16"/>
          <w:lang w:val="es-MX"/>
        </w:rPr>
        <w:t>Civi</w:t>
      </w:r>
      <w:r w:rsidRPr="0073554F">
        <w:rPr>
          <w:sz w:val="16"/>
          <w:szCs w:val="16"/>
          <w:lang w:val="es-MX"/>
        </w:rPr>
        <w:t xml:space="preserve">l de Puente Alto el 6 de abril de 2006, </w:t>
      </w:r>
      <w:r w:rsidRPr="00062586">
        <w:rPr>
          <w:i/>
          <w:sz w:val="16"/>
          <w:szCs w:val="16"/>
          <w:lang w:val="es-MX"/>
        </w:rPr>
        <w:t>supra</w:t>
      </w:r>
      <w:proofErr w:type="gramStart"/>
      <w:r w:rsidRPr="0073554F">
        <w:rPr>
          <w:i/>
          <w:sz w:val="16"/>
          <w:szCs w:val="16"/>
          <w:lang w:val="es-MX"/>
        </w:rPr>
        <w:t>,</w:t>
      </w:r>
      <w:r>
        <w:rPr>
          <w:sz w:val="16"/>
          <w:szCs w:val="16"/>
          <w:lang w:val="es-MX"/>
        </w:rPr>
        <w:t>(</w:t>
      </w:r>
      <w:proofErr w:type="gramEnd"/>
      <w:r>
        <w:rPr>
          <w:sz w:val="16"/>
          <w:szCs w:val="16"/>
          <w:lang w:val="es-MX"/>
        </w:rPr>
        <w:t>expediente de prueba,</w:t>
      </w:r>
      <w:r>
        <w:rPr>
          <w:i/>
          <w:sz w:val="16"/>
          <w:szCs w:val="16"/>
          <w:lang w:val="es-MX"/>
        </w:rPr>
        <w:t xml:space="preserve"> </w:t>
      </w:r>
      <w:r w:rsidRPr="0073554F">
        <w:rPr>
          <w:sz w:val="16"/>
          <w:szCs w:val="16"/>
          <w:lang w:val="es-MX"/>
        </w:rPr>
        <w:t>f. 570</w:t>
      </w:r>
      <w:r>
        <w:rPr>
          <w:sz w:val="16"/>
          <w:szCs w:val="16"/>
          <w:lang w:val="es-MX"/>
        </w:rPr>
        <w:t xml:space="preserve">), y </w:t>
      </w:r>
      <w:r w:rsidRPr="00C27894">
        <w:rPr>
          <w:sz w:val="16"/>
          <w:szCs w:val="16"/>
        </w:rPr>
        <w:t xml:space="preserve">Declaración del señor Vinicio Marco Antonio Poblete Tapia </w:t>
      </w:r>
      <w:r w:rsidRPr="00C27894">
        <w:rPr>
          <w:sz w:val="16"/>
          <w:szCs w:val="16"/>
          <w:lang w:val="es-MX"/>
        </w:rPr>
        <w:t>ante la Corte en la audiencia pública el 19 de octubre de 2017</w:t>
      </w:r>
      <w:r>
        <w:rPr>
          <w:sz w:val="16"/>
          <w:szCs w:val="16"/>
          <w:lang w:val="es-MX"/>
        </w:rPr>
        <w:t xml:space="preserve">, </w:t>
      </w:r>
      <w:r w:rsidRPr="00062586">
        <w:rPr>
          <w:i/>
          <w:sz w:val="16"/>
          <w:szCs w:val="16"/>
          <w:lang w:val="es-MX"/>
        </w:rPr>
        <w:t>supra</w:t>
      </w:r>
      <w:r w:rsidRPr="00C27894">
        <w:rPr>
          <w:sz w:val="16"/>
          <w:szCs w:val="16"/>
          <w:lang w:val="es-MX"/>
        </w:rPr>
        <w:t>, pág. 17.</w:t>
      </w:r>
    </w:p>
  </w:footnote>
  <w:footnote w:id="61">
    <w:p w14:paraId="54259FF3" w14:textId="086844E5" w:rsidR="003C025E" w:rsidRPr="000214BA" w:rsidRDefault="003C025E" w:rsidP="00E22B60">
      <w:pPr>
        <w:pStyle w:val="FootnoteText"/>
        <w:ind w:right="-360"/>
        <w:rPr>
          <w:sz w:val="16"/>
          <w:szCs w:val="16"/>
          <w:lang w:val="es-MX"/>
        </w:rPr>
      </w:pPr>
      <w:r w:rsidRPr="00630070">
        <w:rPr>
          <w:rStyle w:val="FootnoteReference"/>
          <w:rFonts w:eastAsia="MS Mincho"/>
          <w:sz w:val="16"/>
          <w:szCs w:val="16"/>
        </w:rPr>
        <w:footnoteRef/>
      </w:r>
      <w:r w:rsidRPr="00E5581F">
        <w:rPr>
          <w:sz w:val="16"/>
          <w:szCs w:val="16"/>
        </w:rPr>
        <w:t xml:space="preserve"> </w:t>
      </w:r>
      <w:r w:rsidRPr="00E5581F">
        <w:rPr>
          <w:sz w:val="16"/>
          <w:szCs w:val="16"/>
        </w:rPr>
        <w:tab/>
      </w:r>
      <w:r w:rsidRPr="00062586">
        <w:rPr>
          <w:i/>
          <w:sz w:val="16"/>
          <w:szCs w:val="16"/>
        </w:rPr>
        <w:t>Cfr.</w:t>
      </w:r>
      <w:r>
        <w:rPr>
          <w:i/>
          <w:sz w:val="16"/>
          <w:szCs w:val="16"/>
        </w:rPr>
        <w:t xml:space="preserve"> </w:t>
      </w:r>
      <w:r w:rsidRPr="00E6421C">
        <w:rPr>
          <w:sz w:val="16"/>
          <w:szCs w:val="16"/>
          <w:lang w:val="es-MX"/>
        </w:rPr>
        <w:t xml:space="preserve">Declaración rendida ante fedatario público por </w:t>
      </w:r>
      <w:proofErr w:type="spellStart"/>
      <w:r w:rsidRPr="00E6421C">
        <w:rPr>
          <w:sz w:val="16"/>
          <w:szCs w:val="16"/>
          <w:lang w:val="es-MX"/>
        </w:rPr>
        <w:t>Cesia</w:t>
      </w:r>
      <w:proofErr w:type="spellEnd"/>
      <w:r w:rsidRPr="00E6421C">
        <w:rPr>
          <w:sz w:val="16"/>
          <w:szCs w:val="16"/>
          <w:lang w:val="es-MX"/>
        </w:rPr>
        <w:t xml:space="preserve"> Leila Siria Poblete Tapia el 6 de octubre de 201</w:t>
      </w:r>
      <w:r>
        <w:rPr>
          <w:sz w:val="16"/>
          <w:szCs w:val="16"/>
          <w:lang w:val="es-MX"/>
        </w:rPr>
        <w:t>7</w:t>
      </w:r>
      <w:r w:rsidRPr="00E6421C">
        <w:rPr>
          <w:sz w:val="16"/>
          <w:szCs w:val="16"/>
          <w:lang w:val="es-MX"/>
        </w:rPr>
        <w:t xml:space="preserve">, </w:t>
      </w:r>
      <w:r w:rsidRPr="00062586">
        <w:rPr>
          <w:i/>
          <w:sz w:val="16"/>
          <w:szCs w:val="16"/>
          <w:lang w:val="es-MX"/>
        </w:rPr>
        <w:t>supra</w:t>
      </w:r>
      <w:proofErr w:type="gramStart"/>
      <w:r>
        <w:rPr>
          <w:i/>
          <w:sz w:val="16"/>
          <w:szCs w:val="16"/>
          <w:lang w:val="es-MX"/>
        </w:rPr>
        <w:t>,</w:t>
      </w:r>
      <w:r>
        <w:rPr>
          <w:sz w:val="16"/>
          <w:szCs w:val="16"/>
          <w:lang w:val="es-MX"/>
        </w:rPr>
        <w:t>(</w:t>
      </w:r>
      <w:proofErr w:type="gramEnd"/>
      <w:r>
        <w:rPr>
          <w:sz w:val="16"/>
          <w:szCs w:val="16"/>
          <w:lang w:val="es-MX"/>
        </w:rPr>
        <w:t xml:space="preserve">expediente de prueba, </w:t>
      </w:r>
      <w:r w:rsidRPr="00E6421C">
        <w:rPr>
          <w:sz w:val="16"/>
          <w:szCs w:val="16"/>
          <w:lang w:val="es-MX"/>
        </w:rPr>
        <w:t>f</w:t>
      </w:r>
      <w:r>
        <w:rPr>
          <w:sz w:val="16"/>
          <w:szCs w:val="16"/>
          <w:lang w:val="es-MX"/>
        </w:rPr>
        <w:t>.</w:t>
      </w:r>
      <w:r w:rsidRPr="00E6421C">
        <w:rPr>
          <w:sz w:val="16"/>
          <w:szCs w:val="16"/>
          <w:lang w:val="es-MX"/>
        </w:rPr>
        <w:t xml:space="preserve"> 4467</w:t>
      </w:r>
      <w:r>
        <w:rPr>
          <w:sz w:val="16"/>
          <w:szCs w:val="16"/>
          <w:lang w:val="es-MX"/>
        </w:rPr>
        <w:t>),</w:t>
      </w:r>
      <w:r w:rsidRPr="00E6421C">
        <w:rPr>
          <w:sz w:val="16"/>
          <w:szCs w:val="16"/>
          <w:lang w:val="es-MX"/>
        </w:rPr>
        <w:t xml:space="preserve"> y Declaración rendida ante fedatario público por Alejandra Marcela Fuentes Poblete el 6 de octubre de 2017</w:t>
      </w:r>
      <w:r w:rsidRPr="000214BA">
        <w:rPr>
          <w:sz w:val="16"/>
          <w:szCs w:val="16"/>
          <w:lang w:val="es-MX"/>
        </w:rPr>
        <w:t xml:space="preserve">, </w:t>
      </w:r>
      <w:r w:rsidRPr="00062586">
        <w:rPr>
          <w:i/>
          <w:sz w:val="16"/>
          <w:szCs w:val="16"/>
          <w:lang w:val="es-MX"/>
        </w:rPr>
        <w:t>supra</w:t>
      </w:r>
      <w:r>
        <w:rPr>
          <w:i/>
          <w:sz w:val="16"/>
          <w:szCs w:val="16"/>
          <w:lang w:val="es-MX"/>
        </w:rPr>
        <w:t xml:space="preserve">, </w:t>
      </w:r>
      <w:r>
        <w:rPr>
          <w:sz w:val="16"/>
          <w:szCs w:val="16"/>
          <w:lang w:val="es-MX"/>
        </w:rPr>
        <w:t>(expediente de prueba,</w:t>
      </w:r>
      <w:r>
        <w:rPr>
          <w:i/>
          <w:sz w:val="16"/>
          <w:szCs w:val="16"/>
          <w:lang w:val="es-MX"/>
        </w:rPr>
        <w:t xml:space="preserve"> </w:t>
      </w:r>
      <w:r w:rsidRPr="000214BA">
        <w:rPr>
          <w:sz w:val="16"/>
          <w:szCs w:val="16"/>
          <w:lang w:val="es-MX"/>
        </w:rPr>
        <w:t>f</w:t>
      </w:r>
      <w:r>
        <w:rPr>
          <w:sz w:val="16"/>
          <w:szCs w:val="16"/>
          <w:lang w:val="es-MX"/>
        </w:rPr>
        <w:t>.</w:t>
      </w:r>
      <w:r w:rsidRPr="000214BA">
        <w:rPr>
          <w:sz w:val="16"/>
          <w:szCs w:val="16"/>
          <w:lang w:val="es-MX"/>
        </w:rPr>
        <w:t xml:space="preserve"> 4472</w:t>
      </w:r>
      <w:r>
        <w:rPr>
          <w:sz w:val="16"/>
          <w:szCs w:val="16"/>
          <w:lang w:val="es-MX"/>
        </w:rPr>
        <w:t>)</w:t>
      </w:r>
      <w:r w:rsidRPr="000214BA">
        <w:rPr>
          <w:sz w:val="16"/>
          <w:szCs w:val="16"/>
          <w:lang w:val="es-MX"/>
        </w:rPr>
        <w:t>.</w:t>
      </w:r>
    </w:p>
  </w:footnote>
  <w:footnote w:id="62">
    <w:p w14:paraId="427604F2" w14:textId="57B2B03E" w:rsidR="003C025E" w:rsidRPr="000214BA"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lang w:val="es-MX"/>
        </w:rPr>
        <w:t xml:space="preserve">Declaración rendida ante fedatario público por </w:t>
      </w:r>
      <w:proofErr w:type="spellStart"/>
      <w:r w:rsidRPr="000214BA">
        <w:rPr>
          <w:sz w:val="16"/>
          <w:szCs w:val="16"/>
          <w:lang w:val="es-MX"/>
        </w:rPr>
        <w:t>Cesia</w:t>
      </w:r>
      <w:proofErr w:type="spellEnd"/>
      <w:r w:rsidRPr="000214BA">
        <w:rPr>
          <w:sz w:val="16"/>
          <w:szCs w:val="16"/>
          <w:lang w:val="es-MX"/>
        </w:rPr>
        <w:t xml:space="preserve"> Leila Siria Poblete Tapia el 6 de octubre de 2017</w:t>
      </w:r>
      <w:r>
        <w:rPr>
          <w:i/>
          <w:sz w:val="16"/>
          <w:szCs w:val="16"/>
          <w:lang w:val="es-MX"/>
        </w:rPr>
        <w:t xml:space="preserve"> </w:t>
      </w:r>
      <w:r>
        <w:rPr>
          <w:sz w:val="16"/>
          <w:szCs w:val="16"/>
          <w:lang w:val="es-MX"/>
        </w:rPr>
        <w:t>(expediente de prueba, affidávits de los representantes,</w:t>
      </w:r>
      <w:r>
        <w:rPr>
          <w:i/>
          <w:sz w:val="16"/>
          <w:szCs w:val="16"/>
          <w:lang w:val="es-MX"/>
        </w:rPr>
        <w:t xml:space="preserve"> </w:t>
      </w:r>
      <w:r w:rsidRPr="000214BA">
        <w:rPr>
          <w:sz w:val="16"/>
          <w:szCs w:val="16"/>
          <w:lang w:val="es-MX"/>
        </w:rPr>
        <w:t>f</w:t>
      </w:r>
      <w:r>
        <w:rPr>
          <w:sz w:val="16"/>
          <w:szCs w:val="16"/>
          <w:lang w:val="es-MX"/>
        </w:rPr>
        <w:t>.</w:t>
      </w:r>
      <w:r w:rsidRPr="000214BA">
        <w:rPr>
          <w:sz w:val="16"/>
          <w:szCs w:val="16"/>
          <w:lang w:val="es-MX"/>
        </w:rPr>
        <w:t xml:space="preserve"> 4467</w:t>
      </w:r>
      <w:r>
        <w:rPr>
          <w:sz w:val="16"/>
          <w:szCs w:val="16"/>
          <w:lang w:val="es-MX"/>
        </w:rPr>
        <w:t xml:space="preserve">), </w:t>
      </w:r>
      <w:r w:rsidRPr="000214BA">
        <w:rPr>
          <w:sz w:val="16"/>
          <w:szCs w:val="16"/>
          <w:lang w:val="es-MX"/>
        </w:rPr>
        <w:t xml:space="preserve">y Querella criminal </w:t>
      </w:r>
      <w:r>
        <w:rPr>
          <w:sz w:val="16"/>
          <w:szCs w:val="16"/>
          <w:lang w:val="es-MX"/>
        </w:rPr>
        <w:t>presentada</w:t>
      </w:r>
      <w:r w:rsidRPr="000214BA">
        <w:rPr>
          <w:sz w:val="16"/>
          <w:szCs w:val="16"/>
          <w:lang w:val="es-MX"/>
        </w:rPr>
        <w:t xml:space="preserve"> por Blanca Tapia Encina y </w:t>
      </w:r>
      <w:proofErr w:type="spellStart"/>
      <w:r w:rsidRPr="000214BA">
        <w:rPr>
          <w:sz w:val="16"/>
          <w:szCs w:val="16"/>
          <w:lang w:val="es-MX"/>
        </w:rPr>
        <w:t>Cesia</w:t>
      </w:r>
      <w:proofErr w:type="spellEnd"/>
      <w:r w:rsidRPr="000214BA">
        <w:rPr>
          <w:sz w:val="16"/>
          <w:szCs w:val="16"/>
          <w:lang w:val="es-MX"/>
        </w:rPr>
        <w:t xml:space="preserve"> </w:t>
      </w:r>
      <w:r>
        <w:rPr>
          <w:sz w:val="16"/>
          <w:szCs w:val="16"/>
          <w:lang w:val="es-MX"/>
        </w:rPr>
        <w:t xml:space="preserve">Leila </w:t>
      </w:r>
      <w:r w:rsidRPr="000214BA">
        <w:rPr>
          <w:sz w:val="16"/>
          <w:szCs w:val="16"/>
          <w:lang w:val="es-MX"/>
        </w:rPr>
        <w:t>Poblete Tapia ante el Primer Juzgado Civil de Puente Alto el 12 de noviembre de 2001</w:t>
      </w:r>
      <w:r>
        <w:rPr>
          <w:sz w:val="16"/>
          <w:szCs w:val="16"/>
        </w:rPr>
        <w:t xml:space="preserve"> (expediente de prueba,</w:t>
      </w:r>
      <w:r w:rsidRPr="000214BA">
        <w:rPr>
          <w:sz w:val="16"/>
          <w:szCs w:val="16"/>
        </w:rPr>
        <w:t xml:space="preserve"> </w:t>
      </w:r>
      <w:r>
        <w:rPr>
          <w:sz w:val="16"/>
          <w:szCs w:val="16"/>
        </w:rPr>
        <w:t>anexo 6 del Informe de Fondo,</w:t>
      </w:r>
      <w:r w:rsidRPr="000214BA">
        <w:rPr>
          <w:sz w:val="16"/>
          <w:szCs w:val="16"/>
        </w:rPr>
        <w:t xml:space="preserve"> </w:t>
      </w:r>
      <w:r>
        <w:rPr>
          <w:sz w:val="16"/>
          <w:szCs w:val="16"/>
        </w:rPr>
        <w:t xml:space="preserve">f. </w:t>
      </w:r>
      <w:r w:rsidRPr="000214BA">
        <w:rPr>
          <w:sz w:val="16"/>
          <w:szCs w:val="16"/>
        </w:rPr>
        <w:t>27</w:t>
      </w:r>
      <w:r>
        <w:rPr>
          <w:sz w:val="16"/>
          <w:szCs w:val="16"/>
        </w:rPr>
        <w:t>)</w:t>
      </w:r>
      <w:r w:rsidRPr="000214BA">
        <w:rPr>
          <w:sz w:val="16"/>
          <w:szCs w:val="16"/>
        </w:rPr>
        <w:t>.</w:t>
      </w:r>
    </w:p>
  </w:footnote>
  <w:footnote w:id="63">
    <w:p w14:paraId="44A87F52" w14:textId="35DD2537" w:rsidR="003C025E" w:rsidRPr="000214BA"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lang w:val="es-MX"/>
        </w:rPr>
        <w:t xml:space="preserve">Querella criminal </w:t>
      </w:r>
      <w:r>
        <w:rPr>
          <w:sz w:val="16"/>
          <w:szCs w:val="16"/>
          <w:lang w:val="es-MX"/>
        </w:rPr>
        <w:t>presentada</w:t>
      </w:r>
      <w:r w:rsidRPr="000214BA">
        <w:rPr>
          <w:sz w:val="16"/>
          <w:szCs w:val="16"/>
          <w:lang w:val="es-MX"/>
        </w:rPr>
        <w:t xml:space="preserve"> por Blanca Tapia Encina y </w:t>
      </w:r>
      <w:proofErr w:type="spellStart"/>
      <w:r w:rsidRPr="000214BA">
        <w:rPr>
          <w:sz w:val="16"/>
          <w:szCs w:val="16"/>
          <w:lang w:val="es-MX"/>
        </w:rPr>
        <w:t>Cesia</w:t>
      </w:r>
      <w:proofErr w:type="spellEnd"/>
      <w:r w:rsidRPr="000214BA">
        <w:rPr>
          <w:sz w:val="16"/>
          <w:szCs w:val="16"/>
          <w:lang w:val="es-MX"/>
        </w:rPr>
        <w:t xml:space="preserve"> Poblete Tapia ante el Primer Juzgado Civil de Puente Alto el 12 de noviembre de 2001</w:t>
      </w:r>
      <w:r>
        <w:rPr>
          <w:i/>
          <w:sz w:val="16"/>
          <w:szCs w:val="16"/>
        </w:rPr>
        <w:t xml:space="preserve"> </w:t>
      </w:r>
      <w:r>
        <w:rPr>
          <w:sz w:val="16"/>
          <w:szCs w:val="16"/>
        </w:rPr>
        <w:t>(expediente de prueba,</w:t>
      </w:r>
      <w:r w:rsidRPr="000214BA">
        <w:rPr>
          <w:sz w:val="16"/>
          <w:szCs w:val="16"/>
        </w:rPr>
        <w:t xml:space="preserve"> </w:t>
      </w:r>
      <w:r>
        <w:rPr>
          <w:sz w:val="16"/>
          <w:szCs w:val="16"/>
        </w:rPr>
        <w:t xml:space="preserve">anexo 6 del Informe de Fondo, </w:t>
      </w:r>
      <w:r w:rsidRPr="000214BA">
        <w:rPr>
          <w:sz w:val="16"/>
          <w:szCs w:val="16"/>
        </w:rPr>
        <w:t>f. 28</w:t>
      </w:r>
      <w:r>
        <w:rPr>
          <w:sz w:val="16"/>
          <w:szCs w:val="16"/>
        </w:rPr>
        <w:t>).</w:t>
      </w:r>
    </w:p>
  </w:footnote>
  <w:footnote w:id="64">
    <w:p w14:paraId="0F294A9A" w14:textId="126C1D69" w:rsidR="003C025E" w:rsidRPr="00C64243"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Pr>
          <w:i/>
          <w:sz w:val="16"/>
          <w:szCs w:val="16"/>
        </w:rPr>
        <w:t xml:space="preserve"> </w:t>
      </w:r>
      <w:r w:rsidRPr="000214BA">
        <w:rPr>
          <w:sz w:val="16"/>
          <w:szCs w:val="16"/>
          <w:lang w:val="es-MX"/>
        </w:rPr>
        <w:t xml:space="preserve">Querella criminal interpuesta por Blanca Tapia Encina y </w:t>
      </w:r>
      <w:proofErr w:type="spellStart"/>
      <w:r w:rsidRPr="000214BA">
        <w:rPr>
          <w:sz w:val="16"/>
          <w:szCs w:val="16"/>
          <w:lang w:val="es-MX"/>
        </w:rPr>
        <w:t>Cesia</w:t>
      </w:r>
      <w:proofErr w:type="spellEnd"/>
      <w:r w:rsidRPr="000214BA">
        <w:rPr>
          <w:sz w:val="16"/>
          <w:szCs w:val="16"/>
          <w:lang w:val="es-MX"/>
        </w:rPr>
        <w:t xml:space="preserve"> Poblete Tapia ante el Primer Juzgado Civil de Puente Alto el 12 de noviembre de 2001</w:t>
      </w:r>
      <w:r>
        <w:rPr>
          <w:sz w:val="16"/>
          <w:szCs w:val="16"/>
        </w:rPr>
        <w:t xml:space="preserve"> (expediente de prueba,</w:t>
      </w:r>
      <w:r w:rsidRPr="000214BA">
        <w:rPr>
          <w:sz w:val="16"/>
          <w:szCs w:val="16"/>
        </w:rPr>
        <w:t xml:space="preserve"> </w:t>
      </w:r>
      <w:r>
        <w:rPr>
          <w:sz w:val="16"/>
          <w:szCs w:val="16"/>
        </w:rPr>
        <w:t>anexo 6 del Informe de Fondo,</w:t>
      </w:r>
      <w:r w:rsidRPr="000214BA">
        <w:rPr>
          <w:sz w:val="16"/>
          <w:szCs w:val="16"/>
        </w:rPr>
        <w:t xml:space="preserve"> </w:t>
      </w:r>
      <w:proofErr w:type="spellStart"/>
      <w:r>
        <w:rPr>
          <w:sz w:val="16"/>
          <w:szCs w:val="16"/>
        </w:rPr>
        <w:t>f</w:t>
      </w:r>
      <w:r w:rsidRPr="000214BA">
        <w:rPr>
          <w:sz w:val="16"/>
          <w:szCs w:val="16"/>
        </w:rPr>
        <w:t>f</w:t>
      </w:r>
      <w:proofErr w:type="spellEnd"/>
      <w:r w:rsidRPr="000214BA">
        <w:rPr>
          <w:sz w:val="16"/>
          <w:szCs w:val="16"/>
        </w:rPr>
        <w:t>. 32 a 34</w:t>
      </w:r>
      <w:r>
        <w:rPr>
          <w:sz w:val="16"/>
          <w:szCs w:val="16"/>
        </w:rPr>
        <w:t>)</w:t>
      </w:r>
      <w:r w:rsidRPr="000214BA">
        <w:rPr>
          <w:sz w:val="16"/>
          <w:szCs w:val="16"/>
        </w:rPr>
        <w:t>.</w:t>
      </w:r>
    </w:p>
  </w:footnote>
  <w:footnote w:id="65">
    <w:p w14:paraId="3E1FB94E" w14:textId="61F4789D" w:rsidR="003C025E" w:rsidRPr="000214BA"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rPr>
        <w:t>Resolución del Primer Juzgado Civil de Puente Alto de 12 de noviembre de 2001 (expediente de prueba, anexo 18 del Informe de Fondo, f. 128).</w:t>
      </w:r>
    </w:p>
  </w:footnote>
  <w:footnote w:id="66">
    <w:p w14:paraId="6214CA7D" w14:textId="421FDC11" w:rsidR="003C025E" w:rsidRPr="000214BA"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rPr>
        <w:t>Resolución del Tercer Juzgado del Crimen el 23 de noviembre de 2001 (expediente de prueba, anexo 19 del Informe de Fondo, f. 130).</w:t>
      </w:r>
    </w:p>
  </w:footnote>
  <w:footnote w:id="67">
    <w:p w14:paraId="52A8FF7E" w14:textId="5B4A5D41"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rPr>
        <w:t>Resolución del Primer Juzgado Civil de Puente Alto el 11 de diciembre de 2001 (expediente de prueba, anexo 20 del Informe de Fondo, f. 132).</w:t>
      </w:r>
    </w:p>
  </w:footnote>
  <w:footnote w:id="68">
    <w:p w14:paraId="385E55B2" w14:textId="1AAE17F2" w:rsidR="003C025E" w:rsidRPr="000214BA"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rPr>
        <w:t>Resolución del Primer Juzgado Civil de Puente Alto el 11 de diciembre de 2001</w:t>
      </w:r>
      <w:r>
        <w:rPr>
          <w:sz w:val="16"/>
          <w:szCs w:val="16"/>
        </w:rPr>
        <w:t xml:space="preserve"> (expediente de prueba, anexo 20 del Informe de Fondo,</w:t>
      </w:r>
      <w:r>
        <w:rPr>
          <w:i/>
          <w:sz w:val="16"/>
          <w:szCs w:val="16"/>
        </w:rPr>
        <w:t xml:space="preserve"> </w:t>
      </w:r>
      <w:r w:rsidRPr="000214BA">
        <w:rPr>
          <w:sz w:val="16"/>
          <w:szCs w:val="16"/>
        </w:rPr>
        <w:t>f. 132)</w:t>
      </w:r>
      <w:r>
        <w:rPr>
          <w:sz w:val="16"/>
          <w:szCs w:val="16"/>
        </w:rPr>
        <w:t>,</w:t>
      </w:r>
      <w:r w:rsidRPr="000214BA">
        <w:rPr>
          <w:sz w:val="16"/>
          <w:szCs w:val="16"/>
        </w:rPr>
        <w:t xml:space="preserve"> y Resolución del Primer Juzgado Civil de Puente Alto el 24 de diciembre de 2001 (expediente de prueba, anexo 21 del Informe de Fondo, f. 134).</w:t>
      </w:r>
    </w:p>
  </w:footnote>
  <w:footnote w:id="69">
    <w:p w14:paraId="160A6E1A" w14:textId="66B6F417" w:rsidR="003C025E" w:rsidRPr="000214BA"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rPr>
        <w:t>Resolución de la Corte de Apelaciones de San Miguel el 6 de febrero de 2002 (expediente de prueba, anexo 22 del Informe de Fondo, f. 136).</w:t>
      </w:r>
    </w:p>
  </w:footnote>
  <w:footnote w:id="70">
    <w:p w14:paraId="292E8628" w14:textId="13BF1151" w:rsidR="003C025E" w:rsidRPr="00DF0588"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rPr>
        <w:t xml:space="preserve">Auto del Primer Juzgado Civil de Puente Alto el 13 de febrero de 2002 (expediente de prueba, anexo 23 del </w:t>
      </w:r>
      <w:r w:rsidRPr="00E82A22">
        <w:rPr>
          <w:sz w:val="16"/>
          <w:szCs w:val="16"/>
        </w:rPr>
        <w:t>Informe de Fondo, f. 138)</w:t>
      </w:r>
      <w:r>
        <w:rPr>
          <w:sz w:val="16"/>
          <w:szCs w:val="16"/>
        </w:rPr>
        <w:t>.</w:t>
      </w:r>
      <w:r w:rsidRPr="00E82A22">
        <w:rPr>
          <w:sz w:val="16"/>
          <w:szCs w:val="16"/>
        </w:rPr>
        <w:t xml:space="preserve"> </w:t>
      </w:r>
      <w:r w:rsidRPr="00C64243">
        <w:rPr>
          <w:sz w:val="16"/>
          <w:szCs w:val="16"/>
        </w:rPr>
        <w:t xml:space="preserve">Nota: el Auto incluye la orden de investigar por la Brigada de Homicidios, </w:t>
      </w:r>
      <w:r>
        <w:rPr>
          <w:sz w:val="16"/>
          <w:szCs w:val="16"/>
        </w:rPr>
        <w:t xml:space="preserve">bajo el </w:t>
      </w:r>
      <w:r w:rsidRPr="00C64243">
        <w:rPr>
          <w:sz w:val="16"/>
          <w:szCs w:val="16"/>
        </w:rPr>
        <w:t>Rol con el No. 75821-M</w:t>
      </w:r>
      <w:r>
        <w:rPr>
          <w:sz w:val="16"/>
          <w:szCs w:val="16"/>
        </w:rPr>
        <w:t>.</w:t>
      </w:r>
    </w:p>
  </w:footnote>
  <w:footnote w:id="71">
    <w:p w14:paraId="6F617EA7" w14:textId="11D41D12" w:rsidR="003C025E" w:rsidRPr="00AB1E03" w:rsidRDefault="003C025E" w:rsidP="00713D68">
      <w:pPr>
        <w:pStyle w:val="FootnoteText"/>
        <w:ind w:right="-319"/>
        <w:rPr>
          <w:sz w:val="16"/>
          <w:szCs w:val="16"/>
        </w:rPr>
      </w:pPr>
      <w:r w:rsidRPr="00AB1E03">
        <w:rPr>
          <w:rStyle w:val="FootnoteReference"/>
          <w:sz w:val="16"/>
          <w:szCs w:val="16"/>
        </w:rPr>
        <w:footnoteRef/>
      </w:r>
      <w:r w:rsidRPr="00AB1E03">
        <w:rPr>
          <w:sz w:val="16"/>
          <w:szCs w:val="16"/>
        </w:rPr>
        <w:t xml:space="preserve"> </w:t>
      </w:r>
      <w:r w:rsidRPr="00AB1E03">
        <w:rPr>
          <w:sz w:val="16"/>
          <w:szCs w:val="16"/>
        </w:rPr>
        <w:tab/>
      </w:r>
      <w:r>
        <w:rPr>
          <w:i/>
          <w:sz w:val="16"/>
          <w:szCs w:val="16"/>
        </w:rPr>
        <w:t xml:space="preserve">Cfr. </w:t>
      </w:r>
      <w:r w:rsidRPr="00B1523A">
        <w:rPr>
          <w:sz w:val="16"/>
        </w:rPr>
        <w:t>Auto del Primer Juzgado Civil de Puente Alto el 13 de febrero de 2002 (exp</w:t>
      </w:r>
      <w:r>
        <w:rPr>
          <w:sz w:val="16"/>
        </w:rPr>
        <w:t xml:space="preserve">ediente de prueba, anexo 23 del </w:t>
      </w:r>
      <w:r w:rsidRPr="00B1523A">
        <w:rPr>
          <w:sz w:val="16"/>
        </w:rPr>
        <w:t>Informe de Fondo, f. 138).</w:t>
      </w:r>
    </w:p>
  </w:footnote>
  <w:footnote w:id="72">
    <w:p w14:paraId="78DD7489" w14:textId="62F4E1CE" w:rsidR="003C025E" w:rsidRPr="00383565" w:rsidRDefault="003C025E" w:rsidP="00E22B60">
      <w:pPr>
        <w:pStyle w:val="FootnoteText"/>
        <w:ind w:right="-360"/>
        <w:rPr>
          <w:sz w:val="16"/>
          <w:szCs w:val="16"/>
        </w:rPr>
      </w:pPr>
      <w:r w:rsidRPr="00383565">
        <w:rPr>
          <w:rStyle w:val="FootnoteReference"/>
          <w:rFonts w:eastAsia="MS Mincho"/>
          <w:sz w:val="16"/>
          <w:szCs w:val="16"/>
        </w:rPr>
        <w:footnoteRef/>
      </w:r>
      <w:r w:rsidRPr="00383565">
        <w:rPr>
          <w:sz w:val="16"/>
          <w:szCs w:val="16"/>
        </w:rPr>
        <w:t xml:space="preserve"> </w:t>
      </w:r>
      <w:r w:rsidRPr="00383565">
        <w:rPr>
          <w:sz w:val="16"/>
          <w:szCs w:val="16"/>
        </w:rPr>
        <w:tab/>
      </w:r>
      <w:r>
        <w:rPr>
          <w:i/>
          <w:sz w:val="16"/>
          <w:szCs w:val="16"/>
        </w:rPr>
        <w:t xml:space="preserve">Cfr. </w:t>
      </w:r>
      <w:r w:rsidRPr="00383565">
        <w:rPr>
          <w:sz w:val="16"/>
          <w:szCs w:val="16"/>
        </w:rPr>
        <w:t xml:space="preserve">Autos del Primer Juzgado Civil de Puente Alto el 16 de octubre de 2002 y 14 de noviembre de 2002 (expediente de prueba, anexo 24 del Informe de Fondo, </w:t>
      </w:r>
      <w:proofErr w:type="spellStart"/>
      <w:r w:rsidRPr="00383565">
        <w:rPr>
          <w:sz w:val="16"/>
          <w:szCs w:val="16"/>
        </w:rPr>
        <w:t>f</w:t>
      </w:r>
      <w:r>
        <w:rPr>
          <w:sz w:val="16"/>
          <w:szCs w:val="16"/>
        </w:rPr>
        <w:t>f</w:t>
      </w:r>
      <w:proofErr w:type="spellEnd"/>
      <w:r w:rsidRPr="00383565">
        <w:rPr>
          <w:sz w:val="16"/>
          <w:szCs w:val="16"/>
        </w:rPr>
        <w:t>. 140</w:t>
      </w:r>
      <w:r>
        <w:rPr>
          <w:sz w:val="16"/>
          <w:szCs w:val="16"/>
        </w:rPr>
        <w:t xml:space="preserve"> a </w:t>
      </w:r>
      <w:r w:rsidRPr="00383565">
        <w:rPr>
          <w:sz w:val="16"/>
          <w:szCs w:val="16"/>
        </w:rPr>
        <w:t>142).</w:t>
      </w:r>
    </w:p>
  </w:footnote>
  <w:footnote w:id="73">
    <w:p w14:paraId="62CC9AF6" w14:textId="606EE166" w:rsidR="003C025E" w:rsidRPr="000214BA" w:rsidRDefault="003C025E" w:rsidP="00E22B60">
      <w:pPr>
        <w:pStyle w:val="FootnoteText"/>
        <w:ind w:right="-360"/>
        <w:rPr>
          <w:sz w:val="16"/>
          <w:szCs w:val="16"/>
        </w:rPr>
      </w:pPr>
      <w:r w:rsidRPr="00383565">
        <w:rPr>
          <w:rStyle w:val="FootnoteReference"/>
          <w:rFonts w:eastAsia="MS Mincho"/>
          <w:sz w:val="16"/>
          <w:szCs w:val="16"/>
        </w:rPr>
        <w:footnoteRef/>
      </w:r>
      <w:r w:rsidRPr="00E82A22">
        <w:rPr>
          <w:sz w:val="16"/>
          <w:szCs w:val="16"/>
        </w:rPr>
        <w:t xml:space="preserve"> </w:t>
      </w:r>
      <w:r w:rsidRPr="00383565">
        <w:rPr>
          <w:sz w:val="16"/>
          <w:szCs w:val="16"/>
        </w:rPr>
        <w:tab/>
      </w:r>
      <w:r>
        <w:rPr>
          <w:i/>
          <w:sz w:val="16"/>
          <w:szCs w:val="16"/>
        </w:rPr>
        <w:t xml:space="preserve">Cfr. </w:t>
      </w:r>
      <w:r>
        <w:rPr>
          <w:sz w:val="16"/>
          <w:szCs w:val="16"/>
        </w:rPr>
        <w:t xml:space="preserve">Informe de 5 de abril de 2003 del Médico Asesor Criminalista, Dr. José </w:t>
      </w:r>
      <w:proofErr w:type="spellStart"/>
      <w:r>
        <w:rPr>
          <w:sz w:val="16"/>
          <w:szCs w:val="16"/>
        </w:rPr>
        <w:t>Belleti</w:t>
      </w:r>
      <w:proofErr w:type="spellEnd"/>
      <w:r>
        <w:rPr>
          <w:sz w:val="16"/>
          <w:szCs w:val="16"/>
        </w:rPr>
        <w:t xml:space="preserve"> Barrera, de la Brigada de Homicidios Metropolitana de la Policía de Investigaciones de Chile (expediente de prueba, expediente de trámite ante la CIDH, </w:t>
      </w:r>
      <w:proofErr w:type="spellStart"/>
      <w:r>
        <w:rPr>
          <w:sz w:val="16"/>
          <w:szCs w:val="16"/>
        </w:rPr>
        <w:t>ff</w:t>
      </w:r>
      <w:proofErr w:type="spellEnd"/>
      <w:r>
        <w:rPr>
          <w:sz w:val="16"/>
          <w:szCs w:val="16"/>
        </w:rPr>
        <w:t>. 2405 a 2408).</w:t>
      </w:r>
    </w:p>
  </w:footnote>
  <w:footnote w:id="74">
    <w:p w14:paraId="5E61BE7C" w14:textId="18C9DF86" w:rsidR="003C025E" w:rsidRPr="000214BA"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rPr>
        <w:t xml:space="preserve">Declaración ante el Primer Juzgado Civil de Puente Alto </w:t>
      </w:r>
      <w:r>
        <w:rPr>
          <w:sz w:val="16"/>
          <w:szCs w:val="16"/>
        </w:rPr>
        <w:t>de</w:t>
      </w:r>
      <w:r w:rsidRPr="000214BA">
        <w:rPr>
          <w:sz w:val="16"/>
          <w:szCs w:val="16"/>
        </w:rPr>
        <w:t xml:space="preserve"> Ximena del Pilar Echeverría </w:t>
      </w:r>
      <w:proofErr w:type="spellStart"/>
      <w:r w:rsidRPr="000214BA">
        <w:rPr>
          <w:sz w:val="16"/>
          <w:szCs w:val="16"/>
        </w:rPr>
        <w:t>Pe</w:t>
      </w:r>
      <w:r>
        <w:rPr>
          <w:sz w:val="16"/>
          <w:szCs w:val="16"/>
        </w:rPr>
        <w:t>z</w:t>
      </w:r>
      <w:r w:rsidRPr="000214BA">
        <w:rPr>
          <w:sz w:val="16"/>
          <w:szCs w:val="16"/>
        </w:rPr>
        <w:t>oa</w:t>
      </w:r>
      <w:proofErr w:type="spellEnd"/>
      <w:r w:rsidRPr="000214BA">
        <w:rPr>
          <w:sz w:val="16"/>
          <w:szCs w:val="16"/>
        </w:rPr>
        <w:t xml:space="preserve"> el 13 de mayo de 2003 (expediente de prueba, anexo 27 del Informe de Fondo, f. 157).</w:t>
      </w:r>
    </w:p>
  </w:footnote>
  <w:footnote w:id="75">
    <w:p w14:paraId="66D58332" w14:textId="1390C683"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rPr>
        <w:t xml:space="preserve">Declaración ante el Primer Juzgado Civil de Puente Alto por Humberto Reinaldo </w:t>
      </w:r>
      <w:proofErr w:type="spellStart"/>
      <w:r w:rsidRPr="000214BA">
        <w:rPr>
          <w:sz w:val="16"/>
          <w:szCs w:val="16"/>
        </w:rPr>
        <w:t>Montecinos</w:t>
      </w:r>
      <w:proofErr w:type="spellEnd"/>
      <w:r w:rsidRPr="000214BA">
        <w:rPr>
          <w:sz w:val="16"/>
          <w:szCs w:val="16"/>
        </w:rPr>
        <w:t xml:space="preserve"> </w:t>
      </w:r>
      <w:proofErr w:type="spellStart"/>
      <w:r w:rsidRPr="000214BA">
        <w:rPr>
          <w:sz w:val="16"/>
          <w:szCs w:val="16"/>
        </w:rPr>
        <w:t>Salucci</w:t>
      </w:r>
      <w:proofErr w:type="spellEnd"/>
      <w:r w:rsidRPr="000214BA">
        <w:rPr>
          <w:sz w:val="16"/>
          <w:szCs w:val="16"/>
        </w:rPr>
        <w:t xml:space="preserve"> el 20 de mayo de 2003 (expediente de prueba, anexo 28 del Informe de Fondo, f. 159).</w:t>
      </w:r>
    </w:p>
  </w:footnote>
  <w:footnote w:id="76">
    <w:p w14:paraId="28170170" w14:textId="341C5739"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rPr>
        <w:t>Declaración ante el Primer Juzgado Civil de Puente Alto por Sandra Zoraida Castillo Montufar el 3 de diciembre de 2003 (expediente de prueba, anexo 10 del Informe de Fondo, f. 104).</w:t>
      </w:r>
    </w:p>
  </w:footnote>
  <w:footnote w:id="77">
    <w:p w14:paraId="159EEB39" w14:textId="23D9662C"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rPr>
        <w:t>Auto del Primer Juzgado Civil de Puente Alto el 28 de febrero de 2004 (expediente de prueba, anexo 30 del Informe de Fondo, f. 163)</w:t>
      </w:r>
      <w:r>
        <w:rPr>
          <w:sz w:val="16"/>
          <w:szCs w:val="16"/>
        </w:rPr>
        <w:t>;</w:t>
      </w:r>
      <w:r w:rsidRPr="000214BA">
        <w:rPr>
          <w:sz w:val="16"/>
          <w:szCs w:val="16"/>
        </w:rPr>
        <w:t xml:space="preserve"> Oficio No. 261 del Primer Juzgado Civil de Puente Alto el 28 de febrero de 2004 (expediente de prueba, anexo 31 del Informe de Fondo, f. 165)</w:t>
      </w:r>
      <w:r>
        <w:rPr>
          <w:sz w:val="16"/>
          <w:szCs w:val="16"/>
        </w:rPr>
        <w:t>,</w:t>
      </w:r>
      <w:r w:rsidRPr="000214BA">
        <w:rPr>
          <w:sz w:val="16"/>
          <w:szCs w:val="16"/>
        </w:rPr>
        <w:t xml:space="preserve"> Auto del Primer Juzgado Civil de Puente Alto el 20 de diciembre de 2004 (expediente de prueba, anexo 32 del Informe de Fondo, f. 167)</w:t>
      </w:r>
      <w:r>
        <w:rPr>
          <w:sz w:val="16"/>
          <w:szCs w:val="16"/>
        </w:rPr>
        <w:t>,</w:t>
      </w:r>
      <w:r w:rsidRPr="000214BA">
        <w:rPr>
          <w:sz w:val="16"/>
          <w:szCs w:val="16"/>
        </w:rPr>
        <w:t xml:space="preserve"> </w:t>
      </w:r>
      <w:r>
        <w:rPr>
          <w:sz w:val="16"/>
          <w:szCs w:val="16"/>
        </w:rPr>
        <w:t>y</w:t>
      </w:r>
      <w:r w:rsidRPr="000214BA">
        <w:rPr>
          <w:sz w:val="16"/>
          <w:szCs w:val="16"/>
        </w:rPr>
        <w:t xml:space="preserve"> Orden de </w:t>
      </w:r>
      <w:r>
        <w:rPr>
          <w:sz w:val="16"/>
          <w:szCs w:val="16"/>
        </w:rPr>
        <w:t>aprehensión</w:t>
      </w:r>
      <w:r w:rsidRPr="000214BA">
        <w:rPr>
          <w:sz w:val="16"/>
          <w:szCs w:val="16"/>
        </w:rPr>
        <w:t xml:space="preserve"> del Primer Juzgado Civil de Puente Alto el 31 de octubre de 2005 (expediente de prueba,</w:t>
      </w:r>
      <w:r>
        <w:rPr>
          <w:sz w:val="16"/>
          <w:szCs w:val="16"/>
        </w:rPr>
        <w:t xml:space="preserve"> anexo</w:t>
      </w:r>
      <w:r w:rsidRPr="000214BA">
        <w:rPr>
          <w:sz w:val="16"/>
          <w:szCs w:val="16"/>
        </w:rPr>
        <w:t xml:space="preserve"> 34 del Informe de Fondo, f. 169</w:t>
      </w:r>
      <w:r>
        <w:rPr>
          <w:sz w:val="16"/>
          <w:szCs w:val="16"/>
        </w:rPr>
        <w:t>)</w:t>
      </w:r>
      <w:r w:rsidRPr="000214BA">
        <w:rPr>
          <w:sz w:val="16"/>
          <w:szCs w:val="16"/>
        </w:rPr>
        <w:t xml:space="preserve">. </w:t>
      </w:r>
    </w:p>
  </w:footnote>
  <w:footnote w:id="78">
    <w:p w14:paraId="0CB2B2C4" w14:textId="3E242E75"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rPr>
        <w:t xml:space="preserve">Orden de arresto del </w:t>
      </w:r>
      <w:r w:rsidRPr="0030094B">
        <w:rPr>
          <w:sz w:val="16"/>
          <w:szCs w:val="16"/>
          <w:lang w:val="es-CR"/>
        </w:rPr>
        <w:t>Décimo Noveno</w:t>
      </w:r>
      <w:r w:rsidRPr="000214BA">
        <w:rPr>
          <w:sz w:val="16"/>
          <w:szCs w:val="16"/>
        </w:rPr>
        <w:t xml:space="preserve"> Juzgado del Crimen del 06 de abril de 2004 (expediente de prueba, </w:t>
      </w:r>
      <w:r>
        <w:rPr>
          <w:sz w:val="16"/>
          <w:szCs w:val="16"/>
        </w:rPr>
        <w:t xml:space="preserve">anexo </w:t>
      </w:r>
      <w:r w:rsidRPr="000214BA">
        <w:rPr>
          <w:sz w:val="16"/>
          <w:szCs w:val="16"/>
        </w:rPr>
        <w:t>35 del Informe de Fondo, f. 171).</w:t>
      </w:r>
    </w:p>
  </w:footnote>
  <w:footnote w:id="79">
    <w:p w14:paraId="3E80C080" w14:textId="12834487"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rPr>
        <w:t xml:space="preserve">Orden de arresto del </w:t>
      </w:r>
      <w:r w:rsidRPr="0030094B">
        <w:rPr>
          <w:sz w:val="16"/>
          <w:szCs w:val="16"/>
          <w:lang w:val="es-CR"/>
        </w:rPr>
        <w:t>Décimo Noveno</w:t>
      </w:r>
      <w:r w:rsidRPr="000214BA">
        <w:rPr>
          <w:sz w:val="16"/>
          <w:szCs w:val="16"/>
        </w:rPr>
        <w:t xml:space="preserve"> Juzgado del Crimen del 08 de enero del 2005 (expediente de prueba, </w:t>
      </w:r>
      <w:r>
        <w:rPr>
          <w:sz w:val="16"/>
          <w:szCs w:val="16"/>
        </w:rPr>
        <w:t xml:space="preserve">anexo </w:t>
      </w:r>
      <w:r w:rsidRPr="000214BA">
        <w:rPr>
          <w:sz w:val="16"/>
          <w:szCs w:val="16"/>
        </w:rPr>
        <w:t>3</w:t>
      </w:r>
      <w:r>
        <w:rPr>
          <w:sz w:val="16"/>
          <w:szCs w:val="16"/>
        </w:rPr>
        <w:t>6</w:t>
      </w:r>
      <w:r w:rsidRPr="000214BA">
        <w:rPr>
          <w:sz w:val="16"/>
          <w:szCs w:val="16"/>
        </w:rPr>
        <w:t xml:space="preserve"> del Informe de Fondo, f. 173).</w:t>
      </w:r>
    </w:p>
  </w:footnote>
  <w:footnote w:id="80">
    <w:p w14:paraId="6C65CA49" w14:textId="50E8AD15"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rPr>
        <w:t>Auto del Primer Juzgado Civil de Puente Alto el 06 de febrero de 2006 (expediente de prueba, anexo 37 del Informe de Fondo, f. 17</w:t>
      </w:r>
      <w:r>
        <w:rPr>
          <w:sz w:val="16"/>
          <w:szCs w:val="16"/>
        </w:rPr>
        <w:t>6</w:t>
      </w:r>
      <w:r w:rsidRPr="000214BA">
        <w:rPr>
          <w:sz w:val="16"/>
          <w:szCs w:val="16"/>
        </w:rPr>
        <w:t>).</w:t>
      </w:r>
    </w:p>
  </w:footnote>
  <w:footnote w:id="81">
    <w:p w14:paraId="180E3FEB" w14:textId="337BAAE2"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sidRPr="00C64243">
        <w:rPr>
          <w:i/>
          <w:sz w:val="16"/>
          <w:szCs w:val="16"/>
        </w:rPr>
        <w:t xml:space="preserve"> </w:t>
      </w:r>
      <w:r w:rsidRPr="000214BA">
        <w:rPr>
          <w:sz w:val="16"/>
          <w:szCs w:val="16"/>
          <w:lang w:val="es-MX"/>
        </w:rPr>
        <w:t xml:space="preserve">Auto del Primer Juzgado Civil de Puente Alto el 23 de mayo de 2007 </w:t>
      </w:r>
      <w:r w:rsidRPr="000214BA">
        <w:rPr>
          <w:sz w:val="16"/>
          <w:szCs w:val="16"/>
        </w:rPr>
        <w:t>(expediente de prueba, anexo 61 del Informe de Fondo, f. 239).</w:t>
      </w:r>
    </w:p>
  </w:footnote>
  <w:footnote w:id="82">
    <w:p w14:paraId="75B6D556" w14:textId="2A577CCA"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Pr>
          <w:i/>
          <w:sz w:val="16"/>
          <w:szCs w:val="16"/>
        </w:rPr>
        <w:t xml:space="preserve"> </w:t>
      </w:r>
      <w:r w:rsidRPr="000214BA">
        <w:rPr>
          <w:sz w:val="16"/>
          <w:szCs w:val="16"/>
        </w:rPr>
        <w:t xml:space="preserve">Oficio No. 1363 del Primer Juzgado Civil de Puente Alto </w:t>
      </w:r>
      <w:r>
        <w:rPr>
          <w:sz w:val="16"/>
          <w:szCs w:val="16"/>
        </w:rPr>
        <w:t>de</w:t>
      </w:r>
      <w:r w:rsidRPr="000214BA">
        <w:rPr>
          <w:sz w:val="16"/>
          <w:szCs w:val="16"/>
        </w:rPr>
        <w:t xml:space="preserve"> 19 de </w:t>
      </w:r>
      <w:r>
        <w:rPr>
          <w:sz w:val="16"/>
          <w:szCs w:val="16"/>
        </w:rPr>
        <w:t>j</w:t>
      </w:r>
      <w:r w:rsidRPr="000214BA">
        <w:rPr>
          <w:sz w:val="16"/>
          <w:szCs w:val="16"/>
        </w:rPr>
        <w:t>ulio de 2005 (expediente de prueba, anexo 38 del Informe de Fondo, f. 178).</w:t>
      </w:r>
    </w:p>
  </w:footnote>
  <w:footnote w:id="83">
    <w:p w14:paraId="02234293" w14:textId="645D5364"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lang w:val="es-MX"/>
        </w:rPr>
        <w:t xml:space="preserve">Auto del Primer Juzgado Civil de Puente Alto el 15 de septiembre de 2005 </w:t>
      </w:r>
      <w:r w:rsidRPr="000214BA">
        <w:rPr>
          <w:sz w:val="16"/>
          <w:szCs w:val="16"/>
        </w:rPr>
        <w:t>(expediente de prueba, anexo 40 del Informe de Fondo, f. 182).</w:t>
      </w:r>
    </w:p>
  </w:footnote>
  <w:footnote w:id="84">
    <w:p w14:paraId="1DBDBE52" w14:textId="36C06973" w:rsidR="003C025E" w:rsidRPr="000214BA"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rPr>
        <w:t>Oficio No.</w:t>
      </w:r>
      <w:r>
        <w:rPr>
          <w:sz w:val="16"/>
          <w:szCs w:val="16"/>
        </w:rPr>
        <w:t xml:space="preserve"> </w:t>
      </w:r>
      <w:r w:rsidRPr="000214BA">
        <w:rPr>
          <w:sz w:val="16"/>
          <w:szCs w:val="16"/>
        </w:rPr>
        <w:t>2809-05 del Primer Juzgado Civil de Puente Alto el 7 de diciembre de 2005 (expediente de prueba, anexo 41 del Informe de Fondo, f. 184).</w:t>
      </w:r>
    </w:p>
  </w:footnote>
  <w:footnote w:id="85">
    <w:p w14:paraId="133B1D1F" w14:textId="57EB2C37"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sidRPr="00C64243">
        <w:rPr>
          <w:i/>
          <w:sz w:val="16"/>
          <w:szCs w:val="16"/>
        </w:rPr>
        <w:t xml:space="preserve"> </w:t>
      </w:r>
      <w:r w:rsidRPr="000214BA">
        <w:rPr>
          <w:sz w:val="16"/>
          <w:szCs w:val="16"/>
        </w:rPr>
        <w:t xml:space="preserve">Querella </w:t>
      </w:r>
      <w:r>
        <w:rPr>
          <w:sz w:val="16"/>
          <w:szCs w:val="16"/>
        </w:rPr>
        <w:t>presentada</w:t>
      </w:r>
      <w:r w:rsidRPr="000214BA">
        <w:rPr>
          <w:sz w:val="16"/>
          <w:szCs w:val="16"/>
        </w:rPr>
        <w:t xml:space="preserve"> por Vinicio Marco Antonio Poblete Tapia ante el Primer Juzgado Civil de Puente Alto el 7 de octubre de 2005 (expediente de prueba, anexo 7 del Informe de Fondo, </w:t>
      </w:r>
      <w:proofErr w:type="spellStart"/>
      <w:r w:rsidRPr="000214BA">
        <w:rPr>
          <w:sz w:val="16"/>
          <w:szCs w:val="16"/>
        </w:rPr>
        <w:t>f</w:t>
      </w:r>
      <w:r>
        <w:rPr>
          <w:sz w:val="16"/>
          <w:szCs w:val="16"/>
        </w:rPr>
        <w:t>f</w:t>
      </w:r>
      <w:proofErr w:type="spellEnd"/>
      <w:r w:rsidRPr="000214BA">
        <w:rPr>
          <w:sz w:val="16"/>
          <w:szCs w:val="16"/>
        </w:rPr>
        <w:t>. 42</w:t>
      </w:r>
      <w:r>
        <w:rPr>
          <w:sz w:val="16"/>
          <w:szCs w:val="16"/>
        </w:rPr>
        <w:t xml:space="preserve"> y </w:t>
      </w:r>
      <w:r w:rsidRPr="000214BA">
        <w:rPr>
          <w:sz w:val="16"/>
          <w:szCs w:val="16"/>
        </w:rPr>
        <w:t>43)</w:t>
      </w:r>
      <w:r>
        <w:rPr>
          <w:sz w:val="16"/>
          <w:szCs w:val="16"/>
        </w:rPr>
        <w:t xml:space="preserve">; </w:t>
      </w:r>
      <w:r w:rsidRPr="009B51E6">
        <w:rPr>
          <w:bCs/>
          <w:sz w:val="16"/>
          <w:szCs w:val="16"/>
          <w:lang w:val="es-MX"/>
        </w:rPr>
        <w:t>Auto del Primer Juzgado Civil de Puente Alto el 7 de octubre de 2005</w:t>
      </w:r>
      <w:r w:rsidRPr="009B51E6">
        <w:rPr>
          <w:rFonts w:asciiTheme="minorHAnsi" w:eastAsia="Batang" w:hAnsiTheme="minorHAnsi" w:cs="Arial"/>
          <w:bCs/>
          <w:i/>
          <w:sz w:val="16"/>
          <w:szCs w:val="16"/>
          <w:lang w:val="es-MX" w:eastAsia="ko-KR"/>
        </w:rPr>
        <w:t xml:space="preserve"> </w:t>
      </w:r>
      <w:r w:rsidRPr="009B51E6">
        <w:rPr>
          <w:bCs/>
          <w:sz w:val="16"/>
          <w:szCs w:val="16"/>
          <w:lang w:val="es-MX"/>
        </w:rPr>
        <w:t xml:space="preserve">(expediente de prueba, anexo </w:t>
      </w:r>
      <w:r>
        <w:rPr>
          <w:bCs/>
          <w:sz w:val="16"/>
          <w:szCs w:val="16"/>
          <w:lang w:val="es-MX"/>
        </w:rPr>
        <w:t>7</w:t>
      </w:r>
      <w:r w:rsidRPr="009B51E6">
        <w:rPr>
          <w:bCs/>
          <w:sz w:val="16"/>
          <w:szCs w:val="16"/>
          <w:lang w:val="es-MX"/>
        </w:rPr>
        <w:t xml:space="preserve"> del Informe de Fondo, f. 44), y Oficio No.</w:t>
      </w:r>
      <w:r>
        <w:rPr>
          <w:bCs/>
          <w:sz w:val="16"/>
          <w:szCs w:val="16"/>
          <w:lang w:val="es-MX"/>
        </w:rPr>
        <w:t xml:space="preserve"> </w:t>
      </w:r>
      <w:r w:rsidRPr="009B51E6">
        <w:rPr>
          <w:bCs/>
          <w:sz w:val="16"/>
          <w:szCs w:val="16"/>
          <w:lang w:val="es-MX"/>
        </w:rPr>
        <w:t>2809-05 del Primer Juzgado Civil de Puente Alto el 7 de diciembre de 2005</w:t>
      </w:r>
      <w:r>
        <w:rPr>
          <w:bCs/>
          <w:sz w:val="16"/>
          <w:szCs w:val="16"/>
          <w:lang w:val="es-MX"/>
        </w:rPr>
        <w:t>(expediente de prueba, anexo 41 del Informe de Fondo,</w:t>
      </w:r>
      <w:r w:rsidRPr="009B51E6">
        <w:rPr>
          <w:bCs/>
          <w:i/>
          <w:sz w:val="16"/>
          <w:szCs w:val="16"/>
          <w:lang w:val="es-MX"/>
        </w:rPr>
        <w:t xml:space="preserve"> </w:t>
      </w:r>
      <w:r w:rsidRPr="009B51E6">
        <w:rPr>
          <w:bCs/>
          <w:sz w:val="16"/>
          <w:szCs w:val="16"/>
          <w:lang w:val="es-MX"/>
        </w:rPr>
        <w:t>f. 184</w:t>
      </w:r>
      <w:r>
        <w:rPr>
          <w:bCs/>
          <w:sz w:val="16"/>
          <w:szCs w:val="16"/>
          <w:lang w:val="es-MX"/>
        </w:rPr>
        <w:t>)</w:t>
      </w:r>
      <w:r w:rsidRPr="009B51E6">
        <w:rPr>
          <w:bCs/>
          <w:i/>
          <w:sz w:val="16"/>
          <w:szCs w:val="16"/>
          <w:lang w:val="es-MX"/>
        </w:rPr>
        <w:t>.</w:t>
      </w:r>
    </w:p>
  </w:footnote>
  <w:footnote w:id="86">
    <w:p w14:paraId="5DD8E3C2" w14:textId="79D8AF39" w:rsidR="003C025E" w:rsidRPr="000214BA"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Pr>
          <w:i/>
          <w:sz w:val="16"/>
          <w:szCs w:val="16"/>
        </w:rPr>
        <w:t xml:space="preserve"> </w:t>
      </w:r>
      <w:r w:rsidRPr="000214BA">
        <w:rPr>
          <w:sz w:val="16"/>
          <w:szCs w:val="16"/>
        </w:rPr>
        <w:t>Declaración ante el Primer Juzgado Civil de Puente Alto por Marcelo Adán Garrido</w:t>
      </w:r>
      <w:r>
        <w:rPr>
          <w:sz w:val="16"/>
          <w:szCs w:val="16"/>
        </w:rPr>
        <w:t xml:space="preserve"> Salvo</w:t>
      </w:r>
      <w:r w:rsidRPr="000214BA">
        <w:rPr>
          <w:sz w:val="16"/>
          <w:szCs w:val="16"/>
        </w:rPr>
        <w:t xml:space="preserve"> el 3 de marzo de 2006 (expediente de prueba, anexo 2 del Informe de Fondo, f. 9)</w:t>
      </w:r>
      <w:r>
        <w:rPr>
          <w:sz w:val="16"/>
          <w:szCs w:val="16"/>
        </w:rPr>
        <w:t>;</w:t>
      </w:r>
      <w:r w:rsidRPr="000214BA">
        <w:rPr>
          <w:sz w:val="16"/>
          <w:szCs w:val="16"/>
        </w:rPr>
        <w:t xml:space="preserve"> Declaración ante el Primer Juzgado Civil de Puente Alto por María Carolina Chacón Fernández el 7 de </w:t>
      </w:r>
      <w:r>
        <w:rPr>
          <w:sz w:val="16"/>
          <w:szCs w:val="16"/>
        </w:rPr>
        <w:t xml:space="preserve">marzo </w:t>
      </w:r>
      <w:r w:rsidRPr="000214BA">
        <w:rPr>
          <w:sz w:val="16"/>
          <w:szCs w:val="16"/>
        </w:rPr>
        <w:t>de 200</w:t>
      </w:r>
      <w:r>
        <w:rPr>
          <w:sz w:val="16"/>
          <w:szCs w:val="16"/>
        </w:rPr>
        <w:t>6</w:t>
      </w:r>
      <w:r w:rsidRPr="000214BA">
        <w:rPr>
          <w:sz w:val="16"/>
          <w:szCs w:val="16"/>
        </w:rPr>
        <w:t xml:space="preserve"> (expediente de prueba, anexo 42 del Informe de Fondo, f. 186)</w:t>
      </w:r>
      <w:r>
        <w:rPr>
          <w:sz w:val="16"/>
          <w:szCs w:val="16"/>
        </w:rPr>
        <w:t>;</w:t>
      </w:r>
      <w:r w:rsidRPr="000214BA">
        <w:rPr>
          <w:sz w:val="16"/>
          <w:szCs w:val="16"/>
          <w:lang w:val="es-MX"/>
        </w:rPr>
        <w:t xml:space="preserve"> Declaración ante el Primer Juzgado Penal por Vinicio Marco Antonio Poblete el 6 de abril de 2006 </w:t>
      </w:r>
      <w:r w:rsidRPr="000214BA">
        <w:rPr>
          <w:sz w:val="16"/>
          <w:szCs w:val="16"/>
        </w:rPr>
        <w:t xml:space="preserve">(expediente de prueba, anexo 4 del Informe de Fondo, </w:t>
      </w:r>
      <w:proofErr w:type="spellStart"/>
      <w:r w:rsidRPr="000214BA">
        <w:rPr>
          <w:sz w:val="16"/>
          <w:szCs w:val="16"/>
        </w:rPr>
        <w:t>f</w:t>
      </w:r>
      <w:r>
        <w:rPr>
          <w:sz w:val="16"/>
          <w:szCs w:val="16"/>
        </w:rPr>
        <w:t>f</w:t>
      </w:r>
      <w:proofErr w:type="spellEnd"/>
      <w:r w:rsidRPr="000214BA">
        <w:rPr>
          <w:sz w:val="16"/>
          <w:szCs w:val="16"/>
        </w:rPr>
        <w:t xml:space="preserve">. </w:t>
      </w:r>
      <w:r>
        <w:rPr>
          <w:sz w:val="16"/>
          <w:szCs w:val="16"/>
        </w:rPr>
        <w:t xml:space="preserve">17 a </w:t>
      </w:r>
      <w:r w:rsidRPr="000214BA">
        <w:rPr>
          <w:sz w:val="16"/>
          <w:szCs w:val="16"/>
        </w:rPr>
        <w:t>2</w:t>
      </w:r>
      <w:r>
        <w:rPr>
          <w:sz w:val="16"/>
          <w:szCs w:val="16"/>
        </w:rPr>
        <w:t>2</w:t>
      </w:r>
      <w:r w:rsidRPr="000214BA">
        <w:rPr>
          <w:sz w:val="16"/>
          <w:szCs w:val="16"/>
        </w:rPr>
        <w:t>)</w:t>
      </w:r>
      <w:r>
        <w:rPr>
          <w:sz w:val="16"/>
          <w:szCs w:val="16"/>
        </w:rPr>
        <w:t>;</w:t>
      </w:r>
      <w:r w:rsidRPr="000214BA">
        <w:rPr>
          <w:sz w:val="16"/>
          <w:szCs w:val="16"/>
        </w:rPr>
        <w:t xml:space="preserve"> Declaración ante el Primer Juzgado Civil de Puente Alto por </w:t>
      </w:r>
      <w:proofErr w:type="spellStart"/>
      <w:r w:rsidRPr="000214BA">
        <w:rPr>
          <w:sz w:val="16"/>
          <w:szCs w:val="16"/>
        </w:rPr>
        <w:t>Cesia</w:t>
      </w:r>
      <w:proofErr w:type="spellEnd"/>
      <w:r w:rsidRPr="000214BA">
        <w:rPr>
          <w:sz w:val="16"/>
          <w:szCs w:val="16"/>
        </w:rPr>
        <w:t xml:space="preserve"> Le</w:t>
      </w:r>
      <w:r>
        <w:rPr>
          <w:sz w:val="16"/>
          <w:szCs w:val="16"/>
        </w:rPr>
        <w:t>i</w:t>
      </w:r>
      <w:r w:rsidRPr="000214BA">
        <w:rPr>
          <w:sz w:val="16"/>
          <w:szCs w:val="16"/>
        </w:rPr>
        <w:t>la Siria Poblete Tapia el 14 de septiembre de 2006 (expediente de prueba, anexo 3 del Informe de Fondo, f. 11)</w:t>
      </w:r>
      <w:r>
        <w:rPr>
          <w:sz w:val="16"/>
          <w:szCs w:val="16"/>
        </w:rPr>
        <w:t>;</w:t>
      </w:r>
      <w:r w:rsidRPr="000214BA">
        <w:rPr>
          <w:sz w:val="16"/>
          <w:szCs w:val="16"/>
        </w:rPr>
        <w:t xml:space="preserve"> Declaración ante el Primer Juzgado Civil de Puente Alto por Lili Marlene Rojas Hernández el 18 de octubre de 2006 (expediente de prueba, anexo 53 del Informe de Fondo, f. 220)</w:t>
      </w:r>
      <w:r>
        <w:rPr>
          <w:sz w:val="16"/>
          <w:szCs w:val="16"/>
        </w:rPr>
        <w:t>;</w:t>
      </w:r>
      <w:r w:rsidRPr="000214BA">
        <w:rPr>
          <w:sz w:val="16"/>
          <w:szCs w:val="16"/>
        </w:rPr>
        <w:t xml:space="preserve"> Declaración ante el Primer Juzgado Civil de Puente Alto por Jorge Alejandro Fuentes Poblete el 12 de junio de 2007 (expediente de prueba, anexo 5 del Informe de Fondo, </w:t>
      </w:r>
      <w:proofErr w:type="spellStart"/>
      <w:r>
        <w:rPr>
          <w:sz w:val="16"/>
          <w:szCs w:val="16"/>
        </w:rPr>
        <w:t>f</w:t>
      </w:r>
      <w:r w:rsidRPr="000214BA">
        <w:rPr>
          <w:sz w:val="16"/>
          <w:szCs w:val="16"/>
        </w:rPr>
        <w:t>f</w:t>
      </w:r>
      <w:proofErr w:type="spellEnd"/>
      <w:r w:rsidRPr="000214BA">
        <w:rPr>
          <w:sz w:val="16"/>
          <w:szCs w:val="16"/>
        </w:rPr>
        <w:t>. 24</w:t>
      </w:r>
      <w:r>
        <w:rPr>
          <w:sz w:val="16"/>
          <w:szCs w:val="16"/>
        </w:rPr>
        <w:t xml:space="preserve"> y 25</w:t>
      </w:r>
      <w:r w:rsidRPr="000214BA">
        <w:rPr>
          <w:sz w:val="16"/>
          <w:szCs w:val="16"/>
        </w:rPr>
        <w:t xml:space="preserve">), </w:t>
      </w:r>
      <w:r>
        <w:rPr>
          <w:sz w:val="16"/>
          <w:szCs w:val="16"/>
        </w:rPr>
        <w:t>y</w:t>
      </w:r>
      <w:r w:rsidRPr="000214BA">
        <w:rPr>
          <w:sz w:val="16"/>
          <w:szCs w:val="16"/>
        </w:rPr>
        <w:t xml:space="preserve"> Declaración ante el Primer Juzgado Civil de Puente Alto por Alejandra Marcela Fuentes Poblete el 15 de junio de 2007 (expediente de prueba, anexo 12 del Informe de Fondo, </w:t>
      </w:r>
      <w:proofErr w:type="spellStart"/>
      <w:r w:rsidRPr="000214BA">
        <w:rPr>
          <w:sz w:val="16"/>
          <w:szCs w:val="16"/>
        </w:rPr>
        <w:t>f</w:t>
      </w:r>
      <w:r>
        <w:rPr>
          <w:sz w:val="16"/>
          <w:szCs w:val="16"/>
        </w:rPr>
        <w:t>f</w:t>
      </w:r>
      <w:proofErr w:type="spellEnd"/>
      <w:r w:rsidRPr="000214BA">
        <w:rPr>
          <w:sz w:val="16"/>
          <w:szCs w:val="16"/>
        </w:rPr>
        <w:t>. 110</w:t>
      </w:r>
      <w:r>
        <w:rPr>
          <w:sz w:val="16"/>
          <w:szCs w:val="16"/>
        </w:rPr>
        <w:t xml:space="preserve"> y 111</w:t>
      </w:r>
      <w:r w:rsidRPr="000214BA">
        <w:rPr>
          <w:sz w:val="16"/>
          <w:szCs w:val="16"/>
        </w:rPr>
        <w:t>).</w:t>
      </w:r>
    </w:p>
  </w:footnote>
  <w:footnote w:id="87">
    <w:p w14:paraId="64A67DD7" w14:textId="58355803"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sidRPr="00C64243">
        <w:rPr>
          <w:i/>
          <w:sz w:val="16"/>
          <w:szCs w:val="16"/>
        </w:rPr>
        <w:t xml:space="preserve"> </w:t>
      </w:r>
      <w:r w:rsidRPr="000214BA">
        <w:rPr>
          <w:sz w:val="16"/>
          <w:szCs w:val="16"/>
        </w:rPr>
        <w:t xml:space="preserve">Escrito de representación de Vinicio Poblete Tapia </w:t>
      </w:r>
      <w:r>
        <w:rPr>
          <w:sz w:val="16"/>
          <w:szCs w:val="16"/>
        </w:rPr>
        <w:t>promovido</w:t>
      </w:r>
      <w:r w:rsidRPr="000214BA">
        <w:rPr>
          <w:sz w:val="16"/>
          <w:szCs w:val="16"/>
        </w:rPr>
        <w:t xml:space="preserve"> ante el Primer Juzgado Civil de Puente Alto el 21 de marzo de 2006 (expediente de prueba, anexo 4</w:t>
      </w:r>
      <w:r>
        <w:rPr>
          <w:sz w:val="16"/>
          <w:szCs w:val="16"/>
        </w:rPr>
        <w:t>3</w:t>
      </w:r>
      <w:r w:rsidRPr="000214BA">
        <w:rPr>
          <w:sz w:val="16"/>
          <w:szCs w:val="16"/>
        </w:rPr>
        <w:t xml:space="preserve"> del Informe de Fondo, </w:t>
      </w:r>
      <w:proofErr w:type="spellStart"/>
      <w:r w:rsidRPr="000214BA">
        <w:rPr>
          <w:sz w:val="16"/>
          <w:szCs w:val="16"/>
        </w:rPr>
        <w:t>f</w:t>
      </w:r>
      <w:r>
        <w:rPr>
          <w:sz w:val="16"/>
          <w:szCs w:val="16"/>
        </w:rPr>
        <w:t>f</w:t>
      </w:r>
      <w:proofErr w:type="spellEnd"/>
      <w:r w:rsidRPr="000214BA">
        <w:rPr>
          <w:sz w:val="16"/>
          <w:szCs w:val="16"/>
        </w:rPr>
        <w:t>. 188</w:t>
      </w:r>
      <w:r>
        <w:rPr>
          <w:sz w:val="16"/>
          <w:szCs w:val="16"/>
        </w:rPr>
        <w:t xml:space="preserve"> y </w:t>
      </w:r>
      <w:r w:rsidRPr="000214BA">
        <w:rPr>
          <w:sz w:val="16"/>
          <w:szCs w:val="16"/>
        </w:rPr>
        <w:t>189).</w:t>
      </w:r>
    </w:p>
  </w:footnote>
  <w:footnote w:id="88">
    <w:p w14:paraId="62367E51" w14:textId="77777777"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sidRPr="000214BA">
        <w:rPr>
          <w:sz w:val="16"/>
          <w:szCs w:val="16"/>
        </w:rPr>
        <w:t xml:space="preserve">A saber: </w:t>
      </w:r>
      <w:r>
        <w:rPr>
          <w:sz w:val="16"/>
          <w:szCs w:val="16"/>
        </w:rPr>
        <w:t xml:space="preserve">las correspondientes a </w:t>
      </w:r>
      <w:r w:rsidRPr="000214BA">
        <w:rPr>
          <w:sz w:val="16"/>
          <w:szCs w:val="16"/>
        </w:rPr>
        <w:t xml:space="preserve">Alejandra </w:t>
      </w:r>
      <w:r>
        <w:rPr>
          <w:sz w:val="16"/>
          <w:szCs w:val="16"/>
        </w:rPr>
        <w:t xml:space="preserve">y </w:t>
      </w:r>
      <w:r w:rsidRPr="000214BA">
        <w:rPr>
          <w:sz w:val="16"/>
          <w:szCs w:val="16"/>
        </w:rPr>
        <w:t xml:space="preserve">Jorge Fuentes Poblete, Rosa </w:t>
      </w:r>
      <w:proofErr w:type="spellStart"/>
      <w:r w:rsidRPr="000214BA">
        <w:rPr>
          <w:sz w:val="16"/>
          <w:szCs w:val="16"/>
        </w:rPr>
        <w:t>Gazmuri</w:t>
      </w:r>
      <w:proofErr w:type="spellEnd"/>
      <w:r w:rsidRPr="000214BA">
        <w:rPr>
          <w:sz w:val="16"/>
          <w:szCs w:val="16"/>
        </w:rPr>
        <w:t xml:space="preserve"> M., Cecilia </w:t>
      </w:r>
      <w:proofErr w:type="spellStart"/>
      <w:r w:rsidRPr="000214BA">
        <w:rPr>
          <w:sz w:val="16"/>
          <w:szCs w:val="16"/>
        </w:rPr>
        <w:t>Caniqueo</w:t>
      </w:r>
      <w:proofErr w:type="spellEnd"/>
      <w:r w:rsidRPr="000214BA">
        <w:rPr>
          <w:sz w:val="16"/>
          <w:szCs w:val="16"/>
        </w:rPr>
        <w:t xml:space="preserve"> </w:t>
      </w:r>
      <w:proofErr w:type="spellStart"/>
      <w:r w:rsidRPr="000214BA">
        <w:rPr>
          <w:sz w:val="16"/>
          <w:szCs w:val="16"/>
        </w:rPr>
        <w:t>Ralil</w:t>
      </w:r>
      <w:proofErr w:type="spellEnd"/>
      <w:r w:rsidRPr="000214BA">
        <w:rPr>
          <w:sz w:val="16"/>
          <w:szCs w:val="16"/>
        </w:rPr>
        <w:t xml:space="preserve">, </w:t>
      </w:r>
      <w:r>
        <w:rPr>
          <w:sz w:val="16"/>
          <w:szCs w:val="16"/>
        </w:rPr>
        <w:t xml:space="preserve">Lily Rojas y Cecilia </w:t>
      </w:r>
      <w:proofErr w:type="spellStart"/>
      <w:r>
        <w:rPr>
          <w:sz w:val="16"/>
          <w:szCs w:val="16"/>
        </w:rPr>
        <w:t>Yañez</w:t>
      </w:r>
      <w:proofErr w:type="spellEnd"/>
      <w:r>
        <w:rPr>
          <w:sz w:val="16"/>
          <w:szCs w:val="16"/>
        </w:rPr>
        <w:t>, en</w:t>
      </w:r>
      <w:r w:rsidRPr="000214BA">
        <w:rPr>
          <w:sz w:val="16"/>
          <w:szCs w:val="16"/>
        </w:rPr>
        <w:t xml:space="preserve">fermeras del Hospital </w:t>
      </w:r>
      <w:proofErr w:type="spellStart"/>
      <w:r w:rsidRPr="000214BA">
        <w:rPr>
          <w:sz w:val="16"/>
          <w:szCs w:val="16"/>
        </w:rPr>
        <w:t>Sótero</w:t>
      </w:r>
      <w:proofErr w:type="spellEnd"/>
      <w:r w:rsidRPr="000214BA">
        <w:rPr>
          <w:sz w:val="16"/>
          <w:szCs w:val="16"/>
        </w:rPr>
        <w:t xml:space="preserve"> del Río</w:t>
      </w:r>
      <w:r>
        <w:rPr>
          <w:sz w:val="16"/>
          <w:szCs w:val="16"/>
        </w:rPr>
        <w:t>,</w:t>
      </w:r>
      <w:r w:rsidRPr="000214BA">
        <w:rPr>
          <w:sz w:val="16"/>
          <w:szCs w:val="16"/>
        </w:rPr>
        <w:t xml:space="preserve"> y Elizabeth </w:t>
      </w:r>
      <w:proofErr w:type="spellStart"/>
      <w:r w:rsidRPr="000214BA">
        <w:rPr>
          <w:sz w:val="16"/>
          <w:szCs w:val="16"/>
        </w:rPr>
        <w:t>Aviles</w:t>
      </w:r>
      <w:proofErr w:type="spellEnd"/>
      <w:r w:rsidRPr="000214BA">
        <w:rPr>
          <w:sz w:val="16"/>
          <w:szCs w:val="16"/>
        </w:rPr>
        <w:t xml:space="preserve">, médico cirujano que operó al señor Poblete Vilches.  </w:t>
      </w:r>
      <w:r w:rsidRPr="00062586">
        <w:rPr>
          <w:i/>
          <w:sz w:val="16"/>
          <w:szCs w:val="16"/>
        </w:rPr>
        <w:t>Cfr.</w:t>
      </w:r>
      <w:r>
        <w:rPr>
          <w:i/>
          <w:sz w:val="16"/>
          <w:szCs w:val="16"/>
        </w:rPr>
        <w:t xml:space="preserve"> </w:t>
      </w:r>
      <w:r w:rsidRPr="00B6522C">
        <w:rPr>
          <w:sz w:val="16"/>
          <w:szCs w:val="16"/>
        </w:rPr>
        <w:t>Escrito</w:t>
      </w:r>
      <w:r w:rsidRPr="000214BA">
        <w:rPr>
          <w:sz w:val="16"/>
          <w:szCs w:val="16"/>
        </w:rPr>
        <w:t xml:space="preserve"> de la representación de Vinicio Poblete Tapia interpuesto ante el Primer Juzgado Civil de Puente Alto el 18 de abril de 2006 (expediente de prueba, anexo 46 del Informe de Fondo, f. 197). </w:t>
      </w:r>
    </w:p>
  </w:footnote>
  <w:footnote w:id="89">
    <w:p w14:paraId="5F98C1C4" w14:textId="7DFB5696" w:rsidR="003C025E" w:rsidRPr="00DF0588" w:rsidRDefault="003C025E" w:rsidP="00E22B60">
      <w:pPr>
        <w:pStyle w:val="FootnoteText"/>
        <w:ind w:right="-360"/>
        <w:rPr>
          <w:sz w:val="16"/>
          <w:szCs w:val="16"/>
        </w:rPr>
      </w:pPr>
      <w:r w:rsidRPr="000214BA">
        <w:rPr>
          <w:rStyle w:val="FootnoteReference"/>
          <w:rFonts w:eastAsia="MS Mincho"/>
          <w:sz w:val="16"/>
          <w:szCs w:val="16"/>
        </w:rPr>
        <w:footnoteRef/>
      </w:r>
      <w:r>
        <w:rPr>
          <w:sz w:val="16"/>
          <w:szCs w:val="16"/>
        </w:rPr>
        <w:t xml:space="preserve"> </w:t>
      </w:r>
      <w:r>
        <w:rPr>
          <w:sz w:val="16"/>
          <w:szCs w:val="16"/>
        </w:rPr>
        <w:tab/>
      </w:r>
      <w:r>
        <w:rPr>
          <w:i/>
          <w:sz w:val="16"/>
          <w:szCs w:val="16"/>
        </w:rPr>
        <w:t xml:space="preserve">Cfr. </w:t>
      </w:r>
      <w:r w:rsidRPr="000214BA">
        <w:rPr>
          <w:sz w:val="16"/>
          <w:szCs w:val="16"/>
        </w:rPr>
        <w:t xml:space="preserve">Pericia Médico Legal No. 140-2005 emitido por el Servicio Médico </w:t>
      </w:r>
      <w:r>
        <w:rPr>
          <w:sz w:val="16"/>
          <w:szCs w:val="16"/>
        </w:rPr>
        <w:t xml:space="preserve">Legal del Gobierno de Chile el </w:t>
      </w:r>
      <w:r w:rsidRPr="000214BA">
        <w:rPr>
          <w:sz w:val="16"/>
          <w:szCs w:val="16"/>
        </w:rPr>
        <w:t>8 de junio de 2006 (expediente de prueba, anexo 48 del Informe de Fondo, f. 203).</w:t>
      </w:r>
      <w:r>
        <w:rPr>
          <w:sz w:val="16"/>
          <w:szCs w:val="16"/>
        </w:rPr>
        <w:t xml:space="preserve"> Firmantes:</w:t>
      </w:r>
      <w:r w:rsidRPr="00FD0CAE">
        <w:rPr>
          <w:sz w:val="16"/>
          <w:szCs w:val="16"/>
        </w:rPr>
        <w:t xml:space="preserve"> las doctoras Katherine </w:t>
      </w:r>
      <w:proofErr w:type="spellStart"/>
      <w:r w:rsidRPr="00FD0CAE">
        <w:rPr>
          <w:sz w:val="16"/>
          <w:szCs w:val="16"/>
        </w:rPr>
        <w:t>Corcoran</w:t>
      </w:r>
      <w:proofErr w:type="spellEnd"/>
      <w:r w:rsidRPr="00FD0CAE">
        <w:rPr>
          <w:sz w:val="16"/>
          <w:szCs w:val="16"/>
        </w:rPr>
        <w:t xml:space="preserve"> </w:t>
      </w:r>
      <w:proofErr w:type="spellStart"/>
      <w:r w:rsidRPr="00FD0CAE">
        <w:rPr>
          <w:sz w:val="16"/>
          <w:szCs w:val="16"/>
        </w:rPr>
        <w:t>Ivelic</w:t>
      </w:r>
      <w:proofErr w:type="spellEnd"/>
      <w:r w:rsidRPr="00FD0CAE">
        <w:rPr>
          <w:sz w:val="16"/>
          <w:szCs w:val="16"/>
        </w:rPr>
        <w:t>, Médico Legista y Coordinadora Técnica de la Unidad Responsabilidad Médica del Departamento Clínica Forense del Servicio Médico Legal, y Rebeca Barahona Bustamante, Médico Legista del Departamento Clínica Forense del Servicio Médico Legal</w:t>
      </w:r>
      <w:r>
        <w:rPr>
          <w:sz w:val="16"/>
          <w:szCs w:val="16"/>
        </w:rPr>
        <w:t xml:space="preserve"> del Gobierno de Chile.</w:t>
      </w:r>
    </w:p>
  </w:footnote>
  <w:footnote w:id="90">
    <w:p w14:paraId="024E5BF7" w14:textId="0C4403C1" w:rsidR="003C025E" w:rsidRPr="00C64243" w:rsidRDefault="003C025E" w:rsidP="00E22B60">
      <w:pPr>
        <w:pStyle w:val="FootnoteText"/>
        <w:ind w:right="-360"/>
        <w:rPr>
          <w:rFonts w:cs="Arial"/>
          <w:sz w:val="16"/>
          <w:szCs w:val="16"/>
          <w:lang w:val="es-MX" w:eastAsia="ko-KR"/>
        </w:rPr>
      </w:pPr>
      <w:r w:rsidRPr="00C64243">
        <w:rPr>
          <w:rStyle w:val="FootnoteReference"/>
          <w:sz w:val="16"/>
          <w:szCs w:val="16"/>
        </w:rPr>
        <w:footnoteRef/>
      </w:r>
      <w:r w:rsidRPr="00C64243">
        <w:rPr>
          <w:sz w:val="16"/>
          <w:szCs w:val="16"/>
        </w:rPr>
        <w:t xml:space="preserve"> </w:t>
      </w:r>
      <w:r w:rsidRPr="00C64243">
        <w:rPr>
          <w:sz w:val="16"/>
          <w:szCs w:val="16"/>
        </w:rPr>
        <w:tab/>
      </w:r>
      <w:r w:rsidRPr="00625ABD">
        <w:rPr>
          <w:sz w:val="16"/>
          <w:szCs w:val="16"/>
        </w:rPr>
        <w:t xml:space="preserve">Correspondiente a la causa </w:t>
      </w:r>
      <w:r w:rsidRPr="00625ABD">
        <w:rPr>
          <w:sz w:val="16"/>
          <w:szCs w:val="16"/>
          <w:lang w:val="es-MX"/>
        </w:rPr>
        <w:t>sustanciada bajo el Número de Rol 75.821-M en virtud de la q</w:t>
      </w:r>
      <w:r w:rsidRPr="00C64243">
        <w:rPr>
          <w:sz w:val="16"/>
          <w:szCs w:val="16"/>
          <w:lang w:val="es-MX"/>
        </w:rPr>
        <w:t xml:space="preserve">uerella presentada por </w:t>
      </w:r>
      <w:r w:rsidRPr="00625ABD">
        <w:rPr>
          <w:sz w:val="16"/>
          <w:szCs w:val="16"/>
          <w:lang w:val="es-MX"/>
        </w:rPr>
        <w:t>Blanca</w:t>
      </w:r>
      <w:r w:rsidRPr="00C64243">
        <w:rPr>
          <w:sz w:val="16"/>
          <w:szCs w:val="16"/>
          <w:lang w:val="es-MX"/>
        </w:rPr>
        <w:t xml:space="preserve"> </w:t>
      </w:r>
      <w:r w:rsidRPr="00625ABD">
        <w:rPr>
          <w:sz w:val="16"/>
          <w:szCs w:val="16"/>
          <w:lang w:val="es-MX"/>
        </w:rPr>
        <w:t xml:space="preserve">Margarita </w:t>
      </w:r>
      <w:r w:rsidRPr="00C64243">
        <w:rPr>
          <w:sz w:val="16"/>
          <w:szCs w:val="16"/>
          <w:lang w:val="es-MX"/>
        </w:rPr>
        <w:t xml:space="preserve">Tapia </w:t>
      </w:r>
      <w:r w:rsidRPr="00625ABD">
        <w:rPr>
          <w:sz w:val="16"/>
          <w:szCs w:val="16"/>
          <w:lang w:val="es-MX"/>
        </w:rPr>
        <w:t xml:space="preserve">Encina y </w:t>
      </w:r>
      <w:proofErr w:type="spellStart"/>
      <w:r w:rsidRPr="00625ABD">
        <w:rPr>
          <w:sz w:val="16"/>
          <w:szCs w:val="16"/>
          <w:lang w:val="es-MX"/>
        </w:rPr>
        <w:t>Cesia</w:t>
      </w:r>
      <w:proofErr w:type="spellEnd"/>
      <w:r w:rsidRPr="00625ABD">
        <w:rPr>
          <w:sz w:val="16"/>
          <w:szCs w:val="16"/>
          <w:lang w:val="es-MX"/>
        </w:rPr>
        <w:t xml:space="preserve"> Leila Siria Poblete Tapia </w:t>
      </w:r>
      <w:r w:rsidRPr="00C64243">
        <w:rPr>
          <w:sz w:val="16"/>
          <w:szCs w:val="16"/>
          <w:lang w:val="es-MX"/>
        </w:rPr>
        <w:t xml:space="preserve">ante el Primer Juzgado Civil de Puente Alto el </w:t>
      </w:r>
      <w:r w:rsidRPr="00625ABD">
        <w:rPr>
          <w:sz w:val="16"/>
          <w:szCs w:val="16"/>
          <w:lang w:val="es-MX"/>
        </w:rPr>
        <w:t>12</w:t>
      </w:r>
      <w:r w:rsidRPr="00C64243">
        <w:rPr>
          <w:sz w:val="16"/>
          <w:szCs w:val="16"/>
          <w:lang w:val="es-MX"/>
        </w:rPr>
        <w:t xml:space="preserve"> de </w:t>
      </w:r>
      <w:r w:rsidRPr="00625ABD">
        <w:rPr>
          <w:sz w:val="16"/>
          <w:szCs w:val="16"/>
          <w:lang w:val="es-MX"/>
        </w:rPr>
        <w:t xml:space="preserve">noviembre de 2001 </w:t>
      </w:r>
      <w:r>
        <w:rPr>
          <w:sz w:val="16"/>
          <w:szCs w:val="16"/>
          <w:lang w:val="es-MX"/>
        </w:rPr>
        <w:t>(expediente de prueba, anexo 6 del Informe de Fondo,</w:t>
      </w:r>
      <w:r w:rsidRPr="00625ABD">
        <w:rPr>
          <w:sz w:val="16"/>
          <w:szCs w:val="16"/>
          <w:lang w:val="es-MX"/>
        </w:rPr>
        <w:t xml:space="preserve"> f. 27</w:t>
      </w:r>
      <w:r>
        <w:rPr>
          <w:sz w:val="16"/>
          <w:szCs w:val="16"/>
          <w:lang w:val="es-MX"/>
        </w:rPr>
        <w:t>),</w:t>
      </w:r>
      <w:r w:rsidRPr="00625ABD">
        <w:rPr>
          <w:sz w:val="16"/>
          <w:szCs w:val="16"/>
          <w:lang w:val="es-MX"/>
        </w:rPr>
        <w:t xml:space="preserve"> a la que se acumul</w:t>
      </w:r>
      <w:r w:rsidRPr="00C64243">
        <w:rPr>
          <w:rFonts w:cs="Arial"/>
          <w:sz w:val="16"/>
          <w:szCs w:val="16"/>
          <w:lang w:val="es-MX" w:eastAsia="ko-KR"/>
        </w:rPr>
        <w:t xml:space="preserve">ó la causa bajo el No. de Rol 94.393-M, </w:t>
      </w:r>
      <w:r>
        <w:rPr>
          <w:rFonts w:cs="Arial"/>
          <w:sz w:val="16"/>
          <w:szCs w:val="16"/>
          <w:lang w:val="es-MX" w:eastAsia="ko-KR"/>
        </w:rPr>
        <w:t>tramitada e</w:t>
      </w:r>
      <w:r w:rsidRPr="00C64243">
        <w:rPr>
          <w:rFonts w:cs="Arial"/>
          <w:sz w:val="16"/>
          <w:szCs w:val="16"/>
          <w:lang w:val="es-MX" w:eastAsia="ko-KR"/>
        </w:rPr>
        <w:t>n relación a la querella presentada por Vinicio Marco Antonio Poblete Tapia ante el Primer Juzgado Civil de Puente Alto el 7 de octubre de 2005</w:t>
      </w:r>
      <w:r>
        <w:rPr>
          <w:rFonts w:cs="Arial"/>
          <w:sz w:val="16"/>
          <w:szCs w:val="16"/>
          <w:lang w:val="es-MX" w:eastAsia="ko-KR"/>
        </w:rPr>
        <w:t xml:space="preserve"> (expediente de prueba, anexo 7 del Informe de Fondo, </w:t>
      </w:r>
      <w:proofErr w:type="spellStart"/>
      <w:r>
        <w:rPr>
          <w:rFonts w:cs="Arial"/>
          <w:sz w:val="16"/>
          <w:szCs w:val="16"/>
          <w:lang w:val="es-MX" w:eastAsia="ko-KR"/>
        </w:rPr>
        <w:t>ff</w:t>
      </w:r>
      <w:proofErr w:type="spellEnd"/>
      <w:r>
        <w:rPr>
          <w:rFonts w:cs="Arial"/>
          <w:sz w:val="16"/>
          <w:szCs w:val="16"/>
          <w:lang w:val="es-MX" w:eastAsia="ko-KR"/>
        </w:rPr>
        <w:t>. 36 a 43)</w:t>
      </w:r>
      <w:r w:rsidRPr="00B1523A">
        <w:rPr>
          <w:sz w:val="16"/>
          <w:lang w:val="es-MX" w:eastAsia="ko-KR"/>
        </w:rPr>
        <w:t>.</w:t>
      </w:r>
      <w:r w:rsidRPr="00C64243">
        <w:rPr>
          <w:rFonts w:cs="Arial"/>
          <w:i/>
          <w:sz w:val="16"/>
          <w:szCs w:val="16"/>
          <w:lang w:val="es-MX" w:eastAsia="ko-KR"/>
        </w:rPr>
        <w:t xml:space="preserve"> </w:t>
      </w:r>
    </w:p>
  </w:footnote>
  <w:footnote w:id="91">
    <w:p w14:paraId="132ACB74" w14:textId="34AC6EC6" w:rsidR="003C025E" w:rsidRPr="000214BA" w:rsidRDefault="003C025E" w:rsidP="00E22B60">
      <w:pPr>
        <w:pStyle w:val="FootnoteText"/>
        <w:ind w:right="-360"/>
        <w:rPr>
          <w:sz w:val="16"/>
          <w:szCs w:val="16"/>
          <w:lang w:val="es-MX"/>
        </w:rPr>
      </w:pPr>
      <w:r w:rsidRPr="00625ABD">
        <w:rPr>
          <w:rStyle w:val="FootnoteReference"/>
          <w:rFonts w:eastAsia="MS Mincho"/>
          <w:sz w:val="16"/>
          <w:szCs w:val="16"/>
        </w:rPr>
        <w:footnoteRef/>
      </w:r>
      <w:r w:rsidRPr="00625ABD">
        <w:rPr>
          <w:sz w:val="16"/>
          <w:szCs w:val="16"/>
        </w:rPr>
        <w:t xml:space="preserve"> </w:t>
      </w:r>
      <w:r w:rsidRPr="00625ABD">
        <w:rPr>
          <w:sz w:val="16"/>
          <w:szCs w:val="16"/>
        </w:rPr>
        <w:tab/>
      </w:r>
      <w:r w:rsidRPr="00062586">
        <w:rPr>
          <w:i/>
          <w:sz w:val="16"/>
          <w:szCs w:val="16"/>
        </w:rPr>
        <w:t>Cfr.</w:t>
      </w:r>
      <w:r w:rsidRPr="00C64243">
        <w:rPr>
          <w:i/>
          <w:sz w:val="16"/>
          <w:szCs w:val="16"/>
        </w:rPr>
        <w:t xml:space="preserve"> </w:t>
      </w:r>
      <w:r w:rsidRPr="00625ABD">
        <w:rPr>
          <w:sz w:val="16"/>
          <w:szCs w:val="16"/>
        </w:rPr>
        <w:t>Escrito de la representación de María Carolina Chacón</w:t>
      </w:r>
      <w:r w:rsidRPr="000214BA">
        <w:rPr>
          <w:sz w:val="16"/>
          <w:szCs w:val="16"/>
        </w:rPr>
        <w:t xml:space="preserve"> Fernández </w:t>
      </w:r>
      <w:r>
        <w:rPr>
          <w:sz w:val="16"/>
          <w:szCs w:val="16"/>
        </w:rPr>
        <w:t>promovido</w:t>
      </w:r>
      <w:r w:rsidRPr="000214BA">
        <w:rPr>
          <w:sz w:val="16"/>
          <w:szCs w:val="16"/>
        </w:rPr>
        <w:t xml:space="preserve"> ante el Primer Juzgado Civil de Puente Alto, recibido el 5 de abril de 2006</w:t>
      </w:r>
      <w:r>
        <w:rPr>
          <w:sz w:val="16"/>
          <w:szCs w:val="16"/>
        </w:rPr>
        <w:t xml:space="preserve">, </w:t>
      </w:r>
      <w:r w:rsidRPr="000214BA">
        <w:rPr>
          <w:sz w:val="16"/>
          <w:szCs w:val="16"/>
        </w:rPr>
        <w:t xml:space="preserve">y </w:t>
      </w:r>
      <w:r>
        <w:rPr>
          <w:sz w:val="16"/>
          <w:szCs w:val="16"/>
        </w:rPr>
        <w:t>R</w:t>
      </w:r>
      <w:r w:rsidRPr="000214BA">
        <w:rPr>
          <w:sz w:val="16"/>
          <w:szCs w:val="16"/>
        </w:rPr>
        <w:t xml:space="preserve">esolución del Primer Juzgado Civil de Puente Alto de 6 de abril de 2006, (expediente de prueba, anexo 45 del Informe de Fondo, </w:t>
      </w:r>
      <w:proofErr w:type="spellStart"/>
      <w:r w:rsidRPr="000214BA">
        <w:rPr>
          <w:sz w:val="16"/>
          <w:szCs w:val="16"/>
        </w:rPr>
        <w:t>f</w:t>
      </w:r>
      <w:r>
        <w:rPr>
          <w:sz w:val="16"/>
          <w:szCs w:val="16"/>
        </w:rPr>
        <w:t>f</w:t>
      </w:r>
      <w:proofErr w:type="spellEnd"/>
      <w:r w:rsidRPr="000214BA">
        <w:rPr>
          <w:sz w:val="16"/>
          <w:szCs w:val="16"/>
        </w:rPr>
        <w:t>. 194</w:t>
      </w:r>
      <w:r>
        <w:rPr>
          <w:sz w:val="16"/>
          <w:szCs w:val="16"/>
        </w:rPr>
        <w:t xml:space="preserve"> y </w:t>
      </w:r>
      <w:r w:rsidRPr="000214BA">
        <w:rPr>
          <w:sz w:val="16"/>
          <w:szCs w:val="16"/>
        </w:rPr>
        <w:t>195)</w:t>
      </w:r>
      <w:r>
        <w:rPr>
          <w:sz w:val="16"/>
          <w:szCs w:val="16"/>
        </w:rPr>
        <w:t>;</w:t>
      </w:r>
      <w:r w:rsidRPr="000214BA">
        <w:rPr>
          <w:sz w:val="16"/>
          <w:szCs w:val="16"/>
        </w:rPr>
        <w:t xml:space="preserve"> Escrito de la representación de María Carolina Chacón Fernández </w:t>
      </w:r>
      <w:r>
        <w:rPr>
          <w:sz w:val="16"/>
          <w:szCs w:val="16"/>
        </w:rPr>
        <w:t>promovido</w:t>
      </w:r>
      <w:r w:rsidRPr="000214BA">
        <w:rPr>
          <w:sz w:val="16"/>
          <w:szCs w:val="16"/>
        </w:rPr>
        <w:t xml:space="preserve"> ante el Primer Juzgado Civil de Puente Alto</w:t>
      </w:r>
      <w:r>
        <w:rPr>
          <w:sz w:val="16"/>
          <w:szCs w:val="16"/>
        </w:rPr>
        <w:t xml:space="preserve"> y</w:t>
      </w:r>
      <w:r w:rsidRPr="000214BA">
        <w:rPr>
          <w:sz w:val="16"/>
          <w:szCs w:val="16"/>
        </w:rPr>
        <w:t xml:space="preserve"> recibido el 27 de junio de 2006 (expediente de prueba, anexo 49 del Informe de Fondo, </w:t>
      </w:r>
      <w:proofErr w:type="spellStart"/>
      <w:r w:rsidRPr="000214BA">
        <w:rPr>
          <w:sz w:val="16"/>
          <w:szCs w:val="16"/>
        </w:rPr>
        <w:t>f</w:t>
      </w:r>
      <w:r>
        <w:rPr>
          <w:sz w:val="16"/>
          <w:szCs w:val="16"/>
        </w:rPr>
        <w:t>f</w:t>
      </w:r>
      <w:proofErr w:type="spellEnd"/>
      <w:r w:rsidRPr="000214BA">
        <w:rPr>
          <w:sz w:val="16"/>
          <w:szCs w:val="16"/>
        </w:rPr>
        <w:t>. 209</w:t>
      </w:r>
      <w:r>
        <w:rPr>
          <w:sz w:val="16"/>
          <w:szCs w:val="16"/>
        </w:rPr>
        <w:t xml:space="preserve"> y </w:t>
      </w:r>
      <w:r w:rsidRPr="000214BA">
        <w:rPr>
          <w:sz w:val="16"/>
          <w:szCs w:val="16"/>
        </w:rPr>
        <w:t>210)</w:t>
      </w:r>
      <w:r>
        <w:rPr>
          <w:sz w:val="16"/>
          <w:szCs w:val="16"/>
        </w:rPr>
        <w:t>;</w:t>
      </w:r>
      <w:r w:rsidRPr="000214BA">
        <w:rPr>
          <w:sz w:val="16"/>
          <w:szCs w:val="16"/>
        </w:rPr>
        <w:t xml:space="preserve"> </w:t>
      </w:r>
      <w:r>
        <w:rPr>
          <w:sz w:val="16"/>
          <w:szCs w:val="16"/>
        </w:rPr>
        <w:t>Proveído</w:t>
      </w:r>
      <w:r w:rsidRPr="000214BA">
        <w:rPr>
          <w:sz w:val="16"/>
          <w:szCs w:val="16"/>
        </w:rPr>
        <w:t xml:space="preserve"> del Primer Juzgado Civil de Puente Alto el 26 de julio de 2006 (expediente de prueba, anexo 50 del Informe de Fondo, f. 212)</w:t>
      </w:r>
      <w:r>
        <w:rPr>
          <w:sz w:val="16"/>
          <w:szCs w:val="16"/>
        </w:rPr>
        <w:t>;</w:t>
      </w:r>
      <w:r w:rsidRPr="000214BA">
        <w:rPr>
          <w:sz w:val="16"/>
          <w:szCs w:val="16"/>
        </w:rPr>
        <w:t xml:space="preserve"> Escrito de la representación de María Carolina Chacón Fernández </w:t>
      </w:r>
      <w:r>
        <w:rPr>
          <w:sz w:val="16"/>
          <w:szCs w:val="16"/>
        </w:rPr>
        <w:t>promovido</w:t>
      </w:r>
      <w:r w:rsidRPr="000214BA">
        <w:rPr>
          <w:sz w:val="16"/>
          <w:szCs w:val="16"/>
        </w:rPr>
        <w:t xml:space="preserve"> ante el Primer Juzgado Civil de Puente Alto, recibido el 5 de septiembre de 2006 (expediente de prueba, anexo 51 del Informe de Fondo, </w:t>
      </w:r>
      <w:proofErr w:type="spellStart"/>
      <w:r w:rsidRPr="000214BA">
        <w:rPr>
          <w:sz w:val="16"/>
          <w:szCs w:val="16"/>
        </w:rPr>
        <w:t>f</w:t>
      </w:r>
      <w:r>
        <w:rPr>
          <w:sz w:val="16"/>
          <w:szCs w:val="16"/>
        </w:rPr>
        <w:t>f</w:t>
      </w:r>
      <w:proofErr w:type="spellEnd"/>
      <w:r w:rsidRPr="000214BA">
        <w:rPr>
          <w:sz w:val="16"/>
          <w:szCs w:val="16"/>
        </w:rPr>
        <w:t>. 214</w:t>
      </w:r>
      <w:r>
        <w:rPr>
          <w:sz w:val="16"/>
          <w:szCs w:val="16"/>
        </w:rPr>
        <w:t xml:space="preserve"> y </w:t>
      </w:r>
      <w:r w:rsidRPr="000214BA">
        <w:rPr>
          <w:sz w:val="16"/>
          <w:szCs w:val="16"/>
        </w:rPr>
        <w:t>215)</w:t>
      </w:r>
      <w:r>
        <w:rPr>
          <w:sz w:val="16"/>
          <w:szCs w:val="16"/>
        </w:rPr>
        <w:t>, y</w:t>
      </w:r>
      <w:r w:rsidRPr="000214BA">
        <w:rPr>
          <w:sz w:val="16"/>
          <w:szCs w:val="16"/>
        </w:rPr>
        <w:t xml:space="preserve"> Resolución del Primer Juzgado Civil de Puente Alto el 14 de septiembre de 2006 (expediente de prueba, anexo 52 del Informe de Fondo, f. 218).</w:t>
      </w:r>
    </w:p>
  </w:footnote>
  <w:footnote w:id="92">
    <w:p w14:paraId="6BCBE7DF" w14:textId="56227938" w:rsidR="003C025E" w:rsidRPr="000214BA"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rPr>
        <w:t xml:space="preserve">Escrito de la representación de María Carolina Chacón Fernández </w:t>
      </w:r>
      <w:r>
        <w:rPr>
          <w:sz w:val="16"/>
          <w:szCs w:val="16"/>
        </w:rPr>
        <w:t>promovido</w:t>
      </w:r>
      <w:r w:rsidRPr="000214BA">
        <w:rPr>
          <w:sz w:val="16"/>
          <w:szCs w:val="16"/>
        </w:rPr>
        <w:t xml:space="preserve"> ante el Primer Juzgado Civil de Puente Alto </w:t>
      </w:r>
      <w:r>
        <w:rPr>
          <w:sz w:val="16"/>
          <w:szCs w:val="16"/>
        </w:rPr>
        <w:t xml:space="preserve">y </w:t>
      </w:r>
      <w:r w:rsidRPr="000214BA">
        <w:rPr>
          <w:sz w:val="16"/>
          <w:szCs w:val="16"/>
        </w:rPr>
        <w:t>recibido el 21 de noviembre de 2006 (expediente de prueba, anexo 54 del Informe de Fondo, f. 222</w:t>
      </w:r>
      <w:r>
        <w:rPr>
          <w:sz w:val="16"/>
          <w:szCs w:val="16"/>
        </w:rPr>
        <w:t xml:space="preserve"> y </w:t>
      </w:r>
      <w:r w:rsidRPr="000214BA">
        <w:rPr>
          <w:sz w:val="16"/>
          <w:szCs w:val="16"/>
        </w:rPr>
        <w:t>22</w:t>
      </w:r>
      <w:r>
        <w:rPr>
          <w:sz w:val="16"/>
          <w:szCs w:val="16"/>
        </w:rPr>
        <w:t>3</w:t>
      </w:r>
      <w:r w:rsidRPr="000214BA">
        <w:rPr>
          <w:sz w:val="16"/>
          <w:szCs w:val="16"/>
        </w:rPr>
        <w:t>)</w:t>
      </w:r>
      <w:r>
        <w:rPr>
          <w:sz w:val="16"/>
          <w:szCs w:val="16"/>
        </w:rPr>
        <w:t>, y R</w:t>
      </w:r>
      <w:r w:rsidRPr="000214BA">
        <w:rPr>
          <w:sz w:val="16"/>
          <w:szCs w:val="16"/>
        </w:rPr>
        <w:t>esolución del Primer Juzgado Civil de Puente Alto el 22 de noviembre de 2006 (expediente de prueba, anexo 55 del Informe de Fondo, f. 225).</w:t>
      </w:r>
    </w:p>
  </w:footnote>
  <w:footnote w:id="93">
    <w:p w14:paraId="088B58D7" w14:textId="77777777"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sidRPr="00C64243">
        <w:rPr>
          <w:i/>
          <w:sz w:val="16"/>
          <w:szCs w:val="16"/>
        </w:rPr>
        <w:t xml:space="preserve"> </w:t>
      </w:r>
      <w:r w:rsidRPr="000214BA">
        <w:rPr>
          <w:sz w:val="16"/>
          <w:szCs w:val="16"/>
        </w:rPr>
        <w:t xml:space="preserve">Escrito de la representación de María Carolina Chacón Fernández </w:t>
      </w:r>
      <w:r>
        <w:rPr>
          <w:sz w:val="16"/>
          <w:szCs w:val="16"/>
        </w:rPr>
        <w:t>promovido</w:t>
      </w:r>
      <w:r w:rsidRPr="000214BA">
        <w:rPr>
          <w:sz w:val="16"/>
          <w:szCs w:val="16"/>
        </w:rPr>
        <w:t xml:space="preserve"> ante el Primer Juzgado Civil de Puente Alto, recibido el 07 de diciembre de 2006 (expediente de prueba, anexo 56 del Informe de Fondo, f.</w:t>
      </w:r>
      <w:r>
        <w:rPr>
          <w:sz w:val="16"/>
          <w:szCs w:val="16"/>
        </w:rPr>
        <w:t xml:space="preserve"> </w:t>
      </w:r>
      <w:r w:rsidRPr="000214BA">
        <w:rPr>
          <w:sz w:val="16"/>
          <w:szCs w:val="16"/>
        </w:rPr>
        <w:t>227)</w:t>
      </w:r>
      <w:r>
        <w:rPr>
          <w:sz w:val="16"/>
          <w:szCs w:val="16"/>
        </w:rPr>
        <w:t>.</w:t>
      </w:r>
      <w:r w:rsidDel="00394B4C">
        <w:rPr>
          <w:sz w:val="16"/>
          <w:szCs w:val="16"/>
        </w:rPr>
        <w:t xml:space="preserve"> </w:t>
      </w:r>
    </w:p>
  </w:footnote>
  <w:footnote w:id="94">
    <w:p w14:paraId="64DBE920" w14:textId="0A58A93C" w:rsidR="003C025E" w:rsidRPr="00C64243"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rPr>
        <w:t>Auto del Primer Juzgado Civil de Puente Alto el 11 de diciembre de 2006 (expediente de prueba, anexo 57 del Informe de Fondo, f. 230)</w:t>
      </w:r>
      <w:r>
        <w:rPr>
          <w:sz w:val="16"/>
          <w:szCs w:val="16"/>
        </w:rPr>
        <w:t>.</w:t>
      </w:r>
      <w:r w:rsidRPr="00EF19A9">
        <w:rPr>
          <w:sz w:val="16"/>
          <w:szCs w:val="16"/>
          <w:lang w:val="es-MX"/>
        </w:rPr>
        <w:t xml:space="preserve"> </w:t>
      </w:r>
    </w:p>
  </w:footnote>
  <w:footnote w:id="95">
    <w:p w14:paraId="638B533B" w14:textId="06612842"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rPr>
        <w:t xml:space="preserve">Escrito de la representación de Vinicio Poblete Tapia interpuesto ante el Primer Juzgado Civil de Puente Alto, recibido el 29 de enero de 2007 (expediente de prueba, anexo 58 del Informe de Fondo, </w:t>
      </w:r>
      <w:proofErr w:type="spellStart"/>
      <w:r>
        <w:rPr>
          <w:sz w:val="16"/>
          <w:szCs w:val="16"/>
        </w:rPr>
        <w:t>f</w:t>
      </w:r>
      <w:r w:rsidRPr="000214BA">
        <w:rPr>
          <w:sz w:val="16"/>
          <w:szCs w:val="16"/>
        </w:rPr>
        <w:t>f</w:t>
      </w:r>
      <w:proofErr w:type="spellEnd"/>
      <w:r w:rsidRPr="000214BA">
        <w:rPr>
          <w:sz w:val="16"/>
          <w:szCs w:val="16"/>
        </w:rPr>
        <w:t>. 232</w:t>
      </w:r>
      <w:r>
        <w:rPr>
          <w:sz w:val="16"/>
          <w:szCs w:val="16"/>
        </w:rPr>
        <w:t xml:space="preserve"> y </w:t>
      </w:r>
      <w:r w:rsidRPr="000214BA">
        <w:rPr>
          <w:sz w:val="16"/>
          <w:szCs w:val="16"/>
        </w:rPr>
        <w:t>233).</w:t>
      </w:r>
    </w:p>
  </w:footnote>
  <w:footnote w:id="96">
    <w:p w14:paraId="7304D9C5" w14:textId="7B2ACC36"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Pr>
          <w:i/>
          <w:sz w:val="16"/>
          <w:szCs w:val="16"/>
        </w:rPr>
        <w:t xml:space="preserve"> </w:t>
      </w:r>
      <w:r w:rsidRPr="000214BA">
        <w:rPr>
          <w:sz w:val="16"/>
          <w:szCs w:val="16"/>
        </w:rPr>
        <w:t>Auto del Primer Juzgado Civil de Puente Alto de 27 de febrero de 2007 (expediente de prueba, anexo 59 del Informe de Fondo, f. 235)</w:t>
      </w:r>
      <w:r>
        <w:rPr>
          <w:sz w:val="16"/>
          <w:szCs w:val="16"/>
        </w:rPr>
        <w:t>,</w:t>
      </w:r>
      <w:r w:rsidRPr="000214BA">
        <w:rPr>
          <w:sz w:val="16"/>
          <w:szCs w:val="16"/>
        </w:rPr>
        <w:t xml:space="preserve"> </w:t>
      </w:r>
      <w:r>
        <w:rPr>
          <w:sz w:val="16"/>
          <w:szCs w:val="16"/>
        </w:rPr>
        <w:t>y</w:t>
      </w:r>
      <w:r w:rsidRPr="000214BA">
        <w:rPr>
          <w:sz w:val="16"/>
          <w:szCs w:val="16"/>
        </w:rPr>
        <w:t xml:space="preserve"> Auto del Primer Juzgado Civil de Puente Alto de 17 de abril de 2007 (expediente de prueba, anexo 60 del Informe de Fondo, f. 237).</w:t>
      </w:r>
    </w:p>
  </w:footnote>
  <w:footnote w:id="97">
    <w:p w14:paraId="1C234484" w14:textId="58522E10"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Pr>
          <w:i/>
          <w:sz w:val="16"/>
          <w:szCs w:val="16"/>
        </w:rPr>
        <w:t xml:space="preserve"> </w:t>
      </w:r>
      <w:r w:rsidRPr="000214BA">
        <w:rPr>
          <w:sz w:val="16"/>
          <w:szCs w:val="16"/>
        </w:rPr>
        <w:t>Auto del Primer Juzgado Civil de Puente Alto el 21 de enero de 2008 (expediente de prueba, anexo 62 del Informe de Fondo, f. 241).</w:t>
      </w:r>
    </w:p>
  </w:footnote>
  <w:footnote w:id="98">
    <w:p w14:paraId="10084FA7" w14:textId="77777777"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sidRPr="00C64243">
        <w:rPr>
          <w:i/>
          <w:sz w:val="16"/>
          <w:szCs w:val="16"/>
        </w:rPr>
        <w:t xml:space="preserve"> </w:t>
      </w:r>
      <w:r w:rsidRPr="000214BA">
        <w:rPr>
          <w:sz w:val="16"/>
          <w:szCs w:val="16"/>
        </w:rPr>
        <w:t>Orden No. 10187 emitido por el Servicio Médico Legal del Gobierno de Chile, dirigido al Primer Juzgado Civil de Puente Alto de fecha 11 de junio de 2008 (expediente de prueba, anexo 63 del Informe de Fondo, f. 243).</w:t>
      </w:r>
    </w:p>
  </w:footnote>
  <w:footnote w:id="99">
    <w:p w14:paraId="29E46906" w14:textId="264D5106"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Pr>
          <w:i/>
          <w:sz w:val="16"/>
          <w:szCs w:val="16"/>
        </w:rPr>
        <w:t xml:space="preserve"> </w:t>
      </w:r>
      <w:r w:rsidRPr="000214BA">
        <w:rPr>
          <w:sz w:val="16"/>
          <w:szCs w:val="16"/>
        </w:rPr>
        <w:t>Auto de la Corte de Apelaciones de San Miguel el 3 de mayo de 2008 (expediente de prueba, anexo</w:t>
      </w:r>
      <w:r>
        <w:rPr>
          <w:sz w:val="16"/>
          <w:szCs w:val="16"/>
        </w:rPr>
        <w:t>s</w:t>
      </w:r>
      <w:r w:rsidRPr="000214BA">
        <w:rPr>
          <w:sz w:val="16"/>
          <w:szCs w:val="16"/>
        </w:rPr>
        <w:t xml:space="preserve"> 65 y 66 del Informe de Fondo, </w:t>
      </w:r>
      <w:proofErr w:type="spellStart"/>
      <w:r>
        <w:rPr>
          <w:sz w:val="16"/>
          <w:szCs w:val="16"/>
        </w:rPr>
        <w:t>f</w:t>
      </w:r>
      <w:r w:rsidRPr="000214BA">
        <w:rPr>
          <w:sz w:val="16"/>
          <w:szCs w:val="16"/>
        </w:rPr>
        <w:t>f</w:t>
      </w:r>
      <w:proofErr w:type="spellEnd"/>
      <w:r w:rsidRPr="000214BA">
        <w:rPr>
          <w:sz w:val="16"/>
          <w:szCs w:val="16"/>
        </w:rPr>
        <w:t>. 247 y 249).</w:t>
      </w:r>
    </w:p>
  </w:footnote>
  <w:footnote w:id="100">
    <w:p w14:paraId="3A9DDD3A" w14:textId="7F2A199C"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Pr>
          <w:sz w:val="16"/>
          <w:szCs w:val="16"/>
        </w:rPr>
        <w:t xml:space="preserve"> </w:t>
      </w:r>
      <w:r w:rsidRPr="000214BA">
        <w:rPr>
          <w:sz w:val="16"/>
          <w:szCs w:val="16"/>
          <w:lang w:val="es-MX"/>
        </w:rPr>
        <w:t xml:space="preserve">Auto de 11 de junio de 2008 </w:t>
      </w:r>
      <w:r>
        <w:rPr>
          <w:sz w:val="16"/>
          <w:szCs w:val="16"/>
          <w:lang w:val="es-MX"/>
        </w:rPr>
        <w:t>d</w:t>
      </w:r>
      <w:r w:rsidRPr="000214BA">
        <w:rPr>
          <w:sz w:val="16"/>
          <w:szCs w:val="16"/>
          <w:lang w:val="es-MX"/>
        </w:rPr>
        <w:t xml:space="preserve">el Primer Juzgado Civil de Puente Alto </w:t>
      </w:r>
      <w:r w:rsidRPr="000214BA">
        <w:rPr>
          <w:sz w:val="16"/>
          <w:szCs w:val="16"/>
        </w:rPr>
        <w:t>(expediente de prueba, anexo 67 del Informe de Fondo, f. 251).</w:t>
      </w:r>
    </w:p>
  </w:footnote>
  <w:footnote w:id="101">
    <w:p w14:paraId="553CCFF0" w14:textId="0D256BFD"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lang w:val="es-MX"/>
        </w:rPr>
        <w:t xml:space="preserve">Auto de 30 de junio de 2008 </w:t>
      </w:r>
      <w:r>
        <w:rPr>
          <w:sz w:val="16"/>
          <w:szCs w:val="16"/>
          <w:lang w:val="es-MX"/>
        </w:rPr>
        <w:t>d</w:t>
      </w:r>
      <w:r w:rsidRPr="000214BA">
        <w:rPr>
          <w:sz w:val="16"/>
          <w:szCs w:val="16"/>
          <w:lang w:val="es-MX"/>
        </w:rPr>
        <w:t xml:space="preserve">el Primer Juzgado Civil de Puente Alto </w:t>
      </w:r>
      <w:r w:rsidRPr="000214BA">
        <w:rPr>
          <w:sz w:val="16"/>
          <w:szCs w:val="16"/>
        </w:rPr>
        <w:t>(expediente de prueba, anexo 69 del Informe de Fondo, f. 253).</w:t>
      </w:r>
    </w:p>
  </w:footnote>
  <w:footnote w:id="102">
    <w:p w14:paraId="7E4D079B" w14:textId="23EEFF2E" w:rsidR="003C025E" w:rsidRPr="00C27894" w:rsidRDefault="003C025E" w:rsidP="00B1523A">
      <w:pPr>
        <w:pStyle w:val="FootnoteText"/>
        <w:ind w:right="-360"/>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sidRPr="00C64243">
        <w:rPr>
          <w:i/>
          <w:sz w:val="16"/>
          <w:szCs w:val="16"/>
        </w:rPr>
        <w:t xml:space="preserve"> </w:t>
      </w:r>
      <w:r w:rsidRPr="000214BA">
        <w:rPr>
          <w:sz w:val="16"/>
          <w:szCs w:val="16"/>
        </w:rPr>
        <w:t xml:space="preserve">Escrito de la representación de Vinicio Poblete Tapia </w:t>
      </w:r>
      <w:r>
        <w:rPr>
          <w:sz w:val="16"/>
          <w:szCs w:val="16"/>
        </w:rPr>
        <w:t>promovido</w:t>
      </w:r>
      <w:r w:rsidRPr="000214BA">
        <w:rPr>
          <w:sz w:val="16"/>
          <w:szCs w:val="16"/>
        </w:rPr>
        <w:t xml:space="preserve"> ante el Primer Juzgado Civil de Puente Alto, recibido el 04 de agosto de 2008 (expediente de prueba, anexo 70 del Informe de Fondo, f. 255).</w:t>
      </w:r>
    </w:p>
  </w:footnote>
  <w:footnote w:id="103">
    <w:p w14:paraId="6C29CC67" w14:textId="22C046CD" w:rsidR="003C025E" w:rsidRPr="000214BA" w:rsidRDefault="003C025E" w:rsidP="00AB1E03">
      <w:pPr>
        <w:pStyle w:val="FootnoteText"/>
        <w:ind w:right="-357"/>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Pr>
          <w:i/>
          <w:sz w:val="16"/>
          <w:szCs w:val="16"/>
        </w:rPr>
        <w:t xml:space="preserve"> </w:t>
      </w:r>
      <w:r w:rsidRPr="000214BA">
        <w:rPr>
          <w:sz w:val="16"/>
          <w:szCs w:val="16"/>
          <w:lang w:val="es-MX"/>
        </w:rPr>
        <w:t xml:space="preserve">Auto de 5 de agosto de 2008 </w:t>
      </w:r>
      <w:r>
        <w:rPr>
          <w:sz w:val="16"/>
          <w:szCs w:val="16"/>
          <w:lang w:val="es-MX"/>
        </w:rPr>
        <w:t>d</w:t>
      </w:r>
      <w:r w:rsidRPr="000214BA">
        <w:rPr>
          <w:sz w:val="16"/>
          <w:szCs w:val="16"/>
          <w:lang w:val="es-MX"/>
        </w:rPr>
        <w:t xml:space="preserve">el Primer Juzgado Civil de Puente Alto </w:t>
      </w:r>
      <w:r w:rsidRPr="000214BA">
        <w:rPr>
          <w:sz w:val="16"/>
          <w:szCs w:val="16"/>
        </w:rPr>
        <w:t>(expediente de prueba, anexo 71 del Informe de Fondo, f. 257).</w:t>
      </w:r>
    </w:p>
  </w:footnote>
  <w:footnote w:id="104">
    <w:p w14:paraId="1A937871" w14:textId="77777777" w:rsidR="003C025E" w:rsidRPr="000214BA"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Pr>
          <w:i/>
          <w:sz w:val="16"/>
          <w:szCs w:val="16"/>
        </w:rPr>
        <w:t xml:space="preserve"> </w:t>
      </w:r>
      <w:r w:rsidRPr="000214BA">
        <w:rPr>
          <w:sz w:val="16"/>
          <w:szCs w:val="16"/>
        </w:rPr>
        <w:t>Resolución de la Corte Suprema de Justicia</w:t>
      </w:r>
      <w:r>
        <w:rPr>
          <w:sz w:val="16"/>
          <w:szCs w:val="16"/>
        </w:rPr>
        <w:t xml:space="preserve"> de Chile</w:t>
      </w:r>
      <w:r w:rsidRPr="000214BA">
        <w:rPr>
          <w:sz w:val="16"/>
          <w:szCs w:val="16"/>
        </w:rPr>
        <w:t>, oficio número 4824 de 28 de agosto de 2008 dirigido al Primer Juzgado Civil de Puente Alto (expediente de prueba, anexo 72 del Informe de Fondo, f. 259).</w:t>
      </w:r>
    </w:p>
  </w:footnote>
  <w:footnote w:id="105">
    <w:p w14:paraId="2680459E" w14:textId="4568FE10" w:rsidR="003C025E" w:rsidRPr="000214BA"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sidRPr="00C64243">
        <w:rPr>
          <w:i/>
          <w:sz w:val="16"/>
          <w:szCs w:val="16"/>
        </w:rPr>
        <w:t xml:space="preserve"> </w:t>
      </w:r>
      <w:r w:rsidRPr="000214BA">
        <w:rPr>
          <w:sz w:val="16"/>
          <w:szCs w:val="16"/>
          <w:lang w:val="es-MX"/>
        </w:rPr>
        <w:t xml:space="preserve">Auto de 9 de septiembre de 2008 </w:t>
      </w:r>
      <w:r>
        <w:rPr>
          <w:sz w:val="16"/>
          <w:szCs w:val="16"/>
          <w:lang w:val="es-MX"/>
        </w:rPr>
        <w:t>d</w:t>
      </w:r>
      <w:r w:rsidRPr="000214BA">
        <w:rPr>
          <w:sz w:val="16"/>
          <w:szCs w:val="16"/>
          <w:lang w:val="es-MX"/>
        </w:rPr>
        <w:t xml:space="preserve">el Primer Juzgado Civil de Puente Alto </w:t>
      </w:r>
      <w:r w:rsidRPr="000214BA">
        <w:rPr>
          <w:sz w:val="16"/>
          <w:szCs w:val="16"/>
        </w:rPr>
        <w:t>(expediente de prueba, anexo 73 del Informe de Fondo, f. 261).</w:t>
      </w:r>
    </w:p>
  </w:footnote>
  <w:footnote w:id="106">
    <w:p w14:paraId="21FB8B94" w14:textId="755482F0"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sidRPr="00C64243">
        <w:rPr>
          <w:i/>
          <w:sz w:val="16"/>
          <w:szCs w:val="16"/>
        </w:rPr>
        <w:t xml:space="preserve"> </w:t>
      </w:r>
      <w:r w:rsidRPr="000214BA">
        <w:rPr>
          <w:sz w:val="16"/>
          <w:szCs w:val="16"/>
        </w:rPr>
        <w:t>Resoluciones de la Corte Suprema de Justicia de fechas 6 de marzo de 2008, 8 de julio de 2011, 20 de agosto de 2012, 14 de marzo de 2013 y 8 de enero de 2015 (expediente de prueba, anexo 64</w:t>
      </w:r>
      <w:r>
        <w:rPr>
          <w:sz w:val="16"/>
          <w:szCs w:val="16"/>
        </w:rPr>
        <w:t>,</w:t>
      </w:r>
      <w:r w:rsidRPr="000214BA">
        <w:rPr>
          <w:sz w:val="16"/>
          <w:szCs w:val="16"/>
        </w:rPr>
        <w:t xml:space="preserve"> f. 245</w:t>
      </w:r>
      <w:r>
        <w:rPr>
          <w:sz w:val="16"/>
          <w:szCs w:val="16"/>
        </w:rPr>
        <w:t>;</w:t>
      </w:r>
      <w:r w:rsidRPr="000214BA">
        <w:rPr>
          <w:sz w:val="16"/>
          <w:szCs w:val="16"/>
        </w:rPr>
        <w:t xml:space="preserve"> anexo 74, </w:t>
      </w:r>
      <w:proofErr w:type="spellStart"/>
      <w:r w:rsidRPr="000214BA">
        <w:rPr>
          <w:sz w:val="16"/>
          <w:szCs w:val="16"/>
        </w:rPr>
        <w:t>f</w:t>
      </w:r>
      <w:r>
        <w:rPr>
          <w:sz w:val="16"/>
          <w:szCs w:val="16"/>
        </w:rPr>
        <w:t>f</w:t>
      </w:r>
      <w:proofErr w:type="spellEnd"/>
      <w:r w:rsidRPr="000214BA">
        <w:rPr>
          <w:sz w:val="16"/>
          <w:szCs w:val="16"/>
        </w:rPr>
        <w:t>. 263</w:t>
      </w:r>
      <w:r>
        <w:rPr>
          <w:sz w:val="16"/>
          <w:szCs w:val="16"/>
        </w:rPr>
        <w:t xml:space="preserve"> y </w:t>
      </w:r>
      <w:r w:rsidRPr="000214BA">
        <w:rPr>
          <w:sz w:val="16"/>
          <w:szCs w:val="16"/>
        </w:rPr>
        <w:t>264</w:t>
      </w:r>
      <w:r>
        <w:rPr>
          <w:sz w:val="16"/>
          <w:szCs w:val="16"/>
        </w:rPr>
        <w:t>;</w:t>
      </w:r>
      <w:r w:rsidRPr="000214BA">
        <w:rPr>
          <w:sz w:val="16"/>
          <w:szCs w:val="16"/>
        </w:rPr>
        <w:t xml:space="preserve"> anexo 75, </w:t>
      </w:r>
      <w:proofErr w:type="spellStart"/>
      <w:r w:rsidRPr="000214BA">
        <w:rPr>
          <w:sz w:val="16"/>
          <w:szCs w:val="16"/>
        </w:rPr>
        <w:t>f</w:t>
      </w:r>
      <w:r>
        <w:rPr>
          <w:sz w:val="16"/>
          <w:szCs w:val="16"/>
        </w:rPr>
        <w:t>f</w:t>
      </w:r>
      <w:proofErr w:type="spellEnd"/>
      <w:r w:rsidRPr="000214BA">
        <w:rPr>
          <w:sz w:val="16"/>
          <w:szCs w:val="16"/>
        </w:rPr>
        <w:t>. 266</w:t>
      </w:r>
      <w:r>
        <w:rPr>
          <w:sz w:val="16"/>
          <w:szCs w:val="16"/>
        </w:rPr>
        <w:t xml:space="preserve"> y </w:t>
      </w:r>
      <w:r w:rsidRPr="000214BA">
        <w:rPr>
          <w:sz w:val="16"/>
          <w:szCs w:val="16"/>
        </w:rPr>
        <w:t>267</w:t>
      </w:r>
      <w:r>
        <w:rPr>
          <w:sz w:val="16"/>
          <w:szCs w:val="16"/>
        </w:rPr>
        <w:t>;</w:t>
      </w:r>
      <w:r w:rsidRPr="000214BA">
        <w:rPr>
          <w:sz w:val="16"/>
          <w:szCs w:val="16"/>
        </w:rPr>
        <w:t xml:space="preserve"> anexo 76, </w:t>
      </w:r>
      <w:proofErr w:type="spellStart"/>
      <w:r w:rsidRPr="000214BA">
        <w:rPr>
          <w:sz w:val="16"/>
          <w:szCs w:val="16"/>
        </w:rPr>
        <w:t>f</w:t>
      </w:r>
      <w:r>
        <w:rPr>
          <w:sz w:val="16"/>
          <w:szCs w:val="16"/>
        </w:rPr>
        <w:t>f</w:t>
      </w:r>
      <w:proofErr w:type="spellEnd"/>
      <w:r w:rsidRPr="000214BA">
        <w:rPr>
          <w:sz w:val="16"/>
          <w:szCs w:val="16"/>
        </w:rPr>
        <w:t>. 269</w:t>
      </w:r>
      <w:r>
        <w:rPr>
          <w:sz w:val="16"/>
          <w:szCs w:val="16"/>
        </w:rPr>
        <w:t xml:space="preserve"> y </w:t>
      </w:r>
      <w:r w:rsidRPr="000214BA">
        <w:rPr>
          <w:sz w:val="16"/>
          <w:szCs w:val="16"/>
        </w:rPr>
        <w:t>270</w:t>
      </w:r>
      <w:r>
        <w:rPr>
          <w:sz w:val="16"/>
          <w:szCs w:val="16"/>
        </w:rPr>
        <w:t>,</w:t>
      </w:r>
      <w:r w:rsidRPr="000214BA">
        <w:rPr>
          <w:sz w:val="16"/>
          <w:szCs w:val="16"/>
        </w:rPr>
        <w:t xml:space="preserve"> y anexo 77, f.</w:t>
      </w:r>
      <w:r>
        <w:rPr>
          <w:sz w:val="16"/>
          <w:szCs w:val="16"/>
        </w:rPr>
        <w:t xml:space="preserve"> </w:t>
      </w:r>
      <w:r w:rsidRPr="000214BA">
        <w:rPr>
          <w:sz w:val="16"/>
          <w:szCs w:val="16"/>
        </w:rPr>
        <w:t>272</w:t>
      </w:r>
      <w:r>
        <w:rPr>
          <w:sz w:val="16"/>
          <w:szCs w:val="16"/>
        </w:rPr>
        <w:t>,</w:t>
      </w:r>
      <w:r w:rsidRPr="000214BA">
        <w:rPr>
          <w:sz w:val="16"/>
          <w:szCs w:val="16"/>
        </w:rPr>
        <w:t xml:space="preserve"> todos del Informe de Fondo).</w:t>
      </w:r>
    </w:p>
  </w:footnote>
  <w:footnote w:id="107">
    <w:p w14:paraId="4A2663B0" w14:textId="45628DFE" w:rsidR="003C025E" w:rsidRPr="00FD0CAE"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rPr>
        <w:t>Resolución de la Corte Suprema de Justicia de fecha 8 de enero de 2015 (expediente de prueba, anexo 77 del Informe de Fondo</w:t>
      </w:r>
      <w:r>
        <w:rPr>
          <w:sz w:val="16"/>
          <w:szCs w:val="16"/>
        </w:rPr>
        <w:t>,</w:t>
      </w:r>
      <w:r w:rsidRPr="00255C6F">
        <w:rPr>
          <w:sz w:val="16"/>
          <w:szCs w:val="16"/>
        </w:rPr>
        <w:t xml:space="preserve"> </w:t>
      </w:r>
      <w:r w:rsidRPr="000214BA">
        <w:rPr>
          <w:sz w:val="16"/>
          <w:szCs w:val="16"/>
        </w:rPr>
        <w:t>f.</w:t>
      </w:r>
      <w:r>
        <w:rPr>
          <w:sz w:val="16"/>
          <w:szCs w:val="16"/>
        </w:rPr>
        <w:t xml:space="preserve"> </w:t>
      </w:r>
      <w:r w:rsidRPr="000214BA">
        <w:rPr>
          <w:sz w:val="16"/>
          <w:szCs w:val="16"/>
        </w:rPr>
        <w:t>272)</w:t>
      </w:r>
      <w:r>
        <w:rPr>
          <w:sz w:val="16"/>
          <w:szCs w:val="16"/>
        </w:rPr>
        <w:t xml:space="preserve">, y Resolución de la Corte Suprema de Justicia de fecha 25 de agosto de 2014 (expediente de fondo, prueba para mejor resolver presentada por el Estado, </w:t>
      </w:r>
      <w:proofErr w:type="spellStart"/>
      <w:r>
        <w:rPr>
          <w:sz w:val="16"/>
          <w:szCs w:val="16"/>
        </w:rPr>
        <w:t>ff</w:t>
      </w:r>
      <w:proofErr w:type="spellEnd"/>
      <w:r>
        <w:rPr>
          <w:sz w:val="16"/>
          <w:szCs w:val="16"/>
        </w:rPr>
        <w:t>. 1399 a 1401).</w:t>
      </w:r>
    </w:p>
  </w:footnote>
  <w:footnote w:id="108">
    <w:p w14:paraId="3DCB363F" w14:textId="20297966" w:rsidR="003C025E" w:rsidRPr="00C27894"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Pr>
          <w:i/>
          <w:sz w:val="16"/>
          <w:szCs w:val="16"/>
        </w:rPr>
        <w:t xml:space="preserve"> </w:t>
      </w:r>
      <w:r w:rsidRPr="000214BA">
        <w:rPr>
          <w:sz w:val="16"/>
          <w:szCs w:val="16"/>
          <w:lang w:val="es-MX"/>
        </w:rPr>
        <w:t xml:space="preserve">Acta de </w:t>
      </w:r>
      <w:r>
        <w:rPr>
          <w:sz w:val="16"/>
          <w:szCs w:val="16"/>
          <w:lang w:val="es-MX"/>
        </w:rPr>
        <w:t>P</w:t>
      </w:r>
      <w:r w:rsidRPr="000214BA">
        <w:rPr>
          <w:sz w:val="16"/>
          <w:szCs w:val="16"/>
          <w:lang w:val="es-MX"/>
        </w:rPr>
        <w:t xml:space="preserve">rimera </w:t>
      </w:r>
      <w:r>
        <w:rPr>
          <w:sz w:val="16"/>
          <w:szCs w:val="16"/>
          <w:lang w:val="es-MX"/>
        </w:rPr>
        <w:t>A</w:t>
      </w:r>
      <w:r w:rsidRPr="000214BA">
        <w:rPr>
          <w:sz w:val="16"/>
          <w:szCs w:val="16"/>
          <w:lang w:val="es-MX"/>
        </w:rPr>
        <w:t xml:space="preserve">udiencia de Mediación </w:t>
      </w:r>
      <w:r>
        <w:rPr>
          <w:sz w:val="16"/>
          <w:szCs w:val="16"/>
          <w:lang w:val="es-MX"/>
        </w:rPr>
        <w:t>en</w:t>
      </w:r>
      <w:r w:rsidRPr="000214BA">
        <w:rPr>
          <w:sz w:val="16"/>
          <w:szCs w:val="16"/>
          <w:lang w:val="es-MX"/>
        </w:rPr>
        <w:t xml:space="preserve"> la Unidad de Mediación del Consejo de Defensa del Estado el 4 de abril de 2006</w:t>
      </w:r>
      <w:r w:rsidRPr="000214BA">
        <w:rPr>
          <w:sz w:val="16"/>
          <w:szCs w:val="16"/>
        </w:rPr>
        <w:t xml:space="preserve"> (expediente de prueba, anexo 78 del Informe de Fondo, f. 274)</w:t>
      </w:r>
      <w:r>
        <w:rPr>
          <w:sz w:val="16"/>
          <w:szCs w:val="16"/>
        </w:rPr>
        <w:t>.</w:t>
      </w:r>
      <w:r w:rsidRPr="00C27894">
        <w:rPr>
          <w:sz w:val="16"/>
          <w:szCs w:val="16"/>
        </w:rPr>
        <w:t xml:space="preserve"> </w:t>
      </w:r>
    </w:p>
  </w:footnote>
  <w:footnote w:id="109">
    <w:p w14:paraId="37ECEA86" w14:textId="1F406D4E" w:rsidR="003C025E" w:rsidRPr="000214BA"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0214BA">
        <w:rPr>
          <w:sz w:val="16"/>
          <w:szCs w:val="16"/>
          <w:lang w:val="es-MX"/>
        </w:rPr>
        <w:t xml:space="preserve">Acta de </w:t>
      </w:r>
      <w:r>
        <w:rPr>
          <w:sz w:val="16"/>
          <w:szCs w:val="16"/>
          <w:lang w:val="es-MX"/>
        </w:rPr>
        <w:t>P</w:t>
      </w:r>
      <w:r w:rsidRPr="000214BA">
        <w:rPr>
          <w:sz w:val="16"/>
          <w:szCs w:val="16"/>
          <w:lang w:val="es-MX"/>
        </w:rPr>
        <w:t xml:space="preserve">rimera </w:t>
      </w:r>
      <w:r>
        <w:rPr>
          <w:sz w:val="16"/>
          <w:szCs w:val="16"/>
          <w:lang w:val="es-MX"/>
        </w:rPr>
        <w:t>A</w:t>
      </w:r>
      <w:r w:rsidRPr="000214BA">
        <w:rPr>
          <w:sz w:val="16"/>
          <w:szCs w:val="16"/>
          <w:lang w:val="es-MX"/>
        </w:rPr>
        <w:t>udiencia de Mediación por la Unidad de Mediación del Consejo de Defensa del Estado</w:t>
      </w:r>
      <w:r>
        <w:rPr>
          <w:sz w:val="16"/>
          <w:szCs w:val="16"/>
          <w:lang w:val="es-MX"/>
        </w:rPr>
        <w:t xml:space="preserve"> (expediente de prueba</w:t>
      </w:r>
      <w:r w:rsidRPr="000214BA">
        <w:rPr>
          <w:sz w:val="16"/>
          <w:szCs w:val="16"/>
        </w:rPr>
        <w:t>,</w:t>
      </w:r>
      <w:r>
        <w:rPr>
          <w:sz w:val="16"/>
          <w:szCs w:val="16"/>
        </w:rPr>
        <w:t xml:space="preserve"> anexo 78 del Informe de Fondo, </w:t>
      </w:r>
      <w:proofErr w:type="spellStart"/>
      <w:r w:rsidRPr="000214BA">
        <w:rPr>
          <w:sz w:val="16"/>
          <w:szCs w:val="16"/>
        </w:rPr>
        <w:t>f</w:t>
      </w:r>
      <w:r>
        <w:rPr>
          <w:sz w:val="16"/>
          <w:szCs w:val="16"/>
        </w:rPr>
        <w:t>f</w:t>
      </w:r>
      <w:proofErr w:type="spellEnd"/>
      <w:r w:rsidRPr="000214BA">
        <w:rPr>
          <w:sz w:val="16"/>
          <w:szCs w:val="16"/>
        </w:rPr>
        <w:t>. 274</w:t>
      </w:r>
      <w:r>
        <w:rPr>
          <w:sz w:val="16"/>
          <w:szCs w:val="16"/>
        </w:rPr>
        <w:t xml:space="preserve"> a </w:t>
      </w:r>
      <w:r w:rsidRPr="000214BA">
        <w:rPr>
          <w:sz w:val="16"/>
          <w:szCs w:val="16"/>
        </w:rPr>
        <w:t>27</w:t>
      </w:r>
      <w:r>
        <w:rPr>
          <w:sz w:val="16"/>
          <w:szCs w:val="16"/>
        </w:rPr>
        <w:t>6)</w:t>
      </w:r>
      <w:r w:rsidRPr="000214BA">
        <w:rPr>
          <w:sz w:val="16"/>
          <w:szCs w:val="16"/>
        </w:rPr>
        <w:t>.</w:t>
      </w:r>
    </w:p>
  </w:footnote>
  <w:footnote w:id="110">
    <w:p w14:paraId="16EDF624" w14:textId="705D401D" w:rsidR="003C025E" w:rsidRPr="000214BA" w:rsidRDefault="003C025E" w:rsidP="00E22B60">
      <w:pPr>
        <w:pStyle w:val="FootnoteText"/>
        <w:ind w:right="-360"/>
        <w:rPr>
          <w:sz w:val="16"/>
          <w:szCs w:val="16"/>
          <w:lang w:val="es-MX"/>
        </w:rPr>
      </w:pPr>
      <w:r w:rsidRPr="000214BA">
        <w:rPr>
          <w:rStyle w:val="FootnoteReference"/>
          <w:rFonts w:eastAsia="MS Mincho"/>
          <w:sz w:val="16"/>
          <w:szCs w:val="16"/>
        </w:rPr>
        <w:footnoteRef/>
      </w:r>
      <w:r w:rsidRPr="000214BA">
        <w:rPr>
          <w:sz w:val="16"/>
          <w:szCs w:val="16"/>
        </w:rPr>
        <w:t xml:space="preserve"> </w:t>
      </w:r>
      <w:r>
        <w:rPr>
          <w:sz w:val="16"/>
          <w:szCs w:val="16"/>
        </w:rPr>
        <w:tab/>
      </w:r>
      <w:r>
        <w:rPr>
          <w:i/>
          <w:sz w:val="16"/>
          <w:szCs w:val="16"/>
        </w:rPr>
        <w:t xml:space="preserve">Cfr. </w:t>
      </w:r>
      <w:r w:rsidRPr="00C27894">
        <w:rPr>
          <w:sz w:val="16"/>
          <w:szCs w:val="16"/>
          <w:lang w:val="es-MX"/>
        </w:rPr>
        <w:t xml:space="preserve">Acta de </w:t>
      </w:r>
      <w:r>
        <w:rPr>
          <w:sz w:val="16"/>
          <w:szCs w:val="16"/>
          <w:lang w:val="es-MX"/>
        </w:rPr>
        <w:t>S</w:t>
      </w:r>
      <w:r w:rsidRPr="00C27894">
        <w:rPr>
          <w:sz w:val="16"/>
          <w:szCs w:val="16"/>
          <w:lang w:val="es-MX"/>
        </w:rPr>
        <w:t xml:space="preserve">egunda </w:t>
      </w:r>
      <w:r>
        <w:rPr>
          <w:sz w:val="16"/>
          <w:szCs w:val="16"/>
          <w:lang w:val="es-MX"/>
        </w:rPr>
        <w:t>A</w:t>
      </w:r>
      <w:r w:rsidRPr="00C27894">
        <w:rPr>
          <w:sz w:val="16"/>
          <w:szCs w:val="16"/>
          <w:lang w:val="es-MX"/>
        </w:rPr>
        <w:t xml:space="preserve">udiencia de Mediación por la Unidad de Mediación del Consejo de Defensa del Estado el 27 de abril de 2006 </w:t>
      </w:r>
      <w:r>
        <w:rPr>
          <w:sz w:val="16"/>
          <w:szCs w:val="16"/>
        </w:rPr>
        <w:t>(expediente de prueba, anexo 79 del Informe de Fondo, f.</w:t>
      </w:r>
      <w:r w:rsidRPr="008609E8">
        <w:rPr>
          <w:sz w:val="16"/>
          <w:szCs w:val="16"/>
          <w:lang w:val="es-MX"/>
        </w:rPr>
        <w:t xml:space="preserve"> </w:t>
      </w:r>
      <w:r>
        <w:rPr>
          <w:sz w:val="16"/>
          <w:szCs w:val="16"/>
          <w:lang w:val="es-MX"/>
        </w:rPr>
        <w:t>278</w:t>
      </w:r>
      <w:r w:rsidRPr="008609E8">
        <w:rPr>
          <w:sz w:val="16"/>
          <w:szCs w:val="16"/>
          <w:lang w:val="es-MX"/>
        </w:rPr>
        <w:t>)</w:t>
      </w:r>
      <w:r w:rsidRPr="00C27894">
        <w:rPr>
          <w:sz w:val="16"/>
          <w:szCs w:val="16"/>
        </w:rPr>
        <w:t>.</w:t>
      </w:r>
    </w:p>
  </w:footnote>
  <w:footnote w:id="111">
    <w:p w14:paraId="4208864A" w14:textId="5C0D87E8" w:rsidR="003C025E" w:rsidRPr="000214BA" w:rsidRDefault="003C025E" w:rsidP="00E22B60">
      <w:pPr>
        <w:pStyle w:val="FootnoteText"/>
        <w:ind w:right="-360"/>
        <w:rPr>
          <w:sz w:val="16"/>
          <w:szCs w:val="16"/>
          <w:lang w:val="es-MX"/>
        </w:rPr>
      </w:pPr>
      <w:r w:rsidRPr="000214BA">
        <w:rPr>
          <w:rStyle w:val="FootnoteReference"/>
          <w:rFonts w:eastAsia="Calibri"/>
          <w:sz w:val="16"/>
          <w:szCs w:val="16"/>
        </w:rPr>
        <w:footnoteRef/>
      </w:r>
      <w:r w:rsidRPr="000214BA">
        <w:rPr>
          <w:sz w:val="16"/>
          <w:szCs w:val="16"/>
        </w:rPr>
        <w:t xml:space="preserve"> </w:t>
      </w:r>
      <w:r>
        <w:rPr>
          <w:sz w:val="16"/>
          <w:szCs w:val="16"/>
        </w:rPr>
        <w:tab/>
      </w:r>
      <w:r>
        <w:rPr>
          <w:i/>
          <w:sz w:val="16"/>
          <w:szCs w:val="16"/>
        </w:rPr>
        <w:t xml:space="preserve">Cfr. </w:t>
      </w:r>
      <w:r w:rsidRPr="002431EA">
        <w:rPr>
          <w:sz w:val="16"/>
          <w:szCs w:val="16"/>
          <w:lang w:val="es-MX"/>
        </w:rPr>
        <w:t xml:space="preserve">Acta de segunda audiencia de Mediación por la Unidad de Mediación del Consejo de Defensa del Estado el 27 de abril de 2006 </w:t>
      </w:r>
      <w:r w:rsidRPr="002431EA">
        <w:rPr>
          <w:sz w:val="16"/>
          <w:szCs w:val="16"/>
        </w:rPr>
        <w:t>(</w:t>
      </w:r>
      <w:r>
        <w:rPr>
          <w:sz w:val="16"/>
          <w:szCs w:val="16"/>
        </w:rPr>
        <w:t>e</w:t>
      </w:r>
      <w:r w:rsidRPr="002431EA">
        <w:rPr>
          <w:sz w:val="16"/>
          <w:szCs w:val="16"/>
        </w:rPr>
        <w:t xml:space="preserve">xpediente de </w:t>
      </w:r>
      <w:r>
        <w:rPr>
          <w:sz w:val="16"/>
          <w:szCs w:val="16"/>
        </w:rPr>
        <w:t>prueba</w:t>
      </w:r>
      <w:r w:rsidRPr="002431EA">
        <w:rPr>
          <w:sz w:val="16"/>
          <w:szCs w:val="16"/>
        </w:rPr>
        <w:t>,</w:t>
      </w:r>
      <w:r>
        <w:rPr>
          <w:sz w:val="16"/>
          <w:szCs w:val="16"/>
        </w:rPr>
        <w:t xml:space="preserve"> anexo 79 del Informe</w:t>
      </w:r>
      <w:r w:rsidRPr="002431EA">
        <w:rPr>
          <w:sz w:val="16"/>
          <w:szCs w:val="16"/>
        </w:rPr>
        <w:t xml:space="preserve"> de </w:t>
      </w:r>
      <w:r>
        <w:rPr>
          <w:sz w:val="16"/>
          <w:szCs w:val="16"/>
        </w:rPr>
        <w:t>Fondo</w:t>
      </w:r>
      <w:r w:rsidRPr="002431EA">
        <w:rPr>
          <w:sz w:val="16"/>
          <w:szCs w:val="16"/>
        </w:rPr>
        <w:t>, f</w:t>
      </w:r>
      <w:r>
        <w:rPr>
          <w:sz w:val="16"/>
          <w:szCs w:val="16"/>
        </w:rPr>
        <w:t>. 278</w:t>
      </w:r>
      <w:r w:rsidRPr="002431EA">
        <w:rPr>
          <w:sz w:val="16"/>
          <w:szCs w:val="16"/>
        </w:rPr>
        <w:t>).</w:t>
      </w:r>
    </w:p>
  </w:footnote>
  <w:footnote w:id="112">
    <w:p w14:paraId="5C149C19" w14:textId="5CF53A09" w:rsidR="003C025E" w:rsidRPr="000214BA"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Pr>
          <w:i/>
          <w:sz w:val="16"/>
          <w:szCs w:val="16"/>
        </w:rPr>
        <w:t xml:space="preserve"> </w:t>
      </w:r>
      <w:r w:rsidRPr="000214BA">
        <w:rPr>
          <w:sz w:val="16"/>
          <w:szCs w:val="16"/>
        </w:rPr>
        <w:t>Escrito número 005-10 de la Comisión de Derechos Humanos, Nacionalidad y Ciudadanía (expediente de prueba, anexo 80 del Informe de Fondo, f. 280)</w:t>
      </w:r>
      <w:r>
        <w:rPr>
          <w:sz w:val="16"/>
          <w:szCs w:val="16"/>
        </w:rPr>
        <w:t>;</w:t>
      </w:r>
      <w:r w:rsidRPr="000214BA">
        <w:rPr>
          <w:sz w:val="16"/>
          <w:szCs w:val="16"/>
        </w:rPr>
        <w:t xml:space="preserve"> Escrito del Ministerio de Salud </w:t>
      </w:r>
      <w:r>
        <w:rPr>
          <w:sz w:val="16"/>
          <w:szCs w:val="16"/>
        </w:rPr>
        <w:t xml:space="preserve">del Gobierno de Chile </w:t>
      </w:r>
      <w:r w:rsidRPr="000214BA">
        <w:rPr>
          <w:sz w:val="16"/>
          <w:szCs w:val="16"/>
        </w:rPr>
        <w:t xml:space="preserve">de 30 de octubre de 2009 (expediente de prueba, anexo 82 del Informe de Fondo, </w:t>
      </w:r>
      <w:proofErr w:type="spellStart"/>
      <w:r w:rsidRPr="000214BA">
        <w:rPr>
          <w:sz w:val="16"/>
          <w:szCs w:val="16"/>
        </w:rPr>
        <w:t>f</w:t>
      </w:r>
      <w:r>
        <w:rPr>
          <w:sz w:val="16"/>
          <w:szCs w:val="16"/>
        </w:rPr>
        <w:t>f</w:t>
      </w:r>
      <w:proofErr w:type="spellEnd"/>
      <w:r w:rsidRPr="000214BA">
        <w:rPr>
          <w:sz w:val="16"/>
          <w:szCs w:val="16"/>
        </w:rPr>
        <w:t>. 284</w:t>
      </w:r>
      <w:r>
        <w:rPr>
          <w:sz w:val="16"/>
          <w:szCs w:val="16"/>
        </w:rPr>
        <w:t xml:space="preserve"> y 285</w:t>
      </w:r>
      <w:r w:rsidRPr="000214BA">
        <w:rPr>
          <w:sz w:val="16"/>
          <w:szCs w:val="16"/>
        </w:rPr>
        <w:t>)</w:t>
      </w:r>
      <w:r>
        <w:rPr>
          <w:sz w:val="16"/>
          <w:szCs w:val="16"/>
        </w:rPr>
        <w:t>, y</w:t>
      </w:r>
      <w:r w:rsidRPr="000214BA">
        <w:rPr>
          <w:sz w:val="16"/>
          <w:szCs w:val="16"/>
        </w:rPr>
        <w:t xml:space="preserve"> Escrito número 4181 del Ministro de Salud de 15 de diciembre de 2009 (expediente de prueba, anexo 81 del Informe de Fondo, f. 282)</w:t>
      </w:r>
      <w:r>
        <w:rPr>
          <w:sz w:val="16"/>
          <w:szCs w:val="16"/>
        </w:rPr>
        <w:t>.</w:t>
      </w:r>
    </w:p>
  </w:footnote>
  <w:footnote w:id="113">
    <w:p w14:paraId="1DB55568" w14:textId="08F529DA" w:rsidR="003C025E" w:rsidRPr="00F002D3" w:rsidRDefault="003C025E" w:rsidP="00E22B60">
      <w:pPr>
        <w:pStyle w:val="FootnoteText"/>
        <w:ind w:right="-360"/>
        <w:rPr>
          <w:sz w:val="16"/>
          <w:szCs w:val="16"/>
        </w:rPr>
      </w:pPr>
      <w:r w:rsidRPr="000214BA">
        <w:rPr>
          <w:rStyle w:val="FootnoteReference"/>
          <w:rFonts w:eastAsia="MS Mincho"/>
          <w:sz w:val="16"/>
          <w:szCs w:val="16"/>
        </w:rPr>
        <w:footnoteRef/>
      </w:r>
      <w:r w:rsidRPr="000214BA">
        <w:rPr>
          <w:sz w:val="16"/>
          <w:szCs w:val="16"/>
        </w:rPr>
        <w:t xml:space="preserve"> </w:t>
      </w:r>
      <w:r>
        <w:rPr>
          <w:sz w:val="16"/>
          <w:szCs w:val="16"/>
        </w:rPr>
        <w:tab/>
      </w:r>
      <w:r w:rsidRPr="00062586">
        <w:rPr>
          <w:i/>
          <w:sz w:val="16"/>
          <w:szCs w:val="16"/>
        </w:rPr>
        <w:t>Cfr.</w:t>
      </w:r>
      <w:r>
        <w:rPr>
          <w:i/>
          <w:sz w:val="16"/>
          <w:szCs w:val="16"/>
        </w:rPr>
        <w:t xml:space="preserve"> </w:t>
      </w:r>
      <w:r w:rsidRPr="00F002D3">
        <w:rPr>
          <w:sz w:val="16"/>
          <w:szCs w:val="16"/>
        </w:rPr>
        <w:t xml:space="preserve">Nota periodística aparecida en el diario Cambio 21 en Facebook, titulada “Presentan denuncia por negligencia médica contra hospital </w:t>
      </w:r>
      <w:proofErr w:type="spellStart"/>
      <w:r w:rsidRPr="00F002D3">
        <w:rPr>
          <w:sz w:val="16"/>
          <w:szCs w:val="16"/>
        </w:rPr>
        <w:t>Sótero</w:t>
      </w:r>
      <w:proofErr w:type="spellEnd"/>
      <w:r w:rsidRPr="00F002D3">
        <w:rPr>
          <w:sz w:val="16"/>
          <w:szCs w:val="16"/>
        </w:rPr>
        <w:t xml:space="preserve"> del Río</w:t>
      </w:r>
      <w:r>
        <w:rPr>
          <w:sz w:val="16"/>
          <w:szCs w:val="16"/>
        </w:rPr>
        <w:t xml:space="preserve"> […]</w:t>
      </w:r>
      <w:r w:rsidRPr="00F002D3">
        <w:rPr>
          <w:sz w:val="16"/>
          <w:szCs w:val="16"/>
        </w:rPr>
        <w:t>” (expediente de prueba, anexo 13 del Informe de Fondo, f. 113)</w:t>
      </w:r>
      <w:r>
        <w:rPr>
          <w:sz w:val="16"/>
          <w:szCs w:val="16"/>
        </w:rPr>
        <w:t xml:space="preserve">; </w:t>
      </w:r>
      <w:r w:rsidRPr="00F002D3">
        <w:rPr>
          <w:sz w:val="16"/>
          <w:szCs w:val="16"/>
        </w:rPr>
        <w:t xml:space="preserve">Nota periodística aparecida en el noticiario </w:t>
      </w:r>
      <w:proofErr w:type="spellStart"/>
      <w:r w:rsidRPr="00F002D3">
        <w:rPr>
          <w:sz w:val="16"/>
          <w:szCs w:val="16"/>
        </w:rPr>
        <w:t>MEGAtestigo</w:t>
      </w:r>
      <w:proofErr w:type="spellEnd"/>
      <w:r w:rsidRPr="00F002D3">
        <w:rPr>
          <w:sz w:val="16"/>
          <w:szCs w:val="16"/>
        </w:rPr>
        <w:t xml:space="preserve"> de 14 de mayo de 2012</w:t>
      </w:r>
      <w:r>
        <w:rPr>
          <w:sz w:val="16"/>
          <w:szCs w:val="16"/>
        </w:rPr>
        <w:t>,</w:t>
      </w:r>
      <w:r w:rsidRPr="00F002D3">
        <w:rPr>
          <w:sz w:val="16"/>
          <w:szCs w:val="16"/>
        </w:rPr>
        <w:t xml:space="preserve"> titulada “Familia denuncia negligencia médica Hospital </w:t>
      </w:r>
      <w:proofErr w:type="spellStart"/>
      <w:r w:rsidRPr="00F002D3">
        <w:rPr>
          <w:sz w:val="16"/>
          <w:szCs w:val="16"/>
        </w:rPr>
        <w:t>Sótero</w:t>
      </w:r>
      <w:proofErr w:type="spellEnd"/>
      <w:r w:rsidRPr="00F002D3">
        <w:rPr>
          <w:sz w:val="16"/>
          <w:szCs w:val="16"/>
        </w:rPr>
        <w:t xml:space="preserve"> del Rio” (expediente de prueba, anexo 14 del Informe de Fondo, f. 115)</w:t>
      </w:r>
      <w:r>
        <w:rPr>
          <w:sz w:val="16"/>
          <w:szCs w:val="16"/>
        </w:rPr>
        <w:t>,</w:t>
      </w:r>
      <w:r w:rsidRPr="00F002D3">
        <w:rPr>
          <w:sz w:val="16"/>
          <w:szCs w:val="16"/>
        </w:rPr>
        <w:t xml:space="preserve"> </w:t>
      </w:r>
      <w:r>
        <w:rPr>
          <w:sz w:val="16"/>
          <w:szCs w:val="16"/>
        </w:rPr>
        <w:t>y</w:t>
      </w:r>
      <w:r w:rsidRPr="00F002D3">
        <w:rPr>
          <w:sz w:val="16"/>
          <w:szCs w:val="16"/>
        </w:rPr>
        <w:t xml:space="preserve"> Nota periodística aparecida en el Radio </w:t>
      </w:r>
      <w:proofErr w:type="spellStart"/>
      <w:r w:rsidRPr="00F002D3">
        <w:rPr>
          <w:sz w:val="16"/>
          <w:szCs w:val="16"/>
        </w:rPr>
        <w:t>Bio</w:t>
      </w:r>
      <w:proofErr w:type="spellEnd"/>
      <w:r w:rsidRPr="00F002D3">
        <w:rPr>
          <w:sz w:val="16"/>
          <w:szCs w:val="16"/>
        </w:rPr>
        <w:t xml:space="preserve"> </w:t>
      </w:r>
      <w:proofErr w:type="spellStart"/>
      <w:r w:rsidRPr="00F002D3">
        <w:rPr>
          <w:sz w:val="16"/>
          <w:szCs w:val="16"/>
        </w:rPr>
        <w:t>Bio</w:t>
      </w:r>
      <w:proofErr w:type="spellEnd"/>
      <w:r w:rsidRPr="00F002D3">
        <w:rPr>
          <w:sz w:val="16"/>
          <w:szCs w:val="16"/>
        </w:rPr>
        <w:t xml:space="preserve"> en Facebook de 27 de octubre de 201</w:t>
      </w:r>
      <w:r>
        <w:rPr>
          <w:sz w:val="16"/>
          <w:szCs w:val="16"/>
        </w:rPr>
        <w:t>0</w:t>
      </w:r>
      <w:r w:rsidRPr="00F002D3">
        <w:rPr>
          <w:sz w:val="16"/>
          <w:szCs w:val="16"/>
        </w:rPr>
        <w:t xml:space="preserve"> titulada “Hospital </w:t>
      </w:r>
      <w:proofErr w:type="spellStart"/>
      <w:r w:rsidRPr="00F002D3">
        <w:rPr>
          <w:sz w:val="16"/>
          <w:szCs w:val="16"/>
        </w:rPr>
        <w:t>Sótero</w:t>
      </w:r>
      <w:proofErr w:type="spellEnd"/>
      <w:r w:rsidRPr="00F002D3">
        <w:rPr>
          <w:sz w:val="16"/>
          <w:szCs w:val="16"/>
        </w:rPr>
        <w:t xml:space="preserve"> del Río realizará sumario interno por muerte de bebé </w:t>
      </w:r>
      <w:r>
        <w:rPr>
          <w:sz w:val="16"/>
          <w:szCs w:val="16"/>
        </w:rPr>
        <w:t xml:space="preserve">en </w:t>
      </w:r>
      <w:r w:rsidRPr="00F002D3">
        <w:rPr>
          <w:sz w:val="16"/>
          <w:szCs w:val="16"/>
        </w:rPr>
        <w:t xml:space="preserve">vientre materno” (expediente de prueba, anexo 15 del Informe de Fondo, </w:t>
      </w:r>
      <w:proofErr w:type="spellStart"/>
      <w:r>
        <w:rPr>
          <w:sz w:val="16"/>
          <w:szCs w:val="16"/>
        </w:rPr>
        <w:t>f</w:t>
      </w:r>
      <w:r w:rsidRPr="00F002D3">
        <w:rPr>
          <w:sz w:val="16"/>
          <w:szCs w:val="16"/>
        </w:rPr>
        <w:t>f</w:t>
      </w:r>
      <w:proofErr w:type="spellEnd"/>
      <w:r w:rsidRPr="00F002D3">
        <w:rPr>
          <w:sz w:val="16"/>
          <w:szCs w:val="16"/>
        </w:rPr>
        <w:t>. 117</w:t>
      </w:r>
      <w:r>
        <w:rPr>
          <w:sz w:val="16"/>
          <w:szCs w:val="16"/>
        </w:rPr>
        <w:t xml:space="preserve"> y </w:t>
      </w:r>
      <w:r w:rsidRPr="00F002D3">
        <w:rPr>
          <w:sz w:val="16"/>
          <w:szCs w:val="16"/>
        </w:rPr>
        <w:t>118).</w:t>
      </w:r>
    </w:p>
  </w:footnote>
  <w:footnote w:id="114">
    <w:p w14:paraId="509A46F4" w14:textId="23D84C9E" w:rsidR="003C025E" w:rsidRPr="001E145A" w:rsidRDefault="003C025E" w:rsidP="00E22B60">
      <w:pPr>
        <w:pStyle w:val="FootnoteText"/>
        <w:ind w:right="-360"/>
        <w:rPr>
          <w:sz w:val="16"/>
          <w:szCs w:val="16"/>
          <w:lang w:val="es-CR"/>
        </w:rPr>
      </w:pPr>
      <w:r w:rsidRPr="00F002D3">
        <w:rPr>
          <w:rStyle w:val="FootnoteReference"/>
          <w:rFonts w:eastAsia="MS Mincho"/>
          <w:sz w:val="16"/>
          <w:szCs w:val="16"/>
        </w:rPr>
        <w:footnoteRef/>
      </w:r>
      <w:r w:rsidRPr="00F002D3">
        <w:rPr>
          <w:sz w:val="16"/>
          <w:szCs w:val="16"/>
        </w:rPr>
        <w:t xml:space="preserve"> </w:t>
      </w:r>
      <w:r w:rsidRPr="00F002D3">
        <w:rPr>
          <w:sz w:val="16"/>
          <w:szCs w:val="16"/>
        </w:rPr>
        <w:tab/>
      </w:r>
      <w:r>
        <w:rPr>
          <w:i/>
          <w:sz w:val="16"/>
          <w:szCs w:val="16"/>
        </w:rPr>
        <w:t xml:space="preserve">Cfr. </w:t>
      </w:r>
      <w:r w:rsidRPr="00F002D3">
        <w:rPr>
          <w:sz w:val="16"/>
          <w:szCs w:val="16"/>
        </w:rPr>
        <w:t xml:space="preserve">Listado completo de reclamos asociados al Hospital </w:t>
      </w:r>
      <w:proofErr w:type="spellStart"/>
      <w:r w:rsidRPr="00F002D3">
        <w:rPr>
          <w:sz w:val="16"/>
          <w:szCs w:val="16"/>
        </w:rPr>
        <w:t>Sótero</w:t>
      </w:r>
      <w:proofErr w:type="spellEnd"/>
      <w:r w:rsidRPr="00F002D3">
        <w:rPr>
          <w:sz w:val="16"/>
          <w:szCs w:val="16"/>
        </w:rPr>
        <w:t xml:space="preserve"> del Río (expediente de prueba, anexo 16 del Informe de Fondo, </w:t>
      </w:r>
      <w:proofErr w:type="spellStart"/>
      <w:r w:rsidRPr="00F002D3">
        <w:rPr>
          <w:sz w:val="16"/>
          <w:szCs w:val="16"/>
        </w:rPr>
        <w:t>f</w:t>
      </w:r>
      <w:r>
        <w:rPr>
          <w:sz w:val="16"/>
          <w:szCs w:val="16"/>
        </w:rPr>
        <w:t>f</w:t>
      </w:r>
      <w:proofErr w:type="spellEnd"/>
      <w:r>
        <w:rPr>
          <w:sz w:val="16"/>
          <w:szCs w:val="16"/>
        </w:rPr>
        <w:t xml:space="preserve">. </w:t>
      </w:r>
      <w:r w:rsidRPr="00F002D3">
        <w:rPr>
          <w:sz w:val="16"/>
          <w:szCs w:val="16"/>
        </w:rPr>
        <w:t>120</w:t>
      </w:r>
      <w:r>
        <w:rPr>
          <w:sz w:val="16"/>
          <w:szCs w:val="16"/>
        </w:rPr>
        <w:t xml:space="preserve"> a </w:t>
      </w:r>
      <w:r w:rsidRPr="00F002D3">
        <w:rPr>
          <w:sz w:val="16"/>
          <w:szCs w:val="16"/>
        </w:rPr>
        <w:t>124).</w:t>
      </w:r>
      <w:r>
        <w:rPr>
          <w:sz w:val="16"/>
          <w:szCs w:val="16"/>
        </w:rPr>
        <w:t xml:space="preserve"> </w:t>
      </w:r>
      <w:r w:rsidRPr="00192B34">
        <w:rPr>
          <w:sz w:val="16"/>
          <w:szCs w:val="16"/>
          <w:lang w:val="es-CR"/>
        </w:rPr>
        <w:t xml:space="preserve">Las constantes denuncias sobre estas irregularidades y deficiencias en el nosocomio referido continúan hasta la actualidad a través de esta vía, </w:t>
      </w:r>
      <w:r>
        <w:rPr>
          <w:sz w:val="16"/>
          <w:szCs w:val="16"/>
          <w:lang w:val="es-CR"/>
        </w:rPr>
        <w:t xml:space="preserve">siendo las más recurrentes aquellas relacionadas con la </w:t>
      </w:r>
      <w:r w:rsidRPr="00192B34">
        <w:rPr>
          <w:sz w:val="16"/>
          <w:szCs w:val="16"/>
          <w:lang w:val="es-CR"/>
        </w:rPr>
        <w:t>mala atención médica, la falta de atención oportuna</w:t>
      </w:r>
      <w:r>
        <w:rPr>
          <w:sz w:val="16"/>
          <w:szCs w:val="16"/>
          <w:lang w:val="es-CR"/>
        </w:rPr>
        <w:t xml:space="preserve">, carencia de camas de hospitalización y equipamiento, así como </w:t>
      </w:r>
      <w:r w:rsidRPr="00192B34">
        <w:rPr>
          <w:sz w:val="16"/>
          <w:szCs w:val="16"/>
          <w:lang w:val="es-CR"/>
        </w:rPr>
        <w:t xml:space="preserve">los diagnósticos </w:t>
      </w:r>
      <w:r>
        <w:rPr>
          <w:sz w:val="16"/>
          <w:szCs w:val="16"/>
          <w:lang w:val="es-CR"/>
        </w:rPr>
        <w:t xml:space="preserve">clínicos </w:t>
      </w:r>
      <w:r w:rsidRPr="00192B34">
        <w:rPr>
          <w:sz w:val="16"/>
          <w:szCs w:val="16"/>
          <w:lang w:val="es-CR"/>
        </w:rPr>
        <w:t>erróneos</w:t>
      </w:r>
      <w:r>
        <w:rPr>
          <w:sz w:val="16"/>
          <w:szCs w:val="16"/>
          <w:lang w:val="es-CR"/>
        </w:rPr>
        <w:t>, la má</w:t>
      </w:r>
      <w:r w:rsidRPr="00192B34">
        <w:rPr>
          <w:sz w:val="16"/>
          <w:szCs w:val="16"/>
          <w:lang w:val="es-CR"/>
        </w:rPr>
        <w:t xml:space="preserve">s reciente </w:t>
      </w:r>
      <w:r>
        <w:rPr>
          <w:sz w:val="16"/>
          <w:szCs w:val="16"/>
          <w:lang w:val="es-CR"/>
        </w:rPr>
        <w:t>de ellas</w:t>
      </w:r>
      <w:r w:rsidRPr="00192B34">
        <w:rPr>
          <w:sz w:val="16"/>
          <w:szCs w:val="16"/>
          <w:lang w:val="es-CR"/>
        </w:rPr>
        <w:t xml:space="preserve"> realizada el 28 de enero de 2018.</w:t>
      </w:r>
      <w:r>
        <w:rPr>
          <w:sz w:val="16"/>
          <w:szCs w:val="16"/>
          <w:lang w:val="es-CR"/>
        </w:rPr>
        <w:t xml:space="preserve"> </w:t>
      </w:r>
      <w:r w:rsidRPr="00062586">
        <w:rPr>
          <w:i/>
          <w:sz w:val="16"/>
          <w:szCs w:val="16"/>
          <w:lang w:val="es-CR"/>
        </w:rPr>
        <w:t>Cfr.</w:t>
      </w:r>
      <w:r w:rsidRPr="00C64243">
        <w:rPr>
          <w:i/>
          <w:sz w:val="16"/>
          <w:szCs w:val="16"/>
          <w:lang w:val="es-CR"/>
        </w:rPr>
        <w:t xml:space="preserve"> </w:t>
      </w:r>
      <w:hyperlink r:id="rId4" w:history="1">
        <w:r w:rsidRPr="00C64243">
          <w:rPr>
            <w:rStyle w:val="Hyperlink"/>
            <w:sz w:val="16"/>
            <w:szCs w:val="16"/>
            <w:lang w:val="es-CR"/>
          </w:rPr>
          <w:t>https://www.reclamos.cl/empresa/hospital_s_tero_del_r_o</w:t>
        </w:r>
      </w:hyperlink>
      <w:r>
        <w:rPr>
          <w:sz w:val="16"/>
          <w:szCs w:val="16"/>
          <w:lang w:val="es-CR"/>
        </w:rPr>
        <w:t>.</w:t>
      </w:r>
    </w:p>
  </w:footnote>
  <w:footnote w:id="115">
    <w:p w14:paraId="4726E455" w14:textId="1EB0BB11" w:rsidR="003C025E" w:rsidRPr="00F07A3A" w:rsidRDefault="003C025E" w:rsidP="00713D68">
      <w:pPr>
        <w:pStyle w:val="FootnoteText"/>
        <w:ind w:right="-319"/>
        <w:rPr>
          <w:sz w:val="16"/>
          <w:szCs w:val="16"/>
          <w:lang w:val="es-CR"/>
        </w:rPr>
      </w:pPr>
      <w:r>
        <w:rPr>
          <w:rStyle w:val="FootnoteReference"/>
        </w:rPr>
        <w:footnoteRef/>
      </w:r>
      <w:r>
        <w:t xml:space="preserve"> </w:t>
      </w:r>
      <w:r>
        <w:tab/>
      </w:r>
      <w:r w:rsidRPr="00B1523A">
        <w:rPr>
          <w:sz w:val="16"/>
          <w:szCs w:val="16"/>
        </w:rPr>
        <w:t xml:space="preserve">La Corte utilizará el término persona mayor en la presente Sentencia, al haberse adoptado en el artículo segundo de la </w:t>
      </w:r>
      <w:r w:rsidRPr="00B1523A">
        <w:rPr>
          <w:rFonts w:eastAsia="Calibri"/>
          <w:sz w:val="16"/>
          <w:szCs w:val="16"/>
          <w:lang w:val="es-MX" w:eastAsia="en-US"/>
        </w:rPr>
        <w:t xml:space="preserve">Convención Interamericana sobre </w:t>
      </w:r>
      <w:r>
        <w:rPr>
          <w:rFonts w:eastAsia="Calibri"/>
          <w:sz w:val="16"/>
          <w:szCs w:val="16"/>
          <w:lang w:val="es-MX" w:eastAsia="en-US"/>
        </w:rPr>
        <w:t>la P</w:t>
      </w:r>
      <w:r w:rsidRPr="00B1523A">
        <w:rPr>
          <w:rFonts w:eastAsia="Calibri"/>
          <w:sz w:val="16"/>
          <w:szCs w:val="16"/>
          <w:lang w:val="es-MX" w:eastAsia="en-US"/>
        </w:rPr>
        <w:t xml:space="preserve">rotección de los </w:t>
      </w:r>
      <w:r>
        <w:rPr>
          <w:rFonts w:eastAsia="Calibri"/>
          <w:sz w:val="16"/>
          <w:szCs w:val="16"/>
          <w:lang w:val="es-MX" w:eastAsia="en-US"/>
        </w:rPr>
        <w:t>D</w:t>
      </w:r>
      <w:r w:rsidRPr="00B1523A">
        <w:rPr>
          <w:rFonts w:eastAsia="Calibri"/>
          <w:sz w:val="16"/>
          <w:szCs w:val="16"/>
          <w:lang w:val="es-MX" w:eastAsia="en-US"/>
        </w:rPr>
        <w:t xml:space="preserve">erechos </w:t>
      </w:r>
      <w:r>
        <w:rPr>
          <w:rFonts w:eastAsia="Calibri"/>
          <w:sz w:val="16"/>
          <w:szCs w:val="16"/>
          <w:lang w:val="es-MX" w:eastAsia="en-US"/>
        </w:rPr>
        <w:t>H</w:t>
      </w:r>
      <w:r w:rsidRPr="00B1523A">
        <w:rPr>
          <w:rFonts w:eastAsia="Calibri"/>
          <w:sz w:val="16"/>
          <w:szCs w:val="16"/>
          <w:lang w:val="es-MX" w:eastAsia="en-US"/>
        </w:rPr>
        <w:t xml:space="preserve">umanos de las </w:t>
      </w:r>
      <w:r>
        <w:rPr>
          <w:rFonts w:eastAsia="Calibri"/>
          <w:sz w:val="16"/>
          <w:szCs w:val="16"/>
          <w:lang w:val="es-MX" w:eastAsia="en-US"/>
        </w:rPr>
        <w:t>P</w:t>
      </w:r>
      <w:r w:rsidRPr="00B1523A">
        <w:rPr>
          <w:rFonts w:eastAsia="Calibri"/>
          <w:sz w:val="16"/>
          <w:szCs w:val="16"/>
          <w:lang w:val="es-MX" w:eastAsia="en-US"/>
        </w:rPr>
        <w:t xml:space="preserve">ersonas </w:t>
      </w:r>
      <w:r>
        <w:rPr>
          <w:rFonts w:eastAsia="Calibri"/>
          <w:sz w:val="16"/>
          <w:szCs w:val="16"/>
          <w:lang w:val="es-MX" w:eastAsia="en-US"/>
        </w:rPr>
        <w:t>M</w:t>
      </w:r>
      <w:r w:rsidRPr="00B1523A">
        <w:rPr>
          <w:rFonts w:eastAsia="Calibri"/>
          <w:sz w:val="16"/>
          <w:szCs w:val="16"/>
          <w:lang w:val="es-MX" w:eastAsia="en-US"/>
        </w:rPr>
        <w:t>ayores, Adoptada el 15 de junio de 2015</w:t>
      </w:r>
      <w:r w:rsidRPr="00F07A3A">
        <w:rPr>
          <w:rFonts w:eastAsia="Calibri"/>
          <w:sz w:val="16"/>
          <w:szCs w:val="16"/>
          <w:lang w:val="es-MX" w:eastAsia="en-US"/>
        </w:rPr>
        <w:t xml:space="preserve"> por la</w:t>
      </w:r>
      <w:r w:rsidRPr="00B1523A">
        <w:rPr>
          <w:rFonts w:eastAsia="Calibri"/>
          <w:sz w:val="16"/>
          <w:szCs w:val="16"/>
          <w:lang w:val="es-MX" w:eastAsia="en-US"/>
        </w:rPr>
        <w:t xml:space="preserve"> Asamblea General de la OEA. Entrada en vigencia el 11 de enero de 2017. No obstante, </w:t>
      </w:r>
      <w:r w:rsidRPr="00B1523A">
        <w:rPr>
          <w:rFonts w:eastAsia="Calibri"/>
          <w:sz w:val="16"/>
          <w:szCs w:val="16"/>
          <w:lang w:val="es-MX"/>
        </w:rPr>
        <w:t>por razones de temporalidad, el citado dispositivo no resulta exigible en relación con los hechos del caso en análisis</w:t>
      </w:r>
      <w:r w:rsidRPr="00B1523A">
        <w:rPr>
          <w:rFonts w:eastAsia="Calibri"/>
          <w:sz w:val="16"/>
          <w:szCs w:val="16"/>
        </w:rPr>
        <w:t>.</w:t>
      </w:r>
    </w:p>
  </w:footnote>
  <w:footnote w:id="116">
    <w:p w14:paraId="49A0E61E" w14:textId="4F39BC08" w:rsidR="003C025E" w:rsidRPr="000C1FFD" w:rsidRDefault="003C025E" w:rsidP="002570D1">
      <w:pPr>
        <w:pStyle w:val="FootnoteText"/>
        <w:rPr>
          <w:sz w:val="16"/>
          <w:szCs w:val="16"/>
        </w:rPr>
      </w:pPr>
      <w:r w:rsidRPr="00F07A3A">
        <w:rPr>
          <w:rStyle w:val="FootnoteReference"/>
          <w:sz w:val="16"/>
          <w:szCs w:val="16"/>
        </w:rPr>
        <w:footnoteRef/>
      </w:r>
      <w:r w:rsidRPr="00B1523A">
        <w:rPr>
          <w:sz w:val="16"/>
          <w:szCs w:val="16"/>
        </w:rPr>
        <w:tab/>
      </w:r>
      <w:r w:rsidRPr="007C6211">
        <w:rPr>
          <w:sz w:val="16"/>
          <w:szCs w:val="16"/>
        </w:rPr>
        <w:t>Artículo 26.  Desarrollo Progresivo. Los Estados Partes se comprometen a adoptar providencias, tanto a nivel interno como mediante la cooperación internacional, especialmente económica y técnica, para lograr progresivamente la plena efectivida</w:t>
      </w:r>
      <w:r w:rsidRPr="004C2823">
        <w:rPr>
          <w:sz w:val="16"/>
          <w:szCs w:val="16"/>
        </w:rPr>
        <w:t>d de los derechos que se derivan de las normas económicas, sociales y sobre educación, ciencia y cultura, contenidas en la Carta de la Organización de los Estados Americanos, reformada por el Protocolo de Buenos Aires, en la medida de los recursos disponib</w:t>
      </w:r>
      <w:r w:rsidRPr="000C1FFD">
        <w:rPr>
          <w:sz w:val="16"/>
          <w:szCs w:val="16"/>
        </w:rPr>
        <w:t>les, por vía legislativa u otros medios apropiados ∞.</w:t>
      </w:r>
    </w:p>
  </w:footnote>
  <w:footnote w:id="117">
    <w:p w14:paraId="3CA8E0D2" w14:textId="0C9CC46C" w:rsidR="003C025E" w:rsidRPr="00F07A3A" w:rsidRDefault="003C025E" w:rsidP="002570D1">
      <w:pPr>
        <w:pStyle w:val="FootnoteText"/>
        <w:rPr>
          <w:sz w:val="16"/>
          <w:szCs w:val="16"/>
          <w:lang w:val="es-CR"/>
        </w:rPr>
      </w:pPr>
      <w:r w:rsidRPr="004C2823">
        <w:rPr>
          <w:rStyle w:val="FootnoteReference"/>
          <w:sz w:val="16"/>
          <w:szCs w:val="16"/>
        </w:rPr>
        <w:footnoteRef/>
      </w:r>
      <w:r w:rsidRPr="00B1523A">
        <w:rPr>
          <w:sz w:val="16"/>
          <w:szCs w:val="16"/>
        </w:rPr>
        <w:tab/>
      </w:r>
      <w:r w:rsidRPr="00F07A3A">
        <w:rPr>
          <w:sz w:val="16"/>
          <w:szCs w:val="16"/>
        </w:rPr>
        <w:t>Artículo 4.</w:t>
      </w:r>
      <w:r w:rsidRPr="007C6211">
        <w:rPr>
          <w:sz w:val="16"/>
          <w:szCs w:val="16"/>
        </w:rPr>
        <w:t xml:space="preserve"> Derecho a la vida. </w:t>
      </w:r>
      <w:r w:rsidRPr="004C2823">
        <w:rPr>
          <w:sz w:val="16"/>
          <w:szCs w:val="16"/>
        </w:rPr>
        <w:t xml:space="preserve">1. Toda persona tiene derecho a que se respete su vida. </w:t>
      </w:r>
      <w:r w:rsidRPr="00F07A3A">
        <w:rPr>
          <w:sz w:val="16"/>
          <w:szCs w:val="16"/>
        </w:rPr>
        <w:t>Este derecho estará protegido por la ley y, en general, a partir del momento de la concepción.  Nadie puede ser privado de la vida arbitrariamente […].</w:t>
      </w:r>
    </w:p>
  </w:footnote>
  <w:footnote w:id="118">
    <w:p w14:paraId="35C59C8D" w14:textId="1E7A901A" w:rsidR="003C025E" w:rsidRPr="00F07A3A" w:rsidRDefault="003C025E" w:rsidP="002570D1">
      <w:pPr>
        <w:pStyle w:val="FootnoteText"/>
        <w:rPr>
          <w:sz w:val="16"/>
          <w:szCs w:val="16"/>
          <w:lang w:val="es-CR"/>
        </w:rPr>
      </w:pPr>
      <w:r w:rsidRPr="004C2823">
        <w:rPr>
          <w:rStyle w:val="FootnoteReference"/>
          <w:sz w:val="16"/>
          <w:szCs w:val="16"/>
        </w:rPr>
        <w:footnoteRef/>
      </w:r>
      <w:r w:rsidRPr="004C2823">
        <w:rPr>
          <w:sz w:val="16"/>
          <w:szCs w:val="16"/>
        </w:rPr>
        <w:t xml:space="preserve">        </w:t>
      </w:r>
      <w:r w:rsidRPr="00F07A3A">
        <w:rPr>
          <w:sz w:val="16"/>
          <w:szCs w:val="16"/>
        </w:rPr>
        <w:t>Artículo 5. Derecho a la integridad personal. 1. Toda persona tiene derecho a que se respete su integridad física, psíquica y moral […].</w:t>
      </w:r>
    </w:p>
  </w:footnote>
  <w:footnote w:id="119">
    <w:p w14:paraId="791392E7" w14:textId="5B6E2361" w:rsidR="003C025E" w:rsidRPr="00F07A3A" w:rsidRDefault="003C025E" w:rsidP="002570D1">
      <w:pPr>
        <w:pStyle w:val="FootnoteText"/>
        <w:rPr>
          <w:sz w:val="16"/>
          <w:szCs w:val="16"/>
          <w:lang w:val="es-MX"/>
        </w:rPr>
      </w:pPr>
      <w:r w:rsidRPr="004C2823">
        <w:rPr>
          <w:rStyle w:val="FootnoteReference"/>
          <w:sz w:val="16"/>
          <w:szCs w:val="16"/>
        </w:rPr>
        <w:footnoteRef/>
      </w:r>
      <w:r w:rsidRPr="004C2823">
        <w:rPr>
          <w:sz w:val="16"/>
          <w:szCs w:val="16"/>
        </w:rPr>
        <w:t xml:space="preserve">        </w:t>
      </w:r>
      <w:r w:rsidRPr="00F07A3A">
        <w:rPr>
          <w:sz w:val="16"/>
          <w:szCs w:val="16"/>
        </w:rPr>
        <w:t>Artículo 13. Libertad de Pensamiento y Expresión. 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 […].</w:t>
      </w:r>
    </w:p>
  </w:footnote>
  <w:footnote w:id="120">
    <w:p w14:paraId="7EF7A545" w14:textId="3CEDECF4" w:rsidR="003C025E" w:rsidRPr="00F07A3A" w:rsidRDefault="003C025E" w:rsidP="002570D1">
      <w:pPr>
        <w:pStyle w:val="FootnoteText"/>
        <w:rPr>
          <w:sz w:val="16"/>
          <w:szCs w:val="16"/>
          <w:lang w:val="es-CR"/>
        </w:rPr>
      </w:pPr>
      <w:r w:rsidRPr="004C2823">
        <w:rPr>
          <w:rStyle w:val="FootnoteReference"/>
          <w:sz w:val="16"/>
          <w:szCs w:val="16"/>
        </w:rPr>
        <w:footnoteRef/>
      </w:r>
      <w:r w:rsidRPr="00B1523A">
        <w:rPr>
          <w:sz w:val="16"/>
          <w:szCs w:val="16"/>
        </w:rPr>
        <w:tab/>
      </w:r>
      <w:r w:rsidRPr="00F07A3A">
        <w:rPr>
          <w:rFonts w:cs="Tahoma"/>
          <w:color w:val="000000"/>
          <w:sz w:val="16"/>
          <w:szCs w:val="16"/>
        </w:rPr>
        <w:t xml:space="preserve">Artículo 11. </w:t>
      </w:r>
      <w:r w:rsidRPr="007C6211">
        <w:rPr>
          <w:rFonts w:cs="Tahoma"/>
          <w:color w:val="000000"/>
          <w:sz w:val="16"/>
          <w:szCs w:val="16"/>
        </w:rPr>
        <w:t xml:space="preserve">Protección de la honra y de la dignidad. </w:t>
      </w:r>
      <w:r w:rsidRPr="004C2823">
        <w:rPr>
          <w:rFonts w:cs="Tahoma"/>
          <w:color w:val="000000"/>
          <w:sz w:val="16"/>
          <w:szCs w:val="16"/>
        </w:rPr>
        <w:t>1. Toda persona tiene derecho al respeto de su honra y al reconocimiento de su dignidad</w:t>
      </w:r>
      <w:r w:rsidRPr="00F07A3A">
        <w:rPr>
          <w:rFonts w:cs="Tahoma"/>
          <w:color w:val="000000"/>
          <w:sz w:val="16"/>
          <w:szCs w:val="16"/>
        </w:rPr>
        <w:t xml:space="preserve"> </w:t>
      </w:r>
      <w:r w:rsidRPr="00F07A3A">
        <w:rPr>
          <w:sz w:val="16"/>
          <w:szCs w:val="16"/>
        </w:rPr>
        <w:t>[…].</w:t>
      </w:r>
    </w:p>
  </w:footnote>
  <w:footnote w:id="121">
    <w:p w14:paraId="7D8C43EB" w14:textId="0EA81BFE" w:rsidR="003C025E" w:rsidRPr="000C1FFD" w:rsidRDefault="003C025E" w:rsidP="002570D1">
      <w:pPr>
        <w:pStyle w:val="FootnoteText"/>
        <w:rPr>
          <w:sz w:val="16"/>
          <w:szCs w:val="16"/>
          <w:lang w:val="es-CR"/>
        </w:rPr>
      </w:pPr>
      <w:r w:rsidRPr="004C2823">
        <w:rPr>
          <w:rStyle w:val="FootnoteReference"/>
          <w:sz w:val="16"/>
          <w:szCs w:val="16"/>
        </w:rPr>
        <w:footnoteRef/>
      </w:r>
      <w:r w:rsidRPr="00B1523A">
        <w:rPr>
          <w:sz w:val="16"/>
          <w:szCs w:val="16"/>
        </w:rPr>
        <w:tab/>
      </w:r>
      <w:r w:rsidRPr="00F07A3A">
        <w:rPr>
          <w:sz w:val="16"/>
          <w:szCs w:val="16"/>
        </w:rPr>
        <w:t xml:space="preserve">Artículo 7. </w:t>
      </w:r>
      <w:r w:rsidRPr="007C6211">
        <w:rPr>
          <w:sz w:val="16"/>
          <w:szCs w:val="16"/>
        </w:rPr>
        <w:t xml:space="preserve">Derecho a la libertad personal. </w:t>
      </w:r>
      <w:r w:rsidRPr="004C2823">
        <w:rPr>
          <w:sz w:val="16"/>
          <w:szCs w:val="16"/>
        </w:rPr>
        <w:t>1. Toda persona tiene derecho a la libertad y a la seguridad personal […].</w:t>
      </w:r>
    </w:p>
  </w:footnote>
  <w:footnote w:id="122">
    <w:p w14:paraId="09169851" w14:textId="6C10A4A2" w:rsidR="003C025E" w:rsidRPr="00F07A3A" w:rsidRDefault="003C025E" w:rsidP="002570D1">
      <w:pPr>
        <w:pStyle w:val="FootnoteText"/>
        <w:rPr>
          <w:sz w:val="16"/>
          <w:szCs w:val="16"/>
          <w:lang w:val="es-HN"/>
        </w:rPr>
      </w:pPr>
      <w:r w:rsidRPr="004C2823">
        <w:rPr>
          <w:rStyle w:val="FootnoteReference"/>
          <w:sz w:val="16"/>
          <w:szCs w:val="16"/>
        </w:rPr>
        <w:footnoteRef/>
      </w:r>
      <w:r w:rsidRPr="00B1523A">
        <w:rPr>
          <w:sz w:val="16"/>
          <w:szCs w:val="16"/>
        </w:rPr>
        <w:tab/>
      </w:r>
      <w:r w:rsidRPr="00F07A3A">
        <w:rPr>
          <w:sz w:val="16"/>
          <w:szCs w:val="16"/>
        </w:rPr>
        <w:t>Artículo</w:t>
      </w:r>
      <w:r w:rsidRPr="007C6211">
        <w:rPr>
          <w:sz w:val="16"/>
          <w:szCs w:val="16"/>
        </w:rPr>
        <w:t xml:space="preserve"> 8</w:t>
      </w:r>
      <w:r w:rsidRPr="004C2823">
        <w:rPr>
          <w:sz w:val="16"/>
          <w:szCs w:val="16"/>
        </w:rPr>
        <w:t>. Garantías judiciales</w:t>
      </w:r>
      <w:r w:rsidRPr="00F07A3A">
        <w:rPr>
          <w:sz w:val="16"/>
          <w:szCs w:val="16"/>
        </w:rPr>
        <w:t>.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footnote>
  <w:footnote w:id="123">
    <w:p w14:paraId="42DE1E56" w14:textId="10965BCA" w:rsidR="003C025E" w:rsidRPr="00F07A3A" w:rsidRDefault="003C025E" w:rsidP="002570D1">
      <w:pPr>
        <w:pStyle w:val="FootnoteText"/>
        <w:rPr>
          <w:sz w:val="16"/>
          <w:szCs w:val="16"/>
          <w:lang w:val="es-HN"/>
        </w:rPr>
      </w:pPr>
      <w:r w:rsidRPr="004C2823">
        <w:rPr>
          <w:rStyle w:val="FootnoteReference"/>
          <w:sz w:val="16"/>
          <w:szCs w:val="16"/>
        </w:rPr>
        <w:footnoteRef/>
      </w:r>
      <w:r w:rsidRPr="00B1523A">
        <w:rPr>
          <w:sz w:val="16"/>
          <w:szCs w:val="16"/>
        </w:rPr>
        <w:tab/>
      </w:r>
      <w:r w:rsidRPr="00F07A3A">
        <w:rPr>
          <w:sz w:val="16"/>
          <w:szCs w:val="16"/>
          <w:lang w:val="es-HN"/>
        </w:rPr>
        <w:t xml:space="preserve">Artículo </w:t>
      </w:r>
      <w:r w:rsidRPr="007C6211">
        <w:rPr>
          <w:sz w:val="16"/>
          <w:szCs w:val="16"/>
        </w:rPr>
        <w:t>25</w:t>
      </w:r>
      <w:r w:rsidRPr="004C2823">
        <w:rPr>
          <w:sz w:val="16"/>
          <w:szCs w:val="16"/>
        </w:rPr>
        <w:t>.</w:t>
      </w:r>
      <w:r w:rsidRPr="000C1FFD">
        <w:rPr>
          <w:sz w:val="16"/>
          <w:szCs w:val="16"/>
        </w:rPr>
        <w:t xml:space="preserve"> P</w:t>
      </w:r>
      <w:r w:rsidRPr="00F07A3A">
        <w:rPr>
          <w:sz w:val="16"/>
          <w:szCs w:val="16"/>
        </w:rPr>
        <w:t>rotección judicial.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w:t>
      </w:r>
    </w:p>
  </w:footnote>
  <w:footnote w:id="124">
    <w:p w14:paraId="5E3EAAF2" w14:textId="108F0CE7" w:rsidR="003C025E" w:rsidRPr="002570D1" w:rsidRDefault="003C025E" w:rsidP="002570D1">
      <w:pPr>
        <w:pStyle w:val="FootnoteText"/>
        <w:rPr>
          <w:sz w:val="16"/>
          <w:szCs w:val="16"/>
        </w:rPr>
      </w:pPr>
      <w:r w:rsidRPr="004C2823">
        <w:rPr>
          <w:rStyle w:val="FootnoteReference"/>
          <w:sz w:val="16"/>
          <w:szCs w:val="16"/>
        </w:rPr>
        <w:footnoteRef/>
      </w:r>
      <w:r w:rsidRPr="004C2823">
        <w:rPr>
          <w:sz w:val="16"/>
          <w:szCs w:val="16"/>
        </w:rPr>
        <w:t xml:space="preserve"> </w:t>
      </w:r>
      <w:r>
        <w:rPr>
          <w:sz w:val="16"/>
          <w:szCs w:val="16"/>
        </w:rPr>
        <w:tab/>
      </w:r>
      <w:r w:rsidRPr="00F07A3A">
        <w:rPr>
          <w:sz w:val="16"/>
          <w:szCs w:val="16"/>
        </w:rPr>
        <w:t>El artículo 1.1 de la Convención establece que [l]os Estados […] se comprometen a respetar los derechos y libertades reconocidos en ella y a garantizar su libre y pleno ejercicio a toda persona que esté sujeta a su jurisdicción […].</w:t>
      </w:r>
    </w:p>
  </w:footnote>
  <w:footnote w:id="125">
    <w:p w14:paraId="253100B9" w14:textId="557CCCD3" w:rsidR="003C025E" w:rsidRPr="002729B7" w:rsidRDefault="003C025E">
      <w:pPr>
        <w:pStyle w:val="FootnoteText"/>
        <w:rPr>
          <w:sz w:val="16"/>
          <w:szCs w:val="16"/>
        </w:rPr>
      </w:pPr>
      <w:r w:rsidRPr="002729B7">
        <w:rPr>
          <w:rStyle w:val="FootnoteReference"/>
          <w:sz w:val="16"/>
          <w:szCs w:val="16"/>
        </w:rPr>
        <w:footnoteRef/>
      </w:r>
      <w:r>
        <w:rPr>
          <w:sz w:val="16"/>
          <w:szCs w:val="16"/>
        </w:rPr>
        <w:tab/>
        <w:t xml:space="preserve">Tales como: </w:t>
      </w:r>
      <w:r w:rsidRPr="002729B7">
        <w:rPr>
          <w:rFonts w:eastAsia="Calibri"/>
          <w:sz w:val="16"/>
          <w:szCs w:val="16"/>
          <w:lang w:val="es-MX" w:eastAsia="en-US"/>
        </w:rPr>
        <w:t>el Código de Ética del Colegio de Médicos de Chile</w:t>
      </w:r>
      <w:r>
        <w:rPr>
          <w:rFonts w:eastAsia="Calibri"/>
          <w:sz w:val="16"/>
          <w:szCs w:val="16"/>
          <w:lang w:val="es-MX" w:eastAsia="en-US"/>
        </w:rPr>
        <w:t>;</w:t>
      </w:r>
      <w:r w:rsidRPr="002729B7">
        <w:rPr>
          <w:rFonts w:eastAsia="Calibri"/>
          <w:sz w:val="16"/>
          <w:szCs w:val="16"/>
          <w:lang w:val="es-MX" w:eastAsia="en-US"/>
        </w:rPr>
        <w:t xml:space="preserve"> el Decreto </w:t>
      </w:r>
      <w:r>
        <w:rPr>
          <w:rFonts w:eastAsia="Calibri"/>
          <w:sz w:val="16"/>
          <w:szCs w:val="16"/>
          <w:lang w:val="es-MX" w:eastAsia="en-US"/>
        </w:rPr>
        <w:t>S</w:t>
      </w:r>
      <w:r w:rsidRPr="002729B7">
        <w:rPr>
          <w:rFonts w:eastAsia="Calibri"/>
          <w:sz w:val="16"/>
          <w:szCs w:val="16"/>
          <w:lang w:val="es-MX" w:eastAsia="en-US"/>
        </w:rPr>
        <w:t xml:space="preserve">upremo </w:t>
      </w:r>
      <w:r>
        <w:rPr>
          <w:rFonts w:eastAsia="Calibri"/>
          <w:sz w:val="16"/>
          <w:szCs w:val="16"/>
          <w:lang w:val="es-MX" w:eastAsia="en-US"/>
        </w:rPr>
        <w:t>N</w:t>
      </w:r>
      <w:r w:rsidRPr="002729B7">
        <w:rPr>
          <w:rFonts w:eastAsia="Calibri"/>
          <w:sz w:val="16"/>
          <w:szCs w:val="16"/>
          <w:lang w:val="es-MX" w:eastAsia="en-US"/>
        </w:rPr>
        <w:t>úm</w:t>
      </w:r>
      <w:r>
        <w:rPr>
          <w:rFonts w:eastAsia="Calibri"/>
          <w:sz w:val="16"/>
          <w:szCs w:val="16"/>
          <w:lang w:val="es-MX" w:eastAsia="en-US"/>
        </w:rPr>
        <w:t>.</w:t>
      </w:r>
      <w:r w:rsidRPr="002729B7">
        <w:rPr>
          <w:rFonts w:eastAsia="Calibri"/>
          <w:sz w:val="16"/>
          <w:szCs w:val="16"/>
          <w:lang w:val="es-MX" w:eastAsia="en-US"/>
        </w:rPr>
        <w:t xml:space="preserve"> 42</w:t>
      </w:r>
      <w:r>
        <w:rPr>
          <w:rFonts w:eastAsia="Calibri"/>
          <w:sz w:val="16"/>
          <w:szCs w:val="16"/>
          <w:lang w:val="es-MX" w:eastAsia="en-US"/>
        </w:rPr>
        <w:t>,</w:t>
      </w:r>
      <w:r w:rsidRPr="002729B7">
        <w:rPr>
          <w:rFonts w:eastAsia="Calibri"/>
          <w:sz w:val="16"/>
          <w:szCs w:val="16"/>
          <w:lang w:val="es-MX" w:eastAsia="en-US"/>
        </w:rPr>
        <w:t xml:space="preserve"> derogado en el año 2005</w:t>
      </w:r>
      <w:r>
        <w:rPr>
          <w:rFonts w:eastAsia="Calibri"/>
          <w:sz w:val="16"/>
          <w:szCs w:val="16"/>
          <w:lang w:val="es-MX" w:eastAsia="en-US"/>
        </w:rPr>
        <w:t>,</w:t>
      </w:r>
      <w:r w:rsidRPr="002729B7">
        <w:rPr>
          <w:rFonts w:eastAsia="Calibri"/>
          <w:sz w:val="16"/>
          <w:szCs w:val="16"/>
          <w:lang w:val="es-MX" w:eastAsia="en-US"/>
        </w:rPr>
        <w:t xml:space="preserve"> y la “Carta de Derechos al Paciente”, elaborada por el Fondo Nacional de Salud en conjunto con el Ministerio de Salud. Estos instrumentos incluían la obligación de los médicos de contar con el consentimiento expreso de parte de los pacientes o sus familiares, </w:t>
      </w:r>
      <w:r w:rsidRPr="002729B7">
        <w:rPr>
          <w:rFonts w:eastAsia="Calibri" w:cs="Arial-ItalicMT"/>
          <w:iCs/>
          <w:sz w:val="16"/>
          <w:szCs w:val="16"/>
          <w:lang w:val="es-MX" w:eastAsia="en-US"/>
        </w:rPr>
        <w:t>lo que hacía inexcusable la omisión de los médicos en el presente caso.</w:t>
      </w:r>
    </w:p>
  </w:footnote>
  <w:footnote w:id="126">
    <w:p w14:paraId="63F587E1" w14:textId="18C24712" w:rsidR="003C025E" w:rsidRPr="002570D1" w:rsidRDefault="003C025E" w:rsidP="002570D1">
      <w:pPr>
        <w:pStyle w:val="FootnoteText"/>
        <w:rPr>
          <w:color w:val="000000"/>
          <w:sz w:val="16"/>
          <w:szCs w:val="16"/>
          <w:lang w:val="es-ES"/>
        </w:rPr>
      </w:pPr>
      <w:r w:rsidRPr="002570D1">
        <w:rPr>
          <w:rStyle w:val="FootnoteReference"/>
          <w:color w:val="000000"/>
          <w:sz w:val="16"/>
          <w:szCs w:val="16"/>
        </w:rPr>
        <w:footnoteRef/>
      </w:r>
      <w:r>
        <w:rPr>
          <w:color w:val="000000"/>
          <w:sz w:val="16"/>
          <w:szCs w:val="16"/>
          <w:lang w:val="es-MX"/>
        </w:rPr>
        <w:t xml:space="preserve">     </w:t>
      </w:r>
      <w:r w:rsidRPr="002570D1">
        <w:rPr>
          <w:i/>
          <w:sz w:val="16"/>
          <w:szCs w:val="16"/>
          <w:lang w:val="es-MX"/>
        </w:rPr>
        <w:t>Caso Lagos del Campo Vs. Perú. Excepciones Preliminares, Fondo, Reparaciones y Costas</w:t>
      </w:r>
      <w:r w:rsidRPr="002570D1">
        <w:rPr>
          <w:sz w:val="16"/>
          <w:szCs w:val="16"/>
          <w:lang w:val="es-MX"/>
        </w:rPr>
        <w:t xml:space="preserve">. Sentencia de 31 de agosto de 2017. Serie C No. 340, </w:t>
      </w:r>
      <w:proofErr w:type="spellStart"/>
      <w:r w:rsidRPr="002570D1">
        <w:rPr>
          <w:sz w:val="16"/>
          <w:szCs w:val="16"/>
          <w:lang w:val="es-MX"/>
        </w:rPr>
        <w:t>párr</w:t>
      </w:r>
      <w:r>
        <w:rPr>
          <w:sz w:val="16"/>
          <w:szCs w:val="16"/>
          <w:lang w:val="es-MX"/>
        </w:rPr>
        <w:t>s</w:t>
      </w:r>
      <w:proofErr w:type="spellEnd"/>
      <w:r w:rsidRPr="002570D1">
        <w:rPr>
          <w:sz w:val="16"/>
          <w:szCs w:val="16"/>
          <w:lang w:val="es-MX"/>
        </w:rPr>
        <w:t>. 142</w:t>
      </w:r>
      <w:r>
        <w:rPr>
          <w:sz w:val="16"/>
          <w:szCs w:val="16"/>
          <w:lang w:val="es-MX"/>
        </w:rPr>
        <w:t xml:space="preserve"> y 145</w:t>
      </w:r>
      <w:r w:rsidRPr="002570D1">
        <w:rPr>
          <w:sz w:val="16"/>
          <w:szCs w:val="16"/>
          <w:lang w:val="es-MX"/>
        </w:rPr>
        <w:t>.</w:t>
      </w:r>
      <w:r w:rsidRPr="00D315EA">
        <w:rPr>
          <w:i/>
          <w:color w:val="000000"/>
          <w:sz w:val="16"/>
          <w:szCs w:val="16"/>
          <w:highlight w:val="yellow"/>
          <w:lang w:val="es-MX"/>
        </w:rPr>
        <w:t xml:space="preserve"> </w:t>
      </w:r>
    </w:p>
  </w:footnote>
  <w:footnote w:id="127">
    <w:p w14:paraId="5D6AB84D" w14:textId="702D3E80" w:rsidR="003C025E" w:rsidRPr="000B2169" w:rsidRDefault="003C025E" w:rsidP="0059117C">
      <w:pPr>
        <w:pStyle w:val="Heading3"/>
        <w:ind w:left="0"/>
        <w:rPr>
          <w:sz w:val="16"/>
          <w:szCs w:val="16"/>
          <w:lang w:val="es-MX"/>
        </w:rPr>
      </w:pPr>
      <w:r w:rsidRPr="00B1523A">
        <w:rPr>
          <w:rStyle w:val="FootnoteReference"/>
          <w:i w:val="0"/>
          <w:color w:val="000000"/>
          <w:sz w:val="16"/>
          <w:szCs w:val="16"/>
        </w:rPr>
        <w:footnoteRef/>
      </w:r>
      <w:r w:rsidRPr="00B1523A">
        <w:rPr>
          <w:rStyle w:val="FootnoteReference"/>
          <w:i w:val="0"/>
          <w:color w:val="000000"/>
          <w:sz w:val="16"/>
          <w:szCs w:val="16"/>
          <w:lang w:val="es-MX"/>
        </w:rPr>
        <w:t xml:space="preserve"> </w:t>
      </w:r>
      <w:r w:rsidRPr="002570D1">
        <w:rPr>
          <w:sz w:val="16"/>
          <w:szCs w:val="16"/>
          <w:lang w:val="es-MX"/>
        </w:rPr>
        <w:t xml:space="preserve">   </w:t>
      </w:r>
      <w:r>
        <w:rPr>
          <w:sz w:val="16"/>
          <w:szCs w:val="16"/>
          <w:lang w:val="es-MX"/>
        </w:rPr>
        <w:tab/>
      </w:r>
      <w:r w:rsidRPr="00062586">
        <w:rPr>
          <w:color w:val="000000"/>
          <w:sz w:val="16"/>
          <w:szCs w:val="16"/>
          <w:lang w:val="es-MX"/>
        </w:rPr>
        <w:t>Cfr.</w:t>
      </w:r>
      <w:r w:rsidRPr="00C27894">
        <w:rPr>
          <w:sz w:val="16"/>
          <w:szCs w:val="16"/>
          <w:lang w:val="es-AR"/>
        </w:rPr>
        <w:t xml:space="preserve"> </w:t>
      </w:r>
      <w:r w:rsidRPr="00C27894">
        <w:rPr>
          <w:color w:val="000000"/>
          <w:sz w:val="16"/>
          <w:szCs w:val="16"/>
          <w:lang w:val="es-MX"/>
        </w:rPr>
        <w:t>Caso Acevedo Buendía y otros (“Cesantes y Jubilados de la Contraloría”) Vs. Perú. Excepción Preliminar, Fondo, Reparaciones y Costas</w:t>
      </w:r>
      <w:r w:rsidRPr="00B1523A">
        <w:rPr>
          <w:i w:val="0"/>
          <w:color w:val="000000"/>
          <w:sz w:val="16"/>
          <w:szCs w:val="16"/>
          <w:lang w:val="es-MX"/>
        </w:rPr>
        <w:t>. Sentencia de 1 de julio de 2009 Serie C No</w:t>
      </w:r>
      <w:r>
        <w:rPr>
          <w:i w:val="0"/>
          <w:color w:val="000000"/>
          <w:sz w:val="16"/>
          <w:szCs w:val="16"/>
          <w:lang w:val="es-MX"/>
        </w:rPr>
        <w:t xml:space="preserve"> 198</w:t>
      </w:r>
      <w:r w:rsidRPr="00B1523A">
        <w:rPr>
          <w:i w:val="0"/>
          <w:sz w:val="16"/>
          <w:szCs w:val="16"/>
        </w:rPr>
        <w:t xml:space="preserve">, </w:t>
      </w:r>
      <w:r w:rsidRPr="00B1523A">
        <w:rPr>
          <w:i w:val="0"/>
          <w:color w:val="000000"/>
          <w:sz w:val="16"/>
          <w:szCs w:val="16"/>
        </w:rPr>
        <w:t>párr. 16, 17 y 100</w:t>
      </w:r>
      <w:r>
        <w:rPr>
          <w:i w:val="0"/>
          <w:color w:val="000000"/>
          <w:sz w:val="16"/>
          <w:szCs w:val="16"/>
        </w:rPr>
        <w:t>, y</w:t>
      </w:r>
      <w:r>
        <w:rPr>
          <w:sz w:val="16"/>
          <w:szCs w:val="16"/>
          <w:lang w:val="es-AR"/>
        </w:rPr>
        <w:t xml:space="preserve"> </w:t>
      </w:r>
      <w:r w:rsidRPr="008B0574">
        <w:rPr>
          <w:sz w:val="16"/>
          <w:szCs w:val="16"/>
          <w:lang w:val="es-MX"/>
        </w:rPr>
        <w:t>Caso Lagos del Campo Vs. Perú,</w:t>
      </w:r>
      <w:r w:rsidRPr="008B0574">
        <w:rPr>
          <w:i w:val="0"/>
          <w:sz w:val="16"/>
          <w:szCs w:val="16"/>
          <w:lang w:val="es-MX"/>
        </w:rPr>
        <w:t xml:space="preserve"> </w:t>
      </w:r>
      <w:r>
        <w:rPr>
          <w:sz w:val="16"/>
          <w:szCs w:val="16"/>
          <w:lang w:val="es-MX"/>
        </w:rPr>
        <w:t xml:space="preserve">supra, </w:t>
      </w:r>
      <w:r w:rsidRPr="008B0574">
        <w:rPr>
          <w:i w:val="0"/>
          <w:sz w:val="16"/>
          <w:szCs w:val="16"/>
          <w:lang w:val="es-MX"/>
        </w:rPr>
        <w:t>párr. 154.</w:t>
      </w:r>
      <w:r>
        <w:rPr>
          <w:i w:val="0"/>
          <w:sz w:val="16"/>
          <w:szCs w:val="16"/>
          <w:lang w:val="es-MX"/>
        </w:rPr>
        <w:t xml:space="preserve"> </w:t>
      </w:r>
    </w:p>
  </w:footnote>
  <w:footnote w:id="128">
    <w:p w14:paraId="622D3B96" w14:textId="3879C924" w:rsidR="003C025E" w:rsidRDefault="003C025E" w:rsidP="00B92B58">
      <w:pPr>
        <w:pStyle w:val="Heading3"/>
        <w:ind w:left="0"/>
        <w:rPr>
          <w:i w:val="0"/>
          <w:sz w:val="16"/>
          <w:szCs w:val="16"/>
          <w:lang w:val="es-MX"/>
        </w:rPr>
      </w:pPr>
      <w:r w:rsidRPr="00B1523A">
        <w:rPr>
          <w:rStyle w:val="FootnoteReference"/>
          <w:i w:val="0"/>
          <w:color w:val="000000"/>
          <w:sz w:val="16"/>
          <w:szCs w:val="16"/>
        </w:rPr>
        <w:footnoteRef/>
      </w:r>
      <w:r w:rsidRPr="00B1523A">
        <w:rPr>
          <w:rStyle w:val="FootnoteReference"/>
          <w:i w:val="0"/>
          <w:color w:val="000000"/>
          <w:sz w:val="16"/>
          <w:szCs w:val="16"/>
          <w:lang w:val="es-AR"/>
        </w:rPr>
        <w:t xml:space="preserve">  </w:t>
      </w:r>
      <w:r w:rsidRPr="005A39DD">
        <w:rPr>
          <w:sz w:val="16"/>
          <w:szCs w:val="16"/>
          <w:lang w:val="es-AR"/>
        </w:rPr>
        <w:t xml:space="preserve">  </w:t>
      </w:r>
      <w:r>
        <w:rPr>
          <w:sz w:val="16"/>
          <w:szCs w:val="16"/>
          <w:lang w:val="es-AR"/>
        </w:rPr>
        <w:tab/>
      </w:r>
      <w:r w:rsidRPr="00062586">
        <w:rPr>
          <w:sz w:val="16"/>
          <w:szCs w:val="16"/>
          <w:lang w:val="es-AR"/>
        </w:rPr>
        <w:t>Cfr.</w:t>
      </w:r>
      <w:r w:rsidRPr="005A39DD">
        <w:rPr>
          <w:sz w:val="16"/>
          <w:szCs w:val="16"/>
          <w:lang w:val="es-AR"/>
        </w:rPr>
        <w:t xml:space="preserve"> </w:t>
      </w:r>
      <w:r w:rsidRPr="008B0574">
        <w:rPr>
          <w:sz w:val="16"/>
          <w:szCs w:val="16"/>
          <w:lang w:val="es-MX"/>
        </w:rPr>
        <w:t>Caso Lagos del Campo Vs. Perú,</w:t>
      </w:r>
      <w:r w:rsidRPr="008B0574">
        <w:rPr>
          <w:i w:val="0"/>
          <w:sz w:val="16"/>
          <w:szCs w:val="16"/>
          <w:lang w:val="es-MX"/>
        </w:rPr>
        <w:t xml:space="preserve"> </w:t>
      </w:r>
      <w:r>
        <w:rPr>
          <w:bCs/>
          <w:sz w:val="16"/>
          <w:szCs w:val="16"/>
        </w:rPr>
        <w:t>supra</w:t>
      </w:r>
      <w:r w:rsidRPr="00875847">
        <w:rPr>
          <w:bCs/>
          <w:sz w:val="16"/>
          <w:szCs w:val="16"/>
        </w:rPr>
        <w:t>,</w:t>
      </w:r>
      <w:r>
        <w:rPr>
          <w:bCs/>
          <w:sz w:val="16"/>
          <w:szCs w:val="16"/>
        </w:rPr>
        <w:t xml:space="preserve"> </w:t>
      </w:r>
      <w:proofErr w:type="spellStart"/>
      <w:r w:rsidRPr="008B0574">
        <w:rPr>
          <w:i w:val="0"/>
          <w:sz w:val="16"/>
          <w:szCs w:val="16"/>
          <w:lang w:val="es-MX"/>
        </w:rPr>
        <w:t>párr</w:t>
      </w:r>
      <w:r>
        <w:rPr>
          <w:i w:val="0"/>
          <w:sz w:val="16"/>
          <w:szCs w:val="16"/>
          <w:lang w:val="es-MX"/>
        </w:rPr>
        <w:t>s</w:t>
      </w:r>
      <w:proofErr w:type="spellEnd"/>
      <w:r w:rsidRPr="008B0574">
        <w:rPr>
          <w:i w:val="0"/>
          <w:sz w:val="16"/>
          <w:szCs w:val="16"/>
          <w:lang w:val="es-MX"/>
        </w:rPr>
        <w:t>.</w:t>
      </w:r>
      <w:r>
        <w:rPr>
          <w:i w:val="0"/>
          <w:sz w:val="16"/>
          <w:szCs w:val="16"/>
          <w:lang w:val="es-MX"/>
        </w:rPr>
        <w:t xml:space="preserve"> </w:t>
      </w:r>
      <w:r w:rsidRPr="005415CD">
        <w:rPr>
          <w:i w:val="0"/>
          <w:sz w:val="16"/>
          <w:szCs w:val="16"/>
          <w:lang w:val="es-MX"/>
        </w:rPr>
        <w:t>142 y 154.</w:t>
      </w:r>
      <w:r>
        <w:rPr>
          <w:i w:val="0"/>
          <w:sz w:val="16"/>
          <w:szCs w:val="16"/>
          <w:lang w:val="es-MX"/>
        </w:rPr>
        <w:t xml:space="preserve"> </w:t>
      </w:r>
    </w:p>
    <w:p w14:paraId="7C53CC9E" w14:textId="054FEE52" w:rsidR="003C025E" w:rsidRPr="00C26032" w:rsidRDefault="003C025E" w:rsidP="0071485A">
      <w:pPr>
        <w:pStyle w:val="Heading3"/>
        <w:ind w:left="0"/>
        <w:rPr>
          <w:i w:val="0"/>
          <w:sz w:val="16"/>
          <w:szCs w:val="16"/>
        </w:rPr>
      </w:pPr>
      <w:r>
        <w:rPr>
          <w:i w:val="0"/>
          <w:sz w:val="16"/>
          <w:szCs w:val="16"/>
          <w:lang w:val="es-AR"/>
        </w:rPr>
        <w:t>Párr. 142</w:t>
      </w:r>
      <w:proofErr w:type="gramStart"/>
      <w:r>
        <w:rPr>
          <w:i w:val="0"/>
          <w:sz w:val="16"/>
          <w:szCs w:val="16"/>
          <w:lang w:val="es-AR"/>
        </w:rPr>
        <w:t>. ”</w:t>
      </w:r>
      <w:proofErr w:type="gramEnd"/>
      <w:r w:rsidRPr="005430FF">
        <w:rPr>
          <w:i w:val="0"/>
          <w:sz w:val="16"/>
          <w:szCs w:val="16"/>
          <w:lang w:val="es-AR"/>
        </w:rPr>
        <w:t xml:space="preserve">En </w:t>
      </w:r>
      <w:r>
        <w:rPr>
          <w:i w:val="0"/>
          <w:sz w:val="16"/>
          <w:szCs w:val="16"/>
          <w:lang w:val="es-AR"/>
        </w:rPr>
        <w:t>[</w:t>
      </w:r>
      <w:r w:rsidRPr="005430FF">
        <w:rPr>
          <w:i w:val="0"/>
          <w:sz w:val="16"/>
          <w:szCs w:val="16"/>
          <w:lang w:val="es-AR"/>
        </w:rPr>
        <w:t>este</w:t>
      </w:r>
      <w:r>
        <w:rPr>
          <w:i w:val="0"/>
          <w:sz w:val="16"/>
          <w:szCs w:val="16"/>
          <w:lang w:val="es-AR"/>
        </w:rPr>
        <w:t>]</w:t>
      </w:r>
      <w:r w:rsidRPr="005430FF">
        <w:rPr>
          <w:i w:val="0"/>
          <w:sz w:val="16"/>
          <w:szCs w:val="16"/>
          <w:lang w:val="es-AR"/>
        </w:rPr>
        <w:t xml:space="preserve"> sentido, el Tribunal </w:t>
      </w:r>
      <w:r>
        <w:rPr>
          <w:i w:val="0"/>
          <w:sz w:val="16"/>
          <w:szCs w:val="16"/>
          <w:lang w:val="es-AR"/>
        </w:rPr>
        <w:t>[</w:t>
      </w:r>
      <w:r w:rsidRPr="005430FF">
        <w:rPr>
          <w:i w:val="0"/>
          <w:sz w:val="16"/>
          <w:szCs w:val="16"/>
          <w:lang w:val="es-AR"/>
        </w:rPr>
        <w:t>sostuvo</w:t>
      </w:r>
      <w:r>
        <w:rPr>
          <w:i w:val="0"/>
          <w:sz w:val="16"/>
          <w:szCs w:val="16"/>
          <w:lang w:val="es-AR"/>
        </w:rPr>
        <w:t>]</w:t>
      </w:r>
      <w:r w:rsidRPr="005430FF">
        <w:rPr>
          <w:i w:val="0"/>
          <w:sz w:val="16"/>
          <w:szCs w:val="16"/>
          <w:lang w:val="es-AR"/>
        </w:rPr>
        <w:t xml:space="preserve"> que los términos amplios en que está redactada la Convención indican que la Corte ejerce una jurisdicción plena sobre todos sus artículos y </w:t>
      </w:r>
      <w:r w:rsidRPr="0071485A">
        <w:rPr>
          <w:i w:val="0"/>
          <w:sz w:val="16"/>
          <w:szCs w:val="16"/>
          <w:lang w:val="es-AR"/>
        </w:rPr>
        <w:t xml:space="preserve">disposiciones. </w:t>
      </w:r>
      <w:r w:rsidRPr="005430FF">
        <w:rPr>
          <w:i w:val="0"/>
          <w:sz w:val="16"/>
          <w:szCs w:val="16"/>
          <w:lang w:val="es-AR"/>
        </w:rPr>
        <w:t xml:space="preserve">Asimismo, resulta pertinente notar que si bien el artículo 26 se encuentra en el capítulo III de la Convención, titulado </w:t>
      </w:r>
      <w:r>
        <w:rPr>
          <w:i w:val="0"/>
          <w:sz w:val="16"/>
          <w:szCs w:val="16"/>
          <w:lang w:val="es-AR"/>
        </w:rPr>
        <w:t>‘</w:t>
      </w:r>
      <w:r w:rsidRPr="005430FF">
        <w:rPr>
          <w:i w:val="0"/>
          <w:sz w:val="16"/>
          <w:szCs w:val="16"/>
          <w:lang w:val="es-AR"/>
        </w:rPr>
        <w:t>Derechos Económicos, Sociales y Culturales</w:t>
      </w:r>
      <w:r>
        <w:rPr>
          <w:i w:val="0"/>
          <w:sz w:val="16"/>
          <w:szCs w:val="16"/>
          <w:lang w:val="es-AR"/>
        </w:rPr>
        <w:t>’</w:t>
      </w:r>
      <w:r w:rsidRPr="005430FF">
        <w:rPr>
          <w:i w:val="0"/>
          <w:sz w:val="16"/>
          <w:szCs w:val="16"/>
          <w:lang w:val="es-AR"/>
        </w:rPr>
        <w:t xml:space="preserve">, se ubica también en la Parte I de dicho instrumento, titulado </w:t>
      </w:r>
      <w:r>
        <w:rPr>
          <w:i w:val="0"/>
          <w:sz w:val="16"/>
          <w:szCs w:val="16"/>
          <w:lang w:val="es-AR"/>
        </w:rPr>
        <w:t>‘</w:t>
      </w:r>
      <w:r w:rsidRPr="005430FF">
        <w:rPr>
          <w:i w:val="0"/>
          <w:sz w:val="16"/>
          <w:szCs w:val="16"/>
          <w:lang w:val="es-AR"/>
        </w:rPr>
        <w:t>Deberes de los Estados y Derechos Protegidos</w:t>
      </w:r>
      <w:r>
        <w:rPr>
          <w:i w:val="0"/>
          <w:sz w:val="16"/>
          <w:szCs w:val="16"/>
          <w:lang w:val="es-AR"/>
        </w:rPr>
        <w:t>’</w:t>
      </w:r>
      <w:r w:rsidRPr="005430FF">
        <w:rPr>
          <w:i w:val="0"/>
          <w:sz w:val="16"/>
          <w:szCs w:val="16"/>
          <w:lang w:val="es-AR"/>
        </w:rPr>
        <w:t xml:space="preserve"> y, por ende, está sujeto a las obligaciones generales contenidas en los artículos 1.1 y 2 señalados en el capítulo I (titulado </w:t>
      </w:r>
      <w:r>
        <w:rPr>
          <w:i w:val="0"/>
          <w:sz w:val="16"/>
          <w:szCs w:val="16"/>
          <w:lang w:val="es-AR"/>
        </w:rPr>
        <w:t>‘</w:t>
      </w:r>
      <w:r w:rsidRPr="005430FF">
        <w:rPr>
          <w:i w:val="0"/>
          <w:sz w:val="16"/>
          <w:szCs w:val="16"/>
          <w:lang w:val="es-AR"/>
        </w:rPr>
        <w:t>Enumeración de Deberes</w:t>
      </w:r>
      <w:r>
        <w:rPr>
          <w:i w:val="0"/>
          <w:sz w:val="16"/>
          <w:szCs w:val="16"/>
          <w:lang w:val="es-AR"/>
        </w:rPr>
        <w:t>’</w:t>
      </w:r>
      <w:r w:rsidRPr="005430FF">
        <w:rPr>
          <w:i w:val="0"/>
          <w:sz w:val="16"/>
          <w:szCs w:val="16"/>
          <w:lang w:val="es-AR"/>
        </w:rPr>
        <w:t xml:space="preserve">), así como lo están los artículos 3 al 25 señalados en el capítulo II (titulado </w:t>
      </w:r>
      <w:r>
        <w:rPr>
          <w:i w:val="0"/>
          <w:sz w:val="16"/>
          <w:szCs w:val="16"/>
          <w:lang w:val="es-AR"/>
        </w:rPr>
        <w:t>‘</w:t>
      </w:r>
      <w:r w:rsidRPr="005430FF">
        <w:rPr>
          <w:i w:val="0"/>
          <w:sz w:val="16"/>
          <w:szCs w:val="16"/>
          <w:lang w:val="es-AR"/>
        </w:rPr>
        <w:t>Derechos Civiles y Políticos</w:t>
      </w:r>
      <w:r>
        <w:rPr>
          <w:i w:val="0"/>
          <w:sz w:val="16"/>
          <w:szCs w:val="16"/>
          <w:lang w:val="es-AR"/>
        </w:rPr>
        <w:t>’</w:t>
      </w:r>
      <w:r w:rsidRPr="005430FF">
        <w:rPr>
          <w:i w:val="0"/>
          <w:sz w:val="16"/>
          <w:szCs w:val="16"/>
          <w:lang w:val="es-AR"/>
        </w:rPr>
        <w:t>)</w:t>
      </w:r>
      <w:r>
        <w:rPr>
          <w:i w:val="0"/>
          <w:sz w:val="16"/>
          <w:szCs w:val="16"/>
          <w:lang w:val="es-AR"/>
        </w:rPr>
        <w:t>”.</w:t>
      </w:r>
      <w:r w:rsidRPr="0071485A">
        <w:rPr>
          <w:i w:val="0"/>
          <w:sz w:val="16"/>
          <w:szCs w:val="16"/>
          <w:lang w:val="es-CR"/>
        </w:rPr>
        <w:t xml:space="preserve"> </w:t>
      </w:r>
      <w:r w:rsidRPr="00B1523A">
        <w:rPr>
          <w:sz w:val="16"/>
          <w:szCs w:val="16"/>
          <w:lang w:val="es-CR"/>
        </w:rPr>
        <w:t>Cfr.</w:t>
      </w:r>
      <w:r>
        <w:rPr>
          <w:i w:val="0"/>
          <w:sz w:val="16"/>
          <w:szCs w:val="16"/>
          <w:lang w:val="es-CR"/>
        </w:rPr>
        <w:t xml:space="preserve"> </w:t>
      </w:r>
      <w:r w:rsidRPr="00B1523A">
        <w:rPr>
          <w:sz w:val="16"/>
          <w:szCs w:val="16"/>
          <w:lang w:val="es-CR"/>
        </w:rPr>
        <w:t>Caso Acevedo Buendía y otros (“Cesantes y Jubilados de la Contraloría”) Vs. Perú</w:t>
      </w:r>
      <w:r w:rsidRPr="002570D1">
        <w:rPr>
          <w:i w:val="0"/>
          <w:sz w:val="16"/>
          <w:szCs w:val="16"/>
          <w:lang w:val="es-CR"/>
        </w:rPr>
        <w:t xml:space="preserve">, </w:t>
      </w:r>
      <w:r w:rsidRPr="00062586">
        <w:rPr>
          <w:sz w:val="16"/>
          <w:szCs w:val="16"/>
          <w:lang w:val="es-CR"/>
        </w:rPr>
        <w:t>supra</w:t>
      </w:r>
      <w:r w:rsidRPr="002570D1">
        <w:rPr>
          <w:sz w:val="16"/>
          <w:szCs w:val="16"/>
          <w:lang w:val="es-CR"/>
        </w:rPr>
        <w:t xml:space="preserve">, </w:t>
      </w:r>
      <w:r w:rsidRPr="00B1523A">
        <w:rPr>
          <w:i w:val="0"/>
          <w:sz w:val="16"/>
          <w:szCs w:val="16"/>
          <w:lang w:val="es-CR"/>
        </w:rPr>
        <w:t>párr. 100</w:t>
      </w:r>
      <w:r>
        <w:rPr>
          <w:i w:val="0"/>
          <w:sz w:val="16"/>
          <w:szCs w:val="16"/>
          <w:lang w:val="es-CR"/>
        </w:rPr>
        <w:t>, y</w:t>
      </w:r>
      <w:r>
        <w:rPr>
          <w:sz w:val="16"/>
          <w:szCs w:val="16"/>
          <w:lang w:val="es-CR"/>
        </w:rPr>
        <w:t xml:space="preserve"> </w:t>
      </w:r>
      <w:r w:rsidRPr="00B1523A">
        <w:rPr>
          <w:i w:val="0"/>
          <w:sz w:val="16"/>
          <w:szCs w:val="16"/>
          <w:lang w:val="es-CR"/>
        </w:rPr>
        <w:t>ONU. Comité de Derechos Económicos, Sociales y Culturales,</w:t>
      </w:r>
      <w:r w:rsidRPr="002570D1">
        <w:rPr>
          <w:sz w:val="16"/>
          <w:szCs w:val="16"/>
          <w:lang w:val="es-CR"/>
        </w:rPr>
        <w:t xml:space="preserve"> </w:t>
      </w:r>
      <w:r w:rsidRPr="00B1523A">
        <w:rPr>
          <w:sz w:val="16"/>
          <w:szCs w:val="16"/>
          <w:lang w:val="es-CR"/>
        </w:rPr>
        <w:t>Observación General N</w:t>
      </w:r>
      <w:r w:rsidRPr="00B1523A">
        <w:rPr>
          <w:sz w:val="16"/>
          <w:szCs w:val="16"/>
          <w:vertAlign w:val="superscript"/>
          <w:lang w:val="es-CR"/>
        </w:rPr>
        <w:t>o</w:t>
      </w:r>
      <w:r w:rsidRPr="00B1523A">
        <w:rPr>
          <w:sz w:val="16"/>
          <w:szCs w:val="16"/>
          <w:lang w:val="es-CR"/>
        </w:rPr>
        <w:t xml:space="preserve"> 13</w:t>
      </w:r>
      <w:r>
        <w:rPr>
          <w:sz w:val="16"/>
          <w:szCs w:val="16"/>
          <w:lang w:val="es-CR"/>
        </w:rPr>
        <w:t>:</w:t>
      </w:r>
      <w:r w:rsidRPr="002570D1">
        <w:rPr>
          <w:sz w:val="16"/>
          <w:szCs w:val="16"/>
          <w:lang w:val="es-CR"/>
        </w:rPr>
        <w:t xml:space="preserve"> </w:t>
      </w:r>
      <w:r w:rsidRPr="005415CD">
        <w:rPr>
          <w:sz w:val="16"/>
          <w:szCs w:val="16"/>
          <w:lang w:val="es-CR"/>
        </w:rPr>
        <w:t xml:space="preserve">El derecho a la educación (artículo 13 del Pacto), </w:t>
      </w:r>
      <w:r w:rsidRPr="005415CD">
        <w:rPr>
          <w:i w:val="0"/>
          <w:sz w:val="16"/>
          <w:szCs w:val="16"/>
          <w:lang w:val="es-CR"/>
        </w:rPr>
        <w:t>U.N Doc. E/C.12/1999/10,</w:t>
      </w:r>
      <w:r w:rsidRPr="005415CD">
        <w:rPr>
          <w:sz w:val="16"/>
          <w:szCs w:val="16"/>
          <w:lang w:val="es-CR"/>
        </w:rPr>
        <w:t xml:space="preserve"> </w:t>
      </w:r>
      <w:r w:rsidRPr="005415CD">
        <w:rPr>
          <w:i w:val="0"/>
          <w:sz w:val="16"/>
          <w:szCs w:val="16"/>
          <w:lang w:val="es-CR"/>
        </w:rPr>
        <w:t>8 de diciembre de 1999, párr. 50.</w:t>
      </w:r>
    </w:p>
  </w:footnote>
  <w:footnote w:id="129">
    <w:p w14:paraId="35DDD584" w14:textId="39411C10" w:rsidR="003C025E" w:rsidRPr="00AB1E03" w:rsidRDefault="003C025E" w:rsidP="0071485A">
      <w:pPr>
        <w:pStyle w:val="FootnoteText"/>
        <w:rPr>
          <w:strike/>
          <w:sz w:val="16"/>
          <w:szCs w:val="16"/>
          <w:lang w:val="es-GT"/>
        </w:rPr>
      </w:pPr>
      <w:r w:rsidRPr="00C26032">
        <w:rPr>
          <w:rStyle w:val="FootnoteReference"/>
          <w:rFonts w:eastAsia="Calibri"/>
          <w:color w:val="000000"/>
          <w:sz w:val="16"/>
          <w:szCs w:val="16"/>
          <w:lang w:eastAsia="en-US"/>
        </w:rPr>
        <w:footnoteRef/>
      </w:r>
      <w:r w:rsidRPr="005415CD">
        <w:rPr>
          <w:sz w:val="16"/>
          <w:szCs w:val="16"/>
          <w:lang w:val="es-GT"/>
        </w:rPr>
        <w:t xml:space="preserve"> </w:t>
      </w:r>
      <w:r w:rsidRPr="005415CD">
        <w:rPr>
          <w:sz w:val="16"/>
          <w:szCs w:val="16"/>
          <w:lang w:val="es-GT"/>
        </w:rPr>
        <w:tab/>
      </w:r>
      <w:r w:rsidRPr="005415CD">
        <w:rPr>
          <w:i/>
          <w:sz w:val="16"/>
          <w:szCs w:val="16"/>
        </w:rPr>
        <w:t xml:space="preserve">Cfr. </w:t>
      </w:r>
      <w:r w:rsidRPr="005415CD">
        <w:rPr>
          <w:i/>
          <w:sz w:val="16"/>
          <w:szCs w:val="16"/>
          <w:lang w:val="es-GT"/>
        </w:rPr>
        <w:t>Caso Lagos del Campo Vs. Perú</w:t>
      </w:r>
      <w:r w:rsidRPr="005415CD">
        <w:rPr>
          <w:sz w:val="16"/>
          <w:szCs w:val="16"/>
          <w:lang w:val="es-GT"/>
        </w:rPr>
        <w:t xml:space="preserve">, </w:t>
      </w:r>
      <w:r w:rsidRPr="005415CD">
        <w:rPr>
          <w:i/>
          <w:sz w:val="16"/>
          <w:szCs w:val="16"/>
          <w:lang w:val="es-GT"/>
        </w:rPr>
        <w:t>supra</w:t>
      </w:r>
      <w:r w:rsidRPr="005415CD">
        <w:rPr>
          <w:sz w:val="16"/>
          <w:szCs w:val="16"/>
          <w:lang w:val="es-GT"/>
        </w:rPr>
        <w:t xml:space="preserve">, párr. 141; </w:t>
      </w:r>
      <w:r w:rsidRPr="005415CD">
        <w:rPr>
          <w:i/>
          <w:sz w:val="16"/>
          <w:szCs w:val="16"/>
          <w:lang w:val="es-GT"/>
        </w:rPr>
        <w:t>Caso Acevedo Buendía y otros (“Cesantes y Jubilados de la Contraloría”) Vs. Perú</w:t>
      </w:r>
      <w:r w:rsidRPr="005415CD">
        <w:rPr>
          <w:sz w:val="16"/>
          <w:szCs w:val="16"/>
          <w:lang w:val="es-GT"/>
        </w:rPr>
        <w:t xml:space="preserve">, </w:t>
      </w:r>
      <w:r w:rsidRPr="005415CD">
        <w:rPr>
          <w:i/>
          <w:sz w:val="16"/>
          <w:szCs w:val="16"/>
          <w:lang w:val="es-GT"/>
        </w:rPr>
        <w:t>supra</w:t>
      </w:r>
      <w:r w:rsidRPr="005415CD">
        <w:rPr>
          <w:sz w:val="16"/>
          <w:szCs w:val="16"/>
          <w:lang w:val="es-GT"/>
        </w:rPr>
        <w:t xml:space="preserve">, párr. 101. Ver también </w:t>
      </w:r>
      <w:r w:rsidRPr="005415CD">
        <w:rPr>
          <w:i/>
          <w:sz w:val="16"/>
          <w:szCs w:val="16"/>
          <w:lang w:val="es-GT"/>
        </w:rPr>
        <w:t>Caso Suárez Peralta Vs. Ecuador. Excepciones Preliminares, Fondo, Reparaciones y Costas.</w:t>
      </w:r>
      <w:r w:rsidRPr="005415CD">
        <w:rPr>
          <w:sz w:val="16"/>
          <w:szCs w:val="16"/>
          <w:lang w:val="es-GT"/>
        </w:rPr>
        <w:t xml:space="preserve"> Sentencia de 21 de mayo de 2013. Serie C No. 261, párr. 131; </w:t>
      </w:r>
      <w:r w:rsidRPr="005415CD">
        <w:rPr>
          <w:i/>
          <w:sz w:val="16"/>
          <w:szCs w:val="16"/>
          <w:lang w:val="es-GT"/>
        </w:rPr>
        <w:t xml:space="preserve">Caso Gonzales </w:t>
      </w:r>
      <w:proofErr w:type="spellStart"/>
      <w:r w:rsidRPr="005415CD">
        <w:rPr>
          <w:i/>
          <w:sz w:val="16"/>
          <w:szCs w:val="16"/>
          <w:lang w:val="es-GT"/>
        </w:rPr>
        <w:t>Lluy</w:t>
      </w:r>
      <w:proofErr w:type="spellEnd"/>
      <w:r w:rsidRPr="005415CD">
        <w:rPr>
          <w:i/>
          <w:sz w:val="16"/>
          <w:szCs w:val="16"/>
          <w:lang w:val="es-GT"/>
        </w:rPr>
        <w:t xml:space="preserve"> y otros Vs. Ecuador. Excepciones Preliminares, Fondo, Reparaciones y Costas</w:t>
      </w:r>
      <w:r w:rsidRPr="005415CD">
        <w:rPr>
          <w:sz w:val="16"/>
          <w:szCs w:val="16"/>
          <w:lang w:val="es-GT"/>
        </w:rPr>
        <w:t xml:space="preserve">. Sentencia de 1 de septiembre de 2015. Serie C No. 298, párr. 172; </w:t>
      </w:r>
      <w:r w:rsidRPr="005415CD">
        <w:rPr>
          <w:i/>
          <w:sz w:val="16"/>
          <w:szCs w:val="16"/>
          <w:lang w:val="es-CR"/>
        </w:rPr>
        <w:t xml:space="preserve">Opinión Consultiva </w:t>
      </w:r>
      <w:r w:rsidRPr="005415CD">
        <w:rPr>
          <w:i/>
          <w:sz w:val="16"/>
          <w:szCs w:val="16"/>
        </w:rPr>
        <w:t>OC-23/17</w:t>
      </w:r>
      <w:r w:rsidRPr="005415CD">
        <w:rPr>
          <w:sz w:val="16"/>
          <w:szCs w:val="16"/>
        </w:rPr>
        <w:t xml:space="preserve"> de 15 de noviembre de 2017. Serie A No. 23, </w:t>
      </w:r>
      <w:proofErr w:type="spellStart"/>
      <w:r w:rsidRPr="005415CD">
        <w:rPr>
          <w:sz w:val="16"/>
          <w:szCs w:val="16"/>
        </w:rPr>
        <w:t>párrs</w:t>
      </w:r>
      <w:proofErr w:type="spellEnd"/>
      <w:r w:rsidRPr="005415CD">
        <w:rPr>
          <w:sz w:val="16"/>
          <w:szCs w:val="16"/>
        </w:rPr>
        <w:t>. 47, 51, 52 y 54, 57</w:t>
      </w:r>
      <w:r>
        <w:rPr>
          <w:sz w:val="16"/>
          <w:szCs w:val="16"/>
        </w:rPr>
        <w:t xml:space="preserve">. </w:t>
      </w:r>
      <w:r w:rsidRPr="005415CD">
        <w:rPr>
          <w:sz w:val="16"/>
          <w:szCs w:val="16"/>
          <w:lang w:val="es-GT"/>
        </w:rPr>
        <w:t xml:space="preserve">En el mismo sentido: </w:t>
      </w:r>
      <w:r w:rsidRPr="005415CD">
        <w:rPr>
          <w:i/>
          <w:sz w:val="16"/>
          <w:szCs w:val="16"/>
          <w:lang w:val="es-GT"/>
        </w:rPr>
        <w:t>Cfr.</w:t>
      </w:r>
      <w:r w:rsidRPr="005415CD">
        <w:rPr>
          <w:sz w:val="16"/>
          <w:szCs w:val="16"/>
          <w:lang w:val="es-GT"/>
        </w:rPr>
        <w:t xml:space="preserve"> ONU. Comité de Derechos Económicos, Sociales y Culturales, </w:t>
      </w:r>
      <w:r w:rsidRPr="005415CD">
        <w:rPr>
          <w:i/>
          <w:sz w:val="16"/>
          <w:szCs w:val="16"/>
          <w:lang w:val="es-GT"/>
        </w:rPr>
        <w:t>Observación General No 9: “La aplicación interna del Pacto”</w:t>
      </w:r>
      <w:r w:rsidRPr="005415CD">
        <w:rPr>
          <w:sz w:val="16"/>
          <w:szCs w:val="16"/>
          <w:lang w:val="es-GT"/>
        </w:rPr>
        <w:t>, U.N. Doc. E/C.12/1998/24, 3 de diciembre de 1998, párr. 10. Véanse también: TEDH</w:t>
      </w:r>
      <w:r w:rsidRPr="005415CD">
        <w:rPr>
          <w:i/>
          <w:sz w:val="16"/>
          <w:szCs w:val="16"/>
          <w:lang w:val="es-GT"/>
        </w:rPr>
        <w:t xml:space="preserve">, Caso </w:t>
      </w:r>
      <w:proofErr w:type="spellStart"/>
      <w:r w:rsidRPr="005415CD">
        <w:rPr>
          <w:i/>
          <w:sz w:val="16"/>
          <w:szCs w:val="16"/>
          <w:lang w:val="es-GT"/>
        </w:rPr>
        <w:t>Airey</w:t>
      </w:r>
      <w:proofErr w:type="spellEnd"/>
      <w:r w:rsidRPr="005415CD">
        <w:rPr>
          <w:i/>
          <w:sz w:val="16"/>
          <w:szCs w:val="16"/>
          <w:lang w:val="es-GT"/>
        </w:rPr>
        <w:t xml:space="preserve"> Vs. Irlanda</w:t>
      </w:r>
      <w:r w:rsidRPr="005415CD">
        <w:rPr>
          <w:sz w:val="16"/>
          <w:szCs w:val="16"/>
          <w:lang w:val="es-GT"/>
        </w:rPr>
        <w:t xml:space="preserve">, No. 6289/73. Sentencia de 9 de octubre de 1979, párr. 26, y </w:t>
      </w:r>
      <w:r w:rsidRPr="005415CD">
        <w:rPr>
          <w:i/>
          <w:sz w:val="16"/>
          <w:szCs w:val="16"/>
          <w:lang w:val="es-GT"/>
        </w:rPr>
        <w:t xml:space="preserve">Caso </w:t>
      </w:r>
      <w:proofErr w:type="spellStart"/>
      <w:r w:rsidRPr="005415CD">
        <w:rPr>
          <w:i/>
          <w:sz w:val="16"/>
          <w:szCs w:val="16"/>
          <w:lang w:val="es-GT"/>
        </w:rPr>
        <w:t>Sidabras</w:t>
      </w:r>
      <w:proofErr w:type="spellEnd"/>
      <w:r w:rsidRPr="005415CD">
        <w:rPr>
          <w:i/>
          <w:sz w:val="16"/>
          <w:szCs w:val="16"/>
          <w:lang w:val="es-GT"/>
        </w:rPr>
        <w:t xml:space="preserve"> y</w:t>
      </w:r>
      <w:r w:rsidRPr="002570D1">
        <w:rPr>
          <w:i/>
          <w:sz w:val="16"/>
          <w:szCs w:val="16"/>
          <w:lang w:val="es-GT"/>
        </w:rPr>
        <w:t xml:space="preserve"> </w:t>
      </w:r>
      <w:proofErr w:type="spellStart"/>
      <w:r w:rsidRPr="002570D1">
        <w:rPr>
          <w:i/>
          <w:sz w:val="16"/>
          <w:szCs w:val="16"/>
          <w:lang w:val="es-GT"/>
        </w:rPr>
        <w:t>Dziautas</w:t>
      </w:r>
      <w:proofErr w:type="spellEnd"/>
      <w:r w:rsidRPr="002570D1">
        <w:rPr>
          <w:i/>
          <w:sz w:val="16"/>
          <w:szCs w:val="16"/>
          <w:lang w:val="es-GT"/>
        </w:rPr>
        <w:t xml:space="preserve"> Vs. Lituania</w:t>
      </w:r>
      <w:r w:rsidRPr="002570D1">
        <w:rPr>
          <w:sz w:val="16"/>
          <w:szCs w:val="16"/>
          <w:lang w:val="es-GT"/>
        </w:rPr>
        <w:t>, Nos. 55480/00 y 59330/00. Sentencia de 27 de julio de 2004, párr. 47</w:t>
      </w:r>
      <w:r>
        <w:rPr>
          <w:sz w:val="16"/>
          <w:szCs w:val="16"/>
          <w:lang w:val="es-GT"/>
        </w:rPr>
        <w:t>.</w:t>
      </w:r>
      <w:r w:rsidRPr="00AB1E03">
        <w:rPr>
          <w:b/>
          <w:sz w:val="16"/>
          <w:szCs w:val="16"/>
          <w:lang w:val="es-GT"/>
        </w:rPr>
        <w:t xml:space="preserve"> </w:t>
      </w:r>
      <w:r>
        <w:rPr>
          <w:sz w:val="16"/>
          <w:szCs w:val="16"/>
          <w:lang w:val="es-GT"/>
        </w:rPr>
        <w:t>Ver también: Declaración Americana de Derechos y Deberes del Hombre (arts. VI, VII, XI-XVI, XXI-XXIII); Declaración y Programa de Viena, suscrito en el marco de la Conferencia Mundial de Derechos Humanos celebrada por las Naciones Unidas en Viena, Austria, del 14 al 25 de junio de 1993; Carta Africana sobre los Derechos Humanos y de los Pueblos, aprobada el 27 de julio de 1981 durante la XVIII Asamblea de Jefes de Estado y Gobierno de la Organización de la Unidad Africana; Protocolo Facultativo del Pacto Internacional de DESC, aprobado por la Asamblea General de las Naciones Unidas el 10 de diciembre de 2008; Directrices de Maastricht sobre violaciones a los Derechos Económicos, Sociales y Culturales de 1997; Principios de Limburgo de 1986, relativos a la aplicación del Pacto Internacional de Derechos Económicos, Sociales y Culturales.</w:t>
      </w:r>
    </w:p>
  </w:footnote>
  <w:footnote w:id="130">
    <w:p w14:paraId="1A54F60F" w14:textId="5E7146FE" w:rsidR="003C025E" w:rsidRPr="00D96547" w:rsidRDefault="003C025E" w:rsidP="00517B6B">
      <w:pPr>
        <w:pStyle w:val="FootnoteText"/>
        <w:rPr>
          <w:sz w:val="16"/>
          <w:szCs w:val="16"/>
          <w:lang w:val="es-AR"/>
        </w:rPr>
      </w:pPr>
      <w:r w:rsidRPr="002570D1">
        <w:rPr>
          <w:rStyle w:val="FootnoteReference"/>
          <w:rFonts w:eastAsia="Calibri"/>
          <w:color w:val="000000"/>
          <w:sz w:val="16"/>
          <w:szCs w:val="16"/>
          <w:lang w:eastAsia="en-US"/>
        </w:rPr>
        <w:footnoteRef/>
      </w:r>
      <w:r>
        <w:rPr>
          <w:sz w:val="16"/>
          <w:szCs w:val="16"/>
        </w:rPr>
        <w:t xml:space="preserve"> </w:t>
      </w:r>
      <w:r>
        <w:rPr>
          <w:sz w:val="16"/>
          <w:szCs w:val="16"/>
        </w:rPr>
        <w:tab/>
      </w:r>
      <w:r w:rsidRPr="0059117C">
        <w:rPr>
          <w:rFonts w:eastAsia="Calibri"/>
          <w:sz w:val="16"/>
          <w:szCs w:val="16"/>
          <w:lang w:eastAsia="en-US"/>
        </w:rPr>
        <w:t xml:space="preserve">A saber: “[…] En este sentido el Tribunal recuerda que el contenido del artículo 26 de la Convención fue objeto de un intenso debate en los trabajos preparatorios de ésta, nacido del interés de los Estados por consignar una “mención directa” a los “derechos” económicos, sociales y culturales; </w:t>
      </w:r>
      <w:r>
        <w:rPr>
          <w:rFonts w:eastAsia="Calibri"/>
          <w:sz w:val="16"/>
          <w:szCs w:val="16"/>
          <w:lang w:eastAsia="en-US"/>
        </w:rPr>
        <w:t>‘</w:t>
      </w:r>
      <w:r w:rsidRPr="0059117C">
        <w:rPr>
          <w:rFonts w:eastAsia="Calibri"/>
          <w:sz w:val="16"/>
          <w:szCs w:val="16"/>
          <w:lang w:eastAsia="en-US"/>
        </w:rPr>
        <w:t>una disposición que establezca cierta obligatoriedad jurídica […] en su cumplimiento y aplicación</w:t>
      </w:r>
      <w:r>
        <w:rPr>
          <w:rFonts w:eastAsia="Calibri"/>
          <w:sz w:val="16"/>
          <w:szCs w:val="16"/>
          <w:lang w:eastAsia="en-US"/>
        </w:rPr>
        <w:t>’</w:t>
      </w:r>
      <w:r w:rsidRPr="0059117C">
        <w:rPr>
          <w:rFonts w:eastAsia="Calibri"/>
          <w:sz w:val="16"/>
          <w:szCs w:val="16"/>
          <w:lang w:eastAsia="en-US"/>
        </w:rPr>
        <w:t xml:space="preserve">; así como </w:t>
      </w:r>
      <w:r>
        <w:rPr>
          <w:rFonts w:eastAsia="Calibri"/>
          <w:sz w:val="16"/>
          <w:szCs w:val="16"/>
          <w:lang w:eastAsia="en-US"/>
        </w:rPr>
        <w:t>‘</w:t>
      </w:r>
      <w:r w:rsidRPr="0059117C">
        <w:rPr>
          <w:rFonts w:eastAsia="Calibri"/>
          <w:sz w:val="16"/>
          <w:szCs w:val="16"/>
          <w:lang w:eastAsia="en-US"/>
        </w:rPr>
        <w:t>los [respectivos] mecanismos [para su] promoción y protección</w:t>
      </w:r>
      <w:r>
        <w:rPr>
          <w:rFonts w:eastAsia="Calibri"/>
          <w:sz w:val="16"/>
          <w:szCs w:val="16"/>
          <w:lang w:eastAsia="en-US"/>
        </w:rPr>
        <w:t>’</w:t>
      </w:r>
      <w:r w:rsidRPr="0059117C">
        <w:rPr>
          <w:rFonts w:eastAsia="Calibri"/>
          <w:sz w:val="16"/>
          <w:szCs w:val="16"/>
          <w:lang w:eastAsia="en-US"/>
        </w:rPr>
        <w:t xml:space="preserve">, ya que el Anteproyecto de tratado elaborado por la Comisión Interamericana hacía referencia a aquellos en dos artículos que, de acuerdo con algunos Estados, sólo </w:t>
      </w:r>
      <w:r>
        <w:rPr>
          <w:rFonts w:eastAsia="Calibri"/>
          <w:sz w:val="16"/>
          <w:szCs w:val="16"/>
          <w:lang w:eastAsia="en-US"/>
        </w:rPr>
        <w:t>‘</w:t>
      </w:r>
      <w:proofErr w:type="spellStart"/>
      <w:r w:rsidRPr="0059117C">
        <w:rPr>
          <w:rFonts w:eastAsia="Calibri"/>
          <w:sz w:val="16"/>
          <w:szCs w:val="16"/>
          <w:lang w:eastAsia="en-US"/>
        </w:rPr>
        <w:t>recog</w:t>
      </w:r>
      <w:proofErr w:type="spellEnd"/>
      <w:r w:rsidRPr="0059117C">
        <w:rPr>
          <w:rFonts w:eastAsia="Calibri"/>
          <w:sz w:val="16"/>
          <w:szCs w:val="16"/>
          <w:lang w:eastAsia="en-US"/>
        </w:rPr>
        <w:t>[</w:t>
      </w:r>
      <w:proofErr w:type="spellStart"/>
      <w:r w:rsidRPr="0059117C">
        <w:rPr>
          <w:rFonts w:eastAsia="Calibri"/>
          <w:sz w:val="16"/>
          <w:szCs w:val="16"/>
          <w:lang w:eastAsia="en-US"/>
        </w:rPr>
        <w:t>ían</w:t>
      </w:r>
      <w:proofErr w:type="spellEnd"/>
      <w:r w:rsidRPr="0059117C">
        <w:rPr>
          <w:rFonts w:eastAsia="Calibri"/>
          <w:sz w:val="16"/>
          <w:szCs w:val="16"/>
          <w:lang w:eastAsia="en-US"/>
        </w:rPr>
        <w:t>] en un texto meramente declarativo, conclusiones establecidas en la Conferencia de Buenos Aires</w:t>
      </w:r>
      <w:r>
        <w:rPr>
          <w:rFonts w:eastAsia="Calibri"/>
          <w:sz w:val="16"/>
          <w:szCs w:val="16"/>
          <w:lang w:eastAsia="en-US"/>
        </w:rPr>
        <w:t>’</w:t>
      </w:r>
      <w:r w:rsidRPr="0059117C">
        <w:rPr>
          <w:rFonts w:eastAsia="Calibri"/>
          <w:sz w:val="16"/>
          <w:szCs w:val="16"/>
          <w:lang w:eastAsia="en-US"/>
        </w:rPr>
        <w:t xml:space="preserve">. </w:t>
      </w:r>
      <w:r w:rsidRPr="00B1523A">
        <w:rPr>
          <w:rFonts w:eastAsia="Calibri"/>
          <w:sz w:val="16"/>
          <w:szCs w:val="16"/>
          <w:lang w:eastAsia="en-US"/>
        </w:rPr>
        <w:t>La revisión de dichos trabajos preparatorios de la Convención demuestra también que las principales observaciones sobre la base de las cuales ésta fue aprobada pusieron especial énfasis en ‘dar a los derechos económicos, sociales y culturales la máxima protección compatible con las condiciones peculiares a la gran mayoría de los Estados Americanos’.</w:t>
      </w:r>
      <w:r w:rsidRPr="00765E3D">
        <w:rPr>
          <w:rFonts w:eastAsia="Calibri"/>
          <w:sz w:val="16"/>
          <w:szCs w:val="16"/>
          <w:lang w:eastAsia="en-US"/>
        </w:rPr>
        <w:t xml:space="preserve"> Así, como parte del debate en los trabajos</w:t>
      </w:r>
      <w:r w:rsidRPr="0059117C">
        <w:rPr>
          <w:rFonts w:eastAsia="Calibri"/>
          <w:sz w:val="16"/>
          <w:szCs w:val="16"/>
          <w:lang w:eastAsia="en-US"/>
        </w:rPr>
        <w:t xml:space="preserve"> preparatorios, también se propuso </w:t>
      </w:r>
      <w:proofErr w:type="gramStart"/>
      <w:r>
        <w:rPr>
          <w:rFonts w:eastAsia="Calibri"/>
          <w:sz w:val="16"/>
          <w:szCs w:val="16"/>
          <w:lang w:eastAsia="en-US"/>
        </w:rPr>
        <w:t>‘</w:t>
      </w:r>
      <w:proofErr w:type="spellStart"/>
      <w:r w:rsidRPr="0059117C">
        <w:rPr>
          <w:rFonts w:eastAsia="Calibri"/>
          <w:sz w:val="16"/>
          <w:szCs w:val="16"/>
          <w:lang w:eastAsia="en-US"/>
        </w:rPr>
        <w:t>hac</w:t>
      </w:r>
      <w:proofErr w:type="spellEnd"/>
      <w:r w:rsidRPr="0059117C">
        <w:rPr>
          <w:rFonts w:eastAsia="Calibri"/>
          <w:sz w:val="16"/>
          <w:szCs w:val="16"/>
          <w:lang w:eastAsia="en-US"/>
        </w:rPr>
        <w:t>[</w:t>
      </w:r>
      <w:proofErr w:type="spellStart"/>
      <w:proofErr w:type="gramEnd"/>
      <w:r w:rsidRPr="0059117C">
        <w:rPr>
          <w:rFonts w:eastAsia="Calibri"/>
          <w:sz w:val="16"/>
          <w:szCs w:val="16"/>
          <w:lang w:eastAsia="en-US"/>
        </w:rPr>
        <w:t>er</w:t>
      </w:r>
      <w:proofErr w:type="spellEnd"/>
      <w:r w:rsidRPr="0059117C">
        <w:rPr>
          <w:rFonts w:eastAsia="Calibri"/>
          <w:sz w:val="16"/>
          <w:szCs w:val="16"/>
          <w:lang w:eastAsia="en-US"/>
        </w:rPr>
        <w:t>] posible [la] ejecución [de dichos derechos] mediante la acción de los tribunales</w:t>
      </w:r>
      <w:r>
        <w:rPr>
          <w:rFonts w:eastAsia="Calibri"/>
          <w:sz w:val="16"/>
          <w:szCs w:val="16"/>
          <w:lang w:eastAsia="en-US"/>
        </w:rPr>
        <w:t>’”</w:t>
      </w:r>
      <w:r w:rsidRPr="0059117C">
        <w:rPr>
          <w:rFonts w:eastAsia="Calibri"/>
          <w:sz w:val="16"/>
          <w:szCs w:val="16"/>
          <w:lang w:eastAsia="en-US"/>
        </w:rPr>
        <w:t xml:space="preserve">. </w:t>
      </w:r>
      <w:r w:rsidRPr="00D96547">
        <w:rPr>
          <w:i/>
          <w:sz w:val="16"/>
          <w:szCs w:val="16"/>
          <w:lang w:val="es-GT"/>
        </w:rPr>
        <w:t>Caso Acevedo Buendía y otros (“Cesantes y Jubilados de la Contraloría”) Vs. Perú</w:t>
      </w:r>
      <w:r w:rsidRPr="00D96547">
        <w:rPr>
          <w:sz w:val="16"/>
          <w:szCs w:val="16"/>
          <w:lang w:val="es-GT"/>
        </w:rPr>
        <w:t xml:space="preserve">, </w:t>
      </w:r>
      <w:r w:rsidRPr="00062586">
        <w:rPr>
          <w:i/>
          <w:sz w:val="16"/>
          <w:szCs w:val="16"/>
          <w:lang w:val="es-GT"/>
        </w:rPr>
        <w:t>supra</w:t>
      </w:r>
      <w:r w:rsidRPr="00D96547">
        <w:rPr>
          <w:sz w:val="16"/>
          <w:szCs w:val="16"/>
          <w:lang w:val="es-GT"/>
        </w:rPr>
        <w:t xml:space="preserve">, párr. 99.  </w:t>
      </w:r>
    </w:p>
    <w:p w14:paraId="48704D67" w14:textId="2AC0E00B" w:rsidR="003C025E" w:rsidRPr="002570D1" w:rsidRDefault="003C025E" w:rsidP="00E85806">
      <w:pPr>
        <w:pStyle w:val="FootnoteText"/>
        <w:rPr>
          <w:sz w:val="16"/>
          <w:szCs w:val="16"/>
          <w:lang w:val="es-AR"/>
        </w:rPr>
      </w:pPr>
      <w:r>
        <w:rPr>
          <w:i/>
          <w:sz w:val="16"/>
          <w:szCs w:val="16"/>
          <w:lang w:val="es-AR"/>
        </w:rPr>
        <w:t xml:space="preserve">Cfr. </w:t>
      </w:r>
      <w:r>
        <w:rPr>
          <w:sz w:val="16"/>
          <w:szCs w:val="16"/>
          <w:lang w:val="es-AR"/>
        </w:rPr>
        <w:t xml:space="preserve">OEA, </w:t>
      </w:r>
      <w:r w:rsidRPr="00B1523A">
        <w:rPr>
          <w:i/>
          <w:sz w:val="16"/>
          <w:szCs w:val="16"/>
          <w:lang w:val="es-AR"/>
        </w:rPr>
        <w:t>Conferencia Especializada Interamericana sobre Derechos Humanos</w:t>
      </w:r>
      <w:r>
        <w:rPr>
          <w:sz w:val="16"/>
          <w:szCs w:val="16"/>
          <w:lang w:val="es-AR"/>
        </w:rPr>
        <w:t>.</w:t>
      </w:r>
      <w:r>
        <w:rPr>
          <w:i/>
          <w:sz w:val="16"/>
          <w:szCs w:val="16"/>
          <w:lang w:val="es-AR"/>
        </w:rPr>
        <w:t xml:space="preserve"> Actas y documentos, </w:t>
      </w:r>
      <w:r>
        <w:rPr>
          <w:sz w:val="16"/>
          <w:szCs w:val="16"/>
          <w:lang w:val="es-AR"/>
        </w:rPr>
        <w:t>OEA/</w:t>
      </w:r>
      <w:proofErr w:type="spellStart"/>
      <w:r w:rsidRPr="002570D1">
        <w:rPr>
          <w:sz w:val="16"/>
          <w:szCs w:val="16"/>
          <w:lang w:val="es-AR"/>
        </w:rPr>
        <w:t>Ser.K</w:t>
      </w:r>
      <w:proofErr w:type="spellEnd"/>
      <w:r w:rsidRPr="002570D1">
        <w:rPr>
          <w:sz w:val="16"/>
          <w:szCs w:val="16"/>
          <w:lang w:val="es-AR"/>
        </w:rPr>
        <w:t>/XVI/1.2</w:t>
      </w:r>
      <w:r>
        <w:rPr>
          <w:sz w:val="16"/>
          <w:szCs w:val="16"/>
          <w:lang w:val="es-AR"/>
        </w:rPr>
        <w:t xml:space="preserve"> (B-32), celebrada del 7 al 22 de noviembre de 1969 en </w:t>
      </w:r>
      <w:r w:rsidRPr="002570D1">
        <w:rPr>
          <w:sz w:val="16"/>
          <w:szCs w:val="16"/>
          <w:lang w:val="es-AR"/>
        </w:rPr>
        <w:t>Washington, DC</w:t>
      </w:r>
      <w:r>
        <w:rPr>
          <w:sz w:val="16"/>
          <w:szCs w:val="16"/>
          <w:lang w:val="es-AR"/>
        </w:rPr>
        <w:t xml:space="preserve">. </w:t>
      </w:r>
      <w:r w:rsidRPr="002570D1">
        <w:rPr>
          <w:sz w:val="16"/>
          <w:szCs w:val="16"/>
          <w:lang w:val="es-AR"/>
        </w:rPr>
        <w:t>El proyecto inicial contenía artículos relevantes en relación a los Derechos Económicos Sociales y Culturales</w:t>
      </w:r>
      <w:r>
        <w:rPr>
          <w:sz w:val="16"/>
          <w:szCs w:val="16"/>
          <w:lang w:val="es-AR"/>
        </w:rPr>
        <w:t xml:space="preserve">, </w:t>
      </w:r>
      <w:r w:rsidRPr="00B1523A">
        <w:rPr>
          <w:i/>
          <w:sz w:val="16"/>
          <w:szCs w:val="16"/>
          <w:lang w:val="es-AR"/>
        </w:rPr>
        <w:t xml:space="preserve">inter </w:t>
      </w:r>
      <w:proofErr w:type="spellStart"/>
      <w:r w:rsidRPr="00B1523A">
        <w:rPr>
          <w:i/>
          <w:sz w:val="16"/>
          <w:szCs w:val="16"/>
          <w:lang w:val="es-AR"/>
        </w:rPr>
        <w:t>alia</w:t>
      </w:r>
      <w:proofErr w:type="spellEnd"/>
      <w:r>
        <w:rPr>
          <w:sz w:val="16"/>
          <w:szCs w:val="16"/>
          <w:lang w:val="es-AR"/>
        </w:rPr>
        <w:t>: A</w:t>
      </w:r>
      <w:r w:rsidRPr="002570D1">
        <w:rPr>
          <w:sz w:val="16"/>
          <w:szCs w:val="16"/>
          <w:lang w:val="es-AR"/>
        </w:rPr>
        <w:t>rtículo 25: “[…] Los Estados Partes manifiestan, además, su propósito de consagrar y, en su caso, de mantener y perfeccionar, dentro de sus legislaciones internas, las prescripciones que sean más adecuadas</w:t>
      </w:r>
      <w:proofErr w:type="gramStart"/>
      <w:r w:rsidRPr="002570D1">
        <w:rPr>
          <w:sz w:val="16"/>
          <w:szCs w:val="16"/>
          <w:lang w:val="es-AR"/>
        </w:rPr>
        <w:t>”[</w:t>
      </w:r>
      <w:proofErr w:type="gramEnd"/>
      <w:r w:rsidRPr="002570D1">
        <w:rPr>
          <w:sz w:val="16"/>
          <w:szCs w:val="16"/>
          <w:lang w:val="es-AR"/>
        </w:rPr>
        <w:t>…]</w:t>
      </w:r>
      <w:r>
        <w:rPr>
          <w:sz w:val="16"/>
          <w:szCs w:val="16"/>
          <w:lang w:val="es-AR"/>
        </w:rPr>
        <w:t xml:space="preserve">. Asimismo, </w:t>
      </w:r>
      <w:r w:rsidRPr="002570D1">
        <w:rPr>
          <w:sz w:val="16"/>
          <w:szCs w:val="16"/>
          <w:lang w:val="es-AR"/>
        </w:rPr>
        <w:t xml:space="preserve">en su artículo 26 normaba: “Los Estados Partes informarán periódicamente a la Comisión de Derechos Humanos sobre las medidas que hubieran adoptado para los fines señalados en el </w:t>
      </w:r>
      <w:r>
        <w:rPr>
          <w:sz w:val="16"/>
          <w:szCs w:val="16"/>
          <w:lang w:val="es-AR"/>
        </w:rPr>
        <w:t>a</w:t>
      </w:r>
      <w:r w:rsidRPr="002570D1">
        <w:rPr>
          <w:sz w:val="16"/>
          <w:szCs w:val="16"/>
          <w:lang w:val="es-AR"/>
        </w:rPr>
        <w:t>rtículo anterior. La Comisión formulará las recomendaciones que sean adecuadas</w:t>
      </w:r>
      <w:r>
        <w:rPr>
          <w:sz w:val="16"/>
          <w:szCs w:val="16"/>
          <w:lang w:val="es-AR"/>
        </w:rPr>
        <w:t xml:space="preserve"> </w:t>
      </w:r>
      <w:r w:rsidRPr="002570D1">
        <w:rPr>
          <w:sz w:val="16"/>
          <w:szCs w:val="16"/>
          <w:lang w:val="es-AR"/>
        </w:rPr>
        <w:t>[…]”</w:t>
      </w:r>
      <w:r>
        <w:rPr>
          <w:sz w:val="16"/>
          <w:szCs w:val="16"/>
          <w:lang w:val="es-AR"/>
        </w:rPr>
        <w:t>.</w:t>
      </w:r>
    </w:p>
    <w:p w14:paraId="17564BDA" w14:textId="454DCC7B" w:rsidR="003C025E" w:rsidRPr="002570D1" w:rsidRDefault="003C025E" w:rsidP="009C34A2">
      <w:pPr>
        <w:pStyle w:val="FootnoteText"/>
        <w:rPr>
          <w:sz w:val="16"/>
          <w:szCs w:val="16"/>
          <w:lang w:val="es-AR"/>
        </w:rPr>
      </w:pPr>
      <w:r w:rsidRPr="009C34A2">
        <w:rPr>
          <w:sz w:val="16"/>
          <w:szCs w:val="16"/>
          <w:lang w:val="es-AR"/>
        </w:rPr>
        <w:t>Al respecto resulta interesante, destacar las observaciones formuladas por parte del Estado de Chile, al proyecto de Convención sobre Derechos Humanos (Documento 7, de fecha 26 de septiembre de 1969</w:t>
      </w:r>
      <w:r w:rsidRPr="005415CD">
        <w:rPr>
          <w:sz w:val="16"/>
          <w:szCs w:val="16"/>
          <w:lang w:val="es-AR"/>
        </w:rPr>
        <w:t>,</w:t>
      </w:r>
      <w:r w:rsidRPr="009C34A2">
        <w:rPr>
          <w:sz w:val="16"/>
          <w:szCs w:val="16"/>
          <w:lang w:val="es-AR"/>
        </w:rPr>
        <w:t xml:space="preserve"> </w:t>
      </w:r>
      <w:r w:rsidRPr="005415CD">
        <w:rPr>
          <w:sz w:val="16"/>
          <w:szCs w:val="16"/>
          <w:lang w:val="es-AR"/>
        </w:rPr>
        <w:t>p</w:t>
      </w:r>
      <w:r w:rsidRPr="009C34A2">
        <w:rPr>
          <w:sz w:val="16"/>
          <w:szCs w:val="16"/>
          <w:lang w:val="es-AR"/>
        </w:rPr>
        <w:t>árr. 14). El mismo observaba que “[l]as disposiciones que han quedado en el proyecto en materia de derechos económicos, sociales y culturales, son las que merecen mayores reparos de forma y fondo. Ellas son los artículos 25, 26 y 41. Se ha eliminado toda mención dir</w:t>
      </w:r>
      <w:r w:rsidRPr="005415CD">
        <w:rPr>
          <w:sz w:val="16"/>
          <w:szCs w:val="16"/>
          <w:lang w:val="es-AR"/>
        </w:rPr>
        <w:t>ecta a dichos derechos; indirectamente, en el artículo 25, párrafo 1, hay un reconocimiento insuficiente de ‘la necesidad de que los Estados Partes dediquen sus máximos esfuerzos para que en derecho interno sean adoptados y, en su caso, garantizados los demás derechos consignados en la Declaración Americana de los Derechos y Deberes del Hombre y que no hubieren quedado incluidos en los artículos precedente</w:t>
      </w:r>
      <w:r>
        <w:rPr>
          <w:sz w:val="16"/>
          <w:szCs w:val="16"/>
          <w:lang w:val="es-AR"/>
        </w:rPr>
        <w:t>s.</w:t>
      </w:r>
      <w:r w:rsidRPr="005415CD">
        <w:rPr>
          <w:sz w:val="16"/>
          <w:szCs w:val="16"/>
          <w:lang w:val="es-AR"/>
        </w:rPr>
        <w:t xml:space="preserve"> […]</w:t>
      </w:r>
      <w:r w:rsidRPr="009C34A2">
        <w:rPr>
          <w:sz w:val="16"/>
          <w:szCs w:val="16"/>
          <w:lang w:val="es-AR"/>
        </w:rPr>
        <w:t xml:space="preserve"> En todo caso, debería consignarse respe</w:t>
      </w:r>
      <w:r w:rsidRPr="005415CD">
        <w:rPr>
          <w:sz w:val="16"/>
          <w:szCs w:val="16"/>
          <w:lang w:val="es-AR"/>
        </w:rPr>
        <w:t>cto de los derechos económicos, sociales y culturales una disposición que establezca cierta obligatoriedad jurídica (hasta donde lo permite la naturaleza de estos derechos) en su cumplimiento y aplicación. Para ello, sería necesario contemplar una cláusula semejante a la del artículo 2, párrafo 1, del Pacto de Naciones Unidas sobre la materia</w:t>
      </w:r>
      <w:r>
        <w:rPr>
          <w:sz w:val="16"/>
          <w:szCs w:val="16"/>
          <w:lang w:val="es-AR"/>
        </w:rPr>
        <w:t>”</w:t>
      </w:r>
      <w:r w:rsidRPr="009C34A2">
        <w:rPr>
          <w:sz w:val="16"/>
          <w:szCs w:val="16"/>
          <w:lang w:val="es-AR"/>
        </w:rPr>
        <w:t>.</w:t>
      </w:r>
    </w:p>
  </w:footnote>
  <w:footnote w:id="131">
    <w:p w14:paraId="5B17D12B" w14:textId="0BA9001B" w:rsidR="003C025E" w:rsidRPr="002A64C9" w:rsidRDefault="003C025E">
      <w:pPr>
        <w:pStyle w:val="FootnoteText"/>
        <w:rPr>
          <w:sz w:val="16"/>
        </w:rPr>
      </w:pPr>
      <w:r w:rsidRPr="002A64C9">
        <w:rPr>
          <w:rStyle w:val="FootnoteReference"/>
          <w:sz w:val="16"/>
        </w:rPr>
        <w:footnoteRef/>
      </w:r>
      <w:r w:rsidRPr="002A64C9">
        <w:rPr>
          <w:sz w:val="16"/>
        </w:rPr>
        <w:t xml:space="preserve"> </w:t>
      </w:r>
      <w:r w:rsidRPr="002A64C9">
        <w:rPr>
          <w:sz w:val="16"/>
        </w:rPr>
        <w:tab/>
        <w:t>El subrayado es agregado</w:t>
      </w:r>
      <w:r>
        <w:rPr>
          <w:sz w:val="16"/>
        </w:rPr>
        <w:t xml:space="preserve">. En relación con las modificaciones a la Carta de la OEA. Véase también: OEA, </w:t>
      </w:r>
      <w:r w:rsidRPr="00B1523A">
        <w:rPr>
          <w:i/>
          <w:sz w:val="16"/>
        </w:rPr>
        <w:t xml:space="preserve">Carta de la Organización de los Estados Americanos de 1948. “Reformada por el Protocolo de Reformas a la Carta de la Organización de los Estados Americanos </w:t>
      </w:r>
      <w:r>
        <w:rPr>
          <w:i/>
          <w:sz w:val="16"/>
        </w:rPr>
        <w:t>‘</w:t>
      </w:r>
      <w:r w:rsidRPr="00B1523A">
        <w:rPr>
          <w:i/>
          <w:sz w:val="16"/>
        </w:rPr>
        <w:t>Protocolo de Buenos Aires</w:t>
      </w:r>
      <w:r>
        <w:rPr>
          <w:i/>
          <w:sz w:val="16"/>
        </w:rPr>
        <w:t>’</w:t>
      </w:r>
      <w:r w:rsidRPr="00B1523A">
        <w:rPr>
          <w:i/>
          <w:sz w:val="16"/>
        </w:rPr>
        <w:t xml:space="preserve">, suscrito el 27 de febrero de 1967, en la Tercera Conferencia Interamericana Extraordinaria, por el Protocolo de Reformas a la Carta de la Organización de los Estados Americanos </w:t>
      </w:r>
      <w:r>
        <w:rPr>
          <w:i/>
          <w:sz w:val="16"/>
        </w:rPr>
        <w:t>‘</w:t>
      </w:r>
      <w:r w:rsidRPr="00B1523A">
        <w:rPr>
          <w:i/>
          <w:sz w:val="16"/>
        </w:rPr>
        <w:t>Protocolo de Cartagena de Indias</w:t>
      </w:r>
      <w:r>
        <w:rPr>
          <w:i/>
          <w:sz w:val="16"/>
        </w:rPr>
        <w:t>’</w:t>
      </w:r>
      <w:r w:rsidRPr="00B1523A">
        <w:rPr>
          <w:i/>
          <w:sz w:val="16"/>
        </w:rPr>
        <w:t xml:space="preserve">, aprobado el 5 de diciembre de 1985, en el decimocuarto período extraordinario de sesiones de la Asamblea General, por el Protocolo de Reformas a la Carta de la Organización de los Estados Americanos </w:t>
      </w:r>
      <w:r>
        <w:rPr>
          <w:i/>
          <w:sz w:val="16"/>
        </w:rPr>
        <w:t>‘</w:t>
      </w:r>
      <w:r w:rsidRPr="00B1523A">
        <w:rPr>
          <w:i/>
          <w:sz w:val="16"/>
        </w:rPr>
        <w:t>Protocolo de Washington</w:t>
      </w:r>
      <w:r>
        <w:rPr>
          <w:i/>
          <w:sz w:val="16"/>
        </w:rPr>
        <w:t>’</w:t>
      </w:r>
      <w:r w:rsidRPr="00B1523A">
        <w:rPr>
          <w:i/>
          <w:sz w:val="16"/>
        </w:rPr>
        <w:t xml:space="preserve">, aprobado el 14 de diciembre de 1992, en el decimosexto período extraordinario de sesiones de la Asamblea General, y por el Protocolo de Reformas a la Carta de la Organización de los Estados Americanos </w:t>
      </w:r>
      <w:r>
        <w:rPr>
          <w:i/>
          <w:sz w:val="16"/>
        </w:rPr>
        <w:t>‘</w:t>
      </w:r>
      <w:r w:rsidRPr="00B1523A">
        <w:rPr>
          <w:i/>
          <w:sz w:val="16"/>
        </w:rPr>
        <w:t>Protocolo de Managua</w:t>
      </w:r>
      <w:r>
        <w:rPr>
          <w:i/>
          <w:sz w:val="16"/>
        </w:rPr>
        <w:t>’</w:t>
      </w:r>
      <w:r w:rsidRPr="00B1523A">
        <w:rPr>
          <w:i/>
          <w:sz w:val="16"/>
        </w:rPr>
        <w:t>, adoptado el 10 de junio de 1993, en el decimonoveno período extraordinario de sesiones de la Asamblea General”</w:t>
      </w:r>
      <w:r>
        <w:rPr>
          <w:i/>
          <w:sz w:val="16"/>
        </w:rPr>
        <w:t xml:space="preserve">, </w:t>
      </w:r>
      <w:r w:rsidRPr="00B1523A">
        <w:rPr>
          <w:sz w:val="16"/>
          <w:szCs w:val="16"/>
        </w:rPr>
        <w:t>OEA Nº 1-C y 61</w:t>
      </w:r>
      <w:r w:rsidRPr="003B7367">
        <w:rPr>
          <w:sz w:val="16"/>
          <w:szCs w:val="16"/>
        </w:rPr>
        <w:t>.</w:t>
      </w:r>
      <w:r w:rsidRPr="0084234E">
        <w:rPr>
          <w:sz w:val="16"/>
        </w:rPr>
        <w:t xml:space="preserve"> Disponible en: </w:t>
      </w:r>
      <w:hyperlink r:id="rId5" w:history="1">
        <w:r w:rsidRPr="00EE15BE">
          <w:rPr>
            <w:rStyle w:val="Hyperlink"/>
            <w:sz w:val="16"/>
          </w:rPr>
          <w:t>http://www.oas.org/es/sla/ddi/tratados_multilaterales_interamericanos_A-41_carta_OEA.asp</w:t>
        </w:r>
      </w:hyperlink>
      <w:r>
        <w:rPr>
          <w:sz w:val="16"/>
        </w:rPr>
        <w:t xml:space="preserve"> </w:t>
      </w:r>
    </w:p>
  </w:footnote>
  <w:footnote w:id="132">
    <w:p w14:paraId="64A89F18" w14:textId="54AA6891" w:rsidR="003C025E" w:rsidRPr="002570D1" w:rsidRDefault="003C025E" w:rsidP="002570D1">
      <w:pPr>
        <w:pStyle w:val="FootnoteText"/>
        <w:rPr>
          <w:sz w:val="16"/>
          <w:szCs w:val="16"/>
          <w:lang w:val="es-CR"/>
        </w:rPr>
      </w:pPr>
      <w:r w:rsidRPr="00383565">
        <w:rPr>
          <w:rStyle w:val="FootnoteReference"/>
          <w:sz w:val="16"/>
          <w:szCs w:val="16"/>
        </w:rPr>
        <w:footnoteRef/>
      </w:r>
      <w:r>
        <w:rPr>
          <w:sz w:val="16"/>
          <w:szCs w:val="16"/>
          <w:lang w:val="es-CR"/>
        </w:rPr>
        <w:t xml:space="preserve"> </w:t>
      </w:r>
      <w:r>
        <w:rPr>
          <w:sz w:val="16"/>
          <w:szCs w:val="16"/>
          <w:lang w:val="es-CR"/>
        </w:rPr>
        <w:tab/>
        <w:t>Paulatinamente, e</w:t>
      </w:r>
      <w:r w:rsidRPr="00630070">
        <w:rPr>
          <w:sz w:val="16"/>
          <w:szCs w:val="16"/>
          <w:lang w:val="es-CR"/>
        </w:rPr>
        <w:t>n el Sistema Interamericano se ha venido conso</w:t>
      </w:r>
      <w:r w:rsidRPr="00E5581F">
        <w:rPr>
          <w:sz w:val="16"/>
          <w:szCs w:val="16"/>
          <w:lang w:val="es-CR"/>
        </w:rPr>
        <w:t>lidando este concepto</w:t>
      </w:r>
      <w:r>
        <w:rPr>
          <w:sz w:val="16"/>
          <w:szCs w:val="16"/>
          <w:lang w:val="es-CR"/>
        </w:rPr>
        <w:t xml:space="preserve"> (DESCA). En </w:t>
      </w:r>
      <w:r w:rsidRPr="005415CD">
        <w:rPr>
          <w:sz w:val="16"/>
          <w:szCs w:val="16"/>
          <w:lang w:val="es-CR"/>
        </w:rPr>
        <w:t>2014,</w:t>
      </w:r>
      <w:r>
        <w:rPr>
          <w:sz w:val="16"/>
          <w:szCs w:val="16"/>
          <w:lang w:val="es-CR"/>
        </w:rPr>
        <w:t xml:space="preserve"> la Comisión Interamericana de Derechos Humanos</w:t>
      </w:r>
      <w:r w:rsidRPr="00C91555">
        <w:rPr>
          <w:sz w:val="16"/>
          <w:szCs w:val="16"/>
          <w:lang w:val="es-CR"/>
        </w:rPr>
        <w:t xml:space="preserve"> adoptó la decisión de crear una </w:t>
      </w:r>
      <w:r>
        <w:rPr>
          <w:sz w:val="16"/>
          <w:szCs w:val="16"/>
          <w:lang w:val="es-CR"/>
        </w:rPr>
        <w:t>“</w:t>
      </w:r>
      <w:r w:rsidRPr="00C91555">
        <w:rPr>
          <w:sz w:val="16"/>
          <w:szCs w:val="16"/>
          <w:lang w:val="es-CR"/>
        </w:rPr>
        <w:t>Relatoría Especial para los Derechos Económicos, Sociales, Culturales y Ambientales</w:t>
      </w:r>
      <w:r>
        <w:rPr>
          <w:sz w:val="16"/>
          <w:szCs w:val="16"/>
          <w:lang w:val="es-CR"/>
        </w:rPr>
        <w:t>”</w:t>
      </w:r>
      <w:r w:rsidRPr="00C91555">
        <w:rPr>
          <w:sz w:val="16"/>
          <w:szCs w:val="16"/>
          <w:lang w:val="es-CR"/>
        </w:rPr>
        <w:t>, que entró en pleno funcionamiento en agosto de 2017</w:t>
      </w:r>
      <w:r>
        <w:rPr>
          <w:sz w:val="16"/>
          <w:szCs w:val="16"/>
          <w:lang w:val="es-CR"/>
        </w:rPr>
        <w:t xml:space="preserve">. Véanse también: </w:t>
      </w:r>
      <w:r w:rsidRPr="00655E16">
        <w:rPr>
          <w:sz w:val="16"/>
          <w:szCs w:val="16"/>
          <w:lang w:val="es-CR"/>
        </w:rPr>
        <w:t xml:space="preserve">Comisión Interamericana de Derechos Humanos, </w:t>
      </w:r>
      <w:r w:rsidRPr="00B1523A">
        <w:rPr>
          <w:i/>
          <w:sz w:val="16"/>
          <w:szCs w:val="16"/>
          <w:lang w:val="es-CR"/>
        </w:rPr>
        <w:t>Informe sobre pobreza y derechos humanos en las Américas</w:t>
      </w:r>
      <w:r w:rsidRPr="00655E16">
        <w:rPr>
          <w:sz w:val="16"/>
          <w:szCs w:val="16"/>
          <w:lang w:val="es-CR"/>
        </w:rPr>
        <w:t>, OEA/</w:t>
      </w:r>
      <w:proofErr w:type="spellStart"/>
      <w:r w:rsidRPr="00655E16">
        <w:rPr>
          <w:sz w:val="16"/>
          <w:szCs w:val="16"/>
          <w:lang w:val="es-CR"/>
        </w:rPr>
        <w:t>Ser.L</w:t>
      </w:r>
      <w:proofErr w:type="spellEnd"/>
      <w:r w:rsidRPr="00655E16">
        <w:rPr>
          <w:sz w:val="16"/>
          <w:szCs w:val="16"/>
          <w:lang w:val="es-CR"/>
        </w:rPr>
        <w:t xml:space="preserve">/V/II.164, 7 septiembre 2017, </w:t>
      </w:r>
      <w:r>
        <w:rPr>
          <w:sz w:val="16"/>
          <w:szCs w:val="16"/>
          <w:lang w:val="es-CR"/>
        </w:rPr>
        <w:t>párr. 11</w:t>
      </w:r>
      <w:r w:rsidRPr="00655E16">
        <w:rPr>
          <w:sz w:val="16"/>
          <w:szCs w:val="16"/>
          <w:lang w:val="es-CR"/>
        </w:rPr>
        <w:t>2</w:t>
      </w:r>
      <w:r>
        <w:rPr>
          <w:sz w:val="16"/>
          <w:szCs w:val="16"/>
          <w:lang w:val="es-CR"/>
        </w:rPr>
        <w:t>, y “</w:t>
      </w:r>
      <w:r w:rsidRPr="00B1523A">
        <w:rPr>
          <w:i/>
          <w:sz w:val="16"/>
          <w:szCs w:val="16"/>
        </w:rPr>
        <w:t>Medio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w:t>
      </w:r>
      <w:r>
        <w:rPr>
          <w:i/>
          <w:sz w:val="16"/>
          <w:szCs w:val="16"/>
        </w:rPr>
        <w:t>”</w:t>
      </w:r>
      <w:r>
        <w:rPr>
          <w:sz w:val="16"/>
          <w:szCs w:val="16"/>
        </w:rPr>
        <w:t xml:space="preserve">. </w:t>
      </w:r>
      <w:r w:rsidRPr="00F47650">
        <w:rPr>
          <w:i/>
          <w:sz w:val="16"/>
          <w:szCs w:val="16"/>
          <w:lang w:val="es-CR"/>
        </w:rPr>
        <w:t xml:space="preserve">Opinión Consultiva </w:t>
      </w:r>
      <w:r w:rsidRPr="00B1523A">
        <w:rPr>
          <w:i/>
          <w:sz w:val="16"/>
          <w:szCs w:val="16"/>
        </w:rPr>
        <w:t>OC-23/17</w:t>
      </w:r>
      <w:r w:rsidRPr="007E5CD5">
        <w:rPr>
          <w:sz w:val="16"/>
          <w:szCs w:val="16"/>
        </w:rPr>
        <w:t xml:space="preserve"> de 15 de noviembre de 2017. Serie A No. 23</w:t>
      </w:r>
      <w:r>
        <w:rPr>
          <w:sz w:val="16"/>
          <w:szCs w:val="16"/>
        </w:rPr>
        <w:t>, párr. 57.</w:t>
      </w:r>
      <w:r w:rsidRPr="007E5CD5">
        <w:rPr>
          <w:sz w:val="16"/>
          <w:szCs w:val="16"/>
        </w:rPr>
        <w:t xml:space="preserve"> </w:t>
      </w:r>
    </w:p>
  </w:footnote>
  <w:footnote w:id="133">
    <w:p w14:paraId="33EC3EB3" w14:textId="22D2BFF9" w:rsidR="003C025E" w:rsidRPr="002570D1" w:rsidRDefault="003C025E" w:rsidP="002570D1">
      <w:pPr>
        <w:pStyle w:val="FootnoteText"/>
        <w:rPr>
          <w:sz w:val="16"/>
          <w:szCs w:val="16"/>
          <w:lang w:val="es-AR"/>
        </w:rPr>
      </w:pPr>
      <w:r w:rsidRPr="002570D1">
        <w:rPr>
          <w:rStyle w:val="FootnoteReference"/>
          <w:rFonts w:eastAsia="Calibri"/>
          <w:color w:val="000000"/>
          <w:sz w:val="16"/>
          <w:szCs w:val="16"/>
          <w:lang w:eastAsia="en-US"/>
        </w:rPr>
        <w:footnoteRef/>
      </w:r>
      <w:r w:rsidRPr="002570D1">
        <w:rPr>
          <w:sz w:val="16"/>
          <w:szCs w:val="16"/>
          <w:lang w:val="es-AR"/>
        </w:rPr>
        <w:t xml:space="preserve"> </w:t>
      </w:r>
      <w:r>
        <w:rPr>
          <w:sz w:val="16"/>
          <w:szCs w:val="16"/>
          <w:lang w:val="es-AR"/>
        </w:rPr>
        <w:tab/>
      </w:r>
      <w:r w:rsidRPr="00062586">
        <w:rPr>
          <w:i/>
          <w:sz w:val="16"/>
          <w:szCs w:val="16"/>
          <w:lang w:val="es-AR"/>
        </w:rPr>
        <w:t>Cfr.</w:t>
      </w:r>
      <w:r w:rsidRPr="002570D1">
        <w:rPr>
          <w:sz w:val="16"/>
          <w:szCs w:val="16"/>
          <w:lang w:val="es-AR"/>
        </w:rPr>
        <w:t xml:space="preserve"> En este sentido, el artículo</w:t>
      </w:r>
      <w:r>
        <w:rPr>
          <w:sz w:val="16"/>
          <w:szCs w:val="16"/>
          <w:lang w:val="es-AR"/>
        </w:rPr>
        <w:t xml:space="preserve"> </w:t>
      </w:r>
      <w:r w:rsidRPr="002570D1">
        <w:rPr>
          <w:sz w:val="16"/>
          <w:szCs w:val="16"/>
          <w:lang w:val="es-AR"/>
        </w:rPr>
        <w:t>29</w:t>
      </w:r>
      <w:r w:rsidRPr="00E77961">
        <w:rPr>
          <w:sz w:val="16"/>
          <w:szCs w:val="16"/>
          <w:lang w:val="es-AR"/>
        </w:rPr>
        <w:t xml:space="preserve"> </w:t>
      </w:r>
      <w:r w:rsidRPr="002570D1">
        <w:rPr>
          <w:sz w:val="16"/>
          <w:szCs w:val="16"/>
          <w:lang w:val="es-AR"/>
        </w:rPr>
        <w:t>de la Convención</w:t>
      </w:r>
      <w:r>
        <w:rPr>
          <w:sz w:val="16"/>
          <w:szCs w:val="16"/>
          <w:lang w:val="es-AR"/>
        </w:rPr>
        <w:t xml:space="preserve">, en sus incisos </w:t>
      </w:r>
      <w:r w:rsidRPr="002570D1">
        <w:rPr>
          <w:sz w:val="16"/>
          <w:szCs w:val="16"/>
          <w:lang w:val="es-AR"/>
        </w:rPr>
        <w:t>b) y d)</w:t>
      </w:r>
      <w:r>
        <w:rPr>
          <w:sz w:val="16"/>
          <w:szCs w:val="16"/>
          <w:lang w:val="es-AR"/>
        </w:rPr>
        <w:t xml:space="preserve">, </w:t>
      </w:r>
      <w:r w:rsidRPr="002570D1">
        <w:rPr>
          <w:sz w:val="16"/>
          <w:szCs w:val="16"/>
          <w:lang w:val="es-AR"/>
        </w:rPr>
        <w:t>establece que “[n]</w:t>
      </w:r>
      <w:proofErr w:type="spellStart"/>
      <w:r w:rsidRPr="002570D1">
        <w:rPr>
          <w:sz w:val="16"/>
          <w:szCs w:val="16"/>
          <w:lang w:val="es-AR"/>
        </w:rPr>
        <w:t>inguna</w:t>
      </w:r>
      <w:proofErr w:type="spellEnd"/>
      <w:r w:rsidRPr="002570D1">
        <w:rPr>
          <w:sz w:val="16"/>
          <w:szCs w:val="16"/>
          <w:lang w:val="es-AR"/>
        </w:rPr>
        <w:t xml:space="preserve"> disposición de la presente Convención puede ser interpretada en el sentido de: […] b) limitar el goce y ejercicio de cualquier derecho o libertad que pueda estar reconocido de acuerdo con las leyes de cualquiera de los Estados Partes o de acuerdo con otra convención en que sea parte uno de dichos Estados; […] d) excluir o limitar el efecto que puedan producir la Declaración Americana de Derechos y Deberes del Hombre y otros actos internacionales de la misma naturaleza”. </w:t>
      </w:r>
    </w:p>
    <w:p w14:paraId="092E30D9" w14:textId="690154E7" w:rsidR="003C025E" w:rsidRPr="002570D1" w:rsidRDefault="003C025E" w:rsidP="002570D1">
      <w:pPr>
        <w:pStyle w:val="FootnoteText"/>
        <w:rPr>
          <w:sz w:val="16"/>
          <w:szCs w:val="16"/>
          <w:lang w:val="es-AR"/>
        </w:rPr>
      </w:pPr>
      <w:r w:rsidRPr="002570D1">
        <w:rPr>
          <w:sz w:val="16"/>
          <w:szCs w:val="16"/>
          <w:lang w:val="es-AR"/>
        </w:rPr>
        <w:t>Es así que</w:t>
      </w:r>
      <w:r>
        <w:rPr>
          <w:sz w:val="16"/>
          <w:szCs w:val="16"/>
          <w:lang w:val="es-AR"/>
        </w:rPr>
        <w:t>,</w:t>
      </w:r>
      <w:r w:rsidRPr="002570D1">
        <w:rPr>
          <w:sz w:val="16"/>
          <w:szCs w:val="16"/>
          <w:lang w:val="es-AR"/>
        </w:rPr>
        <w:t xml:space="preserve"> conforme al referido artículo 29, el derecho a la salud reconocido por la Constitución de Chile se debe incorporar, para efectos del presente caso, a la interpretación y alcance del derecho tutelado en el artículo 26 de la Convención Americana.</w:t>
      </w:r>
    </w:p>
  </w:footnote>
  <w:footnote w:id="134">
    <w:p w14:paraId="4C14A3D0" w14:textId="0164D015" w:rsidR="003C025E" w:rsidRPr="006C53E7" w:rsidRDefault="003C025E" w:rsidP="002570D1">
      <w:pPr>
        <w:pStyle w:val="FootnoteText"/>
        <w:rPr>
          <w:sz w:val="16"/>
          <w:szCs w:val="16"/>
          <w:lang w:val="es-AR"/>
        </w:rPr>
      </w:pPr>
      <w:r w:rsidRPr="00662D92">
        <w:rPr>
          <w:rStyle w:val="FootnoteReference"/>
          <w:rFonts w:eastAsia="Calibri"/>
          <w:color w:val="000000"/>
          <w:sz w:val="16"/>
          <w:szCs w:val="16"/>
          <w:lang w:eastAsia="en-US"/>
        </w:rPr>
        <w:footnoteRef/>
      </w:r>
      <w:r w:rsidRPr="00662D92">
        <w:rPr>
          <w:rStyle w:val="FootnoteReference"/>
          <w:rFonts w:eastAsia="Calibri"/>
          <w:color w:val="000000"/>
          <w:sz w:val="16"/>
          <w:szCs w:val="16"/>
          <w:lang w:eastAsia="en-US"/>
        </w:rPr>
        <w:t xml:space="preserve"> </w:t>
      </w:r>
      <w:r w:rsidRPr="00662D92">
        <w:rPr>
          <w:sz w:val="16"/>
          <w:szCs w:val="16"/>
          <w:lang w:val="es-AR"/>
        </w:rPr>
        <w:tab/>
      </w:r>
      <w:r w:rsidRPr="009A6892">
        <w:rPr>
          <w:i/>
          <w:sz w:val="16"/>
          <w:szCs w:val="16"/>
          <w:lang w:val="es-AR"/>
        </w:rPr>
        <w:t>Cfr.</w:t>
      </w:r>
      <w:r w:rsidRPr="009A6892">
        <w:rPr>
          <w:sz w:val="16"/>
          <w:szCs w:val="16"/>
          <w:lang w:val="es-AR"/>
        </w:rPr>
        <w:t xml:space="preserve"> </w:t>
      </w:r>
      <w:r w:rsidRPr="00B1523A">
        <w:rPr>
          <w:i/>
          <w:sz w:val="16"/>
          <w:szCs w:val="16"/>
          <w:lang w:val="es-AR"/>
        </w:rPr>
        <w:t>Convención de Viena sobre Derechos de los Tratados de 1969</w:t>
      </w:r>
      <w:r w:rsidRPr="00B1523A">
        <w:rPr>
          <w:sz w:val="16"/>
          <w:szCs w:val="16"/>
          <w:lang w:val="es-CR" w:eastAsia="es-CR"/>
        </w:rPr>
        <w:t xml:space="preserve">, </w:t>
      </w:r>
      <w:r w:rsidRPr="00662D92">
        <w:rPr>
          <w:sz w:val="16"/>
          <w:szCs w:val="16"/>
          <w:lang w:val="es-CR"/>
        </w:rPr>
        <w:t xml:space="preserve">U.N. </w:t>
      </w:r>
      <w:proofErr w:type="spellStart"/>
      <w:r w:rsidRPr="00662D92">
        <w:rPr>
          <w:sz w:val="16"/>
          <w:szCs w:val="16"/>
          <w:lang w:val="es-CR"/>
        </w:rPr>
        <w:t>Doc</w:t>
      </w:r>
      <w:proofErr w:type="spellEnd"/>
      <w:r w:rsidRPr="00662D92">
        <w:rPr>
          <w:sz w:val="16"/>
          <w:szCs w:val="16"/>
          <w:lang w:val="es-CR"/>
        </w:rPr>
        <w:t xml:space="preserve"> A/CONF.39/27 (1969), 1155 U.N.T.S. 331</w:t>
      </w:r>
      <w:r w:rsidRPr="00662D92">
        <w:rPr>
          <w:sz w:val="16"/>
          <w:szCs w:val="16"/>
          <w:lang w:val="es-AR"/>
        </w:rPr>
        <w:t>. Entrada en vigor el 27 de enero de 1980. V</w:t>
      </w:r>
      <w:r w:rsidRPr="009A6892">
        <w:rPr>
          <w:sz w:val="16"/>
          <w:szCs w:val="16"/>
          <w:lang w:val="es-AR"/>
        </w:rPr>
        <w:t>éanse también</w:t>
      </w:r>
      <w:r w:rsidRPr="00662D92">
        <w:rPr>
          <w:sz w:val="16"/>
          <w:szCs w:val="16"/>
          <w:lang w:val="es-AR"/>
        </w:rPr>
        <w:t xml:space="preserve"> las reglas generales de interpretación</w:t>
      </w:r>
      <w:r w:rsidRPr="009A6892">
        <w:rPr>
          <w:sz w:val="16"/>
          <w:szCs w:val="16"/>
          <w:lang w:val="es-AR"/>
        </w:rPr>
        <w:t xml:space="preserve"> establecidas en los </w:t>
      </w:r>
      <w:r w:rsidRPr="009547CB">
        <w:rPr>
          <w:i/>
          <w:sz w:val="16"/>
          <w:szCs w:val="16"/>
          <w:lang w:val="es-AR"/>
        </w:rPr>
        <w:t>Principio</w:t>
      </w:r>
      <w:r w:rsidRPr="001445DA">
        <w:rPr>
          <w:i/>
          <w:sz w:val="16"/>
          <w:szCs w:val="16"/>
          <w:lang w:val="es-AR"/>
        </w:rPr>
        <w:t>s</w:t>
      </w:r>
      <w:r w:rsidRPr="007C6211">
        <w:rPr>
          <w:i/>
          <w:sz w:val="16"/>
          <w:szCs w:val="16"/>
          <w:lang w:val="es-AR"/>
        </w:rPr>
        <w:t xml:space="preserve"> de Limburgo</w:t>
      </w:r>
      <w:r w:rsidRPr="00B1523A">
        <w:rPr>
          <w:i/>
          <w:sz w:val="16"/>
          <w:szCs w:val="16"/>
          <w:lang w:val="es-AR"/>
        </w:rPr>
        <w:t xml:space="preserve">, </w:t>
      </w:r>
      <w:r w:rsidRPr="00B1523A">
        <w:rPr>
          <w:i/>
          <w:sz w:val="16"/>
          <w:szCs w:val="16"/>
          <w:lang w:val="es-CR"/>
        </w:rPr>
        <w:t>relativos a la aplicación del Pacto Internacional de Derechos Económicos, Sociales y Culturales,</w:t>
      </w:r>
      <w:r w:rsidRPr="00662D92">
        <w:rPr>
          <w:sz w:val="16"/>
          <w:szCs w:val="16"/>
          <w:lang w:val="es-CR"/>
        </w:rPr>
        <w:t xml:space="preserve"> </w:t>
      </w:r>
      <w:r w:rsidRPr="00662D92">
        <w:rPr>
          <w:sz w:val="16"/>
          <w:szCs w:val="16"/>
          <w:lang w:val="es-AR"/>
        </w:rPr>
        <w:t>anteriores a la Observación G</w:t>
      </w:r>
      <w:r w:rsidRPr="009A6892">
        <w:rPr>
          <w:sz w:val="16"/>
          <w:szCs w:val="16"/>
          <w:lang w:val="es-AR"/>
        </w:rPr>
        <w:t>eneral No.</w:t>
      </w:r>
      <w:r w:rsidRPr="001445DA">
        <w:rPr>
          <w:sz w:val="16"/>
          <w:szCs w:val="16"/>
          <w:lang w:val="es-AR"/>
        </w:rPr>
        <w:t xml:space="preserve"> </w:t>
      </w:r>
      <w:r w:rsidRPr="007C6211">
        <w:rPr>
          <w:sz w:val="16"/>
          <w:szCs w:val="16"/>
          <w:lang w:val="es-AR"/>
        </w:rPr>
        <w:t xml:space="preserve">3 del Comité de Derechos Económicos, Sociales y Culturales sobre la índole de las obligaciones de los Estados Partes </w:t>
      </w:r>
      <w:r w:rsidRPr="00AA7440">
        <w:rPr>
          <w:sz w:val="16"/>
          <w:szCs w:val="16"/>
          <w:lang w:val="es-AR"/>
        </w:rPr>
        <w:t xml:space="preserve">en general, </w:t>
      </w:r>
      <w:r w:rsidRPr="00BD2E79">
        <w:rPr>
          <w:sz w:val="16"/>
          <w:szCs w:val="16"/>
          <w:lang w:val="es-AR"/>
        </w:rPr>
        <w:t>los cuales en su Principio 4 establece</w:t>
      </w:r>
      <w:r w:rsidRPr="00DF233B">
        <w:rPr>
          <w:sz w:val="16"/>
          <w:szCs w:val="16"/>
          <w:lang w:val="es-AR"/>
        </w:rPr>
        <w:t>n: “</w:t>
      </w:r>
      <w:r w:rsidRPr="004C2823">
        <w:rPr>
          <w:sz w:val="16"/>
          <w:szCs w:val="16"/>
          <w:lang w:val="es-AR"/>
        </w:rPr>
        <w:t>[c]</w:t>
      </w:r>
      <w:proofErr w:type="spellStart"/>
      <w:r w:rsidRPr="004C2823">
        <w:rPr>
          <w:sz w:val="16"/>
          <w:szCs w:val="16"/>
          <w:lang w:val="es-AR"/>
        </w:rPr>
        <w:t>onforme</w:t>
      </w:r>
      <w:proofErr w:type="spellEnd"/>
      <w:r w:rsidRPr="004C2823">
        <w:rPr>
          <w:sz w:val="16"/>
          <w:szCs w:val="16"/>
          <w:lang w:val="es-AR"/>
        </w:rPr>
        <w:t xml:space="preserve"> a la Convención de Viena sobre el Derecho de los Tratados, el Pacto Internacional de Derechos Económicos, Sociales y Culturales  debería interpretarse de buena </w:t>
      </w:r>
      <w:r w:rsidRPr="006C53E7">
        <w:rPr>
          <w:sz w:val="16"/>
          <w:szCs w:val="16"/>
          <w:lang w:val="es-AR"/>
        </w:rPr>
        <w:t xml:space="preserve">fe, teniendo en cuenta el objetivo y propósito, el sentido ordinario, el trabajo preparatorio y la práctica pertinente”. </w:t>
      </w:r>
    </w:p>
  </w:footnote>
  <w:footnote w:id="135">
    <w:p w14:paraId="4EDD3821" w14:textId="7F938A14" w:rsidR="003C025E" w:rsidRPr="002570D1" w:rsidRDefault="003C025E" w:rsidP="002570D1">
      <w:pPr>
        <w:pStyle w:val="FootnoteText"/>
        <w:rPr>
          <w:sz w:val="16"/>
          <w:szCs w:val="16"/>
          <w:lang w:val="es-AR"/>
        </w:rPr>
      </w:pPr>
      <w:r w:rsidRPr="002570D1">
        <w:rPr>
          <w:rStyle w:val="FootnoteReference"/>
          <w:rFonts w:eastAsia="Calibri"/>
          <w:color w:val="000000"/>
          <w:sz w:val="16"/>
          <w:szCs w:val="16"/>
          <w:lang w:eastAsia="en-US"/>
        </w:rPr>
        <w:footnoteRef/>
      </w:r>
      <w:r>
        <w:rPr>
          <w:sz w:val="16"/>
          <w:szCs w:val="16"/>
          <w:lang w:val="es-AR"/>
        </w:rPr>
        <w:t xml:space="preserve"> </w:t>
      </w:r>
      <w:r>
        <w:rPr>
          <w:sz w:val="16"/>
          <w:szCs w:val="16"/>
          <w:lang w:val="es-AR"/>
        </w:rPr>
        <w:tab/>
      </w:r>
      <w:r w:rsidRPr="00713D68">
        <w:rPr>
          <w:i/>
          <w:sz w:val="16"/>
          <w:szCs w:val="16"/>
          <w:lang w:val="es-AR"/>
        </w:rPr>
        <w:t xml:space="preserve">Inter </w:t>
      </w:r>
      <w:proofErr w:type="spellStart"/>
      <w:r w:rsidRPr="00713D68">
        <w:rPr>
          <w:i/>
          <w:sz w:val="16"/>
          <w:szCs w:val="16"/>
          <w:lang w:val="es-AR"/>
        </w:rPr>
        <w:t>alia</w:t>
      </w:r>
      <w:proofErr w:type="spellEnd"/>
      <w:r>
        <w:rPr>
          <w:sz w:val="16"/>
          <w:szCs w:val="16"/>
          <w:lang w:val="es-AR"/>
        </w:rPr>
        <w:t xml:space="preserve">, </w:t>
      </w:r>
      <w:r w:rsidRPr="004A1B76">
        <w:rPr>
          <w:i/>
          <w:sz w:val="16"/>
          <w:szCs w:val="16"/>
          <w:lang w:val="es-AR"/>
        </w:rPr>
        <w:t xml:space="preserve">Cfr. El derecho a la información sobre la asistencia consular en el marco de las garantías del debido proceso legal. </w:t>
      </w:r>
      <w:r w:rsidRPr="004A1B76">
        <w:rPr>
          <w:sz w:val="16"/>
          <w:szCs w:val="16"/>
          <w:lang w:val="es-AR"/>
        </w:rPr>
        <w:t>Opinión Consultiva OC-16/99 de 1 de octubre de 1999. Serie A No. 16, párr. 115;</w:t>
      </w:r>
      <w:r w:rsidRPr="002570D1">
        <w:rPr>
          <w:sz w:val="16"/>
          <w:szCs w:val="16"/>
          <w:lang w:val="es-AR"/>
        </w:rPr>
        <w:t xml:space="preserve"> </w:t>
      </w:r>
      <w:r w:rsidRPr="00713D68">
        <w:rPr>
          <w:i/>
          <w:sz w:val="16"/>
          <w:szCs w:val="16"/>
          <w:lang w:val="es-AR"/>
        </w:rPr>
        <w:t>Caso González y otras (“Campo Algodonero”) Vs. México. Excepción Preliminar, Fondo, Reparaciones y Costas.</w:t>
      </w:r>
      <w:r w:rsidRPr="00713D68">
        <w:rPr>
          <w:sz w:val="16"/>
          <w:szCs w:val="16"/>
          <w:lang w:val="es-AR"/>
        </w:rPr>
        <w:t xml:space="preserve"> Sentencia de 16 de nov</w:t>
      </w:r>
      <w:r>
        <w:rPr>
          <w:sz w:val="16"/>
          <w:szCs w:val="16"/>
          <w:lang w:val="es-AR"/>
        </w:rPr>
        <w:t xml:space="preserve">iembre de 2009. Serie C No. 205, </w:t>
      </w:r>
      <w:proofErr w:type="spellStart"/>
      <w:r>
        <w:rPr>
          <w:sz w:val="16"/>
          <w:szCs w:val="16"/>
          <w:lang w:val="es-AR"/>
        </w:rPr>
        <w:t>párrs</w:t>
      </w:r>
      <w:proofErr w:type="spellEnd"/>
      <w:r>
        <w:rPr>
          <w:sz w:val="16"/>
          <w:szCs w:val="16"/>
          <w:lang w:val="es-AR"/>
        </w:rPr>
        <w:t xml:space="preserve">. 32, 43 y 59; </w:t>
      </w:r>
      <w:r w:rsidRPr="002570D1">
        <w:rPr>
          <w:i/>
          <w:sz w:val="16"/>
          <w:szCs w:val="16"/>
          <w:lang w:val="es-AR"/>
        </w:rPr>
        <w:t xml:space="preserve">Caso </w:t>
      </w:r>
      <w:proofErr w:type="spellStart"/>
      <w:r w:rsidRPr="002570D1">
        <w:rPr>
          <w:i/>
          <w:sz w:val="16"/>
          <w:szCs w:val="16"/>
          <w:lang w:val="es-AR"/>
        </w:rPr>
        <w:t>Atala</w:t>
      </w:r>
      <w:proofErr w:type="spellEnd"/>
      <w:r w:rsidRPr="002570D1">
        <w:rPr>
          <w:i/>
          <w:sz w:val="16"/>
          <w:szCs w:val="16"/>
          <w:lang w:val="es-AR"/>
        </w:rPr>
        <w:t xml:space="preserve"> </w:t>
      </w:r>
      <w:proofErr w:type="spellStart"/>
      <w:r w:rsidRPr="002570D1">
        <w:rPr>
          <w:i/>
          <w:sz w:val="16"/>
          <w:szCs w:val="16"/>
          <w:lang w:val="es-AR"/>
        </w:rPr>
        <w:t>Riffo</w:t>
      </w:r>
      <w:proofErr w:type="spellEnd"/>
      <w:r w:rsidRPr="002570D1">
        <w:rPr>
          <w:i/>
          <w:sz w:val="16"/>
          <w:szCs w:val="16"/>
          <w:lang w:val="es-AR"/>
        </w:rPr>
        <w:t xml:space="preserve"> y niñas Vs. Chile. Fondo, Reparaciones y Costas</w:t>
      </w:r>
      <w:r w:rsidRPr="002570D1">
        <w:rPr>
          <w:sz w:val="16"/>
          <w:szCs w:val="16"/>
          <w:lang w:val="es-AR"/>
        </w:rPr>
        <w:t xml:space="preserve">. Sentencia de 24 de febrero de 2012. Serie C No. 239, párr. 83; </w:t>
      </w:r>
      <w:r>
        <w:rPr>
          <w:sz w:val="16"/>
          <w:szCs w:val="16"/>
          <w:lang w:val="es-AR"/>
        </w:rPr>
        <w:t>y</w:t>
      </w:r>
      <w:r w:rsidRPr="002570D1">
        <w:rPr>
          <w:sz w:val="16"/>
          <w:szCs w:val="16"/>
          <w:lang w:val="es-AR"/>
        </w:rPr>
        <w:t xml:space="preserve"> </w:t>
      </w:r>
      <w:r w:rsidRPr="00B1523A">
        <w:rPr>
          <w:i/>
          <w:sz w:val="16"/>
          <w:szCs w:val="16"/>
          <w:lang w:val="es-AR"/>
        </w:rPr>
        <w:t>"Otros Tratados". Objeto de la Función Consultiva de la Corte (art. 64 Convención Americana sobre Derechos Humanos).</w:t>
      </w:r>
      <w:r w:rsidRPr="00417925">
        <w:rPr>
          <w:sz w:val="16"/>
          <w:szCs w:val="16"/>
          <w:lang w:val="es-AR"/>
        </w:rPr>
        <w:t xml:space="preserve"> </w:t>
      </w:r>
      <w:r w:rsidRPr="00B1523A">
        <w:rPr>
          <w:i/>
          <w:sz w:val="16"/>
          <w:szCs w:val="16"/>
          <w:lang w:val="es-AR"/>
        </w:rPr>
        <w:t>Opinión Consultiva OC-1/82</w:t>
      </w:r>
      <w:r w:rsidRPr="00417925">
        <w:rPr>
          <w:sz w:val="16"/>
          <w:szCs w:val="16"/>
          <w:lang w:val="es-AR"/>
        </w:rPr>
        <w:t xml:space="preserve"> de 24 de setiembre de 1982. Serie A No. 1</w:t>
      </w:r>
      <w:r>
        <w:rPr>
          <w:sz w:val="16"/>
          <w:szCs w:val="16"/>
          <w:lang w:val="es-AR"/>
        </w:rPr>
        <w:t>,</w:t>
      </w:r>
      <w:r w:rsidRPr="002570D1">
        <w:rPr>
          <w:sz w:val="16"/>
          <w:szCs w:val="16"/>
          <w:lang w:val="es-AR"/>
        </w:rPr>
        <w:t xml:space="preserve"> párr. 41.</w:t>
      </w:r>
    </w:p>
  </w:footnote>
  <w:footnote w:id="136">
    <w:p w14:paraId="17BF3477" w14:textId="7F4F2722" w:rsidR="003C025E" w:rsidRPr="000B0D9C" w:rsidRDefault="003C025E" w:rsidP="002570D1">
      <w:pPr>
        <w:pStyle w:val="FootnoteText"/>
        <w:rPr>
          <w:sz w:val="16"/>
          <w:szCs w:val="16"/>
          <w:lang w:val="es-AR"/>
        </w:rPr>
      </w:pPr>
      <w:r w:rsidRPr="002570D1">
        <w:rPr>
          <w:rStyle w:val="FootnoteReference"/>
          <w:color w:val="000000"/>
          <w:sz w:val="16"/>
          <w:szCs w:val="16"/>
        </w:rPr>
        <w:footnoteRef/>
      </w:r>
      <w:r w:rsidRPr="002570D1">
        <w:rPr>
          <w:sz w:val="16"/>
          <w:szCs w:val="16"/>
          <w:lang w:val="es-AR"/>
        </w:rPr>
        <w:t xml:space="preserve"> </w:t>
      </w:r>
      <w:r>
        <w:rPr>
          <w:sz w:val="16"/>
          <w:szCs w:val="16"/>
          <w:lang w:val="es-AR"/>
        </w:rPr>
        <w:tab/>
      </w:r>
      <w:r w:rsidRPr="000B0D9C">
        <w:rPr>
          <w:i/>
          <w:sz w:val="16"/>
          <w:szCs w:val="16"/>
          <w:lang w:val="es-AR"/>
        </w:rPr>
        <w:t xml:space="preserve">Cfr. </w:t>
      </w:r>
      <w:r w:rsidRPr="000B0D9C">
        <w:rPr>
          <w:sz w:val="16"/>
          <w:szCs w:val="16"/>
          <w:lang w:val="es-AR"/>
        </w:rPr>
        <w:t xml:space="preserve">ONU, Comité de Derechos Económicos, Sociales y Culturales, </w:t>
      </w:r>
      <w:r w:rsidRPr="00B1523A">
        <w:rPr>
          <w:i/>
          <w:sz w:val="16"/>
          <w:szCs w:val="16"/>
          <w:lang w:val="es-AR"/>
        </w:rPr>
        <w:t>Observación General No. 14</w:t>
      </w:r>
      <w:r w:rsidRPr="000B0D9C">
        <w:rPr>
          <w:i/>
          <w:sz w:val="16"/>
          <w:szCs w:val="16"/>
          <w:lang w:val="es-AR"/>
        </w:rPr>
        <w:t xml:space="preserve">: </w:t>
      </w:r>
      <w:r w:rsidRPr="00B1523A">
        <w:rPr>
          <w:i/>
          <w:sz w:val="16"/>
          <w:szCs w:val="16"/>
        </w:rPr>
        <w:t>El derecho al disfrute del más alto nivel posible de salud</w:t>
      </w:r>
      <w:r w:rsidRPr="000B0D9C">
        <w:rPr>
          <w:i/>
          <w:sz w:val="16"/>
          <w:szCs w:val="16"/>
          <w:lang w:val="es-AR"/>
        </w:rPr>
        <w:t xml:space="preserve">, </w:t>
      </w:r>
      <w:r w:rsidRPr="000B0D9C">
        <w:rPr>
          <w:sz w:val="16"/>
          <w:szCs w:val="16"/>
          <w:lang w:val="es-CR"/>
        </w:rPr>
        <w:t xml:space="preserve">E/C.12/2000/4, 11 de agosto de 2000, </w:t>
      </w:r>
      <w:r w:rsidRPr="000B0D9C">
        <w:rPr>
          <w:sz w:val="16"/>
          <w:szCs w:val="16"/>
          <w:lang w:val="es-AR"/>
        </w:rPr>
        <w:t xml:space="preserve">párr. 31. </w:t>
      </w:r>
    </w:p>
  </w:footnote>
  <w:footnote w:id="137">
    <w:p w14:paraId="1D4C70FB" w14:textId="688AA302" w:rsidR="003C025E" w:rsidRPr="00FF6422" w:rsidRDefault="003C025E" w:rsidP="002570D1">
      <w:pPr>
        <w:pStyle w:val="FootnoteText"/>
        <w:rPr>
          <w:sz w:val="16"/>
          <w:szCs w:val="16"/>
          <w:lang w:val="es-CR"/>
        </w:rPr>
      </w:pPr>
      <w:r w:rsidRPr="00FF6422">
        <w:rPr>
          <w:rStyle w:val="FootnoteReference"/>
          <w:color w:val="000000"/>
          <w:sz w:val="16"/>
          <w:szCs w:val="16"/>
        </w:rPr>
        <w:footnoteRef/>
      </w:r>
      <w:r w:rsidRPr="003D366C">
        <w:rPr>
          <w:sz w:val="16"/>
          <w:szCs w:val="16"/>
          <w:lang w:val="es-CR"/>
        </w:rPr>
        <w:t xml:space="preserve"> </w:t>
      </w:r>
      <w:r w:rsidRPr="003D366C">
        <w:rPr>
          <w:sz w:val="16"/>
          <w:szCs w:val="16"/>
          <w:lang w:val="es-CR"/>
        </w:rPr>
        <w:tab/>
      </w:r>
      <w:r w:rsidRPr="00B1523A">
        <w:rPr>
          <w:i/>
          <w:sz w:val="16"/>
          <w:szCs w:val="16"/>
          <w:lang w:val="es-CR"/>
        </w:rPr>
        <w:t>Cfr.</w:t>
      </w:r>
      <w:r w:rsidRPr="00FF6422">
        <w:rPr>
          <w:sz w:val="16"/>
          <w:szCs w:val="16"/>
          <w:lang w:val="es-CR"/>
        </w:rPr>
        <w:t xml:space="preserve"> </w:t>
      </w:r>
      <w:r w:rsidRPr="003D366C">
        <w:rPr>
          <w:i/>
          <w:sz w:val="16"/>
          <w:szCs w:val="16"/>
          <w:lang w:val="es-CR"/>
        </w:rPr>
        <w:t>Caso Acevedo Buendía y otros (“Cesantes y Jubilados de la Contraloría”) Vs. Perú</w:t>
      </w:r>
      <w:r w:rsidRPr="003D366C">
        <w:rPr>
          <w:sz w:val="16"/>
          <w:szCs w:val="16"/>
          <w:lang w:val="es-CR"/>
        </w:rPr>
        <w:t xml:space="preserve">, </w:t>
      </w:r>
      <w:r w:rsidRPr="00B1523A">
        <w:rPr>
          <w:i/>
          <w:sz w:val="16"/>
          <w:szCs w:val="16"/>
          <w:lang w:val="es-CR"/>
        </w:rPr>
        <w:t>supra</w:t>
      </w:r>
      <w:r w:rsidRPr="00FF6422">
        <w:rPr>
          <w:sz w:val="16"/>
          <w:szCs w:val="16"/>
          <w:lang w:val="es-CR"/>
        </w:rPr>
        <w:t xml:space="preserve">, </w:t>
      </w:r>
      <w:proofErr w:type="spellStart"/>
      <w:r w:rsidRPr="003D366C">
        <w:rPr>
          <w:sz w:val="16"/>
          <w:szCs w:val="16"/>
          <w:lang w:val="es-CR"/>
        </w:rPr>
        <w:t>párrs</w:t>
      </w:r>
      <w:proofErr w:type="spellEnd"/>
      <w:r w:rsidRPr="003D366C">
        <w:rPr>
          <w:sz w:val="16"/>
          <w:szCs w:val="16"/>
          <w:lang w:val="es-CR"/>
        </w:rPr>
        <w:t xml:space="preserve">. 102, 103. Véanse también: “Grupo de Trabajo para el Análisis de los Informes Nacionales previstos en el Protocolo de San Salvador”. </w:t>
      </w:r>
      <w:r>
        <w:rPr>
          <w:sz w:val="16"/>
          <w:szCs w:val="16"/>
          <w:lang w:val="es-CR"/>
        </w:rPr>
        <w:t>Inicialmente, e</w:t>
      </w:r>
      <w:r w:rsidRPr="003D366C">
        <w:rPr>
          <w:sz w:val="16"/>
          <w:szCs w:val="16"/>
          <w:lang w:val="es-CR"/>
        </w:rPr>
        <w:t xml:space="preserve">l Grupo de Trabajo elaboró el </w:t>
      </w:r>
      <w:r>
        <w:rPr>
          <w:sz w:val="16"/>
          <w:szCs w:val="16"/>
          <w:lang w:val="es-CR"/>
        </w:rPr>
        <w:t>D</w:t>
      </w:r>
      <w:r w:rsidRPr="003D366C">
        <w:rPr>
          <w:sz w:val="16"/>
          <w:szCs w:val="16"/>
          <w:lang w:val="es-CR"/>
        </w:rPr>
        <w:t>ocumento “Indicadores de progreso para medición de derechos contemplados en el Protocolo de San Salvador”</w:t>
      </w:r>
      <w:r w:rsidRPr="00B1523A">
        <w:rPr>
          <w:sz w:val="16"/>
          <w:szCs w:val="16"/>
          <w:lang w:val="es-CR" w:eastAsia="es-CR"/>
        </w:rPr>
        <w:t xml:space="preserve">, </w:t>
      </w:r>
      <w:r w:rsidRPr="00FF6422">
        <w:rPr>
          <w:sz w:val="16"/>
          <w:szCs w:val="16"/>
          <w:lang w:val="es-CR"/>
        </w:rPr>
        <w:t>OEA/</w:t>
      </w:r>
      <w:proofErr w:type="spellStart"/>
      <w:r w:rsidRPr="00FF6422">
        <w:rPr>
          <w:sz w:val="16"/>
          <w:szCs w:val="16"/>
          <w:lang w:val="es-CR"/>
        </w:rPr>
        <w:t>Ser.L</w:t>
      </w:r>
      <w:proofErr w:type="spellEnd"/>
      <w:r w:rsidRPr="00FF6422">
        <w:rPr>
          <w:sz w:val="16"/>
          <w:szCs w:val="16"/>
          <w:lang w:val="es-CR"/>
        </w:rPr>
        <w:t>/XXV</w:t>
      </w:r>
      <w:r w:rsidRPr="003D366C">
        <w:rPr>
          <w:sz w:val="16"/>
          <w:szCs w:val="16"/>
          <w:lang w:val="es-CR"/>
        </w:rPr>
        <w:t>.2.1; GT/PSS/doc.2/11 rev.2, de 16 diciembre 2011, realizado con base en las Normas y Lineamientos presentados por la C</w:t>
      </w:r>
      <w:r w:rsidRPr="005D3C07">
        <w:rPr>
          <w:sz w:val="16"/>
          <w:szCs w:val="16"/>
          <w:lang w:val="es-CR"/>
        </w:rPr>
        <w:t>omisión Interamericana de Derechos Humanos. Elevado a consulta a los Estados y la sociedad civil y aprobado por la Asamblea General en su XLII Período de Sesiones O</w:t>
      </w:r>
      <w:r w:rsidRPr="004041EE">
        <w:rPr>
          <w:sz w:val="16"/>
          <w:szCs w:val="16"/>
          <w:lang w:val="es-CR"/>
        </w:rPr>
        <w:t>rdinarias celebrado</w:t>
      </w:r>
      <w:r w:rsidRPr="00AA7440">
        <w:rPr>
          <w:sz w:val="16"/>
          <w:szCs w:val="16"/>
          <w:lang w:val="es-CR"/>
        </w:rPr>
        <w:t xml:space="preserve"> en Cochabamba, Bolivia, en junio de 2012 (AG/RES. 2713 (XLII-O/12)</w:t>
      </w:r>
      <w:r>
        <w:rPr>
          <w:sz w:val="16"/>
          <w:szCs w:val="16"/>
          <w:lang w:val="es-CR"/>
        </w:rPr>
        <w:t>. En dicha ocasión se abordaron los derechos a la seguridad social, a la salud y a la educación (</w:t>
      </w:r>
      <w:proofErr w:type="spellStart"/>
      <w:r>
        <w:rPr>
          <w:sz w:val="16"/>
          <w:szCs w:val="16"/>
          <w:lang w:val="es-CR"/>
        </w:rPr>
        <w:t>pag</w:t>
      </w:r>
      <w:proofErr w:type="spellEnd"/>
      <w:r>
        <w:rPr>
          <w:sz w:val="16"/>
          <w:szCs w:val="16"/>
          <w:lang w:val="es-CR"/>
        </w:rPr>
        <w:t>. 13)</w:t>
      </w:r>
      <w:r w:rsidRPr="00AA7440">
        <w:rPr>
          <w:sz w:val="16"/>
          <w:szCs w:val="16"/>
          <w:lang w:val="es-CR"/>
        </w:rPr>
        <w:t>.</w:t>
      </w:r>
      <w:r w:rsidRPr="00AA7440">
        <w:rPr>
          <w:sz w:val="16"/>
          <w:szCs w:val="16"/>
          <w:lang w:val="es-AR" w:eastAsia="es-CR"/>
        </w:rPr>
        <w:t xml:space="preserve"> Posteriormente, </w:t>
      </w:r>
      <w:r>
        <w:rPr>
          <w:sz w:val="16"/>
          <w:szCs w:val="16"/>
          <w:lang w:val="es-AR" w:eastAsia="es-CR"/>
        </w:rPr>
        <w:t>tras</w:t>
      </w:r>
      <w:r w:rsidRPr="00AA7440">
        <w:rPr>
          <w:sz w:val="16"/>
          <w:szCs w:val="16"/>
          <w:lang w:val="es-AR" w:eastAsia="es-CR"/>
        </w:rPr>
        <w:t xml:space="preserve"> un segundo agrupamiento de derechos, el </w:t>
      </w:r>
      <w:r w:rsidRPr="00AA7440">
        <w:rPr>
          <w:sz w:val="16"/>
          <w:szCs w:val="16"/>
          <w:lang w:val="es-AR"/>
        </w:rPr>
        <w:t xml:space="preserve">Grupo de Trabajo </w:t>
      </w:r>
      <w:r w:rsidRPr="00AA7440">
        <w:rPr>
          <w:sz w:val="16"/>
          <w:szCs w:val="16"/>
          <w:lang w:val="es-AR" w:eastAsia="es-CR"/>
        </w:rPr>
        <w:t>e</w:t>
      </w:r>
      <w:r>
        <w:rPr>
          <w:sz w:val="16"/>
          <w:szCs w:val="16"/>
          <w:lang w:val="es-AR" w:eastAsia="es-CR"/>
        </w:rPr>
        <w:t>miti</w:t>
      </w:r>
      <w:r w:rsidRPr="005B1698">
        <w:rPr>
          <w:sz w:val="16"/>
          <w:szCs w:val="16"/>
          <w:lang w:val="es-AR" w:eastAsia="es-CR"/>
        </w:rPr>
        <w:t xml:space="preserve">ó </w:t>
      </w:r>
      <w:r>
        <w:rPr>
          <w:sz w:val="16"/>
          <w:szCs w:val="16"/>
          <w:lang w:val="es-AR" w:eastAsia="es-CR"/>
        </w:rPr>
        <w:t xml:space="preserve">los </w:t>
      </w:r>
      <w:r w:rsidRPr="005B1698">
        <w:rPr>
          <w:sz w:val="16"/>
          <w:szCs w:val="16"/>
          <w:lang w:val="es-AR" w:eastAsia="es-CR"/>
        </w:rPr>
        <w:t>“</w:t>
      </w:r>
      <w:r w:rsidRPr="005B1698">
        <w:rPr>
          <w:sz w:val="16"/>
          <w:szCs w:val="16"/>
          <w:lang w:val="es-AR"/>
        </w:rPr>
        <w:t xml:space="preserve">Indicadores de progreso para la medición de derechos contemplados en el Protocolo </w:t>
      </w:r>
      <w:r w:rsidRPr="00BD2E79">
        <w:rPr>
          <w:sz w:val="16"/>
          <w:szCs w:val="16"/>
          <w:lang w:val="es-AR"/>
        </w:rPr>
        <w:t>Adicional a la Convención Americana sobre Derechos Humanos en materia de derechos económicos, sociales y culturales “Protocolo de San Salvador – Segundo agrupamiento de derechos”</w:t>
      </w:r>
      <w:r w:rsidRPr="0004360F">
        <w:rPr>
          <w:sz w:val="16"/>
          <w:szCs w:val="16"/>
          <w:lang w:val="es-CR"/>
        </w:rPr>
        <w:t xml:space="preserve">, </w:t>
      </w:r>
      <w:r w:rsidRPr="00B1566A">
        <w:rPr>
          <w:sz w:val="16"/>
          <w:szCs w:val="16"/>
          <w:lang w:val="es-CR"/>
        </w:rPr>
        <w:t>OEA/</w:t>
      </w:r>
      <w:proofErr w:type="spellStart"/>
      <w:r w:rsidRPr="00B1566A">
        <w:rPr>
          <w:sz w:val="16"/>
          <w:szCs w:val="16"/>
          <w:lang w:val="es-CR"/>
        </w:rPr>
        <w:t>Ser.L</w:t>
      </w:r>
      <w:proofErr w:type="spellEnd"/>
      <w:r w:rsidRPr="00B1566A">
        <w:rPr>
          <w:sz w:val="16"/>
          <w:szCs w:val="16"/>
          <w:lang w:val="es-CR"/>
        </w:rPr>
        <w:t>/XXV.2.1 GT/PSS/doc.9/13</w:t>
      </w:r>
      <w:r w:rsidRPr="000C1FFD">
        <w:rPr>
          <w:sz w:val="16"/>
          <w:szCs w:val="16"/>
          <w:lang w:val="es-CR"/>
        </w:rPr>
        <w:t>,</w:t>
      </w:r>
      <w:r w:rsidRPr="00FF6422">
        <w:rPr>
          <w:sz w:val="16"/>
          <w:szCs w:val="16"/>
          <w:lang w:val="es-CR"/>
        </w:rPr>
        <w:t xml:space="preserve"> aprobados por la Asamblea General de la OEA mediante la Resolución AG/RES. 2823 (XLIV-O/14), en la Segunda Sesión Plenaria de 4 de junio de 2014.</w:t>
      </w:r>
      <w:r w:rsidRPr="00B1523A">
        <w:rPr>
          <w:sz w:val="16"/>
          <w:szCs w:val="16"/>
          <w:lang w:val="es-CR" w:eastAsia="es-CR"/>
        </w:rPr>
        <w:t xml:space="preserve"> Finalmente, </w:t>
      </w:r>
      <w:r w:rsidRPr="00FF6422">
        <w:rPr>
          <w:sz w:val="16"/>
          <w:szCs w:val="16"/>
          <w:lang w:val="es-CR" w:eastAsia="es-CR"/>
        </w:rPr>
        <w:t>en 2015</w:t>
      </w:r>
      <w:r w:rsidRPr="003D366C">
        <w:rPr>
          <w:sz w:val="16"/>
          <w:szCs w:val="16"/>
          <w:lang w:val="es-CR" w:eastAsia="es-CR"/>
        </w:rPr>
        <w:t>, el Grupo de Trabajo i</w:t>
      </w:r>
      <w:proofErr w:type="spellStart"/>
      <w:r w:rsidRPr="00B1523A">
        <w:rPr>
          <w:sz w:val="16"/>
          <w:szCs w:val="16"/>
        </w:rPr>
        <w:t>ncorporó</w:t>
      </w:r>
      <w:proofErr w:type="spellEnd"/>
      <w:r w:rsidRPr="00B1523A">
        <w:rPr>
          <w:sz w:val="16"/>
          <w:szCs w:val="16"/>
        </w:rPr>
        <w:t xml:space="preserve"> ambos agrupamientos de derechos y fueron publicados bajo el título conjunto: “Indicadores de progreso para la medición de derechos contemplados en el Protocolo de San Salvador”</w:t>
      </w:r>
      <w:r w:rsidRPr="00FF6422">
        <w:rPr>
          <w:sz w:val="16"/>
          <w:szCs w:val="16"/>
          <w:lang w:val="es-CR"/>
        </w:rPr>
        <w:t xml:space="preserve">, </w:t>
      </w:r>
      <w:r w:rsidRPr="00B1523A">
        <w:rPr>
          <w:sz w:val="16"/>
          <w:szCs w:val="16"/>
        </w:rPr>
        <w:t>OEA/</w:t>
      </w:r>
      <w:proofErr w:type="spellStart"/>
      <w:r w:rsidRPr="00B1523A">
        <w:rPr>
          <w:sz w:val="16"/>
          <w:szCs w:val="16"/>
        </w:rPr>
        <w:t>Ser.D</w:t>
      </w:r>
      <w:proofErr w:type="spellEnd"/>
      <w:r w:rsidRPr="00B1523A">
        <w:rPr>
          <w:sz w:val="16"/>
          <w:szCs w:val="16"/>
        </w:rPr>
        <w:t>/XXVI.11 (2015)</w:t>
      </w:r>
      <w:r>
        <w:rPr>
          <w:sz w:val="16"/>
          <w:szCs w:val="16"/>
        </w:rPr>
        <w:t>. En esta ocasión se abordaron los derechos al trabajo y derechos sindicales, a la alimentación adecuada, al medio ambiente sano, y a los beneficios de la cultura (pág. 75)</w:t>
      </w:r>
      <w:r w:rsidRPr="00B1523A">
        <w:rPr>
          <w:sz w:val="16"/>
          <w:szCs w:val="16"/>
        </w:rPr>
        <w:t xml:space="preserve">. </w:t>
      </w:r>
    </w:p>
  </w:footnote>
  <w:footnote w:id="138">
    <w:p w14:paraId="5A5C2C6C" w14:textId="299C83B5" w:rsidR="003C025E" w:rsidRPr="002570D1" w:rsidRDefault="003C025E" w:rsidP="00E85806">
      <w:pPr>
        <w:pStyle w:val="FootnoteText"/>
        <w:rPr>
          <w:sz w:val="16"/>
          <w:szCs w:val="16"/>
          <w:lang w:val="es-AR"/>
        </w:rPr>
      </w:pPr>
      <w:r w:rsidRPr="002570D1">
        <w:rPr>
          <w:rStyle w:val="FootnoteReference"/>
          <w:rFonts w:eastAsia="MS ????"/>
          <w:color w:val="000000"/>
          <w:sz w:val="16"/>
          <w:szCs w:val="16"/>
        </w:rPr>
        <w:footnoteRef/>
      </w:r>
      <w:r w:rsidRPr="002570D1">
        <w:rPr>
          <w:rStyle w:val="FootnoteReference"/>
          <w:rFonts w:eastAsia="MS ????"/>
          <w:color w:val="000000"/>
          <w:sz w:val="16"/>
          <w:szCs w:val="16"/>
          <w:lang w:val="es-CR"/>
        </w:rPr>
        <w:t xml:space="preserve"> </w:t>
      </w:r>
      <w:r>
        <w:rPr>
          <w:sz w:val="16"/>
          <w:szCs w:val="16"/>
          <w:lang w:val="es-CR"/>
        </w:rPr>
        <w:tab/>
      </w:r>
      <w:r>
        <w:rPr>
          <w:i/>
          <w:sz w:val="16"/>
          <w:szCs w:val="16"/>
          <w:lang w:val="es-CR"/>
        </w:rPr>
        <w:t xml:space="preserve">Cfr. </w:t>
      </w:r>
      <w:r>
        <w:rPr>
          <w:sz w:val="16"/>
          <w:szCs w:val="16"/>
          <w:lang w:val="es-AR"/>
        </w:rPr>
        <w:t>ONU.</w:t>
      </w:r>
      <w:r w:rsidRPr="002570D1">
        <w:rPr>
          <w:sz w:val="16"/>
          <w:szCs w:val="16"/>
          <w:lang w:val="es-AR"/>
        </w:rPr>
        <w:t xml:space="preserve"> Comité de Derechos Económicos, Sociales y Culturales, </w:t>
      </w:r>
      <w:r w:rsidRPr="00B1523A">
        <w:rPr>
          <w:i/>
          <w:sz w:val="16"/>
          <w:szCs w:val="16"/>
          <w:lang w:val="es-AR"/>
        </w:rPr>
        <w:t>Observación General No. 3: La índole de las obligaciones de los Estados Partes (párrafo 1 del artículo 2 del Pacto)</w:t>
      </w:r>
      <w:r w:rsidRPr="002570D1">
        <w:rPr>
          <w:sz w:val="16"/>
          <w:szCs w:val="16"/>
          <w:lang w:val="es-AR"/>
        </w:rPr>
        <w:t xml:space="preserve">, U.N. Doc. </w:t>
      </w:r>
      <w:r w:rsidRPr="002570D1">
        <w:rPr>
          <w:sz w:val="16"/>
          <w:szCs w:val="16"/>
        </w:rPr>
        <w:t xml:space="preserve">E/1991/23, </w:t>
      </w:r>
      <w:r>
        <w:rPr>
          <w:sz w:val="16"/>
          <w:szCs w:val="16"/>
        </w:rPr>
        <w:t xml:space="preserve">14 de diciembre de </w:t>
      </w:r>
      <w:r w:rsidRPr="002570D1">
        <w:rPr>
          <w:sz w:val="16"/>
          <w:szCs w:val="16"/>
        </w:rPr>
        <w:t>1990, párr.</w:t>
      </w:r>
      <w:r>
        <w:rPr>
          <w:sz w:val="16"/>
          <w:szCs w:val="16"/>
        </w:rPr>
        <w:t xml:space="preserve"> </w:t>
      </w:r>
      <w:r w:rsidRPr="002570D1">
        <w:rPr>
          <w:sz w:val="16"/>
          <w:szCs w:val="16"/>
        </w:rPr>
        <w:t>9</w:t>
      </w:r>
      <w:r>
        <w:rPr>
          <w:sz w:val="16"/>
          <w:szCs w:val="16"/>
        </w:rPr>
        <w:t>, y</w:t>
      </w:r>
      <w:r w:rsidRPr="002570D1">
        <w:rPr>
          <w:sz w:val="16"/>
          <w:szCs w:val="16"/>
        </w:rPr>
        <w:t xml:space="preserve"> </w:t>
      </w:r>
      <w:r w:rsidRPr="005B1698">
        <w:rPr>
          <w:i/>
          <w:sz w:val="16"/>
          <w:szCs w:val="16"/>
          <w:lang w:val="es-AR"/>
        </w:rPr>
        <w:t xml:space="preserve">Observación General No. 14: </w:t>
      </w:r>
      <w:r w:rsidRPr="005B1698">
        <w:rPr>
          <w:i/>
          <w:sz w:val="16"/>
          <w:szCs w:val="16"/>
          <w:lang w:val="es-CR"/>
        </w:rPr>
        <w:t>El derecho al disfrute del más alto nivel posible de salud</w:t>
      </w:r>
      <w:r>
        <w:rPr>
          <w:i/>
          <w:sz w:val="16"/>
          <w:szCs w:val="16"/>
          <w:lang w:val="es-CR"/>
        </w:rPr>
        <w:t xml:space="preserve">, supra, </w:t>
      </w:r>
      <w:r w:rsidRPr="002C7F70">
        <w:rPr>
          <w:sz w:val="16"/>
          <w:szCs w:val="16"/>
        </w:rPr>
        <w:t xml:space="preserve">párr. 30. </w:t>
      </w:r>
      <w:r>
        <w:rPr>
          <w:sz w:val="16"/>
          <w:szCs w:val="16"/>
        </w:rPr>
        <w:t>Particularmente en esta última, e</w:t>
      </w:r>
      <w:r w:rsidRPr="002C7F70">
        <w:rPr>
          <w:sz w:val="16"/>
          <w:szCs w:val="16"/>
        </w:rPr>
        <w:t>l Comité remarc</w:t>
      </w:r>
      <w:r>
        <w:rPr>
          <w:sz w:val="16"/>
          <w:szCs w:val="16"/>
        </w:rPr>
        <w:t>ó</w:t>
      </w:r>
      <w:r w:rsidRPr="002C7F70">
        <w:rPr>
          <w:sz w:val="16"/>
          <w:szCs w:val="16"/>
        </w:rPr>
        <w:t xml:space="preserve"> que “los Estados Partes tienen obligaciones inmediatas por lo que respecta al derecho a la salud</w:t>
      </w:r>
      <w:r w:rsidRPr="00E94DD6">
        <w:rPr>
          <w:sz w:val="16"/>
          <w:szCs w:val="16"/>
        </w:rPr>
        <w:t xml:space="preserve">, como la garantía de que ese derecho será ejercido sin discriminación alguna y la obligación de adoptar medidas en aras de la plena realización”. En </w:t>
      </w:r>
      <w:r w:rsidRPr="00AB1E03">
        <w:rPr>
          <w:sz w:val="16"/>
          <w:szCs w:val="16"/>
        </w:rPr>
        <w:t>el párr</w:t>
      </w:r>
      <w:r>
        <w:rPr>
          <w:sz w:val="16"/>
          <w:szCs w:val="16"/>
        </w:rPr>
        <w:t>afo</w:t>
      </w:r>
      <w:r w:rsidRPr="00AB1E03">
        <w:rPr>
          <w:sz w:val="16"/>
          <w:szCs w:val="16"/>
        </w:rPr>
        <w:t xml:space="preserve"> 2</w:t>
      </w:r>
      <w:r>
        <w:rPr>
          <w:sz w:val="16"/>
          <w:szCs w:val="16"/>
        </w:rPr>
        <w:t xml:space="preserve">, </w:t>
      </w:r>
      <w:r w:rsidRPr="00AB1E03">
        <w:rPr>
          <w:sz w:val="16"/>
          <w:szCs w:val="16"/>
        </w:rPr>
        <w:t>el Comité señal</w:t>
      </w:r>
      <w:r>
        <w:rPr>
          <w:sz w:val="16"/>
          <w:szCs w:val="16"/>
        </w:rPr>
        <w:t>ó</w:t>
      </w:r>
      <w:r w:rsidRPr="00AB1E03">
        <w:rPr>
          <w:sz w:val="16"/>
          <w:szCs w:val="16"/>
        </w:rPr>
        <w:t xml:space="preserve"> que “en el párrafo 2 del artículo 12 se indican,</w:t>
      </w:r>
      <w:r>
        <w:rPr>
          <w:sz w:val="16"/>
          <w:szCs w:val="16"/>
        </w:rPr>
        <w:t xml:space="preserve"> </w:t>
      </w:r>
      <w:r w:rsidRPr="00AB1E03">
        <w:rPr>
          <w:sz w:val="16"/>
          <w:szCs w:val="16"/>
        </w:rPr>
        <w:t>a título de ejemplo, diversas "medidas que deberán adoptar los Estados Partes a fin de asegurar la plena efectividad de este derecho"</w:t>
      </w:r>
      <w:r w:rsidRPr="002C7F70">
        <w:rPr>
          <w:sz w:val="16"/>
          <w:szCs w:val="16"/>
        </w:rPr>
        <w:t>.</w:t>
      </w:r>
      <w:r w:rsidRPr="002570D1">
        <w:rPr>
          <w:sz w:val="16"/>
          <w:szCs w:val="16"/>
        </w:rPr>
        <w:t xml:space="preserve"> </w:t>
      </w:r>
      <w:r w:rsidRPr="002570D1">
        <w:rPr>
          <w:sz w:val="16"/>
          <w:szCs w:val="16"/>
          <w:lang w:val="es-AR"/>
        </w:rPr>
        <w:t xml:space="preserve"> </w:t>
      </w:r>
    </w:p>
  </w:footnote>
  <w:footnote w:id="139">
    <w:p w14:paraId="74D01BC1" w14:textId="14F824AC" w:rsidR="003C025E" w:rsidRPr="002570D1" w:rsidRDefault="003C025E" w:rsidP="004041EE">
      <w:pPr>
        <w:pStyle w:val="FootnoteText"/>
        <w:rPr>
          <w:sz w:val="16"/>
          <w:szCs w:val="16"/>
          <w:lang w:val="es-CR"/>
        </w:rPr>
      </w:pPr>
      <w:r w:rsidRPr="002570D1">
        <w:rPr>
          <w:rStyle w:val="FootnoteReference"/>
          <w:color w:val="000000"/>
          <w:sz w:val="16"/>
          <w:szCs w:val="16"/>
        </w:rPr>
        <w:footnoteRef/>
      </w:r>
      <w:r>
        <w:rPr>
          <w:color w:val="000000"/>
          <w:sz w:val="16"/>
          <w:szCs w:val="16"/>
        </w:rPr>
        <w:t xml:space="preserve"> </w:t>
      </w:r>
      <w:r>
        <w:rPr>
          <w:color w:val="000000"/>
          <w:sz w:val="16"/>
          <w:szCs w:val="16"/>
        </w:rPr>
        <w:tab/>
      </w:r>
      <w:r w:rsidRPr="002570D1">
        <w:rPr>
          <w:sz w:val="16"/>
          <w:szCs w:val="16"/>
          <w:lang w:val="es-CR"/>
        </w:rPr>
        <w:t>Artículo</w:t>
      </w:r>
      <w:r>
        <w:rPr>
          <w:sz w:val="16"/>
          <w:szCs w:val="16"/>
          <w:lang w:val="es-CR"/>
        </w:rPr>
        <w:t xml:space="preserve"> </w:t>
      </w:r>
      <w:r w:rsidRPr="002570D1">
        <w:rPr>
          <w:sz w:val="16"/>
          <w:szCs w:val="16"/>
          <w:lang w:val="es-CR"/>
        </w:rPr>
        <w:t>34 de la Carta de la OEA. - Los Estados miembros convienen en que la igualdad de oportunidades, la eliminación de la pobreza crítica y la distribución equitativa de la riqueza y del ingreso, así como la plena participación de sus pueblos en las decisiones relativas a su propio desarrollo, son, entre otros, objetivos básicos del desarrollo integral. Para lograrlos, convienen asimismo en dedicar sus máximos esfuerzos a la consecución de las siguientes metas básicas:</w:t>
      </w:r>
      <w:r>
        <w:rPr>
          <w:sz w:val="16"/>
          <w:szCs w:val="16"/>
          <w:lang w:val="es-CR"/>
        </w:rPr>
        <w:t xml:space="preserve"> </w:t>
      </w:r>
      <w:r w:rsidRPr="002570D1">
        <w:rPr>
          <w:sz w:val="16"/>
          <w:szCs w:val="16"/>
          <w:lang w:val="es-CR"/>
        </w:rPr>
        <w:t>[…]</w:t>
      </w:r>
      <w:r>
        <w:rPr>
          <w:sz w:val="16"/>
          <w:szCs w:val="16"/>
          <w:lang w:val="es-CR"/>
        </w:rPr>
        <w:t xml:space="preserve"> </w:t>
      </w:r>
      <w:r w:rsidRPr="002570D1">
        <w:rPr>
          <w:sz w:val="16"/>
          <w:szCs w:val="16"/>
          <w:lang w:val="es-CR"/>
        </w:rPr>
        <w:t>i) Defensa del potencial humano mediante la extensión y aplicación de los modernos conocimientos de la ciencia médica</w:t>
      </w:r>
      <w:r>
        <w:rPr>
          <w:sz w:val="16"/>
          <w:szCs w:val="16"/>
          <w:lang w:val="es-CR"/>
        </w:rPr>
        <w:t xml:space="preserve"> [y] l) Condiciones […] que hagan posible una vida sana, productiva y digna. </w:t>
      </w:r>
    </w:p>
  </w:footnote>
  <w:footnote w:id="140">
    <w:p w14:paraId="6EC59EB1" w14:textId="0EA39E39" w:rsidR="003C025E" w:rsidRPr="002570D1" w:rsidRDefault="003C025E" w:rsidP="00FE58B5">
      <w:pPr>
        <w:pStyle w:val="FootnoteText"/>
        <w:rPr>
          <w:sz w:val="16"/>
          <w:szCs w:val="16"/>
          <w:lang w:val="es-ES"/>
        </w:rPr>
      </w:pPr>
      <w:r w:rsidRPr="002570D1">
        <w:rPr>
          <w:rStyle w:val="FootnoteReference"/>
          <w:color w:val="000000"/>
          <w:sz w:val="16"/>
          <w:szCs w:val="16"/>
        </w:rPr>
        <w:footnoteRef/>
      </w:r>
      <w:r w:rsidRPr="002570D1">
        <w:rPr>
          <w:rStyle w:val="FootnoteReference"/>
          <w:color w:val="000000"/>
          <w:sz w:val="16"/>
          <w:szCs w:val="16"/>
          <w:lang w:val="es-MX"/>
        </w:rPr>
        <w:t xml:space="preserve"> </w:t>
      </w:r>
      <w:r>
        <w:rPr>
          <w:sz w:val="16"/>
          <w:szCs w:val="16"/>
          <w:lang w:val="es-MX"/>
        </w:rPr>
        <w:tab/>
      </w:r>
      <w:r w:rsidRPr="002570D1">
        <w:rPr>
          <w:sz w:val="16"/>
          <w:szCs w:val="16"/>
          <w:lang w:val="es-CR"/>
        </w:rPr>
        <w:t xml:space="preserve">Artículo 45 de la Carta de la OEA.- </w:t>
      </w:r>
      <w:r w:rsidRPr="002570D1">
        <w:rPr>
          <w:sz w:val="16"/>
          <w:szCs w:val="16"/>
          <w:lang w:val="es-ES"/>
        </w:rPr>
        <w:t>Los Estados miembros, convencidos de que el hombre sólo puede alcanzar la plena realización de sus aspiraciones dentro de un orden social justo, acompañado de desarrollo económico y verdadera paz, convienen en dedicar sus máximos esfuerzos a la aplicación de los siguientes principios y mecanismos:</w:t>
      </w:r>
    </w:p>
    <w:p w14:paraId="2E65D594" w14:textId="35F9ABFA" w:rsidR="003C025E" w:rsidRPr="002570D1" w:rsidRDefault="003C025E" w:rsidP="00FE58B5">
      <w:pPr>
        <w:pStyle w:val="FootnoteText"/>
        <w:rPr>
          <w:sz w:val="16"/>
          <w:szCs w:val="16"/>
          <w:lang w:val="es-CR"/>
        </w:rPr>
      </w:pPr>
      <w:r w:rsidRPr="002570D1">
        <w:rPr>
          <w:sz w:val="16"/>
          <w:szCs w:val="16"/>
          <w:lang w:val="es-CR"/>
        </w:rPr>
        <w:t>[…]</w:t>
      </w:r>
      <w:r>
        <w:rPr>
          <w:sz w:val="16"/>
          <w:szCs w:val="16"/>
          <w:lang w:val="es-CR"/>
        </w:rPr>
        <w:t xml:space="preserve"> </w:t>
      </w:r>
      <w:r w:rsidRPr="002570D1">
        <w:rPr>
          <w:sz w:val="16"/>
          <w:szCs w:val="16"/>
          <w:lang w:val="es-CR"/>
        </w:rPr>
        <w:t>h) Desarrollo de una política eficiente de seguridad social</w:t>
      </w:r>
      <w:r>
        <w:rPr>
          <w:sz w:val="16"/>
          <w:szCs w:val="16"/>
          <w:lang w:val="es-CR"/>
        </w:rPr>
        <w:t xml:space="preserve"> […].</w:t>
      </w:r>
    </w:p>
  </w:footnote>
  <w:footnote w:id="141">
    <w:p w14:paraId="13BF4A30" w14:textId="58E9C071" w:rsidR="003C025E" w:rsidRPr="002570D1" w:rsidRDefault="003C025E" w:rsidP="002E6860">
      <w:pPr>
        <w:pStyle w:val="FootnoteText"/>
        <w:rPr>
          <w:sz w:val="16"/>
          <w:szCs w:val="16"/>
          <w:lang w:val="es-CR"/>
        </w:rPr>
      </w:pPr>
      <w:r w:rsidRPr="002570D1">
        <w:rPr>
          <w:rStyle w:val="FootnoteReference"/>
          <w:color w:val="000000"/>
          <w:sz w:val="16"/>
          <w:szCs w:val="16"/>
        </w:rPr>
        <w:footnoteRef/>
      </w:r>
      <w:r w:rsidRPr="002570D1">
        <w:rPr>
          <w:rStyle w:val="FootnoteReference"/>
          <w:color w:val="000000"/>
          <w:sz w:val="16"/>
          <w:szCs w:val="16"/>
          <w:lang w:val="es-MX"/>
        </w:rPr>
        <w:t xml:space="preserve"> </w:t>
      </w:r>
      <w:r>
        <w:rPr>
          <w:color w:val="000000"/>
          <w:sz w:val="16"/>
          <w:szCs w:val="16"/>
          <w:lang w:val="es-MX"/>
        </w:rPr>
        <w:tab/>
      </w:r>
      <w:r w:rsidRPr="00062586">
        <w:rPr>
          <w:i/>
          <w:color w:val="000000"/>
          <w:sz w:val="16"/>
          <w:szCs w:val="16"/>
          <w:lang w:val="es-MX"/>
        </w:rPr>
        <w:t>Cfr.</w:t>
      </w:r>
      <w:r>
        <w:rPr>
          <w:color w:val="000000"/>
          <w:sz w:val="16"/>
          <w:szCs w:val="16"/>
          <w:lang w:val="es-MX"/>
        </w:rPr>
        <w:t xml:space="preserve"> </w:t>
      </w:r>
      <w:r w:rsidRPr="00B1523A">
        <w:rPr>
          <w:i/>
          <w:color w:val="000000"/>
          <w:sz w:val="16"/>
          <w:szCs w:val="16"/>
          <w:lang w:val="es-MX"/>
        </w:rPr>
        <w:t>Interpretación de la Declaración Americana de los Derechos y Deberes del Hombre en el marco del artículo 64 de la Convención Americana sobre Derechos Humanos.</w:t>
      </w:r>
      <w:r w:rsidRPr="001D5FD5">
        <w:rPr>
          <w:color w:val="000000"/>
          <w:sz w:val="16"/>
          <w:szCs w:val="16"/>
          <w:lang w:val="es-MX"/>
        </w:rPr>
        <w:t xml:space="preserve"> </w:t>
      </w:r>
      <w:r w:rsidRPr="00B1523A">
        <w:rPr>
          <w:i/>
          <w:color w:val="000000"/>
          <w:sz w:val="16"/>
          <w:szCs w:val="16"/>
          <w:lang w:val="es-MX"/>
        </w:rPr>
        <w:t>Opinión Consultiva OC-10/89</w:t>
      </w:r>
      <w:r w:rsidRPr="001D5FD5">
        <w:rPr>
          <w:color w:val="000000"/>
          <w:sz w:val="16"/>
          <w:szCs w:val="16"/>
          <w:lang w:val="es-MX"/>
        </w:rPr>
        <w:t xml:space="preserve"> de 14 de julio de 1989. Serie A No. 10. </w:t>
      </w:r>
      <w:r w:rsidRPr="00795461">
        <w:rPr>
          <w:sz w:val="16"/>
          <w:szCs w:val="16"/>
          <w:lang w:val="es-CR"/>
        </w:rPr>
        <w:t>párr. 43</w:t>
      </w:r>
      <w:r>
        <w:rPr>
          <w:sz w:val="16"/>
          <w:szCs w:val="16"/>
          <w:lang w:val="es-CR"/>
        </w:rPr>
        <w:t>, y</w:t>
      </w:r>
      <w:r w:rsidRPr="002570D1">
        <w:rPr>
          <w:sz w:val="16"/>
          <w:szCs w:val="16"/>
          <w:lang w:val="es-CR"/>
        </w:rPr>
        <w:t xml:space="preserve"> </w:t>
      </w:r>
      <w:r w:rsidRPr="00AB1E03">
        <w:rPr>
          <w:i/>
          <w:sz w:val="16"/>
          <w:szCs w:val="16"/>
          <w:lang w:val="es-CR"/>
        </w:rPr>
        <w:t>Caso Lagos del Campo, supra</w:t>
      </w:r>
      <w:r>
        <w:rPr>
          <w:i/>
          <w:sz w:val="16"/>
          <w:szCs w:val="16"/>
          <w:lang w:val="es-CR"/>
        </w:rPr>
        <w:t>,</w:t>
      </w:r>
      <w:r>
        <w:rPr>
          <w:sz w:val="16"/>
          <w:szCs w:val="16"/>
          <w:lang w:val="es-CR"/>
        </w:rPr>
        <w:t xml:space="preserve"> párr. 143.</w:t>
      </w:r>
    </w:p>
  </w:footnote>
  <w:footnote w:id="142">
    <w:p w14:paraId="2C8DC87D" w14:textId="077350E7" w:rsidR="003C025E" w:rsidRPr="002570D1" w:rsidRDefault="003C025E" w:rsidP="002570D1">
      <w:pPr>
        <w:pStyle w:val="FootnoteText"/>
        <w:rPr>
          <w:color w:val="000000"/>
          <w:sz w:val="16"/>
          <w:szCs w:val="16"/>
          <w:lang w:val="es-CR"/>
        </w:rPr>
      </w:pPr>
      <w:r w:rsidRPr="002570D1">
        <w:rPr>
          <w:rStyle w:val="FootnoteReference"/>
          <w:color w:val="000000"/>
          <w:sz w:val="16"/>
          <w:szCs w:val="16"/>
        </w:rPr>
        <w:footnoteRef/>
      </w:r>
      <w:r w:rsidRPr="002570D1">
        <w:rPr>
          <w:rStyle w:val="FootnoteReference"/>
          <w:sz w:val="16"/>
          <w:szCs w:val="16"/>
          <w:lang w:val="es-MX"/>
        </w:rPr>
        <w:t xml:space="preserve"> </w:t>
      </w:r>
      <w:r>
        <w:rPr>
          <w:color w:val="000000"/>
          <w:sz w:val="16"/>
          <w:szCs w:val="16"/>
          <w:lang w:val="es-CR"/>
        </w:rPr>
        <w:tab/>
      </w:r>
      <w:r w:rsidRPr="00062586">
        <w:rPr>
          <w:i/>
          <w:sz w:val="16"/>
          <w:szCs w:val="16"/>
          <w:lang w:val="es-CR"/>
        </w:rPr>
        <w:t>Cfr.</w:t>
      </w:r>
      <w:r w:rsidRPr="002570D1">
        <w:rPr>
          <w:sz w:val="16"/>
          <w:szCs w:val="16"/>
          <w:lang w:val="es-CR"/>
        </w:rPr>
        <w:t xml:space="preserve"> </w:t>
      </w:r>
      <w:r w:rsidRPr="003A63EB">
        <w:rPr>
          <w:i/>
          <w:sz w:val="16"/>
          <w:szCs w:val="16"/>
          <w:lang w:val="es-MX"/>
        </w:rPr>
        <w:t>Interpretación de la Declaración Americana de los Derechos y Deberes del Hombre en el marco del artículo 64 de la Convención Americana sobre Derechos Humanos.</w:t>
      </w:r>
      <w:r w:rsidRPr="003A63EB">
        <w:rPr>
          <w:sz w:val="16"/>
          <w:szCs w:val="16"/>
          <w:lang w:val="es-MX"/>
        </w:rPr>
        <w:t xml:space="preserve"> </w:t>
      </w:r>
      <w:r w:rsidRPr="003A63EB">
        <w:rPr>
          <w:i/>
          <w:sz w:val="16"/>
          <w:szCs w:val="16"/>
          <w:lang w:val="es-MX"/>
        </w:rPr>
        <w:t>Opinión Consultiva OC-10/89</w:t>
      </w:r>
      <w:r w:rsidRPr="002570D1">
        <w:rPr>
          <w:sz w:val="16"/>
          <w:szCs w:val="16"/>
          <w:lang w:val="es-CR"/>
        </w:rPr>
        <w:t xml:space="preserve">, </w:t>
      </w:r>
      <w:r w:rsidRPr="00062586">
        <w:rPr>
          <w:i/>
          <w:sz w:val="16"/>
          <w:szCs w:val="16"/>
          <w:lang w:val="es-CR"/>
        </w:rPr>
        <w:t>supra</w:t>
      </w:r>
      <w:r w:rsidRPr="002570D1">
        <w:rPr>
          <w:sz w:val="16"/>
          <w:szCs w:val="16"/>
          <w:lang w:val="es-CR"/>
        </w:rPr>
        <w:t xml:space="preserve">, </w:t>
      </w:r>
      <w:proofErr w:type="spellStart"/>
      <w:r w:rsidRPr="002570D1">
        <w:rPr>
          <w:sz w:val="16"/>
          <w:szCs w:val="16"/>
          <w:lang w:val="es-CR"/>
        </w:rPr>
        <w:t>párrs</w:t>
      </w:r>
      <w:proofErr w:type="spellEnd"/>
      <w:r w:rsidRPr="002570D1">
        <w:rPr>
          <w:sz w:val="16"/>
          <w:szCs w:val="16"/>
          <w:lang w:val="es-CR"/>
        </w:rPr>
        <w:t>. 43 y 45.</w:t>
      </w:r>
    </w:p>
  </w:footnote>
  <w:footnote w:id="143">
    <w:p w14:paraId="56512DF6" w14:textId="44738E08" w:rsidR="003C025E" w:rsidRPr="002570D1" w:rsidRDefault="003C025E" w:rsidP="00556BEA">
      <w:pPr>
        <w:pStyle w:val="FootnoteText"/>
        <w:rPr>
          <w:sz w:val="16"/>
          <w:szCs w:val="16"/>
          <w:lang w:val="es-AR"/>
        </w:rPr>
      </w:pPr>
      <w:r w:rsidRPr="002570D1">
        <w:rPr>
          <w:rStyle w:val="FootnoteReference"/>
          <w:sz w:val="16"/>
          <w:szCs w:val="16"/>
        </w:rPr>
        <w:footnoteRef/>
      </w:r>
      <w:r w:rsidRPr="002570D1">
        <w:rPr>
          <w:rStyle w:val="FootnoteReference"/>
          <w:sz w:val="16"/>
          <w:szCs w:val="16"/>
          <w:lang w:val="es-AR"/>
        </w:rPr>
        <w:t xml:space="preserve">  </w:t>
      </w:r>
      <w:r>
        <w:rPr>
          <w:sz w:val="16"/>
          <w:szCs w:val="16"/>
          <w:lang w:val="es-AR"/>
        </w:rPr>
        <w:tab/>
        <w:t xml:space="preserve">Junta de Gobierno de la República de Chile. </w:t>
      </w:r>
      <w:r w:rsidRPr="002570D1">
        <w:rPr>
          <w:sz w:val="16"/>
          <w:szCs w:val="16"/>
          <w:lang w:val="es-AR"/>
        </w:rPr>
        <w:t xml:space="preserve">Constitución Política de la República de Chile. </w:t>
      </w:r>
      <w:r>
        <w:rPr>
          <w:sz w:val="16"/>
          <w:szCs w:val="16"/>
          <w:lang w:val="es-AR"/>
        </w:rPr>
        <w:t xml:space="preserve">Sancionada mediante Decreto Ley Núm. 3464 de 11 de agosto de 1980 y promulgada por Decreto Núm. 1150 de 21 de octubre de 1980. </w:t>
      </w:r>
      <w:r w:rsidRPr="002570D1">
        <w:rPr>
          <w:sz w:val="16"/>
          <w:szCs w:val="16"/>
          <w:lang w:val="es-CR"/>
        </w:rPr>
        <w:t>Artículo 19</w:t>
      </w:r>
      <w:r>
        <w:rPr>
          <w:sz w:val="16"/>
          <w:szCs w:val="16"/>
          <w:lang w:val="es-CR"/>
        </w:rPr>
        <w:t>:</w:t>
      </w:r>
      <w:r w:rsidRPr="002570D1">
        <w:rPr>
          <w:sz w:val="16"/>
          <w:szCs w:val="16"/>
          <w:lang w:val="es-CR"/>
        </w:rPr>
        <w:t xml:space="preserve"> La Constitución asegura a todas las personas:  </w:t>
      </w:r>
    </w:p>
    <w:p w14:paraId="035D2C4F" w14:textId="0BB22877" w:rsidR="003C025E" w:rsidRPr="002570D1" w:rsidRDefault="003C025E" w:rsidP="00556BEA">
      <w:pPr>
        <w:pStyle w:val="FootnoteText"/>
        <w:rPr>
          <w:sz w:val="16"/>
          <w:szCs w:val="16"/>
          <w:lang w:val="es-CR"/>
        </w:rPr>
      </w:pPr>
      <w:r>
        <w:rPr>
          <w:sz w:val="16"/>
          <w:szCs w:val="16"/>
          <w:lang w:val="es-CR"/>
        </w:rPr>
        <w:t xml:space="preserve">[…] </w:t>
      </w:r>
      <w:r w:rsidRPr="002570D1">
        <w:rPr>
          <w:sz w:val="16"/>
          <w:szCs w:val="16"/>
          <w:lang w:val="es-CR"/>
        </w:rPr>
        <w:t>9º.- El derecho a la protección de la salud. El Estado protege el libre e igualitario acceso a las acciones de promoción, protección y recuperación de la salud y de rehabilitación del individuo. Le corresponderá, asimismo, la coordinación y control de las acciones relacionadas con la salud. Es deber preferente del Estado garantizar la ejecución de las acciones de salud, sea que se presten a través de instituciones públicas o privadas, en la forma y condiciones que determine la ley, la que podrá establecer cotizaciones obligatorias.</w:t>
      </w:r>
    </w:p>
    <w:p w14:paraId="2879826E" w14:textId="5D44BF9B" w:rsidR="003C025E" w:rsidRPr="002570D1" w:rsidRDefault="003C025E" w:rsidP="00556BEA">
      <w:pPr>
        <w:pStyle w:val="FootnoteText"/>
        <w:rPr>
          <w:sz w:val="16"/>
          <w:szCs w:val="16"/>
          <w:lang w:val="es-CR"/>
        </w:rPr>
      </w:pPr>
      <w:r w:rsidRPr="002570D1">
        <w:rPr>
          <w:sz w:val="16"/>
          <w:szCs w:val="16"/>
          <w:lang w:val="es-CR"/>
        </w:rPr>
        <w:t>Cada persona tendrá el derecho a elegir el sistema de salud al que desee acogerse, sea éste estatal o privado</w:t>
      </w:r>
      <w:r>
        <w:rPr>
          <w:sz w:val="16"/>
          <w:szCs w:val="16"/>
          <w:lang w:val="es-CR"/>
        </w:rPr>
        <w:t xml:space="preserve"> […]</w:t>
      </w:r>
      <w:r w:rsidRPr="002570D1">
        <w:rPr>
          <w:sz w:val="16"/>
          <w:szCs w:val="16"/>
          <w:lang w:val="es-CR"/>
        </w:rPr>
        <w:t>.</w:t>
      </w:r>
    </w:p>
  </w:footnote>
  <w:footnote w:id="144">
    <w:p w14:paraId="588D847C" w14:textId="0EA0EF56" w:rsidR="003C025E" w:rsidRPr="005430FF" w:rsidRDefault="003C025E">
      <w:pPr>
        <w:pStyle w:val="FootnoteText"/>
        <w:rPr>
          <w:sz w:val="16"/>
          <w:lang w:val="es-AR"/>
        </w:rPr>
      </w:pPr>
      <w:r w:rsidRPr="005430FF">
        <w:rPr>
          <w:rStyle w:val="FootnoteReference"/>
          <w:sz w:val="16"/>
        </w:rPr>
        <w:footnoteRef/>
      </w:r>
      <w:r w:rsidRPr="005430FF">
        <w:rPr>
          <w:sz w:val="16"/>
        </w:rPr>
        <w:t xml:space="preserve"> </w:t>
      </w:r>
      <w:r>
        <w:rPr>
          <w:sz w:val="16"/>
        </w:rPr>
        <w:tab/>
      </w:r>
      <w:r>
        <w:rPr>
          <w:i/>
          <w:sz w:val="16"/>
        </w:rPr>
        <w:t xml:space="preserve">Cfr. Inter </w:t>
      </w:r>
      <w:proofErr w:type="spellStart"/>
      <w:r>
        <w:rPr>
          <w:i/>
          <w:sz w:val="16"/>
        </w:rPr>
        <w:t>alia</w:t>
      </w:r>
      <w:proofErr w:type="spellEnd"/>
      <w:r>
        <w:rPr>
          <w:i/>
          <w:sz w:val="16"/>
        </w:rPr>
        <w:t xml:space="preserve">: </w:t>
      </w:r>
      <w:r>
        <w:rPr>
          <w:sz w:val="16"/>
        </w:rPr>
        <w:t>C</w:t>
      </w:r>
      <w:proofErr w:type="spellStart"/>
      <w:r w:rsidRPr="005430FF">
        <w:rPr>
          <w:sz w:val="16"/>
          <w:lang w:val="es-AR"/>
        </w:rPr>
        <w:t>ódigo</w:t>
      </w:r>
      <w:proofErr w:type="spellEnd"/>
      <w:r w:rsidRPr="005430FF">
        <w:rPr>
          <w:sz w:val="16"/>
          <w:lang w:val="es-AR"/>
        </w:rPr>
        <w:t xml:space="preserve"> de Ética del Colegio de Médicos de Chile</w:t>
      </w:r>
      <w:r>
        <w:rPr>
          <w:sz w:val="16"/>
          <w:lang w:val="es-AR"/>
        </w:rPr>
        <w:t xml:space="preserve">, </w:t>
      </w:r>
      <w:r w:rsidRPr="005430FF">
        <w:rPr>
          <w:sz w:val="16"/>
          <w:lang w:val="es-AR"/>
        </w:rPr>
        <w:t>aprobado por el H. Consejo Ge</w:t>
      </w:r>
      <w:r>
        <w:rPr>
          <w:sz w:val="16"/>
          <w:lang w:val="es-AR"/>
        </w:rPr>
        <w:t xml:space="preserve">neral en </w:t>
      </w:r>
      <w:r w:rsidRPr="005430FF">
        <w:rPr>
          <w:sz w:val="16"/>
          <w:lang w:val="es-AR"/>
        </w:rPr>
        <w:t>sesión Nº 64</w:t>
      </w:r>
      <w:r>
        <w:rPr>
          <w:sz w:val="16"/>
          <w:lang w:val="es-AR"/>
        </w:rPr>
        <w:t>,</w:t>
      </w:r>
      <w:r w:rsidRPr="005430FF">
        <w:rPr>
          <w:sz w:val="16"/>
          <w:lang w:val="es-AR"/>
        </w:rPr>
        <w:t xml:space="preserve"> mediante Acuerdo Nº 231 </w:t>
      </w:r>
      <w:r>
        <w:rPr>
          <w:sz w:val="16"/>
          <w:lang w:val="es-AR"/>
        </w:rPr>
        <w:t>de</w:t>
      </w:r>
      <w:r w:rsidRPr="005430FF">
        <w:rPr>
          <w:sz w:val="16"/>
          <w:lang w:val="es-AR"/>
        </w:rPr>
        <w:t xml:space="preserve"> </w:t>
      </w:r>
      <w:r>
        <w:rPr>
          <w:sz w:val="16"/>
          <w:lang w:val="es-AR"/>
        </w:rPr>
        <w:t xml:space="preserve">22 de noviembre de 1983 y en la </w:t>
      </w:r>
      <w:r w:rsidRPr="005430FF">
        <w:rPr>
          <w:sz w:val="16"/>
          <w:lang w:val="es-AR"/>
        </w:rPr>
        <w:t xml:space="preserve">sesión </w:t>
      </w:r>
      <w:r>
        <w:rPr>
          <w:sz w:val="16"/>
          <w:lang w:val="es-AR"/>
        </w:rPr>
        <w:t xml:space="preserve">N° </w:t>
      </w:r>
      <w:r w:rsidRPr="005430FF">
        <w:rPr>
          <w:sz w:val="16"/>
          <w:lang w:val="es-AR"/>
        </w:rPr>
        <w:t xml:space="preserve">39, mediante Acuerdo Nº 154 </w:t>
      </w:r>
      <w:r>
        <w:rPr>
          <w:sz w:val="16"/>
          <w:lang w:val="es-AR"/>
        </w:rPr>
        <w:t>de</w:t>
      </w:r>
      <w:r w:rsidRPr="005430FF">
        <w:rPr>
          <w:sz w:val="16"/>
          <w:lang w:val="es-AR"/>
        </w:rPr>
        <w:t xml:space="preserve"> 7 de mayo de 1985</w:t>
      </w:r>
      <w:r>
        <w:rPr>
          <w:sz w:val="16"/>
          <w:lang w:val="es-AR"/>
        </w:rPr>
        <w:t xml:space="preserve">; </w:t>
      </w:r>
      <w:r w:rsidRPr="005430FF">
        <w:rPr>
          <w:sz w:val="16"/>
          <w:lang w:val="es-AR"/>
        </w:rPr>
        <w:t xml:space="preserve">Decreto </w:t>
      </w:r>
      <w:r>
        <w:rPr>
          <w:sz w:val="16"/>
          <w:lang w:val="es-AR"/>
        </w:rPr>
        <w:t>S</w:t>
      </w:r>
      <w:r w:rsidRPr="005430FF">
        <w:rPr>
          <w:sz w:val="16"/>
          <w:lang w:val="es-AR"/>
        </w:rPr>
        <w:t>upremo N</w:t>
      </w:r>
      <w:r>
        <w:rPr>
          <w:sz w:val="16"/>
          <w:lang w:val="es-AR"/>
        </w:rPr>
        <w:t>úm</w:t>
      </w:r>
      <w:r w:rsidRPr="005430FF">
        <w:rPr>
          <w:sz w:val="16"/>
          <w:lang w:val="es-AR"/>
        </w:rPr>
        <w:t>.</w:t>
      </w:r>
      <w:r>
        <w:rPr>
          <w:sz w:val="16"/>
          <w:lang w:val="es-AR"/>
        </w:rPr>
        <w:t xml:space="preserve"> </w:t>
      </w:r>
      <w:r w:rsidRPr="005430FF">
        <w:rPr>
          <w:sz w:val="16"/>
          <w:lang w:val="es-AR"/>
        </w:rPr>
        <w:t>42</w:t>
      </w:r>
      <w:r>
        <w:rPr>
          <w:sz w:val="16"/>
          <w:lang w:val="es-AR"/>
        </w:rPr>
        <w:t xml:space="preserve">, de entrada en vigencia el </w:t>
      </w:r>
      <w:r w:rsidRPr="005430FF">
        <w:rPr>
          <w:sz w:val="16"/>
          <w:lang w:val="es-AR"/>
        </w:rPr>
        <w:t>9 de febrero de 1986</w:t>
      </w:r>
      <w:r>
        <w:rPr>
          <w:sz w:val="16"/>
          <w:lang w:val="es-AR"/>
        </w:rPr>
        <w:t xml:space="preserve"> y derogado el 21 de abril de </w:t>
      </w:r>
      <w:r w:rsidRPr="00FA60EC">
        <w:rPr>
          <w:sz w:val="16"/>
          <w:lang w:val="es-AR"/>
        </w:rPr>
        <w:t>2005</w:t>
      </w:r>
      <w:r>
        <w:rPr>
          <w:sz w:val="16"/>
          <w:lang w:val="es-AR"/>
        </w:rPr>
        <w:t>, y</w:t>
      </w:r>
      <w:r w:rsidRPr="005430FF">
        <w:rPr>
          <w:rFonts w:ascii="Times New Roman" w:eastAsiaTheme="minorHAnsi" w:hAnsi="Times New Roman"/>
          <w:sz w:val="23"/>
          <w:szCs w:val="23"/>
          <w:lang w:val="es-AR" w:eastAsia="en-US"/>
        </w:rPr>
        <w:t xml:space="preserve"> </w:t>
      </w:r>
      <w:r w:rsidRPr="005430FF">
        <w:rPr>
          <w:sz w:val="16"/>
          <w:lang w:val="es-AR"/>
        </w:rPr>
        <w:t>Carta de Derechos del Paciente</w:t>
      </w:r>
      <w:r>
        <w:rPr>
          <w:sz w:val="16"/>
          <w:lang w:val="es-AR"/>
        </w:rPr>
        <w:t xml:space="preserve">, elaborada en 1999 por </w:t>
      </w:r>
      <w:r w:rsidRPr="005430FF">
        <w:rPr>
          <w:sz w:val="16"/>
          <w:lang w:val="es-AR"/>
        </w:rPr>
        <w:t>el Fondo Nacional de Salud (FONASA) en conjunto con el Ministerio de</w:t>
      </w:r>
      <w:r>
        <w:rPr>
          <w:sz w:val="16"/>
          <w:lang w:val="es-AR"/>
        </w:rPr>
        <w:t xml:space="preserve"> </w:t>
      </w:r>
      <w:r w:rsidRPr="005430FF">
        <w:rPr>
          <w:sz w:val="16"/>
          <w:lang w:val="es-AR"/>
        </w:rPr>
        <w:t>Salud (MINSAL)</w:t>
      </w:r>
      <w:r>
        <w:rPr>
          <w:sz w:val="16"/>
          <w:lang w:val="es-AR"/>
        </w:rPr>
        <w:t>.</w:t>
      </w:r>
    </w:p>
  </w:footnote>
  <w:footnote w:id="145">
    <w:p w14:paraId="482070AC" w14:textId="640DD00E" w:rsidR="003C025E" w:rsidRPr="000D77F2" w:rsidRDefault="003C025E" w:rsidP="00FA60EC">
      <w:pPr>
        <w:pStyle w:val="FootnoteText"/>
        <w:rPr>
          <w:rStyle w:val="FootnoteReference"/>
        </w:rPr>
      </w:pPr>
      <w:r w:rsidRPr="00B1523A">
        <w:rPr>
          <w:rStyle w:val="FootnoteReference"/>
          <w:sz w:val="16"/>
          <w:szCs w:val="16"/>
        </w:rPr>
        <w:footnoteRef/>
      </w:r>
      <w:r w:rsidRPr="00B1523A">
        <w:rPr>
          <w:rStyle w:val="FootnoteReference"/>
          <w:sz w:val="16"/>
          <w:szCs w:val="16"/>
        </w:rPr>
        <w:t xml:space="preserve"> </w:t>
      </w:r>
      <w:r>
        <w:rPr>
          <w:b/>
          <w:sz w:val="16"/>
          <w:szCs w:val="16"/>
        </w:rPr>
        <w:tab/>
      </w:r>
      <w:r w:rsidRPr="005F719C">
        <w:rPr>
          <w:rFonts w:eastAsia="Batang"/>
          <w:sz w:val="16"/>
          <w:szCs w:val="16"/>
          <w:lang w:eastAsia="es-ES"/>
        </w:rPr>
        <w:t xml:space="preserve">Entre las normas constitucionales de los Estados </w:t>
      </w:r>
      <w:r>
        <w:rPr>
          <w:rFonts w:eastAsia="Batang"/>
          <w:sz w:val="16"/>
          <w:szCs w:val="16"/>
          <w:lang w:eastAsia="es-ES"/>
        </w:rPr>
        <w:t>P</w:t>
      </w:r>
      <w:r w:rsidRPr="005F719C">
        <w:rPr>
          <w:rFonts w:eastAsia="Batang"/>
          <w:sz w:val="16"/>
          <w:szCs w:val="16"/>
          <w:lang w:eastAsia="es-ES"/>
        </w:rPr>
        <w:t>arte</w:t>
      </w:r>
      <w:r>
        <w:rPr>
          <w:rFonts w:eastAsia="Batang"/>
          <w:sz w:val="16"/>
          <w:szCs w:val="16"/>
          <w:lang w:eastAsia="es-ES"/>
        </w:rPr>
        <w:t>s</w:t>
      </w:r>
      <w:r w:rsidRPr="005F719C">
        <w:rPr>
          <w:rFonts w:eastAsia="Batang"/>
          <w:sz w:val="16"/>
          <w:szCs w:val="16"/>
          <w:lang w:eastAsia="es-ES"/>
        </w:rPr>
        <w:t xml:space="preserve"> de la Convención Americana, se encuentran: Argentina (art. 42</w:t>
      </w:r>
      <w:r>
        <w:rPr>
          <w:rFonts w:eastAsia="Batang"/>
          <w:sz w:val="16"/>
          <w:szCs w:val="16"/>
          <w:lang w:eastAsia="es-ES"/>
        </w:rPr>
        <w:t>);</w:t>
      </w:r>
      <w:r w:rsidRPr="005F719C">
        <w:rPr>
          <w:rFonts w:eastAsia="Batang"/>
          <w:sz w:val="16"/>
          <w:szCs w:val="16"/>
          <w:lang w:val="es-AR" w:eastAsia="es-ES"/>
        </w:rPr>
        <w:t xml:space="preserve"> </w:t>
      </w:r>
      <w:r w:rsidRPr="00516771">
        <w:rPr>
          <w:rFonts w:eastAsia="Batang"/>
          <w:sz w:val="16"/>
          <w:szCs w:val="16"/>
          <w:lang w:val="es-MX" w:eastAsia="es-ES"/>
        </w:rPr>
        <w:t xml:space="preserve">Barbados (art. </w:t>
      </w:r>
      <w:r w:rsidRPr="00516771">
        <w:rPr>
          <w:rFonts w:eastAsia="Batang"/>
          <w:iCs/>
          <w:sz w:val="16"/>
          <w:szCs w:val="16"/>
          <w:lang w:val="es-MX" w:eastAsia="es-ES"/>
        </w:rPr>
        <w:t>17.2.A)</w:t>
      </w:r>
      <w:r>
        <w:rPr>
          <w:rFonts w:eastAsia="Batang"/>
          <w:iCs/>
          <w:sz w:val="16"/>
          <w:szCs w:val="16"/>
          <w:lang w:val="es-MX" w:eastAsia="es-ES"/>
        </w:rPr>
        <w:t>;</w:t>
      </w:r>
      <w:r w:rsidRPr="00516771">
        <w:rPr>
          <w:rFonts w:eastAsia="Batang"/>
          <w:iCs/>
          <w:sz w:val="16"/>
          <w:szCs w:val="16"/>
          <w:lang w:val="es-MX" w:eastAsia="es-ES"/>
        </w:rPr>
        <w:t xml:space="preserve"> </w:t>
      </w:r>
      <w:r w:rsidRPr="005F719C">
        <w:rPr>
          <w:rFonts w:eastAsia="Batang"/>
          <w:sz w:val="16"/>
          <w:szCs w:val="16"/>
          <w:lang w:eastAsia="es-ES"/>
        </w:rPr>
        <w:t>Bolivia (art. 35</w:t>
      </w:r>
      <w:r w:rsidRPr="00AB1E03">
        <w:rPr>
          <w:rFonts w:eastAsia="Batang"/>
          <w:sz w:val="16"/>
          <w:szCs w:val="16"/>
          <w:lang w:eastAsia="es-ES"/>
        </w:rPr>
        <w:t>)</w:t>
      </w:r>
      <w:r>
        <w:rPr>
          <w:rFonts w:eastAsia="Batang"/>
          <w:sz w:val="16"/>
          <w:szCs w:val="16"/>
          <w:lang w:eastAsia="es-ES"/>
        </w:rPr>
        <w:t>;</w:t>
      </w:r>
      <w:r w:rsidRPr="005F719C">
        <w:rPr>
          <w:rFonts w:eastAsia="Batang"/>
          <w:sz w:val="16"/>
          <w:szCs w:val="16"/>
          <w:lang w:eastAsia="es-ES"/>
        </w:rPr>
        <w:t xml:space="preserve"> Brasil (art. 196</w:t>
      </w:r>
      <w:r w:rsidRPr="00AB1E03">
        <w:rPr>
          <w:rFonts w:eastAsia="Batang"/>
          <w:sz w:val="16"/>
          <w:szCs w:val="16"/>
          <w:lang w:eastAsia="es-ES"/>
        </w:rPr>
        <w:t>)</w:t>
      </w:r>
      <w:r>
        <w:rPr>
          <w:rFonts w:eastAsia="Batang"/>
          <w:sz w:val="16"/>
          <w:szCs w:val="16"/>
          <w:lang w:eastAsia="es-ES"/>
        </w:rPr>
        <w:t>;</w:t>
      </w:r>
      <w:r w:rsidRPr="00AB1E03">
        <w:rPr>
          <w:rFonts w:eastAsia="Batang"/>
          <w:sz w:val="16"/>
          <w:szCs w:val="16"/>
          <w:lang w:eastAsia="es-ES"/>
        </w:rPr>
        <w:t xml:space="preserve"> </w:t>
      </w:r>
      <w:r w:rsidRPr="005F719C">
        <w:rPr>
          <w:rFonts w:eastAsia="Batang"/>
          <w:sz w:val="16"/>
          <w:szCs w:val="16"/>
          <w:lang w:eastAsia="es-ES"/>
        </w:rPr>
        <w:t>Colombia (art. 49</w:t>
      </w:r>
      <w:r w:rsidRPr="00AB1E03">
        <w:rPr>
          <w:rFonts w:eastAsia="Batang"/>
          <w:sz w:val="16"/>
          <w:szCs w:val="16"/>
          <w:lang w:eastAsia="es-ES"/>
        </w:rPr>
        <w:t>)</w:t>
      </w:r>
      <w:r>
        <w:rPr>
          <w:rFonts w:eastAsia="Batang"/>
          <w:sz w:val="16"/>
          <w:szCs w:val="16"/>
          <w:lang w:eastAsia="es-ES"/>
        </w:rPr>
        <w:t>;</w:t>
      </w:r>
      <w:r w:rsidRPr="005F719C">
        <w:rPr>
          <w:rFonts w:eastAsia="Batang"/>
          <w:sz w:val="16"/>
          <w:szCs w:val="16"/>
          <w:lang w:eastAsia="es-ES"/>
        </w:rPr>
        <w:t xml:space="preserve"> Costa Rica (art. 46</w:t>
      </w:r>
      <w:r w:rsidRPr="00AB1E03">
        <w:rPr>
          <w:rFonts w:eastAsia="Batang"/>
          <w:sz w:val="16"/>
          <w:szCs w:val="16"/>
          <w:lang w:eastAsia="es-ES"/>
        </w:rPr>
        <w:t>)</w:t>
      </w:r>
      <w:r>
        <w:rPr>
          <w:rFonts w:eastAsia="Batang"/>
          <w:sz w:val="16"/>
          <w:szCs w:val="16"/>
          <w:lang w:eastAsia="es-ES"/>
        </w:rPr>
        <w:t>;</w:t>
      </w:r>
      <w:r w:rsidRPr="005F719C">
        <w:rPr>
          <w:rFonts w:eastAsia="Batang"/>
          <w:sz w:val="16"/>
          <w:szCs w:val="16"/>
          <w:lang w:eastAsia="es-ES"/>
        </w:rPr>
        <w:t xml:space="preserve"> Ecuador (art. 32</w:t>
      </w:r>
      <w:r w:rsidRPr="00AB1E03">
        <w:rPr>
          <w:rFonts w:eastAsia="Batang"/>
          <w:sz w:val="16"/>
          <w:szCs w:val="16"/>
          <w:lang w:eastAsia="es-ES"/>
        </w:rPr>
        <w:t>)</w:t>
      </w:r>
      <w:r>
        <w:rPr>
          <w:rFonts w:eastAsia="Batang"/>
          <w:sz w:val="16"/>
          <w:szCs w:val="16"/>
          <w:lang w:eastAsia="es-ES"/>
        </w:rPr>
        <w:t>;</w:t>
      </w:r>
      <w:r w:rsidRPr="005F719C">
        <w:rPr>
          <w:rFonts w:eastAsia="Batang"/>
          <w:sz w:val="16"/>
          <w:szCs w:val="16"/>
          <w:lang w:eastAsia="es-ES"/>
        </w:rPr>
        <w:t xml:space="preserve"> El Salvador (art. 65</w:t>
      </w:r>
      <w:r w:rsidRPr="00AB1E03">
        <w:rPr>
          <w:rFonts w:eastAsia="Batang"/>
          <w:sz w:val="16"/>
          <w:szCs w:val="16"/>
          <w:lang w:eastAsia="es-ES"/>
        </w:rPr>
        <w:t>)</w:t>
      </w:r>
      <w:r>
        <w:rPr>
          <w:rFonts w:eastAsia="Batang"/>
          <w:sz w:val="16"/>
          <w:szCs w:val="16"/>
          <w:lang w:eastAsia="es-ES"/>
        </w:rPr>
        <w:t>;</w:t>
      </w:r>
      <w:r w:rsidRPr="005F719C">
        <w:rPr>
          <w:rFonts w:eastAsia="Batang"/>
          <w:sz w:val="16"/>
          <w:szCs w:val="16"/>
          <w:lang w:eastAsia="es-ES"/>
        </w:rPr>
        <w:t xml:space="preserve"> Guatemala (art</w:t>
      </w:r>
      <w:r>
        <w:rPr>
          <w:rFonts w:eastAsia="Batang"/>
          <w:sz w:val="16"/>
          <w:szCs w:val="16"/>
          <w:lang w:eastAsia="es-ES"/>
        </w:rPr>
        <w:t>s</w:t>
      </w:r>
      <w:r w:rsidRPr="005F719C">
        <w:rPr>
          <w:rFonts w:eastAsia="Batang"/>
          <w:sz w:val="16"/>
          <w:szCs w:val="16"/>
          <w:lang w:eastAsia="es-ES"/>
        </w:rPr>
        <w:t xml:space="preserve">. </w:t>
      </w:r>
      <w:r w:rsidRPr="000D77F2">
        <w:rPr>
          <w:rFonts w:eastAsia="Batang"/>
          <w:sz w:val="16"/>
          <w:szCs w:val="16"/>
          <w:lang w:eastAsia="es-ES"/>
        </w:rPr>
        <w:t xml:space="preserve">93 y 94); Haití (art. 19); Honduras (art. 145); México (art. 4); Nicaragua (art. 59); Panamá (art. 109); Paraguay (art. 68); Perú (art. 70); República Dominicana (art. 61); </w:t>
      </w:r>
      <w:proofErr w:type="spellStart"/>
      <w:r w:rsidRPr="000D77F2">
        <w:rPr>
          <w:rFonts w:eastAsia="Batang"/>
          <w:sz w:val="16"/>
          <w:szCs w:val="16"/>
          <w:lang w:eastAsia="es-ES"/>
        </w:rPr>
        <w:t>Suriname</w:t>
      </w:r>
      <w:proofErr w:type="spellEnd"/>
      <w:r w:rsidRPr="000D77F2">
        <w:rPr>
          <w:rFonts w:eastAsia="Batang"/>
          <w:sz w:val="16"/>
          <w:szCs w:val="16"/>
          <w:lang w:eastAsia="es-ES"/>
        </w:rPr>
        <w:t xml:space="preserve"> (art. 36); Uruguay (art. 44), </w:t>
      </w:r>
      <w:r w:rsidRPr="000D77F2">
        <w:rPr>
          <w:rFonts w:eastAsia="Batang"/>
          <w:iCs/>
          <w:sz w:val="16"/>
          <w:szCs w:val="16"/>
          <w:lang w:eastAsia="es-ES"/>
        </w:rPr>
        <w:t xml:space="preserve">y </w:t>
      </w:r>
      <w:r w:rsidRPr="000D77F2">
        <w:rPr>
          <w:rFonts w:eastAsia="Batang"/>
          <w:sz w:val="16"/>
          <w:szCs w:val="16"/>
          <w:lang w:eastAsia="es-ES"/>
        </w:rPr>
        <w:t>Venezuela (art. 83).</w:t>
      </w:r>
    </w:p>
  </w:footnote>
  <w:footnote w:id="146">
    <w:p w14:paraId="3A053613" w14:textId="6776B74A" w:rsidR="003C025E" w:rsidRPr="002570D1" w:rsidRDefault="003C025E" w:rsidP="00525F0E">
      <w:pPr>
        <w:pStyle w:val="FootnoteText"/>
        <w:rPr>
          <w:sz w:val="16"/>
          <w:szCs w:val="16"/>
          <w:lang w:val="es-AR"/>
        </w:rPr>
      </w:pPr>
      <w:r w:rsidRPr="002570D1">
        <w:rPr>
          <w:rStyle w:val="FootnoteReference"/>
          <w:sz w:val="16"/>
          <w:szCs w:val="16"/>
        </w:rPr>
        <w:footnoteRef/>
      </w:r>
      <w:r w:rsidRPr="002570D1">
        <w:rPr>
          <w:rStyle w:val="FootnoteReference"/>
          <w:sz w:val="16"/>
          <w:szCs w:val="16"/>
          <w:lang w:val="es-AR"/>
        </w:rPr>
        <w:t xml:space="preserve"> </w:t>
      </w:r>
      <w:r>
        <w:rPr>
          <w:sz w:val="16"/>
          <w:szCs w:val="16"/>
          <w:lang w:val="es-AR"/>
        </w:rPr>
        <w:tab/>
      </w:r>
      <w:r w:rsidRPr="0023635B">
        <w:rPr>
          <w:sz w:val="16"/>
          <w:szCs w:val="16"/>
          <w:lang w:val="es-AR"/>
        </w:rPr>
        <w:t>Adoptad</w:t>
      </w:r>
      <w:r>
        <w:rPr>
          <w:sz w:val="16"/>
          <w:szCs w:val="16"/>
          <w:lang w:val="es-AR"/>
        </w:rPr>
        <w:t xml:space="preserve">a por la Asamblea General de la ONU </w:t>
      </w:r>
      <w:r w:rsidRPr="0023635B">
        <w:rPr>
          <w:sz w:val="16"/>
          <w:szCs w:val="16"/>
          <w:lang w:val="es-AR"/>
        </w:rPr>
        <w:t>en su Resolución 217 A (III), el 10 de diciembre de 1948 en París</w:t>
      </w:r>
      <w:r>
        <w:rPr>
          <w:sz w:val="16"/>
          <w:szCs w:val="16"/>
          <w:lang w:val="es-AR"/>
        </w:rPr>
        <w:t xml:space="preserve">. </w:t>
      </w:r>
      <w:r w:rsidRPr="002570D1">
        <w:rPr>
          <w:sz w:val="16"/>
          <w:szCs w:val="16"/>
          <w:lang w:val="es-AR"/>
        </w:rPr>
        <w:t xml:space="preserve"> Artículo 25</w:t>
      </w:r>
      <w:r>
        <w:rPr>
          <w:sz w:val="16"/>
          <w:szCs w:val="16"/>
          <w:lang w:val="es-AR"/>
        </w:rPr>
        <w:t xml:space="preserve">: </w:t>
      </w:r>
      <w:r w:rsidRPr="002570D1">
        <w:rPr>
          <w:sz w:val="16"/>
          <w:szCs w:val="16"/>
          <w:lang w:val="es-AR"/>
        </w:rPr>
        <w:t>1. Toda persona tiene derecho a un nivel de vida adecuado que le asegure, así como a su familia, la salud y el bienestar, y en especial la alimentación, el vestido, la vivienda, la asistencia médica y los servicios sociales necesarios […].</w:t>
      </w:r>
    </w:p>
  </w:footnote>
  <w:footnote w:id="147">
    <w:p w14:paraId="1F8F5858" w14:textId="628CC7A7" w:rsidR="003C025E" w:rsidRPr="002570D1" w:rsidRDefault="003C025E" w:rsidP="002570D1">
      <w:pPr>
        <w:pStyle w:val="FootnoteText"/>
        <w:rPr>
          <w:sz w:val="16"/>
          <w:szCs w:val="16"/>
          <w:lang w:val="es-AR"/>
        </w:rPr>
      </w:pPr>
      <w:r w:rsidRPr="002570D1">
        <w:rPr>
          <w:rStyle w:val="FootnoteReference"/>
          <w:sz w:val="16"/>
          <w:szCs w:val="16"/>
        </w:rPr>
        <w:footnoteRef/>
      </w:r>
      <w:r w:rsidRPr="002570D1">
        <w:rPr>
          <w:rStyle w:val="FootnoteReference"/>
          <w:sz w:val="16"/>
          <w:szCs w:val="16"/>
          <w:lang w:val="es-AR"/>
        </w:rPr>
        <w:t xml:space="preserve"> </w:t>
      </w:r>
      <w:r>
        <w:rPr>
          <w:sz w:val="16"/>
          <w:szCs w:val="16"/>
          <w:lang w:val="es-AR"/>
        </w:rPr>
        <w:tab/>
      </w:r>
      <w:r w:rsidRPr="0023635B">
        <w:rPr>
          <w:sz w:val="16"/>
          <w:szCs w:val="16"/>
          <w:lang w:val="es-AR"/>
        </w:rPr>
        <w:t xml:space="preserve">Adoptado por la Asamblea General </w:t>
      </w:r>
      <w:r>
        <w:rPr>
          <w:sz w:val="16"/>
          <w:szCs w:val="16"/>
          <w:lang w:val="es-AR"/>
        </w:rPr>
        <w:t xml:space="preserve">de la ONU </w:t>
      </w:r>
      <w:r w:rsidRPr="0023635B">
        <w:rPr>
          <w:sz w:val="16"/>
          <w:szCs w:val="16"/>
          <w:lang w:val="es-AR"/>
        </w:rPr>
        <w:t xml:space="preserve">mediante la Resolución 2200A (XXI), de 16 de diciembre de 1966 y en vigor </w:t>
      </w:r>
      <w:r>
        <w:rPr>
          <w:sz w:val="16"/>
          <w:szCs w:val="16"/>
          <w:lang w:val="es-AR"/>
        </w:rPr>
        <w:t xml:space="preserve">desde </w:t>
      </w:r>
      <w:r w:rsidRPr="0023635B">
        <w:rPr>
          <w:sz w:val="16"/>
          <w:szCs w:val="16"/>
          <w:lang w:val="es-AR"/>
        </w:rPr>
        <w:t>el 3 de enero de 1976. Ratificado por Chile el 10 de febrero de 1972</w:t>
      </w:r>
      <w:r w:rsidRPr="008F499B">
        <w:rPr>
          <w:sz w:val="16"/>
          <w:szCs w:val="16"/>
          <w:lang w:val="es-AR"/>
        </w:rPr>
        <w:t>.</w:t>
      </w:r>
      <w:r w:rsidRPr="0023635B">
        <w:rPr>
          <w:sz w:val="16"/>
          <w:szCs w:val="16"/>
          <w:lang w:val="es-AR"/>
        </w:rPr>
        <w:t xml:space="preserve"> </w:t>
      </w:r>
      <w:r>
        <w:rPr>
          <w:sz w:val="16"/>
          <w:szCs w:val="16"/>
          <w:lang w:val="es-AR"/>
        </w:rPr>
        <w:t xml:space="preserve"> En su a</w:t>
      </w:r>
      <w:r w:rsidRPr="002570D1">
        <w:rPr>
          <w:sz w:val="16"/>
          <w:szCs w:val="16"/>
          <w:lang w:val="es-AR"/>
        </w:rPr>
        <w:t>rtículo 12</w:t>
      </w:r>
      <w:proofErr w:type="gramStart"/>
      <w:r>
        <w:rPr>
          <w:sz w:val="16"/>
          <w:szCs w:val="16"/>
          <w:lang w:val="es-AR"/>
        </w:rPr>
        <w:t>,“</w:t>
      </w:r>
      <w:proofErr w:type="gramEnd"/>
      <w:r w:rsidRPr="002570D1">
        <w:rPr>
          <w:sz w:val="16"/>
          <w:szCs w:val="16"/>
          <w:lang w:val="es-AR"/>
        </w:rPr>
        <w:t>Derecho al más alto nivel posible de salud</w:t>
      </w:r>
      <w:r>
        <w:rPr>
          <w:sz w:val="16"/>
          <w:szCs w:val="16"/>
          <w:lang w:val="es-AR"/>
        </w:rPr>
        <w:t>”, e</w:t>
      </w:r>
      <w:r w:rsidRPr="002570D1">
        <w:rPr>
          <w:sz w:val="16"/>
          <w:szCs w:val="16"/>
          <w:lang w:val="es-AR"/>
        </w:rPr>
        <w:t>stablece la obligación de adoptar medidas para reducir la mortinatalidad y la mortalidad infantil; asegurar el sano desarrollo de los niños; mejorar la higiene del trabajo y del medio ambiente; prevenir y tratar enfermedades epidémicas, endémicas y profesionales, así como asegurar la asistencia médica a todos.</w:t>
      </w:r>
      <w:r>
        <w:rPr>
          <w:sz w:val="16"/>
          <w:szCs w:val="16"/>
          <w:lang w:val="es-AR"/>
        </w:rPr>
        <w:t xml:space="preserve"> </w:t>
      </w:r>
    </w:p>
  </w:footnote>
  <w:footnote w:id="148">
    <w:p w14:paraId="10032759" w14:textId="79296F0B" w:rsidR="003C025E" w:rsidRPr="002570D1" w:rsidRDefault="003C025E" w:rsidP="002570D1">
      <w:pPr>
        <w:pStyle w:val="FootnoteText"/>
        <w:rPr>
          <w:sz w:val="16"/>
          <w:szCs w:val="16"/>
          <w:lang w:val="es-AR"/>
        </w:rPr>
      </w:pPr>
      <w:r w:rsidRPr="002570D1">
        <w:rPr>
          <w:rStyle w:val="FootnoteReference"/>
          <w:sz w:val="16"/>
          <w:szCs w:val="16"/>
        </w:rPr>
        <w:footnoteRef/>
      </w:r>
      <w:r w:rsidRPr="002570D1">
        <w:rPr>
          <w:sz w:val="16"/>
          <w:szCs w:val="16"/>
          <w:lang w:val="es-AR"/>
        </w:rPr>
        <w:t xml:space="preserve"> </w:t>
      </w:r>
      <w:r>
        <w:rPr>
          <w:sz w:val="16"/>
          <w:szCs w:val="16"/>
          <w:lang w:val="es-AR"/>
        </w:rPr>
        <w:tab/>
      </w:r>
      <w:r w:rsidRPr="0023635B">
        <w:rPr>
          <w:sz w:val="16"/>
          <w:szCs w:val="16"/>
          <w:lang w:val="es-AR"/>
        </w:rPr>
        <w:t xml:space="preserve">Adoptado por la Asamblea General </w:t>
      </w:r>
      <w:r>
        <w:rPr>
          <w:sz w:val="16"/>
          <w:szCs w:val="16"/>
          <w:lang w:val="es-AR"/>
        </w:rPr>
        <w:t>de la OEA</w:t>
      </w:r>
      <w:r w:rsidRPr="0023635B">
        <w:rPr>
          <w:sz w:val="16"/>
          <w:szCs w:val="16"/>
          <w:lang w:val="es-AR"/>
        </w:rPr>
        <w:t xml:space="preserve"> el 17 de noviembre de 1988 en San Salvador. Entrada en Vigor 16 de Noviembre de 1999. Hasta la actualidad no ha sido ratificado por el Estado de Chile. </w:t>
      </w:r>
      <w:r w:rsidRPr="002570D1">
        <w:rPr>
          <w:sz w:val="16"/>
          <w:szCs w:val="16"/>
          <w:lang w:val="es-AR"/>
        </w:rPr>
        <w:t xml:space="preserve"> Artículo 10</w:t>
      </w:r>
      <w:r>
        <w:rPr>
          <w:sz w:val="16"/>
          <w:szCs w:val="16"/>
          <w:lang w:val="es-AR"/>
        </w:rPr>
        <w:t>.</w:t>
      </w:r>
      <w:r w:rsidRPr="002570D1">
        <w:rPr>
          <w:sz w:val="16"/>
          <w:szCs w:val="16"/>
          <w:lang w:val="es-AR"/>
        </w:rPr>
        <w:t xml:space="preserve"> Derecho a la Salud. 1. Toda persona tiene derecho a la salud, entendida como el disfrute del más alto nivel de bienestar físico, mental y social. 2. Con el fin de hacer efectivo el derecho a la salud los Estados partes se comprometen a reconocer la salud como un bien público y particularmente a adoptar las siguientes medidas para garantizar este derecho: a</w:t>
      </w:r>
      <w:r>
        <w:rPr>
          <w:sz w:val="16"/>
          <w:szCs w:val="16"/>
          <w:lang w:val="es-AR"/>
        </w:rPr>
        <w:t>)</w:t>
      </w:r>
      <w:r w:rsidRPr="002570D1">
        <w:rPr>
          <w:sz w:val="16"/>
          <w:szCs w:val="16"/>
          <w:lang w:val="es-AR"/>
        </w:rPr>
        <w:t xml:space="preserve"> la atención primaria de la salud, entendiendo como tal la asistencia sanitaria esencial puesta al alcance de todos los individuos y familiares de la comunidad; b</w:t>
      </w:r>
      <w:r>
        <w:rPr>
          <w:sz w:val="16"/>
          <w:szCs w:val="16"/>
          <w:lang w:val="es-AR"/>
        </w:rPr>
        <w:t>)</w:t>
      </w:r>
      <w:r w:rsidRPr="002570D1">
        <w:rPr>
          <w:sz w:val="16"/>
          <w:szCs w:val="16"/>
          <w:lang w:val="es-AR"/>
        </w:rPr>
        <w:t xml:space="preserve"> la extensión de los beneficios de los servicios de salud a todos los individuos sujetos a la jurisdicción del Estado; c</w:t>
      </w:r>
      <w:r>
        <w:rPr>
          <w:sz w:val="16"/>
          <w:szCs w:val="16"/>
          <w:lang w:val="es-AR"/>
        </w:rPr>
        <w:t>)</w:t>
      </w:r>
      <w:r w:rsidRPr="002570D1">
        <w:rPr>
          <w:sz w:val="16"/>
          <w:szCs w:val="16"/>
          <w:lang w:val="es-AR"/>
        </w:rPr>
        <w:t xml:space="preserve"> la total inmunización contra las principales enfermedades infecciosas; d</w:t>
      </w:r>
      <w:r>
        <w:rPr>
          <w:sz w:val="16"/>
          <w:szCs w:val="16"/>
          <w:lang w:val="es-AR"/>
        </w:rPr>
        <w:t>)</w:t>
      </w:r>
      <w:r w:rsidRPr="002570D1">
        <w:rPr>
          <w:sz w:val="16"/>
          <w:szCs w:val="16"/>
          <w:lang w:val="es-AR"/>
        </w:rPr>
        <w:t xml:space="preserve"> la prevención y el tratamiento de las enfermedades endémicas, profesionales y de otra índole; e</w:t>
      </w:r>
      <w:r>
        <w:rPr>
          <w:sz w:val="16"/>
          <w:szCs w:val="16"/>
          <w:lang w:val="es-AR"/>
        </w:rPr>
        <w:t>)</w:t>
      </w:r>
      <w:r w:rsidRPr="002570D1">
        <w:rPr>
          <w:sz w:val="16"/>
          <w:szCs w:val="16"/>
          <w:lang w:val="es-AR"/>
        </w:rPr>
        <w:t xml:space="preserve"> la educación de la población sobre la prevención y tratamiento de los problemas de salud, y f</w:t>
      </w:r>
      <w:r>
        <w:rPr>
          <w:sz w:val="16"/>
          <w:szCs w:val="16"/>
          <w:lang w:val="es-AR"/>
        </w:rPr>
        <w:t>)</w:t>
      </w:r>
      <w:r w:rsidRPr="002570D1">
        <w:rPr>
          <w:sz w:val="16"/>
          <w:szCs w:val="16"/>
          <w:lang w:val="es-AR"/>
        </w:rPr>
        <w:t xml:space="preserve"> la satisfacción de las necesidades de salud de los grupos de más alto riesgo y que por sus condiciones de pobreza sean más vulnerables.</w:t>
      </w:r>
    </w:p>
  </w:footnote>
  <w:footnote w:id="149">
    <w:p w14:paraId="64092AEA" w14:textId="601A25F3" w:rsidR="003C025E" w:rsidRPr="002570D1" w:rsidRDefault="003C025E" w:rsidP="002570D1">
      <w:pPr>
        <w:pStyle w:val="FootnoteText"/>
        <w:rPr>
          <w:sz w:val="16"/>
          <w:szCs w:val="16"/>
          <w:lang w:val="es-AR"/>
        </w:rPr>
      </w:pPr>
      <w:r w:rsidRPr="002570D1">
        <w:rPr>
          <w:rStyle w:val="FootnoteReference"/>
          <w:sz w:val="16"/>
          <w:szCs w:val="16"/>
        </w:rPr>
        <w:footnoteRef/>
      </w:r>
      <w:r w:rsidRPr="002570D1">
        <w:rPr>
          <w:sz w:val="16"/>
          <w:szCs w:val="16"/>
          <w:lang w:val="es-AR"/>
        </w:rPr>
        <w:t xml:space="preserve"> </w:t>
      </w:r>
      <w:r>
        <w:rPr>
          <w:sz w:val="16"/>
          <w:szCs w:val="16"/>
          <w:lang w:val="es-AR"/>
        </w:rPr>
        <w:tab/>
      </w:r>
      <w:r w:rsidRPr="0023635B">
        <w:rPr>
          <w:sz w:val="16"/>
          <w:szCs w:val="16"/>
          <w:lang w:val="es-AR"/>
        </w:rPr>
        <w:t xml:space="preserve">Adoptada por la Asamblea General </w:t>
      </w:r>
      <w:r>
        <w:rPr>
          <w:sz w:val="16"/>
          <w:szCs w:val="16"/>
          <w:lang w:val="es-AR"/>
        </w:rPr>
        <w:t xml:space="preserve">de la ONU </w:t>
      </w:r>
      <w:r w:rsidRPr="0023635B">
        <w:rPr>
          <w:sz w:val="16"/>
          <w:szCs w:val="16"/>
          <w:lang w:val="es-AR"/>
        </w:rPr>
        <w:t xml:space="preserve">en su </w:t>
      </w:r>
      <w:r>
        <w:rPr>
          <w:sz w:val="16"/>
          <w:szCs w:val="16"/>
          <w:lang w:val="es-AR"/>
        </w:rPr>
        <w:t>R</w:t>
      </w:r>
      <w:r w:rsidRPr="0023635B">
        <w:rPr>
          <w:sz w:val="16"/>
          <w:szCs w:val="16"/>
          <w:lang w:val="es-AR"/>
        </w:rPr>
        <w:t>esolución 2106 A (XX), de 21 de diciembre de 1965. Entrada en vigor el 4 de enero de 1969. Entrada en vigor internacional para Chile el 19 de noviembre de 1971</w:t>
      </w:r>
      <w:r>
        <w:rPr>
          <w:sz w:val="16"/>
          <w:szCs w:val="16"/>
          <w:lang w:val="es-AR"/>
        </w:rPr>
        <w:t>.</w:t>
      </w:r>
      <w:r w:rsidRPr="002570D1">
        <w:rPr>
          <w:sz w:val="16"/>
          <w:szCs w:val="16"/>
          <w:lang w:val="es-AR"/>
        </w:rPr>
        <w:t xml:space="preserve"> Artículo 5</w:t>
      </w:r>
      <w:r>
        <w:rPr>
          <w:sz w:val="16"/>
          <w:szCs w:val="16"/>
          <w:lang w:val="es-AR"/>
        </w:rPr>
        <w:t>.</w:t>
      </w:r>
      <w:r w:rsidRPr="002570D1">
        <w:rPr>
          <w:sz w:val="16"/>
          <w:szCs w:val="16"/>
          <w:lang w:val="es-AR"/>
        </w:rPr>
        <w:t xml:space="preserve"> En conformidad con las obligaciones fundamentales estipuladas en el artículo 2 de la presente Convención, los Estados partes se comprometen a prohibir y eliminar la discriminación racial en todas sus formas y a garantizar el derecho de toda persona a la igualdad ante la ley, sin distinción de raza, color y origen nacional o étnico, particularmente en el goce de los derechos siguientes:</w:t>
      </w:r>
    </w:p>
    <w:p w14:paraId="4EC04BF1" w14:textId="38E981E5" w:rsidR="003C025E" w:rsidRPr="002570D1" w:rsidRDefault="003C025E" w:rsidP="002570D1">
      <w:pPr>
        <w:pStyle w:val="FootnoteText"/>
        <w:rPr>
          <w:sz w:val="16"/>
          <w:szCs w:val="16"/>
          <w:lang w:val="es-AR"/>
        </w:rPr>
      </w:pPr>
      <w:r>
        <w:rPr>
          <w:sz w:val="16"/>
          <w:szCs w:val="16"/>
          <w:lang w:val="es-AR"/>
        </w:rPr>
        <w:t xml:space="preserve">[…] </w:t>
      </w:r>
      <w:r w:rsidRPr="002570D1">
        <w:rPr>
          <w:sz w:val="16"/>
          <w:szCs w:val="16"/>
          <w:lang w:val="es-AR"/>
        </w:rPr>
        <w:t>e) Los derechos económicos, sociales y culturales, en particular:</w:t>
      </w:r>
    </w:p>
    <w:p w14:paraId="422E3CD5" w14:textId="56BC8ACE" w:rsidR="003C025E" w:rsidRPr="002570D1" w:rsidRDefault="003C025E" w:rsidP="002570D1">
      <w:pPr>
        <w:pStyle w:val="FootnoteText"/>
        <w:rPr>
          <w:sz w:val="16"/>
          <w:szCs w:val="16"/>
          <w:lang w:val="es-AR"/>
        </w:rPr>
      </w:pPr>
      <w:r>
        <w:rPr>
          <w:sz w:val="16"/>
          <w:szCs w:val="16"/>
          <w:lang w:val="es-AR"/>
        </w:rPr>
        <w:t xml:space="preserve">[…] </w:t>
      </w:r>
      <w:r w:rsidRPr="002570D1">
        <w:rPr>
          <w:sz w:val="16"/>
          <w:szCs w:val="16"/>
        </w:rPr>
        <w:t>iv) El derecho a la salud pública, la asistencia médica, la seguridad social y los servicios sociales</w:t>
      </w:r>
      <w:r>
        <w:rPr>
          <w:sz w:val="16"/>
          <w:szCs w:val="16"/>
        </w:rPr>
        <w:t xml:space="preserve"> […]</w:t>
      </w:r>
    </w:p>
  </w:footnote>
  <w:footnote w:id="150">
    <w:p w14:paraId="02E0A0E2" w14:textId="292C0E78" w:rsidR="003C025E" w:rsidRPr="002570D1" w:rsidRDefault="003C025E" w:rsidP="002570D1">
      <w:pPr>
        <w:pStyle w:val="FootnoteText"/>
        <w:rPr>
          <w:sz w:val="16"/>
          <w:szCs w:val="16"/>
          <w:lang w:val="es-AR"/>
        </w:rPr>
      </w:pPr>
      <w:r w:rsidRPr="002570D1">
        <w:rPr>
          <w:rStyle w:val="FootnoteReference"/>
          <w:sz w:val="16"/>
          <w:szCs w:val="16"/>
        </w:rPr>
        <w:footnoteRef/>
      </w:r>
      <w:r w:rsidRPr="002570D1">
        <w:rPr>
          <w:rStyle w:val="FootnoteReference"/>
          <w:sz w:val="16"/>
          <w:szCs w:val="16"/>
          <w:lang w:val="es-CR"/>
        </w:rPr>
        <w:t xml:space="preserve"> </w:t>
      </w:r>
      <w:r>
        <w:rPr>
          <w:rStyle w:val="FootnoteReference"/>
          <w:sz w:val="16"/>
          <w:szCs w:val="16"/>
          <w:lang w:val="es-CR"/>
        </w:rPr>
        <w:tab/>
      </w:r>
      <w:r w:rsidRPr="0023635B">
        <w:rPr>
          <w:sz w:val="16"/>
          <w:szCs w:val="16"/>
          <w:lang w:val="es-CR"/>
        </w:rPr>
        <w:t xml:space="preserve">Aprobada por la Asamblea General </w:t>
      </w:r>
      <w:r>
        <w:rPr>
          <w:sz w:val="16"/>
          <w:szCs w:val="16"/>
          <w:lang w:val="es-AR"/>
        </w:rPr>
        <w:t xml:space="preserve">de la ONU </w:t>
      </w:r>
      <w:r w:rsidRPr="0023635B">
        <w:rPr>
          <w:sz w:val="16"/>
          <w:szCs w:val="16"/>
          <w:lang w:val="es-CR"/>
        </w:rPr>
        <w:t>el 18 de diciembre de 1979</w:t>
      </w:r>
      <w:r>
        <w:rPr>
          <w:sz w:val="16"/>
          <w:szCs w:val="16"/>
          <w:lang w:val="es-CR"/>
        </w:rPr>
        <w:t>. E</w:t>
      </w:r>
      <w:r w:rsidRPr="0023635B">
        <w:rPr>
          <w:sz w:val="16"/>
          <w:szCs w:val="16"/>
          <w:lang w:val="es-CR"/>
        </w:rPr>
        <w:t>ntrada en vigen</w:t>
      </w:r>
      <w:r>
        <w:rPr>
          <w:sz w:val="16"/>
          <w:szCs w:val="16"/>
          <w:lang w:val="es-CR"/>
        </w:rPr>
        <w:t>cia el 3 de septiembre de 1981.</w:t>
      </w:r>
      <w:r w:rsidRPr="002570D1">
        <w:rPr>
          <w:sz w:val="16"/>
          <w:szCs w:val="16"/>
          <w:lang w:val="es-AR"/>
        </w:rPr>
        <w:t xml:space="preserve"> Artículo 12</w:t>
      </w:r>
      <w:r>
        <w:rPr>
          <w:sz w:val="16"/>
          <w:szCs w:val="16"/>
          <w:lang w:val="es-AR"/>
        </w:rPr>
        <w:t>.</w:t>
      </w:r>
      <w:r w:rsidRPr="002570D1">
        <w:rPr>
          <w:sz w:val="16"/>
          <w:szCs w:val="16"/>
          <w:lang w:val="es-AR"/>
        </w:rPr>
        <w:t xml:space="preserve"> 1. Los Estados Partes adoptarán todas las medidas apropiadas para eliminar la discriminación contra la mujer en la esfera de la atención médica a fin de asegurar, en condiciones de igualdad entre hombres y mujeres, el acceso a servicios de atención médica, inclusive los que se refieren a la planificación de la familia.</w:t>
      </w:r>
    </w:p>
  </w:footnote>
  <w:footnote w:id="151">
    <w:p w14:paraId="7E88A7FC" w14:textId="24131BE2" w:rsidR="003C025E" w:rsidRPr="002570D1" w:rsidRDefault="003C025E" w:rsidP="002570D1">
      <w:pPr>
        <w:pStyle w:val="FootnoteText"/>
        <w:rPr>
          <w:sz w:val="16"/>
          <w:szCs w:val="16"/>
          <w:lang w:val="es-AR"/>
        </w:rPr>
      </w:pPr>
      <w:r w:rsidRPr="002570D1">
        <w:rPr>
          <w:rStyle w:val="FootnoteReference"/>
          <w:sz w:val="16"/>
          <w:szCs w:val="16"/>
        </w:rPr>
        <w:footnoteRef/>
      </w:r>
      <w:r w:rsidRPr="002570D1">
        <w:rPr>
          <w:sz w:val="16"/>
          <w:szCs w:val="16"/>
          <w:lang w:val="es-AR"/>
        </w:rPr>
        <w:t xml:space="preserve"> </w:t>
      </w:r>
      <w:r>
        <w:rPr>
          <w:sz w:val="16"/>
          <w:szCs w:val="16"/>
          <w:lang w:val="es-AR"/>
        </w:rPr>
        <w:tab/>
      </w:r>
      <w:r w:rsidRPr="0023635B">
        <w:rPr>
          <w:sz w:val="16"/>
          <w:szCs w:val="16"/>
          <w:lang w:val="es-AR"/>
        </w:rPr>
        <w:t xml:space="preserve">Adoptada por la Asamblea General </w:t>
      </w:r>
      <w:r>
        <w:rPr>
          <w:sz w:val="16"/>
          <w:szCs w:val="16"/>
          <w:lang w:val="es-AR"/>
        </w:rPr>
        <w:t xml:space="preserve">de la ONU </w:t>
      </w:r>
      <w:r w:rsidRPr="0023635B">
        <w:rPr>
          <w:sz w:val="16"/>
          <w:szCs w:val="16"/>
          <w:lang w:val="es-AR"/>
        </w:rPr>
        <w:t xml:space="preserve">en su </w:t>
      </w:r>
      <w:r>
        <w:rPr>
          <w:sz w:val="16"/>
          <w:szCs w:val="16"/>
          <w:lang w:val="es-AR"/>
        </w:rPr>
        <w:t>R</w:t>
      </w:r>
      <w:r w:rsidRPr="0023635B">
        <w:rPr>
          <w:sz w:val="16"/>
          <w:szCs w:val="16"/>
          <w:lang w:val="es-AR"/>
        </w:rPr>
        <w:t>esolución 44/25, de 20 de noviembre de 1989</w:t>
      </w:r>
      <w:r>
        <w:rPr>
          <w:sz w:val="16"/>
          <w:szCs w:val="16"/>
          <w:lang w:val="es-AR"/>
        </w:rPr>
        <w:t>. E</w:t>
      </w:r>
      <w:r w:rsidRPr="0023635B">
        <w:rPr>
          <w:sz w:val="16"/>
          <w:szCs w:val="16"/>
          <w:lang w:val="es-AR"/>
        </w:rPr>
        <w:t>ntrada en vigor el 2 de septiembre de 1990. Ratificado por</w:t>
      </w:r>
      <w:r>
        <w:rPr>
          <w:sz w:val="16"/>
          <w:szCs w:val="16"/>
          <w:lang w:val="es-AR"/>
        </w:rPr>
        <w:t xml:space="preserve"> Chile el 14 de agosto de 1990.</w:t>
      </w:r>
      <w:r w:rsidRPr="002570D1">
        <w:rPr>
          <w:sz w:val="16"/>
          <w:szCs w:val="16"/>
          <w:lang w:val="es-AR"/>
        </w:rPr>
        <w:t xml:space="preserve"> Artículo 24</w:t>
      </w:r>
      <w:r>
        <w:rPr>
          <w:sz w:val="16"/>
          <w:szCs w:val="16"/>
          <w:lang w:val="es-AR"/>
        </w:rPr>
        <w:t>.</w:t>
      </w:r>
      <w:r w:rsidRPr="002570D1">
        <w:rPr>
          <w:sz w:val="16"/>
          <w:szCs w:val="16"/>
          <w:lang w:val="es-AR"/>
        </w:rPr>
        <w:t xml:space="preserve"> 1. 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w:t>
      </w:r>
      <w:r>
        <w:rPr>
          <w:sz w:val="16"/>
          <w:szCs w:val="16"/>
          <w:lang w:val="es-AR"/>
        </w:rPr>
        <w:t xml:space="preserve"> [..</w:t>
      </w:r>
      <w:r w:rsidRPr="002570D1">
        <w:rPr>
          <w:sz w:val="16"/>
          <w:szCs w:val="16"/>
          <w:lang w:val="es-AR"/>
        </w:rPr>
        <w:t>.</w:t>
      </w:r>
      <w:r>
        <w:rPr>
          <w:sz w:val="16"/>
          <w:szCs w:val="16"/>
          <w:lang w:val="es-AR"/>
        </w:rPr>
        <w:t>]</w:t>
      </w:r>
      <w:r w:rsidRPr="002570D1">
        <w:rPr>
          <w:sz w:val="16"/>
          <w:szCs w:val="16"/>
          <w:lang w:val="es-AR"/>
        </w:rPr>
        <w:t xml:space="preserve"> </w:t>
      </w:r>
    </w:p>
  </w:footnote>
  <w:footnote w:id="152">
    <w:p w14:paraId="5BA15CFE" w14:textId="7C5F8770" w:rsidR="003C025E" w:rsidRPr="002570D1" w:rsidRDefault="003C025E" w:rsidP="002570D1">
      <w:pPr>
        <w:pStyle w:val="FootnoteText"/>
        <w:rPr>
          <w:sz w:val="16"/>
          <w:szCs w:val="16"/>
          <w:lang w:val="es-AR"/>
        </w:rPr>
      </w:pPr>
      <w:r w:rsidRPr="002570D1">
        <w:rPr>
          <w:rStyle w:val="FootnoteReference"/>
          <w:sz w:val="16"/>
          <w:szCs w:val="16"/>
        </w:rPr>
        <w:footnoteRef/>
      </w:r>
      <w:r w:rsidRPr="002570D1">
        <w:rPr>
          <w:sz w:val="16"/>
          <w:szCs w:val="16"/>
          <w:lang w:val="es-AR"/>
        </w:rPr>
        <w:t xml:space="preserve"> </w:t>
      </w:r>
      <w:r>
        <w:rPr>
          <w:sz w:val="16"/>
          <w:szCs w:val="16"/>
          <w:lang w:val="es-AR"/>
        </w:rPr>
        <w:tab/>
      </w:r>
      <w:r w:rsidRPr="0023635B">
        <w:rPr>
          <w:sz w:val="16"/>
          <w:szCs w:val="16"/>
          <w:lang w:val="es-AR"/>
        </w:rPr>
        <w:t xml:space="preserve">Adoptada por la Asamblea General </w:t>
      </w:r>
      <w:r>
        <w:rPr>
          <w:sz w:val="16"/>
          <w:szCs w:val="16"/>
          <w:lang w:val="es-AR"/>
        </w:rPr>
        <w:t xml:space="preserve">de la ONU </w:t>
      </w:r>
      <w:r w:rsidRPr="0023635B">
        <w:rPr>
          <w:sz w:val="16"/>
          <w:szCs w:val="16"/>
          <w:lang w:val="es-AR"/>
        </w:rPr>
        <w:t xml:space="preserve">en su </w:t>
      </w:r>
      <w:r>
        <w:rPr>
          <w:sz w:val="16"/>
          <w:szCs w:val="16"/>
          <w:lang w:val="es-AR"/>
        </w:rPr>
        <w:t>R</w:t>
      </w:r>
      <w:r w:rsidRPr="0023635B">
        <w:rPr>
          <w:sz w:val="16"/>
          <w:szCs w:val="16"/>
          <w:lang w:val="es-AR"/>
        </w:rPr>
        <w:t xml:space="preserve">esolución 45/158, de 18 de diciembre de 1990. Ratificado por </w:t>
      </w:r>
      <w:r>
        <w:rPr>
          <w:sz w:val="16"/>
          <w:szCs w:val="16"/>
          <w:lang w:val="es-AR"/>
        </w:rPr>
        <w:t>C</w:t>
      </w:r>
      <w:r w:rsidRPr="0023635B">
        <w:rPr>
          <w:sz w:val="16"/>
          <w:szCs w:val="16"/>
          <w:lang w:val="es-AR"/>
        </w:rPr>
        <w:t>hile el 12 de abril de 2005</w:t>
      </w:r>
      <w:r>
        <w:rPr>
          <w:sz w:val="16"/>
          <w:szCs w:val="16"/>
          <w:lang w:val="es-AR"/>
        </w:rPr>
        <w:t>.</w:t>
      </w:r>
      <w:r w:rsidRPr="002570D1">
        <w:rPr>
          <w:sz w:val="16"/>
          <w:szCs w:val="16"/>
          <w:lang w:val="es-AR"/>
        </w:rPr>
        <w:t xml:space="preserve"> Artículo 28</w:t>
      </w:r>
      <w:r>
        <w:rPr>
          <w:sz w:val="16"/>
          <w:szCs w:val="16"/>
          <w:lang w:val="es-AR"/>
        </w:rPr>
        <w:t>.</w:t>
      </w:r>
      <w:r w:rsidRPr="002570D1">
        <w:rPr>
          <w:sz w:val="16"/>
          <w:szCs w:val="16"/>
          <w:lang w:val="es-AR"/>
        </w:rPr>
        <w:t xml:space="preserve"> Los trabajadores migratorios y sus familiares tendrán derecho a recibir cualquier tipo de atención médica urgente que resulte necesaria para preservar su vida o para evitar daños irreparables a su salud en condiciones de igualdad de trato con los nacionales del Estado de que se trate. Esa atención médica de urgencia no podrá negarse por motivos de irregularidad en lo que respecta a la permanencia o al empleo. </w:t>
      </w:r>
    </w:p>
  </w:footnote>
  <w:footnote w:id="153">
    <w:p w14:paraId="58796300" w14:textId="44166AB3" w:rsidR="003C025E" w:rsidRPr="002570D1" w:rsidRDefault="003C025E" w:rsidP="002570D1">
      <w:pPr>
        <w:pStyle w:val="FootnoteText"/>
        <w:rPr>
          <w:sz w:val="16"/>
          <w:szCs w:val="16"/>
          <w:lang w:val="es-AR"/>
        </w:rPr>
      </w:pPr>
      <w:r w:rsidRPr="002570D1">
        <w:rPr>
          <w:rStyle w:val="FootnoteReference"/>
          <w:sz w:val="16"/>
          <w:szCs w:val="16"/>
        </w:rPr>
        <w:footnoteRef/>
      </w:r>
      <w:r w:rsidRPr="002570D1">
        <w:rPr>
          <w:sz w:val="16"/>
          <w:szCs w:val="16"/>
          <w:lang w:val="es-AR"/>
        </w:rPr>
        <w:t xml:space="preserve"> </w:t>
      </w:r>
      <w:r>
        <w:rPr>
          <w:sz w:val="16"/>
          <w:szCs w:val="16"/>
          <w:lang w:val="es-AR"/>
        </w:rPr>
        <w:tab/>
      </w:r>
      <w:r w:rsidRPr="0023635B">
        <w:rPr>
          <w:sz w:val="16"/>
          <w:szCs w:val="16"/>
          <w:lang w:val="es-AR"/>
        </w:rPr>
        <w:t>Aprobad</w:t>
      </w:r>
      <w:r>
        <w:rPr>
          <w:sz w:val="16"/>
          <w:szCs w:val="16"/>
          <w:lang w:val="es-AR"/>
        </w:rPr>
        <w:t>a</w:t>
      </w:r>
      <w:r w:rsidRPr="0023635B">
        <w:rPr>
          <w:sz w:val="16"/>
          <w:szCs w:val="16"/>
          <w:lang w:val="es-AR"/>
        </w:rPr>
        <w:t xml:space="preserve"> por la Asamblea General </w:t>
      </w:r>
      <w:r>
        <w:rPr>
          <w:sz w:val="16"/>
          <w:szCs w:val="16"/>
          <w:lang w:val="es-AR"/>
        </w:rPr>
        <w:t xml:space="preserve">de la ONU </w:t>
      </w:r>
      <w:r w:rsidRPr="0023635B">
        <w:rPr>
          <w:sz w:val="16"/>
          <w:szCs w:val="16"/>
          <w:lang w:val="es-AR"/>
        </w:rPr>
        <w:t>el 13 de diciembre de 2006</w:t>
      </w:r>
      <w:r>
        <w:rPr>
          <w:sz w:val="16"/>
          <w:szCs w:val="16"/>
          <w:lang w:val="es-AR"/>
        </w:rPr>
        <w:t>. Entrada</w:t>
      </w:r>
      <w:r w:rsidRPr="0023635B">
        <w:rPr>
          <w:sz w:val="16"/>
          <w:szCs w:val="16"/>
          <w:lang w:val="es-AR"/>
        </w:rPr>
        <w:t xml:space="preserve"> en vigor el 3 de mayo de 2008.  Ratificad</w:t>
      </w:r>
      <w:r>
        <w:rPr>
          <w:sz w:val="16"/>
          <w:szCs w:val="16"/>
          <w:lang w:val="es-AR"/>
        </w:rPr>
        <w:t>a</w:t>
      </w:r>
      <w:r w:rsidRPr="0023635B">
        <w:rPr>
          <w:sz w:val="16"/>
          <w:szCs w:val="16"/>
          <w:lang w:val="es-AR"/>
        </w:rPr>
        <w:t xml:space="preserve"> por Chile el 25 de agosto de 2008. </w:t>
      </w:r>
      <w:r w:rsidRPr="002570D1">
        <w:rPr>
          <w:sz w:val="16"/>
          <w:szCs w:val="16"/>
          <w:lang w:val="es-AR"/>
        </w:rPr>
        <w:t>Artículo 25</w:t>
      </w:r>
      <w:r>
        <w:rPr>
          <w:sz w:val="16"/>
          <w:szCs w:val="16"/>
          <w:lang w:val="es-AR"/>
        </w:rPr>
        <w:t>.</w:t>
      </w:r>
      <w:r w:rsidRPr="002570D1">
        <w:rPr>
          <w:sz w:val="16"/>
          <w:szCs w:val="16"/>
          <w:lang w:val="es-AR"/>
        </w:rPr>
        <w:t xml:space="preserve"> Los Estados Partes reconocen que las personas con discapacidad tienen derecho a gozar del más alto nivel posible de salud sin discriminación por motivos de discapacidad. Los Estados Partes adoptarán las medidas pertinentes para asegurar el acceso de las personas con discapacidad a servicios de salud que tengan en cuenta las cuestiones de género, incluida la rehabilitación relacionada con la salud.  </w:t>
      </w:r>
    </w:p>
  </w:footnote>
  <w:footnote w:id="154">
    <w:p w14:paraId="43D7D1F7" w14:textId="41667DD1" w:rsidR="003C025E" w:rsidRPr="002570D1" w:rsidRDefault="003C025E" w:rsidP="00795461">
      <w:pPr>
        <w:pStyle w:val="FootnoteText"/>
        <w:rPr>
          <w:sz w:val="16"/>
          <w:szCs w:val="16"/>
          <w:lang w:val="es-CR"/>
        </w:rPr>
      </w:pPr>
      <w:r w:rsidRPr="002570D1">
        <w:rPr>
          <w:rStyle w:val="FootnoteReference"/>
          <w:sz w:val="16"/>
          <w:szCs w:val="16"/>
        </w:rPr>
        <w:footnoteRef/>
      </w:r>
      <w:r w:rsidRPr="002570D1">
        <w:rPr>
          <w:sz w:val="16"/>
          <w:szCs w:val="16"/>
          <w:lang w:val="es-CR"/>
        </w:rPr>
        <w:t xml:space="preserve"> </w:t>
      </w:r>
      <w:r>
        <w:rPr>
          <w:sz w:val="16"/>
          <w:szCs w:val="16"/>
          <w:lang w:val="es-CR"/>
        </w:rPr>
        <w:t xml:space="preserve">  </w:t>
      </w:r>
      <w:r>
        <w:rPr>
          <w:sz w:val="16"/>
          <w:szCs w:val="16"/>
          <w:lang w:val="es-CR"/>
        </w:rPr>
        <w:tab/>
      </w:r>
      <w:r w:rsidRPr="0000041A">
        <w:rPr>
          <w:sz w:val="16"/>
          <w:szCs w:val="16"/>
          <w:lang w:val="es-CR"/>
        </w:rPr>
        <w:t xml:space="preserve">Aprobada en la </w:t>
      </w:r>
      <w:r>
        <w:rPr>
          <w:sz w:val="16"/>
          <w:szCs w:val="16"/>
          <w:lang w:val="es-CR"/>
        </w:rPr>
        <w:t>S</w:t>
      </w:r>
      <w:r w:rsidRPr="0000041A">
        <w:rPr>
          <w:sz w:val="16"/>
          <w:szCs w:val="16"/>
          <w:lang w:val="es-CR"/>
        </w:rPr>
        <w:t xml:space="preserve">egunda </w:t>
      </w:r>
      <w:r>
        <w:rPr>
          <w:sz w:val="16"/>
          <w:szCs w:val="16"/>
          <w:lang w:val="es-CR"/>
        </w:rPr>
        <w:t>S</w:t>
      </w:r>
      <w:r w:rsidRPr="0000041A">
        <w:rPr>
          <w:sz w:val="16"/>
          <w:szCs w:val="16"/>
          <w:lang w:val="es-CR"/>
        </w:rPr>
        <w:t xml:space="preserve">esión </w:t>
      </w:r>
      <w:r>
        <w:rPr>
          <w:sz w:val="16"/>
          <w:szCs w:val="16"/>
          <w:lang w:val="es-CR"/>
        </w:rPr>
        <w:t>P</w:t>
      </w:r>
      <w:r w:rsidRPr="0000041A">
        <w:rPr>
          <w:sz w:val="16"/>
          <w:szCs w:val="16"/>
          <w:lang w:val="es-CR"/>
        </w:rPr>
        <w:t>lenaria</w:t>
      </w:r>
      <w:r>
        <w:rPr>
          <w:sz w:val="16"/>
          <w:szCs w:val="16"/>
          <w:lang w:val="es-CR"/>
        </w:rPr>
        <w:t xml:space="preserve"> de la Asamblea General de la OEA</w:t>
      </w:r>
      <w:r w:rsidRPr="0000041A">
        <w:rPr>
          <w:sz w:val="16"/>
          <w:szCs w:val="16"/>
          <w:lang w:val="es-CR"/>
        </w:rPr>
        <w:t>, celebrada el 4 de junio de 2012</w:t>
      </w:r>
      <w:r>
        <w:rPr>
          <w:sz w:val="16"/>
          <w:szCs w:val="16"/>
          <w:lang w:val="es-CR"/>
        </w:rPr>
        <w:t>.</w:t>
      </w:r>
      <w:r w:rsidRPr="0000041A">
        <w:rPr>
          <w:sz w:val="16"/>
          <w:szCs w:val="16"/>
          <w:lang w:val="es-CR"/>
        </w:rPr>
        <w:t xml:space="preserve"> </w:t>
      </w:r>
      <w:r>
        <w:rPr>
          <w:sz w:val="16"/>
          <w:szCs w:val="16"/>
          <w:lang w:val="es-CR"/>
        </w:rPr>
        <w:t>E</w:t>
      </w:r>
      <w:r w:rsidRPr="0000041A">
        <w:rPr>
          <w:sz w:val="16"/>
          <w:szCs w:val="16"/>
          <w:lang w:val="es-CR"/>
        </w:rPr>
        <w:t>n su artículo 17 contempla la reafirmación de los Estados de que el goce del grado máximo de salud que se pueda lograr es uno de los derechos fundamentales de todo ser humano sin discriminación y su reconocimiento de que la salud es una condición fundamental para la inclusión y cohesión social, el desarrollo integral y el crecimiento económico con equidad. A su vez, por lo que respecta al desarrollo integral, prevé en el artículo 33</w:t>
      </w:r>
      <w:r>
        <w:rPr>
          <w:sz w:val="16"/>
          <w:szCs w:val="16"/>
          <w:lang w:val="es-CR"/>
        </w:rPr>
        <w:t>,</w:t>
      </w:r>
      <w:r w:rsidRPr="0000041A">
        <w:rPr>
          <w:sz w:val="16"/>
          <w:szCs w:val="16"/>
          <w:lang w:val="es-CR"/>
        </w:rPr>
        <w:t xml:space="preserve"> segundo párrafo, la mención expresa al campo de la salud</w:t>
      </w:r>
      <w:r>
        <w:rPr>
          <w:sz w:val="16"/>
          <w:szCs w:val="16"/>
          <w:lang w:val="es-CR"/>
        </w:rPr>
        <w:t>.</w:t>
      </w:r>
    </w:p>
  </w:footnote>
  <w:footnote w:id="155">
    <w:p w14:paraId="18B63D14" w14:textId="4892CEA4" w:rsidR="003C025E" w:rsidRPr="00B1523A" w:rsidRDefault="003C025E">
      <w:pPr>
        <w:pStyle w:val="FootnoteText"/>
      </w:pPr>
      <w:r w:rsidRPr="00B1523A">
        <w:rPr>
          <w:rStyle w:val="FootnoteReference"/>
          <w:sz w:val="16"/>
        </w:rPr>
        <w:footnoteRef/>
      </w:r>
      <w:r>
        <w:t xml:space="preserve"> </w:t>
      </w:r>
      <w:r>
        <w:tab/>
      </w:r>
      <w:r w:rsidRPr="005430FF">
        <w:rPr>
          <w:sz w:val="16"/>
          <w:szCs w:val="16"/>
          <w:lang w:val="es-AR"/>
        </w:rPr>
        <w:t>Consejo de Europa</w:t>
      </w:r>
      <w:r>
        <w:rPr>
          <w:sz w:val="16"/>
          <w:szCs w:val="16"/>
          <w:lang w:val="es-AR"/>
        </w:rPr>
        <w:t xml:space="preserve"> (Estrasburgo). Aprobada en</w:t>
      </w:r>
      <w:r w:rsidRPr="005430FF">
        <w:rPr>
          <w:sz w:val="16"/>
          <w:szCs w:val="16"/>
          <w:lang w:val="es-AR"/>
        </w:rPr>
        <w:t xml:space="preserve"> Turín</w:t>
      </w:r>
      <w:r>
        <w:rPr>
          <w:sz w:val="16"/>
          <w:szCs w:val="16"/>
          <w:lang w:val="es-AR"/>
        </w:rPr>
        <w:t xml:space="preserve"> el</w:t>
      </w:r>
      <w:r w:rsidRPr="005430FF">
        <w:rPr>
          <w:sz w:val="16"/>
          <w:szCs w:val="16"/>
          <w:lang w:val="es-AR"/>
        </w:rPr>
        <w:t xml:space="preserve"> 18 de octub</w:t>
      </w:r>
      <w:r>
        <w:rPr>
          <w:sz w:val="16"/>
          <w:szCs w:val="16"/>
          <w:lang w:val="es-AR"/>
        </w:rPr>
        <w:t>re de 1961</w:t>
      </w:r>
      <w:proofErr w:type="gramStart"/>
      <w:r>
        <w:rPr>
          <w:sz w:val="16"/>
          <w:szCs w:val="16"/>
          <w:lang w:val="es-AR"/>
        </w:rPr>
        <w:t>..</w:t>
      </w:r>
      <w:proofErr w:type="gramEnd"/>
      <w:r>
        <w:rPr>
          <w:sz w:val="16"/>
          <w:szCs w:val="16"/>
          <w:lang w:val="es-AR"/>
        </w:rPr>
        <w:t xml:space="preserve"> </w:t>
      </w:r>
      <w:r w:rsidRPr="005430FF">
        <w:rPr>
          <w:sz w:val="16"/>
          <w:szCs w:val="16"/>
          <w:lang w:val="es-AR"/>
        </w:rPr>
        <w:t>Artículo 11: Derecho a la protección de la salud. Para garantizar el ejercicio efectivo del derecho a la protección de la salud, las partes contratantes se comprometen a adoptar, directamente o en cooperación con organizaciones públicas o privadas, medidas adecuadas para entre otros fines: 1) Eliminar, en lo posible, las causas de una salud deficiente</w:t>
      </w:r>
      <w:proofErr w:type="gramStart"/>
      <w:r>
        <w:rPr>
          <w:sz w:val="16"/>
          <w:szCs w:val="16"/>
          <w:lang w:val="es-AR"/>
        </w:rPr>
        <w:t>;</w:t>
      </w:r>
      <w:r w:rsidRPr="005430FF">
        <w:rPr>
          <w:sz w:val="16"/>
          <w:szCs w:val="16"/>
          <w:lang w:val="es-AR"/>
        </w:rPr>
        <w:t>.</w:t>
      </w:r>
      <w:proofErr w:type="gramEnd"/>
      <w:r w:rsidRPr="005430FF">
        <w:rPr>
          <w:sz w:val="16"/>
          <w:szCs w:val="16"/>
          <w:lang w:val="es-AR"/>
        </w:rPr>
        <w:t xml:space="preserve"> 2) Establecer servicios educacionales y de consulta dirigidos a la mejora de la salud y a estimular el sentido de responsabilidad individual en lo concerniente a la misma</w:t>
      </w:r>
      <w:r>
        <w:rPr>
          <w:sz w:val="16"/>
          <w:szCs w:val="16"/>
          <w:lang w:val="es-AR"/>
        </w:rPr>
        <w:t>, [y]</w:t>
      </w:r>
      <w:r w:rsidRPr="005430FF">
        <w:rPr>
          <w:sz w:val="16"/>
          <w:szCs w:val="16"/>
          <w:lang w:val="es-AR"/>
        </w:rPr>
        <w:t xml:space="preserve">. </w:t>
      </w:r>
      <w:r>
        <w:rPr>
          <w:sz w:val="16"/>
          <w:szCs w:val="16"/>
          <w:lang w:val="es-AR"/>
        </w:rPr>
        <w:t xml:space="preserve"> </w:t>
      </w:r>
      <w:r w:rsidRPr="005430FF">
        <w:rPr>
          <w:sz w:val="16"/>
          <w:szCs w:val="16"/>
          <w:lang w:val="es-AR"/>
        </w:rPr>
        <w:t>3) Prevenir, en lo posible, las enfermedades epidérmicas, endémicas y otras</w:t>
      </w:r>
      <w:r>
        <w:rPr>
          <w:sz w:val="16"/>
          <w:szCs w:val="16"/>
          <w:lang w:val="es-AR"/>
        </w:rPr>
        <w:t>.</w:t>
      </w:r>
    </w:p>
  </w:footnote>
  <w:footnote w:id="156">
    <w:p w14:paraId="68FF750A" w14:textId="130753DA" w:rsidR="003C025E" w:rsidRPr="002570D1" w:rsidRDefault="003C025E" w:rsidP="002570D1">
      <w:pPr>
        <w:pStyle w:val="FootnoteText"/>
        <w:rPr>
          <w:sz w:val="16"/>
          <w:szCs w:val="16"/>
          <w:lang w:val="es-AR"/>
        </w:rPr>
      </w:pPr>
      <w:r w:rsidRPr="002570D1">
        <w:rPr>
          <w:rStyle w:val="FootnoteReference"/>
          <w:sz w:val="16"/>
          <w:szCs w:val="16"/>
        </w:rPr>
        <w:footnoteRef/>
      </w:r>
      <w:r w:rsidRPr="002570D1">
        <w:rPr>
          <w:sz w:val="16"/>
          <w:szCs w:val="16"/>
          <w:lang w:val="es-AR"/>
        </w:rPr>
        <w:t xml:space="preserve">   </w:t>
      </w:r>
      <w:r>
        <w:rPr>
          <w:sz w:val="16"/>
          <w:szCs w:val="16"/>
          <w:lang w:val="es-AR"/>
        </w:rPr>
        <w:t xml:space="preserve"> </w:t>
      </w:r>
      <w:r>
        <w:rPr>
          <w:sz w:val="16"/>
          <w:szCs w:val="16"/>
          <w:lang w:val="es-AR"/>
        </w:rPr>
        <w:tab/>
      </w:r>
      <w:r w:rsidRPr="0023635B">
        <w:rPr>
          <w:sz w:val="16"/>
          <w:szCs w:val="16"/>
          <w:lang w:val="es-AR"/>
        </w:rPr>
        <w:t>Aprobada durante la XVIII Asamblea de Jefes de Estado y Gobierno de la Organización de</w:t>
      </w:r>
      <w:r>
        <w:rPr>
          <w:sz w:val="16"/>
          <w:szCs w:val="16"/>
          <w:lang w:val="es-AR"/>
        </w:rPr>
        <w:t xml:space="preserve"> </w:t>
      </w:r>
      <w:r w:rsidRPr="0023635B">
        <w:rPr>
          <w:sz w:val="16"/>
          <w:szCs w:val="16"/>
          <w:lang w:val="es-AR"/>
        </w:rPr>
        <w:t xml:space="preserve">la Unidad Africana, reunida en Nairobi, </w:t>
      </w:r>
      <w:proofErr w:type="spellStart"/>
      <w:r w:rsidRPr="0023635B">
        <w:rPr>
          <w:sz w:val="16"/>
          <w:szCs w:val="16"/>
          <w:lang w:val="es-AR"/>
        </w:rPr>
        <w:t>Kenya</w:t>
      </w:r>
      <w:proofErr w:type="spellEnd"/>
      <w:r>
        <w:rPr>
          <w:sz w:val="16"/>
          <w:szCs w:val="16"/>
          <w:lang w:val="es-AR"/>
        </w:rPr>
        <w:t xml:space="preserve">, </w:t>
      </w:r>
      <w:r w:rsidRPr="0023635B">
        <w:rPr>
          <w:sz w:val="16"/>
          <w:szCs w:val="16"/>
          <w:lang w:val="es-AR"/>
        </w:rPr>
        <w:t>el 27 de julio de 1981</w:t>
      </w:r>
      <w:r>
        <w:rPr>
          <w:sz w:val="16"/>
          <w:szCs w:val="16"/>
          <w:lang w:val="es-AR"/>
        </w:rPr>
        <w:t xml:space="preserve">. </w:t>
      </w:r>
      <w:r w:rsidRPr="002570D1">
        <w:rPr>
          <w:sz w:val="16"/>
          <w:szCs w:val="16"/>
          <w:lang w:val="es-AR"/>
        </w:rPr>
        <w:t>Artículo 16</w:t>
      </w:r>
      <w:r>
        <w:rPr>
          <w:sz w:val="16"/>
          <w:szCs w:val="16"/>
          <w:lang w:val="es-AR"/>
        </w:rPr>
        <w:t>.</w:t>
      </w:r>
      <w:r w:rsidRPr="002570D1">
        <w:rPr>
          <w:sz w:val="16"/>
          <w:szCs w:val="16"/>
          <w:lang w:val="es-AR"/>
        </w:rPr>
        <w:t xml:space="preserve"> </w:t>
      </w:r>
      <w:r>
        <w:rPr>
          <w:sz w:val="16"/>
          <w:szCs w:val="16"/>
          <w:lang w:val="es-AR"/>
        </w:rPr>
        <w:t xml:space="preserve">1. </w:t>
      </w:r>
      <w:r w:rsidRPr="002570D1">
        <w:rPr>
          <w:sz w:val="16"/>
          <w:szCs w:val="16"/>
          <w:lang w:val="es-AR"/>
        </w:rPr>
        <w:t>Todo individuo tendrá derecho a disfrutar del mejor estado físico y mental posible</w:t>
      </w:r>
      <w:r>
        <w:rPr>
          <w:sz w:val="16"/>
          <w:szCs w:val="16"/>
          <w:lang w:val="es-AR"/>
        </w:rPr>
        <w:t>, [y]</w:t>
      </w:r>
      <w:r w:rsidRPr="002570D1">
        <w:rPr>
          <w:sz w:val="16"/>
          <w:szCs w:val="16"/>
          <w:lang w:val="es-AR"/>
        </w:rPr>
        <w:t xml:space="preserve"> 2</w:t>
      </w:r>
      <w:r>
        <w:rPr>
          <w:sz w:val="16"/>
          <w:szCs w:val="16"/>
          <w:lang w:val="es-AR"/>
        </w:rPr>
        <w:t xml:space="preserve">. </w:t>
      </w:r>
      <w:r w:rsidRPr="002570D1">
        <w:rPr>
          <w:sz w:val="16"/>
          <w:szCs w:val="16"/>
          <w:lang w:val="es-AR"/>
        </w:rPr>
        <w:t>Los  Estados  firmantes  de  la  presente  Carta  tomarán  las  medidas  necesarias  para  proteger  la  salud  de  su pueblo y asegurarse de que reciben asistencia médica cuando están enfermos.</w:t>
      </w:r>
    </w:p>
  </w:footnote>
  <w:footnote w:id="157">
    <w:p w14:paraId="02BFB534" w14:textId="31DD0874" w:rsidR="003C025E" w:rsidRPr="002570D1" w:rsidRDefault="003C025E" w:rsidP="00525F0E">
      <w:pPr>
        <w:pStyle w:val="FootnoteText"/>
        <w:rPr>
          <w:sz w:val="16"/>
          <w:szCs w:val="16"/>
          <w:lang w:val="es-AR"/>
        </w:rPr>
      </w:pPr>
      <w:r w:rsidRPr="00C64243">
        <w:rPr>
          <w:rStyle w:val="FootnoteReference"/>
          <w:sz w:val="16"/>
        </w:rPr>
        <w:footnoteRef/>
      </w:r>
      <w:r w:rsidRPr="00C64243">
        <w:rPr>
          <w:rStyle w:val="FootnoteReference"/>
        </w:rPr>
        <w:t xml:space="preserve">  </w:t>
      </w:r>
      <w:r>
        <w:t xml:space="preserve">  </w:t>
      </w:r>
      <w:r w:rsidRPr="00914889">
        <w:rPr>
          <w:sz w:val="16"/>
          <w:szCs w:val="16"/>
          <w:lang w:val="es-AR"/>
        </w:rPr>
        <w:t xml:space="preserve"> </w:t>
      </w:r>
      <w:r>
        <w:rPr>
          <w:sz w:val="16"/>
          <w:szCs w:val="16"/>
          <w:lang w:val="es-AR"/>
        </w:rPr>
        <w:tab/>
      </w:r>
      <w:r w:rsidRPr="00D727A2">
        <w:rPr>
          <w:sz w:val="16"/>
          <w:szCs w:val="16"/>
          <w:lang w:val="es-AR"/>
        </w:rPr>
        <w:t>Adoptada</w:t>
      </w:r>
      <w:r>
        <w:rPr>
          <w:sz w:val="16"/>
          <w:szCs w:val="16"/>
          <w:lang w:val="es-AR"/>
        </w:rPr>
        <w:t xml:space="preserve"> en el </w:t>
      </w:r>
      <w:r w:rsidRPr="00914889">
        <w:rPr>
          <w:sz w:val="16"/>
          <w:szCs w:val="16"/>
          <w:lang w:val="es-AR"/>
        </w:rPr>
        <w:t xml:space="preserve">Quinto Período Ordinario de </w:t>
      </w:r>
      <w:r>
        <w:rPr>
          <w:sz w:val="16"/>
          <w:szCs w:val="16"/>
          <w:lang w:val="es-AR"/>
        </w:rPr>
        <w:t>Sesiones de la Asamblea General</w:t>
      </w:r>
      <w:r w:rsidRPr="000F5205">
        <w:rPr>
          <w:sz w:val="16"/>
          <w:szCs w:val="16"/>
          <w:lang w:val="es-AR"/>
        </w:rPr>
        <w:t xml:space="preserve"> </w:t>
      </w:r>
      <w:r>
        <w:rPr>
          <w:sz w:val="16"/>
          <w:szCs w:val="16"/>
          <w:lang w:val="es-AR"/>
        </w:rPr>
        <w:t>de la OEA</w:t>
      </w:r>
      <w:r w:rsidRPr="000F5205">
        <w:rPr>
          <w:sz w:val="16"/>
          <w:szCs w:val="16"/>
          <w:lang w:val="es-AR"/>
        </w:rPr>
        <w:t xml:space="preserve"> </w:t>
      </w:r>
      <w:r>
        <w:rPr>
          <w:sz w:val="16"/>
          <w:szCs w:val="16"/>
          <w:lang w:val="es-AR"/>
        </w:rPr>
        <w:t xml:space="preserve">en Washington, D.C., </w:t>
      </w:r>
      <w:r w:rsidRPr="00914889">
        <w:rPr>
          <w:sz w:val="16"/>
          <w:szCs w:val="16"/>
          <w:lang w:val="es-AR"/>
        </w:rPr>
        <w:t>el 15 de junio de 2015</w:t>
      </w:r>
      <w:r>
        <w:rPr>
          <w:sz w:val="16"/>
          <w:szCs w:val="16"/>
          <w:lang w:val="es-AR"/>
        </w:rPr>
        <w:t xml:space="preserve">. Entrada en vigencia el </w:t>
      </w:r>
      <w:r w:rsidRPr="00914889">
        <w:rPr>
          <w:sz w:val="16"/>
          <w:szCs w:val="16"/>
          <w:lang w:val="es-AR"/>
        </w:rPr>
        <w:t>11 de enero de 2017</w:t>
      </w:r>
      <w:r>
        <w:rPr>
          <w:sz w:val="16"/>
          <w:szCs w:val="16"/>
          <w:lang w:val="es-AR"/>
        </w:rPr>
        <w:t>.</w:t>
      </w:r>
      <w:r w:rsidRPr="0000041A">
        <w:rPr>
          <w:sz w:val="16"/>
          <w:szCs w:val="16"/>
          <w:lang w:val="es-AR"/>
        </w:rPr>
        <w:t xml:space="preserve"> Ratificada por </w:t>
      </w:r>
      <w:r>
        <w:rPr>
          <w:sz w:val="16"/>
          <w:szCs w:val="16"/>
          <w:lang w:val="es-AR"/>
        </w:rPr>
        <w:t>C</w:t>
      </w:r>
      <w:r w:rsidRPr="0000041A">
        <w:rPr>
          <w:sz w:val="16"/>
          <w:szCs w:val="16"/>
          <w:lang w:val="es-AR"/>
        </w:rPr>
        <w:t>hile</w:t>
      </w:r>
      <w:r>
        <w:rPr>
          <w:sz w:val="16"/>
          <w:szCs w:val="16"/>
          <w:lang w:val="es-AR"/>
        </w:rPr>
        <w:t xml:space="preserve"> el 7 de noviembre de 2017. </w:t>
      </w:r>
      <w:r w:rsidRPr="002570D1">
        <w:rPr>
          <w:sz w:val="16"/>
          <w:szCs w:val="16"/>
          <w:lang w:val="es-AR"/>
        </w:rPr>
        <w:t>Artículo 19. Derecho a la salud. La persona mayor tiene derecho a su salud física y mental, sin ningún tipo de discriminación. Los Estados Parte deberán diseñar e implementar políticas públicas intersectoriales de salud orientadas a una atención integral que incluya la promoción de la salud, la prevención y la atención de la enfermedad en todas las etapas, y la rehabilitación y los cuidados paliativos de la persona mayor a fin de propiciar el disfrute del más alto nivel de bienestar, físico, mental y social […]. Por lo que al presente análisis atañe, cabe señalar que en el citado dispositivo no resulta exigible al momento de acaecer los hechos del caso.</w:t>
      </w:r>
    </w:p>
  </w:footnote>
  <w:footnote w:id="158">
    <w:p w14:paraId="2B39FAD8" w14:textId="0D616E2B" w:rsidR="003C025E" w:rsidRPr="002570D1" w:rsidRDefault="003C025E" w:rsidP="002570D1">
      <w:pPr>
        <w:pStyle w:val="FootnoteText"/>
        <w:rPr>
          <w:sz w:val="16"/>
          <w:szCs w:val="16"/>
          <w:lang w:val="es-AR"/>
        </w:rPr>
      </w:pPr>
      <w:r w:rsidRPr="002570D1">
        <w:rPr>
          <w:rStyle w:val="FootnoteReference"/>
          <w:sz w:val="16"/>
          <w:szCs w:val="16"/>
        </w:rPr>
        <w:footnoteRef/>
      </w:r>
      <w:r w:rsidRPr="002570D1">
        <w:rPr>
          <w:rStyle w:val="FootnoteReference"/>
          <w:sz w:val="16"/>
          <w:szCs w:val="16"/>
          <w:lang w:val="es-AR"/>
        </w:rPr>
        <w:t xml:space="preserve">  </w:t>
      </w:r>
      <w:r w:rsidRPr="002570D1">
        <w:rPr>
          <w:sz w:val="16"/>
          <w:szCs w:val="16"/>
          <w:lang w:val="es-AR"/>
        </w:rPr>
        <w:t xml:space="preserve"> </w:t>
      </w:r>
      <w:r>
        <w:rPr>
          <w:sz w:val="16"/>
          <w:szCs w:val="16"/>
          <w:lang w:val="es-AR"/>
        </w:rPr>
        <w:t xml:space="preserve">  </w:t>
      </w:r>
      <w:r>
        <w:rPr>
          <w:sz w:val="16"/>
          <w:szCs w:val="16"/>
          <w:lang w:val="es-AR"/>
        </w:rPr>
        <w:tab/>
      </w:r>
      <w:r w:rsidRPr="002570D1">
        <w:rPr>
          <w:sz w:val="16"/>
          <w:szCs w:val="16"/>
          <w:lang w:val="es-AR"/>
        </w:rPr>
        <w:t xml:space="preserve">Conferencia Mundial de Derechos Humanos, </w:t>
      </w:r>
      <w:r>
        <w:rPr>
          <w:sz w:val="16"/>
          <w:szCs w:val="16"/>
          <w:lang w:val="es-AR"/>
        </w:rPr>
        <w:t>aprobados el</w:t>
      </w:r>
      <w:r w:rsidRPr="002570D1">
        <w:rPr>
          <w:sz w:val="16"/>
          <w:szCs w:val="16"/>
          <w:lang w:val="es-AR"/>
        </w:rPr>
        <w:t xml:space="preserve"> 25 de junio de 1993, Viena. Apartado 41</w:t>
      </w:r>
      <w:r>
        <w:rPr>
          <w:sz w:val="16"/>
          <w:szCs w:val="16"/>
          <w:lang w:val="es-AR"/>
        </w:rPr>
        <w:t>.</w:t>
      </w:r>
      <w:r w:rsidRPr="002570D1">
        <w:rPr>
          <w:sz w:val="16"/>
          <w:szCs w:val="16"/>
          <w:lang w:val="es-AR"/>
        </w:rPr>
        <w:t xml:space="preserve"> La Conferencia Mundial de Derechos Humanos reconoce la importancia del disfrute por la mujer del más alto nivel de salud física y mental durante toda su vida. En el contexto de la Conferencia Mundial sobre la Mujer y de la Convención sobre la </w:t>
      </w:r>
      <w:r>
        <w:rPr>
          <w:sz w:val="16"/>
          <w:szCs w:val="16"/>
          <w:lang w:val="es-AR"/>
        </w:rPr>
        <w:t>E</w:t>
      </w:r>
      <w:r w:rsidRPr="002570D1">
        <w:rPr>
          <w:sz w:val="16"/>
          <w:szCs w:val="16"/>
          <w:lang w:val="es-AR"/>
        </w:rPr>
        <w:t xml:space="preserve">liminación de </w:t>
      </w:r>
      <w:r>
        <w:rPr>
          <w:sz w:val="16"/>
          <w:szCs w:val="16"/>
          <w:lang w:val="es-AR"/>
        </w:rPr>
        <w:t>T</w:t>
      </w:r>
      <w:r w:rsidRPr="002570D1">
        <w:rPr>
          <w:sz w:val="16"/>
          <w:szCs w:val="16"/>
          <w:lang w:val="es-AR"/>
        </w:rPr>
        <w:t xml:space="preserve">odas las </w:t>
      </w:r>
      <w:r>
        <w:rPr>
          <w:sz w:val="16"/>
          <w:szCs w:val="16"/>
          <w:lang w:val="es-AR"/>
        </w:rPr>
        <w:t>F</w:t>
      </w:r>
      <w:r w:rsidRPr="002570D1">
        <w:rPr>
          <w:sz w:val="16"/>
          <w:szCs w:val="16"/>
          <w:lang w:val="es-AR"/>
        </w:rPr>
        <w:t xml:space="preserve">ormas de </w:t>
      </w:r>
      <w:r>
        <w:rPr>
          <w:sz w:val="16"/>
          <w:szCs w:val="16"/>
          <w:lang w:val="es-AR"/>
        </w:rPr>
        <w:t>D</w:t>
      </w:r>
      <w:r w:rsidRPr="002570D1">
        <w:rPr>
          <w:sz w:val="16"/>
          <w:szCs w:val="16"/>
          <w:lang w:val="es-AR"/>
        </w:rPr>
        <w:t xml:space="preserve">iscriminación contra la </w:t>
      </w:r>
      <w:r>
        <w:rPr>
          <w:sz w:val="16"/>
          <w:szCs w:val="16"/>
          <w:lang w:val="es-AR"/>
        </w:rPr>
        <w:t>M</w:t>
      </w:r>
      <w:r w:rsidRPr="002570D1">
        <w:rPr>
          <w:sz w:val="16"/>
          <w:szCs w:val="16"/>
          <w:lang w:val="es-AR"/>
        </w:rPr>
        <w:t>ujer, así como de la Proclamación de Teherán de 1968, la Conferencia reafirma, sobre la base de la igualdad entre hombres y mujeres, el derecho de la mujer a tener acceso a una atención de salud adecuada y a la más amplia gama de servicios de planificación familiar, así como a la igualdad de acceso a la educación a todos los niveles.</w:t>
      </w:r>
    </w:p>
  </w:footnote>
  <w:footnote w:id="159">
    <w:p w14:paraId="6A58EDC2" w14:textId="430E3FE5" w:rsidR="003C025E" w:rsidRPr="002570D1" w:rsidRDefault="003C025E" w:rsidP="002570D1">
      <w:pPr>
        <w:pStyle w:val="FootnoteText"/>
        <w:rPr>
          <w:sz w:val="16"/>
          <w:szCs w:val="16"/>
          <w:lang w:val="es-AR"/>
        </w:rPr>
      </w:pPr>
      <w:r w:rsidRPr="002570D1">
        <w:rPr>
          <w:rStyle w:val="FootnoteReference"/>
          <w:sz w:val="16"/>
          <w:szCs w:val="16"/>
        </w:rPr>
        <w:footnoteRef/>
      </w:r>
      <w:r w:rsidRPr="002570D1">
        <w:rPr>
          <w:rStyle w:val="FootnoteReference"/>
          <w:sz w:val="16"/>
          <w:szCs w:val="16"/>
          <w:lang w:val="es-AR"/>
        </w:rPr>
        <w:t xml:space="preserve"> </w:t>
      </w:r>
      <w:r w:rsidRPr="002570D1">
        <w:rPr>
          <w:sz w:val="16"/>
          <w:szCs w:val="16"/>
          <w:lang w:val="es-AR"/>
        </w:rPr>
        <w:t xml:space="preserve">   </w:t>
      </w:r>
      <w:r>
        <w:rPr>
          <w:sz w:val="16"/>
          <w:szCs w:val="16"/>
          <w:lang w:val="es-AR"/>
        </w:rPr>
        <w:tab/>
      </w:r>
      <w:r w:rsidRPr="002570D1">
        <w:rPr>
          <w:sz w:val="16"/>
          <w:szCs w:val="16"/>
          <w:lang w:val="es-AR"/>
        </w:rPr>
        <w:t xml:space="preserve">Resulta relevante para el </w:t>
      </w:r>
      <w:r>
        <w:rPr>
          <w:sz w:val="16"/>
          <w:szCs w:val="16"/>
          <w:lang w:val="es-AR"/>
        </w:rPr>
        <w:t xml:space="preserve">análisis del </w:t>
      </w:r>
      <w:r w:rsidRPr="002570D1">
        <w:rPr>
          <w:sz w:val="16"/>
          <w:szCs w:val="16"/>
          <w:lang w:val="es-AR"/>
        </w:rPr>
        <w:t xml:space="preserve">derecho a la salud, la </w:t>
      </w:r>
      <w:r w:rsidRPr="00B1523A">
        <w:rPr>
          <w:i/>
          <w:sz w:val="16"/>
          <w:szCs w:val="16"/>
          <w:lang w:val="es-AR"/>
        </w:rPr>
        <w:t>Observación General No. 14: “El derecho al disfrute del más alto nivel posible de salud”</w:t>
      </w:r>
      <w:r w:rsidRPr="002570D1">
        <w:rPr>
          <w:sz w:val="16"/>
          <w:szCs w:val="16"/>
          <w:lang w:val="es-AR"/>
        </w:rPr>
        <w:t xml:space="preserve">, del Comité </w:t>
      </w:r>
      <w:r>
        <w:rPr>
          <w:sz w:val="16"/>
          <w:szCs w:val="16"/>
          <w:lang w:val="es-AR"/>
        </w:rPr>
        <w:t>DESC</w:t>
      </w:r>
      <w:r w:rsidRPr="002570D1">
        <w:rPr>
          <w:sz w:val="16"/>
          <w:szCs w:val="16"/>
          <w:lang w:val="es-AR"/>
        </w:rPr>
        <w:t xml:space="preserve">, </w:t>
      </w:r>
      <w:r>
        <w:rPr>
          <w:sz w:val="16"/>
          <w:szCs w:val="16"/>
          <w:lang w:val="es-AR"/>
        </w:rPr>
        <w:t xml:space="preserve">la cual </w:t>
      </w:r>
      <w:r w:rsidRPr="002570D1">
        <w:rPr>
          <w:sz w:val="16"/>
          <w:szCs w:val="16"/>
          <w:lang w:val="es-AR"/>
        </w:rPr>
        <w:t xml:space="preserve">será abordada </w:t>
      </w:r>
      <w:r w:rsidRPr="00B1523A">
        <w:rPr>
          <w:i/>
          <w:sz w:val="16"/>
          <w:szCs w:val="16"/>
          <w:lang w:val="es-AR"/>
        </w:rPr>
        <w:t>infra</w:t>
      </w:r>
      <w:r w:rsidRPr="002570D1">
        <w:rPr>
          <w:sz w:val="16"/>
          <w:szCs w:val="16"/>
          <w:lang w:val="es-AR"/>
        </w:rPr>
        <w:t xml:space="preserve">. Revisten también utilidad las </w:t>
      </w:r>
      <w:r>
        <w:rPr>
          <w:sz w:val="16"/>
          <w:szCs w:val="16"/>
          <w:lang w:val="es-AR"/>
        </w:rPr>
        <w:t>O</w:t>
      </w:r>
      <w:r w:rsidRPr="002570D1">
        <w:rPr>
          <w:sz w:val="16"/>
          <w:szCs w:val="16"/>
          <w:lang w:val="es-AR"/>
        </w:rPr>
        <w:t xml:space="preserve">bservaciones del Comité de los Derechos del Niño, en particular la </w:t>
      </w:r>
      <w:r w:rsidRPr="00B1523A">
        <w:rPr>
          <w:i/>
          <w:sz w:val="16"/>
          <w:szCs w:val="16"/>
          <w:lang w:val="es-AR"/>
        </w:rPr>
        <w:t>Observación General No. 3: “El VIH/SIDA y los derechos del niño”,</w:t>
      </w:r>
      <w:r w:rsidRPr="002570D1">
        <w:rPr>
          <w:sz w:val="16"/>
          <w:szCs w:val="16"/>
          <w:lang w:val="es-AR"/>
        </w:rPr>
        <w:t xml:space="preserve"> CRC/GC/2003/3</w:t>
      </w:r>
      <w:r>
        <w:rPr>
          <w:sz w:val="16"/>
          <w:szCs w:val="16"/>
          <w:lang w:val="es-AR"/>
        </w:rPr>
        <w:t xml:space="preserve"> (2003), </w:t>
      </w:r>
      <w:r w:rsidRPr="002570D1">
        <w:rPr>
          <w:sz w:val="16"/>
          <w:szCs w:val="16"/>
          <w:lang w:val="es-AR"/>
        </w:rPr>
        <w:t xml:space="preserve">así como la </w:t>
      </w:r>
      <w:r w:rsidRPr="00B1523A">
        <w:rPr>
          <w:i/>
          <w:sz w:val="16"/>
          <w:szCs w:val="16"/>
          <w:lang w:val="es-AR"/>
        </w:rPr>
        <w:t>Observación General No. 4: “La salud y el desarrollo de los adolescentes en el contexto de la Convención sobre los Derechos del Niño”</w:t>
      </w:r>
      <w:r w:rsidRPr="002570D1">
        <w:rPr>
          <w:sz w:val="16"/>
          <w:szCs w:val="16"/>
          <w:lang w:val="es-AR"/>
        </w:rPr>
        <w:t>, CRC/GC/2003/4</w:t>
      </w:r>
      <w:r>
        <w:rPr>
          <w:sz w:val="16"/>
          <w:szCs w:val="16"/>
          <w:lang w:val="es-AR"/>
        </w:rPr>
        <w:t xml:space="preserve"> (2003)</w:t>
      </w:r>
      <w:r w:rsidRPr="002570D1">
        <w:rPr>
          <w:sz w:val="16"/>
          <w:szCs w:val="16"/>
          <w:lang w:val="es-AR"/>
        </w:rPr>
        <w:t xml:space="preserve">. </w:t>
      </w:r>
      <w:r>
        <w:rPr>
          <w:sz w:val="16"/>
          <w:szCs w:val="16"/>
          <w:lang w:val="es-AR"/>
        </w:rPr>
        <w:t xml:space="preserve">Asimismo, </w:t>
      </w:r>
      <w:r w:rsidRPr="002570D1">
        <w:rPr>
          <w:sz w:val="16"/>
          <w:szCs w:val="16"/>
          <w:lang w:val="es-AR"/>
        </w:rPr>
        <w:t xml:space="preserve">la </w:t>
      </w:r>
      <w:r w:rsidRPr="00B1523A">
        <w:rPr>
          <w:i/>
          <w:sz w:val="16"/>
          <w:szCs w:val="16"/>
          <w:lang w:val="es-AR"/>
        </w:rPr>
        <w:t>Recomendación General No. 24</w:t>
      </w:r>
      <w:r w:rsidRPr="002570D1">
        <w:rPr>
          <w:sz w:val="16"/>
          <w:szCs w:val="16"/>
          <w:lang w:val="es-AR"/>
        </w:rPr>
        <w:t xml:space="preserve"> del Comité sobre la Eliminación de la Discriminación contra la Mujer</w:t>
      </w:r>
      <w:r>
        <w:rPr>
          <w:sz w:val="16"/>
          <w:szCs w:val="16"/>
          <w:lang w:val="es-AR"/>
        </w:rPr>
        <w:t xml:space="preserve">, </w:t>
      </w:r>
      <w:r w:rsidRPr="00B1523A">
        <w:rPr>
          <w:i/>
          <w:sz w:val="16"/>
          <w:szCs w:val="16"/>
          <w:lang w:val="es-AR"/>
        </w:rPr>
        <w:t>“Artículo 12 de la Convención sobre la Eliminación de Todas las Formas de Discriminación contra la Mujer - La mujer y la salud”</w:t>
      </w:r>
      <w:r>
        <w:rPr>
          <w:sz w:val="16"/>
          <w:szCs w:val="16"/>
          <w:lang w:val="es-AR"/>
        </w:rPr>
        <w:t xml:space="preserve"> de 2 de febrero de 1999, </w:t>
      </w:r>
      <w:r w:rsidRPr="002570D1">
        <w:rPr>
          <w:sz w:val="16"/>
          <w:szCs w:val="16"/>
          <w:lang w:val="es-AR"/>
        </w:rPr>
        <w:t>A/54/38/Rev.1</w:t>
      </w:r>
      <w:r>
        <w:rPr>
          <w:sz w:val="16"/>
          <w:szCs w:val="16"/>
          <w:lang w:val="es-AR"/>
        </w:rPr>
        <w:t xml:space="preserve">, y </w:t>
      </w:r>
      <w:r w:rsidRPr="002570D1">
        <w:rPr>
          <w:sz w:val="16"/>
          <w:szCs w:val="16"/>
          <w:lang w:val="es-AR"/>
        </w:rPr>
        <w:t xml:space="preserve">los </w:t>
      </w:r>
      <w:r>
        <w:rPr>
          <w:sz w:val="16"/>
          <w:szCs w:val="16"/>
          <w:lang w:val="es-AR"/>
        </w:rPr>
        <w:t>I</w:t>
      </w:r>
      <w:r w:rsidRPr="002570D1">
        <w:rPr>
          <w:sz w:val="16"/>
          <w:szCs w:val="16"/>
          <w:lang w:val="es-AR"/>
        </w:rPr>
        <w:t>nformes de Relator</w:t>
      </w:r>
      <w:r>
        <w:rPr>
          <w:sz w:val="16"/>
          <w:szCs w:val="16"/>
          <w:lang w:val="es-AR"/>
        </w:rPr>
        <w:t>es Especiales</w:t>
      </w:r>
      <w:r w:rsidRPr="002570D1">
        <w:rPr>
          <w:sz w:val="16"/>
          <w:szCs w:val="16"/>
          <w:lang w:val="es-AR"/>
        </w:rPr>
        <w:t xml:space="preserve"> de</w:t>
      </w:r>
      <w:r>
        <w:rPr>
          <w:sz w:val="16"/>
          <w:szCs w:val="16"/>
          <w:lang w:val="es-AR"/>
        </w:rPr>
        <w:t xml:space="preserve"> </w:t>
      </w:r>
      <w:r w:rsidRPr="002570D1">
        <w:rPr>
          <w:sz w:val="16"/>
          <w:szCs w:val="16"/>
          <w:lang w:val="es-AR"/>
        </w:rPr>
        <w:t>l</w:t>
      </w:r>
      <w:r>
        <w:rPr>
          <w:sz w:val="16"/>
          <w:szCs w:val="16"/>
          <w:lang w:val="es-AR"/>
        </w:rPr>
        <w:t>a</w:t>
      </w:r>
      <w:r w:rsidRPr="002570D1">
        <w:rPr>
          <w:sz w:val="16"/>
          <w:szCs w:val="16"/>
          <w:lang w:val="es-AR"/>
        </w:rPr>
        <w:t xml:space="preserve"> Comi</w:t>
      </w:r>
      <w:r>
        <w:rPr>
          <w:sz w:val="16"/>
          <w:szCs w:val="16"/>
          <w:lang w:val="es-AR"/>
        </w:rPr>
        <w:t>sión</w:t>
      </w:r>
      <w:r w:rsidRPr="002570D1">
        <w:rPr>
          <w:sz w:val="16"/>
          <w:szCs w:val="16"/>
          <w:lang w:val="es-AR"/>
        </w:rPr>
        <w:t xml:space="preserve"> de Derechos Humanos sobre el Derecho a la Salud. </w:t>
      </w:r>
      <w:r>
        <w:rPr>
          <w:sz w:val="16"/>
          <w:szCs w:val="16"/>
          <w:lang w:val="es-AR"/>
        </w:rPr>
        <w:t xml:space="preserve">ONU. </w:t>
      </w:r>
      <w:r w:rsidRPr="002570D1">
        <w:rPr>
          <w:sz w:val="16"/>
          <w:szCs w:val="16"/>
        </w:rPr>
        <w:t>Comisión de Derechos Humanos,</w:t>
      </w:r>
      <w:r w:rsidRPr="002570D1">
        <w:rPr>
          <w:rFonts w:eastAsia="Calibri"/>
          <w:sz w:val="16"/>
          <w:szCs w:val="16"/>
          <w:lang w:val="es-AR" w:eastAsia="en-US"/>
        </w:rPr>
        <w:t xml:space="preserve"> </w:t>
      </w:r>
      <w:r>
        <w:rPr>
          <w:rFonts w:eastAsia="Calibri"/>
          <w:sz w:val="16"/>
          <w:szCs w:val="16"/>
          <w:lang w:val="es-AR" w:eastAsia="en-US"/>
        </w:rPr>
        <w:t>“</w:t>
      </w:r>
      <w:r w:rsidRPr="00B1523A">
        <w:rPr>
          <w:i/>
          <w:sz w:val="16"/>
          <w:szCs w:val="16"/>
          <w:lang w:val="es-AR"/>
        </w:rPr>
        <w:t>La no Discriminación en la esfera de la Salud</w:t>
      </w:r>
      <w:r>
        <w:rPr>
          <w:i/>
          <w:sz w:val="16"/>
          <w:szCs w:val="16"/>
          <w:lang w:val="es-AR"/>
        </w:rPr>
        <w:t>”,</w:t>
      </w:r>
      <w:r w:rsidRPr="000C1FFD">
        <w:rPr>
          <w:sz w:val="16"/>
          <w:szCs w:val="16"/>
          <w:lang w:val="es-AR"/>
        </w:rPr>
        <w:t xml:space="preserve"> </w:t>
      </w:r>
      <w:r w:rsidRPr="002570D1">
        <w:rPr>
          <w:sz w:val="16"/>
          <w:szCs w:val="16"/>
          <w:lang w:val="es-AR"/>
        </w:rPr>
        <w:t>Resolución 1989/11.</w:t>
      </w:r>
      <w:r>
        <w:rPr>
          <w:sz w:val="16"/>
          <w:szCs w:val="16"/>
          <w:lang w:val="es-AR"/>
        </w:rPr>
        <w:t xml:space="preserve"> Aprobada en la 46ª Sesión de 2 de marzo de 1989. </w:t>
      </w:r>
    </w:p>
  </w:footnote>
  <w:footnote w:id="160">
    <w:p w14:paraId="70A61BA4" w14:textId="19999E73" w:rsidR="003C025E" w:rsidRPr="00930629" w:rsidRDefault="003C025E" w:rsidP="00B37825">
      <w:pPr>
        <w:pStyle w:val="FootnoteText"/>
        <w:rPr>
          <w:color w:val="000000"/>
          <w:sz w:val="16"/>
          <w:szCs w:val="16"/>
          <w:lang w:val="es-MX"/>
        </w:rPr>
      </w:pPr>
      <w:r w:rsidRPr="008A3678">
        <w:rPr>
          <w:rStyle w:val="FootnoteReference"/>
          <w:rFonts w:eastAsia="Calibri"/>
          <w:sz w:val="16"/>
          <w:szCs w:val="16"/>
          <w:lang w:eastAsia="en-US"/>
        </w:rPr>
        <w:footnoteRef/>
      </w:r>
      <w:r>
        <w:rPr>
          <w:color w:val="000000"/>
          <w:sz w:val="16"/>
          <w:szCs w:val="16"/>
          <w:lang w:val="es-MX"/>
        </w:rPr>
        <w:t xml:space="preserve"> </w:t>
      </w:r>
      <w:r>
        <w:rPr>
          <w:color w:val="000000"/>
          <w:sz w:val="16"/>
          <w:szCs w:val="16"/>
          <w:lang w:val="es-MX"/>
        </w:rPr>
        <w:tab/>
      </w:r>
      <w:r>
        <w:rPr>
          <w:i/>
          <w:color w:val="000000"/>
          <w:sz w:val="16"/>
          <w:szCs w:val="16"/>
          <w:lang w:val="es-MX"/>
        </w:rPr>
        <w:t xml:space="preserve">Cfr. </w:t>
      </w:r>
      <w:r w:rsidRPr="00930629">
        <w:rPr>
          <w:color w:val="000000"/>
          <w:sz w:val="16"/>
          <w:szCs w:val="16"/>
          <w:lang w:val="es-MX"/>
        </w:rPr>
        <w:t>ONU. Comité de Derechos Económicos, Sociales y Culturales</w:t>
      </w:r>
      <w:r>
        <w:rPr>
          <w:color w:val="000000"/>
          <w:sz w:val="16"/>
          <w:szCs w:val="16"/>
          <w:lang w:val="es-MX"/>
        </w:rPr>
        <w:t xml:space="preserve"> (Comité DESC)</w:t>
      </w:r>
      <w:r w:rsidRPr="00930629">
        <w:rPr>
          <w:color w:val="000000"/>
          <w:sz w:val="16"/>
          <w:szCs w:val="16"/>
          <w:lang w:val="es-MX"/>
        </w:rPr>
        <w:t xml:space="preserve">, </w:t>
      </w:r>
      <w:r w:rsidRPr="00B1523A">
        <w:rPr>
          <w:i/>
          <w:color w:val="000000"/>
          <w:sz w:val="16"/>
          <w:szCs w:val="16"/>
          <w:lang w:val="es-MX"/>
        </w:rPr>
        <w:t xml:space="preserve">Observación General </w:t>
      </w:r>
      <w:r>
        <w:rPr>
          <w:i/>
          <w:color w:val="000000"/>
          <w:sz w:val="16"/>
          <w:szCs w:val="16"/>
          <w:lang w:val="es-MX"/>
        </w:rPr>
        <w:t xml:space="preserve">(OG) </w:t>
      </w:r>
      <w:r w:rsidRPr="00B1523A">
        <w:rPr>
          <w:i/>
          <w:color w:val="000000"/>
          <w:sz w:val="16"/>
          <w:szCs w:val="16"/>
          <w:lang w:val="es-MX"/>
        </w:rPr>
        <w:t>No</w:t>
      </w:r>
      <w:r w:rsidRPr="00930629">
        <w:rPr>
          <w:i/>
          <w:color w:val="000000"/>
          <w:sz w:val="16"/>
          <w:szCs w:val="16"/>
          <w:lang w:val="es-MX"/>
        </w:rPr>
        <w:t>.</w:t>
      </w:r>
      <w:r w:rsidRPr="00B1523A">
        <w:rPr>
          <w:i/>
          <w:color w:val="000000"/>
          <w:sz w:val="16"/>
          <w:szCs w:val="16"/>
          <w:lang w:val="es-MX"/>
        </w:rPr>
        <w:t xml:space="preserve"> 14:</w:t>
      </w:r>
      <w:r w:rsidRPr="00930629">
        <w:rPr>
          <w:color w:val="000000"/>
          <w:sz w:val="16"/>
          <w:szCs w:val="16"/>
          <w:lang w:val="es-MX"/>
        </w:rPr>
        <w:t xml:space="preserve"> </w:t>
      </w:r>
      <w:r w:rsidRPr="00B1523A">
        <w:rPr>
          <w:i/>
          <w:color w:val="000000"/>
          <w:sz w:val="16"/>
          <w:szCs w:val="16"/>
          <w:lang w:val="es-MX"/>
        </w:rPr>
        <w:t>“El derecho al disfrute del más alto nivel posible de salud”</w:t>
      </w:r>
      <w:r w:rsidRPr="00930629">
        <w:rPr>
          <w:color w:val="000000"/>
          <w:sz w:val="16"/>
          <w:szCs w:val="16"/>
          <w:lang w:val="es-MX"/>
        </w:rPr>
        <w:t>, E/C.12/2000/4, 11 de agosto de 2000.</w:t>
      </w:r>
    </w:p>
  </w:footnote>
  <w:footnote w:id="161">
    <w:p w14:paraId="2F7F5F8F" w14:textId="57CAB203" w:rsidR="003C025E" w:rsidRPr="00B1523A" w:rsidRDefault="003C025E" w:rsidP="00B37825">
      <w:pPr>
        <w:pStyle w:val="FootnoteText"/>
        <w:rPr>
          <w:sz w:val="16"/>
          <w:szCs w:val="16"/>
        </w:rPr>
      </w:pPr>
      <w:r w:rsidRPr="00930629">
        <w:rPr>
          <w:rStyle w:val="FootnoteReference"/>
          <w:rFonts w:eastAsia="Calibri"/>
          <w:sz w:val="16"/>
          <w:szCs w:val="16"/>
          <w:lang w:eastAsia="en-US"/>
        </w:rPr>
        <w:footnoteRef/>
      </w:r>
      <w:r w:rsidRPr="00BB4919">
        <w:rPr>
          <w:sz w:val="16"/>
          <w:szCs w:val="16"/>
          <w:lang w:val="pt-BR"/>
        </w:rPr>
        <w:t xml:space="preserve"> </w:t>
      </w:r>
      <w:r w:rsidRPr="00BB4919">
        <w:rPr>
          <w:color w:val="000000"/>
          <w:sz w:val="16"/>
          <w:szCs w:val="16"/>
          <w:lang w:val="pt-BR"/>
        </w:rPr>
        <w:t xml:space="preserve"> </w:t>
      </w:r>
      <w:r w:rsidRPr="00BB4919">
        <w:rPr>
          <w:color w:val="000000"/>
          <w:sz w:val="16"/>
          <w:szCs w:val="16"/>
          <w:lang w:val="pt-BR"/>
        </w:rPr>
        <w:tab/>
      </w:r>
      <w:r w:rsidRPr="00BB4919">
        <w:rPr>
          <w:i/>
          <w:color w:val="000000"/>
          <w:sz w:val="16"/>
          <w:szCs w:val="16"/>
          <w:lang w:val="pt-BR"/>
        </w:rPr>
        <w:t xml:space="preserve">Cfr. </w:t>
      </w:r>
      <w:r w:rsidRPr="00BB4919">
        <w:rPr>
          <w:color w:val="000000"/>
          <w:sz w:val="16"/>
          <w:szCs w:val="16"/>
          <w:lang w:val="pt-BR"/>
        </w:rPr>
        <w:t xml:space="preserve">ONU. Comité DESC, </w:t>
      </w:r>
      <w:r w:rsidRPr="00BB4919">
        <w:rPr>
          <w:i/>
          <w:color w:val="000000"/>
          <w:sz w:val="16"/>
          <w:szCs w:val="16"/>
          <w:lang w:val="pt-BR"/>
        </w:rPr>
        <w:t xml:space="preserve">OG-No. </w:t>
      </w:r>
      <w:r w:rsidRPr="00B1523A">
        <w:rPr>
          <w:i/>
          <w:color w:val="000000"/>
          <w:sz w:val="16"/>
          <w:szCs w:val="16"/>
          <w:lang w:val="es-MX"/>
        </w:rPr>
        <w:t xml:space="preserve">3: “La índole de las obligaciones de los Estados </w:t>
      </w:r>
      <w:r w:rsidRPr="00930629">
        <w:rPr>
          <w:i/>
          <w:color w:val="000000"/>
          <w:sz w:val="16"/>
          <w:szCs w:val="16"/>
          <w:lang w:val="es-MX"/>
        </w:rPr>
        <w:t>Partes (párrafo 1 del art. 2 del Pacto)</w:t>
      </w:r>
      <w:r w:rsidRPr="00B1523A">
        <w:rPr>
          <w:i/>
          <w:color w:val="000000"/>
          <w:sz w:val="16"/>
          <w:szCs w:val="16"/>
          <w:lang w:val="es-MX"/>
        </w:rPr>
        <w:t>”</w:t>
      </w:r>
      <w:r w:rsidRPr="00930629">
        <w:rPr>
          <w:i/>
          <w:color w:val="000000"/>
          <w:sz w:val="16"/>
          <w:szCs w:val="16"/>
          <w:lang w:val="es-MX"/>
        </w:rPr>
        <w:t xml:space="preserve">, </w:t>
      </w:r>
      <w:r w:rsidRPr="00930629">
        <w:rPr>
          <w:color w:val="000000"/>
          <w:sz w:val="16"/>
          <w:szCs w:val="16"/>
          <w:lang w:val="es-MX"/>
        </w:rPr>
        <w:t xml:space="preserve">E/1991/23, 14 de diciembre de 1990, </w:t>
      </w:r>
      <w:proofErr w:type="spellStart"/>
      <w:r w:rsidRPr="00930629">
        <w:rPr>
          <w:color w:val="000000"/>
          <w:sz w:val="16"/>
          <w:szCs w:val="16"/>
          <w:lang w:val="es-MX"/>
        </w:rPr>
        <w:t>párrs</w:t>
      </w:r>
      <w:proofErr w:type="spellEnd"/>
      <w:r w:rsidRPr="00930629">
        <w:rPr>
          <w:color w:val="000000"/>
          <w:sz w:val="16"/>
          <w:szCs w:val="16"/>
          <w:lang w:val="es-MX"/>
        </w:rPr>
        <w:t>. 3 y 10.</w:t>
      </w:r>
    </w:p>
  </w:footnote>
  <w:footnote w:id="162">
    <w:p w14:paraId="4481C9E4" w14:textId="210E1C38" w:rsidR="003C025E" w:rsidRPr="00B1523A" w:rsidRDefault="003C025E" w:rsidP="00B37825">
      <w:pPr>
        <w:pStyle w:val="FootnoteText"/>
        <w:rPr>
          <w:sz w:val="16"/>
          <w:szCs w:val="16"/>
          <w:lang w:val="es-AR"/>
        </w:rPr>
      </w:pPr>
      <w:r w:rsidRPr="00930629">
        <w:rPr>
          <w:rStyle w:val="FootnoteReference"/>
          <w:rFonts w:eastAsia="Calibri"/>
          <w:sz w:val="16"/>
          <w:szCs w:val="16"/>
          <w:lang w:eastAsia="en-US"/>
        </w:rPr>
        <w:footnoteRef/>
      </w:r>
      <w:r w:rsidRPr="00930629">
        <w:rPr>
          <w:rStyle w:val="FootnoteReference"/>
          <w:rFonts w:eastAsia="Calibri"/>
          <w:sz w:val="16"/>
          <w:szCs w:val="16"/>
          <w:lang w:eastAsia="en-US"/>
        </w:rPr>
        <w:t xml:space="preserve"> </w:t>
      </w:r>
      <w:r w:rsidRPr="00930629">
        <w:rPr>
          <w:color w:val="000000"/>
          <w:sz w:val="16"/>
          <w:szCs w:val="16"/>
          <w:lang w:val="es-MX"/>
        </w:rPr>
        <w:t xml:space="preserve"> </w:t>
      </w:r>
      <w:r w:rsidRPr="00930629">
        <w:rPr>
          <w:color w:val="000000"/>
          <w:sz w:val="16"/>
          <w:szCs w:val="16"/>
          <w:lang w:val="es-MX"/>
        </w:rPr>
        <w:tab/>
      </w:r>
      <w:r w:rsidRPr="005D402A">
        <w:rPr>
          <w:i/>
          <w:color w:val="000000"/>
          <w:sz w:val="16"/>
          <w:szCs w:val="16"/>
          <w:lang w:val="es-MX"/>
        </w:rPr>
        <w:t xml:space="preserve">Cfr. </w:t>
      </w:r>
      <w:r w:rsidRPr="00930629">
        <w:rPr>
          <w:color w:val="000000"/>
          <w:sz w:val="16"/>
          <w:szCs w:val="16"/>
          <w:lang w:val="es-MX"/>
        </w:rPr>
        <w:t xml:space="preserve">ONU. </w:t>
      </w:r>
      <w:r>
        <w:rPr>
          <w:color w:val="000000"/>
          <w:sz w:val="16"/>
          <w:szCs w:val="16"/>
          <w:lang w:val="es-MX"/>
        </w:rPr>
        <w:t>Comité DESC</w:t>
      </w:r>
      <w:r w:rsidRPr="00930629">
        <w:rPr>
          <w:color w:val="000000"/>
          <w:sz w:val="16"/>
          <w:szCs w:val="16"/>
          <w:lang w:val="es-MX"/>
        </w:rPr>
        <w:t xml:space="preserve">, </w:t>
      </w:r>
      <w:r>
        <w:rPr>
          <w:i/>
          <w:color w:val="000000"/>
          <w:sz w:val="16"/>
          <w:szCs w:val="16"/>
          <w:lang w:val="es-MX"/>
        </w:rPr>
        <w:t>OG-</w:t>
      </w:r>
      <w:r w:rsidRPr="00B1523A">
        <w:rPr>
          <w:i/>
          <w:color w:val="000000"/>
          <w:sz w:val="16"/>
          <w:szCs w:val="16"/>
          <w:lang w:val="es-MX"/>
        </w:rPr>
        <w:t xml:space="preserve">No. 4: “El derecho a una vivienda </w:t>
      </w:r>
      <w:r w:rsidRPr="00930629">
        <w:rPr>
          <w:i/>
          <w:color w:val="000000"/>
          <w:sz w:val="16"/>
          <w:szCs w:val="16"/>
          <w:lang w:val="es-MX"/>
        </w:rPr>
        <w:t>adecuada</w:t>
      </w:r>
      <w:r w:rsidRPr="00B1523A">
        <w:rPr>
          <w:i/>
          <w:color w:val="000000"/>
          <w:sz w:val="16"/>
          <w:szCs w:val="16"/>
          <w:lang w:val="es-MX"/>
        </w:rPr>
        <w:t>”</w:t>
      </w:r>
      <w:r w:rsidRPr="00930629">
        <w:rPr>
          <w:color w:val="000000"/>
          <w:sz w:val="16"/>
          <w:szCs w:val="16"/>
          <w:lang w:val="es-MX"/>
        </w:rPr>
        <w:t>, E/1992/23, 13 de diciembre de 1991, párr. 8.</w:t>
      </w:r>
    </w:p>
  </w:footnote>
  <w:footnote w:id="163">
    <w:p w14:paraId="422AFA9B" w14:textId="2E2465C9" w:rsidR="003C025E" w:rsidRPr="00B1523A" w:rsidRDefault="003C025E" w:rsidP="00B37825">
      <w:pPr>
        <w:pStyle w:val="FootnoteText"/>
        <w:rPr>
          <w:sz w:val="16"/>
          <w:szCs w:val="16"/>
          <w:lang w:val="es-AR"/>
        </w:rPr>
      </w:pPr>
      <w:r w:rsidRPr="00930629">
        <w:rPr>
          <w:rStyle w:val="FootnoteReference"/>
          <w:rFonts w:eastAsia="Calibri"/>
          <w:sz w:val="16"/>
          <w:szCs w:val="16"/>
          <w:lang w:eastAsia="en-US"/>
        </w:rPr>
        <w:footnoteRef/>
      </w:r>
      <w:r w:rsidRPr="00B1523A">
        <w:rPr>
          <w:sz w:val="16"/>
          <w:szCs w:val="16"/>
        </w:rPr>
        <w:t xml:space="preserve"> </w:t>
      </w:r>
      <w:r w:rsidRPr="00B1523A">
        <w:rPr>
          <w:sz w:val="16"/>
          <w:szCs w:val="16"/>
        </w:rPr>
        <w:tab/>
      </w:r>
      <w:r w:rsidRPr="005D402A">
        <w:rPr>
          <w:i/>
          <w:sz w:val="16"/>
          <w:szCs w:val="16"/>
          <w:lang w:val="es-MX"/>
        </w:rPr>
        <w:t xml:space="preserve">Cfr. </w:t>
      </w:r>
      <w:r w:rsidRPr="00B1523A">
        <w:rPr>
          <w:sz w:val="16"/>
          <w:szCs w:val="16"/>
          <w:lang w:val="es-MX"/>
        </w:rPr>
        <w:t xml:space="preserve">ONU. </w:t>
      </w:r>
      <w:r>
        <w:rPr>
          <w:color w:val="000000"/>
          <w:sz w:val="16"/>
          <w:szCs w:val="16"/>
          <w:lang w:val="es-MX"/>
        </w:rPr>
        <w:t>Comité DESC</w:t>
      </w:r>
      <w:r w:rsidRPr="00B1523A">
        <w:rPr>
          <w:sz w:val="16"/>
          <w:szCs w:val="16"/>
          <w:lang w:val="es-MX"/>
        </w:rPr>
        <w:t xml:space="preserve">, </w:t>
      </w:r>
      <w:r>
        <w:rPr>
          <w:i/>
          <w:color w:val="000000"/>
          <w:sz w:val="16"/>
          <w:szCs w:val="16"/>
          <w:lang w:val="es-MX"/>
        </w:rPr>
        <w:t>OG-</w:t>
      </w:r>
      <w:r w:rsidRPr="00930629">
        <w:rPr>
          <w:i/>
          <w:color w:val="000000"/>
          <w:sz w:val="16"/>
          <w:szCs w:val="16"/>
          <w:lang w:val="es-MX"/>
        </w:rPr>
        <w:t>5:</w:t>
      </w:r>
      <w:r w:rsidRPr="00B1523A">
        <w:rPr>
          <w:i/>
          <w:sz w:val="16"/>
          <w:szCs w:val="16"/>
          <w:lang w:val="es-MX"/>
        </w:rPr>
        <w:t xml:space="preserve"> </w:t>
      </w:r>
      <w:r w:rsidRPr="00B1523A">
        <w:rPr>
          <w:i/>
          <w:color w:val="000000"/>
          <w:sz w:val="16"/>
          <w:szCs w:val="16"/>
          <w:lang w:val="es-MX"/>
        </w:rPr>
        <w:t>“Las personas con discapacidad</w:t>
      </w:r>
      <w:r w:rsidRPr="00930629">
        <w:rPr>
          <w:i/>
          <w:color w:val="000000"/>
          <w:sz w:val="16"/>
          <w:szCs w:val="16"/>
          <w:lang w:val="es-MX"/>
        </w:rPr>
        <w:t>”</w:t>
      </w:r>
      <w:r w:rsidRPr="00930629">
        <w:rPr>
          <w:color w:val="000000"/>
          <w:sz w:val="16"/>
          <w:szCs w:val="16"/>
          <w:lang w:val="es-MX"/>
        </w:rPr>
        <w:t xml:space="preserve">, </w:t>
      </w:r>
      <w:r w:rsidRPr="00B1523A">
        <w:rPr>
          <w:bCs/>
          <w:color w:val="000000"/>
          <w:sz w:val="16"/>
          <w:szCs w:val="16"/>
          <w:lang w:val="es-CR"/>
        </w:rPr>
        <w:t>E/C.12/1994/13</w:t>
      </w:r>
      <w:r w:rsidRPr="00930629">
        <w:rPr>
          <w:color w:val="000000"/>
          <w:sz w:val="16"/>
          <w:szCs w:val="16"/>
          <w:lang w:val="es-MX"/>
        </w:rPr>
        <w:t>, 1994, párr. 34.</w:t>
      </w:r>
    </w:p>
  </w:footnote>
  <w:footnote w:id="164">
    <w:p w14:paraId="05DCF0CB" w14:textId="73C88562" w:rsidR="003C025E" w:rsidRPr="00A86983" w:rsidRDefault="003C025E" w:rsidP="00B37825">
      <w:pPr>
        <w:pStyle w:val="FootnoteText"/>
      </w:pPr>
      <w:r w:rsidRPr="00930629">
        <w:rPr>
          <w:rStyle w:val="FootnoteReference"/>
          <w:rFonts w:eastAsia="Calibri"/>
          <w:sz w:val="16"/>
          <w:szCs w:val="16"/>
          <w:lang w:eastAsia="en-US"/>
        </w:rPr>
        <w:footnoteRef/>
      </w:r>
      <w:r w:rsidRPr="00B1523A">
        <w:rPr>
          <w:sz w:val="16"/>
          <w:szCs w:val="16"/>
        </w:rPr>
        <w:t xml:space="preserve"> </w:t>
      </w:r>
      <w:r w:rsidRPr="00B1523A">
        <w:rPr>
          <w:sz w:val="16"/>
          <w:szCs w:val="16"/>
        </w:rPr>
        <w:tab/>
      </w:r>
      <w:r w:rsidRPr="005D402A">
        <w:rPr>
          <w:i/>
          <w:sz w:val="16"/>
          <w:szCs w:val="16"/>
          <w:lang w:val="es-MX"/>
        </w:rPr>
        <w:t xml:space="preserve">Cfr. </w:t>
      </w:r>
      <w:r w:rsidRPr="00B1523A">
        <w:rPr>
          <w:sz w:val="16"/>
          <w:szCs w:val="16"/>
        </w:rPr>
        <w:t xml:space="preserve">ONU. </w:t>
      </w:r>
      <w:r>
        <w:rPr>
          <w:color w:val="000000"/>
          <w:sz w:val="16"/>
          <w:szCs w:val="16"/>
          <w:lang w:val="es-MX"/>
        </w:rPr>
        <w:t>Comité DESC</w:t>
      </w:r>
      <w:r w:rsidRPr="00930629">
        <w:rPr>
          <w:color w:val="000000"/>
          <w:sz w:val="16"/>
          <w:szCs w:val="16"/>
          <w:lang w:val="es-MX"/>
        </w:rPr>
        <w:t xml:space="preserve">, </w:t>
      </w:r>
      <w:r>
        <w:rPr>
          <w:i/>
          <w:color w:val="000000"/>
          <w:sz w:val="16"/>
          <w:szCs w:val="16"/>
          <w:lang w:val="es-MX"/>
        </w:rPr>
        <w:t>OG-</w:t>
      </w:r>
      <w:r w:rsidRPr="00B1523A">
        <w:rPr>
          <w:i/>
          <w:color w:val="000000"/>
          <w:sz w:val="16"/>
          <w:szCs w:val="16"/>
          <w:lang w:val="es-MX"/>
        </w:rPr>
        <w:t xml:space="preserve">6: “Los </w:t>
      </w:r>
      <w:r>
        <w:rPr>
          <w:i/>
          <w:color w:val="000000"/>
          <w:sz w:val="16"/>
          <w:szCs w:val="16"/>
          <w:lang w:val="es-MX"/>
        </w:rPr>
        <w:t>d</w:t>
      </w:r>
      <w:r w:rsidRPr="00B1523A">
        <w:rPr>
          <w:i/>
          <w:color w:val="000000"/>
          <w:sz w:val="16"/>
          <w:szCs w:val="16"/>
          <w:lang w:val="es-MX"/>
        </w:rPr>
        <w:t xml:space="preserve">erechos </w:t>
      </w:r>
      <w:r>
        <w:rPr>
          <w:i/>
          <w:color w:val="000000"/>
          <w:sz w:val="16"/>
          <w:szCs w:val="16"/>
          <w:lang w:val="es-MX"/>
        </w:rPr>
        <w:t>e</w:t>
      </w:r>
      <w:r w:rsidRPr="00B1523A">
        <w:rPr>
          <w:i/>
          <w:color w:val="000000"/>
          <w:sz w:val="16"/>
          <w:szCs w:val="16"/>
          <w:lang w:val="es-MX"/>
        </w:rPr>
        <w:t xml:space="preserve">conómicos, </w:t>
      </w:r>
      <w:r>
        <w:rPr>
          <w:i/>
          <w:color w:val="000000"/>
          <w:sz w:val="16"/>
          <w:szCs w:val="16"/>
          <w:lang w:val="es-MX"/>
        </w:rPr>
        <w:t>s</w:t>
      </w:r>
      <w:r w:rsidRPr="00B1523A">
        <w:rPr>
          <w:i/>
          <w:color w:val="000000"/>
          <w:sz w:val="16"/>
          <w:szCs w:val="16"/>
          <w:lang w:val="es-MX"/>
        </w:rPr>
        <w:t xml:space="preserve">ociales y </w:t>
      </w:r>
      <w:r>
        <w:rPr>
          <w:i/>
          <w:color w:val="000000"/>
          <w:sz w:val="16"/>
          <w:szCs w:val="16"/>
          <w:lang w:val="es-MX"/>
        </w:rPr>
        <w:t>c</w:t>
      </w:r>
      <w:r w:rsidRPr="00B1523A">
        <w:rPr>
          <w:i/>
          <w:color w:val="000000"/>
          <w:sz w:val="16"/>
          <w:szCs w:val="16"/>
          <w:lang w:val="es-MX"/>
        </w:rPr>
        <w:t>ulturales de las personas mayores”</w:t>
      </w:r>
      <w:r w:rsidRPr="00930629">
        <w:rPr>
          <w:color w:val="000000"/>
          <w:sz w:val="16"/>
          <w:szCs w:val="16"/>
          <w:lang w:val="es-MX"/>
        </w:rPr>
        <w:t xml:space="preserve">, E/1996/22, 8 de diciembre de 2015, </w:t>
      </w:r>
      <w:proofErr w:type="spellStart"/>
      <w:r w:rsidRPr="00930629">
        <w:rPr>
          <w:color w:val="000000"/>
          <w:sz w:val="16"/>
          <w:szCs w:val="16"/>
          <w:lang w:val="es-MX"/>
        </w:rPr>
        <w:t>párrs</w:t>
      </w:r>
      <w:proofErr w:type="spellEnd"/>
      <w:r w:rsidRPr="00930629">
        <w:rPr>
          <w:color w:val="000000"/>
          <w:sz w:val="16"/>
          <w:szCs w:val="16"/>
          <w:lang w:val="es-MX"/>
        </w:rPr>
        <w:t xml:space="preserve">. 5 y 34. </w:t>
      </w:r>
    </w:p>
  </w:footnote>
  <w:footnote w:id="165">
    <w:p w14:paraId="080E3F1E" w14:textId="76903395" w:rsidR="003C025E" w:rsidRPr="00A86983" w:rsidRDefault="003C025E" w:rsidP="00B37825">
      <w:pPr>
        <w:pStyle w:val="FootnoteText"/>
      </w:pPr>
      <w:r w:rsidRPr="005E480B">
        <w:rPr>
          <w:rStyle w:val="FootnoteReference"/>
          <w:rFonts w:eastAsia="Calibri"/>
          <w:sz w:val="16"/>
          <w:szCs w:val="16"/>
          <w:lang w:eastAsia="en-US"/>
        </w:rPr>
        <w:footnoteRef/>
      </w:r>
      <w:r w:rsidRPr="005E480B">
        <w:rPr>
          <w:rStyle w:val="FootnoteReference"/>
          <w:rFonts w:eastAsia="Calibri"/>
          <w:sz w:val="16"/>
          <w:szCs w:val="16"/>
          <w:lang w:eastAsia="en-US"/>
        </w:rPr>
        <w:t xml:space="preserve"> </w:t>
      </w:r>
      <w:r>
        <w:rPr>
          <w:rFonts w:eastAsia="Calibri"/>
          <w:sz w:val="16"/>
          <w:szCs w:val="16"/>
          <w:lang w:eastAsia="en-US"/>
        </w:rPr>
        <w:t xml:space="preserve"> </w:t>
      </w:r>
      <w:r>
        <w:rPr>
          <w:rFonts w:eastAsia="Calibri"/>
          <w:sz w:val="16"/>
          <w:szCs w:val="16"/>
          <w:lang w:eastAsia="en-US"/>
        </w:rPr>
        <w:tab/>
      </w:r>
      <w:r w:rsidRPr="005D402A">
        <w:rPr>
          <w:rFonts w:eastAsia="Calibri"/>
          <w:i/>
          <w:sz w:val="16"/>
          <w:szCs w:val="16"/>
          <w:lang w:val="es-MX" w:eastAsia="en-US"/>
        </w:rPr>
        <w:t xml:space="preserve">Cfr. </w:t>
      </w:r>
      <w:r>
        <w:rPr>
          <w:rFonts w:eastAsia="Calibri"/>
          <w:sz w:val="16"/>
          <w:szCs w:val="16"/>
          <w:lang w:eastAsia="en-US"/>
        </w:rPr>
        <w:t xml:space="preserve">ONU. </w:t>
      </w:r>
      <w:r>
        <w:rPr>
          <w:color w:val="000000"/>
          <w:sz w:val="16"/>
          <w:szCs w:val="16"/>
          <w:lang w:val="es-MX"/>
        </w:rPr>
        <w:t>Comité DESC</w:t>
      </w:r>
      <w:r>
        <w:rPr>
          <w:rFonts w:eastAsia="Calibri"/>
          <w:sz w:val="16"/>
          <w:szCs w:val="16"/>
          <w:lang w:val="es-MX" w:eastAsia="en-US"/>
        </w:rPr>
        <w:t>,</w:t>
      </w:r>
      <w:r w:rsidRPr="00E5621B">
        <w:rPr>
          <w:rFonts w:eastAsia="Calibri"/>
          <w:sz w:val="16"/>
          <w:szCs w:val="16"/>
          <w:lang w:val="es-MX" w:eastAsia="en-US"/>
        </w:rPr>
        <w:t xml:space="preserve"> </w:t>
      </w:r>
      <w:r>
        <w:rPr>
          <w:i/>
          <w:color w:val="000000"/>
          <w:sz w:val="16"/>
          <w:szCs w:val="16"/>
          <w:lang w:val="es-MX"/>
        </w:rPr>
        <w:t>OG-</w:t>
      </w:r>
      <w:r w:rsidRPr="00B1523A">
        <w:rPr>
          <w:rFonts w:eastAsia="Calibri"/>
          <w:i/>
          <w:sz w:val="16"/>
          <w:szCs w:val="16"/>
          <w:lang w:val="es-MX" w:eastAsia="en-US"/>
        </w:rPr>
        <w:t>15:</w:t>
      </w:r>
      <w:r w:rsidRPr="00B1523A">
        <w:rPr>
          <w:rFonts w:eastAsia="Calibri"/>
          <w:i/>
          <w:sz w:val="16"/>
          <w:szCs w:val="16"/>
          <w:lang w:val="es-CR" w:eastAsia="en-US"/>
        </w:rPr>
        <w:t xml:space="preserve"> “El derecho al agua”</w:t>
      </w:r>
      <w:r>
        <w:rPr>
          <w:rFonts w:eastAsia="Calibri"/>
          <w:sz w:val="16"/>
          <w:szCs w:val="16"/>
          <w:lang w:val="es-CR" w:eastAsia="en-US"/>
        </w:rPr>
        <w:t xml:space="preserve">, </w:t>
      </w:r>
      <w:r w:rsidRPr="00E5621B">
        <w:rPr>
          <w:rFonts w:eastAsia="Calibri"/>
          <w:sz w:val="16"/>
          <w:szCs w:val="16"/>
          <w:lang w:val="es-MX" w:eastAsia="en-US"/>
        </w:rPr>
        <w:t>E/C.12/2002/11</w:t>
      </w:r>
      <w:r>
        <w:rPr>
          <w:rFonts w:eastAsia="Calibri"/>
          <w:sz w:val="16"/>
          <w:szCs w:val="16"/>
          <w:lang w:val="es-MX" w:eastAsia="en-US"/>
        </w:rPr>
        <w:t xml:space="preserve">, 20 de enero de 2003, </w:t>
      </w:r>
      <w:proofErr w:type="spellStart"/>
      <w:r>
        <w:rPr>
          <w:rFonts w:eastAsia="Calibri"/>
          <w:sz w:val="16"/>
          <w:szCs w:val="16"/>
          <w:lang w:val="es-MX" w:eastAsia="en-US"/>
        </w:rPr>
        <w:t>párrs</w:t>
      </w:r>
      <w:proofErr w:type="spellEnd"/>
      <w:r>
        <w:rPr>
          <w:rFonts w:eastAsia="Calibri"/>
          <w:sz w:val="16"/>
          <w:szCs w:val="16"/>
          <w:lang w:val="es-MX" w:eastAsia="en-US"/>
        </w:rPr>
        <w:t>. 3 y 8.</w:t>
      </w:r>
    </w:p>
  </w:footnote>
  <w:footnote w:id="166">
    <w:p w14:paraId="25980B30" w14:textId="35E4D022" w:rsidR="003C025E" w:rsidRPr="00A86983" w:rsidRDefault="003C025E" w:rsidP="00B37825">
      <w:pPr>
        <w:pStyle w:val="FootnoteText"/>
      </w:pPr>
      <w:r w:rsidRPr="005E480B">
        <w:rPr>
          <w:rStyle w:val="FootnoteReference"/>
          <w:rFonts w:eastAsia="Calibri"/>
          <w:sz w:val="16"/>
          <w:szCs w:val="16"/>
          <w:lang w:eastAsia="en-US"/>
        </w:rPr>
        <w:footnoteRef/>
      </w:r>
      <w:r w:rsidRPr="005E480B">
        <w:rPr>
          <w:rStyle w:val="FootnoteReference"/>
          <w:rFonts w:eastAsia="Calibri"/>
          <w:sz w:val="16"/>
          <w:szCs w:val="16"/>
          <w:lang w:eastAsia="en-US"/>
        </w:rPr>
        <w:t xml:space="preserve"> </w:t>
      </w:r>
      <w:r>
        <w:rPr>
          <w:rFonts w:eastAsia="Calibri"/>
          <w:sz w:val="16"/>
          <w:szCs w:val="16"/>
          <w:lang w:eastAsia="en-US"/>
        </w:rPr>
        <w:tab/>
      </w:r>
      <w:r w:rsidRPr="005D402A">
        <w:rPr>
          <w:rFonts w:eastAsia="Calibri"/>
          <w:i/>
          <w:sz w:val="16"/>
          <w:szCs w:val="16"/>
          <w:lang w:val="es-MX" w:eastAsia="en-US"/>
        </w:rPr>
        <w:t xml:space="preserve">Cfr. </w:t>
      </w:r>
      <w:r w:rsidRPr="009444F8">
        <w:rPr>
          <w:rFonts w:eastAsia="Calibri"/>
          <w:sz w:val="16"/>
          <w:szCs w:val="16"/>
          <w:lang w:val="es-CR" w:eastAsia="en-US"/>
        </w:rPr>
        <w:t xml:space="preserve">ONU. </w:t>
      </w:r>
      <w:r>
        <w:rPr>
          <w:color w:val="000000"/>
          <w:sz w:val="16"/>
          <w:szCs w:val="16"/>
          <w:lang w:val="es-MX"/>
        </w:rPr>
        <w:t>Comité DESC</w:t>
      </w:r>
      <w:r w:rsidRPr="009444F8">
        <w:rPr>
          <w:rFonts w:eastAsia="Calibri"/>
          <w:sz w:val="16"/>
          <w:szCs w:val="16"/>
          <w:lang w:val="es-MX" w:eastAsia="en-US"/>
        </w:rPr>
        <w:t xml:space="preserve">, </w:t>
      </w:r>
      <w:r>
        <w:rPr>
          <w:i/>
          <w:color w:val="000000"/>
          <w:sz w:val="16"/>
          <w:szCs w:val="16"/>
          <w:lang w:val="es-MX"/>
        </w:rPr>
        <w:t>OG-</w:t>
      </w:r>
      <w:r w:rsidRPr="00B1523A">
        <w:rPr>
          <w:rFonts w:eastAsia="Calibri"/>
          <w:i/>
          <w:sz w:val="16"/>
          <w:szCs w:val="16"/>
          <w:lang w:val="es-MX" w:eastAsia="en-US"/>
        </w:rPr>
        <w:t>16:</w:t>
      </w:r>
      <w:r w:rsidRPr="00B1523A">
        <w:rPr>
          <w:rFonts w:eastAsia="Calibri"/>
          <w:i/>
          <w:sz w:val="16"/>
          <w:szCs w:val="16"/>
          <w:lang w:eastAsia="en-US"/>
        </w:rPr>
        <w:t xml:space="preserve"> “La igualdad de derechos del hombre y la mujer al disfrute de los derechos económicos, sociales y culturales (artículo 3 del Pacto Internacional de Derechos Económicos, Sociales y Culturales)”,</w:t>
      </w:r>
      <w:r>
        <w:rPr>
          <w:rFonts w:eastAsia="Calibri"/>
          <w:sz w:val="16"/>
          <w:szCs w:val="16"/>
          <w:lang w:eastAsia="en-US"/>
        </w:rPr>
        <w:t xml:space="preserve"> </w:t>
      </w:r>
      <w:r>
        <w:rPr>
          <w:rFonts w:eastAsia="Calibri"/>
          <w:sz w:val="16"/>
          <w:szCs w:val="16"/>
          <w:lang w:val="es-MX" w:eastAsia="en-US"/>
        </w:rPr>
        <w:t xml:space="preserve">E/C.12/2005/4, 11 de agosto de </w:t>
      </w:r>
      <w:r w:rsidRPr="00E5621B">
        <w:rPr>
          <w:rFonts w:eastAsia="Calibri"/>
          <w:sz w:val="16"/>
          <w:szCs w:val="16"/>
          <w:lang w:val="es-MX" w:eastAsia="en-US"/>
        </w:rPr>
        <w:t>2005</w:t>
      </w:r>
      <w:r>
        <w:rPr>
          <w:rFonts w:eastAsia="Calibri"/>
          <w:sz w:val="16"/>
          <w:szCs w:val="16"/>
          <w:lang w:val="es-MX" w:eastAsia="en-US"/>
        </w:rPr>
        <w:t xml:space="preserve">, párr. 29. </w:t>
      </w:r>
    </w:p>
  </w:footnote>
  <w:footnote w:id="167">
    <w:p w14:paraId="54F1E722" w14:textId="2121E077" w:rsidR="003C025E" w:rsidRPr="00A86983" w:rsidRDefault="003C025E" w:rsidP="00B37825">
      <w:pPr>
        <w:pStyle w:val="FootnoteText"/>
      </w:pPr>
      <w:r w:rsidRPr="005E480B">
        <w:rPr>
          <w:rStyle w:val="FootnoteReference"/>
          <w:rFonts w:eastAsia="Calibri"/>
          <w:sz w:val="16"/>
          <w:szCs w:val="16"/>
          <w:lang w:eastAsia="en-US"/>
        </w:rPr>
        <w:footnoteRef/>
      </w:r>
      <w:r>
        <w:t xml:space="preserve">  </w:t>
      </w:r>
      <w:r>
        <w:tab/>
      </w:r>
      <w:r w:rsidRPr="00B1523A">
        <w:rPr>
          <w:i/>
          <w:sz w:val="16"/>
          <w:szCs w:val="16"/>
          <w:lang w:val="es-MX"/>
        </w:rPr>
        <w:t>Cfr.</w:t>
      </w:r>
      <w:r w:rsidRPr="005D402A">
        <w:rPr>
          <w:i/>
          <w:lang w:val="es-MX"/>
        </w:rPr>
        <w:t xml:space="preserve"> </w:t>
      </w:r>
      <w:r w:rsidRPr="00B1523A">
        <w:rPr>
          <w:sz w:val="16"/>
          <w:szCs w:val="16"/>
          <w:lang w:val="es-CR"/>
        </w:rPr>
        <w:t xml:space="preserve">ONU. </w:t>
      </w:r>
      <w:r>
        <w:rPr>
          <w:color w:val="000000"/>
          <w:sz w:val="16"/>
          <w:szCs w:val="16"/>
          <w:lang w:val="es-MX"/>
        </w:rPr>
        <w:t>Comité DESC</w:t>
      </w:r>
      <w:r w:rsidRPr="00B1523A">
        <w:rPr>
          <w:sz w:val="16"/>
          <w:szCs w:val="16"/>
          <w:lang w:val="es-MX"/>
        </w:rPr>
        <w:t xml:space="preserve">, </w:t>
      </w:r>
      <w:r>
        <w:rPr>
          <w:i/>
          <w:color w:val="000000"/>
          <w:sz w:val="16"/>
          <w:szCs w:val="16"/>
          <w:lang w:val="es-MX"/>
        </w:rPr>
        <w:t>OG-</w:t>
      </w:r>
      <w:r w:rsidRPr="00B1523A">
        <w:rPr>
          <w:rFonts w:eastAsia="Calibri"/>
          <w:i/>
          <w:sz w:val="16"/>
          <w:szCs w:val="16"/>
          <w:lang w:eastAsia="en-US"/>
        </w:rPr>
        <w:t>18</w:t>
      </w:r>
      <w:r>
        <w:rPr>
          <w:rFonts w:eastAsia="Calibri"/>
          <w:i/>
          <w:sz w:val="16"/>
          <w:szCs w:val="16"/>
          <w:lang w:eastAsia="en-US"/>
        </w:rPr>
        <w:t xml:space="preserve">: </w:t>
      </w:r>
      <w:r w:rsidRPr="00B1523A">
        <w:rPr>
          <w:rFonts w:eastAsia="Calibri"/>
          <w:i/>
          <w:sz w:val="16"/>
          <w:szCs w:val="16"/>
          <w:lang w:eastAsia="en-US"/>
        </w:rPr>
        <w:t>“El derecho al trabajo</w:t>
      </w:r>
      <w:r>
        <w:rPr>
          <w:rFonts w:eastAsia="Calibri"/>
          <w:i/>
          <w:sz w:val="16"/>
          <w:szCs w:val="16"/>
          <w:lang w:eastAsia="en-US"/>
        </w:rPr>
        <w:t xml:space="preserve"> (artículo 6 del Pacto)</w:t>
      </w:r>
      <w:r w:rsidRPr="00B1523A">
        <w:rPr>
          <w:rFonts w:eastAsia="Calibri"/>
          <w:i/>
          <w:sz w:val="16"/>
          <w:szCs w:val="16"/>
          <w:lang w:eastAsia="en-US"/>
        </w:rPr>
        <w:t>”</w:t>
      </w:r>
      <w:r>
        <w:rPr>
          <w:rFonts w:eastAsia="Calibri"/>
          <w:sz w:val="16"/>
          <w:szCs w:val="16"/>
          <w:lang w:eastAsia="en-US"/>
        </w:rPr>
        <w:t xml:space="preserve">, E/C.12/GC/18, 6 de febrero de </w:t>
      </w:r>
      <w:r w:rsidRPr="00C64243">
        <w:rPr>
          <w:rFonts w:eastAsia="Calibri"/>
          <w:sz w:val="16"/>
          <w:szCs w:val="16"/>
          <w:lang w:eastAsia="en-US"/>
        </w:rPr>
        <w:t>200</w:t>
      </w:r>
      <w:r>
        <w:rPr>
          <w:rFonts w:eastAsia="Calibri"/>
          <w:sz w:val="16"/>
          <w:szCs w:val="16"/>
          <w:lang w:eastAsia="en-US"/>
        </w:rPr>
        <w:t>6</w:t>
      </w:r>
      <w:r w:rsidRPr="00C64243">
        <w:rPr>
          <w:rFonts w:eastAsia="Calibri"/>
          <w:sz w:val="16"/>
          <w:szCs w:val="16"/>
          <w:lang w:eastAsia="en-US"/>
        </w:rPr>
        <w:t>, párr. 12.</w:t>
      </w:r>
      <w:r>
        <w:rPr>
          <w:rFonts w:eastAsia="Calibri"/>
          <w:sz w:val="16"/>
          <w:szCs w:val="16"/>
          <w:lang w:val="es-MX" w:eastAsia="en-US"/>
        </w:rPr>
        <w:t xml:space="preserve"> </w:t>
      </w:r>
    </w:p>
  </w:footnote>
  <w:footnote w:id="168">
    <w:p w14:paraId="5F3CF41E" w14:textId="037FE20A" w:rsidR="003C025E" w:rsidRPr="00124C79" w:rsidRDefault="003C025E" w:rsidP="00B37825">
      <w:pPr>
        <w:pStyle w:val="FootnoteText"/>
      </w:pPr>
      <w:r w:rsidRPr="005E480B">
        <w:rPr>
          <w:rStyle w:val="FootnoteReference"/>
          <w:rFonts w:eastAsia="Calibri"/>
          <w:sz w:val="16"/>
          <w:szCs w:val="16"/>
          <w:lang w:eastAsia="en-US"/>
        </w:rPr>
        <w:footnoteRef/>
      </w:r>
      <w:r w:rsidRPr="005E480B">
        <w:rPr>
          <w:rStyle w:val="FootnoteReference"/>
          <w:rFonts w:eastAsia="Calibri"/>
          <w:sz w:val="16"/>
          <w:szCs w:val="16"/>
          <w:lang w:eastAsia="en-US"/>
        </w:rPr>
        <w:t xml:space="preserve"> </w:t>
      </w:r>
      <w:r>
        <w:rPr>
          <w:rStyle w:val="FootnoteReference"/>
          <w:rFonts w:eastAsia="Calibri"/>
          <w:sz w:val="16"/>
          <w:szCs w:val="16"/>
          <w:lang w:eastAsia="en-US"/>
        </w:rPr>
        <w:t xml:space="preserve">   </w:t>
      </w:r>
      <w:r>
        <w:rPr>
          <w:rFonts w:eastAsia="Calibri"/>
          <w:sz w:val="16"/>
          <w:szCs w:val="16"/>
          <w:lang w:eastAsia="en-US"/>
        </w:rPr>
        <w:tab/>
      </w:r>
      <w:r w:rsidRPr="005D402A">
        <w:rPr>
          <w:rFonts w:eastAsia="Calibri"/>
          <w:i/>
          <w:sz w:val="16"/>
          <w:szCs w:val="16"/>
          <w:lang w:val="es-MX" w:eastAsia="en-US"/>
        </w:rPr>
        <w:t xml:space="preserve">Cfr. </w:t>
      </w:r>
      <w:r w:rsidRPr="0044329F">
        <w:rPr>
          <w:sz w:val="16"/>
          <w:szCs w:val="16"/>
          <w:lang w:val="es-CR"/>
        </w:rPr>
        <w:t xml:space="preserve">ONU. </w:t>
      </w:r>
      <w:r>
        <w:rPr>
          <w:color w:val="000000"/>
          <w:sz w:val="16"/>
          <w:szCs w:val="16"/>
          <w:lang w:val="es-MX"/>
        </w:rPr>
        <w:t>Comité DESC</w:t>
      </w:r>
      <w:r w:rsidRPr="0044329F">
        <w:rPr>
          <w:sz w:val="16"/>
          <w:szCs w:val="16"/>
          <w:lang w:val="es-MX"/>
        </w:rPr>
        <w:t xml:space="preserve">, </w:t>
      </w:r>
      <w:r>
        <w:rPr>
          <w:i/>
          <w:color w:val="000000"/>
          <w:sz w:val="16"/>
          <w:szCs w:val="16"/>
          <w:lang w:val="es-MX"/>
        </w:rPr>
        <w:t>OG-</w:t>
      </w:r>
      <w:r w:rsidRPr="00B1523A">
        <w:rPr>
          <w:rFonts w:eastAsia="Calibri"/>
          <w:i/>
          <w:sz w:val="16"/>
          <w:szCs w:val="16"/>
          <w:lang w:val="es-MX" w:eastAsia="en-US"/>
        </w:rPr>
        <w:t>19:</w:t>
      </w:r>
      <w:r w:rsidRPr="00B1523A">
        <w:rPr>
          <w:rFonts w:eastAsia="Calibri"/>
          <w:i/>
          <w:sz w:val="16"/>
          <w:szCs w:val="16"/>
          <w:lang w:eastAsia="en-US"/>
        </w:rPr>
        <w:t xml:space="preserve"> “El derecho a la seguridad social”,</w:t>
      </w:r>
      <w:r w:rsidRPr="00B1523A">
        <w:rPr>
          <w:rFonts w:eastAsia="Calibri"/>
          <w:i/>
          <w:sz w:val="16"/>
          <w:szCs w:val="16"/>
          <w:lang w:val="es-MX" w:eastAsia="en-US"/>
        </w:rPr>
        <w:t xml:space="preserve"> </w:t>
      </w:r>
      <w:r w:rsidRPr="00C357B9">
        <w:rPr>
          <w:rFonts w:eastAsia="Calibri"/>
          <w:sz w:val="16"/>
          <w:szCs w:val="16"/>
          <w:lang w:val="es-ES" w:eastAsia="en-US"/>
        </w:rPr>
        <w:t>E/C.12/GC/19</w:t>
      </w:r>
      <w:r>
        <w:rPr>
          <w:rFonts w:eastAsia="Calibri"/>
          <w:sz w:val="16"/>
          <w:szCs w:val="16"/>
          <w:lang w:val="es-ES" w:eastAsia="en-US"/>
        </w:rPr>
        <w:t xml:space="preserve">, 4 de febrero de 2008, </w:t>
      </w:r>
      <w:proofErr w:type="spellStart"/>
      <w:r>
        <w:rPr>
          <w:rFonts w:eastAsia="Calibri"/>
          <w:sz w:val="16"/>
          <w:szCs w:val="16"/>
          <w:lang w:val="es-ES" w:eastAsia="en-US"/>
        </w:rPr>
        <w:t>párrs</w:t>
      </w:r>
      <w:proofErr w:type="spellEnd"/>
      <w:r>
        <w:rPr>
          <w:rFonts w:eastAsia="Calibri"/>
          <w:sz w:val="16"/>
          <w:szCs w:val="16"/>
          <w:lang w:val="es-ES" w:eastAsia="en-US"/>
        </w:rPr>
        <w:t xml:space="preserve">. 13 y 14. </w:t>
      </w:r>
    </w:p>
  </w:footnote>
  <w:footnote w:id="169">
    <w:p w14:paraId="406E0AE6" w14:textId="34436BB7" w:rsidR="003C025E" w:rsidRPr="00C357B9" w:rsidRDefault="003C025E" w:rsidP="00B37825">
      <w:pPr>
        <w:pStyle w:val="FootnoteText"/>
        <w:rPr>
          <w:lang w:val="es-AR"/>
        </w:rPr>
      </w:pPr>
      <w:r w:rsidRPr="005E480B">
        <w:rPr>
          <w:rStyle w:val="FootnoteReference"/>
          <w:rFonts w:eastAsia="Calibri"/>
          <w:sz w:val="16"/>
          <w:szCs w:val="16"/>
          <w:lang w:eastAsia="en-US"/>
        </w:rPr>
        <w:footnoteRef/>
      </w:r>
      <w:r>
        <w:t xml:space="preserve"> </w:t>
      </w:r>
      <w:r>
        <w:tab/>
      </w:r>
      <w:r w:rsidRPr="00B1523A">
        <w:rPr>
          <w:i/>
          <w:sz w:val="16"/>
          <w:szCs w:val="16"/>
          <w:lang w:val="es-MX"/>
        </w:rPr>
        <w:t>Cfr.</w:t>
      </w:r>
      <w:r w:rsidRPr="005D402A">
        <w:rPr>
          <w:i/>
          <w:lang w:val="es-MX"/>
        </w:rPr>
        <w:t xml:space="preserve"> </w:t>
      </w:r>
      <w:r w:rsidRPr="0044329F">
        <w:rPr>
          <w:sz w:val="16"/>
          <w:szCs w:val="16"/>
          <w:lang w:val="es-CR"/>
        </w:rPr>
        <w:t xml:space="preserve">ONU. </w:t>
      </w:r>
      <w:r>
        <w:rPr>
          <w:color w:val="000000"/>
          <w:sz w:val="16"/>
          <w:szCs w:val="16"/>
          <w:lang w:val="es-MX"/>
        </w:rPr>
        <w:t>Comité DESC</w:t>
      </w:r>
      <w:r w:rsidRPr="0044329F">
        <w:rPr>
          <w:sz w:val="16"/>
          <w:szCs w:val="16"/>
          <w:lang w:val="es-MX"/>
        </w:rPr>
        <w:t xml:space="preserve">, </w:t>
      </w:r>
      <w:r>
        <w:rPr>
          <w:i/>
          <w:color w:val="000000"/>
          <w:sz w:val="16"/>
          <w:szCs w:val="16"/>
          <w:lang w:val="es-MX"/>
        </w:rPr>
        <w:t>OG-</w:t>
      </w:r>
      <w:r w:rsidRPr="00B1523A">
        <w:rPr>
          <w:rFonts w:eastAsia="Calibri"/>
          <w:i/>
          <w:sz w:val="16"/>
          <w:szCs w:val="16"/>
          <w:lang w:eastAsia="en-US"/>
        </w:rPr>
        <w:t>20</w:t>
      </w:r>
      <w:r w:rsidRPr="00057F8B">
        <w:rPr>
          <w:i/>
          <w:sz w:val="16"/>
          <w:szCs w:val="16"/>
          <w:lang w:val="es-MX"/>
        </w:rPr>
        <w:t>.</w:t>
      </w:r>
      <w:r w:rsidRPr="00945CB6">
        <w:rPr>
          <w:i/>
          <w:lang w:val="es-CR"/>
        </w:rPr>
        <w:t xml:space="preserve"> </w:t>
      </w:r>
      <w:r w:rsidRPr="00B1523A">
        <w:rPr>
          <w:rFonts w:eastAsia="Calibri"/>
          <w:i/>
          <w:sz w:val="16"/>
          <w:szCs w:val="16"/>
          <w:lang w:eastAsia="en-US"/>
        </w:rPr>
        <w:t xml:space="preserve">“La no discriminación y los derechos económicos, sociales y culturales”, </w:t>
      </w:r>
      <w:r w:rsidRPr="00C64243">
        <w:rPr>
          <w:rFonts w:eastAsia="Calibri"/>
          <w:sz w:val="16"/>
          <w:szCs w:val="16"/>
          <w:lang w:eastAsia="en-US"/>
        </w:rPr>
        <w:t xml:space="preserve">E/C.12/GC/20, 2 de julio de 2009, párr. 33. </w:t>
      </w:r>
    </w:p>
  </w:footnote>
  <w:footnote w:id="170">
    <w:p w14:paraId="4BC6B39A" w14:textId="39226E2D" w:rsidR="003C025E" w:rsidRPr="004A1B76" w:rsidRDefault="003C025E" w:rsidP="00B37825">
      <w:pPr>
        <w:pStyle w:val="FootnoteText"/>
        <w:rPr>
          <w:sz w:val="16"/>
          <w:lang w:val="es-CR"/>
        </w:rPr>
      </w:pPr>
      <w:r w:rsidRPr="005E480B">
        <w:rPr>
          <w:rStyle w:val="FootnoteReference"/>
          <w:rFonts w:eastAsia="Calibri"/>
          <w:sz w:val="16"/>
          <w:szCs w:val="16"/>
          <w:lang w:eastAsia="en-US"/>
        </w:rPr>
        <w:footnoteRef/>
      </w:r>
      <w:r>
        <w:t xml:space="preserve"> </w:t>
      </w:r>
      <w:r>
        <w:rPr>
          <w:lang w:val="es-CR"/>
        </w:rPr>
        <w:tab/>
      </w:r>
      <w:r w:rsidRPr="00B1523A">
        <w:rPr>
          <w:i/>
          <w:sz w:val="16"/>
          <w:szCs w:val="16"/>
          <w:lang w:val="es-MX"/>
        </w:rPr>
        <w:t>Cfr.</w:t>
      </w:r>
      <w:r w:rsidRPr="005D402A">
        <w:rPr>
          <w:i/>
          <w:lang w:val="es-MX"/>
        </w:rPr>
        <w:t xml:space="preserve"> </w:t>
      </w:r>
      <w:r w:rsidRPr="00B1523A">
        <w:rPr>
          <w:sz w:val="16"/>
          <w:szCs w:val="16"/>
          <w:lang w:val="es-CR"/>
        </w:rPr>
        <w:t>OEA</w:t>
      </w:r>
      <w:r>
        <w:rPr>
          <w:sz w:val="16"/>
          <w:szCs w:val="16"/>
          <w:lang w:val="es-CR"/>
        </w:rPr>
        <w:t>.</w:t>
      </w:r>
      <w:r>
        <w:rPr>
          <w:lang w:val="es-CR"/>
        </w:rPr>
        <w:t xml:space="preserve"> </w:t>
      </w:r>
      <w:r w:rsidRPr="007B3C84">
        <w:rPr>
          <w:sz w:val="16"/>
          <w:lang w:val="es-CR"/>
        </w:rPr>
        <w:t>Grupo de Trabajo para el Análisis de los Informes Nacionales previstos en el Protocolo de San Salvador</w:t>
      </w:r>
      <w:r>
        <w:rPr>
          <w:sz w:val="16"/>
          <w:lang w:val="es-CR"/>
        </w:rPr>
        <w:t>,</w:t>
      </w:r>
      <w:r w:rsidRPr="007B3C84">
        <w:rPr>
          <w:sz w:val="16"/>
          <w:lang w:val="es-CR"/>
        </w:rPr>
        <w:t xml:space="preserve"> </w:t>
      </w:r>
      <w:r w:rsidRPr="00B1523A">
        <w:rPr>
          <w:i/>
          <w:sz w:val="16"/>
          <w:lang w:val="es-CR"/>
        </w:rPr>
        <w:t>“Indicadores de progreso para medición de derechos contemplados en el Protocolo de San Salvador”</w:t>
      </w:r>
      <w:r w:rsidRPr="00F505D0">
        <w:rPr>
          <w:sz w:val="16"/>
          <w:lang w:val="es-CR"/>
        </w:rPr>
        <w:t>, OEA/</w:t>
      </w:r>
      <w:proofErr w:type="spellStart"/>
      <w:r w:rsidRPr="00F505D0">
        <w:rPr>
          <w:sz w:val="16"/>
          <w:lang w:val="es-CR"/>
        </w:rPr>
        <w:t>Ser.L</w:t>
      </w:r>
      <w:proofErr w:type="spellEnd"/>
      <w:r w:rsidRPr="00F505D0">
        <w:rPr>
          <w:sz w:val="16"/>
          <w:lang w:val="es-CR"/>
        </w:rPr>
        <w:t>/XXV.2.1; GT/PSS/doc.2/11 rev.2, de 16 diciembre 2011</w:t>
      </w:r>
      <w:r>
        <w:rPr>
          <w:sz w:val="16"/>
          <w:lang w:val="es-CR"/>
        </w:rPr>
        <w:t>.</w:t>
      </w:r>
      <w:r w:rsidRPr="00F505D0">
        <w:rPr>
          <w:sz w:val="16"/>
          <w:lang w:val="es-AR"/>
        </w:rPr>
        <w:t xml:space="preserve"> </w:t>
      </w:r>
      <w:r w:rsidRPr="00B1523A">
        <w:rPr>
          <w:i/>
          <w:sz w:val="16"/>
          <w:lang w:val="es-AR"/>
        </w:rPr>
        <w:t>“Indicadores de progreso para la medición de derechos contemplados en el Protocolo Adicional a la Convención Americana sobre Derechos Humanos en materia de derechos económicos, sociales y culturales “Protocolo de San Salvador – Segundo agrupamiento de derechos”</w:t>
      </w:r>
      <w:r w:rsidRPr="00F505D0">
        <w:rPr>
          <w:sz w:val="16"/>
          <w:lang w:val="es-CR"/>
        </w:rPr>
        <w:t>, OEA/</w:t>
      </w:r>
      <w:proofErr w:type="spellStart"/>
      <w:r w:rsidRPr="00F505D0">
        <w:rPr>
          <w:sz w:val="16"/>
          <w:lang w:val="es-CR"/>
        </w:rPr>
        <w:t>Ser.L</w:t>
      </w:r>
      <w:proofErr w:type="spellEnd"/>
      <w:r w:rsidRPr="00F505D0">
        <w:rPr>
          <w:sz w:val="16"/>
          <w:lang w:val="es-CR"/>
        </w:rPr>
        <w:t>/XXV.2.1 GT/PSS/doc.9/13,</w:t>
      </w:r>
      <w:r>
        <w:rPr>
          <w:sz w:val="16"/>
          <w:lang w:val="es-CR"/>
        </w:rPr>
        <w:t xml:space="preserve"> e </w:t>
      </w:r>
      <w:r w:rsidRPr="00B1523A">
        <w:rPr>
          <w:i/>
          <w:sz w:val="16"/>
          <w:lang w:val="es-CR"/>
        </w:rPr>
        <w:t>“Indicadores de progreso para la medición de derechos contemplados en el Protocolo de San Salvador”</w:t>
      </w:r>
      <w:r w:rsidRPr="00F505D0">
        <w:rPr>
          <w:sz w:val="16"/>
          <w:lang w:val="es-CR"/>
        </w:rPr>
        <w:t>, OEA/</w:t>
      </w:r>
      <w:proofErr w:type="spellStart"/>
      <w:r w:rsidRPr="00F505D0">
        <w:rPr>
          <w:sz w:val="16"/>
          <w:lang w:val="es-CR"/>
        </w:rPr>
        <w:t>Ser.D</w:t>
      </w:r>
      <w:proofErr w:type="spellEnd"/>
      <w:r w:rsidRPr="00F505D0">
        <w:rPr>
          <w:sz w:val="16"/>
          <w:lang w:val="es-CR"/>
        </w:rPr>
        <w:t>/XXVI.11 (2015)</w:t>
      </w:r>
      <w:r>
        <w:rPr>
          <w:sz w:val="16"/>
          <w:lang w:val="es-CR"/>
        </w:rPr>
        <w:t>, págs. 43 a 53.</w:t>
      </w:r>
      <w:r w:rsidRPr="00945CB6">
        <w:rPr>
          <w:sz w:val="16"/>
          <w:lang w:val="es-CR"/>
        </w:rPr>
        <w:t xml:space="preserve"> </w:t>
      </w:r>
      <w:r w:rsidRPr="00F505D0">
        <w:rPr>
          <w:sz w:val="16"/>
          <w:lang w:val="es-CR"/>
        </w:rPr>
        <w:t xml:space="preserve">Ver </w:t>
      </w:r>
      <w:r w:rsidRPr="00F505D0">
        <w:rPr>
          <w:i/>
          <w:sz w:val="16"/>
          <w:lang w:val="es-CR"/>
        </w:rPr>
        <w:t xml:space="preserve">supra, </w:t>
      </w:r>
      <w:r w:rsidRPr="00F505D0">
        <w:rPr>
          <w:sz w:val="16"/>
          <w:lang w:val="es-CR"/>
        </w:rPr>
        <w:t>nota 133.</w:t>
      </w:r>
      <w:r>
        <w:rPr>
          <w:sz w:val="16"/>
          <w:lang w:val="es-CR"/>
        </w:rPr>
        <w:t xml:space="preserve"> Este instrumento proporciona evidencias para valorar si los programas y el accionar estatal están alineados con estándares de derechos humanos.</w:t>
      </w:r>
    </w:p>
  </w:footnote>
  <w:footnote w:id="171">
    <w:p w14:paraId="20E5099E" w14:textId="2CC0A6C7" w:rsidR="003C025E" w:rsidRPr="002570D1" w:rsidRDefault="003C025E" w:rsidP="002570D1">
      <w:pPr>
        <w:pStyle w:val="FootnoteText"/>
        <w:rPr>
          <w:sz w:val="16"/>
          <w:szCs w:val="16"/>
          <w:lang w:val="es-ES"/>
        </w:rPr>
      </w:pPr>
      <w:r w:rsidRPr="002570D1">
        <w:rPr>
          <w:rStyle w:val="FootnoteReference"/>
          <w:color w:val="000000"/>
          <w:sz w:val="16"/>
          <w:szCs w:val="16"/>
        </w:rPr>
        <w:footnoteRef/>
      </w:r>
      <w:r w:rsidRPr="00BB4919">
        <w:rPr>
          <w:sz w:val="16"/>
          <w:szCs w:val="16"/>
          <w:lang w:val="pt-BR"/>
        </w:rPr>
        <w:t xml:space="preserve">   </w:t>
      </w:r>
      <w:r w:rsidRPr="00BB4919">
        <w:rPr>
          <w:sz w:val="16"/>
          <w:szCs w:val="16"/>
          <w:lang w:val="pt-BR"/>
        </w:rPr>
        <w:tab/>
      </w:r>
      <w:r w:rsidRPr="00BB4919">
        <w:rPr>
          <w:i/>
          <w:sz w:val="16"/>
          <w:szCs w:val="16"/>
          <w:lang w:val="pt-BR"/>
        </w:rPr>
        <w:t>Cfr.</w:t>
      </w:r>
      <w:r w:rsidRPr="00BB4919">
        <w:rPr>
          <w:sz w:val="16"/>
          <w:szCs w:val="16"/>
          <w:lang w:val="pt-BR"/>
        </w:rPr>
        <w:t xml:space="preserve"> </w:t>
      </w:r>
      <w:r w:rsidRPr="006815BD">
        <w:rPr>
          <w:color w:val="000000"/>
          <w:sz w:val="16"/>
          <w:szCs w:val="16"/>
          <w:lang w:val="pt-BR" w:eastAsia="es-CR"/>
        </w:rPr>
        <w:t xml:space="preserve"> </w:t>
      </w:r>
      <w:r w:rsidRPr="006815BD">
        <w:rPr>
          <w:sz w:val="16"/>
          <w:szCs w:val="16"/>
          <w:lang w:val="pt-BR"/>
        </w:rPr>
        <w:t xml:space="preserve">ONU, Comité DESC, </w:t>
      </w:r>
      <w:r>
        <w:rPr>
          <w:i/>
          <w:sz w:val="16"/>
          <w:szCs w:val="16"/>
          <w:lang w:val="pt-BR"/>
        </w:rPr>
        <w:t>OG-</w:t>
      </w:r>
      <w:r w:rsidRPr="006815BD">
        <w:rPr>
          <w:i/>
          <w:sz w:val="16"/>
          <w:szCs w:val="16"/>
          <w:lang w:val="pt-BR"/>
        </w:rPr>
        <w:t>14</w:t>
      </w:r>
      <w:r w:rsidRPr="006815BD">
        <w:rPr>
          <w:sz w:val="16"/>
          <w:szCs w:val="16"/>
          <w:lang w:val="pt-BR"/>
        </w:rPr>
        <w:t xml:space="preserve">, </w:t>
      </w:r>
      <w:r w:rsidRPr="006815BD">
        <w:rPr>
          <w:i/>
          <w:sz w:val="16"/>
          <w:szCs w:val="16"/>
          <w:lang w:val="pt-BR"/>
        </w:rPr>
        <w:t>supra</w:t>
      </w:r>
      <w:r w:rsidRPr="00BB4919">
        <w:rPr>
          <w:i/>
          <w:sz w:val="16"/>
          <w:szCs w:val="16"/>
          <w:lang w:val="pt-BR"/>
        </w:rPr>
        <w:t xml:space="preserve">, </w:t>
      </w:r>
      <w:r w:rsidRPr="00BB4919">
        <w:rPr>
          <w:sz w:val="16"/>
          <w:szCs w:val="16"/>
          <w:lang w:val="pt-BR"/>
        </w:rPr>
        <w:t xml:space="preserve">párr. </w:t>
      </w:r>
      <w:r w:rsidRPr="002570D1">
        <w:rPr>
          <w:sz w:val="16"/>
          <w:szCs w:val="16"/>
          <w:lang w:val="es-ES"/>
        </w:rPr>
        <w:t xml:space="preserve">1. </w:t>
      </w:r>
    </w:p>
  </w:footnote>
  <w:footnote w:id="172">
    <w:p w14:paraId="2BCB965E" w14:textId="78E98A23" w:rsidR="003C025E" w:rsidRPr="004F6A4B" w:rsidRDefault="003C025E" w:rsidP="007158CA">
      <w:pPr>
        <w:pStyle w:val="FootnoteText"/>
        <w:rPr>
          <w:b/>
          <w:sz w:val="16"/>
        </w:rPr>
      </w:pPr>
      <w:r w:rsidRPr="00B1523A">
        <w:rPr>
          <w:rStyle w:val="FootnoteReference"/>
          <w:sz w:val="16"/>
          <w:szCs w:val="16"/>
        </w:rPr>
        <w:footnoteRef/>
      </w:r>
      <w:r w:rsidRPr="00B1523A">
        <w:rPr>
          <w:sz w:val="16"/>
          <w:szCs w:val="16"/>
        </w:rPr>
        <w:t xml:space="preserve"> </w:t>
      </w:r>
      <w:r w:rsidRPr="00B1523A">
        <w:rPr>
          <w:sz w:val="16"/>
          <w:szCs w:val="16"/>
        </w:rPr>
        <w:tab/>
      </w:r>
      <w:r w:rsidRPr="00B1523A">
        <w:rPr>
          <w:i/>
          <w:sz w:val="16"/>
        </w:rPr>
        <w:t xml:space="preserve">Cfr. </w:t>
      </w:r>
      <w:r>
        <w:rPr>
          <w:i/>
          <w:sz w:val="16"/>
        </w:rPr>
        <w:t>i</w:t>
      </w:r>
      <w:r w:rsidRPr="00B1523A">
        <w:rPr>
          <w:i/>
          <w:sz w:val="16"/>
        </w:rPr>
        <w:t xml:space="preserve">nter </w:t>
      </w:r>
      <w:proofErr w:type="spellStart"/>
      <w:r w:rsidRPr="00B1523A">
        <w:rPr>
          <w:i/>
          <w:sz w:val="16"/>
        </w:rPr>
        <w:t>alia</w:t>
      </w:r>
      <w:proofErr w:type="spellEnd"/>
      <w:r w:rsidRPr="00B1523A">
        <w:rPr>
          <w:i/>
          <w:sz w:val="16"/>
        </w:rPr>
        <w:t>,</w:t>
      </w:r>
      <w:r w:rsidRPr="00B1523A">
        <w:rPr>
          <w:sz w:val="16"/>
        </w:rPr>
        <w:t xml:space="preserve"> Preámbulo de la Constitución de la </w:t>
      </w:r>
      <w:r>
        <w:rPr>
          <w:sz w:val="16"/>
        </w:rPr>
        <w:t>Organización Mundial de la Salud (OMS)</w:t>
      </w:r>
      <w:r w:rsidRPr="00B1523A">
        <w:rPr>
          <w:sz w:val="16"/>
        </w:rPr>
        <w:t xml:space="preserve">. </w:t>
      </w:r>
      <w:r>
        <w:rPr>
          <w:sz w:val="16"/>
        </w:rPr>
        <w:t>A</w:t>
      </w:r>
      <w:r w:rsidRPr="00B1523A">
        <w:rPr>
          <w:sz w:val="16"/>
        </w:rPr>
        <w:t xml:space="preserve">doptada por la Conferencia Sanitaria Internacional, celebrada en Nueva York del 19 de junio al 22 de julio de 1946, firmada el 22 de julio de 1946 por los representantes de 61 Estados (Off. </w:t>
      </w:r>
      <w:r w:rsidRPr="00B1523A">
        <w:rPr>
          <w:sz w:val="16"/>
          <w:lang w:val="es-CR"/>
        </w:rPr>
        <w:t xml:space="preserve">Rec. </w:t>
      </w:r>
      <w:proofErr w:type="spellStart"/>
      <w:r w:rsidRPr="00B1523A">
        <w:rPr>
          <w:sz w:val="16"/>
          <w:lang w:val="es-CR"/>
        </w:rPr>
        <w:t>Wld</w:t>
      </w:r>
      <w:proofErr w:type="spellEnd"/>
      <w:r w:rsidRPr="00B1523A">
        <w:rPr>
          <w:sz w:val="16"/>
          <w:lang w:val="es-CR"/>
        </w:rPr>
        <w:t xml:space="preserve"> </w:t>
      </w:r>
      <w:proofErr w:type="spellStart"/>
      <w:r w:rsidRPr="00B1523A">
        <w:rPr>
          <w:sz w:val="16"/>
          <w:lang w:val="es-CR"/>
        </w:rPr>
        <w:t>Hlth</w:t>
      </w:r>
      <w:proofErr w:type="spellEnd"/>
      <w:r w:rsidRPr="00B1523A">
        <w:rPr>
          <w:sz w:val="16"/>
          <w:lang w:val="es-CR"/>
        </w:rPr>
        <w:t xml:space="preserve"> </w:t>
      </w:r>
      <w:proofErr w:type="spellStart"/>
      <w:r w:rsidRPr="00B1523A">
        <w:rPr>
          <w:sz w:val="16"/>
          <w:lang w:val="es-CR"/>
        </w:rPr>
        <w:t>Org</w:t>
      </w:r>
      <w:proofErr w:type="spellEnd"/>
      <w:r w:rsidRPr="00B1523A">
        <w:rPr>
          <w:sz w:val="16"/>
          <w:lang w:val="es-CR"/>
        </w:rPr>
        <w:t xml:space="preserve">.; </w:t>
      </w:r>
      <w:proofErr w:type="spellStart"/>
      <w:r w:rsidRPr="00B1523A">
        <w:rPr>
          <w:sz w:val="16"/>
          <w:lang w:val="es-CR"/>
        </w:rPr>
        <w:t>Actes</w:t>
      </w:r>
      <w:proofErr w:type="spellEnd"/>
      <w:r w:rsidRPr="00B1523A">
        <w:rPr>
          <w:sz w:val="16"/>
          <w:lang w:val="es-CR"/>
        </w:rPr>
        <w:t xml:space="preserve"> off. </w:t>
      </w:r>
      <w:proofErr w:type="spellStart"/>
      <w:r w:rsidRPr="00B1523A">
        <w:rPr>
          <w:sz w:val="16"/>
        </w:rPr>
        <w:t>Org</w:t>
      </w:r>
      <w:proofErr w:type="spellEnd"/>
      <w:r w:rsidRPr="00B1523A">
        <w:rPr>
          <w:sz w:val="16"/>
        </w:rPr>
        <w:t xml:space="preserve">. </w:t>
      </w:r>
      <w:proofErr w:type="spellStart"/>
      <w:r w:rsidRPr="00B1523A">
        <w:rPr>
          <w:sz w:val="16"/>
        </w:rPr>
        <w:t>mond</w:t>
      </w:r>
      <w:proofErr w:type="spellEnd"/>
      <w:r w:rsidRPr="00B1523A">
        <w:rPr>
          <w:sz w:val="16"/>
        </w:rPr>
        <w:t xml:space="preserve">. </w:t>
      </w:r>
      <w:proofErr w:type="spellStart"/>
      <w:r w:rsidRPr="00B1523A">
        <w:rPr>
          <w:sz w:val="16"/>
        </w:rPr>
        <w:t>Santé</w:t>
      </w:r>
      <w:proofErr w:type="spellEnd"/>
      <w:r w:rsidRPr="00B1523A">
        <w:rPr>
          <w:sz w:val="16"/>
        </w:rPr>
        <w:t>, 2, 100), y entró en vigor el 7 de abril de 1948.</w:t>
      </w:r>
      <w:r w:rsidRPr="004F6A4B">
        <w:rPr>
          <w:b/>
          <w:sz w:val="16"/>
        </w:rPr>
        <w:t xml:space="preserve"> </w:t>
      </w:r>
      <w:r w:rsidRPr="00B1523A">
        <w:rPr>
          <w:sz w:val="16"/>
          <w:lang w:val="es-CR"/>
        </w:rPr>
        <w:t xml:space="preserve">Las reformas adoptadas por la 26ª, la 29ª, la 39ª y la 51ª Asambleas Mundiales de la Salud (resoluciones WHA26.37, WHA29.38, WHA39.6 y WHA51.23), que entraron en vigor el 3 de febrero de 1977, el 20 de enero de 1984, el 11 de julio de 1994 y el 15 de septiembre de 2005, respectivamente, se han incorporado </w:t>
      </w:r>
      <w:r>
        <w:rPr>
          <w:sz w:val="16"/>
          <w:lang w:val="es-CR"/>
        </w:rPr>
        <w:t xml:space="preserve">sucesivamente </w:t>
      </w:r>
      <w:r w:rsidRPr="00B1523A">
        <w:rPr>
          <w:sz w:val="16"/>
          <w:lang w:val="es-CR"/>
        </w:rPr>
        <w:t>a su texto.</w:t>
      </w:r>
    </w:p>
  </w:footnote>
  <w:footnote w:id="173">
    <w:p w14:paraId="0DAEB0BE" w14:textId="3D370A9D" w:rsidR="003C025E" w:rsidRPr="008952D9" w:rsidRDefault="003C025E" w:rsidP="002570D1">
      <w:pPr>
        <w:pStyle w:val="FootnoteText"/>
        <w:rPr>
          <w:sz w:val="16"/>
          <w:szCs w:val="16"/>
          <w:lang w:val="es-MX"/>
        </w:rPr>
      </w:pPr>
      <w:r w:rsidRPr="002570D1">
        <w:rPr>
          <w:rStyle w:val="FootnoteReference"/>
          <w:color w:val="000000"/>
          <w:sz w:val="16"/>
          <w:szCs w:val="16"/>
        </w:rPr>
        <w:footnoteRef/>
      </w:r>
      <w:r w:rsidRPr="002570D1">
        <w:rPr>
          <w:rStyle w:val="FootnoteReference"/>
          <w:color w:val="000000"/>
          <w:sz w:val="16"/>
          <w:szCs w:val="16"/>
          <w:lang w:val="es-MX"/>
        </w:rPr>
        <w:t xml:space="preserve"> </w:t>
      </w:r>
      <w:r w:rsidRPr="002570D1">
        <w:rPr>
          <w:sz w:val="16"/>
          <w:szCs w:val="16"/>
          <w:lang w:val="es-MX"/>
        </w:rPr>
        <w:t xml:space="preserve"> </w:t>
      </w:r>
      <w:r>
        <w:rPr>
          <w:sz w:val="16"/>
          <w:szCs w:val="16"/>
          <w:lang w:val="es-MX"/>
        </w:rPr>
        <w:tab/>
      </w:r>
      <w:r>
        <w:rPr>
          <w:i/>
          <w:sz w:val="16"/>
          <w:szCs w:val="16"/>
          <w:lang w:val="es-MX"/>
        </w:rPr>
        <w:t xml:space="preserve">Cfr. </w:t>
      </w:r>
      <w:r w:rsidRPr="0059117C">
        <w:rPr>
          <w:i/>
          <w:sz w:val="16"/>
          <w:szCs w:val="16"/>
          <w:lang w:val="es-MX"/>
        </w:rPr>
        <w:t xml:space="preserve">Mutatis </w:t>
      </w:r>
      <w:proofErr w:type="spellStart"/>
      <w:r w:rsidRPr="0059117C">
        <w:rPr>
          <w:i/>
          <w:sz w:val="16"/>
          <w:szCs w:val="16"/>
          <w:lang w:val="es-MX"/>
        </w:rPr>
        <w:t>mutandi</w:t>
      </w:r>
      <w:proofErr w:type="spellEnd"/>
      <w:r w:rsidRPr="0059117C">
        <w:rPr>
          <w:i/>
          <w:sz w:val="16"/>
          <w:szCs w:val="16"/>
          <w:lang w:val="es-MX"/>
        </w:rPr>
        <w:t xml:space="preserve">, </w:t>
      </w:r>
      <w:r w:rsidRPr="002570D1">
        <w:rPr>
          <w:i/>
          <w:sz w:val="16"/>
          <w:szCs w:val="16"/>
          <w:lang w:val="es-MX"/>
        </w:rPr>
        <w:t>Caso</w:t>
      </w:r>
      <w:r w:rsidRPr="002570D1">
        <w:rPr>
          <w:sz w:val="16"/>
          <w:szCs w:val="16"/>
          <w:lang w:val="es-MX"/>
        </w:rPr>
        <w:t xml:space="preserve"> </w:t>
      </w:r>
      <w:proofErr w:type="spellStart"/>
      <w:r w:rsidRPr="002570D1">
        <w:rPr>
          <w:i/>
          <w:sz w:val="16"/>
          <w:szCs w:val="16"/>
          <w:lang w:val="es-MX"/>
        </w:rPr>
        <w:t>Ximenes</w:t>
      </w:r>
      <w:proofErr w:type="spellEnd"/>
      <w:r w:rsidRPr="002570D1">
        <w:rPr>
          <w:i/>
          <w:sz w:val="16"/>
          <w:szCs w:val="16"/>
          <w:lang w:val="es-MX"/>
        </w:rPr>
        <w:t xml:space="preserve"> </w:t>
      </w:r>
      <w:proofErr w:type="spellStart"/>
      <w:r w:rsidRPr="002570D1">
        <w:rPr>
          <w:i/>
          <w:sz w:val="16"/>
          <w:szCs w:val="16"/>
          <w:lang w:val="es-MX"/>
        </w:rPr>
        <w:t>Lopes</w:t>
      </w:r>
      <w:proofErr w:type="spellEnd"/>
      <w:r w:rsidRPr="002570D1">
        <w:rPr>
          <w:i/>
          <w:sz w:val="16"/>
          <w:szCs w:val="16"/>
          <w:lang w:val="es-MX"/>
        </w:rPr>
        <w:t xml:space="preserve"> Vs. Brasil</w:t>
      </w:r>
      <w:r w:rsidRPr="002570D1">
        <w:rPr>
          <w:sz w:val="16"/>
          <w:szCs w:val="16"/>
          <w:lang w:val="es-MX"/>
        </w:rPr>
        <w:t xml:space="preserve">. Sentencia de 4 de julio de 2006. Serie C No. 149, párr. </w:t>
      </w:r>
      <w:r w:rsidRPr="008952D9">
        <w:rPr>
          <w:sz w:val="16"/>
          <w:szCs w:val="16"/>
          <w:lang w:val="es-MX"/>
        </w:rPr>
        <w:t>128.</w:t>
      </w:r>
    </w:p>
  </w:footnote>
  <w:footnote w:id="174">
    <w:p w14:paraId="01BF214C" w14:textId="53167C42" w:rsidR="003C025E" w:rsidRPr="00BB4919" w:rsidRDefault="003C025E" w:rsidP="002570D1">
      <w:pPr>
        <w:pStyle w:val="FootnoteText"/>
        <w:rPr>
          <w:sz w:val="16"/>
          <w:szCs w:val="16"/>
          <w:lang w:val="es-CR"/>
        </w:rPr>
      </w:pPr>
      <w:r w:rsidRPr="008952D9">
        <w:rPr>
          <w:rStyle w:val="FootnoteReference"/>
          <w:color w:val="000000"/>
          <w:sz w:val="16"/>
          <w:szCs w:val="16"/>
        </w:rPr>
        <w:footnoteRef/>
      </w:r>
      <w:r w:rsidRPr="008952D9">
        <w:rPr>
          <w:sz w:val="16"/>
          <w:szCs w:val="16"/>
          <w:lang w:val="es-MX"/>
        </w:rPr>
        <w:t xml:space="preserve"> </w:t>
      </w:r>
      <w:r>
        <w:rPr>
          <w:sz w:val="16"/>
          <w:szCs w:val="16"/>
          <w:lang w:val="es-MX"/>
        </w:rPr>
        <w:tab/>
      </w:r>
      <w:r w:rsidRPr="008952D9">
        <w:rPr>
          <w:i/>
          <w:sz w:val="16"/>
          <w:szCs w:val="16"/>
          <w:lang w:val="es-MX"/>
        </w:rPr>
        <w:t xml:space="preserve">Cfr. </w:t>
      </w:r>
      <w:r>
        <w:rPr>
          <w:i/>
          <w:sz w:val="16"/>
          <w:szCs w:val="16"/>
          <w:lang w:val="es-GT"/>
        </w:rPr>
        <w:t>Caso Suárez Peralta Vs. Ecuador,</w:t>
      </w:r>
      <w:r w:rsidRPr="008952D9">
        <w:rPr>
          <w:i/>
          <w:sz w:val="16"/>
          <w:szCs w:val="16"/>
          <w:lang w:val="es-GT"/>
        </w:rPr>
        <w:t xml:space="preserve"> </w:t>
      </w:r>
      <w:r>
        <w:rPr>
          <w:i/>
          <w:sz w:val="16"/>
          <w:szCs w:val="16"/>
          <w:lang w:val="es-GT"/>
        </w:rPr>
        <w:t>supra</w:t>
      </w:r>
      <w:r w:rsidRPr="00BB4919">
        <w:rPr>
          <w:sz w:val="16"/>
          <w:szCs w:val="16"/>
          <w:lang w:val="es-CR"/>
        </w:rPr>
        <w:t xml:space="preserve">, párr. 134, y </w:t>
      </w:r>
      <w:r w:rsidRPr="00BB4919">
        <w:rPr>
          <w:bCs/>
          <w:sz w:val="16"/>
          <w:szCs w:val="16"/>
          <w:lang w:val="es-CR"/>
        </w:rPr>
        <w:t xml:space="preserve">Caso </w:t>
      </w:r>
      <w:proofErr w:type="spellStart"/>
      <w:r w:rsidRPr="00BB4919">
        <w:rPr>
          <w:bCs/>
          <w:i/>
          <w:sz w:val="16"/>
          <w:szCs w:val="16"/>
          <w:lang w:val="es-CR"/>
        </w:rPr>
        <w:t>Ximenes</w:t>
      </w:r>
      <w:proofErr w:type="spellEnd"/>
      <w:r w:rsidRPr="00BB4919">
        <w:rPr>
          <w:bCs/>
          <w:i/>
          <w:sz w:val="16"/>
          <w:szCs w:val="16"/>
          <w:lang w:val="es-CR"/>
        </w:rPr>
        <w:t xml:space="preserve"> </w:t>
      </w:r>
      <w:proofErr w:type="spellStart"/>
      <w:r w:rsidRPr="00BB4919">
        <w:rPr>
          <w:bCs/>
          <w:i/>
          <w:sz w:val="16"/>
          <w:szCs w:val="16"/>
          <w:lang w:val="es-CR"/>
        </w:rPr>
        <w:t>Lopes</w:t>
      </w:r>
      <w:proofErr w:type="spellEnd"/>
      <w:r w:rsidRPr="00BB4919">
        <w:rPr>
          <w:bCs/>
          <w:i/>
          <w:sz w:val="16"/>
          <w:szCs w:val="16"/>
          <w:lang w:val="es-CR"/>
        </w:rPr>
        <w:t xml:space="preserve"> Vs. Brasil, supra</w:t>
      </w:r>
      <w:r w:rsidRPr="00BB4919">
        <w:rPr>
          <w:bCs/>
          <w:sz w:val="16"/>
          <w:szCs w:val="16"/>
          <w:lang w:val="es-CR"/>
        </w:rPr>
        <w:t>, párr. 99.</w:t>
      </w:r>
    </w:p>
  </w:footnote>
  <w:footnote w:id="175">
    <w:p w14:paraId="1C6D23E6" w14:textId="0C243A87" w:rsidR="003C025E" w:rsidRPr="00D87D5F" w:rsidRDefault="003C025E" w:rsidP="009455C8">
      <w:pPr>
        <w:pStyle w:val="FootnoteText"/>
        <w:rPr>
          <w:sz w:val="16"/>
          <w:szCs w:val="16"/>
          <w:lang w:val="es-AR"/>
        </w:rPr>
      </w:pPr>
      <w:r w:rsidRPr="00A7242E">
        <w:rPr>
          <w:rStyle w:val="FootnoteReference"/>
          <w:rFonts w:eastAsia="Calibri"/>
          <w:sz w:val="16"/>
          <w:szCs w:val="16"/>
          <w:lang w:eastAsia="en-US"/>
        </w:rPr>
        <w:footnoteRef/>
      </w:r>
      <w:r w:rsidRPr="00BB4919">
        <w:rPr>
          <w:sz w:val="16"/>
          <w:szCs w:val="16"/>
          <w:lang w:val="es-CR"/>
        </w:rPr>
        <w:t xml:space="preserve"> </w:t>
      </w:r>
      <w:r w:rsidRPr="00BB4919">
        <w:rPr>
          <w:color w:val="000000"/>
          <w:sz w:val="16"/>
          <w:szCs w:val="16"/>
          <w:lang w:val="es-CR"/>
        </w:rPr>
        <w:tab/>
        <w:t xml:space="preserve">ONU, Comité DESC, </w:t>
      </w:r>
      <w:r w:rsidRPr="00BB4919">
        <w:rPr>
          <w:i/>
          <w:color w:val="000000"/>
          <w:sz w:val="16"/>
          <w:szCs w:val="16"/>
          <w:lang w:val="es-CR"/>
        </w:rPr>
        <w:t>OG-14</w:t>
      </w:r>
      <w:r w:rsidRPr="00BB4919">
        <w:rPr>
          <w:color w:val="000000"/>
          <w:sz w:val="16"/>
          <w:szCs w:val="16"/>
          <w:lang w:val="es-CR"/>
        </w:rPr>
        <w:t xml:space="preserve">, </w:t>
      </w:r>
      <w:r w:rsidRPr="00BB4919">
        <w:rPr>
          <w:i/>
          <w:color w:val="000000"/>
          <w:sz w:val="16"/>
          <w:szCs w:val="16"/>
          <w:lang w:val="es-CR"/>
        </w:rPr>
        <w:t>supra</w:t>
      </w:r>
      <w:r w:rsidRPr="00BB4919">
        <w:rPr>
          <w:color w:val="000000"/>
          <w:sz w:val="16"/>
          <w:szCs w:val="16"/>
          <w:lang w:val="es-CR"/>
        </w:rPr>
        <w:t xml:space="preserve">, párr. </w:t>
      </w:r>
      <w:r w:rsidRPr="008952D9">
        <w:rPr>
          <w:color w:val="000000"/>
          <w:sz w:val="16"/>
          <w:szCs w:val="16"/>
          <w:lang w:val="es-MX"/>
        </w:rPr>
        <w:t xml:space="preserve">12. </w:t>
      </w:r>
      <w:r w:rsidRPr="008952D9">
        <w:rPr>
          <w:sz w:val="16"/>
          <w:szCs w:val="16"/>
          <w:lang w:val="es-AR"/>
        </w:rPr>
        <w:t>A este respecto, dicho Comité señaló que [e]</w:t>
      </w:r>
      <w:r w:rsidRPr="00A7242E">
        <w:rPr>
          <w:sz w:val="16"/>
          <w:szCs w:val="16"/>
          <w:lang w:val="es-AR"/>
        </w:rPr>
        <w:t xml:space="preserve">l derecho a la salud en todas sus formas y a todos los niveles abarca los siguientes elementos esenciales e </w:t>
      </w:r>
      <w:r w:rsidRPr="00D87D5F">
        <w:rPr>
          <w:sz w:val="16"/>
          <w:szCs w:val="16"/>
          <w:lang w:val="es-AR"/>
        </w:rPr>
        <w:t>interrelacionados, cuya aplicación dependerá de las condiciones prevalecientes en un determinado Estado Parte:</w:t>
      </w:r>
    </w:p>
    <w:p w14:paraId="2206E661" w14:textId="64E60649" w:rsidR="003C025E" w:rsidRPr="009123CB" w:rsidRDefault="003C025E" w:rsidP="009455C8">
      <w:pPr>
        <w:pStyle w:val="FootnoteText"/>
        <w:rPr>
          <w:sz w:val="16"/>
          <w:szCs w:val="16"/>
          <w:lang w:val="es-AR"/>
        </w:rPr>
      </w:pPr>
      <w:r w:rsidRPr="00C801B7">
        <w:rPr>
          <w:sz w:val="16"/>
          <w:szCs w:val="16"/>
          <w:lang w:val="es-AR"/>
        </w:rPr>
        <w:t xml:space="preserve">a) Disponibilidad. Cada Estado Parte deberá contar con un número suficiente de establecimientos, bienes y servicios </w:t>
      </w:r>
      <w:r w:rsidRPr="00FF35B0">
        <w:rPr>
          <w:sz w:val="16"/>
          <w:szCs w:val="16"/>
          <w:lang w:val="es-AR"/>
        </w:rPr>
        <w:t>públicos de salud y centros de atención de la salud, así como de programas […] [E]</w:t>
      </w:r>
      <w:proofErr w:type="spellStart"/>
      <w:r w:rsidRPr="00FF35B0">
        <w:rPr>
          <w:sz w:val="16"/>
          <w:szCs w:val="16"/>
          <w:lang w:val="es-AR"/>
        </w:rPr>
        <w:t>sos</w:t>
      </w:r>
      <w:proofErr w:type="spellEnd"/>
      <w:r w:rsidRPr="00FF35B0">
        <w:rPr>
          <w:sz w:val="16"/>
          <w:szCs w:val="16"/>
          <w:lang w:val="es-AR"/>
        </w:rPr>
        <w:t xml:space="preserve"> servicios incluirán los factores determinantes básicos de la salud, como agua limpia potable y condiciones sanitarias adecuadas, hospitales, clínicas y demás establecimie</w:t>
      </w:r>
      <w:r w:rsidRPr="001A7A8E">
        <w:rPr>
          <w:sz w:val="16"/>
          <w:szCs w:val="16"/>
          <w:lang w:val="es-AR"/>
        </w:rPr>
        <w:t>ntos relacionados con la salud, personal médico y profesional capacitado […]</w:t>
      </w:r>
    </w:p>
    <w:p w14:paraId="7DC0EE14" w14:textId="4680DEE6" w:rsidR="003C025E" w:rsidRPr="00A3172B" w:rsidRDefault="003C025E" w:rsidP="009455C8">
      <w:pPr>
        <w:pStyle w:val="FootnoteText"/>
        <w:rPr>
          <w:sz w:val="16"/>
          <w:szCs w:val="16"/>
          <w:lang w:val="es-AR"/>
        </w:rPr>
      </w:pPr>
      <w:r w:rsidRPr="001620F7">
        <w:rPr>
          <w:sz w:val="16"/>
          <w:szCs w:val="16"/>
          <w:lang w:val="es-AR"/>
        </w:rPr>
        <w:t>b) Accesibilidad. Los establecimientos, bienes y servicios de salud deben ser accesibles a todos, sin discriminación alguna, dentro de la jurisdicción del Estado Parte</w:t>
      </w:r>
      <w:r w:rsidRPr="00263E42">
        <w:rPr>
          <w:sz w:val="16"/>
          <w:szCs w:val="16"/>
          <w:lang w:val="es-AR"/>
        </w:rPr>
        <w:t xml:space="preserve"> […]</w:t>
      </w:r>
      <w:r w:rsidRPr="00A3172B">
        <w:rPr>
          <w:sz w:val="16"/>
          <w:szCs w:val="16"/>
          <w:lang w:val="es-AR"/>
        </w:rPr>
        <w:t>;</w:t>
      </w:r>
    </w:p>
    <w:p w14:paraId="6D7A631C" w14:textId="77777777" w:rsidR="003C025E" w:rsidRPr="008952D9" w:rsidRDefault="003C025E" w:rsidP="009455C8">
      <w:pPr>
        <w:pStyle w:val="FootnoteText"/>
        <w:rPr>
          <w:sz w:val="16"/>
          <w:szCs w:val="16"/>
          <w:lang w:val="es-AR"/>
        </w:rPr>
      </w:pPr>
      <w:r w:rsidRPr="008952D9">
        <w:rPr>
          <w:sz w:val="16"/>
          <w:szCs w:val="16"/>
          <w:lang w:val="es-AR"/>
        </w:rPr>
        <w:t>c) Aceptabilidad. Todos los establecimientos, bienes y servicios de salud deberán ser respetuosos de la ética médica y culturalmente apropiados, […] y deberán estar concebidos para respetar la confidencialidad y mejorar el estado de salud de las personas de que se trate;</w:t>
      </w:r>
    </w:p>
    <w:p w14:paraId="0B390DF4" w14:textId="77777777" w:rsidR="003C025E" w:rsidRPr="00B1523A" w:rsidRDefault="003C025E" w:rsidP="009455C8">
      <w:pPr>
        <w:pStyle w:val="FootnoteText"/>
        <w:rPr>
          <w:sz w:val="16"/>
          <w:szCs w:val="16"/>
          <w:lang w:val="es-AR"/>
        </w:rPr>
      </w:pPr>
      <w:r w:rsidRPr="008952D9">
        <w:rPr>
          <w:sz w:val="16"/>
          <w:szCs w:val="16"/>
          <w:lang w:val="es-AR"/>
        </w:rPr>
        <w:t>d) Calidad. Además de aceptables desde el punto de vista cultural, los establecimientos, bienes y servicios de salud deberán ser también apropiados desde el punto de vista científico y médico y ser de buena calidad. Ello requiere, entre otras cosas, personal médico capacitado, medicamentos y equipo hospitalario científicamente aprobados y en buen estado, agua limpia potable y condiciones sanitarias adecuadas.</w:t>
      </w:r>
    </w:p>
  </w:footnote>
  <w:footnote w:id="176">
    <w:p w14:paraId="26D908F5" w14:textId="32656018" w:rsidR="003C025E" w:rsidRPr="002570D1" w:rsidRDefault="003C025E" w:rsidP="00911089">
      <w:pPr>
        <w:pStyle w:val="FootnoteText"/>
        <w:rPr>
          <w:sz w:val="16"/>
          <w:szCs w:val="16"/>
          <w:lang w:val="es-GT"/>
        </w:rPr>
      </w:pPr>
      <w:r w:rsidRPr="008952D9">
        <w:rPr>
          <w:rStyle w:val="FootnoteReference"/>
          <w:rFonts w:eastAsia="MS ????"/>
          <w:color w:val="000000"/>
          <w:sz w:val="16"/>
          <w:szCs w:val="16"/>
        </w:rPr>
        <w:footnoteRef/>
      </w:r>
      <w:r w:rsidRPr="008952D9">
        <w:rPr>
          <w:sz w:val="16"/>
          <w:szCs w:val="16"/>
          <w:lang w:val="es-CR"/>
        </w:rPr>
        <w:t xml:space="preserve"> </w:t>
      </w:r>
      <w:r>
        <w:rPr>
          <w:sz w:val="16"/>
          <w:szCs w:val="16"/>
          <w:lang w:val="es-CR"/>
        </w:rPr>
        <w:tab/>
      </w:r>
      <w:r w:rsidRPr="008952D9">
        <w:rPr>
          <w:i/>
          <w:sz w:val="16"/>
          <w:szCs w:val="16"/>
          <w:lang w:val="es-CR"/>
        </w:rPr>
        <w:t xml:space="preserve">Cfr. </w:t>
      </w:r>
      <w:r w:rsidRPr="008952D9">
        <w:rPr>
          <w:i/>
          <w:sz w:val="16"/>
          <w:szCs w:val="16"/>
          <w:lang w:val="es-GT"/>
        </w:rPr>
        <w:t>Caso Suárez Peralta Vs. Ecuador, supra</w:t>
      </w:r>
      <w:r w:rsidRPr="008952D9">
        <w:rPr>
          <w:sz w:val="16"/>
          <w:szCs w:val="16"/>
          <w:lang w:val="es-GT"/>
        </w:rPr>
        <w:t xml:space="preserve">, párr. </w:t>
      </w:r>
      <w:r>
        <w:rPr>
          <w:sz w:val="16"/>
          <w:szCs w:val="16"/>
          <w:lang w:val="es-GT"/>
        </w:rPr>
        <w:t>152</w:t>
      </w:r>
      <w:r w:rsidRPr="00A7242E">
        <w:rPr>
          <w:sz w:val="16"/>
          <w:szCs w:val="16"/>
          <w:lang w:val="es-GT"/>
        </w:rPr>
        <w:t xml:space="preserve">, y </w:t>
      </w:r>
      <w:r w:rsidRPr="00A7242E">
        <w:rPr>
          <w:i/>
          <w:sz w:val="16"/>
          <w:szCs w:val="16"/>
          <w:lang w:val="es-GT"/>
        </w:rPr>
        <w:t xml:space="preserve">Caso Gonzales </w:t>
      </w:r>
      <w:proofErr w:type="spellStart"/>
      <w:r w:rsidRPr="00A7242E">
        <w:rPr>
          <w:i/>
          <w:sz w:val="16"/>
          <w:szCs w:val="16"/>
          <w:lang w:val="es-GT"/>
        </w:rPr>
        <w:t>Lluy</w:t>
      </w:r>
      <w:proofErr w:type="spellEnd"/>
      <w:r w:rsidRPr="00A7242E">
        <w:rPr>
          <w:i/>
          <w:sz w:val="16"/>
          <w:szCs w:val="16"/>
          <w:lang w:val="es-GT"/>
        </w:rPr>
        <w:t xml:space="preserve"> y otros Vs. Ecuador, supra, </w:t>
      </w:r>
      <w:r w:rsidRPr="00D87D5F">
        <w:rPr>
          <w:sz w:val="16"/>
          <w:szCs w:val="16"/>
          <w:lang w:val="es-GT"/>
        </w:rPr>
        <w:t>párr. 235</w:t>
      </w:r>
      <w:r>
        <w:rPr>
          <w:sz w:val="16"/>
          <w:szCs w:val="16"/>
          <w:lang w:val="es-GT"/>
        </w:rPr>
        <w:t>.</w:t>
      </w:r>
    </w:p>
  </w:footnote>
  <w:footnote w:id="177">
    <w:p w14:paraId="6F396522" w14:textId="36B94EF4" w:rsidR="003C025E" w:rsidRPr="002570D1" w:rsidRDefault="003C025E" w:rsidP="00911089">
      <w:pPr>
        <w:pStyle w:val="FootnoteText"/>
        <w:rPr>
          <w:sz w:val="16"/>
          <w:szCs w:val="16"/>
          <w:lang w:val="es-AR"/>
        </w:rPr>
      </w:pPr>
      <w:r w:rsidRPr="002570D1">
        <w:rPr>
          <w:rStyle w:val="FootnoteReference"/>
          <w:rFonts w:eastAsia="MS ????"/>
          <w:sz w:val="16"/>
          <w:szCs w:val="16"/>
        </w:rPr>
        <w:footnoteRef/>
      </w:r>
      <w:r w:rsidRPr="002570D1">
        <w:rPr>
          <w:sz w:val="16"/>
          <w:szCs w:val="16"/>
          <w:lang w:val="es-AR"/>
        </w:rPr>
        <w:t xml:space="preserve"> </w:t>
      </w:r>
      <w:r>
        <w:rPr>
          <w:sz w:val="16"/>
          <w:szCs w:val="16"/>
          <w:lang w:val="es-AR"/>
        </w:rPr>
        <w:tab/>
      </w:r>
      <w:r w:rsidRPr="002570D1">
        <w:rPr>
          <w:sz w:val="16"/>
          <w:szCs w:val="16"/>
          <w:lang w:val="es-MX"/>
        </w:rPr>
        <w:t xml:space="preserve">La Corte ha señalado que los </w:t>
      </w:r>
      <w:r>
        <w:rPr>
          <w:sz w:val="16"/>
          <w:szCs w:val="16"/>
          <w:lang w:val="es-MX"/>
        </w:rPr>
        <w:t>E</w:t>
      </w:r>
      <w:r w:rsidRPr="002570D1">
        <w:rPr>
          <w:sz w:val="16"/>
          <w:szCs w:val="16"/>
          <w:lang w:val="es-MX"/>
        </w:rPr>
        <w:t>stados tienen el deber de asegurar el acceso de las pe</w:t>
      </w:r>
      <w:r>
        <w:rPr>
          <w:sz w:val="16"/>
          <w:szCs w:val="16"/>
          <w:lang w:val="es-MX"/>
        </w:rPr>
        <w:t>r</w:t>
      </w:r>
      <w:r w:rsidRPr="002570D1">
        <w:rPr>
          <w:sz w:val="16"/>
          <w:szCs w:val="16"/>
          <w:lang w:val="es-MX"/>
        </w:rPr>
        <w:t xml:space="preserve">sonas a servicios básicos de salud. </w:t>
      </w:r>
      <w:r>
        <w:rPr>
          <w:i/>
          <w:sz w:val="16"/>
          <w:szCs w:val="16"/>
          <w:lang w:val="es-MX"/>
        </w:rPr>
        <w:t xml:space="preserve">Cfr. </w:t>
      </w:r>
      <w:r w:rsidRPr="00B1523A">
        <w:rPr>
          <w:i/>
          <w:sz w:val="16"/>
          <w:szCs w:val="16"/>
          <w:lang w:val="es-MX"/>
        </w:rPr>
        <w:t xml:space="preserve">Caso </w:t>
      </w:r>
      <w:proofErr w:type="spellStart"/>
      <w:r w:rsidRPr="00B1523A">
        <w:rPr>
          <w:i/>
          <w:sz w:val="16"/>
          <w:szCs w:val="16"/>
          <w:lang w:val="es-MX"/>
        </w:rPr>
        <w:t>Ximenes</w:t>
      </w:r>
      <w:proofErr w:type="spellEnd"/>
      <w:r w:rsidRPr="00B1523A">
        <w:rPr>
          <w:i/>
          <w:sz w:val="16"/>
          <w:szCs w:val="16"/>
          <w:lang w:val="es-MX"/>
        </w:rPr>
        <w:t xml:space="preserve"> </w:t>
      </w:r>
      <w:proofErr w:type="spellStart"/>
      <w:r w:rsidRPr="00B1523A">
        <w:rPr>
          <w:i/>
          <w:sz w:val="16"/>
          <w:szCs w:val="16"/>
          <w:lang w:val="es-MX"/>
        </w:rPr>
        <w:t>Lópes</w:t>
      </w:r>
      <w:proofErr w:type="spellEnd"/>
      <w:r w:rsidRPr="00B1523A">
        <w:rPr>
          <w:i/>
          <w:sz w:val="16"/>
          <w:szCs w:val="16"/>
          <w:lang w:val="es-MX"/>
        </w:rPr>
        <w:t xml:space="preserve"> Vs. Brasil</w:t>
      </w:r>
      <w:r>
        <w:rPr>
          <w:sz w:val="16"/>
          <w:szCs w:val="16"/>
          <w:lang w:val="es-MX"/>
        </w:rPr>
        <w:t xml:space="preserve">, </w:t>
      </w:r>
      <w:r w:rsidRPr="00B1523A">
        <w:rPr>
          <w:i/>
          <w:sz w:val="16"/>
          <w:szCs w:val="16"/>
          <w:lang w:val="es-MX"/>
        </w:rPr>
        <w:t>supra</w:t>
      </w:r>
      <w:r>
        <w:rPr>
          <w:sz w:val="16"/>
          <w:szCs w:val="16"/>
          <w:lang w:val="es-MX"/>
        </w:rPr>
        <w:t xml:space="preserve">, </w:t>
      </w:r>
      <w:r w:rsidRPr="00802B39">
        <w:rPr>
          <w:sz w:val="16"/>
          <w:szCs w:val="16"/>
          <w:lang w:val="es-MX"/>
        </w:rPr>
        <w:t>párr. 128.</w:t>
      </w:r>
    </w:p>
  </w:footnote>
  <w:footnote w:id="178">
    <w:p w14:paraId="07E9CA28" w14:textId="48F0371A" w:rsidR="003C025E" w:rsidRPr="002570D1" w:rsidRDefault="003C025E" w:rsidP="00911089">
      <w:pPr>
        <w:pStyle w:val="FootnoteText"/>
        <w:rPr>
          <w:sz w:val="16"/>
          <w:szCs w:val="16"/>
          <w:lang w:val="es-MX"/>
        </w:rPr>
      </w:pPr>
      <w:r w:rsidRPr="002570D1">
        <w:rPr>
          <w:rStyle w:val="FootnoteReference"/>
          <w:rFonts w:eastAsia="MS ????"/>
          <w:color w:val="000000"/>
          <w:sz w:val="16"/>
          <w:szCs w:val="16"/>
        </w:rPr>
        <w:footnoteRef/>
      </w:r>
      <w:r w:rsidRPr="002570D1">
        <w:rPr>
          <w:rStyle w:val="FootnoteReference"/>
          <w:rFonts w:eastAsia="MS ????"/>
          <w:color w:val="000000"/>
          <w:sz w:val="16"/>
          <w:szCs w:val="16"/>
          <w:lang w:val="es-AR"/>
        </w:rPr>
        <w:t xml:space="preserve"> </w:t>
      </w:r>
      <w:r>
        <w:rPr>
          <w:sz w:val="16"/>
          <w:szCs w:val="16"/>
          <w:lang w:val="es-AR"/>
        </w:rPr>
        <w:tab/>
      </w:r>
      <w:r w:rsidRPr="002570D1">
        <w:rPr>
          <w:sz w:val="16"/>
          <w:szCs w:val="16"/>
          <w:lang w:val="es-MX"/>
        </w:rPr>
        <w:t>Al respecto</w:t>
      </w:r>
      <w:r>
        <w:rPr>
          <w:sz w:val="16"/>
          <w:szCs w:val="16"/>
          <w:lang w:val="es-MX"/>
        </w:rPr>
        <w:t>,</w:t>
      </w:r>
      <w:r w:rsidRPr="002570D1">
        <w:rPr>
          <w:sz w:val="16"/>
          <w:szCs w:val="16"/>
          <w:lang w:val="es-MX"/>
        </w:rPr>
        <w:t xml:space="preserve"> la perita Alicia Ely </w:t>
      </w:r>
      <w:proofErr w:type="spellStart"/>
      <w:r w:rsidRPr="002570D1">
        <w:rPr>
          <w:sz w:val="16"/>
          <w:szCs w:val="16"/>
          <w:lang w:val="es-MX"/>
        </w:rPr>
        <w:t>Yamin</w:t>
      </w:r>
      <w:proofErr w:type="spellEnd"/>
      <w:r w:rsidRPr="002570D1">
        <w:rPr>
          <w:sz w:val="16"/>
          <w:szCs w:val="16"/>
          <w:lang w:val="es-MX"/>
        </w:rPr>
        <w:t xml:space="preserve"> destacó </w:t>
      </w:r>
      <w:r w:rsidRPr="0065542C">
        <w:rPr>
          <w:sz w:val="16"/>
          <w:szCs w:val="16"/>
          <w:lang w:val="es-MX"/>
        </w:rPr>
        <w:t xml:space="preserve">en el documento complementario de su declaración pericial </w:t>
      </w:r>
      <w:r w:rsidRPr="002570D1">
        <w:rPr>
          <w:sz w:val="16"/>
          <w:szCs w:val="16"/>
          <w:lang w:val="es-MX"/>
        </w:rPr>
        <w:t>que un enfoque de derechos humanos en las políticas de salud exige que el sistema de salud garantice acceso equitativo y disponibilidad de servicios aceptables, en conjunto con una atención de calidad</w:t>
      </w:r>
      <w:r>
        <w:rPr>
          <w:sz w:val="16"/>
          <w:szCs w:val="16"/>
          <w:lang w:val="es-MX"/>
        </w:rPr>
        <w:t xml:space="preserve"> (expediente de fondo, f. 754).</w:t>
      </w:r>
      <w:r w:rsidRPr="002570D1">
        <w:rPr>
          <w:sz w:val="16"/>
          <w:szCs w:val="16"/>
          <w:lang w:val="es-MX"/>
        </w:rPr>
        <w:t xml:space="preserve"> </w:t>
      </w:r>
    </w:p>
  </w:footnote>
  <w:footnote w:id="179">
    <w:p w14:paraId="2EFD1D4D" w14:textId="6ADB1C66" w:rsidR="003C025E" w:rsidRPr="0059117C" w:rsidRDefault="003C025E" w:rsidP="00EA385D">
      <w:pPr>
        <w:pStyle w:val="FootnoteText"/>
        <w:rPr>
          <w:sz w:val="16"/>
          <w:szCs w:val="16"/>
          <w:lang w:val="es-AR"/>
        </w:rPr>
      </w:pPr>
      <w:r w:rsidRPr="0059117C">
        <w:rPr>
          <w:rStyle w:val="FootnoteReference"/>
          <w:rFonts w:eastAsia="Calibri"/>
          <w:sz w:val="16"/>
          <w:szCs w:val="16"/>
          <w:lang w:eastAsia="en-US"/>
        </w:rPr>
        <w:footnoteRef/>
      </w:r>
      <w:r>
        <w:t xml:space="preserve"> </w:t>
      </w:r>
      <w:r>
        <w:tab/>
      </w:r>
      <w:r w:rsidRPr="0059117C">
        <w:rPr>
          <w:sz w:val="16"/>
          <w:szCs w:val="16"/>
          <w:lang w:val="es-AR"/>
        </w:rPr>
        <w:t>V</w:t>
      </w:r>
      <w:r>
        <w:rPr>
          <w:sz w:val="16"/>
          <w:szCs w:val="16"/>
          <w:lang w:val="es-AR"/>
        </w:rPr>
        <w:t>éase:</w:t>
      </w:r>
      <w:r w:rsidRPr="0059117C">
        <w:rPr>
          <w:sz w:val="16"/>
          <w:szCs w:val="16"/>
          <w:lang w:val="es-AR"/>
        </w:rPr>
        <w:t xml:space="preserve"> </w:t>
      </w:r>
      <w:r>
        <w:rPr>
          <w:sz w:val="16"/>
          <w:szCs w:val="16"/>
          <w:lang w:val="es-AR"/>
        </w:rPr>
        <w:t xml:space="preserve">ONU. </w:t>
      </w:r>
      <w:r w:rsidRPr="0059117C">
        <w:rPr>
          <w:sz w:val="16"/>
          <w:szCs w:val="16"/>
          <w:lang w:val="es-AR"/>
        </w:rPr>
        <w:t>Comité DESC</w:t>
      </w:r>
      <w:r>
        <w:rPr>
          <w:sz w:val="16"/>
          <w:szCs w:val="16"/>
          <w:lang w:val="es-AR"/>
        </w:rPr>
        <w:t xml:space="preserve">, </w:t>
      </w:r>
      <w:r w:rsidRPr="00B1523A">
        <w:rPr>
          <w:i/>
          <w:sz w:val="16"/>
          <w:szCs w:val="16"/>
          <w:lang w:val="es-AR"/>
        </w:rPr>
        <w:t>Observación General No</w:t>
      </w:r>
      <w:r>
        <w:rPr>
          <w:i/>
          <w:sz w:val="16"/>
          <w:szCs w:val="16"/>
          <w:lang w:val="es-AR"/>
        </w:rPr>
        <w:t>.</w:t>
      </w:r>
      <w:r w:rsidRPr="00B1523A">
        <w:rPr>
          <w:i/>
          <w:sz w:val="16"/>
          <w:szCs w:val="16"/>
          <w:lang w:val="es-AR"/>
        </w:rPr>
        <w:t xml:space="preserve"> </w:t>
      </w:r>
      <w:r w:rsidRPr="00B1523A">
        <w:rPr>
          <w:i/>
          <w:color w:val="000000"/>
          <w:sz w:val="16"/>
          <w:lang w:val="es-MX"/>
        </w:rPr>
        <w:t>14</w:t>
      </w:r>
      <w:r w:rsidRPr="005430FF">
        <w:rPr>
          <w:color w:val="000000"/>
          <w:sz w:val="16"/>
          <w:lang w:val="es-MX"/>
        </w:rPr>
        <w:t>,</w:t>
      </w:r>
      <w:r w:rsidRPr="005430FF">
        <w:rPr>
          <w:color w:val="000000"/>
          <w:sz w:val="16"/>
          <w:lang w:val="es-CR"/>
        </w:rPr>
        <w:t xml:space="preserve"> </w:t>
      </w:r>
      <w:r w:rsidRPr="00B1523A">
        <w:rPr>
          <w:i/>
          <w:color w:val="000000"/>
          <w:sz w:val="16"/>
          <w:lang w:val="es-MX"/>
        </w:rPr>
        <w:t>supra</w:t>
      </w:r>
      <w:r w:rsidRPr="0059117C">
        <w:rPr>
          <w:sz w:val="16"/>
          <w:szCs w:val="16"/>
          <w:lang w:val="es-AR"/>
        </w:rPr>
        <w:t>,</w:t>
      </w:r>
      <w:r>
        <w:rPr>
          <w:sz w:val="16"/>
          <w:szCs w:val="16"/>
          <w:lang w:val="es-AR"/>
        </w:rPr>
        <w:t xml:space="preserve"> párr. 12. Al respecto, se expresa en la misma que la </w:t>
      </w:r>
      <w:r w:rsidRPr="003F0801">
        <w:rPr>
          <w:sz w:val="16"/>
          <w:szCs w:val="16"/>
          <w:lang w:val="es-AR"/>
        </w:rPr>
        <w:t>accesibilidad presenta cuatro</w:t>
      </w:r>
      <w:r>
        <w:rPr>
          <w:sz w:val="16"/>
          <w:szCs w:val="16"/>
          <w:lang w:val="es-AR"/>
        </w:rPr>
        <w:t xml:space="preserve"> </w:t>
      </w:r>
      <w:r w:rsidRPr="003F0801">
        <w:rPr>
          <w:sz w:val="16"/>
          <w:szCs w:val="16"/>
          <w:lang w:val="es-AR"/>
        </w:rPr>
        <w:t>dimensiones superpuestas</w:t>
      </w:r>
      <w:r>
        <w:rPr>
          <w:sz w:val="16"/>
          <w:szCs w:val="16"/>
          <w:lang w:val="es-AR"/>
        </w:rPr>
        <w:t>, una de ellas es la n</w:t>
      </w:r>
      <w:r w:rsidRPr="003F0801">
        <w:rPr>
          <w:sz w:val="16"/>
          <w:szCs w:val="16"/>
          <w:lang w:val="es-AR"/>
        </w:rPr>
        <w:t>o discriminación</w:t>
      </w:r>
      <w:r>
        <w:rPr>
          <w:sz w:val="16"/>
          <w:szCs w:val="16"/>
          <w:lang w:val="es-AR"/>
        </w:rPr>
        <w:t>, la cual consiste en que</w:t>
      </w:r>
      <w:r w:rsidRPr="0059117C">
        <w:rPr>
          <w:sz w:val="16"/>
          <w:szCs w:val="16"/>
          <w:lang w:val="es-AR"/>
        </w:rPr>
        <w:t xml:space="preserve"> los establecimientos, bienes y servicios de salud debe</w:t>
      </w:r>
      <w:r w:rsidRPr="003F0801">
        <w:rPr>
          <w:sz w:val="16"/>
          <w:szCs w:val="16"/>
          <w:lang w:val="es-AR"/>
        </w:rPr>
        <w:t>n ser accesibles, de hecho y de</w:t>
      </w:r>
      <w:r>
        <w:rPr>
          <w:sz w:val="16"/>
          <w:szCs w:val="16"/>
          <w:lang w:val="es-AR"/>
        </w:rPr>
        <w:t xml:space="preserve"> </w:t>
      </w:r>
      <w:r w:rsidRPr="0059117C">
        <w:rPr>
          <w:sz w:val="16"/>
          <w:szCs w:val="16"/>
          <w:lang w:val="es-AR"/>
        </w:rPr>
        <w:t>derecho, a los sectores más vulnerables y marginados de la población, sin discriminación alguna por</w:t>
      </w:r>
      <w:r>
        <w:rPr>
          <w:sz w:val="16"/>
          <w:szCs w:val="16"/>
          <w:lang w:val="es-AR"/>
        </w:rPr>
        <w:t xml:space="preserve"> </w:t>
      </w:r>
      <w:r w:rsidRPr="0059117C">
        <w:rPr>
          <w:sz w:val="16"/>
          <w:szCs w:val="16"/>
          <w:lang w:val="es-AR"/>
        </w:rPr>
        <w:t>cualquiera de los motivos prohibidos</w:t>
      </w:r>
      <w:r>
        <w:rPr>
          <w:sz w:val="16"/>
          <w:szCs w:val="16"/>
          <w:lang w:val="es-AR"/>
        </w:rPr>
        <w:t>.</w:t>
      </w:r>
    </w:p>
  </w:footnote>
  <w:footnote w:id="180">
    <w:p w14:paraId="3F78F5B6" w14:textId="6834D7C9" w:rsidR="003C025E" w:rsidRPr="004A2E72" w:rsidRDefault="003C025E" w:rsidP="005D383C">
      <w:pPr>
        <w:pStyle w:val="FootnoteText"/>
      </w:pPr>
      <w:r w:rsidRPr="00383565">
        <w:rPr>
          <w:rStyle w:val="FootnoteReference"/>
          <w:rFonts w:eastAsia="Calibri"/>
          <w:sz w:val="16"/>
          <w:szCs w:val="16"/>
          <w:lang w:eastAsia="en-US"/>
        </w:rPr>
        <w:footnoteRef/>
      </w:r>
      <w:r w:rsidRPr="00383565">
        <w:rPr>
          <w:rStyle w:val="FootnoteReference"/>
          <w:rFonts w:eastAsia="Calibri"/>
          <w:sz w:val="16"/>
          <w:szCs w:val="16"/>
          <w:lang w:eastAsia="en-US"/>
        </w:rPr>
        <w:t xml:space="preserve"> </w:t>
      </w:r>
      <w:r>
        <w:rPr>
          <w:rFonts w:eastAsia="Calibri"/>
          <w:sz w:val="16"/>
          <w:szCs w:val="16"/>
          <w:lang w:eastAsia="en-US"/>
        </w:rPr>
        <w:t xml:space="preserve">  </w:t>
      </w:r>
      <w:r>
        <w:rPr>
          <w:rFonts w:eastAsia="Calibri"/>
          <w:sz w:val="16"/>
          <w:szCs w:val="16"/>
          <w:lang w:eastAsia="en-US"/>
        </w:rPr>
        <w:tab/>
      </w:r>
      <w:r w:rsidRPr="00062586">
        <w:rPr>
          <w:rFonts w:eastAsia="Calibri"/>
          <w:i/>
          <w:sz w:val="16"/>
          <w:szCs w:val="16"/>
          <w:lang w:eastAsia="en-US"/>
        </w:rPr>
        <w:t>Cfr.</w:t>
      </w:r>
      <w:r>
        <w:rPr>
          <w:rFonts w:eastAsia="Calibri"/>
          <w:sz w:val="16"/>
          <w:szCs w:val="16"/>
          <w:lang w:eastAsia="en-US"/>
        </w:rPr>
        <w:t xml:space="preserve"> </w:t>
      </w:r>
      <w:r w:rsidRPr="006E25EC">
        <w:rPr>
          <w:rFonts w:eastAsia="Calibri"/>
          <w:sz w:val="16"/>
          <w:szCs w:val="16"/>
          <w:lang w:val="es-CR" w:eastAsia="en-US"/>
        </w:rPr>
        <w:t xml:space="preserve">Convención Interamericana </w:t>
      </w:r>
      <w:r>
        <w:rPr>
          <w:rFonts w:eastAsia="Calibri"/>
          <w:sz w:val="16"/>
          <w:szCs w:val="16"/>
          <w:lang w:val="es-CR" w:eastAsia="en-US"/>
        </w:rPr>
        <w:t>sobre</w:t>
      </w:r>
      <w:r w:rsidRPr="006E25EC">
        <w:rPr>
          <w:rFonts w:eastAsia="Calibri"/>
          <w:sz w:val="16"/>
          <w:szCs w:val="16"/>
          <w:lang w:val="es-CR" w:eastAsia="en-US"/>
        </w:rPr>
        <w:t xml:space="preserve"> la Protección de los Derechos </w:t>
      </w:r>
      <w:r>
        <w:rPr>
          <w:rFonts w:eastAsia="Calibri"/>
          <w:sz w:val="16"/>
          <w:szCs w:val="16"/>
          <w:lang w:val="es-CR" w:eastAsia="en-US"/>
        </w:rPr>
        <w:t xml:space="preserve">Humanos de las Personas Mayores, </w:t>
      </w:r>
      <w:r w:rsidRPr="00B1523A">
        <w:rPr>
          <w:rFonts w:eastAsia="Calibri"/>
          <w:i/>
          <w:sz w:val="16"/>
          <w:szCs w:val="16"/>
          <w:lang w:val="es-CR" w:eastAsia="en-US"/>
        </w:rPr>
        <w:t>supra</w:t>
      </w:r>
      <w:r>
        <w:rPr>
          <w:rFonts w:eastAsia="Calibri"/>
          <w:sz w:val="16"/>
          <w:szCs w:val="16"/>
          <w:lang w:val="es-CR" w:eastAsia="en-US"/>
        </w:rPr>
        <w:t xml:space="preserve">, Preámbulo y artículo 5. </w:t>
      </w:r>
      <w:r>
        <w:rPr>
          <w:sz w:val="16"/>
          <w:szCs w:val="16"/>
          <w:lang w:val="es-CR"/>
        </w:rPr>
        <w:t xml:space="preserve">Véase también el </w:t>
      </w:r>
      <w:r w:rsidRPr="000203F0">
        <w:rPr>
          <w:sz w:val="16"/>
          <w:szCs w:val="16"/>
          <w:lang w:val="es-CR"/>
        </w:rPr>
        <w:t xml:space="preserve">Preámbulo de la Constitución de la OMS, </w:t>
      </w:r>
      <w:r w:rsidRPr="000203F0">
        <w:rPr>
          <w:i/>
          <w:sz w:val="16"/>
          <w:szCs w:val="16"/>
          <w:lang w:val="es-CR"/>
        </w:rPr>
        <w:t xml:space="preserve">supra, </w:t>
      </w:r>
      <w:r w:rsidRPr="000203F0">
        <w:rPr>
          <w:sz w:val="16"/>
          <w:szCs w:val="16"/>
          <w:lang w:val="es-CR"/>
        </w:rPr>
        <w:t xml:space="preserve">párr. </w:t>
      </w:r>
      <w:r>
        <w:rPr>
          <w:sz w:val="16"/>
          <w:szCs w:val="16"/>
          <w:lang w:val="es-CR"/>
        </w:rPr>
        <w:t>3, que establece que [e]</w:t>
      </w:r>
      <w:r w:rsidRPr="00057C01">
        <w:rPr>
          <w:sz w:val="16"/>
        </w:rPr>
        <w:t>l goce del grado máximo de salud que se pueda lograr es uno de los derechos fundamentales de todo ser humano sin distinción de raza, religión, ideología política o condición económica o social.</w:t>
      </w:r>
    </w:p>
  </w:footnote>
  <w:footnote w:id="181">
    <w:p w14:paraId="1E771964" w14:textId="6E867AC2" w:rsidR="003C025E" w:rsidRPr="00B1523A" w:rsidRDefault="003C025E" w:rsidP="005D383C">
      <w:pPr>
        <w:pStyle w:val="FootnoteText"/>
        <w:rPr>
          <w:sz w:val="16"/>
          <w:szCs w:val="16"/>
          <w:highlight w:val="yellow"/>
          <w:lang w:val="es-CR"/>
        </w:rPr>
      </w:pPr>
      <w:r w:rsidRPr="00B1523A">
        <w:rPr>
          <w:rStyle w:val="FootnoteReference"/>
          <w:rFonts w:eastAsia="MS ????"/>
          <w:sz w:val="16"/>
          <w:szCs w:val="16"/>
        </w:rPr>
        <w:footnoteRef/>
      </w:r>
      <w:r w:rsidRPr="00B1523A">
        <w:rPr>
          <w:sz w:val="16"/>
          <w:szCs w:val="16"/>
        </w:rPr>
        <w:t xml:space="preserve"> </w:t>
      </w:r>
      <w:r>
        <w:tab/>
      </w:r>
      <w:r w:rsidRPr="00A1071C">
        <w:rPr>
          <w:i/>
          <w:sz w:val="16"/>
          <w:szCs w:val="16"/>
          <w:lang w:val="es-GT"/>
        </w:rPr>
        <w:t>Cfr.</w:t>
      </w:r>
      <w:r>
        <w:rPr>
          <w:i/>
          <w:sz w:val="16"/>
          <w:szCs w:val="16"/>
          <w:lang w:val="es-GT"/>
        </w:rPr>
        <w:t xml:space="preserve"> Inter </w:t>
      </w:r>
      <w:proofErr w:type="spellStart"/>
      <w:r>
        <w:rPr>
          <w:i/>
          <w:sz w:val="16"/>
          <w:szCs w:val="16"/>
          <w:lang w:val="es-GT"/>
        </w:rPr>
        <w:t>alia</w:t>
      </w:r>
      <w:proofErr w:type="spellEnd"/>
      <w:r>
        <w:rPr>
          <w:i/>
          <w:sz w:val="16"/>
          <w:szCs w:val="16"/>
          <w:lang w:val="es-GT"/>
        </w:rPr>
        <w:t>:</w:t>
      </w:r>
      <w:r w:rsidRPr="00B1523A">
        <w:rPr>
          <w:sz w:val="16"/>
          <w:szCs w:val="16"/>
          <w:lang w:val="es-GT"/>
        </w:rPr>
        <w:t xml:space="preserve"> </w:t>
      </w:r>
      <w:r w:rsidRPr="00B1523A">
        <w:rPr>
          <w:i/>
          <w:sz w:val="16"/>
          <w:szCs w:val="16"/>
          <w:lang w:val="es-GT"/>
        </w:rPr>
        <w:t xml:space="preserve">Caso Veliz Franco y Otros Vs. </w:t>
      </w:r>
      <w:r>
        <w:rPr>
          <w:i/>
          <w:sz w:val="16"/>
          <w:szCs w:val="16"/>
          <w:lang w:val="es-GT"/>
        </w:rPr>
        <w:t>Guatemala</w:t>
      </w:r>
      <w:r w:rsidRPr="00B1523A">
        <w:rPr>
          <w:i/>
          <w:sz w:val="16"/>
          <w:szCs w:val="16"/>
          <w:lang w:val="es-GT"/>
        </w:rPr>
        <w:t xml:space="preserve">. Excepciones Preliminares, Fondo, Reparaciones y Costas. </w:t>
      </w:r>
      <w:r w:rsidRPr="00B1523A">
        <w:rPr>
          <w:sz w:val="16"/>
          <w:szCs w:val="16"/>
          <w:lang w:val="es-GT"/>
        </w:rPr>
        <w:t xml:space="preserve">Sentencia de 19 de mayo de 2014. Serie C No. 277, párr. 204;  </w:t>
      </w:r>
      <w:r w:rsidRPr="00B1523A">
        <w:rPr>
          <w:i/>
          <w:sz w:val="16"/>
          <w:szCs w:val="16"/>
          <w:lang w:val="es-GT"/>
        </w:rPr>
        <w:t xml:space="preserve">Caso </w:t>
      </w:r>
      <w:proofErr w:type="spellStart"/>
      <w:r w:rsidRPr="00B1523A">
        <w:rPr>
          <w:i/>
          <w:sz w:val="16"/>
          <w:szCs w:val="16"/>
          <w:lang w:val="es-GT"/>
        </w:rPr>
        <w:t>Caso</w:t>
      </w:r>
      <w:proofErr w:type="spellEnd"/>
      <w:r w:rsidRPr="00B1523A">
        <w:rPr>
          <w:i/>
          <w:sz w:val="16"/>
          <w:szCs w:val="16"/>
          <w:lang w:val="es-GT"/>
        </w:rPr>
        <w:t xml:space="preserve"> Gonzales </w:t>
      </w:r>
      <w:proofErr w:type="spellStart"/>
      <w:r w:rsidRPr="00B1523A">
        <w:rPr>
          <w:i/>
          <w:sz w:val="16"/>
          <w:szCs w:val="16"/>
          <w:lang w:val="es-GT"/>
        </w:rPr>
        <w:t>Lluy</w:t>
      </w:r>
      <w:proofErr w:type="spellEnd"/>
      <w:r w:rsidRPr="00B1523A">
        <w:rPr>
          <w:i/>
          <w:sz w:val="16"/>
          <w:szCs w:val="16"/>
          <w:lang w:val="es-GT"/>
        </w:rPr>
        <w:t xml:space="preserve"> y otros Vs. Ecuador, supra, </w:t>
      </w:r>
      <w:r w:rsidRPr="005415CD">
        <w:rPr>
          <w:sz w:val="16"/>
          <w:szCs w:val="16"/>
          <w:lang w:val="es-GT"/>
        </w:rPr>
        <w:t>párr. 288;</w:t>
      </w:r>
      <w:r w:rsidRPr="00B1523A">
        <w:rPr>
          <w:i/>
          <w:sz w:val="16"/>
          <w:szCs w:val="16"/>
          <w:lang w:val="es-GT"/>
        </w:rPr>
        <w:t xml:space="preserve"> Caso Velásquez </w:t>
      </w:r>
      <w:proofErr w:type="spellStart"/>
      <w:r w:rsidRPr="00B1523A">
        <w:rPr>
          <w:i/>
          <w:sz w:val="16"/>
          <w:szCs w:val="16"/>
          <w:lang w:val="es-GT"/>
        </w:rPr>
        <w:t>Paiz</w:t>
      </w:r>
      <w:proofErr w:type="spellEnd"/>
      <w:r w:rsidRPr="00B1523A">
        <w:rPr>
          <w:i/>
          <w:sz w:val="16"/>
          <w:szCs w:val="16"/>
          <w:lang w:val="es-GT"/>
        </w:rPr>
        <w:t xml:space="preserve"> y Otros Vs. Guatemala, Excepciones Preliminares, Fondo, Reparaciones y Costas. </w:t>
      </w:r>
      <w:r w:rsidRPr="00B1523A">
        <w:rPr>
          <w:sz w:val="16"/>
          <w:szCs w:val="16"/>
          <w:lang w:val="es-GT"/>
        </w:rPr>
        <w:t xml:space="preserve">Sentencia de 19 de noviembre de 2015. Serie C No. 307, </w:t>
      </w:r>
      <w:proofErr w:type="spellStart"/>
      <w:r w:rsidRPr="00B1523A">
        <w:rPr>
          <w:sz w:val="16"/>
          <w:szCs w:val="16"/>
          <w:lang w:val="es-GT"/>
        </w:rPr>
        <w:t>párrs</w:t>
      </w:r>
      <w:proofErr w:type="spellEnd"/>
      <w:r w:rsidRPr="00B1523A">
        <w:rPr>
          <w:sz w:val="16"/>
          <w:szCs w:val="16"/>
          <w:lang w:val="es-GT"/>
        </w:rPr>
        <w:t xml:space="preserve">. 173 y 174; </w:t>
      </w:r>
      <w:r w:rsidRPr="00B1523A">
        <w:rPr>
          <w:i/>
          <w:sz w:val="16"/>
          <w:szCs w:val="16"/>
          <w:lang w:val="es-GT"/>
        </w:rPr>
        <w:t xml:space="preserve">Caso Duque Vs. Colombia, Excepciones Preliminares, Fondo, Reparaciones y Costas. </w:t>
      </w:r>
      <w:r w:rsidRPr="00B1523A">
        <w:rPr>
          <w:sz w:val="16"/>
          <w:szCs w:val="16"/>
          <w:lang w:val="es-GT"/>
        </w:rPr>
        <w:t xml:space="preserve">Sentencia de 26 de febrero de 2016. Serie C No. 310, párr. 90, </w:t>
      </w:r>
      <w:r w:rsidRPr="00B1523A">
        <w:rPr>
          <w:i/>
          <w:sz w:val="16"/>
          <w:szCs w:val="16"/>
          <w:lang w:val="es-GT"/>
        </w:rPr>
        <w:t xml:space="preserve">Caso Flor Freire Vs. Ecuador. Excepción Preliminar, Fondo, Reparaciones y Costas. </w:t>
      </w:r>
      <w:r w:rsidRPr="00B1523A">
        <w:rPr>
          <w:sz w:val="16"/>
          <w:szCs w:val="16"/>
          <w:lang w:val="es-GT"/>
        </w:rPr>
        <w:t xml:space="preserve">Sentencia de 31 de agosto de 2016. Serie C No. 315, </w:t>
      </w:r>
      <w:proofErr w:type="spellStart"/>
      <w:r w:rsidRPr="00B1523A">
        <w:rPr>
          <w:sz w:val="16"/>
          <w:szCs w:val="16"/>
          <w:lang w:val="es-GT"/>
        </w:rPr>
        <w:t>párrs</w:t>
      </w:r>
      <w:proofErr w:type="spellEnd"/>
      <w:r w:rsidRPr="00B1523A">
        <w:rPr>
          <w:sz w:val="16"/>
          <w:szCs w:val="16"/>
          <w:lang w:val="es-GT"/>
        </w:rPr>
        <w:t xml:space="preserve">. 111 y 112; </w:t>
      </w:r>
      <w:r w:rsidRPr="00B1523A">
        <w:rPr>
          <w:i/>
          <w:sz w:val="16"/>
          <w:szCs w:val="16"/>
          <w:lang w:val="es-GT"/>
        </w:rPr>
        <w:t xml:space="preserve">Caso Trabajadores de la Hacienda Verde Vs. Brasil. Excepciones Preliminares, Fondo, Reparaciones y Costas. </w:t>
      </w:r>
      <w:r w:rsidRPr="00B1523A">
        <w:rPr>
          <w:sz w:val="16"/>
          <w:szCs w:val="16"/>
          <w:lang w:val="es-GT"/>
        </w:rPr>
        <w:t xml:space="preserve">Sentencia de 20 de octubre de 2016. Serie C No. 318, párr. </w:t>
      </w:r>
      <w:r>
        <w:rPr>
          <w:sz w:val="16"/>
          <w:szCs w:val="16"/>
          <w:lang w:val="es-GT"/>
        </w:rPr>
        <w:t>335</w:t>
      </w:r>
      <w:r w:rsidRPr="00B1523A">
        <w:rPr>
          <w:sz w:val="16"/>
          <w:szCs w:val="16"/>
          <w:lang w:val="es-GT"/>
        </w:rPr>
        <w:t xml:space="preserve">, </w:t>
      </w:r>
      <w:r w:rsidRPr="0035747D">
        <w:rPr>
          <w:i/>
          <w:sz w:val="16"/>
          <w:szCs w:val="16"/>
          <w:lang w:val="es-GT"/>
        </w:rPr>
        <w:t xml:space="preserve">Caso I.V. Vs. Bolivia. Excepciones Preliminares, Fondo, Reparaciones y Costas. </w:t>
      </w:r>
      <w:r w:rsidRPr="0035747D">
        <w:rPr>
          <w:sz w:val="16"/>
          <w:szCs w:val="16"/>
          <w:lang w:val="es-GT"/>
        </w:rPr>
        <w:t>Sentencia de 30 de noviembre de 2016. Serie C No. 329, párr. 240</w:t>
      </w:r>
      <w:r>
        <w:rPr>
          <w:sz w:val="16"/>
          <w:szCs w:val="16"/>
          <w:lang w:val="es-GT"/>
        </w:rPr>
        <w:t xml:space="preserve">, </w:t>
      </w:r>
      <w:r w:rsidRPr="00B1523A">
        <w:rPr>
          <w:sz w:val="16"/>
          <w:szCs w:val="16"/>
          <w:lang w:val="es-GT"/>
        </w:rPr>
        <w:t xml:space="preserve">e </w:t>
      </w:r>
      <w:r w:rsidRPr="00B1523A">
        <w:rPr>
          <w:sz w:val="16"/>
          <w:szCs w:val="16"/>
        </w:rPr>
        <w:t xml:space="preserve">Identidad de género, e igualdad y no discriminación a parejas del mismo sexo. </w:t>
      </w:r>
      <w:r w:rsidRPr="00B1523A">
        <w:rPr>
          <w:i/>
          <w:sz w:val="16"/>
          <w:szCs w:val="16"/>
          <w:lang w:val="es-GT"/>
        </w:rPr>
        <w:t xml:space="preserve"> </w:t>
      </w:r>
      <w:r w:rsidRPr="00B1523A">
        <w:rPr>
          <w:i/>
          <w:sz w:val="16"/>
          <w:szCs w:val="16"/>
          <w:lang w:val="es-CR"/>
        </w:rPr>
        <w:t>Opinión Consultiva OC-24/17</w:t>
      </w:r>
      <w:r w:rsidRPr="00B1523A">
        <w:rPr>
          <w:sz w:val="16"/>
          <w:szCs w:val="16"/>
          <w:lang w:val="es-CR"/>
        </w:rPr>
        <w:t xml:space="preserve"> de 24 de noviembre de 2017. Serie A No. 24, párr. 67. </w:t>
      </w:r>
    </w:p>
  </w:footnote>
  <w:footnote w:id="182">
    <w:p w14:paraId="04E0001B" w14:textId="3EF02649" w:rsidR="003C025E" w:rsidRPr="00FB16E0" w:rsidRDefault="003C025E" w:rsidP="00895BF1">
      <w:pPr>
        <w:pStyle w:val="FootnoteText"/>
        <w:rPr>
          <w:lang w:val="es-AR"/>
        </w:rPr>
      </w:pPr>
      <w:r w:rsidRPr="005D0E21">
        <w:rPr>
          <w:rStyle w:val="FootnoteReference"/>
          <w:rFonts w:eastAsia="MS ????"/>
          <w:sz w:val="16"/>
        </w:rPr>
        <w:footnoteRef/>
      </w:r>
      <w:r w:rsidRPr="005D0E21">
        <w:rPr>
          <w:sz w:val="16"/>
        </w:rPr>
        <w:t xml:space="preserve"> </w:t>
      </w:r>
      <w:r w:rsidRPr="00060589">
        <w:rPr>
          <w:sz w:val="16"/>
          <w:lang w:val="es-AR"/>
        </w:rPr>
        <w:t xml:space="preserve">  </w:t>
      </w:r>
      <w:r w:rsidRPr="00B1523A">
        <w:rPr>
          <w:sz w:val="16"/>
          <w:lang w:val="es-AR"/>
        </w:rPr>
        <w:tab/>
      </w:r>
      <w:r w:rsidRPr="00B1523A">
        <w:rPr>
          <w:i/>
          <w:sz w:val="16"/>
          <w:lang w:val="es-AR"/>
        </w:rPr>
        <w:t>Cfr</w:t>
      </w:r>
      <w:r w:rsidRPr="00B1523A">
        <w:rPr>
          <w:sz w:val="16"/>
          <w:lang w:val="es-AR"/>
        </w:rPr>
        <w:t xml:space="preserve">. </w:t>
      </w:r>
      <w:r w:rsidRPr="00B1523A">
        <w:rPr>
          <w:bCs/>
          <w:sz w:val="16"/>
          <w:lang w:val="es-CR"/>
        </w:rPr>
        <w:t xml:space="preserve">Caso </w:t>
      </w:r>
      <w:proofErr w:type="spellStart"/>
      <w:r w:rsidRPr="00B1523A">
        <w:rPr>
          <w:bCs/>
          <w:i/>
          <w:sz w:val="16"/>
          <w:lang w:val="es-CR"/>
        </w:rPr>
        <w:t>Atala</w:t>
      </w:r>
      <w:proofErr w:type="spellEnd"/>
      <w:r w:rsidRPr="00B1523A">
        <w:rPr>
          <w:bCs/>
          <w:i/>
          <w:sz w:val="16"/>
          <w:lang w:val="es-CR"/>
        </w:rPr>
        <w:t xml:space="preserve"> </w:t>
      </w:r>
      <w:proofErr w:type="spellStart"/>
      <w:r w:rsidRPr="00B1523A">
        <w:rPr>
          <w:bCs/>
          <w:i/>
          <w:sz w:val="16"/>
          <w:lang w:val="es-CR"/>
        </w:rPr>
        <w:t>Riffo</w:t>
      </w:r>
      <w:proofErr w:type="spellEnd"/>
      <w:r w:rsidRPr="00B1523A">
        <w:rPr>
          <w:bCs/>
          <w:i/>
          <w:sz w:val="16"/>
          <w:lang w:val="es-CR"/>
        </w:rPr>
        <w:t xml:space="preserve"> y niñas Vs. Chile</w:t>
      </w:r>
      <w:r w:rsidRPr="00B1523A">
        <w:rPr>
          <w:bCs/>
          <w:sz w:val="16"/>
          <w:lang w:val="es-CR"/>
        </w:rPr>
        <w:t xml:space="preserve">, </w:t>
      </w:r>
      <w:r w:rsidRPr="00B1523A">
        <w:rPr>
          <w:bCs/>
          <w:i/>
          <w:sz w:val="16"/>
          <w:lang w:val="es-CR"/>
        </w:rPr>
        <w:t xml:space="preserve">supra, </w:t>
      </w:r>
      <w:r w:rsidRPr="00B1523A">
        <w:rPr>
          <w:bCs/>
          <w:sz w:val="16"/>
          <w:lang w:val="es-CR"/>
        </w:rPr>
        <w:t xml:space="preserve"> párr. 85</w:t>
      </w:r>
      <w:r w:rsidRPr="005D0E21">
        <w:rPr>
          <w:sz w:val="16"/>
          <w:lang w:val="es-AR"/>
        </w:rPr>
        <w:t>.</w:t>
      </w:r>
      <w:r>
        <w:rPr>
          <w:sz w:val="16"/>
          <w:lang w:val="es-AR"/>
        </w:rPr>
        <w:t xml:space="preserve"> </w:t>
      </w:r>
    </w:p>
  </w:footnote>
  <w:footnote w:id="183">
    <w:p w14:paraId="6F7108B5" w14:textId="1E2AE0A3" w:rsidR="003C025E" w:rsidRPr="00AB1E03" w:rsidRDefault="003C025E" w:rsidP="00E3242A">
      <w:pPr>
        <w:pStyle w:val="FootnoteText"/>
        <w:rPr>
          <w:b/>
          <w:sz w:val="16"/>
          <w:szCs w:val="16"/>
        </w:rPr>
      </w:pPr>
      <w:r w:rsidRPr="00B1523A">
        <w:rPr>
          <w:rStyle w:val="FootnoteReference"/>
          <w:rFonts w:eastAsia="MS ????"/>
          <w:sz w:val="16"/>
        </w:rPr>
        <w:footnoteRef/>
      </w:r>
      <w:r w:rsidRPr="00B1523A">
        <w:rPr>
          <w:sz w:val="16"/>
        </w:rPr>
        <w:t xml:space="preserve"> </w:t>
      </w:r>
      <w:r>
        <w:rPr>
          <w:sz w:val="16"/>
        </w:rPr>
        <w:tab/>
      </w:r>
      <w:r w:rsidRPr="00B1523A">
        <w:rPr>
          <w:i/>
          <w:sz w:val="16"/>
        </w:rPr>
        <w:t>Cfr.</w:t>
      </w:r>
      <w:r w:rsidRPr="00AB1E03">
        <w:rPr>
          <w:i/>
          <w:sz w:val="16"/>
        </w:rPr>
        <w:t xml:space="preserve"> </w:t>
      </w:r>
      <w:r w:rsidRPr="00B1523A">
        <w:rPr>
          <w:i/>
          <w:sz w:val="16"/>
          <w:szCs w:val="16"/>
        </w:rPr>
        <w:t>Condición jurídica y derechos de los migrantes indocumentados. Opinión Consultiva OC-18/03</w:t>
      </w:r>
      <w:r w:rsidRPr="00B1523A">
        <w:rPr>
          <w:sz w:val="16"/>
          <w:szCs w:val="16"/>
        </w:rPr>
        <w:t xml:space="preserve"> de 17 de septiembre de 2003. Serie A No. 18</w:t>
      </w:r>
      <w:r>
        <w:rPr>
          <w:sz w:val="16"/>
          <w:szCs w:val="16"/>
        </w:rPr>
        <w:t>,</w:t>
      </w:r>
      <w:r w:rsidRPr="00B1523A">
        <w:rPr>
          <w:sz w:val="16"/>
          <w:szCs w:val="16"/>
        </w:rPr>
        <w:t xml:space="preserve"> </w:t>
      </w:r>
      <w:r w:rsidRPr="00B1523A">
        <w:rPr>
          <w:sz w:val="16"/>
          <w:szCs w:val="16"/>
          <w:lang w:val="es-AR"/>
        </w:rPr>
        <w:t>párr. 101</w:t>
      </w:r>
      <w:r>
        <w:rPr>
          <w:sz w:val="16"/>
          <w:szCs w:val="16"/>
          <w:lang w:val="es-CR"/>
        </w:rPr>
        <w:t xml:space="preserve">, y </w:t>
      </w:r>
      <w:r w:rsidRPr="00B1523A">
        <w:rPr>
          <w:sz w:val="16"/>
          <w:szCs w:val="16"/>
          <w:lang w:val="es-CR"/>
        </w:rPr>
        <w:t xml:space="preserve">Comité DESC. </w:t>
      </w:r>
      <w:r w:rsidRPr="00B1523A">
        <w:rPr>
          <w:i/>
          <w:sz w:val="16"/>
          <w:szCs w:val="16"/>
          <w:lang w:val="es-CR"/>
        </w:rPr>
        <w:t>Observación General No. 20</w:t>
      </w:r>
      <w:r>
        <w:rPr>
          <w:sz w:val="16"/>
          <w:szCs w:val="16"/>
          <w:lang w:val="es-CR"/>
        </w:rPr>
        <w:t xml:space="preserve">, </w:t>
      </w:r>
      <w:r w:rsidRPr="00B1523A">
        <w:rPr>
          <w:i/>
          <w:sz w:val="16"/>
          <w:szCs w:val="16"/>
          <w:lang w:val="es-CR"/>
        </w:rPr>
        <w:t>supra</w:t>
      </w:r>
      <w:r>
        <w:rPr>
          <w:i/>
          <w:sz w:val="16"/>
          <w:szCs w:val="16"/>
          <w:lang w:val="es-CR"/>
        </w:rPr>
        <w:t xml:space="preserve">, </w:t>
      </w:r>
      <w:proofErr w:type="spellStart"/>
      <w:r>
        <w:rPr>
          <w:i/>
          <w:sz w:val="16"/>
          <w:szCs w:val="16"/>
          <w:lang w:val="es-CR"/>
        </w:rPr>
        <w:t>párrs</w:t>
      </w:r>
      <w:proofErr w:type="spellEnd"/>
      <w:r>
        <w:rPr>
          <w:i/>
          <w:sz w:val="16"/>
          <w:szCs w:val="16"/>
          <w:lang w:val="es-CR"/>
        </w:rPr>
        <w:t>. 27 y 29</w:t>
      </w:r>
      <w:r w:rsidRPr="00B1523A">
        <w:rPr>
          <w:sz w:val="16"/>
          <w:szCs w:val="16"/>
          <w:lang w:val="es-CR"/>
        </w:rPr>
        <w:t>. Por su parte, el Comité DESC ha encuadrado esta categoría también dentro de</w:t>
      </w:r>
      <w:r>
        <w:rPr>
          <w:sz w:val="16"/>
          <w:szCs w:val="16"/>
          <w:lang w:val="es-CR"/>
        </w:rPr>
        <w:t xml:space="preserve"> la enunciación</w:t>
      </w:r>
      <w:r w:rsidRPr="00B1523A">
        <w:rPr>
          <w:sz w:val="16"/>
          <w:szCs w:val="16"/>
          <w:lang w:val="es-CR"/>
        </w:rPr>
        <w:t xml:space="preserve"> “otra condición social”</w:t>
      </w:r>
      <w:r>
        <w:rPr>
          <w:sz w:val="16"/>
          <w:szCs w:val="16"/>
          <w:lang w:val="es-CR"/>
        </w:rPr>
        <w:t>.</w:t>
      </w:r>
    </w:p>
  </w:footnote>
  <w:footnote w:id="184">
    <w:p w14:paraId="73E806E2" w14:textId="78B9405F" w:rsidR="003C025E" w:rsidRPr="002570D1" w:rsidRDefault="003C025E" w:rsidP="002570D1">
      <w:pPr>
        <w:pStyle w:val="FootnoteText"/>
        <w:rPr>
          <w:sz w:val="16"/>
          <w:szCs w:val="16"/>
          <w:lang w:val="es-GT"/>
        </w:rPr>
      </w:pPr>
      <w:r w:rsidRPr="002570D1">
        <w:rPr>
          <w:rStyle w:val="FootnoteReference"/>
          <w:rFonts w:eastAsia="Calibri"/>
          <w:sz w:val="16"/>
          <w:szCs w:val="16"/>
          <w:lang w:eastAsia="en-US"/>
        </w:rPr>
        <w:footnoteRef/>
      </w:r>
      <w:r w:rsidRPr="002570D1">
        <w:rPr>
          <w:rStyle w:val="FootnoteReference"/>
          <w:rFonts w:eastAsia="Calibri"/>
          <w:sz w:val="16"/>
          <w:szCs w:val="16"/>
          <w:lang w:eastAsia="en-US"/>
        </w:rPr>
        <w:t xml:space="preserve"> </w:t>
      </w:r>
      <w:r w:rsidRPr="002570D1">
        <w:rPr>
          <w:sz w:val="16"/>
          <w:szCs w:val="16"/>
          <w:lang w:val="es-GT"/>
        </w:rPr>
        <w:t xml:space="preserve">  </w:t>
      </w:r>
      <w:r>
        <w:rPr>
          <w:sz w:val="16"/>
          <w:szCs w:val="16"/>
          <w:lang w:val="es-GT"/>
        </w:rPr>
        <w:tab/>
      </w:r>
      <w:r w:rsidRPr="00062586">
        <w:rPr>
          <w:i/>
          <w:sz w:val="16"/>
          <w:szCs w:val="16"/>
          <w:lang w:val="es-GT"/>
        </w:rPr>
        <w:t>Cfr.</w:t>
      </w:r>
      <w:r w:rsidRPr="002570D1">
        <w:rPr>
          <w:sz w:val="16"/>
          <w:szCs w:val="16"/>
          <w:lang w:val="es-GT"/>
        </w:rPr>
        <w:t xml:space="preserve"> </w:t>
      </w:r>
      <w:r w:rsidRPr="002570D1">
        <w:rPr>
          <w:i/>
          <w:sz w:val="16"/>
          <w:szCs w:val="16"/>
          <w:lang w:val="es-GT"/>
        </w:rPr>
        <w:t xml:space="preserve">Mutatis </w:t>
      </w:r>
      <w:proofErr w:type="spellStart"/>
      <w:r w:rsidRPr="002570D1">
        <w:rPr>
          <w:i/>
          <w:sz w:val="16"/>
          <w:szCs w:val="16"/>
          <w:lang w:val="es-GT"/>
        </w:rPr>
        <w:t>mutandi</w:t>
      </w:r>
      <w:proofErr w:type="spellEnd"/>
      <w:r w:rsidRPr="002570D1">
        <w:rPr>
          <w:sz w:val="16"/>
          <w:szCs w:val="16"/>
          <w:lang w:val="es-GT"/>
        </w:rPr>
        <w:t xml:space="preserve">, </w:t>
      </w:r>
      <w:r w:rsidRPr="002570D1">
        <w:rPr>
          <w:i/>
          <w:sz w:val="16"/>
          <w:szCs w:val="16"/>
          <w:lang w:val="es-GT"/>
        </w:rPr>
        <w:t xml:space="preserve">Caso Comunidad indígena </w:t>
      </w:r>
      <w:proofErr w:type="spellStart"/>
      <w:r w:rsidRPr="002570D1">
        <w:rPr>
          <w:i/>
          <w:sz w:val="16"/>
          <w:szCs w:val="16"/>
          <w:lang w:val="es-GT"/>
        </w:rPr>
        <w:t>Yakye</w:t>
      </w:r>
      <w:proofErr w:type="spellEnd"/>
      <w:r w:rsidRPr="002570D1">
        <w:rPr>
          <w:i/>
          <w:sz w:val="16"/>
          <w:szCs w:val="16"/>
          <w:lang w:val="es-GT"/>
        </w:rPr>
        <w:t xml:space="preserve"> Axa Vs. Paraguay</w:t>
      </w:r>
      <w:r>
        <w:rPr>
          <w:i/>
          <w:sz w:val="16"/>
          <w:szCs w:val="16"/>
          <w:lang w:val="es-GT"/>
        </w:rPr>
        <w:t xml:space="preserve">. Fondo, Reparaciones y Costas. </w:t>
      </w:r>
      <w:r>
        <w:rPr>
          <w:sz w:val="16"/>
          <w:szCs w:val="16"/>
          <w:lang w:val="es-GT"/>
        </w:rPr>
        <w:t>Sentencia de 17 de junio de 2005. Serie C No. 125</w:t>
      </w:r>
      <w:r w:rsidRPr="002570D1">
        <w:rPr>
          <w:sz w:val="16"/>
          <w:szCs w:val="16"/>
          <w:lang w:val="es-GT"/>
        </w:rPr>
        <w:t xml:space="preserve">, párr. 164; </w:t>
      </w:r>
      <w:r w:rsidRPr="005430FF">
        <w:rPr>
          <w:i/>
          <w:sz w:val="16"/>
          <w:szCs w:val="16"/>
          <w:lang w:val="es-GT"/>
        </w:rPr>
        <w:t xml:space="preserve">Caso Comunidad Indígena </w:t>
      </w:r>
      <w:proofErr w:type="spellStart"/>
      <w:r w:rsidRPr="005430FF">
        <w:rPr>
          <w:i/>
          <w:sz w:val="16"/>
          <w:szCs w:val="16"/>
          <w:lang w:val="es-GT"/>
        </w:rPr>
        <w:t>Xákmok</w:t>
      </w:r>
      <w:proofErr w:type="spellEnd"/>
      <w:r w:rsidRPr="005430FF">
        <w:rPr>
          <w:i/>
          <w:sz w:val="16"/>
          <w:szCs w:val="16"/>
          <w:lang w:val="es-GT"/>
        </w:rPr>
        <w:t xml:space="preserve"> </w:t>
      </w:r>
      <w:proofErr w:type="spellStart"/>
      <w:r w:rsidRPr="005430FF">
        <w:rPr>
          <w:i/>
          <w:sz w:val="16"/>
          <w:szCs w:val="16"/>
          <w:lang w:val="es-GT"/>
        </w:rPr>
        <w:t>Kásek</w:t>
      </w:r>
      <w:proofErr w:type="spellEnd"/>
      <w:r w:rsidRPr="005430FF">
        <w:rPr>
          <w:i/>
          <w:sz w:val="16"/>
          <w:szCs w:val="16"/>
          <w:lang w:val="es-GT"/>
        </w:rPr>
        <w:t>. vs. Paraguay. Fondo, Reparaciones y Costas.</w:t>
      </w:r>
      <w:r w:rsidRPr="002570D1">
        <w:rPr>
          <w:sz w:val="16"/>
          <w:szCs w:val="16"/>
          <w:lang w:val="es-GT"/>
        </w:rPr>
        <w:t xml:space="preserve"> Sentencia de 24 de agosto de 2010</w:t>
      </w:r>
      <w:r>
        <w:rPr>
          <w:sz w:val="16"/>
          <w:szCs w:val="16"/>
          <w:lang w:val="es-GT"/>
        </w:rPr>
        <w:t>.</w:t>
      </w:r>
      <w:r w:rsidRPr="002570D1">
        <w:rPr>
          <w:sz w:val="16"/>
          <w:szCs w:val="16"/>
          <w:lang w:val="es-GT"/>
        </w:rPr>
        <w:t xml:space="preserve"> Serie C Nº 214</w:t>
      </w:r>
      <w:r>
        <w:rPr>
          <w:sz w:val="16"/>
          <w:szCs w:val="16"/>
          <w:lang w:val="es-GT"/>
        </w:rPr>
        <w:t>, párr. 233</w:t>
      </w:r>
      <w:r w:rsidRPr="002570D1">
        <w:rPr>
          <w:sz w:val="16"/>
          <w:szCs w:val="16"/>
          <w:lang w:val="es-GT"/>
        </w:rPr>
        <w:t>.</w:t>
      </w:r>
    </w:p>
  </w:footnote>
  <w:footnote w:id="185">
    <w:p w14:paraId="275D08C9" w14:textId="431E41D8" w:rsidR="003C025E" w:rsidRPr="002A64C9" w:rsidRDefault="003C025E" w:rsidP="002570D1">
      <w:pPr>
        <w:pStyle w:val="FootnoteText"/>
        <w:rPr>
          <w:sz w:val="16"/>
          <w:szCs w:val="16"/>
          <w:lang w:val="es-CR"/>
        </w:rPr>
      </w:pPr>
      <w:r w:rsidRPr="002570D1">
        <w:rPr>
          <w:rStyle w:val="FootnoteReference"/>
          <w:rFonts w:eastAsia="Calibri"/>
          <w:sz w:val="16"/>
          <w:szCs w:val="16"/>
          <w:lang w:eastAsia="en-US"/>
        </w:rPr>
        <w:footnoteRef/>
      </w:r>
      <w:r w:rsidRPr="002570D1">
        <w:rPr>
          <w:sz w:val="16"/>
          <w:szCs w:val="16"/>
          <w:lang w:val="es-AR"/>
        </w:rPr>
        <w:t xml:space="preserve">   </w:t>
      </w:r>
      <w:r>
        <w:rPr>
          <w:sz w:val="16"/>
          <w:szCs w:val="16"/>
          <w:lang w:val="es-AR"/>
        </w:rPr>
        <w:tab/>
      </w:r>
      <w:r w:rsidRPr="00B1523A">
        <w:rPr>
          <w:i/>
          <w:sz w:val="16"/>
          <w:szCs w:val="16"/>
          <w:lang w:val="es-AR"/>
        </w:rPr>
        <w:t>Cfr.</w:t>
      </w:r>
      <w:r>
        <w:rPr>
          <w:sz w:val="16"/>
          <w:szCs w:val="16"/>
          <w:lang w:val="es-AR"/>
        </w:rPr>
        <w:t xml:space="preserve"> </w:t>
      </w:r>
      <w:r w:rsidRPr="002570D1">
        <w:rPr>
          <w:i/>
          <w:sz w:val="16"/>
          <w:szCs w:val="16"/>
          <w:lang w:val="es-AR"/>
        </w:rPr>
        <w:t xml:space="preserve">Caso </w:t>
      </w:r>
      <w:proofErr w:type="spellStart"/>
      <w:r w:rsidRPr="002570D1">
        <w:rPr>
          <w:i/>
          <w:sz w:val="16"/>
          <w:szCs w:val="16"/>
          <w:lang w:val="es-AR"/>
        </w:rPr>
        <w:t>Furlan</w:t>
      </w:r>
      <w:proofErr w:type="spellEnd"/>
      <w:r w:rsidRPr="002570D1">
        <w:rPr>
          <w:i/>
          <w:sz w:val="16"/>
          <w:szCs w:val="16"/>
          <w:lang w:val="es-AR"/>
        </w:rPr>
        <w:t xml:space="preserve"> y familiares Vs. Argentina</w:t>
      </w:r>
      <w:r>
        <w:rPr>
          <w:i/>
          <w:sz w:val="16"/>
          <w:szCs w:val="16"/>
          <w:lang w:val="es-AR"/>
        </w:rPr>
        <w:t xml:space="preserve">, supra, </w:t>
      </w:r>
      <w:r w:rsidRPr="002A64C9">
        <w:rPr>
          <w:sz w:val="16"/>
          <w:szCs w:val="16"/>
          <w:lang w:val="es-CR"/>
        </w:rPr>
        <w:t>párr. 267.</w:t>
      </w:r>
    </w:p>
  </w:footnote>
  <w:footnote w:id="186">
    <w:p w14:paraId="08EF9ACB" w14:textId="541061D2" w:rsidR="003C025E" w:rsidRPr="009F7F67" w:rsidRDefault="003C025E" w:rsidP="00832A80">
      <w:pPr>
        <w:pStyle w:val="FootnoteText"/>
        <w:rPr>
          <w:sz w:val="16"/>
          <w:szCs w:val="16"/>
          <w:lang w:val="es-CR"/>
        </w:rPr>
      </w:pPr>
      <w:r w:rsidRPr="002570D1">
        <w:rPr>
          <w:rStyle w:val="FootnoteReference"/>
          <w:rFonts w:eastAsia="Calibri"/>
          <w:sz w:val="16"/>
          <w:szCs w:val="16"/>
          <w:lang w:eastAsia="en-US"/>
        </w:rPr>
        <w:footnoteRef/>
      </w:r>
      <w:r w:rsidRPr="002A64C9">
        <w:rPr>
          <w:rStyle w:val="FootnoteReference"/>
          <w:rFonts w:eastAsia="Calibri"/>
          <w:sz w:val="16"/>
          <w:szCs w:val="16"/>
          <w:lang w:val="es-CR" w:eastAsia="en-US"/>
        </w:rPr>
        <w:t xml:space="preserve"> </w:t>
      </w:r>
      <w:r w:rsidRPr="002A64C9">
        <w:rPr>
          <w:rFonts w:eastAsia="Calibri"/>
          <w:sz w:val="16"/>
          <w:szCs w:val="16"/>
          <w:lang w:val="es-CR" w:eastAsia="en-US"/>
        </w:rPr>
        <w:t xml:space="preserve">  </w:t>
      </w:r>
      <w:r>
        <w:rPr>
          <w:rFonts w:eastAsia="Calibri"/>
          <w:sz w:val="16"/>
          <w:szCs w:val="16"/>
          <w:lang w:val="es-CR" w:eastAsia="en-US"/>
        </w:rPr>
        <w:tab/>
      </w:r>
      <w:r w:rsidRPr="00B1523A">
        <w:rPr>
          <w:rFonts w:eastAsia="Calibri"/>
          <w:i/>
          <w:sz w:val="16"/>
          <w:szCs w:val="16"/>
          <w:lang w:val="es-CR" w:eastAsia="en-US"/>
        </w:rPr>
        <w:t>Cfr</w:t>
      </w:r>
      <w:r>
        <w:rPr>
          <w:rFonts w:eastAsia="Calibri"/>
          <w:sz w:val="16"/>
          <w:szCs w:val="16"/>
          <w:lang w:val="es-CR" w:eastAsia="en-US"/>
        </w:rPr>
        <w:t xml:space="preserve">. </w:t>
      </w:r>
      <w:r w:rsidRPr="002570D1">
        <w:rPr>
          <w:i/>
          <w:sz w:val="16"/>
          <w:szCs w:val="16"/>
          <w:lang w:val="es-MX"/>
        </w:rPr>
        <w:t>Caso Suárez Peralta Vs. Ecuador</w:t>
      </w:r>
      <w:r>
        <w:rPr>
          <w:sz w:val="16"/>
          <w:szCs w:val="16"/>
          <w:lang w:val="es-MX"/>
        </w:rPr>
        <w:t xml:space="preserve">, </w:t>
      </w:r>
      <w:r>
        <w:rPr>
          <w:i/>
          <w:sz w:val="16"/>
          <w:szCs w:val="16"/>
          <w:lang w:val="es-MX"/>
        </w:rPr>
        <w:t>supra</w:t>
      </w:r>
      <w:r w:rsidRPr="002570D1">
        <w:rPr>
          <w:sz w:val="16"/>
          <w:szCs w:val="16"/>
          <w:lang w:val="es-MX"/>
        </w:rPr>
        <w:t>, párr. 149</w:t>
      </w:r>
      <w:r>
        <w:rPr>
          <w:sz w:val="16"/>
          <w:szCs w:val="16"/>
          <w:lang w:val="es-MX"/>
        </w:rPr>
        <w:t xml:space="preserve">, y </w:t>
      </w:r>
      <w:r w:rsidRPr="00B1523A">
        <w:rPr>
          <w:bCs/>
          <w:i/>
          <w:sz w:val="16"/>
          <w:szCs w:val="16"/>
          <w:lang w:val="es-CR"/>
        </w:rPr>
        <w:t xml:space="preserve">Caso </w:t>
      </w:r>
      <w:proofErr w:type="spellStart"/>
      <w:r w:rsidRPr="00D17186">
        <w:rPr>
          <w:bCs/>
          <w:i/>
          <w:sz w:val="16"/>
          <w:szCs w:val="16"/>
          <w:lang w:val="es-CR"/>
        </w:rPr>
        <w:t>Ximenes</w:t>
      </w:r>
      <w:proofErr w:type="spellEnd"/>
      <w:r w:rsidRPr="00D17186">
        <w:rPr>
          <w:bCs/>
          <w:i/>
          <w:sz w:val="16"/>
          <w:szCs w:val="16"/>
          <w:lang w:val="es-CR"/>
        </w:rPr>
        <w:t xml:space="preserve"> </w:t>
      </w:r>
      <w:proofErr w:type="spellStart"/>
      <w:r w:rsidRPr="00D17186">
        <w:rPr>
          <w:bCs/>
          <w:i/>
          <w:sz w:val="16"/>
          <w:szCs w:val="16"/>
          <w:lang w:val="es-CR"/>
        </w:rPr>
        <w:t>Lopes</w:t>
      </w:r>
      <w:proofErr w:type="spellEnd"/>
      <w:r w:rsidRPr="00D17186">
        <w:rPr>
          <w:bCs/>
          <w:i/>
          <w:sz w:val="16"/>
          <w:szCs w:val="16"/>
          <w:lang w:val="es-CR"/>
        </w:rPr>
        <w:t xml:space="preserve"> Vs. Brasil</w:t>
      </w:r>
      <w:r w:rsidRPr="002A64C9">
        <w:rPr>
          <w:bCs/>
          <w:i/>
          <w:sz w:val="16"/>
          <w:szCs w:val="16"/>
          <w:lang w:val="es-CR"/>
        </w:rPr>
        <w:t xml:space="preserve">, </w:t>
      </w:r>
      <w:r>
        <w:rPr>
          <w:bCs/>
          <w:i/>
          <w:sz w:val="16"/>
          <w:szCs w:val="16"/>
          <w:lang w:val="es-CR"/>
        </w:rPr>
        <w:t>supra</w:t>
      </w:r>
      <w:r w:rsidRPr="002A64C9">
        <w:rPr>
          <w:bCs/>
          <w:sz w:val="16"/>
          <w:szCs w:val="16"/>
          <w:lang w:val="es-CR"/>
        </w:rPr>
        <w:t xml:space="preserve">, párr. </w:t>
      </w:r>
      <w:r w:rsidRPr="009F7F67">
        <w:rPr>
          <w:bCs/>
          <w:sz w:val="16"/>
          <w:szCs w:val="16"/>
          <w:lang w:val="es-CR"/>
        </w:rPr>
        <w:t>141.</w:t>
      </w:r>
    </w:p>
  </w:footnote>
  <w:footnote w:id="187">
    <w:p w14:paraId="6B1214D1" w14:textId="56ADB137" w:rsidR="003C025E" w:rsidRPr="002570D1" w:rsidRDefault="003C025E" w:rsidP="00B1523A">
      <w:pPr>
        <w:pStyle w:val="FootnoteText"/>
        <w:rPr>
          <w:bCs/>
          <w:sz w:val="16"/>
          <w:szCs w:val="16"/>
          <w:lang w:val="es-CR"/>
        </w:rPr>
      </w:pPr>
      <w:r w:rsidRPr="002570D1">
        <w:rPr>
          <w:rStyle w:val="FootnoteReference"/>
          <w:rFonts w:eastAsia="Calibri"/>
          <w:sz w:val="16"/>
          <w:szCs w:val="16"/>
          <w:lang w:eastAsia="en-US"/>
        </w:rPr>
        <w:footnoteRef/>
      </w:r>
      <w:r w:rsidRPr="002570D1">
        <w:rPr>
          <w:rFonts w:eastAsia="Calibri"/>
          <w:sz w:val="16"/>
          <w:szCs w:val="16"/>
          <w:lang w:eastAsia="en-US"/>
        </w:rPr>
        <w:t xml:space="preserve">  </w:t>
      </w:r>
      <w:r w:rsidRPr="002570D1">
        <w:rPr>
          <w:rStyle w:val="FootnoteReference"/>
          <w:rFonts w:eastAsia="Calibri"/>
          <w:sz w:val="16"/>
          <w:szCs w:val="16"/>
          <w:lang w:eastAsia="en-US"/>
        </w:rPr>
        <w:t xml:space="preserve">  </w:t>
      </w:r>
      <w:r>
        <w:rPr>
          <w:rFonts w:eastAsia="Calibri"/>
          <w:sz w:val="16"/>
          <w:szCs w:val="16"/>
          <w:lang w:eastAsia="en-US"/>
        </w:rPr>
        <w:tab/>
      </w:r>
      <w:r>
        <w:rPr>
          <w:rFonts w:eastAsia="Calibri"/>
          <w:i/>
          <w:sz w:val="16"/>
          <w:szCs w:val="16"/>
          <w:lang w:eastAsia="en-US"/>
        </w:rPr>
        <w:t xml:space="preserve">Cfr. </w:t>
      </w:r>
      <w:r w:rsidRPr="002570D1">
        <w:rPr>
          <w:bCs/>
          <w:i/>
          <w:sz w:val="16"/>
          <w:szCs w:val="16"/>
        </w:rPr>
        <w:t>Caso Albán Cornejo y otros Vs. Ecuador</w:t>
      </w:r>
      <w:r>
        <w:rPr>
          <w:bCs/>
          <w:i/>
          <w:sz w:val="16"/>
          <w:szCs w:val="16"/>
        </w:rPr>
        <w:t xml:space="preserve">. Fondo, Reparaciones y Costas. </w:t>
      </w:r>
      <w:r>
        <w:rPr>
          <w:bCs/>
          <w:sz w:val="16"/>
          <w:szCs w:val="16"/>
        </w:rPr>
        <w:t>Sentencia de 22 de noviembre de 2007. Serie C No. 171,</w:t>
      </w:r>
      <w:r w:rsidRPr="002570D1">
        <w:rPr>
          <w:bCs/>
          <w:sz w:val="16"/>
          <w:szCs w:val="16"/>
        </w:rPr>
        <w:t xml:space="preserve"> párr. 119. </w:t>
      </w:r>
    </w:p>
  </w:footnote>
  <w:footnote w:id="188">
    <w:p w14:paraId="2FB5832C" w14:textId="6074747A" w:rsidR="003C025E" w:rsidRPr="002570D1" w:rsidRDefault="003C025E" w:rsidP="00832A80">
      <w:pPr>
        <w:pStyle w:val="FootnoteText"/>
        <w:rPr>
          <w:sz w:val="16"/>
          <w:szCs w:val="16"/>
          <w:lang w:val="es-MX"/>
        </w:rPr>
      </w:pPr>
      <w:r w:rsidRPr="002570D1">
        <w:rPr>
          <w:rStyle w:val="FootnoteReference"/>
          <w:sz w:val="16"/>
          <w:szCs w:val="16"/>
        </w:rPr>
        <w:footnoteRef/>
      </w:r>
      <w:r w:rsidRPr="002570D1">
        <w:rPr>
          <w:sz w:val="16"/>
          <w:szCs w:val="16"/>
          <w:lang w:val="es-MX"/>
        </w:rPr>
        <w:t xml:space="preserve">   </w:t>
      </w:r>
      <w:r>
        <w:rPr>
          <w:sz w:val="16"/>
          <w:szCs w:val="16"/>
          <w:lang w:val="es-MX"/>
        </w:rPr>
        <w:tab/>
      </w:r>
      <w:r w:rsidRPr="002570D1">
        <w:rPr>
          <w:i/>
          <w:sz w:val="16"/>
          <w:szCs w:val="16"/>
          <w:lang w:val="es-MX"/>
        </w:rPr>
        <w:t>Caso Suárez Peralta Vs. Ecuador</w:t>
      </w:r>
      <w:r>
        <w:rPr>
          <w:sz w:val="16"/>
          <w:szCs w:val="16"/>
          <w:lang w:val="es-MX"/>
        </w:rPr>
        <w:t xml:space="preserve">, </w:t>
      </w:r>
      <w:r w:rsidRPr="00B1523A">
        <w:rPr>
          <w:i/>
          <w:sz w:val="16"/>
          <w:szCs w:val="16"/>
          <w:lang w:val="es-MX"/>
        </w:rPr>
        <w:t>supra</w:t>
      </w:r>
      <w:r>
        <w:rPr>
          <w:sz w:val="16"/>
          <w:szCs w:val="16"/>
          <w:lang w:val="es-MX"/>
        </w:rPr>
        <w:t xml:space="preserve">, </w:t>
      </w:r>
      <w:r w:rsidRPr="002570D1">
        <w:rPr>
          <w:sz w:val="16"/>
          <w:szCs w:val="16"/>
          <w:lang w:val="es-MX"/>
        </w:rPr>
        <w:t>párr. 149.</w:t>
      </w:r>
    </w:p>
  </w:footnote>
  <w:footnote w:id="189">
    <w:p w14:paraId="07462373" w14:textId="499ABE14" w:rsidR="003C025E" w:rsidRPr="002570D1" w:rsidRDefault="003C025E" w:rsidP="006823B8">
      <w:pPr>
        <w:pStyle w:val="FootnoteText"/>
        <w:rPr>
          <w:sz w:val="16"/>
          <w:szCs w:val="16"/>
          <w:lang w:val="es-CR"/>
        </w:rPr>
      </w:pPr>
      <w:r w:rsidRPr="002570D1">
        <w:rPr>
          <w:rStyle w:val="FootnoteReference"/>
          <w:rFonts w:eastAsia="Calibri"/>
          <w:sz w:val="16"/>
          <w:szCs w:val="16"/>
          <w:lang w:eastAsia="en-US"/>
        </w:rPr>
        <w:footnoteRef/>
      </w:r>
      <w:r w:rsidRPr="002570D1">
        <w:rPr>
          <w:i/>
          <w:sz w:val="16"/>
          <w:szCs w:val="16"/>
          <w:lang w:val="es-AR"/>
        </w:rPr>
        <w:t xml:space="preserve">  </w:t>
      </w:r>
      <w:r>
        <w:rPr>
          <w:i/>
          <w:sz w:val="16"/>
          <w:szCs w:val="16"/>
          <w:lang w:val="es-AR"/>
        </w:rPr>
        <w:t xml:space="preserve"> </w:t>
      </w:r>
      <w:r>
        <w:rPr>
          <w:i/>
          <w:sz w:val="16"/>
          <w:szCs w:val="16"/>
          <w:lang w:val="es-AR"/>
        </w:rPr>
        <w:tab/>
      </w:r>
      <w:r w:rsidRPr="00062586">
        <w:rPr>
          <w:i/>
          <w:sz w:val="16"/>
          <w:szCs w:val="16"/>
          <w:lang w:val="es-AR"/>
        </w:rPr>
        <w:t>Cfr.</w:t>
      </w:r>
      <w:r w:rsidRPr="002570D1">
        <w:rPr>
          <w:i/>
          <w:sz w:val="16"/>
          <w:szCs w:val="16"/>
          <w:lang w:val="es-AR"/>
        </w:rPr>
        <w:t xml:space="preserve"> Caso Suárez Peralta Vs. Ecuador</w:t>
      </w:r>
      <w:r w:rsidRPr="002570D1">
        <w:rPr>
          <w:sz w:val="16"/>
          <w:szCs w:val="16"/>
          <w:lang w:val="es-AR"/>
        </w:rPr>
        <w:t xml:space="preserve">, </w:t>
      </w:r>
      <w:r w:rsidRPr="00062586">
        <w:rPr>
          <w:i/>
          <w:sz w:val="16"/>
          <w:szCs w:val="16"/>
          <w:lang w:val="es-AR"/>
        </w:rPr>
        <w:t>supra</w:t>
      </w:r>
      <w:r w:rsidRPr="002570D1">
        <w:rPr>
          <w:sz w:val="16"/>
          <w:szCs w:val="16"/>
          <w:lang w:val="es-AR"/>
        </w:rPr>
        <w:t xml:space="preserve">, párr. 152. </w:t>
      </w:r>
    </w:p>
  </w:footnote>
  <w:footnote w:id="190">
    <w:p w14:paraId="720BBC90" w14:textId="7377CA99" w:rsidR="003C025E" w:rsidRPr="00515C87" w:rsidRDefault="003C025E" w:rsidP="00D80DE7">
      <w:pPr>
        <w:pStyle w:val="FootnoteText"/>
        <w:rPr>
          <w:sz w:val="16"/>
        </w:rPr>
      </w:pPr>
      <w:r w:rsidRPr="00AB1E03">
        <w:rPr>
          <w:rStyle w:val="FootnoteReference"/>
          <w:sz w:val="16"/>
          <w:szCs w:val="16"/>
        </w:rPr>
        <w:footnoteRef/>
      </w:r>
      <w:r w:rsidRPr="00AB1E03">
        <w:rPr>
          <w:sz w:val="16"/>
          <w:szCs w:val="16"/>
        </w:rPr>
        <w:t xml:space="preserve"> </w:t>
      </w:r>
      <w:r w:rsidRPr="00AB1E03">
        <w:rPr>
          <w:sz w:val="16"/>
          <w:szCs w:val="16"/>
        </w:rPr>
        <w:tab/>
      </w:r>
      <w:r w:rsidRPr="00B1523A">
        <w:rPr>
          <w:sz w:val="16"/>
          <w:szCs w:val="16"/>
        </w:rPr>
        <w:t>Si bien el señor Poblete Vilches tenía 76 años al momento de los hechos, a manera ilustrativa, se hace alusión a la</w:t>
      </w:r>
      <w:r w:rsidRPr="00AB1E03">
        <w:rPr>
          <w:b/>
          <w:sz w:val="16"/>
          <w:szCs w:val="16"/>
        </w:rPr>
        <w:t xml:space="preserve"> </w:t>
      </w:r>
      <w:r>
        <w:rPr>
          <w:sz w:val="16"/>
          <w:szCs w:val="16"/>
        </w:rPr>
        <w:t>d</w:t>
      </w:r>
      <w:r w:rsidRPr="007864DA">
        <w:rPr>
          <w:sz w:val="16"/>
          <w:szCs w:val="16"/>
        </w:rPr>
        <w:t>efinición “</w:t>
      </w:r>
      <w:r>
        <w:rPr>
          <w:sz w:val="16"/>
          <w:szCs w:val="16"/>
        </w:rPr>
        <w:t>p</w:t>
      </w:r>
      <w:r w:rsidRPr="007864DA">
        <w:rPr>
          <w:sz w:val="16"/>
          <w:szCs w:val="16"/>
        </w:rPr>
        <w:t>ersona mayor”</w:t>
      </w:r>
      <w:r>
        <w:rPr>
          <w:sz w:val="16"/>
          <w:szCs w:val="16"/>
        </w:rPr>
        <w:t>,</w:t>
      </w:r>
      <w:r w:rsidRPr="00AB1E03">
        <w:rPr>
          <w:b/>
          <w:sz w:val="16"/>
          <w:szCs w:val="16"/>
        </w:rPr>
        <w:t xml:space="preserve"> </w:t>
      </w:r>
      <w:r w:rsidRPr="00B1523A">
        <w:rPr>
          <w:sz w:val="16"/>
          <w:szCs w:val="16"/>
        </w:rPr>
        <w:t>contenida en el artículo 2 de la Convención Interamericana</w:t>
      </w:r>
      <w:r>
        <w:rPr>
          <w:sz w:val="16"/>
          <w:szCs w:val="16"/>
        </w:rPr>
        <w:t xml:space="preserve">, </w:t>
      </w:r>
      <w:r w:rsidRPr="00B1523A">
        <w:rPr>
          <w:i/>
          <w:sz w:val="16"/>
          <w:szCs w:val="16"/>
        </w:rPr>
        <w:t>supra</w:t>
      </w:r>
      <w:r w:rsidRPr="00B1523A">
        <w:rPr>
          <w:sz w:val="16"/>
          <w:szCs w:val="16"/>
        </w:rPr>
        <w:t>:</w:t>
      </w:r>
      <w:r>
        <w:rPr>
          <w:i/>
          <w:sz w:val="16"/>
          <w:szCs w:val="16"/>
        </w:rPr>
        <w:t xml:space="preserve"> “</w:t>
      </w:r>
      <w:r w:rsidRPr="00B1523A">
        <w:rPr>
          <w:sz w:val="16"/>
        </w:rPr>
        <w:t>Artículo 2.</w:t>
      </w:r>
      <w:r w:rsidRPr="00B11479">
        <w:rPr>
          <w:sz w:val="24"/>
          <w:szCs w:val="24"/>
          <w:lang w:val="es-CR" w:eastAsia="es-CR"/>
        </w:rPr>
        <w:t xml:space="preserve"> </w:t>
      </w:r>
      <w:r w:rsidRPr="00B11479">
        <w:rPr>
          <w:sz w:val="16"/>
          <w:lang w:val="es-CR"/>
        </w:rPr>
        <w:t>Definiciones</w:t>
      </w:r>
      <w:r>
        <w:rPr>
          <w:sz w:val="16"/>
          <w:lang w:val="es-CR"/>
        </w:rPr>
        <w:t>.</w:t>
      </w:r>
      <w:r w:rsidRPr="00B11479">
        <w:rPr>
          <w:sz w:val="16"/>
          <w:lang w:val="es-CR"/>
        </w:rPr>
        <w:t xml:space="preserve"> A los efectos de la pres</w:t>
      </w:r>
      <w:r>
        <w:rPr>
          <w:sz w:val="16"/>
          <w:lang w:val="es-CR"/>
        </w:rPr>
        <w:t>ente Convención se entiende por […]</w:t>
      </w:r>
      <w:r w:rsidRPr="00B11479">
        <w:rPr>
          <w:sz w:val="16"/>
          <w:lang w:val="es-CR"/>
        </w:rPr>
        <w:t xml:space="preserve"> “Persona mayor”:</w:t>
      </w:r>
      <w:r>
        <w:rPr>
          <w:sz w:val="16"/>
          <w:lang w:val="es-CR"/>
        </w:rPr>
        <w:t xml:space="preserve"> </w:t>
      </w:r>
      <w:r w:rsidRPr="00515C87">
        <w:rPr>
          <w:sz w:val="16"/>
        </w:rPr>
        <w:t>Aquella de 60 años o más, salvo que la ley interna determine una edad base menor o mayor, siempre que esta no sea superior a los 65 años. Este concepto incluye, entre otros, el de persona adulta mayor</w:t>
      </w:r>
      <w:r>
        <w:rPr>
          <w:sz w:val="16"/>
        </w:rPr>
        <w:t xml:space="preserve"> […]”</w:t>
      </w:r>
      <w:r w:rsidRPr="00515C87">
        <w:rPr>
          <w:sz w:val="16"/>
        </w:rPr>
        <w:t>.</w:t>
      </w:r>
    </w:p>
  </w:footnote>
  <w:footnote w:id="191">
    <w:p w14:paraId="7B619FA7" w14:textId="5ADA198C" w:rsidR="003C025E" w:rsidRPr="002A64C9" w:rsidRDefault="003C025E">
      <w:pPr>
        <w:pStyle w:val="FootnoteText"/>
        <w:rPr>
          <w:sz w:val="16"/>
          <w:szCs w:val="16"/>
          <w:lang w:val="es-AR"/>
        </w:rPr>
      </w:pPr>
      <w:r w:rsidRPr="00B1523A">
        <w:rPr>
          <w:rStyle w:val="FootnoteReference"/>
          <w:sz w:val="16"/>
          <w:szCs w:val="16"/>
        </w:rPr>
        <w:footnoteRef/>
      </w:r>
      <w:r w:rsidRPr="00B1523A">
        <w:rPr>
          <w:sz w:val="16"/>
          <w:szCs w:val="16"/>
        </w:rPr>
        <w:t xml:space="preserve"> </w:t>
      </w:r>
      <w:r>
        <w:tab/>
      </w:r>
      <w:r w:rsidRPr="002A64C9">
        <w:rPr>
          <w:sz w:val="16"/>
          <w:szCs w:val="16"/>
        </w:rPr>
        <w:t xml:space="preserve">Cabe señalar que en el </w:t>
      </w:r>
      <w:r w:rsidRPr="00EE6B63">
        <w:rPr>
          <w:i/>
          <w:sz w:val="16"/>
          <w:szCs w:val="16"/>
          <w:lang w:val="es-AR"/>
        </w:rPr>
        <w:t xml:space="preserve">Caso Comunidad Indígena </w:t>
      </w:r>
      <w:proofErr w:type="spellStart"/>
      <w:r w:rsidRPr="00EE6B63">
        <w:rPr>
          <w:i/>
          <w:sz w:val="16"/>
          <w:szCs w:val="16"/>
          <w:lang w:val="es-AR"/>
        </w:rPr>
        <w:t>Yake</w:t>
      </w:r>
      <w:proofErr w:type="spellEnd"/>
      <w:r w:rsidRPr="00EE6B63">
        <w:rPr>
          <w:i/>
          <w:sz w:val="16"/>
          <w:szCs w:val="16"/>
          <w:lang w:val="es-AR"/>
        </w:rPr>
        <w:t xml:space="preserve"> Axa Vs. Paragua</w:t>
      </w:r>
      <w:r>
        <w:rPr>
          <w:i/>
          <w:sz w:val="16"/>
          <w:szCs w:val="16"/>
          <w:lang w:val="es-AR"/>
        </w:rPr>
        <w:t>y</w:t>
      </w:r>
      <w:r w:rsidRPr="00EE6B63">
        <w:rPr>
          <w:sz w:val="16"/>
          <w:szCs w:val="16"/>
          <w:lang w:val="es-AR"/>
        </w:rPr>
        <w:t xml:space="preserve">, la </w:t>
      </w:r>
      <w:r>
        <w:rPr>
          <w:sz w:val="16"/>
          <w:szCs w:val="16"/>
          <w:lang w:val="es-AR"/>
        </w:rPr>
        <w:t>s</w:t>
      </w:r>
      <w:r w:rsidRPr="00EE6B63">
        <w:rPr>
          <w:sz w:val="16"/>
          <w:szCs w:val="16"/>
          <w:lang w:val="es-AR"/>
        </w:rPr>
        <w:t xml:space="preserve">entencia hizo alusión somera </w:t>
      </w:r>
      <w:r>
        <w:rPr>
          <w:sz w:val="16"/>
          <w:szCs w:val="16"/>
          <w:lang w:val="es-AR"/>
        </w:rPr>
        <w:t xml:space="preserve">con relación a </w:t>
      </w:r>
      <w:r w:rsidRPr="002A64C9">
        <w:rPr>
          <w:rFonts w:eastAsia="Calibri"/>
          <w:sz w:val="16"/>
          <w:szCs w:val="16"/>
          <w:lang w:val="es-ES" w:eastAsia="en-US"/>
        </w:rPr>
        <w:t>“que las personas de edad avanzada deben tener protegida su salud en caso de enfermedades crónicas y en fase terminal”.</w:t>
      </w:r>
      <w:r w:rsidRPr="008134CF">
        <w:rPr>
          <w:rFonts w:eastAsia="Calibri"/>
          <w:sz w:val="16"/>
          <w:szCs w:val="16"/>
          <w:lang w:val="es-ES" w:eastAsia="en-US"/>
        </w:rPr>
        <w:t xml:space="preserve"> </w:t>
      </w:r>
      <w:r w:rsidRPr="00AB3C21">
        <w:rPr>
          <w:rFonts w:eastAsia="Calibri"/>
          <w:sz w:val="16"/>
          <w:szCs w:val="16"/>
          <w:lang w:val="es-ES" w:eastAsia="en-US"/>
        </w:rPr>
        <w:t xml:space="preserve">Por su parte, </w:t>
      </w:r>
      <w:r w:rsidRPr="00B1523A">
        <w:rPr>
          <w:rFonts w:eastAsia="Calibri"/>
          <w:sz w:val="16"/>
          <w:szCs w:val="16"/>
          <w:lang w:val="es-ES" w:eastAsia="en-US"/>
        </w:rPr>
        <w:t xml:space="preserve">en el caso </w:t>
      </w:r>
      <w:r w:rsidRPr="00B1523A">
        <w:rPr>
          <w:rFonts w:eastAsia="Calibri"/>
          <w:i/>
          <w:sz w:val="16"/>
          <w:szCs w:val="16"/>
          <w:lang w:val="es-ES" w:eastAsia="en-US"/>
        </w:rPr>
        <w:t>García Lucero</w:t>
      </w:r>
      <w:r w:rsidRPr="00B1523A">
        <w:rPr>
          <w:rFonts w:eastAsia="Calibri"/>
          <w:sz w:val="16"/>
          <w:szCs w:val="16"/>
          <w:lang w:val="es-ES" w:eastAsia="en-US"/>
        </w:rPr>
        <w:t xml:space="preserve"> </w:t>
      </w:r>
      <w:r w:rsidRPr="00B1523A">
        <w:rPr>
          <w:rFonts w:eastAsia="Calibri"/>
          <w:i/>
          <w:sz w:val="16"/>
          <w:szCs w:val="16"/>
          <w:lang w:val="es-ES" w:eastAsia="en-US"/>
        </w:rPr>
        <w:t>y Otras Vs. Chile</w:t>
      </w:r>
      <w:r w:rsidRPr="00B1523A">
        <w:rPr>
          <w:rFonts w:eastAsia="Calibri"/>
          <w:sz w:val="16"/>
          <w:szCs w:val="16"/>
          <w:lang w:val="es-ES" w:eastAsia="en-US"/>
        </w:rPr>
        <w:t xml:space="preserve">,  la Corte reconoció, en el rubro de reparaciones, la situación de vulnerabilidad de la víctima por su condición de adulto mayor. </w:t>
      </w:r>
      <w:r w:rsidRPr="00B1523A">
        <w:rPr>
          <w:rFonts w:eastAsia="Calibri"/>
          <w:i/>
          <w:sz w:val="16"/>
          <w:szCs w:val="16"/>
          <w:lang w:val="es-ES" w:eastAsia="en-US"/>
        </w:rPr>
        <w:t>Cfr.</w:t>
      </w:r>
      <w:r w:rsidRPr="00B1523A">
        <w:rPr>
          <w:rFonts w:eastAsia="Calibri"/>
          <w:sz w:val="16"/>
          <w:szCs w:val="16"/>
          <w:lang w:val="es-ES" w:eastAsia="en-US"/>
        </w:rPr>
        <w:t xml:space="preserve"> </w:t>
      </w:r>
      <w:r w:rsidRPr="00B1523A">
        <w:rPr>
          <w:rFonts w:eastAsia="Calibri"/>
          <w:i/>
          <w:sz w:val="16"/>
          <w:szCs w:val="16"/>
          <w:lang w:val="es-AR" w:eastAsia="en-US"/>
        </w:rPr>
        <w:t xml:space="preserve">Caso Comunidad Indígena </w:t>
      </w:r>
      <w:proofErr w:type="spellStart"/>
      <w:r w:rsidRPr="00B1523A">
        <w:rPr>
          <w:rFonts w:eastAsia="Calibri"/>
          <w:i/>
          <w:sz w:val="16"/>
          <w:szCs w:val="16"/>
          <w:lang w:val="es-AR" w:eastAsia="en-US"/>
        </w:rPr>
        <w:t>Yake</w:t>
      </w:r>
      <w:proofErr w:type="spellEnd"/>
      <w:r w:rsidRPr="00B1523A">
        <w:rPr>
          <w:rFonts w:eastAsia="Calibri"/>
          <w:i/>
          <w:sz w:val="16"/>
          <w:szCs w:val="16"/>
          <w:lang w:val="es-AR" w:eastAsia="en-US"/>
        </w:rPr>
        <w:t xml:space="preserve"> Axa Vs. Paraguay, supra, </w:t>
      </w:r>
      <w:r w:rsidRPr="00B1523A">
        <w:rPr>
          <w:rFonts w:eastAsia="Calibri"/>
          <w:sz w:val="16"/>
          <w:szCs w:val="16"/>
          <w:lang w:val="es-AR" w:eastAsia="en-US"/>
        </w:rPr>
        <w:t xml:space="preserve">párr. 175, y </w:t>
      </w:r>
      <w:r w:rsidRPr="00B1523A">
        <w:rPr>
          <w:rFonts w:eastAsia="Calibri"/>
          <w:i/>
          <w:sz w:val="16"/>
          <w:szCs w:val="16"/>
          <w:lang w:val="es-ES" w:eastAsia="en-US"/>
        </w:rPr>
        <w:t>Caso García Lucero y otras Vs. Chile. Excepción Preliminar, Fondo y Reparaciones.</w:t>
      </w:r>
      <w:r w:rsidRPr="00B1523A">
        <w:rPr>
          <w:rFonts w:eastAsia="Calibri"/>
          <w:sz w:val="16"/>
          <w:szCs w:val="16"/>
          <w:lang w:val="es-ES" w:eastAsia="en-US"/>
        </w:rPr>
        <w:t xml:space="preserve"> Sentencia de 28 de agosto de 2013. Serie C No. 267, párr. </w:t>
      </w:r>
      <w:r>
        <w:rPr>
          <w:rFonts w:eastAsia="Calibri"/>
          <w:sz w:val="16"/>
          <w:szCs w:val="16"/>
          <w:lang w:val="es-ES" w:eastAsia="en-US"/>
        </w:rPr>
        <w:t>2</w:t>
      </w:r>
      <w:r w:rsidRPr="00B1523A">
        <w:rPr>
          <w:rFonts w:eastAsia="Calibri"/>
          <w:sz w:val="16"/>
          <w:szCs w:val="16"/>
          <w:lang w:val="es-ES" w:eastAsia="en-US"/>
        </w:rPr>
        <w:t>31.</w:t>
      </w:r>
    </w:p>
  </w:footnote>
  <w:footnote w:id="192">
    <w:p w14:paraId="119F54AE" w14:textId="7DBBBCC3" w:rsidR="003C025E" w:rsidRPr="005430FF" w:rsidRDefault="003C025E" w:rsidP="00911089">
      <w:pPr>
        <w:pStyle w:val="FootnoteText"/>
        <w:rPr>
          <w:sz w:val="16"/>
        </w:rPr>
      </w:pPr>
      <w:r w:rsidRPr="005430FF">
        <w:rPr>
          <w:rStyle w:val="FootnoteReference"/>
          <w:sz w:val="16"/>
        </w:rPr>
        <w:footnoteRef/>
      </w:r>
      <w:r w:rsidRPr="005430FF">
        <w:rPr>
          <w:sz w:val="16"/>
        </w:rPr>
        <w:t xml:space="preserve"> </w:t>
      </w:r>
      <w:r>
        <w:rPr>
          <w:sz w:val="16"/>
        </w:rPr>
        <w:t xml:space="preserve"> </w:t>
      </w:r>
      <w:r w:rsidRPr="0000041A">
        <w:rPr>
          <w:sz w:val="16"/>
        </w:rPr>
        <w:t xml:space="preserve">    </w:t>
      </w:r>
      <w:r>
        <w:rPr>
          <w:sz w:val="16"/>
        </w:rPr>
        <w:tab/>
        <w:t xml:space="preserve">OEA. Protocolo Adicional a la Convención Americana sobre Derechos Humanos en materia de Derechos Económicos, Sociales y Culturales “Protocolo de San Salvador”. </w:t>
      </w:r>
      <w:r w:rsidRPr="0000041A">
        <w:rPr>
          <w:sz w:val="16"/>
        </w:rPr>
        <w:t xml:space="preserve">Adoptado por la Asamblea General de la Organización de Estados Americanos el 17 de noviembre de 1988 en San Salvador. Entrada en </w:t>
      </w:r>
      <w:r>
        <w:rPr>
          <w:sz w:val="16"/>
        </w:rPr>
        <w:t>v</w:t>
      </w:r>
      <w:r w:rsidRPr="0000041A">
        <w:rPr>
          <w:sz w:val="16"/>
        </w:rPr>
        <w:t xml:space="preserve">igor </w:t>
      </w:r>
      <w:r>
        <w:rPr>
          <w:sz w:val="16"/>
        </w:rPr>
        <w:t xml:space="preserve">el </w:t>
      </w:r>
      <w:r w:rsidRPr="0000041A">
        <w:rPr>
          <w:sz w:val="16"/>
        </w:rPr>
        <w:t>16 de Noviembre de 1999. Hasta la actualidad no ha sido ratificado por el Estado de Chile.</w:t>
      </w:r>
      <w:r w:rsidRPr="0000041A">
        <w:t xml:space="preserve"> </w:t>
      </w:r>
      <w:r>
        <w:rPr>
          <w:sz w:val="16"/>
        </w:rPr>
        <w:t xml:space="preserve">Artículo 17. </w:t>
      </w:r>
      <w:r w:rsidRPr="0000041A">
        <w:rPr>
          <w:sz w:val="16"/>
        </w:rPr>
        <w:t>Toda persona tiene derecho a protección especial durante su ancianidad. En tal cometido, los Estados partes se comprometen a adoptar de manera progresiva las medidas necesarias a fin de llevar este derecho a</w:t>
      </w:r>
      <w:r>
        <w:rPr>
          <w:sz w:val="16"/>
        </w:rPr>
        <w:t xml:space="preserve"> la práctica y en particular a: a) </w:t>
      </w:r>
      <w:r w:rsidRPr="0000041A">
        <w:rPr>
          <w:sz w:val="16"/>
        </w:rPr>
        <w:t xml:space="preserve">proporcionar instalaciones adecuadas, así como alimentación y atención médica especializada a las personas de edad avanzada que carezcan de ella y no se encuentren en condiciones de </w:t>
      </w:r>
      <w:r>
        <w:rPr>
          <w:sz w:val="16"/>
        </w:rPr>
        <w:t>proporcionársela por sí mismas; b)</w:t>
      </w:r>
      <w:r w:rsidRPr="0000041A">
        <w:rPr>
          <w:sz w:val="16"/>
        </w:rPr>
        <w:t xml:space="preserve"> ejecutar programas laborales específicos destinados a conceder a los ancianos la posibilidad de realizar una actividad productiva adecuada a sus capacidades r</w:t>
      </w:r>
      <w:r>
        <w:rPr>
          <w:sz w:val="16"/>
        </w:rPr>
        <w:t>espetando su vocación o deseos; c)</w:t>
      </w:r>
      <w:r w:rsidRPr="0000041A">
        <w:rPr>
          <w:sz w:val="16"/>
        </w:rPr>
        <w:t xml:space="preserve"> estimular la formación de organizaciones sociales destinadas a mejorar la calidad de vida de los ancianos</w:t>
      </w:r>
      <w:r>
        <w:rPr>
          <w:sz w:val="16"/>
        </w:rPr>
        <w:t xml:space="preserve"> </w:t>
      </w:r>
      <w:r w:rsidRPr="00221FF8">
        <w:rPr>
          <w:sz w:val="16"/>
          <w:lang w:val="es-CR"/>
        </w:rPr>
        <w:t>∞</w:t>
      </w:r>
      <w:r w:rsidRPr="0000041A">
        <w:rPr>
          <w:sz w:val="16"/>
        </w:rPr>
        <w:t>.</w:t>
      </w:r>
    </w:p>
  </w:footnote>
  <w:footnote w:id="193">
    <w:p w14:paraId="2880624A" w14:textId="4C1D7CE7" w:rsidR="003C025E" w:rsidRPr="0036020D" w:rsidRDefault="003C025E" w:rsidP="00DB08E9">
      <w:pPr>
        <w:pStyle w:val="FootnoteText"/>
      </w:pPr>
      <w:r w:rsidRPr="0043255A">
        <w:rPr>
          <w:rStyle w:val="FootnoteReference"/>
          <w:color w:val="000000"/>
          <w:sz w:val="16"/>
          <w:szCs w:val="16"/>
        </w:rPr>
        <w:footnoteRef/>
      </w:r>
      <w:r>
        <w:t xml:space="preserve"> </w:t>
      </w:r>
      <w:r>
        <w:tab/>
      </w:r>
      <w:r>
        <w:rPr>
          <w:sz w:val="16"/>
          <w:szCs w:val="16"/>
          <w:lang w:val="es-AR"/>
        </w:rPr>
        <w:t xml:space="preserve">Adoptado en la 26ª Sesión Ordinaria de la Asamblea de la Unión Africana celebrada en Addis Abeba, Etiopía, el 31 de junio de 2016. En su artículo 15.1 dispone la obligación de los Estados africanos </w:t>
      </w:r>
      <w:r>
        <w:br/>
      </w:r>
      <w:r>
        <w:rPr>
          <w:rFonts w:cs="Arial"/>
          <w:color w:val="212121"/>
          <w:sz w:val="16"/>
          <w:szCs w:val="16"/>
          <w:shd w:val="clear" w:color="auto" w:fill="FFFFFF"/>
        </w:rPr>
        <w:t xml:space="preserve">de “[…] </w:t>
      </w:r>
      <w:r w:rsidRPr="00255B98">
        <w:rPr>
          <w:rFonts w:cs="Arial"/>
          <w:color w:val="212121"/>
          <w:sz w:val="16"/>
          <w:szCs w:val="16"/>
          <w:shd w:val="clear" w:color="auto" w:fill="FFFFFF"/>
        </w:rPr>
        <w:t>garantizar los derechos de las personas mayores a acceder a servicios de salud que satisfagan sus necesidades específicas</w:t>
      </w:r>
      <w:r>
        <w:rPr>
          <w:rFonts w:cs="Arial"/>
          <w:color w:val="212121"/>
          <w:sz w:val="16"/>
          <w:szCs w:val="16"/>
          <w:shd w:val="clear" w:color="auto" w:fill="FFFFFF"/>
        </w:rPr>
        <w:t xml:space="preserve"> […]”. </w:t>
      </w:r>
    </w:p>
  </w:footnote>
  <w:footnote w:id="194">
    <w:p w14:paraId="2993C449" w14:textId="14232B60" w:rsidR="003C025E" w:rsidRPr="009172C6" w:rsidRDefault="003C025E" w:rsidP="005D383C">
      <w:pPr>
        <w:pStyle w:val="FootnoteText"/>
        <w:rPr>
          <w:b/>
          <w:sz w:val="16"/>
          <w:szCs w:val="16"/>
          <w:lang w:val="es-CR"/>
        </w:rPr>
      </w:pPr>
      <w:r w:rsidRPr="009172C6">
        <w:rPr>
          <w:rStyle w:val="FootnoteReference"/>
          <w:rFonts w:eastAsia="MS ????"/>
          <w:color w:val="000000"/>
          <w:sz w:val="16"/>
          <w:szCs w:val="16"/>
        </w:rPr>
        <w:footnoteRef/>
      </w:r>
      <w:r w:rsidRPr="009172C6">
        <w:rPr>
          <w:b/>
        </w:rPr>
        <w:t xml:space="preserve">  </w:t>
      </w:r>
      <w:r>
        <w:rPr>
          <w:b/>
        </w:rPr>
        <w:tab/>
      </w:r>
      <w:r w:rsidRPr="00ED5EC1">
        <w:rPr>
          <w:sz w:val="16"/>
          <w:szCs w:val="16"/>
          <w:lang w:val="es-AR"/>
        </w:rPr>
        <w:t>Consejo de Europa</w:t>
      </w:r>
      <w:r w:rsidRPr="001A7A8E">
        <w:rPr>
          <w:sz w:val="16"/>
          <w:szCs w:val="16"/>
          <w:lang w:val="es-AR"/>
        </w:rPr>
        <w:t xml:space="preserve"> (Estrasburgo</w:t>
      </w:r>
      <w:r w:rsidRPr="00B1523A">
        <w:rPr>
          <w:i/>
          <w:sz w:val="16"/>
          <w:szCs w:val="16"/>
          <w:lang w:val="es-AR"/>
        </w:rPr>
        <w:t>). Carta Social Europea</w:t>
      </w:r>
      <w:r w:rsidRPr="00B1523A">
        <w:rPr>
          <w:sz w:val="16"/>
          <w:szCs w:val="16"/>
          <w:lang w:val="es-AR"/>
        </w:rPr>
        <w:t xml:space="preserve">, </w:t>
      </w:r>
      <w:r w:rsidRPr="00B1523A">
        <w:rPr>
          <w:i/>
          <w:sz w:val="16"/>
          <w:szCs w:val="16"/>
          <w:lang w:val="es-AR"/>
        </w:rPr>
        <w:t>supra</w:t>
      </w:r>
      <w:r w:rsidRPr="00ED5EC1">
        <w:rPr>
          <w:sz w:val="16"/>
          <w:szCs w:val="16"/>
          <w:lang w:val="es-AR"/>
        </w:rPr>
        <w:t xml:space="preserve">. </w:t>
      </w:r>
      <w:r w:rsidRPr="001A7A8E">
        <w:rPr>
          <w:sz w:val="16"/>
          <w:szCs w:val="16"/>
          <w:lang w:val="es-AR"/>
        </w:rPr>
        <w:t xml:space="preserve">En su </w:t>
      </w:r>
      <w:r w:rsidRPr="00B1523A">
        <w:rPr>
          <w:sz w:val="16"/>
          <w:szCs w:val="16"/>
          <w:lang w:val="es-AR"/>
        </w:rPr>
        <w:t xml:space="preserve">artículo 23, dispone el </w:t>
      </w:r>
      <w:r w:rsidRPr="00B1523A">
        <w:rPr>
          <w:sz w:val="16"/>
          <w:szCs w:val="16"/>
          <w:lang w:val="es-CR"/>
        </w:rPr>
        <w:t>derecho de las personas de edad avanzada a protección social</w:t>
      </w:r>
      <w:r>
        <w:rPr>
          <w:sz w:val="16"/>
          <w:szCs w:val="16"/>
          <w:lang w:val="es-CR"/>
        </w:rPr>
        <w:t xml:space="preserve"> y establece el compromiso de los Estados </w:t>
      </w:r>
      <w:r w:rsidRPr="001A7A8E">
        <w:rPr>
          <w:sz w:val="16"/>
          <w:szCs w:val="16"/>
          <w:lang w:val="es-CR"/>
        </w:rPr>
        <w:t xml:space="preserve">Partes </w:t>
      </w:r>
      <w:r>
        <w:rPr>
          <w:sz w:val="16"/>
          <w:szCs w:val="16"/>
          <w:lang w:val="es-CR"/>
        </w:rPr>
        <w:t xml:space="preserve">para </w:t>
      </w:r>
      <w:r w:rsidRPr="001A7A8E">
        <w:rPr>
          <w:sz w:val="16"/>
          <w:szCs w:val="16"/>
          <w:lang w:val="es-CR"/>
        </w:rPr>
        <w:t>adoptar o promover medidas apropiadas orientadas</w:t>
      </w:r>
      <w:r>
        <w:rPr>
          <w:sz w:val="16"/>
          <w:szCs w:val="16"/>
          <w:lang w:val="es-CR"/>
        </w:rPr>
        <w:t xml:space="preserve"> a</w:t>
      </w:r>
      <w:r w:rsidRPr="001A7A8E">
        <w:rPr>
          <w:sz w:val="16"/>
          <w:szCs w:val="16"/>
          <w:lang w:val="es-CR"/>
        </w:rPr>
        <w:t xml:space="preserve"> garantizar el ejercicio efectivo de</w:t>
      </w:r>
      <w:r>
        <w:rPr>
          <w:sz w:val="16"/>
          <w:szCs w:val="16"/>
          <w:lang w:val="es-CR"/>
        </w:rPr>
        <w:t xml:space="preserve"> este</w:t>
      </w:r>
      <w:r w:rsidRPr="001A7A8E">
        <w:rPr>
          <w:sz w:val="16"/>
          <w:szCs w:val="16"/>
          <w:lang w:val="es-CR"/>
        </w:rPr>
        <w:t xml:space="preserve"> derecho</w:t>
      </w:r>
      <w:r w:rsidRPr="00B1523A">
        <w:rPr>
          <w:sz w:val="16"/>
          <w:szCs w:val="16"/>
          <w:lang w:val="es-CR"/>
        </w:rPr>
        <w:t>.</w:t>
      </w:r>
      <w:r>
        <w:rPr>
          <w:b/>
          <w:sz w:val="16"/>
          <w:szCs w:val="16"/>
          <w:lang w:val="es-CR"/>
        </w:rPr>
        <w:t xml:space="preserve"> </w:t>
      </w:r>
    </w:p>
  </w:footnote>
  <w:footnote w:id="195">
    <w:p w14:paraId="33A76C9F" w14:textId="5ACA297D" w:rsidR="003C025E" w:rsidRPr="002570D1" w:rsidRDefault="003C025E" w:rsidP="001218A0">
      <w:pPr>
        <w:pStyle w:val="FootnoteText"/>
        <w:rPr>
          <w:sz w:val="16"/>
          <w:szCs w:val="16"/>
          <w:lang w:val="es-AR"/>
        </w:rPr>
      </w:pPr>
      <w:r w:rsidRPr="00C64243">
        <w:rPr>
          <w:rStyle w:val="FootnoteReference"/>
          <w:sz w:val="16"/>
        </w:rPr>
        <w:footnoteRef/>
      </w:r>
      <w:r>
        <w:rPr>
          <w:sz w:val="16"/>
          <w:szCs w:val="16"/>
          <w:lang w:val="es-AR"/>
        </w:rPr>
        <w:t xml:space="preserve"> </w:t>
      </w:r>
      <w:r>
        <w:rPr>
          <w:sz w:val="16"/>
          <w:szCs w:val="16"/>
          <w:lang w:val="es-AR"/>
        </w:rPr>
        <w:tab/>
        <w:t xml:space="preserve">OEA. </w:t>
      </w:r>
      <w:r w:rsidRPr="00B1523A">
        <w:rPr>
          <w:i/>
          <w:sz w:val="16"/>
          <w:szCs w:val="16"/>
          <w:lang w:val="es-MX"/>
        </w:rPr>
        <w:t>Convención Interamericana sobre la Protección de los Derechos Humanos de las Personas Mayores</w:t>
      </w:r>
      <w:r w:rsidRPr="00B1523A">
        <w:rPr>
          <w:i/>
          <w:sz w:val="16"/>
          <w:szCs w:val="16"/>
          <w:lang w:val="es-AR"/>
        </w:rPr>
        <w:t>,</w:t>
      </w:r>
      <w:r>
        <w:rPr>
          <w:sz w:val="16"/>
          <w:szCs w:val="16"/>
          <w:lang w:val="es-AR"/>
        </w:rPr>
        <w:t xml:space="preserve"> </w:t>
      </w:r>
      <w:r>
        <w:rPr>
          <w:i/>
          <w:sz w:val="16"/>
          <w:szCs w:val="16"/>
          <w:lang w:val="es-AR"/>
        </w:rPr>
        <w:t>supra</w:t>
      </w:r>
      <w:r>
        <w:rPr>
          <w:sz w:val="16"/>
          <w:szCs w:val="16"/>
          <w:lang w:val="es-AR"/>
        </w:rPr>
        <w:t xml:space="preserve">. </w:t>
      </w:r>
      <w:r w:rsidRPr="0000041A">
        <w:rPr>
          <w:sz w:val="16"/>
          <w:szCs w:val="16"/>
          <w:lang w:val="es-AR"/>
        </w:rPr>
        <w:t xml:space="preserve">Ratificada por </w:t>
      </w:r>
      <w:r>
        <w:rPr>
          <w:sz w:val="16"/>
          <w:szCs w:val="16"/>
          <w:lang w:val="es-AR"/>
        </w:rPr>
        <w:t>C</w:t>
      </w:r>
      <w:r w:rsidRPr="0000041A">
        <w:rPr>
          <w:sz w:val="16"/>
          <w:szCs w:val="16"/>
          <w:lang w:val="es-AR"/>
        </w:rPr>
        <w:t>hile</w:t>
      </w:r>
      <w:r>
        <w:rPr>
          <w:sz w:val="16"/>
          <w:szCs w:val="16"/>
          <w:lang w:val="es-AR"/>
        </w:rPr>
        <w:t xml:space="preserve"> el 7 de noviembre de 2017. </w:t>
      </w:r>
      <w:r>
        <w:rPr>
          <w:i/>
          <w:sz w:val="16"/>
          <w:szCs w:val="16"/>
          <w:lang w:val="es-AR"/>
        </w:rPr>
        <w:t>s</w:t>
      </w:r>
      <w:r w:rsidRPr="00B1523A">
        <w:rPr>
          <w:i/>
          <w:sz w:val="16"/>
          <w:szCs w:val="16"/>
          <w:lang w:val="es-AR"/>
        </w:rPr>
        <w:t>upra</w:t>
      </w:r>
      <w:r>
        <w:rPr>
          <w:sz w:val="16"/>
          <w:szCs w:val="16"/>
          <w:lang w:val="es-AR"/>
        </w:rPr>
        <w:t xml:space="preserve">. </w:t>
      </w:r>
    </w:p>
  </w:footnote>
  <w:footnote w:id="196">
    <w:p w14:paraId="38FEE0E9" w14:textId="702A4F9A" w:rsidR="003C025E" w:rsidRPr="00D727A2" w:rsidRDefault="003C025E" w:rsidP="001218A0">
      <w:pPr>
        <w:pStyle w:val="FootnoteText"/>
      </w:pPr>
      <w:r w:rsidRPr="00C64243">
        <w:rPr>
          <w:rStyle w:val="FootnoteReference"/>
          <w:sz w:val="16"/>
        </w:rPr>
        <w:footnoteRef/>
      </w:r>
      <w:r>
        <w:t xml:space="preserve">    </w:t>
      </w:r>
      <w:r>
        <w:rPr>
          <w:sz w:val="16"/>
          <w:szCs w:val="16"/>
          <w:lang w:val="es-MX"/>
        </w:rPr>
        <w:tab/>
      </w:r>
      <w:r w:rsidRPr="00543E84">
        <w:rPr>
          <w:sz w:val="16"/>
          <w:szCs w:val="16"/>
          <w:lang w:val="es-AR"/>
        </w:rPr>
        <w:t>Artículo 19</w:t>
      </w:r>
      <w:r w:rsidRPr="001F1858">
        <w:rPr>
          <w:sz w:val="16"/>
          <w:szCs w:val="16"/>
          <w:lang w:val="es-AR"/>
        </w:rPr>
        <w:t>.</w:t>
      </w:r>
      <w:r w:rsidRPr="00B1523A">
        <w:rPr>
          <w:sz w:val="16"/>
          <w:szCs w:val="16"/>
        </w:rPr>
        <w:t xml:space="preserve"> Derecho a la salud. </w:t>
      </w:r>
      <w:r w:rsidRPr="00543E84">
        <w:rPr>
          <w:sz w:val="16"/>
          <w:szCs w:val="16"/>
          <w:lang w:val="es-AR"/>
        </w:rPr>
        <w:t>La persona mayor tiene derecho a su salud física y mental, si</w:t>
      </w:r>
      <w:r w:rsidRPr="00D3538B">
        <w:rPr>
          <w:sz w:val="16"/>
          <w:szCs w:val="16"/>
          <w:lang w:val="es-AR"/>
        </w:rPr>
        <w:t>n ningún tipo de discriminación […].</w:t>
      </w:r>
      <w:r>
        <w:rPr>
          <w:sz w:val="16"/>
          <w:szCs w:val="16"/>
          <w:lang w:val="es-AR"/>
        </w:rPr>
        <w:t xml:space="preserve"> </w:t>
      </w:r>
    </w:p>
  </w:footnote>
  <w:footnote w:id="197">
    <w:p w14:paraId="2507199F" w14:textId="455865AB" w:rsidR="003C025E" w:rsidRPr="002570D1" w:rsidRDefault="003C025E" w:rsidP="0027467C">
      <w:pPr>
        <w:pStyle w:val="FootnoteText"/>
        <w:rPr>
          <w:sz w:val="16"/>
          <w:szCs w:val="16"/>
          <w:lang w:val="es-AR"/>
        </w:rPr>
      </w:pPr>
      <w:r w:rsidRPr="002570D1">
        <w:rPr>
          <w:rStyle w:val="FootnoteReference"/>
          <w:color w:val="000000"/>
          <w:sz w:val="16"/>
          <w:szCs w:val="16"/>
        </w:rPr>
        <w:footnoteRef/>
      </w:r>
      <w:r w:rsidRPr="002570D1">
        <w:rPr>
          <w:sz w:val="16"/>
          <w:szCs w:val="16"/>
          <w:lang w:val="es-AR"/>
        </w:rPr>
        <w:t xml:space="preserve">  </w:t>
      </w:r>
      <w:r>
        <w:rPr>
          <w:sz w:val="16"/>
          <w:szCs w:val="16"/>
          <w:lang w:val="es-AR"/>
        </w:rPr>
        <w:tab/>
        <w:t xml:space="preserve">ONU. Asamblea General, </w:t>
      </w:r>
      <w:r w:rsidRPr="00B1523A">
        <w:rPr>
          <w:i/>
          <w:sz w:val="16"/>
          <w:szCs w:val="16"/>
          <w:lang w:val="es-AR"/>
        </w:rPr>
        <w:t>Principios de las Naciones Unidas en Favor de las Personas de Edad.</w:t>
      </w:r>
      <w:r>
        <w:rPr>
          <w:sz w:val="16"/>
          <w:szCs w:val="16"/>
          <w:lang w:val="es-AR"/>
        </w:rPr>
        <w:t xml:space="preserve"> A</w:t>
      </w:r>
      <w:r w:rsidRPr="002570D1">
        <w:rPr>
          <w:sz w:val="16"/>
          <w:szCs w:val="16"/>
          <w:lang w:val="es-AR"/>
        </w:rPr>
        <w:t xml:space="preserve">probados </w:t>
      </w:r>
      <w:r>
        <w:rPr>
          <w:sz w:val="16"/>
          <w:szCs w:val="16"/>
          <w:lang w:val="es-AR"/>
        </w:rPr>
        <w:t>mediante R</w:t>
      </w:r>
      <w:r w:rsidRPr="002570D1">
        <w:rPr>
          <w:sz w:val="16"/>
          <w:szCs w:val="16"/>
          <w:lang w:val="es-AR"/>
        </w:rPr>
        <w:t>esolución 46/91</w:t>
      </w:r>
      <w:r>
        <w:rPr>
          <w:sz w:val="16"/>
          <w:szCs w:val="16"/>
          <w:lang w:val="es-AR"/>
        </w:rPr>
        <w:t xml:space="preserve"> de </w:t>
      </w:r>
      <w:r w:rsidRPr="002570D1">
        <w:rPr>
          <w:sz w:val="16"/>
          <w:szCs w:val="16"/>
          <w:lang w:val="es-AR"/>
        </w:rPr>
        <w:t>16 de diciembre de 1991</w:t>
      </w:r>
      <w:r>
        <w:rPr>
          <w:sz w:val="16"/>
          <w:szCs w:val="16"/>
          <w:lang w:val="es-AR"/>
        </w:rPr>
        <w:t>.</w:t>
      </w:r>
    </w:p>
  </w:footnote>
  <w:footnote w:id="198">
    <w:p w14:paraId="1C6EAD79" w14:textId="5EA72AF3" w:rsidR="003C025E" w:rsidRPr="00FC0DE8" w:rsidRDefault="003C025E" w:rsidP="00911089">
      <w:pPr>
        <w:pStyle w:val="FootnoteText"/>
      </w:pPr>
      <w:r w:rsidRPr="00C64243">
        <w:rPr>
          <w:rStyle w:val="FootnoteReference"/>
          <w:color w:val="000000"/>
          <w:sz w:val="16"/>
          <w:szCs w:val="16"/>
        </w:rPr>
        <w:footnoteRef/>
      </w:r>
      <w:r w:rsidRPr="00C64243">
        <w:rPr>
          <w:rStyle w:val="FootnoteReference"/>
          <w:color w:val="000000"/>
          <w:sz w:val="16"/>
          <w:szCs w:val="16"/>
        </w:rPr>
        <w:t xml:space="preserve"> </w:t>
      </w:r>
      <w:r>
        <w:rPr>
          <w:color w:val="000000"/>
          <w:sz w:val="16"/>
          <w:szCs w:val="16"/>
        </w:rPr>
        <w:t xml:space="preserve">   </w:t>
      </w:r>
      <w:r>
        <w:t xml:space="preserve"> </w:t>
      </w:r>
      <w:r>
        <w:tab/>
      </w:r>
      <w:r w:rsidRPr="00B1523A">
        <w:rPr>
          <w:sz w:val="16"/>
          <w:szCs w:val="16"/>
        </w:rPr>
        <w:t xml:space="preserve">Adoptado en la </w:t>
      </w:r>
      <w:r>
        <w:rPr>
          <w:sz w:val="16"/>
          <w:szCs w:val="16"/>
        </w:rPr>
        <w:t>“</w:t>
      </w:r>
      <w:r w:rsidRPr="00E03F6D">
        <w:rPr>
          <w:sz w:val="16"/>
          <w:szCs w:val="16"/>
          <w:lang w:val="es-AR"/>
        </w:rPr>
        <w:t>Asamblea Mundial sobre el Envejecimiento</w:t>
      </w:r>
      <w:r>
        <w:rPr>
          <w:sz w:val="16"/>
          <w:szCs w:val="16"/>
          <w:lang w:val="es-AR"/>
        </w:rPr>
        <w:t>”</w:t>
      </w:r>
      <w:r w:rsidRPr="00E03F6D">
        <w:rPr>
          <w:sz w:val="16"/>
          <w:szCs w:val="16"/>
          <w:lang w:val="es-AR"/>
        </w:rPr>
        <w:t xml:space="preserve"> el 6 de agosto de 1982 y aprobado por la Asamblea General de la</w:t>
      </w:r>
      <w:r>
        <w:rPr>
          <w:sz w:val="16"/>
          <w:szCs w:val="16"/>
          <w:lang w:val="es-AR"/>
        </w:rPr>
        <w:t xml:space="preserve"> Organización de las</w:t>
      </w:r>
      <w:r w:rsidRPr="00E03F6D">
        <w:rPr>
          <w:sz w:val="16"/>
          <w:szCs w:val="16"/>
          <w:lang w:val="es-AR"/>
        </w:rPr>
        <w:t xml:space="preserve"> Naciones Unidas mediante Resolución 37/51.</w:t>
      </w:r>
    </w:p>
  </w:footnote>
  <w:footnote w:id="199">
    <w:p w14:paraId="5D01C416" w14:textId="1BDEF867" w:rsidR="003C025E" w:rsidRPr="002570D1" w:rsidRDefault="003C025E" w:rsidP="00911089">
      <w:pPr>
        <w:pStyle w:val="FootnoteText"/>
        <w:rPr>
          <w:sz w:val="16"/>
          <w:szCs w:val="16"/>
          <w:lang w:val="es-AR"/>
        </w:rPr>
      </w:pPr>
      <w:r w:rsidRPr="002570D1">
        <w:rPr>
          <w:rStyle w:val="FootnoteReference"/>
          <w:color w:val="000000"/>
          <w:sz w:val="16"/>
          <w:szCs w:val="16"/>
        </w:rPr>
        <w:footnoteRef/>
      </w:r>
      <w:r w:rsidRPr="002570D1">
        <w:rPr>
          <w:rStyle w:val="FootnoteReference"/>
          <w:color w:val="000000"/>
          <w:sz w:val="16"/>
          <w:szCs w:val="16"/>
          <w:lang w:val="es-AR"/>
        </w:rPr>
        <w:t xml:space="preserve"> </w:t>
      </w:r>
      <w:r w:rsidRPr="002570D1">
        <w:rPr>
          <w:color w:val="000000"/>
          <w:sz w:val="16"/>
          <w:szCs w:val="16"/>
          <w:lang w:val="es-AR"/>
        </w:rPr>
        <w:t xml:space="preserve">  </w:t>
      </w:r>
      <w:r>
        <w:rPr>
          <w:color w:val="000000"/>
          <w:sz w:val="16"/>
          <w:szCs w:val="16"/>
          <w:lang w:val="es-AR"/>
        </w:rPr>
        <w:tab/>
        <w:t xml:space="preserve">ONU. Asamblea General, </w:t>
      </w:r>
      <w:r w:rsidRPr="00B1523A">
        <w:rPr>
          <w:i/>
          <w:sz w:val="16"/>
          <w:szCs w:val="16"/>
          <w:lang w:val="es-AR"/>
        </w:rPr>
        <w:t>Proclamación sobre el Envejecimiento</w:t>
      </w:r>
      <w:r>
        <w:rPr>
          <w:sz w:val="16"/>
          <w:szCs w:val="16"/>
          <w:lang w:val="es-AR"/>
        </w:rPr>
        <w:t>. Aprobada mediante Re</w:t>
      </w:r>
      <w:r w:rsidRPr="002570D1">
        <w:rPr>
          <w:sz w:val="16"/>
          <w:szCs w:val="16"/>
          <w:lang w:val="es-AR"/>
        </w:rPr>
        <w:t>solución 47/5</w:t>
      </w:r>
      <w:r>
        <w:rPr>
          <w:sz w:val="16"/>
          <w:szCs w:val="16"/>
          <w:lang w:val="es-AR"/>
        </w:rPr>
        <w:t xml:space="preserve"> de </w:t>
      </w:r>
      <w:r w:rsidRPr="002570D1">
        <w:rPr>
          <w:sz w:val="16"/>
          <w:szCs w:val="16"/>
          <w:lang w:val="es-AR"/>
        </w:rPr>
        <w:t>16 de octubre de 1992.</w:t>
      </w:r>
    </w:p>
  </w:footnote>
  <w:footnote w:id="200">
    <w:p w14:paraId="27CC649F" w14:textId="5E8F2D2B" w:rsidR="003C025E" w:rsidRPr="002570D1" w:rsidRDefault="003C025E" w:rsidP="00911089">
      <w:pPr>
        <w:pStyle w:val="FootnoteText"/>
        <w:rPr>
          <w:sz w:val="16"/>
          <w:szCs w:val="16"/>
          <w:lang w:val="es-AR"/>
        </w:rPr>
      </w:pPr>
      <w:r w:rsidRPr="002570D1">
        <w:rPr>
          <w:rStyle w:val="FootnoteReference"/>
          <w:color w:val="000000"/>
          <w:sz w:val="16"/>
          <w:szCs w:val="16"/>
        </w:rPr>
        <w:footnoteRef/>
      </w:r>
      <w:r w:rsidRPr="002570D1">
        <w:rPr>
          <w:sz w:val="16"/>
          <w:szCs w:val="16"/>
          <w:lang w:val="es-AR"/>
        </w:rPr>
        <w:t xml:space="preserve"> </w:t>
      </w:r>
      <w:r>
        <w:rPr>
          <w:sz w:val="16"/>
          <w:szCs w:val="16"/>
          <w:lang w:val="es-AR"/>
        </w:rPr>
        <w:t xml:space="preserve"> </w:t>
      </w:r>
      <w:r>
        <w:rPr>
          <w:sz w:val="16"/>
          <w:szCs w:val="16"/>
          <w:lang w:val="es-AR"/>
        </w:rPr>
        <w:tab/>
        <w:t>ONU. Asamblea General</w:t>
      </w:r>
      <w:r w:rsidRPr="00B1523A">
        <w:rPr>
          <w:i/>
          <w:sz w:val="16"/>
          <w:szCs w:val="16"/>
          <w:lang w:val="es-AR"/>
        </w:rPr>
        <w:t>, Declaración Política y Plan de Acción Internacional de Madrid sobre el Envejecimiento</w:t>
      </w:r>
      <w:r>
        <w:rPr>
          <w:sz w:val="16"/>
          <w:szCs w:val="16"/>
          <w:lang w:val="es-AR"/>
        </w:rPr>
        <w:t xml:space="preserve">.  </w:t>
      </w:r>
      <w:r w:rsidRPr="002570D1">
        <w:rPr>
          <w:sz w:val="16"/>
          <w:szCs w:val="16"/>
          <w:lang w:val="es-AR"/>
        </w:rPr>
        <w:t>Informe de la Segunda Asamblea Mundial sobre el Envejecimiento</w:t>
      </w:r>
      <w:r>
        <w:rPr>
          <w:sz w:val="16"/>
          <w:szCs w:val="16"/>
          <w:lang w:val="es-AR"/>
        </w:rPr>
        <w:t xml:space="preserve">, A/CONF.197/9, </w:t>
      </w:r>
      <w:r w:rsidRPr="002570D1">
        <w:rPr>
          <w:sz w:val="16"/>
          <w:szCs w:val="16"/>
          <w:lang w:val="es-AR"/>
        </w:rPr>
        <w:t>12 de abril de 2002.</w:t>
      </w:r>
    </w:p>
  </w:footnote>
  <w:footnote w:id="201">
    <w:p w14:paraId="673CFF6D" w14:textId="763F9E9F" w:rsidR="003C025E" w:rsidRPr="002570D1" w:rsidRDefault="003C025E" w:rsidP="00911089">
      <w:pPr>
        <w:pStyle w:val="FootnoteText"/>
        <w:rPr>
          <w:sz w:val="16"/>
          <w:szCs w:val="16"/>
          <w:lang w:val="es-AR"/>
        </w:rPr>
      </w:pPr>
      <w:r w:rsidRPr="002570D1">
        <w:rPr>
          <w:rStyle w:val="FootnoteReference"/>
          <w:color w:val="000000"/>
          <w:sz w:val="16"/>
          <w:szCs w:val="16"/>
        </w:rPr>
        <w:footnoteRef/>
      </w:r>
      <w:r>
        <w:rPr>
          <w:sz w:val="16"/>
          <w:szCs w:val="16"/>
          <w:lang w:val="es-AR"/>
        </w:rPr>
        <w:t xml:space="preserve">  </w:t>
      </w:r>
      <w:r w:rsidRPr="002570D1">
        <w:rPr>
          <w:sz w:val="16"/>
          <w:szCs w:val="16"/>
          <w:lang w:val="es-AR"/>
        </w:rPr>
        <w:t xml:space="preserve"> </w:t>
      </w:r>
      <w:r>
        <w:rPr>
          <w:sz w:val="16"/>
          <w:szCs w:val="16"/>
          <w:lang w:val="es-AR"/>
        </w:rPr>
        <w:t xml:space="preserve"> </w:t>
      </w:r>
      <w:r>
        <w:rPr>
          <w:sz w:val="16"/>
          <w:szCs w:val="16"/>
          <w:lang w:val="es-AR"/>
        </w:rPr>
        <w:tab/>
        <w:t xml:space="preserve">ONU. CEPAL, </w:t>
      </w:r>
      <w:r w:rsidRPr="00B1523A">
        <w:rPr>
          <w:i/>
          <w:sz w:val="16"/>
          <w:szCs w:val="16"/>
          <w:lang w:val="es-AR"/>
        </w:rPr>
        <w:t>E</w:t>
      </w:r>
      <w:proofErr w:type="spellStart"/>
      <w:r w:rsidRPr="00B1523A">
        <w:rPr>
          <w:i/>
          <w:sz w:val="16"/>
          <w:szCs w:val="16"/>
          <w:lang w:val="es-CR"/>
        </w:rPr>
        <w:t>strategia</w:t>
      </w:r>
      <w:proofErr w:type="spellEnd"/>
      <w:r w:rsidRPr="00B1523A">
        <w:rPr>
          <w:i/>
          <w:sz w:val="16"/>
          <w:szCs w:val="16"/>
          <w:lang w:val="es-CR"/>
        </w:rPr>
        <w:t xml:space="preserve"> </w:t>
      </w:r>
      <w:r>
        <w:rPr>
          <w:i/>
          <w:sz w:val="16"/>
          <w:szCs w:val="16"/>
          <w:lang w:val="es-CR"/>
        </w:rPr>
        <w:t>R</w:t>
      </w:r>
      <w:r w:rsidRPr="00B1523A">
        <w:rPr>
          <w:i/>
          <w:sz w:val="16"/>
          <w:szCs w:val="16"/>
          <w:lang w:val="es-CR"/>
        </w:rPr>
        <w:t>egional de Implementación para América Latina y el Caribe del Plan de Acción Internacional de Madrid sobre el Envejecimiento</w:t>
      </w:r>
      <w:r>
        <w:rPr>
          <w:sz w:val="16"/>
          <w:szCs w:val="16"/>
          <w:lang w:val="es-CR"/>
        </w:rPr>
        <w:t xml:space="preserve">, LC/G.2228. Adoptada en la </w:t>
      </w:r>
      <w:r w:rsidRPr="009713B7">
        <w:rPr>
          <w:sz w:val="16"/>
          <w:szCs w:val="16"/>
          <w:lang w:val="es-CR"/>
        </w:rPr>
        <w:t xml:space="preserve">Conferencia </w:t>
      </w:r>
      <w:r>
        <w:rPr>
          <w:sz w:val="16"/>
          <w:szCs w:val="16"/>
          <w:lang w:val="es-CR"/>
        </w:rPr>
        <w:t>R</w:t>
      </w:r>
      <w:r w:rsidRPr="009713B7">
        <w:rPr>
          <w:sz w:val="16"/>
          <w:szCs w:val="16"/>
          <w:lang w:val="es-CR"/>
        </w:rPr>
        <w:t xml:space="preserve">egional </w:t>
      </w:r>
      <w:r>
        <w:rPr>
          <w:sz w:val="16"/>
          <w:szCs w:val="16"/>
          <w:lang w:val="es-CR"/>
        </w:rPr>
        <w:t>I</w:t>
      </w:r>
      <w:r w:rsidRPr="009713B7">
        <w:rPr>
          <w:sz w:val="16"/>
          <w:szCs w:val="16"/>
          <w:lang w:val="es-CR"/>
        </w:rPr>
        <w:t xml:space="preserve">ntergubernamental </w:t>
      </w:r>
      <w:r>
        <w:rPr>
          <w:sz w:val="16"/>
          <w:szCs w:val="16"/>
          <w:lang w:val="es-CR"/>
        </w:rPr>
        <w:t>s</w:t>
      </w:r>
      <w:r w:rsidRPr="009713B7">
        <w:rPr>
          <w:sz w:val="16"/>
          <w:szCs w:val="16"/>
          <w:lang w:val="es-CR"/>
        </w:rPr>
        <w:t xml:space="preserve">obre </w:t>
      </w:r>
      <w:r>
        <w:rPr>
          <w:sz w:val="16"/>
          <w:szCs w:val="16"/>
          <w:lang w:val="es-CR"/>
        </w:rPr>
        <w:t>E</w:t>
      </w:r>
      <w:r w:rsidRPr="009713B7">
        <w:rPr>
          <w:sz w:val="16"/>
          <w:szCs w:val="16"/>
          <w:lang w:val="es-CR"/>
        </w:rPr>
        <w:t>nvejecimiento</w:t>
      </w:r>
      <w:r>
        <w:rPr>
          <w:sz w:val="16"/>
          <w:szCs w:val="16"/>
          <w:lang w:val="es-CR"/>
        </w:rPr>
        <w:t xml:space="preserve"> el </w:t>
      </w:r>
      <w:r w:rsidRPr="009713B7">
        <w:rPr>
          <w:sz w:val="16"/>
          <w:szCs w:val="16"/>
          <w:lang w:val="es-CR"/>
        </w:rPr>
        <w:t>21 de noviembre de 2003</w:t>
      </w:r>
      <w:r>
        <w:rPr>
          <w:sz w:val="16"/>
          <w:szCs w:val="16"/>
          <w:lang w:val="es-CR"/>
        </w:rPr>
        <w:t>.</w:t>
      </w:r>
      <w:r w:rsidRPr="009713B7" w:rsidDel="009713B7">
        <w:rPr>
          <w:sz w:val="16"/>
          <w:szCs w:val="16"/>
          <w:lang w:val="es-AR"/>
        </w:rPr>
        <w:t xml:space="preserve"> </w:t>
      </w:r>
    </w:p>
  </w:footnote>
  <w:footnote w:id="202">
    <w:p w14:paraId="2A1FE65F" w14:textId="02CBE4C7" w:rsidR="003C025E" w:rsidRPr="002570D1" w:rsidRDefault="003C025E" w:rsidP="00911089">
      <w:pPr>
        <w:pStyle w:val="FootnoteText"/>
        <w:rPr>
          <w:sz w:val="16"/>
          <w:szCs w:val="16"/>
          <w:lang w:val="es-AR"/>
        </w:rPr>
      </w:pPr>
      <w:r w:rsidRPr="002570D1">
        <w:rPr>
          <w:rStyle w:val="FootnoteReference"/>
          <w:color w:val="000000"/>
          <w:sz w:val="16"/>
          <w:szCs w:val="16"/>
        </w:rPr>
        <w:footnoteRef/>
      </w:r>
      <w:r w:rsidRPr="002570D1">
        <w:rPr>
          <w:rStyle w:val="FootnoteReference"/>
          <w:color w:val="000000"/>
          <w:sz w:val="16"/>
          <w:szCs w:val="16"/>
          <w:lang w:val="es-AR"/>
        </w:rPr>
        <w:t xml:space="preserve"> </w:t>
      </w:r>
      <w:r>
        <w:rPr>
          <w:color w:val="000000"/>
          <w:sz w:val="16"/>
          <w:szCs w:val="16"/>
          <w:lang w:val="es-AR"/>
        </w:rPr>
        <w:t xml:space="preserve">   </w:t>
      </w:r>
      <w:r>
        <w:rPr>
          <w:color w:val="000000"/>
          <w:sz w:val="16"/>
          <w:szCs w:val="16"/>
          <w:lang w:val="es-AR"/>
        </w:rPr>
        <w:tab/>
        <w:t xml:space="preserve">ONU. CEPAL, </w:t>
      </w:r>
      <w:r w:rsidRPr="00B1523A">
        <w:rPr>
          <w:i/>
          <w:color w:val="000000"/>
          <w:sz w:val="16"/>
          <w:szCs w:val="16"/>
          <w:lang w:val="es-AR"/>
        </w:rPr>
        <w:t>Declaración de Brasilia</w:t>
      </w:r>
      <w:r>
        <w:rPr>
          <w:color w:val="000000"/>
          <w:sz w:val="16"/>
          <w:szCs w:val="16"/>
          <w:lang w:val="es-AR"/>
        </w:rPr>
        <w:t xml:space="preserve">. Adoptada en la </w:t>
      </w:r>
      <w:r w:rsidRPr="002570D1">
        <w:rPr>
          <w:sz w:val="16"/>
          <w:szCs w:val="16"/>
          <w:lang w:val="es-AR"/>
        </w:rPr>
        <w:t xml:space="preserve">Segunda Conferencia </w:t>
      </w:r>
      <w:r>
        <w:rPr>
          <w:sz w:val="16"/>
          <w:szCs w:val="16"/>
          <w:lang w:val="es-AR"/>
        </w:rPr>
        <w:t>R</w:t>
      </w:r>
      <w:r w:rsidRPr="002570D1">
        <w:rPr>
          <w:sz w:val="16"/>
          <w:szCs w:val="16"/>
          <w:lang w:val="es-AR"/>
        </w:rPr>
        <w:t xml:space="preserve">egional </w:t>
      </w:r>
      <w:r>
        <w:rPr>
          <w:sz w:val="16"/>
          <w:szCs w:val="16"/>
          <w:lang w:val="es-AR"/>
        </w:rPr>
        <w:t>I</w:t>
      </w:r>
      <w:r w:rsidRPr="002570D1">
        <w:rPr>
          <w:sz w:val="16"/>
          <w:szCs w:val="16"/>
          <w:lang w:val="es-AR"/>
        </w:rPr>
        <w:t xml:space="preserve">ntergubernamental sobre </w:t>
      </w:r>
      <w:r>
        <w:rPr>
          <w:sz w:val="16"/>
          <w:szCs w:val="16"/>
          <w:lang w:val="es-AR"/>
        </w:rPr>
        <w:t>E</w:t>
      </w:r>
      <w:r w:rsidRPr="002570D1">
        <w:rPr>
          <w:sz w:val="16"/>
          <w:szCs w:val="16"/>
          <w:lang w:val="es-AR"/>
        </w:rPr>
        <w:t xml:space="preserve">nvejecimiento en América Latina y el </w:t>
      </w:r>
      <w:proofErr w:type="spellStart"/>
      <w:r w:rsidRPr="002570D1">
        <w:rPr>
          <w:sz w:val="16"/>
          <w:szCs w:val="16"/>
          <w:lang w:val="es-AR"/>
        </w:rPr>
        <w:t>Caribe</w:t>
      </w:r>
      <w:proofErr w:type="gramStart"/>
      <w:r>
        <w:rPr>
          <w:sz w:val="16"/>
          <w:szCs w:val="16"/>
          <w:lang w:val="es-AR"/>
        </w:rPr>
        <w:t>,el</w:t>
      </w:r>
      <w:proofErr w:type="spellEnd"/>
      <w:proofErr w:type="gramEnd"/>
      <w:r>
        <w:rPr>
          <w:sz w:val="16"/>
          <w:szCs w:val="16"/>
          <w:lang w:val="es-AR"/>
        </w:rPr>
        <w:t xml:space="preserve"> </w:t>
      </w:r>
      <w:r w:rsidRPr="002570D1">
        <w:rPr>
          <w:sz w:val="16"/>
          <w:szCs w:val="16"/>
          <w:lang w:val="es-AR"/>
        </w:rPr>
        <w:t>6 de diciembre de 2007</w:t>
      </w:r>
      <w:r>
        <w:rPr>
          <w:sz w:val="16"/>
          <w:szCs w:val="16"/>
          <w:lang w:val="es-AR"/>
        </w:rPr>
        <w:t>, LC/G.2359/Rev.1</w:t>
      </w:r>
      <w:r w:rsidRPr="002570D1">
        <w:rPr>
          <w:sz w:val="16"/>
          <w:szCs w:val="16"/>
          <w:lang w:val="es-AR"/>
        </w:rPr>
        <w:t>.</w:t>
      </w:r>
      <w:r>
        <w:rPr>
          <w:sz w:val="16"/>
          <w:szCs w:val="16"/>
          <w:lang w:val="es-AR"/>
        </w:rPr>
        <w:t xml:space="preserve"> </w:t>
      </w:r>
    </w:p>
  </w:footnote>
  <w:footnote w:id="203">
    <w:p w14:paraId="24D581F6" w14:textId="0E51B353" w:rsidR="003C025E" w:rsidRPr="002570D1" w:rsidRDefault="003C025E" w:rsidP="00911089">
      <w:pPr>
        <w:pStyle w:val="FootnoteText"/>
        <w:rPr>
          <w:sz w:val="16"/>
          <w:szCs w:val="16"/>
          <w:lang w:val="es-AR"/>
        </w:rPr>
      </w:pPr>
      <w:r w:rsidRPr="002570D1">
        <w:rPr>
          <w:rStyle w:val="FootnoteReference"/>
          <w:color w:val="000000"/>
          <w:sz w:val="16"/>
          <w:szCs w:val="16"/>
        </w:rPr>
        <w:footnoteRef/>
      </w:r>
      <w:r w:rsidRPr="002570D1">
        <w:rPr>
          <w:sz w:val="16"/>
          <w:szCs w:val="16"/>
          <w:lang w:val="es-AR"/>
        </w:rPr>
        <w:t xml:space="preserve"> </w:t>
      </w:r>
      <w:r>
        <w:rPr>
          <w:sz w:val="16"/>
          <w:szCs w:val="16"/>
          <w:lang w:val="es-AR"/>
        </w:rPr>
        <w:t xml:space="preserve">   </w:t>
      </w:r>
      <w:r>
        <w:rPr>
          <w:sz w:val="16"/>
          <w:szCs w:val="16"/>
          <w:lang w:val="es-AR"/>
        </w:rPr>
        <w:tab/>
        <w:t xml:space="preserve">OMS. </w:t>
      </w:r>
      <w:r w:rsidRPr="002570D1">
        <w:rPr>
          <w:sz w:val="16"/>
          <w:szCs w:val="16"/>
          <w:lang w:val="es-AR"/>
        </w:rPr>
        <w:t>Organización Panamericana de la Salud</w:t>
      </w:r>
      <w:r>
        <w:rPr>
          <w:sz w:val="16"/>
          <w:szCs w:val="16"/>
          <w:lang w:val="es-AR"/>
        </w:rPr>
        <w:t>, Informe Final del 49º Consejo D</w:t>
      </w:r>
      <w:r w:rsidRPr="002570D1">
        <w:rPr>
          <w:sz w:val="16"/>
          <w:szCs w:val="16"/>
          <w:lang w:val="es-AR"/>
        </w:rPr>
        <w:t>irectivo</w:t>
      </w:r>
      <w:r>
        <w:rPr>
          <w:sz w:val="16"/>
          <w:szCs w:val="16"/>
          <w:lang w:val="es-AR"/>
        </w:rPr>
        <w:t xml:space="preserve"> en la </w:t>
      </w:r>
      <w:r w:rsidRPr="002570D1">
        <w:rPr>
          <w:sz w:val="16"/>
          <w:szCs w:val="16"/>
          <w:lang w:val="es-AR"/>
        </w:rPr>
        <w:t>61</w:t>
      </w:r>
      <w:r>
        <w:rPr>
          <w:sz w:val="16"/>
          <w:szCs w:val="16"/>
          <w:lang w:val="es-AR"/>
        </w:rPr>
        <w:t xml:space="preserve">ª </w:t>
      </w:r>
      <w:r w:rsidRPr="002570D1">
        <w:rPr>
          <w:sz w:val="16"/>
          <w:szCs w:val="16"/>
          <w:lang w:val="es-AR"/>
        </w:rPr>
        <w:t>Sesión del Comité Regional</w:t>
      </w:r>
      <w:r>
        <w:rPr>
          <w:sz w:val="16"/>
          <w:szCs w:val="16"/>
          <w:lang w:val="es-AR" w:eastAsia="es-CR"/>
        </w:rPr>
        <w:t xml:space="preserve">, </w:t>
      </w:r>
      <w:r w:rsidRPr="00F17CED">
        <w:rPr>
          <w:sz w:val="16"/>
          <w:szCs w:val="16"/>
          <w:lang w:val="es-AR"/>
        </w:rPr>
        <w:t xml:space="preserve">Res. CD49.R15, </w:t>
      </w:r>
      <w:r w:rsidRPr="002570D1">
        <w:rPr>
          <w:sz w:val="16"/>
          <w:szCs w:val="16"/>
          <w:lang w:val="es-AR"/>
        </w:rPr>
        <w:t xml:space="preserve"> 2 de octubre del 2009.</w:t>
      </w:r>
    </w:p>
  </w:footnote>
  <w:footnote w:id="204">
    <w:p w14:paraId="2DE77DBB" w14:textId="4C859FFC" w:rsidR="003C025E" w:rsidRPr="002570D1" w:rsidRDefault="003C025E" w:rsidP="00911089">
      <w:pPr>
        <w:pStyle w:val="FootnoteText"/>
        <w:rPr>
          <w:sz w:val="16"/>
          <w:szCs w:val="16"/>
          <w:lang w:val="es-AR"/>
        </w:rPr>
      </w:pPr>
      <w:r w:rsidRPr="002570D1">
        <w:rPr>
          <w:rStyle w:val="FootnoteReference"/>
          <w:color w:val="000000"/>
          <w:sz w:val="16"/>
          <w:szCs w:val="16"/>
        </w:rPr>
        <w:footnoteRef/>
      </w:r>
      <w:r w:rsidRPr="002570D1">
        <w:rPr>
          <w:rStyle w:val="FootnoteReference"/>
          <w:color w:val="000000"/>
          <w:sz w:val="16"/>
          <w:szCs w:val="16"/>
          <w:lang w:val="es-AR"/>
        </w:rPr>
        <w:t xml:space="preserve"> </w:t>
      </w:r>
      <w:r>
        <w:rPr>
          <w:color w:val="000000"/>
          <w:sz w:val="16"/>
          <w:szCs w:val="16"/>
          <w:lang w:val="es-AR"/>
        </w:rPr>
        <w:t xml:space="preserve">   </w:t>
      </w:r>
      <w:r>
        <w:rPr>
          <w:color w:val="000000"/>
          <w:sz w:val="16"/>
          <w:szCs w:val="16"/>
          <w:lang w:val="es-AR"/>
        </w:rPr>
        <w:tab/>
        <w:t xml:space="preserve">Adoptada en la </w:t>
      </w:r>
      <w:r w:rsidRPr="002570D1">
        <w:rPr>
          <w:sz w:val="16"/>
          <w:szCs w:val="16"/>
          <w:lang w:val="es-AR"/>
        </w:rPr>
        <w:t>Quinta Cumbre de las Américas</w:t>
      </w:r>
      <w:r>
        <w:rPr>
          <w:sz w:val="16"/>
          <w:szCs w:val="16"/>
          <w:lang w:val="es-AR"/>
        </w:rPr>
        <w:t xml:space="preserve"> celebrada en </w:t>
      </w:r>
      <w:r w:rsidRPr="002570D1">
        <w:rPr>
          <w:sz w:val="16"/>
          <w:szCs w:val="16"/>
          <w:lang w:val="es-AR"/>
        </w:rPr>
        <w:t>Puerto España, Trinidad y Tobago</w:t>
      </w:r>
      <w:r>
        <w:rPr>
          <w:sz w:val="16"/>
          <w:szCs w:val="16"/>
          <w:lang w:val="es-AR"/>
        </w:rPr>
        <w:t>, el</w:t>
      </w:r>
      <w:r w:rsidRPr="002570D1">
        <w:rPr>
          <w:sz w:val="16"/>
          <w:szCs w:val="16"/>
          <w:lang w:val="es-AR"/>
        </w:rPr>
        <w:t xml:space="preserve"> 19 de abril de 2009</w:t>
      </w:r>
      <w:r>
        <w:rPr>
          <w:sz w:val="16"/>
          <w:szCs w:val="16"/>
          <w:lang w:val="es-AR"/>
        </w:rPr>
        <w:t>, OEA/</w:t>
      </w:r>
      <w:proofErr w:type="spellStart"/>
      <w:r>
        <w:rPr>
          <w:sz w:val="16"/>
          <w:szCs w:val="16"/>
          <w:lang w:val="es-AR"/>
        </w:rPr>
        <w:t>Ser.E</w:t>
      </w:r>
      <w:proofErr w:type="spellEnd"/>
      <w:r>
        <w:rPr>
          <w:sz w:val="16"/>
          <w:szCs w:val="16"/>
          <w:lang w:val="es-AR"/>
        </w:rPr>
        <w:t xml:space="preserve"> CA-V/DEC.1/09</w:t>
      </w:r>
      <w:r w:rsidRPr="002570D1">
        <w:rPr>
          <w:sz w:val="16"/>
          <w:szCs w:val="16"/>
          <w:lang w:val="es-AR"/>
        </w:rPr>
        <w:t>.</w:t>
      </w:r>
    </w:p>
  </w:footnote>
  <w:footnote w:id="205">
    <w:p w14:paraId="24CF2DBA" w14:textId="5775BB9E" w:rsidR="003C025E" w:rsidRPr="002570D1" w:rsidRDefault="003C025E" w:rsidP="00911089">
      <w:pPr>
        <w:pStyle w:val="FootnoteText"/>
        <w:rPr>
          <w:sz w:val="16"/>
          <w:szCs w:val="16"/>
          <w:lang w:val="es-AR"/>
        </w:rPr>
      </w:pPr>
      <w:r w:rsidRPr="002570D1">
        <w:rPr>
          <w:rStyle w:val="FootnoteReference"/>
          <w:color w:val="000000"/>
          <w:sz w:val="16"/>
          <w:szCs w:val="16"/>
        </w:rPr>
        <w:footnoteRef/>
      </w:r>
      <w:r w:rsidRPr="002570D1">
        <w:rPr>
          <w:sz w:val="16"/>
          <w:szCs w:val="16"/>
          <w:lang w:val="es-AR"/>
        </w:rPr>
        <w:t xml:space="preserve"> </w:t>
      </w:r>
      <w:r>
        <w:rPr>
          <w:sz w:val="16"/>
          <w:szCs w:val="16"/>
          <w:lang w:val="es-AR"/>
        </w:rPr>
        <w:t xml:space="preserve">  </w:t>
      </w:r>
      <w:r>
        <w:rPr>
          <w:sz w:val="16"/>
          <w:szCs w:val="16"/>
          <w:lang w:val="es-AR"/>
        </w:rPr>
        <w:tab/>
        <w:t xml:space="preserve">ONU. CEPAL, </w:t>
      </w:r>
      <w:r w:rsidRPr="00B1523A">
        <w:rPr>
          <w:i/>
          <w:sz w:val="16"/>
          <w:szCs w:val="16"/>
          <w:lang w:val="es-MX"/>
        </w:rPr>
        <w:t>Carta de San José sobre los Derechos de las Personas Mayores de América Latina y el Caribe</w:t>
      </w:r>
      <w:r>
        <w:rPr>
          <w:i/>
          <w:sz w:val="16"/>
          <w:szCs w:val="16"/>
          <w:lang w:val="es-MX"/>
        </w:rPr>
        <w:t xml:space="preserve">. </w:t>
      </w:r>
      <w:r w:rsidRPr="002570D1">
        <w:rPr>
          <w:sz w:val="16"/>
          <w:szCs w:val="16"/>
          <w:lang w:val="es-AR"/>
        </w:rPr>
        <w:t xml:space="preserve">Adoptada en la </w:t>
      </w:r>
      <w:r>
        <w:rPr>
          <w:sz w:val="16"/>
          <w:szCs w:val="16"/>
          <w:lang w:val="es-AR"/>
        </w:rPr>
        <w:t>T</w:t>
      </w:r>
      <w:r w:rsidRPr="002570D1">
        <w:rPr>
          <w:sz w:val="16"/>
          <w:szCs w:val="16"/>
          <w:lang w:val="es-AR"/>
        </w:rPr>
        <w:t xml:space="preserve">ercera Conferencia </w:t>
      </w:r>
      <w:r>
        <w:rPr>
          <w:sz w:val="16"/>
          <w:szCs w:val="16"/>
          <w:lang w:val="es-AR"/>
        </w:rPr>
        <w:t>R</w:t>
      </w:r>
      <w:r w:rsidRPr="002570D1">
        <w:rPr>
          <w:sz w:val="16"/>
          <w:szCs w:val="16"/>
          <w:lang w:val="es-AR"/>
        </w:rPr>
        <w:t xml:space="preserve">egional </w:t>
      </w:r>
      <w:r>
        <w:rPr>
          <w:sz w:val="16"/>
          <w:szCs w:val="16"/>
          <w:lang w:val="es-AR"/>
        </w:rPr>
        <w:t>I</w:t>
      </w:r>
      <w:r w:rsidRPr="002570D1">
        <w:rPr>
          <w:sz w:val="16"/>
          <w:szCs w:val="16"/>
          <w:lang w:val="es-AR"/>
        </w:rPr>
        <w:t xml:space="preserve">ntergubernamental sobre </w:t>
      </w:r>
      <w:r>
        <w:rPr>
          <w:sz w:val="16"/>
          <w:szCs w:val="16"/>
          <w:lang w:val="es-AR"/>
        </w:rPr>
        <w:t>E</w:t>
      </w:r>
      <w:r w:rsidRPr="002570D1">
        <w:rPr>
          <w:sz w:val="16"/>
          <w:szCs w:val="16"/>
          <w:lang w:val="es-AR"/>
        </w:rPr>
        <w:t>nvejecimiento en América Latina y el Caribe</w:t>
      </w:r>
      <w:r w:rsidRPr="004A1FCA">
        <w:rPr>
          <w:sz w:val="16"/>
          <w:szCs w:val="16"/>
          <w:lang w:val="es-AR"/>
        </w:rPr>
        <w:t xml:space="preserve"> </w:t>
      </w:r>
      <w:r>
        <w:rPr>
          <w:sz w:val="16"/>
          <w:szCs w:val="16"/>
          <w:lang w:val="es-AR"/>
        </w:rPr>
        <w:t xml:space="preserve">el </w:t>
      </w:r>
      <w:r w:rsidRPr="002570D1">
        <w:rPr>
          <w:sz w:val="16"/>
          <w:szCs w:val="16"/>
          <w:lang w:val="es-AR"/>
        </w:rPr>
        <w:t>11 de mayo de 2012</w:t>
      </w:r>
      <w:r>
        <w:rPr>
          <w:sz w:val="16"/>
          <w:szCs w:val="16"/>
          <w:lang w:val="es-AR"/>
        </w:rPr>
        <w:t>, LC/G.2537</w:t>
      </w:r>
      <w:r w:rsidRPr="002570D1">
        <w:rPr>
          <w:sz w:val="16"/>
          <w:szCs w:val="16"/>
          <w:lang w:val="es-AR"/>
        </w:rPr>
        <w:t>.</w:t>
      </w:r>
    </w:p>
  </w:footnote>
  <w:footnote w:id="206">
    <w:p w14:paraId="3B19F44A" w14:textId="6975E3AE" w:rsidR="003C025E" w:rsidRPr="008F39F3" w:rsidRDefault="003C025E" w:rsidP="00911089">
      <w:pPr>
        <w:pStyle w:val="FootnoteText"/>
        <w:rPr>
          <w:lang w:val="es-AR"/>
        </w:rPr>
      </w:pPr>
      <w:r w:rsidRPr="00C64243">
        <w:rPr>
          <w:rStyle w:val="FootnoteReference"/>
          <w:color w:val="000000"/>
          <w:sz w:val="16"/>
          <w:szCs w:val="16"/>
        </w:rPr>
        <w:footnoteRef/>
      </w:r>
      <w:r>
        <w:rPr>
          <w:lang w:val="es-AR"/>
        </w:rPr>
        <w:t xml:space="preserve"> </w:t>
      </w:r>
      <w:r>
        <w:rPr>
          <w:lang w:val="es-AR"/>
        </w:rPr>
        <w:tab/>
      </w:r>
      <w:r w:rsidRPr="00C64243">
        <w:rPr>
          <w:sz w:val="16"/>
          <w:szCs w:val="16"/>
          <w:lang w:val="es-AR"/>
        </w:rPr>
        <w:t>Algunos de ellos son el derecho a la salud</w:t>
      </w:r>
      <w:r>
        <w:rPr>
          <w:sz w:val="16"/>
          <w:szCs w:val="16"/>
          <w:lang w:val="es-AR"/>
        </w:rPr>
        <w:t>,</w:t>
      </w:r>
      <w:r w:rsidRPr="00C64243">
        <w:rPr>
          <w:sz w:val="16"/>
          <w:szCs w:val="16"/>
          <w:lang w:val="es-AR"/>
        </w:rPr>
        <w:t xml:space="preserve"> a la vida</w:t>
      </w:r>
      <w:r>
        <w:rPr>
          <w:sz w:val="16"/>
          <w:szCs w:val="16"/>
          <w:lang w:val="es-AR"/>
        </w:rPr>
        <w:t>,</w:t>
      </w:r>
      <w:r w:rsidRPr="00C64243">
        <w:rPr>
          <w:sz w:val="16"/>
          <w:szCs w:val="16"/>
          <w:lang w:val="es-AR"/>
        </w:rPr>
        <w:t xml:space="preserve"> a la no discriminación basada en </w:t>
      </w:r>
      <w:r>
        <w:rPr>
          <w:sz w:val="16"/>
          <w:szCs w:val="16"/>
          <w:lang w:val="es-AR"/>
        </w:rPr>
        <w:t xml:space="preserve">la </w:t>
      </w:r>
      <w:r w:rsidRPr="00C64243">
        <w:rPr>
          <w:sz w:val="16"/>
          <w:szCs w:val="16"/>
          <w:lang w:val="es-AR"/>
        </w:rPr>
        <w:t>edad</w:t>
      </w:r>
      <w:r>
        <w:rPr>
          <w:sz w:val="16"/>
          <w:szCs w:val="16"/>
          <w:lang w:val="es-AR"/>
        </w:rPr>
        <w:t>,</w:t>
      </w:r>
      <w:r w:rsidRPr="00C64243">
        <w:rPr>
          <w:sz w:val="16"/>
          <w:szCs w:val="16"/>
          <w:lang w:val="es-AR"/>
        </w:rPr>
        <w:t xml:space="preserve"> a un trato digno</w:t>
      </w:r>
      <w:r>
        <w:rPr>
          <w:sz w:val="16"/>
          <w:szCs w:val="16"/>
          <w:lang w:val="es-AR"/>
        </w:rPr>
        <w:t>,</w:t>
      </w:r>
      <w:r w:rsidRPr="00C64243">
        <w:rPr>
          <w:sz w:val="16"/>
          <w:szCs w:val="16"/>
          <w:lang w:val="es-AR"/>
        </w:rPr>
        <w:t xml:space="preserve"> la prohibición de tratos crueles o degradantes</w:t>
      </w:r>
      <w:r>
        <w:rPr>
          <w:sz w:val="16"/>
          <w:szCs w:val="16"/>
          <w:lang w:val="es-AR"/>
        </w:rPr>
        <w:t>,</w:t>
      </w:r>
      <w:r w:rsidRPr="00C64243">
        <w:rPr>
          <w:sz w:val="16"/>
          <w:szCs w:val="16"/>
          <w:lang w:val="es-AR"/>
        </w:rPr>
        <w:t xml:space="preserve"> y el derecho de acceso a la información personal.</w:t>
      </w:r>
    </w:p>
  </w:footnote>
  <w:footnote w:id="207">
    <w:p w14:paraId="6DBD8BCE" w14:textId="5BA1D9F8" w:rsidR="003C025E" w:rsidRPr="0059117C" w:rsidRDefault="003C025E" w:rsidP="00911089">
      <w:pPr>
        <w:pStyle w:val="FootnoteText"/>
        <w:rPr>
          <w:sz w:val="16"/>
          <w:szCs w:val="16"/>
          <w:highlight w:val="yellow"/>
          <w:lang w:val="es-AR"/>
        </w:rPr>
      </w:pPr>
      <w:r w:rsidRPr="00C64243">
        <w:rPr>
          <w:rStyle w:val="FootnoteReference"/>
          <w:color w:val="000000"/>
          <w:sz w:val="16"/>
          <w:szCs w:val="16"/>
        </w:rPr>
        <w:footnoteRef/>
      </w:r>
      <w:r w:rsidRPr="006E2093">
        <w:rPr>
          <w:lang w:val="es-AR"/>
        </w:rPr>
        <w:t xml:space="preserve"> </w:t>
      </w:r>
      <w:r>
        <w:rPr>
          <w:lang w:val="es-AR"/>
        </w:rPr>
        <w:t xml:space="preserve"> </w:t>
      </w:r>
      <w:r>
        <w:rPr>
          <w:lang w:val="es-AR"/>
        </w:rPr>
        <w:tab/>
      </w:r>
      <w:r w:rsidRPr="00C64243">
        <w:rPr>
          <w:sz w:val="16"/>
          <w:szCs w:val="16"/>
          <w:lang w:val="es-AR"/>
        </w:rPr>
        <w:t>La comunidad internacional comenzó a subrayar la situación de las personas de edad en el Plan de Acción Internacional de Viena sobre el Envejecimiento y las siguientes declaraciones siguieron fomentando la concienciación internacional sobre las necesidades esenciales para el bi</w:t>
      </w:r>
      <w:r w:rsidRPr="000951AE">
        <w:rPr>
          <w:sz w:val="16"/>
          <w:szCs w:val="16"/>
          <w:lang w:val="es-AR"/>
        </w:rPr>
        <w:t xml:space="preserve">enestar de las personas de edad, entre las medidas </w:t>
      </w:r>
      <w:r w:rsidRPr="00B1523A">
        <w:rPr>
          <w:sz w:val="16"/>
          <w:szCs w:val="16"/>
          <w:lang w:val="es-AR"/>
        </w:rPr>
        <w:t xml:space="preserve">diferenciadas </w:t>
      </w:r>
      <w:r w:rsidRPr="005039E4">
        <w:rPr>
          <w:sz w:val="16"/>
          <w:szCs w:val="16"/>
          <w:lang w:val="es-AR"/>
        </w:rPr>
        <w:t>que se adoptaron se destacan tanto en el Sistema Universal como en el Sistema Regional. Respecto al Sistema Universal, se mencionan medidas</w:t>
      </w:r>
      <w:r w:rsidRPr="00B1523A">
        <w:rPr>
          <w:sz w:val="16"/>
          <w:szCs w:val="16"/>
          <w:lang w:val="es-AR"/>
        </w:rPr>
        <w:t xml:space="preserve"> particulares</w:t>
      </w:r>
      <w:r>
        <w:rPr>
          <w:sz w:val="16"/>
          <w:szCs w:val="16"/>
          <w:lang w:val="es-AR"/>
        </w:rPr>
        <w:t>,</w:t>
      </w:r>
      <w:r w:rsidRPr="005039E4">
        <w:rPr>
          <w:sz w:val="16"/>
          <w:szCs w:val="16"/>
          <w:lang w:val="es-AR"/>
        </w:rPr>
        <w:t xml:space="preserve"> </w:t>
      </w:r>
      <w:r>
        <w:rPr>
          <w:sz w:val="16"/>
          <w:szCs w:val="16"/>
          <w:lang w:val="es-AR"/>
        </w:rPr>
        <w:t xml:space="preserve">como </w:t>
      </w:r>
      <w:r w:rsidRPr="00AC3AB3">
        <w:rPr>
          <w:sz w:val="16"/>
          <w:szCs w:val="16"/>
          <w:lang w:val="es-AR"/>
        </w:rPr>
        <w:t>promover y proteger los derechos humanos y eliminar la discriminación, el abandono, el abuso y la violencia contra las personas mayores</w:t>
      </w:r>
      <w:r>
        <w:rPr>
          <w:sz w:val="16"/>
          <w:szCs w:val="16"/>
          <w:lang w:val="es-AR"/>
        </w:rPr>
        <w:t>;</w:t>
      </w:r>
      <w:r w:rsidRPr="00AC3AB3">
        <w:rPr>
          <w:rFonts w:asciiTheme="minorHAnsi" w:eastAsiaTheme="minorHAnsi" w:hAnsiTheme="minorHAnsi" w:cstheme="minorBidi"/>
          <w:sz w:val="22"/>
          <w:szCs w:val="22"/>
          <w:lang w:val="es-AR" w:eastAsia="en-US"/>
        </w:rPr>
        <w:t xml:space="preserve"> </w:t>
      </w:r>
      <w:r w:rsidRPr="00AC3AB3">
        <w:rPr>
          <w:sz w:val="16"/>
          <w:szCs w:val="16"/>
          <w:lang w:val="es-AR"/>
        </w:rPr>
        <w:t>actividades de promoción de la salud y el acceso universal de las personas de edad a los servicios d</w:t>
      </w:r>
      <w:r>
        <w:rPr>
          <w:sz w:val="16"/>
          <w:szCs w:val="16"/>
          <w:lang w:val="es-AR"/>
        </w:rPr>
        <w:t>e salud durante toda la vida como</w:t>
      </w:r>
      <w:r w:rsidRPr="00AC3AB3">
        <w:rPr>
          <w:sz w:val="16"/>
          <w:szCs w:val="16"/>
          <w:lang w:val="es-AR"/>
        </w:rPr>
        <w:t xml:space="preserve"> pilar del envejecimiento con salud</w:t>
      </w:r>
      <w:r>
        <w:rPr>
          <w:sz w:val="16"/>
          <w:szCs w:val="16"/>
          <w:lang w:val="es-AR"/>
        </w:rPr>
        <w:t xml:space="preserve">. Respecto al Sistema Regional, se mencionan medidas </w:t>
      </w:r>
      <w:r w:rsidRPr="00B1523A">
        <w:rPr>
          <w:sz w:val="16"/>
          <w:szCs w:val="16"/>
          <w:lang w:val="es-AR"/>
        </w:rPr>
        <w:t>tales como</w:t>
      </w:r>
      <w:r>
        <w:rPr>
          <w:sz w:val="16"/>
          <w:szCs w:val="16"/>
          <w:lang w:val="es-AR"/>
        </w:rPr>
        <w:t>, p</w:t>
      </w:r>
      <w:r w:rsidRPr="004F523B">
        <w:rPr>
          <w:sz w:val="16"/>
          <w:szCs w:val="16"/>
          <w:lang w:val="es-AR"/>
        </w:rPr>
        <w:t>romoción de una cobertura universal de las personas mayores a los servicios de salud, incorporando el envejecimiento como componente esencial de las legislaciones y políticas nacionales de salud</w:t>
      </w:r>
      <w:r>
        <w:rPr>
          <w:sz w:val="16"/>
          <w:szCs w:val="16"/>
          <w:lang w:val="es-AR"/>
        </w:rPr>
        <w:t xml:space="preserve">; </w:t>
      </w:r>
      <w:r w:rsidRPr="004F523B">
        <w:rPr>
          <w:sz w:val="16"/>
          <w:szCs w:val="16"/>
          <w:lang w:val="es-AR"/>
        </w:rPr>
        <w:t>impulsar el acceso equitativo a los servicios de salud integral, oportuna y de calidad, de acuerdo con las políticas públicas de cada país, y fomentar el acceso a los medicamentos básicos de uso continuado para las personas de edad</w:t>
      </w:r>
      <w:r>
        <w:rPr>
          <w:sz w:val="16"/>
          <w:szCs w:val="16"/>
          <w:lang w:val="es-AR"/>
        </w:rPr>
        <w:t>; f</w:t>
      </w:r>
      <w:r w:rsidRPr="004F523B">
        <w:rPr>
          <w:sz w:val="16"/>
          <w:szCs w:val="16"/>
          <w:lang w:val="es-AR"/>
        </w:rPr>
        <w:t>ortalecimiento de la prevención y el manejo de enfermedades crónicas y otros problemas de salud de las personas mayores.</w:t>
      </w:r>
    </w:p>
  </w:footnote>
  <w:footnote w:id="208">
    <w:p w14:paraId="1BA93E45" w14:textId="42B690B9" w:rsidR="003C025E" w:rsidRPr="00CF5CAF" w:rsidRDefault="003C025E" w:rsidP="0027467C">
      <w:pPr>
        <w:pStyle w:val="FootnoteText"/>
        <w:rPr>
          <w:lang w:val="es-AR"/>
        </w:rPr>
      </w:pPr>
      <w:r w:rsidRPr="00A33492">
        <w:rPr>
          <w:rStyle w:val="FootnoteReference"/>
          <w:color w:val="000000"/>
          <w:sz w:val="16"/>
          <w:szCs w:val="16"/>
        </w:rPr>
        <w:footnoteRef/>
      </w:r>
      <w:r w:rsidRPr="00CF5CAF">
        <w:rPr>
          <w:lang w:val="es-AR"/>
        </w:rPr>
        <w:t xml:space="preserve">   </w:t>
      </w:r>
      <w:r>
        <w:rPr>
          <w:lang w:val="es-AR"/>
        </w:rPr>
        <w:tab/>
      </w:r>
      <w:r w:rsidRPr="00B1523A">
        <w:rPr>
          <w:i/>
          <w:sz w:val="16"/>
          <w:szCs w:val="16"/>
          <w:lang w:val="es-AR"/>
        </w:rPr>
        <w:t xml:space="preserve">Cfr. </w:t>
      </w:r>
      <w:r w:rsidRPr="003D2C15">
        <w:rPr>
          <w:sz w:val="16"/>
          <w:szCs w:val="16"/>
          <w:lang w:val="es-AR"/>
        </w:rPr>
        <w:t xml:space="preserve">OEA. </w:t>
      </w:r>
      <w:r w:rsidRPr="003D2C15">
        <w:rPr>
          <w:i/>
          <w:sz w:val="16"/>
          <w:szCs w:val="16"/>
          <w:lang w:val="es-MX"/>
        </w:rPr>
        <w:t>Convención Interamericana sobre la Protección de los Derechos Humanos de las Personas Mayores</w:t>
      </w:r>
      <w:r w:rsidRPr="003D2C15">
        <w:rPr>
          <w:i/>
          <w:sz w:val="16"/>
          <w:szCs w:val="16"/>
          <w:lang w:val="es-AR"/>
        </w:rPr>
        <w:t>,</w:t>
      </w:r>
      <w:r w:rsidRPr="003D2C15">
        <w:rPr>
          <w:sz w:val="16"/>
          <w:szCs w:val="16"/>
          <w:lang w:val="es-AR"/>
        </w:rPr>
        <w:t xml:space="preserve"> </w:t>
      </w:r>
      <w:r w:rsidRPr="003D2C15">
        <w:rPr>
          <w:i/>
          <w:sz w:val="16"/>
          <w:szCs w:val="16"/>
          <w:lang w:val="es-AR"/>
        </w:rPr>
        <w:t>supra</w:t>
      </w:r>
      <w:r w:rsidRPr="003D2C15">
        <w:rPr>
          <w:sz w:val="16"/>
          <w:szCs w:val="16"/>
          <w:lang w:val="es-AR"/>
        </w:rPr>
        <w:t>. Ratificada por Chile el 7 de noviembre de 2017</w:t>
      </w:r>
      <w:r>
        <w:rPr>
          <w:sz w:val="16"/>
          <w:szCs w:val="16"/>
          <w:lang w:val="es-AR"/>
        </w:rPr>
        <w:t>.</w:t>
      </w:r>
    </w:p>
  </w:footnote>
  <w:footnote w:id="209">
    <w:p w14:paraId="46C6AE37" w14:textId="1882DFCB" w:rsidR="003C025E" w:rsidRPr="00461B4F" w:rsidRDefault="003C025E" w:rsidP="00911089">
      <w:pPr>
        <w:pStyle w:val="FootnoteText"/>
        <w:rPr>
          <w:lang w:val="es-AR"/>
        </w:rPr>
      </w:pPr>
      <w:r w:rsidRPr="00C64243">
        <w:rPr>
          <w:rStyle w:val="FootnoteReference"/>
          <w:color w:val="000000"/>
          <w:sz w:val="16"/>
          <w:szCs w:val="16"/>
        </w:rPr>
        <w:footnoteRef/>
      </w:r>
      <w:r w:rsidRPr="000951AE">
        <w:rPr>
          <w:lang w:val="es-AR"/>
        </w:rPr>
        <w:t xml:space="preserve">  </w:t>
      </w:r>
      <w:r>
        <w:rPr>
          <w:lang w:val="es-AR"/>
        </w:rPr>
        <w:tab/>
      </w:r>
      <w:r w:rsidRPr="00C64243">
        <w:rPr>
          <w:sz w:val="16"/>
          <w:szCs w:val="16"/>
          <w:lang w:val="es-AR"/>
        </w:rPr>
        <w:t xml:space="preserve">Se destaca la Convención Interamericana sobre </w:t>
      </w:r>
      <w:r>
        <w:rPr>
          <w:sz w:val="16"/>
          <w:szCs w:val="16"/>
          <w:lang w:val="es-AR"/>
        </w:rPr>
        <w:t xml:space="preserve">la </w:t>
      </w:r>
      <w:r w:rsidRPr="00C64243">
        <w:rPr>
          <w:sz w:val="16"/>
          <w:szCs w:val="16"/>
          <w:lang w:val="es-AR"/>
        </w:rPr>
        <w:t>Protección de los Derechos Humanos de las Personas Mayores</w:t>
      </w:r>
      <w:r>
        <w:rPr>
          <w:sz w:val="16"/>
          <w:szCs w:val="16"/>
          <w:lang w:val="es-AR"/>
        </w:rPr>
        <w:t>, que</w:t>
      </w:r>
      <w:r w:rsidRPr="00F02E77">
        <w:rPr>
          <w:rFonts w:asciiTheme="minorHAnsi" w:eastAsiaTheme="minorHAnsi" w:hAnsiTheme="minorHAnsi" w:cstheme="minorBidi"/>
          <w:sz w:val="22"/>
          <w:szCs w:val="22"/>
          <w:lang w:val="es-AR" w:eastAsia="en-US"/>
        </w:rPr>
        <w:t xml:space="preserve"> </w:t>
      </w:r>
      <w:r w:rsidRPr="00F02E77">
        <w:rPr>
          <w:sz w:val="16"/>
          <w:szCs w:val="16"/>
          <w:lang w:val="es-AR"/>
        </w:rPr>
        <w:t>estandariza garantías muy relevantes que ningún otro instrumento internacional vinculante había considerado anteriormente de manera explícita en el caso de las personas mayores, como la conjunción entre el derecho a la vida y la dignidad en la vejez, o el derecho a la independencia y la autonomía.</w:t>
      </w:r>
      <w:r>
        <w:rPr>
          <w:sz w:val="16"/>
          <w:szCs w:val="16"/>
          <w:lang w:val="es-AR"/>
        </w:rPr>
        <w:t xml:space="preserve">  </w:t>
      </w:r>
    </w:p>
  </w:footnote>
  <w:footnote w:id="210">
    <w:p w14:paraId="4F1642F4" w14:textId="19F441A3" w:rsidR="003C025E" w:rsidRPr="00F46A97" w:rsidRDefault="003C025E" w:rsidP="00911089">
      <w:pPr>
        <w:pStyle w:val="FootnoteText"/>
        <w:rPr>
          <w:lang w:val="es-AR"/>
        </w:rPr>
      </w:pPr>
      <w:r w:rsidRPr="001E10A6">
        <w:rPr>
          <w:rStyle w:val="FootnoteReference"/>
          <w:color w:val="000000"/>
          <w:sz w:val="16"/>
          <w:szCs w:val="16"/>
        </w:rPr>
        <w:footnoteRef/>
      </w:r>
      <w:r>
        <w:rPr>
          <w:color w:val="000000"/>
          <w:sz w:val="16"/>
          <w:szCs w:val="16"/>
        </w:rPr>
        <w:t xml:space="preserve">  </w:t>
      </w:r>
      <w:r w:rsidRPr="001E10A6">
        <w:rPr>
          <w:rStyle w:val="FootnoteReference"/>
          <w:color w:val="000000"/>
          <w:sz w:val="16"/>
          <w:szCs w:val="16"/>
        </w:rPr>
        <w:t xml:space="preserve"> </w:t>
      </w:r>
      <w:r>
        <w:rPr>
          <w:color w:val="000000"/>
          <w:sz w:val="16"/>
          <w:szCs w:val="16"/>
        </w:rPr>
        <w:tab/>
      </w:r>
      <w:r w:rsidRPr="00327657">
        <w:rPr>
          <w:color w:val="000000"/>
          <w:sz w:val="16"/>
          <w:szCs w:val="16"/>
        </w:rPr>
        <w:t>El Mercado Común del Sur (MERCOSUR) forma parte la Reunión de Altas Autoridades sobre Derechos Humanos y Cancillerías d</w:t>
      </w:r>
      <w:r>
        <w:rPr>
          <w:color w:val="000000"/>
          <w:sz w:val="16"/>
          <w:szCs w:val="16"/>
        </w:rPr>
        <w:t>el MERCOSUR y Estados Asociados</w:t>
      </w:r>
      <w:r w:rsidRPr="00327657">
        <w:rPr>
          <w:color w:val="000000"/>
          <w:sz w:val="16"/>
          <w:szCs w:val="16"/>
        </w:rPr>
        <w:t xml:space="preserve">. </w:t>
      </w:r>
      <w:r>
        <w:rPr>
          <w:color w:val="000000"/>
          <w:sz w:val="16"/>
          <w:szCs w:val="16"/>
        </w:rPr>
        <w:t>En el 2016</w:t>
      </w:r>
      <w:r w:rsidRPr="00327657">
        <w:rPr>
          <w:color w:val="000000"/>
          <w:sz w:val="16"/>
          <w:szCs w:val="16"/>
        </w:rPr>
        <w:t xml:space="preserve"> el Instituto de Políticas Públicas en Derechos Humanos (IPPDH) del MERCOSUR realizó una publicación</w:t>
      </w:r>
      <w:r>
        <w:rPr>
          <w:color w:val="000000"/>
          <w:sz w:val="16"/>
          <w:szCs w:val="16"/>
        </w:rPr>
        <w:t xml:space="preserve"> titulada: “Personas</w:t>
      </w:r>
      <w:r w:rsidRPr="00D2636D">
        <w:rPr>
          <w:color w:val="000000"/>
          <w:sz w:val="16"/>
          <w:szCs w:val="16"/>
        </w:rPr>
        <w:t xml:space="preserve"> mayores: hacia una agenda regional de derechos</w:t>
      </w:r>
      <w:r>
        <w:rPr>
          <w:color w:val="000000"/>
          <w:sz w:val="16"/>
          <w:szCs w:val="16"/>
        </w:rPr>
        <w:t>”,</w:t>
      </w:r>
      <w:r w:rsidRPr="00327657">
        <w:rPr>
          <w:color w:val="000000"/>
          <w:sz w:val="16"/>
          <w:szCs w:val="16"/>
        </w:rPr>
        <w:t xml:space="preserve">  en la cual se puede apreciar los avances de los países miembros en la consolidación de los derechos de los adultos mayores en la región.</w:t>
      </w:r>
      <w:r w:rsidRPr="00327657">
        <w:rPr>
          <w:sz w:val="16"/>
          <w:szCs w:val="16"/>
          <w:lang w:val="es-AR"/>
        </w:rPr>
        <w:t xml:space="preserve"> </w:t>
      </w:r>
      <w:r w:rsidRPr="00B1523A">
        <w:rPr>
          <w:i/>
          <w:sz w:val="16"/>
          <w:szCs w:val="16"/>
          <w:lang w:val="es-AR"/>
        </w:rPr>
        <w:t>Cfr.</w:t>
      </w:r>
      <w:r>
        <w:rPr>
          <w:sz w:val="16"/>
          <w:szCs w:val="16"/>
          <w:lang w:val="es-AR"/>
        </w:rPr>
        <w:t xml:space="preserve"> </w:t>
      </w:r>
      <w:r w:rsidRPr="00D2636D">
        <w:rPr>
          <w:sz w:val="16"/>
          <w:szCs w:val="16"/>
          <w:lang w:val="es-AR"/>
        </w:rPr>
        <w:t>IPPDH</w:t>
      </w:r>
      <w:r>
        <w:rPr>
          <w:sz w:val="16"/>
          <w:szCs w:val="16"/>
          <w:lang w:val="es-AR"/>
        </w:rPr>
        <w:t>-MERCOSUR</w:t>
      </w:r>
      <w:r w:rsidRPr="00D2636D">
        <w:rPr>
          <w:sz w:val="16"/>
          <w:szCs w:val="16"/>
          <w:lang w:val="es-AR"/>
        </w:rPr>
        <w:t xml:space="preserve">, </w:t>
      </w:r>
      <w:r w:rsidRPr="00B1523A">
        <w:rPr>
          <w:i/>
          <w:sz w:val="16"/>
          <w:szCs w:val="16"/>
          <w:lang w:val="es-AR"/>
        </w:rPr>
        <w:t>“Personas mayores: hacia una agenda regional de derechos</w:t>
      </w:r>
      <w:r>
        <w:rPr>
          <w:sz w:val="16"/>
          <w:szCs w:val="16"/>
          <w:lang w:val="es-AR"/>
        </w:rPr>
        <w:t>”</w:t>
      </w:r>
      <w:r w:rsidRPr="00D2636D">
        <w:rPr>
          <w:sz w:val="16"/>
          <w:szCs w:val="16"/>
          <w:lang w:val="es-AR"/>
        </w:rPr>
        <w:t xml:space="preserve">, </w:t>
      </w:r>
      <w:r>
        <w:rPr>
          <w:sz w:val="16"/>
          <w:szCs w:val="16"/>
          <w:lang w:val="es-AR"/>
        </w:rPr>
        <w:t xml:space="preserve">noviembre de </w:t>
      </w:r>
      <w:r w:rsidRPr="00D2636D">
        <w:rPr>
          <w:sz w:val="16"/>
          <w:szCs w:val="16"/>
          <w:lang w:val="es-AR"/>
        </w:rPr>
        <w:t>2016, pág</w:t>
      </w:r>
      <w:r>
        <w:rPr>
          <w:sz w:val="16"/>
          <w:szCs w:val="16"/>
          <w:lang w:val="es-AR"/>
        </w:rPr>
        <w:t>s</w:t>
      </w:r>
      <w:r w:rsidRPr="00D2636D">
        <w:rPr>
          <w:sz w:val="16"/>
          <w:szCs w:val="16"/>
          <w:lang w:val="es-AR"/>
        </w:rPr>
        <w:t>. 55 a 156.</w:t>
      </w:r>
    </w:p>
  </w:footnote>
  <w:footnote w:id="211">
    <w:p w14:paraId="241375B7" w14:textId="2F3ABAEA" w:rsidR="003C025E" w:rsidRPr="00B1523A" w:rsidRDefault="003C025E" w:rsidP="00911089">
      <w:pPr>
        <w:pStyle w:val="FootnoteText"/>
        <w:rPr>
          <w:sz w:val="16"/>
          <w:szCs w:val="16"/>
          <w:lang w:val="es-AR"/>
        </w:rPr>
      </w:pPr>
      <w:r w:rsidRPr="00C64243">
        <w:rPr>
          <w:rStyle w:val="FootnoteReference"/>
          <w:color w:val="000000"/>
          <w:sz w:val="16"/>
          <w:szCs w:val="16"/>
        </w:rPr>
        <w:footnoteRef/>
      </w:r>
      <w:r w:rsidRPr="000A3F34">
        <w:rPr>
          <w:lang w:val="es-AR"/>
        </w:rPr>
        <w:t xml:space="preserve"> </w:t>
      </w:r>
      <w:r>
        <w:rPr>
          <w:lang w:val="es-AR"/>
        </w:rPr>
        <w:t xml:space="preserve"> </w:t>
      </w:r>
      <w:r>
        <w:rPr>
          <w:lang w:val="es-AR"/>
        </w:rPr>
        <w:tab/>
      </w:r>
      <w:r w:rsidRPr="00B1523A">
        <w:rPr>
          <w:i/>
          <w:sz w:val="16"/>
          <w:szCs w:val="16"/>
          <w:lang w:val="es-AR"/>
        </w:rPr>
        <w:t xml:space="preserve">Cfr. </w:t>
      </w:r>
      <w:r w:rsidRPr="00B1523A">
        <w:rPr>
          <w:sz w:val="16"/>
          <w:szCs w:val="16"/>
          <w:lang w:val="es-AR"/>
        </w:rPr>
        <w:t xml:space="preserve">ONU. </w:t>
      </w:r>
      <w:r w:rsidRPr="00CB145D">
        <w:rPr>
          <w:sz w:val="16"/>
          <w:szCs w:val="16"/>
          <w:lang w:val="es-AR"/>
        </w:rPr>
        <w:t xml:space="preserve">Comité </w:t>
      </w:r>
      <w:r w:rsidRPr="00676FAA">
        <w:rPr>
          <w:sz w:val="16"/>
          <w:szCs w:val="16"/>
          <w:lang w:val="es-AR"/>
        </w:rPr>
        <w:t xml:space="preserve">DESC, </w:t>
      </w:r>
      <w:r w:rsidRPr="00B1523A">
        <w:rPr>
          <w:i/>
          <w:sz w:val="16"/>
          <w:szCs w:val="16"/>
          <w:lang w:val="es-AR"/>
        </w:rPr>
        <w:t>Observación General No. 6</w:t>
      </w:r>
      <w:r w:rsidRPr="00676FAA">
        <w:rPr>
          <w:sz w:val="16"/>
          <w:szCs w:val="16"/>
          <w:lang w:val="es-AR"/>
        </w:rPr>
        <w:t xml:space="preserve">, </w:t>
      </w:r>
      <w:r w:rsidRPr="00B1523A">
        <w:rPr>
          <w:i/>
          <w:sz w:val="16"/>
          <w:szCs w:val="16"/>
          <w:lang w:val="es-AR"/>
        </w:rPr>
        <w:t>supra</w:t>
      </w:r>
      <w:r w:rsidRPr="00CB145D">
        <w:rPr>
          <w:sz w:val="16"/>
          <w:szCs w:val="16"/>
          <w:lang w:val="es-AR"/>
        </w:rPr>
        <w:t>.</w:t>
      </w:r>
    </w:p>
  </w:footnote>
  <w:footnote w:id="212">
    <w:p w14:paraId="1997B69D" w14:textId="413B84D6" w:rsidR="003C025E" w:rsidRPr="00C64243" w:rsidRDefault="003C025E" w:rsidP="00911089">
      <w:pPr>
        <w:pStyle w:val="FootnoteText"/>
        <w:rPr>
          <w:strike/>
          <w:lang w:val="es-AR"/>
        </w:rPr>
      </w:pPr>
      <w:r w:rsidRPr="00C64243">
        <w:rPr>
          <w:rStyle w:val="FootnoteReference"/>
          <w:color w:val="000000"/>
          <w:sz w:val="16"/>
          <w:szCs w:val="16"/>
        </w:rPr>
        <w:footnoteRef/>
      </w:r>
      <w:r w:rsidRPr="00B572AD">
        <w:rPr>
          <w:lang w:val="es-AR"/>
        </w:rPr>
        <w:t xml:space="preserve"> </w:t>
      </w:r>
      <w:r>
        <w:rPr>
          <w:lang w:val="es-AR"/>
        </w:rPr>
        <w:t xml:space="preserve"> </w:t>
      </w:r>
      <w:r>
        <w:rPr>
          <w:lang w:val="es-AR"/>
        </w:rPr>
        <w:tab/>
      </w:r>
      <w:r w:rsidRPr="00676FAA">
        <w:rPr>
          <w:i/>
          <w:sz w:val="16"/>
          <w:szCs w:val="16"/>
          <w:lang w:val="es-AR"/>
        </w:rPr>
        <w:t xml:space="preserve">Cfr. </w:t>
      </w:r>
      <w:r w:rsidRPr="00676FAA">
        <w:rPr>
          <w:sz w:val="16"/>
          <w:szCs w:val="16"/>
          <w:lang w:val="es-AR"/>
        </w:rPr>
        <w:t xml:space="preserve">ONU. Comité DESC, </w:t>
      </w:r>
      <w:r w:rsidRPr="00676FAA">
        <w:rPr>
          <w:i/>
          <w:sz w:val="16"/>
          <w:szCs w:val="16"/>
          <w:lang w:val="es-AR"/>
        </w:rPr>
        <w:t>Observación General No. 6</w:t>
      </w:r>
      <w:r w:rsidRPr="00676FAA">
        <w:rPr>
          <w:sz w:val="16"/>
          <w:szCs w:val="16"/>
          <w:lang w:val="es-AR"/>
        </w:rPr>
        <w:t xml:space="preserve">, </w:t>
      </w:r>
      <w:r w:rsidRPr="00676FAA">
        <w:rPr>
          <w:i/>
          <w:sz w:val="16"/>
          <w:szCs w:val="16"/>
          <w:lang w:val="es-AR"/>
        </w:rPr>
        <w:t>supra</w:t>
      </w:r>
      <w:r>
        <w:rPr>
          <w:sz w:val="16"/>
          <w:szCs w:val="16"/>
          <w:lang w:val="es-AR"/>
        </w:rPr>
        <w:t>, párr. 35.</w:t>
      </w:r>
    </w:p>
  </w:footnote>
  <w:footnote w:id="213">
    <w:p w14:paraId="6C45634C" w14:textId="16771720" w:rsidR="003C025E" w:rsidRPr="00B1523A" w:rsidRDefault="003C025E" w:rsidP="00911089">
      <w:pPr>
        <w:pStyle w:val="FootnoteText"/>
        <w:rPr>
          <w:lang w:val="es-MX"/>
        </w:rPr>
      </w:pPr>
      <w:r w:rsidRPr="00C64243">
        <w:rPr>
          <w:rStyle w:val="FootnoteReference"/>
          <w:color w:val="000000"/>
          <w:sz w:val="16"/>
          <w:szCs w:val="16"/>
        </w:rPr>
        <w:footnoteRef/>
      </w:r>
      <w:r w:rsidRPr="00C64243">
        <w:rPr>
          <w:rStyle w:val="FootnoteReference"/>
          <w:color w:val="000000"/>
          <w:sz w:val="16"/>
          <w:szCs w:val="16"/>
        </w:rPr>
        <w:t xml:space="preserve"> </w:t>
      </w:r>
      <w:r>
        <w:rPr>
          <w:color w:val="000000"/>
          <w:sz w:val="16"/>
          <w:szCs w:val="16"/>
        </w:rPr>
        <w:t xml:space="preserve">  </w:t>
      </w:r>
      <w:r>
        <w:rPr>
          <w:color w:val="000000"/>
          <w:sz w:val="16"/>
          <w:szCs w:val="16"/>
        </w:rPr>
        <w:tab/>
      </w:r>
      <w:r w:rsidRPr="00676FAA">
        <w:rPr>
          <w:i/>
          <w:color w:val="000000"/>
          <w:sz w:val="16"/>
          <w:szCs w:val="16"/>
          <w:lang w:val="es-AR"/>
        </w:rPr>
        <w:t xml:space="preserve">Cfr. </w:t>
      </w:r>
      <w:r w:rsidRPr="00676FAA">
        <w:rPr>
          <w:color w:val="000000"/>
          <w:sz w:val="16"/>
          <w:szCs w:val="16"/>
          <w:lang w:val="es-AR"/>
        </w:rPr>
        <w:t xml:space="preserve">ONU. Comité DESC, </w:t>
      </w:r>
      <w:r w:rsidRPr="00676FAA">
        <w:rPr>
          <w:i/>
          <w:color w:val="000000"/>
          <w:sz w:val="16"/>
          <w:szCs w:val="16"/>
          <w:lang w:val="es-AR"/>
        </w:rPr>
        <w:t xml:space="preserve">Observación General No. </w:t>
      </w:r>
      <w:r>
        <w:rPr>
          <w:i/>
          <w:color w:val="000000"/>
          <w:sz w:val="16"/>
          <w:szCs w:val="16"/>
          <w:lang w:val="es-AR"/>
        </w:rPr>
        <w:t>14</w:t>
      </w:r>
      <w:r w:rsidRPr="00676FAA">
        <w:rPr>
          <w:color w:val="000000"/>
          <w:sz w:val="16"/>
          <w:szCs w:val="16"/>
          <w:lang w:val="es-AR"/>
        </w:rPr>
        <w:t xml:space="preserve">, </w:t>
      </w:r>
      <w:r w:rsidRPr="00676FAA">
        <w:rPr>
          <w:i/>
          <w:color w:val="000000"/>
          <w:sz w:val="16"/>
          <w:szCs w:val="16"/>
          <w:lang w:val="es-AR"/>
        </w:rPr>
        <w:t>supra</w:t>
      </w:r>
      <w:r w:rsidRPr="00676FAA">
        <w:rPr>
          <w:color w:val="000000"/>
          <w:sz w:val="16"/>
          <w:szCs w:val="16"/>
          <w:lang w:val="es-AR"/>
        </w:rPr>
        <w:t>, párr. 35.</w:t>
      </w:r>
    </w:p>
  </w:footnote>
  <w:footnote w:id="214">
    <w:p w14:paraId="2AF852FD" w14:textId="3D43260A" w:rsidR="003C025E" w:rsidRPr="00B1523A" w:rsidRDefault="003C025E" w:rsidP="00911089">
      <w:pPr>
        <w:pStyle w:val="FootnoteText"/>
        <w:rPr>
          <w:i/>
          <w:color w:val="000000"/>
          <w:sz w:val="16"/>
          <w:szCs w:val="16"/>
          <w:lang w:val="es-AR"/>
        </w:rPr>
      </w:pPr>
      <w:r w:rsidRPr="00FF184A">
        <w:rPr>
          <w:rStyle w:val="FootnoteReference"/>
          <w:color w:val="000000"/>
          <w:sz w:val="16"/>
          <w:szCs w:val="16"/>
        </w:rPr>
        <w:footnoteRef/>
      </w:r>
      <w:r w:rsidRPr="00B1523A">
        <w:rPr>
          <w:rStyle w:val="FootnoteReference"/>
          <w:color w:val="000000"/>
          <w:sz w:val="16"/>
          <w:szCs w:val="16"/>
          <w:lang w:val="es-MX"/>
        </w:rPr>
        <w:t xml:space="preserve"> </w:t>
      </w:r>
      <w:r w:rsidRPr="00B1523A">
        <w:rPr>
          <w:color w:val="000000"/>
          <w:sz w:val="16"/>
          <w:szCs w:val="16"/>
          <w:lang w:val="es-MX"/>
        </w:rPr>
        <w:t xml:space="preserve">   </w:t>
      </w:r>
      <w:r w:rsidRPr="00B1523A">
        <w:rPr>
          <w:color w:val="000000"/>
          <w:sz w:val="16"/>
          <w:szCs w:val="16"/>
          <w:lang w:val="es-MX"/>
        </w:rPr>
        <w:tab/>
      </w:r>
      <w:r>
        <w:rPr>
          <w:i/>
          <w:color w:val="000000"/>
          <w:sz w:val="16"/>
          <w:szCs w:val="16"/>
          <w:lang w:val="es-MX"/>
        </w:rPr>
        <w:t xml:space="preserve">Cfr. </w:t>
      </w:r>
      <w:r w:rsidRPr="00B1523A">
        <w:rPr>
          <w:color w:val="000000"/>
          <w:sz w:val="16"/>
          <w:szCs w:val="16"/>
          <w:lang w:val="es-MX"/>
        </w:rPr>
        <w:t xml:space="preserve">TEDH, </w:t>
      </w:r>
      <w:r w:rsidRPr="00B1523A">
        <w:rPr>
          <w:i/>
          <w:color w:val="000000"/>
          <w:sz w:val="16"/>
          <w:szCs w:val="16"/>
          <w:lang w:val="es-MX"/>
        </w:rPr>
        <w:t xml:space="preserve">Caso </w:t>
      </w:r>
      <w:proofErr w:type="spellStart"/>
      <w:r w:rsidRPr="00B1523A">
        <w:rPr>
          <w:i/>
          <w:color w:val="000000"/>
          <w:sz w:val="16"/>
          <w:szCs w:val="16"/>
          <w:lang w:val="es-MX"/>
        </w:rPr>
        <w:t>Sawoniuk</w:t>
      </w:r>
      <w:proofErr w:type="spellEnd"/>
      <w:r w:rsidRPr="00B1523A">
        <w:rPr>
          <w:i/>
          <w:color w:val="000000"/>
          <w:sz w:val="16"/>
          <w:szCs w:val="16"/>
          <w:lang w:val="es-MX"/>
        </w:rPr>
        <w:t xml:space="preserve"> Vs. Reino Unido</w:t>
      </w:r>
      <w:r>
        <w:rPr>
          <w:i/>
          <w:color w:val="000000"/>
          <w:sz w:val="16"/>
          <w:szCs w:val="16"/>
          <w:lang w:val="es-MX"/>
        </w:rPr>
        <w:t xml:space="preserve">, </w:t>
      </w:r>
      <w:r>
        <w:rPr>
          <w:color w:val="000000"/>
          <w:sz w:val="16"/>
          <w:szCs w:val="16"/>
          <w:lang w:val="es-MX"/>
        </w:rPr>
        <w:t xml:space="preserve">No. 63716/00. </w:t>
      </w:r>
      <w:r w:rsidRPr="00FF184A">
        <w:rPr>
          <w:color w:val="000000"/>
          <w:sz w:val="16"/>
          <w:szCs w:val="16"/>
          <w:lang w:val="es-AR"/>
        </w:rPr>
        <w:t>Sentencia de 20 de mayo de 2001;</w:t>
      </w:r>
      <w:r w:rsidRPr="00FF184A">
        <w:rPr>
          <w:color w:val="000000"/>
          <w:sz w:val="16"/>
          <w:szCs w:val="16"/>
          <w:lang w:val="es-AR" w:eastAsia="es-CR"/>
        </w:rPr>
        <w:t xml:space="preserve"> </w:t>
      </w:r>
      <w:r w:rsidRPr="00FF184A">
        <w:rPr>
          <w:i/>
          <w:color w:val="000000"/>
          <w:sz w:val="16"/>
          <w:szCs w:val="16"/>
          <w:lang w:val="es-AR"/>
        </w:rPr>
        <w:t>Cas</w:t>
      </w:r>
      <w:r>
        <w:rPr>
          <w:i/>
          <w:color w:val="000000"/>
          <w:sz w:val="16"/>
          <w:szCs w:val="16"/>
          <w:lang w:val="es-AR"/>
        </w:rPr>
        <w:t>o</w:t>
      </w:r>
      <w:r w:rsidRPr="00FF184A">
        <w:rPr>
          <w:i/>
          <w:color w:val="000000"/>
          <w:sz w:val="16"/>
          <w:szCs w:val="16"/>
          <w:lang w:val="es-AR"/>
        </w:rPr>
        <w:t xml:space="preserve"> </w:t>
      </w:r>
      <w:proofErr w:type="spellStart"/>
      <w:r w:rsidRPr="00FF184A">
        <w:rPr>
          <w:i/>
          <w:color w:val="000000"/>
          <w:sz w:val="16"/>
          <w:szCs w:val="16"/>
          <w:lang w:val="es-AR"/>
        </w:rPr>
        <w:t>Farbtuhs</w:t>
      </w:r>
      <w:proofErr w:type="spellEnd"/>
      <w:r w:rsidRPr="00FF184A">
        <w:rPr>
          <w:i/>
          <w:color w:val="000000"/>
          <w:sz w:val="16"/>
          <w:szCs w:val="16"/>
          <w:lang w:val="es-AR"/>
        </w:rPr>
        <w:t xml:space="preserve"> Vs. L</w:t>
      </w:r>
      <w:r>
        <w:rPr>
          <w:i/>
          <w:color w:val="000000"/>
          <w:sz w:val="16"/>
          <w:szCs w:val="16"/>
          <w:lang w:val="es-AR"/>
        </w:rPr>
        <w:t>e</w:t>
      </w:r>
      <w:r w:rsidRPr="00FF184A">
        <w:rPr>
          <w:i/>
          <w:color w:val="000000"/>
          <w:sz w:val="16"/>
          <w:szCs w:val="16"/>
          <w:lang w:val="es-AR"/>
        </w:rPr>
        <w:t>t</w:t>
      </w:r>
      <w:r>
        <w:rPr>
          <w:i/>
          <w:color w:val="000000"/>
          <w:sz w:val="16"/>
          <w:szCs w:val="16"/>
          <w:lang w:val="es-AR"/>
        </w:rPr>
        <w:t>oni</w:t>
      </w:r>
      <w:r w:rsidRPr="00FF184A">
        <w:rPr>
          <w:i/>
          <w:color w:val="000000"/>
          <w:sz w:val="16"/>
          <w:szCs w:val="16"/>
          <w:lang w:val="es-AR"/>
        </w:rPr>
        <w:t>a</w:t>
      </w:r>
      <w:r>
        <w:rPr>
          <w:i/>
          <w:color w:val="000000"/>
          <w:sz w:val="16"/>
          <w:szCs w:val="16"/>
          <w:lang w:val="es-AR"/>
        </w:rPr>
        <w:t xml:space="preserve"> (Fondo y Satisfacción Equitativa), </w:t>
      </w:r>
      <w:r>
        <w:rPr>
          <w:color w:val="000000"/>
          <w:sz w:val="16"/>
          <w:szCs w:val="16"/>
          <w:lang w:val="es-AR"/>
        </w:rPr>
        <w:t>No. 4672/02</w:t>
      </w:r>
      <w:r w:rsidRPr="00FF184A">
        <w:rPr>
          <w:color w:val="000000"/>
          <w:sz w:val="16"/>
          <w:szCs w:val="16"/>
          <w:lang w:val="es-AR"/>
        </w:rPr>
        <w:t>. Sentencia de 2 de diciembre de 2004</w:t>
      </w:r>
      <w:r>
        <w:rPr>
          <w:color w:val="000000"/>
          <w:sz w:val="16"/>
          <w:szCs w:val="16"/>
          <w:lang w:val="es-AR"/>
        </w:rPr>
        <w:t>, y</w:t>
      </w:r>
      <w:r>
        <w:rPr>
          <w:i/>
          <w:color w:val="000000"/>
          <w:sz w:val="16"/>
          <w:szCs w:val="16"/>
          <w:lang w:val="es-AR"/>
        </w:rPr>
        <w:t xml:space="preserve"> C</w:t>
      </w:r>
      <w:r w:rsidRPr="00FF184A">
        <w:rPr>
          <w:i/>
          <w:color w:val="000000"/>
          <w:sz w:val="16"/>
          <w:szCs w:val="16"/>
          <w:lang w:val="es-AR"/>
        </w:rPr>
        <w:t>as</w:t>
      </w:r>
      <w:r>
        <w:rPr>
          <w:i/>
          <w:color w:val="000000"/>
          <w:sz w:val="16"/>
          <w:szCs w:val="16"/>
          <w:lang w:val="es-AR"/>
        </w:rPr>
        <w:t>o</w:t>
      </w:r>
      <w:r w:rsidRPr="00FF184A">
        <w:rPr>
          <w:i/>
          <w:color w:val="000000"/>
          <w:sz w:val="16"/>
          <w:szCs w:val="16"/>
          <w:lang w:val="es-AR"/>
        </w:rPr>
        <w:t xml:space="preserve"> </w:t>
      </w:r>
      <w:proofErr w:type="spellStart"/>
      <w:r w:rsidRPr="00FF184A">
        <w:rPr>
          <w:i/>
          <w:color w:val="000000"/>
          <w:sz w:val="16"/>
          <w:szCs w:val="16"/>
          <w:lang w:val="es-AR"/>
        </w:rPr>
        <w:t>Dodov</w:t>
      </w:r>
      <w:proofErr w:type="spellEnd"/>
      <w:r w:rsidRPr="00FF184A">
        <w:rPr>
          <w:i/>
          <w:color w:val="000000"/>
          <w:sz w:val="16"/>
          <w:szCs w:val="16"/>
          <w:lang w:val="es-AR"/>
        </w:rPr>
        <w:t xml:space="preserve"> Vs. Bulgaria</w:t>
      </w:r>
      <w:r>
        <w:rPr>
          <w:color w:val="000000"/>
          <w:sz w:val="16"/>
          <w:szCs w:val="16"/>
          <w:lang w:val="es-AR"/>
        </w:rPr>
        <w:t xml:space="preserve">, No. 59548/00. </w:t>
      </w:r>
      <w:r w:rsidRPr="00FF184A">
        <w:rPr>
          <w:color w:val="000000"/>
          <w:sz w:val="16"/>
          <w:szCs w:val="16"/>
          <w:lang w:val="es-AR"/>
        </w:rPr>
        <w:t>Sentencia de</w:t>
      </w:r>
      <w:r>
        <w:rPr>
          <w:color w:val="000000"/>
          <w:sz w:val="16"/>
          <w:szCs w:val="16"/>
          <w:lang w:val="es-AR"/>
        </w:rPr>
        <w:t xml:space="preserve"> 17 de enero de 2008, </w:t>
      </w:r>
      <w:proofErr w:type="spellStart"/>
      <w:r>
        <w:rPr>
          <w:color w:val="000000"/>
          <w:sz w:val="16"/>
          <w:szCs w:val="16"/>
          <w:lang w:val="es-AR"/>
        </w:rPr>
        <w:t>párrs</w:t>
      </w:r>
      <w:proofErr w:type="spellEnd"/>
      <w:r>
        <w:rPr>
          <w:color w:val="000000"/>
          <w:sz w:val="16"/>
          <w:szCs w:val="16"/>
          <w:lang w:val="es-AR"/>
        </w:rPr>
        <w:t>. 80 y</w:t>
      </w:r>
      <w:r w:rsidRPr="00FF184A">
        <w:rPr>
          <w:color w:val="000000"/>
          <w:sz w:val="16"/>
          <w:szCs w:val="16"/>
          <w:lang w:val="es-AR"/>
        </w:rPr>
        <w:t xml:space="preserve"> 8</w:t>
      </w:r>
      <w:r w:rsidRPr="007D74E2">
        <w:rPr>
          <w:color w:val="000000"/>
          <w:sz w:val="16"/>
          <w:szCs w:val="16"/>
          <w:lang w:val="es-AR"/>
        </w:rPr>
        <w:t>1.</w:t>
      </w:r>
      <w:r w:rsidRPr="00FF184A">
        <w:rPr>
          <w:color w:val="000000"/>
          <w:sz w:val="16"/>
          <w:szCs w:val="16"/>
          <w:lang w:val="es-AR"/>
        </w:rPr>
        <w:t xml:space="preserve"> </w:t>
      </w:r>
    </w:p>
  </w:footnote>
  <w:footnote w:id="215">
    <w:p w14:paraId="03345A44" w14:textId="7723F8B6" w:rsidR="003C025E" w:rsidRDefault="003C025E" w:rsidP="003E2F69">
      <w:pPr>
        <w:pStyle w:val="FootnoteText"/>
        <w:rPr>
          <w:sz w:val="16"/>
          <w:szCs w:val="16"/>
          <w:lang w:val="es-AR"/>
        </w:rPr>
      </w:pPr>
      <w:r w:rsidRPr="002570D1">
        <w:rPr>
          <w:rStyle w:val="FootnoteReference"/>
          <w:color w:val="000000"/>
          <w:sz w:val="16"/>
          <w:szCs w:val="16"/>
        </w:rPr>
        <w:footnoteRef/>
      </w:r>
      <w:r w:rsidRPr="00C27894">
        <w:rPr>
          <w:rStyle w:val="FootnoteReference"/>
          <w:color w:val="000000"/>
          <w:sz w:val="16"/>
          <w:szCs w:val="16"/>
          <w:lang w:val="es-CR"/>
        </w:rPr>
        <w:t xml:space="preserve"> </w:t>
      </w:r>
      <w:r>
        <w:rPr>
          <w:sz w:val="16"/>
          <w:szCs w:val="16"/>
          <w:lang w:val="es-CR"/>
        </w:rPr>
        <w:tab/>
      </w:r>
      <w:r w:rsidRPr="00B1523A">
        <w:rPr>
          <w:sz w:val="16"/>
          <w:szCs w:val="16"/>
        </w:rPr>
        <w:t>A manera de ejemplo:</w:t>
      </w:r>
      <w:r w:rsidRPr="00AB1E03">
        <w:rPr>
          <w:b/>
          <w:sz w:val="16"/>
          <w:szCs w:val="16"/>
        </w:rPr>
        <w:t xml:space="preserve"> </w:t>
      </w:r>
      <w:r w:rsidRPr="00C11DEB">
        <w:rPr>
          <w:sz w:val="16"/>
          <w:szCs w:val="16"/>
          <w:lang w:val="es-MX"/>
        </w:rPr>
        <w:t>Corte Constitucional de Colombia</w:t>
      </w:r>
      <w:r>
        <w:rPr>
          <w:sz w:val="16"/>
          <w:szCs w:val="16"/>
          <w:lang w:val="es-MX"/>
        </w:rPr>
        <w:t xml:space="preserve">. </w:t>
      </w:r>
      <w:r w:rsidRPr="00C11DEB">
        <w:rPr>
          <w:sz w:val="16"/>
          <w:szCs w:val="16"/>
          <w:lang w:val="es-MX"/>
        </w:rPr>
        <w:t>Sentencia T-149 de</w:t>
      </w:r>
      <w:r>
        <w:rPr>
          <w:sz w:val="16"/>
          <w:szCs w:val="16"/>
          <w:lang w:val="es-MX"/>
        </w:rPr>
        <w:t xml:space="preserve"> 1 de marzo de</w:t>
      </w:r>
      <w:r w:rsidRPr="00C11DEB">
        <w:rPr>
          <w:sz w:val="16"/>
          <w:szCs w:val="16"/>
          <w:lang w:val="es-MX"/>
        </w:rPr>
        <w:t xml:space="preserve"> 2002</w:t>
      </w:r>
      <w:r>
        <w:rPr>
          <w:sz w:val="16"/>
          <w:szCs w:val="16"/>
          <w:lang w:val="es-MX"/>
        </w:rPr>
        <w:t>:</w:t>
      </w:r>
      <w:r w:rsidRPr="00C11DEB">
        <w:rPr>
          <w:sz w:val="16"/>
          <w:szCs w:val="16"/>
          <w:lang w:val="es-MX"/>
        </w:rPr>
        <w:t xml:space="preserve"> “La escasez de recursos ni es un argumento constitucionalmente admisible para negar la atención básica en salud a personas en situación de debilidad manifiesta como los adultos mayores […]. Existe un deber de protección especial del adulto mayor” […]</w:t>
      </w:r>
      <w:r>
        <w:rPr>
          <w:sz w:val="16"/>
          <w:szCs w:val="16"/>
          <w:lang w:val="es-MX"/>
        </w:rPr>
        <w:t xml:space="preserve">; </w:t>
      </w:r>
      <w:r w:rsidRPr="00C11DEB">
        <w:rPr>
          <w:sz w:val="16"/>
          <w:szCs w:val="16"/>
          <w:lang w:val="es-MX"/>
        </w:rPr>
        <w:t>Sentencia T-056</w:t>
      </w:r>
      <w:r>
        <w:rPr>
          <w:sz w:val="16"/>
          <w:szCs w:val="16"/>
          <w:lang w:val="es-MX"/>
        </w:rPr>
        <w:t xml:space="preserve"> de</w:t>
      </w:r>
      <w:r w:rsidRPr="00C11DEB">
        <w:rPr>
          <w:sz w:val="16"/>
          <w:szCs w:val="16"/>
          <w:lang w:val="es-MX"/>
        </w:rPr>
        <w:t xml:space="preserve"> 12 de febrero de 2015</w:t>
      </w:r>
      <w:r>
        <w:rPr>
          <w:sz w:val="16"/>
          <w:szCs w:val="16"/>
          <w:lang w:val="es-MX"/>
        </w:rPr>
        <w:t>:</w:t>
      </w:r>
      <w:r w:rsidRPr="00C11DEB">
        <w:rPr>
          <w:sz w:val="16"/>
          <w:szCs w:val="16"/>
          <w:lang w:val="es-MX"/>
        </w:rPr>
        <w:t xml:space="preserve"> </w:t>
      </w:r>
      <w:r w:rsidRPr="00C11DEB">
        <w:rPr>
          <w:sz w:val="16"/>
          <w:szCs w:val="16"/>
          <w:lang w:val="es-CR"/>
        </w:rPr>
        <w:t xml:space="preserve">“En relación con el derecho a la salud de las personas que hacen parte del grupo de los sujetos de especial protección constitucional es preciso considerar que a partir de normas constitucionales se impone mayor celo en el cumplimiento de los deberes de protección y garantía por parte de las autoridades y de los particulares en la atención de las enfermedades o alteraciones de salud que padezcan. Dentro de tales destinatarios se </w:t>
      </w:r>
      <w:r>
        <w:rPr>
          <w:sz w:val="16"/>
          <w:szCs w:val="16"/>
          <w:lang w:val="es-CR"/>
        </w:rPr>
        <w:t xml:space="preserve">encuentran </w:t>
      </w:r>
      <w:r w:rsidRPr="00C11DEB">
        <w:rPr>
          <w:sz w:val="16"/>
          <w:szCs w:val="16"/>
          <w:lang w:val="es-CR"/>
        </w:rPr>
        <w:t>[…] las personas de la tercera edad</w:t>
      </w:r>
      <w:r>
        <w:rPr>
          <w:sz w:val="16"/>
          <w:szCs w:val="16"/>
          <w:lang w:val="es-CR"/>
        </w:rPr>
        <w:t xml:space="preserve"> […] [d]</w:t>
      </w:r>
      <w:proofErr w:type="spellStart"/>
      <w:r w:rsidRPr="00C11DEB">
        <w:rPr>
          <w:sz w:val="16"/>
          <w:szCs w:val="16"/>
          <w:lang w:val="es-CR"/>
        </w:rPr>
        <w:t>ado</w:t>
      </w:r>
      <w:proofErr w:type="spellEnd"/>
      <w:r w:rsidRPr="00C11DEB">
        <w:rPr>
          <w:sz w:val="16"/>
          <w:szCs w:val="16"/>
          <w:lang w:val="es-CR"/>
        </w:rPr>
        <w:t xml:space="preserve"> que las personas de la tercera edad tienen derecho a una protección reforzada en salud y las entidades prestadoras de salud están obligadas a prestarles la atención médica que requieran […]. En efecto, la protección reforzada se materializa con la garantía de una prestación continúa, permanente y eficiente de los servicios de salud que el usuario requiera, lo cual implica, de ser necesario el suministro de medicamentos, insumos o prestación de servicios excluidos del Plan Obligatorio de Salud”</w:t>
      </w:r>
      <w:r>
        <w:rPr>
          <w:sz w:val="16"/>
          <w:szCs w:val="16"/>
          <w:lang w:val="es-CR"/>
        </w:rPr>
        <w:t>.</w:t>
      </w:r>
      <w:r w:rsidRPr="00C11DEB">
        <w:rPr>
          <w:sz w:val="16"/>
          <w:szCs w:val="16"/>
          <w:lang w:val="es-CR"/>
        </w:rPr>
        <w:t xml:space="preserve"> </w:t>
      </w:r>
      <w:r w:rsidRPr="00923D87">
        <w:rPr>
          <w:sz w:val="16"/>
          <w:szCs w:val="16"/>
          <w:lang w:val="pt-BR"/>
        </w:rPr>
        <w:t xml:space="preserve">Corte Suprema de Justicia de Costa Rica. Sala Constitucional. Exp: 15-016089-0007-CO. </w:t>
      </w:r>
      <w:proofErr w:type="spellStart"/>
      <w:r w:rsidRPr="00BB4919">
        <w:rPr>
          <w:sz w:val="16"/>
          <w:szCs w:val="16"/>
          <w:lang w:val="es-CR"/>
        </w:rPr>
        <w:t>Res.No</w:t>
      </w:r>
      <w:proofErr w:type="spellEnd"/>
      <w:r w:rsidRPr="00BB4919">
        <w:rPr>
          <w:sz w:val="16"/>
          <w:szCs w:val="16"/>
          <w:lang w:val="es-CR"/>
        </w:rPr>
        <w:t xml:space="preserve">: 2015017512. Sentencia de 6 de noviembre de 2015; </w:t>
      </w:r>
      <w:proofErr w:type="spellStart"/>
      <w:r w:rsidRPr="00BB4919">
        <w:rPr>
          <w:sz w:val="16"/>
          <w:szCs w:val="16"/>
          <w:lang w:val="es-CR"/>
        </w:rPr>
        <w:t>Exp</w:t>
      </w:r>
      <w:proofErr w:type="spellEnd"/>
      <w:r w:rsidRPr="00BB4919">
        <w:rPr>
          <w:sz w:val="16"/>
          <w:szCs w:val="16"/>
          <w:lang w:val="es-CR"/>
        </w:rPr>
        <w:t xml:space="preserve">: 15-001311-0007-CO. </w:t>
      </w:r>
      <w:proofErr w:type="spellStart"/>
      <w:r w:rsidRPr="00BB4919">
        <w:rPr>
          <w:sz w:val="16"/>
          <w:szCs w:val="16"/>
          <w:lang w:val="es-CR"/>
        </w:rPr>
        <w:t>Res.No</w:t>
      </w:r>
      <w:proofErr w:type="spellEnd"/>
      <w:r w:rsidRPr="00BB4919">
        <w:rPr>
          <w:sz w:val="16"/>
          <w:szCs w:val="16"/>
          <w:lang w:val="es-CR"/>
        </w:rPr>
        <w:t xml:space="preserve">: 2015002392. Sentencia de 20 de febrero de 2015, y </w:t>
      </w:r>
      <w:proofErr w:type="spellStart"/>
      <w:r w:rsidRPr="00C11DEB">
        <w:rPr>
          <w:sz w:val="16"/>
          <w:szCs w:val="16"/>
          <w:lang w:val="es-AR"/>
        </w:rPr>
        <w:t>Exp</w:t>
      </w:r>
      <w:proofErr w:type="spellEnd"/>
      <w:r w:rsidRPr="00C11DEB">
        <w:rPr>
          <w:sz w:val="16"/>
          <w:szCs w:val="16"/>
          <w:lang w:val="es-AR"/>
        </w:rPr>
        <w:t>: 15-015890-0007-CO. Res. No: 2015018610. Sentencia de 27 de noviembre de 2015</w:t>
      </w:r>
      <w:r>
        <w:rPr>
          <w:sz w:val="16"/>
          <w:szCs w:val="16"/>
          <w:lang w:val="es-AR"/>
        </w:rPr>
        <w:t xml:space="preserve">. </w:t>
      </w:r>
    </w:p>
    <w:p w14:paraId="24261FBF" w14:textId="35F876DF" w:rsidR="003C025E" w:rsidRDefault="003C025E" w:rsidP="003E2F69">
      <w:pPr>
        <w:pStyle w:val="FootnoteText"/>
        <w:rPr>
          <w:sz w:val="16"/>
          <w:szCs w:val="16"/>
          <w:lang w:val="es-AR"/>
        </w:rPr>
      </w:pPr>
      <w:r w:rsidRPr="00062586">
        <w:rPr>
          <w:i/>
          <w:sz w:val="16"/>
          <w:szCs w:val="16"/>
          <w:lang w:val="es-CR"/>
        </w:rPr>
        <w:t>Cfr.</w:t>
      </w:r>
      <w:r w:rsidRPr="001E145A">
        <w:rPr>
          <w:sz w:val="16"/>
          <w:szCs w:val="16"/>
          <w:lang w:val="es-CR"/>
        </w:rPr>
        <w:t xml:space="preserve"> </w:t>
      </w:r>
      <w:r w:rsidRPr="001E145A">
        <w:rPr>
          <w:i/>
          <w:sz w:val="16"/>
          <w:szCs w:val="16"/>
          <w:lang w:val="es-CR"/>
        </w:rPr>
        <w:t xml:space="preserve">Mutatis </w:t>
      </w:r>
      <w:proofErr w:type="spellStart"/>
      <w:r w:rsidRPr="001E145A">
        <w:rPr>
          <w:i/>
          <w:sz w:val="16"/>
          <w:szCs w:val="16"/>
          <w:lang w:val="es-CR"/>
        </w:rPr>
        <w:t>mutandi</w:t>
      </w:r>
      <w:proofErr w:type="spellEnd"/>
      <w:r w:rsidRPr="001E145A">
        <w:rPr>
          <w:sz w:val="16"/>
          <w:szCs w:val="16"/>
          <w:lang w:val="es-CR"/>
        </w:rPr>
        <w:t xml:space="preserve">, Corte Constitucional </w:t>
      </w:r>
      <w:r>
        <w:rPr>
          <w:sz w:val="16"/>
          <w:szCs w:val="16"/>
          <w:lang w:val="es-CR"/>
        </w:rPr>
        <w:t xml:space="preserve">de </w:t>
      </w:r>
      <w:r w:rsidRPr="001E145A">
        <w:rPr>
          <w:sz w:val="16"/>
          <w:szCs w:val="16"/>
          <w:lang w:val="es-CR"/>
        </w:rPr>
        <w:t>Colombia,</w:t>
      </w:r>
      <w:r w:rsidRPr="001E145A">
        <w:rPr>
          <w:sz w:val="16"/>
          <w:szCs w:val="16"/>
          <w:lang w:val="es-AR"/>
        </w:rPr>
        <w:t xml:space="preserve"> </w:t>
      </w:r>
      <w:r w:rsidRPr="001E145A">
        <w:rPr>
          <w:sz w:val="16"/>
          <w:szCs w:val="16"/>
          <w:lang w:val="es-CR"/>
        </w:rPr>
        <w:t>Sentencia T-716/17</w:t>
      </w:r>
      <w:r>
        <w:rPr>
          <w:sz w:val="16"/>
          <w:szCs w:val="16"/>
          <w:lang w:val="es-AR"/>
        </w:rPr>
        <w:t>. En ésta, a</w:t>
      </w:r>
      <w:r w:rsidRPr="001E145A">
        <w:rPr>
          <w:sz w:val="16"/>
          <w:szCs w:val="16"/>
          <w:lang w:val="es-AR"/>
        </w:rPr>
        <w:t xml:space="preserve">l resolver una tutela sobre el mínimo vital de un adulto mayor que fue retirado del programa de asistencia </w:t>
      </w:r>
      <w:r>
        <w:rPr>
          <w:sz w:val="16"/>
          <w:szCs w:val="16"/>
          <w:lang w:val="es-AR"/>
        </w:rPr>
        <w:t>‘</w:t>
      </w:r>
      <w:r w:rsidRPr="001E145A">
        <w:rPr>
          <w:sz w:val="16"/>
          <w:szCs w:val="16"/>
          <w:lang w:val="es-AR"/>
        </w:rPr>
        <w:t>Colombia Mayor</w:t>
      </w:r>
      <w:r>
        <w:rPr>
          <w:sz w:val="16"/>
          <w:szCs w:val="16"/>
          <w:lang w:val="es-AR"/>
        </w:rPr>
        <w:t>’</w:t>
      </w:r>
      <w:r w:rsidRPr="001E145A">
        <w:rPr>
          <w:sz w:val="16"/>
          <w:szCs w:val="16"/>
          <w:lang w:val="es-AR"/>
        </w:rPr>
        <w:t>, la Corte Constitucional ordenó verificar las condiciones reales de vulnerabilidad para determinar la afectación de la medida. Asimismo en casos análogos se destacan: Sentencia T- 010/17</w:t>
      </w:r>
      <w:r>
        <w:rPr>
          <w:sz w:val="16"/>
          <w:szCs w:val="16"/>
          <w:lang w:val="es-AR"/>
        </w:rPr>
        <w:t>;</w:t>
      </w:r>
      <w:r w:rsidRPr="001E145A">
        <w:rPr>
          <w:sz w:val="16"/>
          <w:szCs w:val="16"/>
          <w:lang w:val="es-AR"/>
        </w:rPr>
        <w:t xml:space="preserve"> Sentencia T-025/16</w:t>
      </w:r>
      <w:r>
        <w:rPr>
          <w:sz w:val="16"/>
          <w:szCs w:val="16"/>
          <w:lang w:val="es-AR"/>
        </w:rPr>
        <w:t xml:space="preserve">, y </w:t>
      </w:r>
      <w:r w:rsidRPr="001E145A">
        <w:rPr>
          <w:sz w:val="16"/>
          <w:szCs w:val="16"/>
          <w:lang w:val="es-AR"/>
        </w:rPr>
        <w:t>Sentencia T-348/09</w:t>
      </w:r>
      <w:r>
        <w:rPr>
          <w:sz w:val="16"/>
          <w:szCs w:val="16"/>
          <w:lang w:val="es-AR"/>
        </w:rPr>
        <w:t>,</w:t>
      </w:r>
      <w:r w:rsidRPr="001E145A">
        <w:rPr>
          <w:sz w:val="16"/>
          <w:szCs w:val="16"/>
          <w:lang w:val="es-AR"/>
        </w:rPr>
        <w:t xml:space="preserve"> en l</w:t>
      </w:r>
      <w:r>
        <w:rPr>
          <w:sz w:val="16"/>
          <w:szCs w:val="16"/>
          <w:lang w:val="es-AR"/>
        </w:rPr>
        <w:t>a</w:t>
      </w:r>
      <w:r w:rsidRPr="001E145A">
        <w:rPr>
          <w:sz w:val="16"/>
          <w:szCs w:val="16"/>
          <w:lang w:val="es-AR"/>
        </w:rPr>
        <w:t xml:space="preserve">s cuales la Corte hizo énfasis </w:t>
      </w:r>
      <w:r>
        <w:rPr>
          <w:sz w:val="16"/>
          <w:szCs w:val="16"/>
          <w:lang w:val="es-AR"/>
        </w:rPr>
        <w:t xml:space="preserve">en </w:t>
      </w:r>
      <w:r w:rsidRPr="001E145A">
        <w:rPr>
          <w:iCs/>
          <w:sz w:val="16"/>
          <w:szCs w:val="16"/>
          <w:lang w:val="es-CO"/>
        </w:rPr>
        <w:t>que “‘por la disminución de sus capacidades físicas, la reducción de las expectativas de vida y la mayor afectación en sus condiciones de salud, [los adultos mayores] constituyen uno de los grupos de especial protección constitucional”.</w:t>
      </w:r>
    </w:p>
    <w:p w14:paraId="434C97A6" w14:textId="3A095D1F" w:rsidR="003C025E" w:rsidRDefault="003C025E" w:rsidP="003E2F69">
      <w:pPr>
        <w:pStyle w:val="FootnoteText"/>
        <w:rPr>
          <w:sz w:val="16"/>
          <w:szCs w:val="16"/>
          <w:lang w:val="es-AR"/>
        </w:rPr>
      </w:pPr>
      <w:r w:rsidRPr="00B1523A">
        <w:rPr>
          <w:i/>
          <w:sz w:val="16"/>
          <w:szCs w:val="16"/>
          <w:lang w:val="es-AR"/>
        </w:rPr>
        <w:t>Cfr</w:t>
      </w:r>
      <w:r>
        <w:rPr>
          <w:sz w:val="16"/>
          <w:szCs w:val="16"/>
          <w:lang w:val="es-AR"/>
        </w:rPr>
        <w:t xml:space="preserve">. </w:t>
      </w:r>
      <w:r w:rsidRPr="00C11DEB">
        <w:rPr>
          <w:sz w:val="16"/>
          <w:szCs w:val="16"/>
          <w:lang w:val="es-AR"/>
        </w:rPr>
        <w:t>Corte Suprema de Justicia de la Nación Argentina. Fallos: 329:1638. Sentencia de 16 de mayo de 2006</w:t>
      </w:r>
      <w:r>
        <w:rPr>
          <w:sz w:val="16"/>
          <w:szCs w:val="16"/>
          <w:lang w:val="es-AR"/>
        </w:rPr>
        <w:t xml:space="preserve">. </w:t>
      </w:r>
    </w:p>
    <w:p w14:paraId="323E3348" w14:textId="7CB09F5F" w:rsidR="003C025E" w:rsidRPr="00BB4919" w:rsidRDefault="003C025E" w:rsidP="003E2F69">
      <w:pPr>
        <w:pStyle w:val="FootnoteText"/>
        <w:rPr>
          <w:sz w:val="16"/>
          <w:szCs w:val="16"/>
          <w:highlight w:val="lightGray"/>
          <w:lang w:val="pt-BR"/>
        </w:rPr>
      </w:pPr>
      <w:r w:rsidRPr="00255B98">
        <w:rPr>
          <w:sz w:val="16"/>
          <w:szCs w:val="16"/>
          <w:lang w:val="es-AR"/>
        </w:rPr>
        <w:t>Por su parte, en México, la Primera Sala de la Suprema Corte de Justicia de la Nación, en la sentencia de amparo directo en revisión 1399/2013,</w:t>
      </w:r>
      <w:r>
        <w:rPr>
          <w:sz w:val="16"/>
          <w:szCs w:val="16"/>
          <w:lang w:val="es-AR"/>
        </w:rPr>
        <w:t xml:space="preserve"> </w:t>
      </w:r>
      <w:r w:rsidRPr="00255B98">
        <w:rPr>
          <w:sz w:val="16"/>
          <w:szCs w:val="16"/>
          <w:lang w:val="es-AR"/>
        </w:rPr>
        <w:t>determinó que “[las personas mayores] debido a [su] vulnerabilidad merecen una especial protección, lo cual incluso se ve robustecido por el hecho de que los instrumentos internacionales y los regímenes jurídicos modernos han venido marcando una línea [para su] protección, con el objeto de procurarles mejores condiciones en el entramado social, lo que pretende lograrse garantizándoles el derecho a: […] iii) [la] no discriminación tratándose de empleo, acceso a vivienda, cuidado de la salud y servicios sociales; iv) servicios de salud” […].</w:t>
      </w:r>
      <w:r w:rsidRPr="00B1523A">
        <w:rPr>
          <w:i/>
          <w:sz w:val="16"/>
          <w:szCs w:val="16"/>
          <w:lang w:val="es-AR"/>
        </w:rPr>
        <w:t xml:space="preserve">  Cfr. </w:t>
      </w:r>
      <w:r w:rsidRPr="00255B98">
        <w:rPr>
          <w:sz w:val="16"/>
          <w:szCs w:val="16"/>
          <w:lang w:val="es-AR"/>
        </w:rPr>
        <w:t xml:space="preserve">Suprema Corte de Justicia de la Nación </w:t>
      </w:r>
      <w:r>
        <w:rPr>
          <w:sz w:val="16"/>
          <w:szCs w:val="16"/>
          <w:lang w:val="es-AR"/>
        </w:rPr>
        <w:t>(</w:t>
      </w:r>
      <w:r w:rsidRPr="00255B98">
        <w:rPr>
          <w:sz w:val="16"/>
          <w:szCs w:val="16"/>
          <w:lang w:val="es-AR"/>
        </w:rPr>
        <w:t>México</w:t>
      </w:r>
      <w:r>
        <w:rPr>
          <w:sz w:val="16"/>
          <w:szCs w:val="16"/>
          <w:lang w:val="es-AR"/>
        </w:rPr>
        <w:t>)</w:t>
      </w:r>
      <w:r w:rsidRPr="00255B98">
        <w:rPr>
          <w:sz w:val="16"/>
          <w:szCs w:val="16"/>
          <w:lang w:val="es-AR"/>
        </w:rPr>
        <w:t xml:space="preserve">, Tesis 1ª. </w:t>
      </w:r>
      <w:r w:rsidRPr="00BB4919">
        <w:rPr>
          <w:sz w:val="16"/>
          <w:szCs w:val="16"/>
          <w:lang w:val="pt-BR"/>
        </w:rPr>
        <w:t>CXXXIV/2016, Décima Época, Libro 29, Tomo II, abril de 2016.</w:t>
      </w:r>
    </w:p>
  </w:footnote>
  <w:footnote w:id="216">
    <w:p w14:paraId="17422215" w14:textId="3206677F" w:rsidR="003C025E" w:rsidRPr="001C452D" w:rsidRDefault="003C025E" w:rsidP="00911089">
      <w:pPr>
        <w:pStyle w:val="FootnoteText"/>
        <w:rPr>
          <w:lang w:val="es-AR"/>
        </w:rPr>
      </w:pPr>
      <w:r w:rsidRPr="00C64243">
        <w:rPr>
          <w:rStyle w:val="FootnoteReference"/>
          <w:color w:val="000000"/>
          <w:sz w:val="16"/>
          <w:szCs w:val="16"/>
        </w:rPr>
        <w:footnoteRef/>
      </w:r>
      <w:r w:rsidRPr="00BB4919">
        <w:rPr>
          <w:lang w:val="pt-BR"/>
        </w:rPr>
        <w:t xml:space="preserve"> </w:t>
      </w:r>
      <w:r w:rsidRPr="00BB4919">
        <w:rPr>
          <w:lang w:val="pt-BR"/>
        </w:rPr>
        <w:tab/>
      </w:r>
      <w:r w:rsidRPr="00BB4919">
        <w:rPr>
          <w:i/>
          <w:sz w:val="16"/>
          <w:szCs w:val="16"/>
          <w:lang w:val="pt-BR"/>
        </w:rPr>
        <w:t>Cfr.</w:t>
      </w:r>
      <w:r w:rsidRPr="00BB4919">
        <w:rPr>
          <w:sz w:val="16"/>
          <w:szCs w:val="16"/>
          <w:lang w:val="pt-BR"/>
        </w:rPr>
        <w:t xml:space="preserve"> </w:t>
      </w:r>
      <w:r w:rsidRPr="00BB4919">
        <w:rPr>
          <w:sz w:val="16"/>
          <w:lang w:val="pt-BR"/>
        </w:rPr>
        <w:t xml:space="preserve">ONU. </w:t>
      </w:r>
      <w:r w:rsidRPr="00C64243">
        <w:rPr>
          <w:sz w:val="16"/>
          <w:lang w:val="es-MX"/>
        </w:rPr>
        <w:t xml:space="preserve">Alto Comisionado de </w:t>
      </w:r>
      <w:r>
        <w:rPr>
          <w:sz w:val="16"/>
          <w:lang w:val="es-MX"/>
        </w:rPr>
        <w:t>la ONU para los Derechos Humanos</w:t>
      </w:r>
      <w:r w:rsidRPr="00C64243">
        <w:rPr>
          <w:sz w:val="16"/>
          <w:lang w:val="es-MX"/>
        </w:rPr>
        <w:t xml:space="preserve">, </w:t>
      </w:r>
      <w:r w:rsidRPr="00B1523A">
        <w:rPr>
          <w:i/>
          <w:sz w:val="16"/>
          <w:lang w:val="es-MX"/>
        </w:rPr>
        <w:t>“Estándares normativos en el Derecho Internacional de los Derechos Humanos en relación con las personas de edad”</w:t>
      </w:r>
      <w:r w:rsidRPr="00C64243">
        <w:rPr>
          <w:sz w:val="16"/>
          <w:lang w:val="es-MX"/>
        </w:rPr>
        <w:t>, A/HRC/18/37</w:t>
      </w:r>
      <w:r>
        <w:rPr>
          <w:sz w:val="16"/>
          <w:lang w:val="es-MX"/>
        </w:rPr>
        <w:t>,</w:t>
      </w:r>
      <w:r w:rsidRPr="0097177B">
        <w:rPr>
          <w:sz w:val="16"/>
          <w:lang w:val="es-MX"/>
        </w:rPr>
        <w:t xml:space="preserve"> </w:t>
      </w:r>
      <w:r>
        <w:rPr>
          <w:sz w:val="16"/>
          <w:lang w:val="es-MX"/>
        </w:rPr>
        <w:t>a</w:t>
      </w:r>
      <w:r w:rsidRPr="00C64243">
        <w:rPr>
          <w:sz w:val="16"/>
          <w:lang w:val="es-MX"/>
        </w:rPr>
        <w:t>gosto de 2012, párr. 9.  Al respecto</w:t>
      </w:r>
      <w:r>
        <w:rPr>
          <w:sz w:val="16"/>
          <w:lang w:val="es-MX"/>
        </w:rPr>
        <w:t>,</w:t>
      </w:r>
      <w:r w:rsidRPr="00C64243">
        <w:rPr>
          <w:sz w:val="16"/>
          <w:lang w:val="es-MX"/>
        </w:rPr>
        <w:t xml:space="preserve"> el Relator Especial destaca que el problema más importante que plantea el envejecimiento mundial es el de garantizar el ejercicio de los derechos humanos a las personas mayores, para lo cual es imprescindible que se tomen medidas para erradicar </w:t>
      </w:r>
      <w:r>
        <w:rPr>
          <w:sz w:val="16"/>
          <w:lang w:val="es-MX"/>
        </w:rPr>
        <w:t xml:space="preserve">su </w:t>
      </w:r>
      <w:r w:rsidRPr="00C64243">
        <w:rPr>
          <w:sz w:val="16"/>
          <w:lang w:val="es-MX"/>
        </w:rPr>
        <w:t>discriminación y exclusión.</w:t>
      </w:r>
      <w:r>
        <w:t xml:space="preserve"> </w:t>
      </w:r>
    </w:p>
  </w:footnote>
  <w:footnote w:id="217">
    <w:p w14:paraId="5F2239B2" w14:textId="5322E4C4" w:rsidR="003C025E" w:rsidRPr="00B1523A" w:rsidRDefault="003C025E" w:rsidP="00911089">
      <w:pPr>
        <w:pStyle w:val="FootnoteText"/>
        <w:rPr>
          <w:lang w:val="en-US"/>
        </w:rPr>
      </w:pPr>
      <w:r w:rsidRPr="00C64243">
        <w:rPr>
          <w:rStyle w:val="FootnoteReference"/>
          <w:color w:val="000000"/>
          <w:sz w:val="16"/>
          <w:szCs w:val="16"/>
        </w:rPr>
        <w:footnoteRef/>
      </w:r>
      <w:r w:rsidRPr="00B1523A">
        <w:rPr>
          <w:lang w:val="en-US"/>
        </w:rPr>
        <w:t xml:space="preserve"> </w:t>
      </w:r>
      <w:r w:rsidRPr="00B1523A">
        <w:rPr>
          <w:lang w:val="en-US"/>
        </w:rPr>
        <w:tab/>
      </w:r>
      <w:proofErr w:type="spellStart"/>
      <w:r w:rsidRPr="00B1523A">
        <w:rPr>
          <w:i/>
          <w:sz w:val="16"/>
          <w:szCs w:val="16"/>
          <w:lang w:val="en-US"/>
        </w:rPr>
        <w:t>Cfr</w:t>
      </w:r>
      <w:proofErr w:type="spellEnd"/>
      <w:r w:rsidRPr="00B1523A">
        <w:rPr>
          <w:i/>
          <w:sz w:val="16"/>
          <w:szCs w:val="16"/>
          <w:lang w:val="en-US"/>
        </w:rPr>
        <w:t xml:space="preserve">. </w:t>
      </w:r>
      <w:r w:rsidRPr="00B1523A">
        <w:rPr>
          <w:sz w:val="16"/>
          <w:lang w:val="en-US"/>
        </w:rPr>
        <w:t>OMS,</w:t>
      </w:r>
      <w:r w:rsidRPr="00B1523A">
        <w:rPr>
          <w:i/>
          <w:sz w:val="16"/>
          <w:lang w:val="en-US"/>
        </w:rPr>
        <w:t xml:space="preserve"> “Social Development and Ageing: Crisis or Opportunity”</w:t>
      </w:r>
      <w:r w:rsidRPr="00B1523A">
        <w:rPr>
          <w:sz w:val="16"/>
          <w:lang w:val="en-US"/>
        </w:rPr>
        <w:t xml:space="preserve">. </w:t>
      </w:r>
      <w:r w:rsidRPr="00B1523A">
        <w:rPr>
          <w:sz w:val="16"/>
          <w:lang w:val="es-MX"/>
        </w:rPr>
        <w:t xml:space="preserve">Panel especial sobre envejecimiento </w:t>
      </w:r>
      <w:r w:rsidRPr="00512E12">
        <w:rPr>
          <w:sz w:val="16"/>
          <w:lang w:val="es-MX"/>
        </w:rPr>
        <w:t xml:space="preserve">y desarrollo social dentro del </w:t>
      </w:r>
      <w:r>
        <w:rPr>
          <w:sz w:val="16"/>
          <w:lang w:val="es-MX"/>
        </w:rPr>
        <w:t>F</w:t>
      </w:r>
      <w:r w:rsidRPr="00B1523A">
        <w:rPr>
          <w:sz w:val="16"/>
          <w:lang w:val="es-MX"/>
        </w:rPr>
        <w:t xml:space="preserve">oro 2000 celebrado en </w:t>
      </w:r>
      <w:r w:rsidRPr="00512E12">
        <w:rPr>
          <w:sz w:val="16"/>
          <w:lang w:val="es-MX"/>
        </w:rPr>
        <w:t xml:space="preserve">Ginebra, pág. 4, y ONU. </w:t>
      </w:r>
      <w:proofErr w:type="spellStart"/>
      <w:proofErr w:type="gramStart"/>
      <w:r w:rsidRPr="00B1523A">
        <w:rPr>
          <w:sz w:val="16"/>
          <w:lang w:val="en-US"/>
        </w:rPr>
        <w:t>Comité</w:t>
      </w:r>
      <w:proofErr w:type="spellEnd"/>
      <w:r w:rsidRPr="00B1523A">
        <w:rPr>
          <w:sz w:val="16"/>
          <w:lang w:val="en-US"/>
        </w:rPr>
        <w:t xml:space="preserve"> DESC, </w:t>
      </w:r>
      <w:r>
        <w:rPr>
          <w:i/>
          <w:sz w:val="16"/>
          <w:lang w:val="en-US"/>
        </w:rPr>
        <w:t>OG-</w:t>
      </w:r>
      <w:r w:rsidRPr="00B1523A">
        <w:rPr>
          <w:i/>
          <w:sz w:val="16"/>
          <w:lang w:val="en-US"/>
        </w:rPr>
        <w:t xml:space="preserve"> 6</w:t>
      </w:r>
      <w:r w:rsidRPr="00B1523A">
        <w:rPr>
          <w:sz w:val="16"/>
          <w:lang w:val="en-US"/>
        </w:rPr>
        <w:t xml:space="preserve">, </w:t>
      </w:r>
      <w:r w:rsidRPr="00B1523A">
        <w:rPr>
          <w:i/>
          <w:sz w:val="16"/>
          <w:lang w:val="en-US"/>
        </w:rPr>
        <w:t>supra</w:t>
      </w:r>
      <w:r w:rsidRPr="00B1523A">
        <w:rPr>
          <w:sz w:val="16"/>
          <w:lang w:val="en-US"/>
        </w:rPr>
        <w:t xml:space="preserve">, </w:t>
      </w:r>
      <w:proofErr w:type="spellStart"/>
      <w:r w:rsidRPr="00B1523A">
        <w:rPr>
          <w:sz w:val="16"/>
          <w:lang w:val="en-US"/>
        </w:rPr>
        <w:t>párr</w:t>
      </w:r>
      <w:proofErr w:type="spellEnd"/>
      <w:r w:rsidRPr="00B1523A">
        <w:rPr>
          <w:sz w:val="16"/>
          <w:lang w:val="en-US"/>
        </w:rPr>
        <w:t>.</w:t>
      </w:r>
      <w:proofErr w:type="gramEnd"/>
      <w:r w:rsidRPr="00B1523A">
        <w:rPr>
          <w:sz w:val="16"/>
          <w:lang w:val="en-US"/>
        </w:rPr>
        <w:t xml:space="preserve"> 1.</w:t>
      </w:r>
    </w:p>
  </w:footnote>
  <w:footnote w:id="218">
    <w:p w14:paraId="612A25B4" w14:textId="09550FDE" w:rsidR="003C025E" w:rsidRDefault="003C025E" w:rsidP="00911089">
      <w:pPr>
        <w:pStyle w:val="FootnoteText"/>
        <w:rPr>
          <w:sz w:val="16"/>
          <w:szCs w:val="16"/>
          <w:lang w:val="es-MX"/>
        </w:rPr>
      </w:pPr>
      <w:r w:rsidRPr="00C64243">
        <w:rPr>
          <w:rStyle w:val="FootnoteReference"/>
          <w:color w:val="000000"/>
          <w:sz w:val="16"/>
          <w:szCs w:val="16"/>
        </w:rPr>
        <w:footnoteRef/>
      </w:r>
      <w:r w:rsidRPr="00B1523A">
        <w:rPr>
          <w:lang w:val="en-US"/>
        </w:rPr>
        <w:t xml:space="preserve"> </w:t>
      </w:r>
      <w:r w:rsidRPr="00B1523A">
        <w:rPr>
          <w:lang w:val="en-US"/>
        </w:rPr>
        <w:tab/>
      </w:r>
      <w:proofErr w:type="spellStart"/>
      <w:r w:rsidRPr="00B1523A">
        <w:rPr>
          <w:i/>
          <w:sz w:val="16"/>
          <w:szCs w:val="16"/>
          <w:lang w:val="en-US"/>
        </w:rPr>
        <w:t>Cfr</w:t>
      </w:r>
      <w:proofErr w:type="spellEnd"/>
      <w:r w:rsidRPr="00B1523A">
        <w:rPr>
          <w:i/>
          <w:sz w:val="16"/>
          <w:szCs w:val="16"/>
          <w:lang w:val="en-US"/>
        </w:rPr>
        <w:t xml:space="preserve">. </w:t>
      </w:r>
      <w:r w:rsidRPr="00B1523A">
        <w:rPr>
          <w:sz w:val="16"/>
          <w:szCs w:val="16"/>
          <w:lang w:val="en-US"/>
        </w:rPr>
        <w:t xml:space="preserve">ONU. </w:t>
      </w:r>
      <w:proofErr w:type="spellStart"/>
      <w:r w:rsidRPr="00B1523A">
        <w:rPr>
          <w:sz w:val="16"/>
          <w:szCs w:val="16"/>
          <w:lang w:val="en-US"/>
        </w:rPr>
        <w:t>División</w:t>
      </w:r>
      <w:proofErr w:type="spellEnd"/>
      <w:r w:rsidRPr="00B1523A">
        <w:rPr>
          <w:sz w:val="16"/>
          <w:szCs w:val="16"/>
          <w:lang w:val="en-US"/>
        </w:rPr>
        <w:t xml:space="preserve"> de </w:t>
      </w:r>
      <w:proofErr w:type="spellStart"/>
      <w:r w:rsidRPr="00B1523A">
        <w:rPr>
          <w:sz w:val="16"/>
          <w:szCs w:val="16"/>
          <w:lang w:val="en-US"/>
        </w:rPr>
        <w:t>Población</w:t>
      </w:r>
      <w:proofErr w:type="spellEnd"/>
      <w:r w:rsidRPr="00B1523A">
        <w:rPr>
          <w:sz w:val="16"/>
          <w:szCs w:val="16"/>
          <w:lang w:val="en-US"/>
        </w:rPr>
        <w:t xml:space="preserve">, </w:t>
      </w:r>
      <w:r w:rsidRPr="00B1523A">
        <w:rPr>
          <w:i/>
          <w:sz w:val="16"/>
          <w:szCs w:val="16"/>
          <w:lang w:val="en-US"/>
        </w:rPr>
        <w:t>“World Population Prospects: The 2015 Revision, Key Findings and Advance Tables”</w:t>
      </w:r>
      <w:r w:rsidRPr="00B1523A">
        <w:rPr>
          <w:sz w:val="16"/>
          <w:szCs w:val="16"/>
          <w:lang w:val="en-US"/>
        </w:rPr>
        <w:t xml:space="preserve">, Working Paper, Nº 241. </w:t>
      </w:r>
      <w:r w:rsidRPr="003B547B">
        <w:rPr>
          <w:sz w:val="16"/>
          <w:szCs w:val="16"/>
          <w:lang w:val="es-MX"/>
        </w:rPr>
        <w:t>ESA/P/WP.241, 2015</w:t>
      </w:r>
      <w:r>
        <w:rPr>
          <w:sz w:val="16"/>
          <w:szCs w:val="16"/>
          <w:lang w:val="es-MX"/>
        </w:rPr>
        <w:t xml:space="preserve">. Disponible en: </w:t>
      </w:r>
      <w:hyperlink r:id="rId6" w:history="1">
        <w:r w:rsidRPr="00EE15BE">
          <w:rPr>
            <w:rStyle w:val="Hyperlink"/>
            <w:sz w:val="16"/>
            <w:szCs w:val="16"/>
            <w:lang w:val="es-MX"/>
          </w:rPr>
          <w:t>http://esa.un.org/unpd/wpp/</w:t>
        </w:r>
      </w:hyperlink>
      <w:r>
        <w:rPr>
          <w:sz w:val="16"/>
          <w:szCs w:val="16"/>
          <w:lang w:val="es-MX"/>
        </w:rPr>
        <w:t xml:space="preserve"> </w:t>
      </w:r>
    </w:p>
    <w:p w14:paraId="3F0C591A" w14:textId="157F7AF3" w:rsidR="003C025E" w:rsidRPr="00B1523A" w:rsidRDefault="003C025E" w:rsidP="00911089">
      <w:pPr>
        <w:pStyle w:val="FootnoteText"/>
        <w:rPr>
          <w:sz w:val="16"/>
          <w:szCs w:val="16"/>
          <w:lang w:val="es-AR"/>
        </w:rPr>
      </w:pPr>
      <w:r>
        <w:rPr>
          <w:sz w:val="16"/>
          <w:szCs w:val="16"/>
          <w:lang w:val="es-MX"/>
        </w:rPr>
        <w:t xml:space="preserve">Asimismo: ONU. CEPAL, </w:t>
      </w:r>
      <w:r w:rsidRPr="00B1523A">
        <w:rPr>
          <w:i/>
          <w:sz w:val="16"/>
          <w:szCs w:val="16"/>
          <w:lang w:val="es-MX"/>
        </w:rPr>
        <w:t>“Derechos de las personas mayores: retos para la interdependencia y autonomía”</w:t>
      </w:r>
      <w:r>
        <w:rPr>
          <w:sz w:val="16"/>
          <w:szCs w:val="16"/>
          <w:lang w:val="es-MX"/>
        </w:rPr>
        <w:t xml:space="preserve">, </w:t>
      </w:r>
      <w:r w:rsidRPr="003B547B">
        <w:rPr>
          <w:sz w:val="16"/>
          <w:szCs w:val="16"/>
          <w:lang w:val="es-MX"/>
        </w:rPr>
        <w:t>LC/CRE.4/3, 2017, pág</w:t>
      </w:r>
      <w:r>
        <w:rPr>
          <w:sz w:val="16"/>
          <w:szCs w:val="16"/>
          <w:lang w:val="es-MX"/>
        </w:rPr>
        <w:t>s</w:t>
      </w:r>
      <w:r w:rsidRPr="003B547B">
        <w:rPr>
          <w:sz w:val="16"/>
          <w:szCs w:val="16"/>
          <w:lang w:val="es-MX"/>
        </w:rPr>
        <w:t>. 15 a 50</w:t>
      </w:r>
      <w:r w:rsidRPr="00B1523A">
        <w:rPr>
          <w:sz w:val="16"/>
          <w:szCs w:val="16"/>
          <w:lang w:val="es-AR"/>
        </w:rPr>
        <w:t>.</w:t>
      </w:r>
    </w:p>
  </w:footnote>
  <w:footnote w:id="219">
    <w:p w14:paraId="57C30273" w14:textId="7003DDCA" w:rsidR="003C025E" w:rsidRPr="002768B7" w:rsidRDefault="003C025E" w:rsidP="00911089">
      <w:pPr>
        <w:pStyle w:val="FootnoteText"/>
        <w:rPr>
          <w:lang w:val="es-MX"/>
        </w:rPr>
      </w:pPr>
      <w:r w:rsidRPr="00C1725C">
        <w:rPr>
          <w:rStyle w:val="FootnoteReference"/>
          <w:rFonts w:eastAsia="Calibri"/>
          <w:sz w:val="16"/>
          <w:lang w:eastAsia="en-US"/>
        </w:rPr>
        <w:footnoteRef/>
      </w:r>
      <w:r w:rsidRPr="003E5B75">
        <w:rPr>
          <w:lang w:val="es-MX"/>
        </w:rPr>
        <w:t xml:space="preserve"> </w:t>
      </w:r>
      <w:r>
        <w:rPr>
          <w:lang w:val="es-MX"/>
        </w:rPr>
        <w:tab/>
      </w:r>
      <w:r w:rsidRPr="005E01F5">
        <w:rPr>
          <w:sz w:val="16"/>
          <w:lang w:val="es-MX"/>
        </w:rPr>
        <w:t xml:space="preserve">Declaración </w:t>
      </w:r>
      <w:r>
        <w:rPr>
          <w:sz w:val="16"/>
          <w:lang w:val="es-MX"/>
        </w:rPr>
        <w:t xml:space="preserve">rendida por </w:t>
      </w:r>
      <w:r w:rsidRPr="005E01F5">
        <w:rPr>
          <w:sz w:val="16"/>
          <w:lang w:val="es-MX"/>
        </w:rPr>
        <w:t>el perito</w:t>
      </w:r>
      <w:r>
        <w:rPr>
          <w:sz w:val="16"/>
          <w:lang w:val="es-MX"/>
        </w:rPr>
        <w:t>,</w:t>
      </w:r>
      <w:r w:rsidRPr="005E01F5">
        <w:rPr>
          <w:sz w:val="16"/>
          <w:lang w:val="es-MX"/>
        </w:rPr>
        <w:t xml:space="preserve"> Dr. Javier Alejandro Santos, especialista en geriatría y gerontología, </w:t>
      </w:r>
      <w:r>
        <w:rPr>
          <w:sz w:val="16"/>
          <w:lang w:val="es-MX"/>
        </w:rPr>
        <w:t xml:space="preserve">ante la Corte </w:t>
      </w:r>
      <w:r w:rsidRPr="005E01F5">
        <w:rPr>
          <w:sz w:val="16"/>
          <w:lang w:val="es-MX"/>
        </w:rPr>
        <w:t xml:space="preserve">en </w:t>
      </w:r>
      <w:r>
        <w:rPr>
          <w:sz w:val="16"/>
          <w:lang w:val="es-MX"/>
        </w:rPr>
        <w:t xml:space="preserve">la </w:t>
      </w:r>
      <w:r w:rsidRPr="005E01F5">
        <w:rPr>
          <w:sz w:val="16"/>
          <w:lang w:val="es-MX"/>
        </w:rPr>
        <w:t xml:space="preserve">audiencia </w:t>
      </w:r>
      <w:r>
        <w:rPr>
          <w:sz w:val="16"/>
          <w:lang w:val="es-MX"/>
        </w:rPr>
        <w:t xml:space="preserve">pública </w:t>
      </w:r>
      <w:r w:rsidRPr="005E01F5">
        <w:rPr>
          <w:sz w:val="16"/>
          <w:lang w:val="es-MX"/>
        </w:rPr>
        <w:t>del</w:t>
      </w:r>
      <w:r w:rsidRPr="005E01F5">
        <w:rPr>
          <w:i/>
          <w:sz w:val="16"/>
          <w:lang w:val="es-MX"/>
        </w:rPr>
        <w:t xml:space="preserve"> Caso Poblete Vilches Vs. Chile</w:t>
      </w:r>
      <w:r w:rsidRPr="005E01F5">
        <w:rPr>
          <w:sz w:val="16"/>
          <w:lang w:val="es-MX"/>
        </w:rPr>
        <w:t xml:space="preserve">, </w:t>
      </w:r>
      <w:r>
        <w:rPr>
          <w:sz w:val="16"/>
          <w:lang w:val="es-MX"/>
        </w:rPr>
        <w:t xml:space="preserve">el </w:t>
      </w:r>
      <w:r w:rsidRPr="005E01F5">
        <w:rPr>
          <w:sz w:val="16"/>
          <w:lang w:val="es-MX"/>
        </w:rPr>
        <w:t>19 de octubre de 2017</w:t>
      </w:r>
      <w:r>
        <w:rPr>
          <w:sz w:val="16"/>
          <w:lang w:val="es-MX"/>
        </w:rPr>
        <w:t xml:space="preserve"> (Transcripción de audiencia pública, pág. 96)</w:t>
      </w:r>
      <w:r w:rsidRPr="005E01F5">
        <w:rPr>
          <w:sz w:val="16"/>
          <w:lang w:val="es-MX"/>
        </w:rPr>
        <w:t>.</w:t>
      </w:r>
    </w:p>
  </w:footnote>
  <w:footnote w:id="220">
    <w:p w14:paraId="6F41E4F8" w14:textId="40B03E12" w:rsidR="003C025E" w:rsidRPr="009341CC" w:rsidRDefault="003C025E" w:rsidP="00911089">
      <w:pPr>
        <w:pStyle w:val="FootnoteText"/>
        <w:rPr>
          <w:lang w:val="es-AR"/>
        </w:rPr>
      </w:pPr>
      <w:r w:rsidRPr="00603440">
        <w:rPr>
          <w:rStyle w:val="FootnoteReference"/>
          <w:color w:val="000000"/>
          <w:sz w:val="16"/>
          <w:szCs w:val="16"/>
        </w:rPr>
        <w:footnoteRef/>
      </w:r>
      <w:r w:rsidRPr="009341CC">
        <w:rPr>
          <w:lang w:val="es-AR"/>
        </w:rPr>
        <w:t xml:space="preserve"> </w:t>
      </w:r>
      <w:r>
        <w:rPr>
          <w:lang w:val="es-AR"/>
        </w:rPr>
        <w:tab/>
      </w:r>
      <w:r w:rsidRPr="005E01F5">
        <w:rPr>
          <w:sz w:val="16"/>
          <w:lang w:val="es-MX"/>
        </w:rPr>
        <w:t xml:space="preserve">Declaración </w:t>
      </w:r>
      <w:r>
        <w:rPr>
          <w:sz w:val="16"/>
          <w:lang w:val="es-MX"/>
        </w:rPr>
        <w:t xml:space="preserve">rendida por </w:t>
      </w:r>
      <w:r w:rsidRPr="005E01F5">
        <w:rPr>
          <w:sz w:val="16"/>
          <w:lang w:val="es-MX"/>
        </w:rPr>
        <w:t>el perito</w:t>
      </w:r>
      <w:r>
        <w:rPr>
          <w:sz w:val="16"/>
          <w:lang w:val="es-MX"/>
        </w:rPr>
        <w:t>,</w:t>
      </w:r>
      <w:r w:rsidRPr="005E01F5">
        <w:rPr>
          <w:sz w:val="16"/>
          <w:lang w:val="es-MX"/>
        </w:rPr>
        <w:t xml:space="preserve"> Dr. Javier Alejandro Santos</w:t>
      </w:r>
      <w:r>
        <w:rPr>
          <w:sz w:val="16"/>
          <w:lang w:val="es-MX"/>
        </w:rPr>
        <w:t xml:space="preserve">, </w:t>
      </w:r>
      <w:r w:rsidRPr="00B1523A">
        <w:rPr>
          <w:i/>
          <w:sz w:val="16"/>
          <w:lang w:val="es-MX"/>
        </w:rPr>
        <w:t>supra</w:t>
      </w:r>
      <w:r>
        <w:rPr>
          <w:sz w:val="16"/>
          <w:lang w:val="es-MX"/>
        </w:rPr>
        <w:t xml:space="preserve">, </w:t>
      </w:r>
      <w:r w:rsidRPr="00603440">
        <w:rPr>
          <w:sz w:val="16"/>
          <w:lang w:val="es-MX"/>
        </w:rPr>
        <w:t>pág</w:t>
      </w:r>
      <w:r>
        <w:rPr>
          <w:sz w:val="16"/>
          <w:lang w:val="es-MX"/>
        </w:rPr>
        <w:t>s</w:t>
      </w:r>
      <w:r w:rsidRPr="00603440">
        <w:rPr>
          <w:sz w:val="16"/>
          <w:lang w:val="es-MX"/>
        </w:rPr>
        <w:t>.</w:t>
      </w:r>
      <w:r>
        <w:rPr>
          <w:sz w:val="16"/>
          <w:lang w:val="es-MX"/>
        </w:rPr>
        <w:t xml:space="preserve"> </w:t>
      </w:r>
      <w:r w:rsidRPr="00603440">
        <w:rPr>
          <w:sz w:val="16"/>
          <w:lang w:val="es-MX"/>
        </w:rPr>
        <w:t>55</w:t>
      </w:r>
      <w:r>
        <w:rPr>
          <w:sz w:val="16"/>
          <w:lang w:val="es-MX"/>
        </w:rPr>
        <w:t xml:space="preserve"> y 60</w:t>
      </w:r>
      <w:r w:rsidRPr="00603440">
        <w:rPr>
          <w:sz w:val="16"/>
          <w:lang w:val="es-MX"/>
        </w:rPr>
        <w:t xml:space="preserve">. </w:t>
      </w:r>
    </w:p>
  </w:footnote>
  <w:footnote w:id="221">
    <w:p w14:paraId="53C17210" w14:textId="5C794A31" w:rsidR="003C025E" w:rsidRPr="002570D1" w:rsidRDefault="003C025E" w:rsidP="002570D1">
      <w:pPr>
        <w:pStyle w:val="FootnoteText"/>
        <w:rPr>
          <w:sz w:val="16"/>
          <w:szCs w:val="16"/>
          <w:lang w:val="es-CR"/>
        </w:rPr>
      </w:pPr>
      <w:r w:rsidRPr="002570D1">
        <w:rPr>
          <w:rStyle w:val="FootnoteReference"/>
          <w:sz w:val="16"/>
          <w:szCs w:val="16"/>
        </w:rPr>
        <w:footnoteRef/>
      </w:r>
      <w:r w:rsidRPr="002570D1">
        <w:rPr>
          <w:rStyle w:val="FootnoteReference"/>
          <w:sz w:val="16"/>
          <w:szCs w:val="16"/>
          <w:lang w:val="es-AR"/>
        </w:rPr>
        <w:t xml:space="preserve"> </w:t>
      </w:r>
      <w:r w:rsidRPr="002570D1">
        <w:rPr>
          <w:sz w:val="16"/>
          <w:szCs w:val="16"/>
          <w:lang w:val="es-CR"/>
        </w:rPr>
        <w:t xml:space="preserve">  </w:t>
      </w:r>
      <w:r>
        <w:rPr>
          <w:sz w:val="16"/>
          <w:szCs w:val="16"/>
          <w:lang w:val="es-CR"/>
        </w:rPr>
        <w:tab/>
      </w:r>
      <w:r>
        <w:rPr>
          <w:i/>
          <w:sz w:val="16"/>
          <w:szCs w:val="16"/>
          <w:lang w:val="es-CR"/>
        </w:rPr>
        <w:t xml:space="preserve">Cfr. </w:t>
      </w:r>
      <w:r>
        <w:rPr>
          <w:sz w:val="16"/>
          <w:szCs w:val="16"/>
          <w:lang w:val="es-CR"/>
        </w:rPr>
        <w:t>D</w:t>
      </w:r>
      <w:r w:rsidRPr="002570D1">
        <w:rPr>
          <w:sz w:val="16"/>
          <w:szCs w:val="16"/>
          <w:lang w:val="es-CR"/>
        </w:rPr>
        <w:t>ocumento complementario</w:t>
      </w:r>
      <w:r>
        <w:rPr>
          <w:sz w:val="16"/>
          <w:szCs w:val="16"/>
          <w:lang w:val="es-CR"/>
        </w:rPr>
        <w:t xml:space="preserve"> a la</w:t>
      </w:r>
      <w:r w:rsidRPr="002570D1">
        <w:rPr>
          <w:sz w:val="16"/>
          <w:szCs w:val="16"/>
          <w:lang w:val="es-CR"/>
        </w:rPr>
        <w:t xml:space="preserve"> declaración pericial</w:t>
      </w:r>
      <w:r w:rsidRPr="009E0B68">
        <w:rPr>
          <w:sz w:val="16"/>
          <w:szCs w:val="16"/>
          <w:lang w:val="es-CR"/>
        </w:rPr>
        <w:t xml:space="preserve"> </w:t>
      </w:r>
      <w:r>
        <w:rPr>
          <w:sz w:val="16"/>
          <w:szCs w:val="16"/>
          <w:lang w:val="es-CR"/>
        </w:rPr>
        <w:t xml:space="preserve">de la perita </w:t>
      </w:r>
      <w:r w:rsidRPr="002570D1">
        <w:rPr>
          <w:sz w:val="16"/>
          <w:szCs w:val="16"/>
          <w:lang w:val="es-CR"/>
        </w:rPr>
        <w:t xml:space="preserve">Alicia Ely </w:t>
      </w:r>
      <w:proofErr w:type="spellStart"/>
      <w:r w:rsidRPr="002570D1">
        <w:rPr>
          <w:sz w:val="16"/>
          <w:szCs w:val="16"/>
          <w:lang w:val="es-CR"/>
        </w:rPr>
        <w:t>Yamin</w:t>
      </w:r>
      <w:proofErr w:type="spellEnd"/>
      <w:r>
        <w:rPr>
          <w:sz w:val="16"/>
          <w:szCs w:val="16"/>
          <w:lang w:val="es-CR"/>
        </w:rPr>
        <w:t xml:space="preserve">, </w:t>
      </w:r>
      <w:r w:rsidRPr="00B1523A">
        <w:rPr>
          <w:i/>
          <w:sz w:val="16"/>
          <w:szCs w:val="16"/>
          <w:lang w:val="es-CR"/>
        </w:rPr>
        <w:t>supra</w:t>
      </w:r>
      <w:r>
        <w:rPr>
          <w:sz w:val="16"/>
          <w:szCs w:val="16"/>
          <w:lang w:val="es-CR"/>
        </w:rPr>
        <w:t xml:space="preserve"> (expediente de fondo, </w:t>
      </w:r>
      <w:r w:rsidRPr="00101845">
        <w:rPr>
          <w:sz w:val="16"/>
          <w:szCs w:val="16"/>
          <w:lang w:val="es-CR"/>
        </w:rPr>
        <w:t>f. 762</w:t>
      </w:r>
      <w:r>
        <w:rPr>
          <w:sz w:val="16"/>
          <w:szCs w:val="16"/>
          <w:lang w:val="es-CR"/>
        </w:rPr>
        <w:t xml:space="preserve">). En el mismo, la especialista destacó que “[…] </w:t>
      </w:r>
      <w:r w:rsidRPr="002570D1">
        <w:rPr>
          <w:sz w:val="16"/>
          <w:szCs w:val="16"/>
          <w:lang w:val="es-CR"/>
        </w:rPr>
        <w:t>la relación desigual de poder entre el médico y el paciente puede verse exacerbada</w:t>
      </w:r>
      <w:r>
        <w:rPr>
          <w:sz w:val="16"/>
          <w:szCs w:val="16"/>
          <w:lang w:val="es-CR"/>
        </w:rPr>
        <w:t xml:space="preserve"> </w:t>
      </w:r>
      <w:r w:rsidRPr="002570D1">
        <w:rPr>
          <w:sz w:val="16"/>
          <w:szCs w:val="16"/>
          <w:lang w:val="es-CR"/>
        </w:rPr>
        <w:t>por las relaciones desiguales de poder que históricamente han contribuido a la marginalización, exclusión y/o discriminación de grupos vulnerables en virtud de la condición o situación social o económica. Estas relaciones estructurales de poder tienen el potencial de exacerbar la posición dominante y persistente, que constituye de forma consciente o inconsciente la base de prácticas que refuerzan la posición de los pacientes como dependientes y subordinadas, en lugar de seres humanos con autonomía y dignidad</w:t>
      </w:r>
      <w:r>
        <w:rPr>
          <w:sz w:val="16"/>
          <w:szCs w:val="16"/>
          <w:lang w:val="es-CR"/>
        </w:rPr>
        <w:t xml:space="preserve"> […]</w:t>
      </w:r>
      <w:r w:rsidRPr="008A114C">
        <w:rPr>
          <w:sz w:val="16"/>
          <w:szCs w:val="16"/>
          <w:lang w:val="es-CR"/>
        </w:rPr>
        <w:t>”.  V</w:t>
      </w:r>
      <w:r>
        <w:rPr>
          <w:sz w:val="16"/>
          <w:szCs w:val="16"/>
          <w:lang w:val="es-CR"/>
        </w:rPr>
        <w:t>éase</w:t>
      </w:r>
      <w:r w:rsidRPr="008A114C">
        <w:rPr>
          <w:sz w:val="16"/>
          <w:szCs w:val="16"/>
          <w:lang w:val="es-CR"/>
        </w:rPr>
        <w:t xml:space="preserve"> también </w:t>
      </w:r>
      <w:r w:rsidRPr="008A114C">
        <w:rPr>
          <w:rStyle w:val="Strong"/>
          <w:b w:val="0"/>
          <w:i/>
          <w:color w:val="000000"/>
          <w:sz w:val="16"/>
          <w:szCs w:val="16"/>
          <w:shd w:val="clear" w:color="auto" w:fill="FFFFFF"/>
          <w:lang w:val="es-CR"/>
        </w:rPr>
        <w:t xml:space="preserve">Caso I.V. Vs. Bolivia, </w:t>
      </w:r>
      <w:r w:rsidRPr="00062586">
        <w:rPr>
          <w:rStyle w:val="Strong"/>
          <w:b w:val="0"/>
          <w:i/>
          <w:color w:val="000000"/>
          <w:sz w:val="16"/>
          <w:szCs w:val="16"/>
          <w:shd w:val="clear" w:color="auto" w:fill="FFFFFF"/>
          <w:lang w:val="es-CR"/>
        </w:rPr>
        <w:t>supra</w:t>
      </w:r>
      <w:r w:rsidRPr="008A114C">
        <w:rPr>
          <w:rStyle w:val="Strong"/>
          <w:b w:val="0"/>
          <w:i/>
          <w:color w:val="000000"/>
          <w:sz w:val="16"/>
          <w:szCs w:val="16"/>
          <w:shd w:val="clear" w:color="auto" w:fill="FFFFFF"/>
          <w:lang w:val="es-CR"/>
        </w:rPr>
        <w:t xml:space="preserve">, </w:t>
      </w:r>
      <w:r w:rsidRPr="008A114C">
        <w:rPr>
          <w:rStyle w:val="Strong"/>
          <w:b w:val="0"/>
          <w:color w:val="000000"/>
          <w:sz w:val="16"/>
          <w:szCs w:val="16"/>
          <w:shd w:val="clear" w:color="auto" w:fill="FFFFFF"/>
          <w:lang w:val="es-CR"/>
        </w:rPr>
        <w:t xml:space="preserve">párr. </w:t>
      </w:r>
      <w:r w:rsidRPr="00EF55E3">
        <w:rPr>
          <w:rStyle w:val="Strong"/>
          <w:b w:val="0"/>
          <w:color w:val="000000"/>
          <w:sz w:val="16"/>
          <w:szCs w:val="16"/>
          <w:shd w:val="clear" w:color="auto" w:fill="FFFFFF"/>
          <w:lang w:val="es-CR"/>
        </w:rPr>
        <w:t>160.</w:t>
      </w:r>
    </w:p>
  </w:footnote>
  <w:footnote w:id="222">
    <w:p w14:paraId="3F41BD5C" w14:textId="34201909" w:rsidR="003C025E" w:rsidRPr="00B1523A" w:rsidRDefault="003C025E" w:rsidP="00D24D12">
      <w:pPr>
        <w:pStyle w:val="FootnoteText"/>
        <w:rPr>
          <w:sz w:val="16"/>
          <w:szCs w:val="16"/>
          <w:lang w:val="es-AR"/>
        </w:rPr>
      </w:pPr>
      <w:r w:rsidRPr="0043255A">
        <w:rPr>
          <w:rStyle w:val="FootnoteReference"/>
          <w:color w:val="000000"/>
          <w:sz w:val="16"/>
          <w:szCs w:val="16"/>
        </w:rPr>
        <w:footnoteRef/>
      </w:r>
      <w:r w:rsidRPr="007A770F">
        <w:rPr>
          <w:lang w:val="es-AR"/>
        </w:rPr>
        <w:t xml:space="preserve"> </w:t>
      </w:r>
      <w:r>
        <w:rPr>
          <w:lang w:val="es-AR"/>
        </w:rPr>
        <w:t xml:space="preserve">  </w:t>
      </w:r>
      <w:r>
        <w:rPr>
          <w:lang w:val="es-AR"/>
        </w:rPr>
        <w:tab/>
      </w:r>
      <w:r w:rsidRPr="00B1523A">
        <w:rPr>
          <w:i/>
          <w:sz w:val="16"/>
          <w:szCs w:val="16"/>
          <w:lang w:val="es-AR"/>
        </w:rPr>
        <w:t xml:space="preserve">Cfr. </w:t>
      </w:r>
      <w:r w:rsidRPr="00B1523A">
        <w:rPr>
          <w:sz w:val="16"/>
          <w:szCs w:val="16"/>
          <w:lang w:val="es-AR"/>
        </w:rPr>
        <w:t>MERCOSUR</w:t>
      </w:r>
      <w:r>
        <w:rPr>
          <w:sz w:val="16"/>
          <w:szCs w:val="16"/>
          <w:lang w:val="es-AR"/>
        </w:rPr>
        <w:t xml:space="preserve">. </w:t>
      </w:r>
      <w:r w:rsidRPr="008079FB">
        <w:rPr>
          <w:sz w:val="16"/>
          <w:szCs w:val="16"/>
          <w:lang w:val="es-AR"/>
        </w:rPr>
        <w:t xml:space="preserve">Comisión Permanente sobre Personas Adultas Mayores, </w:t>
      </w:r>
      <w:r w:rsidRPr="00B1523A">
        <w:rPr>
          <w:i/>
          <w:sz w:val="16"/>
          <w:szCs w:val="16"/>
          <w:lang w:val="es-AR"/>
        </w:rPr>
        <w:t>“Campaña Regional: Vivir con dignidad y derechos a todas las edades”</w:t>
      </w:r>
      <w:r w:rsidRPr="008079FB">
        <w:rPr>
          <w:sz w:val="16"/>
          <w:szCs w:val="16"/>
          <w:lang w:val="es-AR"/>
        </w:rPr>
        <w:t xml:space="preserve">, Acta </w:t>
      </w:r>
      <w:r>
        <w:rPr>
          <w:sz w:val="16"/>
          <w:szCs w:val="16"/>
          <w:lang w:val="es-AR"/>
        </w:rPr>
        <w:t xml:space="preserve">de Plenario </w:t>
      </w:r>
      <w:r w:rsidRPr="008079FB">
        <w:rPr>
          <w:sz w:val="16"/>
          <w:szCs w:val="16"/>
          <w:lang w:val="es-AR"/>
        </w:rPr>
        <w:t>XXX, MERCOSUR/RAADH/ACTA N° 02/17.</w:t>
      </w:r>
    </w:p>
  </w:footnote>
  <w:footnote w:id="223">
    <w:p w14:paraId="580A3B53" w14:textId="13C97A6B" w:rsidR="003C025E" w:rsidRPr="002570D1" w:rsidRDefault="003C025E" w:rsidP="00D24D12">
      <w:pPr>
        <w:pStyle w:val="FootnoteText"/>
        <w:rPr>
          <w:sz w:val="16"/>
          <w:szCs w:val="16"/>
          <w:lang w:val="es-AR"/>
        </w:rPr>
      </w:pPr>
      <w:r w:rsidRPr="002570D1">
        <w:rPr>
          <w:rStyle w:val="FootnoteReference"/>
          <w:sz w:val="16"/>
          <w:szCs w:val="16"/>
        </w:rPr>
        <w:footnoteRef/>
      </w:r>
      <w:r w:rsidRPr="002570D1">
        <w:rPr>
          <w:rStyle w:val="FootnoteReference"/>
          <w:sz w:val="16"/>
          <w:szCs w:val="16"/>
          <w:lang w:val="es-AR"/>
        </w:rPr>
        <w:t xml:space="preserve"> </w:t>
      </w:r>
      <w:r w:rsidRPr="002570D1">
        <w:rPr>
          <w:sz w:val="16"/>
          <w:szCs w:val="16"/>
          <w:lang w:val="es-AR"/>
        </w:rPr>
        <w:t xml:space="preserve"> </w:t>
      </w:r>
      <w:r w:rsidRPr="002570D1">
        <w:rPr>
          <w:rStyle w:val="FootnoteReference"/>
          <w:sz w:val="16"/>
          <w:szCs w:val="16"/>
          <w:lang w:val="es-AR"/>
        </w:rPr>
        <w:t xml:space="preserve"> </w:t>
      </w:r>
      <w:r>
        <w:rPr>
          <w:sz w:val="16"/>
          <w:szCs w:val="16"/>
          <w:lang w:val="es-AR"/>
        </w:rPr>
        <w:tab/>
      </w:r>
      <w:r w:rsidRPr="002570D1">
        <w:rPr>
          <w:i/>
          <w:sz w:val="16"/>
          <w:szCs w:val="16"/>
          <w:lang w:val="es-AR"/>
        </w:rPr>
        <w:t xml:space="preserve">Caso Comunidad Indígena </w:t>
      </w:r>
      <w:proofErr w:type="spellStart"/>
      <w:r w:rsidRPr="002570D1">
        <w:rPr>
          <w:i/>
          <w:sz w:val="16"/>
          <w:szCs w:val="16"/>
          <w:lang w:val="es-AR"/>
        </w:rPr>
        <w:t>Yake</w:t>
      </w:r>
      <w:proofErr w:type="spellEnd"/>
      <w:r w:rsidRPr="002570D1">
        <w:rPr>
          <w:i/>
          <w:sz w:val="16"/>
          <w:szCs w:val="16"/>
          <w:lang w:val="es-AR"/>
        </w:rPr>
        <w:t xml:space="preserve"> Axa Vs. Paraguay</w:t>
      </w:r>
      <w:r>
        <w:rPr>
          <w:i/>
          <w:sz w:val="16"/>
          <w:szCs w:val="16"/>
          <w:lang w:val="es-AR"/>
        </w:rPr>
        <w:t xml:space="preserve">, supra, </w:t>
      </w:r>
      <w:r w:rsidRPr="002570D1">
        <w:rPr>
          <w:sz w:val="16"/>
          <w:szCs w:val="16"/>
          <w:lang w:val="es-AR"/>
        </w:rPr>
        <w:t>párr. 175.</w:t>
      </w:r>
    </w:p>
  </w:footnote>
  <w:footnote w:id="224">
    <w:p w14:paraId="1B92D53E" w14:textId="541722AD" w:rsidR="003C025E" w:rsidRPr="00C27894" w:rsidRDefault="003C025E" w:rsidP="00D24D12">
      <w:pPr>
        <w:pStyle w:val="FootnoteText"/>
        <w:rPr>
          <w:sz w:val="16"/>
          <w:szCs w:val="16"/>
          <w:lang w:val="es-AR"/>
        </w:rPr>
      </w:pPr>
      <w:r w:rsidRPr="002570D1">
        <w:rPr>
          <w:rStyle w:val="FootnoteReference"/>
          <w:rFonts w:eastAsia="Calibri"/>
          <w:sz w:val="16"/>
          <w:szCs w:val="16"/>
          <w:lang w:eastAsia="en-US"/>
        </w:rPr>
        <w:footnoteRef/>
      </w:r>
      <w:r w:rsidRPr="002570D1">
        <w:rPr>
          <w:sz w:val="16"/>
          <w:szCs w:val="16"/>
          <w:lang w:val="es-AR"/>
        </w:rPr>
        <w:t xml:space="preserve">   </w:t>
      </w:r>
      <w:r>
        <w:rPr>
          <w:sz w:val="16"/>
          <w:szCs w:val="16"/>
          <w:lang w:val="es-AR"/>
        </w:rPr>
        <w:tab/>
      </w:r>
      <w:r w:rsidRPr="00B1523A">
        <w:rPr>
          <w:i/>
          <w:sz w:val="16"/>
          <w:szCs w:val="16"/>
          <w:lang w:val="es-AR"/>
        </w:rPr>
        <w:t>Cfr.</w:t>
      </w:r>
      <w:r>
        <w:rPr>
          <w:sz w:val="16"/>
          <w:szCs w:val="16"/>
          <w:lang w:val="es-AR"/>
        </w:rPr>
        <w:t xml:space="preserve"> </w:t>
      </w:r>
      <w:r w:rsidRPr="00383565">
        <w:rPr>
          <w:i/>
          <w:sz w:val="16"/>
          <w:lang w:val="es-AR"/>
        </w:rPr>
        <w:t xml:space="preserve">Mutatis </w:t>
      </w:r>
      <w:proofErr w:type="spellStart"/>
      <w:r w:rsidRPr="00383565">
        <w:rPr>
          <w:i/>
          <w:sz w:val="16"/>
          <w:lang w:val="es-AR"/>
        </w:rPr>
        <w:t>mutandi</w:t>
      </w:r>
      <w:proofErr w:type="spellEnd"/>
      <w:r w:rsidRPr="002570D1">
        <w:rPr>
          <w:sz w:val="16"/>
          <w:szCs w:val="16"/>
          <w:lang w:val="es-AR"/>
        </w:rPr>
        <w:t xml:space="preserve">, </w:t>
      </w:r>
      <w:r w:rsidRPr="002570D1">
        <w:rPr>
          <w:i/>
          <w:sz w:val="16"/>
          <w:szCs w:val="16"/>
          <w:lang w:val="es-AR"/>
        </w:rPr>
        <w:t xml:space="preserve">Caso </w:t>
      </w:r>
      <w:proofErr w:type="spellStart"/>
      <w:r w:rsidRPr="002570D1">
        <w:rPr>
          <w:i/>
          <w:sz w:val="16"/>
          <w:szCs w:val="16"/>
          <w:lang w:val="es-AR"/>
        </w:rPr>
        <w:t>Furlan</w:t>
      </w:r>
      <w:proofErr w:type="spellEnd"/>
      <w:r w:rsidRPr="002570D1">
        <w:rPr>
          <w:i/>
          <w:sz w:val="16"/>
          <w:szCs w:val="16"/>
          <w:lang w:val="es-AR"/>
        </w:rPr>
        <w:t xml:space="preserve"> y familiares Vs. Argentina</w:t>
      </w:r>
      <w:r>
        <w:rPr>
          <w:i/>
          <w:sz w:val="16"/>
          <w:szCs w:val="16"/>
          <w:lang w:val="es-AR"/>
        </w:rPr>
        <w:t xml:space="preserve">, supra, </w:t>
      </w:r>
      <w:r w:rsidRPr="002570D1">
        <w:rPr>
          <w:sz w:val="16"/>
          <w:szCs w:val="16"/>
          <w:lang w:val="es-AR"/>
        </w:rPr>
        <w:t>párr. 201</w:t>
      </w:r>
      <w:r>
        <w:rPr>
          <w:sz w:val="16"/>
          <w:szCs w:val="16"/>
          <w:lang w:val="es-AR"/>
        </w:rPr>
        <w:t xml:space="preserve">, y </w:t>
      </w:r>
      <w:r w:rsidRPr="002570D1">
        <w:rPr>
          <w:i/>
          <w:sz w:val="16"/>
          <w:szCs w:val="16"/>
          <w:lang w:val="es-AR"/>
        </w:rPr>
        <w:t xml:space="preserve">Caso Gonzales </w:t>
      </w:r>
      <w:proofErr w:type="spellStart"/>
      <w:r w:rsidRPr="002570D1">
        <w:rPr>
          <w:i/>
          <w:sz w:val="16"/>
          <w:szCs w:val="16"/>
          <w:lang w:val="es-AR"/>
        </w:rPr>
        <w:t>Lluy</w:t>
      </w:r>
      <w:proofErr w:type="spellEnd"/>
      <w:r w:rsidRPr="002570D1">
        <w:rPr>
          <w:i/>
          <w:sz w:val="16"/>
          <w:szCs w:val="16"/>
          <w:lang w:val="es-AR"/>
        </w:rPr>
        <w:t xml:space="preserve"> y otros Vs. Ecuador</w:t>
      </w:r>
      <w:r>
        <w:rPr>
          <w:i/>
          <w:sz w:val="16"/>
          <w:szCs w:val="16"/>
          <w:lang w:val="es-AR"/>
        </w:rPr>
        <w:t xml:space="preserve">, supra, </w:t>
      </w:r>
      <w:r w:rsidRPr="00C27894">
        <w:rPr>
          <w:sz w:val="16"/>
          <w:szCs w:val="16"/>
          <w:lang w:val="es-AR"/>
        </w:rPr>
        <w:t>párr. 311.</w:t>
      </w:r>
    </w:p>
  </w:footnote>
  <w:footnote w:id="225">
    <w:p w14:paraId="6B0B6930" w14:textId="567D034A" w:rsidR="003C025E" w:rsidRPr="002570D1" w:rsidRDefault="003C025E" w:rsidP="00EF55E3">
      <w:pPr>
        <w:pStyle w:val="FootnoteText"/>
        <w:rPr>
          <w:sz w:val="16"/>
          <w:szCs w:val="16"/>
          <w:lang w:val="es-AR"/>
        </w:rPr>
      </w:pPr>
      <w:r w:rsidRPr="002570D1">
        <w:rPr>
          <w:rStyle w:val="FootnoteReference"/>
          <w:rFonts w:eastAsia="Calibri"/>
          <w:sz w:val="16"/>
          <w:szCs w:val="16"/>
          <w:lang w:eastAsia="en-US"/>
        </w:rPr>
        <w:footnoteRef/>
      </w:r>
      <w:r w:rsidRPr="002570D1">
        <w:rPr>
          <w:rStyle w:val="FootnoteReference"/>
          <w:rFonts w:eastAsia="Calibri"/>
          <w:sz w:val="16"/>
          <w:szCs w:val="16"/>
          <w:lang w:eastAsia="en-US"/>
        </w:rPr>
        <w:t xml:space="preserve"> </w:t>
      </w:r>
      <w:r w:rsidRPr="002570D1">
        <w:rPr>
          <w:rFonts w:eastAsia="Calibri"/>
          <w:sz w:val="16"/>
          <w:szCs w:val="16"/>
          <w:lang w:eastAsia="en-US"/>
        </w:rPr>
        <w:t xml:space="preserve">  </w:t>
      </w:r>
      <w:r>
        <w:rPr>
          <w:rFonts w:eastAsia="Calibri"/>
          <w:sz w:val="16"/>
          <w:szCs w:val="16"/>
          <w:lang w:eastAsia="en-US"/>
        </w:rPr>
        <w:tab/>
      </w:r>
      <w:r>
        <w:rPr>
          <w:rFonts w:eastAsia="Calibri"/>
          <w:i/>
          <w:sz w:val="16"/>
          <w:szCs w:val="16"/>
          <w:lang w:eastAsia="en-US"/>
        </w:rPr>
        <w:t xml:space="preserve">Cfr. </w:t>
      </w:r>
      <w:r w:rsidRPr="000B285B">
        <w:rPr>
          <w:rFonts w:eastAsia="Calibri"/>
          <w:sz w:val="16"/>
          <w:szCs w:val="16"/>
          <w:lang w:val="es-MX" w:eastAsia="en-US"/>
        </w:rPr>
        <w:t>Declaración rendida por el perito</w:t>
      </w:r>
      <w:r>
        <w:rPr>
          <w:rFonts w:eastAsia="Calibri"/>
          <w:sz w:val="16"/>
          <w:szCs w:val="16"/>
          <w:lang w:val="es-MX" w:eastAsia="en-US"/>
        </w:rPr>
        <w:t>,</w:t>
      </w:r>
      <w:r w:rsidRPr="000B285B">
        <w:rPr>
          <w:rFonts w:eastAsia="Calibri"/>
          <w:sz w:val="16"/>
          <w:szCs w:val="16"/>
          <w:lang w:val="es-MX" w:eastAsia="en-US"/>
        </w:rPr>
        <w:t xml:space="preserve"> Dr. Javier Alejandro Santos, </w:t>
      </w:r>
      <w:r w:rsidRPr="000B285B">
        <w:rPr>
          <w:rFonts w:eastAsia="Calibri"/>
          <w:i/>
          <w:sz w:val="16"/>
          <w:szCs w:val="16"/>
          <w:lang w:val="es-MX" w:eastAsia="en-US"/>
        </w:rPr>
        <w:t>supra</w:t>
      </w:r>
      <w:r>
        <w:rPr>
          <w:rFonts w:eastAsia="Calibri"/>
          <w:sz w:val="16"/>
          <w:szCs w:val="16"/>
          <w:lang w:val="es-MX" w:eastAsia="en-US"/>
        </w:rPr>
        <w:t>, pág. 47.</w:t>
      </w:r>
      <w:r w:rsidRPr="002570D1">
        <w:rPr>
          <w:rFonts w:eastAsia="Calibri"/>
          <w:sz w:val="16"/>
          <w:szCs w:val="16"/>
          <w:lang w:val="es-MX" w:eastAsia="en-US"/>
        </w:rPr>
        <w:t xml:space="preserve"> </w:t>
      </w:r>
      <w:r w:rsidRPr="002570D1">
        <w:rPr>
          <w:sz w:val="16"/>
          <w:szCs w:val="16"/>
          <w:lang w:val="es-AR"/>
        </w:rPr>
        <w:t xml:space="preserve">El perito agregó al respecto que “era un paciente muy vulnerable </w:t>
      </w:r>
      <w:r>
        <w:rPr>
          <w:sz w:val="16"/>
          <w:szCs w:val="16"/>
          <w:lang w:val="es-AR"/>
        </w:rPr>
        <w:t>[</w:t>
      </w:r>
      <w:r w:rsidRPr="002570D1">
        <w:rPr>
          <w:sz w:val="16"/>
          <w:szCs w:val="16"/>
          <w:lang w:val="es-AR"/>
        </w:rPr>
        <w:t>y que se externó</w:t>
      </w:r>
      <w:r>
        <w:rPr>
          <w:sz w:val="16"/>
          <w:szCs w:val="16"/>
          <w:lang w:val="es-AR"/>
        </w:rPr>
        <w:t>]</w:t>
      </w:r>
      <w:r w:rsidRPr="002570D1">
        <w:rPr>
          <w:sz w:val="16"/>
          <w:szCs w:val="16"/>
          <w:lang w:val="es-AR"/>
        </w:rPr>
        <w:t xml:space="preserve"> a las 72 horas </w:t>
      </w:r>
      <w:r>
        <w:rPr>
          <w:sz w:val="16"/>
          <w:szCs w:val="16"/>
          <w:lang w:val="es-AR"/>
        </w:rPr>
        <w:t>[</w:t>
      </w:r>
      <w:r w:rsidRPr="002570D1">
        <w:rPr>
          <w:sz w:val="16"/>
          <w:szCs w:val="16"/>
          <w:lang w:val="es-AR"/>
        </w:rPr>
        <w:t>del primer ingreso</w:t>
      </w:r>
      <w:r>
        <w:rPr>
          <w:sz w:val="16"/>
          <w:szCs w:val="16"/>
          <w:lang w:val="es-AR"/>
        </w:rPr>
        <w:t>]</w:t>
      </w:r>
      <w:r w:rsidRPr="002570D1">
        <w:rPr>
          <w:sz w:val="16"/>
          <w:szCs w:val="16"/>
          <w:lang w:val="es-AR"/>
        </w:rPr>
        <w:t xml:space="preserve">”. </w:t>
      </w:r>
      <w:r>
        <w:rPr>
          <w:sz w:val="16"/>
          <w:szCs w:val="16"/>
          <w:lang w:val="es-AR"/>
        </w:rPr>
        <w:t>El perito s</w:t>
      </w:r>
      <w:r w:rsidRPr="002570D1">
        <w:rPr>
          <w:sz w:val="16"/>
          <w:szCs w:val="16"/>
          <w:lang w:val="es-AR"/>
        </w:rPr>
        <w:t>ostuvo</w:t>
      </w:r>
      <w:r>
        <w:rPr>
          <w:sz w:val="16"/>
          <w:szCs w:val="16"/>
          <w:lang w:val="es-AR"/>
        </w:rPr>
        <w:t>,</w:t>
      </w:r>
      <w:r w:rsidRPr="002570D1">
        <w:rPr>
          <w:sz w:val="16"/>
          <w:szCs w:val="16"/>
          <w:lang w:val="es-AR"/>
        </w:rPr>
        <w:t xml:space="preserve"> as</w:t>
      </w:r>
      <w:r>
        <w:rPr>
          <w:sz w:val="16"/>
          <w:szCs w:val="16"/>
          <w:lang w:val="es-AR"/>
        </w:rPr>
        <w:t>i</w:t>
      </w:r>
      <w:r w:rsidRPr="002570D1">
        <w:rPr>
          <w:sz w:val="16"/>
          <w:szCs w:val="16"/>
          <w:lang w:val="es-AR"/>
        </w:rPr>
        <w:t>mismo</w:t>
      </w:r>
      <w:r>
        <w:rPr>
          <w:sz w:val="16"/>
          <w:szCs w:val="16"/>
          <w:lang w:val="es-AR"/>
        </w:rPr>
        <w:t>,</w:t>
      </w:r>
      <w:r w:rsidRPr="002570D1">
        <w:rPr>
          <w:sz w:val="16"/>
          <w:szCs w:val="16"/>
          <w:lang w:val="es-AR"/>
        </w:rPr>
        <w:t xml:space="preserve"> que “el paciente se externa en condiciones muy básicas de salud</w:t>
      </w:r>
      <w:r>
        <w:rPr>
          <w:sz w:val="16"/>
          <w:szCs w:val="16"/>
          <w:lang w:val="es-AR"/>
        </w:rPr>
        <w:t xml:space="preserve"> […] </w:t>
      </w:r>
      <w:r w:rsidRPr="002570D1">
        <w:rPr>
          <w:sz w:val="16"/>
          <w:szCs w:val="16"/>
          <w:lang w:val="es-AR"/>
        </w:rPr>
        <w:t xml:space="preserve">no se debería haber externado”. </w:t>
      </w:r>
    </w:p>
  </w:footnote>
  <w:footnote w:id="226">
    <w:p w14:paraId="2FCF4316" w14:textId="17435838" w:rsidR="003C025E" w:rsidRPr="002570D1" w:rsidRDefault="003C025E" w:rsidP="00EF55E3">
      <w:pPr>
        <w:pStyle w:val="FootnoteText"/>
        <w:rPr>
          <w:sz w:val="16"/>
          <w:szCs w:val="16"/>
          <w:lang w:val="es-AR"/>
        </w:rPr>
      </w:pPr>
      <w:r w:rsidRPr="002570D1">
        <w:rPr>
          <w:rStyle w:val="FootnoteReference"/>
          <w:rFonts w:eastAsia="Calibri"/>
          <w:sz w:val="16"/>
          <w:szCs w:val="16"/>
          <w:lang w:eastAsia="en-US"/>
        </w:rPr>
        <w:footnoteRef/>
      </w:r>
      <w:r w:rsidRPr="002570D1">
        <w:rPr>
          <w:rStyle w:val="FootnoteReference"/>
          <w:rFonts w:eastAsia="Calibri"/>
          <w:sz w:val="16"/>
          <w:szCs w:val="16"/>
          <w:lang w:eastAsia="en-US"/>
        </w:rPr>
        <w:t xml:space="preserve"> </w:t>
      </w:r>
      <w:r w:rsidRPr="002570D1">
        <w:rPr>
          <w:rFonts w:eastAsia="Calibri"/>
          <w:sz w:val="16"/>
          <w:szCs w:val="16"/>
          <w:lang w:eastAsia="en-US"/>
        </w:rPr>
        <w:t xml:space="preserve">  </w:t>
      </w:r>
      <w:r>
        <w:rPr>
          <w:rFonts w:eastAsia="Calibri"/>
          <w:sz w:val="16"/>
          <w:szCs w:val="16"/>
          <w:lang w:eastAsia="en-US"/>
        </w:rPr>
        <w:tab/>
      </w:r>
      <w:r w:rsidRPr="00A075FC">
        <w:rPr>
          <w:rFonts w:eastAsia="Calibri"/>
          <w:i/>
          <w:sz w:val="16"/>
          <w:szCs w:val="16"/>
          <w:lang w:val="es-CR" w:eastAsia="en-US"/>
        </w:rPr>
        <w:t xml:space="preserve">Cfr. </w:t>
      </w:r>
      <w:r w:rsidRPr="00A075FC">
        <w:rPr>
          <w:rFonts w:eastAsia="Calibri"/>
          <w:sz w:val="16"/>
          <w:szCs w:val="16"/>
          <w:lang w:val="es-MX" w:eastAsia="en-US"/>
        </w:rPr>
        <w:t>Declaración rendida por el perito</w:t>
      </w:r>
      <w:r>
        <w:rPr>
          <w:rFonts w:eastAsia="Calibri"/>
          <w:sz w:val="16"/>
          <w:szCs w:val="16"/>
          <w:lang w:val="es-MX" w:eastAsia="en-US"/>
        </w:rPr>
        <w:t>,</w:t>
      </w:r>
      <w:r w:rsidRPr="00A075FC">
        <w:rPr>
          <w:rFonts w:eastAsia="Calibri"/>
          <w:sz w:val="16"/>
          <w:szCs w:val="16"/>
          <w:lang w:val="es-MX" w:eastAsia="en-US"/>
        </w:rPr>
        <w:t xml:space="preserve"> Dr. Javier Alejandro Santos, </w:t>
      </w:r>
      <w:r w:rsidRPr="00A075FC">
        <w:rPr>
          <w:rFonts w:eastAsia="Calibri"/>
          <w:i/>
          <w:sz w:val="16"/>
          <w:szCs w:val="16"/>
          <w:lang w:val="es-MX" w:eastAsia="en-US"/>
        </w:rPr>
        <w:t>supra</w:t>
      </w:r>
      <w:r w:rsidRPr="00A075FC">
        <w:rPr>
          <w:rFonts w:eastAsia="Calibri"/>
          <w:sz w:val="16"/>
          <w:szCs w:val="16"/>
          <w:lang w:val="es-MX" w:eastAsia="en-US"/>
        </w:rPr>
        <w:t>, pág. 48</w:t>
      </w:r>
      <w:r>
        <w:rPr>
          <w:rFonts w:eastAsia="Calibri"/>
          <w:sz w:val="16"/>
          <w:szCs w:val="16"/>
          <w:lang w:eastAsia="en-US"/>
        </w:rPr>
        <w:t>.</w:t>
      </w:r>
      <w:r w:rsidRPr="002570D1">
        <w:rPr>
          <w:rFonts w:eastAsia="Calibri"/>
          <w:sz w:val="16"/>
          <w:szCs w:val="16"/>
          <w:lang w:eastAsia="en-US"/>
        </w:rPr>
        <w:t xml:space="preserve"> Respecto al segundo ingreso al Hospital </w:t>
      </w:r>
      <w:proofErr w:type="spellStart"/>
      <w:r w:rsidRPr="002570D1">
        <w:rPr>
          <w:rFonts w:eastAsia="Calibri"/>
          <w:sz w:val="16"/>
          <w:szCs w:val="16"/>
          <w:lang w:eastAsia="en-US"/>
        </w:rPr>
        <w:t>Sótero</w:t>
      </w:r>
      <w:proofErr w:type="spellEnd"/>
      <w:r w:rsidRPr="002570D1">
        <w:rPr>
          <w:rFonts w:eastAsia="Calibri"/>
          <w:sz w:val="16"/>
          <w:szCs w:val="16"/>
          <w:lang w:eastAsia="en-US"/>
        </w:rPr>
        <w:t xml:space="preserve"> del Río, al referirse al estado de salud del señor Poblete Vilches el perito mencionó</w:t>
      </w:r>
      <w:r>
        <w:rPr>
          <w:rFonts w:eastAsia="Calibri"/>
          <w:sz w:val="16"/>
          <w:szCs w:val="16"/>
          <w:lang w:eastAsia="en-US"/>
        </w:rPr>
        <w:t>:</w:t>
      </w:r>
      <w:r w:rsidRPr="002570D1">
        <w:rPr>
          <w:rFonts w:eastAsia="Calibri"/>
          <w:sz w:val="16"/>
          <w:szCs w:val="16"/>
          <w:lang w:eastAsia="en-US"/>
        </w:rPr>
        <w:t xml:space="preserve"> “es un paciente vulnerable que se había externado hace 72 horas, entonces, no es una infección cualquiera, es una infección intrahospitalaria”.</w:t>
      </w:r>
    </w:p>
  </w:footnote>
  <w:footnote w:id="227">
    <w:p w14:paraId="3D4D6501" w14:textId="3A2137FC" w:rsidR="003C025E" w:rsidRPr="00031DB1" w:rsidRDefault="003C025E">
      <w:pPr>
        <w:pStyle w:val="FootnoteText"/>
      </w:pPr>
      <w:r w:rsidRPr="00B1523A">
        <w:rPr>
          <w:rStyle w:val="FootnoteReference"/>
          <w:sz w:val="16"/>
          <w:szCs w:val="16"/>
        </w:rPr>
        <w:footnoteRef/>
      </w:r>
      <w:r w:rsidRPr="00B1523A">
        <w:rPr>
          <w:sz w:val="16"/>
          <w:szCs w:val="16"/>
        </w:rPr>
        <w:t xml:space="preserve"> </w:t>
      </w:r>
      <w:r>
        <w:tab/>
      </w:r>
      <w:r w:rsidRPr="00B1523A">
        <w:rPr>
          <w:i/>
          <w:sz w:val="16"/>
          <w:szCs w:val="16"/>
          <w:lang w:val="es-CR"/>
        </w:rPr>
        <w:t>Cfr.</w:t>
      </w:r>
      <w:r w:rsidRPr="004F5C3E">
        <w:rPr>
          <w:i/>
          <w:lang w:val="es-CR"/>
        </w:rPr>
        <w:t xml:space="preserve"> </w:t>
      </w:r>
      <w:r w:rsidRPr="0059117C">
        <w:rPr>
          <w:i/>
          <w:sz w:val="16"/>
          <w:szCs w:val="16"/>
        </w:rPr>
        <w:t xml:space="preserve">Mutatis </w:t>
      </w:r>
      <w:proofErr w:type="spellStart"/>
      <w:r w:rsidRPr="0059117C">
        <w:rPr>
          <w:i/>
          <w:sz w:val="16"/>
          <w:szCs w:val="16"/>
        </w:rPr>
        <w:t>mutandi</w:t>
      </w:r>
      <w:proofErr w:type="spellEnd"/>
      <w:r w:rsidRPr="0059117C">
        <w:rPr>
          <w:i/>
          <w:sz w:val="16"/>
          <w:szCs w:val="16"/>
        </w:rPr>
        <w:t>,</w:t>
      </w:r>
      <w:r>
        <w:rPr>
          <w:sz w:val="16"/>
          <w:szCs w:val="16"/>
        </w:rPr>
        <w:t xml:space="preserve"> </w:t>
      </w:r>
      <w:r w:rsidRPr="0059117C">
        <w:rPr>
          <w:i/>
          <w:sz w:val="16"/>
          <w:szCs w:val="16"/>
        </w:rPr>
        <w:t xml:space="preserve">Caso Vera </w:t>
      </w:r>
      <w:proofErr w:type="spellStart"/>
      <w:r w:rsidRPr="0059117C">
        <w:rPr>
          <w:i/>
          <w:sz w:val="16"/>
          <w:szCs w:val="16"/>
        </w:rPr>
        <w:t>Vera</w:t>
      </w:r>
      <w:proofErr w:type="spellEnd"/>
      <w:r w:rsidRPr="0059117C">
        <w:rPr>
          <w:i/>
          <w:sz w:val="16"/>
          <w:szCs w:val="16"/>
        </w:rPr>
        <w:t xml:space="preserve"> y otra Vs. Ecuador. Excepción Preliminar, Fondo, Reparaciones y Costas.</w:t>
      </w:r>
      <w:r w:rsidRPr="000F4170">
        <w:rPr>
          <w:sz w:val="16"/>
          <w:szCs w:val="16"/>
        </w:rPr>
        <w:t xml:space="preserve"> Sentencia de 19 d</w:t>
      </w:r>
      <w:r>
        <w:rPr>
          <w:sz w:val="16"/>
          <w:szCs w:val="16"/>
        </w:rPr>
        <w:t xml:space="preserve">e mayo de 2011. Serie C No. 226, </w:t>
      </w:r>
      <w:proofErr w:type="spellStart"/>
      <w:r>
        <w:rPr>
          <w:sz w:val="16"/>
          <w:szCs w:val="16"/>
        </w:rPr>
        <w:t>párrs</w:t>
      </w:r>
      <w:proofErr w:type="spellEnd"/>
      <w:r>
        <w:rPr>
          <w:sz w:val="16"/>
          <w:szCs w:val="16"/>
        </w:rPr>
        <w:t xml:space="preserve">. 54, 65, 74 y 78, y </w:t>
      </w:r>
      <w:r w:rsidRPr="00B1523A">
        <w:rPr>
          <w:i/>
          <w:sz w:val="16"/>
          <w:szCs w:val="16"/>
        </w:rPr>
        <w:t>Caso Suárez Peralta Vs. Ecuador</w:t>
      </w:r>
      <w:r>
        <w:rPr>
          <w:i/>
          <w:sz w:val="16"/>
          <w:szCs w:val="16"/>
        </w:rPr>
        <w:t>, supra</w:t>
      </w:r>
      <w:r>
        <w:rPr>
          <w:sz w:val="16"/>
          <w:szCs w:val="16"/>
        </w:rPr>
        <w:t>, párr. 154</w:t>
      </w:r>
      <w:r w:rsidRPr="00031DB1">
        <w:rPr>
          <w:sz w:val="16"/>
          <w:szCs w:val="16"/>
        </w:rPr>
        <w:t>.</w:t>
      </w:r>
    </w:p>
  </w:footnote>
  <w:footnote w:id="228">
    <w:p w14:paraId="5D28B22D" w14:textId="6F34EBF7" w:rsidR="003C025E" w:rsidRPr="002570D1" w:rsidRDefault="003C025E" w:rsidP="00EF55E3">
      <w:pPr>
        <w:pStyle w:val="FootnoteText"/>
        <w:rPr>
          <w:sz w:val="16"/>
          <w:szCs w:val="16"/>
          <w:lang w:val="es-AR"/>
        </w:rPr>
      </w:pPr>
      <w:r w:rsidRPr="002570D1">
        <w:rPr>
          <w:rStyle w:val="FootnoteReference"/>
          <w:rFonts w:eastAsia="Calibri"/>
          <w:sz w:val="16"/>
          <w:szCs w:val="16"/>
          <w:lang w:eastAsia="en-US"/>
        </w:rPr>
        <w:footnoteRef/>
      </w:r>
      <w:r w:rsidRPr="002570D1">
        <w:rPr>
          <w:sz w:val="16"/>
          <w:szCs w:val="16"/>
          <w:lang w:val="es-AR"/>
        </w:rPr>
        <w:t xml:space="preserve">   </w:t>
      </w:r>
      <w:r>
        <w:rPr>
          <w:sz w:val="16"/>
          <w:szCs w:val="16"/>
          <w:lang w:val="es-AR"/>
        </w:rPr>
        <w:tab/>
      </w:r>
      <w:r w:rsidRPr="008C15F9">
        <w:rPr>
          <w:i/>
          <w:sz w:val="16"/>
          <w:szCs w:val="16"/>
          <w:lang w:val="es-CR"/>
        </w:rPr>
        <w:t xml:space="preserve">Cfr. </w:t>
      </w:r>
      <w:r w:rsidRPr="008C15F9">
        <w:rPr>
          <w:sz w:val="16"/>
          <w:szCs w:val="16"/>
          <w:lang w:val="es-MX"/>
        </w:rPr>
        <w:t>Declaración rendida por el perito</w:t>
      </w:r>
      <w:r>
        <w:rPr>
          <w:sz w:val="16"/>
          <w:szCs w:val="16"/>
          <w:lang w:val="es-MX"/>
        </w:rPr>
        <w:t>,</w:t>
      </w:r>
      <w:r w:rsidRPr="008C15F9">
        <w:rPr>
          <w:sz w:val="16"/>
          <w:szCs w:val="16"/>
          <w:lang w:val="es-MX"/>
        </w:rPr>
        <w:t xml:space="preserve"> Dr. Javier Alejandro Santos, </w:t>
      </w:r>
      <w:r w:rsidRPr="008C15F9">
        <w:rPr>
          <w:i/>
          <w:sz w:val="16"/>
          <w:szCs w:val="16"/>
          <w:lang w:val="es-MX"/>
        </w:rPr>
        <w:t>supra</w:t>
      </w:r>
      <w:r>
        <w:rPr>
          <w:sz w:val="16"/>
          <w:szCs w:val="16"/>
          <w:lang w:val="es-MX"/>
        </w:rPr>
        <w:t>, págs. 48 y 56.</w:t>
      </w:r>
      <w:r w:rsidRPr="002570D1">
        <w:rPr>
          <w:sz w:val="16"/>
          <w:szCs w:val="16"/>
          <w:lang w:val="es-MX"/>
        </w:rPr>
        <w:t xml:space="preserve"> </w:t>
      </w:r>
      <w:r w:rsidRPr="00953A44">
        <w:rPr>
          <w:sz w:val="16"/>
          <w:szCs w:val="16"/>
          <w:lang w:val="es-AR"/>
        </w:rPr>
        <w:t>Al referirse al esquema antibiótico</w:t>
      </w:r>
      <w:r w:rsidRPr="002570D1">
        <w:rPr>
          <w:sz w:val="16"/>
          <w:szCs w:val="16"/>
          <w:lang w:val="es-AR"/>
        </w:rPr>
        <w:t xml:space="preserve"> dispensado en el </w:t>
      </w:r>
      <w:r>
        <w:rPr>
          <w:sz w:val="16"/>
          <w:szCs w:val="16"/>
          <w:lang w:val="es-AR"/>
        </w:rPr>
        <w:t>s</w:t>
      </w:r>
      <w:r w:rsidRPr="002570D1">
        <w:rPr>
          <w:sz w:val="16"/>
          <w:szCs w:val="16"/>
          <w:lang w:val="es-AR"/>
        </w:rPr>
        <w:t>egundo ingreso, el perito expresó</w:t>
      </w:r>
      <w:r>
        <w:rPr>
          <w:sz w:val="16"/>
          <w:szCs w:val="16"/>
          <w:lang w:val="es-AR"/>
        </w:rPr>
        <w:t>:</w:t>
      </w:r>
      <w:r w:rsidRPr="002570D1">
        <w:rPr>
          <w:sz w:val="16"/>
          <w:szCs w:val="16"/>
          <w:lang w:val="es-AR"/>
        </w:rPr>
        <w:t xml:space="preserve"> “el tratamiento tiene que se</w:t>
      </w:r>
      <w:r>
        <w:rPr>
          <w:sz w:val="16"/>
          <w:szCs w:val="16"/>
          <w:lang w:val="es-AR"/>
        </w:rPr>
        <w:t>r</w:t>
      </w:r>
      <w:r w:rsidRPr="002570D1">
        <w:rPr>
          <w:sz w:val="16"/>
          <w:szCs w:val="16"/>
          <w:lang w:val="es-AR"/>
        </w:rPr>
        <w:t xml:space="preserve"> rápido, enérgico porque no sabemos si hay una segunda oportunidad</w:t>
      </w:r>
      <w:r>
        <w:rPr>
          <w:sz w:val="16"/>
          <w:szCs w:val="16"/>
          <w:lang w:val="es-AR"/>
        </w:rPr>
        <w:t xml:space="preserve"> […] </w:t>
      </w:r>
      <w:r w:rsidRPr="008D6508">
        <w:rPr>
          <w:sz w:val="16"/>
          <w:szCs w:val="16"/>
          <w:lang w:val="es-CR"/>
        </w:rPr>
        <w:t xml:space="preserve">desde mi punto de vista, </w:t>
      </w:r>
      <w:r>
        <w:rPr>
          <w:sz w:val="16"/>
          <w:szCs w:val="16"/>
          <w:lang w:val="es-CR"/>
        </w:rPr>
        <w:t xml:space="preserve">el tratamiento </w:t>
      </w:r>
      <w:r w:rsidRPr="008D6508">
        <w:rPr>
          <w:sz w:val="16"/>
          <w:szCs w:val="16"/>
          <w:lang w:val="es-CR"/>
        </w:rPr>
        <w:t>no fue el correcto, en cuanto al tratamiento antibiótico. Como les comenté antes, la elección del antibiótico es una y ya</w:t>
      </w:r>
      <w:r>
        <w:rPr>
          <w:sz w:val="16"/>
          <w:szCs w:val="16"/>
          <w:lang w:val="es-CR"/>
        </w:rPr>
        <w:t xml:space="preserve">, </w:t>
      </w:r>
      <w:r w:rsidRPr="008D6508">
        <w:rPr>
          <w:sz w:val="16"/>
          <w:szCs w:val="16"/>
          <w:lang w:val="es-CR"/>
        </w:rPr>
        <w:t>porque no voy a tener otra oportunidad, que fue lo que pasó</w:t>
      </w:r>
      <w:r>
        <w:rPr>
          <w:sz w:val="16"/>
          <w:szCs w:val="16"/>
          <w:lang w:val="es-CR"/>
        </w:rPr>
        <w:t xml:space="preserve"> […]”</w:t>
      </w:r>
      <w:r w:rsidRPr="008D6508">
        <w:rPr>
          <w:sz w:val="16"/>
          <w:szCs w:val="16"/>
          <w:lang w:val="es-CR"/>
        </w:rPr>
        <w:t>.</w:t>
      </w:r>
    </w:p>
  </w:footnote>
  <w:footnote w:id="229">
    <w:p w14:paraId="1C70E144" w14:textId="73875FDD" w:rsidR="003C025E" w:rsidRDefault="003C025E" w:rsidP="002A64C9">
      <w:pPr>
        <w:pStyle w:val="FootnoteText"/>
        <w:ind w:right="-35"/>
        <w:rPr>
          <w:sz w:val="16"/>
          <w:szCs w:val="16"/>
          <w:lang w:val="es-CR"/>
        </w:rPr>
      </w:pPr>
      <w:r w:rsidRPr="001E145A">
        <w:rPr>
          <w:rStyle w:val="FootnoteReference"/>
          <w:sz w:val="16"/>
        </w:rPr>
        <w:footnoteRef/>
      </w:r>
      <w:r w:rsidRPr="001E145A">
        <w:rPr>
          <w:sz w:val="16"/>
        </w:rPr>
        <w:t xml:space="preserve"> </w:t>
      </w:r>
      <w:r>
        <w:rPr>
          <w:sz w:val="16"/>
        </w:rPr>
        <w:tab/>
      </w:r>
      <w:r>
        <w:rPr>
          <w:sz w:val="16"/>
          <w:szCs w:val="16"/>
          <w:lang w:val="es-MX"/>
        </w:rPr>
        <w:t xml:space="preserve">El perito Javier Alejandro Santos señaló </w:t>
      </w:r>
      <w:r w:rsidRPr="008A6348">
        <w:rPr>
          <w:sz w:val="16"/>
          <w:szCs w:val="16"/>
          <w:lang w:val="es-CR"/>
        </w:rPr>
        <w:t>la necesidad imprescindible de que el señor Poblete Vilches recibiese tratamiento en una Unidad de Cuidados Intensivos y la inviabilidad de que fuese tratado en terapia intermedia tras su primer egreso y el posterior reing</w:t>
      </w:r>
      <w:r>
        <w:rPr>
          <w:sz w:val="16"/>
          <w:szCs w:val="16"/>
          <w:lang w:val="es-CR"/>
        </w:rPr>
        <w:t xml:space="preserve">reso al Hospital </w:t>
      </w:r>
      <w:proofErr w:type="spellStart"/>
      <w:r>
        <w:rPr>
          <w:sz w:val="16"/>
          <w:szCs w:val="16"/>
          <w:lang w:val="es-CR"/>
        </w:rPr>
        <w:t>Sótero</w:t>
      </w:r>
      <w:proofErr w:type="spellEnd"/>
      <w:r>
        <w:rPr>
          <w:sz w:val="16"/>
          <w:szCs w:val="16"/>
          <w:lang w:val="es-CR"/>
        </w:rPr>
        <w:t xml:space="preserve"> del Río, </w:t>
      </w:r>
      <w:r w:rsidRPr="00CA76E0">
        <w:rPr>
          <w:sz w:val="16"/>
          <w:szCs w:val="16"/>
          <w:lang w:val="es-CR"/>
        </w:rPr>
        <w:t>la cual es brindada en los centros hospitalarios en la llamada “</w:t>
      </w:r>
      <w:r w:rsidRPr="00CA76E0">
        <w:rPr>
          <w:sz w:val="16"/>
          <w:szCs w:val="16"/>
          <w:lang w:val="es-MX"/>
        </w:rPr>
        <w:t>Unidad de Tratamiento Intermedio” o simplemente “Intermedio (a)” [sic], y consiste en “[…] aquella dependencia del hospital destinada al manejo de pacientes críticos estables que requieren para su cuidado de monitoreo no invasivo, vigilancia y manejo de enfermería permanente además de cuidados médicos”, que “[…] puede producirse</w:t>
      </w:r>
      <w:r>
        <w:rPr>
          <w:sz w:val="16"/>
          <w:szCs w:val="16"/>
          <w:lang w:val="es-MX"/>
        </w:rPr>
        <w:t xml:space="preserve"> desde cualquier Servicio o </w:t>
      </w:r>
      <w:r w:rsidRPr="00CA76E0">
        <w:rPr>
          <w:sz w:val="16"/>
          <w:szCs w:val="16"/>
          <w:lang w:val="es-MX"/>
        </w:rPr>
        <w:t>Unidad requirente […] una vez que el paciente se encuentre estable, sin gran necesidad de monitoreo invasivo y no requiera procedimientos y/o cuidados que sólo existen en esa unidad, como ventilación mecánica.”</w:t>
      </w:r>
      <w:r w:rsidRPr="008A6348">
        <w:rPr>
          <w:sz w:val="16"/>
          <w:szCs w:val="16"/>
          <w:lang w:val="es-MX"/>
        </w:rPr>
        <w:t xml:space="preserve"> </w:t>
      </w:r>
      <w:r w:rsidRPr="00062586">
        <w:rPr>
          <w:i/>
          <w:sz w:val="16"/>
          <w:szCs w:val="16"/>
          <w:lang w:val="es-HN"/>
        </w:rPr>
        <w:t>Cfr.</w:t>
      </w:r>
      <w:r w:rsidRPr="00CA76E0">
        <w:rPr>
          <w:i/>
          <w:sz w:val="16"/>
          <w:szCs w:val="16"/>
          <w:lang w:val="es-HN"/>
        </w:rPr>
        <w:t xml:space="preserve"> </w:t>
      </w:r>
      <w:r w:rsidRPr="00E80A9D">
        <w:rPr>
          <w:i/>
          <w:sz w:val="16"/>
          <w:szCs w:val="16"/>
          <w:lang w:val="es-CR"/>
        </w:rPr>
        <w:t xml:space="preserve">Cfr. </w:t>
      </w:r>
      <w:r w:rsidRPr="00B1523A">
        <w:rPr>
          <w:sz w:val="16"/>
          <w:szCs w:val="16"/>
          <w:lang w:val="es-MX"/>
        </w:rPr>
        <w:t>Declaración rendida por el perito</w:t>
      </w:r>
      <w:r>
        <w:rPr>
          <w:sz w:val="16"/>
          <w:szCs w:val="16"/>
          <w:lang w:val="es-MX"/>
        </w:rPr>
        <w:t>,</w:t>
      </w:r>
      <w:r w:rsidRPr="00B1523A">
        <w:rPr>
          <w:sz w:val="16"/>
          <w:szCs w:val="16"/>
          <w:lang w:val="es-MX"/>
        </w:rPr>
        <w:t xml:space="preserve"> Dr. Javier Alejandro Santos</w:t>
      </w:r>
      <w:r w:rsidRPr="00E80A9D">
        <w:rPr>
          <w:i/>
          <w:sz w:val="16"/>
          <w:szCs w:val="16"/>
          <w:lang w:val="es-MX"/>
        </w:rPr>
        <w:t xml:space="preserve">, supra, </w:t>
      </w:r>
      <w:r w:rsidRPr="00B1523A">
        <w:rPr>
          <w:sz w:val="16"/>
          <w:szCs w:val="16"/>
          <w:lang w:val="es-MX"/>
        </w:rPr>
        <w:t>pág</w:t>
      </w:r>
      <w:r w:rsidRPr="00E80A9D">
        <w:rPr>
          <w:i/>
          <w:sz w:val="16"/>
          <w:szCs w:val="16"/>
          <w:lang w:val="es-MX"/>
        </w:rPr>
        <w:t xml:space="preserve">. </w:t>
      </w:r>
      <w:r>
        <w:rPr>
          <w:sz w:val="16"/>
          <w:szCs w:val="16"/>
          <w:lang w:val="es-CR"/>
        </w:rPr>
        <w:t>48.</w:t>
      </w:r>
    </w:p>
    <w:p w14:paraId="58FA7348" w14:textId="317EA321" w:rsidR="003C025E" w:rsidRPr="002A64C9" w:rsidRDefault="003C025E" w:rsidP="002A64C9">
      <w:pPr>
        <w:pStyle w:val="FootnoteText"/>
        <w:ind w:right="-35"/>
        <w:rPr>
          <w:sz w:val="16"/>
          <w:szCs w:val="16"/>
          <w:highlight w:val="cyan"/>
          <w:lang w:val="es-CR"/>
        </w:rPr>
      </w:pPr>
      <w:r w:rsidRPr="001E145A">
        <w:rPr>
          <w:sz w:val="16"/>
          <w:szCs w:val="16"/>
          <w:lang w:val="es-MX"/>
        </w:rPr>
        <w:t>E. Páez y col</w:t>
      </w:r>
      <w:r w:rsidRPr="00B1523A">
        <w:rPr>
          <w:i/>
          <w:sz w:val="16"/>
          <w:szCs w:val="16"/>
          <w:lang w:val="es-MX"/>
        </w:rPr>
        <w:t>., “Guías 2004 de organización y funcionamiento de unidades de pacientes críticos”</w:t>
      </w:r>
      <w:r w:rsidRPr="001E145A">
        <w:rPr>
          <w:sz w:val="16"/>
          <w:szCs w:val="16"/>
          <w:lang w:val="es-MX"/>
        </w:rPr>
        <w:t xml:space="preserve">, Revista Chilena de Medicina Intensiva, 2004,  Vol. 19 (4), pág. 211, y C. de la Hoz y R. </w:t>
      </w:r>
      <w:proofErr w:type="spellStart"/>
      <w:r w:rsidRPr="001E145A">
        <w:rPr>
          <w:sz w:val="16"/>
          <w:szCs w:val="16"/>
          <w:lang w:val="es-MX"/>
        </w:rPr>
        <w:t>Riofrio</w:t>
      </w:r>
      <w:proofErr w:type="spellEnd"/>
      <w:r w:rsidRPr="001E145A">
        <w:rPr>
          <w:sz w:val="16"/>
          <w:szCs w:val="16"/>
          <w:lang w:val="es-MX"/>
        </w:rPr>
        <w:t xml:space="preserve">, </w:t>
      </w:r>
      <w:r w:rsidRPr="00B1523A">
        <w:rPr>
          <w:i/>
          <w:sz w:val="16"/>
          <w:szCs w:val="16"/>
          <w:lang w:val="es-MX"/>
        </w:rPr>
        <w:t>“Criterios de Ingreso y Egreso de la Unidad de Paciente Crítico. Unidad de Paciente Crítico: Unidad de Cuidados Intensivos (UCI) y Unidad de Tratamiento Intermedio (UTI)”</w:t>
      </w:r>
      <w:r w:rsidRPr="001E145A">
        <w:rPr>
          <w:sz w:val="16"/>
          <w:szCs w:val="16"/>
          <w:lang w:val="es-MX"/>
        </w:rPr>
        <w:t xml:space="preserve">, Clínica Mayor, Chile, marzo de 2015, pág. 7. </w:t>
      </w:r>
      <w:r w:rsidRPr="001E145A">
        <w:rPr>
          <w:sz w:val="16"/>
          <w:szCs w:val="16"/>
          <w:lang w:val="es-CR"/>
        </w:rPr>
        <w:t xml:space="preserve">Respecto de la naturaleza genérica de la atención médica especializada brindada en las Unidades de Cuidados Intensivos hospitalarias, véase </w:t>
      </w:r>
      <w:r w:rsidRPr="001E145A">
        <w:rPr>
          <w:sz w:val="16"/>
          <w:szCs w:val="16"/>
          <w:lang w:val="es-MX"/>
        </w:rPr>
        <w:t xml:space="preserve">E. Páez y col., </w:t>
      </w:r>
      <w:r w:rsidRPr="00B1523A">
        <w:rPr>
          <w:i/>
          <w:sz w:val="16"/>
          <w:szCs w:val="16"/>
          <w:lang w:val="es-MX"/>
        </w:rPr>
        <w:t>“Guías 2004 de organización y funcionamiento de unidades de pacientes críticos”</w:t>
      </w:r>
      <w:r w:rsidRPr="001E145A">
        <w:rPr>
          <w:sz w:val="16"/>
          <w:szCs w:val="16"/>
          <w:lang w:val="es-MX"/>
        </w:rPr>
        <w:t xml:space="preserve">, </w:t>
      </w:r>
      <w:r w:rsidRPr="00062586">
        <w:rPr>
          <w:i/>
          <w:sz w:val="16"/>
          <w:szCs w:val="16"/>
          <w:lang w:val="es-CR"/>
        </w:rPr>
        <w:t>supra</w:t>
      </w:r>
      <w:r w:rsidRPr="001E145A">
        <w:rPr>
          <w:sz w:val="16"/>
          <w:szCs w:val="16"/>
          <w:lang w:val="es-CR"/>
        </w:rPr>
        <w:t>.</w:t>
      </w:r>
    </w:p>
  </w:footnote>
  <w:footnote w:id="230">
    <w:p w14:paraId="1B256441" w14:textId="1A629EB1" w:rsidR="003C025E" w:rsidRPr="002570D1" w:rsidRDefault="003C025E" w:rsidP="00EF55E3">
      <w:pPr>
        <w:pStyle w:val="FootnoteText"/>
        <w:rPr>
          <w:sz w:val="16"/>
          <w:szCs w:val="16"/>
          <w:lang w:val="es-AR"/>
        </w:rPr>
      </w:pPr>
      <w:r w:rsidRPr="002570D1">
        <w:rPr>
          <w:rStyle w:val="FootnoteReference"/>
          <w:rFonts w:eastAsia="Calibri"/>
          <w:sz w:val="16"/>
          <w:szCs w:val="16"/>
          <w:lang w:eastAsia="en-US"/>
        </w:rPr>
        <w:footnoteRef/>
      </w:r>
      <w:r w:rsidRPr="002570D1">
        <w:rPr>
          <w:rStyle w:val="FootnoteReference"/>
          <w:rFonts w:eastAsia="Calibri"/>
          <w:sz w:val="16"/>
          <w:szCs w:val="16"/>
          <w:lang w:eastAsia="en-US"/>
        </w:rPr>
        <w:t xml:space="preserve"> </w:t>
      </w:r>
      <w:r w:rsidRPr="002570D1">
        <w:rPr>
          <w:sz w:val="16"/>
          <w:szCs w:val="16"/>
          <w:lang w:val="es-AR"/>
        </w:rPr>
        <w:t xml:space="preserve"> </w:t>
      </w:r>
      <w:r>
        <w:rPr>
          <w:sz w:val="16"/>
          <w:szCs w:val="16"/>
          <w:lang w:val="es-AR"/>
        </w:rPr>
        <w:tab/>
      </w:r>
      <w:r w:rsidRPr="00DC60A4">
        <w:rPr>
          <w:i/>
          <w:sz w:val="16"/>
          <w:szCs w:val="16"/>
          <w:lang w:val="es-CR"/>
        </w:rPr>
        <w:t xml:space="preserve">Cfr. </w:t>
      </w:r>
      <w:r w:rsidRPr="00B1523A">
        <w:rPr>
          <w:sz w:val="16"/>
          <w:szCs w:val="16"/>
          <w:lang w:val="es-MX"/>
        </w:rPr>
        <w:t>Declaración rendida por el perito</w:t>
      </w:r>
      <w:r>
        <w:rPr>
          <w:sz w:val="16"/>
          <w:szCs w:val="16"/>
          <w:lang w:val="es-MX"/>
        </w:rPr>
        <w:t>,</w:t>
      </w:r>
      <w:r w:rsidRPr="00B1523A">
        <w:rPr>
          <w:sz w:val="16"/>
          <w:szCs w:val="16"/>
          <w:lang w:val="es-MX"/>
        </w:rPr>
        <w:t xml:space="preserve"> Dr. Javier Alejandro Santos,</w:t>
      </w:r>
      <w:r w:rsidRPr="00DC60A4">
        <w:rPr>
          <w:i/>
          <w:sz w:val="16"/>
          <w:szCs w:val="16"/>
          <w:lang w:val="es-MX"/>
        </w:rPr>
        <w:t xml:space="preserve"> supra,</w:t>
      </w:r>
      <w:r>
        <w:rPr>
          <w:sz w:val="16"/>
          <w:szCs w:val="16"/>
          <w:lang w:val="es-MX"/>
        </w:rPr>
        <w:t xml:space="preserve"> pág. 54.</w:t>
      </w:r>
      <w:r w:rsidRPr="002570D1">
        <w:rPr>
          <w:sz w:val="16"/>
          <w:szCs w:val="16"/>
          <w:lang w:val="es-AR"/>
        </w:rPr>
        <w:t xml:space="preserve"> </w:t>
      </w:r>
      <w:r>
        <w:rPr>
          <w:sz w:val="16"/>
          <w:szCs w:val="16"/>
          <w:lang w:val="es-AR"/>
        </w:rPr>
        <w:t>Al respecto, e</w:t>
      </w:r>
      <w:r w:rsidRPr="002570D1">
        <w:rPr>
          <w:sz w:val="16"/>
          <w:szCs w:val="16"/>
          <w:lang w:val="es-AR"/>
        </w:rPr>
        <w:t>xpresó</w:t>
      </w:r>
      <w:r>
        <w:rPr>
          <w:sz w:val="16"/>
          <w:szCs w:val="16"/>
          <w:lang w:val="es-AR"/>
        </w:rPr>
        <w:t xml:space="preserve">: </w:t>
      </w:r>
      <w:r w:rsidRPr="002570D1">
        <w:rPr>
          <w:sz w:val="16"/>
          <w:szCs w:val="16"/>
          <w:lang w:val="es-AR"/>
        </w:rPr>
        <w:t>“si hubiera tenido una chance</w:t>
      </w:r>
      <w:r>
        <w:rPr>
          <w:sz w:val="16"/>
          <w:szCs w:val="16"/>
          <w:lang w:val="es-AR"/>
        </w:rPr>
        <w:t xml:space="preserve"> [sic]</w:t>
      </w:r>
      <w:r w:rsidRPr="002570D1">
        <w:rPr>
          <w:sz w:val="16"/>
          <w:szCs w:val="16"/>
          <w:lang w:val="es-AR"/>
        </w:rPr>
        <w:t xml:space="preserve"> el paciente en su recuperación, era con la asistencia</w:t>
      </w:r>
      <w:r>
        <w:rPr>
          <w:sz w:val="16"/>
          <w:szCs w:val="16"/>
          <w:lang w:val="es-AR"/>
        </w:rPr>
        <w:t xml:space="preserve"> […]</w:t>
      </w:r>
      <w:r w:rsidRPr="002570D1">
        <w:rPr>
          <w:sz w:val="16"/>
          <w:szCs w:val="16"/>
          <w:lang w:val="es-AR"/>
        </w:rPr>
        <w:t>”.</w:t>
      </w:r>
    </w:p>
  </w:footnote>
  <w:footnote w:id="231">
    <w:p w14:paraId="0483D5F4" w14:textId="0480DAF2" w:rsidR="003C025E" w:rsidRPr="001E145A" w:rsidRDefault="003C025E" w:rsidP="00EF55E3">
      <w:pPr>
        <w:pStyle w:val="FootnoteText"/>
        <w:rPr>
          <w:i/>
        </w:rPr>
      </w:pPr>
      <w:r w:rsidRPr="005430FF">
        <w:rPr>
          <w:rStyle w:val="FootnoteReference"/>
          <w:rFonts w:eastAsia="Calibri"/>
          <w:sz w:val="16"/>
          <w:szCs w:val="16"/>
          <w:lang w:eastAsia="en-US"/>
        </w:rPr>
        <w:footnoteRef/>
      </w:r>
      <w:r w:rsidRPr="005430FF">
        <w:rPr>
          <w:rStyle w:val="FootnoteReference"/>
          <w:rFonts w:eastAsia="Calibri"/>
          <w:szCs w:val="16"/>
          <w:lang w:eastAsia="en-US"/>
        </w:rPr>
        <w:t xml:space="preserve"> </w:t>
      </w:r>
      <w:r w:rsidRPr="005430FF">
        <w:rPr>
          <w:sz w:val="16"/>
        </w:rPr>
        <w:t xml:space="preserve"> </w:t>
      </w:r>
      <w:r>
        <w:rPr>
          <w:sz w:val="16"/>
        </w:rPr>
        <w:tab/>
      </w:r>
      <w:r w:rsidRPr="00DC60A4">
        <w:rPr>
          <w:i/>
          <w:sz w:val="16"/>
          <w:lang w:val="es-CR"/>
        </w:rPr>
        <w:t xml:space="preserve">Cfr. </w:t>
      </w:r>
      <w:r w:rsidRPr="00B1523A">
        <w:rPr>
          <w:sz w:val="16"/>
          <w:lang w:val="es-MX"/>
        </w:rPr>
        <w:t>Declaración rendida por el perito</w:t>
      </w:r>
      <w:r>
        <w:rPr>
          <w:sz w:val="16"/>
          <w:lang w:val="es-MX"/>
        </w:rPr>
        <w:t>,</w:t>
      </w:r>
      <w:r w:rsidRPr="00B1523A">
        <w:rPr>
          <w:sz w:val="16"/>
          <w:lang w:val="es-MX"/>
        </w:rPr>
        <w:t xml:space="preserve"> Dr. Javier Alejandro Santos</w:t>
      </w:r>
      <w:r w:rsidRPr="00DC60A4">
        <w:rPr>
          <w:i/>
          <w:sz w:val="16"/>
          <w:lang w:val="es-MX"/>
        </w:rPr>
        <w:t>, supra,</w:t>
      </w:r>
      <w:r w:rsidRPr="00DC60A4">
        <w:rPr>
          <w:sz w:val="16"/>
          <w:lang w:val="es-MX"/>
        </w:rPr>
        <w:t xml:space="preserve"> pág.</w:t>
      </w:r>
      <w:r>
        <w:rPr>
          <w:sz w:val="16"/>
          <w:lang w:val="es-MX"/>
        </w:rPr>
        <w:t xml:space="preserve"> 60. En este sentido, el perito expresó</w:t>
      </w:r>
      <w:r>
        <w:rPr>
          <w:sz w:val="16"/>
        </w:rPr>
        <w:t xml:space="preserve">: </w:t>
      </w:r>
      <w:r w:rsidRPr="00B1523A">
        <w:rPr>
          <w:sz w:val="16"/>
        </w:rPr>
        <w:t>“</w:t>
      </w:r>
      <w:r>
        <w:rPr>
          <w:sz w:val="16"/>
        </w:rPr>
        <w:t>[…] y</w:t>
      </w:r>
      <w:r w:rsidRPr="00B1523A">
        <w:rPr>
          <w:sz w:val="16"/>
        </w:rPr>
        <w:t>o puedo hacer 30 hospitales y camas me van a faltar siempre, lo que tengo que hacer es buscar la manera de brindarle al que lo necesita lo que está necesitando. Si lo tengo que derivar, lo llevar</w:t>
      </w:r>
      <w:r>
        <w:rPr>
          <w:sz w:val="16"/>
        </w:rPr>
        <w:t>é</w:t>
      </w:r>
      <w:r w:rsidRPr="00B1523A">
        <w:rPr>
          <w:sz w:val="16"/>
        </w:rPr>
        <w:t xml:space="preserve"> adonde necesite</w:t>
      </w:r>
      <w:r>
        <w:rPr>
          <w:sz w:val="16"/>
        </w:rPr>
        <w:t>,</w:t>
      </w:r>
      <w:r w:rsidRPr="00B1523A">
        <w:rPr>
          <w:sz w:val="16"/>
        </w:rPr>
        <w:t xml:space="preserve"> pero no puedo condenarlo a no tratarlo porque no lo tengo</w:t>
      </w:r>
      <w:r>
        <w:rPr>
          <w:sz w:val="16"/>
        </w:rPr>
        <w:t xml:space="preserve"> [sic]</w:t>
      </w:r>
      <w:r w:rsidRPr="00B1523A">
        <w:rPr>
          <w:sz w:val="16"/>
        </w:rPr>
        <w:t>”.</w:t>
      </w:r>
      <w:r w:rsidRPr="001E145A">
        <w:rPr>
          <w:i/>
          <w:sz w:val="16"/>
        </w:rPr>
        <w:t xml:space="preserve"> </w:t>
      </w:r>
    </w:p>
  </w:footnote>
  <w:footnote w:id="232">
    <w:p w14:paraId="50B397EE" w14:textId="59CB39F1" w:rsidR="003C025E" w:rsidRPr="002570D1" w:rsidRDefault="003C025E" w:rsidP="00EF55E3">
      <w:pPr>
        <w:pStyle w:val="FootnoteText"/>
        <w:rPr>
          <w:sz w:val="16"/>
          <w:szCs w:val="16"/>
          <w:lang w:val="es-AR"/>
        </w:rPr>
      </w:pPr>
      <w:r w:rsidRPr="002570D1">
        <w:rPr>
          <w:rStyle w:val="FootnoteReference"/>
          <w:sz w:val="16"/>
          <w:szCs w:val="16"/>
        </w:rPr>
        <w:footnoteRef/>
      </w:r>
      <w:r w:rsidRPr="002570D1">
        <w:rPr>
          <w:sz w:val="16"/>
          <w:szCs w:val="16"/>
          <w:lang w:val="es-AR"/>
        </w:rPr>
        <w:t xml:space="preserve">   </w:t>
      </w:r>
      <w:r>
        <w:rPr>
          <w:sz w:val="16"/>
          <w:szCs w:val="16"/>
          <w:lang w:val="es-AR"/>
        </w:rPr>
        <w:tab/>
      </w:r>
      <w:r>
        <w:rPr>
          <w:i/>
          <w:sz w:val="16"/>
          <w:szCs w:val="16"/>
          <w:lang w:val="es-AR"/>
        </w:rPr>
        <w:t xml:space="preserve">Cfr. </w:t>
      </w:r>
      <w:r w:rsidRPr="002570D1">
        <w:rPr>
          <w:sz w:val="16"/>
          <w:szCs w:val="16"/>
          <w:lang w:val="es-AR"/>
        </w:rPr>
        <w:t xml:space="preserve">Declaración rendida ante fedatario público por </w:t>
      </w:r>
      <w:proofErr w:type="spellStart"/>
      <w:r w:rsidRPr="002570D1">
        <w:rPr>
          <w:sz w:val="16"/>
          <w:szCs w:val="16"/>
          <w:lang w:val="es-AR"/>
        </w:rPr>
        <w:t>Cesia</w:t>
      </w:r>
      <w:proofErr w:type="spellEnd"/>
      <w:r w:rsidRPr="002570D1">
        <w:rPr>
          <w:sz w:val="16"/>
          <w:szCs w:val="16"/>
          <w:lang w:val="es-AR"/>
        </w:rPr>
        <w:t xml:space="preserve"> Leila Siria Poblete Tapia</w:t>
      </w:r>
      <w:r>
        <w:rPr>
          <w:sz w:val="16"/>
          <w:szCs w:val="16"/>
          <w:lang w:val="es-AR"/>
        </w:rPr>
        <w:t xml:space="preserve">, </w:t>
      </w:r>
      <w:r w:rsidRPr="00B1523A">
        <w:rPr>
          <w:i/>
          <w:sz w:val="16"/>
          <w:szCs w:val="16"/>
          <w:lang w:val="es-AR"/>
        </w:rPr>
        <w:t>supra</w:t>
      </w:r>
      <w:r>
        <w:rPr>
          <w:sz w:val="16"/>
          <w:szCs w:val="16"/>
          <w:lang w:val="es-AR"/>
        </w:rPr>
        <w:t xml:space="preserve"> </w:t>
      </w:r>
      <w:r w:rsidRPr="002570D1">
        <w:rPr>
          <w:sz w:val="16"/>
          <w:szCs w:val="16"/>
          <w:lang w:val="es-AR"/>
        </w:rPr>
        <w:t>(expediente de prueba, affidávits, f</w:t>
      </w:r>
      <w:r>
        <w:rPr>
          <w:sz w:val="16"/>
          <w:szCs w:val="16"/>
          <w:lang w:val="es-AR"/>
        </w:rPr>
        <w:t>.</w:t>
      </w:r>
      <w:r w:rsidRPr="002570D1">
        <w:rPr>
          <w:sz w:val="16"/>
          <w:szCs w:val="16"/>
          <w:lang w:val="es-AR"/>
        </w:rPr>
        <w:t xml:space="preserve"> 4466).</w:t>
      </w:r>
    </w:p>
  </w:footnote>
  <w:footnote w:id="233">
    <w:p w14:paraId="509981F9" w14:textId="0505BDBA" w:rsidR="003C025E" w:rsidRPr="00C27894" w:rsidRDefault="003C025E" w:rsidP="00E23408">
      <w:pPr>
        <w:pStyle w:val="FootnoteText"/>
        <w:rPr>
          <w:b/>
          <w:sz w:val="16"/>
          <w:szCs w:val="16"/>
          <w:lang w:val="es-AR"/>
        </w:rPr>
      </w:pPr>
      <w:r w:rsidRPr="00383565">
        <w:rPr>
          <w:rStyle w:val="FootnoteReference"/>
          <w:rFonts w:eastAsia="Calibri"/>
          <w:sz w:val="16"/>
          <w:szCs w:val="16"/>
          <w:lang w:eastAsia="en-US"/>
        </w:rPr>
        <w:footnoteRef/>
      </w:r>
      <w:r w:rsidRPr="00383565">
        <w:rPr>
          <w:rStyle w:val="FootnoteReference"/>
          <w:rFonts w:eastAsia="Calibri"/>
          <w:sz w:val="16"/>
          <w:szCs w:val="16"/>
          <w:lang w:eastAsia="en-US"/>
        </w:rPr>
        <w:t xml:space="preserve"> </w:t>
      </w:r>
      <w:r>
        <w:rPr>
          <w:lang w:val="es-AR"/>
        </w:rPr>
        <w:t xml:space="preserve"> </w:t>
      </w:r>
      <w:r>
        <w:rPr>
          <w:lang w:val="es-AR"/>
        </w:rPr>
        <w:tab/>
      </w:r>
      <w:r w:rsidRPr="00B1523A">
        <w:rPr>
          <w:i/>
          <w:sz w:val="16"/>
          <w:szCs w:val="16"/>
          <w:lang w:val="es-AR"/>
        </w:rPr>
        <w:t>Cfr.</w:t>
      </w:r>
      <w:r>
        <w:rPr>
          <w:i/>
          <w:lang w:val="es-AR"/>
        </w:rPr>
        <w:t xml:space="preserve"> </w:t>
      </w:r>
      <w:r w:rsidRPr="00383565">
        <w:rPr>
          <w:sz w:val="16"/>
          <w:szCs w:val="16"/>
          <w:lang w:val="es-AR"/>
        </w:rPr>
        <w:t xml:space="preserve">Declaración </w:t>
      </w:r>
      <w:r>
        <w:rPr>
          <w:sz w:val="16"/>
          <w:szCs w:val="16"/>
          <w:lang w:val="es-AR"/>
        </w:rPr>
        <w:t xml:space="preserve">rendida por </w:t>
      </w:r>
      <w:r w:rsidRPr="00383565" w:rsidDel="00995340">
        <w:rPr>
          <w:sz w:val="16"/>
          <w:szCs w:val="16"/>
          <w:lang w:val="es-AR"/>
        </w:rPr>
        <w:t xml:space="preserve">del señor </w:t>
      </w:r>
      <w:r w:rsidRPr="00383565">
        <w:rPr>
          <w:sz w:val="16"/>
          <w:szCs w:val="16"/>
          <w:lang w:val="es-AR"/>
        </w:rPr>
        <w:t xml:space="preserve">Vinicio Marco Antonio Poblete Tapia ante la </w:t>
      </w:r>
      <w:r>
        <w:rPr>
          <w:sz w:val="16"/>
          <w:szCs w:val="16"/>
          <w:lang w:val="es-AR"/>
        </w:rPr>
        <w:t xml:space="preserve">Corte en la </w:t>
      </w:r>
      <w:r w:rsidRPr="00383565" w:rsidDel="00995340">
        <w:rPr>
          <w:sz w:val="16"/>
          <w:szCs w:val="16"/>
          <w:lang w:val="es-AR"/>
        </w:rPr>
        <w:t>A</w:t>
      </w:r>
      <w:r w:rsidRPr="00383565">
        <w:rPr>
          <w:sz w:val="16"/>
          <w:szCs w:val="16"/>
          <w:lang w:val="es-AR"/>
        </w:rPr>
        <w:t xml:space="preserve">udiencia </w:t>
      </w:r>
      <w:r w:rsidRPr="00383565" w:rsidDel="00995340">
        <w:rPr>
          <w:sz w:val="16"/>
          <w:szCs w:val="16"/>
          <w:lang w:val="es-AR"/>
        </w:rPr>
        <w:t>P</w:t>
      </w:r>
      <w:r w:rsidRPr="00383565">
        <w:rPr>
          <w:sz w:val="16"/>
          <w:szCs w:val="16"/>
          <w:lang w:val="es-AR"/>
        </w:rPr>
        <w:t>ública del 19 de octubre de 2017</w:t>
      </w:r>
      <w:r>
        <w:rPr>
          <w:sz w:val="16"/>
          <w:szCs w:val="16"/>
          <w:lang w:val="es-AR"/>
        </w:rPr>
        <w:t xml:space="preserve">, </w:t>
      </w:r>
      <w:r>
        <w:rPr>
          <w:i/>
          <w:sz w:val="16"/>
          <w:szCs w:val="16"/>
          <w:lang w:val="es-AR"/>
        </w:rPr>
        <w:t>supra</w:t>
      </w:r>
      <w:r>
        <w:rPr>
          <w:sz w:val="16"/>
          <w:szCs w:val="16"/>
          <w:lang w:val="es-AR"/>
        </w:rPr>
        <w:t xml:space="preserve">, </w:t>
      </w:r>
      <w:r w:rsidRPr="00383565">
        <w:rPr>
          <w:sz w:val="16"/>
          <w:szCs w:val="16"/>
          <w:lang w:val="es-AR"/>
        </w:rPr>
        <w:t>pág. 16</w:t>
      </w:r>
      <w:r>
        <w:rPr>
          <w:sz w:val="16"/>
          <w:szCs w:val="16"/>
          <w:lang w:val="es-AR"/>
        </w:rPr>
        <w:t>. En la misma, consta que el señor Poblete Tapia declaró: “</w:t>
      </w:r>
      <w:r w:rsidRPr="00383565" w:rsidDel="00CD3A50">
        <w:rPr>
          <w:sz w:val="16"/>
          <w:szCs w:val="16"/>
          <w:lang w:val="es-AR"/>
        </w:rPr>
        <w:t>E</w:t>
      </w:r>
      <w:r w:rsidRPr="00383565">
        <w:rPr>
          <w:sz w:val="16"/>
          <w:szCs w:val="16"/>
          <w:lang w:val="es-AR"/>
        </w:rPr>
        <w:t xml:space="preserve">l doctor Montesino dijo </w:t>
      </w:r>
      <w:r>
        <w:rPr>
          <w:sz w:val="16"/>
          <w:szCs w:val="16"/>
          <w:lang w:val="es-AR"/>
        </w:rPr>
        <w:t>‘t</w:t>
      </w:r>
      <w:r w:rsidRPr="00383565">
        <w:rPr>
          <w:sz w:val="16"/>
          <w:szCs w:val="16"/>
          <w:lang w:val="es-AR"/>
        </w:rPr>
        <w:t>u papá ya se le dio una oportunidad de vivir</w:t>
      </w:r>
      <w:r>
        <w:rPr>
          <w:sz w:val="16"/>
          <w:szCs w:val="16"/>
          <w:lang w:val="es-AR"/>
        </w:rPr>
        <w:t>’</w:t>
      </w:r>
      <w:r w:rsidRPr="00383565">
        <w:rPr>
          <w:sz w:val="16"/>
          <w:szCs w:val="16"/>
          <w:lang w:val="es-AR"/>
        </w:rPr>
        <w:t>, como que él era un ser sobrenatural que tenía el poder sobre la vida</w:t>
      </w:r>
      <w:r>
        <w:rPr>
          <w:sz w:val="16"/>
          <w:szCs w:val="16"/>
          <w:lang w:val="es-AR"/>
        </w:rPr>
        <w:t>,</w:t>
      </w:r>
      <w:r w:rsidRPr="00383565">
        <w:rPr>
          <w:sz w:val="16"/>
          <w:szCs w:val="16"/>
          <w:lang w:val="es-AR"/>
        </w:rPr>
        <w:t xml:space="preserve"> </w:t>
      </w:r>
      <w:r>
        <w:rPr>
          <w:sz w:val="16"/>
          <w:szCs w:val="16"/>
          <w:lang w:val="es-AR"/>
        </w:rPr>
        <w:t>‘</w:t>
      </w:r>
      <w:r w:rsidRPr="00383565">
        <w:rPr>
          <w:sz w:val="16"/>
          <w:szCs w:val="16"/>
          <w:lang w:val="es-AR"/>
        </w:rPr>
        <w:t>yo le di la oportunidad de vivir</w:t>
      </w:r>
      <w:r>
        <w:rPr>
          <w:sz w:val="16"/>
          <w:szCs w:val="16"/>
          <w:lang w:val="es-AR"/>
        </w:rPr>
        <w:t>’</w:t>
      </w:r>
      <w:r w:rsidRPr="00383565">
        <w:rPr>
          <w:sz w:val="16"/>
          <w:szCs w:val="16"/>
          <w:lang w:val="es-AR"/>
        </w:rPr>
        <w:t xml:space="preserve"> </w:t>
      </w:r>
      <w:r w:rsidRPr="00383565" w:rsidDel="00995340">
        <w:rPr>
          <w:sz w:val="16"/>
          <w:szCs w:val="16"/>
          <w:lang w:val="es-AR"/>
        </w:rPr>
        <w:t xml:space="preserve">dijo </w:t>
      </w:r>
      <w:r>
        <w:rPr>
          <w:sz w:val="16"/>
          <w:szCs w:val="16"/>
          <w:lang w:val="es-AR"/>
        </w:rPr>
        <w:t>[…] ‘</w:t>
      </w:r>
      <w:r w:rsidRPr="00383565">
        <w:rPr>
          <w:sz w:val="16"/>
          <w:szCs w:val="16"/>
          <w:lang w:val="es-AR"/>
        </w:rPr>
        <w:t>la primera vez que ingresó al Sotero del Río, yo no le voy a darle otra oportunidad de vivir, tu papá tiene que morir, tu papá ya</w:t>
      </w:r>
      <w:r>
        <w:rPr>
          <w:sz w:val="16"/>
          <w:szCs w:val="16"/>
          <w:lang w:val="es-AR"/>
        </w:rPr>
        <w:t xml:space="preserve"> [</w:t>
      </w:r>
      <w:r w:rsidRPr="00383565">
        <w:rPr>
          <w:sz w:val="16"/>
          <w:szCs w:val="16"/>
          <w:lang w:val="es-AR"/>
        </w:rPr>
        <w:t>…</w:t>
      </w:r>
      <w:r>
        <w:rPr>
          <w:sz w:val="16"/>
          <w:szCs w:val="16"/>
          <w:lang w:val="es-AR"/>
        </w:rPr>
        <w:t>]’</w:t>
      </w:r>
      <w:r w:rsidRPr="00383565">
        <w:rPr>
          <w:sz w:val="16"/>
          <w:szCs w:val="16"/>
          <w:lang w:val="es-AR"/>
        </w:rPr>
        <w:t>”</w:t>
      </w:r>
      <w:r>
        <w:rPr>
          <w:sz w:val="16"/>
          <w:szCs w:val="16"/>
          <w:lang w:val="es-AR"/>
        </w:rPr>
        <w:t>.</w:t>
      </w:r>
    </w:p>
  </w:footnote>
  <w:footnote w:id="234">
    <w:p w14:paraId="7DF1C17F" w14:textId="12B8BF3B" w:rsidR="003C025E" w:rsidRPr="002570D1" w:rsidRDefault="003C025E" w:rsidP="002570D1">
      <w:pPr>
        <w:pStyle w:val="FootnoteText"/>
        <w:rPr>
          <w:sz w:val="16"/>
          <w:szCs w:val="16"/>
          <w:lang w:val="es-AR"/>
        </w:rPr>
      </w:pPr>
      <w:r w:rsidRPr="002570D1">
        <w:rPr>
          <w:rStyle w:val="FootnoteReference"/>
          <w:rFonts w:eastAsia="Calibri"/>
          <w:sz w:val="16"/>
          <w:szCs w:val="16"/>
          <w:lang w:eastAsia="en-US"/>
        </w:rPr>
        <w:footnoteRef/>
      </w:r>
      <w:r w:rsidRPr="002570D1">
        <w:rPr>
          <w:sz w:val="16"/>
          <w:szCs w:val="16"/>
          <w:lang w:val="es-AR"/>
        </w:rPr>
        <w:t xml:space="preserve">   </w:t>
      </w:r>
      <w:r>
        <w:rPr>
          <w:i/>
          <w:sz w:val="16"/>
          <w:szCs w:val="16"/>
          <w:lang w:val="es-CR"/>
        </w:rPr>
        <w:tab/>
      </w:r>
      <w:r w:rsidRPr="002908D6">
        <w:rPr>
          <w:sz w:val="16"/>
          <w:szCs w:val="16"/>
          <w:lang w:val="es-MX"/>
        </w:rPr>
        <w:t>Declaración rendida por el perito</w:t>
      </w:r>
      <w:r>
        <w:rPr>
          <w:sz w:val="16"/>
          <w:szCs w:val="16"/>
          <w:lang w:val="es-MX"/>
        </w:rPr>
        <w:t>,</w:t>
      </w:r>
      <w:r w:rsidRPr="002908D6">
        <w:rPr>
          <w:sz w:val="16"/>
          <w:szCs w:val="16"/>
          <w:lang w:val="es-MX"/>
        </w:rPr>
        <w:t xml:space="preserve"> Dr. Javier Alejandro Santos,</w:t>
      </w:r>
      <w:r w:rsidRPr="002908D6">
        <w:rPr>
          <w:i/>
          <w:sz w:val="16"/>
          <w:szCs w:val="16"/>
          <w:lang w:val="es-MX"/>
        </w:rPr>
        <w:t xml:space="preserve"> supra,</w:t>
      </w:r>
      <w:r>
        <w:rPr>
          <w:sz w:val="16"/>
          <w:szCs w:val="16"/>
          <w:lang w:val="es-MX"/>
        </w:rPr>
        <w:t xml:space="preserve"> pág. </w:t>
      </w:r>
      <w:r>
        <w:rPr>
          <w:sz w:val="16"/>
          <w:szCs w:val="16"/>
          <w:lang w:val="es-AR"/>
        </w:rPr>
        <w:t>51.</w:t>
      </w:r>
      <w:r w:rsidRPr="002570D1">
        <w:rPr>
          <w:sz w:val="16"/>
          <w:szCs w:val="16"/>
          <w:lang w:val="es-AR"/>
        </w:rPr>
        <w:t xml:space="preserve"> Al respecto</w:t>
      </w:r>
      <w:r>
        <w:rPr>
          <w:sz w:val="16"/>
          <w:szCs w:val="16"/>
          <w:lang w:val="es-AR"/>
        </w:rPr>
        <w:t>,</w:t>
      </w:r>
      <w:r w:rsidRPr="002570D1">
        <w:rPr>
          <w:sz w:val="16"/>
          <w:szCs w:val="16"/>
          <w:lang w:val="es-AR"/>
        </w:rPr>
        <w:t xml:space="preserve"> el perito resaltó: “en cuanto a las deficiencias individuales, no habían profesionales que pudieran leer lo que el paciente está contando”, y agregó</w:t>
      </w:r>
      <w:r>
        <w:rPr>
          <w:sz w:val="16"/>
          <w:szCs w:val="16"/>
          <w:lang w:val="es-AR"/>
        </w:rPr>
        <w:t>:</w:t>
      </w:r>
      <w:r w:rsidRPr="002570D1">
        <w:rPr>
          <w:sz w:val="16"/>
          <w:szCs w:val="16"/>
          <w:lang w:val="es-AR"/>
        </w:rPr>
        <w:t xml:space="preserve"> “en cuanto a lo estructural, tiene que ver con la necesidad de un servicio que instrumente el estado o la organización en que este, con los especialistas que atienden este tipo de patologías”. </w:t>
      </w:r>
    </w:p>
  </w:footnote>
  <w:footnote w:id="235">
    <w:p w14:paraId="3E991D3F" w14:textId="15C5F0EB" w:rsidR="003C025E" w:rsidRPr="009A27E4" w:rsidRDefault="003C025E">
      <w:pPr>
        <w:pStyle w:val="FootnoteText"/>
      </w:pPr>
      <w:r w:rsidRPr="00383565">
        <w:rPr>
          <w:rStyle w:val="FootnoteReference"/>
          <w:rFonts w:eastAsia="Calibri"/>
          <w:sz w:val="16"/>
          <w:szCs w:val="16"/>
          <w:lang w:eastAsia="en-US"/>
        </w:rPr>
        <w:footnoteRef/>
      </w:r>
      <w:r>
        <w:t xml:space="preserve">  </w:t>
      </w:r>
      <w:r>
        <w:tab/>
      </w:r>
      <w:r w:rsidRPr="001016A7">
        <w:rPr>
          <w:i/>
          <w:sz w:val="16"/>
          <w:szCs w:val="16"/>
          <w:lang w:val="es-CR"/>
        </w:rPr>
        <w:t xml:space="preserve">Cfr. </w:t>
      </w:r>
      <w:r w:rsidRPr="001016A7">
        <w:rPr>
          <w:sz w:val="16"/>
          <w:szCs w:val="16"/>
          <w:lang w:val="es-MX"/>
        </w:rPr>
        <w:t>Declaración rendida por el perito</w:t>
      </w:r>
      <w:r>
        <w:rPr>
          <w:sz w:val="16"/>
          <w:szCs w:val="16"/>
          <w:lang w:val="es-MX"/>
        </w:rPr>
        <w:t>,</w:t>
      </w:r>
      <w:r w:rsidRPr="001016A7">
        <w:rPr>
          <w:sz w:val="16"/>
          <w:szCs w:val="16"/>
          <w:lang w:val="es-MX"/>
        </w:rPr>
        <w:t xml:space="preserve"> Dr. Javier Alejandro Santos,</w:t>
      </w:r>
      <w:r w:rsidRPr="001016A7">
        <w:rPr>
          <w:i/>
          <w:sz w:val="16"/>
          <w:szCs w:val="16"/>
          <w:lang w:val="es-MX"/>
        </w:rPr>
        <w:t xml:space="preserve"> supra,</w:t>
      </w:r>
      <w:r w:rsidRPr="001016A7">
        <w:rPr>
          <w:sz w:val="16"/>
          <w:szCs w:val="16"/>
          <w:lang w:val="es-MX"/>
        </w:rPr>
        <w:t xml:space="preserve"> pág. </w:t>
      </w:r>
      <w:r>
        <w:rPr>
          <w:sz w:val="16"/>
          <w:szCs w:val="16"/>
          <w:lang w:val="es-AR"/>
        </w:rPr>
        <w:t>46</w:t>
      </w:r>
      <w:r w:rsidRPr="00383565">
        <w:rPr>
          <w:sz w:val="16"/>
          <w:szCs w:val="16"/>
          <w:lang w:val="es-AR"/>
        </w:rPr>
        <w:t xml:space="preserve">: </w:t>
      </w:r>
      <w:r>
        <w:rPr>
          <w:sz w:val="16"/>
          <w:szCs w:val="16"/>
          <w:lang w:val="es-AR"/>
        </w:rPr>
        <w:t xml:space="preserve">En la misma consta: </w:t>
      </w:r>
      <w:r w:rsidRPr="00383565">
        <w:rPr>
          <w:sz w:val="16"/>
          <w:szCs w:val="16"/>
          <w:lang w:val="es-AR"/>
        </w:rPr>
        <w:t>“paciente de 76 años, con antecedentes de diabetes tipo 2, hipertensión, una arritmia</w:t>
      </w:r>
      <w:r>
        <w:rPr>
          <w:sz w:val="16"/>
          <w:szCs w:val="16"/>
          <w:lang w:val="es-AR"/>
        </w:rPr>
        <w:t xml:space="preserve"> […]</w:t>
      </w:r>
      <w:r w:rsidRPr="00383565">
        <w:rPr>
          <w:sz w:val="16"/>
          <w:szCs w:val="16"/>
          <w:lang w:val="es-AR"/>
        </w:rPr>
        <w:t>”</w:t>
      </w:r>
      <w:r>
        <w:rPr>
          <w:sz w:val="16"/>
          <w:szCs w:val="16"/>
          <w:lang w:val="es-AR"/>
        </w:rPr>
        <w:t>.</w:t>
      </w:r>
    </w:p>
  </w:footnote>
  <w:footnote w:id="236">
    <w:p w14:paraId="1303DA53" w14:textId="09B8D127" w:rsidR="003C025E" w:rsidRPr="002570D1" w:rsidRDefault="003C025E" w:rsidP="002570D1">
      <w:pPr>
        <w:pStyle w:val="FootnoteText"/>
        <w:rPr>
          <w:sz w:val="16"/>
          <w:szCs w:val="16"/>
          <w:lang w:val="es-MX"/>
        </w:rPr>
      </w:pPr>
      <w:r w:rsidRPr="002570D1">
        <w:rPr>
          <w:rStyle w:val="FootnoteReference"/>
          <w:rFonts w:eastAsia="Calibri"/>
          <w:sz w:val="16"/>
          <w:szCs w:val="16"/>
          <w:lang w:eastAsia="en-US"/>
        </w:rPr>
        <w:footnoteRef/>
      </w:r>
      <w:r>
        <w:rPr>
          <w:sz w:val="16"/>
          <w:szCs w:val="16"/>
          <w:lang w:val="pt-BR"/>
        </w:rPr>
        <w:t xml:space="preserve"> </w:t>
      </w:r>
      <w:r>
        <w:rPr>
          <w:sz w:val="16"/>
          <w:szCs w:val="16"/>
          <w:lang w:val="pt-BR"/>
        </w:rPr>
        <w:tab/>
      </w:r>
      <w:bookmarkStart w:id="83" w:name="_Hlk501390093"/>
      <w:r w:rsidRPr="002570D1">
        <w:rPr>
          <w:i/>
          <w:sz w:val="16"/>
          <w:szCs w:val="16"/>
          <w:lang w:val="pt-BR"/>
        </w:rPr>
        <w:t xml:space="preserve">Caso </w:t>
      </w:r>
      <w:r w:rsidRPr="002570D1">
        <w:rPr>
          <w:bCs/>
          <w:i/>
          <w:sz w:val="16"/>
          <w:szCs w:val="16"/>
          <w:lang w:val="pt-BR"/>
        </w:rPr>
        <w:t>Ximenes Lopes Vs. Brasil</w:t>
      </w:r>
      <w:r>
        <w:rPr>
          <w:bCs/>
          <w:sz w:val="16"/>
          <w:szCs w:val="16"/>
          <w:lang w:val="pt-BR"/>
        </w:rPr>
        <w:t xml:space="preserve">, </w:t>
      </w:r>
      <w:r>
        <w:rPr>
          <w:bCs/>
          <w:i/>
          <w:sz w:val="16"/>
          <w:szCs w:val="16"/>
          <w:lang w:val="pt-BR"/>
        </w:rPr>
        <w:t>supra</w:t>
      </w:r>
      <w:r w:rsidRPr="00B1523A">
        <w:rPr>
          <w:bCs/>
          <w:sz w:val="16"/>
          <w:szCs w:val="16"/>
          <w:lang w:val="pt-BR"/>
        </w:rPr>
        <w:t xml:space="preserve">, párr. </w:t>
      </w:r>
      <w:r w:rsidRPr="002570D1">
        <w:rPr>
          <w:bCs/>
          <w:sz w:val="16"/>
          <w:szCs w:val="16"/>
        </w:rPr>
        <w:t>124</w:t>
      </w:r>
      <w:r w:rsidRPr="00847C4A">
        <w:rPr>
          <w:bCs/>
          <w:sz w:val="16"/>
          <w:szCs w:val="16"/>
        </w:rPr>
        <w:t xml:space="preserve">; </w:t>
      </w:r>
      <w:r w:rsidRPr="00847C4A">
        <w:rPr>
          <w:sz w:val="16"/>
          <w:szCs w:val="16"/>
          <w:lang w:val="es-MX"/>
        </w:rPr>
        <w:t xml:space="preserve"> Caso </w:t>
      </w:r>
      <w:proofErr w:type="spellStart"/>
      <w:r w:rsidRPr="00847C4A">
        <w:rPr>
          <w:i/>
          <w:sz w:val="16"/>
          <w:szCs w:val="16"/>
          <w:lang w:val="es-MX"/>
        </w:rPr>
        <w:t>Artavia</w:t>
      </w:r>
      <w:proofErr w:type="spellEnd"/>
      <w:r w:rsidRPr="00847C4A">
        <w:rPr>
          <w:i/>
          <w:sz w:val="16"/>
          <w:szCs w:val="16"/>
          <w:lang w:val="es-MX"/>
        </w:rPr>
        <w:t xml:space="preserve"> Murillo y otros (Fecundación in vitro) Vs. Costa Rica</w:t>
      </w:r>
      <w:r w:rsidRPr="00847C4A">
        <w:rPr>
          <w:sz w:val="16"/>
          <w:szCs w:val="16"/>
          <w:lang w:val="es-MX"/>
        </w:rPr>
        <w:t xml:space="preserve">. </w:t>
      </w:r>
      <w:r w:rsidRPr="00847C4A">
        <w:rPr>
          <w:i/>
          <w:sz w:val="16"/>
          <w:szCs w:val="16"/>
          <w:lang w:val="es-MX"/>
        </w:rPr>
        <w:t>Excepciones Preliminares, Fondo, Reparaciones y Costas</w:t>
      </w:r>
      <w:r w:rsidRPr="00847C4A">
        <w:rPr>
          <w:sz w:val="16"/>
          <w:szCs w:val="16"/>
          <w:lang w:val="es-MX"/>
        </w:rPr>
        <w:t xml:space="preserve">. Sentencia de 28 noviembre de 2012 Serie C No. 257, párr. 172, y </w:t>
      </w:r>
      <w:r w:rsidRPr="00847C4A">
        <w:rPr>
          <w:i/>
          <w:sz w:val="16"/>
          <w:szCs w:val="16"/>
          <w:lang w:val="es-MX"/>
        </w:rPr>
        <w:t>Comunidad Garífuna de Punta Piedra y sus miembros Vs. Honduras</w:t>
      </w:r>
      <w:r w:rsidRPr="00847C4A">
        <w:rPr>
          <w:sz w:val="16"/>
          <w:szCs w:val="16"/>
          <w:lang w:val="es-MX"/>
        </w:rPr>
        <w:t xml:space="preserve">, </w:t>
      </w:r>
      <w:r w:rsidRPr="00847C4A">
        <w:rPr>
          <w:i/>
          <w:sz w:val="16"/>
          <w:szCs w:val="16"/>
          <w:lang w:val="es-MX"/>
        </w:rPr>
        <w:t>Excepciones Preliminares, Reparaciones y Costas</w:t>
      </w:r>
      <w:r w:rsidRPr="00847C4A">
        <w:rPr>
          <w:sz w:val="16"/>
          <w:szCs w:val="16"/>
          <w:lang w:val="es-MX"/>
        </w:rPr>
        <w:t>. Sentencia de 8 de octubre de 2015. Serie C No. 304, párr</w:t>
      </w:r>
      <w:bookmarkEnd w:id="83"/>
      <w:r w:rsidRPr="00847C4A">
        <w:rPr>
          <w:sz w:val="16"/>
          <w:szCs w:val="16"/>
          <w:lang w:val="es-MX"/>
        </w:rPr>
        <w:t xml:space="preserve">. 262. </w:t>
      </w:r>
    </w:p>
  </w:footnote>
  <w:footnote w:id="237">
    <w:p w14:paraId="15DB4CDD" w14:textId="5EC4CA10" w:rsidR="003C025E" w:rsidRPr="002570D1" w:rsidRDefault="003C025E" w:rsidP="00DA1A27">
      <w:pPr>
        <w:pStyle w:val="FootnoteText"/>
        <w:rPr>
          <w:sz w:val="16"/>
          <w:szCs w:val="16"/>
          <w:lang w:val="es-AR"/>
        </w:rPr>
      </w:pPr>
      <w:r w:rsidRPr="002570D1">
        <w:rPr>
          <w:rStyle w:val="FootnoteReference"/>
          <w:rFonts w:eastAsia="Calibri"/>
          <w:sz w:val="16"/>
          <w:szCs w:val="16"/>
          <w:lang w:eastAsia="en-US"/>
        </w:rPr>
        <w:footnoteRef/>
      </w:r>
      <w:r w:rsidRPr="002570D1">
        <w:rPr>
          <w:rStyle w:val="FootnoteReference"/>
          <w:rFonts w:eastAsia="Calibri"/>
          <w:sz w:val="16"/>
          <w:szCs w:val="16"/>
          <w:lang w:eastAsia="en-US"/>
        </w:rPr>
        <w:t xml:space="preserve"> </w:t>
      </w:r>
      <w:r w:rsidRPr="002570D1">
        <w:rPr>
          <w:sz w:val="16"/>
          <w:szCs w:val="16"/>
          <w:lang w:val="es-AR"/>
        </w:rPr>
        <w:t xml:space="preserve">  </w:t>
      </w:r>
      <w:r w:rsidRPr="002570D1">
        <w:rPr>
          <w:i/>
          <w:sz w:val="16"/>
          <w:szCs w:val="16"/>
          <w:lang w:val="es-MX"/>
        </w:rPr>
        <w:t>Caso Suarez Peralta Vs. Ecuador,</w:t>
      </w:r>
      <w:r>
        <w:rPr>
          <w:i/>
          <w:sz w:val="16"/>
          <w:szCs w:val="16"/>
          <w:lang w:val="es-MX"/>
        </w:rPr>
        <w:t xml:space="preserve"> supra</w:t>
      </w:r>
      <w:r>
        <w:rPr>
          <w:sz w:val="16"/>
          <w:szCs w:val="16"/>
          <w:lang w:val="es-MX"/>
        </w:rPr>
        <w:t xml:space="preserve">, </w:t>
      </w:r>
      <w:r w:rsidRPr="002570D1">
        <w:rPr>
          <w:sz w:val="16"/>
          <w:szCs w:val="16"/>
          <w:lang w:val="es-MX"/>
        </w:rPr>
        <w:t>párr. 135.</w:t>
      </w:r>
      <w:r w:rsidRPr="002570D1">
        <w:rPr>
          <w:sz w:val="16"/>
          <w:szCs w:val="16"/>
          <w:lang w:val="es-CR"/>
        </w:rPr>
        <w:t xml:space="preserve"> </w:t>
      </w:r>
    </w:p>
  </w:footnote>
  <w:footnote w:id="238">
    <w:p w14:paraId="1920824B" w14:textId="7B1A4918" w:rsidR="003C025E" w:rsidRPr="002570D1" w:rsidRDefault="003C025E" w:rsidP="00DA1A27">
      <w:pPr>
        <w:pStyle w:val="FootnoteText"/>
        <w:rPr>
          <w:sz w:val="16"/>
          <w:szCs w:val="16"/>
          <w:lang w:val="es-MX"/>
        </w:rPr>
      </w:pPr>
      <w:r w:rsidRPr="002570D1">
        <w:rPr>
          <w:rStyle w:val="FootnoteReference"/>
          <w:rFonts w:eastAsia="Calibri"/>
          <w:sz w:val="16"/>
          <w:szCs w:val="16"/>
          <w:lang w:eastAsia="en-US"/>
        </w:rPr>
        <w:footnoteRef/>
      </w:r>
      <w:r w:rsidRPr="002570D1">
        <w:rPr>
          <w:rStyle w:val="FootnoteReference"/>
          <w:rFonts w:eastAsia="Calibri"/>
          <w:sz w:val="16"/>
          <w:szCs w:val="16"/>
          <w:lang w:eastAsia="en-US"/>
        </w:rPr>
        <w:t xml:space="preserve"> </w:t>
      </w:r>
      <w:r w:rsidRPr="002570D1">
        <w:rPr>
          <w:sz w:val="16"/>
          <w:szCs w:val="16"/>
          <w:lang w:val="es-MX"/>
        </w:rPr>
        <w:t xml:space="preserve">  </w:t>
      </w:r>
      <w:r>
        <w:rPr>
          <w:sz w:val="16"/>
          <w:szCs w:val="16"/>
          <w:lang w:val="es-MX"/>
        </w:rPr>
        <w:t>ONU</w:t>
      </w:r>
      <w:r w:rsidRPr="002570D1">
        <w:rPr>
          <w:sz w:val="16"/>
          <w:szCs w:val="16"/>
          <w:lang w:val="es-MX"/>
        </w:rPr>
        <w:t xml:space="preserve">, Consejo Económico y Social, Comité </w:t>
      </w:r>
      <w:r>
        <w:rPr>
          <w:sz w:val="16"/>
          <w:szCs w:val="16"/>
          <w:lang w:val="es-MX"/>
        </w:rPr>
        <w:t>DESC</w:t>
      </w:r>
      <w:r w:rsidRPr="002570D1">
        <w:rPr>
          <w:sz w:val="16"/>
          <w:szCs w:val="16"/>
          <w:lang w:val="es-MX"/>
        </w:rPr>
        <w:t xml:space="preserve">. </w:t>
      </w:r>
      <w:r>
        <w:rPr>
          <w:sz w:val="16"/>
          <w:szCs w:val="16"/>
          <w:lang w:val="es-MX"/>
        </w:rPr>
        <w:t>OG-</w:t>
      </w:r>
      <w:r w:rsidRPr="002570D1">
        <w:rPr>
          <w:sz w:val="16"/>
          <w:szCs w:val="16"/>
          <w:lang w:val="es-MX"/>
        </w:rPr>
        <w:t xml:space="preserve">14, </w:t>
      </w:r>
      <w:r w:rsidRPr="00B1523A">
        <w:rPr>
          <w:i/>
          <w:sz w:val="16"/>
          <w:szCs w:val="16"/>
          <w:lang w:val="es-MX"/>
        </w:rPr>
        <w:t>supra</w:t>
      </w:r>
      <w:r>
        <w:rPr>
          <w:sz w:val="16"/>
          <w:szCs w:val="16"/>
          <w:lang w:val="es-MX"/>
        </w:rPr>
        <w:t xml:space="preserve">, </w:t>
      </w:r>
      <w:proofErr w:type="spellStart"/>
      <w:r>
        <w:rPr>
          <w:sz w:val="16"/>
          <w:szCs w:val="16"/>
          <w:lang w:val="es-MX"/>
        </w:rPr>
        <w:t>párrs</w:t>
      </w:r>
      <w:proofErr w:type="spellEnd"/>
      <w:r>
        <w:rPr>
          <w:sz w:val="16"/>
          <w:szCs w:val="16"/>
          <w:lang w:val="es-MX"/>
        </w:rPr>
        <w:t>. 35 y 51:</w:t>
      </w:r>
      <w:r w:rsidRPr="002570D1">
        <w:rPr>
          <w:sz w:val="16"/>
          <w:szCs w:val="16"/>
          <w:lang w:val="es-MX"/>
        </w:rPr>
        <w:t xml:space="preserve"> “[l]as obligaciones de proteger incluyen […] adoptar leyes u otras medidas para velar por […] [la] calidad de los servicios de atención de la salud […] y asegurar que los facultativos y otros profesionales de la salud reúnan las condiciones necesarias de educación, experiencia y deontología”. “Las violaciones de las obligaciones de proteger dimanan del hecho de que un Estado no adopte las medidas necesarias para proteger, dentro de su jurisdicción, a las personas contra las violaciones del derecho a la salud por terceros”, se incluyen como ejemplo de las mismas las “omisiones tales como la no regulación de las actividades de particulares, grupos o empresas con objeto de impedir que esos particulares, grupos o empresas violen el derecho a la salud de los demás”.</w:t>
      </w:r>
    </w:p>
  </w:footnote>
  <w:footnote w:id="239">
    <w:p w14:paraId="0F334014" w14:textId="4C28DA30" w:rsidR="003C025E" w:rsidRPr="002570D1" w:rsidRDefault="003C025E" w:rsidP="00DA1A27">
      <w:pPr>
        <w:pStyle w:val="FootnoteText"/>
        <w:rPr>
          <w:sz w:val="16"/>
          <w:szCs w:val="16"/>
          <w:lang w:val="es-MX"/>
        </w:rPr>
      </w:pPr>
      <w:r w:rsidRPr="002570D1">
        <w:rPr>
          <w:rStyle w:val="FootnoteReference"/>
          <w:rFonts w:eastAsia="Calibri"/>
          <w:sz w:val="16"/>
          <w:szCs w:val="16"/>
          <w:lang w:eastAsia="en-US"/>
        </w:rPr>
        <w:footnoteRef/>
      </w:r>
      <w:r w:rsidRPr="002570D1">
        <w:rPr>
          <w:rStyle w:val="FootnoteReference"/>
          <w:rFonts w:eastAsia="Calibri"/>
          <w:sz w:val="16"/>
          <w:szCs w:val="16"/>
          <w:lang w:eastAsia="en-US"/>
        </w:rPr>
        <w:t xml:space="preserve">   </w:t>
      </w:r>
      <w:r w:rsidRPr="002570D1">
        <w:rPr>
          <w:sz w:val="16"/>
          <w:szCs w:val="16"/>
          <w:lang w:val="es-MX"/>
        </w:rPr>
        <w:t xml:space="preserve">El </w:t>
      </w:r>
      <w:r>
        <w:rPr>
          <w:sz w:val="16"/>
          <w:szCs w:val="16"/>
          <w:lang w:val="es-MX"/>
        </w:rPr>
        <w:t>TEDH</w:t>
      </w:r>
      <w:r w:rsidRPr="002570D1">
        <w:rPr>
          <w:sz w:val="16"/>
          <w:szCs w:val="16"/>
          <w:lang w:val="es-MX"/>
        </w:rPr>
        <w:t xml:space="preserve"> ha señalado que: “[entre] las disposiciones fundamentales de la Convención [se exige a los Estados] la obligación […] de [adoptar] las medidas necesarias para proteger la vida de las personas bajo su jurisdicción […]. Estos principios también se aplican en el ámbito de la salud pública, en donde las obligaciones positivas […] implican el establecimiento, por parte del Estado, de un marco de entidades reguladas, sean públicas o privadas, adoptando las medidas requeridas para proteger la vida de sus pacientes. “Véase además Caso </w:t>
      </w:r>
      <w:r w:rsidRPr="00B1523A">
        <w:rPr>
          <w:i/>
          <w:sz w:val="16"/>
          <w:szCs w:val="16"/>
          <w:lang w:val="es-MX"/>
        </w:rPr>
        <w:t>Lazar</w:t>
      </w:r>
      <w:r w:rsidRPr="002570D1">
        <w:rPr>
          <w:sz w:val="16"/>
          <w:szCs w:val="16"/>
          <w:lang w:val="es-MX"/>
        </w:rPr>
        <w:t xml:space="preserve">, </w:t>
      </w:r>
      <w:r w:rsidRPr="00062586">
        <w:rPr>
          <w:i/>
          <w:sz w:val="16"/>
          <w:szCs w:val="16"/>
          <w:lang w:val="es-MX"/>
        </w:rPr>
        <w:t>supra</w:t>
      </w:r>
      <w:r w:rsidRPr="002570D1">
        <w:rPr>
          <w:sz w:val="16"/>
          <w:szCs w:val="16"/>
          <w:lang w:val="es-MX"/>
        </w:rPr>
        <w:t xml:space="preserve">, párr. 66; </w:t>
      </w:r>
      <w:r w:rsidRPr="00B1523A">
        <w:rPr>
          <w:i/>
          <w:sz w:val="16"/>
          <w:szCs w:val="16"/>
          <w:lang w:val="es-MX"/>
        </w:rPr>
        <w:t>Caso Z Vs. Polonia</w:t>
      </w:r>
      <w:r w:rsidRPr="002570D1">
        <w:rPr>
          <w:sz w:val="16"/>
          <w:szCs w:val="16"/>
          <w:lang w:val="es-MX"/>
        </w:rPr>
        <w:t xml:space="preserve">, </w:t>
      </w:r>
      <w:r w:rsidRPr="00062586">
        <w:rPr>
          <w:i/>
          <w:sz w:val="16"/>
          <w:szCs w:val="16"/>
          <w:lang w:val="es-MX"/>
        </w:rPr>
        <w:t>supra</w:t>
      </w:r>
      <w:r w:rsidRPr="002570D1">
        <w:rPr>
          <w:sz w:val="16"/>
          <w:szCs w:val="16"/>
          <w:lang w:val="es-MX"/>
        </w:rPr>
        <w:t xml:space="preserve">, párr. 76, Caso </w:t>
      </w:r>
      <w:proofErr w:type="spellStart"/>
      <w:r w:rsidRPr="00B1523A">
        <w:rPr>
          <w:i/>
          <w:sz w:val="16"/>
          <w:szCs w:val="16"/>
          <w:lang w:val="es-MX"/>
        </w:rPr>
        <w:t>Calvelli</w:t>
      </w:r>
      <w:proofErr w:type="spellEnd"/>
      <w:r w:rsidRPr="00B1523A">
        <w:rPr>
          <w:i/>
          <w:sz w:val="16"/>
          <w:szCs w:val="16"/>
          <w:lang w:val="es-MX"/>
        </w:rPr>
        <w:t xml:space="preserve"> y </w:t>
      </w:r>
      <w:proofErr w:type="spellStart"/>
      <w:r w:rsidRPr="00B1523A">
        <w:rPr>
          <w:i/>
          <w:sz w:val="16"/>
          <w:szCs w:val="16"/>
          <w:lang w:val="es-MX"/>
        </w:rPr>
        <w:t>Ciglio</w:t>
      </w:r>
      <w:proofErr w:type="spellEnd"/>
      <w:r w:rsidRPr="00B1523A">
        <w:rPr>
          <w:i/>
          <w:sz w:val="16"/>
          <w:szCs w:val="16"/>
          <w:lang w:val="es-MX"/>
        </w:rPr>
        <w:t xml:space="preserve"> Vs. Italia</w:t>
      </w:r>
      <w:r w:rsidRPr="002570D1">
        <w:rPr>
          <w:sz w:val="16"/>
          <w:szCs w:val="16"/>
          <w:lang w:val="es-MX"/>
        </w:rPr>
        <w:t xml:space="preserve">. No. 32967/96. Sentencia de 17 de enero de 2002, párr. 49, Caso </w:t>
      </w:r>
      <w:proofErr w:type="spellStart"/>
      <w:r w:rsidRPr="00B1523A">
        <w:rPr>
          <w:i/>
          <w:sz w:val="16"/>
          <w:szCs w:val="16"/>
          <w:lang w:val="es-MX"/>
        </w:rPr>
        <w:t>Byrzykowski</w:t>
      </w:r>
      <w:proofErr w:type="spellEnd"/>
      <w:r w:rsidRPr="00B1523A">
        <w:rPr>
          <w:i/>
          <w:sz w:val="16"/>
          <w:szCs w:val="16"/>
          <w:lang w:val="es-MX"/>
        </w:rPr>
        <w:t xml:space="preserve"> Vs. Polonia</w:t>
      </w:r>
      <w:r w:rsidRPr="002570D1">
        <w:rPr>
          <w:sz w:val="16"/>
          <w:szCs w:val="16"/>
          <w:lang w:val="es-MX"/>
        </w:rPr>
        <w:t xml:space="preserve">. No 11562/05. Sección 40 Cuarta. Sentencia de 27 de junio de 2006, párr. 104, y Caso </w:t>
      </w:r>
      <w:proofErr w:type="spellStart"/>
      <w:r w:rsidRPr="00B1523A">
        <w:rPr>
          <w:i/>
          <w:sz w:val="16"/>
          <w:szCs w:val="16"/>
          <w:lang w:val="es-MX"/>
        </w:rPr>
        <w:t>Silih</w:t>
      </w:r>
      <w:proofErr w:type="spellEnd"/>
      <w:r w:rsidRPr="00B1523A">
        <w:rPr>
          <w:i/>
          <w:sz w:val="16"/>
          <w:szCs w:val="16"/>
          <w:lang w:val="es-MX"/>
        </w:rPr>
        <w:t xml:space="preserve"> Vs. Eslovenia</w:t>
      </w:r>
      <w:r w:rsidRPr="002570D1">
        <w:rPr>
          <w:sz w:val="16"/>
          <w:szCs w:val="16"/>
          <w:lang w:val="es-MX"/>
        </w:rPr>
        <w:t>. No. 71463/014. Sentencia de 9 de abril de 2009, párr. 192.</w:t>
      </w:r>
    </w:p>
  </w:footnote>
  <w:footnote w:id="240">
    <w:p w14:paraId="3C2E0806" w14:textId="3DE84C8A" w:rsidR="003C025E" w:rsidRPr="002450E6" w:rsidRDefault="003C025E" w:rsidP="00636C77">
      <w:pPr>
        <w:pStyle w:val="FootnoteText"/>
        <w:rPr>
          <w:sz w:val="16"/>
          <w:szCs w:val="16"/>
          <w:lang w:val="es-CR"/>
        </w:rPr>
      </w:pPr>
      <w:r w:rsidRPr="002570D1">
        <w:rPr>
          <w:rStyle w:val="FootnoteReference"/>
          <w:rFonts w:eastAsia="Calibri"/>
          <w:sz w:val="16"/>
          <w:szCs w:val="16"/>
          <w:lang w:eastAsia="en-US"/>
        </w:rPr>
        <w:footnoteRef/>
      </w:r>
      <w:r w:rsidRPr="00C27894">
        <w:rPr>
          <w:rStyle w:val="FootnoteReference"/>
          <w:rFonts w:eastAsia="Calibri"/>
          <w:sz w:val="16"/>
          <w:szCs w:val="16"/>
          <w:lang w:val="es-MX" w:eastAsia="en-US"/>
        </w:rPr>
        <w:t xml:space="preserve"> </w:t>
      </w:r>
      <w:r w:rsidRPr="00C27894">
        <w:rPr>
          <w:rFonts w:eastAsia="Calibri"/>
          <w:sz w:val="16"/>
          <w:szCs w:val="16"/>
          <w:lang w:val="es-MX" w:eastAsia="en-US"/>
        </w:rPr>
        <w:t xml:space="preserve">   </w:t>
      </w:r>
      <w:r w:rsidRPr="00C27894">
        <w:rPr>
          <w:sz w:val="16"/>
          <w:szCs w:val="16"/>
          <w:lang w:val="es-MX"/>
        </w:rPr>
        <w:t xml:space="preserve">TEDH, </w:t>
      </w:r>
      <w:r w:rsidRPr="00C27894">
        <w:rPr>
          <w:i/>
          <w:sz w:val="16"/>
          <w:szCs w:val="16"/>
          <w:lang w:val="es-MX"/>
        </w:rPr>
        <w:t xml:space="preserve">Caso </w:t>
      </w:r>
      <w:proofErr w:type="spellStart"/>
      <w:r w:rsidRPr="00C27894">
        <w:rPr>
          <w:i/>
          <w:sz w:val="16"/>
          <w:szCs w:val="16"/>
          <w:lang w:val="es-MX"/>
        </w:rPr>
        <w:t>Lopes</w:t>
      </w:r>
      <w:proofErr w:type="spellEnd"/>
      <w:r w:rsidRPr="00C27894">
        <w:rPr>
          <w:i/>
          <w:sz w:val="16"/>
          <w:szCs w:val="16"/>
          <w:lang w:val="es-MX"/>
        </w:rPr>
        <w:t xml:space="preserve"> de Sousa </w:t>
      </w:r>
      <w:proofErr w:type="spellStart"/>
      <w:r w:rsidRPr="00C27894">
        <w:rPr>
          <w:i/>
          <w:sz w:val="16"/>
          <w:szCs w:val="16"/>
          <w:lang w:val="es-MX"/>
        </w:rPr>
        <w:t>Fernandes</w:t>
      </w:r>
      <w:proofErr w:type="spellEnd"/>
      <w:r w:rsidRPr="00C27894">
        <w:rPr>
          <w:i/>
          <w:sz w:val="16"/>
          <w:szCs w:val="16"/>
          <w:lang w:val="es-MX"/>
        </w:rPr>
        <w:t xml:space="preserve"> vs. Portugal</w:t>
      </w:r>
      <w:r w:rsidRPr="00C27894">
        <w:rPr>
          <w:sz w:val="16"/>
          <w:szCs w:val="16"/>
          <w:lang w:val="es-MX"/>
        </w:rPr>
        <w:t xml:space="preserve">, No. 56080/13. </w:t>
      </w:r>
      <w:r w:rsidRPr="002450E6">
        <w:rPr>
          <w:sz w:val="16"/>
          <w:szCs w:val="16"/>
          <w:lang w:val="es-CR"/>
        </w:rPr>
        <w:t xml:space="preserve">Sentencia </w:t>
      </w:r>
      <w:r>
        <w:rPr>
          <w:sz w:val="16"/>
          <w:szCs w:val="16"/>
          <w:lang w:val="es-CR"/>
        </w:rPr>
        <w:t xml:space="preserve">de </w:t>
      </w:r>
      <w:r w:rsidRPr="002450E6">
        <w:rPr>
          <w:sz w:val="16"/>
          <w:szCs w:val="16"/>
          <w:lang w:val="es-CR"/>
        </w:rPr>
        <w:t xml:space="preserve">19 de diciembre de 2017, </w:t>
      </w:r>
      <w:proofErr w:type="spellStart"/>
      <w:r w:rsidRPr="002450E6">
        <w:rPr>
          <w:sz w:val="16"/>
          <w:szCs w:val="16"/>
          <w:lang w:val="es-CR"/>
        </w:rPr>
        <w:t>párrs</w:t>
      </w:r>
      <w:proofErr w:type="spellEnd"/>
      <w:r w:rsidRPr="002450E6">
        <w:rPr>
          <w:sz w:val="16"/>
          <w:szCs w:val="16"/>
          <w:lang w:val="es-CR"/>
        </w:rPr>
        <w:t>. 194, 195 y 196.</w:t>
      </w:r>
    </w:p>
  </w:footnote>
  <w:footnote w:id="241">
    <w:p w14:paraId="4CF68FF7" w14:textId="6121FCFA" w:rsidR="003C025E" w:rsidRPr="00BB4919" w:rsidRDefault="003C025E">
      <w:pPr>
        <w:pStyle w:val="FootnoteText"/>
        <w:rPr>
          <w:sz w:val="16"/>
          <w:szCs w:val="16"/>
          <w:lang w:val="es-CR"/>
        </w:rPr>
      </w:pPr>
      <w:r w:rsidRPr="0059117C">
        <w:rPr>
          <w:rStyle w:val="FootnoteReference"/>
          <w:rFonts w:eastAsia="Calibri"/>
          <w:sz w:val="16"/>
          <w:szCs w:val="16"/>
          <w:lang w:eastAsia="en-US"/>
        </w:rPr>
        <w:footnoteRef/>
      </w:r>
      <w:r w:rsidRPr="000F4170">
        <w:t xml:space="preserve"> </w:t>
      </w:r>
      <w:r>
        <w:rPr>
          <w:sz w:val="16"/>
          <w:szCs w:val="16"/>
        </w:rPr>
        <w:t xml:space="preserve">  </w:t>
      </w:r>
      <w:r w:rsidRPr="0059117C">
        <w:rPr>
          <w:i/>
          <w:sz w:val="16"/>
          <w:szCs w:val="16"/>
        </w:rPr>
        <w:t xml:space="preserve">Caso </w:t>
      </w:r>
      <w:proofErr w:type="spellStart"/>
      <w:r w:rsidRPr="0059117C">
        <w:rPr>
          <w:i/>
          <w:sz w:val="16"/>
          <w:szCs w:val="16"/>
        </w:rPr>
        <w:t>Ximenes</w:t>
      </w:r>
      <w:proofErr w:type="spellEnd"/>
      <w:r w:rsidRPr="0059117C">
        <w:rPr>
          <w:i/>
          <w:sz w:val="16"/>
          <w:szCs w:val="16"/>
        </w:rPr>
        <w:t xml:space="preserve"> </w:t>
      </w:r>
      <w:proofErr w:type="spellStart"/>
      <w:r w:rsidRPr="0059117C">
        <w:rPr>
          <w:i/>
          <w:sz w:val="16"/>
          <w:szCs w:val="16"/>
        </w:rPr>
        <w:t>Lopes</w:t>
      </w:r>
      <w:proofErr w:type="spellEnd"/>
      <w:r w:rsidRPr="0059117C">
        <w:rPr>
          <w:i/>
          <w:sz w:val="16"/>
          <w:szCs w:val="16"/>
        </w:rPr>
        <w:t xml:space="preserve"> Vs. Brasil</w:t>
      </w:r>
      <w:r>
        <w:rPr>
          <w:sz w:val="16"/>
          <w:szCs w:val="16"/>
        </w:rPr>
        <w:t xml:space="preserve">, </w:t>
      </w:r>
      <w:r>
        <w:rPr>
          <w:i/>
          <w:sz w:val="16"/>
          <w:szCs w:val="16"/>
        </w:rPr>
        <w:t>supra</w:t>
      </w:r>
      <w:r>
        <w:rPr>
          <w:sz w:val="16"/>
          <w:szCs w:val="16"/>
        </w:rPr>
        <w:t xml:space="preserve">, </w:t>
      </w:r>
      <w:proofErr w:type="spellStart"/>
      <w:r>
        <w:rPr>
          <w:sz w:val="16"/>
          <w:szCs w:val="16"/>
        </w:rPr>
        <w:t>párrs</w:t>
      </w:r>
      <w:proofErr w:type="spellEnd"/>
      <w:r>
        <w:rPr>
          <w:sz w:val="16"/>
          <w:szCs w:val="16"/>
        </w:rPr>
        <w:t xml:space="preserve">. 120 a 122, 146 y 150. y </w:t>
      </w:r>
      <w:r w:rsidRPr="000F4170">
        <w:rPr>
          <w:sz w:val="16"/>
          <w:szCs w:val="16"/>
        </w:rPr>
        <w:t xml:space="preserve">Caso </w:t>
      </w:r>
      <w:r w:rsidRPr="00B1523A">
        <w:rPr>
          <w:i/>
          <w:sz w:val="16"/>
          <w:szCs w:val="16"/>
        </w:rPr>
        <w:t xml:space="preserve">Vera </w:t>
      </w:r>
      <w:proofErr w:type="spellStart"/>
      <w:r w:rsidRPr="00B1523A">
        <w:rPr>
          <w:i/>
          <w:sz w:val="16"/>
          <w:szCs w:val="16"/>
        </w:rPr>
        <w:t>Vera</w:t>
      </w:r>
      <w:proofErr w:type="spellEnd"/>
      <w:r w:rsidRPr="00B1523A">
        <w:rPr>
          <w:i/>
          <w:sz w:val="16"/>
          <w:szCs w:val="16"/>
        </w:rPr>
        <w:t xml:space="preserve"> y otra Vs. </w:t>
      </w:r>
      <w:r w:rsidRPr="00BB4919">
        <w:rPr>
          <w:i/>
          <w:sz w:val="16"/>
          <w:szCs w:val="16"/>
          <w:lang w:val="es-CR"/>
        </w:rPr>
        <w:t>Ecuador</w:t>
      </w:r>
      <w:r w:rsidRPr="00BB4919">
        <w:rPr>
          <w:sz w:val="16"/>
          <w:szCs w:val="16"/>
          <w:lang w:val="es-CR"/>
        </w:rPr>
        <w:t xml:space="preserve">, </w:t>
      </w:r>
      <w:r w:rsidRPr="00BB4919">
        <w:rPr>
          <w:i/>
          <w:sz w:val="16"/>
          <w:szCs w:val="16"/>
          <w:lang w:val="es-CR"/>
        </w:rPr>
        <w:t>supra</w:t>
      </w:r>
      <w:r w:rsidRPr="00BB4919">
        <w:rPr>
          <w:sz w:val="16"/>
          <w:szCs w:val="16"/>
          <w:lang w:val="es-CR"/>
        </w:rPr>
        <w:t xml:space="preserve">, </w:t>
      </w:r>
      <w:proofErr w:type="spellStart"/>
      <w:r w:rsidRPr="00BB4919">
        <w:rPr>
          <w:sz w:val="16"/>
          <w:szCs w:val="16"/>
          <w:lang w:val="es-CR"/>
        </w:rPr>
        <w:t>párrs</w:t>
      </w:r>
      <w:proofErr w:type="spellEnd"/>
      <w:r w:rsidRPr="00BB4919">
        <w:rPr>
          <w:sz w:val="16"/>
          <w:szCs w:val="16"/>
          <w:lang w:val="es-CR"/>
        </w:rPr>
        <w:t xml:space="preserve">. 54 y 65. </w:t>
      </w:r>
    </w:p>
  </w:footnote>
  <w:footnote w:id="242">
    <w:p w14:paraId="29FDE301" w14:textId="6241E712" w:rsidR="003C025E" w:rsidRPr="0059117C" w:rsidRDefault="003C025E" w:rsidP="00636C77">
      <w:pPr>
        <w:pStyle w:val="FootnoteText"/>
        <w:rPr>
          <w:sz w:val="16"/>
          <w:szCs w:val="16"/>
        </w:rPr>
      </w:pPr>
      <w:r w:rsidRPr="0059117C">
        <w:rPr>
          <w:rStyle w:val="FootnoteReference"/>
          <w:sz w:val="16"/>
          <w:szCs w:val="16"/>
        </w:rPr>
        <w:footnoteRef/>
      </w:r>
      <w:r w:rsidRPr="00BB4919">
        <w:rPr>
          <w:rStyle w:val="FootnoteReference"/>
          <w:rFonts w:eastAsia="Calibri"/>
          <w:sz w:val="16"/>
          <w:szCs w:val="16"/>
          <w:lang w:val="es-CR" w:eastAsia="en-US"/>
        </w:rPr>
        <w:t xml:space="preserve"> </w:t>
      </w:r>
      <w:r w:rsidRPr="00BB4919">
        <w:rPr>
          <w:sz w:val="16"/>
          <w:szCs w:val="16"/>
          <w:lang w:val="es-CR"/>
        </w:rPr>
        <w:t xml:space="preserve"> </w:t>
      </w:r>
      <w:r w:rsidRPr="00BB4919">
        <w:rPr>
          <w:i/>
          <w:sz w:val="16"/>
          <w:szCs w:val="16"/>
          <w:lang w:val="es-CR"/>
        </w:rPr>
        <w:t xml:space="preserve">  Cfr.</w:t>
      </w:r>
      <w:r w:rsidRPr="00BB4919">
        <w:rPr>
          <w:sz w:val="16"/>
          <w:szCs w:val="16"/>
          <w:lang w:val="es-CR"/>
        </w:rPr>
        <w:t xml:space="preserve"> </w:t>
      </w:r>
      <w:r w:rsidRPr="00BB4919">
        <w:rPr>
          <w:i/>
          <w:sz w:val="16"/>
          <w:szCs w:val="16"/>
          <w:lang w:val="es-CR"/>
        </w:rPr>
        <w:t xml:space="preserve">Mutatis </w:t>
      </w:r>
      <w:proofErr w:type="spellStart"/>
      <w:r w:rsidRPr="00BB4919">
        <w:rPr>
          <w:i/>
          <w:sz w:val="16"/>
          <w:szCs w:val="16"/>
          <w:lang w:val="es-CR"/>
        </w:rPr>
        <w:t>mutandi</w:t>
      </w:r>
      <w:proofErr w:type="spellEnd"/>
      <w:r w:rsidRPr="00BB4919">
        <w:rPr>
          <w:sz w:val="16"/>
          <w:szCs w:val="16"/>
          <w:lang w:val="es-CR"/>
        </w:rPr>
        <w:t xml:space="preserve">, TEDH, </w:t>
      </w:r>
      <w:r w:rsidRPr="00BB4919">
        <w:rPr>
          <w:i/>
          <w:sz w:val="16"/>
          <w:szCs w:val="16"/>
          <w:lang w:val="es-CR"/>
        </w:rPr>
        <w:t xml:space="preserve">Caso </w:t>
      </w:r>
      <w:proofErr w:type="spellStart"/>
      <w:r w:rsidRPr="00BB4919">
        <w:rPr>
          <w:i/>
          <w:sz w:val="16"/>
          <w:szCs w:val="16"/>
          <w:lang w:val="es-CR"/>
        </w:rPr>
        <w:t>Lopes</w:t>
      </w:r>
      <w:proofErr w:type="spellEnd"/>
      <w:r w:rsidRPr="00BB4919">
        <w:rPr>
          <w:i/>
          <w:sz w:val="16"/>
          <w:szCs w:val="16"/>
          <w:lang w:val="es-CR"/>
        </w:rPr>
        <w:t xml:space="preserve"> de Sousa </w:t>
      </w:r>
      <w:proofErr w:type="spellStart"/>
      <w:r w:rsidRPr="00BB4919">
        <w:rPr>
          <w:i/>
          <w:sz w:val="16"/>
          <w:szCs w:val="16"/>
          <w:lang w:val="es-CR"/>
        </w:rPr>
        <w:t>Fernandes</w:t>
      </w:r>
      <w:proofErr w:type="spellEnd"/>
      <w:r w:rsidRPr="00BB4919">
        <w:rPr>
          <w:i/>
          <w:sz w:val="16"/>
          <w:szCs w:val="16"/>
          <w:lang w:val="es-CR"/>
        </w:rPr>
        <w:t xml:space="preserve"> vs. Portugal</w:t>
      </w:r>
      <w:r w:rsidRPr="00BB4919">
        <w:rPr>
          <w:sz w:val="16"/>
          <w:szCs w:val="16"/>
          <w:lang w:val="es-CR"/>
        </w:rPr>
        <w:t xml:space="preserve">, </w:t>
      </w:r>
      <w:r w:rsidRPr="00BB4919">
        <w:rPr>
          <w:i/>
          <w:sz w:val="16"/>
          <w:szCs w:val="16"/>
          <w:lang w:val="es-CR"/>
        </w:rPr>
        <w:t>supra</w:t>
      </w:r>
      <w:r w:rsidRPr="00BB4919">
        <w:rPr>
          <w:sz w:val="16"/>
          <w:szCs w:val="16"/>
          <w:lang w:val="es-CR"/>
        </w:rPr>
        <w:t xml:space="preserve">, párr. </w:t>
      </w:r>
      <w:r w:rsidRPr="0048229F">
        <w:rPr>
          <w:sz w:val="16"/>
          <w:szCs w:val="16"/>
          <w:lang w:val="es-AR"/>
        </w:rPr>
        <w:t>195.</w:t>
      </w:r>
    </w:p>
  </w:footnote>
  <w:footnote w:id="243">
    <w:p w14:paraId="0BFA62E6" w14:textId="03D424D6" w:rsidR="003C025E" w:rsidRPr="000F4170" w:rsidRDefault="003C025E" w:rsidP="003354BF">
      <w:pPr>
        <w:pStyle w:val="FootnoteText"/>
        <w:rPr>
          <w:sz w:val="16"/>
          <w:szCs w:val="16"/>
          <w:lang w:val="es-AR"/>
        </w:rPr>
      </w:pPr>
      <w:r w:rsidRPr="00847C4A">
        <w:rPr>
          <w:rStyle w:val="FootnoteReference"/>
          <w:rFonts w:eastAsia="Calibri"/>
          <w:sz w:val="16"/>
          <w:szCs w:val="16"/>
          <w:lang w:eastAsia="en-US"/>
        </w:rPr>
        <w:footnoteRef/>
      </w:r>
      <w:r w:rsidRPr="00847C4A">
        <w:rPr>
          <w:rStyle w:val="FootnoteReference"/>
          <w:rFonts w:eastAsia="Calibri"/>
          <w:sz w:val="16"/>
          <w:szCs w:val="16"/>
          <w:lang w:eastAsia="en-US"/>
        </w:rPr>
        <w:t xml:space="preserve">  </w:t>
      </w:r>
      <w:r w:rsidRPr="00847C4A">
        <w:rPr>
          <w:sz w:val="16"/>
          <w:szCs w:val="16"/>
          <w:lang w:val="es-AR"/>
        </w:rPr>
        <w:t xml:space="preserve"> </w:t>
      </w:r>
      <w:r w:rsidRPr="00847C4A">
        <w:rPr>
          <w:sz w:val="16"/>
          <w:szCs w:val="16"/>
          <w:lang w:val="es-MX"/>
        </w:rPr>
        <w:t xml:space="preserve">  </w:t>
      </w:r>
      <w:r w:rsidRPr="00847C4A">
        <w:rPr>
          <w:i/>
          <w:sz w:val="16"/>
          <w:szCs w:val="16"/>
          <w:lang w:val="es-MX"/>
        </w:rPr>
        <w:t>Cfr.</w:t>
      </w:r>
      <w:r w:rsidRPr="00847C4A">
        <w:rPr>
          <w:sz w:val="16"/>
          <w:szCs w:val="16"/>
          <w:lang w:val="es-MX"/>
        </w:rPr>
        <w:t xml:space="preserve"> </w:t>
      </w:r>
      <w:r w:rsidRPr="00847C4A">
        <w:rPr>
          <w:i/>
          <w:sz w:val="16"/>
          <w:szCs w:val="16"/>
          <w:lang w:val="es-MX"/>
        </w:rPr>
        <w:t xml:space="preserve">Caso Comunidad Indígena </w:t>
      </w:r>
      <w:proofErr w:type="spellStart"/>
      <w:r w:rsidRPr="00847C4A">
        <w:rPr>
          <w:i/>
          <w:sz w:val="16"/>
          <w:szCs w:val="16"/>
          <w:lang w:val="es-MX"/>
        </w:rPr>
        <w:t>Xákmok</w:t>
      </w:r>
      <w:proofErr w:type="spellEnd"/>
      <w:r w:rsidRPr="00847C4A">
        <w:rPr>
          <w:i/>
          <w:sz w:val="16"/>
          <w:szCs w:val="16"/>
          <w:lang w:val="es-MX"/>
        </w:rPr>
        <w:t xml:space="preserve"> </w:t>
      </w:r>
      <w:proofErr w:type="spellStart"/>
      <w:r w:rsidRPr="00847C4A">
        <w:rPr>
          <w:i/>
          <w:sz w:val="16"/>
          <w:szCs w:val="16"/>
          <w:lang w:val="es-MX"/>
        </w:rPr>
        <w:t>Kásek</w:t>
      </w:r>
      <w:proofErr w:type="spellEnd"/>
      <w:r w:rsidRPr="00847C4A">
        <w:rPr>
          <w:i/>
          <w:sz w:val="16"/>
          <w:szCs w:val="16"/>
          <w:lang w:val="es-MX"/>
        </w:rPr>
        <w:t xml:space="preserve"> Vs. Paraguay. Fondo, Reparaciones y Costas. Sentencia de 24 de agosto de 2010. Serie C No. 214. </w:t>
      </w:r>
      <w:r w:rsidRPr="00847C4A">
        <w:rPr>
          <w:sz w:val="16"/>
          <w:szCs w:val="16"/>
          <w:lang w:val="es-MX"/>
        </w:rPr>
        <w:t>párr. 227,</w:t>
      </w:r>
      <w:r>
        <w:rPr>
          <w:sz w:val="16"/>
          <w:szCs w:val="16"/>
          <w:lang w:val="es-MX"/>
        </w:rPr>
        <w:t xml:space="preserve"> y</w:t>
      </w:r>
      <w:r w:rsidRPr="000F4170">
        <w:rPr>
          <w:sz w:val="16"/>
          <w:szCs w:val="16"/>
          <w:lang w:val="es-AR"/>
        </w:rPr>
        <w:t xml:space="preserve"> </w:t>
      </w:r>
      <w:r w:rsidRPr="000F4170">
        <w:rPr>
          <w:i/>
          <w:sz w:val="16"/>
          <w:szCs w:val="16"/>
          <w:lang w:val="es-MX"/>
        </w:rPr>
        <w:t xml:space="preserve">Caso </w:t>
      </w:r>
      <w:proofErr w:type="spellStart"/>
      <w:r w:rsidRPr="000F4170">
        <w:rPr>
          <w:i/>
          <w:sz w:val="16"/>
          <w:szCs w:val="16"/>
          <w:lang w:val="es-MX"/>
        </w:rPr>
        <w:t>Furlan</w:t>
      </w:r>
      <w:proofErr w:type="spellEnd"/>
      <w:r w:rsidRPr="000F4170">
        <w:rPr>
          <w:i/>
          <w:sz w:val="16"/>
          <w:szCs w:val="16"/>
          <w:lang w:val="es-MX"/>
        </w:rPr>
        <w:t xml:space="preserve"> y familiares Vs. Argentina</w:t>
      </w:r>
      <w:r w:rsidRPr="000F4170">
        <w:rPr>
          <w:sz w:val="16"/>
          <w:szCs w:val="16"/>
          <w:lang w:val="es-MX"/>
        </w:rPr>
        <w:t xml:space="preserve">, </w:t>
      </w:r>
      <w:r w:rsidRPr="00062586">
        <w:rPr>
          <w:i/>
          <w:sz w:val="16"/>
          <w:szCs w:val="16"/>
          <w:lang w:val="es-MX"/>
        </w:rPr>
        <w:t>supra</w:t>
      </w:r>
      <w:r w:rsidRPr="000F4170">
        <w:rPr>
          <w:sz w:val="16"/>
          <w:szCs w:val="16"/>
          <w:lang w:val="es-MX"/>
        </w:rPr>
        <w:t xml:space="preserve">, párr. 134. </w:t>
      </w:r>
      <w:r w:rsidRPr="000F4170">
        <w:rPr>
          <w:sz w:val="16"/>
          <w:szCs w:val="16"/>
          <w:lang w:val="es-AR"/>
        </w:rPr>
        <w:t xml:space="preserve"> </w:t>
      </w:r>
    </w:p>
  </w:footnote>
  <w:footnote w:id="244">
    <w:p w14:paraId="1FB0DA9D" w14:textId="51696826" w:rsidR="003C025E" w:rsidRPr="0059117C" w:rsidRDefault="003C025E">
      <w:pPr>
        <w:pStyle w:val="FootnoteText"/>
        <w:rPr>
          <w:sz w:val="16"/>
          <w:szCs w:val="16"/>
          <w:lang w:val="es-CR"/>
        </w:rPr>
      </w:pPr>
      <w:r w:rsidRPr="0059117C">
        <w:rPr>
          <w:rStyle w:val="FootnoteReference"/>
          <w:sz w:val="16"/>
          <w:szCs w:val="16"/>
        </w:rPr>
        <w:footnoteRef/>
      </w:r>
      <w:r w:rsidRPr="0059117C">
        <w:rPr>
          <w:sz w:val="16"/>
          <w:szCs w:val="16"/>
        </w:rPr>
        <w:t xml:space="preserve"> </w:t>
      </w:r>
      <w:r>
        <w:rPr>
          <w:sz w:val="16"/>
          <w:szCs w:val="16"/>
          <w:lang w:val="es-CR"/>
        </w:rPr>
        <w:t xml:space="preserve">    </w:t>
      </w:r>
      <w:r w:rsidRPr="00C64243">
        <w:rPr>
          <w:i/>
          <w:sz w:val="16"/>
          <w:szCs w:val="16"/>
        </w:rPr>
        <w:t>Caso</w:t>
      </w:r>
      <w:r>
        <w:rPr>
          <w:i/>
          <w:sz w:val="16"/>
          <w:szCs w:val="16"/>
        </w:rPr>
        <w:t xml:space="preserve"> </w:t>
      </w:r>
      <w:proofErr w:type="spellStart"/>
      <w:r>
        <w:rPr>
          <w:i/>
          <w:sz w:val="16"/>
          <w:szCs w:val="16"/>
        </w:rPr>
        <w:t>Ximenes</w:t>
      </w:r>
      <w:proofErr w:type="spellEnd"/>
      <w:r>
        <w:rPr>
          <w:i/>
          <w:sz w:val="16"/>
          <w:szCs w:val="16"/>
        </w:rPr>
        <w:t xml:space="preserve"> </w:t>
      </w:r>
      <w:proofErr w:type="spellStart"/>
      <w:r>
        <w:rPr>
          <w:i/>
          <w:sz w:val="16"/>
          <w:szCs w:val="16"/>
        </w:rPr>
        <w:t>Lopes</w:t>
      </w:r>
      <w:proofErr w:type="spellEnd"/>
      <w:r>
        <w:rPr>
          <w:i/>
          <w:sz w:val="16"/>
          <w:szCs w:val="16"/>
        </w:rPr>
        <w:t xml:space="preserve"> Vs. Brasil, </w:t>
      </w:r>
      <w:r w:rsidRPr="00062586">
        <w:rPr>
          <w:i/>
          <w:sz w:val="16"/>
          <w:szCs w:val="16"/>
        </w:rPr>
        <w:t>supra</w:t>
      </w:r>
      <w:r>
        <w:rPr>
          <w:i/>
          <w:sz w:val="16"/>
          <w:szCs w:val="16"/>
        </w:rPr>
        <w:t xml:space="preserve">, </w:t>
      </w:r>
      <w:r w:rsidRPr="0059117C">
        <w:rPr>
          <w:sz w:val="16"/>
          <w:szCs w:val="16"/>
        </w:rPr>
        <w:t>párr.</w:t>
      </w:r>
      <w:r>
        <w:rPr>
          <w:sz w:val="16"/>
          <w:szCs w:val="16"/>
        </w:rPr>
        <w:t xml:space="preserve"> 125.</w:t>
      </w:r>
      <w:r>
        <w:rPr>
          <w:i/>
          <w:sz w:val="16"/>
          <w:szCs w:val="16"/>
        </w:rPr>
        <w:t xml:space="preserve"> </w:t>
      </w:r>
    </w:p>
  </w:footnote>
  <w:footnote w:id="245">
    <w:p w14:paraId="5EBF7055" w14:textId="1452F68F" w:rsidR="003C025E" w:rsidRPr="0059117C" w:rsidRDefault="003C025E">
      <w:pPr>
        <w:pStyle w:val="FootnoteText"/>
        <w:rPr>
          <w:lang w:val="es-CR"/>
        </w:rPr>
      </w:pPr>
      <w:r w:rsidRPr="0059117C">
        <w:rPr>
          <w:rStyle w:val="FootnoteReference"/>
          <w:rFonts w:eastAsia="Calibri"/>
          <w:sz w:val="16"/>
          <w:szCs w:val="16"/>
          <w:lang w:eastAsia="en-US"/>
        </w:rPr>
        <w:footnoteRef/>
      </w:r>
      <w:r>
        <w:t xml:space="preserve">   </w:t>
      </w:r>
      <w:r>
        <w:rPr>
          <w:sz w:val="16"/>
        </w:rPr>
        <w:t>Sobre el particular, el H</w:t>
      </w:r>
      <w:r w:rsidRPr="0059117C">
        <w:rPr>
          <w:sz w:val="16"/>
        </w:rPr>
        <w:t xml:space="preserve">ospital </w:t>
      </w:r>
      <w:proofErr w:type="spellStart"/>
      <w:r w:rsidRPr="0059117C">
        <w:rPr>
          <w:sz w:val="16"/>
        </w:rPr>
        <w:t>Sótero</w:t>
      </w:r>
      <w:proofErr w:type="spellEnd"/>
      <w:r w:rsidRPr="0059117C">
        <w:rPr>
          <w:sz w:val="16"/>
        </w:rPr>
        <w:t xml:space="preserve"> del Río no contaba, al m</w:t>
      </w:r>
      <w:r>
        <w:rPr>
          <w:sz w:val="16"/>
        </w:rPr>
        <w:t>omento de los hechos</w:t>
      </w:r>
      <w:r w:rsidRPr="0059117C">
        <w:rPr>
          <w:sz w:val="16"/>
        </w:rPr>
        <w:t xml:space="preserve">, con la infraestructura y materiales básicos para brindar una atención médica adecuada al paciente. </w:t>
      </w:r>
      <w:r>
        <w:rPr>
          <w:sz w:val="16"/>
        </w:rPr>
        <w:t xml:space="preserve">Ejemplo de ello fue </w:t>
      </w:r>
      <w:r w:rsidRPr="0059117C">
        <w:rPr>
          <w:sz w:val="16"/>
        </w:rPr>
        <w:t xml:space="preserve"> la falta de disponibilidad de camas en la unidad médica requerida, la omisión en brindarle el traslado y la falta de respirador mecánico, entre otras, tales como la falta de ambulancias, así como de brindar información clara y transparente para los familiares. A su vez, el personal médico que intervino no</w:t>
      </w:r>
      <w:r>
        <w:rPr>
          <w:sz w:val="16"/>
        </w:rPr>
        <w:t xml:space="preserve"> satisfizo</w:t>
      </w:r>
      <w:r w:rsidRPr="0059117C">
        <w:rPr>
          <w:sz w:val="16"/>
        </w:rPr>
        <w:t xml:space="preserve"> las necesidades vitales del paciente; particularmente con el alta temprana, el antibiótico proveído, las múltiples versiones de la causa de muerte y el trato dado por su condición de adulto mayor (</w:t>
      </w:r>
      <w:r w:rsidRPr="00062586">
        <w:rPr>
          <w:i/>
          <w:sz w:val="16"/>
        </w:rPr>
        <w:t>supra</w:t>
      </w:r>
      <w:r w:rsidRPr="0059117C">
        <w:rPr>
          <w:sz w:val="16"/>
        </w:rPr>
        <w:t xml:space="preserve">, </w:t>
      </w:r>
      <w:proofErr w:type="spellStart"/>
      <w:r w:rsidRPr="0059117C">
        <w:rPr>
          <w:sz w:val="16"/>
        </w:rPr>
        <w:t>párr</w:t>
      </w:r>
      <w:r>
        <w:rPr>
          <w:sz w:val="16"/>
        </w:rPr>
        <w:t>s</w:t>
      </w:r>
      <w:proofErr w:type="spellEnd"/>
      <w:r w:rsidRPr="0059117C">
        <w:rPr>
          <w:sz w:val="16"/>
        </w:rPr>
        <w:t>.</w:t>
      </w:r>
      <w:r>
        <w:rPr>
          <w:sz w:val="16"/>
        </w:rPr>
        <w:t xml:space="preserve"> 136 y 137</w:t>
      </w:r>
      <w:r w:rsidRPr="0059117C">
        <w:rPr>
          <w:sz w:val="16"/>
        </w:rPr>
        <w:t xml:space="preserve">). </w:t>
      </w:r>
    </w:p>
  </w:footnote>
  <w:footnote w:id="246">
    <w:p w14:paraId="2C649EF0" w14:textId="44D94B31" w:rsidR="003C025E" w:rsidRPr="00B1523A" w:rsidRDefault="003C025E" w:rsidP="00967ED8">
      <w:pPr>
        <w:pStyle w:val="FootnoteText"/>
        <w:spacing w:after="60"/>
        <w:rPr>
          <w:sz w:val="16"/>
          <w:szCs w:val="16"/>
          <w:lang w:val="es-CR"/>
        </w:rPr>
      </w:pPr>
      <w:r>
        <w:rPr>
          <w:rStyle w:val="FootnoteReference"/>
          <w:sz w:val="16"/>
          <w:szCs w:val="16"/>
        </w:rPr>
        <w:footnoteRef/>
      </w:r>
      <w:r>
        <w:rPr>
          <w:sz w:val="16"/>
          <w:szCs w:val="16"/>
          <w:lang w:val="es-ES"/>
        </w:rPr>
        <w:t xml:space="preserve">     </w:t>
      </w:r>
      <w:r w:rsidRPr="00B1523A">
        <w:rPr>
          <w:i/>
          <w:sz w:val="16"/>
          <w:szCs w:val="16"/>
          <w:lang w:val="es-ES"/>
        </w:rPr>
        <w:t>Cfr. Caso Albán Cornejo y otros, supra</w:t>
      </w:r>
      <w:r w:rsidRPr="00B1523A">
        <w:rPr>
          <w:sz w:val="16"/>
          <w:szCs w:val="16"/>
          <w:lang w:val="es-ES"/>
        </w:rPr>
        <w:t>, párr. 117</w:t>
      </w:r>
      <w:r w:rsidRPr="00B1523A">
        <w:rPr>
          <w:i/>
          <w:sz w:val="16"/>
          <w:szCs w:val="16"/>
          <w:lang w:val="es-ES"/>
        </w:rPr>
        <w:t xml:space="preserve">, y Caso Vera </w:t>
      </w:r>
      <w:proofErr w:type="spellStart"/>
      <w:r w:rsidRPr="00B1523A">
        <w:rPr>
          <w:i/>
          <w:sz w:val="16"/>
          <w:szCs w:val="16"/>
          <w:lang w:val="es-ES"/>
        </w:rPr>
        <w:t>Vera</w:t>
      </w:r>
      <w:proofErr w:type="spellEnd"/>
      <w:r w:rsidRPr="00B1523A">
        <w:rPr>
          <w:i/>
          <w:sz w:val="16"/>
          <w:szCs w:val="16"/>
          <w:lang w:val="es-ES"/>
        </w:rPr>
        <w:t xml:space="preserve"> y otra Vs. Ecuador</w:t>
      </w:r>
      <w:r w:rsidRPr="00D915A5">
        <w:rPr>
          <w:sz w:val="16"/>
          <w:szCs w:val="16"/>
          <w:lang w:val="es-ES"/>
        </w:rPr>
        <w:t xml:space="preserve">, </w:t>
      </w:r>
      <w:r w:rsidRPr="00D915A5">
        <w:rPr>
          <w:i/>
          <w:sz w:val="16"/>
          <w:szCs w:val="16"/>
          <w:lang w:val="es-ES"/>
        </w:rPr>
        <w:t>supra</w:t>
      </w:r>
      <w:r w:rsidRPr="00B1523A">
        <w:rPr>
          <w:sz w:val="16"/>
          <w:szCs w:val="16"/>
          <w:lang w:val="es-ES"/>
        </w:rPr>
        <w:t xml:space="preserve">, párr. </w:t>
      </w:r>
      <w:r w:rsidRPr="00B1523A">
        <w:rPr>
          <w:sz w:val="16"/>
          <w:szCs w:val="16"/>
          <w:lang w:val="es-CR"/>
        </w:rPr>
        <w:t>43.</w:t>
      </w:r>
    </w:p>
  </w:footnote>
  <w:footnote w:id="247">
    <w:p w14:paraId="2B322352" w14:textId="2132D876" w:rsidR="003C025E" w:rsidRPr="00AB1E03" w:rsidRDefault="003C025E" w:rsidP="00967ED8">
      <w:pPr>
        <w:pStyle w:val="FootnoteText"/>
        <w:spacing w:after="60"/>
        <w:rPr>
          <w:b/>
          <w:sz w:val="16"/>
          <w:szCs w:val="16"/>
          <w:lang w:val="es-CR"/>
        </w:rPr>
      </w:pPr>
      <w:r w:rsidRPr="00B1523A">
        <w:rPr>
          <w:rStyle w:val="FootnoteReference"/>
          <w:sz w:val="16"/>
          <w:szCs w:val="16"/>
        </w:rPr>
        <w:footnoteRef/>
      </w:r>
      <w:r w:rsidRPr="00B1523A">
        <w:rPr>
          <w:sz w:val="16"/>
          <w:szCs w:val="16"/>
          <w:lang w:val="es-CR"/>
        </w:rPr>
        <w:t xml:space="preserve"> </w:t>
      </w:r>
      <w:r>
        <w:rPr>
          <w:b/>
          <w:sz w:val="16"/>
          <w:szCs w:val="16"/>
          <w:lang w:val="es-CR"/>
        </w:rPr>
        <w:t xml:space="preserve">  </w:t>
      </w:r>
      <w:r w:rsidRPr="00847C4A">
        <w:rPr>
          <w:i/>
          <w:sz w:val="16"/>
          <w:szCs w:val="16"/>
          <w:lang w:val="es-CR"/>
        </w:rPr>
        <w:t xml:space="preserve">Cfr. Caso Montero Aranguren y otros (Retén de Catia) Vs. Venezuela (Excepción Preliminar, Fondo, Reparaciones y Costas).  </w:t>
      </w:r>
      <w:r w:rsidRPr="00847C4A">
        <w:rPr>
          <w:sz w:val="16"/>
          <w:szCs w:val="16"/>
          <w:lang w:val="es-CR"/>
        </w:rPr>
        <w:t>Sentencia de 5 de julio de 2006. Serie C  No. 150, párr. 103,</w:t>
      </w:r>
      <w:r w:rsidRPr="00B1523A">
        <w:rPr>
          <w:sz w:val="16"/>
          <w:szCs w:val="16"/>
          <w:lang w:val="es-CR"/>
        </w:rPr>
        <w:t xml:space="preserve"> y </w:t>
      </w:r>
      <w:r w:rsidRPr="00B1523A">
        <w:rPr>
          <w:bCs/>
          <w:i/>
          <w:sz w:val="16"/>
          <w:szCs w:val="16"/>
          <w:lang w:val="es-CR"/>
        </w:rPr>
        <w:t xml:space="preserve">Caso Vera </w:t>
      </w:r>
      <w:proofErr w:type="spellStart"/>
      <w:r w:rsidRPr="00B1523A">
        <w:rPr>
          <w:bCs/>
          <w:i/>
          <w:sz w:val="16"/>
          <w:szCs w:val="16"/>
          <w:lang w:val="es-CR"/>
        </w:rPr>
        <w:t>Vera</w:t>
      </w:r>
      <w:proofErr w:type="spellEnd"/>
      <w:r w:rsidRPr="00B1523A">
        <w:rPr>
          <w:bCs/>
          <w:i/>
          <w:sz w:val="16"/>
          <w:szCs w:val="16"/>
          <w:lang w:val="es-CR"/>
        </w:rPr>
        <w:t xml:space="preserve"> y otra, supra</w:t>
      </w:r>
      <w:r w:rsidRPr="00B1523A">
        <w:rPr>
          <w:sz w:val="16"/>
          <w:szCs w:val="16"/>
          <w:lang w:val="es-CR"/>
        </w:rPr>
        <w:t>, párr. 44.</w:t>
      </w:r>
    </w:p>
  </w:footnote>
  <w:footnote w:id="248">
    <w:p w14:paraId="07DB2F06" w14:textId="60552EB8" w:rsidR="003C025E" w:rsidRPr="00B1523A" w:rsidRDefault="003C025E" w:rsidP="00967ED8">
      <w:pPr>
        <w:pStyle w:val="FootnoteText"/>
        <w:spacing w:after="60"/>
        <w:rPr>
          <w:sz w:val="16"/>
          <w:szCs w:val="16"/>
          <w:lang w:val="es-ES"/>
        </w:rPr>
      </w:pPr>
      <w:r w:rsidRPr="00B1523A">
        <w:rPr>
          <w:rStyle w:val="FootnoteReference"/>
          <w:sz w:val="16"/>
          <w:szCs w:val="16"/>
        </w:rPr>
        <w:footnoteRef/>
      </w:r>
      <w:r w:rsidRPr="00B1523A">
        <w:rPr>
          <w:sz w:val="16"/>
          <w:szCs w:val="16"/>
          <w:lang w:val="es-CR"/>
        </w:rPr>
        <w:t xml:space="preserve">   </w:t>
      </w:r>
      <w:r w:rsidRPr="00B1523A">
        <w:rPr>
          <w:i/>
          <w:sz w:val="16"/>
          <w:szCs w:val="16"/>
          <w:lang w:val="es-CR"/>
        </w:rPr>
        <w:t xml:space="preserve">Cfr. </w:t>
      </w:r>
      <w:r w:rsidRPr="00B1523A">
        <w:rPr>
          <w:i/>
          <w:iCs/>
          <w:sz w:val="16"/>
          <w:szCs w:val="16"/>
          <w:lang w:val="es-CR"/>
        </w:rPr>
        <w:t>Caso</w:t>
      </w:r>
      <w:r>
        <w:rPr>
          <w:i/>
          <w:iCs/>
          <w:sz w:val="16"/>
          <w:szCs w:val="16"/>
          <w:lang w:val="es-CR"/>
        </w:rPr>
        <w:t xml:space="preserve"> Gonzales </w:t>
      </w:r>
      <w:proofErr w:type="spellStart"/>
      <w:r>
        <w:rPr>
          <w:i/>
          <w:iCs/>
          <w:sz w:val="16"/>
          <w:szCs w:val="16"/>
          <w:lang w:val="es-CR"/>
        </w:rPr>
        <w:t>Lluy</w:t>
      </w:r>
      <w:proofErr w:type="spellEnd"/>
      <w:r>
        <w:rPr>
          <w:i/>
          <w:iCs/>
          <w:sz w:val="16"/>
          <w:szCs w:val="16"/>
          <w:lang w:val="es-CR"/>
        </w:rPr>
        <w:t xml:space="preserve"> Vs. Ecuador</w:t>
      </w:r>
      <w:r w:rsidRPr="00B1523A">
        <w:rPr>
          <w:i/>
          <w:iCs/>
          <w:sz w:val="16"/>
          <w:szCs w:val="16"/>
          <w:lang w:val="es-CR"/>
        </w:rPr>
        <w:t>, supra</w:t>
      </w:r>
      <w:r w:rsidRPr="00B1523A">
        <w:rPr>
          <w:iCs/>
          <w:sz w:val="16"/>
          <w:szCs w:val="16"/>
          <w:lang w:val="es-CR"/>
        </w:rPr>
        <w:t xml:space="preserve">, </w:t>
      </w:r>
      <w:proofErr w:type="spellStart"/>
      <w:r w:rsidRPr="00B1523A">
        <w:rPr>
          <w:iCs/>
          <w:sz w:val="16"/>
          <w:szCs w:val="16"/>
          <w:lang w:val="es-CR"/>
        </w:rPr>
        <w:t>párr</w:t>
      </w:r>
      <w:proofErr w:type="spellEnd"/>
      <w:r>
        <w:rPr>
          <w:iCs/>
          <w:sz w:val="16"/>
          <w:szCs w:val="16"/>
          <w:lang w:val="es-ES"/>
        </w:rPr>
        <w:t>s. 171</w:t>
      </w:r>
      <w:r w:rsidRPr="00B1523A">
        <w:rPr>
          <w:iCs/>
          <w:sz w:val="16"/>
          <w:szCs w:val="16"/>
          <w:lang w:val="es-ES"/>
        </w:rPr>
        <w:t xml:space="preserve">, y </w:t>
      </w:r>
      <w:r w:rsidRPr="00B1523A">
        <w:rPr>
          <w:bCs/>
          <w:i/>
          <w:sz w:val="16"/>
          <w:szCs w:val="16"/>
          <w:lang w:val="es-ES"/>
        </w:rPr>
        <w:t>Caso Albán Cornejo y otros, supra</w:t>
      </w:r>
      <w:r w:rsidRPr="00B1523A">
        <w:rPr>
          <w:sz w:val="16"/>
          <w:szCs w:val="16"/>
          <w:lang w:val="es-ES"/>
        </w:rPr>
        <w:t>, párr. 121; Véase también</w:t>
      </w:r>
      <w:r w:rsidRPr="00D915A5">
        <w:rPr>
          <w:sz w:val="16"/>
          <w:szCs w:val="16"/>
          <w:lang w:val="es-ES"/>
        </w:rPr>
        <w:t xml:space="preserve">: </w:t>
      </w:r>
      <w:r>
        <w:rPr>
          <w:sz w:val="16"/>
          <w:szCs w:val="16"/>
          <w:lang w:val="es-ES"/>
        </w:rPr>
        <w:t xml:space="preserve">TEDH </w:t>
      </w:r>
      <w:r w:rsidRPr="00B1523A">
        <w:rPr>
          <w:i/>
          <w:sz w:val="16"/>
          <w:szCs w:val="16"/>
          <w:lang w:val="es-ES"/>
        </w:rPr>
        <w:t xml:space="preserve">Caso Lazar Vs. Rumania, </w:t>
      </w:r>
      <w:r w:rsidRPr="00B1523A">
        <w:rPr>
          <w:sz w:val="16"/>
          <w:szCs w:val="16"/>
          <w:lang w:val="es-ES"/>
        </w:rPr>
        <w:t xml:space="preserve">No. 32146/05. Sección Tercera. Sentencia de 16 de mayo de 2010, párr. 66; </w:t>
      </w:r>
      <w:r w:rsidRPr="00B1523A">
        <w:rPr>
          <w:i/>
          <w:sz w:val="16"/>
          <w:szCs w:val="16"/>
          <w:lang w:val="es-ES"/>
        </w:rPr>
        <w:t>Caso Z Vs. Polonia</w:t>
      </w:r>
      <w:r w:rsidRPr="00B1523A">
        <w:rPr>
          <w:sz w:val="16"/>
          <w:szCs w:val="16"/>
          <w:lang w:val="es-ES"/>
        </w:rPr>
        <w:t xml:space="preserve">, No. 46132/08. Sección Cuarta. Sentencia de 13 de noviembre de 2012, </w:t>
      </w:r>
      <w:r w:rsidRPr="00B1523A">
        <w:rPr>
          <w:rFonts w:cs="Lucida Grande"/>
          <w:sz w:val="16"/>
          <w:szCs w:val="16"/>
        </w:rPr>
        <w:t>párr.</w:t>
      </w:r>
      <w:r w:rsidRPr="00B1523A">
        <w:rPr>
          <w:sz w:val="16"/>
          <w:szCs w:val="16"/>
          <w:lang w:val="es-ES"/>
        </w:rPr>
        <w:t xml:space="preserve"> 76, y</w:t>
      </w:r>
      <w:r>
        <w:rPr>
          <w:sz w:val="16"/>
          <w:szCs w:val="16"/>
          <w:lang w:val="es-ES"/>
        </w:rPr>
        <w:t xml:space="preserve"> ONU</w:t>
      </w:r>
      <w:r w:rsidRPr="00B1523A">
        <w:rPr>
          <w:sz w:val="16"/>
          <w:szCs w:val="16"/>
          <w:lang w:val="es-ES"/>
        </w:rPr>
        <w:t xml:space="preserve">, Comité </w:t>
      </w:r>
      <w:r>
        <w:rPr>
          <w:sz w:val="16"/>
          <w:szCs w:val="16"/>
          <w:lang w:val="es-ES"/>
        </w:rPr>
        <w:t>DESC, OG-</w:t>
      </w:r>
      <w:r w:rsidRPr="00B1523A">
        <w:rPr>
          <w:sz w:val="16"/>
          <w:szCs w:val="16"/>
          <w:lang w:val="es-ES"/>
        </w:rPr>
        <w:t xml:space="preserve"> 14, </w:t>
      </w:r>
      <w:r w:rsidRPr="00B1523A">
        <w:rPr>
          <w:i/>
          <w:sz w:val="16"/>
          <w:szCs w:val="16"/>
          <w:lang w:val="es-ES"/>
        </w:rPr>
        <w:t>supra</w:t>
      </w:r>
      <w:r w:rsidRPr="00B1523A">
        <w:rPr>
          <w:sz w:val="16"/>
          <w:szCs w:val="16"/>
          <w:lang w:val="es-ES"/>
        </w:rPr>
        <w:t xml:space="preserve">, párr. 12, 33, 35, 36 y 51. </w:t>
      </w:r>
    </w:p>
  </w:footnote>
  <w:footnote w:id="249">
    <w:p w14:paraId="6EAD2762" w14:textId="76917071" w:rsidR="003C025E" w:rsidRPr="00B1523A" w:rsidRDefault="003C025E" w:rsidP="00AB1E03">
      <w:pPr>
        <w:pStyle w:val="FootnoteText"/>
        <w:spacing w:after="60"/>
        <w:rPr>
          <w:sz w:val="16"/>
          <w:szCs w:val="16"/>
          <w:lang w:val="es-ES"/>
        </w:rPr>
      </w:pPr>
      <w:r w:rsidRPr="00B1523A">
        <w:rPr>
          <w:rStyle w:val="FootnoteReference"/>
          <w:sz w:val="16"/>
          <w:szCs w:val="16"/>
        </w:rPr>
        <w:footnoteRef/>
      </w:r>
      <w:r w:rsidRPr="00B1523A">
        <w:rPr>
          <w:sz w:val="16"/>
          <w:szCs w:val="16"/>
        </w:rPr>
        <w:t xml:space="preserve"> </w:t>
      </w:r>
      <w:r>
        <w:rPr>
          <w:sz w:val="16"/>
          <w:szCs w:val="16"/>
        </w:rPr>
        <w:t xml:space="preserve">  </w:t>
      </w:r>
      <w:r>
        <w:rPr>
          <w:i/>
          <w:sz w:val="16"/>
          <w:szCs w:val="16"/>
        </w:rPr>
        <w:t xml:space="preserve">Cfr. </w:t>
      </w:r>
      <w:r w:rsidRPr="00B1523A">
        <w:rPr>
          <w:i/>
          <w:sz w:val="16"/>
          <w:szCs w:val="16"/>
          <w:lang w:val="es-ES"/>
        </w:rPr>
        <w:t>Caso Suárez Peralta Vs. Ecuador,</w:t>
      </w:r>
      <w:r>
        <w:rPr>
          <w:sz w:val="16"/>
          <w:szCs w:val="16"/>
          <w:lang w:val="es-ES"/>
        </w:rPr>
        <w:t xml:space="preserve"> </w:t>
      </w:r>
      <w:r w:rsidRPr="00B1523A">
        <w:rPr>
          <w:i/>
          <w:sz w:val="16"/>
          <w:szCs w:val="16"/>
          <w:lang w:val="es-ES"/>
        </w:rPr>
        <w:t>supra</w:t>
      </w:r>
      <w:r>
        <w:rPr>
          <w:sz w:val="16"/>
          <w:szCs w:val="16"/>
          <w:lang w:val="es-ES"/>
        </w:rPr>
        <w:t>,</w:t>
      </w:r>
      <w:r w:rsidRPr="00B1523A">
        <w:rPr>
          <w:i/>
          <w:sz w:val="16"/>
          <w:szCs w:val="16"/>
          <w:lang w:val="es-ES"/>
        </w:rPr>
        <w:t xml:space="preserve"> </w:t>
      </w:r>
      <w:r w:rsidRPr="00B1523A">
        <w:rPr>
          <w:sz w:val="16"/>
          <w:szCs w:val="16"/>
          <w:lang w:val="es-ES"/>
        </w:rPr>
        <w:t>párr. 132.</w:t>
      </w:r>
    </w:p>
  </w:footnote>
  <w:footnote w:id="250">
    <w:p w14:paraId="384C6C10" w14:textId="5D8640F2" w:rsidR="003C025E" w:rsidRPr="00C96765" w:rsidRDefault="003C025E" w:rsidP="00F42440">
      <w:pPr>
        <w:pStyle w:val="FootnoteText"/>
        <w:rPr>
          <w:lang w:val="es-CL"/>
        </w:rPr>
      </w:pPr>
      <w:r w:rsidRPr="00B1523A">
        <w:rPr>
          <w:rStyle w:val="FootnoteReference"/>
          <w:sz w:val="16"/>
          <w:szCs w:val="16"/>
        </w:rPr>
        <w:footnoteRef/>
      </w:r>
      <w:r>
        <w:rPr>
          <w:sz w:val="16"/>
          <w:szCs w:val="16"/>
        </w:rPr>
        <w:t xml:space="preserve">  </w:t>
      </w:r>
      <w:r w:rsidRPr="00B1523A">
        <w:rPr>
          <w:sz w:val="16"/>
          <w:szCs w:val="16"/>
        </w:rPr>
        <w:t xml:space="preserve"> </w:t>
      </w:r>
      <w:r w:rsidRPr="00B1523A">
        <w:rPr>
          <w:i/>
          <w:sz w:val="16"/>
          <w:szCs w:val="16"/>
        </w:rPr>
        <w:t>Cfr.</w:t>
      </w:r>
      <w:r w:rsidRPr="00B1523A">
        <w:rPr>
          <w:sz w:val="16"/>
          <w:szCs w:val="16"/>
        </w:rPr>
        <w:t xml:space="preserve"> Declaración rendida ante fedatario público por Sandra Castillo </w:t>
      </w:r>
      <w:proofErr w:type="spellStart"/>
      <w:r w:rsidRPr="00B1523A">
        <w:rPr>
          <w:sz w:val="16"/>
          <w:szCs w:val="16"/>
        </w:rPr>
        <w:t>Montúfar</w:t>
      </w:r>
      <w:proofErr w:type="spellEnd"/>
      <w:r w:rsidRPr="00B1523A">
        <w:rPr>
          <w:sz w:val="16"/>
          <w:szCs w:val="16"/>
        </w:rPr>
        <w:t xml:space="preserve"> el 11 de octubre de 2017” (expediente de prueba, affidávits, </w:t>
      </w:r>
      <w:proofErr w:type="spellStart"/>
      <w:r w:rsidRPr="00B1523A">
        <w:rPr>
          <w:sz w:val="16"/>
          <w:szCs w:val="16"/>
        </w:rPr>
        <w:t>ff</w:t>
      </w:r>
      <w:proofErr w:type="spellEnd"/>
      <w:r w:rsidRPr="00B1523A">
        <w:rPr>
          <w:sz w:val="16"/>
          <w:szCs w:val="16"/>
        </w:rPr>
        <w:t>. 4475 a 4476).</w:t>
      </w:r>
    </w:p>
  </w:footnote>
  <w:footnote w:id="251">
    <w:p w14:paraId="5A225D7B" w14:textId="0931C904" w:rsidR="003C025E" w:rsidRPr="00AB1E03" w:rsidRDefault="003C025E">
      <w:pPr>
        <w:pStyle w:val="FootnoteText"/>
        <w:rPr>
          <w:lang w:val="es-CR"/>
        </w:rPr>
      </w:pPr>
      <w:r w:rsidRPr="00B1523A">
        <w:rPr>
          <w:rStyle w:val="FootnoteReference"/>
          <w:sz w:val="16"/>
          <w:szCs w:val="16"/>
        </w:rPr>
        <w:footnoteRef/>
      </w:r>
      <w:r w:rsidRPr="00C96765">
        <w:t xml:space="preserve"> </w:t>
      </w:r>
      <w:r w:rsidRPr="00B1523A">
        <w:rPr>
          <w:i/>
          <w:sz w:val="16"/>
          <w:szCs w:val="16"/>
        </w:rPr>
        <w:t>Cfr</w:t>
      </w:r>
      <w:r w:rsidRPr="00B1523A">
        <w:rPr>
          <w:sz w:val="16"/>
        </w:rPr>
        <w:t>. Declaración rendida ante fedatario público por</w:t>
      </w:r>
      <w:r>
        <w:rPr>
          <w:sz w:val="16"/>
        </w:rPr>
        <w:t xml:space="preserve"> </w:t>
      </w:r>
      <w:proofErr w:type="spellStart"/>
      <w:r w:rsidRPr="00B1523A">
        <w:rPr>
          <w:sz w:val="16"/>
        </w:rPr>
        <w:t>Cesia</w:t>
      </w:r>
      <w:proofErr w:type="spellEnd"/>
      <w:r w:rsidRPr="00B1523A">
        <w:rPr>
          <w:sz w:val="16"/>
        </w:rPr>
        <w:t xml:space="preserve"> Leila Siria Poblete Tapia el 6 de octubre de 2017 (expediente de prueba, affidávits, f</w:t>
      </w:r>
      <w:r>
        <w:rPr>
          <w:sz w:val="16"/>
        </w:rPr>
        <w:t xml:space="preserve">. </w:t>
      </w:r>
      <w:r w:rsidRPr="00B1523A">
        <w:rPr>
          <w:sz w:val="16"/>
        </w:rPr>
        <w:t>4466), y Declaración rendida ante fedatario público por Alejandra Marcela Fuentes Poblete el 6 de octubre de 2017 (expediente de prueba, affidávits, f. 4472).</w:t>
      </w:r>
    </w:p>
  </w:footnote>
  <w:footnote w:id="252">
    <w:p w14:paraId="09341707" w14:textId="251D5B74" w:rsidR="003C025E" w:rsidRPr="00B1523A" w:rsidRDefault="003C025E">
      <w:pPr>
        <w:pStyle w:val="FootnoteText"/>
        <w:rPr>
          <w:lang w:val="es-AR"/>
        </w:rPr>
      </w:pPr>
      <w:r w:rsidRPr="00B1523A">
        <w:rPr>
          <w:rStyle w:val="FootnoteReference"/>
          <w:sz w:val="16"/>
          <w:szCs w:val="16"/>
        </w:rPr>
        <w:footnoteRef/>
      </w:r>
      <w:r w:rsidRPr="00B1523A">
        <w:rPr>
          <w:rStyle w:val="FootnoteReference"/>
          <w:sz w:val="16"/>
          <w:szCs w:val="16"/>
        </w:rPr>
        <w:t xml:space="preserve"> </w:t>
      </w:r>
      <w:r>
        <w:rPr>
          <w:sz w:val="16"/>
          <w:szCs w:val="16"/>
        </w:rPr>
        <w:t xml:space="preserve">  </w:t>
      </w:r>
      <w:r>
        <w:rPr>
          <w:i/>
          <w:sz w:val="16"/>
          <w:szCs w:val="16"/>
        </w:rPr>
        <w:t xml:space="preserve">Cfr. </w:t>
      </w:r>
      <w:r w:rsidRPr="00B1523A">
        <w:rPr>
          <w:i/>
          <w:sz w:val="16"/>
        </w:rPr>
        <w:t>Opinión Consultiva OC-23/17</w:t>
      </w:r>
      <w:r>
        <w:rPr>
          <w:i/>
          <w:sz w:val="16"/>
        </w:rPr>
        <w:t>,</w:t>
      </w:r>
      <w:r w:rsidRPr="00B1523A">
        <w:rPr>
          <w:sz w:val="16"/>
        </w:rPr>
        <w:t xml:space="preserve"> </w:t>
      </w:r>
      <w:r w:rsidRPr="00B1523A">
        <w:rPr>
          <w:i/>
          <w:sz w:val="16"/>
        </w:rPr>
        <w:t>supra</w:t>
      </w:r>
      <w:r>
        <w:rPr>
          <w:sz w:val="16"/>
        </w:rPr>
        <w:t>,</w:t>
      </w:r>
      <w:r w:rsidRPr="00B1523A">
        <w:rPr>
          <w:sz w:val="16"/>
        </w:rPr>
        <w:t xml:space="preserve"> párr. </w:t>
      </w:r>
      <w:r w:rsidRPr="00B1523A">
        <w:rPr>
          <w:sz w:val="16"/>
          <w:lang w:val="es-MX"/>
        </w:rPr>
        <w:t xml:space="preserve">211. […] En el mismo sentido, la jurisprudencia interamericana ha reconocido el </w:t>
      </w:r>
      <w:proofErr w:type="spellStart"/>
      <w:r w:rsidRPr="00B1523A">
        <w:rPr>
          <w:sz w:val="16"/>
          <w:lang w:val="es-MX"/>
        </w:rPr>
        <w:t>carácter</w:t>
      </w:r>
      <w:proofErr w:type="spellEnd"/>
      <w:r w:rsidRPr="00B1523A">
        <w:rPr>
          <w:sz w:val="16"/>
          <w:lang w:val="es-MX"/>
        </w:rPr>
        <w:t xml:space="preserve"> instrumental de ciertos derechos de la </w:t>
      </w:r>
      <w:proofErr w:type="spellStart"/>
      <w:r w:rsidRPr="00B1523A">
        <w:rPr>
          <w:sz w:val="16"/>
          <w:lang w:val="es-MX"/>
        </w:rPr>
        <w:t>Convención</w:t>
      </w:r>
      <w:proofErr w:type="spellEnd"/>
      <w:r w:rsidRPr="00B1523A">
        <w:rPr>
          <w:sz w:val="16"/>
          <w:lang w:val="es-MX"/>
        </w:rPr>
        <w:t xml:space="preserve"> Americana, tales como el derecho de acceso a la </w:t>
      </w:r>
      <w:proofErr w:type="spellStart"/>
      <w:r w:rsidRPr="00B1523A">
        <w:rPr>
          <w:sz w:val="16"/>
          <w:lang w:val="es-MX"/>
        </w:rPr>
        <w:t>información</w:t>
      </w:r>
      <w:proofErr w:type="spellEnd"/>
      <w:r w:rsidRPr="00B1523A">
        <w:rPr>
          <w:sz w:val="16"/>
          <w:lang w:val="es-MX"/>
        </w:rPr>
        <w:t xml:space="preserve">, en la medida en que permiten la </w:t>
      </w:r>
      <w:proofErr w:type="spellStart"/>
      <w:r w:rsidRPr="00B1523A">
        <w:rPr>
          <w:sz w:val="16"/>
          <w:lang w:val="es-MX"/>
        </w:rPr>
        <w:t>satisfacción</w:t>
      </w:r>
      <w:proofErr w:type="spellEnd"/>
      <w:r w:rsidRPr="00B1523A">
        <w:rPr>
          <w:sz w:val="16"/>
          <w:lang w:val="es-MX"/>
        </w:rPr>
        <w:t xml:space="preserve"> de otros derechos en la </w:t>
      </w:r>
      <w:proofErr w:type="spellStart"/>
      <w:r w:rsidRPr="00B1523A">
        <w:rPr>
          <w:sz w:val="16"/>
          <w:lang w:val="es-MX"/>
        </w:rPr>
        <w:t>Convención</w:t>
      </w:r>
      <w:proofErr w:type="spellEnd"/>
      <w:r w:rsidRPr="00B1523A">
        <w:rPr>
          <w:sz w:val="16"/>
          <w:lang w:val="es-MX"/>
        </w:rPr>
        <w:t>, incluidos el derecho a la salud, la vida o la integridad personal[…].</w:t>
      </w:r>
    </w:p>
  </w:footnote>
  <w:footnote w:id="253">
    <w:p w14:paraId="714548AA" w14:textId="50BCC51B" w:rsidR="003C025E" w:rsidRPr="002570D1" w:rsidRDefault="003C025E" w:rsidP="002570D1">
      <w:pPr>
        <w:pStyle w:val="FootnoteText"/>
        <w:rPr>
          <w:sz w:val="16"/>
          <w:szCs w:val="16"/>
          <w:lang w:val="es-CR"/>
        </w:rPr>
      </w:pPr>
      <w:r w:rsidRPr="002570D1">
        <w:rPr>
          <w:rStyle w:val="FootnoteReference"/>
          <w:sz w:val="16"/>
          <w:szCs w:val="16"/>
        </w:rPr>
        <w:footnoteRef/>
      </w:r>
      <w:r w:rsidRPr="002570D1">
        <w:rPr>
          <w:sz w:val="16"/>
          <w:szCs w:val="16"/>
          <w:lang w:val="es-CR"/>
        </w:rPr>
        <w:t xml:space="preserve"> </w:t>
      </w:r>
      <w:r w:rsidRPr="00062586">
        <w:rPr>
          <w:i/>
          <w:sz w:val="16"/>
          <w:szCs w:val="16"/>
          <w:lang w:val="es-EC"/>
        </w:rPr>
        <w:t>Cfr.</w:t>
      </w:r>
      <w:r w:rsidRPr="002570D1">
        <w:rPr>
          <w:i/>
          <w:sz w:val="16"/>
          <w:szCs w:val="16"/>
          <w:lang w:val="es-CR"/>
        </w:rPr>
        <w:t xml:space="preserve"> Caso “La Última Tentación de Cristo” (Olmedo Bustos y otros) Vs. Chile. Fondo, Reparaciones y Costas.</w:t>
      </w:r>
      <w:r w:rsidRPr="002570D1">
        <w:rPr>
          <w:sz w:val="16"/>
          <w:szCs w:val="16"/>
          <w:lang w:val="es-CR"/>
        </w:rPr>
        <w:t xml:space="preserve"> Sentencia de 5 de febrero de 2001. Serie C No. 73, párr. 64 </w:t>
      </w:r>
      <w:r w:rsidRPr="00B92B58">
        <w:rPr>
          <w:sz w:val="16"/>
          <w:szCs w:val="16"/>
          <w:lang w:val="es-CR"/>
        </w:rPr>
        <w:t>y</w:t>
      </w:r>
      <w:r w:rsidRPr="00B92B58">
        <w:rPr>
          <w:b/>
          <w:sz w:val="16"/>
          <w:szCs w:val="16"/>
          <w:lang w:val="es-CR"/>
        </w:rPr>
        <w:t xml:space="preserve"> </w:t>
      </w:r>
      <w:r w:rsidRPr="00B92B58">
        <w:rPr>
          <w:rStyle w:val="Strong"/>
          <w:b w:val="0"/>
          <w:i/>
          <w:color w:val="000000"/>
          <w:sz w:val="16"/>
          <w:szCs w:val="16"/>
          <w:shd w:val="clear" w:color="auto" w:fill="FFFFFF"/>
          <w:lang w:val="es-CR"/>
        </w:rPr>
        <w:t xml:space="preserve">Caso </w:t>
      </w:r>
      <w:r>
        <w:rPr>
          <w:rStyle w:val="Strong"/>
          <w:b w:val="0"/>
          <w:i/>
          <w:color w:val="000000"/>
          <w:sz w:val="16"/>
          <w:szCs w:val="16"/>
          <w:shd w:val="clear" w:color="auto" w:fill="FFFFFF"/>
          <w:lang w:val="es-CR"/>
        </w:rPr>
        <w:t>Lagos del Campo Vs. Perú,</w:t>
      </w:r>
      <w:r w:rsidRPr="00B92B58">
        <w:rPr>
          <w:rStyle w:val="Strong"/>
          <w:b w:val="0"/>
          <w:i/>
          <w:color w:val="000000"/>
          <w:sz w:val="16"/>
          <w:szCs w:val="16"/>
          <w:shd w:val="clear" w:color="auto" w:fill="FFFFFF"/>
          <w:lang w:val="es-CR"/>
        </w:rPr>
        <w:t xml:space="preserve"> </w:t>
      </w:r>
      <w:r w:rsidRPr="00062586">
        <w:rPr>
          <w:rStyle w:val="Strong"/>
          <w:b w:val="0"/>
          <w:i/>
          <w:color w:val="000000"/>
          <w:sz w:val="16"/>
          <w:szCs w:val="16"/>
          <w:shd w:val="clear" w:color="auto" w:fill="FFFFFF"/>
          <w:lang w:val="es-CR"/>
        </w:rPr>
        <w:t>supra</w:t>
      </w:r>
      <w:r w:rsidRPr="00B92B58">
        <w:rPr>
          <w:rStyle w:val="Strong"/>
          <w:b w:val="0"/>
          <w:i/>
          <w:color w:val="000000"/>
          <w:sz w:val="16"/>
          <w:szCs w:val="16"/>
          <w:shd w:val="clear" w:color="auto" w:fill="FFFFFF"/>
          <w:lang w:val="es-CR"/>
        </w:rPr>
        <w:t xml:space="preserve">, </w:t>
      </w:r>
      <w:r w:rsidRPr="00B92B58">
        <w:rPr>
          <w:rStyle w:val="Strong"/>
          <w:b w:val="0"/>
          <w:color w:val="000000"/>
          <w:sz w:val="16"/>
          <w:szCs w:val="16"/>
          <w:shd w:val="clear" w:color="auto" w:fill="FFFFFF"/>
          <w:lang w:val="es-CR"/>
        </w:rPr>
        <w:t xml:space="preserve">párr. </w:t>
      </w:r>
      <w:r>
        <w:rPr>
          <w:rStyle w:val="Strong"/>
          <w:b w:val="0"/>
          <w:color w:val="000000"/>
          <w:sz w:val="16"/>
          <w:szCs w:val="16"/>
          <w:shd w:val="clear" w:color="auto" w:fill="FFFFFF"/>
          <w:lang w:val="es-CR"/>
        </w:rPr>
        <w:t>89</w:t>
      </w:r>
      <w:r w:rsidRPr="00B92B58">
        <w:rPr>
          <w:rStyle w:val="Strong"/>
          <w:b w:val="0"/>
          <w:color w:val="000000"/>
          <w:sz w:val="16"/>
          <w:szCs w:val="16"/>
          <w:shd w:val="clear" w:color="auto" w:fill="FFFFFF"/>
          <w:lang w:val="es-CR"/>
        </w:rPr>
        <w:t>.</w:t>
      </w:r>
    </w:p>
  </w:footnote>
  <w:footnote w:id="254">
    <w:p w14:paraId="0A018F28" w14:textId="5D5A7305" w:rsidR="003C025E" w:rsidRPr="002570D1" w:rsidRDefault="003C025E" w:rsidP="00B1523A">
      <w:pPr>
        <w:pStyle w:val="FootnoteText"/>
        <w:rPr>
          <w:sz w:val="16"/>
          <w:szCs w:val="16"/>
          <w:lang w:val="es-EC"/>
        </w:rPr>
      </w:pPr>
      <w:r w:rsidRPr="002570D1">
        <w:rPr>
          <w:rStyle w:val="FootnoteReference"/>
          <w:sz w:val="16"/>
          <w:szCs w:val="16"/>
        </w:rPr>
        <w:footnoteRef/>
      </w:r>
      <w:r w:rsidRPr="002570D1">
        <w:rPr>
          <w:sz w:val="16"/>
          <w:szCs w:val="16"/>
          <w:lang w:val="es-CR"/>
        </w:rPr>
        <w:t xml:space="preserve"> </w:t>
      </w:r>
      <w:r w:rsidRPr="00062586">
        <w:rPr>
          <w:i/>
          <w:sz w:val="16"/>
          <w:szCs w:val="16"/>
          <w:lang w:val="es-EC"/>
        </w:rPr>
        <w:t>Cfr.</w:t>
      </w:r>
      <w:r w:rsidRPr="002570D1">
        <w:rPr>
          <w:i/>
          <w:sz w:val="16"/>
          <w:szCs w:val="16"/>
          <w:lang w:val="es-EC"/>
        </w:rPr>
        <w:t xml:space="preserve"> </w:t>
      </w:r>
      <w:r w:rsidRPr="002570D1">
        <w:rPr>
          <w:i/>
          <w:sz w:val="16"/>
          <w:szCs w:val="16"/>
          <w:lang w:val="es-CR"/>
        </w:rPr>
        <w:t>Caso Claude Reyes y otros Vs. Chile. Fondo, Reparaciones y Costas</w:t>
      </w:r>
      <w:r w:rsidRPr="002570D1">
        <w:rPr>
          <w:sz w:val="16"/>
          <w:szCs w:val="16"/>
          <w:lang w:val="es-CR"/>
        </w:rPr>
        <w:t xml:space="preserve">. Sentencia de 19 de septiembre de 2006. Serie C No. 151, párr. 77, y </w:t>
      </w:r>
      <w:r w:rsidRPr="008B0574">
        <w:rPr>
          <w:rStyle w:val="Strong"/>
          <w:b w:val="0"/>
          <w:i/>
          <w:color w:val="000000"/>
          <w:sz w:val="16"/>
          <w:szCs w:val="16"/>
          <w:shd w:val="clear" w:color="auto" w:fill="FFFFFF"/>
          <w:lang w:val="es-CR"/>
        </w:rPr>
        <w:t xml:space="preserve">Caso I.V. Vs. Bolivia, </w:t>
      </w:r>
      <w:r w:rsidRPr="00062586">
        <w:rPr>
          <w:rStyle w:val="Strong"/>
          <w:b w:val="0"/>
          <w:i/>
          <w:color w:val="000000"/>
          <w:sz w:val="16"/>
          <w:szCs w:val="16"/>
          <w:shd w:val="clear" w:color="auto" w:fill="FFFFFF"/>
          <w:lang w:val="es-CR"/>
        </w:rPr>
        <w:t>supra</w:t>
      </w:r>
      <w:r w:rsidRPr="008B0574">
        <w:rPr>
          <w:rStyle w:val="Strong"/>
          <w:b w:val="0"/>
          <w:i/>
          <w:color w:val="000000"/>
          <w:sz w:val="16"/>
          <w:szCs w:val="16"/>
          <w:shd w:val="clear" w:color="auto" w:fill="FFFFFF"/>
          <w:lang w:val="es-CR"/>
        </w:rPr>
        <w:t xml:space="preserve">, </w:t>
      </w:r>
      <w:r w:rsidRPr="008B0574">
        <w:rPr>
          <w:rStyle w:val="Strong"/>
          <w:b w:val="0"/>
          <w:color w:val="000000"/>
          <w:sz w:val="16"/>
          <w:szCs w:val="16"/>
          <w:shd w:val="clear" w:color="auto" w:fill="FFFFFF"/>
          <w:lang w:val="es-CR"/>
        </w:rPr>
        <w:t>párr. 15</w:t>
      </w:r>
      <w:r>
        <w:rPr>
          <w:rStyle w:val="Strong"/>
          <w:b w:val="0"/>
          <w:color w:val="000000"/>
          <w:sz w:val="16"/>
          <w:szCs w:val="16"/>
          <w:shd w:val="clear" w:color="auto" w:fill="FFFFFF"/>
          <w:lang w:val="es-CR"/>
        </w:rPr>
        <w:t>6</w:t>
      </w:r>
      <w:r w:rsidRPr="00847C4A">
        <w:rPr>
          <w:sz w:val="16"/>
          <w:szCs w:val="16"/>
          <w:lang w:val="es-CR"/>
        </w:rPr>
        <w:t>.</w:t>
      </w:r>
      <w:r w:rsidRPr="002570D1">
        <w:rPr>
          <w:sz w:val="16"/>
          <w:szCs w:val="16"/>
          <w:lang w:val="es-CR"/>
        </w:rPr>
        <w:t xml:space="preserve"> Véase también, ONU, </w:t>
      </w:r>
      <w:r w:rsidRPr="002570D1">
        <w:rPr>
          <w:sz w:val="16"/>
          <w:szCs w:val="16"/>
          <w:lang w:val="es-EC"/>
        </w:rPr>
        <w:t xml:space="preserve">Comité </w:t>
      </w:r>
      <w:r>
        <w:rPr>
          <w:sz w:val="16"/>
          <w:szCs w:val="16"/>
          <w:lang w:val="es-EC"/>
        </w:rPr>
        <w:t>DESC, OG-</w:t>
      </w:r>
      <w:r w:rsidRPr="002570D1">
        <w:rPr>
          <w:sz w:val="16"/>
          <w:szCs w:val="16"/>
          <w:lang w:val="es-CR"/>
        </w:rPr>
        <w:t xml:space="preserve">14, </w:t>
      </w:r>
      <w:r w:rsidRPr="002570D1">
        <w:rPr>
          <w:i/>
          <w:sz w:val="16"/>
          <w:szCs w:val="16"/>
          <w:lang w:val="es-CR"/>
        </w:rPr>
        <w:t>El derecho al disfrute del más alto nivel posible de salud</w:t>
      </w:r>
      <w:r w:rsidRPr="002570D1">
        <w:rPr>
          <w:sz w:val="16"/>
          <w:szCs w:val="16"/>
          <w:lang w:val="es-CR"/>
        </w:rPr>
        <w:t>,</w:t>
      </w:r>
      <w:r>
        <w:rPr>
          <w:sz w:val="16"/>
          <w:szCs w:val="16"/>
          <w:lang w:val="es-CR"/>
        </w:rPr>
        <w:t xml:space="preserve"> </w:t>
      </w:r>
      <w:r w:rsidRPr="00B1523A">
        <w:rPr>
          <w:i/>
          <w:sz w:val="16"/>
          <w:szCs w:val="16"/>
          <w:lang w:val="es-CR"/>
        </w:rPr>
        <w:t>supra</w:t>
      </w:r>
      <w:r w:rsidRPr="002570D1">
        <w:rPr>
          <w:sz w:val="16"/>
          <w:szCs w:val="16"/>
          <w:lang w:val="es-EC"/>
        </w:rPr>
        <w:t>, párr. 12.</w:t>
      </w:r>
    </w:p>
  </w:footnote>
  <w:footnote w:id="255">
    <w:p w14:paraId="78DDAC7F" w14:textId="7282E0D0" w:rsidR="003C025E" w:rsidRPr="00B92B58" w:rsidRDefault="003C025E" w:rsidP="00762119">
      <w:pPr>
        <w:pStyle w:val="FootnoteText"/>
        <w:rPr>
          <w:sz w:val="16"/>
          <w:szCs w:val="16"/>
          <w:lang w:val="es-CR"/>
        </w:rPr>
      </w:pPr>
      <w:r w:rsidRPr="002570D1">
        <w:rPr>
          <w:rStyle w:val="FootnoteReference"/>
          <w:sz w:val="16"/>
          <w:szCs w:val="16"/>
        </w:rPr>
        <w:footnoteRef/>
      </w:r>
      <w:r w:rsidRPr="002570D1">
        <w:rPr>
          <w:sz w:val="16"/>
          <w:szCs w:val="16"/>
          <w:lang w:val="es-CR"/>
        </w:rPr>
        <w:t xml:space="preserve"> </w:t>
      </w:r>
      <w:r>
        <w:rPr>
          <w:sz w:val="16"/>
          <w:szCs w:val="16"/>
          <w:lang w:val="es-CR"/>
        </w:rPr>
        <w:t xml:space="preserve">  </w:t>
      </w:r>
      <w:r w:rsidRPr="00062586">
        <w:rPr>
          <w:i/>
          <w:sz w:val="16"/>
          <w:szCs w:val="16"/>
          <w:lang w:val="es-CR"/>
        </w:rPr>
        <w:t>Cfr.</w:t>
      </w:r>
      <w:r w:rsidRPr="002570D1">
        <w:rPr>
          <w:sz w:val="16"/>
          <w:szCs w:val="16"/>
          <w:lang w:val="es-CR"/>
        </w:rPr>
        <w:t xml:space="preserve"> </w:t>
      </w:r>
      <w:r w:rsidRPr="00B92B58">
        <w:rPr>
          <w:rStyle w:val="Strong"/>
          <w:b w:val="0"/>
          <w:i/>
          <w:color w:val="000000"/>
          <w:sz w:val="16"/>
          <w:szCs w:val="16"/>
          <w:shd w:val="clear" w:color="auto" w:fill="FFFFFF"/>
          <w:lang w:val="es-CR"/>
        </w:rPr>
        <w:t>Caso I.V. Vs. Bolivia</w:t>
      </w:r>
      <w:r>
        <w:rPr>
          <w:rStyle w:val="Strong"/>
          <w:b w:val="0"/>
          <w:color w:val="000000"/>
          <w:sz w:val="16"/>
          <w:szCs w:val="16"/>
          <w:shd w:val="clear" w:color="auto" w:fill="FFFFFF"/>
          <w:lang w:val="es-CR"/>
        </w:rPr>
        <w:t xml:space="preserve">, </w:t>
      </w:r>
      <w:r>
        <w:rPr>
          <w:rStyle w:val="Strong"/>
          <w:b w:val="0"/>
          <w:i/>
          <w:color w:val="000000"/>
          <w:sz w:val="16"/>
          <w:szCs w:val="16"/>
          <w:shd w:val="clear" w:color="auto" w:fill="FFFFFF"/>
          <w:lang w:val="es-CR"/>
        </w:rPr>
        <w:t>supra</w:t>
      </w:r>
      <w:r w:rsidRPr="00B92B58">
        <w:rPr>
          <w:rStyle w:val="Strong"/>
          <w:b w:val="0"/>
          <w:color w:val="000000"/>
          <w:sz w:val="16"/>
          <w:szCs w:val="16"/>
          <w:shd w:val="clear" w:color="auto" w:fill="FFFFFF"/>
          <w:lang w:val="es-CR"/>
        </w:rPr>
        <w:t>, párr. 166.</w:t>
      </w:r>
    </w:p>
  </w:footnote>
  <w:footnote w:id="256">
    <w:p w14:paraId="30CAE040" w14:textId="5B786406" w:rsidR="003C025E" w:rsidRPr="00B1523A" w:rsidRDefault="003C025E" w:rsidP="00762119">
      <w:pPr>
        <w:pStyle w:val="FootnoteText"/>
        <w:rPr>
          <w:sz w:val="16"/>
          <w:lang w:val="es-AR"/>
        </w:rPr>
      </w:pPr>
      <w:r w:rsidRPr="00B1523A">
        <w:rPr>
          <w:rStyle w:val="FootnoteReference"/>
          <w:sz w:val="16"/>
          <w:szCs w:val="16"/>
        </w:rPr>
        <w:footnoteRef/>
      </w:r>
      <w:r w:rsidRPr="00B1523A">
        <w:rPr>
          <w:b/>
        </w:rPr>
        <w:t xml:space="preserve"> </w:t>
      </w:r>
      <w:r>
        <w:rPr>
          <w:b/>
        </w:rPr>
        <w:t xml:space="preserve"> </w:t>
      </w:r>
      <w:r w:rsidRPr="00B1523A">
        <w:rPr>
          <w:i/>
          <w:sz w:val="16"/>
          <w:lang w:val="es-CR"/>
        </w:rPr>
        <w:t>Cfr. Caso I.V. Vs. Bolivia</w:t>
      </w:r>
      <w:r w:rsidRPr="00B1523A">
        <w:rPr>
          <w:sz w:val="16"/>
          <w:lang w:val="es-CR"/>
        </w:rPr>
        <w:t xml:space="preserve">, </w:t>
      </w:r>
      <w:r w:rsidRPr="002175A2">
        <w:rPr>
          <w:i/>
          <w:sz w:val="16"/>
          <w:lang w:val="es-CR"/>
        </w:rPr>
        <w:t>supra</w:t>
      </w:r>
      <w:r w:rsidRPr="002175A2">
        <w:rPr>
          <w:sz w:val="16"/>
          <w:lang w:val="es-CR"/>
        </w:rPr>
        <w:t>,</w:t>
      </w:r>
      <w:r w:rsidRPr="00B1523A">
        <w:rPr>
          <w:sz w:val="16"/>
          <w:lang w:val="es-CR"/>
        </w:rPr>
        <w:t xml:space="preserve"> párr. 182. </w:t>
      </w:r>
      <w:r w:rsidRPr="003B52C8">
        <w:rPr>
          <w:i/>
          <w:sz w:val="16"/>
          <w:lang w:val="es-CR"/>
        </w:rPr>
        <w:t>Cfr</w:t>
      </w:r>
      <w:r w:rsidRPr="00B1523A">
        <w:rPr>
          <w:sz w:val="16"/>
          <w:lang w:val="es-CR"/>
        </w:rPr>
        <w:t>. En efecto, conforme a las declaraciones de</w:t>
      </w:r>
      <w:r>
        <w:rPr>
          <w:sz w:val="16"/>
          <w:lang w:val="es-CR"/>
        </w:rPr>
        <w:t xml:space="preserve"> Helsinki de la Asociación Médica Mundial.</w:t>
      </w:r>
      <w:r w:rsidRPr="00B1523A">
        <w:rPr>
          <w:sz w:val="16"/>
          <w:lang w:val="es-CR"/>
        </w:rPr>
        <w:t xml:space="preserve"> </w:t>
      </w:r>
      <w:r w:rsidRPr="002175A2">
        <w:rPr>
          <w:sz w:val="16"/>
          <w:lang w:val="es-AR"/>
        </w:rPr>
        <w:t>Principios éticos para las investigaciones médicas en seres humanos (59ª Asamblea General, Seúl, Corea, octubre 2008)</w:t>
      </w:r>
      <w:r>
        <w:rPr>
          <w:sz w:val="16"/>
          <w:lang w:val="es-AR"/>
        </w:rPr>
        <w:t xml:space="preserve">, </w:t>
      </w:r>
      <w:r w:rsidRPr="002175A2">
        <w:rPr>
          <w:sz w:val="16"/>
          <w:lang w:val="es-AR"/>
        </w:rPr>
        <w:t xml:space="preserve"> Principio 25</w:t>
      </w:r>
      <w:r>
        <w:rPr>
          <w:sz w:val="16"/>
          <w:lang w:val="es-AR"/>
        </w:rPr>
        <w:t xml:space="preserve"> y de la Declaración </w:t>
      </w:r>
      <w:r w:rsidRPr="002175A2">
        <w:rPr>
          <w:sz w:val="16"/>
          <w:lang w:val="es-AR"/>
        </w:rPr>
        <w:t>de Lisboa de la Asociación Médica Mundial sobre los Derechos del Paciente Adoptada por la 34ª Asamblea Médica Mundial Lisboa, Portugal, Septiembre/Octubre 1981 y enmendada por la 47ª Asamblea General Bali, Indonesia, Septiembre 1995 y revisada su redacción en la 171ª Sesión del Consejo</w:t>
      </w:r>
      <w:r>
        <w:rPr>
          <w:sz w:val="16"/>
          <w:lang w:val="es-AR"/>
        </w:rPr>
        <w:t>, Santiago, Chile, octubre 2005,</w:t>
      </w:r>
      <w:r w:rsidRPr="002175A2">
        <w:rPr>
          <w:sz w:val="16"/>
          <w:lang w:val="es-AR"/>
        </w:rPr>
        <w:t xml:space="preserve"> Principio 3</w:t>
      </w:r>
      <w:r>
        <w:rPr>
          <w:sz w:val="16"/>
          <w:lang w:val="es-AR"/>
        </w:rPr>
        <w:t xml:space="preserve">. </w:t>
      </w:r>
      <w:r>
        <w:rPr>
          <w:sz w:val="16"/>
          <w:lang w:val="es-CR"/>
        </w:rPr>
        <w:t>S</w:t>
      </w:r>
      <w:r w:rsidRPr="002175A2">
        <w:rPr>
          <w:sz w:val="16"/>
          <w:lang w:val="es-CR"/>
        </w:rPr>
        <w:t>ólo</w:t>
      </w:r>
      <w:r w:rsidRPr="00B1523A">
        <w:rPr>
          <w:sz w:val="16"/>
          <w:lang w:val="es-CR"/>
        </w:rPr>
        <w:t xml:space="preserve"> el paciente </w:t>
      </w:r>
      <w:r w:rsidRPr="002175A2">
        <w:rPr>
          <w:sz w:val="16"/>
          <w:lang w:val="es-CR"/>
        </w:rPr>
        <w:t>podrá</w:t>
      </w:r>
      <w:r w:rsidRPr="00B1523A">
        <w:rPr>
          <w:sz w:val="16"/>
          <w:lang w:val="es-CR"/>
        </w:rPr>
        <w:t>́ acceder a someterse a un acto médico</w:t>
      </w:r>
      <w:r>
        <w:rPr>
          <w:sz w:val="16"/>
          <w:lang w:val="es-CR"/>
        </w:rPr>
        <w:t>.</w:t>
      </w:r>
    </w:p>
  </w:footnote>
  <w:footnote w:id="257">
    <w:p w14:paraId="6B2F8277" w14:textId="4EF01AE0" w:rsidR="003C025E" w:rsidRPr="002570D1" w:rsidRDefault="003C025E" w:rsidP="002570D1">
      <w:pPr>
        <w:pStyle w:val="FootnoteText"/>
        <w:rPr>
          <w:sz w:val="16"/>
          <w:szCs w:val="16"/>
          <w:lang w:val="es-CR"/>
        </w:rPr>
      </w:pPr>
      <w:r w:rsidRPr="002175A2">
        <w:rPr>
          <w:rStyle w:val="FootnoteReference"/>
          <w:sz w:val="16"/>
          <w:szCs w:val="16"/>
        </w:rPr>
        <w:footnoteRef/>
      </w:r>
      <w:r w:rsidRPr="002175A2">
        <w:rPr>
          <w:sz w:val="16"/>
          <w:szCs w:val="16"/>
          <w:lang w:val="es-CR"/>
        </w:rPr>
        <w:t xml:space="preserve"> </w:t>
      </w:r>
      <w:r>
        <w:rPr>
          <w:sz w:val="16"/>
          <w:szCs w:val="16"/>
          <w:lang w:val="es-CR"/>
        </w:rPr>
        <w:t xml:space="preserve">  </w:t>
      </w:r>
      <w:r w:rsidRPr="002175A2">
        <w:rPr>
          <w:i/>
          <w:sz w:val="16"/>
          <w:szCs w:val="16"/>
          <w:lang w:val="es-CR"/>
        </w:rPr>
        <w:t xml:space="preserve">Cfr. </w:t>
      </w:r>
      <w:r w:rsidRPr="002175A2">
        <w:rPr>
          <w:rStyle w:val="Strong"/>
          <w:b w:val="0"/>
          <w:i/>
          <w:color w:val="000000"/>
          <w:sz w:val="16"/>
          <w:szCs w:val="16"/>
          <w:shd w:val="clear" w:color="auto" w:fill="FFFFFF"/>
          <w:lang w:val="es-CR"/>
        </w:rPr>
        <w:t>Caso</w:t>
      </w:r>
      <w:r w:rsidRPr="00826773">
        <w:rPr>
          <w:rStyle w:val="Strong"/>
          <w:i/>
          <w:color w:val="000000"/>
          <w:sz w:val="16"/>
          <w:szCs w:val="16"/>
          <w:shd w:val="clear" w:color="auto" w:fill="FFFFFF"/>
          <w:lang w:val="es-CR"/>
        </w:rPr>
        <w:t xml:space="preserve"> </w:t>
      </w:r>
      <w:r w:rsidRPr="002175A2">
        <w:rPr>
          <w:rStyle w:val="Strong"/>
          <w:b w:val="0"/>
          <w:i/>
          <w:color w:val="000000"/>
          <w:sz w:val="16"/>
          <w:szCs w:val="16"/>
          <w:shd w:val="clear" w:color="auto" w:fill="FFFFFF"/>
          <w:lang w:val="es-CR"/>
        </w:rPr>
        <w:t>I.V</w:t>
      </w:r>
      <w:r w:rsidRPr="00B92B58">
        <w:rPr>
          <w:rStyle w:val="Strong"/>
          <w:b w:val="0"/>
          <w:i/>
          <w:color w:val="000000"/>
          <w:sz w:val="16"/>
          <w:szCs w:val="16"/>
          <w:shd w:val="clear" w:color="auto" w:fill="FFFFFF"/>
          <w:lang w:val="es-CR"/>
        </w:rPr>
        <w:t xml:space="preserve">. Vs. Bolivia, </w:t>
      </w:r>
      <w:r w:rsidRPr="00062586">
        <w:rPr>
          <w:rStyle w:val="Strong"/>
          <w:b w:val="0"/>
          <w:i/>
          <w:color w:val="000000"/>
          <w:sz w:val="16"/>
          <w:szCs w:val="16"/>
          <w:shd w:val="clear" w:color="auto" w:fill="FFFFFF"/>
          <w:lang w:val="es-CR"/>
        </w:rPr>
        <w:t>supra</w:t>
      </w:r>
      <w:r w:rsidRPr="00B92B58">
        <w:rPr>
          <w:rStyle w:val="Strong"/>
          <w:b w:val="0"/>
          <w:i/>
          <w:color w:val="000000"/>
          <w:sz w:val="16"/>
          <w:szCs w:val="16"/>
          <w:shd w:val="clear" w:color="auto" w:fill="FFFFFF"/>
          <w:lang w:val="es-CR"/>
        </w:rPr>
        <w:t xml:space="preserve">, </w:t>
      </w:r>
      <w:r w:rsidRPr="00B92B58">
        <w:rPr>
          <w:rStyle w:val="Strong"/>
          <w:b w:val="0"/>
          <w:color w:val="000000"/>
          <w:sz w:val="16"/>
          <w:szCs w:val="16"/>
          <w:shd w:val="clear" w:color="auto" w:fill="FFFFFF"/>
          <w:lang w:val="es-CR"/>
        </w:rPr>
        <w:t>párr. 189.</w:t>
      </w:r>
    </w:p>
  </w:footnote>
  <w:footnote w:id="258">
    <w:p w14:paraId="6207BDD4" w14:textId="347AB8E3" w:rsidR="003C025E" w:rsidRPr="00B1523A" w:rsidRDefault="003C025E">
      <w:pPr>
        <w:pStyle w:val="FootnoteText"/>
        <w:rPr>
          <w:sz w:val="16"/>
        </w:rPr>
      </w:pPr>
      <w:r w:rsidRPr="00B1523A">
        <w:rPr>
          <w:rStyle w:val="FootnoteReference"/>
          <w:sz w:val="16"/>
          <w:szCs w:val="16"/>
        </w:rPr>
        <w:footnoteRef/>
      </w:r>
      <w:r>
        <w:t xml:space="preserve">  </w:t>
      </w:r>
      <w:r w:rsidRPr="00B1523A">
        <w:rPr>
          <w:i/>
          <w:sz w:val="16"/>
        </w:rPr>
        <w:t>Cfr</w:t>
      </w:r>
      <w:r>
        <w:rPr>
          <w:i/>
        </w:rPr>
        <w:t xml:space="preserve">. </w:t>
      </w:r>
      <w:r>
        <w:rPr>
          <w:sz w:val="16"/>
        </w:rPr>
        <w:t xml:space="preserve">Declaración rendida ante fedatario público por </w:t>
      </w:r>
      <w:proofErr w:type="spellStart"/>
      <w:r>
        <w:rPr>
          <w:sz w:val="16"/>
        </w:rPr>
        <w:t>Cesia</w:t>
      </w:r>
      <w:proofErr w:type="spellEnd"/>
      <w:r>
        <w:rPr>
          <w:sz w:val="16"/>
        </w:rPr>
        <w:t xml:space="preserve"> Leila Siria Poblete Tapia el 6 de octubre de 2017 (expediente de prueba, f. 4465); Declaración rendida ante fedatario público por Alejandra Marcela Fuentes Poblete el 6 de octubre de 2017 (expediente de prueba, f. 4472);  Declaración del señor Vinicio Marco Antonio Poblete Tapia ante la Corte en la audiencia pública el 19 de octubre de 2017, supra, págs. 5, 6. 8 y 14).</w:t>
      </w:r>
    </w:p>
  </w:footnote>
  <w:footnote w:id="259">
    <w:p w14:paraId="25FA551D" w14:textId="4E809E8A" w:rsidR="003C025E" w:rsidRPr="00F569D7" w:rsidRDefault="003C025E" w:rsidP="00E03C26">
      <w:pPr>
        <w:rPr>
          <w:rFonts w:ascii="Calibri" w:eastAsia="Calibri" w:hAnsi="Calibri"/>
          <w:b/>
        </w:rPr>
      </w:pPr>
      <w:r w:rsidRPr="00B1523A">
        <w:rPr>
          <w:rStyle w:val="FootnoteReference"/>
          <w:sz w:val="16"/>
          <w:szCs w:val="16"/>
          <w:lang w:val="es-ES_tradnl" w:eastAsia="x-none"/>
        </w:rPr>
        <w:footnoteRef/>
      </w:r>
      <w:r w:rsidRPr="00F569D7">
        <w:t xml:space="preserve"> </w:t>
      </w:r>
      <w:r>
        <w:t xml:space="preserve">  </w:t>
      </w:r>
      <w:r w:rsidRPr="00B1523A">
        <w:rPr>
          <w:rFonts w:eastAsia="Calibri"/>
          <w:sz w:val="16"/>
          <w:szCs w:val="16"/>
        </w:rPr>
        <w:t>Código de Ética</w:t>
      </w:r>
      <w:r>
        <w:rPr>
          <w:rFonts w:eastAsia="Calibri"/>
          <w:sz w:val="16"/>
          <w:szCs w:val="16"/>
        </w:rPr>
        <w:t>, Colegio Médico de Chile A.G, Reimpresión 2013, Artículo 27 (Actualizado en 2013)</w:t>
      </w:r>
      <w:r w:rsidRPr="00B1523A">
        <w:rPr>
          <w:rFonts w:eastAsia="Calibri"/>
          <w:sz w:val="16"/>
          <w:szCs w:val="16"/>
        </w:rPr>
        <w:t>: "Si el paciente no estuviese en condiciones de dar su consentimiento por ser menor de edad, por estar incapacitado o por la urgencia de la situación, y no es posible obtenerlo de su familia, el medico deberá prestar los cuidados que le dicte su conciencia profesional. La opinión del menor de edad deberá ser considerada, atendiendo a su edad y grado de madurez</w:t>
      </w:r>
      <w:r>
        <w:rPr>
          <w:rFonts w:eastAsia="Calibri"/>
          <w:sz w:val="16"/>
          <w:szCs w:val="16"/>
        </w:rPr>
        <w:t>”.</w:t>
      </w:r>
      <w:r w:rsidRPr="00B1523A">
        <w:rPr>
          <w:rFonts w:eastAsia="Calibri"/>
          <w:sz w:val="16"/>
          <w:szCs w:val="16"/>
        </w:rPr>
        <w:t xml:space="preserve"> </w:t>
      </w:r>
      <w:r w:rsidRPr="00B1523A">
        <w:rPr>
          <w:rFonts w:eastAsia="Calibri" w:cs="Arial"/>
          <w:sz w:val="16"/>
          <w:szCs w:val="16"/>
        </w:rPr>
        <w:t> </w:t>
      </w:r>
      <w:r>
        <w:rPr>
          <w:rFonts w:eastAsia="Calibri" w:cs="Arial"/>
          <w:sz w:val="16"/>
          <w:szCs w:val="16"/>
        </w:rPr>
        <w:t>Artículo 28 (Actualizado en 2013):</w:t>
      </w:r>
      <w:r w:rsidRPr="00B1523A">
        <w:rPr>
          <w:rFonts w:eastAsia="Calibri"/>
          <w:sz w:val="16"/>
          <w:szCs w:val="16"/>
        </w:rPr>
        <w:t xml:space="preserve"> "El derecho del paciente a rechazar total o parcialmente una prueba diagnóstica o un tratamiento deberá ser respetado, debiendo el médico, en todo caso, informar al paciente, de manera comprensible, las consecuencias que puedan derivarse de su negativo En esta circunstancia, el facultativo no</w:t>
      </w:r>
      <w:r w:rsidRPr="00B1523A">
        <w:rPr>
          <w:rFonts w:ascii="Calibri" w:eastAsia="Calibri" w:hAnsi="Calibri"/>
        </w:rPr>
        <w:t xml:space="preserve"> </w:t>
      </w:r>
      <w:r w:rsidRPr="00B1523A">
        <w:rPr>
          <w:rFonts w:eastAsia="Calibri"/>
          <w:sz w:val="16"/>
          <w:szCs w:val="16"/>
        </w:rPr>
        <w:t xml:space="preserve">abandonará al enfermo, debiendo procurar que se le presten los cuidados generales necesarios. En casos de urgencia médica impostergable, el medico actuará en conciencia, protegiendo el derecho a la vida del paciente". </w:t>
      </w:r>
      <w:r>
        <w:rPr>
          <w:rFonts w:eastAsia="Calibri"/>
          <w:sz w:val="16"/>
          <w:szCs w:val="16"/>
        </w:rPr>
        <w:t xml:space="preserve"> Ministerio de Salud, Subsecretaría de Salud Pública, </w:t>
      </w:r>
      <w:r w:rsidRPr="00B1523A">
        <w:rPr>
          <w:rFonts w:eastAsia="Calibri"/>
          <w:bCs/>
          <w:sz w:val="16"/>
          <w:szCs w:val="16"/>
        </w:rPr>
        <w:t>Ley 20584</w:t>
      </w:r>
      <w:r>
        <w:rPr>
          <w:rFonts w:eastAsia="Calibri"/>
          <w:bCs/>
          <w:sz w:val="16"/>
          <w:szCs w:val="16"/>
        </w:rPr>
        <w:t xml:space="preserve"> de 24 de abril de 2012. </w:t>
      </w:r>
      <w:r>
        <w:rPr>
          <w:rFonts w:eastAsia="Calibri"/>
          <w:sz w:val="16"/>
          <w:szCs w:val="16"/>
        </w:rPr>
        <w:t>R</w:t>
      </w:r>
      <w:r w:rsidRPr="00B1523A">
        <w:rPr>
          <w:rFonts w:eastAsia="Calibri"/>
          <w:sz w:val="16"/>
          <w:szCs w:val="16"/>
        </w:rPr>
        <w:t>egula los derechos y deberes que las personas tienen en relación con acciones vinculadas a su atención de salud</w:t>
      </w:r>
      <w:r>
        <w:rPr>
          <w:rFonts w:eastAsia="Calibri"/>
          <w:sz w:val="16"/>
          <w:szCs w:val="16"/>
        </w:rPr>
        <w:t xml:space="preserve">. Artículo 10: </w:t>
      </w:r>
      <w:r w:rsidRPr="00B1523A">
        <w:rPr>
          <w:rFonts w:eastAsia="Calibri"/>
          <w:sz w:val="16"/>
          <w:szCs w:val="16"/>
        </w:rPr>
        <w:t>Tratándose de atenciones médicas de emergencia o urgencia, es decir, de aquellas en que la falta de intervención inmediata e impostergable implique un riesgo vital o secuela funcional grave para la persona y ella no esté en condiciones de recibir y comprender la información, ésta será proporcionada a su representante o a la persona a cuyo cuidado se encuentre, velando porque se limite a la situación descrita. Sin perjuicio de lo anterior, la persona deberá ser informada, de acuerdo con lo indicado en los incisos precedentes, cuando a juicio del médico tratante las condiciones en que se encuentre lo permitan, siempre que ello no ponga en riesgo su vida. La imposibilidad de entregar la información no podrá, en ningún caso</w:t>
      </w:r>
      <w:r>
        <w:rPr>
          <w:rFonts w:eastAsia="Calibri"/>
          <w:sz w:val="16"/>
          <w:szCs w:val="16"/>
        </w:rPr>
        <w:t xml:space="preserve"> dilatar o posponer la atención de salud de emergencia o urgencia</w:t>
      </w:r>
      <w:r w:rsidRPr="00B1523A">
        <w:rPr>
          <w:rFonts w:eastAsia="Calibri"/>
          <w:sz w:val="16"/>
          <w:szCs w:val="16"/>
        </w:rPr>
        <w:t>.</w:t>
      </w:r>
      <w:r>
        <w:rPr>
          <w:rFonts w:eastAsia="Calibri"/>
          <w:sz w:val="16"/>
          <w:szCs w:val="16"/>
        </w:rPr>
        <w:t xml:space="preserve"> Ministerio de Salud, Subsecretaría de Redes Asistenciales, </w:t>
      </w:r>
      <w:r w:rsidRPr="00B1523A">
        <w:rPr>
          <w:rFonts w:eastAsia="Calibri"/>
          <w:bCs/>
          <w:sz w:val="16"/>
          <w:szCs w:val="16"/>
        </w:rPr>
        <w:t>Decreto No 31</w:t>
      </w:r>
      <w:r>
        <w:rPr>
          <w:rFonts w:eastAsia="Calibri"/>
          <w:bCs/>
          <w:sz w:val="16"/>
          <w:szCs w:val="16"/>
        </w:rPr>
        <w:t xml:space="preserve"> de 26 de noviembre de 2012</w:t>
      </w:r>
      <w:r>
        <w:rPr>
          <w:rFonts w:eastAsia="Calibri"/>
          <w:sz w:val="16"/>
          <w:szCs w:val="16"/>
        </w:rPr>
        <w:t>.</w:t>
      </w:r>
      <w:r w:rsidRPr="00B1523A">
        <w:rPr>
          <w:rFonts w:eastAsia="Calibri"/>
          <w:sz w:val="16"/>
          <w:szCs w:val="16"/>
        </w:rPr>
        <w:t xml:space="preserve"> </w:t>
      </w:r>
      <w:r>
        <w:rPr>
          <w:rFonts w:eastAsia="Calibri"/>
          <w:sz w:val="16"/>
          <w:szCs w:val="16"/>
        </w:rPr>
        <w:t>A</w:t>
      </w:r>
      <w:r w:rsidRPr="00B1523A">
        <w:rPr>
          <w:rFonts w:eastAsia="Calibri"/>
          <w:sz w:val="16"/>
          <w:szCs w:val="16"/>
        </w:rPr>
        <w:t>prueba Reglamento sobre entrega de información y expresión de consentimiento informado en las atenciones de salud</w:t>
      </w:r>
      <w:r w:rsidRPr="00B1523A">
        <w:rPr>
          <w:rFonts w:ascii="Calibri" w:eastAsia="Calibri" w:hAnsi="Calibri"/>
        </w:rPr>
        <w:t xml:space="preserve">. </w:t>
      </w:r>
      <w:r>
        <w:rPr>
          <w:rFonts w:eastAsia="Calibri"/>
          <w:sz w:val="16"/>
          <w:szCs w:val="16"/>
        </w:rPr>
        <w:t>A</w:t>
      </w:r>
      <w:r w:rsidRPr="00B1523A">
        <w:rPr>
          <w:rFonts w:eastAsia="Calibri"/>
          <w:sz w:val="16"/>
          <w:szCs w:val="16"/>
        </w:rPr>
        <w:t>rtículo 4</w:t>
      </w:r>
      <w:r>
        <w:rPr>
          <w:rFonts w:eastAsia="Calibri"/>
          <w:sz w:val="16"/>
          <w:szCs w:val="16"/>
        </w:rPr>
        <w:t xml:space="preserve">: </w:t>
      </w:r>
      <w:proofErr w:type="gramStart"/>
      <w:r>
        <w:rPr>
          <w:rFonts w:eastAsia="Calibri"/>
          <w:sz w:val="16"/>
          <w:szCs w:val="16"/>
        </w:rPr>
        <w:t>“</w:t>
      </w:r>
      <w:r w:rsidRPr="00B1523A">
        <w:rPr>
          <w:rFonts w:eastAsia="Calibri"/>
          <w:sz w:val="16"/>
          <w:szCs w:val="16"/>
        </w:rPr>
        <w:t xml:space="preserve"> si</w:t>
      </w:r>
      <w:proofErr w:type="gramEnd"/>
      <w:r w:rsidRPr="00B1523A">
        <w:rPr>
          <w:rFonts w:eastAsia="Calibri"/>
          <w:sz w:val="16"/>
          <w:szCs w:val="16"/>
        </w:rPr>
        <w:t xml:space="preserve"> el afectado, a juicio del profesional que lo está atendiendo, no está en condiciones de recibir directamente la información sobre su estado de salud, por motivos tales como de orden emocional o si tiene dificultades para entender o presenta alteración de la conciencia, la información deberá ser entregada a su representante legal y, a falta de este, a la persona a cuyo cuidado se encuentre. Sin perjuicio de ello, una vez que recupere su capacidad de comprender, si ello ocurre, se le proporcionara esta información directamente a él. Igual procedimiento se adoptará en situaciones de urgencia o emergencia médica, es decir, cuando la falta de atención inmediata signifique riesgo vital para el afectado o una secuela funcional grave y la persona no esté en condiciones de recibir y comprender la información. En estos casos la información proporcionada se limitará a la situación de que se trata</w:t>
      </w:r>
      <w:r>
        <w:rPr>
          <w:rFonts w:eastAsia="Calibri"/>
          <w:sz w:val="16"/>
          <w:szCs w:val="16"/>
        </w:rPr>
        <w:t>”</w:t>
      </w:r>
      <w:r w:rsidRPr="00B1523A">
        <w:rPr>
          <w:rFonts w:eastAsia="Calibri"/>
          <w:sz w:val="16"/>
          <w:szCs w:val="16"/>
        </w:rPr>
        <w:t>.</w:t>
      </w:r>
    </w:p>
  </w:footnote>
  <w:footnote w:id="260">
    <w:p w14:paraId="3A74698B" w14:textId="4BDFCB0A" w:rsidR="003C025E" w:rsidRPr="00B1523A" w:rsidRDefault="003C025E">
      <w:pPr>
        <w:pStyle w:val="FootnoteText"/>
        <w:rPr>
          <w:sz w:val="16"/>
        </w:rPr>
      </w:pPr>
      <w:r w:rsidRPr="00B1523A">
        <w:rPr>
          <w:rStyle w:val="FootnoteReference"/>
          <w:sz w:val="16"/>
          <w:szCs w:val="16"/>
        </w:rPr>
        <w:footnoteRef/>
      </w:r>
      <w:r>
        <w:rPr>
          <w:sz w:val="16"/>
          <w:szCs w:val="16"/>
        </w:rPr>
        <w:t xml:space="preserve">  </w:t>
      </w:r>
      <w:r w:rsidRPr="00B1523A">
        <w:rPr>
          <w:rStyle w:val="FootnoteReference"/>
          <w:sz w:val="16"/>
          <w:szCs w:val="16"/>
        </w:rPr>
        <w:t xml:space="preserve"> </w:t>
      </w:r>
      <w:r>
        <w:rPr>
          <w:sz w:val="16"/>
        </w:rPr>
        <w:t xml:space="preserve">Contestación del Estado (expediente de fondo, </w:t>
      </w:r>
      <w:proofErr w:type="spellStart"/>
      <w:r>
        <w:rPr>
          <w:sz w:val="16"/>
        </w:rPr>
        <w:t>ff</w:t>
      </w:r>
      <w:proofErr w:type="spellEnd"/>
      <w:r>
        <w:rPr>
          <w:sz w:val="16"/>
        </w:rPr>
        <w:t>. 384 a 386).</w:t>
      </w:r>
    </w:p>
  </w:footnote>
  <w:footnote w:id="261">
    <w:p w14:paraId="18ACF283" w14:textId="478E2723" w:rsidR="003C025E" w:rsidRPr="002450E6" w:rsidRDefault="003C025E" w:rsidP="00E6413F">
      <w:pPr>
        <w:pStyle w:val="FootnoteText"/>
        <w:rPr>
          <w:sz w:val="16"/>
          <w:szCs w:val="16"/>
          <w:lang w:val="es-CR"/>
        </w:rPr>
      </w:pPr>
      <w:r w:rsidRPr="002570D1">
        <w:rPr>
          <w:rStyle w:val="FootnoteReference"/>
          <w:sz w:val="16"/>
          <w:szCs w:val="16"/>
        </w:rPr>
        <w:footnoteRef/>
      </w:r>
      <w:r w:rsidRPr="002570D1">
        <w:rPr>
          <w:sz w:val="16"/>
          <w:szCs w:val="16"/>
          <w:lang w:val="es-CR"/>
        </w:rPr>
        <w:t xml:space="preserve"> </w:t>
      </w:r>
      <w:r>
        <w:rPr>
          <w:sz w:val="16"/>
          <w:szCs w:val="16"/>
          <w:lang w:val="es-CR"/>
        </w:rPr>
        <w:t xml:space="preserve">  </w:t>
      </w:r>
      <w:r w:rsidRPr="002570D1">
        <w:rPr>
          <w:sz w:val="16"/>
          <w:szCs w:val="16"/>
          <w:lang w:val="es-CR"/>
        </w:rPr>
        <w:t xml:space="preserve">Peritaje presentado por Alicia Ely </w:t>
      </w:r>
      <w:proofErr w:type="spellStart"/>
      <w:r w:rsidRPr="002570D1">
        <w:rPr>
          <w:sz w:val="16"/>
          <w:szCs w:val="16"/>
          <w:lang w:val="es-CR"/>
        </w:rPr>
        <w:t>Yemin</w:t>
      </w:r>
      <w:proofErr w:type="spellEnd"/>
      <w:r w:rsidRPr="002570D1">
        <w:rPr>
          <w:sz w:val="16"/>
          <w:szCs w:val="16"/>
          <w:lang w:val="es-CR"/>
        </w:rPr>
        <w:t xml:space="preserve"> </w:t>
      </w:r>
      <w:r>
        <w:rPr>
          <w:sz w:val="16"/>
          <w:szCs w:val="16"/>
          <w:lang w:val="es-CR"/>
        </w:rPr>
        <w:t xml:space="preserve">(expediente de prueba, </w:t>
      </w:r>
      <w:r w:rsidRPr="002570D1">
        <w:rPr>
          <w:sz w:val="16"/>
          <w:szCs w:val="16"/>
          <w:lang w:val="es-CR"/>
        </w:rPr>
        <w:t>f. 761</w:t>
      </w:r>
      <w:r>
        <w:rPr>
          <w:sz w:val="16"/>
          <w:szCs w:val="16"/>
          <w:lang w:val="es-CR"/>
        </w:rPr>
        <w:t>).</w:t>
      </w:r>
      <w:r w:rsidRPr="002570D1">
        <w:rPr>
          <w:sz w:val="16"/>
          <w:szCs w:val="16"/>
          <w:lang w:val="es-CR"/>
        </w:rPr>
        <w:t xml:space="preserve"> </w:t>
      </w:r>
      <w:r w:rsidRPr="002450E6">
        <w:rPr>
          <w:sz w:val="16"/>
          <w:szCs w:val="16"/>
          <w:lang w:val="es-CR"/>
        </w:rPr>
        <w:t xml:space="preserve">El </w:t>
      </w:r>
      <w:r>
        <w:rPr>
          <w:sz w:val="16"/>
          <w:szCs w:val="16"/>
          <w:lang w:val="es-CR"/>
        </w:rPr>
        <w:t>TEDH</w:t>
      </w:r>
      <w:r w:rsidRPr="002450E6">
        <w:rPr>
          <w:sz w:val="16"/>
          <w:szCs w:val="16"/>
          <w:lang w:val="es-CR"/>
        </w:rPr>
        <w:t xml:space="preserve"> ha determinado que de la violación al</w:t>
      </w:r>
      <w:r>
        <w:rPr>
          <w:sz w:val="16"/>
          <w:szCs w:val="16"/>
          <w:lang w:val="es-CR"/>
        </w:rPr>
        <w:t xml:space="preserve"> derecho a prestar consentimiento de</w:t>
      </w:r>
      <w:r w:rsidRPr="002450E6">
        <w:rPr>
          <w:sz w:val="16"/>
          <w:szCs w:val="16"/>
          <w:lang w:val="es-CR"/>
        </w:rPr>
        <w:t xml:space="preserve"> los familiares</w:t>
      </w:r>
      <w:r>
        <w:rPr>
          <w:sz w:val="16"/>
          <w:szCs w:val="16"/>
          <w:lang w:val="es-CR"/>
        </w:rPr>
        <w:t xml:space="preserve">, </w:t>
      </w:r>
      <w:r w:rsidRPr="002450E6">
        <w:rPr>
          <w:sz w:val="16"/>
          <w:szCs w:val="16"/>
          <w:lang w:val="es-CR"/>
        </w:rPr>
        <w:t xml:space="preserve">pueden ver afectados sus derechos derivados de la omisión de brindar información clara y precisa sobre el procedimiento por aplicar al paciente. TEDH, </w:t>
      </w:r>
      <w:r w:rsidRPr="00B1523A">
        <w:rPr>
          <w:i/>
          <w:sz w:val="16"/>
          <w:szCs w:val="16"/>
          <w:lang w:val="es-CR"/>
        </w:rPr>
        <w:t xml:space="preserve">Caso </w:t>
      </w:r>
      <w:proofErr w:type="spellStart"/>
      <w:r w:rsidRPr="00B1523A">
        <w:rPr>
          <w:i/>
          <w:sz w:val="16"/>
          <w:szCs w:val="16"/>
          <w:lang w:val="es-CR"/>
        </w:rPr>
        <w:t>Petrova</w:t>
      </w:r>
      <w:proofErr w:type="spellEnd"/>
      <w:r w:rsidRPr="00B1523A">
        <w:rPr>
          <w:i/>
          <w:sz w:val="16"/>
          <w:szCs w:val="16"/>
          <w:lang w:val="es-CR"/>
        </w:rPr>
        <w:t xml:space="preserve"> Vs. </w:t>
      </w:r>
      <w:proofErr w:type="spellStart"/>
      <w:r w:rsidRPr="00B1523A">
        <w:rPr>
          <w:i/>
          <w:sz w:val="16"/>
          <w:szCs w:val="16"/>
          <w:lang w:val="es-CR"/>
        </w:rPr>
        <w:t>Latvia</w:t>
      </w:r>
      <w:proofErr w:type="spellEnd"/>
      <w:r w:rsidRPr="002570D1">
        <w:rPr>
          <w:sz w:val="16"/>
          <w:szCs w:val="16"/>
          <w:lang w:val="es-CR"/>
        </w:rPr>
        <w:t xml:space="preserve">, No. 4605/05. Sentencia de 24 de junio de 2014, párr. 87. TEDH, </w:t>
      </w:r>
      <w:r w:rsidRPr="00B1523A">
        <w:rPr>
          <w:i/>
          <w:sz w:val="16"/>
          <w:szCs w:val="16"/>
          <w:lang w:val="es-CR"/>
        </w:rPr>
        <w:t xml:space="preserve">Caso </w:t>
      </w:r>
      <w:proofErr w:type="spellStart"/>
      <w:r w:rsidRPr="00B1523A">
        <w:rPr>
          <w:i/>
          <w:sz w:val="16"/>
          <w:szCs w:val="16"/>
          <w:lang w:val="es-CR"/>
        </w:rPr>
        <w:t>Glass</w:t>
      </w:r>
      <w:proofErr w:type="spellEnd"/>
      <w:r w:rsidRPr="00B1523A">
        <w:rPr>
          <w:i/>
          <w:sz w:val="16"/>
          <w:szCs w:val="16"/>
          <w:lang w:val="es-CR"/>
        </w:rPr>
        <w:t xml:space="preserve"> Vs. </w:t>
      </w:r>
      <w:proofErr w:type="spellStart"/>
      <w:r w:rsidRPr="00B1523A">
        <w:rPr>
          <w:i/>
          <w:sz w:val="16"/>
          <w:szCs w:val="16"/>
          <w:lang w:val="es-CR"/>
        </w:rPr>
        <w:t>United</w:t>
      </w:r>
      <w:proofErr w:type="spellEnd"/>
      <w:r w:rsidRPr="00B1523A">
        <w:rPr>
          <w:i/>
          <w:sz w:val="16"/>
          <w:szCs w:val="16"/>
          <w:lang w:val="es-CR"/>
        </w:rPr>
        <w:t xml:space="preserve"> </w:t>
      </w:r>
      <w:proofErr w:type="spellStart"/>
      <w:r w:rsidRPr="00B1523A">
        <w:rPr>
          <w:i/>
          <w:sz w:val="16"/>
          <w:szCs w:val="16"/>
          <w:lang w:val="es-CR"/>
        </w:rPr>
        <w:t>Kingdom</w:t>
      </w:r>
      <w:proofErr w:type="spellEnd"/>
      <w:r w:rsidRPr="002570D1">
        <w:rPr>
          <w:sz w:val="16"/>
          <w:szCs w:val="16"/>
          <w:lang w:val="es-CR"/>
        </w:rPr>
        <w:t xml:space="preserve">, No. 61827/09. Sentencia de 9 de marzo de 2004, párr. 72. </w:t>
      </w:r>
    </w:p>
  </w:footnote>
  <w:footnote w:id="262">
    <w:p w14:paraId="3DE058FE" w14:textId="4CC2F160" w:rsidR="003C025E" w:rsidRPr="002570D1" w:rsidRDefault="003C025E" w:rsidP="00E6413F">
      <w:pPr>
        <w:pStyle w:val="FootnoteText"/>
        <w:rPr>
          <w:sz w:val="16"/>
          <w:szCs w:val="16"/>
          <w:lang w:val="es-CR"/>
        </w:rPr>
      </w:pPr>
      <w:r w:rsidRPr="002570D1">
        <w:rPr>
          <w:rStyle w:val="FootnoteReference"/>
          <w:sz w:val="16"/>
          <w:szCs w:val="16"/>
        </w:rPr>
        <w:footnoteRef/>
      </w:r>
      <w:r w:rsidRPr="002570D1">
        <w:rPr>
          <w:sz w:val="16"/>
          <w:szCs w:val="16"/>
          <w:lang w:val="es-CR"/>
        </w:rPr>
        <w:t xml:space="preserve"> </w:t>
      </w:r>
      <w:r w:rsidRPr="005415CD">
        <w:rPr>
          <w:sz w:val="16"/>
          <w:szCs w:val="16"/>
          <w:lang w:val="es-CR"/>
        </w:rPr>
        <w:t>Convenio para la Protección de los Derechos Humanos y la Dignidad del Ser Humano con respecto a las aplicaciones de la Biología y la Medicina, artículo 6 (4), disponible</w:t>
      </w:r>
      <w:r w:rsidRPr="005415CD">
        <w:rPr>
          <w:sz w:val="16"/>
          <w:szCs w:val="16"/>
        </w:rPr>
        <w:t xml:space="preserve"> en</w:t>
      </w:r>
      <w:r w:rsidRPr="002570D1">
        <w:rPr>
          <w:sz w:val="16"/>
          <w:szCs w:val="16"/>
        </w:rPr>
        <w:t xml:space="preserve">: </w:t>
      </w:r>
      <w:hyperlink r:id="rId7" w:history="1">
        <w:r w:rsidRPr="002570D1">
          <w:rPr>
            <w:rStyle w:val="Hyperlink"/>
            <w:sz w:val="16"/>
            <w:szCs w:val="16"/>
          </w:rPr>
          <w:t>https://www.coe.int/en/web/conventions/full-list/-/conventions/treaty/164</w:t>
        </w:r>
      </w:hyperlink>
      <w:r w:rsidRPr="002570D1">
        <w:rPr>
          <w:sz w:val="16"/>
          <w:szCs w:val="16"/>
        </w:rPr>
        <w:t xml:space="preserve">, </w:t>
      </w:r>
      <w:proofErr w:type="spellStart"/>
      <w:r w:rsidRPr="002570D1">
        <w:rPr>
          <w:sz w:val="16"/>
          <w:szCs w:val="16"/>
        </w:rPr>
        <w:t>Declaration</w:t>
      </w:r>
      <w:proofErr w:type="spellEnd"/>
      <w:r w:rsidRPr="002570D1">
        <w:rPr>
          <w:sz w:val="16"/>
          <w:szCs w:val="16"/>
        </w:rPr>
        <w:t xml:space="preserve"> </w:t>
      </w:r>
      <w:proofErr w:type="spellStart"/>
      <w:r w:rsidRPr="002570D1">
        <w:rPr>
          <w:sz w:val="16"/>
          <w:szCs w:val="16"/>
        </w:rPr>
        <w:t>on</w:t>
      </w:r>
      <w:proofErr w:type="spellEnd"/>
      <w:r w:rsidRPr="002570D1">
        <w:rPr>
          <w:sz w:val="16"/>
          <w:szCs w:val="16"/>
        </w:rPr>
        <w:t xml:space="preserve"> </w:t>
      </w:r>
      <w:proofErr w:type="spellStart"/>
      <w:r w:rsidRPr="002570D1">
        <w:rPr>
          <w:sz w:val="16"/>
          <w:szCs w:val="16"/>
        </w:rPr>
        <w:t>the</w:t>
      </w:r>
      <w:proofErr w:type="spellEnd"/>
      <w:r w:rsidRPr="002570D1">
        <w:rPr>
          <w:sz w:val="16"/>
          <w:szCs w:val="16"/>
        </w:rPr>
        <w:t xml:space="preserve"> </w:t>
      </w:r>
      <w:proofErr w:type="spellStart"/>
      <w:r w:rsidRPr="002570D1">
        <w:rPr>
          <w:sz w:val="16"/>
          <w:szCs w:val="16"/>
        </w:rPr>
        <w:t>promotion</w:t>
      </w:r>
      <w:proofErr w:type="spellEnd"/>
      <w:r w:rsidRPr="002570D1">
        <w:rPr>
          <w:sz w:val="16"/>
          <w:szCs w:val="16"/>
        </w:rPr>
        <w:t xml:space="preserve"> of </w:t>
      </w:r>
      <w:proofErr w:type="spellStart"/>
      <w:r w:rsidRPr="002570D1">
        <w:rPr>
          <w:sz w:val="16"/>
          <w:szCs w:val="16"/>
        </w:rPr>
        <w:t>patient´s</w:t>
      </w:r>
      <w:proofErr w:type="spellEnd"/>
      <w:r w:rsidRPr="002570D1">
        <w:rPr>
          <w:sz w:val="16"/>
          <w:szCs w:val="16"/>
        </w:rPr>
        <w:t xml:space="preserve"> </w:t>
      </w:r>
      <w:proofErr w:type="spellStart"/>
      <w:r w:rsidRPr="002570D1">
        <w:rPr>
          <w:sz w:val="16"/>
          <w:szCs w:val="16"/>
        </w:rPr>
        <w:t>rights</w:t>
      </w:r>
      <w:proofErr w:type="spellEnd"/>
      <w:r w:rsidRPr="002570D1">
        <w:rPr>
          <w:sz w:val="16"/>
          <w:szCs w:val="16"/>
        </w:rPr>
        <w:t xml:space="preserve"> in </w:t>
      </w:r>
      <w:proofErr w:type="spellStart"/>
      <w:r w:rsidRPr="002570D1">
        <w:rPr>
          <w:sz w:val="16"/>
          <w:szCs w:val="16"/>
        </w:rPr>
        <w:t>Europe</w:t>
      </w:r>
      <w:proofErr w:type="spellEnd"/>
      <w:r w:rsidRPr="002570D1">
        <w:rPr>
          <w:sz w:val="16"/>
          <w:szCs w:val="16"/>
        </w:rPr>
        <w:t xml:space="preserve">, WHO Regional Office </w:t>
      </w:r>
      <w:proofErr w:type="spellStart"/>
      <w:r w:rsidRPr="002570D1">
        <w:rPr>
          <w:sz w:val="16"/>
          <w:szCs w:val="16"/>
        </w:rPr>
        <w:t>for</w:t>
      </w:r>
      <w:proofErr w:type="spellEnd"/>
      <w:r w:rsidRPr="002570D1">
        <w:rPr>
          <w:sz w:val="16"/>
          <w:szCs w:val="16"/>
        </w:rPr>
        <w:t xml:space="preserve"> </w:t>
      </w:r>
      <w:proofErr w:type="spellStart"/>
      <w:r w:rsidRPr="002570D1">
        <w:rPr>
          <w:sz w:val="16"/>
          <w:szCs w:val="16"/>
        </w:rPr>
        <w:t>Europe</w:t>
      </w:r>
      <w:proofErr w:type="spellEnd"/>
      <w:r w:rsidRPr="002570D1">
        <w:rPr>
          <w:sz w:val="16"/>
          <w:szCs w:val="16"/>
        </w:rPr>
        <w:t xml:space="preserve">, 1994,  3.4 y </w:t>
      </w:r>
      <w:r w:rsidRPr="002570D1">
        <w:rPr>
          <w:sz w:val="16"/>
          <w:szCs w:val="16"/>
          <w:lang w:val="es-AR"/>
        </w:rPr>
        <w:t xml:space="preserve">ONU, Informe del Relator Especial sobre el derecho de toda persona al disfrute del más alto nivel posible de salud física y mental, </w:t>
      </w:r>
      <w:proofErr w:type="spellStart"/>
      <w:r w:rsidRPr="002570D1">
        <w:rPr>
          <w:sz w:val="16"/>
          <w:szCs w:val="16"/>
          <w:lang w:val="es-AR"/>
        </w:rPr>
        <w:t>Anand</w:t>
      </w:r>
      <w:proofErr w:type="spellEnd"/>
      <w:r w:rsidRPr="002570D1">
        <w:rPr>
          <w:sz w:val="16"/>
          <w:szCs w:val="16"/>
          <w:lang w:val="es-AR"/>
        </w:rPr>
        <w:t xml:space="preserve"> </w:t>
      </w:r>
      <w:proofErr w:type="spellStart"/>
      <w:r w:rsidRPr="002570D1">
        <w:rPr>
          <w:sz w:val="16"/>
          <w:szCs w:val="16"/>
          <w:lang w:val="es-AR"/>
        </w:rPr>
        <w:t>Grover</w:t>
      </w:r>
      <w:proofErr w:type="spellEnd"/>
      <w:r w:rsidRPr="002570D1">
        <w:rPr>
          <w:sz w:val="16"/>
          <w:szCs w:val="16"/>
          <w:lang w:val="es-AR"/>
        </w:rPr>
        <w:t xml:space="preserve">, presentado de conformidad con la resolución 6/29 del Consejo de Derechos Humanos, A/64/272 de 10 de agosto de 2009, resumen. Disponible en: </w:t>
      </w:r>
      <w:hyperlink r:id="rId8" w:history="1">
        <w:r w:rsidRPr="002570D1">
          <w:rPr>
            <w:rStyle w:val="Hyperlink"/>
            <w:sz w:val="16"/>
            <w:szCs w:val="16"/>
            <w:lang w:val="es-AR"/>
          </w:rPr>
          <w:t>https://documents-dds-ny.un.org/doc/UNDOC/GEN/N09/450/90/PDF/N0945090.pdf?OpenElement</w:t>
        </w:r>
      </w:hyperlink>
      <w:r w:rsidRPr="002570D1">
        <w:rPr>
          <w:sz w:val="16"/>
          <w:szCs w:val="16"/>
          <w:lang w:val="es-AR"/>
        </w:rPr>
        <w:t xml:space="preserve">. </w:t>
      </w:r>
    </w:p>
  </w:footnote>
  <w:footnote w:id="263">
    <w:p w14:paraId="674FBC64" w14:textId="557C2D5A" w:rsidR="003C025E" w:rsidRPr="002450E6" w:rsidRDefault="003C025E" w:rsidP="00E6413F">
      <w:pPr>
        <w:pStyle w:val="FootnoteText"/>
        <w:rPr>
          <w:sz w:val="16"/>
          <w:szCs w:val="16"/>
          <w:lang w:val="es-CR"/>
        </w:rPr>
      </w:pPr>
      <w:r w:rsidRPr="002570D1">
        <w:rPr>
          <w:rStyle w:val="FootnoteReference"/>
          <w:sz w:val="16"/>
          <w:szCs w:val="16"/>
        </w:rPr>
        <w:footnoteRef/>
      </w:r>
      <w:r w:rsidRPr="006B458C">
        <w:rPr>
          <w:sz w:val="16"/>
          <w:szCs w:val="16"/>
          <w:lang w:val="es-CR"/>
        </w:rPr>
        <w:t xml:space="preserve"> </w:t>
      </w:r>
      <w:r>
        <w:rPr>
          <w:sz w:val="16"/>
          <w:szCs w:val="16"/>
          <w:lang w:val="es-CR"/>
        </w:rPr>
        <w:t xml:space="preserve">  </w:t>
      </w:r>
      <w:r w:rsidRPr="006B458C">
        <w:rPr>
          <w:i/>
          <w:sz w:val="16"/>
          <w:szCs w:val="16"/>
          <w:lang w:val="es-CR"/>
        </w:rPr>
        <w:t>Cfr.</w:t>
      </w:r>
      <w:r w:rsidRPr="006B458C">
        <w:rPr>
          <w:sz w:val="16"/>
          <w:szCs w:val="16"/>
          <w:lang w:val="es-CR"/>
        </w:rPr>
        <w:t xml:space="preserve"> </w:t>
      </w:r>
      <w:r w:rsidRPr="006B458C">
        <w:rPr>
          <w:rStyle w:val="Strong"/>
          <w:b w:val="0"/>
          <w:i/>
          <w:color w:val="000000"/>
          <w:sz w:val="16"/>
          <w:szCs w:val="16"/>
          <w:shd w:val="clear" w:color="auto" w:fill="FFFFFF"/>
          <w:lang w:val="es-CR"/>
        </w:rPr>
        <w:t xml:space="preserve">Caso I.V. Vs. Bolivia, supra, </w:t>
      </w:r>
      <w:r w:rsidRPr="006B458C">
        <w:rPr>
          <w:rStyle w:val="Strong"/>
          <w:b w:val="0"/>
          <w:color w:val="000000"/>
          <w:sz w:val="16"/>
          <w:szCs w:val="16"/>
          <w:shd w:val="clear" w:color="auto" w:fill="FFFFFF"/>
          <w:lang w:val="es-CR"/>
        </w:rPr>
        <w:t>párr. 177</w:t>
      </w:r>
      <w:r>
        <w:rPr>
          <w:sz w:val="16"/>
          <w:szCs w:val="16"/>
          <w:lang w:val="es-CR"/>
        </w:rPr>
        <w:t>.</w:t>
      </w:r>
    </w:p>
  </w:footnote>
  <w:footnote w:id="264">
    <w:p w14:paraId="072F43D7" w14:textId="46B6E97E" w:rsidR="003C025E" w:rsidRPr="007E5CD5" w:rsidRDefault="003C025E" w:rsidP="00AA65C5">
      <w:pPr>
        <w:pStyle w:val="FootnoteText"/>
        <w:rPr>
          <w:sz w:val="16"/>
        </w:rPr>
      </w:pPr>
      <w:r w:rsidRPr="00E4433C">
        <w:rPr>
          <w:rStyle w:val="FootnoteReference"/>
          <w:rFonts w:eastAsia="MS ????"/>
          <w:sz w:val="16"/>
        </w:rPr>
        <w:footnoteRef/>
      </w:r>
      <w:r>
        <w:rPr>
          <w:sz w:val="16"/>
        </w:rPr>
        <w:t xml:space="preserve">  </w:t>
      </w:r>
      <w:r w:rsidRPr="00E4433C">
        <w:rPr>
          <w:sz w:val="16"/>
        </w:rPr>
        <w:t xml:space="preserve"> </w:t>
      </w:r>
      <w:r>
        <w:rPr>
          <w:sz w:val="16"/>
        </w:rPr>
        <w:t xml:space="preserve">Declaración del perito Dr. Javier Alejandro Santos, especialista en geriatría y gerontología, en Audiencia del Caso Poblete Vilches Vs. Chile, en fecha 19 de octubre de 2017, en la ciudad de Panamá, Panamá, pág. 53. De </w:t>
      </w:r>
      <w:r w:rsidRPr="00AA65C5">
        <w:rPr>
          <w:sz w:val="16"/>
        </w:rPr>
        <w:t xml:space="preserve">conformidad con el peritaje del Dr. Santos, se trataba de una intervención necesaria que se debía realizar. </w:t>
      </w:r>
      <w:r>
        <w:rPr>
          <w:sz w:val="16"/>
        </w:rPr>
        <w:t xml:space="preserve"> “</w:t>
      </w:r>
      <w:r w:rsidRPr="007E5CD5">
        <w:rPr>
          <w:sz w:val="16"/>
        </w:rPr>
        <w:t xml:space="preserve">Evidentemente urgente no fue porque se realiza a las 48 horas, o sea, que el paciente no urgió, sí, la necesidad de esa práctica quirúrgica”. </w:t>
      </w:r>
      <w:r>
        <w:rPr>
          <w:sz w:val="16"/>
        </w:rPr>
        <w:t xml:space="preserve"> […] “</w:t>
      </w:r>
      <w:r w:rsidRPr="007E5CD5">
        <w:rPr>
          <w:sz w:val="16"/>
        </w:rPr>
        <w:t>Sí, como rutina, como control de rutina en un paciente que ingresa por un edema en el pulmón, coronario, es algo que se debe hacer</w:t>
      </w:r>
      <w:r>
        <w:rPr>
          <w:sz w:val="16"/>
        </w:rPr>
        <w:t>”</w:t>
      </w:r>
      <w:r w:rsidRPr="007E5CD5">
        <w:rPr>
          <w:sz w:val="16"/>
        </w:rPr>
        <w:t>.</w:t>
      </w:r>
    </w:p>
  </w:footnote>
  <w:footnote w:id="265">
    <w:p w14:paraId="2A16FDB2" w14:textId="3F2722D1" w:rsidR="003C025E" w:rsidRPr="00B92B58" w:rsidRDefault="003C025E" w:rsidP="00762119">
      <w:pPr>
        <w:pStyle w:val="FootnoteText"/>
        <w:rPr>
          <w:sz w:val="16"/>
          <w:szCs w:val="16"/>
          <w:lang w:val="es-CR"/>
        </w:rPr>
      </w:pPr>
      <w:r w:rsidRPr="00B92B58">
        <w:rPr>
          <w:rStyle w:val="FootnoteReference"/>
          <w:sz w:val="16"/>
          <w:szCs w:val="16"/>
        </w:rPr>
        <w:footnoteRef/>
      </w:r>
      <w:r w:rsidRPr="00B92B58">
        <w:rPr>
          <w:sz w:val="16"/>
          <w:szCs w:val="16"/>
          <w:lang w:val="es-CR"/>
        </w:rPr>
        <w:t xml:space="preserve"> </w:t>
      </w:r>
      <w:r>
        <w:rPr>
          <w:sz w:val="16"/>
          <w:szCs w:val="16"/>
          <w:lang w:val="es-CR"/>
        </w:rPr>
        <w:t xml:space="preserve">   </w:t>
      </w:r>
      <w:r w:rsidRPr="00062586">
        <w:rPr>
          <w:i/>
          <w:sz w:val="16"/>
          <w:szCs w:val="16"/>
          <w:lang w:val="es-CR"/>
        </w:rPr>
        <w:t>Cfr.</w:t>
      </w:r>
      <w:r w:rsidRPr="00B92B58">
        <w:rPr>
          <w:i/>
          <w:sz w:val="16"/>
          <w:szCs w:val="16"/>
          <w:lang w:val="es-CR"/>
        </w:rPr>
        <w:t xml:space="preserve"> </w:t>
      </w:r>
      <w:r w:rsidRPr="00B92B58">
        <w:rPr>
          <w:bCs/>
          <w:i/>
          <w:color w:val="000000"/>
          <w:sz w:val="16"/>
          <w:szCs w:val="16"/>
          <w:lang w:val="es-CR"/>
        </w:rPr>
        <w:t xml:space="preserve">Caso </w:t>
      </w:r>
      <w:proofErr w:type="spellStart"/>
      <w:r w:rsidRPr="00B92B58">
        <w:rPr>
          <w:bCs/>
          <w:i/>
          <w:color w:val="000000"/>
          <w:sz w:val="16"/>
          <w:szCs w:val="16"/>
          <w:lang w:val="es-CR"/>
        </w:rPr>
        <w:t>Atala</w:t>
      </w:r>
      <w:proofErr w:type="spellEnd"/>
      <w:r w:rsidRPr="00B92B58">
        <w:rPr>
          <w:bCs/>
          <w:i/>
          <w:color w:val="000000"/>
          <w:sz w:val="16"/>
          <w:szCs w:val="16"/>
          <w:lang w:val="es-CR"/>
        </w:rPr>
        <w:t xml:space="preserve"> </w:t>
      </w:r>
      <w:proofErr w:type="spellStart"/>
      <w:r w:rsidRPr="00B92B58">
        <w:rPr>
          <w:bCs/>
          <w:i/>
          <w:color w:val="000000"/>
          <w:sz w:val="16"/>
          <w:szCs w:val="16"/>
          <w:lang w:val="es-CR"/>
        </w:rPr>
        <w:t>Riffo</w:t>
      </w:r>
      <w:proofErr w:type="spellEnd"/>
      <w:r w:rsidRPr="00B92B58">
        <w:rPr>
          <w:bCs/>
          <w:i/>
          <w:color w:val="000000"/>
          <w:sz w:val="16"/>
          <w:szCs w:val="16"/>
          <w:lang w:val="es-CR"/>
        </w:rPr>
        <w:t xml:space="preserve"> y Niñas Vs. Chile</w:t>
      </w:r>
      <w:r>
        <w:rPr>
          <w:bCs/>
          <w:i/>
          <w:color w:val="000000"/>
          <w:sz w:val="16"/>
          <w:szCs w:val="16"/>
          <w:lang w:val="es-CR"/>
        </w:rPr>
        <w:t xml:space="preserve">, </w:t>
      </w:r>
      <w:r w:rsidRPr="00062586">
        <w:rPr>
          <w:rStyle w:val="Strong"/>
          <w:b w:val="0"/>
          <w:i/>
          <w:color w:val="000000"/>
          <w:sz w:val="16"/>
          <w:szCs w:val="16"/>
          <w:shd w:val="clear" w:color="auto" w:fill="FFFFFF"/>
          <w:lang w:val="es-CR"/>
        </w:rPr>
        <w:t>supra</w:t>
      </w:r>
      <w:r w:rsidRPr="00B92B58">
        <w:rPr>
          <w:rStyle w:val="Strong"/>
          <w:b w:val="0"/>
          <w:i/>
          <w:color w:val="000000"/>
          <w:sz w:val="16"/>
          <w:szCs w:val="16"/>
          <w:shd w:val="clear" w:color="auto" w:fill="FFFFFF"/>
          <w:lang w:val="es-CR"/>
        </w:rPr>
        <w:t xml:space="preserve">, </w:t>
      </w:r>
      <w:r w:rsidRPr="00B92B58">
        <w:rPr>
          <w:rStyle w:val="Strong"/>
          <w:b w:val="0"/>
          <w:color w:val="000000"/>
          <w:sz w:val="16"/>
          <w:szCs w:val="16"/>
          <w:shd w:val="clear" w:color="auto" w:fill="FFFFFF"/>
          <w:lang w:val="es-CR"/>
        </w:rPr>
        <w:t>párr. 150.</w:t>
      </w:r>
    </w:p>
  </w:footnote>
  <w:footnote w:id="266">
    <w:p w14:paraId="75EDBE04" w14:textId="5B6F8FA7" w:rsidR="003C025E" w:rsidRPr="00431F9F" w:rsidRDefault="003C025E" w:rsidP="00B1523A">
      <w:pPr>
        <w:pStyle w:val="FootnoteText"/>
        <w:tabs>
          <w:tab w:val="left" w:pos="567"/>
        </w:tabs>
        <w:rPr>
          <w:sz w:val="16"/>
          <w:szCs w:val="16"/>
          <w:lang w:val="es-ES"/>
        </w:rPr>
      </w:pPr>
      <w:r w:rsidRPr="00431F9F">
        <w:rPr>
          <w:rStyle w:val="FootnoteReference"/>
          <w:sz w:val="16"/>
          <w:szCs w:val="16"/>
        </w:rPr>
        <w:footnoteRef/>
      </w:r>
      <w:r w:rsidRPr="00431F9F">
        <w:rPr>
          <w:sz w:val="16"/>
          <w:szCs w:val="16"/>
        </w:rPr>
        <w:t xml:space="preserve"> </w:t>
      </w:r>
      <w:r>
        <w:rPr>
          <w:sz w:val="16"/>
          <w:szCs w:val="16"/>
        </w:rPr>
        <w:t xml:space="preserve">   </w:t>
      </w:r>
      <w:r w:rsidRPr="00431F9F">
        <w:rPr>
          <w:i/>
          <w:sz w:val="16"/>
          <w:szCs w:val="16"/>
        </w:rPr>
        <w:t>Cfr.</w:t>
      </w:r>
      <w:r w:rsidRPr="00431F9F">
        <w:rPr>
          <w:sz w:val="16"/>
          <w:szCs w:val="16"/>
        </w:rPr>
        <w:t xml:space="preserve"> </w:t>
      </w:r>
      <w:r w:rsidRPr="00431F9F">
        <w:rPr>
          <w:bCs/>
          <w:i/>
          <w:color w:val="000000"/>
          <w:sz w:val="16"/>
          <w:szCs w:val="16"/>
        </w:rPr>
        <w:t xml:space="preserve">Caso </w:t>
      </w:r>
      <w:proofErr w:type="spellStart"/>
      <w:r w:rsidRPr="00431F9F">
        <w:rPr>
          <w:bCs/>
          <w:i/>
          <w:color w:val="000000"/>
          <w:sz w:val="16"/>
          <w:szCs w:val="16"/>
        </w:rPr>
        <w:t>Atala</w:t>
      </w:r>
      <w:proofErr w:type="spellEnd"/>
      <w:r w:rsidRPr="00431F9F">
        <w:rPr>
          <w:bCs/>
          <w:i/>
          <w:color w:val="000000"/>
          <w:sz w:val="16"/>
          <w:szCs w:val="16"/>
        </w:rPr>
        <w:t xml:space="preserve"> </w:t>
      </w:r>
      <w:proofErr w:type="spellStart"/>
      <w:r w:rsidRPr="00431F9F">
        <w:rPr>
          <w:bCs/>
          <w:i/>
          <w:color w:val="000000"/>
          <w:sz w:val="16"/>
          <w:szCs w:val="16"/>
        </w:rPr>
        <w:t>Riffo</w:t>
      </w:r>
      <w:proofErr w:type="spellEnd"/>
      <w:r w:rsidRPr="00431F9F">
        <w:rPr>
          <w:bCs/>
          <w:i/>
          <w:color w:val="000000"/>
          <w:sz w:val="16"/>
          <w:szCs w:val="16"/>
        </w:rPr>
        <w:t xml:space="preserve"> y Niñas Vs. Chile, supra</w:t>
      </w:r>
      <w:r w:rsidRPr="00431F9F">
        <w:rPr>
          <w:color w:val="000000"/>
          <w:sz w:val="16"/>
          <w:szCs w:val="16"/>
        </w:rPr>
        <w:t xml:space="preserve">, </w:t>
      </w:r>
      <w:r w:rsidRPr="00431F9F">
        <w:rPr>
          <w:sz w:val="16"/>
          <w:szCs w:val="16"/>
        </w:rPr>
        <w:t>párr. 169</w:t>
      </w:r>
      <w:r w:rsidRPr="00495EAC">
        <w:rPr>
          <w:sz w:val="16"/>
          <w:szCs w:val="16"/>
        </w:rPr>
        <w:t xml:space="preserve"> </w:t>
      </w:r>
      <w:r>
        <w:rPr>
          <w:sz w:val="16"/>
          <w:szCs w:val="16"/>
        </w:rPr>
        <w:t>y</w:t>
      </w:r>
      <w:r w:rsidRPr="00431F9F">
        <w:rPr>
          <w:sz w:val="16"/>
          <w:szCs w:val="16"/>
        </w:rPr>
        <w:t xml:space="preserve"> </w:t>
      </w:r>
      <w:r>
        <w:rPr>
          <w:rFonts w:cs="Courier New"/>
          <w:i/>
          <w:noProof/>
          <w:sz w:val="16"/>
          <w:szCs w:val="16"/>
        </w:rPr>
        <w:t>I.V. Vs. Bolivia, supra</w:t>
      </w:r>
      <w:r w:rsidRPr="00431F9F">
        <w:rPr>
          <w:color w:val="000000"/>
          <w:sz w:val="16"/>
          <w:szCs w:val="16"/>
        </w:rPr>
        <w:t xml:space="preserve">, párr. </w:t>
      </w:r>
      <w:r>
        <w:rPr>
          <w:color w:val="000000"/>
          <w:sz w:val="16"/>
          <w:szCs w:val="16"/>
        </w:rPr>
        <w:t>153</w:t>
      </w:r>
      <w:r w:rsidRPr="00431F9F">
        <w:rPr>
          <w:sz w:val="16"/>
          <w:szCs w:val="16"/>
        </w:rPr>
        <w:t>.</w:t>
      </w:r>
    </w:p>
  </w:footnote>
  <w:footnote w:id="267">
    <w:p w14:paraId="3C9F9F6E" w14:textId="61E6F0CD" w:rsidR="003C025E" w:rsidRPr="00431F9F" w:rsidRDefault="003C025E" w:rsidP="00B1523A">
      <w:pPr>
        <w:pStyle w:val="FootnoteText"/>
        <w:tabs>
          <w:tab w:val="left" w:pos="567"/>
        </w:tabs>
        <w:rPr>
          <w:sz w:val="16"/>
          <w:szCs w:val="16"/>
        </w:rPr>
      </w:pPr>
      <w:r w:rsidRPr="00431F9F">
        <w:rPr>
          <w:rStyle w:val="FootnoteReference"/>
          <w:sz w:val="16"/>
          <w:szCs w:val="16"/>
        </w:rPr>
        <w:footnoteRef/>
      </w:r>
      <w:r w:rsidRPr="00431F9F">
        <w:rPr>
          <w:sz w:val="16"/>
          <w:szCs w:val="16"/>
        </w:rPr>
        <w:t xml:space="preserve"> </w:t>
      </w:r>
      <w:r>
        <w:rPr>
          <w:sz w:val="16"/>
          <w:szCs w:val="16"/>
        </w:rPr>
        <w:t xml:space="preserve">  </w:t>
      </w:r>
      <w:r w:rsidRPr="00431F9F">
        <w:rPr>
          <w:i/>
          <w:sz w:val="16"/>
          <w:szCs w:val="16"/>
          <w:lang w:val="es-CO"/>
        </w:rPr>
        <w:t xml:space="preserve">Cfr. </w:t>
      </w:r>
      <w:r w:rsidRPr="00431F9F">
        <w:rPr>
          <w:bCs/>
          <w:i/>
          <w:color w:val="000000"/>
          <w:sz w:val="16"/>
          <w:szCs w:val="16"/>
        </w:rPr>
        <w:t xml:space="preserve">Caso </w:t>
      </w:r>
      <w:proofErr w:type="spellStart"/>
      <w:r w:rsidRPr="00431F9F">
        <w:rPr>
          <w:bCs/>
          <w:i/>
          <w:color w:val="000000"/>
          <w:sz w:val="16"/>
          <w:szCs w:val="16"/>
        </w:rPr>
        <w:t>Artavia</w:t>
      </w:r>
      <w:proofErr w:type="spellEnd"/>
      <w:r w:rsidRPr="00431F9F">
        <w:rPr>
          <w:bCs/>
          <w:i/>
          <w:color w:val="000000"/>
          <w:sz w:val="16"/>
          <w:szCs w:val="16"/>
        </w:rPr>
        <w:t xml:space="preserve"> Murillo y otros (“Fecundación in vitro”) Vs. Costa Rica, supra</w:t>
      </w:r>
      <w:r w:rsidRPr="00431F9F">
        <w:rPr>
          <w:color w:val="000000"/>
          <w:sz w:val="16"/>
          <w:szCs w:val="16"/>
        </w:rPr>
        <w:t>, párr. 145</w:t>
      </w:r>
      <w:r>
        <w:rPr>
          <w:color w:val="000000"/>
          <w:sz w:val="16"/>
          <w:szCs w:val="16"/>
        </w:rPr>
        <w:t xml:space="preserve">, </w:t>
      </w:r>
      <w:r>
        <w:rPr>
          <w:sz w:val="16"/>
          <w:szCs w:val="16"/>
        </w:rPr>
        <w:t>y</w:t>
      </w:r>
      <w:r w:rsidRPr="00431F9F">
        <w:rPr>
          <w:sz w:val="16"/>
          <w:szCs w:val="16"/>
        </w:rPr>
        <w:t xml:space="preserve"> </w:t>
      </w:r>
      <w:r>
        <w:rPr>
          <w:rFonts w:cs="Courier New"/>
          <w:i/>
          <w:noProof/>
          <w:sz w:val="16"/>
          <w:szCs w:val="16"/>
        </w:rPr>
        <w:t>I.V. Vs. Bolivia, supra</w:t>
      </w:r>
      <w:r w:rsidRPr="00431F9F">
        <w:rPr>
          <w:color w:val="000000"/>
          <w:sz w:val="16"/>
          <w:szCs w:val="16"/>
        </w:rPr>
        <w:t xml:space="preserve">, párr. </w:t>
      </w:r>
      <w:r>
        <w:rPr>
          <w:color w:val="000000"/>
          <w:sz w:val="16"/>
          <w:szCs w:val="16"/>
        </w:rPr>
        <w:t>153</w:t>
      </w:r>
      <w:r w:rsidRPr="00431F9F">
        <w:rPr>
          <w:color w:val="000000"/>
          <w:sz w:val="16"/>
          <w:szCs w:val="16"/>
        </w:rPr>
        <w:t>.</w:t>
      </w:r>
    </w:p>
  </w:footnote>
  <w:footnote w:id="268">
    <w:p w14:paraId="03522B4B" w14:textId="73B0E154" w:rsidR="003C025E" w:rsidRPr="00117E41" w:rsidRDefault="003C025E" w:rsidP="00762119">
      <w:pPr>
        <w:pStyle w:val="FootnoteText"/>
        <w:rPr>
          <w:lang w:val="es-CR"/>
        </w:rPr>
      </w:pPr>
      <w:r w:rsidRPr="00B1523A">
        <w:rPr>
          <w:sz w:val="16"/>
          <w:szCs w:val="16"/>
          <w:vertAlign w:val="subscript"/>
          <w:lang w:val="es-EC" w:eastAsia="es-CR"/>
        </w:rPr>
        <w:footnoteRef/>
      </w:r>
      <w:r w:rsidRPr="00B1523A">
        <w:rPr>
          <w:sz w:val="16"/>
          <w:szCs w:val="16"/>
          <w:vertAlign w:val="subscript"/>
          <w:lang w:val="es-EC" w:eastAsia="es-CR"/>
        </w:rPr>
        <w:t xml:space="preserve"> </w:t>
      </w:r>
      <w:r w:rsidRPr="00B1523A">
        <w:rPr>
          <w:vertAlign w:val="subscript"/>
        </w:rPr>
        <w:t xml:space="preserve">   </w:t>
      </w:r>
      <w:r w:rsidRPr="00762119">
        <w:rPr>
          <w:rStyle w:val="Strong"/>
          <w:b w:val="0"/>
          <w:i/>
          <w:color w:val="000000"/>
          <w:sz w:val="16"/>
          <w:szCs w:val="16"/>
          <w:shd w:val="clear" w:color="auto" w:fill="FFFFFF"/>
          <w:lang w:val="es-CR"/>
        </w:rPr>
        <w:t xml:space="preserve">Caso I.V. Vs. Bolivia, supra, </w:t>
      </w:r>
      <w:r w:rsidRPr="00117E41">
        <w:rPr>
          <w:rStyle w:val="Strong"/>
          <w:b w:val="0"/>
          <w:color w:val="000000"/>
          <w:sz w:val="16"/>
          <w:szCs w:val="16"/>
          <w:shd w:val="clear" w:color="auto" w:fill="FFFFFF"/>
          <w:lang w:val="es-CR"/>
        </w:rPr>
        <w:t>párr. 151 y 155.</w:t>
      </w:r>
    </w:p>
  </w:footnote>
  <w:footnote w:id="269">
    <w:p w14:paraId="49CA4FBB" w14:textId="63C15331" w:rsidR="003C025E" w:rsidRPr="007647B4" w:rsidRDefault="003C025E" w:rsidP="00762119">
      <w:pPr>
        <w:pStyle w:val="FootnoteText"/>
        <w:rPr>
          <w:sz w:val="16"/>
          <w:szCs w:val="16"/>
          <w:lang w:val="es-CR"/>
        </w:rPr>
      </w:pPr>
      <w:r w:rsidRPr="00B1523A">
        <w:rPr>
          <w:sz w:val="16"/>
          <w:szCs w:val="16"/>
          <w:vertAlign w:val="subscript"/>
          <w:lang w:val="es-EC" w:eastAsia="es-CR"/>
        </w:rPr>
        <w:footnoteRef/>
      </w:r>
      <w:r w:rsidRPr="00B1523A">
        <w:rPr>
          <w:sz w:val="16"/>
          <w:szCs w:val="16"/>
          <w:vertAlign w:val="subscript"/>
          <w:lang w:val="es-EC" w:eastAsia="es-CR"/>
        </w:rPr>
        <w:t xml:space="preserve"> </w:t>
      </w:r>
      <w:r w:rsidRPr="00B1523A">
        <w:rPr>
          <w:vertAlign w:val="subscript"/>
          <w:lang w:val="es-CR"/>
        </w:rPr>
        <w:t xml:space="preserve"> </w:t>
      </w:r>
      <w:r>
        <w:rPr>
          <w:lang w:val="es-CR"/>
        </w:rPr>
        <w:t xml:space="preserve">  </w:t>
      </w:r>
      <w:r w:rsidRPr="007647B4">
        <w:rPr>
          <w:i/>
          <w:sz w:val="16"/>
          <w:szCs w:val="16"/>
          <w:lang w:val="es-CR"/>
        </w:rPr>
        <w:t>Caso I.V. Vs. Bolivia</w:t>
      </w:r>
      <w:r w:rsidRPr="007647B4">
        <w:rPr>
          <w:sz w:val="16"/>
          <w:szCs w:val="16"/>
          <w:lang w:val="es-CR"/>
        </w:rPr>
        <w:t>,</w:t>
      </w:r>
      <w:r>
        <w:rPr>
          <w:sz w:val="16"/>
          <w:szCs w:val="16"/>
          <w:lang w:val="es-CR"/>
        </w:rPr>
        <w:t xml:space="preserve"> </w:t>
      </w:r>
      <w:r w:rsidRPr="00B1523A">
        <w:rPr>
          <w:i/>
          <w:sz w:val="16"/>
          <w:szCs w:val="16"/>
          <w:lang w:val="es-CR"/>
        </w:rPr>
        <w:t>supra</w:t>
      </w:r>
      <w:r>
        <w:rPr>
          <w:sz w:val="16"/>
          <w:szCs w:val="16"/>
          <w:lang w:val="es-CR"/>
        </w:rPr>
        <w:t>,</w:t>
      </w:r>
      <w:r w:rsidRPr="007647B4">
        <w:rPr>
          <w:sz w:val="16"/>
          <w:szCs w:val="16"/>
          <w:lang w:val="es-CR"/>
        </w:rPr>
        <w:t xml:space="preserve"> </w:t>
      </w:r>
      <w:proofErr w:type="spellStart"/>
      <w:r w:rsidRPr="007647B4">
        <w:rPr>
          <w:sz w:val="16"/>
          <w:szCs w:val="16"/>
          <w:lang w:val="es-CR"/>
        </w:rPr>
        <w:t>párr</w:t>
      </w:r>
      <w:r>
        <w:rPr>
          <w:sz w:val="16"/>
          <w:szCs w:val="16"/>
          <w:lang w:val="es-CR"/>
        </w:rPr>
        <w:t>s</w:t>
      </w:r>
      <w:proofErr w:type="spellEnd"/>
      <w:r w:rsidRPr="007647B4">
        <w:rPr>
          <w:sz w:val="16"/>
          <w:szCs w:val="16"/>
          <w:lang w:val="es-CR"/>
        </w:rPr>
        <w:t>. 165.</w:t>
      </w:r>
      <w:r>
        <w:rPr>
          <w:sz w:val="16"/>
          <w:szCs w:val="16"/>
          <w:lang w:val="es-CR"/>
        </w:rPr>
        <w:t xml:space="preserve"> </w:t>
      </w:r>
    </w:p>
  </w:footnote>
  <w:footnote w:id="270">
    <w:p w14:paraId="64CB7826" w14:textId="2565254A" w:rsidR="003C025E" w:rsidRPr="008E6DD1" w:rsidRDefault="003C025E" w:rsidP="00B1523A">
      <w:pPr>
        <w:tabs>
          <w:tab w:val="left" w:pos="567"/>
        </w:tabs>
        <w:rPr>
          <w:rFonts w:eastAsia="Calibri"/>
          <w:sz w:val="20"/>
          <w:szCs w:val="20"/>
          <w:lang w:val="es-ES_tradnl" w:eastAsia="en-US"/>
        </w:rPr>
      </w:pPr>
      <w:r w:rsidRPr="00431F9F">
        <w:rPr>
          <w:sz w:val="16"/>
          <w:szCs w:val="16"/>
          <w:vertAlign w:val="superscript"/>
          <w:lang w:val="es-EC"/>
        </w:rPr>
        <w:footnoteRef/>
      </w:r>
      <w:r w:rsidRPr="00431F9F">
        <w:rPr>
          <w:sz w:val="16"/>
          <w:szCs w:val="16"/>
          <w:lang w:val="es-EC"/>
        </w:rPr>
        <w:t xml:space="preserve"> </w:t>
      </w:r>
      <w:r>
        <w:rPr>
          <w:sz w:val="16"/>
          <w:szCs w:val="16"/>
          <w:lang w:val="es-EC"/>
        </w:rPr>
        <w:t xml:space="preserve">   </w:t>
      </w:r>
      <w:r>
        <w:rPr>
          <w:i/>
          <w:sz w:val="16"/>
          <w:szCs w:val="16"/>
          <w:lang w:val="es-EC"/>
        </w:rPr>
        <w:t>Cfr.</w:t>
      </w:r>
      <w:r w:rsidRPr="00431F9F">
        <w:rPr>
          <w:i/>
          <w:sz w:val="16"/>
          <w:szCs w:val="16"/>
          <w:lang w:val="es-EC"/>
        </w:rPr>
        <w:t xml:space="preserve"> </w:t>
      </w:r>
      <w:r>
        <w:rPr>
          <w:i/>
          <w:sz w:val="16"/>
          <w:szCs w:val="16"/>
          <w:lang w:val="es-EC"/>
        </w:rPr>
        <w:t>M</w:t>
      </w:r>
      <w:r w:rsidRPr="00431F9F">
        <w:rPr>
          <w:i/>
          <w:sz w:val="16"/>
          <w:szCs w:val="16"/>
          <w:lang w:val="es-EC"/>
        </w:rPr>
        <w:t xml:space="preserve">utatis </w:t>
      </w:r>
      <w:proofErr w:type="spellStart"/>
      <w:r w:rsidRPr="00431F9F">
        <w:rPr>
          <w:i/>
          <w:sz w:val="16"/>
          <w:szCs w:val="16"/>
          <w:lang w:val="es-EC"/>
        </w:rPr>
        <w:t>mutandi</w:t>
      </w:r>
      <w:proofErr w:type="spellEnd"/>
      <w:r w:rsidRPr="00431F9F">
        <w:rPr>
          <w:i/>
          <w:sz w:val="16"/>
          <w:szCs w:val="16"/>
          <w:lang w:val="es-EC"/>
        </w:rPr>
        <w:t xml:space="preserve">, </w:t>
      </w:r>
      <w:r w:rsidRPr="00431F9F">
        <w:rPr>
          <w:bCs/>
          <w:i/>
          <w:color w:val="000000"/>
          <w:sz w:val="16"/>
          <w:szCs w:val="16"/>
        </w:rPr>
        <w:t xml:space="preserve">Caso </w:t>
      </w:r>
      <w:proofErr w:type="spellStart"/>
      <w:r w:rsidRPr="00431F9F">
        <w:rPr>
          <w:bCs/>
          <w:i/>
          <w:color w:val="000000"/>
          <w:sz w:val="16"/>
          <w:szCs w:val="16"/>
        </w:rPr>
        <w:t>Furlan</w:t>
      </w:r>
      <w:proofErr w:type="spellEnd"/>
      <w:r w:rsidRPr="00431F9F">
        <w:rPr>
          <w:bCs/>
          <w:i/>
          <w:color w:val="000000"/>
          <w:sz w:val="16"/>
          <w:szCs w:val="16"/>
        </w:rPr>
        <w:t xml:space="preserve"> y Familiares Vs. Argentina, supra</w:t>
      </w:r>
      <w:r w:rsidRPr="00431F9F">
        <w:rPr>
          <w:color w:val="000000"/>
          <w:sz w:val="16"/>
          <w:szCs w:val="16"/>
        </w:rPr>
        <w:t>, párr. 294</w:t>
      </w:r>
      <w:r>
        <w:rPr>
          <w:color w:val="000000"/>
          <w:sz w:val="16"/>
          <w:szCs w:val="16"/>
        </w:rPr>
        <w:t xml:space="preserve"> </w:t>
      </w:r>
      <w:r w:rsidRPr="00E8736D">
        <w:rPr>
          <w:color w:val="000000"/>
          <w:sz w:val="16"/>
          <w:szCs w:val="16"/>
        </w:rPr>
        <w:t>y</w:t>
      </w:r>
      <w:r w:rsidRPr="00E8736D">
        <w:rPr>
          <w:i/>
          <w:color w:val="000000"/>
          <w:sz w:val="16"/>
          <w:szCs w:val="16"/>
        </w:rPr>
        <w:t xml:space="preserve"> Caso I.V. Vs. Bolivia</w:t>
      </w:r>
      <w:r>
        <w:rPr>
          <w:color w:val="000000"/>
          <w:sz w:val="16"/>
          <w:szCs w:val="16"/>
        </w:rPr>
        <w:t xml:space="preserve">, </w:t>
      </w:r>
      <w:r w:rsidRPr="00E8736D">
        <w:rPr>
          <w:i/>
          <w:color w:val="000000"/>
          <w:sz w:val="16"/>
          <w:szCs w:val="16"/>
        </w:rPr>
        <w:t>supra</w:t>
      </w:r>
      <w:r>
        <w:rPr>
          <w:color w:val="000000"/>
          <w:sz w:val="16"/>
          <w:szCs w:val="16"/>
        </w:rPr>
        <w:t>, párr. 155</w:t>
      </w:r>
      <w:r w:rsidRPr="00431F9F">
        <w:rPr>
          <w:sz w:val="16"/>
          <w:szCs w:val="16"/>
          <w:lang w:val="es-EC"/>
        </w:rPr>
        <w:t>.</w:t>
      </w:r>
      <w:r>
        <w:rPr>
          <w:sz w:val="16"/>
          <w:szCs w:val="16"/>
          <w:lang w:val="es-EC"/>
        </w:rPr>
        <w:t xml:space="preserve"> </w:t>
      </w:r>
    </w:p>
    <w:p w14:paraId="4CF962D8" w14:textId="583783E3" w:rsidR="003C025E" w:rsidRPr="00AB1E03" w:rsidRDefault="003C025E" w:rsidP="00FA1F4E">
      <w:pPr>
        <w:pStyle w:val="FootnoteText"/>
        <w:tabs>
          <w:tab w:val="left" w:pos="567"/>
        </w:tabs>
        <w:spacing w:after="120"/>
        <w:rPr>
          <w:sz w:val="16"/>
          <w:szCs w:val="16"/>
        </w:rPr>
      </w:pPr>
    </w:p>
  </w:footnote>
  <w:footnote w:id="271">
    <w:p w14:paraId="30012B9C" w14:textId="6F567A49" w:rsidR="003C025E" w:rsidRPr="00974D1E" w:rsidRDefault="003C025E" w:rsidP="00E67349">
      <w:pPr>
        <w:pStyle w:val="NoSpacing"/>
        <w:rPr>
          <w:rFonts w:ascii="Verdana" w:eastAsiaTheme="minorHAnsi" w:hAnsi="Verdana"/>
          <w:i/>
          <w:iCs/>
          <w:sz w:val="16"/>
          <w:szCs w:val="16"/>
          <w:lang w:val="es-AR"/>
        </w:rPr>
      </w:pPr>
      <w:r w:rsidRPr="00E67349">
        <w:rPr>
          <w:rStyle w:val="FootnoteReference"/>
          <w:rFonts w:ascii="Verdana" w:hAnsi="Verdana"/>
          <w:sz w:val="16"/>
          <w:szCs w:val="16"/>
        </w:rPr>
        <w:footnoteRef/>
      </w:r>
      <w:r w:rsidRPr="00E67349">
        <w:rPr>
          <w:rFonts w:ascii="Verdana" w:eastAsiaTheme="minorHAnsi" w:hAnsi="Verdana"/>
          <w:sz w:val="16"/>
          <w:szCs w:val="16"/>
          <w:lang w:val="es-AR"/>
        </w:rPr>
        <w:t xml:space="preserve"> </w:t>
      </w:r>
      <w:r w:rsidRPr="00E67349">
        <w:rPr>
          <w:rFonts w:ascii="Verdana" w:eastAsiaTheme="minorHAnsi" w:hAnsi="Verdana"/>
          <w:sz w:val="16"/>
          <w:szCs w:val="16"/>
          <w:lang w:val="es-AR"/>
        </w:rPr>
        <w:tab/>
      </w:r>
      <w:r w:rsidRPr="00B1523A">
        <w:rPr>
          <w:rFonts w:ascii="Verdana" w:eastAsiaTheme="minorHAnsi" w:hAnsi="Verdana"/>
          <w:i/>
          <w:sz w:val="16"/>
          <w:szCs w:val="16"/>
          <w:lang w:val="es-AR"/>
        </w:rPr>
        <w:t>Cfr.</w:t>
      </w:r>
      <w:r>
        <w:rPr>
          <w:rFonts w:ascii="Verdana" w:eastAsiaTheme="minorHAnsi" w:hAnsi="Verdana"/>
          <w:sz w:val="16"/>
          <w:szCs w:val="16"/>
          <w:lang w:val="es-AR"/>
        </w:rPr>
        <w:t xml:space="preserve"> </w:t>
      </w:r>
      <w:r w:rsidRPr="00E67349">
        <w:rPr>
          <w:rFonts w:ascii="Verdana" w:eastAsiaTheme="minorHAnsi" w:hAnsi="Verdana"/>
          <w:i/>
          <w:iCs/>
          <w:sz w:val="16"/>
          <w:szCs w:val="16"/>
          <w:lang w:val="es-AR"/>
        </w:rPr>
        <w:t>Caso Castillo Páez vs. Perú</w:t>
      </w:r>
      <w:r w:rsidRPr="00E67349">
        <w:rPr>
          <w:rFonts w:ascii="Verdana" w:eastAsiaTheme="minorHAnsi" w:hAnsi="Verdana"/>
          <w:i/>
          <w:sz w:val="16"/>
          <w:szCs w:val="16"/>
          <w:lang w:val="es-AR"/>
        </w:rPr>
        <w:t>. Fondo.</w:t>
      </w:r>
      <w:r w:rsidRPr="00E67349">
        <w:rPr>
          <w:rFonts w:ascii="Verdana" w:eastAsiaTheme="minorHAnsi" w:hAnsi="Verdana"/>
          <w:sz w:val="16"/>
          <w:szCs w:val="16"/>
          <w:lang w:val="es-AR"/>
        </w:rPr>
        <w:t xml:space="preserve"> Sentencia de 3 de noviembre de 1997. Serie C No. 34, párr. 82, </w:t>
      </w:r>
      <w:r w:rsidRPr="00B1523A">
        <w:rPr>
          <w:rFonts w:ascii="Verdana" w:eastAsiaTheme="minorHAnsi" w:hAnsi="Verdana"/>
          <w:i/>
          <w:sz w:val="16"/>
          <w:szCs w:val="16"/>
          <w:lang w:val="es-AR"/>
        </w:rPr>
        <w:t xml:space="preserve">y </w:t>
      </w:r>
      <w:r w:rsidRPr="00B1523A">
        <w:rPr>
          <w:rFonts w:ascii="Verdana" w:hAnsi="Verdana"/>
          <w:i/>
          <w:sz w:val="16"/>
          <w:szCs w:val="16"/>
          <w:lang w:val="es-MX"/>
        </w:rPr>
        <w:t>Caso Lagos del Campo Vs. Perú</w:t>
      </w:r>
      <w:r w:rsidRPr="00B1523A">
        <w:rPr>
          <w:rFonts w:ascii="Verdana" w:hAnsi="Verdana"/>
          <w:sz w:val="16"/>
          <w:szCs w:val="16"/>
          <w:lang w:val="es-MX"/>
        </w:rPr>
        <w:t>,</w:t>
      </w:r>
      <w:r>
        <w:rPr>
          <w:rFonts w:ascii="Verdana" w:hAnsi="Verdana"/>
          <w:sz w:val="16"/>
          <w:szCs w:val="16"/>
          <w:lang w:val="es-MX"/>
        </w:rPr>
        <w:t xml:space="preserve"> </w:t>
      </w:r>
      <w:r w:rsidRPr="00B1523A">
        <w:rPr>
          <w:rFonts w:ascii="Verdana" w:hAnsi="Verdana"/>
          <w:i/>
          <w:sz w:val="16"/>
          <w:szCs w:val="16"/>
          <w:lang w:val="es-MX"/>
        </w:rPr>
        <w:t>supra</w:t>
      </w:r>
      <w:r>
        <w:rPr>
          <w:rFonts w:ascii="Verdana" w:hAnsi="Verdana"/>
          <w:sz w:val="16"/>
          <w:szCs w:val="16"/>
          <w:lang w:val="es-MX"/>
        </w:rPr>
        <w:t>, párr</w:t>
      </w:r>
      <w:r w:rsidRPr="00B1523A">
        <w:rPr>
          <w:rFonts w:ascii="Verdana" w:hAnsi="Verdana"/>
          <w:sz w:val="16"/>
          <w:szCs w:val="16"/>
          <w:lang w:val="es-MX"/>
        </w:rPr>
        <w:t>.</w:t>
      </w:r>
      <w:r w:rsidRPr="003B52C8">
        <w:rPr>
          <w:rFonts w:ascii="Verdana" w:hAnsi="Verdana"/>
          <w:sz w:val="16"/>
          <w:szCs w:val="16"/>
          <w:lang w:val="es-MX"/>
        </w:rPr>
        <w:t xml:space="preserve"> 174. </w:t>
      </w:r>
    </w:p>
  </w:footnote>
  <w:footnote w:id="272">
    <w:p w14:paraId="37F2C907" w14:textId="639E3289" w:rsidR="003C025E" w:rsidRPr="00B1523A" w:rsidRDefault="003C025E" w:rsidP="00E67349">
      <w:pPr>
        <w:pStyle w:val="NoSpacing"/>
        <w:rPr>
          <w:rFonts w:ascii="Verdana" w:eastAsiaTheme="minorHAnsi" w:hAnsi="Verdana"/>
          <w:i/>
          <w:iCs/>
          <w:sz w:val="16"/>
          <w:szCs w:val="16"/>
          <w:lang w:val="es-AR"/>
        </w:rPr>
      </w:pPr>
      <w:r w:rsidRPr="00E67349">
        <w:rPr>
          <w:rStyle w:val="FootnoteReference"/>
          <w:rFonts w:ascii="Verdana" w:hAnsi="Verdana"/>
          <w:sz w:val="16"/>
          <w:szCs w:val="16"/>
        </w:rPr>
        <w:footnoteRef/>
      </w:r>
      <w:r w:rsidRPr="00E67349">
        <w:rPr>
          <w:rFonts w:ascii="Verdana" w:eastAsiaTheme="minorHAnsi" w:hAnsi="Verdana"/>
          <w:sz w:val="16"/>
          <w:szCs w:val="16"/>
          <w:lang w:val="es-AR"/>
        </w:rPr>
        <w:t xml:space="preserve"> </w:t>
      </w:r>
      <w:r w:rsidRPr="00E67349">
        <w:rPr>
          <w:rFonts w:ascii="Verdana" w:eastAsiaTheme="minorHAnsi" w:hAnsi="Verdana"/>
          <w:sz w:val="16"/>
          <w:szCs w:val="16"/>
          <w:lang w:val="es-AR"/>
        </w:rPr>
        <w:tab/>
      </w:r>
      <w:r w:rsidRPr="007C3D73">
        <w:rPr>
          <w:rFonts w:ascii="Verdana" w:eastAsiaTheme="minorHAnsi" w:hAnsi="Verdana"/>
          <w:i/>
          <w:sz w:val="16"/>
          <w:szCs w:val="16"/>
          <w:lang w:val="es-AR"/>
        </w:rPr>
        <w:t>Cfr.</w:t>
      </w:r>
      <w:r>
        <w:rPr>
          <w:rFonts w:ascii="Verdana" w:eastAsiaTheme="minorHAnsi" w:hAnsi="Verdana"/>
          <w:sz w:val="16"/>
          <w:szCs w:val="16"/>
          <w:lang w:val="es-AR"/>
        </w:rPr>
        <w:t xml:space="preserve"> </w:t>
      </w:r>
      <w:r w:rsidRPr="00E67349">
        <w:rPr>
          <w:rFonts w:ascii="Verdana" w:eastAsiaTheme="minorHAnsi" w:hAnsi="Verdana"/>
          <w:i/>
          <w:iCs/>
          <w:sz w:val="16"/>
          <w:szCs w:val="16"/>
          <w:lang w:val="es-AR"/>
        </w:rPr>
        <w:t xml:space="preserve">Caso </w:t>
      </w:r>
      <w:proofErr w:type="spellStart"/>
      <w:r w:rsidRPr="00E67349">
        <w:rPr>
          <w:rFonts w:ascii="Verdana" w:eastAsiaTheme="minorHAnsi" w:hAnsi="Verdana"/>
          <w:i/>
          <w:iCs/>
          <w:sz w:val="16"/>
          <w:szCs w:val="16"/>
          <w:lang w:val="es-AR"/>
        </w:rPr>
        <w:t>Goiburú</w:t>
      </w:r>
      <w:proofErr w:type="spellEnd"/>
      <w:r w:rsidRPr="00E67349">
        <w:rPr>
          <w:rFonts w:ascii="Verdana" w:eastAsiaTheme="minorHAnsi" w:hAnsi="Verdana"/>
          <w:i/>
          <w:iCs/>
          <w:sz w:val="16"/>
          <w:szCs w:val="16"/>
          <w:lang w:val="es-AR"/>
        </w:rPr>
        <w:t xml:space="preserve"> y otros vs. Paraguay</w:t>
      </w:r>
      <w:r w:rsidRPr="00E67349">
        <w:rPr>
          <w:rFonts w:ascii="Verdana" w:eastAsiaTheme="minorHAnsi" w:hAnsi="Verdana"/>
          <w:sz w:val="16"/>
          <w:szCs w:val="16"/>
          <w:lang w:val="es-AR"/>
        </w:rPr>
        <w:t xml:space="preserve">. </w:t>
      </w:r>
      <w:r w:rsidRPr="00E67349">
        <w:rPr>
          <w:rFonts w:ascii="Verdana" w:eastAsiaTheme="minorHAnsi" w:hAnsi="Verdana"/>
          <w:i/>
          <w:sz w:val="16"/>
          <w:szCs w:val="16"/>
          <w:lang w:val="es-AR"/>
        </w:rPr>
        <w:t>Fondo, Reparaciones y Costas.</w:t>
      </w:r>
      <w:r w:rsidRPr="00E67349">
        <w:rPr>
          <w:rFonts w:ascii="Verdana" w:eastAsiaTheme="minorHAnsi" w:hAnsi="Verdana"/>
          <w:sz w:val="16"/>
          <w:szCs w:val="16"/>
          <w:lang w:val="es-AR"/>
        </w:rPr>
        <w:t xml:space="preserve"> Sentencia de 22 de septiembre de 2006. Serie C No. 153, párr. 131</w:t>
      </w:r>
      <w:r>
        <w:rPr>
          <w:rFonts w:ascii="Verdana" w:eastAsiaTheme="minorHAnsi" w:hAnsi="Verdana"/>
          <w:sz w:val="16"/>
          <w:szCs w:val="16"/>
          <w:lang w:val="es-AR"/>
        </w:rPr>
        <w:t>, y</w:t>
      </w:r>
      <w:r w:rsidRPr="00974D1E">
        <w:rPr>
          <w:rFonts w:ascii="Verdana" w:hAnsi="Verdana"/>
          <w:i/>
          <w:sz w:val="16"/>
          <w:szCs w:val="16"/>
          <w:lang w:val="es-MX"/>
        </w:rPr>
        <w:t xml:space="preserve"> </w:t>
      </w:r>
      <w:r w:rsidRPr="007C3D73">
        <w:rPr>
          <w:rFonts w:ascii="Verdana" w:hAnsi="Verdana"/>
          <w:i/>
          <w:sz w:val="16"/>
          <w:szCs w:val="16"/>
          <w:lang w:val="es-MX"/>
        </w:rPr>
        <w:t>Caso Lagos del Campo Vs. Perú</w:t>
      </w:r>
      <w:r w:rsidRPr="007C3D73">
        <w:rPr>
          <w:rFonts w:ascii="Verdana" w:hAnsi="Verdana"/>
          <w:sz w:val="16"/>
          <w:szCs w:val="16"/>
          <w:lang w:val="es-MX"/>
        </w:rPr>
        <w:t>,</w:t>
      </w:r>
      <w:r>
        <w:rPr>
          <w:rFonts w:ascii="Verdana" w:hAnsi="Verdana"/>
          <w:sz w:val="16"/>
          <w:szCs w:val="16"/>
          <w:lang w:val="es-MX"/>
        </w:rPr>
        <w:t xml:space="preserve"> </w:t>
      </w:r>
      <w:r w:rsidRPr="007C3D73">
        <w:rPr>
          <w:rFonts w:ascii="Verdana" w:hAnsi="Verdana"/>
          <w:i/>
          <w:sz w:val="16"/>
          <w:szCs w:val="16"/>
          <w:lang w:val="es-MX"/>
        </w:rPr>
        <w:t>supra</w:t>
      </w:r>
      <w:r>
        <w:rPr>
          <w:rFonts w:ascii="Verdana" w:hAnsi="Verdana"/>
          <w:sz w:val="16"/>
          <w:szCs w:val="16"/>
          <w:lang w:val="es-MX"/>
        </w:rPr>
        <w:t>, párr</w:t>
      </w:r>
      <w:r w:rsidRPr="007C3D73">
        <w:rPr>
          <w:rFonts w:ascii="Verdana" w:hAnsi="Verdana"/>
          <w:sz w:val="16"/>
          <w:szCs w:val="16"/>
          <w:lang w:val="es-MX"/>
        </w:rPr>
        <w:t>.</w:t>
      </w:r>
      <w:r w:rsidRPr="007C3D73">
        <w:rPr>
          <w:rFonts w:ascii="Verdana" w:hAnsi="Verdana"/>
          <w:i/>
          <w:sz w:val="16"/>
          <w:szCs w:val="16"/>
          <w:lang w:val="es-MX"/>
        </w:rPr>
        <w:t xml:space="preserve"> </w:t>
      </w:r>
      <w:r w:rsidRPr="003B52C8">
        <w:rPr>
          <w:rFonts w:ascii="Verdana" w:hAnsi="Verdana"/>
          <w:sz w:val="16"/>
          <w:szCs w:val="16"/>
          <w:lang w:val="es-MX"/>
        </w:rPr>
        <w:t>174</w:t>
      </w:r>
      <w:r w:rsidRPr="007C3D73">
        <w:rPr>
          <w:rFonts w:ascii="Verdana" w:hAnsi="Verdana"/>
          <w:i/>
          <w:sz w:val="16"/>
          <w:szCs w:val="16"/>
          <w:lang w:val="es-MX"/>
        </w:rPr>
        <w:t xml:space="preserve">. </w:t>
      </w:r>
    </w:p>
  </w:footnote>
  <w:footnote w:id="273">
    <w:p w14:paraId="7816E4B6" w14:textId="1897CF3C" w:rsidR="003C025E" w:rsidRPr="00B1523A" w:rsidRDefault="003C025E" w:rsidP="00E67349">
      <w:pPr>
        <w:pStyle w:val="NoSpacing"/>
        <w:rPr>
          <w:rFonts w:ascii="Verdana" w:eastAsiaTheme="minorHAnsi" w:hAnsi="Verdana"/>
          <w:i/>
          <w:iCs/>
          <w:sz w:val="16"/>
          <w:szCs w:val="16"/>
          <w:lang w:val="es-AR"/>
        </w:rPr>
      </w:pPr>
      <w:r w:rsidRPr="00E67349">
        <w:rPr>
          <w:rStyle w:val="FootnoteReference"/>
          <w:rFonts w:ascii="Verdana" w:hAnsi="Verdana"/>
          <w:sz w:val="16"/>
          <w:szCs w:val="16"/>
        </w:rPr>
        <w:footnoteRef/>
      </w:r>
      <w:r w:rsidRPr="00E67349">
        <w:rPr>
          <w:rFonts w:ascii="Verdana" w:eastAsiaTheme="minorHAnsi" w:hAnsi="Verdana"/>
          <w:sz w:val="16"/>
          <w:szCs w:val="16"/>
          <w:lang w:val="es-AR"/>
        </w:rPr>
        <w:t xml:space="preserve"> </w:t>
      </w:r>
      <w:r w:rsidRPr="00E67349">
        <w:rPr>
          <w:rFonts w:ascii="Verdana" w:eastAsiaTheme="minorHAnsi" w:hAnsi="Verdana"/>
          <w:sz w:val="16"/>
          <w:szCs w:val="16"/>
          <w:lang w:val="es-AR"/>
        </w:rPr>
        <w:tab/>
      </w:r>
      <w:r w:rsidRPr="007C3D73">
        <w:rPr>
          <w:rFonts w:ascii="Verdana" w:eastAsiaTheme="minorHAnsi" w:hAnsi="Verdana"/>
          <w:i/>
          <w:sz w:val="16"/>
          <w:szCs w:val="16"/>
          <w:lang w:val="es-AR"/>
        </w:rPr>
        <w:t>Cfr.</w:t>
      </w:r>
      <w:r>
        <w:rPr>
          <w:rFonts w:ascii="Verdana" w:eastAsiaTheme="minorHAnsi" w:hAnsi="Verdana"/>
          <w:sz w:val="16"/>
          <w:szCs w:val="16"/>
          <w:lang w:val="es-AR"/>
        </w:rPr>
        <w:t xml:space="preserve"> </w:t>
      </w:r>
      <w:r w:rsidRPr="00E67349">
        <w:rPr>
          <w:rFonts w:ascii="Verdana" w:eastAsiaTheme="minorHAnsi" w:hAnsi="Verdana"/>
          <w:i/>
          <w:iCs/>
          <w:sz w:val="16"/>
          <w:szCs w:val="16"/>
          <w:lang w:val="es-AR"/>
        </w:rPr>
        <w:t xml:space="preserve">Caso Mejía </w:t>
      </w:r>
      <w:proofErr w:type="spellStart"/>
      <w:r w:rsidRPr="00E67349">
        <w:rPr>
          <w:rFonts w:ascii="Verdana" w:eastAsiaTheme="minorHAnsi" w:hAnsi="Verdana"/>
          <w:i/>
          <w:iCs/>
          <w:sz w:val="16"/>
          <w:szCs w:val="16"/>
          <w:lang w:val="es-AR"/>
        </w:rPr>
        <w:t>Idrovo</w:t>
      </w:r>
      <w:proofErr w:type="spellEnd"/>
      <w:r w:rsidRPr="00E67349">
        <w:rPr>
          <w:rFonts w:ascii="Verdana" w:eastAsiaTheme="minorHAnsi" w:hAnsi="Verdana"/>
          <w:i/>
          <w:iCs/>
          <w:sz w:val="16"/>
          <w:szCs w:val="16"/>
          <w:lang w:val="es-AR"/>
        </w:rPr>
        <w:t xml:space="preserve"> Vs. Ecuador</w:t>
      </w:r>
      <w:r w:rsidRPr="00E67349">
        <w:rPr>
          <w:rFonts w:ascii="Verdana" w:eastAsiaTheme="minorHAnsi" w:hAnsi="Verdana"/>
          <w:sz w:val="16"/>
          <w:szCs w:val="16"/>
          <w:lang w:val="es-AR"/>
        </w:rPr>
        <w:t xml:space="preserve">. </w:t>
      </w:r>
      <w:r w:rsidRPr="00E67349">
        <w:rPr>
          <w:rFonts w:ascii="Verdana" w:eastAsiaTheme="minorHAnsi" w:hAnsi="Verdana"/>
          <w:i/>
          <w:sz w:val="16"/>
          <w:szCs w:val="16"/>
          <w:lang w:val="es-AR"/>
        </w:rPr>
        <w:t>Excepciones preliminares, Fondo, Reparaciones y Costas</w:t>
      </w:r>
      <w:r w:rsidRPr="00E67349">
        <w:rPr>
          <w:rFonts w:ascii="Verdana" w:eastAsiaTheme="minorHAnsi" w:hAnsi="Verdana"/>
          <w:sz w:val="16"/>
          <w:szCs w:val="16"/>
          <w:lang w:val="es-AR"/>
        </w:rPr>
        <w:t>. Sentencia de 5 de julio de 2011. Serie</w:t>
      </w:r>
      <w:r w:rsidRPr="00E67349">
        <w:rPr>
          <w:rFonts w:ascii="Verdana" w:eastAsiaTheme="minorHAnsi" w:hAnsi="Verdana"/>
          <w:iCs/>
          <w:sz w:val="16"/>
          <w:szCs w:val="16"/>
          <w:lang w:val="es-AR"/>
        </w:rPr>
        <w:t xml:space="preserve"> C No.228</w:t>
      </w:r>
      <w:r w:rsidRPr="00E67349">
        <w:rPr>
          <w:rFonts w:ascii="Verdana" w:eastAsiaTheme="minorHAnsi" w:hAnsi="Verdana"/>
          <w:i/>
          <w:iCs/>
          <w:sz w:val="16"/>
          <w:szCs w:val="16"/>
          <w:lang w:val="es-AR"/>
        </w:rPr>
        <w:t xml:space="preserve">, </w:t>
      </w:r>
      <w:r w:rsidRPr="00E67349">
        <w:rPr>
          <w:rFonts w:ascii="Verdana" w:eastAsiaTheme="minorHAnsi" w:hAnsi="Verdana"/>
          <w:sz w:val="16"/>
          <w:szCs w:val="16"/>
          <w:lang w:val="es-AR"/>
        </w:rPr>
        <w:t xml:space="preserve">párr. 106, y </w:t>
      </w:r>
      <w:r w:rsidRPr="007C3D73">
        <w:rPr>
          <w:rFonts w:ascii="Verdana" w:hAnsi="Verdana"/>
          <w:i/>
          <w:sz w:val="16"/>
          <w:szCs w:val="16"/>
          <w:lang w:val="es-MX"/>
        </w:rPr>
        <w:t>Caso Lagos del Campo Vs. Perú</w:t>
      </w:r>
      <w:r w:rsidRPr="007C3D73">
        <w:rPr>
          <w:rFonts w:ascii="Verdana" w:hAnsi="Verdana"/>
          <w:sz w:val="16"/>
          <w:szCs w:val="16"/>
          <w:lang w:val="es-MX"/>
        </w:rPr>
        <w:t>,</w:t>
      </w:r>
      <w:r>
        <w:rPr>
          <w:rFonts w:ascii="Verdana" w:hAnsi="Verdana"/>
          <w:sz w:val="16"/>
          <w:szCs w:val="16"/>
          <w:lang w:val="es-MX"/>
        </w:rPr>
        <w:t xml:space="preserve"> </w:t>
      </w:r>
      <w:r w:rsidRPr="007C3D73">
        <w:rPr>
          <w:rFonts w:ascii="Verdana" w:hAnsi="Verdana"/>
          <w:i/>
          <w:sz w:val="16"/>
          <w:szCs w:val="16"/>
          <w:lang w:val="es-MX"/>
        </w:rPr>
        <w:t>supra</w:t>
      </w:r>
      <w:r>
        <w:rPr>
          <w:rFonts w:ascii="Verdana" w:hAnsi="Verdana"/>
          <w:sz w:val="16"/>
          <w:szCs w:val="16"/>
          <w:lang w:val="es-MX"/>
        </w:rPr>
        <w:t>, párr</w:t>
      </w:r>
      <w:r w:rsidRPr="007C3D73">
        <w:rPr>
          <w:rFonts w:ascii="Verdana" w:hAnsi="Verdana"/>
          <w:sz w:val="16"/>
          <w:szCs w:val="16"/>
          <w:lang w:val="es-MX"/>
        </w:rPr>
        <w:t>.</w:t>
      </w:r>
      <w:r w:rsidRPr="007C3D73">
        <w:rPr>
          <w:rFonts w:ascii="Verdana" w:hAnsi="Verdana"/>
          <w:i/>
          <w:sz w:val="16"/>
          <w:szCs w:val="16"/>
          <w:lang w:val="es-MX"/>
        </w:rPr>
        <w:t xml:space="preserve"> </w:t>
      </w:r>
      <w:r w:rsidRPr="003B52C8">
        <w:rPr>
          <w:rFonts w:ascii="Verdana" w:hAnsi="Verdana"/>
          <w:sz w:val="16"/>
          <w:szCs w:val="16"/>
          <w:lang w:val="es-MX"/>
        </w:rPr>
        <w:t>174</w:t>
      </w:r>
      <w:r w:rsidRPr="007C3D73">
        <w:rPr>
          <w:rFonts w:ascii="Verdana" w:hAnsi="Verdana"/>
          <w:i/>
          <w:sz w:val="16"/>
          <w:szCs w:val="16"/>
          <w:lang w:val="es-MX"/>
        </w:rPr>
        <w:t xml:space="preserve">. </w:t>
      </w:r>
    </w:p>
  </w:footnote>
  <w:footnote w:id="274">
    <w:p w14:paraId="21510BC9" w14:textId="33F803B9" w:rsidR="003C025E" w:rsidRPr="00B1523A" w:rsidRDefault="003C025E" w:rsidP="00E67349">
      <w:pPr>
        <w:pStyle w:val="NoSpacing"/>
        <w:rPr>
          <w:rFonts w:ascii="Verdana" w:eastAsiaTheme="minorHAnsi" w:hAnsi="Verdana"/>
          <w:i/>
          <w:iCs/>
          <w:sz w:val="16"/>
          <w:szCs w:val="16"/>
          <w:lang w:val="es-AR"/>
        </w:rPr>
      </w:pPr>
      <w:r w:rsidRPr="00E67349">
        <w:rPr>
          <w:rStyle w:val="FootnoteReference"/>
          <w:rFonts w:ascii="Verdana" w:hAnsi="Verdana"/>
          <w:sz w:val="16"/>
          <w:szCs w:val="16"/>
        </w:rPr>
        <w:footnoteRef/>
      </w:r>
      <w:r w:rsidRPr="00E67349">
        <w:rPr>
          <w:rFonts w:ascii="Verdana" w:eastAsiaTheme="minorHAnsi" w:hAnsi="Verdana"/>
          <w:sz w:val="16"/>
          <w:szCs w:val="16"/>
          <w:lang w:val="es-AR"/>
        </w:rPr>
        <w:t xml:space="preserve"> </w:t>
      </w:r>
      <w:r w:rsidRPr="00E67349">
        <w:rPr>
          <w:rFonts w:ascii="Verdana" w:eastAsiaTheme="minorHAnsi" w:hAnsi="Verdana"/>
          <w:sz w:val="16"/>
          <w:szCs w:val="16"/>
          <w:lang w:val="es-AR"/>
        </w:rPr>
        <w:tab/>
      </w:r>
      <w:r w:rsidRPr="00062586">
        <w:rPr>
          <w:rFonts w:ascii="Verdana" w:eastAsiaTheme="minorHAnsi" w:hAnsi="Verdana"/>
          <w:i/>
          <w:sz w:val="16"/>
          <w:szCs w:val="16"/>
          <w:lang w:val="es-AR"/>
        </w:rPr>
        <w:t>Cfr.</w:t>
      </w:r>
      <w:r w:rsidRPr="00E67349">
        <w:rPr>
          <w:rFonts w:ascii="Verdana" w:eastAsiaTheme="minorHAnsi" w:hAnsi="Verdana"/>
          <w:i/>
          <w:sz w:val="16"/>
          <w:szCs w:val="16"/>
          <w:lang w:val="es-AR"/>
        </w:rPr>
        <w:t xml:space="preserve"> </w:t>
      </w:r>
      <w:r w:rsidRPr="00E67349">
        <w:rPr>
          <w:rFonts w:ascii="Verdana" w:eastAsiaTheme="minorHAnsi" w:hAnsi="Verdana"/>
          <w:bCs/>
          <w:i/>
          <w:sz w:val="16"/>
          <w:szCs w:val="16"/>
          <w:lang w:val="es-AR"/>
        </w:rPr>
        <w:t xml:space="preserve">Caso Velásquez Rodríguez Vs. Honduras, </w:t>
      </w:r>
      <w:r>
        <w:rPr>
          <w:rFonts w:ascii="Verdana" w:eastAsiaTheme="minorHAnsi" w:hAnsi="Verdana"/>
          <w:bCs/>
          <w:i/>
          <w:sz w:val="16"/>
          <w:szCs w:val="16"/>
          <w:lang w:val="es-AR"/>
        </w:rPr>
        <w:t xml:space="preserve">Fondo, </w:t>
      </w:r>
      <w:r w:rsidRPr="00062586">
        <w:rPr>
          <w:rFonts w:ascii="Verdana" w:eastAsiaTheme="minorHAnsi" w:hAnsi="Verdana"/>
          <w:bCs/>
          <w:i/>
          <w:sz w:val="16"/>
          <w:szCs w:val="16"/>
          <w:lang w:val="es-AR"/>
        </w:rPr>
        <w:t>supra</w:t>
      </w:r>
      <w:r w:rsidRPr="00E67349">
        <w:rPr>
          <w:rFonts w:ascii="Verdana" w:eastAsiaTheme="minorHAnsi" w:hAnsi="Verdana"/>
          <w:bCs/>
          <w:i/>
          <w:sz w:val="16"/>
          <w:szCs w:val="16"/>
          <w:lang w:val="es-AR"/>
        </w:rPr>
        <w:t>,</w:t>
      </w:r>
      <w:r w:rsidRPr="00E67349">
        <w:rPr>
          <w:rFonts w:ascii="Verdana" w:eastAsiaTheme="minorHAnsi" w:hAnsi="Verdana"/>
          <w:bCs/>
          <w:sz w:val="16"/>
          <w:szCs w:val="16"/>
          <w:lang w:val="es-AR"/>
        </w:rPr>
        <w:t xml:space="preserve"> párr. 219, y </w:t>
      </w:r>
      <w:r w:rsidRPr="007C3D73">
        <w:rPr>
          <w:rFonts w:ascii="Verdana" w:hAnsi="Verdana"/>
          <w:i/>
          <w:sz w:val="16"/>
          <w:szCs w:val="16"/>
          <w:lang w:val="es-MX"/>
        </w:rPr>
        <w:t>Caso Lagos del Campo Vs. Perú</w:t>
      </w:r>
      <w:r w:rsidRPr="007C3D73">
        <w:rPr>
          <w:rFonts w:ascii="Verdana" w:hAnsi="Verdana"/>
          <w:sz w:val="16"/>
          <w:szCs w:val="16"/>
          <w:lang w:val="es-MX"/>
        </w:rPr>
        <w:t>,</w:t>
      </w:r>
      <w:r>
        <w:rPr>
          <w:rFonts w:ascii="Verdana" w:hAnsi="Verdana"/>
          <w:sz w:val="16"/>
          <w:szCs w:val="16"/>
          <w:lang w:val="es-MX"/>
        </w:rPr>
        <w:t xml:space="preserve"> </w:t>
      </w:r>
      <w:r w:rsidRPr="007C3D73">
        <w:rPr>
          <w:rFonts w:ascii="Verdana" w:hAnsi="Verdana"/>
          <w:i/>
          <w:sz w:val="16"/>
          <w:szCs w:val="16"/>
          <w:lang w:val="es-MX"/>
        </w:rPr>
        <w:t>supra</w:t>
      </w:r>
      <w:r>
        <w:rPr>
          <w:rFonts w:ascii="Verdana" w:hAnsi="Verdana"/>
          <w:sz w:val="16"/>
          <w:szCs w:val="16"/>
          <w:lang w:val="es-MX"/>
        </w:rPr>
        <w:t>, párr</w:t>
      </w:r>
      <w:r w:rsidRPr="007C3D73">
        <w:rPr>
          <w:rFonts w:ascii="Verdana" w:hAnsi="Verdana"/>
          <w:sz w:val="16"/>
          <w:szCs w:val="16"/>
          <w:lang w:val="es-MX"/>
        </w:rPr>
        <w:t>.</w:t>
      </w:r>
      <w:r w:rsidRPr="007C3D73">
        <w:rPr>
          <w:rFonts w:ascii="Verdana" w:hAnsi="Verdana"/>
          <w:i/>
          <w:sz w:val="16"/>
          <w:szCs w:val="16"/>
          <w:lang w:val="es-MX"/>
        </w:rPr>
        <w:t xml:space="preserve"> </w:t>
      </w:r>
      <w:r w:rsidRPr="00B820DD">
        <w:rPr>
          <w:rFonts w:ascii="Verdana" w:hAnsi="Verdana"/>
          <w:sz w:val="16"/>
          <w:szCs w:val="16"/>
          <w:lang w:val="es-MX"/>
        </w:rPr>
        <w:t>174.</w:t>
      </w:r>
      <w:r w:rsidRPr="007C3D73">
        <w:rPr>
          <w:rFonts w:ascii="Verdana" w:hAnsi="Verdana"/>
          <w:i/>
          <w:sz w:val="16"/>
          <w:szCs w:val="16"/>
          <w:lang w:val="es-MX"/>
        </w:rPr>
        <w:t xml:space="preserve"> </w:t>
      </w:r>
    </w:p>
  </w:footnote>
  <w:footnote w:id="275">
    <w:p w14:paraId="3D3DE6A0" w14:textId="74A85AAD" w:rsidR="003C025E" w:rsidRPr="00771FA4" w:rsidRDefault="003C025E" w:rsidP="00E67349">
      <w:pPr>
        <w:pStyle w:val="NoSpacing"/>
        <w:rPr>
          <w:rFonts w:ascii="Verdana" w:eastAsiaTheme="minorHAnsi" w:hAnsi="Verdana"/>
          <w:sz w:val="16"/>
          <w:szCs w:val="16"/>
          <w:lang w:val="es-ES_tradnl"/>
        </w:rPr>
      </w:pPr>
      <w:r w:rsidRPr="00E67349">
        <w:rPr>
          <w:rStyle w:val="FootnoteReference"/>
          <w:rFonts w:ascii="Verdana" w:hAnsi="Verdana"/>
          <w:sz w:val="16"/>
          <w:szCs w:val="16"/>
        </w:rPr>
        <w:footnoteRef/>
      </w:r>
      <w:r w:rsidRPr="00E67349">
        <w:rPr>
          <w:rFonts w:ascii="Verdana" w:eastAsiaTheme="minorHAnsi" w:hAnsi="Verdana"/>
          <w:sz w:val="16"/>
          <w:szCs w:val="16"/>
          <w:lang w:val="es-AR"/>
        </w:rPr>
        <w:t xml:space="preserve"> </w:t>
      </w:r>
      <w:r w:rsidRPr="00E67349">
        <w:rPr>
          <w:rFonts w:ascii="Verdana" w:eastAsiaTheme="minorHAnsi" w:hAnsi="Verdana"/>
          <w:sz w:val="16"/>
          <w:szCs w:val="16"/>
          <w:lang w:val="es-AR"/>
        </w:rPr>
        <w:tab/>
      </w:r>
      <w:r w:rsidRPr="00062586">
        <w:rPr>
          <w:rFonts w:ascii="Verdana" w:eastAsiaTheme="minorHAnsi" w:hAnsi="Verdana"/>
          <w:i/>
          <w:sz w:val="16"/>
          <w:szCs w:val="16"/>
          <w:lang w:val="es-AR"/>
        </w:rPr>
        <w:t>Cfr.</w:t>
      </w:r>
      <w:r w:rsidRPr="00E67349">
        <w:rPr>
          <w:rFonts w:ascii="Verdana" w:eastAsiaTheme="minorHAnsi" w:hAnsi="Verdana"/>
          <w:sz w:val="16"/>
          <w:szCs w:val="16"/>
          <w:lang w:val="es-AR"/>
        </w:rPr>
        <w:t xml:space="preserve"> </w:t>
      </w:r>
      <w:r w:rsidRPr="00E67349">
        <w:rPr>
          <w:rFonts w:ascii="Verdana" w:eastAsiaTheme="minorHAnsi" w:hAnsi="Verdana"/>
          <w:i/>
          <w:sz w:val="16"/>
          <w:szCs w:val="16"/>
          <w:lang w:val="es-AR"/>
        </w:rPr>
        <w:t>Caso Baena Ricardo y otros Vs. Panamá́. Competencia.</w:t>
      </w:r>
      <w:r w:rsidRPr="00E67349">
        <w:rPr>
          <w:rFonts w:ascii="Verdana" w:eastAsiaTheme="minorHAnsi" w:hAnsi="Verdana"/>
          <w:sz w:val="16"/>
          <w:szCs w:val="16"/>
          <w:lang w:val="es-AR"/>
        </w:rPr>
        <w:t xml:space="preserve"> Sentencia de 28 de noviembre de 2003. Serie C No 104. párr. 73; </w:t>
      </w:r>
      <w:r w:rsidRPr="00E67349">
        <w:rPr>
          <w:rFonts w:ascii="Verdana" w:eastAsiaTheme="minorHAnsi" w:hAnsi="Verdana"/>
          <w:i/>
          <w:sz w:val="16"/>
          <w:szCs w:val="16"/>
          <w:lang w:val="es-AR"/>
        </w:rPr>
        <w:t>Caso Acevedo Buendía y otros (“Cesantes y Jubilados de la Contraloría”) Vs. Perú́,</w:t>
      </w:r>
      <w:r w:rsidRPr="00E67349">
        <w:rPr>
          <w:rFonts w:ascii="Verdana" w:eastAsiaTheme="minorHAnsi" w:hAnsi="Verdana"/>
          <w:sz w:val="16"/>
          <w:szCs w:val="16"/>
          <w:lang w:val="es-AR"/>
        </w:rPr>
        <w:t xml:space="preserve"> </w:t>
      </w:r>
      <w:r w:rsidRPr="00062586">
        <w:rPr>
          <w:rFonts w:ascii="Verdana" w:eastAsiaTheme="minorHAnsi" w:hAnsi="Verdana"/>
          <w:i/>
          <w:sz w:val="16"/>
          <w:szCs w:val="16"/>
          <w:lang w:val="es-AR"/>
        </w:rPr>
        <w:t>supra</w:t>
      </w:r>
      <w:r w:rsidRPr="00E67349">
        <w:rPr>
          <w:rFonts w:ascii="Verdana" w:eastAsiaTheme="minorHAnsi" w:hAnsi="Verdana"/>
          <w:sz w:val="16"/>
          <w:szCs w:val="16"/>
          <w:lang w:val="es-AR"/>
        </w:rPr>
        <w:t xml:space="preserve">, párr. 69, y </w:t>
      </w:r>
      <w:r w:rsidRPr="00B1523A">
        <w:rPr>
          <w:rStyle w:val="Strong"/>
          <w:rFonts w:ascii="Verdana" w:hAnsi="Verdana"/>
          <w:b w:val="0"/>
          <w:i/>
          <w:color w:val="000000"/>
          <w:sz w:val="16"/>
          <w:szCs w:val="16"/>
          <w:shd w:val="clear" w:color="auto" w:fill="FFFFFF"/>
          <w:lang w:val="es-CR"/>
        </w:rPr>
        <w:t xml:space="preserve">Caso Vereda La Esperanza Vs. Colombia. </w:t>
      </w:r>
      <w:r>
        <w:rPr>
          <w:rStyle w:val="Strong"/>
          <w:rFonts w:ascii="Verdana" w:hAnsi="Verdana"/>
          <w:b w:val="0"/>
          <w:i/>
          <w:color w:val="000000"/>
          <w:sz w:val="16"/>
          <w:szCs w:val="16"/>
          <w:shd w:val="clear" w:color="auto" w:fill="FFFFFF"/>
          <w:lang w:val="es-CR"/>
        </w:rPr>
        <w:t>supra</w:t>
      </w:r>
      <w:r>
        <w:rPr>
          <w:rStyle w:val="Strong"/>
          <w:rFonts w:ascii="Verdana" w:hAnsi="Verdana"/>
          <w:b w:val="0"/>
          <w:color w:val="000000"/>
          <w:sz w:val="16"/>
          <w:szCs w:val="16"/>
          <w:shd w:val="clear" w:color="auto" w:fill="FFFFFF"/>
          <w:lang w:val="es-CR"/>
        </w:rPr>
        <w:t>,</w:t>
      </w:r>
      <w:r w:rsidRPr="00B1523A">
        <w:rPr>
          <w:rStyle w:val="Strong"/>
          <w:rFonts w:ascii="Verdana" w:hAnsi="Verdana"/>
          <w:b w:val="0"/>
          <w:color w:val="000000"/>
          <w:sz w:val="16"/>
          <w:szCs w:val="16"/>
          <w:shd w:val="clear" w:color="auto" w:fill="FFFFFF"/>
          <w:lang w:val="es-CR"/>
        </w:rPr>
        <w:t xml:space="preserve"> párr. </w:t>
      </w:r>
      <w:r>
        <w:rPr>
          <w:rStyle w:val="Strong"/>
          <w:rFonts w:ascii="Verdana" w:hAnsi="Verdana"/>
          <w:b w:val="0"/>
          <w:color w:val="000000"/>
          <w:sz w:val="16"/>
          <w:szCs w:val="16"/>
          <w:shd w:val="clear" w:color="auto" w:fill="FFFFFF"/>
          <w:lang w:val="es-CR"/>
        </w:rPr>
        <w:t xml:space="preserve">185. </w:t>
      </w:r>
    </w:p>
  </w:footnote>
  <w:footnote w:id="276">
    <w:p w14:paraId="0AC56258" w14:textId="4E4B1B80" w:rsidR="003C025E" w:rsidRPr="00E67349" w:rsidRDefault="003C025E" w:rsidP="00E67349">
      <w:pPr>
        <w:pStyle w:val="NoSpacing"/>
        <w:rPr>
          <w:rFonts w:ascii="Verdana" w:eastAsiaTheme="minorHAnsi" w:hAnsi="Verdana"/>
          <w:spacing w:val="-2"/>
          <w:sz w:val="16"/>
          <w:szCs w:val="16"/>
          <w:lang w:val="es-CR"/>
        </w:rPr>
      </w:pPr>
      <w:r w:rsidRPr="00E67349">
        <w:rPr>
          <w:rStyle w:val="Smbolodenotaalpie"/>
          <w:rFonts w:ascii="Verdana" w:eastAsiaTheme="minorHAnsi" w:hAnsi="Verdana"/>
          <w:sz w:val="16"/>
          <w:szCs w:val="16"/>
          <w:lang w:val="es-AR"/>
        </w:rPr>
        <w:footnoteRef/>
      </w:r>
      <w:r w:rsidRPr="00E67349">
        <w:rPr>
          <w:rFonts w:ascii="Verdana" w:eastAsiaTheme="minorHAnsi" w:hAnsi="Verdana"/>
          <w:i/>
          <w:spacing w:val="-4"/>
          <w:sz w:val="16"/>
          <w:szCs w:val="16"/>
          <w:lang w:val="es-VE"/>
        </w:rPr>
        <w:t xml:space="preserve"> </w:t>
      </w:r>
      <w:r w:rsidRPr="00E67349">
        <w:rPr>
          <w:rFonts w:ascii="Verdana" w:eastAsiaTheme="minorHAnsi" w:hAnsi="Verdana"/>
          <w:i/>
          <w:spacing w:val="-4"/>
          <w:sz w:val="16"/>
          <w:szCs w:val="16"/>
          <w:lang w:val="es-VE"/>
        </w:rPr>
        <w:tab/>
      </w:r>
      <w:r w:rsidRPr="00062586">
        <w:rPr>
          <w:rFonts w:ascii="Verdana" w:eastAsiaTheme="minorHAnsi" w:hAnsi="Verdana"/>
          <w:i/>
          <w:spacing w:val="-4"/>
          <w:sz w:val="16"/>
          <w:szCs w:val="16"/>
          <w:lang w:val="es-VE"/>
        </w:rPr>
        <w:t>Cfr.</w:t>
      </w:r>
      <w:r w:rsidRPr="00E67349">
        <w:rPr>
          <w:rFonts w:ascii="Verdana" w:eastAsiaTheme="minorHAnsi" w:hAnsi="Verdana"/>
          <w:i/>
          <w:spacing w:val="-4"/>
          <w:sz w:val="16"/>
          <w:szCs w:val="16"/>
          <w:lang w:val="es-VE"/>
        </w:rPr>
        <w:t xml:space="preserve"> </w:t>
      </w:r>
      <w:r w:rsidRPr="00E67349">
        <w:rPr>
          <w:rFonts w:ascii="Verdana" w:eastAsiaTheme="minorHAnsi" w:hAnsi="Verdana"/>
          <w:i/>
          <w:sz w:val="16"/>
          <w:szCs w:val="16"/>
          <w:lang w:val="es-AR"/>
        </w:rPr>
        <w:t>Caso</w:t>
      </w:r>
      <w:r w:rsidRPr="00E67349">
        <w:rPr>
          <w:rFonts w:ascii="Verdana" w:eastAsiaTheme="minorHAnsi" w:hAnsi="Verdana" w:cs="Arial"/>
          <w:spacing w:val="-4"/>
          <w:sz w:val="16"/>
          <w:szCs w:val="16"/>
          <w:lang w:val="es-CR"/>
        </w:rPr>
        <w:t xml:space="preserve"> </w:t>
      </w:r>
      <w:r w:rsidRPr="00E67349">
        <w:rPr>
          <w:rFonts w:ascii="Verdana" w:eastAsiaTheme="minorHAnsi" w:hAnsi="Verdana" w:cs="Arial"/>
          <w:i/>
          <w:spacing w:val="-4"/>
          <w:sz w:val="16"/>
          <w:szCs w:val="16"/>
          <w:lang w:val="es-CR"/>
        </w:rPr>
        <w:t>Velásquez Rodríguez Vs. Honduras. Fondo</w:t>
      </w:r>
      <w:r w:rsidRPr="00E67349">
        <w:rPr>
          <w:rFonts w:ascii="Verdana" w:eastAsiaTheme="minorHAnsi" w:hAnsi="Verdana" w:cs="Arial"/>
          <w:spacing w:val="-4"/>
          <w:sz w:val="16"/>
          <w:szCs w:val="16"/>
          <w:lang w:val="es-CR"/>
        </w:rPr>
        <w:t xml:space="preserve">, </w:t>
      </w:r>
      <w:r w:rsidRPr="00E67349">
        <w:rPr>
          <w:rFonts w:ascii="Verdana" w:eastAsiaTheme="minorHAnsi" w:hAnsi="Verdana" w:cs="Verdana"/>
          <w:spacing w:val="-4"/>
          <w:sz w:val="16"/>
          <w:szCs w:val="16"/>
          <w:lang w:val="es-VE"/>
        </w:rPr>
        <w:t>párr. 177</w:t>
      </w:r>
      <w:r w:rsidRPr="00E67349">
        <w:rPr>
          <w:rFonts w:ascii="Verdana" w:eastAsiaTheme="minorHAnsi" w:hAnsi="Verdana"/>
          <w:spacing w:val="-2"/>
          <w:sz w:val="16"/>
          <w:szCs w:val="16"/>
          <w:lang w:val="es-VE"/>
        </w:rPr>
        <w:t xml:space="preserve">, </w:t>
      </w:r>
      <w:r w:rsidRPr="00E67349">
        <w:rPr>
          <w:rFonts w:ascii="Verdana" w:eastAsiaTheme="minorHAnsi" w:hAnsi="Verdana"/>
          <w:spacing w:val="-2"/>
          <w:sz w:val="16"/>
          <w:szCs w:val="16"/>
          <w:lang w:val="es-CR"/>
        </w:rPr>
        <w:t>y</w:t>
      </w:r>
      <w:r w:rsidRPr="00771FA4">
        <w:rPr>
          <w:rFonts w:ascii="Verdana" w:eastAsiaTheme="minorHAnsi" w:hAnsi="Verdana"/>
          <w:spacing w:val="-2"/>
          <w:sz w:val="16"/>
          <w:szCs w:val="16"/>
          <w:lang w:val="es-CR"/>
        </w:rPr>
        <w:t xml:space="preserve"> </w:t>
      </w:r>
      <w:r w:rsidRPr="00B1523A">
        <w:rPr>
          <w:rFonts w:ascii="Verdana" w:eastAsiaTheme="minorHAnsi" w:hAnsi="Verdana"/>
          <w:i/>
          <w:spacing w:val="-2"/>
          <w:sz w:val="16"/>
          <w:szCs w:val="16"/>
          <w:lang w:val="es-CR"/>
        </w:rPr>
        <w:t>Caso Vereda la Esperanza Vs. Colombia, supra,</w:t>
      </w:r>
      <w:r w:rsidRPr="00771FA4">
        <w:rPr>
          <w:rFonts w:ascii="Verdana" w:eastAsiaTheme="minorHAnsi" w:hAnsi="Verdana"/>
          <w:spacing w:val="-2"/>
          <w:sz w:val="16"/>
          <w:szCs w:val="16"/>
          <w:lang w:val="es-CR"/>
        </w:rPr>
        <w:t xml:space="preserve"> párr. 185. </w:t>
      </w:r>
    </w:p>
  </w:footnote>
  <w:footnote w:id="277">
    <w:p w14:paraId="515A71C1" w14:textId="46588759" w:rsidR="003C025E" w:rsidRPr="00771FA4" w:rsidRDefault="003C025E" w:rsidP="00E67349">
      <w:pPr>
        <w:pStyle w:val="NoSpacing"/>
        <w:rPr>
          <w:rFonts w:ascii="Verdana" w:eastAsiaTheme="minorHAnsi" w:hAnsi="Verdana"/>
          <w:spacing w:val="-2"/>
          <w:sz w:val="16"/>
          <w:szCs w:val="16"/>
          <w:lang w:val="es-CR"/>
        </w:rPr>
      </w:pPr>
      <w:r w:rsidRPr="00E67349">
        <w:rPr>
          <w:rStyle w:val="Smbolodenotaalpie"/>
          <w:rFonts w:ascii="Verdana" w:eastAsiaTheme="minorHAnsi" w:hAnsi="Verdana"/>
          <w:sz w:val="16"/>
          <w:szCs w:val="16"/>
          <w:lang w:val="es-AR"/>
        </w:rPr>
        <w:footnoteRef/>
      </w:r>
      <w:r w:rsidRPr="00E67349">
        <w:rPr>
          <w:rFonts w:ascii="Verdana" w:eastAsiaTheme="minorHAnsi" w:hAnsi="Verdana"/>
          <w:spacing w:val="-4"/>
          <w:sz w:val="16"/>
          <w:szCs w:val="16"/>
          <w:lang w:val="es-GT"/>
        </w:rPr>
        <w:t xml:space="preserve"> </w:t>
      </w:r>
      <w:r w:rsidRPr="00E67349">
        <w:rPr>
          <w:rFonts w:ascii="Verdana" w:eastAsiaTheme="minorHAnsi" w:hAnsi="Verdana"/>
          <w:spacing w:val="-4"/>
          <w:sz w:val="16"/>
          <w:szCs w:val="16"/>
          <w:lang w:val="es-GT"/>
        </w:rPr>
        <w:tab/>
      </w:r>
      <w:r w:rsidRPr="00062586">
        <w:rPr>
          <w:rFonts w:ascii="Verdana" w:eastAsiaTheme="minorHAnsi" w:hAnsi="Verdana"/>
          <w:i/>
          <w:spacing w:val="-4"/>
          <w:sz w:val="16"/>
          <w:szCs w:val="16"/>
          <w:lang w:val="es-GT"/>
        </w:rPr>
        <w:t>Cfr.</w:t>
      </w:r>
      <w:r w:rsidRPr="00E67349">
        <w:rPr>
          <w:rFonts w:ascii="Verdana" w:eastAsiaTheme="minorHAnsi" w:hAnsi="Verdana"/>
          <w:i/>
          <w:spacing w:val="-4"/>
          <w:sz w:val="16"/>
          <w:szCs w:val="16"/>
          <w:lang w:val="es-GT"/>
        </w:rPr>
        <w:t xml:space="preserve"> </w:t>
      </w:r>
      <w:r w:rsidRPr="00E67349">
        <w:rPr>
          <w:rFonts w:ascii="Verdana" w:eastAsiaTheme="minorHAnsi" w:hAnsi="Verdana"/>
          <w:i/>
          <w:spacing w:val="-4"/>
          <w:sz w:val="16"/>
          <w:szCs w:val="16"/>
          <w:lang w:val="es-CR"/>
        </w:rPr>
        <w:t xml:space="preserve">Caso Juan Humberto Sánchez Vs. Honduras. Excepción Preliminar, Fondo, Reparaciones y Costas. </w:t>
      </w:r>
      <w:r w:rsidRPr="00E67349">
        <w:rPr>
          <w:rFonts w:ascii="Verdana" w:eastAsiaTheme="minorHAnsi" w:hAnsi="Verdana"/>
          <w:spacing w:val="-4"/>
          <w:sz w:val="16"/>
          <w:szCs w:val="16"/>
          <w:lang w:val="es-CR"/>
        </w:rPr>
        <w:t xml:space="preserve">Sentencia de 7 de junio de 2003. Serie C No. 99, </w:t>
      </w:r>
      <w:r w:rsidRPr="00E67349">
        <w:rPr>
          <w:rFonts w:ascii="Verdana" w:eastAsiaTheme="minorHAnsi" w:hAnsi="Verdana" w:cs="Verdana"/>
          <w:spacing w:val="-4"/>
          <w:sz w:val="16"/>
          <w:szCs w:val="16"/>
          <w:lang w:val="es-CR"/>
        </w:rPr>
        <w:t>párr. 127,</w:t>
      </w:r>
      <w:r w:rsidRPr="00E67349">
        <w:rPr>
          <w:rFonts w:ascii="Verdana" w:eastAsiaTheme="minorHAnsi" w:hAnsi="Verdana"/>
          <w:spacing w:val="-4"/>
          <w:sz w:val="16"/>
          <w:szCs w:val="16"/>
          <w:lang w:val="es-PR"/>
        </w:rPr>
        <w:t xml:space="preserve"> </w:t>
      </w:r>
      <w:r w:rsidRPr="00E67349">
        <w:rPr>
          <w:rFonts w:ascii="Verdana" w:eastAsiaTheme="minorHAnsi" w:hAnsi="Verdana"/>
          <w:spacing w:val="-2"/>
          <w:sz w:val="16"/>
          <w:szCs w:val="16"/>
          <w:lang w:val="es-CR"/>
        </w:rPr>
        <w:t xml:space="preserve">y </w:t>
      </w:r>
      <w:r w:rsidRPr="00E67349">
        <w:rPr>
          <w:rFonts w:ascii="Verdana" w:eastAsiaTheme="minorHAnsi" w:hAnsi="Verdana"/>
          <w:i/>
          <w:spacing w:val="-2"/>
          <w:sz w:val="16"/>
          <w:szCs w:val="16"/>
          <w:lang w:val="es-CR"/>
        </w:rPr>
        <w:t xml:space="preserve">Caso </w:t>
      </w:r>
      <w:r>
        <w:rPr>
          <w:rFonts w:ascii="Verdana" w:eastAsiaTheme="minorHAnsi" w:hAnsi="Verdana"/>
          <w:i/>
          <w:spacing w:val="-2"/>
          <w:sz w:val="16"/>
          <w:szCs w:val="16"/>
          <w:lang w:val="es-CR"/>
        </w:rPr>
        <w:t xml:space="preserve">Vereda la Esperanza Vs. Colombia, supra, </w:t>
      </w:r>
      <w:r w:rsidRPr="00B1523A">
        <w:rPr>
          <w:rFonts w:ascii="Verdana" w:eastAsiaTheme="minorHAnsi" w:hAnsi="Verdana"/>
          <w:spacing w:val="-2"/>
          <w:sz w:val="16"/>
          <w:szCs w:val="16"/>
          <w:lang w:val="es-CR"/>
        </w:rPr>
        <w:t xml:space="preserve">párr. 185. </w:t>
      </w:r>
    </w:p>
  </w:footnote>
  <w:footnote w:id="278">
    <w:p w14:paraId="15CAE443" w14:textId="1FD0B4E6" w:rsidR="003C025E" w:rsidRPr="00E67349" w:rsidRDefault="003C025E" w:rsidP="00E67349">
      <w:pPr>
        <w:pStyle w:val="NoSpacing"/>
        <w:rPr>
          <w:rFonts w:ascii="Verdana" w:eastAsiaTheme="minorHAnsi" w:hAnsi="Verdana"/>
          <w:spacing w:val="-2"/>
          <w:sz w:val="16"/>
          <w:szCs w:val="16"/>
          <w:lang w:val="es-CR"/>
        </w:rPr>
      </w:pPr>
      <w:r w:rsidRPr="00E67349">
        <w:rPr>
          <w:rStyle w:val="Smbolodenotaalpie"/>
          <w:rFonts w:ascii="Verdana" w:eastAsiaTheme="minorHAnsi" w:hAnsi="Verdana"/>
          <w:sz w:val="16"/>
          <w:szCs w:val="16"/>
          <w:lang w:val="es-AR"/>
        </w:rPr>
        <w:footnoteRef/>
      </w:r>
      <w:r w:rsidRPr="00E67349">
        <w:rPr>
          <w:rFonts w:ascii="Verdana" w:eastAsiaTheme="minorHAnsi" w:hAnsi="Verdana"/>
          <w:i/>
          <w:spacing w:val="-4"/>
          <w:sz w:val="16"/>
          <w:szCs w:val="16"/>
          <w:lang w:val="es-CL"/>
        </w:rPr>
        <w:t xml:space="preserve"> </w:t>
      </w:r>
      <w:r w:rsidRPr="00E67349">
        <w:rPr>
          <w:rFonts w:ascii="Verdana" w:eastAsiaTheme="minorHAnsi" w:hAnsi="Verdana"/>
          <w:i/>
          <w:spacing w:val="-4"/>
          <w:sz w:val="16"/>
          <w:szCs w:val="16"/>
          <w:lang w:val="es-CL"/>
        </w:rPr>
        <w:tab/>
      </w:r>
      <w:r w:rsidRPr="00062586">
        <w:rPr>
          <w:rFonts w:ascii="Verdana" w:eastAsiaTheme="minorHAnsi" w:hAnsi="Verdana"/>
          <w:i/>
          <w:spacing w:val="-4"/>
          <w:sz w:val="16"/>
          <w:szCs w:val="16"/>
          <w:lang w:val="es-GT"/>
        </w:rPr>
        <w:t>Cfr.</w:t>
      </w:r>
      <w:r w:rsidRPr="00E67349">
        <w:rPr>
          <w:rFonts w:ascii="Verdana" w:eastAsiaTheme="minorHAnsi" w:hAnsi="Verdana"/>
          <w:i/>
          <w:spacing w:val="-4"/>
          <w:sz w:val="16"/>
          <w:szCs w:val="16"/>
          <w:lang w:val="es-GT"/>
        </w:rPr>
        <w:t xml:space="preserve"> </w:t>
      </w:r>
      <w:r w:rsidRPr="00E67349">
        <w:rPr>
          <w:rFonts w:ascii="Verdana" w:eastAsiaTheme="minorHAnsi" w:hAnsi="Verdana"/>
          <w:bCs/>
          <w:i/>
          <w:spacing w:val="-4"/>
          <w:sz w:val="16"/>
          <w:szCs w:val="16"/>
          <w:lang w:val="es-GT"/>
        </w:rPr>
        <w:t xml:space="preserve">Caso </w:t>
      </w:r>
      <w:r w:rsidRPr="00E67349">
        <w:rPr>
          <w:rFonts w:ascii="Verdana" w:eastAsiaTheme="minorHAnsi" w:hAnsi="Verdana"/>
          <w:i/>
          <w:spacing w:val="-4"/>
          <w:sz w:val="16"/>
          <w:szCs w:val="16"/>
          <w:lang w:val="es-CR"/>
        </w:rPr>
        <w:t>de</w:t>
      </w:r>
      <w:r w:rsidRPr="00E67349">
        <w:rPr>
          <w:rFonts w:ascii="Verdana" w:eastAsiaTheme="minorHAnsi" w:hAnsi="Verdana"/>
          <w:bCs/>
          <w:i/>
          <w:spacing w:val="-4"/>
          <w:sz w:val="16"/>
          <w:szCs w:val="16"/>
          <w:lang w:val="es-GT"/>
        </w:rPr>
        <w:t xml:space="preserve"> las Hermanas Serrano Cruz Vs. El Salvador. Fondo, Reparaciones y Costas. </w:t>
      </w:r>
      <w:r w:rsidRPr="00E67349">
        <w:rPr>
          <w:rFonts w:ascii="Verdana" w:eastAsiaTheme="minorHAnsi" w:hAnsi="Verdana"/>
          <w:bCs/>
          <w:spacing w:val="-4"/>
          <w:sz w:val="16"/>
          <w:szCs w:val="16"/>
          <w:lang w:val="es-GT"/>
        </w:rPr>
        <w:t>Sentencia de 1 de marzo de 2005. Serie C No. 120</w:t>
      </w:r>
      <w:r w:rsidRPr="00E67349">
        <w:rPr>
          <w:rFonts w:ascii="Verdana" w:eastAsiaTheme="minorHAnsi" w:hAnsi="Verdana"/>
          <w:bCs/>
          <w:i/>
          <w:spacing w:val="-4"/>
          <w:sz w:val="16"/>
          <w:szCs w:val="16"/>
          <w:lang w:val="es-GT"/>
        </w:rPr>
        <w:t xml:space="preserve">, </w:t>
      </w:r>
      <w:r w:rsidRPr="00E67349">
        <w:rPr>
          <w:rFonts w:ascii="Verdana" w:eastAsiaTheme="minorHAnsi" w:hAnsi="Verdana"/>
          <w:spacing w:val="-4"/>
          <w:sz w:val="16"/>
          <w:szCs w:val="16"/>
          <w:lang w:val="es-GT"/>
        </w:rPr>
        <w:t xml:space="preserve">párr. 83, </w:t>
      </w:r>
      <w:r w:rsidRPr="00771FA4">
        <w:rPr>
          <w:rStyle w:val="Strong"/>
          <w:rFonts w:ascii="Verdana" w:eastAsiaTheme="minorHAnsi" w:hAnsi="Verdana"/>
          <w:b w:val="0"/>
          <w:color w:val="000000"/>
          <w:sz w:val="16"/>
          <w:szCs w:val="16"/>
          <w:lang w:val="es-AR"/>
        </w:rPr>
        <w:t xml:space="preserve">y </w:t>
      </w:r>
      <w:r w:rsidRPr="00B1523A">
        <w:rPr>
          <w:rStyle w:val="Strong"/>
          <w:rFonts w:ascii="Verdana" w:eastAsiaTheme="minorHAnsi" w:hAnsi="Verdana"/>
          <w:b w:val="0"/>
          <w:i/>
          <w:color w:val="000000"/>
          <w:sz w:val="16"/>
          <w:szCs w:val="16"/>
          <w:lang w:val="es-AR"/>
        </w:rPr>
        <w:t>Caso Vereda la Esperanza Vs. Colombia, supra,</w:t>
      </w:r>
      <w:r w:rsidRPr="00771FA4">
        <w:rPr>
          <w:rStyle w:val="Strong"/>
          <w:rFonts w:ascii="Verdana" w:eastAsiaTheme="minorHAnsi" w:hAnsi="Verdana"/>
          <w:b w:val="0"/>
          <w:color w:val="000000"/>
          <w:sz w:val="16"/>
          <w:szCs w:val="16"/>
          <w:lang w:val="es-AR"/>
        </w:rPr>
        <w:t xml:space="preserve"> párr. 185.</w:t>
      </w:r>
    </w:p>
  </w:footnote>
  <w:footnote w:id="279">
    <w:p w14:paraId="23A3AE71" w14:textId="5FCCB367" w:rsidR="003C025E" w:rsidRPr="00E67349" w:rsidRDefault="003C025E" w:rsidP="00E67349">
      <w:pPr>
        <w:pStyle w:val="NoSpacing"/>
        <w:rPr>
          <w:rFonts w:ascii="Verdana" w:eastAsiaTheme="minorHAnsi" w:hAnsi="Verdana"/>
          <w:sz w:val="16"/>
          <w:szCs w:val="16"/>
          <w:lang w:val="es-CR"/>
        </w:rPr>
      </w:pPr>
      <w:r w:rsidRPr="00E67349">
        <w:rPr>
          <w:rStyle w:val="Smbolodenotaalpie"/>
          <w:rFonts w:ascii="Verdana" w:eastAsiaTheme="minorHAnsi" w:hAnsi="Verdana"/>
          <w:sz w:val="16"/>
          <w:szCs w:val="16"/>
          <w:lang w:val="es-AR"/>
        </w:rPr>
        <w:footnoteRef/>
      </w:r>
      <w:r w:rsidRPr="00E67349">
        <w:rPr>
          <w:rFonts w:ascii="Verdana" w:eastAsiaTheme="minorHAnsi" w:hAnsi="Verdana"/>
          <w:sz w:val="16"/>
          <w:szCs w:val="16"/>
          <w:lang w:val="es-CR"/>
        </w:rPr>
        <w:t xml:space="preserve"> </w:t>
      </w:r>
      <w:r w:rsidRPr="00E67349">
        <w:rPr>
          <w:rFonts w:ascii="Verdana" w:eastAsiaTheme="minorHAnsi" w:hAnsi="Verdana"/>
          <w:sz w:val="16"/>
          <w:szCs w:val="16"/>
          <w:lang w:val="es-CR"/>
        </w:rPr>
        <w:tab/>
      </w:r>
      <w:r w:rsidRPr="00062586">
        <w:rPr>
          <w:rFonts w:ascii="Verdana" w:eastAsiaTheme="minorHAnsi" w:hAnsi="Verdana"/>
          <w:i/>
          <w:sz w:val="16"/>
          <w:szCs w:val="16"/>
          <w:lang w:val="es-CR"/>
        </w:rPr>
        <w:t>Cfr.</w:t>
      </w:r>
      <w:r w:rsidRPr="00E67349">
        <w:rPr>
          <w:rFonts w:ascii="Verdana" w:eastAsiaTheme="minorHAnsi" w:hAnsi="Verdana"/>
          <w:i/>
          <w:sz w:val="16"/>
          <w:szCs w:val="16"/>
          <w:lang w:val="es-CR"/>
        </w:rPr>
        <w:t xml:space="preserve"> Caso de los “Niños de la Calle” (Villagrán Morales y otros) vs. Guatemala. Fondo</w:t>
      </w:r>
      <w:r w:rsidRPr="00E67349">
        <w:rPr>
          <w:rFonts w:ascii="Verdana" w:eastAsiaTheme="minorHAnsi" w:hAnsi="Verdana"/>
          <w:sz w:val="16"/>
          <w:szCs w:val="16"/>
          <w:lang w:val="es-CR"/>
        </w:rPr>
        <w:t xml:space="preserve">. Sentencia de 19 de noviembre de 1999. Serie C No. 63, párr. 222, </w:t>
      </w:r>
      <w:r w:rsidRPr="003B52C8">
        <w:rPr>
          <w:rFonts w:ascii="Verdana" w:eastAsiaTheme="minorHAnsi" w:hAnsi="Verdana"/>
          <w:i/>
          <w:sz w:val="16"/>
          <w:szCs w:val="16"/>
          <w:lang w:val="es-CR"/>
        </w:rPr>
        <w:t>y Caso Vereda la Esperanza Vs. Colombia, supra,</w:t>
      </w:r>
      <w:r>
        <w:rPr>
          <w:rFonts w:ascii="Verdana" w:eastAsiaTheme="minorHAnsi" w:hAnsi="Verdana"/>
          <w:sz w:val="16"/>
          <w:szCs w:val="16"/>
          <w:lang w:val="es-CR"/>
        </w:rPr>
        <w:t xml:space="preserve"> párr. 186</w:t>
      </w:r>
      <w:r w:rsidRPr="00577C10">
        <w:rPr>
          <w:rFonts w:ascii="Verdana" w:eastAsiaTheme="minorHAnsi" w:hAnsi="Verdana"/>
          <w:sz w:val="16"/>
          <w:szCs w:val="16"/>
          <w:lang w:val="es-CR"/>
        </w:rPr>
        <w:t>.</w:t>
      </w:r>
    </w:p>
  </w:footnote>
  <w:footnote w:id="280">
    <w:p w14:paraId="5967DF32" w14:textId="6DB5DA60" w:rsidR="003C025E" w:rsidRPr="00E67349" w:rsidRDefault="003C025E" w:rsidP="00E67349">
      <w:pPr>
        <w:pStyle w:val="NoSpacing"/>
        <w:rPr>
          <w:rFonts w:ascii="Verdana" w:hAnsi="Verdana"/>
          <w:sz w:val="16"/>
          <w:szCs w:val="16"/>
          <w:lang w:val="es-ES_tradnl"/>
        </w:rPr>
      </w:pPr>
      <w:r w:rsidRPr="00E67349">
        <w:rPr>
          <w:rStyle w:val="FootnoteReference"/>
          <w:rFonts w:ascii="Verdana" w:eastAsiaTheme="majorEastAsia" w:hAnsi="Verdana"/>
          <w:sz w:val="16"/>
          <w:szCs w:val="16"/>
          <w:lang w:val="es-AR"/>
        </w:rPr>
        <w:footnoteRef/>
      </w:r>
      <w:r w:rsidRPr="00E67349">
        <w:rPr>
          <w:rFonts w:ascii="Verdana" w:eastAsiaTheme="minorHAnsi" w:hAnsi="Verdana"/>
          <w:sz w:val="16"/>
          <w:szCs w:val="16"/>
          <w:lang w:val="es-AR"/>
        </w:rPr>
        <w:t xml:space="preserve"> </w:t>
      </w:r>
      <w:r w:rsidRPr="00E67349">
        <w:rPr>
          <w:rFonts w:ascii="Verdana" w:eastAsiaTheme="minorHAnsi" w:hAnsi="Verdana"/>
          <w:sz w:val="16"/>
          <w:szCs w:val="16"/>
          <w:lang w:val="es-AR"/>
        </w:rPr>
        <w:tab/>
      </w:r>
      <w:r w:rsidRPr="00062586">
        <w:rPr>
          <w:rFonts w:ascii="Verdana" w:eastAsiaTheme="minorHAnsi" w:hAnsi="Verdana"/>
          <w:i/>
          <w:sz w:val="16"/>
          <w:szCs w:val="16"/>
          <w:lang w:val="es-AR"/>
        </w:rPr>
        <w:t>Cfr.</w:t>
      </w:r>
      <w:r w:rsidRPr="00E67349">
        <w:rPr>
          <w:rFonts w:ascii="Verdana" w:eastAsiaTheme="minorHAnsi" w:hAnsi="Verdana"/>
          <w:i/>
          <w:sz w:val="16"/>
          <w:szCs w:val="16"/>
          <w:lang w:val="es-AR"/>
        </w:rPr>
        <w:t xml:space="preserve"> Caso</w:t>
      </w:r>
      <w:r w:rsidRPr="00E67349">
        <w:rPr>
          <w:rFonts w:ascii="Verdana" w:eastAsiaTheme="minorHAnsi" w:hAnsi="Verdana"/>
          <w:sz w:val="16"/>
          <w:szCs w:val="16"/>
          <w:lang w:val="es-AR"/>
        </w:rPr>
        <w:t xml:space="preserve"> </w:t>
      </w:r>
      <w:proofErr w:type="spellStart"/>
      <w:r w:rsidRPr="00E67349">
        <w:rPr>
          <w:rFonts w:ascii="Verdana" w:eastAsiaTheme="minorHAnsi" w:hAnsi="Verdana"/>
          <w:bCs/>
          <w:i/>
          <w:spacing w:val="-4"/>
          <w:sz w:val="16"/>
          <w:szCs w:val="16"/>
          <w:lang w:val="es-GT"/>
        </w:rPr>
        <w:t>Yarce</w:t>
      </w:r>
      <w:proofErr w:type="spellEnd"/>
      <w:r w:rsidRPr="00E67349">
        <w:rPr>
          <w:rFonts w:ascii="Verdana" w:eastAsiaTheme="minorHAnsi" w:hAnsi="Verdana"/>
          <w:bCs/>
          <w:i/>
          <w:spacing w:val="-4"/>
          <w:sz w:val="16"/>
          <w:szCs w:val="16"/>
          <w:lang w:val="es-GT"/>
        </w:rPr>
        <w:t xml:space="preserve"> y Otras Vs. Colombia, </w:t>
      </w:r>
      <w:r w:rsidRPr="00E67349">
        <w:rPr>
          <w:rFonts w:ascii="Verdana" w:eastAsiaTheme="minorHAnsi" w:hAnsi="Verdana"/>
          <w:bCs/>
          <w:spacing w:val="-4"/>
          <w:sz w:val="16"/>
          <w:szCs w:val="16"/>
          <w:lang w:val="es-GT"/>
        </w:rPr>
        <w:t>párr.</w:t>
      </w:r>
      <w:r w:rsidRPr="00E67349">
        <w:rPr>
          <w:rFonts w:ascii="Verdana" w:eastAsiaTheme="minorHAnsi" w:hAnsi="Verdana"/>
          <w:sz w:val="16"/>
          <w:szCs w:val="16"/>
          <w:lang w:val="es-AR"/>
        </w:rPr>
        <w:t xml:space="preserve"> 282</w:t>
      </w:r>
      <w:r>
        <w:rPr>
          <w:rFonts w:ascii="Verdana" w:eastAsiaTheme="minorHAnsi" w:hAnsi="Verdana"/>
          <w:sz w:val="16"/>
          <w:szCs w:val="16"/>
          <w:lang w:val="es-AR"/>
        </w:rPr>
        <w:t xml:space="preserve">, </w:t>
      </w:r>
      <w:r w:rsidRPr="00B820DD">
        <w:rPr>
          <w:rFonts w:ascii="Verdana" w:eastAsiaTheme="minorHAnsi" w:hAnsi="Verdana"/>
          <w:i/>
          <w:sz w:val="16"/>
          <w:szCs w:val="16"/>
          <w:lang w:val="es-AR"/>
        </w:rPr>
        <w:t>y Caso Vereda la Esperanza Vs. Colombia, supra,</w:t>
      </w:r>
      <w:r w:rsidRPr="00577C10">
        <w:rPr>
          <w:rFonts w:ascii="Verdana" w:eastAsiaTheme="minorHAnsi" w:hAnsi="Verdana"/>
          <w:sz w:val="16"/>
          <w:szCs w:val="16"/>
          <w:lang w:val="es-AR"/>
        </w:rPr>
        <w:t xml:space="preserve"> párr. 186</w:t>
      </w:r>
      <w:r w:rsidRPr="00E67349">
        <w:rPr>
          <w:rFonts w:ascii="Verdana" w:eastAsiaTheme="minorHAnsi" w:hAnsi="Verdana"/>
          <w:sz w:val="16"/>
          <w:szCs w:val="16"/>
          <w:lang w:val="es-AR"/>
        </w:rPr>
        <w:t>.</w:t>
      </w:r>
    </w:p>
  </w:footnote>
  <w:footnote w:id="281">
    <w:p w14:paraId="00EA5935" w14:textId="72DAC2A1" w:rsidR="003C025E" w:rsidRPr="00E67349" w:rsidRDefault="003C025E" w:rsidP="00E67349">
      <w:pPr>
        <w:pStyle w:val="FootnoteText"/>
        <w:rPr>
          <w:spacing w:val="-4"/>
          <w:sz w:val="16"/>
          <w:szCs w:val="16"/>
          <w:lang w:val="es-CR"/>
        </w:rPr>
      </w:pPr>
      <w:r w:rsidRPr="00E67349">
        <w:rPr>
          <w:rStyle w:val="Smbolodenotaalpie"/>
          <w:rFonts w:ascii="Verdana" w:hAnsi="Verdana"/>
          <w:sz w:val="16"/>
          <w:szCs w:val="16"/>
        </w:rPr>
        <w:footnoteRef/>
      </w:r>
      <w:r w:rsidRPr="00E67349">
        <w:rPr>
          <w:i/>
          <w:spacing w:val="-4"/>
          <w:sz w:val="16"/>
          <w:szCs w:val="16"/>
          <w:lang w:val="es-CR"/>
        </w:rPr>
        <w:t xml:space="preserve"> </w:t>
      </w:r>
      <w:r w:rsidRPr="00E67349">
        <w:rPr>
          <w:i/>
          <w:spacing w:val="-4"/>
          <w:sz w:val="16"/>
          <w:szCs w:val="16"/>
          <w:lang w:val="es-CR"/>
        </w:rPr>
        <w:tab/>
      </w:r>
      <w:r w:rsidRPr="00062586">
        <w:rPr>
          <w:i/>
          <w:spacing w:val="-4"/>
          <w:sz w:val="16"/>
          <w:szCs w:val="16"/>
          <w:lang w:val="es-CR"/>
        </w:rPr>
        <w:t>Cfr.</w:t>
      </w:r>
      <w:r w:rsidRPr="00E67349">
        <w:rPr>
          <w:spacing w:val="-4"/>
          <w:sz w:val="16"/>
          <w:szCs w:val="16"/>
          <w:lang w:val="es-CR"/>
        </w:rPr>
        <w:t xml:space="preserve"> </w:t>
      </w:r>
      <w:r w:rsidRPr="00E67349">
        <w:rPr>
          <w:rFonts w:cs="Arial"/>
          <w:i/>
          <w:spacing w:val="-4"/>
          <w:sz w:val="16"/>
          <w:szCs w:val="16"/>
          <w:lang w:val="es-CR"/>
        </w:rPr>
        <w:t xml:space="preserve">Caso </w:t>
      </w:r>
      <w:proofErr w:type="spellStart"/>
      <w:r w:rsidRPr="00E67349">
        <w:rPr>
          <w:rFonts w:cs="Arial"/>
          <w:i/>
          <w:spacing w:val="-4"/>
          <w:sz w:val="16"/>
          <w:szCs w:val="16"/>
          <w:lang w:val="es-CR"/>
        </w:rPr>
        <w:t>Ibsen</w:t>
      </w:r>
      <w:proofErr w:type="spellEnd"/>
      <w:r w:rsidRPr="00E67349">
        <w:rPr>
          <w:rFonts w:cs="Arial"/>
          <w:i/>
          <w:spacing w:val="-4"/>
          <w:sz w:val="16"/>
          <w:szCs w:val="16"/>
          <w:lang w:val="es-CR"/>
        </w:rPr>
        <w:t xml:space="preserve"> </w:t>
      </w:r>
      <w:r w:rsidRPr="00E67349">
        <w:rPr>
          <w:rFonts w:cstheme="minorBidi"/>
          <w:bCs/>
          <w:i/>
          <w:spacing w:val="-4"/>
          <w:sz w:val="16"/>
          <w:szCs w:val="16"/>
          <w:lang w:val="es-GT"/>
        </w:rPr>
        <w:t>Cárdenas</w:t>
      </w:r>
      <w:r w:rsidRPr="00E67349">
        <w:rPr>
          <w:rFonts w:cs="Arial"/>
          <w:i/>
          <w:spacing w:val="-4"/>
          <w:sz w:val="16"/>
          <w:szCs w:val="16"/>
          <w:lang w:val="es-CR"/>
        </w:rPr>
        <w:t xml:space="preserve"> e </w:t>
      </w:r>
      <w:proofErr w:type="spellStart"/>
      <w:r w:rsidRPr="00E67349">
        <w:rPr>
          <w:rFonts w:cs="Arial"/>
          <w:i/>
          <w:spacing w:val="-4"/>
          <w:sz w:val="16"/>
          <w:szCs w:val="16"/>
          <w:lang w:val="es-CR"/>
        </w:rPr>
        <w:t>Ibsen</w:t>
      </w:r>
      <w:proofErr w:type="spellEnd"/>
      <w:r w:rsidRPr="00E67349">
        <w:rPr>
          <w:rFonts w:cs="Arial"/>
          <w:i/>
          <w:spacing w:val="-4"/>
          <w:sz w:val="16"/>
          <w:szCs w:val="16"/>
          <w:lang w:val="es-CR"/>
        </w:rPr>
        <w:t xml:space="preserve"> Peña Vs. Bolivia. Fondo, Reparaciones y Costas.</w:t>
      </w:r>
      <w:r w:rsidRPr="00E67349">
        <w:rPr>
          <w:rFonts w:cs="Arial"/>
          <w:spacing w:val="-4"/>
          <w:sz w:val="16"/>
          <w:szCs w:val="16"/>
          <w:lang w:val="es-CR"/>
        </w:rPr>
        <w:t xml:space="preserve"> Sentencia de 1 de septiembre de 2010. Serie C No. 217</w:t>
      </w:r>
      <w:r w:rsidRPr="00E67349">
        <w:rPr>
          <w:spacing w:val="-4"/>
          <w:sz w:val="16"/>
          <w:szCs w:val="16"/>
          <w:lang w:val="es-CR"/>
        </w:rPr>
        <w:t xml:space="preserve">, párr. 172, y </w:t>
      </w:r>
      <w:r w:rsidRPr="00577C10">
        <w:rPr>
          <w:i/>
          <w:sz w:val="16"/>
          <w:szCs w:val="16"/>
        </w:rPr>
        <w:t>Caso Vereda la Esperanza Vs. Colombia, supra,</w:t>
      </w:r>
      <w:r w:rsidRPr="003B52C8">
        <w:rPr>
          <w:sz w:val="16"/>
          <w:szCs w:val="16"/>
        </w:rPr>
        <w:t xml:space="preserve"> párr. 186.</w:t>
      </w:r>
    </w:p>
  </w:footnote>
  <w:footnote w:id="282">
    <w:p w14:paraId="396D0A24" w14:textId="57CE1825" w:rsidR="003C025E" w:rsidRPr="00E67349" w:rsidRDefault="003C025E" w:rsidP="00E67349">
      <w:pPr>
        <w:pStyle w:val="FootnoteText"/>
        <w:rPr>
          <w:sz w:val="16"/>
          <w:szCs w:val="16"/>
          <w:lang w:val="es-CR"/>
        </w:rPr>
      </w:pPr>
      <w:r w:rsidRPr="00E67349">
        <w:rPr>
          <w:rStyle w:val="FootnoteReference"/>
          <w:rFonts w:eastAsiaTheme="majorEastAsia"/>
          <w:sz w:val="16"/>
          <w:szCs w:val="16"/>
        </w:rPr>
        <w:footnoteRef/>
      </w:r>
      <w:r w:rsidRPr="00E67349">
        <w:rPr>
          <w:sz w:val="16"/>
          <w:szCs w:val="16"/>
          <w:lang w:val="es-CR"/>
        </w:rPr>
        <w:t xml:space="preserve"> </w:t>
      </w:r>
      <w:r w:rsidRPr="00E67349">
        <w:rPr>
          <w:sz w:val="16"/>
          <w:szCs w:val="16"/>
          <w:lang w:val="es-CR"/>
        </w:rPr>
        <w:tab/>
      </w:r>
      <w:r w:rsidRPr="00062586">
        <w:rPr>
          <w:i/>
          <w:sz w:val="16"/>
          <w:szCs w:val="16"/>
          <w:lang w:val="es-CR"/>
        </w:rPr>
        <w:t>Cfr.</w:t>
      </w:r>
      <w:r w:rsidRPr="00E67349">
        <w:rPr>
          <w:i/>
          <w:sz w:val="16"/>
          <w:szCs w:val="16"/>
          <w:lang w:val="es-CR"/>
        </w:rPr>
        <w:t xml:space="preserve"> </w:t>
      </w:r>
      <w:r w:rsidRPr="00E67349">
        <w:rPr>
          <w:bCs/>
          <w:i/>
          <w:spacing w:val="-4"/>
          <w:sz w:val="16"/>
          <w:szCs w:val="16"/>
          <w:lang w:val="es-CR"/>
        </w:rPr>
        <w:t>Caso Luna López Vs. Honduras.</w:t>
      </w:r>
      <w:r w:rsidRPr="00E67349">
        <w:rPr>
          <w:bCs/>
          <w:spacing w:val="-4"/>
          <w:sz w:val="16"/>
          <w:szCs w:val="16"/>
          <w:lang w:val="es-CR"/>
        </w:rPr>
        <w:t xml:space="preserve"> </w:t>
      </w:r>
      <w:r w:rsidRPr="00B820DD">
        <w:rPr>
          <w:bCs/>
          <w:i/>
          <w:spacing w:val="-4"/>
          <w:sz w:val="16"/>
          <w:szCs w:val="16"/>
          <w:lang w:val="es-CR"/>
        </w:rPr>
        <w:t>Fondo, Reparaciones y Costas.</w:t>
      </w:r>
      <w:r w:rsidRPr="00E67349">
        <w:rPr>
          <w:bCs/>
          <w:spacing w:val="-4"/>
          <w:sz w:val="16"/>
          <w:szCs w:val="16"/>
          <w:lang w:val="es-CR"/>
        </w:rPr>
        <w:t xml:space="preserve"> Sentencia de 10 de octubre de 2013. Serie C No. 269,</w:t>
      </w:r>
      <w:r w:rsidRPr="00E67349">
        <w:rPr>
          <w:bCs/>
          <w:i/>
          <w:spacing w:val="-4"/>
          <w:sz w:val="16"/>
          <w:szCs w:val="16"/>
          <w:lang w:val="es-CR"/>
        </w:rPr>
        <w:t xml:space="preserve"> </w:t>
      </w:r>
      <w:r w:rsidRPr="00E67349">
        <w:rPr>
          <w:sz w:val="16"/>
          <w:szCs w:val="16"/>
          <w:lang w:val="es-CR"/>
        </w:rPr>
        <w:t xml:space="preserve">párr. 167, </w:t>
      </w:r>
      <w:r w:rsidRPr="00E67349">
        <w:rPr>
          <w:rFonts w:eastAsia="Cambria"/>
          <w:sz w:val="16"/>
          <w:szCs w:val="16"/>
          <w:lang w:val="es-CR"/>
        </w:rPr>
        <w:t>y</w:t>
      </w:r>
      <w:r w:rsidRPr="00E67349">
        <w:rPr>
          <w:sz w:val="16"/>
          <w:szCs w:val="16"/>
          <w:lang w:val="es-CR"/>
        </w:rPr>
        <w:t xml:space="preserve"> </w:t>
      </w:r>
      <w:r w:rsidRPr="00E67349">
        <w:rPr>
          <w:i/>
          <w:sz w:val="16"/>
          <w:szCs w:val="16"/>
        </w:rPr>
        <w:t>Caso</w:t>
      </w:r>
      <w:r w:rsidRPr="00E67349">
        <w:rPr>
          <w:sz w:val="16"/>
          <w:szCs w:val="16"/>
        </w:rPr>
        <w:t xml:space="preserve"> </w:t>
      </w:r>
      <w:proofErr w:type="spellStart"/>
      <w:r>
        <w:rPr>
          <w:bCs/>
          <w:i/>
          <w:spacing w:val="-4"/>
          <w:sz w:val="16"/>
          <w:szCs w:val="16"/>
          <w:lang w:val="es-GT"/>
        </w:rPr>
        <w:t>Yarce</w:t>
      </w:r>
      <w:proofErr w:type="spellEnd"/>
      <w:r>
        <w:rPr>
          <w:bCs/>
          <w:i/>
          <w:spacing w:val="-4"/>
          <w:sz w:val="16"/>
          <w:szCs w:val="16"/>
          <w:lang w:val="es-GT"/>
        </w:rPr>
        <w:t xml:space="preserve"> y Otras Vs. Colombia.</w:t>
      </w:r>
      <w:r w:rsidRPr="00E67349">
        <w:rPr>
          <w:bCs/>
          <w:i/>
          <w:spacing w:val="-4"/>
          <w:sz w:val="16"/>
          <w:szCs w:val="16"/>
          <w:lang w:val="es-GT"/>
        </w:rPr>
        <w:t xml:space="preserve"> </w:t>
      </w:r>
      <w:r>
        <w:rPr>
          <w:bCs/>
          <w:i/>
          <w:spacing w:val="-4"/>
          <w:sz w:val="16"/>
          <w:szCs w:val="16"/>
          <w:lang w:val="es-GT"/>
        </w:rPr>
        <w:t xml:space="preserve">supra, </w:t>
      </w:r>
      <w:r w:rsidRPr="00E67349">
        <w:rPr>
          <w:sz w:val="16"/>
          <w:szCs w:val="16"/>
          <w:lang w:val="es-CR"/>
        </w:rPr>
        <w:t xml:space="preserve">párr. 282. </w:t>
      </w:r>
    </w:p>
  </w:footnote>
  <w:footnote w:id="283">
    <w:p w14:paraId="272AD049" w14:textId="76AE4C58" w:rsidR="003C025E" w:rsidRPr="00E67349" w:rsidRDefault="003C025E" w:rsidP="00E67349">
      <w:pPr>
        <w:pStyle w:val="FootnoteText"/>
        <w:rPr>
          <w:sz w:val="16"/>
          <w:szCs w:val="16"/>
        </w:rPr>
      </w:pPr>
      <w:r w:rsidRPr="00E67349">
        <w:rPr>
          <w:rStyle w:val="FootnoteReference"/>
          <w:sz w:val="16"/>
          <w:szCs w:val="16"/>
        </w:rPr>
        <w:footnoteRef/>
      </w:r>
      <w:r w:rsidRPr="00E67349">
        <w:rPr>
          <w:sz w:val="16"/>
          <w:szCs w:val="16"/>
        </w:rPr>
        <w:t xml:space="preserve"> </w:t>
      </w:r>
      <w:r w:rsidRPr="00E67349">
        <w:rPr>
          <w:sz w:val="16"/>
          <w:szCs w:val="16"/>
        </w:rPr>
        <w:tab/>
      </w:r>
      <w:r w:rsidRPr="00062586">
        <w:rPr>
          <w:i/>
          <w:sz w:val="16"/>
          <w:szCs w:val="16"/>
        </w:rPr>
        <w:t>Cfr.</w:t>
      </w:r>
      <w:r w:rsidRPr="00E67349">
        <w:rPr>
          <w:i/>
          <w:sz w:val="16"/>
          <w:szCs w:val="16"/>
        </w:rPr>
        <w:t xml:space="preserve"> Caso Luna López Vs. Honduras. Fondo, Reparaciones y Costas.</w:t>
      </w:r>
      <w:r w:rsidRPr="00E67349">
        <w:rPr>
          <w:sz w:val="16"/>
          <w:szCs w:val="16"/>
        </w:rPr>
        <w:t xml:space="preserve"> Sentencia de 10 de octubre de 2013. Serie C No. 269, párr. 164, y </w:t>
      </w:r>
      <w:r w:rsidRPr="00E67349">
        <w:rPr>
          <w:i/>
          <w:sz w:val="16"/>
          <w:szCs w:val="16"/>
        </w:rPr>
        <w:t>Caso Hermanos Landaeta Mejías y otros Vs. Venezuela. Excepciones Preliminares, Fondo, Reparaciones y Costas.</w:t>
      </w:r>
      <w:r w:rsidRPr="00E67349">
        <w:rPr>
          <w:sz w:val="16"/>
          <w:szCs w:val="16"/>
        </w:rPr>
        <w:t xml:space="preserve"> Sentencia de 27 de agosto de 2014. Serie C No. 281, párr. 227. </w:t>
      </w:r>
    </w:p>
  </w:footnote>
  <w:footnote w:id="284">
    <w:p w14:paraId="30855138" w14:textId="17B3B865" w:rsidR="003C025E" w:rsidRPr="00E67349" w:rsidRDefault="003C025E" w:rsidP="00E67349">
      <w:pPr>
        <w:pStyle w:val="NoSpacing"/>
        <w:rPr>
          <w:rFonts w:ascii="Verdana" w:eastAsiaTheme="minorHAnsi" w:hAnsi="Verdana"/>
          <w:sz w:val="16"/>
          <w:szCs w:val="16"/>
          <w:lang w:val="es-CR"/>
        </w:rPr>
      </w:pPr>
      <w:r w:rsidRPr="00E67349">
        <w:rPr>
          <w:rStyle w:val="FootnoteReference"/>
          <w:rFonts w:ascii="Verdana" w:eastAsiaTheme="minorHAnsi" w:hAnsi="Verdana"/>
          <w:sz w:val="16"/>
          <w:szCs w:val="16"/>
          <w:lang w:val="es-AR"/>
        </w:rPr>
        <w:footnoteRef/>
      </w:r>
      <w:r w:rsidRPr="00E67349">
        <w:rPr>
          <w:rFonts w:ascii="Verdana" w:eastAsiaTheme="minorHAnsi" w:hAnsi="Verdana"/>
          <w:sz w:val="16"/>
          <w:szCs w:val="16"/>
          <w:lang w:val="es-AR"/>
        </w:rPr>
        <w:t xml:space="preserve"> </w:t>
      </w:r>
      <w:r w:rsidRPr="00E67349">
        <w:rPr>
          <w:rFonts w:ascii="Verdana" w:eastAsiaTheme="minorHAnsi" w:hAnsi="Verdana"/>
          <w:sz w:val="16"/>
          <w:szCs w:val="16"/>
          <w:lang w:val="es-AR"/>
        </w:rPr>
        <w:tab/>
      </w:r>
      <w:r w:rsidRPr="00062586">
        <w:rPr>
          <w:rFonts w:ascii="Verdana" w:eastAsiaTheme="minorHAnsi" w:hAnsi="Verdana"/>
          <w:i/>
          <w:sz w:val="16"/>
          <w:szCs w:val="16"/>
          <w:lang w:val="es-AR"/>
        </w:rPr>
        <w:t>Cfr.</w:t>
      </w:r>
      <w:r w:rsidRPr="00E67349">
        <w:rPr>
          <w:rFonts w:ascii="Verdana" w:eastAsiaTheme="minorHAnsi" w:hAnsi="Verdana"/>
          <w:i/>
          <w:sz w:val="16"/>
          <w:szCs w:val="16"/>
          <w:lang w:val="es-AR"/>
        </w:rPr>
        <w:t xml:space="preserve"> Caso Hermanos Landaeta Mejías y otros Vs. Venezuela. Excepciones Preliminares, Fondo, Reparaciones y Costas.</w:t>
      </w:r>
      <w:r w:rsidRPr="00E67349">
        <w:rPr>
          <w:rFonts w:ascii="Verdana" w:eastAsiaTheme="minorHAnsi" w:hAnsi="Verdana"/>
          <w:sz w:val="16"/>
          <w:szCs w:val="16"/>
          <w:lang w:val="es-AR"/>
        </w:rPr>
        <w:t xml:space="preserve"> Sentencia de 27 de agosto de 2014. Serie C No. 281, párr. 227. </w:t>
      </w:r>
    </w:p>
  </w:footnote>
  <w:footnote w:id="285">
    <w:p w14:paraId="2454E27F" w14:textId="18812766" w:rsidR="003C025E" w:rsidRPr="00E67349" w:rsidRDefault="003C025E" w:rsidP="00CD5738">
      <w:pPr>
        <w:pStyle w:val="NoSpacing"/>
        <w:rPr>
          <w:rFonts w:ascii="Verdana" w:eastAsiaTheme="minorHAnsi" w:hAnsi="Verdana"/>
          <w:sz w:val="16"/>
          <w:szCs w:val="16"/>
          <w:lang w:val="es-AR"/>
        </w:rPr>
      </w:pPr>
      <w:r w:rsidRPr="00E67349">
        <w:rPr>
          <w:rStyle w:val="FootnoteReference"/>
          <w:rFonts w:ascii="Verdana" w:eastAsiaTheme="minorHAnsi" w:hAnsi="Verdana"/>
          <w:sz w:val="16"/>
          <w:szCs w:val="16"/>
          <w:lang w:val="es-AR"/>
        </w:rPr>
        <w:footnoteRef/>
      </w:r>
      <w:r w:rsidRPr="00E67349">
        <w:rPr>
          <w:rFonts w:ascii="Verdana" w:eastAsiaTheme="minorHAnsi" w:hAnsi="Verdana"/>
          <w:sz w:val="16"/>
          <w:szCs w:val="16"/>
          <w:lang w:val="es-AR"/>
        </w:rPr>
        <w:t xml:space="preserve"> </w:t>
      </w:r>
      <w:r w:rsidRPr="00E67349">
        <w:rPr>
          <w:rFonts w:ascii="Verdana" w:eastAsiaTheme="minorHAnsi" w:hAnsi="Verdana"/>
          <w:sz w:val="16"/>
          <w:szCs w:val="16"/>
          <w:lang w:val="es-CR"/>
        </w:rPr>
        <w:tab/>
      </w:r>
      <w:r w:rsidRPr="00B820DD">
        <w:rPr>
          <w:rFonts w:ascii="Verdana" w:eastAsiaTheme="minorHAnsi" w:hAnsi="Verdana"/>
          <w:sz w:val="16"/>
          <w:szCs w:val="16"/>
          <w:lang w:val="es-AR"/>
        </w:rPr>
        <w:t>Al respecto, la Corte constató que</w:t>
      </w:r>
      <w:r w:rsidRPr="00B820DD">
        <w:rPr>
          <w:rFonts w:ascii="Verdana" w:eastAsiaTheme="minorHAnsi" w:hAnsi="Verdana"/>
          <w:sz w:val="16"/>
          <w:szCs w:val="16"/>
          <w:lang w:val="es-CR"/>
        </w:rPr>
        <w:t xml:space="preserve"> e</w:t>
      </w:r>
      <w:r w:rsidRPr="00B820DD">
        <w:rPr>
          <w:rFonts w:ascii="Verdana" w:eastAsiaTheme="minorHAnsi" w:hAnsi="Verdana"/>
          <w:sz w:val="16"/>
          <w:szCs w:val="16"/>
          <w:lang w:val="es-AR"/>
        </w:rPr>
        <w:t>l 11 de diciembre del 2006 el Primer Juzgado resolvió que</w:t>
      </w:r>
      <w:r w:rsidRPr="00E67349">
        <w:rPr>
          <w:rFonts w:ascii="Verdana" w:eastAsiaTheme="minorHAnsi" w:hAnsi="Verdana"/>
          <w:sz w:val="16"/>
          <w:szCs w:val="16"/>
          <w:lang w:val="es-AR"/>
        </w:rPr>
        <w:t xml:space="preserve"> “no se </w:t>
      </w:r>
      <w:proofErr w:type="spellStart"/>
      <w:proofErr w:type="gramStart"/>
      <w:r w:rsidRPr="00E67349">
        <w:rPr>
          <w:rFonts w:ascii="Verdana" w:eastAsiaTheme="minorHAnsi" w:hAnsi="Verdana"/>
          <w:sz w:val="16"/>
          <w:szCs w:val="16"/>
          <w:lang w:val="es-AR"/>
        </w:rPr>
        <w:t>enc</w:t>
      </w:r>
      <w:proofErr w:type="spellEnd"/>
      <w:r w:rsidRPr="00E67349">
        <w:rPr>
          <w:rFonts w:ascii="Verdana" w:eastAsiaTheme="minorHAnsi" w:hAnsi="Verdana"/>
          <w:sz w:val="16"/>
          <w:szCs w:val="16"/>
          <w:lang w:val="es-AR"/>
        </w:rPr>
        <w:t>[</w:t>
      </w:r>
      <w:proofErr w:type="spellStart"/>
      <w:proofErr w:type="gramEnd"/>
      <w:r w:rsidRPr="00E67349">
        <w:rPr>
          <w:rFonts w:ascii="Verdana" w:eastAsiaTheme="minorHAnsi" w:hAnsi="Verdana"/>
          <w:sz w:val="16"/>
          <w:szCs w:val="16"/>
          <w:lang w:val="es-AR"/>
        </w:rPr>
        <w:t>ontraba</w:t>
      </w:r>
      <w:proofErr w:type="spellEnd"/>
      <w:r w:rsidRPr="00E67349">
        <w:rPr>
          <w:rFonts w:ascii="Verdana" w:eastAsiaTheme="minorHAnsi" w:hAnsi="Verdana"/>
          <w:sz w:val="16"/>
          <w:szCs w:val="16"/>
          <w:lang w:val="es-AR"/>
        </w:rPr>
        <w:t xml:space="preserve">] suficientemente justificado en autos la existencia del delito denunciado” y declaró que “se </w:t>
      </w:r>
      <w:proofErr w:type="spellStart"/>
      <w:r w:rsidRPr="00E67349">
        <w:rPr>
          <w:rFonts w:ascii="Verdana" w:eastAsiaTheme="minorHAnsi" w:hAnsi="Verdana"/>
          <w:sz w:val="16"/>
          <w:szCs w:val="16"/>
          <w:lang w:val="es-AR"/>
        </w:rPr>
        <w:t>sobrese</w:t>
      </w:r>
      <w:proofErr w:type="spellEnd"/>
      <w:r w:rsidRPr="00E67349">
        <w:rPr>
          <w:rFonts w:ascii="Verdana" w:eastAsiaTheme="minorHAnsi" w:hAnsi="Verdana"/>
          <w:sz w:val="16"/>
          <w:szCs w:val="16"/>
          <w:lang w:val="es-AR"/>
        </w:rPr>
        <w:t>[</w:t>
      </w:r>
      <w:proofErr w:type="spellStart"/>
      <w:r w:rsidRPr="00E67349">
        <w:rPr>
          <w:rFonts w:ascii="Verdana" w:eastAsiaTheme="minorHAnsi" w:hAnsi="Verdana"/>
          <w:sz w:val="16"/>
          <w:szCs w:val="16"/>
          <w:lang w:val="es-AR"/>
        </w:rPr>
        <w:t>ía</w:t>
      </w:r>
      <w:proofErr w:type="spellEnd"/>
      <w:r w:rsidRPr="00E67349">
        <w:rPr>
          <w:rFonts w:ascii="Verdana" w:eastAsiaTheme="minorHAnsi" w:hAnsi="Verdana"/>
          <w:sz w:val="16"/>
          <w:szCs w:val="16"/>
          <w:lang w:val="es-AR"/>
        </w:rPr>
        <w:t>]</w:t>
      </w:r>
      <w:r>
        <w:rPr>
          <w:rFonts w:ascii="Verdana" w:eastAsiaTheme="minorHAnsi" w:hAnsi="Verdana"/>
          <w:sz w:val="16"/>
          <w:szCs w:val="16"/>
          <w:lang w:val="es-AR"/>
        </w:rPr>
        <w:t xml:space="preserve"> temporalmente</w:t>
      </w:r>
      <w:r w:rsidRPr="00E67349">
        <w:rPr>
          <w:rFonts w:ascii="Verdana" w:eastAsiaTheme="minorHAnsi" w:hAnsi="Verdana"/>
          <w:sz w:val="16"/>
          <w:szCs w:val="16"/>
          <w:lang w:val="es-AR"/>
        </w:rPr>
        <w:t xml:space="preserve"> [esa] causa, hasta que se re[unieran] nuevos y mejores datos de investigación” . No obstante, el 29 de enero de 2007 la representación del señor Poblete Tapia solicitó la reapertura del sumario, por lo que el 17 de febrero de 2007 el Primer Juzgado Civil desarchivó la causa y el 17 de abril de 2007 volvió la causa </w:t>
      </w:r>
      <w:proofErr w:type="gramStart"/>
      <w:r w:rsidRPr="00E67349">
        <w:rPr>
          <w:rFonts w:ascii="Verdana" w:eastAsiaTheme="minorHAnsi" w:hAnsi="Verdana"/>
          <w:sz w:val="16"/>
          <w:szCs w:val="16"/>
          <w:lang w:val="es-AR"/>
        </w:rPr>
        <w:t>a</w:t>
      </w:r>
      <w:proofErr w:type="gramEnd"/>
      <w:r w:rsidRPr="00E67349">
        <w:rPr>
          <w:rFonts w:ascii="Verdana" w:eastAsiaTheme="minorHAnsi" w:hAnsi="Verdana"/>
          <w:sz w:val="16"/>
          <w:szCs w:val="16"/>
          <w:lang w:val="es-AR"/>
        </w:rPr>
        <w:t xml:space="preserve"> estado de sumario. De igual manera, el 11 de junio de 2008 el Primer Juzgado Civil nuevamente declaró cerrado el sumario  y el 30 de junio de 2008 dictó una vez más el sobreseimiento “temporalmente de la causa, hasta que se </w:t>
      </w:r>
      <w:proofErr w:type="spellStart"/>
      <w:proofErr w:type="gramStart"/>
      <w:r w:rsidRPr="00E67349">
        <w:rPr>
          <w:rFonts w:ascii="Verdana" w:eastAsiaTheme="minorHAnsi" w:hAnsi="Verdana"/>
          <w:sz w:val="16"/>
          <w:szCs w:val="16"/>
          <w:lang w:val="es-AR"/>
        </w:rPr>
        <w:t>reun</w:t>
      </w:r>
      <w:proofErr w:type="spellEnd"/>
      <w:r w:rsidRPr="00E67349">
        <w:rPr>
          <w:rFonts w:ascii="Verdana" w:eastAsiaTheme="minorHAnsi" w:hAnsi="Verdana"/>
          <w:sz w:val="16"/>
          <w:szCs w:val="16"/>
          <w:lang w:val="es-AR"/>
        </w:rPr>
        <w:t>[</w:t>
      </w:r>
      <w:proofErr w:type="spellStart"/>
      <w:proofErr w:type="gramEnd"/>
      <w:r w:rsidRPr="00E67349">
        <w:rPr>
          <w:rFonts w:ascii="Verdana" w:eastAsiaTheme="minorHAnsi" w:hAnsi="Verdana"/>
          <w:sz w:val="16"/>
          <w:szCs w:val="16"/>
          <w:lang w:val="es-AR"/>
        </w:rPr>
        <w:t>ieran</w:t>
      </w:r>
      <w:proofErr w:type="spellEnd"/>
      <w:r w:rsidRPr="00E67349">
        <w:rPr>
          <w:rFonts w:ascii="Verdana" w:eastAsiaTheme="minorHAnsi" w:hAnsi="Verdana"/>
          <w:sz w:val="16"/>
          <w:szCs w:val="16"/>
          <w:lang w:val="es-AR"/>
        </w:rPr>
        <w:t xml:space="preserve">] nuevos y mejores datos de investigación”. Así, el 4 de agosto de 2008, en virtud de nuevos y mejores antecedentes, la representación de la familia del señor Poblete Vilches solicitó el desarchivo judicial y el 5 de agosto de 2008 el Primer Juzgado Civil ordenó el desarchivo de la causa </w:t>
      </w:r>
      <w:r w:rsidRPr="00B820DD">
        <w:rPr>
          <w:rFonts w:ascii="Verdana" w:eastAsiaTheme="minorHAnsi" w:hAnsi="Verdana"/>
          <w:sz w:val="16"/>
          <w:szCs w:val="16"/>
          <w:lang w:val="es-AR"/>
        </w:rPr>
        <w:t>(</w:t>
      </w:r>
      <w:r w:rsidRPr="00B820DD">
        <w:rPr>
          <w:rFonts w:ascii="Verdana" w:eastAsiaTheme="minorHAnsi" w:hAnsi="Verdana"/>
          <w:i/>
          <w:sz w:val="16"/>
          <w:szCs w:val="16"/>
          <w:lang w:val="es-AR"/>
        </w:rPr>
        <w:t>supra</w:t>
      </w:r>
      <w:r w:rsidRPr="00B820DD">
        <w:rPr>
          <w:rFonts w:ascii="Verdana" w:eastAsiaTheme="minorHAnsi" w:hAnsi="Verdana"/>
          <w:sz w:val="16"/>
          <w:szCs w:val="16"/>
          <w:lang w:val="es-AR"/>
        </w:rPr>
        <w:t xml:space="preserve"> </w:t>
      </w:r>
      <w:proofErr w:type="spellStart"/>
      <w:r w:rsidRPr="00B820DD">
        <w:rPr>
          <w:rFonts w:ascii="Verdana" w:eastAsiaTheme="minorHAnsi" w:hAnsi="Verdana"/>
          <w:sz w:val="16"/>
          <w:szCs w:val="16"/>
          <w:lang w:val="es-AR"/>
        </w:rPr>
        <w:t>párrs</w:t>
      </w:r>
      <w:proofErr w:type="spellEnd"/>
      <w:r w:rsidRPr="00B820DD">
        <w:rPr>
          <w:rFonts w:ascii="Verdana" w:eastAsiaTheme="minorHAnsi" w:hAnsi="Verdana"/>
          <w:sz w:val="16"/>
          <w:szCs w:val="16"/>
          <w:lang w:val="es-AR"/>
        </w:rPr>
        <w:t>. 71 a 79)</w:t>
      </w:r>
      <w:r>
        <w:rPr>
          <w:rFonts w:ascii="Verdana" w:eastAsiaTheme="minorHAnsi" w:hAnsi="Verdana"/>
          <w:sz w:val="16"/>
          <w:szCs w:val="16"/>
          <w:lang w:val="es-AR"/>
        </w:rPr>
        <w:t>.</w:t>
      </w:r>
    </w:p>
  </w:footnote>
  <w:footnote w:id="286">
    <w:p w14:paraId="0B53F473" w14:textId="77777777" w:rsidR="003C025E" w:rsidRPr="00F24D93" w:rsidRDefault="003C025E">
      <w:pPr>
        <w:pStyle w:val="FootnoteText"/>
      </w:pPr>
      <w:r w:rsidRPr="0059117C">
        <w:rPr>
          <w:rStyle w:val="FootnoteReference"/>
          <w:sz w:val="16"/>
          <w:szCs w:val="16"/>
        </w:rPr>
        <w:footnoteRef/>
      </w:r>
      <w:r w:rsidRPr="0059117C">
        <w:rPr>
          <w:sz w:val="16"/>
          <w:szCs w:val="16"/>
        </w:rPr>
        <w:t xml:space="preserve"> </w:t>
      </w:r>
      <w:r w:rsidRPr="0059117C">
        <w:rPr>
          <w:sz w:val="16"/>
          <w:szCs w:val="16"/>
        </w:rPr>
        <w:tab/>
      </w:r>
      <w:r w:rsidRPr="00062586">
        <w:rPr>
          <w:rFonts w:eastAsiaTheme="minorHAnsi"/>
          <w:i/>
          <w:sz w:val="16"/>
          <w:szCs w:val="16"/>
          <w:lang w:val="es-AR"/>
        </w:rPr>
        <w:t>Cfr.</w:t>
      </w:r>
      <w:r w:rsidRPr="00F24D93">
        <w:rPr>
          <w:rFonts w:eastAsiaTheme="minorHAnsi"/>
          <w:i/>
          <w:sz w:val="16"/>
          <w:szCs w:val="16"/>
          <w:lang w:val="es-AR"/>
        </w:rPr>
        <w:t xml:space="preserve"> </w:t>
      </w:r>
      <w:r w:rsidRPr="0059117C">
        <w:rPr>
          <w:i/>
          <w:sz w:val="16"/>
          <w:szCs w:val="16"/>
        </w:rPr>
        <w:t>Caso Osorio Rivera y familia Vs. Perú</w:t>
      </w:r>
      <w:r w:rsidRPr="0059117C">
        <w:rPr>
          <w:sz w:val="16"/>
          <w:szCs w:val="16"/>
        </w:rPr>
        <w:t xml:space="preserve">, </w:t>
      </w:r>
      <w:r w:rsidRPr="00062586">
        <w:rPr>
          <w:i/>
          <w:sz w:val="16"/>
          <w:szCs w:val="16"/>
        </w:rPr>
        <w:t>supra</w:t>
      </w:r>
      <w:r w:rsidRPr="0059117C">
        <w:rPr>
          <w:sz w:val="16"/>
          <w:szCs w:val="16"/>
        </w:rPr>
        <w:t>, párr. 184</w:t>
      </w:r>
      <w:r>
        <w:rPr>
          <w:sz w:val="16"/>
          <w:szCs w:val="16"/>
        </w:rPr>
        <w:t xml:space="preserve">, y </w:t>
      </w:r>
      <w:r w:rsidRPr="0059117C">
        <w:rPr>
          <w:i/>
          <w:sz w:val="16"/>
          <w:szCs w:val="16"/>
        </w:rPr>
        <w:t xml:space="preserve">Caso Tenorio Roca y otros Vs. Perú. Excepciones Preliminares, Fondo, Reparaciones y Costas. </w:t>
      </w:r>
      <w:r w:rsidRPr="005326B4">
        <w:rPr>
          <w:sz w:val="16"/>
          <w:szCs w:val="16"/>
        </w:rPr>
        <w:t>Sentencia de 22 de</w:t>
      </w:r>
      <w:r>
        <w:rPr>
          <w:sz w:val="16"/>
          <w:szCs w:val="16"/>
        </w:rPr>
        <w:t xml:space="preserve"> junio de 2016. Serie C No. 314, párr. 182.</w:t>
      </w:r>
    </w:p>
  </w:footnote>
  <w:footnote w:id="287">
    <w:p w14:paraId="2ED5A6A9" w14:textId="22AED950" w:rsidR="003C025E" w:rsidRPr="00E67349" w:rsidRDefault="003C025E" w:rsidP="00E67349">
      <w:pPr>
        <w:pStyle w:val="NoSpacing"/>
        <w:rPr>
          <w:rFonts w:ascii="Verdana" w:eastAsiaTheme="minorHAnsi" w:hAnsi="Verdana"/>
          <w:sz w:val="16"/>
          <w:szCs w:val="16"/>
          <w:lang w:val="es-CR"/>
        </w:rPr>
      </w:pPr>
      <w:r w:rsidRPr="00E67349">
        <w:rPr>
          <w:rStyle w:val="FootnoteReference"/>
          <w:rFonts w:ascii="Verdana" w:eastAsiaTheme="minorHAnsi" w:hAnsi="Verdana"/>
          <w:sz w:val="16"/>
          <w:szCs w:val="16"/>
          <w:lang w:val="es-AR"/>
        </w:rPr>
        <w:footnoteRef/>
      </w:r>
      <w:r w:rsidRPr="00E67349">
        <w:rPr>
          <w:rFonts w:ascii="Verdana" w:eastAsiaTheme="minorHAnsi" w:hAnsi="Verdana"/>
          <w:sz w:val="16"/>
          <w:szCs w:val="16"/>
          <w:lang w:val="es-AR"/>
        </w:rPr>
        <w:t xml:space="preserve"> </w:t>
      </w:r>
      <w:r w:rsidRPr="00E67349">
        <w:rPr>
          <w:rFonts w:ascii="Verdana" w:eastAsiaTheme="minorHAnsi" w:hAnsi="Verdana"/>
          <w:sz w:val="16"/>
          <w:szCs w:val="16"/>
          <w:lang w:val="es-AR"/>
        </w:rPr>
        <w:tab/>
      </w:r>
      <w:r w:rsidRPr="00062586">
        <w:rPr>
          <w:rFonts w:ascii="Verdana" w:eastAsiaTheme="minorHAnsi" w:hAnsi="Verdana"/>
          <w:i/>
          <w:sz w:val="16"/>
          <w:szCs w:val="16"/>
          <w:lang w:val="es-AR"/>
        </w:rPr>
        <w:t>Cfr.</w:t>
      </w:r>
      <w:r w:rsidRPr="00E67349">
        <w:rPr>
          <w:rFonts w:ascii="Verdana" w:eastAsiaTheme="minorHAnsi" w:hAnsi="Verdana"/>
          <w:i/>
          <w:sz w:val="16"/>
          <w:szCs w:val="16"/>
          <w:lang w:val="es-AR"/>
        </w:rPr>
        <w:t xml:space="preserve"> Caso de la Corte Suprema de Justicia (Quintana Coello y otros) Vs. Ecuador. Excepción Preliminar, Fondo, Reparaciones y Costas. </w:t>
      </w:r>
      <w:r w:rsidRPr="00E67349">
        <w:rPr>
          <w:rFonts w:ascii="Verdana" w:eastAsiaTheme="minorHAnsi" w:hAnsi="Verdana"/>
          <w:sz w:val="16"/>
          <w:szCs w:val="16"/>
          <w:lang w:val="es-AR"/>
        </w:rPr>
        <w:t xml:space="preserve">Sentencia de 23 de agosto de 2013. Serie C No. 266, párr. 158, y </w:t>
      </w:r>
      <w:r w:rsidRPr="00B1523A">
        <w:rPr>
          <w:rFonts w:ascii="Verdana" w:eastAsiaTheme="minorHAnsi" w:hAnsi="Verdana"/>
          <w:i/>
          <w:sz w:val="16"/>
          <w:szCs w:val="16"/>
          <w:lang w:val="es-AR"/>
        </w:rPr>
        <w:t>Caso Duque Vs. Colombia, supra,</w:t>
      </w:r>
      <w:r w:rsidRPr="00474B8B">
        <w:rPr>
          <w:rFonts w:ascii="Verdana" w:eastAsiaTheme="minorHAnsi" w:hAnsi="Verdana"/>
          <w:sz w:val="16"/>
          <w:szCs w:val="16"/>
          <w:lang w:val="es-AR"/>
        </w:rPr>
        <w:t xml:space="preserve"> párr. 159.</w:t>
      </w:r>
    </w:p>
  </w:footnote>
  <w:footnote w:id="288">
    <w:p w14:paraId="556774CA" w14:textId="7D55D828" w:rsidR="003C025E" w:rsidRPr="00E67349" w:rsidRDefault="003C025E" w:rsidP="00E67349">
      <w:pPr>
        <w:pStyle w:val="NoSpacing"/>
        <w:rPr>
          <w:rFonts w:ascii="Verdana" w:eastAsiaTheme="minorHAnsi" w:hAnsi="Verdana"/>
          <w:sz w:val="16"/>
          <w:szCs w:val="16"/>
          <w:lang w:val="es-AR"/>
        </w:rPr>
      </w:pPr>
      <w:r w:rsidRPr="00E67349">
        <w:rPr>
          <w:rStyle w:val="FootnoteReference"/>
          <w:rFonts w:ascii="Verdana" w:eastAsiaTheme="minorHAnsi" w:hAnsi="Verdana"/>
          <w:sz w:val="16"/>
          <w:szCs w:val="16"/>
          <w:lang w:val="es-AR"/>
        </w:rPr>
        <w:footnoteRef/>
      </w:r>
      <w:r w:rsidRPr="00E67349">
        <w:rPr>
          <w:rFonts w:ascii="Verdana" w:eastAsiaTheme="minorHAnsi" w:hAnsi="Verdana"/>
          <w:sz w:val="16"/>
          <w:szCs w:val="16"/>
          <w:lang w:val="es-AR"/>
        </w:rPr>
        <w:t xml:space="preserve"> </w:t>
      </w:r>
      <w:r w:rsidRPr="00E67349">
        <w:rPr>
          <w:rFonts w:ascii="Verdana" w:eastAsiaTheme="minorHAnsi" w:hAnsi="Verdana"/>
          <w:sz w:val="16"/>
          <w:szCs w:val="16"/>
          <w:lang w:val="es-AR"/>
        </w:rPr>
        <w:tab/>
      </w:r>
      <w:r w:rsidRPr="00062586">
        <w:rPr>
          <w:rFonts w:ascii="Verdana" w:eastAsiaTheme="minorHAnsi" w:hAnsi="Verdana"/>
          <w:i/>
          <w:sz w:val="16"/>
          <w:szCs w:val="16"/>
          <w:lang w:val="es-AR"/>
        </w:rPr>
        <w:t>Cfr.</w:t>
      </w:r>
      <w:r w:rsidRPr="00E67349">
        <w:rPr>
          <w:rFonts w:ascii="Verdana" w:eastAsiaTheme="minorHAnsi" w:hAnsi="Verdana"/>
          <w:i/>
          <w:sz w:val="16"/>
          <w:szCs w:val="16"/>
          <w:lang w:val="es-AR"/>
        </w:rPr>
        <w:t xml:space="preserve"> Caso Duque Vs. Colombia</w:t>
      </w:r>
      <w:r w:rsidRPr="00E67349">
        <w:rPr>
          <w:rFonts w:ascii="Verdana" w:eastAsiaTheme="minorHAnsi" w:hAnsi="Verdana"/>
          <w:sz w:val="16"/>
          <w:szCs w:val="16"/>
          <w:lang w:val="es-AR"/>
        </w:rPr>
        <w:t>,</w:t>
      </w:r>
      <w:r>
        <w:rPr>
          <w:rFonts w:ascii="Verdana" w:eastAsiaTheme="minorHAnsi" w:hAnsi="Verdana"/>
          <w:sz w:val="16"/>
          <w:szCs w:val="16"/>
          <w:lang w:val="es-AR"/>
        </w:rPr>
        <w:t xml:space="preserve"> </w:t>
      </w:r>
      <w:r w:rsidRPr="00B1523A">
        <w:rPr>
          <w:rFonts w:ascii="Verdana" w:eastAsiaTheme="minorHAnsi" w:hAnsi="Verdana"/>
          <w:i/>
          <w:sz w:val="16"/>
          <w:szCs w:val="16"/>
          <w:lang w:val="es-AR"/>
        </w:rPr>
        <w:t>supra,</w:t>
      </w:r>
      <w:r w:rsidRPr="00E67349">
        <w:rPr>
          <w:rFonts w:ascii="Verdana" w:eastAsiaTheme="minorHAnsi" w:hAnsi="Verdana"/>
          <w:sz w:val="16"/>
          <w:szCs w:val="16"/>
          <w:lang w:val="es-AR"/>
        </w:rPr>
        <w:t xml:space="preserve"> párr. 159.</w:t>
      </w:r>
    </w:p>
  </w:footnote>
  <w:footnote w:id="289">
    <w:p w14:paraId="7CF84996" w14:textId="28D39354" w:rsidR="003C025E" w:rsidRPr="00B1523A" w:rsidRDefault="003C025E" w:rsidP="00E67349">
      <w:pPr>
        <w:pStyle w:val="NoSpacing"/>
        <w:rPr>
          <w:rStyle w:val="FootnoteReference"/>
          <w:rFonts w:eastAsia="Calibri"/>
          <w:lang w:val="es-MX"/>
        </w:rPr>
      </w:pPr>
      <w:r w:rsidRPr="00E67349">
        <w:rPr>
          <w:rStyle w:val="FootnoteReference"/>
          <w:rFonts w:ascii="Verdana" w:eastAsiaTheme="majorEastAsia" w:hAnsi="Verdana"/>
          <w:sz w:val="16"/>
          <w:szCs w:val="16"/>
          <w:lang w:val="es-AR"/>
        </w:rPr>
        <w:footnoteRef/>
      </w:r>
      <w:r w:rsidRPr="00E67349">
        <w:rPr>
          <w:rFonts w:ascii="Verdana" w:eastAsiaTheme="minorHAnsi" w:hAnsi="Verdana"/>
          <w:sz w:val="16"/>
          <w:szCs w:val="16"/>
          <w:lang w:val="es-AR"/>
        </w:rPr>
        <w:t xml:space="preserve"> </w:t>
      </w:r>
      <w:r w:rsidRPr="00E67349">
        <w:rPr>
          <w:rFonts w:ascii="Verdana" w:eastAsiaTheme="minorHAnsi" w:hAnsi="Verdana"/>
          <w:sz w:val="16"/>
          <w:szCs w:val="16"/>
          <w:lang w:val="es-AR"/>
        </w:rPr>
        <w:tab/>
      </w:r>
      <w:r w:rsidRPr="00062586">
        <w:rPr>
          <w:rFonts w:ascii="Verdana" w:eastAsiaTheme="minorHAnsi" w:hAnsi="Verdana" w:cs="Arial"/>
          <w:i/>
          <w:iCs/>
          <w:sz w:val="16"/>
          <w:szCs w:val="16"/>
          <w:lang w:val="es-AR"/>
        </w:rPr>
        <w:t>Cfr.</w:t>
      </w:r>
      <w:r w:rsidRPr="00E67349">
        <w:rPr>
          <w:rFonts w:ascii="Verdana" w:eastAsiaTheme="minorHAnsi" w:hAnsi="Verdana" w:cs="Arial"/>
          <w:i/>
          <w:iCs/>
          <w:sz w:val="16"/>
          <w:szCs w:val="16"/>
          <w:lang w:val="es-AR"/>
        </w:rPr>
        <w:t xml:space="preserve"> Caso Herrera Ulloa Vs. Costa Rica</w:t>
      </w:r>
      <w:r w:rsidRPr="00E67349">
        <w:rPr>
          <w:rFonts w:ascii="Verdana" w:eastAsiaTheme="minorHAnsi" w:hAnsi="Verdana" w:cs="Arial"/>
          <w:iCs/>
          <w:sz w:val="16"/>
          <w:szCs w:val="16"/>
          <w:lang w:val="es-AR"/>
        </w:rPr>
        <w:t>, párr. 171, y</w:t>
      </w:r>
      <w:r w:rsidRPr="00E67349">
        <w:rPr>
          <w:rFonts w:ascii="Verdana" w:eastAsiaTheme="minorHAnsi" w:hAnsi="Verdana" w:cs="Arial"/>
          <w:i/>
          <w:iCs/>
          <w:sz w:val="16"/>
          <w:szCs w:val="16"/>
          <w:lang w:val="es-AR"/>
        </w:rPr>
        <w:t xml:space="preserve"> </w:t>
      </w:r>
      <w:r w:rsidRPr="00586679">
        <w:rPr>
          <w:rFonts w:ascii="Verdana" w:eastAsiaTheme="minorHAnsi" w:hAnsi="Verdana" w:cs="Arial"/>
          <w:i/>
          <w:iCs/>
          <w:sz w:val="16"/>
          <w:szCs w:val="16"/>
          <w:lang w:val="es-AR"/>
        </w:rPr>
        <w:t xml:space="preserve">Caso Duque Vs. Colombia, supra, </w:t>
      </w:r>
      <w:r w:rsidRPr="00586679">
        <w:rPr>
          <w:rFonts w:ascii="Verdana" w:eastAsiaTheme="minorHAnsi" w:hAnsi="Verdana" w:cs="Arial"/>
          <w:iCs/>
          <w:sz w:val="16"/>
          <w:szCs w:val="16"/>
          <w:lang w:val="es-AR"/>
        </w:rPr>
        <w:t>párr. 1</w:t>
      </w:r>
      <w:r>
        <w:rPr>
          <w:rFonts w:ascii="Verdana" w:eastAsiaTheme="minorHAnsi" w:hAnsi="Verdana" w:cs="Arial"/>
          <w:iCs/>
          <w:sz w:val="16"/>
          <w:szCs w:val="16"/>
          <w:lang w:val="es-AR"/>
        </w:rPr>
        <w:t>62.</w:t>
      </w:r>
    </w:p>
  </w:footnote>
  <w:footnote w:id="290">
    <w:p w14:paraId="5C2C0863" w14:textId="4A3A4C9B" w:rsidR="003C025E" w:rsidRPr="00BE6F31" w:rsidRDefault="003C025E" w:rsidP="00E67349">
      <w:pPr>
        <w:pStyle w:val="NoSpacing"/>
        <w:rPr>
          <w:rFonts w:ascii="Verdana" w:hAnsi="Verdana"/>
          <w:sz w:val="16"/>
          <w:szCs w:val="16"/>
          <w:lang w:val="es-CR"/>
        </w:rPr>
      </w:pPr>
      <w:r w:rsidRPr="00E67349">
        <w:rPr>
          <w:rStyle w:val="FootnoteReference"/>
          <w:rFonts w:ascii="Verdana" w:eastAsia="Calibri" w:hAnsi="Verdana"/>
          <w:sz w:val="16"/>
          <w:szCs w:val="16"/>
          <w:lang w:val="es-AR"/>
        </w:rPr>
        <w:footnoteRef/>
      </w:r>
      <w:r w:rsidRPr="00E67349">
        <w:rPr>
          <w:rFonts w:ascii="Verdana" w:eastAsiaTheme="minorHAnsi" w:hAnsi="Verdana"/>
          <w:sz w:val="16"/>
          <w:szCs w:val="16"/>
          <w:lang w:val="es-AR"/>
        </w:rPr>
        <w:t xml:space="preserve"> </w:t>
      </w:r>
      <w:r w:rsidRPr="00E67349">
        <w:rPr>
          <w:rFonts w:ascii="Verdana" w:eastAsiaTheme="minorHAnsi" w:hAnsi="Verdana"/>
          <w:sz w:val="16"/>
          <w:szCs w:val="16"/>
          <w:lang w:val="es-AR"/>
        </w:rPr>
        <w:tab/>
      </w:r>
      <w:r w:rsidRPr="00062586">
        <w:rPr>
          <w:rFonts w:ascii="Verdana" w:eastAsiaTheme="minorHAnsi" w:hAnsi="Verdana"/>
          <w:i/>
          <w:sz w:val="16"/>
          <w:szCs w:val="16"/>
          <w:lang w:val="es-AR"/>
        </w:rPr>
        <w:t>Cfr.</w:t>
      </w:r>
      <w:r w:rsidRPr="00E67349">
        <w:rPr>
          <w:rFonts w:ascii="Verdana" w:eastAsiaTheme="minorHAnsi" w:hAnsi="Verdana"/>
          <w:i/>
          <w:sz w:val="16"/>
          <w:szCs w:val="16"/>
          <w:lang w:val="es-AR"/>
        </w:rPr>
        <w:t xml:space="preserve"> </w:t>
      </w:r>
      <w:r w:rsidRPr="00E67349">
        <w:rPr>
          <w:rFonts w:ascii="Verdana" w:eastAsiaTheme="minorHAnsi" w:hAnsi="Verdana"/>
          <w:sz w:val="16"/>
          <w:szCs w:val="16"/>
          <w:lang w:val="es-AR"/>
        </w:rPr>
        <w:t>Caso Herrera</w:t>
      </w:r>
      <w:r w:rsidRPr="00E67349">
        <w:rPr>
          <w:rFonts w:ascii="Verdana" w:eastAsiaTheme="minorHAnsi" w:hAnsi="Verdana"/>
          <w:i/>
          <w:sz w:val="16"/>
          <w:szCs w:val="16"/>
          <w:lang w:val="es-AR"/>
        </w:rPr>
        <w:t xml:space="preserve"> Ulloa Vs. Costa Rica</w:t>
      </w:r>
      <w:r w:rsidRPr="00E67349">
        <w:rPr>
          <w:rFonts w:ascii="Verdana" w:eastAsiaTheme="minorHAnsi" w:hAnsi="Verdana"/>
          <w:sz w:val="16"/>
          <w:szCs w:val="16"/>
          <w:lang w:val="es-AR"/>
        </w:rPr>
        <w:t xml:space="preserve">, párr. 171, y </w:t>
      </w:r>
      <w:r w:rsidRPr="00B1523A">
        <w:rPr>
          <w:rFonts w:ascii="Verdana" w:eastAsiaTheme="minorHAnsi" w:hAnsi="Verdana"/>
          <w:i/>
          <w:sz w:val="16"/>
          <w:szCs w:val="16"/>
          <w:lang w:val="es-AR"/>
        </w:rPr>
        <w:t xml:space="preserve">Caso Duque Vs. Colombia, </w:t>
      </w:r>
      <w:r w:rsidRPr="00586679">
        <w:rPr>
          <w:rFonts w:ascii="Verdana" w:eastAsiaTheme="minorHAnsi" w:hAnsi="Verdana"/>
          <w:sz w:val="16"/>
          <w:szCs w:val="16"/>
          <w:lang w:val="es-AR"/>
        </w:rPr>
        <w:t>supra, párr. 1</w:t>
      </w:r>
      <w:r>
        <w:rPr>
          <w:rFonts w:ascii="Verdana" w:eastAsiaTheme="minorHAnsi" w:hAnsi="Verdana"/>
          <w:sz w:val="16"/>
          <w:szCs w:val="16"/>
          <w:lang w:val="es-AR"/>
        </w:rPr>
        <w:t>62</w:t>
      </w:r>
      <w:r w:rsidRPr="00586679">
        <w:rPr>
          <w:rFonts w:ascii="Verdana" w:eastAsiaTheme="minorHAnsi" w:hAnsi="Verdana"/>
          <w:sz w:val="16"/>
          <w:szCs w:val="16"/>
          <w:lang w:val="es-AR"/>
        </w:rPr>
        <w:t>.</w:t>
      </w:r>
    </w:p>
  </w:footnote>
  <w:footnote w:id="291">
    <w:p w14:paraId="204A9269" w14:textId="4BC40194" w:rsidR="003C025E" w:rsidRPr="00E67349" w:rsidRDefault="003C025E" w:rsidP="00E67349">
      <w:pPr>
        <w:pStyle w:val="FootnoteText"/>
        <w:rPr>
          <w:rFonts w:cs="Arial"/>
          <w:sz w:val="16"/>
          <w:szCs w:val="16"/>
        </w:rPr>
      </w:pPr>
      <w:r w:rsidRPr="00E67349">
        <w:rPr>
          <w:rStyle w:val="FootnoteReference"/>
          <w:rFonts w:eastAsiaTheme="majorEastAsia"/>
          <w:sz w:val="16"/>
          <w:szCs w:val="16"/>
        </w:rPr>
        <w:footnoteRef/>
      </w:r>
      <w:r w:rsidRPr="002536C1">
        <w:rPr>
          <w:sz w:val="16"/>
          <w:szCs w:val="16"/>
          <w:lang w:val="es-CR"/>
        </w:rPr>
        <w:t xml:space="preserve"> </w:t>
      </w:r>
      <w:r w:rsidRPr="002536C1">
        <w:rPr>
          <w:sz w:val="16"/>
          <w:szCs w:val="16"/>
          <w:lang w:val="es-CR"/>
        </w:rPr>
        <w:tab/>
      </w:r>
      <w:r w:rsidRPr="002536C1">
        <w:rPr>
          <w:i/>
          <w:sz w:val="16"/>
          <w:szCs w:val="16"/>
          <w:lang w:val="es-CR"/>
        </w:rPr>
        <w:t>Cfr.</w:t>
      </w:r>
      <w:r w:rsidRPr="002536C1">
        <w:rPr>
          <w:rFonts w:cs="Arial"/>
          <w:i/>
          <w:iCs/>
          <w:sz w:val="16"/>
          <w:szCs w:val="16"/>
          <w:lang w:val="es-CR"/>
        </w:rPr>
        <w:t xml:space="preserve"> Caso </w:t>
      </w:r>
      <w:proofErr w:type="spellStart"/>
      <w:r w:rsidRPr="002536C1">
        <w:rPr>
          <w:rFonts w:cs="Arial"/>
          <w:i/>
          <w:iCs/>
          <w:sz w:val="16"/>
          <w:szCs w:val="16"/>
          <w:lang w:val="es-CR"/>
        </w:rPr>
        <w:t>Palamara</w:t>
      </w:r>
      <w:proofErr w:type="spellEnd"/>
      <w:r w:rsidRPr="002536C1">
        <w:rPr>
          <w:rFonts w:cs="Arial"/>
          <w:i/>
          <w:iCs/>
          <w:sz w:val="16"/>
          <w:szCs w:val="16"/>
          <w:lang w:val="es-CR"/>
        </w:rPr>
        <w:t xml:space="preserve"> Iribarne Vs. </w:t>
      </w:r>
      <w:r w:rsidRPr="00E67349">
        <w:rPr>
          <w:rFonts w:cs="Arial"/>
          <w:i/>
          <w:iCs/>
          <w:sz w:val="16"/>
          <w:szCs w:val="16"/>
        </w:rPr>
        <w:t xml:space="preserve">Chile. Fondo, Reparaciones y Costas. </w:t>
      </w:r>
      <w:r w:rsidRPr="00E67349">
        <w:rPr>
          <w:rFonts w:cs="Arial"/>
          <w:iCs/>
          <w:sz w:val="16"/>
          <w:szCs w:val="16"/>
        </w:rPr>
        <w:t>Sentencia de 22 de noviembre de 2005. Serie C No. 135,</w:t>
      </w:r>
      <w:r w:rsidRPr="00E67349">
        <w:rPr>
          <w:rFonts w:cs="Arial"/>
          <w:sz w:val="16"/>
          <w:szCs w:val="16"/>
        </w:rPr>
        <w:t xml:space="preserve"> párr. 146, y </w:t>
      </w:r>
      <w:r w:rsidRPr="00B1523A">
        <w:rPr>
          <w:rFonts w:cs="Arial"/>
          <w:i/>
          <w:sz w:val="16"/>
          <w:szCs w:val="16"/>
        </w:rPr>
        <w:t>Caso Duque Vs. Colombia, supra,</w:t>
      </w:r>
      <w:r>
        <w:rPr>
          <w:rFonts w:cs="Arial"/>
          <w:sz w:val="16"/>
          <w:szCs w:val="16"/>
        </w:rPr>
        <w:t xml:space="preserve"> párr. 162.</w:t>
      </w:r>
    </w:p>
  </w:footnote>
  <w:footnote w:id="292">
    <w:p w14:paraId="67DF94D1" w14:textId="4E74008F" w:rsidR="003C025E" w:rsidRPr="00E67349" w:rsidRDefault="003C025E" w:rsidP="00E67349">
      <w:pPr>
        <w:pStyle w:val="FootnoteText"/>
        <w:rPr>
          <w:sz w:val="16"/>
          <w:szCs w:val="16"/>
        </w:rPr>
      </w:pPr>
      <w:r w:rsidRPr="00E67349">
        <w:rPr>
          <w:rStyle w:val="FootnoteReference"/>
          <w:rFonts w:eastAsiaTheme="majorEastAsia"/>
          <w:sz w:val="16"/>
          <w:szCs w:val="16"/>
        </w:rPr>
        <w:footnoteRef/>
      </w:r>
      <w:r w:rsidRPr="00E67349">
        <w:rPr>
          <w:sz w:val="16"/>
          <w:szCs w:val="16"/>
        </w:rPr>
        <w:t xml:space="preserve"> </w:t>
      </w:r>
      <w:r w:rsidRPr="00E67349">
        <w:rPr>
          <w:sz w:val="16"/>
          <w:szCs w:val="16"/>
        </w:rPr>
        <w:tab/>
        <w:t xml:space="preserve">Principio 2 de los Principios Básicos de </w:t>
      </w:r>
      <w:r>
        <w:rPr>
          <w:sz w:val="16"/>
          <w:szCs w:val="16"/>
        </w:rPr>
        <w:t>la ONU</w:t>
      </w:r>
      <w:r w:rsidRPr="00E67349">
        <w:rPr>
          <w:sz w:val="16"/>
          <w:szCs w:val="16"/>
        </w:rPr>
        <w:t xml:space="preserve"> relativos a la Independencia de la Judicatura.</w:t>
      </w:r>
    </w:p>
  </w:footnote>
  <w:footnote w:id="293">
    <w:p w14:paraId="075D0B7E" w14:textId="7FFF0791" w:rsidR="003C025E" w:rsidRPr="00E67349" w:rsidRDefault="003C025E" w:rsidP="00E67349">
      <w:pPr>
        <w:pStyle w:val="FootnoteText"/>
        <w:rPr>
          <w:sz w:val="16"/>
          <w:szCs w:val="16"/>
        </w:rPr>
      </w:pPr>
      <w:r w:rsidRPr="00E67349">
        <w:rPr>
          <w:rStyle w:val="FootnoteReference"/>
          <w:rFonts w:eastAsiaTheme="majorEastAsia"/>
          <w:sz w:val="16"/>
          <w:szCs w:val="16"/>
        </w:rPr>
        <w:footnoteRef/>
      </w:r>
      <w:r w:rsidRPr="00E67349">
        <w:rPr>
          <w:sz w:val="16"/>
          <w:szCs w:val="16"/>
        </w:rPr>
        <w:t xml:space="preserve"> </w:t>
      </w:r>
      <w:r w:rsidRPr="00E67349">
        <w:rPr>
          <w:sz w:val="16"/>
          <w:szCs w:val="16"/>
        </w:rPr>
        <w:tab/>
      </w:r>
      <w:r w:rsidRPr="00062586">
        <w:rPr>
          <w:i/>
          <w:sz w:val="16"/>
          <w:szCs w:val="16"/>
        </w:rPr>
        <w:t>Cfr.</w:t>
      </w:r>
      <w:r w:rsidRPr="00E67349">
        <w:rPr>
          <w:sz w:val="16"/>
          <w:szCs w:val="16"/>
        </w:rPr>
        <w:t xml:space="preserve"> </w:t>
      </w:r>
      <w:r w:rsidRPr="00E67349">
        <w:rPr>
          <w:i/>
          <w:sz w:val="16"/>
          <w:szCs w:val="16"/>
        </w:rPr>
        <w:t xml:space="preserve">Caso </w:t>
      </w:r>
      <w:proofErr w:type="spellStart"/>
      <w:r w:rsidRPr="00E67349">
        <w:rPr>
          <w:i/>
          <w:sz w:val="16"/>
          <w:szCs w:val="16"/>
        </w:rPr>
        <w:t>Caso</w:t>
      </w:r>
      <w:proofErr w:type="spellEnd"/>
      <w:r w:rsidRPr="00E67349">
        <w:rPr>
          <w:i/>
          <w:sz w:val="16"/>
          <w:szCs w:val="16"/>
        </w:rPr>
        <w:t xml:space="preserve"> </w:t>
      </w:r>
      <w:proofErr w:type="spellStart"/>
      <w:r w:rsidRPr="00E67349">
        <w:rPr>
          <w:i/>
          <w:sz w:val="16"/>
          <w:szCs w:val="16"/>
        </w:rPr>
        <w:t>Apitz</w:t>
      </w:r>
      <w:proofErr w:type="spellEnd"/>
      <w:r w:rsidRPr="00E67349">
        <w:rPr>
          <w:i/>
          <w:sz w:val="16"/>
          <w:szCs w:val="16"/>
        </w:rPr>
        <w:t xml:space="preserve"> Barbera y otros (“Corte Primera de lo Contencioso Administrativo”) Vs. Venezuela. Excepción Preliminar, Fondo, Reparaciones y Costas. </w:t>
      </w:r>
      <w:r w:rsidRPr="00E67349">
        <w:rPr>
          <w:sz w:val="16"/>
          <w:szCs w:val="16"/>
        </w:rPr>
        <w:t xml:space="preserve">Sentencia de 5 de agosto de 2008. Serie C No. 182, párr. 56, </w:t>
      </w:r>
      <w:proofErr w:type="gramStart"/>
      <w:r w:rsidRPr="00E67349">
        <w:rPr>
          <w:sz w:val="16"/>
          <w:szCs w:val="16"/>
        </w:rPr>
        <w:t xml:space="preserve">y </w:t>
      </w:r>
      <w:r w:rsidRPr="00586679">
        <w:rPr>
          <w:sz w:val="16"/>
          <w:szCs w:val="16"/>
        </w:rPr>
        <w:t>.</w:t>
      </w:r>
      <w:proofErr w:type="gramEnd"/>
      <w:r w:rsidRPr="00586679">
        <w:rPr>
          <w:sz w:val="16"/>
          <w:szCs w:val="16"/>
        </w:rPr>
        <w:t xml:space="preserve"> </w:t>
      </w:r>
      <w:r w:rsidRPr="00B1523A">
        <w:rPr>
          <w:i/>
          <w:sz w:val="16"/>
          <w:szCs w:val="16"/>
        </w:rPr>
        <w:t>Caso Duque Vs. Colombia, supra,</w:t>
      </w:r>
      <w:r w:rsidRPr="00586679">
        <w:rPr>
          <w:sz w:val="16"/>
          <w:szCs w:val="16"/>
        </w:rPr>
        <w:t xml:space="preserve"> párr. 1</w:t>
      </w:r>
      <w:r>
        <w:rPr>
          <w:sz w:val="16"/>
          <w:szCs w:val="16"/>
        </w:rPr>
        <w:t>62.</w:t>
      </w:r>
    </w:p>
  </w:footnote>
  <w:footnote w:id="294">
    <w:p w14:paraId="2926F574" w14:textId="75C71428" w:rsidR="003C025E" w:rsidRPr="00E67349" w:rsidRDefault="003C025E" w:rsidP="00E67349">
      <w:pPr>
        <w:pStyle w:val="FootnoteText"/>
        <w:rPr>
          <w:sz w:val="16"/>
          <w:szCs w:val="16"/>
        </w:rPr>
      </w:pPr>
      <w:r w:rsidRPr="00E67349">
        <w:rPr>
          <w:rStyle w:val="FootnoteReference"/>
          <w:rFonts w:eastAsiaTheme="majorEastAsia"/>
          <w:sz w:val="16"/>
          <w:szCs w:val="16"/>
        </w:rPr>
        <w:footnoteRef/>
      </w:r>
      <w:r w:rsidRPr="00E67349">
        <w:rPr>
          <w:sz w:val="16"/>
          <w:szCs w:val="16"/>
          <w:lang w:val="es-CR"/>
        </w:rPr>
        <w:t xml:space="preserve"> </w:t>
      </w:r>
      <w:r w:rsidRPr="00E67349">
        <w:rPr>
          <w:sz w:val="16"/>
          <w:szCs w:val="16"/>
          <w:lang w:val="es-CR"/>
        </w:rPr>
        <w:tab/>
      </w:r>
      <w:r w:rsidRPr="00B1523A">
        <w:rPr>
          <w:i/>
          <w:sz w:val="16"/>
          <w:szCs w:val="16"/>
          <w:lang w:val="es-CR"/>
        </w:rPr>
        <w:t>Cfr.</w:t>
      </w:r>
      <w:r>
        <w:rPr>
          <w:sz w:val="16"/>
          <w:szCs w:val="16"/>
          <w:lang w:val="es-CR"/>
        </w:rPr>
        <w:t xml:space="preserve"> </w:t>
      </w:r>
      <w:r w:rsidRPr="00B1523A">
        <w:rPr>
          <w:i/>
          <w:sz w:val="16"/>
          <w:szCs w:val="16"/>
          <w:lang w:val="es-CR"/>
        </w:rPr>
        <w:t xml:space="preserve">Caso </w:t>
      </w:r>
      <w:proofErr w:type="spellStart"/>
      <w:r w:rsidRPr="00B1523A">
        <w:rPr>
          <w:i/>
          <w:sz w:val="16"/>
          <w:szCs w:val="16"/>
          <w:lang w:val="es-CR"/>
        </w:rPr>
        <w:t>Atala</w:t>
      </w:r>
      <w:proofErr w:type="spellEnd"/>
      <w:r w:rsidRPr="00B1523A">
        <w:rPr>
          <w:i/>
          <w:sz w:val="16"/>
          <w:szCs w:val="16"/>
          <w:lang w:val="es-CR"/>
        </w:rPr>
        <w:t xml:space="preserve"> </w:t>
      </w:r>
      <w:proofErr w:type="spellStart"/>
      <w:r w:rsidRPr="00B1523A">
        <w:rPr>
          <w:i/>
          <w:sz w:val="16"/>
          <w:szCs w:val="16"/>
          <w:lang w:val="es-CR"/>
        </w:rPr>
        <w:t>Riffo</w:t>
      </w:r>
      <w:proofErr w:type="spellEnd"/>
      <w:r w:rsidRPr="00B1523A">
        <w:rPr>
          <w:i/>
          <w:sz w:val="16"/>
          <w:szCs w:val="16"/>
          <w:lang w:val="es-CR"/>
        </w:rPr>
        <w:t xml:space="preserve"> y niñas Vs. Chile. Fondo, Reparaciones y Costas.</w:t>
      </w:r>
      <w:r w:rsidRPr="00E67349">
        <w:rPr>
          <w:sz w:val="16"/>
          <w:szCs w:val="16"/>
          <w:lang w:val="es-CR"/>
        </w:rPr>
        <w:t xml:space="preserve"> Sentencia de 24 de febrero de 20</w:t>
      </w:r>
      <w:r>
        <w:rPr>
          <w:sz w:val="16"/>
          <w:szCs w:val="16"/>
          <w:lang w:val="es-CR"/>
        </w:rPr>
        <w:t>12. Serie C No. 239, párr. 234.</w:t>
      </w:r>
    </w:p>
  </w:footnote>
  <w:footnote w:id="295">
    <w:p w14:paraId="56A3303E" w14:textId="62B45862" w:rsidR="003C025E" w:rsidRPr="00E67349" w:rsidRDefault="003C025E" w:rsidP="00E67349">
      <w:pPr>
        <w:pStyle w:val="FootnoteText"/>
        <w:rPr>
          <w:sz w:val="16"/>
          <w:szCs w:val="16"/>
        </w:rPr>
      </w:pPr>
      <w:r w:rsidRPr="00E67349">
        <w:rPr>
          <w:rStyle w:val="FootnoteReference"/>
          <w:sz w:val="16"/>
          <w:szCs w:val="16"/>
        </w:rPr>
        <w:footnoteRef/>
      </w:r>
      <w:r w:rsidRPr="00E67349">
        <w:rPr>
          <w:sz w:val="16"/>
          <w:szCs w:val="16"/>
        </w:rPr>
        <w:t xml:space="preserve"> </w:t>
      </w:r>
      <w:r w:rsidRPr="00E67349">
        <w:rPr>
          <w:sz w:val="16"/>
          <w:szCs w:val="16"/>
        </w:rPr>
        <w:tab/>
      </w:r>
      <w:r w:rsidRPr="00062586">
        <w:rPr>
          <w:i/>
          <w:sz w:val="16"/>
          <w:szCs w:val="16"/>
        </w:rPr>
        <w:t>Cfr.</w:t>
      </w:r>
      <w:r w:rsidRPr="00E67349">
        <w:rPr>
          <w:sz w:val="16"/>
          <w:szCs w:val="16"/>
        </w:rPr>
        <w:t xml:space="preserve"> </w:t>
      </w:r>
      <w:r w:rsidRPr="00E67349">
        <w:rPr>
          <w:i/>
          <w:sz w:val="16"/>
          <w:szCs w:val="16"/>
        </w:rPr>
        <w:t xml:space="preserve">Caso </w:t>
      </w:r>
      <w:proofErr w:type="spellStart"/>
      <w:r w:rsidRPr="00E67349">
        <w:rPr>
          <w:i/>
          <w:sz w:val="16"/>
          <w:szCs w:val="16"/>
        </w:rPr>
        <w:t>Atala</w:t>
      </w:r>
      <w:proofErr w:type="spellEnd"/>
      <w:r w:rsidRPr="00E67349">
        <w:rPr>
          <w:i/>
          <w:sz w:val="16"/>
          <w:szCs w:val="16"/>
        </w:rPr>
        <w:t xml:space="preserve"> </w:t>
      </w:r>
      <w:proofErr w:type="spellStart"/>
      <w:r w:rsidRPr="00E67349">
        <w:rPr>
          <w:i/>
          <w:sz w:val="16"/>
          <w:szCs w:val="16"/>
        </w:rPr>
        <w:t>Riffo</w:t>
      </w:r>
      <w:proofErr w:type="spellEnd"/>
      <w:r w:rsidRPr="00E67349">
        <w:rPr>
          <w:i/>
          <w:sz w:val="16"/>
          <w:szCs w:val="16"/>
        </w:rPr>
        <w:t xml:space="preserve"> y Niñas Vs. Chile. </w:t>
      </w:r>
      <w:r>
        <w:rPr>
          <w:i/>
          <w:sz w:val="16"/>
          <w:szCs w:val="16"/>
        </w:rPr>
        <w:t>supra,</w:t>
      </w:r>
      <w:r w:rsidRPr="00E67349">
        <w:rPr>
          <w:sz w:val="16"/>
          <w:szCs w:val="16"/>
        </w:rPr>
        <w:t xml:space="preserve"> párr. 190</w:t>
      </w:r>
      <w:r>
        <w:rPr>
          <w:sz w:val="16"/>
          <w:szCs w:val="16"/>
        </w:rPr>
        <w:t xml:space="preserve">, y </w:t>
      </w:r>
      <w:r w:rsidRPr="00B1523A">
        <w:rPr>
          <w:i/>
          <w:sz w:val="16"/>
          <w:szCs w:val="16"/>
        </w:rPr>
        <w:t>Caso Duque Vs. Colombia, supra,</w:t>
      </w:r>
      <w:r w:rsidRPr="00586679">
        <w:rPr>
          <w:sz w:val="16"/>
          <w:szCs w:val="16"/>
        </w:rPr>
        <w:t xml:space="preserve"> párr. 16</w:t>
      </w:r>
      <w:r>
        <w:rPr>
          <w:sz w:val="16"/>
          <w:szCs w:val="16"/>
        </w:rPr>
        <w:t>5</w:t>
      </w:r>
      <w:r w:rsidRPr="00E67349">
        <w:rPr>
          <w:sz w:val="16"/>
          <w:szCs w:val="16"/>
        </w:rPr>
        <w:t>.</w:t>
      </w:r>
    </w:p>
  </w:footnote>
  <w:footnote w:id="296">
    <w:p w14:paraId="4D7E90D7" w14:textId="6B866F4E" w:rsidR="003C025E" w:rsidRPr="0095252C" w:rsidRDefault="003C025E" w:rsidP="00BE6F31">
      <w:pPr>
        <w:pStyle w:val="FootnoteText"/>
        <w:ind w:right="-360"/>
        <w:rPr>
          <w:sz w:val="16"/>
          <w:szCs w:val="16"/>
        </w:rPr>
      </w:pPr>
      <w:r w:rsidRPr="0095252C">
        <w:rPr>
          <w:rStyle w:val="FootnoteReference"/>
          <w:sz w:val="16"/>
          <w:szCs w:val="16"/>
        </w:rPr>
        <w:footnoteRef/>
      </w:r>
      <w:r w:rsidRPr="0095252C">
        <w:rPr>
          <w:sz w:val="16"/>
          <w:szCs w:val="16"/>
        </w:rPr>
        <w:t xml:space="preserve"> </w:t>
      </w:r>
      <w:r>
        <w:rPr>
          <w:sz w:val="16"/>
          <w:szCs w:val="16"/>
        </w:rPr>
        <w:tab/>
      </w:r>
      <w:r w:rsidRPr="0095252C">
        <w:rPr>
          <w:sz w:val="16"/>
          <w:szCs w:val="16"/>
        </w:rPr>
        <w:t xml:space="preserve">En su entendimiento, los maltratos y humillaciones padecidos por los familiares del señor Poblete Vilches durante la internación de este último provenientes del personal médico del Hospital </w:t>
      </w:r>
      <w:proofErr w:type="spellStart"/>
      <w:r w:rsidRPr="0095252C">
        <w:rPr>
          <w:sz w:val="16"/>
          <w:szCs w:val="16"/>
        </w:rPr>
        <w:t>Sótero</w:t>
      </w:r>
      <w:proofErr w:type="spellEnd"/>
      <w:r w:rsidRPr="0095252C">
        <w:rPr>
          <w:sz w:val="16"/>
          <w:szCs w:val="16"/>
        </w:rPr>
        <w:t xml:space="preserve"> del Río quedaron demostradas adicionalmente con los testimonios de Jorge Alejandro Fuentes Poblete, Alejandra M. Fuentes Poblete y Teresa del Carmen Campos Quinteros, “[…] y fueron crudamente explicadas durante el transcurso de la audiencia pública por el Sr. Vinicio Poblete Tapia”</w:t>
      </w:r>
      <w:r>
        <w:rPr>
          <w:sz w:val="16"/>
          <w:szCs w:val="16"/>
        </w:rPr>
        <w:t>.</w:t>
      </w:r>
    </w:p>
  </w:footnote>
  <w:footnote w:id="297">
    <w:p w14:paraId="0B876B8A" w14:textId="382B0EF2" w:rsidR="003C025E" w:rsidRPr="0095252C" w:rsidRDefault="003C025E" w:rsidP="00BE6F31">
      <w:pPr>
        <w:pStyle w:val="FootnoteText"/>
        <w:ind w:right="-360"/>
        <w:rPr>
          <w:sz w:val="16"/>
          <w:szCs w:val="16"/>
        </w:rPr>
      </w:pPr>
      <w:r w:rsidRPr="0095252C">
        <w:rPr>
          <w:rStyle w:val="FootnoteReference"/>
          <w:sz w:val="16"/>
          <w:szCs w:val="16"/>
        </w:rPr>
        <w:footnoteRef/>
      </w:r>
      <w:r w:rsidRPr="0095252C">
        <w:rPr>
          <w:sz w:val="16"/>
          <w:szCs w:val="16"/>
        </w:rPr>
        <w:t xml:space="preserve"> </w:t>
      </w:r>
      <w:r>
        <w:rPr>
          <w:sz w:val="16"/>
          <w:szCs w:val="16"/>
        </w:rPr>
        <w:tab/>
      </w:r>
      <w:r w:rsidRPr="00062586">
        <w:rPr>
          <w:i/>
          <w:sz w:val="16"/>
          <w:szCs w:val="16"/>
        </w:rPr>
        <w:t>Cfr.</w:t>
      </w:r>
      <w:r w:rsidRPr="0095252C">
        <w:rPr>
          <w:sz w:val="16"/>
          <w:szCs w:val="16"/>
        </w:rPr>
        <w:t xml:space="preserve"> </w:t>
      </w:r>
      <w:r w:rsidRPr="0095252C">
        <w:rPr>
          <w:i/>
          <w:sz w:val="16"/>
          <w:szCs w:val="16"/>
        </w:rPr>
        <w:t>Caso Blake Vs. Guatemala. Fondo.</w:t>
      </w:r>
      <w:r w:rsidRPr="0095252C">
        <w:rPr>
          <w:sz w:val="16"/>
          <w:szCs w:val="16"/>
        </w:rPr>
        <w:t xml:space="preserve"> Sentencia de 24 de enero de 1998. </w:t>
      </w:r>
      <w:r w:rsidRPr="00BB4919">
        <w:rPr>
          <w:sz w:val="16"/>
          <w:szCs w:val="16"/>
          <w:lang w:val="pt-BR"/>
        </w:rPr>
        <w:t xml:space="preserve">Serie C No. 36, párr. 114, y </w:t>
      </w:r>
      <w:r w:rsidRPr="00BB4919">
        <w:rPr>
          <w:i/>
          <w:sz w:val="16"/>
          <w:szCs w:val="16"/>
          <w:lang w:val="pt-BR"/>
        </w:rPr>
        <w:t xml:space="preserve">Caso Favela Nova Brasília Vs. </w:t>
      </w:r>
      <w:r w:rsidRPr="00B1523A">
        <w:rPr>
          <w:i/>
          <w:sz w:val="16"/>
          <w:szCs w:val="16"/>
        </w:rPr>
        <w:t>Brasil. Excepciones Preliminares, Fondo, Reparaciones y Costas.</w:t>
      </w:r>
      <w:r w:rsidRPr="002B0772">
        <w:rPr>
          <w:sz w:val="16"/>
          <w:szCs w:val="16"/>
        </w:rPr>
        <w:t xml:space="preserve"> Sentencia de 16 de f</w:t>
      </w:r>
      <w:r>
        <w:rPr>
          <w:sz w:val="16"/>
          <w:szCs w:val="16"/>
        </w:rPr>
        <w:t xml:space="preserve">ebrero de 2017. Serie C No. 333, párr. 67. </w:t>
      </w:r>
    </w:p>
  </w:footnote>
  <w:footnote w:id="298">
    <w:p w14:paraId="65354208" w14:textId="371F6A2A" w:rsidR="003C025E" w:rsidRPr="0095252C" w:rsidRDefault="003C025E" w:rsidP="00BE6F31">
      <w:pPr>
        <w:pStyle w:val="FootnoteText"/>
        <w:ind w:right="-360"/>
        <w:rPr>
          <w:sz w:val="16"/>
          <w:szCs w:val="16"/>
        </w:rPr>
      </w:pPr>
      <w:r w:rsidRPr="0095252C">
        <w:rPr>
          <w:rStyle w:val="FootnoteReference"/>
          <w:sz w:val="16"/>
          <w:szCs w:val="16"/>
        </w:rPr>
        <w:footnoteRef/>
      </w:r>
      <w:r w:rsidRPr="0095252C">
        <w:rPr>
          <w:sz w:val="16"/>
          <w:szCs w:val="16"/>
        </w:rPr>
        <w:t xml:space="preserve"> </w:t>
      </w:r>
      <w:r>
        <w:rPr>
          <w:sz w:val="16"/>
          <w:szCs w:val="16"/>
        </w:rPr>
        <w:tab/>
      </w:r>
      <w:r>
        <w:rPr>
          <w:i/>
          <w:sz w:val="16"/>
          <w:szCs w:val="16"/>
        </w:rPr>
        <w:t>Caso Suárez Peralta Vs. Ecuador,</w:t>
      </w:r>
      <w:r w:rsidRPr="0095252C">
        <w:rPr>
          <w:i/>
          <w:sz w:val="16"/>
          <w:szCs w:val="16"/>
        </w:rPr>
        <w:t xml:space="preserve"> </w:t>
      </w:r>
      <w:r>
        <w:rPr>
          <w:i/>
          <w:sz w:val="16"/>
          <w:szCs w:val="16"/>
        </w:rPr>
        <w:t>supra</w:t>
      </w:r>
      <w:r>
        <w:rPr>
          <w:sz w:val="16"/>
          <w:szCs w:val="16"/>
        </w:rPr>
        <w:t xml:space="preserve"> </w:t>
      </w:r>
      <w:r w:rsidRPr="0095252C">
        <w:rPr>
          <w:sz w:val="16"/>
          <w:szCs w:val="16"/>
        </w:rPr>
        <w:t>párr. 158</w:t>
      </w:r>
      <w:r>
        <w:rPr>
          <w:sz w:val="16"/>
          <w:szCs w:val="16"/>
        </w:rPr>
        <w:t xml:space="preserve">, y </w:t>
      </w:r>
      <w:r w:rsidRPr="00B1523A">
        <w:rPr>
          <w:i/>
          <w:sz w:val="16"/>
          <w:szCs w:val="16"/>
        </w:rPr>
        <w:t>Caso Valencia Hinojosa y otra Vs. Ecuador. Excepciones Preliminares, Fondo, Reparaciones y Costas.</w:t>
      </w:r>
      <w:r w:rsidRPr="002B0772">
        <w:rPr>
          <w:sz w:val="16"/>
          <w:szCs w:val="16"/>
        </w:rPr>
        <w:t xml:space="preserve"> Sentencia de 29 de noviembre de 2016. Serie C No. 327</w:t>
      </w:r>
      <w:r>
        <w:rPr>
          <w:sz w:val="16"/>
          <w:szCs w:val="16"/>
        </w:rPr>
        <w:t xml:space="preserve">, párr. 142. </w:t>
      </w:r>
    </w:p>
  </w:footnote>
  <w:footnote w:id="299">
    <w:p w14:paraId="47330FE3" w14:textId="77777777" w:rsidR="003C025E" w:rsidRPr="0095252C" w:rsidRDefault="003C025E" w:rsidP="00BE6F31">
      <w:pPr>
        <w:pStyle w:val="FootnoteText"/>
        <w:ind w:right="-360"/>
        <w:rPr>
          <w:sz w:val="16"/>
          <w:szCs w:val="16"/>
        </w:rPr>
      </w:pPr>
      <w:r w:rsidRPr="0095252C">
        <w:rPr>
          <w:rStyle w:val="FootnoteReference"/>
          <w:sz w:val="16"/>
          <w:szCs w:val="16"/>
        </w:rPr>
        <w:footnoteRef/>
      </w:r>
      <w:r w:rsidRPr="0095252C">
        <w:rPr>
          <w:sz w:val="16"/>
          <w:szCs w:val="16"/>
        </w:rPr>
        <w:t xml:space="preserve"> </w:t>
      </w:r>
      <w:r>
        <w:rPr>
          <w:sz w:val="16"/>
          <w:szCs w:val="16"/>
        </w:rPr>
        <w:tab/>
      </w:r>
      <w:r w:rsidRPr="0095252C">
        <w:rPr>
          <w:i/>
          <w:iCs/>
          <w:sz w:val="16"/>
          <w:szCs w:val="16"/>
        </w:rPr>
        <w:t xml:space="preserve">Caso de las Niñas </w:t>
      </w:r>
      <w:proofErr w:type="spellStart"/>
      <w:r w:rsidRPr="0095252C">
        <w:rPr>
          <w:i/>
          <w:iCs/>
          <w:sz w:val="16"/>
          <w:szCs w:val="16"/>
        </w:rPr>
        <w:t>Yean</w:t>
      </w:r>
      <w:proofErr w:type="spellEnd"/>
      <w:r w:rsidRPr="0095252C">
        <w:rPr>
          <w:i/>
          <w:iCs/>
          <w:sz w:val="16"/>
          <w:szCs w:val="16"/>
        </w:rPr>
        <w:t xml:space="preserve"> y </w:t>
      </w:r>
      <w:proofErr w:type="spellStart"/>
      <w:r w:rsidRPr="0095252C">
        <w:rPr>
          <w:i/>
          <w:iCs/>
          <w:sz w:val="16"/>
          <w:szCs w:val="16"/>
        </w:rPr>
        <w:t>Bosico</w:t>
      </w:r>
      <w:proofErr w:type="spellEnd"/>
      <w:r w:rsidRPr="0095252C">
        <w:rPr>
          <w:sz w:val="16"/>
          <w:szCs w:val="16"/>
        </w:rPr>
        <w:t xml:space="preserve">. Sentencia de 8 de septiembre de 2005. Serie C No 130, párr. 204.  </w:t>
      </w:r>
    </w:p>
  </w:footnote>
  <w:footnote w:id="300">
    <w:p w14:paraId="0CF54F49" w14:textId="35BB6D02" w:rsidR="003C025E" w:rsidRPr="0095252C" w:rsidRDefault="003C025E" w:rsidP="00BE6F31">
      <w:pPr>
        <w:pStyle w:val="FootnoteText"/>
        <w:ind w:right="-360"/>
        <w:rPr>
          <w:sz w:val="16"/>
          <w:szCs w:val="16"/>
          <w:lang w:val="es-CR"/>
        </w:rPr>
      </w:pPr>
      <w:r w:rsidRPr="0095252C">
        <w:rPr>
          <w:rStyle w:val="FootnoteReference"/>
          <w:sz w:val="16"/>
          <w:szCs w:val="16"/>
        </w:rPr>
        <w:footnoteRef/>
      </w:r>
      <w:r w:rsidRPr="0095252C">
        <w:rPr>
          <w:sz w:val="16"/>
          <w:szCs w:val="16"/>
        </w:rPr>
        <w:t xml:space="preserve"> </w:t>
      </w:r>
      <w:r>
        <w:rPr>
          <w:sz w:val="16"/>
          <w:szCs w:val="16"/>
        </w:rPr>
        <w:tab/>
      </w:r>
      <w:r w:rsidRPr="00062586">
        <w:rPr>
          <w:i/>
          <w:iCs/>
          <w:sz w:val="16"/>
          <w:szCs w:val="16"/>
        </w:rPr>
        <w:t>Cfr.</w:t>
      </w:r>
      <w:r w:rsidRPr="0095252C">
        <w:rPr>
          <w:i/>
          <w:iCs/>
          <w:sz w:val="16"/>
          <w:szCs w:val="16"/>
        </w:rPr>
        <w:t xml:space="preserve"> Ca</w:t>
      </w:r>
      <w:r>
        <w:rPr>
          <w:i/>
          <w:iCs/>
          <w:sz w:val="16"/>
          <w:szCs w:val="16"/>
        </w:rPr>
        <w:t xml:space="preserve">so Vera </w:t>
      </w:r>
      <w:proofErr w:type="spellStart"/>
      <w:r>
        <w:rPr>
          <w:i/>
          <w:iCs/>
          <w:sz w:val="16"/>
          <w:szCs w:val="16"/>
        </w:rPr>
        <w:t>Vera</w:t>
      </w:r>
      <w:proofErr w:type="spellEnd"/>
      <w:r>
        <w:rPr>
          <w:i/>
          <w:iCs/>
          <w:sz w:val="16"/>
          <w:szCs w:val="16"/>
        </w:rPr>
        <w:t xml:space="preserve"> y otra Vs. Ecuador,</w:t>
      </w:r>
      <w:r w:rsidRPr="0095252C">
        <w:rPr>
          <w:i/>
          <w:iCs/>
          <w:sz w:val="16"/>
          <w:szCs w:val="16"/>
        </w:rPr>
        <w:t xml:space="preserve"> </w:t>
      </w:r>
      <w:r>
        <w:rPr>
          <w:i/>
          <w:iCs/>
          <w:sz w:val="16"/>
          <w:szCs w:val="16"/>
        </w:rPr>
        <w:t>supra</w:t>
      </w:r>
      <w:r w:rsidRPr="0095252C">
        <w:rPr>
          <w:sz w:val="16"/>
          <w:szCs w:val="16"/>
          <w:lang w:val="es-CR"/>
        </w:rPr>
        <w:t xml:space="preserve"> párr. 104.  </w:t>
      </w:r>
    </w:p>
  </w:footnote>
  <w:footnote w:id="301">
    <w:p w14:paraId="39EF5280" w14:textId="5B1B2716" w:rsidR="003C025E" w:rsidRPr="0095252C" w:rsidRDefault="003C025E" w:rsidP="00BE6F31">
      <w:pPr>
        <w:pStyle w:val="FootnoteText"/>
        <w:ind w:right="-360"/>
        <w:rPr>
          <w:sz w:val="16"/>
          <w:szCs w:val="16"/>
          <w:lang w:val="es-CR"/>
        </w:rPr>
      </w:pPr>
      <w:r w:rsidRPr="0095252C">
        <w:rPr>
          <w:rStyle w:val="FootnoteReference"/>
          <w:sz w:val="16"/>
          <w:szCs w:val="16"/>
        </w:rPr>
        <w:footnoteRef/>
      </w:r>
      <w:r w:rsidRPr="0095252C">
        <w:rPr>
          <w:sz w:val="16"/>
          <w:szCs w:val="16"/>
        </w:rPr>
        <w:t xml:space="preserve"> </w:t>
      </w:r>
      <w:r>
        <w:rPr>
          <w:sz w:val="16"/>
          <w:szCs w:val="16"/>
        </w:rPr>
        <w:tab/>
      </w:r>
      <w:r w:rsidRPr="00AC3BF8">
        <w:rPr>
          <w:i/>
          <w:iCs/>
          <w:sz w:val="16"/>
          <w:szCs w:val="16"/>
        </w:rPr>
        <w:t xml:space="preserve">Cfr. Caso Blake Vs. Guatemala. Fondo. </w:t>
      </w:r>
      <w:r>
        <w:rPr>
          <w:i/>
          <w:iCs/>
          <w:sz w:val="16"/>
          <w:szCs w:val="16"/>
        </w:rPr>
        <w:t xml:space="preserve">supra </w:t>
      </w:r>
      <w:r w:rsidRPr="00AC3BF8">
        <w:rPr>
          <w:i/>
          <w:iCs/>
          <w:sz w:val="16"/>
          <w:szCs w:val="16"/>
        </w:rPr>
        <w:t xml:space="preserve">párr. 114, y Caso Miembros de la Aldea </w:t>
      </w:r>
      <w:proofErr w:type="spellStart"/>
      <w:r w:rsidRPr="00AC3BF8">
        <w:rPr>
          <w:i/>
          <w:iCs/>
          <w:sz w:val="16"/>
          <w:szCs w:val="16"/>
        </w:rPr>
        <w:t>Chichupac</w:t>
      </w:r>
      <w:proofErr w:type="spellEnd"/>
      <w:r w:rsidRPr="00AC3BF8">
        <w:rPr>
          <w:i/>
          <w:iCs/>
          <w:sz w:val="16"/>
          <w:szCs w:val="16"/>
        </w:rPr>
        <w:t xml:space="preserve"> y comunidades vecinas del Municipio de Rabinal Vs. Guatemala. Excepciones Preliminares, Fondo, Reparaciones y Costas. Sentencia de 30 de noviembr</w:t>
      </w:r>
      <w:r>
        <w:rPr>
          <w:i/>
          <w:iCs/>
          <w:sz w:val="16"/>
          <w:szCs w:val="16"/>
        </w:rPr>
        <w:t xml:space="preserve">e de 2016, </w:t>
      </w:r>
      <w:proofErr w:type="spellStart"/>
      <w:r w:rsidRPr="003B52C8">
        <w:rPr>
          <w:iCs/>
          <w:sz w:val="16"/>
          <w:szCs w:val="16"/>
        </w:rPr>
        <w:t>parr</w:t>
      </w:r>
      <w:proofErr w:type="spellEnd"/>
      <w:r w:rsidRPr="003B52C8">
        <w:rPr>
          <w:iCs/>
          <w:sz w:val="16"/>
          <w:szCs w:val="16"/>
        </w:rPr>
        <w:t>. 161.</w:t>
      </w:r>
    </w:p>
  </w:footnote>
  <w:footnote w:id="302">
    <w:p w14:paraId="2D3CCE12" w14:textId="6F295961" w:rsidR="003C025E" w:rsidRPr="0095252C" w:rsidRDefault="003C025E" w:rsidP="00BE6F31">
      <w:pPr>
        <w:pStyle w:val="FootnoteText"/>
        <w:ind w:right="-360"/>
        <w:rPr>
          <w:sz w:val="16"/>
          <w:szCs w:val="16"/>
          <w:lang w:val="es-CR"/>
        </w:rPr>
      </w:pPr>
      <w:r w:rsidRPr="0095252C">
        <w:rPr>
          <w:rStyle w:val="FootnoteReference"/>
          <w:sz w:val="16"/>
          <w:szCs w:val="16"/>
        </w:rPr>
        <w:footnoteRef/>
      </w:r>
      <w:r w:rsidRPr="0095252C">
        <w:rPr>
          <w:sz w:val="16"/>
          <w:szCs w:val="16"/>
        </w:rPr>
        <w:t xml:space="preserve"> </w:t>
      </w:r>
      <w:r>
        <w:rPr>
          <w:sz w:val="16"/>
          <w:szCs w:val="16"/>
        </w:rPr>
        <w:tab/>
      </w:r>
      <w:r w:rsidRPr="00AC3BF8">
        <w:rPr>
          <w:i/>
          <w:iCs/>
          <w:sz w:val="16"/>
          <w:szCs w:val="16"/>
        </w:rPr>
        <w:t xml:space="preserve">Cfr. Caso </w:t>
      </w:r>
      <w:proofErr w:type="spellStart"/>
      <w:r w:rsidRPr="00AC3BF8">
        <w:rPr>
          <w:i/>
          <w:iCs/>
          <w:sz w:val="16"/>
          <w:szCs w:val="16"/>
        </w:rPr>
        <w:t>Bámaca</w:t>
      </w:r>
      <w:proofErr w:type="spellEnd"/>
      <w:r w:rsidRPr="00AC3BF8">
        <w:rPr>
          <w:i/>
          <w:iCs/>
          <w:sz w:val="16"/>
          <w:szCs w:val="16"/>
        </w:rPr>
        <w:t xml:space="preserve"> Velásquez Vs. Guatemala. Fondo. Sentencia de 25 de noviembre de 2000,</w:t>
      </w:r>
      <w:r>
        <w:rPr>
          <w:i/>
          <w:iCs/>
          <w:sz w:val="16"/>
          <w:szCs w:val="16"/>
        </w:rPr>
        <w:t xml:space="preserve"> </w:t>
      </w:r>
      <w:proofErr w:type="spellStart"/>
      <w:r w:rsidRPr="003B52C8">
        <w:rPr>
          <w:iCs/>
          <w:sz w:val="16"/>
          <w:szCs w:val="16"/>
        </w:rPr>
        <w:t>párrs</w:t>
      </w:r>
      <w:proofErr w:type="spellEnd"/>
      <w:r w:rsidRPr="003B52C8">
        <w:rPr>
          <w:iCs/>
          <w:sz w:val="16"/>
          <w:szCs w:val="16"/>
        </w:rPr>
        <w:t>. 162 y 163,</w:t>
      </w:r>
      <w:r>
        <w:rPr>
          <w:i/>
          <w:iCs/>
          <w:sz w:val="16"/>
          <w:szCs w:val="16"/>
        </w:rPr>
        <w:t xml:space="preserve"> y</w:t>
      </w:r>
      <w:r w:rsidRPr="00AC3BF8">
        <w:rPr>
          <w:i/>
          <w:iCs/>
          <w:sz w:val="16"/>
          <w:szCs w:val="16"/>
        </w:rPr>
        <w:t xml:space="preserve"> Caso Vásquez Durand y otros Vs. Ecuador. Excepciones Preliminares, Fondo, Reparaciones y Costas. Sentencia de 15 de febrero de 2017. Serie </w:t>
      </w:r>
      <w:r>
        <w:rPr>
          <w:i/>
          <w:iCs/>
          <w:sz w:val="16"/>
          <w:szCs w:val="16"/>
        </w:rPr>
        <w:t xml:space="preserve">C No. 332, </w:t>
      </w:r>
      <w:r w:rsidRPr="003B52C8">
        <w:rPr>
          <w:iCs/>
          <w:sz w:val="16"/>
          <w:szCs w:val="16"/>
        </w:rPr>
        <w:t>párr. 182.</w:t>
      </w:r>
    </w:p>
  </w:footnote>
  <w:footnote w:id="303">
    <w:p w14:paraId="10BA4CA7" w14:textId="77777777" w:rsidR="003C025E" w:rsidRPr="00C079F5" w:rsidRDefault="003C025E" w:rsidP="00C079F5">
      <w:pPr>
        <w:pStyle w:val="FootnoteText"/>
        <w:rPr>
          <w:sz w:val="16"/>
          <w:szCs w:val="16"/>
        </w:rPr>
      </w:pPr>
      <w:r w:rsidRPr="00C079F5">
        <w:rPr>
          <w:rStyle w:val="FootnoteReference"/>
          <w:sz w:val="16"/>
          <w:szCs w:val="16"/>
        </w:rPr>
        <w:footnoteRef/>
      </w:r>
      <w:r w:rsidRPr="00C079F5">
        <w:rPr>
          <w:sz w:val="16"/>
          <w:szCs w:val="16"/>
        </w:rPr>
        <w:t xml:space="preserve"> </w:t>
      </w:r>
      <w:r>
        <w:rPr>
          <w:sz w:val="16"/>
          <w:szCs w:val="16"/>
        </w:rPr>
        <w:tab/>
      </w:r>
      <w:r w:rsidRPr="00C079F5">
        <w:rPr>
          <w:sz w:val="16"/>
          <w:szCs w:val="16"/>
        </w:rPr>
        <w:t>El artículo 63.1 de la Convención Americana establece: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304">
    <w:p w14:paraId="561B5A6A" w14:textId="622BE8B4" w:rsidR="003C025E" w:rsidRPr="00AB34B8" w:rsidRDefault="003C025E" w:rsidP="00C079F5">
      <w:pPr>
        <w:pStyle w:val="FootnoteText"/>
        <w:rPr>
          <w:sz w:val="16"/>
          <w:szCs w:val="16"/>
        </w:rPr>
      </w:pPr>
      <w:r w:rsidRPr="00C079F5">
        <w:rPr>
          <w:rStyle w:val="FootnoteReference"/>
          <w:sz w:val="16"/>
          <w:szCs w:val="16"/>
        </w:rPr>
        <w:footnoteRef/>
      </w:r>
      <w:r w:rsidRPr="00C079F5">
        <w:rPr>
          <w:sz w:val="16"/>
          <w:szCs w:val="16"/>
        </w:rPr>
        <w:t xml:space="preserve"> </w:t>
      </w:r>
      <w:r>
        <w:rPr>
          <w:sz w:val="16"/>
          <w:szCs w:val="16"/>
        </w:rPr>
        <w:tab/>
      </w:r>
      <w:r w:rsidRPr="00B1523A">
        <w:rPr>
          <w:i/>
          <w:sz w:val="16"/>
          <w:szCs w:val="16"/>
        </w:rPr>
        <w:t>Cfr. Caso Velásquez Rodríguez Vs. Honduras. Reparaciones y Costas</w:t>
      </w:r>
      <w:r w:rsidRPr="00AB34B8">
        <w:rPr>
          <w:i/>
          <w:sz w:val="16"/>
          <w:szCs w:val="16"/>
        </w:rPr>
        <w:t>.</w:t>
      </w:r>
      <w:r w:rsidRPr="00AB34B8">
        <w:rPr>
          <w:sz w:val="16"/>
          <w:szCs w:val="16"/>
        </w:rPr>
        <w:t xml:space="preserve"> Sentencia de 21 de julio de 1989. Serie C No. 7, párr. 25, y </w:t>
      </w:r>
      <w:r w:rsidRPr="00B1523A">
        <w:rPr>
          <w:i/>
          <w:sz w:val="16"/>
          <w:szCs w:val="16"/>
        </w:rPr>
        <w:t xml:space="preserve">Caso Pueblo </w:t>
      </w:r>
      <w:proofErr w:type="spellStart"/>
      <w:r w:rsidRPr="00B1523A">
        <w:rPr>
          <w:i/>
          <w:sz w:val="16"/>
          <w:szCs w:val="16"/>
        </w:rPr>
        <w:t>Ind</w:t>
      </w:r>
      <w:proofErr w:type="spellEnd"/>
      <w:r w:rsidRPr="00B1523A">
        <w:rPr>
          <w:i/>
          <w:sz w:val="16"/>
          <w:szCs w:val="16"/>
          <w:lang w:val="es-EC"/>
        </w:rPr>
        <w:t>í</w:t>
      </w:r>
      <w:r w:rsidRPr="00B1523A">
        <w:rPr>
          <w:i/>
          <w:sz w:val="16"/>
          <w:szCs w:val="16"/>
        </w:rPr>
        <w:t xml:space="preserve">gena </w:t>
      </w:r>
      <w:proofErr w:type="spellStart"/>
      <w:r w:rsidRPr="00B1523A">
        <w:rPr>
          <w:i/>
          <w:sz w:val="16"/>
          <w:szCs w:val="16"/>
        </w:rPr>
        <w:t>Xucuru</w:t>
      </w:r>
      <w:proofErr w:type="spellEnd"/>
      <w:r w:rsidRPr="00B1523A">
        <w:rPr>
          <w:i/>
          <w:sz w:val="16"/>
          <w:szCs w:val="16"/>
        </w:rPr>
        <w:t xml:space="preserve"> y sus miembros Vs. Brasil</w:t>
      </w:r>
      <w:r>
        <w:rPr>
          <w:sz w:val="16"/>
          <w:szCs w:val="16"/>
        </w:rPr>
        <w:t>,</w:t>
      </w:r>
      <w:r w:rsidRPr="00B1523A">
        <w:rPr>
          <w:sz w:val="16"/>
          <w:szCs w:val="16"/>
        </w:rPr>
        <w:t xml:space="preserve"> </w:t>
      </w:r>
      <w:r>
        <w:rPr>
          <w:i/>
          <w:sz w:val="16"/>
          <w:szCs w:val="16"/>
        </w:rPr>
        <w:t>supra</w:t>
      </w:r>
      <w:r w:rsidRPr="00B1523A">
        <w:rPr>
          <w:sz w:val="16"/>
          <w:szCs w:val="16"/>
        </w:rPr>
        <w:t>, párr. 182</w:t>
      </w:r>
      <w:r w:rsidRPr="00AB34B8">
        <w:rPr>
          <w:sz w:val="16"/>
          <w:szCs w:val="16"/>
        </w:rPr>
        <w:t>.</w:t>
      </w:r>
    </w:p>
  </w:footnote>
  <w:footnote w:id="305">
    <w:p w14:paraId="726873BD" w14:textId="6CFC562E" w:rsidR="003C025E" w:rsidRPr="00AB34B8" w:rsidRDefault="003C025E" w:rsidP="00C079F5">
      <w:pPr>
        <w:pStyle w:val="FootnoteText"/>
        <w:rPr>
          <w:sz w:val="16"/>
          <w:szCs w:val="16"/>
        </w:rPr>
      </w:pPr>
      <w:r w:rsidRPr="00AB34B8">
        <w:rPr>
          <w:rStyle w:val="FootnoteReference"/>
          <w:sz w:val="16"/>
          <w:szCs w:val="16"/>
        </w:rPr>
        <w:footnoteRef/>
      </w:r>
      <w:r w:rsidRPr="00AB34B8">
        <w:rPr>
          <w:sz w:val="16"/>
          <w:szCs w:val="16"/>
        </w:rPr>
        <w:t xml:space="preserve"> </w:t>
      </w:r>
      <w:r w:rsidRPr="00AB34B8">
        <w:rPr>
          <w:sz w:val="16"/>
          <w:szCs w:val="16"/>
        </w:rPr>
        <w:tab/>
      </w:r>
      <w:r w:rsidRPr="00AB34B8">
        <w:rPr>
          <w:i/>
          <w:sz w:val="16"/>
          <w:szCs w:val="16"/>
        </w:rPr>
        <w:t xml:space="preserve">Cfr. Caso </w:t>
      </w:r>
      <w:proofErr w:type="spellStart"/>
      <w:r w:rsidRPr="00AB34B8">
        <w:rPr>
          <w:i/>
          <w:sz w:val="16"/>
          <w:szCs w:val="16"/>
        </w:rPr>
        <w:t>Ticona</w:t>
      </w:r>
      <w:proofErr w:type="spellEnd"/>
      <w:r w:rsidRPr="00AB34B8">
        <w:rPr>
          <w:i/>
          <w:sz w:val="16"/>
          <w:szCs w:val="16"/>
        </w:rPr>
        <w:t xml:space="preserve"> Estrada y otros Vs. Bolivia. Fondo, Reparaciones y Costas.</w:t>
      </w:r>
      <w:r w:rsidRPr="00AB34B8">
        <w:rPr>
          <w:sz w:val="16"/>
          <w:szCs w:val="16"/>
        </w:rPr>
        <w:t xml:space="preserve"> Sentencia de 27 de noviembre de 2008. Serie C No. 191, párr. 110, y </w:t>
      </w:r>
      <w:r w:rsidRPr="00B1523A">
        <w:rPr>
          <w:i/>
          <w:sz w:val="16"/>
          <w:szCs w:val="16"/>
        </w:rPr>
        <w:t xml:space="preserve">Caso Pueblo Indígena </w:t>
      </w:r>
      <w:proofErr w:type="spellStart"/>
      <w:r w:rsidRPr="00B1523A">
        <w:rPr>
          <w:i/>
          <w:sz w:val="16"/>
          <w:szCs w:val="16"/>
        </w:rPr>
        <w:t>Xucuru</w:t>
      </w:r>
      <w:proofErr w:type="spellEnd"/>
      <w:r w:rsidRPr="00B1523A">
        <w:rPr>
          <w:i/>
          <w:sz w:val="16"/>
          <w:szCs w:val="16"/>
        </w:rPr>
        <w:t xml:space="preserve"> y sus miembros Vs. Brasil, supra</w:t>
      </w:r>
      <w:r w:rsidRPr="00B1523A">
        <w:rPr>
          <w:sz w:val="16"/>
          <w:szCs w:val="16"/>
        </w:rPr>
        <w:t>, párr.184.</w:t>
      </w:r>
    </w:p>
  </w:footnote>
  <w:footnote w:id="306">
    <w:p w14:paraId="2C2D14B2" w14:textId="2056C14C" w:rsidR="003C025E" w:rsidRPr="00AB34B8" w:rsidRDefault="003C025E" w:rsidP="00C079F5">
      <w:pPr>
        <w:pStyle w:val="FootnoteText"/>
        <w:rPr>
          <w:sz w:val="16"/>
          <w:szCs w:val="16"/>
        </w:rPr>
      </w:pPr>
      <w:r w:rsidRPr="00AB34B8">
        <w:rPr>
          <w:rStyle w:val="FootnoteReference"/>
          <w:sz w:val="16"/>
          <w:szCs w:val="16"/>
        </w:rPr>
        <w:footnoteRef/>
      </w:r>
      <w:r w:rsidRPr="00AB34B8">
        <w:rPr>
          <w:sz w:val="16"/>
          <w:szCs w:val="16"/>
        </w:rPr>
        <w:t xml:space="preserve"> </w:t>
      </w:r>
      <w:r w:rsidRPr="00AB34B8">
        <w:rPr>
          <w:sz w:val="16"/>
          <w:szCs w:val="16"/>
        </w:rPr>
        <w:tab/>
      </w:r>
      <w:r w:rsidRPr="00AB34B8">
        <w:rPr>
          <w:i/>
          <w:sz w:val="16"/>
          <w:szCs w:val="16"/>
        </w:rPr>
        <w:t>Cfr. Caso Velásquez Rodríguez Vs. Honduras. Reparaciones, supra</w:t>
      </w:r>
      <w:r w:rsidRPr="00AB34B8">
        <w:rPr>
          <w:sz w:val="16"/>
          <w:szCs w:val="16"/>
        </w:rPr>
        <w:t xml:space="preserve">, párr. 26, y </w:t>
      </w:r>
      <w:r w:rsidRPr="00B1523A">
        <w:rPr>
          <w:i/>
          <w:sz w:val="16"/>
          <w:szCs w:val="16"/>
        </w:rPr>
        <w:t xml:space="preserve">Caso Pueblo Indígena </w:t>
      </w:r>
      <w:proofErr w:type="spellStart"/>
      <w:r w:rsidRPr="00B1523A">
        <w:rPr>
          <w:i/>
          <w:sz w:val="16"/>
          <w:szCs w:val="16"/>
        </w:rPr>
        <w:t>Xucuru</w:t>
      </w:r>
      <w:proofErr w:type="spellEnd"/>
      <w:r w:rsidRPr="00B1523A">
        <w:rPr>
          <w:i/>
          <w:sz w:val="16"/>
          <w:szCs w:val="16"/>
        </w:rPr>
        <w:t xml:space="preserve"> y sus miembros Vs. Brasil, supra</w:t>
      </w:r>
      <w:r w:rsidRPr="00B1523A">
        <w:rPr>
          <w:sz w:val="16"/>
          <w:szCs w:val="16"/>
        </w:rPr>
        <w:t>, párr.</w:t>
      </w:r>
      <w:r>
        <w:rPr>
          <w:sz w:val="16"/>
          <w:szCs w:val="16"/>
        </w:rPr>
        <w:t xml:space="preserve"> </w:t>
      </w:r>
      <w:r w:rsidRPr="00B1523A">
        <w:rPr>
          <w:sz w:val="16"/>
          <w:szCs w:val="16"/>
        </w:rPr>
        <w:t>183.</w:t>
      </w:r>
    </w:p>
  </w:footnote>
  <w:footnote w:id="307">
    <w:p w14:paraId="587FADE1" w14:textId="3B423908" w:rsidR="003C025E" w:rsidRPr="00B1523A" w:rsidRDefault="003C025E" w:rsidP="00C079F5">
      <w:pPr>
        <w:pStyle w:val="FootnoteText"/>
        <w:rPr>
          <w:sz w:val="16"/>
          <w:szCs w:val="16"/>
        </w:rPr>
      </w:pPr>
      <w:r w:rsidRPr="00AB34B8">
        <w:rPr>
          <w:rStyle w:val="FootnoteReference"/>
          <w:sz w:val="16"/>
          <w:szCs w:val="16"/>
        </w:rPr>
        <w:footnoteRef/>
      </w:r>
      <w:r w:rsidRPr="00AB34B8">
        <w:rPr>
          <w:sz w:val="16"/>
          <w:szCs w:val="16"/>
        </w:rPr>
        <w:t xml:space="preserve"> </w:t>
      </w:r>
      <w:r w:rsidRPr="00AB34B8">
        <w:rPr>
          <w:sz w:val="16"/>
          <w:szCs w:val="16"/>
        </w:rPr>
        <w:tab/>
      </w:r>
      <w:r w:rsidRPr="00AB34B8">
        <w:rPr>
          <w:i/>
          <w:sz w:val="16"/>
          <w:szCs w:val="16"/>
        </w:rPr>
        <w:t>Cfr. Caso Velásquez Rodríguez. Reparaciones, supra</w:t>
      </w:r>
      <w:r w:rsidRPr="00AB34B8">
        <w:rPr>
          <w:sz w:val="16"/>
          <w:szCs w:val="16"/>
        </w:rPr>
        <w:t xml:space="preserve">, párr. 189, y </w:t>
      </w:r>
      <w:r w:rsidRPr="00B1523A">
        <w:rPr>
          <w:i/>
          <w:sz w:val="16"/>
          <w:szCs w:val="16"/>
        </w:rPr>
        <w:t xml:space="preserve">Caso Pueblo Indígena </w:t>
      </w:r>
      <w:proofErr w:type="spellStart"/>
      <w:r w:rsidRPr="00B1523A">
        <w:rPr>
          <w:i/>
          <w:sz w:val="16"/>
          <w:szCs w:val="16"/>
        </w:rPr>
        <w:t>Xucuru</w:t>
      </w:r>
      <w:proofErr w:type="spellEnd"/>
      <w:r w:rsidRPr="00B1523A">
        <w:rPr>
          <w:i/>
          <w:sz w:val="16"/>
          <w:szCs w:val="16"/>
        </w:rPr>
        <w:t xml:space="preserve"> y sus miembros Vs. Brasil, supra</w:t>
      </w:r>
      <w:r w:rsidRPr="00B1523A">
        <w:rPr>
          <w:sz w:val="16"/>
          <w:szCs w:val="16"/>
        </w:rPr>
        <w:t>, párr.</w:t>
      </w:r>
      <w:r>
        <w:rPr>
          <w:sz w:val="16"/>
          <w:szCs w:val="16"/>
        </w:rPr>
        <w:t xml:space="preserve"> </w:t>
      </w:r>
      <w:r w:rsidRPr="00B1523A">
        <w:rPr>
          <w:sz w:val="16"/>
          <w:szCs w:val="16"/>
        </w:rPr>
        <w:t>185.</w:t>
      </w:r>
    </w:p>
  </w:footnote>
  <w:footnote w:id="308">
    <w:p w14:paraId="353E79F0" w14:textId="7DAAB8E1" w:rsidR="003C025E" w:rsidRPr="00C079F5" w:rsidRDefault="003C025E" w:rsidP="00121AA0">
      <w:pPr>
        <w:pStyle w:val="FootnoteText"/>
        <w:rPr>
          <w:sz w:val="16"/>
          <w:szCs w:val="16"/>
          <w:lang w:val="es-CR"/>
        </w:rPr>
      </w:pPr>
      <w:r w:rsidRPr="002A64C9">
        <w:rPr>
          <w:rStyle w:val="FootnoteReference"/>
          <w:sz w:val="16"/>
          <w:szCs w:val="16"/>
        </w:rPr>
        <w:footnoteRef/>
      </w:r>
      <w:r w:rsidRPr="00B1523A">
        <w:rPr>
          <w:sz w:val="16"/>
          <w:szCs w:val="16"/>
        </w:rPr>
        <w:t xml:space="preserve"> </w:t>
      </w:r>
      <w:r w:rsidRPr="00B1523A">
        <w:rPr>
          <w:sz w:val="16"/>
          <w:szCs w:val="16"/>
        </w:rPr>
        <w:tab/>
      </w:r>
      <w:r w:rsidRPr="00B1523A">
        <w:rPr>
          <w:i/>
          <w:sz w:val="16"/>
          <w:szCs w:val="16"/>
        </w:rPr>
        <w:t>Cfr.</w:t>
      </w:r>
      <w:r w:rsidRPr="00B1523A">
        <w:rPr>
          <w:sz w:val="16"/>
          <w:szCs w:val="16"/>
        </w:rPr>
        <w:t xml:space="preserve"> </w:t>
      </w:r>
      <w:r w:rsidRPr="00B1523A">
        <w:rPr>
          <w:i/>
          <w:sz w:val="16"/>
          <w:szCs w:val="16"/>
        </w:rPr>
        <w:t>Caso Albán Cornejo</w:t>
      </w:r>
      <w:r>
        <w:rPr>
          <w:i/>
          <w:sz w:val="16"/>
          <w:szCs w:val="16"/>
        </w:rPr>
        <w:t xml:space="preserve"> Vs. Ecuador</w:t>
      </w:r>
      <w:r w:rsidRPr="00B1523A">
        <w:rPr>
          <w:sz w:val="16"/>
          <w:szCs w:val="16"/>
        </w:rPr>
        <w:t>,</w:t>
      </w:r>
      <w:r>
        <w:rPr>
          <w:sz w:val="16"/>
          <w:szCs w:val="16"/>
        </w:rPr>
        <w:t xml:space="preserve"> </w:t>
      </w:r>
      <w:r w:rsidRPr="00541592">
        <w:rPr>
          <w:i/>
          <w:sz w:val="16"/>
          <w:szCs w:val="16"/>
        </w:rPr>
        <w:t>supra,</w:t>
      </w:r>
      <w:r w:rsidRPr="00B1523A">
        <w:rPr>
          <w:sz w:val="16"/>
          <w:szCs w:val="16"/>
        </w:rPr>
        <w:t xml:space="preserve"> párr. 111;</w:t>
      </w:r>
      <w:r w:rsidRPr="00B1523A">
        <w:rPr>
          <w:i/>
          <w:sz w:val="16"/>
          <w:szCs w:val="16"/>
        </w:rPr>
        <w:t xml:space="preserve"> Caso Suárez Peralta</w:t>
      </w:r>
      <w:r>
        <w:rPr>
          <w:i/>
          <w:sz w:val="16"/>
          <w:szCs w:val="16"/>
        </w:rPr>
        <w:t xml:space="preserve"> Vs. Ecuador</w:t>
      </w:r>
      <w:r w:rsidRPr="00B1523A">
        <w:rPr>
          <w:i/>
          <w:sz w:val="16"/>
          <w:szCs w:val="16"/>
        </w:rPr>
        <w:t xml:space="preserve">, </w:t>
      </w:r>
      <w:r>
        <w:rPr>
          <w:i/>
          <w:sz w:val="16"/>
          <w:szCs w:val="16"/>
        </w:rPr>
        <w:t xml:space="preserve">supra, </w:t>
      </w:r>
      <w:r w:rsidRPr="00B1523A">
        <w:rPr>
          <w:sz w:val="16"/>
          <w:szCs w:val="16"/>
        </w:rPr>
        <w:t>pár. 176</w:t>
      </w:r>
      <w:r w:rsidRPr="00B1523A">
        <w:rPr>
          <w:i/>
          <w:sz w:val="16"/>
          <w:szCs w:val="16"/>
        </w:rPr>
        <w:t xml:space="preserve"> y Caso Vera </w:t>
      </w:r>
      <w:proofErr w:type="spellStart"/>
      <w:r w:rsidRPr="00B1523A">
        <w:rPr>
          <w:i/>
          <w:sz w:val="16"/>
          <w:szCs w:val="16"/>
        </w:rPr>
        <w:t>Vera</w:t>
      </w:r>
      <w:proofErr w:type="spellEnd"/>
      <w:r>
        <w:rPr>
          <w:i/>
          <w:sz w:val="16"/>
          <w:szCs w:val="16"/>
        </w:rPr>
        <w:t xml:space="preserve"> Vs. Ecuador</w:t>
      </w:r>
      <w:r w:rsidRPr="00B1523A">
        <w:rPr>
          <w:i/>
          <w:sz w:val="16"/>
          <w:szCs w:val="16"/>
        </w:rPr>
        <w:t>,</w:t>
      </w:r>
      <w:r>
        <w:rPr>
          <w:i/>
          <w:sz w:val="16"/>
          <w:szCs w:val="16"/>
        </w:rPr>
        <w:t xml:space="preserve"> supra,</w:t>
      </w:r>
      <w:r w:rsidRPr="00B1523A">
        <w:rPr>
          <w:i/>
          <w:sz w:val="16"/>
          <w:szCs w:val="16"/>
        </w:rPr>
        <w:t xml:space="preserve"> </w:t>
      </w:r>
      <w:r w:rsidRPr="00B1523A">
        <w:rPr>
          <w:sz w:val="16"/>
          <w:szCs w:val="16"/>
        </w:rPr>
        <w:t xml:space="preserve">párr. </w:t>
      </w:r>
      <w:r w:rsidRPr="002A64C9">
        <w:rPr>
          <w:sz w:val="16"/>
          <w:szCs w:val="16"/>
          <w:lang w:val="es-CR"/>
        </w:rPr>
        <w:t>117.</w:t>
      </w:r>
    </w:p>
  </w:footnote>
  <w:footnote w:id="309">
    <w:p w14:paraId="38D8C6ED" w14:textId="1983926A" w:rsidR="003C025E" w:rsidRPr="00C079F5" w:rsidRDefault="003C025E" w:rsidP="00C079F5">
      <w:pPr>
        <w:pStyle w:val="FootnoteText"/>
        <w:rPr>
          <w:sz w:val="16"/>
          <w:szCs w:val="16"/>
        </w:rPr>
      </w:pPr>
      <w:r w:rsidRPr="00C079F5">
        <w:rPr>
          <w:rStyle w:val="FootnoteReference"/>
          <w:sz w:val="16"/>
          <w:szCs w:val="16"/>
        </w:rPr>
        <w:footnoteRef/>
      </w:r>
      <w:r w:rsidRPr="00C079F5">
        <w:rPr>
          <w:sz w:val="16"/>
          <w:szCs w:val="16"/>
        </w:rPr>
        <w:t xml:space="preserve"> </w:t>
      </w:r>
      <w:r>
        <w:rPr>
          <w:sz w:val="16"/>
          <w:szCs w:val="16"/>
        </w:rPr>
        <w:tab/>
      </w:r>
      <w:r w:rsidRPr="00C079F5">
        <w:rPr>
          <w:i/>
          <w:sz w:val="16"/>
          <w:szCs w:val="16"/>
        </w:rPr>
        <w:t>Caso Ruano Torres y otros Vs. El Salvador. Fondo, Reparaciones y Costas.</w:t>
      </w:r>
      <w:r w:rsidRPr="00C079F5">
        <w:rPr>
          <w:sz w:val="16"/>
          <w:szCs w:val="16"/>
        </w:rPr>
        <w:t xml:space="preserve"> Sentencia de 5 de octubre de 2015. Serie C No. 303, párr. 225.</w:t>
      </w:r>
    </w:p>
  </w:footnote>
  <w:footnote w:id="310">
    <w:p w14:paraId="6F544AA9" w14:textId="689F104D" w:rsidR="003C025E" w:rsidRPr="005F2639" w:rsidRDefault="003C025E" w:rsidP="00C079F5">
      <w:pPr>
        <w:pStyle w:val="FootnoteText"/>
        <w:rPr>
          <w:sz w:val="16"/>
          <w:szCs w:val="16"/>
        </w:rPr>
      </w:pPr>
      <w:r w:rsidRPr="00C079F5">
        <w:rPr>
          <w:rStyle w:val="FootnoteReference"/>
          <w:sz w:val="16"/>
          <w:szCs w:val="16"/>
        </w:rPr>
        <w:footnoteRef/>
      </w:r>
      <w:r w:rsidRPr="00C079F5">
        <w:rPr>
          <w:sz w:val="16"/>
          <w:szCs w:val="16"/>
        </w:rPr>
        <w:t xml:space="preserve"> </w:t>
      </w:r>
      <w:r>
        <w:rPr>
          <w:sz w:val="16"/>
          <w:szCs w:val="16"/>
        </w:rPr>
        <w:tab/>
      </w:r>
      <w:r w:rsidRPr="00062586">
        <w:rPr>
          <w:i/>
          <w:sz w:val="16"/>
          <w:szCs w:val="16"/>
        </w:rPr>
        <w:t>Cfr.</w:t>
      </w:r>
      <w:r w:rsidRPr="00C079F5">
        <w:rPr>
          <w:sz w:val="16"/>
          <w:szCs w:val="16"/>
        </w:rPr>
        <w:t xml:space="preserve"> </w:t>
      </w:r>
      <w:r w:rsidRPr="00C079F5">
        <w:rPr>
          <w:i/>
          <w:sz w:val="16"/>
          <w:szCs w:val="16"/>
        </w:rPr>
        <w:t>Caso Cantoral Benavides Vs. Perú. Reparaciones y Costas</w:t>
      </w:r>
      <w:r w:rsidRPr="00C079F5">
        <w:rPr>
          <w:sz w:val="16"/>
          <w:szCs w:val="16"/>
        </w:rPr>
        <w:t xml:space="preserve">. Sentencia de 3 de diciembre de 2001. Serie C No. 88, párr. 79, </w:t>
      </w:r>
      <w:r w:rsidRPr="005F2639">
        <w:rPr>
          <w:sz w:val="16"/>
          <w:szCs w:val="16"/>
        </w:rPr>
        <w:t xml:space="preserve">y </w:t>
      </w:r>
      <w:r w:rsidRPr="00B1523A">
        <w:rPr>
          <w:i/>
          <w:sz w:val="16"/>
          <w:szCs w:val="16"/>
        </w:rPr>
        <w:t xml:space="preserve">Caso Pueblo Indígena </w:t>
      </w:r>
      <w:proofErr w:type="spellStart"/>
      <w:r w:rsidRPr="00B1523A">
        <w:rPr>
          <w:i/>
          <w:sz w:val="16"/>
          <w:szCs w:val="16"/>
        </w:rPr>
        <w:t>Xucuru</w:t>
      </w:r>
      <w:proofErr w:type="spellEnd"/>
      <w:r w:rsidRPr="00B1523A">
        <w:rPr>
          <w:i/>
          <w:sz w:val="16"/>
          <w:szCs w:val="16"/>
        </w:rPr>
        <w:t xml:space="preserve"> y sus miembros Vs. Brasil, supra</w:t>
      </w:r>
      <w:r w:rsidRPr="00B1523A">
        <w:rPr>
          <w:sz w:val="16"/>
          <w:szCs w:val="16"/>
        </w:rPr>
        <w:t>, párr. 199.</w:t>
      </w:r>
      <w:r w:rsidRPr="005F2639">
        <w:rPr>
          <w:sz w:val="16"/>
          <w:szCs w:val="16"/>
        </w:rPr>
        <w:t xml:space="preserve"> </w:t>
      </w:r>
    </w:p>
  </w:footnote>
  <w:footnote w:id="311">
    <w:p w14:paraId="7BDBEE2D" w14:textId="7D60674F" w:rsidR="003C025E" w:rsidRPr="00AB1E03" w:rsidRDefault="003C025E" w:rsidP="00512FDD">
      <w:pPr>
        <w:pStyle w:val="FootnoteText"/>
        <w:rPr>
          <w:lang w:val="es-CR"/>
        </w:rPr>
      </w:pPr>
      <w:r w:rsidRPr="005F2639">
        <w:rPr>
          <w:rStyle w:val="FootnoteReference"/>
          <w:sz w:val="16"/>
          <w:szCs w:val="16"/>
        </w:rPr>
        <w:footnoteRef/>
      </w:r>
      <w:r w:rsidRPr="005F2639">
        <w:rPr>
          <w:sz w:val="16"/>
          <w:szCs w:val="16"/>
        </w:rPr>
        <w:t xml:space="preserve"> </w:t>
      </w:r>
      <w:r>
        <w:rPr>
          <w:sz w:val="16"/>
          <w:szCs w:val="16"/>
        </w:rPr>
        <w:tab/>
      </w:r>
      <w:r w:rsidRPr="00B1523A">
        <w:rPr>
          <w:i/>
          <w:sz w:val="16"/>
          <w:szCs w:val="16"/>
        </w:rPr>
        <w:t>Cfr.</w:t>
      </w:r>
      <w:r w:rsidRPr="00B1523A">
        <w:rPr>
          <w:b/>
          <w:sz w:val="16"/>
          <w:szCs w:val="16"/>
        </w:rPr>
        <w:t xml:space="preserve"> </w:t>
      </w:r>
      <w:r w:rsidRPr="00B1523A">
        <w:rPr>
          <w:i/>
          <w:sz w:val="16"/>
          <w:lang w:val="es-CR"/>
        </w:rPr>
        <w:t xml:space="preserve">Caso Cantoral Benavides Vs. Perú. Reparaciones y Costas, supra, </w:t>
      </w:r>
      <w:r w:rsidRPr="00B1523A">
        <w:rPr>
          <w:sz w:val="16"/>
          <w:lang w:val="es-CR"/>
        </w:rPr>
        <w:t xml:space="preserve">párr. 81; </w:t>
      </w:r>
      <w:r w:rsidRPr="00B1523A">
        <w:rPr>
          <w:i/>
          <w:sz w:val="16"/>
          <w:lang w:val="es-CR"/>
        </w:rPr>
        <w:t>Caso I.V. Vs. Bolivia, supra</w:t>
      </w:r>
      <w:r w:rsidRPr="00B1523A">
        <w:rPr>
          <w:sz w:val="16"/>
          <w:lang w:val="es-CR"/>
        </w:rPr>
        <w:t xml:space="preserve">, párr. 336, y </w:t>
      </w:r>
      <w:r w:rsidRPr="00B1523A">
        <w:rPr>
          <w:i/>
          <w:sz w:val="16"/>
          <w:lang w:val="es-CR"/>
        </w:rPr>
        <w:t xml:space="preserve">Caso Gonzales </w:t>
      </w:r>
      <w:proofErr w:type="spellStart"/>
      <w:r w:rsidRPr="00B1523A">
        <w:rPr>
          <w:i/>
          <w:sz w:val="16"/>
          <w:lang w:val="es-CR"/>
        </w:rPr>
        <w:t>Lluy</w:t>
      </w:r>
      <w:proofErr w:type="spellEnd"/>
      <w:r w:rsidRPr="00B1523A">
        <w:rPr>
          <w:i/>
          <w:sz w:val="16"/>
          <w:lang w:val="es-CR"/>
        </w:rPr>
        <w:t xml:space="preserve"> y otros Vs. Ecuador, supra</w:t>
      </w:r>
      <w:r w:rsidRPr="00B1523A">
        <w:rPr>
          <w:sz w:val="16"/>
          <w:lang w:val="es-CR"/>
        </w:rPr>
        <w:t>, párr. 368.</w:t>
      </w:r>
      <w:r w:rsidRPr="0094544B">
        <w:rPr>
          <w:sz w:val="16"/>
          <w:szCs w:val="16"/>
        </w:rPr>
        <w:t xml:space="preserve"> </w:t>
      </w:r>
    </w:p>
  </w:footnote>
  <w:footnote w:id="312">
    <w:p w14:paraId="4E5376B4" w14:textId="761BC02B" w:rsidR="003C025E" w:rsidRPr="00531D45" w:rsidRDefault="003C025E" w:rsidP="00E33A8C">
      <w:pPr>
        <w:pStyle w:val="FootnoteText"/>
        <w:rPr>
          <w:rFonts w:eastAsia="Calibri"/>
          <w:sz w:val="16"/>
          <w:szCs w:val="16"/>
          <w:lang w:val="es-AR" w:eastAsia="es-ES"/>
        </w:rPr>
      </w:pPr>
      <w:r w:rsidRPr="00531D45">
        <w:rPr>
          <w:rStyle w:val="FootnoteReference"/>
          <w:sz w:val="16"/>
          <w:szCs w:val="16"/>
        </w:rPr>
        <w:footnoteRef/>
      </w:r>
      <w:r w:rsidRPr="00531D45">
        <w:rPr>
          <w:rStyle w:val="FootnoteReference"/>
          <w:sz w:val="16"/>
          <w:szCs w:val="16"/>
        </w:rPr>
        <w:t xml:space="preserve"> </w:t>
      </w:r>
      <w:r w:rsidRPr="002A64C9">
        <w:rPr>
          <w:lang w:val="es-CR"/>
        </w:rPr>
        <w:tab/>
      </w:r>
      <w:r w:rsidRPr="002A64C9">
        <w:rPr>
          <w:sz w:val="16"/>
          <w:szCs w:val="16"/>
          <w:lang w:val="es-CR"/>
        </w:rPr>
        <w:t xml:space="preserve">El Estado informó en cuanto a camas </w:t>
      </w:r>
      <w:r w:rsidRPr="002A64C9">
        <w:rPr>
          <w:rFonts w:eastAsia="Calibri"/>
          <w:sz w:val="16"/>
          <w:szCs w:val="16"/>
          <w:lang w:val="es-ES" w:eastAsia="es-ES"/>
        </w:rPr>
        <w:t xml:space="preserve">pasó de 1234 en 2006 a 2839 en 2016, debido a la labor realizada por el Ministerio de Salud. (f. 856). </w:t>
      </w:r>
      <w:r w:rsidRPr="00531D45">
        <w:rPr>
          <w:rFonts w:eastAsia="Calibri"/>
          <w:i/>
          <w:sz w:val="16"/>
          <w:szCs w:val="16"/>
          <w:lang w:val="es-AR" w:eastAsia="es-ES"/>
        </w:rPr>
        <w:t>Cfr</w:t>
      </w:r>
      <w:r w:rsidRPr="00E33A8C">
        <w:rPr>
          <w:rFonts w:eastAsia="Calibri"/>
          <w:sz w:val="16"/>
          <w:szCs w:val="16"/>
          <w:lang w:val="es-AR" w:eastAsia="es-ES"/>
        </w:rPr>
        <w:t>. Declaración jurada ante fedatario público, del Dr. Osvaldo Salgado Cepeda, (expediente de prueba, f. 4641).</w:t>
      </w:r>
    </w:p>
  </w:footnote>
  <w:footnote w:id="313">
    <w:p w14:paraId="7024759E" w14:textId="7AACA9FF" w:rsidR="003C025E" w:rsidRPr="002A64C9" w:rsidRDefault="003C025E" w:rsidP="00A7540B">
      <w:pPr>
        <w:pStyle w:val="FootnoteText"/>
        <w:rPr>
          <w:sz w:val="16"/>
          <w:szCs w:val="16"/>
        </w:rPr>
      </w:pPr>
      <w:r w:rsidRPr="002A64C9">
        <w:rPr>
          <w:rStyle w:val="FootnoteReference"/>
          <w:sz w:val="16"/>
          <w:szCs w:val="16"/>
        </w:rPr>
        <w:footnoteRef/>
      </w:r>
      <w:r w:rsidRPr="002A64C9">
        <w:rPr>
          <w:sz w:val="16"/>
          <w:szCs w:val="16"/>
        </w:rPr>
        <w:t xml:space="preserve"> </w:t>
      </w:r>
      <w:r>
        <w:rPr>
          <w:sz w:val="16"/>
          <w:szCs w:val="16"/>
        </w:rPr>
        <w:tab/>
      </w:r>
      <w:r w:rsidRPr="00531D45">
        <w:rPr>
          <w:i/>
          <w:sz w:val="16"/>
          <w:szCs w:val="16"/>
          <w:lang w:val="es-AR"/>
        </w:rPr>
        <w:t>Cfr</w:t>
      </w:r>
      <w:r w:rsidRPr="00E33A8C">
        <w:rPr>
          <w:sz w:val="16"/>
          <w:szCs w:val="16"/>
          <w:lang w:val="es-AR"/>
        </w:rPr>
        <w:t>. Nivel de Complejidad en Atención Cerrada,  Departamento de Procesos y Tr</w:t>
      </w:r>
      <w:r>
        <w:rPr>
          <w:sz w:val="16"/>
          <w:szCs w:val="16"/>
          <w:lang w:val="es-AR"/>
        </w:rPr>
        <w:t>ansformación Hospitalaria, 2012</w:t>
      </w:r>
      <w:r w:rsidRPr="00E33A8C">
        <w:rPr>
          <w:sz w:val="16"/>
          <w:szCs w:val="16"/>
          <w:lang w:val="es-AR"/>
        </w:rPr>
        <w:t>, (expediente de prueba, f. 5312).</w:t>
      </w:r>
      <w:r>
        <w:rPr>
          <w:sz w:val="16"/>
          <w:szCs w:val="16"/>
          <w:lang w:val="es-AR"/>
        </w:rPr>
        <w:t xml:space="preserve"> </w:t>
      </w:r>
      <w:r w:rsidRPr="002A64C9">
        <w:rPr>
          <w:sz w:val="16"/>
          <w:szCs w:val="16"/>
        </w:rPr>
        <w:t>Señala en el análisis comparativo entre el tipo de camas que disponen los hospitales de alta complejidad, (12% de camas críticas, 8% de camas de cuidados intensivos y 80% de camas de cuidados básicos).</w:t>
      </w:r>
      <w:r>
        <w:rPr>
          <w:sz w:val="16"/>
          <w:szCs w:val="16"/>
        </w:rPr>
        <w:t xml:space="preserve"> </w:t>
      </w:r>
      <w:r w:rsidRPr="002A64C9">
        <w:rPr>
          <w:sz w:val="16"/>
          <w:szCs w:val="16"/>
        </w:rPr>
        <w:t>Este desequilibrio entre la demanda y el tipo de oferta, hace que se profundice la falta de acceso para una hospitalización oportuna y adecuada a las necesidades del paciente, así mismo se produce un retraso en el flujo de pacient</w:t>
      </w:r>
      <w:r w:rsidRPr="00A7540B">
        <w:rPr>
          <w:sz w:val="16"/>
          <w:szCs w:val="16"/>
        </w:rPr>
        <w:t>es desde las unidades críticas.</w:t>
      </w:r>
      <w:r>
        <w:rPr>
          <w:sz w:val="16"/>
          <w:szCs w:val="16"/>
        </w:rPr>
        <w:t xml:space="preserve"> </w:t>
      </w:r>
    </w:p>
    <w:p w14:paraId="2A3641D1" w14:textId="7393C2A3" w:rsidR="003C025E" w:rsidRPr="002A64C9" w:rsidRDefault="003C025E" w:rsidP="00A7540B">
      <w:pPr>
        <w:pStyle w:val="FootnoteText"/>
        <w:rPr>
          <w:lang w:val="es-AR"/>
        </w:rPr>
      </w:pPr>
      <w:r w:rsidRPr="00531D45">
        <w:rPr>
          <w:i/>
          <w:sz w:val="16"/>
          <w:szCs w:val="16"/>
          <w:lang w:val="es-AR"/>
        </w:rPr>
        <w:t>Cfr</w:t>
      </w:r>
      <w:r w:rsidRPr="00E33A8C">
        <w:rPr>
          <w:sz w:val="16"/>
          <w:szCs w:val="16"/>
          <w:lang w:val="es-AR"/>
        </w:rPr>
        <w:t>. Guía de organización y funcionamiento, Unidades de pacientes críticos adu</w:t>
      </w:r>
      <w:r>
        <w:rPr>
          <w:sz w:val="16"/>
          <w:szCs w:val="16"/>
          <w:lang w:val="es-AR"/>
        </w:rPr>
        <w:t>ltos, Ministerio de Salud, 2004</w:t>
      </w:r>
      <w:r w:rsidRPr="00E33A8C">
        <w:rPr>
          <w:sz w:val="16"/>
          <w:szCs w:val="16"/>
          <w:lang w:val="es-AR"/>
        </w:rPr>
        <w:t>, (expediente de prueba, f. 5196).</w:t>
      </w:r>
      <w:r>
        <w:rPr>
          <w:sz w:val="16"/>
          <w:szCs w:val="16"/>
          <w:lang w:val="es-AR"/>
        </w:rPr>
        <w:t xml:space="preserve"> </w:t>
      </w:r>
      <w:r w:rsidRPr="002A64C9">
        <w:rPr>
          <w:sz w:val="16"/>
          <w:szCs w:val="16"/>
          <w:lang w:val="es-AR"/>
        </w:rPr>
        <w:t>Se explaya sobre la situación actual de la situación de camas críticas de adulto país en el país</w:t>
      </w:r>
      <w:r>
        <w:rPr>
          <w:sz w:val="16"/>
          <w:szCs w:val="16"/>
          <w:lang w:val="es-AR"/>
        </w:rPr>
        <w:t>.</w:t>
      </w:r>
    </w:p>
  </w:footnote>
  <w:footnote w:id="314">
    <w:p w14:paraId="72E4DFF3" w14:textId="6F1CABE3" w:rsidR="003C025E" w:rsidRPr="007E5CD5" w:rsidRDefault="003C025E">
      <w:pPr>
        <w:pStyle w:val="FootnoteText"/>
        <w:rPr>
          <w:sz w:val="16"/>
        </w:rPr>
      </w:pPr>
      <w:r w:rsidRPr="00842328">
        <w:rPr>
          <w:rStyle w:val="FootnoteReference"/>
          <w:sz w:val="16"/>
          <w:szCs w:val="16"/>
        </w:rPr>
        <w:footnoteRef/>
      </w:r>
      <w:r w:rsidRPr="00842328">
        <w:rPr>
          <w:sz w:val="16"/>
          <w:szCs w:val="16"/>
        </w:rPr>
        <w:t xml:space="preserve"> </w:t>
      </w:r>
      <w:r>
        <w:tab/>
      </w:r>
      <w:r w:rsidRPr="007E5CD5">
        <w:rPr>
          <w:sz w:val="16"/>
        </w:rPr>
        <w:t>De conformidad con el artículo 63.1, las</w:t>
      </w:r>
      <w:r w:rsidRPr="007E5CD5">
        <w:rPr>
          <w:sz w:val="12"/>
        </w:rPr>
        <w:t xml:space="preserve"> </w:t>
      </w:r>
      <w:r>
        <w:rPr>
          <w:sz w:val="16"/>
        </w:rPr>
        <w:t xml:space="preserve">garantías de no repetición tradicionalmente han estado destinadas a “reparar las consecuencias de la medidas o situación que ha configurado la vulneración de esos derechos”. </w:t>
      </w:r>
    </w:p>
  </w:footnote>
  <w:footnote w:id="315">
    <w:p w14:paraId="7CE7C3B5" w14:textId="00F190E4" w:rsidR="003C025E" w:rsidRPr="00842328" w:rsidRDefault="003C025E">
      <w:pPr>
        <w:pStyle w:val="FootnoteText"/>
        <w:rPr>
          <w:sz w:val="16"/>
          <w:szCs w:val="16"/>
        </w:rPr>
      </w:pPr>
      <w:r w:rsidRPr="0059117C">
        <w:rPr>
          <w:rStyle w:val="FootnoteReference"/>
          <w:sz w:val="16"/>
          <w:szCs w:val="16"/>
        </w:rPr>
        <w:footnoteRef/>
      </w:r>
      <w:r w:rsidRPr="0059117C">
        <w:rPr>
          <w:sz w:val="16"/>
          <w:szCs w:val="16"/>
        </w:rPr>
        <w:t xml:space="preserve"> </w:t>
      </w:r>
      <w:r w:rsidRPr="0059117C">
        <w:rPr>
          <w:sz w:val="16"/>
          <w:szCs w:val="16"/>
        </w:rPr>
        <w:tab/>
      </w:r>
      <w:r w:rsidRPr="00062586">
        <w:rPr>
          <w:i/>
          <w:sz w:val="16"/>
          <w:szCs w:val="16"/>
        </w:rPr>
        <w:t>Cfr.</w:t>
      </w:r>
      <w:r w:rsidRPr="0059117C">
        <w:rPr>
          <w:i/>
          <w:sz w:val="16"/>
          <w:szCs w:val="16"/>
        </w:rPr>
        <w:t xml:space="preserve"> Caso Albán Cor</w:t>
      </w:r>
      <w:r w:rsidRPr="00F24D93">
        <w:rPr>
          <w:i/>
          <w:sz w:val="16"/>
          <w:szCs w:val="16"/>
        </w:rPr>
        <w:t>nejo y otros Vs. Ecuador</w:t>
      </w:r>
      <w:r>
        <w:rPr>
          <w:i/>
          <w:sz w:val="16"/>
          <w:szCs w:val="16"/>
        </w:rPr>
        <w:t>, supra</w:t>
      </w:r>
      <w:r w:rsidRPr="0059117C">
        <w:rPr>
          <w:sz w:val="16"/>
          <w:szCs w:val="16"/>
        </w:rPr>
        <w:t>, párr. 164</w:t>
      </w:r>
      <w:r>
        <w:rPr>
          <w:sz w:val="16"/>
          <w:szCs w:val="16"/>
        </w:rPr>
        <w:t xml:space="preserve">, y </w:t>
      </w:r>
      <w:r w:rsidRPr="00B1523A">
        <w:rPr>
          <w:i/>
          <w:sz w:val="16"/>
          <w:szCs w:val="16"/>
        </w:rPr>
        <w:t xml:space="preserve">Caso </w:t>
      </w:r>
      <w:r>
        <w:rPr>
          <w:i/>
          <w:sz w:val="16"/>
          <w:szCs w:val="16"/>
        </w:rPr>
        <w:t xml:space="preserve">Gonzales </w:t>
      </w:r>
      <w:proofErr w:type="spellStart"/>
      <w:r>
        <w:rPr>
          <w:i/>
          <w:sz w:val="16"/>
          <w:szCs w:val="16"/>
        </w:rPr>
        <w:t>Lluy</w:t>
      </w:r>
      <w:proofErr w:type="spellEnd"/>
      <w:r>
        <w:rPr>
          <w:i/>
          <w:sz w:val="16"/>
          <w:szCs w:val="16"/>
        </w:rPr>
        <w:t xml:space="preserve"> y otros Vs. Ecuador, supra</w:t>
      </w:r>
      <w:r>
        <w:rPr>
          <w:sz w:val="16"/>
          <w:szCs w:val="16"/>
        </w:rPr>
        <w:t>, párr. 368.</w:t>
      </w:r>
    </w:p>
  </w:footnote>
  <w:footnote w:id="316">
    <w:p w14:paraId="624BFA41" w14:textId="1D686228" w:rsidR="003C025E" w:rsidRPr="005430FF" w:rsidRDefault="003C025E">
      <w:pPr>
        <w:pStyle w:val="FootnoteText"/>
        <w:rPr>
          <w:sz w:val="16"/>
          <w:lang w:val="es-CR"/>
        </w:rPr>
      </w:pPr>
      <w:r w:rsidRPr="0059117C">
        <w:rPr>
          <w:rStyle w:val="FootnoteReference"/>
          <w:sz w:val="16"/>
          <w:szCs w:val="16"/>
        </w:rPr>
        <w:footnoteRef/>
      </w:r>
      <w:r w:rsidRPr="0059117C">
        <w:rPr>
          <w:sz w:val="16"/>
          <w:szCs w:val="16"/>
        </w:rPr>
        <w:t xml:space="preserve"> </w:t>
      </w:r>
      <w:r w:rsidRPr="0059117C">
        <w:rPr>
          <w:sz w:val="16"/>
          <w:szCs w:val="16"/>
        </w:rPr>
        <w:tab/>
      </w:r>
      <w:r w:rsidRPr="00062586">
        <w:rPr>
          <w:i/>
          <w:sz w:val="16"/>
          <w:szCs w:val="16"/>
        </w:rPr>
        <w:t>Cfr.</w:t>
      </w:r>
      <w:r w:rsidRPr="00F24D93">
        <w:rPr>
          <w:sz w:val="16"/>
          <w:szCs w:val="16"/>
        </w:rPr>
        <w:t xml:space="preserve"> </w:t>
      </w:r>
      <w:r w:rsidRPr="00F24D93">
        <w:rPr>
          <w:i/>
          <w:sz w:val="16"/>
          <w:szCs w:val="16"/>
        </w:rPr>
        <w:t>Caso de la "Mas</w:t>
      </w:r>
      <w:r>
        <w:rPr>
          <w:i/>
          <w:sz w:val="16"/>
          <w:szCs w:val="16"/>
        </w:rPr>
        <w:t xml:space="preserve">acre de </w:t>
      </w:r>
      <w:proofErr w:type="spellStart"/>
      <w:r>
        <w:rPr>
          <w:i/>
          <w:sz w:val="16"/>
          <w:szCs w:val="16"/>
        </w:rPr>
        <w:t>Mapiripán</w:t>
      </w:r>
      <w:proofErr w:type="spellEnd"/>
      <w:r>
        <w:rPr>
          <w:i/>
          <w:sz w:val="16"/>
          <w:szCs w:val="16"/>
        </w:rPr>
        <w:t>" Vs. Colombia,</w:t>
      </w:r>
      <w:r w:rsidRPr="00F24D93">
        <w:rPr>
          <w:i/>
          <w:sz w:val="16"/>
          <w:szCs w:val="16"/>
        </w:rPr>
        <w:t xml:space="preserve"> </w:t>
      </w:r>
      <w:r>
        <w:rPr>
          <w:i/>
          <w:sz w:val="16"/>
          <w:szCs w:val="16"/>
        </w:rPr>
        <w:t>supra</w:t>
      </w:r>
      <w:r w:rsidRPr="00F24D93">
        <w:rPr>
          <w:sz w:val="16"/>
          <w:szCs w:val="16"/>
        </w:rPr>
        <w:t xml:space="preserve"> párr. 316, y </w:t>
      </w:r>
      <w:r w:rsidRPr="00F24D93">
        <w:rPr>
          <w:i/>
          <w:sz w:val="16"/>
          <w:szCs w:val="16"/>
        </w:rPr>
        <w:t>Caso</w:t>
      </w:r>
      <w:r>
        <w:rPr>
          <w:i/>
          <w:sz w:val="16"/>
          <w:szCs w:val="16"/>
        </w:rPr>
        <w:t xml:space="preserve"> I.V. Vs. Bolivia, supra</w:t>
      </w:r>
      <w:r>
        <w:rPr>
          <w:sz w:val="16"/>
          <w:szCs w:val="16"/>
        </w:rPr>
        <w:t>, párr. 342</w:t>
      </w:r>
      <w:r w:rsidRPr="00F24D93">
        <w:rPr>
          <w:sz w:val="16"/>
          <w:szCs w:val="16"/>
        </w:rPr>
        <w:t>.</w:t>
      </w:r>
    </w:p>
  </w:footnote>
  <w:footnote w:id="317">
    <w:p w14:paraId="3F8DDFCA" w14:textId="77777777" w:rsidR="003C025E" w:rsidRPr="00016220" w:rsidRDefault="003C025E" w:rsidP="008704CD">
      <w:pPr>
        <w:pStyle w:val="FootnoteText"/>
        <w:rPr>
          <w:sz w:val="16"/>
          <w:szCs w:val="16"/>
        </w:rPr>
      </w:pPr>
      <w:r w:rsidRPr="00016220">
        <w:rPr>
          <w:rStyle w:val="FootnoteReference"/>
          <w:sz w:val="16"/>
          <w:szCs w:val="16"/>
        </w:rPr>
        <w:footnoteRef/>
      </w:r>
      <w:r w:rsidRPr="00016220">
        <w:rPr>
          <w:sz w:val="16"/>
          <w:szCs w:val="16"/>
        </w:rPr>
        <w:t xml:space="preserve"> </w:t>
      </w:r>
      <w:r w:rsidRPr="00016220">
        <w:rPr>
          <w:sz w:val="16"/>
          <w:szCs w:val="16"/>
        </w:rPr>
        <w:tab/>
      </w:r>
      <w:r w:rsidRPr="00DB4A77">
        <w:rPr>
          <w:i/>
          <w:iCs/>
          <w:sz w:val="16"/>
          <w:szCs w:val="16"/>
        </w:rPr>
        <w:t xml:space="preserve">Cfr. Caso </w:t>
      </w:r>
      <w:proofErr w:type="spellStart"/>
      <w:r w:rsidRPr="00DB4A77">
        <w:rPr>
          <w:i/>
          <w:iCs/>
          <w:sz w:val="16"/>
          <w:szCs w:val="16"/>
        </w:rPr>
        <w:t>Furlan</w:t>
      </w:r>
      <w:proofErr w:type="spellEnd"/>
      <w:r w:rsidRPr="00DB4A77">
        <w:rPr>
          <w:i/>
          <w:iCs/>
          <w:sz w:val="16"/>
          <w:szCs w:val="16"/>
        </w:rPr>
        <w:t xml:space="preserve"> y Familiares Vs. Argentina, supra</w:t>
      </w:r>
      <w:r w:rsidRPr="00DB4A77">
        <w:rPr>
          <w:sz w:val="16"/>
          <w:szCs w:val="16"/>
        </w:rPr>
        <w:t xml:space="preserve">, párr. 295. </w:t>
      </w:r>
      <w:r w:rsidRPr="00016220">
        <w:rPr>
          <w:sz w:val="16"/>
          <w:szCs w:val="16"/>
        </w:rPr>
        <w:t xml:space="preserve">y </w:t>
      </w:r>
      <w:r w:rsidRPr="00DB4A77">
        <w:rPr>
          <w:rFonts w:eastAsia="Calibri"/>
          <w:i/>
          <w:sz w:val="16"/>
          <w:szCs w:val="16"/>
          <w:lang w:eastAsia="en-US"/>
        </w:rPr>
        <w:t xml:space="preserve">Caso I.V. Vs. Bolivia, supra, </w:t>
      </w:r>
      <w:r w:rsidRPr="00016220">
        <w:rPr>
          <w:rFonts w:eastAsia="Calibri"/>
          <w:sz w:val="16"/>
          <w:szCs w:val="16"/>
          <w:lang w:eastAsia="en-US"/>
        </w:rPr>
        <w:t>párr. 341</w:t>
      </w:r>
      <w:r w:rsidRPr="00DB4A77">
        <w:rPr>
          <w:rFonts w:eastAsia="Calibri"/>
          <w:i/>
          <w:sz w:val="16"/>
          <w:szCs w:val="16"/>
          <w:lang w:eastAsia="en-US"/>
        </w:rPr>
        <w:t>.</w:t>
      </w:r>
    </w:p>
  </w:footnote>
  <w:footnote w:id="318">
    <w:p w14:paraId="17CC6C74" w14:textId="77777777" w:rsidR="003C025E" w:rsidRPr="00C079F5" w:rsidRDefault="003C025E" w:rsidP="00C079F5">
      <w:pPr>
        <w:pStyle w:val="FootnoteText"/>
        <w:rPr>
          <w:sz w:val="16"/>
          <w:szCs w:val="16"/>
          <w:lang w:val="es-CL"/>
        </w:rPr>
      </w:pPr>
      <w:r w:rsidRPr="00C079F5">
        <w:rPr>
          <w:rStyle w:val="FootnoteReference"/>
          <w:sz w:val="16"/>
          <w:szCs w:val="16"/>
        </w:rPr>
        <w:footnoteRef/>
      </w:r>
      <w:r w:rsidRPr="00C079F5">
        <w:rPr>
          <w:sz w:val="16"/>
          <w:szCs w:val="16"/>
        </w:rPr>
        <w:t xml:space="preserve"> </w:t>
      </w:r>
      <w:r>
        <w:rPr>
          <w:sz w:val="16"/>
          <w:szCs w:val="16"/>
        </w:rPr>
        <w:tab/>
      </w:r>
      <w:r w:rsidRPr="00C079F5">
        <w:rPr>
          <w:sz w:val="16"/>
          <w:szCs w:val="16"/>
        </w:rPr>
        <w:t>http://www.sii.cl/pagina/valores/dolar/dolar2001.htm</w:t>
      </w:r>
    </w:p>
  </w:footnote>
  <w:footnote w:id="319">
    <w:p w14:paraId="186953A4" w14:textId="77777777" w:rsidR="003C025E" w:rsidRPr="00C079F5" w:rsidRDefault="003C025E" w:rsidP="00C079F5">
      <w:pPr>
        <w:pStyle w:val="FootnoteText"/>
        <w:rPr>
          <w:sz w:val="16"/>
          <w:szCs w:val="16"/>
          <w:lang w:val="es-CL"/>
        </w:rPr>
      </w:pPr>
      <w:r w:rsidRPr="00C079F5">
        <w:rPr>
          <w:rStyle w:val="FootnoteReference"/>
          <w:sz w:val="16"/>
          <w:szCs w:val="16"/>
        </w:rPr>
        <w:footnoteRef/>
      </w:r>
      <w:r w:rsidRPr="00C079F5">
        <w:rPr>
          <w:sz w:val="16"/>
          <w:szCs w:val="16"/>
          <w:lang w:val="es-CL"/>
        </w:rPr>
        <w:t xml:space="preserve"> </w:t>
      </w:r>
      <w:r>
        <w:rPr>
          <w:sz w:val="16"/>
          <w:szCs w:val="16"/>
          <w:lang w:val="es-CL"/>
        </w:rPr>
        <w:tab/>
      </w:r>
      <w:r w:rsidRPr="00C079F5">
        <w:rPr>
          <w:sz w:val="16"/>
          <w:szCs w:val="16"/>
          <w:lang w:val="es-CL"/>
        </w:rPr>
        <w:t>http://www.sii.cl/pagina/valores/dolar/dolar2001.htm</w:t>
      </w:r>
    </w:p>
  </w:footnote>
  <w:footnote w:id="320">
    <w:p w14:paraId="1BBA8895" w14:textId="7692B920" w:rsidR="003C025E" w:rsidRPr="000D56E1" w:rsidRDefault="003C025E" w:rsidP="00B658A3">
      <w:pPr>
        <w:pStyle w:val="FootnoteText"/>
        <w:rPr>
          <w:sz w:val="16"/>
          <w:szCs w:val="16"/>
        </w:rPr>
      </w:pPr>
      <w:r w:rsidRPr="00531D45">
        <w:rPr>
          <w:rStyle w:val="FootnoteReference"/>
          <w:sz w:val="16"/>
          <w:szCs w:val="16"/>
        </w:rPr>
        <w:footnoteRef/>
      </w:r>
      <w:r>
        <w:t xml:space="preserve"> </w:t>
      </w:r>
      <w:r>
        <w:tab/>
      </w:r>
      <w:r w:rsidRPr="000D56E1">
        <w:rPr>
          <w:sz w:val="16"/>
          <w:szCs w:val="16"/>
        </w:rPr>
        <w:t xml:space="preserve"> </w:t>
      </w:r>
      <w:r>
        <w:rPr>
          <w:sz w:val="16"/>
          <w:szCs w:val="16"/>
        </w:rPr>
        <w:t xml:space="preserve">Respecto de Gonzalo Tapia, </w:t>
      </w:r>
      <w:r w:rsidRPr="000D56E1">
        <w:rPr>
          <w:sz w:val="16"/>
          <w:szCs w:val="16"/>
        </w:rPr>
        <w:t xml:space="preserve">4) Gastos incurridos como consecuencia del funeral </w:t>
      </w:r>
      <w:r>
        <w:rPr>
          <w:sz w:val="16"/>
          <w:szCs w:val="16"/>
        </w:rPr>
        <w:t xml:space="preserve">de Gonzalo Poblete Tapia: $ </w:t>
      </w:r>
      <w:r w:rsidRPr="00B1523A">
        <w:rPr>
          <w:sz w:val="16"/>
          <w:szCs w:val="16"/>
        </w:rPr>
        <w:t>110,000</w:t>
      </w:r>
      <w:r>
        <w:rPr>
          <w:sz w:val="16"/>
          <w:szCs w:val="16"/>
        </w:rPr>
        <w:t xml:space="preserve"> pesos chilenos</w:t>
      </w:r>
      <w:r w:rsidRPr="000D56E1">
        <w:rPr>
          <w:sz w:val="16"/>
          <w:szCs w:val="16"/>
        </w:rPr>
        <w:t xml:space="preserve"> (</w:t>
      </w:r>
      <w:r>
        <w:rPr>
          <w:sz w:val="16"/>
          <w:szCs w:val="16"/>
        </w:rPr>
        <w:t>Escrito de solicitudes, argumentos y pruebas</w:t>
      </w:r>
      <w:r w:rsidRPr="000D56E1">
        <w:rPr>
          <w:sz w:val="16"/>
          <w:szCs w:val="16"/>
        </w:rPr>
        <w:t>, f</w:t>
      </w:r>
      <w:r>
        <w:rPr>
          <w:sz w:val="16"/>
          <w:szCs w:val="16"/>
        </w:rPr>
        <w:t>.</w:t>
      </w:r>
      <w:r w:rsidRPr="000D56E1">
        <w:rPr>
          <w:sz w:val="16"/>
          <w:szCs w:val="16"/>
        </w:rPr>
        <w:t xml:space="preserve"> 275 a 276)</w:t>
      </w:r>
      <w:r>
        <w:rPr>
          <w:sz w:val="16"/>
          <w:szCs w:val="16"/>
        </w:rPr>
        <w:t>.</w:t>
      </w:r>
    </w:p>
  </w:footnote>
  <w:footnote w:id="321">
    <w:p w14:paraId="5E1672FA" w14:textId="75D4FCEE" w:rsidR="003C025E" w:rsidRPr="00C079F5" w:rsidRDefault="003C025E" w:rsidP="00C079F5">
      <w:pPr>
        <w:rPr>
          <w:b/>
          <w:sz w:val="16"/>
          <w:szCs w:val="16"/>
        </w:rPr>
      </w:pPr>
      <w:r w:rsidRPr="00C079F5">
        <w:rPr>
          <w:rStyle w:val="FootnoteReference"/>
          <w:sz w:val="16"/>
          <w:szCs w:val="16"/>
        </w:rPr>
        <w:footnoteRef/>
      </w:r>
      <w:r w:rsidRPr="00C079F5">
        <w:rPr>
          <w:sz w:val="16"/>
          <w:szCs w:val="16"/>
        </w:rPr>
        <w:t xml:space="preserve"> </w:t>
      </w:r>
      <w:r>
        <w:rPr>
          <w:sz w:val="16"/>
          <w:szCs w:val="16"/>
        </w:rPr>
        <w:tab/>
      </w:r>
      <w:r w:rsidRPr="00C079F5">
        <w:rPr>
          <w:sz w:val="16"/>
          <w:szCs w:val="16"/>
        </w:rPr>
        <w:t xml:space="preserve">Para llegar a esta cifra, las representantes enumeraron los siguientes gastos: i) 12.000 pesos chilenos: gastos de traslado </w:t>
      </w:r>
      <w:r>
        <w:rPr>
          <w:sz w:val="16"/>
          <w:szCs w:val="16"/>
        </w:rPr>
        <w:t>en</w:t>
      </w:r>
      <w:r w:rsidRPr="00C079F5">
        <w:rPr>
          <w:sz w:val="16"/>
          <w:szCs w:val="16"/>
        </w:rPr>
        <w:t xml:space="preserve"> ambulancia</w:t>
      </w:r>
      <w:r>
        <w:rPr>
          <w:sz w:val="16"/>
          <w:szCs w:val="16"/>
        </w:rPr>
        <w:t xml:space="preserve"> particular</w:t>
      </w:r>
      <w:r w:rsidRPr="00C079F5">
        <w:rPr>
          <w:sz w:val="16"/>
          <w:szCs w:val="16"/>
        </w:rPr>
        <w:t xml:space="preserve">  (US$: </w:t>
      </w:r>
      <w:r>
        <w:rPr>
          <w:sz w:val="16"/>
          <w:szCs w:val="16"/>
        </w:rPr>
        <w:t xml:space="preserve">21 </w:t>
      </w:r>
      <w:r w:rsidRPr="00C079F5">
        <w:rPr>
          <w:sz w:val="16"/>
          <w:szCs w:val="16"/>
        </w:rPr>
        <w:t xml:space="preserve">aproximadamente en febrero de 2001); ii) 469.851 pesos chilenos: gastos de servicio funeral del </w:t>
      </w:r>
      <w:r>
        <w:rPr>
          <w:sz w:val="16"/>
          <w:szCs w:val="16"/>
        </w:rPr>
        <w:t xml:space="preserve">señor Poblete Vilches (US$: </w:t>
      </w:r>
      <w:r w:rsidRPr="00B1523A">
        <w:rPr>
          <w:sz w:val="16"/>
          <w:szCs w:val="16"/>
        </w:rPr>
        <w:t>834</w:t>
      </w:r>
      <w:r w:rsidRPr="00C079F5">
        <w:rPr>
          <w:sz w:val="16"/>
          <w:szCs w:val="16"/>
        </w:rPr>
        <w:t xml:space="preserve"> aproximadamente en febrero 2001); iii)</w:t>
      </w:r>
      <w:r w:rsidRPr="00C079F5">
        <w:rPr>
          <w:b/>
          <w:sz w:val="16"/>
          <w:szCs w:val="16"/>
        </w:rPr>
        <w:t xml:space="preserve"> </w:t>
      </w:r>
      <w:r w:rsidRPr="00C079F5">
        <w:rPr>
          <w:sz w:val="16"/>
          <w:szCs w:val="16"/>
        </w:rPr>
        <w:t xml:space="preserve">627.600 pesos chilenos de funeral de la señora Blanca Tapia (US$: </w:t>
      </w:r>
      <w:r>
        <w:rPr>
          <w:sz w:val="16"/>
          <w:szCs w:val="16"/>
        </w:rPr>
        <w:t>1,114</w:t>
      </w:r>
      <w:r w:rsidRPr="00C079F5">
        <w:rPr>
          <w:sz w:val="16"/>
          <w:szCs w:val="16"/>
        </w:rPr>
        <w:t xml:space="preserve"> aproximadamente en enero 2003); iv)  110.000 pesos chilenos: gastos del servicio de funeral del señor Gonzalo Poblete Tapia (US$: </w:t>
      </w:r>
      <w:r>
        <w:rPr>
          <w:sz w:val="16"/>
          <w:szCs w:val="16"/>
        </w:rPr>
        <w:t>195</w:t>
      </w:r>
      <w:r w:rsidRPr="00C079F5">
        <w:rPr>
          <w:sz w:val="16"/>
          <w:szCs w:val="16"/>
        </w:rPr>
        <w:t xml:space="preserve"> aproximadamente en diciembre de 2011); v) </w:t>
      </w:r>
      <w:r w:rsidRPr="00C079F5" w:rsidDel="00C8410B">
        <w:rPr>
          <w:sz w:val="16"/>
          <w:szCs w:val="16"/>
        </w:rPr>
        <w:t xml:space="preserve"> </w:t>
      </w:r>
      <w:r w:rsidRPr="00C079F5">
        <w:rPr>
          <w:sz w:val="16"/>
          <w:szCs w:val="16"/>
        </w:rPr>
        <w:t xml:space="preserve">33.777,341 pesos chilenos: gastos de servicios médicos durante la primera internacional en la Clínica Dávila de la señora </w:t>
      </w:r>
      <w:proofErr w:type="spellStart"/>
      <w:r w:rsidRPr="00C079F5">
        <w:rPr>
          <w:sz w:val="16"/>
          <w:szCs w:val="16"/>
        </w:rPr>
        <w:t>Cesia</w:t>
      </w:r>
      <w:proofErr w:type="spellEnd"/>
      <w:r w:rsidRPr="00C079F5">
        <w:rPr>
          <w:sz w:val="16"/>
          <w:szCs w:val="16"/>
        </w:rPr>
        <w:t xml:space="preserve"> Poblete Tapia tras </w:t>
      </w:r>
      <w:r>
        <w:rPr>
          <w:sz w:val="16"/>
          <w:szCs w:val="16"/>
        </w:rPr>
        <w:t xml:space="preserve">su intento de suicidio (US$: 59 </w:t>
      </w:r>
      <w:r w:rsidRPr="00C079F5">
        <w:rPr>
          <w:sz w:val="16"/>
          <w:szCs w:val="16"/>
        </w:rPr>
        <w:t xml:space="preserve">aproximadamente en la actualidad); vi) 21.179,310 pesos chilenos: gastos por servicios médicos durante la segunda internación en la Clínica Dávila de la señora </w:t>
      </w:r>
      <w:proofErr w:type="spellStart"/>
      <w:r w:rsidRPr="00C079F5">
        <w:rPr>
          <w:sz w:val="16"/>
          <w:szCs w:val="16"/>
        </w:rPr>
        <w:t>Cesia</w:t>
      </w:r>
      <w:proofErr w:type="spellEnd"/>
      <w:r w:rsidRPr="00C079F5">
        <w:rPr>
          <w:sz w:val="16"/>
          <w:szCs w:val="16"/>
        </w:rPr>
        <w:t xml:space="preserve"> Poblete Tapia tras </w:t>
      </w:r>
      <w:r>
        <w:rPr>
          <w:sz w:val="16"/>
          <w:szCs w:val="16"/>
        </w:rPr>
        <w:t>su intento de suicidio (US$: 37.609</w:t>
      </w:r>
      <w:r w:rsidRPr="00C079F5">
        <w:rPr>
          <w:sz w:val="16"/>
          <w:szCs w:val="16"/>
        </w:rPr>
        <w:t xml:space="preserve"> aproximadamente en la actualidad); vii) 6.000 pesos chilenos: gastos por los servicios médicos de la doctora Sa</w:t>
      </w:r>
      <w:r>
        <w:rPr>
          <w:sz w:val="16"/>
          <w:szCs w:val="16"/>
        </w:rPr>
        <w:t xml:space="preserve">ndra </w:t>
      </w:r>
      <w:proofErr w:type="spellStart"/>
      <w:r>
        <w:rPr>
          <w:sz w:val="16"/>
          <w:szCs w:val="16"/>
        </w:rPr>
        <w:t>Momtufar</w:t>
      </w:r>
      <w:proofErr w:type="spellEnd"/>
      <w:r>
        <w:rPr>
          <w:sz w:val="16"/>
          <w:szCs w:val="16"/>
        </w:rPr>
        <w:t xml:space="preserve"> Castillo (US$: 10.654 </w:t>
      </w:r>
      <w:r w:rsidRPr="00C079F5">
        <w:rPr>
          <w:sz w:val="16"/>
          <w:szCs w:val="16"/>
        </w:rPr>
        <w:t>aproximadamente en febrero de 2001)</w:t>
      </w:r>
      <w:r>
        <w:rPr>
          <w:sz w:val="16"/>
          <w:szCs w:val="16"/>
        </w:rPr>
        <w:t xml:space="preserve">. (Escrito de solicitudes, argumentos y pruebas, </w:t>
      </w:r>
      <w:proofErr w:type="spellStart"/>
      <w:r>
        <w:rPr>
          <w:sz w:val="16"/>
          <w:szCs w:val="16"/>
        </w:rPr>
        <w:t>ff</w:t>
      </w:r>
      <w:proofErr w:type="spellEnd"/>
      <w:r>
        <w:rPr>
          <w:sz w:val="16"/>
          <w:szCs w:val="16"/>
        </w:rPr>
        <w:t>. 277 a 278).</w:t>
      </w:r>
    </w:p>
  </w:footnote>
  <w:footnote w:id="322">
    <w:p w14:paraId="73DD39A6" w14:textId="71788F7B" w:rsidR="003C025E" w:rsidRPr="00C103E7" w:rsidRDefault="003C025E" w:rsidP="00C079F5">
      <w:pPr>
        <w:pStyle w:val="FootnoteText"/>
        <w:rPr>
          <w:sz w:val="16"/>
          <w:szCs w:val="16"/>
          <w:lang w:val="es-MX"/>
        </w:rPr>
      </w:pPr>
      <w:r w:rsidRPr="00C079F5">
        <w:rPr>
          <w:rStyle w:val="FootnoteReference"/>
          <w:sz w:val="16"/>
          <w:szCs w:val="16"/>
        </w:rPr>
        <w:footnoteRef/>
      </w:r>
      <w:r w:rsidRPr="00C079F5">
        <w:rPr>
          <w:sz w:val="16"/>
          <w:szCs w:val="16"/>
          <w:lang w:val="es-MX"/>
        </w:rPr>
        <w:t xml:space="preserve"> </w:t>
      </w:r>
      <w:r w:rsidRPr="00C079F5">
        <w:rPr>
          <w:sz w:val="16"/>
          <w:szCs w:val="16"/>
          <w:lang w:val="es-MX"/>
        </w:rPr>
        <w:tab/>
      </w:r>
      <w:r w:rsidRPr="00062586">
        <w:rPr>
          <w:i/>
          <w:sz w:val="16"/>
          <w:szCs w:val="16"/>
          <w:lang w:val="es-MX"/>
        </w:rPr>
        <w:t>Cfr.</w:t>
      </w:r>
      <w:r w:rsidRPr="00C079F5">
        <w:rPr>
          <w:sz w:val="16"/>
          <w:szCs w:val="16"/>
          <w:lang w:val="es-MX"/>
        </w:rPr>
        <w:t xml:space="preserve"> </w:t>
      </w:r>
      <w:r w:rsidRPr="00C079F5">
        <w:rPr>
          <w:i/>
          <w:sz w:val="16"/>
          <w:szCs w:val="16"/>
          <w:lang w:val="es-MX"/>
        </w:rPr>
        <w:t xml:space="preserve">Caso </w:t>
      </w:r>
      <w:proofErr w:type="spellStart"/>
      <w:r w:rsidRPr="00C079F5">
        <w:rPr>
          <w:i/>
          <w:sz w:val="16"/>
          <w:szCs w:val="16"/>
          <w:lang w:val="es-MX"/>
        </w:rPr>
        <w:t>Bámaca</w:t>
      </w:r>
      <w:proofErr w:type="spellEnd"/>
      <w:r w:rsidRPr="00C079F5">
        <w:rPr>
          <w:i/>
          <w:sz w:val="16"/>
          <w:szCs w:val="16"/>
          <w:lang w:val="es-MX"/>
        </w:rPr>
        <w:t xml:space="preserve"> Velásquez Vs. Guatemala. Reparaciones, </w:t>
      </w:r>
      <w:r w:rsidRPr="00062586">
        <w:rPr>
          <w:i/>
          <w:sz w:val="16"/>
          <w:szCs w:val="16"/>
          <w:lang w:val="es-MX"/>
        </w:rPr>
        <w:t>supra</w:t>
      </w:r>
      <w:r w:rsidRPr="00C079F5">
        <w:rPr>
          <w:sz w:val="16"/>
          <w:szCs w:val="16"/>
          <w:lang w:val="es-MX"/>
        </w:rPr>
        <w:t xml:space="preserve">, párr. 43, </w:t>
      </w:r>
      <w:r w:rsidRPr="00C079F5">
        <w:rPr>
          <w:i/>
          <w:sz w:val="16"/>
          <w:szCs w:val="16"/>
          <w:lang w:val="es-MX"/>
        </w:rPr>
        <w:t>y C</w:t>
      </w:r>
      <w:r>
        <w:rPr>
          <w:i/>
          <w:sz w:val="16"/>
          <w:szCs w:val="16"/>
          <w:lang w:val="es-MX"/>
        </w:rPr>
        <w:t xml:space="preserve">aso Pacheco León y otros Vs. Honduras. Fondo, Reparaciones y Costas. </w:t>
      </w:r>
      <w:r w:rsidRPr="00C103E7">
        <w:rPr>
          <w:sz w:val="16"/>
          <w:szCs w:val="16"/>
          <w:lang w:val="es-MX"/>
        </w:rPr>
        <w:t>Sentencia de 15 de noviembre de 2017.Serie  No. 342, párr. 217.</w:t>
      </w:r>
    </w:p>
  </w:footnote>
  <w:footnote w:id="323">
    <w:p w14:paraId="08F99AC1" w14:textId="06F81D7E" w:rsidR="003C025E" w:rsidRPr="00C079F5" w:rsidRDefault="003C025E" w:rsidP="00C079F5">
      <w:pPr>
        <w:pStyle w:val="FootnoteText"/>
        <w:rPr>
          <w:sz w:val="16"/>
          <w:szCs w:val="16"/>
        </w:rPr>
      </w:pPr>
      <w:r w:rsidRPr="00C079F5">
        <w:rPr>
          <w:rStyle w:val="FootnoteReference"/>
          <w:sz w:val="16"/>
          <w:szCs w:val="16"/>
        </w:rPr>
        <w:footnoteRef/>
      </w:r>
      <w:r w:rsidRPr="00C079F5">
        <w:rPr>
          <w:sz w:val="16"/>
          <w:szCs w:val="16"/>
        </w:rPr>
        <w:t xml:space="preserve"> </w:t>
      </w:r>
      <w:r>
        <w:rPr>
          <w:sz w:val="16"/>
          <w:szCs w:val="16"/>
        </w:rPr>
        <w:tab/>
      </w:r>
      <w:r w:rsidRPr="00C079F5">
        <w:rPr>
          <w:sz w:val="16"/>
          <w:szCs w:val="16"/>
        </w:rPr>
        <w:t>Las representantes indicaron que lo gastos correspondientes al traslado en ambulancia desde el Hospital Sotero del Río hacia el domicilio familiar tras la</w:t>
      </w:r>
      <w:r>
        <w:rPr>
          <w:sz w:val="16"/>
          <w:szCs w:val="16"/>
        </w:rPr>
        <w:t xml:space="preserve"> primera internación fue de </w:t>
      </w:r>
      <w:r w:rsidRPr="00B1523A">
        <w:rPr>
          <w:sz w:val="16"/>
          <w:szCs w:val="16"/>
        </w:rPr>
        <w:t>$12,000</w:t>
      </w:r>
      <w:r w:rsidRPr="00C079F5">
        <w:rPr>
          <w:sz w:val="16"/>
          <w:szCs w:val="16"/>
        </w:rPr>
        <w:t xml:space="preserve"> </w:t>
      </w:r>
      <w:r>
        <w:rPr>
          <w:sz w:val="16"/>
          <w:szCs w:val="16"/>
        </w:rPr>
        <w:t xml:space="preserve">pesos chilenos, </w:t>
      </w:r>
      <w:r w:rsidRPr="00C079F5">
        <w:rPr>
          <w:sz w:val="16"/>
          <w:szCs w:val="16"/>
        </w:rPr>
        <w:t>de acuerdo al comprobante presentado en el anexo 16 del Escrito de Solicitudes, Argumentos y Pruebas y los gastos referentes</w:t>
      </w:r>
      <w:r>
        <w:rPr>
          <w:sz w:val="16"/>
          <w:szCs w:val="16"/>
        </w:rPr>
        <w:t xml:space="preserve"> al funeral del señor Poblete Vilches corresponden a </w:t>
      </w:r>
      <w:r w:rsidRPr="00B1523A">
        <w:rPr>
          <w:sz w:val="16"/>
          <w:szCs w:val="16"/>
        </w:rPr>
        <w:t>$469,851</w:t>
      </w:r>
      <w:r w:rsidRPr="00C079F5">
        <w:rPr>
          <w:sz w:val="16"/>
          <w:szCs w:val="16"/>
        </w:rPr>
        <w:t xml:space="preserve"> </w:t>
      </w:r>
      <w:r>
        <w:rPr>
          <w:sz w:val="16"/>
          <w:szCs w:val="16"/>
        </w:rPr>
        <w:t xml:space="preserve">pesos chilenos, </w:t>
      </w:r>
      <w:r w:rsidRPr="00C079F5">
        <w:rPr>
          <w:sz w:val="16"/>
          <w:szCs w:val="16"/>
        </w:rPr>
        <w:t>de acuerdo a lo dispuesto en los comprobantes adjuntados en el anexo 72 del Escrito de Solicitudes, Argumentos y Pruebas.</w:t>
      </w:r>
      <w:r>
        <w:rPr>
          <w:sz w:val="16"/>
          <w:szCs w:val="16"/>
        </w:rPr>
        <w:t xml:space="preserve"> </w:t>
      </w:r>
      <w:r w:rsidRPr="00B1523A">
        <w:rPr>
          <w:sz w:val="16"/>
          <w:szCs w:val="16"/>
        </w:rPr>
        <w:t>(E</w:t>
      </w:r>
      <w:r>
        <w:rPr>
          <w:sz w:val="16"/>
          <w:szCs w:val="16"/>
        </w:rPr>
        <w:t xml:space="preserve">scrito de solicitudes, argumentos y pruebas, </w:t>
      </w:r>
      <w:r w:rsidRPr="00B1523A">
        <w:rPr>
          <w:sz w:val="16"/>
          <w:szCs w:val="16"/>
        </w:rPr>
        <w:t>f.277)</w:t>
      </w:r>
      <w:r>
        <w:rPr>
          <w:sz w:val="16"/>
          <w:szCs w:val="16"/>
        </w:rPr>
        <w:t>.</w:t>
      </w:r>
    </w:p>
  </w:footnote>
  <w:footnote w:id="324">
    <w:p w14:paraId="6AB2A4EB" w14:textId="206BD282" w:rsidR="003C025E" w:rsidRPr="00D83D35" w:rsidRDefault="003C025E" w:rsidP="00C079F5">
      <w:pPr>
        <w:pStyle w:val="FootnoteText"/>
        <w:rPr>
          <w:sz w:val="16"/>
          <w:szCs w:val="16"/>
          <w:lang w:val="es-HN"/>
        </w:rPr>
      </w:pPr>
      <w:r w:rsidRPr="00B1523A">
        <w:rPr>
          <w:rStyle w:val="FootnoteReference"/>
          <w:sz w:val="16"/>
          <w:szCs w:val="16"/>
        </w:rPr>
        <w:footnoteRef/>
      </w:r>
      <w:r w:rsidRPr="00C079F5">
        <w:rPr>
          <w:i/>
          <w:sz w:val="16"/>
          <w:szCs w:val="16"/>
        </w:rPr>
        <w:t xml:space="preserve"> </w:t>
      </w:r>
      <w:r>
        <w:rPr>
          <w:i/>
          <w:sz w:val="16"/>
          <w:szCs w:val="16"/>
        </w:rPr>
        <w:tab/>
      </w:r>
      <w:r w:rsidRPr="00C079F5">
        <w:rPr>
          <w:i/>
          <w:sz w:val="16"/>
          <w:szCs w:val="16"/>
        </w:rPr>
        <w:t>C</w:t>
      </w:r>
      <w:r w:rsidRPr="00D83D35">
        <w:rPr>
          <w:i/>
          <w:sz w:val="16"/>
          <w:szCs w:val="16"/>
        </w:rPr>
        <w:t>aso de los Niños de la Calle (Villagrán Morales y otros) Vs. Guatemala. Reparaciones y Costas</w:t>
      </w:r>
      <w:r w:rsidRPr="00D83D35">
        <w:rPr>
          <w:sz w:val="16"/>
          <w:szCs w:val="16"/>
        </w:rPr>
        <w:t xml:space="preserve">. Sentencia de 26 de mayo de 2001. Serie C No. 77, párr. 84 y </w:t>
      </w:r>
      <w:r w:rsidRPr="00B1523A">
        <w:rPr>
          <w:i/>
          <w:sz w:val="16"/>
          <w:szCs w:val="16"/>
        </w:rPr>
        <w:t>Caso Pacheco León y otros Vs. Honduras, supra</w:t>
      </w:r>
      <w:r w:rsidRPr="00B1523A">
        <w:rPr>
          <w:sz w:val="16"/>
          <w:szCs w:val="16"/>
        </w:rPr>
        <w:t>, párr. 217.</w:t>
      </w:r>
    </w:p>
  </w:footnote>
  <w:footnote w:id="325">
    <w:p w14:paraId="626DBE29" w14:textId="788429CD" w:rsidR="003C025E" w:rsidRPr="002A64C9" w:rsidRDefault="003C025E" w:rsidP="00C27894">
      <w:pPr>
        <w:pStyle w:val="FootnoteText"/>
        <w:rPr>
          <w:sz w:val="16"/>
          <w:szCs w:val="16"/>
        </w:rPr>
      </w:pPr>
      <w:r w:rsidRPr="00D83D35">
        <w:rPr>
          <w:rStyle w:val="FootnoteReference"/>
          <w:sz w:val="16"/>
          <w:szCs w:val="16"/>
        </w:rPr>
        <w:footnoteRef/>
      </w:r>
      <w:r w:rsidRPr="00D83D35">
        <w:rPr>
          <w:sz w:val="16"/>
          <w:szCs w:val="16"/>
        </w:rPr>
        <w:t xml:space="preserve"> </w:t>
      </w:r>
      <w:r>
        <w:rPr>
          <w:sz w:val="16"/>
          <w:szCs w:val="16"/>
        </w:rPr>
        <w:t xml:space="preserve">      </w:t>
      </w:r>
      <w:r w:rsidRPr="00D83D35">
        <w:rPr>
          <w:i/>
          <w:sz w:val="16"/>
          <w:szCs w:val="16"/>
        </w:rPr>
        <w:t>Cfr.</w:t>
      </w:r>
      <w:r w:rsidRPr="00D83D35">
        <w:rPr>
          <w:sz w:val="16"/>
          <w:szCs w:val="16"/>
        </w:rPr>
        <w:t xml:space="preserve"> </w:t>
      </w:r>
      <w:r w:rsidRPr="00541592">
        <w:rPr>
          <w:i/>
          <w:sz w:val="16"/>
          <w:szCs w:val="16"/>
        </w:rPr>
        <w:t>Caso de los “Niños de la Calle” (Villagrán Morales y otros) Vs. Guatemala. Reparaciones y Costas,</w:t>
      </w:r>
      <w:r w:rsidRPr="00D83D35">
        <w:rPr>
          <w:sz w:val="16"/>
          <w:szCs w:val="16"/>
        </w:rPr>
        <w:t xml:space="preserve"> </w:t>
      </w:r>
      <w:r w:rsidRPr="00D83D35">
        <w:rPr>
          <w:i/>
          <w:sz w:val="16"/>
          <w:szCs w:val="16"/>
        </w:rPr>
        <w:t>supra</w:t>
      </w:r>
      <w:r w:rsidRPr="00D83D35">
        <w:rPr>
          <w:sz w:val="16"/>
          <w:szCs w:val="16"/>
        </w:rPr>
        <w:t xml:space="preserve">, párr. 84. y </w:t>
      </w:r>
      <w:r w:rsidRPr="00B1523A">
        <w:rPr>
          <w:i/>
          <w:sz w:val="16"/>
          <w:szCs w:val="16"/>
        </w:rPr>
        <w:t>Caso Pacheco León y otros Vs. Honduras, supra</w:t>
      </w:r>
      <w:r w:rsidRPr="00B1523A">
        <w:rPr>
          <w:sz w:val="16"/>
          <w:szCs w:val="16"/>
        </w:rPr>
        <w:t>, párr. 217.</w:t>
      </w:r>
    </w:p>
  </w:footnote>
  <w:footnote w:id="326">
    <w:p w14:paraId="27250F3A" w14:textId="66072901" w:rsidR="003C025E" w:rsidRPr="00C079F5" w:rsidRDefault="003C025E" w:rsidP="00C27894">
      <w:pPr>
        <w:pStyle w:val="FootnoteText"/>
        <w:rPr>
          <w:sz w:val="16"/>
          <w:szCs w:val="16"/>
          <w:lang w:val="es-CR"/>
        </w:rPr>
      </w:pPr>
      <w:r w:rsidRPr="002A64C9">
        <w:rPr>
          <w:rStyle w:val="FootnoteReference"/>
          <w:sz w:val="16"/>
          <w:szCs w:val="16"/>
        </w:rPr>
        <w:footnoteRef/>
      </w:r>
      <w:r w:rsidRPr="002A64C9">
        <w:rPr>
          <w:sz w:val="16"/>
          <w:szCs w:val="16"/>
        </w:rPr>
        <w:t xml:space="preserve"> </w:t>
      </w:r>
      <w:r w:rsidRPr="002A64C9">
        <w:rPr>
          <w:sz w:val="16"/>
          <w:szCs w:val="16"/>
        </w:rPr>
        <w:tab/>
      </w:r>
      <w:r w:rsidRPr="00B1523A">
        <w:rPr>
          <w:i/>
          <w:sz w:val="16"/>
          <w:szCs w:val="16"/>
        </w:rPr>
        <w:t>Cfr</w:t>
      </w:r>
      <w:r w:rsidRPr="002A64C9">
        <w:rPr>
          <w:sz w:val="16"/>
          <w:szCs w:val="16"/>
        </w:rPr>
        <w:t xml:space="preserve">. </w:t>
      </w:r>
      <w:r>
        <w:rPr>
          <w:i/>
          <w:sz w:val="16"/>
          <w:szCs w:val="16"/>
          <w:lang w:val="es-CR"/>
        </w:rPr>
        <w:t>C</w:t>
      </w:r>
      <w:r w:rsidRPr="002A64C9">
        <w:rPr>
          <w:i/>
          <w:sz w:val="16"/>
          <w:szCs w:val="16"/>
          <w:lang w:val="es-CR"/>
        </w:rPr>
        <w:t>aso Albán Cornejo</w:t>
      </w:r>
      <w:r>
        <w:rPr>
          <w:i/>
          <w:sz w:val="16"/>
          <w:szCs w:val="16"/>
          <w:lang w:val="es-CR"/>
        </w:rPr>
        <w:t xml:space="preserve"> Vs. Ecuador, supra, </w:t>
      </w:r>
      <w:r>
        <w:rPr>
          <w:sz w:val="16"/>
          <w:szCs w:val="16"/>
          <w:lang w:val="es-CR"/>
        </w:rPr>
        <w:t>párr. 153;</w:t>
      </w:r>
      <w:r w:rsidRPr="002A64C9">
        <w:rPr>
          <w:i/>
          <w:sz w:val="16"/>
          <w:szCs w:val="16"/>
          <w:lang w:val="es-CR"/>
        </w:rPr>
        <w:t xml:space="preserve"> </w:t>
      </w:r>
      <w:proofErr w:type="spellStart"/>
      <w:r w:rsidRPr="002A64C9">
        <w:rPr>
          <w:i/>
          <w:sz w:val="16"/>
          <w:szCs w:val="16"/>
          <w:lang w:val="es-CR"/>
        </w:rPr>
        <w:t>Ximénes</w:t>
      </w:r>
      <w:proofErr w:type="spellEnd"/>
      <w:r w:rsidRPr="002A64C9">
        <w:rPr>
          <w:i/>
          <w:sz w:val="16"/>
          <w:szCs w:val="16"/>
          <w:lang w:val="es-CR"/>
        </w:rPr>
        <w:t xml:space="preserve"> </w:t>
      </w:r>
      <w:proofErr w:type="spellStart"/>
      <w:r w:rsidRPr="002A64C9">
        <w:rPr>
          <w:i/>
          <w:sz w:val="16"/>
          <w:szCs w:val="16"/>
          <w:lang w:val="es-CR"/>
        </w:rPr>
        <w:t>L</w:t>
      </w:r>
      <w:r>
        <w:rPr>
          <w:i/>
          <w:sz w:val="16"/>
          <w:szCs w:val="16"/>
          <w:lang w:val="es-CR"/>
        </w:rPr>
        <w:t>o</w:t>
      </w:r>
      <w:r w:rsidRPr="002A64C9">
        <w:rPr>
          <w:i/>
          <w:sz w:val="16"/>
          <w:szCs w:val="16"/>
          <w:lang w:val="es-CR"/>
        </w:rPr>
        <w:t>pe</w:t>
      </w:r>
      <w:r>
        <w:rPr>
          <w:i/>
          <w:sz w:val="16"/>
          <w:szCs w:val="16"/>
          <w:lang w:val="es-CR"/>
        </w:rPr>
        <w:t>s</w:t>
      </w:r>
      <w:proofErr w:type="spellEnd"/>
      <w:r>
        <w:rPr>
          <w:i/>
          <w:sz w:val="16"/>
          <w:szCs w:val="16"/>
          <w:lang w:val="es-CR"/>
        </w:rPr>
        <w:t xml:space="preserve"> Vs. Brasil, supra</w:t>
      </w:r>
      <w:r w:rsidRPr="00B1523A">
        <w:rPr>
          <w:sz w:val="16"/>
          <w:szCs w:val="16"/>
          <w:lang w:val="es-CR"/>
        </w:rPr>
        <w:t>,</w:t>
      </w:r>
      <w:r>
        <w:rPr>
          <w:i/>
          <w:sz w:val="16"/>
          <w:szCs w:val="16"/>
          <w:lang w:val="es-CR"/>
        </w:rPr>
        <w:t xml:space="preserve"> </w:t>
      </w:r>
      <w:r>
        <w:rPr>
          <w:sz w:val="16"/>
          <w:szCs w:val="16"/>
          <w:lang w:val="es-CR"/>
        </w:rPr>
        <w:t>párr. 238</w:t>
      </w:r>
      <w:r w:rsidRPr="002A64C9">
        <w:rPr>
          <w:i/>
          <w:sz w:val="16"/>
          <w:szCs w:val="16"/>
          <w:lang w:val="es-CR"/>
        </w:rPr>
        <w:t xml:space="preserve"> y Suárez Peralta</w:t>
      </w:r>
      <w:r>
        <w:rPr>
          <w:i/>
          <w:sz w:val="16"/>
          <w:szCs w:val="16"/>
          <w:lang w:val="es-CR"/>
        </w:rPr>
        <w:t xml:space="preserve"> Vs. Ecuador, supra, </w:t>
      </w:r>
      <w:r>
        <w:rPr>
          <w:sz w:val="16"/>
          <w:szCs w:val="16"/>
          <w:lang w:val="es-CR"/>
        </w:rPr>
        <w:t>párr. 214.</w:t>
      </w:r>
      <w:r w:rsidRPr="00C079F5">
        <w:rPr>
          <w:sz w:val="16"/>
          <w:szCs w:val="16"/>
          <w:lang w:val="es-CR"/>
        </w:rPr>
        <w:t xml:space="preserve"> </w:t>
      </w:r>
    </w:p>
  </w:footnote>
  <w:footnote w:id="327">
    <w:p w14:paraId="6929F92D" w14:textId="190F37B5" w:rsidR="003C025E" w:rsidRPr="00D83D35" w:rsidRDefault="003C025E" w:rsidP="00C27894">
      <w:pPr>
        <w:pStyle w:val="FootnoteText"/>
        <w:rPr>
          <w:bCs/>
          <w:sz w:val="16"/>
          <w:szCs w:val="16"/>
          <w:lang w:val="es-CR"/>
        </w:rPr>
      </w:pPr>
      <w:r w:rsidRPr="00D83D35">
        <w:rPr>
          <w:rStyle w:val="FootnoteReference"/>
          <w:sz w:val="16"/>
          <w:szCs w:val="16"/>
        </w:rPr>
        <w:footnoteRef/>
      </w:r>
      <w:r w:rsidRPr="00D83D35">
        <w:rPr>
          <w:sz w:val="16"/>
          <w:szCs w:val="16"/>
          <w:lang w:val="es-MX"/>
        </w:rPr>
        <w:t xml:space="preserve"> </w:t>
      </w:r>
      <w:r w:rsidRPr="00D83D35">
        <w:rPr>
          <w:sz w:val="16"/>
          <w:szCs w:val="16"/>
          <w:lang w:val="es-MX"/>
        </w:rPr>
        <w:tab/>
      </w:r>
      <w:r w:rsidRPr="00D83D35">
        <w:rPr>
          <w:i/>
          <w:sz w:val="16"/>
          <w:szCs w:val="16"/>
          <w:lang w:val="es-MX"/>
        </w:rPr>
        <w:t xml:space="preserve">Cfr. Caso Velásquez Rodríguez Vs. </w:t>
      </w:r>
      <w:r w:rsidRPr="00D83D35">
        <w:rPr>
          <w:i/>
          <w:sz w:val="16"/>
          <w:szCs w:val="16"/>
          <w:lang w:val="es-CR"/>
        </w:rPr>
        <w:t xml:space="preserve">Honduras. </w:t>
      </w:r>
      <w:r w:rsidRPr="00D83D35">
        <w:rPr>
          <w:i/>
          <w:sz w:val="16"/>
          <w:szCs w:val="16"/>
          <w:lang w:val="es-MX"/>
        </w:rPr>
        <w:t>Reparaciones, supra,</w:t>
      </w:r>
      <w:r w:rsidRPr="00D83D35">
        <w:rPr>
          <w:sz w:val="16"/>
          <w:szCs w:val="16"/>
          <w:lang w:val="es-MX"/>
        </w:rPr>
        <w:t xml:space="preserve"> párr. 42, y </w:t>
      </w:r>
      <w:r w:rsidRPr="00B1523A">
        <w:rPr>
          <w:bCs/>
          <w:i/>
          <w:sz w:val="16"/>
          <w:szCs w:val="16"/>
          <w:lang w:val="es-MX"/>
        </w:rPr>
        <w:t xml:space="preserve">Caso Pueblo Indígena </w:t>
      </w:r>
      <w:proofErr w:type="spellStart"/>
      <w:r w:rsidRPr="00B1523A">
        <w:rPr>
          <w:bCs/>
          <w:i/>
          <w:sz w:val="16"/>
          <w:szCs w:val="16"/>
          <w:lang w:val="es-MX"/>
        </w:rPr>
        <w:t>Xucuru</w:t>
      </w:r>
      <w:proofErr w:type="spellEnd"/>
      <w:r w:rsidRPr="00B1523A">
        <w:rPr>
          <w:bCs/>
          <w:i/>
          <w:sz w:val="16"/>
          <w:szCs w:val="16"/>
          <w:lang w:val="es-MX"/>
        </w:rPr>
        <w:t xml:space="preserve"> y sus miembros Vs. Brasil, supra</w:t>
      </w:r>
      <w:r w:rsidRPr="00B1523A">
        <w:rPr>
          <w:bCs/>
          <w:sz w:val="16"/>
          <w:szCs w:val="16"/>
          <w:lang w:val="es-MX"/>
        </w:rPr>
        <w:t>, párr.</w:t>
      </w:r>
      <w:r>
        <w:rPr>
          <w:bCs/>
          <w:sz w:val="16"/>
          <w:szCs w:val="16"/>
          <w:lang w:val="es-MX"/>
        </w:rPr>
        <w:t xml:space="preserve"> </w:t>
      </w:r>
      <w:r w:rsidRPr="00B1523A">
        <w:rPr>
          <w:bCs/>
          <w:sz w:val="16"/>
          <w:szCs w:val="16"/>
          <w:lang w:val="es-MX"/>
        </w:rPr>
        <w:t>214.</w:t>
      </w:r>
    </w:p>
  </w:footnote>
  <w:footnote w:id="328">
    <w:p w14:paraId="0A490FAA" w14:textId="2E694F2D" w:rsidR="003C025E" w:rsidRPr="00D83D35" w:rsidRDefault="003C025E" w:rsidP="00C27894">
      <w:pPr>
        <w:pStyle w:val="FootnoteText"/>
        <w:rPr>
          <w:bCs/>
          <w:sz w:val="16"/>
          <w:szCs w:val="16"/>
          <w:lang w:val="es-CR"/>
        </w:rPr>
      </w:pPr>
      <w:r w:rsidRPr="00D83D35">
        <w:rPr>
          <w:rStyle w:val="FootnoteReference"/>
          <w:sz w:val="16"/>
          <w:szCs w:val="16"/>
        </w:rPr>
        <w:footnoteRef/>
      </w:r>
      <w:r w:rsidRPr="00D83D35">
        <w:rPr>
          <w:sz w:val="16"/>
          <w:szCs w:val="16"/>
          <w:lang w:val="es-MX"/>
        </w:rPr>
        <w:t xml:space="preserve"> </w:t>
      </w:r>
      <w:r w:rsidRPr="00D83D35">
        <w:rPr>
          <w:sz w:val="16"/>
          <w:szCs w:val="16"/>
          <w:lang w:val="es-MX"/>
        </w:rPr>
        <w:tab/>
      </w:r>
      <w:r w:rsidRPr="00D83D35">
        <w:rPr>
          <w:i/>
          <w:sz w:val="16"/>
          <w:szCs w:val="16"/>
          <w:lang w:val="es-MX"/>
        </w:rPr>
        <w:t xml:space="preserve">Cfr. Caso Garrido y </w:t>
      </w:r>
      <w:proofErr w:type="spellStart"/>
      <w:r w:rsidRPr="00D83D35">
        <w:rPr>
          <w:i/>
          <w:sz w:val="16"/>
          <w:szCs w:val="16"/>
          <w:lang w:val="es-MX"/>
        </w:rPr>
        <w:t>Baigorria</w:t>
      </w:r>
      <w:proofErr w:type="spellEnd"/>
      <w:r w:rsidRPr="00D83D35">
        <w:rPr>
          <w:i/>
          <w:sz w:val="16"/>
          <w:szCs w:val="16"/>
          <w:lang w:val="es-MX"/>
        </w:rPr>
        <w:t xml:space="preserve"> Vs. </w:t>
      </w:r>
      <w:r w:rsidRPr="00D83D35">
        <w:rPr>
          <w:i/>
          <w:sz w:val="16"/>
          <w:szCs w:val="16"/>
          <w:lang w:val="es-CR"/>
        </w:rPr>
        <w:t xml:space="preserve">Argentina. </w:t>
      </w:r>
      <w:r w:rsidRPr="00D83D35">
        <w:rPr>
          <w:i/>
          <w:sz w:val="16"/>
          <w:szCs w:val="16"/>
          <w:lang w:val="es-MX"/>
        </w:rPr>
        <w:t>Reparaciones y Costas.</w:t>
      </w:r>
      <w:r w:rsidRPr="00D83D35">
        <w:rPr>
          <w:sz w:val="16"/>
          <w:szCs w:val="16"/>
          <w:lang w:val="es-MX"/>
        </w:rPr>
        <w:t xml:space="preserve"> Sentencia de 27 de agosto de 1998. Serie C No. 39, párr. 82, y </w:t>
      </w:r>
      <w:r w:rsidRPr="00B1523A">
        <w:rPr>
          <w:bCs/>
          <w:i/>
          <w:sz w:val="16"/>
          <w:szCs w:val="16"/>
          <w:lang w:val="es-MX"/>
        </w:rPr>
        <w:t xml:space="preserve">Caso Pueblo Indígena </w:t>
      </w:r>
      <w:proofErr w:type="spellStart"/>
      <w:r w:rsidRPr="00B1523A">
        <w:rPr>
          <w:bCs/>
          <w:i/>
          <w:sz w:val="16"/>
          <w:szCs w:val="16"/>
          <w:lang w:val="es-MX"/>
        </w:rPr>
        <w:t>Xucuru</w:t>
      </w:r>
      <w:proofErr w:type="spellEnd"/>
      <w:r w:rsidRPr="00B1523A">
        <w:rPr>
          <w:bCs/>
          <w:i/>
          <w:sz w:val="16"/>
          <w:szCs w:val="16"/>
          <w:lang w:val="es-MX"/>
        </w:rPr>
        <w:t xml:space="preserve"> y sus miembros Vs. Brasil, supra, </w:t>
      </w:r>
      <w:r w:rsidRPr="00B1523A">
        <w:rPr>
          <w:bCs/>
          <w:sz w:val="16"/>
          <w:szCs w:val="16"/>
          <w:lang w:val="es-MX"/>
        </w:rPr>
        <w:t>párr.</w:t>
      </w:r>
      <w:r>
        <w:rPr>
          <w:bCs/>
          <w:sz w:val="16"/>
          <w:szCs w:val="16"/>
          <w:lang w:val="es-MX"/>
        </w:rPr>
        <w:t xml:space="preserve"> </w:t>
      </w:r>
      <w:r w:rsidRPr="00B1523A">
        <w:rPr>
          <w:bCs/>
          <w:sz w:val="16"/>
          <w:szCs w:val="16"/>
          <w:lang w:val="es-MX"/>
        </w:rPr>
        <w:t>214</w:t>
      </w:r>
      <w:r w:rsidRPr="00B1523A">
        <w:rPr>
          <w:bCs/>
          <w:color w:val="000000"/>
          <w:sz w:val="16"/>
          <w:szCs w:val="16"/>
          <w:shd w:val="clear" w:color="auto" w:fill="FFFFFF"/>
          <w:lang w:val="es-CR"/>
        </w:rPr>
        <w:t>.</w:t>
      </w:r>
    </w:p>
  </w:footnote>
  <w:footnote w:id="329">
    <w:p w14:paraId="2FEA97D8" w14:textId="77777777" w:rsidR="003C025E" w:rsidRPr="00D83D35" w:rsidRDefault="003C025E" w:rsidP="00C079F5">
      <w:pPr>
        <w:pStyle w:val="FootnoteText"/>
        <w:rPr>
          <w:bCs/>
          <w:sz w:val="16"/>
          <w:szCs w:val="16"/>
          <w:lang w:val="es-CR"/>
        </w:rPr>
      </w:pPr>
      <w:r w:rsidRPr="00D83D35">
        <w:rPr>
          <w:rStyle w:val="FootnoteReference"/>
          <w:sz w:val="16"/>
          <w:szCs w:val="16"/>
        </w:rPr>
        <w:footnoteRef/>
      </w:r>
      <w:r w:rsidRPr="00D83D35">
        <w:rPr>
          <w:sz w:val="16"/>
          <w:szCs w:val="16"/>
          <w:lang w:val="es-MX"/>
        </w:rPr>
        <w:t xml:space="preserve"> </w:t>
      </w:r>
      <w:r w:rsidRPr="00D83D35">
        <w:rPr>
          <w:sz w:val="16"/>
          <w:szCs w:val="16"/>
          <w:lang w:val="es-MX"/>
        </w:rPr>
        <w:tab/>
      </w:r>
      <w:r w:rsidRPr="00D83D35">
        <w:rPr>
          <w:i/>
          <w:sz w:val="16"/>
          <w:szCs w:val="16"/>
          <w:lang w:val="es-MX"/>
        </w:rPr>
        <w:t>Cfr. C</w:t>
      </w:r>
      <w:r w:rsidRPr="00D83D35">
        <w:rPr>
          <w:i/>
          <w:spacing w:val="-1"/>
          <w:sz w:val="16"/>
          <w:szCs w:val="16"/>
          <w:lang w:val="es-MX"/>
        </w:rPr>
        <w:t>a</w:t>
      </w:r>
      <w:r w:rsidRPr="00D83D35">
        <w:rPr>
          <w:i/>
          <w:sz w:val="16"/>
          <w:szCs w:val="16"/>
          <w:lang w:val="es-MX"/>
        </w:rPr>
        <w:t xml:space="preserve">so Garrido y </w:t>
      </w:r>
      <w:proofErr w:type="spellStart"/>
      <w:r w:rsidRPr="00D83D35">
        <w:rPr>
          <w:i/>
          <w:sz w:val="16"/>
          <w:szCs w:val="16"/>
          <w:lang w:val="es-MX"/>
        </w:rPr>
        <w:t>Baigorria</w:t>
      </w:r>
      <w:proofErr w:type="spellEnd"/>
      <w:r w:rsidRPr="00D83D35">
        <w:rPr>
          <w:i/>
          <w:sz w:val="16"/>
          <w:szCs w:val="16"/>
          <w:lang w:val="es-MX"/>
        </w:rPr>
        <w:t xml:space="preserve"> Vs. </w:t>
      </w:r>
      <w:r w:rsidRPr="00D83D35">
        <w:rPr>
          <w:i/>
          <w:sz w:val="16"/>
          <w:szCs w:val="16"/>
          <w:lang w:val="es-CR"/>
        </w:rPr>
        <w:t xml:space="preserve">Argentina. </w:t>
      </w:r>
      <w:r w:rsidRPr="00D83D35">
        <w:rPr>
          <w:i/>
          <w:sz w:val="16"/>
          <w:szCs w:val="16"/>
          <w:lang w:val="es-MX"/>
        </w:rPr>
        <w:t>Reparaciones,</w:t>
      </w:r>
      <w:r w:rsidRPr="00D83D35">
        <w:rPr>
          <w:sz w:val="16"/>
          <w:szCs w:val="16"/>
          <w:lang w:val="es-MX"/>
        </w:rPr>
        <w:t xml:space="preserve"> </w:t>
      </w:r>
      <w:r w:rsidRPr="00D83D35">
        <w:rPr>
          <w:i/>
          <w:sz w:val="16"/>
          <w:szCs w:val="16"/>
          <w:lang w:val="es-MX"/>
        </w:rPr>
        <w:t>supra,</w:t>
      </w:r>
      <w:r w:rsidRPr="00D83D35">
        <w:rPr>
          <w:sz w:val="16"/>
          <w:szCs w:val="16"/>
          <w:lang w:val="es-MX"/>
        </w:rPr>
        <w:t xml:space="preserve"> p</w:t>
      </w:r>
      <w:r w:rsidRPr="00D83D35">
        <w:rPr>
          <w:spacing w:val="-3"/>
          <w:sz w:val="16"/>
          <w:szCs w:val="16"/>
          <w:lang w:val="es-MX"/>
        </w:rPr>
        <w:t>á</w:t>
      </w:r>
      <w:r w:rsidRPr="00D83D35">
        <w:rPr>
          <w:spacing w:val="1"/>
          <w:sz w:val="16"/>
          <w:szCs w:val="16"/>
          <w:lang w:val="es-MX"/>
        </w:rPr>
        <w:t>rr</w:t>
      </w:r>
      <w:r w:rsidRPr="00D83D35">
        <w:rPr>
          <w:sz w:val="16"/>
          <w:szCs w:val="16"/>
          <w:lang w:val="es-MX"/>
        </w:rPr>
        <w:t>.</w:t>
      </w:r>
      <w:r w:rsidRPr="00D83D35">
        <w:rPr>
          <w:spacing w:val="-1"/>
          <w:sz w:val="16"/>
          <w:szCs w:val="16"/>
          <w:lang w:val="es-MX"/>
        </w:rPr>
        <w:t>7</w:t>
      </w:r>
      <w:r w:rsidRPr="00D83D35">
        <w:rPr>
          <w:spacing w:val="1"/>
          <w:sz w:val="16"/>
          <w:szCs w:val="16"/>
          <w:lang w:val="es-MX"/>
        </w:rPr>
        <w:t>9</w:t>
      </w:r>
      <w:r w:rsidRPr="00D83D35">
        <w:rPr>
          <w:sz w:val="16"/>
          <w:szCs w:val="16"/>
          <w:lang w:val="es-MX"/>
        </w:rPr>
        <w:t>,</w:t>
      </w:r>
      <w:r w:rsidRPr="00D83D35">
        <w:rPr>
          <w:spacing w:val="36"/>
          <w:sz w:val="16"/>
          <w:szCs w:val="16"/>
          <w:lang w:val="es-MX"/>
        </w:rPr>
        <w:t xml:space="preserve"> </w:t>
      </w:r>
      <w:r w:rsidRPr="00D83D35">
        <w:rPr>
          <w:sz w:val="16"/>
          <w:szCs w:val="16"/>
          <w:lang w:val="es-MX"/>
        </w:rPr>
        <w:t>y</w:t>
      </w:r>
      <w:r w:rsidRPr="00D83D35">
        <w:rPr>
          <w:spacing w:val="37"/>
          <w:sz w:val="16"/>
          <w:szCs w:val="16"/>
          <w:lang w:val="es-MX"/>
        </w:rPr>
        <w:t xml:space="preserve"> </w:t>
      </w:r>
      <w:r w:rsidRPr="00D83D35">
        <w:rPr>
          <w:bCs/>
          <w:i/>
          <w:sz w:val="16"/>
          <w:szCs w:val="16"/>
          <w:lang w:val="es-MX"/>
        </w:rPr>
        <w:t xml:space="preserve">Caso Zegarra Marín Vs. </w:t>
      </w:r>
      <w:r w:rsidRPr="00D83D35">
        <w:rPr>
          <w:bCs/>
          <w:i/>
          <w:sz w:val="16"/>
          <w:szCs w:val="16"/>
          <w:lang w:val="es-CR"/>
        </w:rPr>
        <w:t>Perú, supra,</w:t>
      </w:r>
      <w:r w:rsidRPr="00D83D35">
        <w:rPr>
          <w:bCs/>
          <w:sz w:val="16"/>
          <w:szCs w:val="16"/>
          <w:lang w:val="es-CR"/>
        </w:rPr>
        <w:t xml:space="preserve"> párr. 230.</w:t>
      </w:r>
    </w:p>
  </w:footnote>
  <w:footnote w:id="330">
    <w:p w14:paraId="55CFFDF4" w14:textId="7A767B68" w:rsidR="003C025E" w:rsidRPr="00C079F5" w:rsidRDefault="003C025E" w:rsidP="00C079F5">
      <w:pPr>
        <w:pStyle w:val="FootnoteText"/>
        <w:rPr>
          <w:bCs/>
          <w:sz w:val="16"/>
          <w:szCs w:val="16"/>
          <w:lang w:val="es-MX"/>
        </w:rPr>
      </w:pPr>
      <w:r w:rsidRPr="00D83D35">
        <w:rPr>
          <w:rStyle w:val="FootnoteReference"/>
          <w:sz w:val="16"/>
          <w:szCs w:val="16"/>
        </w:rPr>
        <w:footnoteRef/>
      </w:r>
      <w:r w:rsidRPr="00D83D35">
        <w:rPr>
          <w:sz w:val="16"/>
          <w:szCs w:val="16"/>
          <w:lang w:val="es-MX"/>
        </w:rPr>
        <w:t xml:space="preserve"> </w:t>
      </w:r>
      <w:r w:rsidRPr="00D83D35">
        <w:rPr>
          <w:sz w:val="16"/>
          <w:szCs w:val="16"/>
          <w:lang w:val="es-MX"/>
        </w:rPr>
        <w:tab/>
      </w:r>
      <w:r w:rsidRPr="00D83D35">
        <w:rPr>
          <w:i/>
          <w:sz w:val="16"/>
          <w:szCs w:val="16"/>
          <w:lang w:val="es-MX"/>
        </w:rPr>
        <w:t>Cfr.</w:t>
      </w:r>
      <w:r w:rsidRPr="00D83D35">
        <w:rPr>
          <w:i/>
          <w:spacing w:val="15"/>
          <w:sz w:val="16"/>
          <w:szCs w:val="16"/>
          <w:lang w:val="es-MX"/>
        </w:rPr>
        <w:t xml:space="preserve"> </w:t>
      </w:r>
      <w:r w:rsidRPr="00D83D35">
        <w:rPr>
          <w:i/>
          <w:sz w:val="16"/>
          <w:szCs w:val="16"/>
          <w:lang w:val="es-MX"/>
        </w:rPr>
        <w:t>C</w:t>
      </w:r>
      <w:r w:rsidRPr="00D83D35">
        <w:rPr>
          <w:i/>
          <w:spacing w:val="-1"/>
          <w:sz w:val="16"/>
          <w:szCs w:val="16"/>
          <w:lang w:val="es-MX"/>
        </w:rPr>
        <w:t>a</w:t>
      </w:r>
      <w:r w:rsidRPr="00D83D35">
        <w:rPr>
          <w:i/>
          <w:spacing w:val="-2"/>
          <w:sz w:val="16"/>
          <w:szCs w:val="16"/>
          <w:lang w:val="es-MX"/>
        </w:rPr>
        <w:t>s</w:t>
      </w:r>
      <w:r w:rsidRPr="00D83D35">
        <w:rPr>
          <w:i/>
          <w:sz w:val="16"/>
          <w:szCs w:val="16"/>
          <w:lang w:val="es-MX"/>
        </w:rPr>
        <w:t>o</w:t>
      </w:r>
      <w:r w:rsidRPr="00D83D35">
        <w:rPr>
          <w:i/>
          <w:spacing w:val="16"/>
          <w:sz w:val="16"/>
          <w:szCs w:val="16"/>
          <w:lang w:val="es-MX"/>
        </w:rPr>
        <w:t xml:space="preserve"> </w:t>
      </w:r>
      <w:r w:rsidRPr="00D83D35">
        <w:rPr>
          <w:sz w:val="16"/>
          <w:szCs w:val="16"/>
          <w:lang w:val="es-MX"/>
        </w:rPr>
        <w:t>C</w:t>
      </w:r>
      <w:r w:rsidRPr="00D83D35">
        <w:rPr>
          <w:spacing w:val="-1"/>
          <w:sz w:val="16"/>
          <w:szCs w:val="16"/>
          <w:lang w:val="es-MX"/>
        </w:rPr>
        <w:t>h</w:t>
      </w:r>
      <w:r w:rsidRPr="00D83D35">
        <w:rPr>
          <w:spacing w:val="-3"/>
          <w:sz w:val="16"/>
          <w:szCs w:val="16"/>
          <w:lang w:val="es-MX"/>
        </w:rPr>
        <w:t>a</w:t>
      </w:r>
      <w:r w:rsidRPr="00D83D35">
        <w:rPr>
          <w:sz w:val="16"/>
          <w:szCs w:val="16"/>
          <w:lang w:val="es-MX"/>
        </w:rPr>
        <w:t>p</w:t>
      </w:r>
      <w:r w:rsidRPr="00D83D35">
        <w:rPr>
          <w:spacing w:val="-1"/>
          <w:sz w:val="16"/>
          <w:szCs w:val="16"/>
          <w:lang w:val="es-MX"/>
        </w:rPr>
        <w:t>ar</w:t>
      </w:r>
      <w:r w:rsidRPr="00D83D35">
        <w:rPr>
          <w:sz w:val="16"/>
          <w:szCs w:val="16"/>
          <w:lang w:val="es-MX"/>
        </w:rPr>
        <w:t>ro</w:t>
      </w:r>
      <w:r w:rsidRPr="00D83D35">
        <w:rPr>
          <w:i/>
          <w:spacing w:val="14"/>
          <w:sz w:val="16"/>
          <w:szCs w:val="16"/>
          <w:lang w:val="es-MX"/>
        </w:rPr>
        <w:t xml:space="preserve"> </w:t>
      </w:r>
      <w:r w:rsidRPr="00D83D35">
        <w:rPr>
          <w:i/>
          <w:sz w:val="16"/>
          <w:szCs w:val="16"/>
          <w:lang w:val="es-MX"/>
        </w:rPr>
        <w:t>Á</w:t>
      </w:r>
      <w:r w:rsidRPr="00D83D35">
        <w:rPr>
          <w:i/>
          <w:spacing w:val="-1"/>
          <w:sz w:val="16"/>
          <w:szCs w:val="16"/>
          <w:lang w:val="es-MX"/>
        </w:rPr>
        <w:t>l</w:t>
      </w:r>
      <w:r w:rsidRPr="00D83D35">
        <w:rPr>
          <w:i/>
          <w:sz w:val="16"/>
          <w:szCs w:val="16"/>
          <w:lang w:val="es-MX"/>
        </w:rPr>
        <w:t>v</w:t>
      </w:r>
      <w:r w:rsidRPr="00D83D35">
        <w:rPr>
          <w:i/>
          <w:spacing w:val="-3"/>
          <w:sz w:val="16"/>
          <w:szCs w:val="16"/>
          <w:lang w:val="es-MX"/>
        </w:rPr>
        <w:t>a</w:t>
      </w:r>
      <w:r w:rsidRPr="00D83D35">
        <w:rPr>
          <w:i/>
          <w:sz w:val="16"/>
          <w:szCs w:val="16"/>
          <w:lang w:val="es-MX"/>
        </w:rPr>
        <w:t>rez</w:t>
      </w:r>
      <w:r w:rsidRPr="00D83D35">
        <w:rPr>
          <w:i/>
          <w:spacing w:val="13"/>
          <w:sz w:val="16"/>
          <w:szCs w:val="16"/>
          <w:lang w:val="es-MX"/>
        </w:rPr>
        <w:t xml:space="preserve"> </w:t>
      </w:r>
      <w:r w:rsidRPr="00D83D35">
        <w:rPr>
          <w:i/>
          <w:sz w:val="16"/>
          <w:szCs w:val="16"/>
          <w:lang w:val="es-MX"/>
        </w:rPr>
        <w:t>y</w:t>
      </w:r>
      <w:r w:rsidRPr="00D83D35">
        <w:rPr>
          <w:i/>
          <w:spacing w:val="14"/>
          <w:sz w:val="16"/>
          <w:szCs w:val="16"/>
          <w:lang w:val="es-MX"/>
        </w:rPr>
        <w:t xml:space="preserve"> </w:t>
      </w:r>
      <w:r w:rsidRPr="00D83D35">
        <w:rPr>
          <w:i/>
          <w:spacing w:val="-1"/>
          <w:sz w:val="16"/>
          <w:szCs w:val="16"/>
          <w:lang w:val="es-MX"/>
        </w:rPr>
        <w:t>La</w:t>
      </w:r>
      <w:r w:rsidRPr="00D83D35">
        <w:rPr>
          <w:i/>
          <w:sz w:val="16"/>
          <w:szCs w:val="16"/>
          <w:lang w:val="es-MX"/>
        </w:rPr>
        <w:t>po</w:t>
      </w:r>
      <w:r w:rsidRPr="00D83D35">
        <w:rPr>
          <w:i/>
          <w:spacing w:val="16"/>
          <w:sz w:val="16"/>
          <w:szCs w:val="16"/>
          <w:lang w:val="es-MX"/>
        </w:rPr>
        <w:t xml:space="preserve"> </w:t>
      </w:r>
      <w:r w:rsidRPr="00D83D35">
        <w:rPr>
          <w:i/>
          <w:sz w:val="16"/>
          <w:szCs w:val="16"/>
          <w:lang w:val="es-MX"/>
        </w:rPr>
        <w:t>Í</w:t>
      </w:r>
      <w:r w:rsidRPr="00D83D35">
        <w:rPr>
          <w:i/>
          <w:spacing w:val="-1"/>
          <w:sz w:val="16"/>
          <w:szCs w:val="16"/>
          <w:lang w:val="es-MX"/>
        </w:rPr>
        <w:t>ñi</w:t>
      </w:r>
      <w:r w:rsidRPr="00D83D35">
        <w:rPr>
          <w:i/>
          <w:sz w:val="16"/>
          <w:szCs w:val="16"/>
          <w:lang w:val="es-MX"/>
        </w:rPr>
        <w:t>g</w:t>
      </w:r>
      <w:r w:rsidRPr="00D83D35">
        <w:rPr>
          <w:i/>
          <w:spacing w:val="-1"/>
          <w:sz w:val="16"/>
          <w:szCs w:val="16"/>
          <w:lang w:val="es-MX"/>
        </w:rPr>
        <w:t>u</w:t>
      </w:r>
      <w:r w:rsidRPr="00D83D35">
        <w:rPr>
          <w:i/>
          <w:sz w:val="16"/>
          <w:szCs w:val="16"/>
          <w:lang w:val="es-MX"/>
        </w:rPr>
        <w:t>ez</w:t>
      </w:r>
      <w:r w:rsidRPr="00D83D35">
        <w:rPr>
          <w:i/>
          <w:spacing w:val="13"/>
          <w:sz w:val="16"/>
          <w:szCs w:val="16"/>
          <w:lang w:val="es-MX"/>
        </w:rPr>
        <w:t xml:space="preserve"> </w:t>
      </w:r>
      <w:r w:rsidRPr="00D83D35">
        <w:rPr>
          <w:i/>
          <w:sz w:val="16"/>
          <w:szCs w:val="16"/>
          <w:lang w:val="es-MX"/>
        </w:rPr>
        <w:t>Vs.</w:t>
      </w:r>
      <w:r w:rsidRPr="00D83D35">
        <w:rPr>
          <w:i/>
          <w:spacing w:val="15"/>
          <w:sz w:val="16"/>
          <w:szCs w:val="16"/>
          <w:lang w:val="es-MX"/>
        </w:rPr>
        <w:t xml:space="preserve"> </w:t>
      </w:r>
      <w:r w:rsidRPr="00D83D35">
        <w:rPr>
          <w:i/>
          <w:spacing w:val="-1"/>
          <w:sz w:val="16"/>
          <w:szCs w:val="16"/>
          <w:lang w:val="es-CR"/>
        </w:rPr>
        <w:t>E</w:t>
      </w:r>
      <w:r w:rsidRPr="00D83D35">
        <w:rPr>
          <w:i/>
          <w:sz w:val="16"/>
          <w:szCs w:val="16"/>
          <w:lang w:val="es-CR"/>
        </w:rPr>
        <w:t>c</w:t>
      </w:r>
      <w:r w:rsidRPr="00D83D35">
        <w:rPr>
          <w:i/>
          <w:spacing w:val="-1"/>
          <w:sz w:val="16"/>
          <w:szCs w:val="16"/>
          <w:lang w:val="es-CR"/>
        </w:rPr>
        <w:t>u</w:t>
      </w:r>
      <w:r w:rsidRPr="00D83D35">
        <w:rPr>
          <w:i/>
          <w:spacing w:val="-3"/>
          <w:sz w:val="16"/>
          <w:szCs w:val="16"/>
          <w:lang w:val="es-CR"/>
        </w:rPr>
        <w:t>a</w:t>
      </w:r>
      <w:r w:rsidRPr="00D83D35">
        <w:rPr>
          <w:i/>
          <w:sz w:val="16"/>
          <w:szCs w:val="16"/>
          <w:lang w:val="es-CR"/>
        </w:rPr>
        <w:t>d</w:t>
      </w:r>
      <w:r w:rsidRPr="00D83D35">
        <w:rPr>
          <w:i/>
          <w:spacing w:val="-2"/>
          <w:sz w:val="16"/>
          <w:szCs w:val="16"/>
          <w:lang w:val="es-CR"/>
        </w:rPr>
        <w:t>o</w:t>
      </w:r>
      <w:r w:rsidRPr="00D83D35">
        <w:rPr>
          <w:i/>
          <w:sz w:val="16"/>
          <w:szCs w:val="16"/>
          <w:lang w:val="es-CR"/>
        </w:rPr>
        <w:t xml:space="preserve">r. </w:t>
      </w:r>
      <w:r w:rsidRPr="00D83D35">
        <w:rPr>
          <w:i/>
          <w:sz w:val="16"/>
          <w:szCs w:val="16"/>
          <w:lang w:val="es-MX"/>
        </w:rPr>
        <w:t>Excepciones Preliminares, Fondo, Reparaciones y Costas.</w:t>
      </w:r>
      <w:r w:rsidRPr="00D83D35">
        <w:rPr>
          <w:sz w:val="16"/>
          <w:szCs w:val="16"/>
          <w:lang w:val="es-MX"/>
        </w:rPr>
        <w:t xml:space="preserve"> Sentencia de 21 de noviembre de 2007. Serie C No. 170, </w:t>
      </w:r>
      <w:r w:rsidRPr="00D83D35">
        <w:rPr>
          <w:spacing w:val="-2"/>
          <w:sz w:val="16"/>
          <w:szCs w:val="16"/>
          <w:lang w:val="es-MX"/>
        </w:rPr>
        <w:t>p</w:t>
      </w:r>
      <w:r w:rsidRPr="00D83D35">
        <w:rPr>
          <w:spacing w:val="-1"/>
          <w:sz w:val="16"/>
          <w:szCs w:val="16"/>
          <w:lang w:val="es-MX"/>
        </w:rPr>
        <w:t>á</w:t>
      </w:r>
      <w:r w:rsidRPr="00D83D35">
        <w:rPr>
          <w:sz w:val="16"/>
          <w:szCs w:val="16"/>
          <w:lang w:val="es-MX"/>
        </w:rPr>
        <w:t>rr.</w:t>
      </w:r>
      <w:r w:rsidRPr="00D83D35">
        <w:rPr>
          <w:spacing w:val="-2"/>
          <w:sz w:val="16"/>
          <w:szCs w:val="16"/>
          <w:lang w:val="es-MX"/>
        </w:rPr>
        <w:t xml:space="preserve"> </w:t>
      </w:r>
      <w:r w:rsidRPr="00D83D35">
        <w:rPr>
          <w:spacing w:val="-1"/>
          <w:sz w:val="16"/>
          <w:szCs w:val="16"/>
          <w:lang w:val="es-MX"/>
        </w:rPr>
        <w:t>2</w:t>
      </w:r>
      <w:r w:rsidRPr="00D83D35">
        <w:rPr>
          <w:sz w:val="16"/>
          <w:szCs w:val="16"/>
          <w:lang w:val="es-MX"/>
        </w:rPr>
        <w:t xml:space="preserve">77, y </w:t>
      </w:r>
      <w:r w:rsidRPr="00B1523A">
        <w:rPr>
          <w:bCs/>
          <w:i/>
          <w:sz w:val="16"/>
          <w:szCs w:val="16"/>
          <w:lang w:val="es-MX"/>
        </w:rPr>
        <w:t xml:space="preserve">Caso Pueblo Indígena </w:t>
      </w:r>
      <w:proofErr w:type="spellStart"/>
      <w:r w:rsidRPr="00B1523A">
        <w:rPr>
          <w:bCs/>
          <w:i/>
          <w:sz w:val="16"/>
          <w:szCs w:val="16"/>
          <w:lang w:val="es-MX"/>
        </w:rPr>
        <w:t>Xucuru</w:t>
      </w:r>
      <w:proofErr w:type="spellEnd"/>
      <w:r w:rsidRPr="00B1523A">
        <w:rPr>
          <w:bCs/>
          <w:i/>
          <w:sz w:val="16"/>
          <w:szCs w:val="16"/>
          <w:lang w:val="es-MX"/>
        </w:rPr>
        <w:t xml:space="preserve"> y sus miembros Vs. Brasil, supra, </w:t>
      </w:r>
      <w:r w:rsidRPr="00B1523A">
        <w:rPr>
          <w:bCs/>
          <w:sz w:val="16"/>
          <w:szCs w:val="16"/>
          <w:lang w:val="es-MX"/>
        </w:rPr>
        <w:t>párr.</w:t>
      </w:r>
      <w:r>
        <w:rPr>
          <w:bCs/>
          <w:sz w:val="16"/>
          <w:szCs w:val="16"/>
          <w:lang w:val="es-MX"/>
        </w:rPr>
        <w:t xml:space="preserve"> </w:t>
      </w:r>
      <w:r w:rsidRPr="00B1523A">
        <w:rPr>
          <w:bCs/>
          <w:sz w:val="16"/>
          <w:szCs w:val="16"/>
          <w:lang w:val="es-MX"/>
        </w:rPr>
        <w:t>215</w:t>
      </w:r>
      <w:r w:rsidRPr="00B1523A">
        <w:rPr>
          <w:bCs/>
          <w:color w:val="000000"/>
          <w:sz w:val="16"/>
          <w:szCs w:val="16"/>
          <w:shd w:val="clear" w:color="auto" w:fill="FFFFFF"/>
          <w:lang w:val="es-CR"/>
        </w:rPr>
        <w:t>.</w:t>
      </w:r>
    </w:p>
  </w:footnote>
  <w:footnote w:id="331">
    <w:p w14:paraId="274E543B" w14:textId="77777777" w:rsidR="003C025E" w:rsidRPr="00C079F5" w:rsidRDefault="003C025E" w:rsidP="00C079F5">
      <w:pPr>
        <w:pStyle w:val="FootnoteText"/>
        <w:ind w:right="-144"/>
        <w:rPr>
          <w:sz w:val="16"/>
          <w:szCs w:val="16"/>
          <w:lang w:val="es-CR"/>
        </w:rPr>
      </w:pPr>
      <w:r w:rsidRPr="00C079F5">
        <w:rPr>
          <w:rStyle w:val="FootnoteReference"/>
          <w:sz w:val="16"/>
          <w:szCs w:val="16"/>
        </w:rPr>
        <w:footnoteRef/>
      </w:r>
      <w:r w:rsidRPr="00C079F5">
        <w:rPr>
          <w:sz w:val="16"/>
          <w:szCs w:val="16"/>
          <w:lang w:val="es-CR"/>
        </w:rPr>
        <w:t xml:space="preserve"> </w:t>
      </w:r>
      <w:r w:rsidRPr="00C079F5">
        <w:rPr>
          <w:sz w:val="16"/>
          <w:szCs w:val="16"/>
          <w:lang w:val="es-CR"/>
        </w:rPr>
        <w:tab/>
        <w:t>AG/RES. 2426 (XXXVIII-O/08), Resolución adoptada por la Asamblea General de la OEA durante la celebración del XXXVIII Período Ordinario de Sesiones de la OEA, en la cuarta sesión plenaria, celebrada el 3 de junio de 2008, “Creación del Fondo de Asistencia Legal del Sistema Interamericano de Derechos Humanos”, Punto Resolutivo 2.a), y CP/RES. 963 (1728/09), Resolución adoptada el 11 de noviembre de 2009 por el Consejo Permanente de la OEA, “Reglamento para el Funcionamiento del Fondo de Asistencia Legal del Sistema Interamericano de Derechos Humanos”, artículo 1.1.</w:t>
      </w:r>
    </w:p>
  </w:footnote>
  <w:footnote w:id="332">
    <w:p w14:paraId="03022611" w14:textId="77777777" w:rsidR="003C025E" w:rsidRPr="00C079F5" w:rsidRDefault="003C025E" w:rsidP="00C079F5">
      <w:pPr>
        <w:pStyle w:val="FootnoteText"/>
        <w:rPr>
          <w:sz w:val="16"/>
          <w:szCs w:val="16"/>
        </w:rPr>
      </w:pPr>
      <w:r w:rsidRPr="00C079F5">
        <w:rPr>
          <w:rStyle w:val="FootnoteReference"/>
          <w:sz w:val="16"/>
          <w:szCs w:val="16"/>
        </w:rPr>
        <w:footnoteRef/>
      </w:r>
      <w:r w:rsidRPr="00C079F5">
        <w:rPr>
          <w:sz w:val="16"/>
          <w:szCs w:val="16"/>
        </w:rPr>
        <w:t xml:space="preserve"> </w:t>
      </w:r>
      <w:r>
        <w:rPr>
          <w:sz w:val="16"/>
          <w:szCs w:val="16"/>
        </w:rPr>
        <w:tab/>
      </w:r>
      <w:r w:rsidRPr="00062586">
        <w:rPr>
          <w:bCs/>
          <w:i/>
          <w:sz w:val="16"/>
          <w:szCs w:val="16"/>
        </w:rPr>
        <w:t>Cfr.</w:t>
      </w:r>
      <w:r w:rsidRPr="00C079F5">
        <w:rPr>
          <w:bCs/>
          <w:sz w:val="16"/>
          <w:szCs w:val="16"/>
        </w:rPr>
        <w:t xml:space="preserve"> </w:t>
      </w:r>
      <w:r w:rsidRPr="00C079F5">
        <w:rPr>
          <w:bCs/>
          <w:i/>
          <w:sz w:val="16"/>
          <w:szCs w:val="16"/>
        </w:rPr>
        <w:t>Caso Poblete Vilches y otros Vs. Chile.</w:t>
      </w:r>
      <w:r w:rsidRPr="00C079F5">
        <w:rPr>
          <w:bCs/>
          <w:sz w:val="16"/>
          <w:szCs w:val="16"/>
        </w:rPr>
        <w:t xml:space="preserve"> Convocatoria de audiencia. Resolución del Presidente de la Corte Interamericana de Derechos Humanos de 21 de septiembre de 2017, párr. 21.</w:t>
      </w:r>
    </w:p>
  </w:footnote>
  <w:footnote w:id="333">
    <w:p w14:paraId="47935A91" w14:textId="1A55F338" w:rsidR="003C025E" w:rsidRPr="00201CC4" w:rsidRDefault="003C025E">
      <w:pPr>
        <w:pStyle w:val="FootnoteText"/>
      </w:pPr>
      <w:r w:rsidRPr="00B1523A">
        <w:rPr>
          <w:rStyle w:val="FootnoteReference"/>
          <w:sz w:val="16"/>
          <w:szCs w:val="16"/>
        </w:rPr>
        <w:footnoteRef/>
      </w:r>
      <w:r w:rsidRPr="00B1523A">
        <w:rPr>
          <w:rStyle w:val="FootnoteReference"/>
          <w:sz w:val="16"/>
          <w:szCs w:val="16"/>
        </w:rPr>
        <w:t xml:space="preserve"> </w:t>
      </w:r>
      <w:r>
        <w:rPr>
          <w:sz w:val="16"/>
          <w:szCs w:val="16"/>
        </w:rPr>
        <w:t xml:space="preserve">        (Expediente de fondo, </w:t>
      </w:r>
      <w:proofErr w:type="spellStart"/>
      <w:r>
        <w:rPr>
          <w:sz w:val="16"/>
          <w:szCs w:val="16"/>
        </w:rPr>
        <w:t>ff</w:t>
      </w:r>
      <w:proofErr w:type="spellEnd"/>
      <w:r>
        <w:rPr>
          <w:sz w:val="16"/>
          <w:szCs w:val="16"/>
        </w:rPr>
        <w:t>. 1327 a 1328).</w:t>
      </w:r>
    </w:p>
  </w:footnote>
  <w:footnote w:id="334">
    <w:p w14:paraId="047B0A5C" w14:textId="5E2C8E73" w:rsidR="003C025E" w:rsidRPr="00C079F5" w:rsidRDefault="003C025E" w:rsidP="00945DAA">
      <w:pPr>
        <w:pStyle w:val="FootnoteText"/>
        <w:rPr>
          <w:sz w:val="16"/>
          <w:szCs w:val="16"/>
          <w:lang w:val="es-MX"/>
        </w:rPr>
      </w:pPr>
      <w:r w:rsidRPr="00C079F5">
        <w:rPr>
          <w:rStyle w:val="FootnoteReference"/>
          <w:sz w:val="16"/>
          <w:szCs w:val="16"/>
        </w:rPr>
        <w:footnoteRef/>
      </w:r>
      <w:r w:rsidRPr="00C079F5">
        <w:rPr>
          <w:sz w:val="16"/>
          <w:szCs w:val="16"/>
        </w:rPr>
        <w:t xml:space="preserve"> </w:t>
      </w:r>
      <w:r>
        <w:rPr>
          <w:sz w:val="16"/>
          <w:szCs w:val="16"/>
        </w:rPr>
        <w:t xml:space="preserve">     </w:t>
      </w:r>
      <w:r w:rsidRPr="00C079F5">
        <w:rPr>
          <w:sz w:val="16"/>
          <w:szCs w:val="16"/>
          <w:lang w:val="es-MX"/>
        </w:rPr>
        <w:t xml:space="preserve">El monto requerido corresponde al: i) los boletos aéreos de las defensoras y declarantes en audiencia por el monto de USD 6,977.45 (seis mil novecientos setenta y siete dólares de los Estados Unidos de América), ii) viáticos por el monto de USD 2,893.00 (dos mil ochocientos noventa y tres dólares de los Estados Unidos de América), iii) gastos terminales por transporte por el monto de USD 570 (quinientos setenta dólares de los Estados Unidos de América), y iv) </w:t>
      </w:r>
      <w:r w:rsidRPr="00C079F5">
        <w:rPr>
          <w:i/>
          <w:sz w:val="16"/>
          <w:szCs w:val="16"/>
          <w:lang w:val="es-MX"/>
        </w:rPr>
        <w:t>affidávit</w:t>
      </w:r>
      <w:r w:rsidRPr="00C079F5">
        <w:rPr>
          <w:sz w:val="16"/>
          <w:szCs w:val="16"/>
          <w:lang w:val="es-MX"/>
        </w:rPr>
        <w:t xml:space="preserve"> por el monto de USD 499</w:t>
      </w:r>
      <w:r>
        <w:rPr>
          <w:sz w:val="16"/>
          <w:szCs w:val="16"/>
          <w:lang w:val="es-MX"/>
        </w:rPr>
        <w:t>,48</w:t>
      </w:r>
      <w:r w:rsidRPr="00C079F5">
        <w:rPr>
          <w:sz w:val="16"/>
          <w:szCs w:val="16"/>
          <w:lang w:val="es-MX"/>
        </w:rPr>
        <w:t xml:space="preserve"> (cuatrocientos noventa y nueve dólares de </w:t>
      </w:r>
      <w:r>
        <w:rPr>
          <w:sz w:val="16"/>
          <w:szCs w:val="16"/>
          <w:lang w:val="es-MX"/>
        </w:rPr>
        <w:t>los Estados Unidos de América).</w:t>
      </w:r>
    </w:p>
  </w:footnote>
  <w:footnote w:id="335">
    <w:p w14:paraId="7F491707" w14:textId="3AAE37D1" w:rsidR="003C025E" w:rsidRPr="00C079F5" w:rsidRDefault="003C025E" w:rsidP="00945DAA">
      <w:pPr>
        <w:pStyle w:val="FootnoteText"/>
        <w:rPr>
          <w:sz w:val="16"/>
          <w:szCs w:val="16"/>
          <w:lang w:val="es-MX"/>
        </w:rPr>
      </w:pPr>
      <w:r w:rsidRPr="00C079F5">
        <w:rPr>
          <w:rStyle w:val="FootnoteReference"/>
          <w:sz w:val="16"/>
          <w:szCs w:val="16"/>
        </w:rPr>
        <w:footnoteRef/>
      </w:r>
      <w:r w:rsidRPr="00C079F5">
        <w:rPr>
          <w:sz w:val="16"/>
          <w:szCs w:val="16"/>
          <w:lang w:val="es-MX"/>
        </w:rPr>
        <w:t xml:space="preserve"> </w:t>
      </w:r>
      <w:r w:rsidRPr="00C079F5">
        <w:rPr>
          <w:sz w:val="16"/>
          <w:szCs w:val="16"/>
          <w:lang w:val="es-MX"/>
        </w:rPr>
        <w:tab/>
      </w:r>
      <w:r w:rsidRPr="007D42DC">
        <w:rPr>
          <w:sz w:val="16"/>
          <w:szCs w:val="16"/>
          <w:lang w:val="es-MX"/>
        </w:rPr>
        <w:t xml:space="preserve">El monto requerido corresponde al: i) boletos aéreos por el monto de USD 6,977.45 (seis mil novecientos setenta y siete dólares de los Estados Unidos de América con cuarenta y cinco centavos), ii) viáticos por el monto de USD 2,893.00 (dos mil ochocientos noventa y tres dólares de los Estados Unidos de América), iii) gastos terminales por transporte por el monto de USD 570.00 (quinientos setenta dólares de los Estados Unidos de América), y iv) gastos de </w:t>
      </w:r>
      <w:r w:rsidRPr="007D42DC">
        <w:rPr>
          <w:i/>
          <w:sz w:val="16"/>
          <w:szCs w:val="16"/>
          <w:lang w:val="es-MX"/>
        </w:rPr>
        <w:t>affidávit</w:t>
      </w:r>
      <w:r w:rsidRPr="007D42DC">
        <w:rPr>
          <w:sz w:val="16"/>
          <w:szCs w:val="16"/>
          <w:lang w:val="es-MX"/>
        </w:rPr>
        <w:t xml:space="preserve"> por el monto de USD 499.48 (cuatrocientos noventa y nueve dólares de los Estados Unidos de América con cuarenta y ocho centavos) (expediente de fondo, f. 1328).</w:t>
      </w:r>
    </w:p>
  </w:footnote>
  <w:footnote w:id="336">
    <w:p w14:paraId="320573CE" w14:textId="49CB6A6F" w:rsidR="003C025E" w:rsidRPr="009E6ED2" w:rsidRDefault="003C025E" w:rsidP="00C079F5">
      <w:pPr>
        <w:pStyle w:val="FootnoteText"/>
        <w:rPr>
          <w:lang w:val="es-MX"/>
        </w:rPr>
      </w:pPr>
      <w:r w:rsidRPr="00C079F5">
        <w:rPr>
          <w:rStyle w:val="FootnoteReference"/>
          <w:sz w:val="16"/>
          <w:szCs w:val="16"/>
        </w:rPr>
        <w:footnoteRef/>
      </w:r>
      <w:r w:rsidRPr="00C079F5">
        <w:rPr>
          <w:sz w:val="16"/>
          <w:szCs w:val="16"/>
          <w:lang w:val="es-MX"/>
        </w:rPr>
        <w:t xml:space="preserve"> </w:t>
      </w:r>
      <w:r w:rsidRPr="00C079F5">
        <w:rPr>
          <w:sz w:val="16"/>
          <w:szCs w:val="16"/>
          <w:lang w:val="es-MX"/>
        </w:rPr>
        <w:tab/>
      </w:r>
      <w:r>
        <w:rPr>
          <w:sz w:val="16"/>
          <w:szCs w:val="16"/>
          <w:lang w:val="es-MX"/>
        </w:rPr>
        <w:t>Mediante comunicación de 6 de febrero de 2018 el Estado indicó que no tenía observaciones al Informe de erogaciones del Fondo de Asistencia (expediente de fondo, f</w:t>
      </w:r>
      <w:r w:rsidRPr="00C079F5">
        <w:rPr>
          <w:sz w:val="16"/>
          <w:szCs w:val="16"/>
          <w:lang w:val="es-MX"/>
        </w:rPr>
        <w:t xml:space="preserve">. </w:t>
      </w:r>
      <w:r>
        <w:rPr>
          <w:sz w:val="16"/>
          <w:szCs w:val="16"/>
          <w:lang w:val="es-MX"/>
        </w:rPr>
        <w:t>1382</w:t>
      </w:r>
      <w:r w:rsidRPr="00C079F5">
        <w:rPr>
          <w:sz w:val="16"/>
          <w:szCs w:val="16"/>
          <w:lang w:val="es-MX"/>
        </w:rPr>
        <w:t>).</w:t>
      </w:r>
    </w:p>
  </w:footnote>
  <w:footnote w:id="337">
    <w:p w14:paraId="194BD0D6" w14:textId="77777777" w:rsidR="00B370D2" w:rsidRPr="00B370D2" w:rsidRDefault="00B370D2" w:rsidP="00B370D2">
      <w:pPr>
        <w:pStyle w:val="FootnoteText"/>
        <w:rPr>
          <w:b/>
          <w:bCs/>
          <w:color w:val="000000"/>
          <w:sz w:val="16"/>
          <w:szCs w:val="16"/>
          <w:shd w:val="clear" w:color="auto" w:fill="FFFFFF"/>
        </w:rPr>
      </w:pPr>
      <w:r w:rsidRPr="00A71CD3">
        <w:rPr>
          <w:rStyle w:val="FootnoteReference"/>
          <w:sz w:val="16"/>
          <w:szCs w:val="16"/>
        </w:rPr>
        <w:footnoteRef/>
      </w:r>
      <w:r w:rsidRPr="00A71CD3">
        <w:rPr>
          <w:sz w:val="16"/>
          <w:szCs w:val="16"/>
        </w:rPr>
        <w:t xml:space="preserve"> </w:t>
      </w:r>
      <w:r w:rsidRPr="00A71CD3">
        <w:rPr>
          <w:b/>
          <w:sz w:val="16"/>
          <w:szCs w:val="16"/>
        </w:rPr>
        <w:tab/>
      </w:r>
      <w:r w:rsidRPr="00B370D2">
        <w:rPr>
          <w:rStyle w:val="Strong"/>
          <w:b w:val="0"/>
          <w:i/>
          <w:color w:val="000000"/>
          <w:sz w:val="16"/>
          <w:szCs w:val="16"/>
          <w:shd w:val="clear" w:color="auto" w:fill="FFFFFF"/>
        </w:rPr>
        <w:t>Caso Lagos del Campo Vs. Perú.</w:t>
      </w:r>
      <w:r w:rsidRPr="00A71CD3">
        <w:rPr>
          <w:rStyle w:val="Strong"/>
          <w:i/>
          <w:color w:val="000000"/>
          <w:sz w:val="16"/>
          <w:szCs w:val="16"/>
          <w:shd w:val="clear" w:color="auto" w:fill="FFFFFF"/>
        </w:rPr>
        <w:t xml:space="preserve"> </w:t>
      </w:r>
      <w:r w:rsidRPr="00A71CD3">
        <w:rPr>
          <w:bCs/>
          <w:i/>
          <w:color w:val="000000"/>
          <w:sz w:val="16"/>
          <w:szCs w:val="16"/>
          <w:shd w:val="clear" w:color="auto" w:fill="FFFFFF"/>
        </w:rPr>
        <w:t xml:space="preserve">Excepciones Preliminares, Fondo, Reparaciones y Costas. </w:t>
      </w:r>
      <w:r w:rsidRPr="004C1688">
        <w:rPr>
          <w:bCs/>
          <w:color w:val="000000"/>
          <w:sz w:val="16"/>
          <w:szCs w:val="16"/>
          <w:shd w:val="clear" w:color="auto" w:fill="FFFFFF"/>
        </w:rPr>
        <w:t>Sentencia de 31 de agosto de 2017. Serie C No. 340</w:t>
      </w:r>
      <w:r w:rsidRPr="00B370D2">
        <w:rPr>
          <w:b/>
          <w:bCs/>
          <w:color w:val="000000"/>
          <w:sz w:val="16"/>
          <w:szCs w:val="16"/>
          <w:shd w:val="clear" w:color="auto" w:fill="FFFFFF"/>
        </w:rPr>
        <w:t>.</w:t>
      </w:r>
      <w:r w:rsidRPr="00B370D2">
        <w:rPr>
          <w:b/>
          <w:bCs/>
          <w:i/>
          <w:color w:val="000000"/>
          <w:sz w:val="16"/>
          <w:szCs w:val="16"/>
          <w:shd w:val="clear" w:color="auto" w:fill="FFFFFF"/>
        </w:rPr>
        <w:t xml:space="preserve"> </w:t>
      </w:r>
      <w:r w:rsidRPr="00B370D2">
        <w:rPr>
          <w:rStyle w:val="Strong"/>
          <w:b w:val="0"/>
          <w:color w:val="000000"/>
          <w:sz w:val="16"/>
          <w:szCs w:val="16"/>
          <w:shd w:val="clear" w:color="auto" w:fill="FFFFFF"/>
        </w:rPr>
        <w:t xml:space="preserve">Voto parcialmente disidente del Juez Antonio Humberto Sierra Porto. </w:t>
      </w:r>
    </w:p>
  </w:footnote>
  <w:footnote w:id="338">
    <w:p w14:paraId="0C975692" w14:textId="77777777" w:rsidR="00B370D2" w:rsidRPr="00B370D2" w:rsidRDefault="00B370D2" w:rsidP="00B370D2">
      <w:pPr>
        <w:pStyle w:val="FootnoteText"/>
        <w:rPr>
          <w:rFonts w:eastAsia="Calibri"/>
          <w:b/>
          <w:bCs/>
          <w:color w:val="000000"/>
          <w:sz w:val="16"/>
          <w:szCs w:val="16"/>
          <w:shd w:val="clear" w:color="auto" w:fill="FFFFFF"/>
        </w:rPr>
      </w:pPr>
      <w:r w:rsidRPr="00A71CD3">
        <w:rPr>
          <w:rStyle w:val="FootnoteReference"/>
          <w:sz w:val="16"/>
          <w:szCs w:val="16"/>
        </w:rPr>
        <w:footnoteRef/>
      </w:r>
      <w:r w:rsidRPr="00A71CD3">
        <w:rPr>
          <w:sz w:val="16"/>
          <w:szCs w:val="16"/>
        </w:rPr>
        <w:t xml:space="preserve"> </w:t>
      </w:r>
      <w:r w:rsidRPr="00A71CD3">
        <w:rPr>
          <w:i/>
          <w:sz w:val="16"/>
          <w:szCs w:val="16"/>
        </w:rPr>
        <w:tab/>
      </w:r>
      <w:r w:rsidRPr="00A71CD3">
        <w:rPr>
          <w:bCs/>
          <w:i/>
          <w:sz w:val="16"/>
          <w:szCs w:val="16"/>
        </w:rPr>
        <w:t xml:space="preserve">Caso Trabajadores Cesados de Petroperú y otros Vs. Perú. Excepciones Preliminares, Fondo, Reparaciones y Costas. </w:t>
      </w:r>
      <w:r w:rsidRPr="004C1688">
        <w:rPr>
          <w:bCs/>
          <w:sz w:val="16"/>
          <w:szCs w:val="16"/>
        </w:rPr>
        <w:t>Sentencia de 23 de noviembre de 2017. Serie C No. 344</w:t>
      </w:r>
      <w:r w:rsidRPr="00B370D2">
        <w:rPr>
          <w:b/>
          <w:bCs/>
          <w:i/>
          <w:sz w:val="16"/>
          <w:szCs w:val="16"/>
        </w:rPr>
        <w:t>.</w:t>
      </w:r>
      <w:r w:rsidRPr="00B370D2">
        <w:rPr>
          <w:b/>
          <w:bCs/>
          <w:sz w:val="16"/>
          <w:szCs w:val="16"/>
        </w:rPr>
        <w:t xml:space="preserve"> </w:t>
      </w:r>
      <w:r w:rsidRPr="00B370D2">
        <w:rPr>
          <w:rStyle w:val="Strong"/>
          <w:b w:val="0"/>
          <w:color w:val="000000"/>
          <w:sz w:val="16"/>
          <w:szCs w:val="16"/>
          <w:shd w:val="clear" w:color="auto" w:fill="FFFFFF"/>
        </w:rPr>
        <w:t xml:space="preserve">Voto parcialmente disidente del Juez Antonio Humberto Sierra Porto. </w:t>
      </w:r>
    </w:p>
  </w:footnote>
  <w:footnote w:id="339">
    <w:p w14:paraId="24E0D4B1" w14:textId="77777777" w:rsidR="00B370D2" w:rsidRPr="00B370D2" w:rsidRDefault="00B370D2" w:rsidP="00B370D2">
      <w:pPr>
        <w:pStyle w:val="FootnoteText"/>
        <w:rPr>
          <w:b/>
          <w:sz w:val="16"/>
          <w:szCs w:val="16"/>
        </w:rPr>
      </w:pPr>
      <w:r w:rsidRPr="00B370D2">
        <w:rPr>
          <w:rStyle w:val="FootnoteReference"/>
          <w:b/>
          <w:sz w:val="16"/>
          <w:szCs w:val="16"/>
        </w:rPr>
        <w:footnoteRef/>
      </w:r>
      <w:r w:rsidRPr="00B370D2">
        <w:rPr>
          <w:b/>
          <w:sz w:val="16"/>
          <w:szCs w:val="16"/>
        </w:rPr>
        <w:t xml:space="preserve"> </w:t>
      </w:r>
      <w:r w:rsidRPr="00B370D2">
        <w:rPr>
          <w:b/>
          <w:sz w:val="16"/>
          <w:szCs w:val="16"/>
        </w:rPr>
        <w:tab/>
      </w:r>
      <w:r w:rsidRPr="00B370D2">
        <w:rPr>
          <w:rStyle w:val="Strong"/>
          <w:b w:val="0"/>
          <w:i/>
          <w:color w:val="000000"/>
          <w:sz w:val="16"/>
          <w:szCs w:val="16"/>
          <w:shd w:val="clear" w:color="auto" w:fill="FFFFFF"/>
        </w:rPr>
        <w:t>Caso San Miguel Sosa y otras Vs. Venezuela. Fondo, Reparaciones y Costas.</w:t>
      </w:r>
      <w:r w:rsidRPr="00B370D2">
        <w:rPr>
          <w:rStyle w:val="Strong"/>
          <w:b w:val="0"/>
          <w:color w:val="000000"/>
          <w:sz w:val="16"/>
          <w:szCs w:val="16"/>
          <w:shd w:val="clear" w:color="auto" w:fill="FFFFFF"/>
        </w:rPr>
        <w:t xml:space="preserve"> Sentencia de 8 de febrero de 2018. Serie C No. 348. Voto parcialmente disidente del Juez Humberto A. Sierra Porto.</w:t>
      </w:r>
    </w:p>
  </w:footnote>
  <w:footnote w:id="340">
    <w:p w14:paraId="604C3FDF" w14:textId="77777777" w:rsidR="00B370D2" w:rsidRPr="00B370D2" w:rsidRDefault="00B370D2" w:rsidP="00B370D2">
      <w:pPr>
        <w:pStyle w:val="FootnoteText"/>
        <w:rPr>
          <w:b/>
          <w:bCs/>
          <w:color w:val="000000"/>
          <w:sz w:val="16"/>
          <w:szCs w:val="16"/>
          <w:shd w:val="clear" w:color="auto" w:fill="FFFFFF"/>
        </w:rPr>
      </w:pPr>
      <w:r w:rsidRPr="00A71CD3">
        <w:rPr>
          <w:rStyle w:val="FootnoteReference"/>
          <w:sz w:val="16"/>
          <w:szCs w:val="16"/>
        </w:rPr>
        <w:footnoteRef/>
      </w:r>
      <w:r w:rsidRPr="00A71CD3">
        <w:rPr>
          <w:b/>
          <w:sz w:val="16"/>
          <w:szCs w:val="16"/>
        </w:rPr>
        <w:t xml:space="preserve"> </w:t>
      </w:r>
      <w:r w:rsidRPr="00A71CD3">
        <w:rPr>
          <w:b/>
          <w:sz w:val="16"/>
          <w:szCs w:val="16"/>
          <w:lang w:val="es-CR"/>
        </w:rPr>
        <w:tab/>
      </w:r>
      <w:r w:rsidRPr="00B370D2">
        <w:rPr>
          <w:rStyle w:val="Strong"/>
          <w:b w:val="0"/>
          <w:i/>
          <w:color w:val="000000"/>
          <w:sz w:val="16"/>
          <w:szCs w:val="16"/>
          <w:shd w:val="clear" w:color="auto" w:fill="FFFFFF"/>
        </w:rPr>
        <w:t xml:space="preserve">Caso Gonzales </w:t>
      </w:r>
      <w:proofErr w:type="spellStart"/>
      <w:r w:rsidRPr="00B370D2">
        <w:rPr>
          <w:rStyle w:val="Strong"/>
          <w:b w:val="0"/>
          <w:i/>
          <w:color w:val="000000"/>
          <w:sz w:val="16"/>
          <w:szCs w:val="16"/>
          <w:shd w:val="clear" w:color="auto" w:fill="FFFFFF"/>
        </w:rPr>
        <w:t>Lluy</w:t>
      </w:r>
      <w:proofErr w:type="spellEnd"/>
      <w:r w:rsidRPr="00B370D2">
        <w:rPr>
          <w:rStyle w:val="Strong"/>
          <w:b w:val="0"/>
          <w:i/>
          <w:color w:val="000000"/>
          <w:sz w:val="16"/>
          <w:szCs w:val="16"/>
          <w:shd w:val="clear" w:color="auto" w:fill="FFFFFF"/>
        </w:rPr>
        <w:t xml:space="preserve"> y otros Vs. Ecuador.</w:t>
      </w:r>
      <w:r w:rsidRPr="00A71CD3">
        <w:rPr>
          <w:rStyle w:val="Strong"/>
          <w:i/>
          <w:color w:val="000000"/>
          <w:sz w:val="16"/>
          <w:szCs w:val="16"/>
          <w:shd w:val="clear" w:color="auto" w:fill="FFFFFF"/>
        </w:rPr>
        <w:t xml:space="preserve"> </w:t>
      </w:r>
      <w:r w:rsidRPr="00A71CD3">
        <w:rPr>
          <w:bCs/>
          <w:i/>
          <w:color w:val="000000"/>
          <w:sz w:val="16"/>
          <w:szCs w:val="16"/>
          <w:shd w:val="clear" w:color="auto" w:fill="FFFFFF"/>
        </w:rPr>
        <w:t xml:space="preserve">Excepciones Preliminares, Fondo, Reparaciones y Costas. </w:t>
      </w:r>
      <w:r w:rsidRPr="004C1688">
        <w:rPr>
          <w:bCs/>
          <w:color w:val="000000"/>
          <w:sz w:val="16"/>
          <w:szCs w:val="16"/>
          <w:shd w:val="clear" w:color="auto" w:fill="FFFFFF"/>
        </w:rPr>
        <w:t>Sentencia de 1 de septiembre de 2015. Serie C No. 298</w:t>
      </w:r>
      <w:r w:rsidRPr="00B370D2">
        <w:rPr>
          <w:b/>
          <w:bCs/>
          <w:color w:val="000000"/>
          <w:sz w:val="16"/>
          <w:szCs w:val="16"/>
          <w:shd w:val="clear" w:color="auto" w:fill="FFFFFF"/>
        </w:rPr>
        <w:t>.</w:t>
      </w:r>
      <w:r w:rsidRPr="00B370D2">
        <w:rPr>
          <w:rStyle w:val="Strong"/>
          <w:b w:val="0"/>
          <w:color w:val="000000"/>
          <w:sz w:val="16"/>
          <w:szCs w:val="16"/>
          <w:shd w:val="clear" w:color="auto" w:fill="FFFFFF"/>
        </w:rPr>
        <w:t xml:space="preserve"> Voto Concurrente del Juez Humberto Antonio Sierra Porto. </w:t>
      </w:r>
    </w:p>
  </w:footnote>
  <w:footnote w:id="341">
    <w:p w14:paraId="683B4957" w14:textId="77777777" w:rsidR="00B370D2" w:rsidRPr="00A71CD3" w:rsidRDefault="00B370D2" w:rsidP="00B370D2">
      <w:pPr>
        <w:pStyle w:val="FootnoteText"/>
        <w:rPr>
          <w:sz w:val="16"/>
          <w:szCs w:val="16"/>
        </w:rPr>
      </w:pPr>
      <w:r w:rsidRPr="00A71CD3">
        <w:rPr>
          <w:rStyle w:val="FootnoteReference"/>
          <w:sz w:val="16"/>
          <w:szCs w:val="16"/>
        </w:rPr>
        <w:footnoteRef/>
      </w:r>
      <w:r w:rsidRPr="00A71CD3">
        <w:rPr>
          <w:sz w:val="16"/>
          <w:szCs w:val="16"/>
        </w:rPr>
        <w:t xml:space="preserve"> </w:t>
      </w:r>
      <w:r w:rsidRPr="00A71CD3">
        <w:rPr>
          <w:sz w:val="16"/>
          <w:szCs w:val="16"/>
        </w:rPr>
        <w:tab/>
      </w:r>
      <w:r w:rsidRPr="00B370D2">
        <w:rPr>
          <w:rStyle w:val="Strong"/>
          <w:b w:val="0"/>
          <w:i/>
          <w:color w:val="000000"/>
          <w:sz w:val="16"/>
          <w:szCs w:val="16"/>
          <w:shd w:val="clear" w:color="auto" w:fill="FFFFFF"/>
        </w:rPr>
        <w:t>Caso Lagos del Campo Vs. Perú.</w:t>
      </w:r>
      <w:r w:rsidRPr="00A71CD3">
        <w:rPr>
          <w:rStyle w:val="Strong"/>
          <w:i/>
          <w:color w:val="000000"/>
          <w:sz w:val="16"/>
          <w:szCs w:val="16"/>
          <w:shd w:val="clear" w:color="auto" w:fill="FFFFFF"/>
        </w:rPr>
        <w:t xml:space="preserve"> </w:t>
      </w:r>
      <w:r w:rsidRPr="00A71CD3">
        <w:rPr>
          <w:bCs/>
          <w:i/>
          <w:color w:val="000000"/>
          <w:sz w:val="16"/>
          <w:szCs w:val="16"/>
          <w:shd w:val="clear" w:color="auto" w:fill="FFFFFF"/>
        </w:rPr>
        <w:t xml:space="preserve">Excepciones Preliminares, Fondo, Reparaciones y Costas. </w:t>
      </w:r>
      <w:r w:rsidRPr="00D728B1">
        <w:rPr>
          <w:bCs/>
          <w:color w:val="000000"/>
          <w:sz w:val="16"/>
          <w:szCs w:val="16"/>
          <w:shd w:val="clear" w:color="auto" w:fill="FFFFFF"/>
        </w:rPr>
        <w:t>Sentencia de 31 de agosto de 2017. Serie C No. 340. Voto parcialmente disidente del Juez Humberto A. Sierra Porto</w:t>
      </w:r>
      <w:r w:rsidRPr="00A71CD3">
        <w:rPr>
          <w:bCs/>
          <w:i/>
          <w:color w:val="000000"/>
          <w:sz w:val="16"/>
          <w:szCs w:val="16"/>
          <w:shd w:val="clear" w:color="auto" w:fill="FFFFFF"/>
        </w:rPr>
        <w:t xml:space="preserve">; y Caso Trabajadores Cesados de Petroperú y otros Vs. Perú. Excepciones Preliminares, Fondo, Reparaciones y Costas. </w:t>
      </w:r>
      <w:r w:rsidRPr="00D728B1">
        <w:rPr>
          <w:bCs/>
          <w:color w:val="000000"/>
          <w:sz w:val="16"/>
          <w:szCs w:val="16"/>
          <w:shd w:val="clear" w:color="auto" w:fill="FFFFFF"/>
        </w:rPr>
        <w:t>Sentencia de 23 de noviembre de 2017. Serie C No. 344. Voto parcialmente disidente del Juez Humberto A. Sierra Porto.</w:t>
      </w:r>
    </w:p>
  </w:footnote>
  <w:footnote w:id="342">
    <w:p w14:paraId="45798E0F" w14:textId="77777777" w:rsidR="00B370D2" w:rsidRPr="00B370D2" w:rsidRDefault="00B370D2" w:rsidP="00B370D2">
      <w:pPr>
        <w:pStyle w:val="FootnoteText"/>
        <w:rPr>
          <w:b/>
          <w:sz w:val="16"/>
          <w:szCs w:val="16"/>
        </w:rPr>
      </w:pPr>
      <w:r w:rsidRPr="00A71CD3">
        <w:rPr>
          <w:rStyle w:val="FootnoteReference"/>
          <w:sz w:val="16"/>
          <w:szCs w:val="16"/>
        </w:rPr>
        <w:footnoteRef/>
      </w:r>
      <w:r w:rsidRPr="00A71CD3">
        <w:rPr>
          <w:sz w:val="16"/>
          <w:szCs w:val="16"/>
        </w:rPr>
        <w:t xml:space="preserve"> </w:t>
      </w:r>
      <w:r w:rsidRPr="00A71CD3">
        <w:rPr>
          <w:sz w:val="16"/>
          <w:szCs w:val="16"/>
        </w:rPr>
        <w:tab/>
      </w:r>
      <w:r w:rsidRPr="00B370D2">
        <w:rPr>
          <w:rStyle w:val="Strong"/>
          <w:b w:val="0"/>
          <w:i/>
          <w:color w:val="000000"/>
          <w:sz w:val="16"/>
          <w:szCs w:val="16"/>
          <w:shd w:val="clear" w:color="auto" w:fill="FFFFFF"/>
        </w:rPr>
        <w:t xml:space="preserve">Caso Lagos del Campo Vs. Perú. </w:t>
      </w:r>
      <w:r w:rsidRPr="00A71CD3">
        <w:rPr>
          <w:bCs/>
          <w:i/>
          <w:color w:val="000000"/>
          <w:sz w:val="16"/>
          <w:szCs w:val="16"/>
          <w:shd w:val="clear" w:color="auto" w:fill="FFFFFF"/>
        </w:rPr>
        <w:t xml:space="preserve">Excepciones Preliminares, Fondo, Reparaciones y Costas. </w:t>
      </w:r>
      <w:r w:rsidRPr="0092660F">
        <w:rPr>
          <w:bCs/>
          <w:color w:val="000000"/>
          <w:sz w:val="16"/>
          <w:szCs w:val="16"/>
          <w:shd w:val="clear" w:color="auto" w:fill="FFFFFF"/>
        </w:rPr>
        <w:t xml:space="preserve">Sentencia de 31 de agosto de 2017. </w:t>
      </w:r>
      <w:r w:rsidRPr="00647211">
        <w:rPr>
          <w:bCs/>
          <w:color w:val="000000"/>
          <w:sz w:val="16"/>
          <w:szCs w:val="16"/>
          <w:shd w:val="clear" w:color="auto" w:fill="FFFFFF"/>
        </w:rPr>
        <w:t>Serie C No. 340</w:t>
      </w:r>
      <w:r w:rsidRPr="00B370D2">
        <w:rPr>
          <w:b/>
          <w:bCs/>
          <w:color w:val="000000"/>
          <w:sz w:val="16"/>
          <w:szCs w:val="16"/>
          <w:shd w:val="clear" w:color="auto" w:fill="FFFFFF"/>
        </w:rPr>
        <w:t>.</w:t>
      </w:r>
      <w:r w:rsidRPr="00B370D2">
        <w:rPr>
          <w:b/>
          <w:bCs/>
          <w:i/>
          <w:color w:val="000000"/>
          <w:sz w:val="16"/>
          <w:szCs w:val="16"/>
          <w:shd w:val="clear" w:color="auto" w:fill="FFFFFF"/>
        </w:rPr>
        <w:t xml:space="preserve"> </w:t>
      </w:r>
      <w:r w:rsidRPr="00B370D2">
        <w:rPr>
          <w:rStyle w:val="Strong"/>
          <w:b w:val="0"/>
          <w:color w:val="000000"/>
          <w:sz w:val="16"/>
          <w:szCs w:val="16"/>
          <w:shd w:val="clear" w:color="auto" w:fill="FFFFFF"/>
        </w:rPr>
        <w:t>Voto parcialmente disidente del Juez Antonio Humberto Sierra Porto, párr. 9 y</w:t>
      </w:r>
      <w:r>
        <w:rPr>
          <w:rStyle w:val="Strong"/>
          <w:color w:val="000000"/>
          <w:sz w:val="16"/>
          <w:szCs w:val="16"/>
          <w:shd w:val="clear" w:color="auto" w:fill="FFFFFF"/>
        </w:rPr>
        <w:t xml:space="preserve"> </w:t>
      </w:r>
      <w:r w:rsidRPr="00A71CD3">
        <w:rPr>
          <w:bCs/>
          <w:i/>
          <w:sz w:val="16"/>
          <w:szCs w:val="16"/>
        </w:rPr>
        <w:t xml:space="preserve">Caso Gonzales </w:t>
      </w:r>
      <w:proofErr w:type="spellStart"/>
      <w:r w:rsidRPr="00A71CD3">
        <w:rPr>
          <w:bCs/>
          <w:i/>
          <w:sz w:val="16"/>
          <w:szCs w:val="16"/>
        </w:rPr>
        <w:t>Lluy</w:t>
      </w:r>
      <w:proofErr w:type="spellEnd"/>
      <w:r w:rsidRPr="00A71CD3">
        <w:rPr>
          <w:bCs/>
          <w:i/>
          <w:sz w:val="16"/>
          <w:szCs w:val="16"/>
        </w:rPr>
        <w:t xml:space="preserve"> y otros Vs. Ecuador. Excepciones Preliminares, Fondo, Reparaciones y Costas.</w:t>
      </w:r>
      <w:r w:rsidRPr="00A71CD3">
        <w:rPr>
          <w:bCs/>
          <w:sz w:val="16"/>
          <w:szCs w:val="16"/>
        </w:rPr>
        <w:t xml:space="preserve"> Sentencia de 1 de septiembre de 2015. Serie C No. 298</w:t>
      </w:r>
      <w:r w:rsidRPr="00B370D2">
        <w:rPr>
          <w:b/>
          <w:bCs/>
          <w:sz w:val="16"/>
          <w:szCs w:val="16"/>
        </w:rPr>
        <w:t xml:space="preserve">. </w:t>
      </w:r>
      <w:r w:rsidRPr="00B370D2">
        <w:rPr>
          <w:rStyle w:val="Strong"/>
          <w:b w:val="0"/>
          <w:color w:val="000000"/>
          <w:sz w:val="16"/>
          <w:szCs w:val="16"/>
          <w:shd w:val="clear" w:color="auto" w:fill="FFFFFF"/>
        </w:rPr>
        <w:t xml:space="preserve">Voto parcialmente disidente del Juez Antonio Humberto Sierra Porto, </w:t>
      </w:r>
      <w:proofErr w:type="spellStart"/>
      <w:r w:rsidRPr="00B370D2">
        <w:rPr>
          <w:rStyle w:val="Strong"/>
          <w:b w:val="0"/>
          <w:color w:val="000000"/>
          <w:sz w:val="16"/>
          <w:szCs w:val="16"/>
          <w:shd w:val="clear" w:color="auto" w:fill="FFFFFF"/>
        </w:rPr>
        <w:t>párrs</w:t>
      </w:r>
      <w:proofErr w:type="spellEnd"/>
      <w:r w:rsidRPr="00B370D2">
        <w:rPr>
          <w:rStyle w:val="Strong"/>
          <w:b w:val="0"/>
          <w:color w:val="000000"/>
          <w:sz w:val="16"/>
          <w:szCs w:val="16"/>
          <w:shd w:val="clear" w:color="auto" w:fill="FFFFFF"/>
        </w:rPr>
        <w:t>. 7 a 9</w:t>
      </w:r>
      <w:r w:rsidRPr="00B370D2">
        <w:rPr>
          <w:b/>
          <w:bCs/>
          <w:sz w:val="16"/>
          <w:szCs w:val="16"/>
        </w:rPr>
        <w:t>.</w:t>
      </w:r>
    </w:p>
  </w:footnote>
  <w:footnote w:id="343">
    <w:p w14:paraId="634BAE2A" w14:textId="77777777" w:rsidR="00B370D2" w:rsidRPr="00A71CD3" w:rsidRDefault="00B370D2" w:rsidP="00B370D2">
      <w:pPr>
        <w:pStyle w:val="FootnoteText"/>
        <w:rPr>
          <w:sz w:val="16"/>
          <w:szCs w:val="16"/>
        </w:rPr>
      </w:pPr>
      <w:r w:rsidRPr="00A71CD3">
        <w:rPr>
          <w:rStyle w:val="FootnoteReference"/>
          <w:sz w:val="16"/>
          <w:szCs w:val="16"/>
        </w:rPr>
        <w:footnoteRef/>
      </w:r>
      <w:r w:rsidRPr="00A71CD3">
        <w:rPr>
          <w:sz w:val="16"/>
          <w:szCs w:val="16"/>
        </w:rPr>
        <w:t xml:space="preserve"> </w:t>
      </w:r>
      <w:r w:rsidRPr="00A71CD3">
        <w:rPr>
          <w:sz w:val="16"/>
          <w:szCs w:val="16"/>
        </w:rPr>
        <w:tab/>
        <w:t xml:space="preserve">El </w:t>
      </w:r>
      <w:r w:rsidRPr="00A71CD3">
        <w:rPr>
          <w:i/>
          <w:sz w:val="16"/>
          <w:szCs w:val="16"/>
        </w:rPr>
        <w:t>Protocolo adicional a la Convención Americana sobre Derechos Humanos en materia de derechos económicos, sociales y culturales "Protocolo de San Salvador"</w:t>
      </w:r>
      <w:r w:rsidRPr="00A71CD3">
        <w:rPr>
          <w:sz w:val="16"/>
          <w:szCs w:val="16"/>
        </w:rPr>
        <w:t xml:space="preserve">, establece en el artículo 19.6 lo siguiente: </w:t>
      </w:r>
      <w:r w:rsidRPr="001D195B">
        <w:rPr>
          <w:sz w:val="16"/>
          <w:szCs w:val="16"/>
        </w:rPr>
        <w:t>“En el caso de que los derechos establecidos en el párrafo a) del artículo 8 y en el artículo 13 fuesen violados por una acción imputable directamente a un Estado Parte del presente Protocolo, tal situación podría dar lugar, mediante la participación de la Comisión Interamericana de Derechos Humanos, y cuando proceda de la Corte Interamericana de Derechos Humanos, a la aplicación del sistema de peticiones individuales regulado por los artículos 44 a 51 y 61 a 69 de la Convención Americana sobre Derechos Humanos.”</w:t>
      </w:r>
    </w:p>
  </w:footnote>
  <w:footnote w:id="344">
    <w:p w14:paraId="69655D7E" w14:textId="77777777" w:rsidR="00B370D2" w:rsidRPr="00BE7922" w:rsidRDefault="00B370D2" w:rsidP="00B370D2">
      <w:pPr>
        <w:pStyle w:val="FootnoteText"/>
        <w:rPr>
          <w:b/>
          <w:sz w:val="14"/>
          <w:szCs w:val="16"/>
        </w:rPr>
      </w:pPr>
      <w:r w:rsidRPr="00A71CD3">
        <w:rPr>
          <w:rStyle w:val="FootnoteReference"/>
          <w:sz w:val="16"/>
          <w:szCs w:val="16"/>
        </w:rPr>
        <w:footnoteRef/>
      </w:r>
      <w:r w:rsidRPr="00A71CD3">
        <w:rPr>
          <w:sz w:val="16"/>
          <w:szCs w:val="16"/>
        </w:rPr>
        <w:t xml:space="preserve"> </w:t>
      </w:r>
      <w:r w:rsidRPr="00A71CD3">
        <w:rPr>
          <w:sz w:val="16"/>
          <w:szCs w:val="16"/>
        </w:rPr>
        <w:tab/>
      </w:r>
      <w:r w:rsidRPr="00B370D2">
        <w:rPr>
          <w:rStyle w:val="Strong"/>
          <w:b w:val="0"/>
          <w:i/>
          <w:color w:val="000000"/>
          <w:sz w:val="16"/>
          <w:szCs w:val="16"/>
          <w:shd w:val="clear" w:color="auto" w:fill="FFFFFF"/>
        </w:rPr>
        <w:t>Caso Lagos del Campo Vs. Perú.</w:t>
      </w:r>
      <w:r w:rsidRPr="00A71CD3">
        <w:rPr>
          <w:rStyle w:val="Strong"/>
          <w:i/>
          <w:color w:val="000000"/>
          <w:sz w:val="16"/>
          <w:szCs w:val="16"/>
          <w:shd w:val="clear" w:color="auto" w:fill="FFFFFF"/>
        </w:rPr>
        <w:t xml:space="preserve"> </w:t>
      </w:r>
      <w:r w:rsidRPr="00A71CD3">
        <w:rPr>
          <w:bCs/>
          <w:i/>
          <w:color w:val="000000"/>
          <w:sz w:val="16"/>
          <w:szCs w:val="16"/>
          <w:shd w:val="clear" w:color="auto" w:fill="FFFFFF"/>
        </w:rPr>
        <w:t xml:space="preserve">Excepciones Preliminares, Fondo, Reparaciones y Costas. </w:t>
      </w:r>
      <w:r w:rsidRPr="004C1688">
        <w:rPr>
          <w:bCs/>
          <w:color w:val="000000"/>
          <w:sz w:val="16"/>
          <w:szCs w:val="16"/>
          <w:shd w:val="clear" w:color="auto" w:fill="FFFFFF"/>
        </w:rPr>
        <w:t>Sentencia de 31 de agosto de 2017. Serie C No. 340</w:t>
      </w:r>
      <w:r w:rsidRPr="00A71CD3">
        <w:rPr>
          <w:bCs/>
          <w:i/>
          <w:color w:val="000000"/>
          <w:sz w:val="16"/>
          <w:szCs w:val="16"/>
          <w:shd w:val="clear" w:color="auto" w:fill="FFFFFF"/>
        </w:rPr>
        <w:t xml:space="preserve">. </w:t>
      </w:r>
      <w:r w:rsidRPr="00B370D2">
        <w:rPr>
          <w:rStyle w:val="Strong"/>
          <w:b w:val="0"/>
          <w:color w:val="000000"/>
          <w:sz w:val="16"/>
          <w:szCs w:val="16"/>
          <w:shd w:val="clear" w:color="auto" w:fill="FFFFFF"/>
        </w:rPr>
        <w:t xml:space="preserve">Voto parcialmente disidente del Juez Antonio Humberto Sierra Porto, </w:t>
      </w:r>
      <w:proofErr w:type="spellStart"/>
      <w:r w:rsidRPr="00B370D2">
        <w:rPr>
          <w:rStyle w:val="Strong"/>
          <w:b w:val="0"/>
          <w:color w:val="000000"/>
          <w:sz w:val="16"/>
          <w:szCs w:val="16"/>
          <w:shd w:val="clear" w:color="auto" w:fill="FFFFFF"/>
        </w:rPr>
        <w:t>párrs</w:t>
      </w:r>
      <w:proofErr w:type="spellEnd"/>
      <w:r w:rsidRPr="00B370D2">
        <w:rPr>
          <w:rStyle w:val="Strong"/>
          <w:b w:val="0"/>
          <w:color w:val="000000"/>
          <w:sz w:val="16"/>
          <w:szCs w:val="16"/>
          <w:shd w:val="clear" w:color="auto" w:fill="FFFFFF"/>
        </w:rPr>
        <w:t>. 15 a 17</w:t>
      </w:r>
      <w:r w:rsidRPr="00BE7922">
        <w:rPr>
          <w:rStyle w:val="Strong"/>
          <w:b w:val="0"/>
          <w:color w:val="000000"/>
          <w:sz w:val="14"/>
          <w:szCs w:val="16"/>
          <w:shd w:val="clear" w:color="auto" w:fill="FFFFFF"/>
        </w:rPr>
        <w:t>.</w:t>
      </w:r>
    </w:p>
  </w:footnote>
  <w:footnote w:id="345">
    <w:p w14:paraId="70C09B9D" w14:textId="77777777" w:rsidR="00B370D2" w:rsidRPr="00A71CD3" w:rsidRDefault="00B370D2" w:rsidP="00B370D2">
      <w:pPr>
        <w:pStyle w:val="FootnoteText"/>
        <w:rPr>
          <w:sz w:val="16"/>
          <w:szCs w:val="16"/>
        </w:rPr>
      </w:pPr>
      <w:r w:rsidRPr="00A71CD3">
        <w:rPr>
          <w:rStyle w:val="FootnoteReference"/>
          <w:sz w:val="16"/>
          <w:szCs w:val="16"/>
        </w:rPr>
        <w:footnoteRef/>
      </w:r>
      <w:r w:rsidRPr="00A71CD3">
        <w:rPr>
          <w:sz w:val="16"/>
          <w:szCs w:val="16"/>
        </w:rPr>
        <w:t xml:space="preserve"> </w:t>
      </w:r>
      <w:r w:rsidRPr="00A71CD3">
        <w:rPr>
          <w:sz w:val="16"/>
          <w:szCs w:val="16"/>
        </w:rPr>
        <w:tab/>
      </w:r>
      <w:r w:rsidRPr="00A71CD3">
        <w:rPr>
          <w:bCs/>
          <w:i/>
          <w:sz w:val="16"/>
          <w:szCs w:val="16"/>
        </w:rPr>
        <w:t xml:space="preserve">Caso Gonzales </w:t>
      </w:r>
      <w:proofErr w:type="spellStart"/>
      <w:r w:rsidRPr="00A71CD3">
        <w:rPr>
          <w:bCs/>
          <w:i/>
          <w:sz w:val="16"/>
          <w:szCs w:val="16"/>
        </w:rPr>
        <w:t>Lluy</w:t>
      </w:r>
      <w:proofErr w:type="spellEnd"/>
      <w:r w:rsidRPr="00A71CD3">
        <w:rPr>
          <w:bCs/>
          <w:i/>
          <w:sz w:val="16"/>
          <w:szCs w:val="16"/>
        </w:rPr>
        <w:t xml:space="preserve"> y otros Vs. Ecuador. Excepciones Preliminares, Fondo, Reparaciones y Costas.</w:t>
      </w:r>
      <w:r w:rsidRPr="00A71CD3">
        <w:rPr>
          <w:bCs/>
          <w:sz w:val="16"/>
          <w:szCs w:val="16"/>
        </w:rPr>
        <w:t xml:space="preserve"> Sentencia de 1 de septiembre de 2015. Serie C No. 298</w:t>
      </w:r>
      <w:r>
        <w:rPr>
          <w:bCs/>
          <w:sz w:val="16"/>
          <w:szCs w:val="16"/>
        </w:rPr>
        <w:t xml:space="preserve">, </w:t>
      </w:r>
      <w:proofErr w:type="spellStart"/>
      <w:r>
        <w:rPr>
          <w:bCs/>
          <w:sz w:val="16"/>
          <w:szCs w:val="16"/>
        </w:rPr>
        <w:t>párrs</w:t>
      </w:r>
      <w:proofErr w:type="spellEnd"/>
      <w:r>
        <w:rPr>
          <w:bCs/>
          <w:sz w:val="16"/>
          <w:szCs w:val="16"/>
        </w:rPr>
        <w:t>. 191 y 229</w:t>
      </w:r>
      <w:r w:rsidRPr="00A71CD3">
        <w:rPr>
          <w:bCs/>
          <w:sz w:val="16"/>
          <w:szCs w:val="16"/>
        </w:rPr>
        <w:t xml:space="preserve">; </w:t>
      </w:r>
      <w:r w:rsidRPr="00B370D2">
        <w:rPr>
          <w:rStyle w:val="Strong"/>
          <w:b w:val="0"/>
          <w:i/>
          <w:color w:val="000000"/>
          <w:sz w:val="16"/>
          <w:szCs w:val="16"/>
          <w:shd w:val="clear" w:color="auto" w:fill="FFFFFF"/>
        </w:rPr>
        <w:t>Caso Suárez Peralta Vs. Ecuador. Excepciones Preliminares, Fondo, Reparaciones y Costas.</w:t>
      </w:r>
      <w:r w:rsidRPr="00B370D2">
        <w:rPr>
          <w:rStyle w:val="Strong"/>
          <w:b w:val="0"/>
          <w:color w:val="000000"/>
          <w:sz w:val="16"/>
          <w:szCs w:val="16"/>
          <w:shd w:val="clear" w:color="auto" w:fill="FFFFFF"/>
        </w:rPr>
        <w:t xml:space="preserve"> Sentencia de 21 de mayo de 2013. Serie C No. 57, 89 y 90; </w:t>
      </w:r>
      <w:r w:rsidRPr="00B370D2">
        <w:rPr>
          <w:rStyle w:val="Strong"/>
          <w:b w:val="0"/>
          <w:i/>
          <w:color w:val="000000"/>
          <w:sz w:val="16"/>
          <w:szCs w:val="16"/>
          <w:shd w:val="clear" w:color="auto" w:fill="FFFFFF"/>
        </w:rPr>
        <w:t>C</w:t>
      </w:r>
      <w:r w:rsidRPr="00A71CD3">
        <w:rPr>
          <w:bCs/>
          <w:i/>
          <w:color w:val="000000"/>
          <w:sz w:val="16"/>
          <w:szCs w:val="16"/>
          <w:shd w:val="clear" w:color="auto" w:fill="FFFFFF"/>
        </w:rPr>
        <w:t>aso Lagos del Campo Vs. Perú. Excepciones Preliminares, Fondo, Reparaciones y Costas.</w:t>
      </w:r>
      <w:r w:rsidRPr="00A71CD3">
        <w:rPr>
          <w:bCs/>
          <w:color w:val="000000"/>
          <w:sz w:val="16"/>
          <w:szCs w:val="16"/>
          <w:shd w:val="clear" w:color="auto" w:fill="FFFFFF"/>
        </w:rPr>
        <w:t xml:space="preserve"> Sentencia de 31 de agosto de 2017. Serie C No. 340</w:t>
      </w:r>
      <w:r w:rsidRPr="00B370D2">
        <w:rPr>
          <w:rStyle w:val="Strong"/>
          <w:b w:val="0"/>
          <w:color w:val="000000"/>
          <w:sz w:val="16"/>
          <w:szCs w:val="16"/>
          <w:shd w:val="clear" w:color="auto" w:fill="FFFFFF"/>
        </w:rPr>
        <w:t>, párr. 154</w:t>
      </w:r>
      <w:r w:rsidRPr="00B370D2">
        <w:rPr>
          <w:b/>
          <w:bCs/>
          <w:color w:val="000000"/>
          <w:sz w:val="16"/>
          <w:szCs w:val="16"/>
          <w:shd w:val="clear" w:color="auto" w:fill="FFFFFF"/>
        </w:rPr>
        <w:t>.</w:t>
      </w:r>
    </w:p>
  </w:footnote>
  <w:footnote w:id="346">
    <w:p w14:paraId="281EC501" w14:textId="77777777" w:rsidR="00B370D2" w:rsidRPr="00A71CD3" w:rsidRDefault="00B370D2" w:rsidP="00B370D2">
      <w:pPr>
        <w:rPr>
          <w:sz w:val="16"/>
          <w:szCs w:val="16"/>
        </w:rPr>
      </w:pPr>
      <w:r w:rsidRPr="00A71CD3">
        <w:rPr>
          <w:rStyle w:val="FootnoteReference"/>
          <w:sz w:val="16"/>
          <w:szCs w:val="16"/>
        </w:rPr>
        <w:footnoteRef/>
      </w:r>
      <w:r w:rsidRPr="00A71CD3">
        <w:rPr>
          <w:sz w:val="16"/>
          <w:szCs w:val="16"/>
        </w:rPr>
        <w:t xml:space="preserve"> </w:t>
      </w:r>
      <w:r w:rsidRPr="00A71CD3">
        <w:rPr>
          <w:sz w:val="16"/>
          <w:szCs w:val="16"/>
        </w:rPr>
        <w:tab/>
      </w:r>
      <w:r w:rsidRPr="00B370D2">
        <w:rPr>
          <w:rStyle w:val="Strong"/>
          <w:b w:val="0"/>
          <w:i/>
          <w:color w:val="000000"/>
          <w:sz w:val="16"/>
          <w:szCs w:val="16"/>
          <w:shd w:val="clear" w:color="auto" w:fill="FFFFFF"/>
        </w:rPr>
        <w:t>Caso Lagos del Campo Vs. Perú.</w:t>
      </w:r>
      <w:r w:rsidRPr="00A71CD3">
        <w:rPr>
          <w:rStyle w:val="Strong"/>
          <w:i/>
          <w:color w:val="000000"/>
          <w:sz w:val="16"/>
          <w:szCs w:val="16"/>
          <w:shd w:val="clear" w:color="auto" w:fill="FFFFFF"/>
        </w:rPr>
        <w:t xml:space="preserve"> </w:t>
      </w:r>
      <w:r w:rsidRPr="00A71CD3">
        <w:rPr>
          <w:bCs/>
          <w:i/>
          <w:color w:val="000000"/>
          <w:sz w:val="16"/>
          <w:szCs w:val="16"/>
          <w:shd w:val="clear" w:color="auto" w:fill="FFFFFF"/>
        </w:rPr>
        <w:t xml:space="preserve">Excepciones Preliminares, Fondo, Reparaciones y Costas. </w:t>
      </w:r>
      <w:r w:rsidRPr="004C1688">
        <w:rPr>
          <w:bCs/>
          <w:color w:val="000000"/>
          <w:sz w:val="16"/>
          <w:szCs w:val="16"/>
          <w:shd w:val="clear" w:color="auto" w:fill="FFFFFF"/>
        </w:rPr>
        <w:t>Sentencia de 31 de agosto de 2017. Serie C No.</w:t>
      </w:r>
      <w:r w:rsidRPr="00B370D2">
        <w:rPr>
          <w:bCs/>
          <w:color w:val="000000"/>
          <w:sz w:val="16"/>
          <w:szCs w:val="16"/>
          <w:shd w:val="clear" w:color="auto" w:fill="FFFFFF"/>
        </w:rPr>
        <w:t xml:space="preserve"> 340</w:t>
      </w:r>
      <w:r w:rsidRPr="00B370D2">
        <w:rPr>
          <w:b/>
          <w:bCs/>
          <w:i/>
          <w:color w:val="000000"/>
          <w:sz w:val="16"/>
          <w:szCs w:val="16"/>
          <w:shd w:val="clear" w:color="auto" w:fill="FFFFFF"/>
        </w:rPr>
        <w:t xml:space="preserve"> </w:t>
      </w:r>
      <w:r w:rsidRPr="00B370D2">
        <w:rPr>
          <w:rStyle w:val="Strong"/>
          <w:b w:val="0"/>
          <w:color w:val="000000"/>
          <w:sz w:val="16"/>
          <w:szCs w:val="16"/>
          <w:shd w:val="clear" w:color="auto" w:fill="FFFFFF"/>
        </w:rPr>
        <w:t>Voto parcialmente disidente del Juez Antonio Humberto Sierra Porto.</w:t>
      </w:r>
      <w:r w:rsidRPr="00A71CD3">
        <w:rPr>
          <w:rStyle w:val="Strong"/>
          <w:color w:val="000000"/>
          <w:sz w:val="16"/>
          <w:szCs w:val="16"/>
          <w:shd w:val="clear" w:color="auto" w:fill="FFFFFF"/>
        </w:rPr>
        <w:t xml:space="preserve"> </w:t>
      </w:r>
      <w:r w:rsidRPr="00A71CD3">
        <w:rPr>
          <w:bCs/>
          <w:i/>
          <w:sz w:val="16"/>
          <w:szCs w:val="16"/>
        </w:rPr>
        <w:t xml:space="preserve">Caso Trabajadores Cesados de Petroperú y otros Vs. Perú. Excepciones Preliminares, Fondo, Reparaciones y Costas. </w:t>
      </w:r>
      <w:r w:rsidRPr="004C1688">
        <w:rPr>
          <w:bCs/>
          <w:sz w:val="16"/>
          <w:szCs w:val="16"/>
        </w:rPr>
        <w:t>Sentencia de 23 de noviembre de 2017. Serie C No. 344</w:t>
      </w:r>
      <w:r w:rsidRPr="00A71CD3">
        <w:rPr>
          <w:bCs/>
          <w:i/>
          <w:sz w:val="16"/>
          <w:szCs w:val="16"/>
        </w:rPr>
        <w:t>.</w:t>
      </w:r>
      <w:r w:rsidRPr="00B370D2">
        <w:rPr>
          <w:bCs/>
          <w:sz w:val="16"/>
          <w:szCs w:val="16"/>
        </w:rPr>
        <w:t xml:space="preserve"> </w:t>
      </w:r>
      <w:r w:rsidRPr="00B370D2">
        <w:rPr>
          <w:rStyle w:val="Strong"/>
          <w:b w:val="0"/>
          <w:color w:val="000000"/>
          <w:sz w:val="16"/>
          <w:szCs w:val="16"/>
          <w:shd w:val="clear" w:color="auto" w:fill="FFFFFF"/>
        </w:rPr>
        <w:t>Voto parcialmente disidente del Juez Antonio Humberto Sierra Porto</w:t>
      </w:r>
      <w:r w:rsidRPr="00B370D2">
        <w:rPr>
          <w:rStyle w:val="Strong"/>
          <w:color w:val="000000"/>
          <w:sz w:val="16"/>
          <w:szCs w:val="16"/>
          <w:shd w:val="clear" w:color="auto" w:fill="FFFFFF"/>
        </w:rPr>
        <w:t xml:space="preserve">. </w:t>
      </w:r>
      <w:r w:rsidRPr="00A71CD3">
        <w:rPr>
          <w:i/>
          <w:sz w:val="16"/>
          <w:szCs w:val="16"/>
        </w:rPr>
        <w:t>Caso San Miguel Sosa y otras Vs. Venezuela.</w:t>
      </w:r>
      <w:r w:rsidRPr="00A71CD3">
        <w:rPr>
          <w:sz w:val="16"/>
          <w:szCs w:val="16"/>
        </w:rPr>
        <w:t xml:space="preserve"> </w:t>
      </w:r>
      <w:r w:rsidRPr="00A71CD3">
        <w:rPr>
          <w:bCs/>
          <w:i/>
          <w:sz w:val="16"/>
          <w:szCs w:val="16"/>
        </w:rPr>
        <w:t xml:space="preserve">Excepciones Preliminares, Fondo, Reparaciones y Costas. </w:t>
      </w:r>
      <w:r w:rsidRPr="004C1688">
        <w:rPr>
          <w:bCs/>
          <w:sz w:val="16"/>
          <w:szCs w:val="16"/>
        </w:rPr>
        <w:t xml:space="preserve">Sentencia de </w:t>
      </w:r>
      <w:r w:rsidRPr="00DD607A">
        <w:rPr>
          <w:sz w:val="16"/>
          <w:szCs w:val="16"/>
        </w:rPr>
        <w:t>8 de febrero de 2018. Serie C. No. 348</w:t>
      </w:r>
      <w:r w:rsidRPr="00B370D2">
        <w:rPr>
          <w:b/>
          <w:sz w:val="16"/>
          <w:szCs w:val="16"/>
        </w:rPr>
        <w:t xml:space="preserve">; </w:t>
      </w:r>
      <w:r w:rsidRPr="00B370D2">
        <w:rPr>
          <w:rStyle w:val="Strong"/>
          <w:b w:val="0"/>
          <w:i/>
          <w:color w:val="000000"/>
          <w:sz w:val="16"/>
          <w:szCs w:val="16"/>
          <w:shd w:val="clear" w:color="auto" w:fill="FFFFFF"/>
        </w:rPr>
        <w:t>Caso</w:t>
      </w:r>
      <w:r w:rsidRPr="00A71CD3">
        <w:rPr>
          <w:rStyle w:val="Strong"/>
          <w:i/>
          <w:color w:val="000000"/>
          <w:sz w:val="16"/>
          <w:szCs w:val="16"/>
          <w:shd w:val="clear" w:color="auto" w:fill="FFFFFF"/>
        </w:rPr>
        <w:t xml:space="preserve"> </w:t>
      </w:r>
      <w:r w:rsidRPr="00B370D2">
        <w:rPr>
          <w:rStyle w:val="Strong"/>
          <w:b w:val="0"/>
          <w:i/>
          <w:color w:val="000000"/>
          <w:sz w:val="16"/>
          <w:szCs w:val="16"/>
          <w:shd w:val="clear" w:color="auto" w:fill="FFFFFF"/>
        </w:rPr>
        <w:t xml:space="preserve">Gonzales </w:t>
      </w:r>
      <w:proofErr w:type="spellStart"/>
      <w:r w:rsidRPr="00B370D2">
        <w:rPr>
          <w:rStyle w:val="Strong"/>
          <w:b w:val="0"/>
          <w:i/>
          <w:color w:val="000000"/>
          <w:sz w:val="16"/>
          <w:szCs w:val="16"/>
          <w:shd w:val="clear" w:color="auto" w:fill="FFFFFF"/>
        </w:rPr>
        <w:t>Lluy</w:t>
      </w:r>
      <w:proofErr w:type="spellEnd"/>
      <w:r w:rsidRPr="00B370D2">
        <w:rPr>
          <w:rStyle w:val="Strong"/>
          <w:b w:val="0"/>
          <w:i/>
          <w:color w:val="000000"/>
          <w:sz w:val="16"/>
          <w:szCs w:val="16"/>
          <w:shd w:val="clear" w:color="auto" w:fill="FFFFFF"/>
        </w:rPr>
        <w:t xml:space="preserve"> y otros Vs. Ecuador.</w:t>
      </w:r>
      <w:r w:rsidRPr="00A71CD3">
        <w:rPr>
          <w:rStyle w:val="Strong"/>
          <w:i/>
          <w:color w:val="000000"/>
          <w:sz w:val="16"/>
          <w:szCs w:val="16"/>
          <w:shd w:val="clear" w:color="auto" w:fill="FFFFFF"/>
        </w:rPr>
        <w:t xml:space="preserve"> </w:t>
      </w:r>
      <w:r w:rsidRPr="00A71CD3">
        <w:rPr>
          <w:bCs/>
          <w:i/>
          <w:color w:val="000000"/>
          <w:sz w:val="16"/>
          <w:szCs w:val="16"/>
          <w:shd w:val="clear" w:color="auto" w:fill="FFFFFF"/>
        </w:rPr>
        <w:t xml:space="preserve">Excepciones Preliminares, Fondo, Reparaciones y Costas. </w:t>
      </w:r>
      <w:r w:rsidRPr="004C1688">
        <w:rPr>
          <w:bCs/>
          <w:color w:val="000000"/>
          <w:sz w:val="16"/>
          <w:szCs w:val="16"/>
          <w:shd w:val="clear" w:color="auto" w:fill="FFFFFF"/>
        </w:rPr>
        <w:t>Sentencia de 1 de septiembre de 2015. Serie C No. 298</w:t>
      </w:r>
      <w:r w:rsidRPr="00B370D2">
        <w:rPr>
          <w:b/>
          <w:bCs/>
          <w:color w:val="000000"/>
          <w:sz w:val="16"/>
          <w:szCs w:val="16"/>
          <w:shd w:val="clear" w:color="auto" w:fill="FFFFFF"/>
        </w:rPr>
        <w:t>.</w:t>
      </w:r>
      <w:r w:rsidRPr="00B370D2">
        <w:rPr>
          <w:rStyle w:val="Strong"/>
          <w:b w:val="0"/>
          <w:color w:val="000000"/>
          <w:sz w:val="16"/>
          <w:szCs w:val="16"/>
          <w:shd w:val="clear" w:color="auto" w:fill="FFFFFF"/>
        </w:rPr>
        <w:t xml:space="preserve"> Voto Concurrente del Juez Humberto Antonio Sierra Porto.</w:t>
      </w:r>
      <w:r w:rsidRPr="00A71CD3">
        <w:rPr>
          <w:rStyle w:val="Strong"/>
          <w:color w:val="000000"/>
          <w:sz w:val="16"/>
          <w:szCs w:val="16"/>
          <w:shd w:val="clear" w:color="auto" w:fill="FFFFFF"/>
        </w:rPr>
        <w:t xml:space="preserve"> </w:t>
      </w:r>
    </w:p>
    <w:p w14:paraId="3F7891A7" w14:textId="77777777" w:rsidR="00B370D2" w:rsidRPr="00774CDE" w:rsidRDefault="00B370D2" w:rsidP="00B370D2">
      <w:pPr>
        <w:pStyle w:val="FootnoteText"/>
      </w:pPr>
    </w:p>
  </w:footnote>
  <w:footnote w:id="347">
    <w:p w14:paraId="0F7888CA" w14:textId="77777777" w:rsidR="00B370D2" w:rsidRPr="0092660F" w:rsidRDefault="00B370D2" w:rsidP="00B370D2">
      <w:pPr>
        <w:pStyle w:val="FootnoteText"/>
        <w:rPr>
          <w:sz w:val="16"/>
          <w:szCs w:val="16"/>
          <w:lang w:val="es-CR"/>
        </w:rPr>
      </w:pPr>
      <w:r w:rsidRPr="0092660F">
        <w:rPr>
          <w:rStyle w:val="FootnoteReference"/>
          <w:sz w:val="16"/>
          <w:szCs w:val="16"/>
        </w:rPr>
        <w:footnoteRef/>
      </w:r>
      <w:r w:rsidRPr="0092660F">
        <w:rPr>
          <w:sz w:val="16"/>
          <w:szCs w:val="16"/>
        </w:rPr>
        <w:t xml:space="preserve"> </w:t>
      </w:r>
      <w:r>
        <w:rPr>
          <w:sz w:val="16"/>
          <w:szCs w:val="16"/>
        </w:rPr>
        <w:tab/>
      </w:r>
      <w:r w:rsidRPr="0092660F">
        <w:rPr>
          <w:sz w:val="16"/>
          <w:szCs w:val="16"/>
        </w:rPr>
        <w:t xml:space="preserve">Por ejemplo, la Sentencia menciona las siguientes: </w:t>
      </w:r>
      <w:r w:rsidRPr="0092660F">
        <w:rPr>
          <w:sz w:val="16"/>
          <w:szCs w:val="16"/>
          <w:lang w:val="es-CR"/>
        </w:rPr>
        <w:t>(i) la falta de información a los familiares respecto a la condición y cuidados del paciente; (ii) la realización de una intervención quirúrgica sin el consentimiento informado; (iii) darlo de alta de forma precipitada; (iv) la falta de provisión de tratamiento intensivo que requería en la UCI Médica; (v) la falta de disponibilidad de camas; (vi) la falta de asistencia a través de un respirador mecánico; y (v) la omisión de dispensar al paciente traslado a otro centro médico que contara con las instalaciones necesarias.</w:t>
      </w:r>
    </w:p>
  </w:footnote>
  <w:footnote w:id="348">
    <w:p w14:paraId="1E246E0C" w14:textId="77777777" w:rsidR="00B370D2" w:rsidRPr="00A71CD3" w:rsidRDefault="00B370D2" w:rsidP="00B370D2">
      <w:pPr>
        <w:pStyle w:val="FootnoteText"/>
        <w:rPr>
          <w:sz w:val="16"/>
          <w:szCs w:val="16"/>
        </w:rPr>
      </w:pPr>
      <w:r w:rsidRPr="00A71CD3">
        <w:rPr>
          <w:rStyle w:val="FootnoteReference"/>
          <w:sz w:val="16"/>
          <w:szCs w:val="16"/>
        </w:rPr>
        <w:footnoteRef/>
      </w:r>
      <w:r w:rsidRPr="00A71CD3">
        <w:rPr>
          <w:sz w:val="16"/>
          <w:szCs w:val="16"/>
        </w:rPr>
        <w:t xml:space="preserve"> </w:t>
      </w:r>
      <w:r w:rsidRPr="00A71CD3">
        <w:rPr>
          <w:sz w:val="16"/>
          <w:szCs w:val="16"/>
        </w:rPr>
        <w:tab/>
      </w:r>
      <w:r w:rsidRPr="00B370D2">
        <w:rPr>
          <w:rStyle w:val="Strong"/>
          <w:b w:val="0"/>
          <w:i/>
          <w:color w:val="000000"/>
          <w:sz w:val="16"/>
          <w:szCs w:val="16"/>
          <w:shd w:val="clear" w:color="auto" w:fill="FFFFFF"/>
        </w:rPr>
        <w:t xml:space="preserve">Caso Gonzales </w:t>
      </w:r>
      <w:proofErr w:type="spellStart"/>
      <w:r w:rsidRPr="00B370D2">
        <w:rPr>
          <w:rStyle w:val="Strong"/>
          <w:b w:val="0"/>
          <w:i/>
          <w:color w:val="000000"/>
          <w:sz w:val="16"/>
          <w:szCs w:val="16"/>
          <w:shd w:val="clear" w:color="auto" w:fill="FFFFFF"/>
        </w:rPr>
        <w:t>Lluy</w:t>
      </w:r>
      <w:proofErr w:type="spellEnd"/>
      <w:r w:rsidRPr="00B370D2">
        <w:rPr>
          <w:rStyle w:val="Strong"/>
          <w:b w:val="0"/>
          <w:i/>
          <w:color w:val="000000"/>
          <w:sz w:val="16"/>
          <w:szCs w:val="16"/>
          <w:shd w:val="clear" w:color="auto" w:fill="FFFFFF"/>
        </w:rPr>
        <w:t xml:space="preserve"> y otros Vs. Ecuador.</w:t>
      </w:r>
      <w:r w:rsidRPr="00A71CD3">
        <w:rPr>
          <w:rStyle w:val="Strong"/>
          <w:i/>
          <w:color w:val="000000"/>
          <w:sz w:val="16"/>
          <w:szCs w:val="16"/>
          <w:shd w:val="clear" w:color="auto" w:fill="FFFFFF"/>
        </w:rPr>
        <w:t xml:space="preserve"> </w:t>
      </w:r>
      <w:r w:rsidRPr="00A71CD3">
        <w:rPr>
          <w:bCs/>
          <w:i/>
          <w:color w:val="000000"/>
          <w:sz w:val="16"/>
          <w:szCs w:val="16"/>
          <w:shd w:val="clear" w:color="auto" w:fill="FFFFFF"/>
        </w:rPr>
        <w:t xml:space="preserve">Excepciones Preliminares, Fondo, Reparaciones y Costas. </w:t>
      </w:r>
      <w:r w:rsidRPr="004C1688">
        <w:rPr>
          <w:bCs/>
          <w:color w:val="000000"/>
          <w:sz w:val="16"/>
          <w:szCs w:val="16"/>
          <w:shd w:val="clear" w:color="auto" w:fill="FFFFFF"/>
        </w:rPr>
        <w:t>Sentencia de 1 de septiembre de 2015. Serie C No. 298</w:t>
      </w:r>
      <w:r w:rsidRPr="00B370D2">
        <w:rPr>
          <w:b/>
          <w:bCs/>
          <w:i/>
          <w:color w:val="000000"/>
          <w:sz w:val="16"/>
          <w:szCs w:val="16"/>
          <w:shd w:val="clear" w:color="auto" w:fill="FFFFFF"/>
        </w:rPr>
        <w:t>.</w:t>
      </w:r>
      <w:r w:rsidRPr="00B370D2">
        <w:rPr>
          <w:rStyle w:val="Strong"/>
          <w:b w:val="0"/>
          <w:color w:val="000000"/>
          <w:sz w:val="16"/>
          <w:szCs w:val="16"/>
          <w:shd w:val="clear" w:color="auto" w:fill="FFFFFF"/>
        </w:rPr>
        <w:t xml:space="preserve"> Voto Concurrente del Juez Humberto Antonio Sierra Porto, </w:t>
      </w:r>
      <w:r w:rsidRPr="00A71CD3">
        <w:rPr>
          <w:bCs/>
          <w:color w:val="000000"/>
          <w:sz w:val="16"/>
          <w:szCs w:val="16"/>
          <w:shd w:val="clear" w:color="auto" w:fill="FFFFFF"/>
        </w:rPr>
        <w:t xml:space="preserve">párr. 4. </w:t>
      </w:r>
    </w:p>
  </w:footnote>
  <w:footnote w:id="349">
    <w:p w14:paraId="769E92D4" w14:textId="77777777" w:rsidR="00B370D2" w:rsidRPr="00A71CD3" w:rsidRDefault="00B370D2" w:rsidP="00B370D2">
      <w:pPr>
        <w:pStyle w:val="FootnoteText"/>
        <w:rPr>
          <w:sz w:val="16"/>
          <w:szCs w:val="16"/>
        </w:rPr>
      </w:pPr>
      <w:r w:rsidRPr="00A71CD3">
        <w:rPr>
          <w:rStyle w:val="FootnoteReference"/>
          <w:sz w:val="16"/>
          <w:szCs w:val="16"/>
        </w:rPr>
        <w:footnoteRef/>
      </w:r>
      <w:r w:rsidRPr="00A71CD3">
        <w:rPr>
          <w:sz w:val="16"/>
          <w:szCs w:val="16"/>
        </w:rPr>
        <w:t xml:space="preserve"> </w:t>
      </w:r>
      <w:r w:rsidRPr="00A71CD3">
        <w:rPr>
          <w:sz w:val="16"/>
          <w:szCs w:val="16"/>
        </w:rPr>
        <w:tab/>
        <w:t>En</w:t>
      </w:r>
      <w:r w:rsidRPr="00B370D2">
        <w:rPr>
          <w:sz w:val="16"/>
          <w:szCs w:val="16"/>
        </w:rPr>
        <w:t xml:space="preserve"> el</w:t>
      </w:r>
      <w:r w:rsidRPr="00B370D2">
        <w:rPr>
          <w:b/>
          <w:sz w:val="16"/>
          <w:szCs w:val="16"/>
        </w:rPr>
        <w:t xml:space="preserve"> </w:t>
      </w:r>
      <w:r w:rsidRPr="00B370D2">
        <w:rPr>
          <w:rStyle w:val="Strong"/>
          <w:b w:val="0"/>
          <w:i/>
          <w:color w:val="000000"/>
          <w:sz w:val="16"/>
          <w:szCs w:val="16"/>
          <w:shd w:val="clear" w:color="auto" w:fill="FFFFFF"/>
        </w:rPr>
        <w:t>Caso Lagos del Campo Vs. Perú.</w:t>
      </w:r>
      <w:r w:rsidRPr="00A71CD3">
        <w:rPr>
          <w:rStyle w:val="Strong"/>
          <w:i/>
          <w:color w:val="000000"/>
          <w:sz w:val="16"/>
          <w:szCs w:val="16"/>
          <w:shd w:val="clear" w:color="auto" w:fill="FFFFFF"/>
        </w:rPr>
        <w:t xml:space="preserve"> </w:t>
      </w:r>
      <w:r w:rsidRPr="00A71CD3">
        <w:rPr>
          <w:bCs/>
          <w:i/>
          <w:color w:val="000000"/>
          <w:sz w:val="16"/>
          <w:szCs w:val="16"/>
          <w:shd w:val="clear" w:color="auto" w:fill="FFFFFF"/>
        </w:rPr>
        <w:t xml:space="preserve">Excepciones Preliminares, Fondo, Reparaciones y Costas. </w:t>
      </w:r>
      <w:r w:rsidRPr="004C1688">
        <w:rPr>
          <w:bCs/>
          <w:color w:val="000000"/>
          <w:sz w:val="16"/>
          <w:szCs w:val="16"/>
          <w:shd w:val="clear" w:color="auto" w:fill="FFFFFF"/>
        </w:rPr>
        <w:t>Sentencia de 31 de agosto de 2017</w:t>
      </w:r>
      <w:r w:rsidRPr="00A71CD3">
        <w:rPr>
          <w:bCs/>
          <w:i/>
          <w:color w:val="000000"/>
          <w:sz w:val="16"/>
          <w:szCs w:val="16"/>
          <w:shd w:val="clear" w:color="auto" w:fill="FFFFFF"/>
        </w:rPr>
        <w:t xml:space="preserve">. </w:t>
      </w:r>
      <w:r w:rsidRPr="004C1688">
        <w:rPr>
          <w:bCs/>
          <w:color w:val="000000"/>
          <w:sz w:val="16"/>
          <w:szCs w:val="16"/>
          <w:shd w:val="clear" w:color="auto" w:fill="FFFFFF"/>
        </w:rPr>
        <w:t>Serie C No. 340</w:t>
      </w:r>
      <w:r w:rsidRPr="00B370D2">
        <w:rPr>
          <w:b/>
          <w:bCs/>
          <w:i/>
          <w:color w:val="000000"/>
          <w:sz w:val="16"/>
          <w:szCs w:val="16"/>
          <w:shd w:val="clear" w:color="auto" w:fill="FFFFFF"/>
        </w:rPr>
        <w:t xml:space="preserve">. </w:t>
      </w:r>
      <w:r w:rsidRPr="00B370D2">
        <w:rPr>
          <w:rStyle w:val="Strong"/>
          <w:b w:val="0"/>
          <w:color w:val="000000"/>
          <w:sz w:val="16"/>
          <w:szCs w:val="16"/>
          <w:shd w:val="clear" w:color="auto" w:fill="FFFFFF"/>
        </w:rPr>
        <w:t>Voto parcialmente disidente del Juez Antonio Humberto Sierra Porto. En este voto afirmé lo siguiente:</w:t>
      </w:r>
      <w:r>
        <w:rPr>
          <w:rStyle w:val="Strong"/>
          <w:color w:val="000000"/>
          <w:sz w:val="16"/>
          <w:szCs w:val="16"/>
          <w:shd w:val="clear" w:color="auto" w:fill="FFFFFF"/>
        </w:rPr>
        <w:t xml:space="preserve"> </w:t>
      </w:r>
      <w:r w:rsidRPr="009651F9">
        <w:rPr>
          <w:rStyle w:val="Strong"/>
          <w:color w:val="000000"/>
          <w:sz w:val="16"/>
          <w:szCs w:val="16"/>
          <w:shd w:val="clear" w:color="auto" w:fill="FFFFFF"/>
        </w:rPr>
        <w:t>“</w:t>
      </w:r>
      <w:r w:rsidRPr="009651F9">
        <w:rPr>
          <w:sz w:val="16"/>
          <w:szCs w:val="16"/>
          <w:lang w:val="es-CR"/>
        </w:rPr>
        <w:t xml:space="preserve">Si de por sí, intentar construir un catálogo de DESC a partir de la Carta es una tarea interpretativa compleja, entrar a utilizar cuanto tratado de derechos humanos existe para llenar de contenido al artículo 26 de la CADH, lo único que puede generar es </w:t>
      </w:r>
      <w:r w:rsidRPr="009651F9">
        <w:rPr>
          <w:rFonts w:cs="Arial"/>
          <w:sz w:val="16"/>
          <w:szCs w:val="16"/>
        </w:rPr>
        <w:t>una dinámica de “vis expansiva” de la responsabilidad internacional de los Estados. Es decir que al no tener presente un catálogo definido de los DESC cuya infracción genera responsabilidad de los Estados, estos no pueden prevenir ni reparar internamente las posibles infracciones porque básicamente la Corte IDH puede modificar el catálogo de los derechos dependiendo del caso.”</w:t>
      </w:r>
    </w:p>
  </w:footnote>
  <w:footnote w:id="350">
    <w:p w14:paraId="3C73D25E" w14:textId="77777777" w:rsidR="00B370D2" w:rsidRPr="00A71CD3" w:rsidRDefault="00B370D2" w:rsidP="00B370D2">
      <w:pPr>
        <w:pStyle w:val="FootnoteText"/>
        <w:rPr>
          <w:i/>
          <w:sz w:val="16"/>
          <w:szCs w:val="16"/>
        </w:rPr>
      </w:pPr>
      <w:r w:rsidRPr="00A71CD3">
        <w:rPr>
          <w:rStyle w:val="FootnoteReference"/>
          <w:sz w:val="16"/>
          <w:szCs w:val="16"/>
        </w:rPr>
        <w:footnoteRef/>
      </w:r>
      <w:r w:rsidRPr="00A71CD3">
        <w:rPr>
          <w:sz w:val="16"/>
          <w:szCs w:val="16"/>
        </w:rPr>
        <w:t xml:space="preserve"> </w:t>
      </w:r>
      <w:r w:rsidRPr="00A71CD3">
        <w:rPr>
          <w:sz w:val="16"/>
          <w:szCs w:val="16"/>
        </w:rPr>
        <w:tab/>
      </w:r>
      <w:r>
        <w:rPr>
          <w:sz w:val="16"/>
          <w:szCs w:val="16"/>
        </w:rPr>
        <w:t>Cabe recordar que e</w:t>
      </w:r>
      <w:r w:rsidRPr="00A71CD3">
        <w:rPr>
          <w:sz w:val="16"/>
          <w:szCs w:val="16"/>
        </w:rPr>
        <w:t>l artículo 38</w:t>
      </w:r>
      <w:r>
        <w:rPr>
          <w:sz w:val="16"/>
          <w:szCs w:val="16"/>
        </w:rPr>
        <w:t>.a</w:t>
      </w:r>
      <w:r w:rsidRPr="00A71CD3">
        <w:rPr>
          <w:sz w:val="16"/>
          <w:szCs w:val="16"/>
        </w:rPr>
        <w:t xml:space="preserve"> del Estatuto de la Corte Internacional de Justicia señala: </w:t>
      </w:r>
      <w:r w:rsidRPr="009651F9">
        <w:rPr>
          <w:sz w:val="16"/>
          <w:szCs w:val="16"/>
        </w:rPr>
        <w:t>“1. La Corte, cuya función es decidir conforme al derecho internacional las controversias que le sean sometidas, deberá aplicar: a. las convenciones internacionales, sean generales o particulares, que establecen reglas expresamente reconocidas por los Estados litigantes; b. la costumbre internacional como prueba de una práctica generalmente aceptada como derecho; c. los principios generales de derecho reconocidos por las naciones civilizadas; d. las decisiones judiciales y las doctrinas de los publicistas de mayor competencia de las distintas naciones, como medio auxiliar para la determinación de las reglas de derecho, sin perjuicio de</w:t>
      </w:r>
      <w:r>
        <w:rPr>
          <w:sz w:val="16"/>
          <w:szCs w:val="16"/>
        </w:rPr>
        <w:t xml:space="preserve"> lo dispuesto en el artículo 59.</w:t>
      </w:r>
      <w:r w:rsidRPr="009651F9">
        <w:rPr>
          <w:sz w:val="16"/>
          <w:szCs w:val="16"/>
        </w:rPr>
        <w:t>”</w:t>
      </w:r>
    </w:p>
  </w:footnote>
  <w:footnote w:id="351">
    <w:p w14:paraId="425A23A9" w14:textId="77777777" w:rsidR="00B370D2" w:rsidRPr="00A71CD3" w:rsidRDefault="00B370D2" w:rsidP="00B370D2">
      <w:pPr>
        <w:pStyle w:val="FootnoteText"/>
        <w:rPr>
          <w:bCs/>
          <w:color w:val="000000"/>
          <w:sz w:val="16"/>
          <w:szCs w:val="16"/>
          <w:shd w:val="clear" w:color="auto" w:fill="FFFFFF"/>
        </w:rPr>
      </w:pPr>
      <w:r w:rsidRPr="00A71CD3">
        <w:rPr>
          <w:rStyle w:val="FootnoteReference"/>
          <w:sz w:val="16"/>
          <w:szCs w:val="16"/>
        </w:rPr>
        <w:footnoteRef/>
      </w:r>
      <w:r w:rsidRPr="00A71CD3">
        <w:rPr>
          <w:sz w:val="16"/>
          <w:szCs w:val="16"/>
        </w:rPr>
        <w:t xml:space="preserve"> </w:t>
      </w:r>
      <w:r w:rsidRPr="00A71CD3">
        <w:rPr>
          <w:sz w:val="16"/>
          <w:szCs w:val="16"/>
        </w:rPr>
        <w:tab/>
      </w:r>
      <w:r w:rsidRPr="00A71CD3">
        <w:rPr>
          <w:bCs/>
          <w:i/>
          <w:sz w:val="16"/>
          <w:szCs w:val="16"/>
        </w:rPr>
        <w:t xml:space="preserve">Caso Trabajadores Cesados de Petroperú y otros Vs. Perú. Excepciones Preliminares, Fondo, Reparaciones y Costas. </w:t>
      </w:r>
      <w:r w:rsidRPr="004C1688">
        <w:rPr>
          <w:bCs/>
          <w:sz w:val="16"/>
          <w:szCs w:val="16"/>
        </w:rPr>
        <w:t>Sentencia de 23 de noviembre de 2017. Serie C No. 344</w:t>
      </w:r>
      <w:r w:rsidRPr="00A71CD3">
        <w:rPr>
          <w:bCs/>
          <w:i/>
          <w:sz w:val="16"/>
          <w:szCs w:val="16"/>
        </w:rPr>
        <w:t>.</w:t>
      </w:r>
      <w:r w:rsidRPr="00B370D2">
        <w:rPr>
          <w:bCs/>
          <w:sz w:val="16"/>
          <w:szCs w:val="16"/>
        </w:rPr>
        <w:t xml:space="preserve"> </w:t>
      </w:r>
      <w:r w:rsidRPr="00B370D2">
        <w:rPr>
          <w:rStyle w:val="Strong"/>
          <w:b w:val="0"/>
          <w:color w:val="000000"/>
          <w:sz w:val="16"/>
          <w:szCs w:val="16"/>
          <w:shd w:val="clear" w:color="auto" w:fill="FFFFFF"/>
        </w:rPr>
        <w:t>Voto parcialmente disidente del Juez Antonio Humberto Sierra Porto</w:t>
      </w:r>
      <w:r w:rsidRPr="00A71CD3">
        <w:rPr>
          <w:bCs/>
          <w:color w:val="000000"/>
          <w:sz w:val="16"/>
          <w:szCs w:val="16"/>
          <w:shd w:val="clear" w:color="auto" w:fill="FFFFFF"/>
          <w:lang w:val="es-CR"/>
        </w:rPr>
        <w:t xml:space="preserve">, </w:t>
      </w:r>
      <w:proofErr w:type="spellStart"/>
      <w:r w:rsidRPr="00A71CD3">
        <w:rPr>
          <w:bCs/>
          <w:color w:val="000000"/>
          <w:sz w:val="16"/>
          <w:szCs w:val="16"/>
          <w:shd w:val="clear" w:color="auto" w:fill="FFFFFF"/>
          <w:lang w:val="es-CR"/>
        </w:rPr>
        <w:t>párrs</w:t>
      </w:r>
      <w:proofErr w:type="spellEnd"/>
      <w:r w:rsidRPr="00A71CD3">
        <w:rPr>
          <w:bCs/>
          <w:color w:val="000000"/>
          <w:sz w:val="16"/>
          <w:szCs w:val="16"/>
          <w:shd w:val="clear" w:color="auto" w:fill="FFFFFF"/>
          <w:lang w:val="es-CR"/>
        </w:rPr>
        <w:t xml:space="preserve">. 14 a 20. </w:t>
      </w:r>
      <w:r w:rsidRPr="00A71CD3">
        <w:rPr>
          <w:bCs/>
          <w:i/>
          <w:color w:val="000000"/>
          <w:sz w:val="16"/>
          <w:szCs w:val="16"/>
          <w:shd w:val="clear" w:color="auto" w:fill="FFFFFF"/>
        </w:rPr>
        <w:t xml:space="preserve">Caso familia Pacheco Tineo Vs. Bolivia. Excepciones Preliminares, Fondo, Reparaciones y Costas. </w:t>
      </w:r>
      <w:r w:rsidRPr="004C1688">
        <w:rPr>
          <w:bCs/>
          <w:color w:val="000000"/>
          <w:sz w:val="16"/>
          <w:szCs w:val="16"/>
          <w:shd w:val="clear" w:color="auto" w:fill="FFFFFF"/>
        </w:rPr>
        <w:t xml:space="preserve">Sentencia de 25 de noviembre de 2013. Serie C No. 272, </w:t>
      </w:r>
      <w:r w:rsidRPr="00847D7F">
        <w:rPr>
          <w:bCs/>
          <w:color w:val="000000"/>
          <w:sz w:val="16"/>
          <w:szCs w:val="16"/>
          <w:shd w:val="clear" w:color="auto" w:fill="FFFFFF"/>
        </w:rPr>
        <w:t>párr. 143</w:t>
      </w:r>
      <w:r w:rsidRPr="00A71CD3">
        <w:rPr>
          <w:bCs/>
          <w:color w:val="000000"/>
          <w:sz w:val="16"/>
          <w:szCs w:val="16"/>
          <w:shd w:val="clear" w:color="auto" w:fill="FFFFFF"/>
        </w:rPr>
        <w:t>.</w:t>
      </w:r>
    </w:p>
  </w:footnote>
  <w:footnote w:id="352">
    <w:p w14:paraId="1716D720" w14:textId="77777777" w:rsidR="00B370D2" w:rsidRPr="00A71CD3" w:rsidRDefault="00B370D2" w:rsidP="00B370D2">
      <w:pPr>
        <w:pStyle w:val="FootnoteText"/>
        <w:rPr>
          <w:sz w:val="16"/>
          <w:szCs w:val="16"/>
          <w:lang w:val="es-CR"/>
        </w:rPr>
      </w:pPr>
      <w:r w:rsidRPr="00A71CD3">
        <w:rPr>
          <w:rStyle w:val="FootnoteReference"/>
          <w:sz w:val="16"/>
          <w:szCs w:val="16"/>
        </w:rPr>
        <w:footnoteRef/>
      </w:r>
      <w:r w:rsidRPr="00A71CD3">
        <w:rPr>
          <w:sz w:val="16"/>
          <w:szCs w:val="16"/>
        </w:rPr>
        <w:t xml:space="preserve"> </w:t>
      </w:r>
      <w:r w:rsidRPr="00A71CD3">
        <w:rPr>
          <w:sz w:val="16"/>
          <w:szCs w:val="16"/>
          <w:lang w:val="es-CR"/>
        </w:rPr>
        <w:tab/>
        <w:t>El entonces Juez de la Corte IDH, Sergio García Ramírez, en el artículo titulado “El control judicial interno de convencionalidad” publicado en IUS Revista del Instituto de Ciencias Jurídicas de Puebla, México, no. 28, julio-diciembre de 2011, págs. 123-159, expuso que en el derecho internacional de los derechos humanos figuran, además de los tratados y los protocolos aludidos como derecho “duro” de carácter imperioso y vinculante, otras fuentes de carácter diverso, como declaraciones, estatutos y reglamentos, opiniones consultivas, sentencias, otras resoluciones jurisdiccionales, recomendaciones, informes, principios, relatorías, conclusiones de encuentros internacionales, y así sucesivamente, las cuales constituyen un derecho “suave” (</w:t>
      </w:r>
      <w:proofErr w:type="spellStart"/>
      <w:r w:rsidRPr="00A71CD3">
        <w:rPr>
          <w:sz w:val="16"/>
          <w:szCs w:val="16"/>
          <w:lang w:val="es-CR"/>
        </w:rPr>
        <w:t>soft</w:t>
      </w:r>
      <w:proofErr w:type="spellEnd"/>
      <w:r w:rsidRPr="00A71CD3">
        <w:rPr>
          <w:sz w:val="16"/>
          <w:szCs w:val="16"/>
          <w:lang w:val="es-CR"/>
        </w:rPr>
        <w:t xml:space="preserve"> </w:t>
      </w:r>
      <w:proofErr w:type="spellStart"/>
      <w:r w:rsidRPr="00A71CD3">
        <w:rPr>
          <w:sz w:val="16"/>
          <w:szCs w:val="16"/>
          <w:lang w:val="es-CR"/>
        </w:rPr>
        <w:t>law</w:t>
      </w:r>
      <w:proofErr w:type="spellEnd"/>
      <w:r w:rsidRPr="00A71CD3">
        <w:rPr>
          <w:sz w:val="16"/>
          <w:szCs w:val="16"/>
          <w:lang w:val="es-CR"/>
        </w:rPr>
        <w:t xml:space="preserve">) que no posee el mismo carácter imperioso y vinculante. Existe una fuerte tendencia a dotar a este </w:t>
      </w:r>
      <w:proofErr w:type="spellStart"/>
      <w:r w:rsidRPr="00A71CD3">
        <w:rPr>
          <w:sz w:val="16"/>
          <w:szCs w:val="16"/>
          <w:lang w:val="es-CR"/>
        </w:rPr>
        <w:t>soft</w:t>
      </w:r>
      <w:proofErr w:type="spellEnd"/>
      <w:r w:rsidRPr="00A71CD3">
        <w:rPr>
          <w:sz w:val="16"/>
          <w:szCs w:val="16"/>
          <w:lang w:val="es-CR"/>
        </w:rPr>
        <w:t xml:space="preserve"> </w:t>
      </w:r>
      <w:proofErr w:type="spellStart"/>
      <w:r w:rsidRPr="00A71CD3">
        <w:rPr>
          <w:sz w:val="16"/>
          <w:szCs w:val="16"/>
          <w:lang w:val="es-CR"/>
        </w:rPr>
        <w:t>law</w:t>
      </w:r>
      <w:proofErr w:type="spellEnd"/>
      <w:r w:rsidRPr="00A71CD3">
        <w:rPr>
          <w:sz w:val="16"/>
          <w:szCs w:val="16"/>
          <w:lang w:val="es-CR"/>
        </w:rPr>
        <w:t xml:space="preserve"> de creciente eficacia. </w:t>
      </w:r>
    </w:p>
  </w:footnote>
  <w:footnote w:id="353">
    <w:p w14:paraId="62479A19" w14:textId="77777777" w:rsidR="00B370D2" w:rsidRPr="00A71CD3" w:rsidRDefault="00B370D2" w:rsidP="00B370D2">
      <w:pPr>
        <w:pStyle w:val="FootnoteText"/>
        <w:rPr>
          <w:sz w:val="16"/>
          <w:szCs w:val="16"/>
        </w:rPr>
      </w:pPr>
      <w:r w:rsidRPr="00A71CD3">
        <w:rPr>
          <w:rStyle w:val="FootnoteReference"/>
          <w:sz w:val="16"/>
          <w:szCs w:val="16"/>
        </w:rPr>
        <w:footnoteRef/>
      </w:r>
      <w:r w:rsidRPr="00A71CD3">
        <w:rPr>
          <w:sz w:val="16"/>
          <w:szCs w:val="16"/>
        </w:rPr>
        <w:t xml:space="preserve"> </w:t>
      </w:r>
      <w:r w:rsidRPr="00A71CD3">
        <w:rPr>
          <w:sz w:val="16"/>
          <w:szCs w:val="16"/>
        </w:rPr>
        <w:tab/>
      </w:r>
      <w:r w:rsidRPr="00DB0D75">
        <w:rPr>
          <w:i/>
          <w:sz w:val="16"/>
          <w:szCs w:val="16"/>
        </w:rPr>
        <w:t>Cfr.</w:t>
      </w:r>
      <w:r w:rsidRPr="00A71CD3">
        <w:rPr>
          <w:sz w:val="16"/>
          <w:szCs w:val="16"/>
        </w:rPr>
        <w:t xml:space="preserve"> El derecho a la Información sobre la asistencia consular en el marco de las garantías del debido proceso legal. Opinión Consultiva OC-16/99, párr. 114, y 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 Opinión Consultiva OC22/16, párr. 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15418"/>
      <w:docPartObj>
        <w:docPartGallery w:val="Page Numbers (Top of Page)"/>
        <w:docPartUnique/>
      </w:docPartObj>
    </w:sdtPr>
    <w:sdtEndPr>
      <w:rPr>
        <w:rFonts w:ascii="Verdana" w:hAnsi="Verdana"/>
        <w:noProof/>
        <w:sz w:val="20"/>
        <w:szCs w:val="20"/>
      </w:rPr>
    </w:sdtEndPr>
    <w:sdtContent>
      <w:p w14:paraId="51514B28" w14:textId="77777777" w:rsidR="003C025E" w:rsidRDefault="003C025E" w:rsidP="00383565">
        <w:pPr>
          <w:pStyle w:val="Header"/>
          <w:jc w:val="center"/>
        </w:pPr>
        <w:r w:rsidRPr="000214BA">
          <w:rPr>
            <w:rFonts w:ascii="Verdana" w:hAnsi="Verdana"/>
            <w:sz w:val="20"/>
            <w:szCs w:val="20"/>
          </w:rPr>
          <w:fldChar w:fldCharType="begin"/>
        </w:r>
        <w:r w:rsidRPr="000214BA">
          <w:rPr>
            <w:rFonts w:ascii="Verdana" w:hAnsi="Verdana"/>
            <w:sz w:val="20"/>
            <w:szCs w:val="20"/>
          </w:rPr>
          <w:instrText xml:space="preserve"> PAGE   \* MERGEFORMAT </w:instrText>
        </w:r>
        <w:r w:rsidRPr="000214BA">
          <w:rPr>
            <w:rFonts w:ascii="Verdana" w:hAnsi="Verdana"/>
            <w:sz w:val="20"/>
            <w:szCs w:val="20"/>
          </w:rPr>
          <w:fldChar w:fldCharType="separate"/>
        </w:r>
        <w:r w:rsidR="00BE7922">
          <w:rPr>
            <w:rFonts w:ascii="Verdana" w:hAnsi="Verdana"/>
            <w:noProof/>
            <w:sz w:val="20"/>
            <w:szCs w:val="20"/>
          </w:rPr>
          <w:t>81</w:t>
        </w:r>
        <w:r w:rsidRPr="000214BA">
          <w:rPr>
            <w:rFonts w:ascii="Verdana" w:hAnsi="Verdana"/>
            <w:noProof/>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13E4E" w14:textId="44DFDE80" w:rsidR="003C025E" w:rsidRPr="000214BA" w:rsidRDefault="003C025E" w:rsidP="005415CD">
    <w:pPr>
      <w:pStyle w:val="Header"/>
      <w:tabs>
        <w:tab w:val="center" w:pos="8931"/>
        <w:tab w:val="left" w:pos="9498"/>
        <w:tab w:val="left" w:pos="9639"/>
        <w:tab w:val="right" w:pos="10065"/>
      </w:tabs>
      <w:rPr>
        <w:lang w:val="es-C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rPr>
      <w:id w:val="1820299137"/>
      <w:docPartObj>
        <w:docPartGallery w:val="Page Numbers (Top of Page)"/>
        <w:docPartUnique/>
      </w:docPartObj>
    </w:sdtPr>
    <w:sdtEndPr>
      <w:rPr>
        <w:noProof/>
      </w:rPr>
    </w:sdtEndPr>
    <w:sdtContent>
      <w:p w14:paraId="6FEFA91D" w14:textId="77777777" w:rsidR="00DD607A" w:rsidRPr="008F2B34" w:rsidRDefault="004F68AF">
        <w:pPr>
          <w:pStyle w:val="Header"/>
          <w:jc w:val="center"/>
          <w:rPr>
            <w:rFonts w:ascii="Verdana" w:hAnsi="Verdana"/>
          </w:rPr>
        </w:pPr>
        <w:r>
          <w:rPr>
            <w:rFonts w:ascii="Verdana" w:hAnsi="Verdana"/>
          </w:rPr>
          <w:t>-</w:t>
        </w:r>
        <w:r w:rsidRPr="008F2B34">
          <w:rPr>
            <w:rFonts w:ascii="Verdana" w:hAnsi="Verdana"/>
          </w:rPr>
          <w:fldChar w:fldCharType="begin"/>
        </w:r>
        <w:r w:rsidRPr="008F2B34">
          <w:rPr>
            <w:rFonts w:ascii="Verdana" w:hAnsi="Verdana"/>
          </w:rPr>
          <w:instrText xml:space="preserve"> PAGE   \* MERGEFORMAT </w:instrText>
        </w:r>
        <w:r w:rsidRPr="008F2B34">
          <w:rPr>
            <w:rFonts w:ascii="Verdana" w:hAnsi="Verdana"/>
          </w:rPr>
          <w:fldChar w:fldCharType="separate"/>
        </w:r>
        <w:r w:rsidR="00BE7922">
          <w:rPr>
            <w:rFonts w:ascii="Verdana" w:hAnsi="Verdana"/>
            <w:noProof/>
          </w:rPr>
          <w:t>2</w:t>
        </w:r>
        <w:r w:rsidRPr="008F2B34">
          <w:rPr>
            <w:rFonts w:ascii="Verdana" w:hAnsi="Verdana"/>
            <w:noProof/>
          </w:rPr>
          <w:fldChar w:fldCharType="end"/>
        </w:r>
        <w:r>
          <w:rPr>
            <w:rFonts w:ascii="Verdana" w:hAnsi="Verdana"/>
            <w:noProof/>
          </w:rPr>
          <w:t>-</w:t>
        </w:r>
      </w:p>
    </w:sdtContent>
  </w:sdt>
  <w:p w14:paraId="5837BD49" w14:textId="77777777" w:rsidR="00DD607A" w:rsidRDefault="00BE79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320B"/>
    <w:multiLevelType w:val="hybridMultilevel"/>
    <w:tmpl w:val="95FC487E"/>
    <w:lvl w:ilvl="0" w:tplc="94809758">
      <w:start w:val="1"/>
      <w:numFmt w:val="decimal"/>
      <w:lvlText w:val="%1."/>
      <w:lvlJc w:val="left"/>
      <w:pPr>
        <w:ind w:left="72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0E973D3"/>
    <w:multiLevelType w:val="hybridMultilevel"/>
    <w:tmpl w:val="6128D9BA"/>
    <w:lvl w:ilvl="0" w:tplc="140A0013">
      <w:start w:val="1"/>
      <w:numFmt w:val="upperRoman"/>
      <w:lvlText w:val="%1."/>
      <w:lvlJc w:val="right"/>
      <w:pPr>
        <w:ind w:left="1776" w:hanging="360"/>
      </w:p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2">
    <w:nsid w:val="1592333A"/>
    <w:multiLevelType w:val="hybridMultilevel"/>
    <w:tmpl w:val="5D5C0794"/>
    <w:lvl w:ilvl="0" w:tplc="9FFE7D72">
      <w:start w:val="1"/>
      <w:numFmt w:val="decimal"/>
      <w:lvlText w:val="%1."/>
      <w:lvlJc w:val="left"/>
      <w:pPr>
        <w:ind w:left="360" w:hanging="360"/>
      </w:pPr>
      <w:rPr>
        <w:b w:val="0"/>
        <w:color w:val="auto"/>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B7775"/>
    <w:multiLevelType w:val="hybridMultilevel"/>
    <w:tmpl w:val="0860B1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1146EE"/>
    <w:multiLevelType w:val="hybridMultilevel"/>
    <w:tmpl w:val="BF50F62E"/>
    <w:lvl w:ilvl="0" w:tplc="ECB22588">
      <w:start w:val="42"/>
      <w:numFmt w:val="decimal"/>
      <w:lvlText w:val="%1."/>
      <w:lvlJc w:val="left"/>
      <w:pPr>
        <w:ind w:left="825" w:hanging="825"/>
      </w:pPr>
      <w:rPr>
        <w:rFonts w:ascii="Verdana" w:eastAsia="Verdana" w:hAnsi="Verdana"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A74DB"/>
    <w:multiLevelType w:val="hybridMultilevel"/>
    <w:tmpl w:val="94ECBB18"/>
    <w:lvl w:ilvl="0" w:tplc="140A000F">
      <w:start w:val="1"/>
      <w:numFmt w:val="decimal"/>
      <w:lvlText w:val="%1."/>
      <w:lvlJc w:val="left"/>
      <w:pPr>
        <w:ind w:left="2407" w:hanging="360"/>
      </w:pPr>
    </w:lvl>
    <w:lvl w:ilvl="1" w:tplc="140A0019" w:tentative="1">
      <w:start w:val="1"/>
      <w:numFmt w:val="lowerLetter"/>
      <w:lvlText w:val="%2."/>
      <w:lvlJc w:val="left"/>
      <w:pPr>
        <w:ind w:left="3127" w:hanging="360"/>
      </w:pPr>
    </w:lvl>
    <w:lvl w:ilvl="2" w:tplc="140A001B" w:tentative="1">
      <w:start w:val="1"/>
      <w:numFmt w:val="lowerRoman"/>
      <w:lvlText w:val="%3."/>
      <w:lvlJc w:val="right"/>
      <w:pPr>
        <w:ind w:left="3847" w:hanging="180"/>
      </w:pPr>
    </w:lvl>
    <w:lvl w:ilvl="3" w:tplc="140A000F" w:tentative="1">
      <w:start w:val="1"/>
      <w:numFmt w:val="decimal"/>
      <w:lvlText w:val="%4."/>
      <w:lvlJc w:val="left"/>
      <w:pPr>
        <w:ind w:left="4567" w:hanging="360"/>
      </w:pPr>
    </w:lvl>
    <w:lvl w:ilvl="4" w:tplc="140A0019" w:tentative="1">
      <w:start w:val="1"/>
      <w:numFmt w:val="lowerLetter"/>
      <w:lvlText w:val="%5."/>
      <w:lvlJc w:val="left"/>
      <w:pPr>
        <w:ind w:left="5287" w:hanging="360"/>
      </w:pPr>
    </w:lvl>
    <w:lvl w:ilvl="5" w:tplc="140A001B" w:tentative="1">
      <w:start w:val="1"/>
      <w:numFmt w:val="lowerRoman"/>
      <w:lvlText w:val="%6."/>
      <w:lvlJc w:val="right"/>
      <w:pPr>
        <w:ind w:left="6007" w:hanging="180"/>
      </w:pPr>
    </w:lvl>
    <w:lvl w:ilvl="6" w:tplc="140A000F" w:tentative="1">
      <w:start w:val="1"/>
      <w:numFmt w:val="decimal"/>
      <w:lvlText w:val="%7."/>
      <w:lvlJc w:val="left"/>
      <w:pPr>
        <w:ind w:left="6727" w:hanging="360"/>
      </w:pPr>
    </w:lvl>
    <w:lvl w:ilvl="7" w:tplc="140A0019" w:tentative="1">
      <w:start w:val="1"/>
      <w:numFmt w:val="lowerLetter"/>
      <w:lvlText w:val="%8."/>
      <w:lvlJc w:val="left"/>
      <w:pPr>
        <w:ind w:left="7447" w:hanging="360"/>
      </w:pPr>
    </w:lvl>
    <w:lvl w:ilvl="8" w:tplc="140A001B" w:tentative="1">
      <w:start w:val="1"/>
      <w:numFmt w:val="lowerRoman"/>
      <w:lvlText w:val="%9."/>
      <w:lvlJc w:val="right"/>
      <w:pPr>
        <w:ind w:left="8167" w:hanging="180"/>
      </w:pPr>
    </w:lvl>
  </w:abstractNum>
  <w:abstractNum w:abstractNumId="6">
    <w:nsid w:val="2D095EE0"/>
    <w:multiLevelType w:val="hybridMultilevel"/>
    <w:tmpl w:val="EAE0492E"/>
    <w:lvl w:ilvl="0" w:tplc="140A0017">
      <w:start w:val="1"/>
      <w:numFmt w:val="lowerLetter"/>
      <w:lvlText w:val="%1)"/>
      <w:lvlJc w:val="left"/>
      <w:pPr>
        <w:ind w:left="630" w:hanging="360"/>
      </w:pPr>
    </w:lvl>
    <w:lvl w:ilvl="1" w:tplc="140A0019" w:tentative="1">
      <w:start w:val="1"/>
      <w:numFmt w:val="lowerLetter"/>
      <w:lvlText w:val="%2."/>
      <w:lvlJc w:val="left"/>
      <w:pPr>
        <w:ind w:left="1350" w:hanging="360"/>
      </w:pPr>
    </w:lvl>
    <w:lvl w:ilvl="2" w:tplc="140A001B" w:tentative="1">
      <w:start w:val="1"/>
      <w:numFmt w:val="lowerRoman"/>
      <w:lvlText w:val="%3."/>
      <w:lvlJc w:val="right"/>
      <w:pPr>
        <w:ind w:left="2070" w:hanging="180"/>
      </w:pPr>
    </w:lvl>
    <w:lvl w:ilvl="3" w:tplc="140A000F" w:tentative="1">
      <w:start w:val="1"/>
      <w:numFmt w:val="decimal"/>
      <w:lvlText w:val="%4."/>
      <w:lvlJc w:val="left"/>
      <w:pPr>
        <w:ind w:left="2790" w:hanging="360"/>
      </w:pPr>
    </w:lvl>
    <w:lvl w:ilvl="4" w:tplc="140A0019" w:tentative="1">
      <w:start w:val="1"/>
      <w:numFmt w:val="lowerLetter"/>
      <w:lvlText w:val="%5."/>
      <w:lvlJc w:val="left"/>
      <w:pPr>
        <w:ind w:left="3510" w:hanging="360"/>
      </w:pPr>
    </w:lvl>
    <w:lvl w:ilvl="5" w:tplc="140A001B" w:tentative="1">
      <w:start w:val="1"/>
      <w:numFmt w:val="lowerRoman"/>
      <w:lvlText w:val="%6."/>
      <w:lvlJc w:val="right"/>
      <w:pPr>
        <w:ind w:left="4230" w:hanging="180"/>
      </w:pPr>
    </w:lvl>
    <w:lvl w:ilvl="6" w:tplc="140A000F" w:tentative="1">
      <w:start w:val="1"/>
      <w:numFmt w:val="decimal"/>
      <w:lvlText w:val="%7."/>
      <w:lvlJc w:val="left"/>
      <w:pPr>
        <w:ind w:left="4950" w:hanging="360"/>
      </w:pPr>
    </w:lvl>
    <w:lvl w:ilvl="7" w:tplc="140A0019" w:tentative="1">
      <w:start w:val="1"/>
      <w:numFmt w:val="lowerLetter"/>
      <w:lvlText w:val="%8."/>
      <w:lvlJc w:val="left"/>
      <w:pPr>
        <w:ind w:left="5670" w:hanging="360"/>
      </w:pPr>
    </w:lvl>
    <w:lvl w:ilvl="8" w:tplc="140A001B" w:tentative="1">
      <w:start w:val="1"/>
      <w:numFmt w:val="lowerRoman"/>
      <w:lvlText w:val="%9."/>
      <w:lvlJc w:val="right"/>
      <w:pPr>
        <w:ind w:left="6390" w:hanging="180"/>
      </w:pPr>
    </w:lvl>
  </w:abstractNum>
  <w:abstractNum w:abstractNumId="7">
    <w:nsid w:val="2E872B63"/>
    <w:multiLevelType w:val="hybridMultilevel"/>
    <w:tmpl w:val="77C43ED4"/>
    <w:lvl w:ilvl="0" w:tplc="140A000F">
      <w:start w:val="1"/>
      <w:numFmt w:val="decimal"/>
      <w:lvlText w:val="%1."/>
      <w:lvlJc w:val="left"/>
      <w:pPr>
        <w:ind w:left="2136" w:hanging="360"/>
      </w:pPr>
    </w:lvl>
    <w:lvl w:ilvl="1" w:tplc="140A0019" w:tentative="1">
      <w:start w:val="1"/>
      <w:numFmt w:val="lowerLetter"/>
      <w:lvlText w:val="%2."/>
      <w:lvlJc w:val="left"/>
      <w:pPr>
        <w:ind w:left="2856" w:hanging="360"/>
      </w:pPr>
    </w:lvl>
    <w:lvl w:ilvl="2" w:tplc="140A001B" w:tentative="1">
      <w:start w:val="1"/>
      <w:numFmt w:val="lowerRoman"/>
      <w:lvlText w:val="%3."/>
      <w:lvlJc w:val="right"/>
      <w:pPr>
        <w:ind w:left="3576" w:hanging="180"/>
      </w:pPr>
    </w:lvl>
    <w:lvl w:ilvl="3" w:tplc="140A000F" w:tentative="1">
      <w:start w:val="1"/>
      <w:numFmt w:val="decimal"/>
      <w:lvlText w:val="%4."/>
      <w:lvlJc w:val="left"/>
      <w:pPr>
        <w:ind w:left="4296" w:hanging="360"/>
      </w:pPr>
    </w:lvl>
    <w:lvl w:ilvl="4" w:tplc="140A0019" w:tentative="1">
      <w:start w:val="1"/>
      <w:numFmt w:val="lowerLetter"/>
      <w:lvlText w:val="%5."/>
      <w:lvlJc w:val="left"/>
      <w:pPr>
        <w:ind w:left="5016" w:hanging="360"/>
      </w:pPr>
    </w:lvl>
    <w:lvl w:ilvl="5" w:tplc="140A001B" w:tentative="1">
      <w:start w:val="1"/>
      <w:numFmt w:val="lowerRoman"/>
      <w:lvlText w:val="%6."/>
      <w:lvlJc w:val="right"/>
      <w:pPr>
        <w:ind w:left="5736" w:hanging="180"/>
      </w:pPr>
    </w:lvl>
    <w:lvl w:ilvl="6" w:tplc="140A000F" w:tentative="1">
      <w:start w:val="1"/>
      <w:numFmt w:val="decimal"/>
      <w:lvlText w:val="%7."/>
      <w:lvlJc w:val="left"/>
      <w:pPr>
        <w:ind w:left="6456" w:hanging="360"/>
      </w:pPr>
    </w:lvl>
    <w:lvl w:ilvl="7" w:tplc="140A0019" w:tentative="1">
      <w:start w:val="1"/>
      <w:numFmt w:val="lowerLetter"/>
      <w:lvlText w:val="%8."/>
      <w:lvlJc w:val="left"/>
      <w:pPr>
        <w:ind w:left="7176" w:hanging="360"/>
      </w:pPr>
    </w:lvl>
    <w:lvl w:ilvl="8" w:tplc="140A001B" w:tentative="1">
      <w:start w:val="1"/>
      <w:numFmt w:val="lowerRoman"/>
      <w:lvlText w:val="%9."/>
      <w:lvlJc w:val="right"/>
      <w:pPr>
        <w:ind w:left="7896" w:hanging="180"/>
      </w:pPr>
    </w:lvl>
  </w:abstractNum>
  <w:abstractNum w:abstractNumId="8">
    <w:nsid w:val="2F994D82"/>
    <w:multiLevelType w:val="multilevel"/>
    <w:tmpl w:val="0D7EE0DA"/>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9">
    <w:nsid w:val="305866C9"/>
    <w:multiLevelType w:val="hybridMultilevel"/>
    <w:tmpl w:val="6B120C9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334237BB"/>
    <w:multiLevelType w:val="hybridMultilevel"/>
    <w:tmpl w:val="6B120C9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38846AB7"/>
    <w:multiLevelType w:val="hybridMultilevel"/>
    <w:tmpl w:val="744046D6"/>
    <w:lvl w:ilvl="0" w:tplc="E0B63F4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3957786C"/>
    <w:multiLevelType w:val="hybridMultilevel"/>
    <w:tmpl w:val="59464F3A"/>
    <w:lvl w:ilvl="0" w:tplc="E5103F26">
      <w:start w:val="1"/>
      <w:numFmt w:val="lowerLetter"/>
      <w:lvlText w:val="%1)"/>
      <w:lvlJc w:val="left"/>
      <w:pPr>
        <w:ind w:left="786" w:hanging="360"/>
      </w:pPr>
      <w:rPr>
        <w:rFonts w:hint="default"/>
        <w: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3CE144EC"/>
    <w:multiLevelType w:val="hybridMultilevel"/>
    <w:tmpl w:val="22D6D010"/>
    <w:lvl w:ilvl="0" w:tplc="88C44CC4">
      <w:start w:val="1"/>
      <w:numFmt w:val="upperLetter"/>
      <w:pStyle w:val="Heading2"/>
      <w:lvlText w:val="%1."/>
      <w:lvlJc w:val="left"/>
      <w:pPr>
        <w:ind w:left="1068" w:hanging="360"/>
      </w:pPr>
      <w:rPr>
        <w:b/>
      </w:rPr>
    </w:lvl>
    <w:lvl w:ilvl="1" w:tplc="140A000F">
      <w:start w:val="1"/>
      <w:numFmt w:val="decimal"/>
      <w:lvlText w:val="%2."/>
      <w:lvlJc w:val="left"/>
      <w:pPr>
        <w:ind w:left="1788" w:hanging="360"/>
      </w:pPr>
    </w:lvl>
    <w:lvl w:ilvl="2" w:tplc="750811A8">
      <w:start w:val="1"/>
      <w:numFmt w:val="lowerRoman"/>
      <w:lvlText w:val="%3."/>
      <w:lvlJc w:val="right"/>
      <w:pPr>
        <w:ind w:left="2508" w:hanging="180"/>
      </w:pPr>
    </w:lvl>
    <w:lvl w:ilvl="3" w:tplc="140A0015">
      <w:start w:val="1"/>
      <w:numFmt w:val="upperLetter"/>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4">
    <w:nsid w:val="3F9B713D"/>
    <w:multiLevelType w:val="hybridMultilevel"/>
    <w:tmpl w:val="9704209E"/>
    <w:lvl w:ilvl="0" w:tplc="7E8E8A74">
      <w:start w:val="1"/>
      <w:numFmt w:val="decimal"/>
      <w:pStyle w:val="NormalNumbered"/>
      <w:lvlText w:val="%1."/>
      <w:lvlJc w:val="left"/>
      <w:pPr>
        <w:ind w:left="720" w:hanging="720"/>
      </w:pPr>
      <w:rPr>
        <w:rFonts w:ascii="Verdana" w:hAnsi="Verdana" w:hint="default"/>
        <w:b w:val="0"/>
        <w:i w:val="0"/>
        <w:strike w:val="0"/>
        <w:color w:val="auto"/>
        <w:sz w:val="20"/>
        <w:szCs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CFAC7540">
      <w:start w:val="1"/>
      <w:numFmt w:val="decimal"/>
      <w:lvlText w:val="%4."/>
      <w:lvlJc w:val="left"/>
      <w:pPr>
        <w:ind w:left="2520" w:hanging="360"/>
      </w:pPr>
      <w:rPr>
        <w:b/>
        <w:i/>
      </w:r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480830A9"/>
    <w:multiLevelType w:val="hybridMultilevel"/>
    <w:tmpl w:val="59464F3A"/>
    <w:lvl w:ilvl="0" w:tplc="E5103F26">
      <w:start w:val="1"/>
      <w:numFmt w:val="lowerLetter"/>
      <w:lvlText w:val="%1)"/>
      <w:lvlJc w:val="left"/>
      <w:pPr>
        <w:ind w:left="2484" w:hanging="360"/>
      </w:pPr>
      <w:rPr>
        <w:rFonts w:hint="default"/>
        <w:i/>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6">
    <w:nsid w:val="56164B7C"/>
    <w:multiLevelType w:val="hybridMultilevel"/>
    <w:tmpl w:val="8CC26DFC"/>
    <w:lvl w:ilvl="0" w:tplc="CF9AFCBE">
      <w:start w:val="1"/>
      <w:numFmt w:val="lowerLetter"/>
      <w:lvlText w:val="%1)"/>
      <w:lvlJc w:val="left"/>
      <w:pPr>
        <w:ind w:left="818" w:hanging="360"/>
      </w:pPr>
      <w:rPr>
        <w:color w:val="auto"/>
      </w:rPr>
    </w:lvl>
    <w:lvl w:ilvl="1" w:tplc="140A0019">
      <w:start w:val="1"/>
      <w:numFmt w:val="lowerLetter"/>
      <w:lvlText w:val="%2."/>
      <w:lvlJc w:val="left"/>
      <w:pPr>
        <w:ind w:left="1538" w:hanging="360"/>
      </w:pPr>
    </w:lvl>
    <w:lvl w:ilvl="2" w:tplc="140A001B">
      <w:start w:val="1"/>
      <w:numFmt w:val="lowerRoman"/>
      <w:lvlText w:val="%3."/>
      <w:lvlJc w:val="right"/>
      <w:pPr>
        <w:ind w:left="2258" w:hanging="180"/>
      </w:pPr>
    </w:lvl>
    <w:lvl w:ilvl="3" w:tplc="140A000F">
      <w:start w:val="1"/>
      <w:numFmt w:val="decimal"/>
      <w:lvlText w:val="%4."/>
      <w:lvlJc w:val="left"/>
      <w:pPr>
        <w:ind w:left="2978" w:hanging="360"/>
      </w:pPr>
    </w:lvl>
    <w:lvl w:ilvl="4" w:tplc="140A0019">
      <w:start w:val="1"/>
      <w:numFmt w:val="lowerLetter"/>
      <w:lvlText w:val="%5."/>
      <w:lvlJc w:val="left"/>
      <w:pPr>
        <w:ind w:left="3698" w:hanging="360"/>
      </w:pPr>
    </w:lvl>
    <w:lvl w:ilvl="5" w:tplc="140A001B">
      <w:start w:val="1"/>
      <w:numFmt w:val="lowerRoman"/>
      <w:lvlText w:val="%6."/>
      <w:lvlJc w:val="right"/>
      <w:pPr>
        <w:ind w:left="4418" w:hanging="180"/>
      </w:pPr>
    </w:lvl>
    <w:lvl w:ilvl="6" w:tplc="140A000F">
      <w:start w:val="1"/>
      <w:numFmt w:val="decimal"/>
      <w:lvlText w:val="%7."/>
      <w:lvlJc w:val="left"/>
      <w:pPr>
        <w:ind w:left="5138" w:hanging="360"/>
      </w:pPr>
    </w:lvl>
    <w:lvl w:ilvl="7" w:tplc="140A0019">
      <w:start w:val="1"/>
      <w:numFmt w:val="lowerLetter"/>
      <w:lvlText w:val="%8."/>
      <w:lvlJc w:val="left"/>
      <w:pPr>
        <w:ind w:left="5858" w:hanging="360"/>
      </w:pPr>
    </w:lvl>
    <w:lvl w:ilvl="8" w:tplc="140A001B">
      <w:start w:val="1"/>
      <w:numFmt w:val="lowerRoman"/>
      <w:lvlText w:val="%9."/>
      <w:lvlJc w:val="right"/>
      <w:pPr>
        <w:ind w:left="6578" w:hanging="180"/>
      </w:pPr>
    </w:lvl>
  </w:abstractNum>
  <w:abstractNum w:abstractNumId="17">
    <w:nsid w:val="590E2BBA"/>
    <w:multiLevelType w:val="hybridMultilevel"/>
    <w:tmpl w:val="663C65EC"/>
    <w:lvl w:ilvl="0" w:tplc="140A000F">
      <w:start w:val="1"/>
      <w:numFmt w:val="decimal"/>
      <w:lvlText w:val="%1."/>
      <w:lvlJc w:val="left"/>
      <w:pPr>
        <w:ind w:left="2407" w:hanging="360"/>
      </w:pPr>
    </w:lvl>
    <w:lvl w:ilvl="1" w:tplc="140A0019" w:tentative="1">
      <w:start w:val="1"/>
      <w:numFmt w:val="lowerLetter"/>
      <w:lvlText w:val="%2."/>
      <w:lvlJc w:val="left"/>
      <w:pPr>
        <w:ind w:left="3127" w:hanging="360"/>
      </w:pPr>
    </w:lvl>
    <w:lvl w:ilvl="2" w:tplc="140A001B" w:tentative="1">
      <w:start w:val="1"/>
      <w:numFmt w:val="lowerRoman"/>
      <w:lvlText w:val="%3."/>
      <w:lvlJc w:val="right"/>
      <w:pPr>
        <w:ind w:left="3847" w:hanging="180"/>
      </w:pPr>
    </w:lvl>
    <w:lvl w:ilvl="3" w:tplc="140A000F" w:tentative="1">
      <w:start w:val="1"/>
      <w:numFmt w:val="decimal"/>
      <w:lvlText w:val="%4."/>
      <w:lvlJc w:val="left"/>
      <w:pPr>
        <w:ind w:left="4567" w:hanging="360"/>
      </w:pPr>
    </w:lvl>
    <w:lvl w:ilvl="4" w:tplc="140A0019" w:tentative="1">
      <w:start w:val="1"/>
      <w:numFmt w:val="lowerLetter"/>
      <w:lvlText w:val="%5."/>
      <w:lvlJc w:val="left"/>
      <w:pPr>
        <w:ind w:left="5287" w:hanging="360"/>
      </w:pPr>
    </w:lvl>
    <w:lvl w:ilvl="5" w:tplc="140A001B" w:tentative="1">
      <w:start w:val="1"/>
      <w:numFmt w:val="lowerRoman"/>
      <w:lvlText w:val="%6."/>
      <w:lvlJc w:val="right"/>
      <w:pPr>
        <w:ind w:left="6007" w:hanging="180"/>
      </w:pPr>
    </w:lvl>
    <w:lvl w:ilvl="6" w:tplc="140A000F" w:tentative="1">
      <w:start w:val="1"/>
      <w:numFmt w:val="decimal"/>
      <w:lvlText w:val="%7."/>
      <w:lvlJc w:val="left"/>
      <w:pPr>
        <w:ind w:left="6727" w:hanging="360"/>
      </w:pPr>
    </w:lvl>
    <w:lvl w:ilvl="7" w:tplc="140A0019" w:tentative="1">
      <w:start w:val="1"/>
      <w:numFmt w:val="lowerLetter"/>
      <w:lvlText w:val="%8."/>
      <w:lvlJc w:val="left"/>
      <w:pPr>
        <w:ind w:left="7447" w:hanging="360"/>
      </w:pPr>
    </w:lvl>
    <w:lvl w:ilvl="8" w:tplc="140A001B" w:tentative="1">
      <w:start w:val="1"/>
      <w:numFmt w:val="lowerRoman"/>
      <w:lvlText w:val="%9."/>
      <w:lvlJc w:val="right"/>
      <w:pPr>
        <w:ind w:left="8167" w:hanging="180"/>
      </w:pPr>
    </w:lvl>
  </w:abstractNum>
  <w:abstractNum w:abstractNumId="18">
    <w:nsid w:val="5A204743"/>
    <w:multiLevelType w:val="hybridMultilevel"/>
    <w:tmpl w:val="77C43ED4"/>
    <w:lvl w:ilvl="0" w:tplc="140A000F">
      <w:start w:val="1"/>
      <w:numFmt w:val="decimal"/>
      <w:lvlText w:val="%1."/>
      <w:lvlJc w:val="left"/>
      <w:pPr>
        <w:ind w:left="2136" w:hanging="360"/>
      </w:pPr>
    </w:lvl>
    <w:lvl w:ilvl="1" w:tplc="140A0019" w:tentative="1">
      <w:start w:val="1"/>
      <w:numFmt w:val="lowerLetter"/>
      <w:lvlText w:val="%2."/>
      <w:lvlJc w:val="left"/>
      <w:pPr>
        <w:ind w:left="2856" w:hanging="360"/>
      </w:pPr>
    </w:lvl>
    <w:lvl w:ilvl="2" w:tplc="140A001B" w:tentative="1">
      <w:start w:val="1"/>
      <w:numFmt w:val="lowerRoman"/>
      <w:lvlText w:val="%3."/>
      <w:lvlJc w:val="right"/>
      <w:pPr>
        <w:ind w:left="3576" w:hanging="180"/>
      </w:pPr>
    </w:lvl>
    <w:lvl w:ilvl="3" w:tplc="140A000F" w:tentative="1">
      <w:start w:val="1"/>
      <w:numFmt w:val="decimal"/>
      <w:lvlText w:val="%4."/>
      <w:lvlJc w:val="left"/>
      <w:pPr>
        <w:ind w:left="4296" w:hanging="360"/>
      </w:pPr>
    </w:lvl>
    <w:lvl w:ilvl="4" w:tplc="140A0019" w:tentative="1">
      <w:start w:val="1"/>
      <w:numFmt w:val="lowerLetter"/>
      <w:lvlText w:val="%5."/>
      <w:lvlJc w:val="left"/>
      <w:pPr>
        <w:ind w:left="5016" w:hanging="360"/>
      </w:pPr>
    </w:lvl>
    <w:lvl w:ilvl="5" w:tplc="140A001B" w:tentative="1">
      <w:start w:val="1"/>
      <w:numFmt w:val="lowerRoman"/>
      <w:lvlText w:val="%6."/>
      <w:lvlJc w:val="right"/>
      <w:pPr>
        <w:ind w:left="5736" w:hanging="180"/>
      </w:pPr>
    </w:lvl>
    <w:lvl w:ilvl="6" w:tplc="140A000F" w:tentative="1">
      <w:start w:val="1"/>
      <w:numFmt w:val="decimal"/>
      <w:lvlText w:val="%7."/>
      <w:lvlJc w:val="left"/>
      <w:pPr>
        <w:ind w:left="6456" w:hanging="360"/>
      </w:pPr>
    </w:lvl>
    <w:lvl w:ilvl="7" w:tplc="140A0019" w:tentative="1">
      <w:start w:val="1"/>
      <w:numFmt w:val="lowerLetter"/>
      <w:lvlText w:val="%8."/>
      <w:lvlJc w:val="left"/>
      <w:pPr>
        <w:ind w:left="7176" w:hanging="360"/>
      </w:pPr>
    </w:lvl>
    <w:lvl w:ilvl="8" w:tplc="140A001B" w:tentative="1">
      <w:start w:val="1"/>
      <w:numFmt w:val="lowerRoman"/>
      <w:lvlText w:val="%9."/>
      <w:lvlJc w:val="right"/>
      <w:pPr>
        <w:ind w:left="7896" w:hanging="180"/>
      </w:pPr>
    </w:lvl>
  </w:abstractNum>
  <w:abstractNum w:abstractNumId="19">
    <w:nsid w:val="76753A80"/>
    <w:multiLevelType w:val="hybridMultilevel"/>
    <w:tmpl w:val="82E06D80"/>
    <w:lvl w:ilvl="0" w:tplc="5126705A">
      <w:start w:val="1"/>
      <w:numFmt w:val="decimal"/>
      <w:pStyle w:val="PrrafodeSentencia"/>
      <w:lvlText w:val="%1."/>
      <w:lvlJc w:val="left"/>
      <w:pPr>
        <w:ind w:left="0" w:firstLine="0"/>
      </w:pPr>
      <w:rPr>
        <w:rFonts w:ascii="Verdana" w:hAnsi="Verdana" w:hint="default"/>
        <w:b w:val="0"/>
        <w:i w:val="0"/>
        <w:strike w:val="0"/>
        <w:color w:val="auto"/>
        <w:sz w:val="20"/>
        <w:szCs w:val="20"/>
        <w:lang w:val="es-ES"/>
      </w:rPr>
    </w:lvl>
    <w:lvl w:ilvl="1" w:tplc="2C0A0019">
      <w:start w:val="1"/>
      <w:numFmt w:val="lowerLetter"/>
      <w:lvlText w:val="%2."/>
      <w:lvlJc w:val="left"/>
      <w:pPr>
        <w:ind w:left="1298" w:hanging="360"/>
      </w:pPr>
      <w:rPr>
        <w:rFonts w:hint="default"/>
        <w:lang w:val="es-CR"/>
      </w:rPr>
    </w:lvl>
    <w:lvl w:ilvl="2" w:tplc="4202A1AC">
      <w:start w:val="1"/>
      <w:numFmt w:val="lowerRoman"/>
      <w:lvlText w:val="%3."/>
      <w:lvlJc w:val="right"/>
      <w:pPr>
        <w:ind w:left="2018" w:hanging="180"/>
      </w:pPr>
      <w:rPr>
        <w:i/>
      </w:rPr>
    </w:lvl>
    <w:lvl w:ilvl="3" w:tplc="68C6F5F2">
      <w:start w:val="1"/>
      <w:numFmt w:val="upperLetter"/>
      <w:lvlText w:val="%4."/>
      <w:lvlJc w:val="left"/>
      <w:pPr>
        <w:ind w:left="3083" w:hanging="705"/>
      </w:pPr>
      <w:rPr>
        <w:rFonts w:hint="default"/>
      </w:rPr>
    </w:lvl>
    <w:lvl w:ilvl="4" w:tplc="E7BA4BB6"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20">
    <w:nsid w:val="79354707"/>
    <w:multiLevelType w:val="hybridMultilevel"/>
    <w:tmpl w:val="A6E41CB0"/>
    <w:lvl w:ilvl="0" w:tplc="D406991C">
      <w:start w:val="1"/>
      <w:numFmt w:val="decimal"/>
      <w:lvlText w:val="%1."/>
      <w:lvlJc w:val="left"/>
      <w:pPr>
        <w:ind w:left="825" w:hanging="825"/>
      </w:pPr>
      <w:rPr>
        <w:rFonts w:ascii="Verdana" w:eastAsia="Verdana" w:hAnsi="Verdana" w:cs="Times New Roman" w:hint="default"/>
        <w:b w:val="0"/>
        <w:i w:val="0"/>
        <w:color w:val="auto"/>
        <w:sz w:val="20"/>
        <w:szCs w:val="20"/>
        <w:lang w:val="es-CR"/>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1">
    <w:nsid w:val="7C2D1FE5"/>
    <w:multiLevelType w:val="hybridMultilevel"/>
    <w:tmpl w:val="8EF6EB3C"/>
    <w:lvl w:ilvl="0" w:tplc="399A4540">
      <w:start w:val="1"/>
      <w:numFmt w:val="decimal"/>
      <w:lvlText w:val="%1."/>
      <w:lvlJc w:val="left"/>
      <w:pPr>
        <w:ind w:left="360" w:hanging="360"/>
      </w:pPr>
      <w:rPr>
        <w:rFonts w:ascii="Verdana" w:hAnsi="Verdana" w:hint="default"/>
        <w:b w:val="0"/>
        <w:i w:val="0"/>
        <w:strike w:val="0"/>
        <w:dstrike w:val="0"/>
        <w:color w:val="auto"/>
        <w:sz w:val="20"/>
        <w:szCs w:val="20"/>
        <w:u w:val="none"/>
        <w:effect w:val="none"/>
        <w:lang w:val="es-CR"/>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2">
    <w:nsid w:val="7CE64D32"/>
    <w:multiLevelType w:val="hybridMultilevel"/>
    <w:tmpl w:val="9F8AF72C"/>
    <w:lvl w:ilvl="0" w:tplc="B09255D8">
      <w:start w:val="1"/>
      <w:numFmt w:val="decimal"/>
      <w:lvlText w:val="%1."/>
      <w:lvlJc w:val="left"/>
      <w:pPr>
        <w:tabs>
          <w:tab w:val="num" w:pos="0"/>
        </w:tabs>
        <w:ind w:left="0" w:firstLine="0"/>
      </w:pPr>
      <w:rPr>
        <w:rFonts w:ascii="Verdana" w:eastAsia="Times New Roman" w:hAnsi="Verdana" w:cs="Times New Roman" w:hint="default"/>
        <w:b w:val="0"/>
        <w:i w:val="0"/>
        <w:strike w:val="0"/>
        <w:dstrike w:val="0"/>
        <w:color w:val="auto"/>
        <w:sz w:val="20"/>
        <w:u w:val="none"/>
        <w:effect w:val="none"/>
        <w:lang w:val="es-CO"/>
      </w:rPr>
    </w:lvl>
    <w:lvl w:ilvl="1" w:tplc="3AAA13E2">
      <w:start w:val="1"/>
      <w:numFmt w:val="decimal"/>
      <w:lvlText w:val="%2."/>
      <w:lvlJc w:val="left"/>
      <w:pPr>
        <w:tabs>
          <w:tab w:val="num" w:pos="0"/>
        </w:tabs>
        <w:ind w:left="0" w:firstLine="0"/>
      </w:pPr>
      <w:rPr>
        <w:rFonts w:ascii="Verdana" w:eastAsia="Times New Roman" w:hAnsi="Verdana" w:cs="Times New Roman" w:hint="default"/>
        <w:b/>
        <w:i w:val="0"/>
        <w:strike w:val="0"/>
        <w:dstrike w:val="0"/>
        <w:color w:val="auto"/>
        <w:sz w:val="20"/>
        <w:u w:val="none"/>
        <w:effect w:val="none"/>
        <w:lang w:val="es-C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7F5652C1"/>
    <w:multiLevelType w:val="hybridMultilevel"/>
    <w:tmpl w:val="FCBA338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7F611009"/>
    <w:multiLevelType w:val="hybridMultilevel"/>
    <w:tmpl w:val="5E009AE8"/>
    <w:lvl w:ilvl="0" w:tplc="0114A58C">
      <w:start w:val="29"/>
      <w:numFmt w:val="bullet"/>
      <w:lvlText w:val="-"/>
      <w:lvlJc w:val="left"/>
      <w:pPr>
        <w:ind w:left="360" w:hanging="360"/>
      </w:pPr>
      <w:rPr>
        <w:rFonts w:ascii="Verdana" w:eastAsia="Times New Roman" w:hAnsi="Verdana" w:cs="Times New Roman"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num w:numId="1">
    <w:abstractNumId w:val="19"/>
  </w:num>
  <w:num w:numId="2">
    <w:abstractNumId w:val="2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7"/>
  </w:num>
  <w:num w:numId="6">
    <w:abstractNumId w:val="1"/>
  </w:num>
  <w:num w:numId="7">
    <w:abstractNumId w:val="13"/>
  </w:num>
  <w:num w:numId="8">
    <w:abstractNumId w:val="3"/>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4"/>
  </w:num>
  <w:num w:numId="15">
    <w:abstractNumId w:val="8"/>
  </w:num>
  <w:num w:numId="16">
    <w:abstractNumId w:val="12"/>
  </w:num>
  <w:num w:numId="17">
    <w:abstractNumId w:val="6"/>
  </w:num>
  <w:num w:numId="18">
    <w:abstractNumId w:val="13"/>
    <w:lvlOverride w:ilvl="0">
      <w:startOverride w:val="1"/>
    </w:lvlOverride>
  </w:num>
  <w:num w:numId="19">
    <w:abstractNumId w:val="7"/>
  </w:num>
  <w:num w:numId="20">
    <w:abstractNumId w:val="18"/>
  </w:num>
  <w:num w:numId="21">
    <w:abstractNumId w:val="13"/>
    <w:lvlOverride w:ilvl="0">
      <w:startOverride w:val="1"/>
    </w:lvlOverride>
  </w:num>
  <w:num w:numId="22">
    <w:abstractNumId w:val="15"/>
  </w:num>
  <w:num w:numId="23">
    <w:abstractNumId w:val="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0"/>
  </w:num>
  <w:num w:numId="27">
    <w:abstractNumId w:val="9"/>
  </w:num>
  <w:num w:numId="28">
    <w:abstractNumId w:val="4"/>
  </w:num>
  <w:num w:numId="29">
    <w:abstractNumId w:val="11"/>
  </w:num>
  <w:num w:numId="30">
    <w:abstractNumId w:val="24"/>
  </w:num>
  <w:num w:numId="31">
    <w:abstractNumId w:val="13"/>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IdMacAtCleanup w:val="2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na vargas climent">
    <w15:presenceInfo w15:providerId="Windows Live" w15:userId="f764d91fc23298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4096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DD"/>
    <w:rsid w:val="00000131"/>
    <w:rsid w:val="0000041A"/>
    <w:rsid w:val="00000433"/>
    <w:rsid w:val="0000057A"/>
    <w:rsid w:val="000005DD"/>
    <w:rsid w:val="00000D64"/>
    <w:rsid w:val="000012D8"/>
    <w:rsid w:val="000013E8"/>
    <w:rsid w:val="00001866"/>
    <w:rsid w:val="0000214E"/>
    <w:rsid w:val="000026ED"/>
    <w:rsid w:val="00002BD1"/>
    <w:rsid w:val="000041B7"/>
    <w:rsid w:val="0000442C"/>
    <w:rsid w:val="00004B34"/>
    <w:rsid w:val="00004B71"/>
    <w:rsid w:val="00004CCB"/>
    <w:rsid w:val="000055DC"/>
    <w:rsid w:val="000064FD"/>
    <w:rsid w:val="00007977"/>
    <w:rsid w:val="00007D98"/>
    <w:rsid w:val="0001019C"/>
    <w:rsid w:val="00010CFA"/>
    <w:rsid w:val="00011543"/>
    <w:rsid w:val="0001173B"/>
    <w:rsid w:val="00011740"/>
    <w:rsid w:val="00011DD0"/>
    <w:rsid w:val="000122E9"/>
    <w:rsid w:val="00012B33"/>
    <w:rsid w:val="00012D32"/>
    <w:rsid w:val="000136CC"/>
    <w:rsid w:val="00013978"/>
    <w:rsid w:val="00014157"/>
    <w:rsid w:val="000147D2"/>
    <w:rsid w:val="00014DDD"/>
    <w:rsid w:val="0001567D"/>
    <w:rsid w:val="00015E21"/>
    <w:rsid w:val="00016122"/>
    <w:rsid w:val="00016220"/>
    <w:rsid w:val="0001661C"/>
    <w:rsid w:val="000166FA"/>
    <w:rsid w:val="00016B6D"/>
    <w:rsid w:val="000170FA"/>
    <w:rsid w:val="00017359"/>
    <w:rsid w:val="000173E2"/>
    <w:rsid w:val="000174AE"/>
    <w:rsid w:val="00017C10"/>
    <w:rsid w:val="000203F0"/>
    <w:rsid w:val="00020A9A"/>
    <w:rsid w:val="000214BA"/>
    <w:rsid w:val="000219C5"/>
    <w:rsid w:val="00021BE1"/>
    <w:rsid w:val="00022FA6"/>
    <w:rsid w:val="00023342"/>
    <w:rsid w:val="00023643"/>
    <w:rsid w:val="00024506"/>
    <w:rsid w:val="000251CE"/>
    <w:rsid w:val="00025E57"/>
    <w:rsid w:val="000262AD"/>
    <w:rsid w:val="000272DF"/>
    <w:rsid w:val="000277A2"/>
    <w:rsid w:val="000279A8"/>
    <w:rsid w:val="00030828"/>
    <w:rsid w:val="00030D94"/>
    <w:rsid w:val="00030E2E"/>
    <w:rsid w:val="00030FED"/>
    <w:rsid w:val="000315FE"/>
    <w:rsid w:val="0003189C"/>
    <w:rsid w:val="00031D84"/>
    <w:rsid w:val="00031DB1"/>
    <w:rsid w:val="0003268B"/>
    <w:rsid w:val="00032981"/>
    <w:rsid w:val="00032C84"/>
    <w:rsid w:val="00032E6D"/>
    <w:rsid w:val="000339A2"/>
    <w:rsid w:val="00033DD8"/>
    <w:rsid w:val="00034C26"/>
    <w:rsid w:val="000360B5"/>
    <w:rsid w:val="000364C5"/>
    <w:rsid w:val="00036856"/>
    <w:rsid w:val="0003709D"/>
    <w:rsid w:val="00037611"/>
    <w:rsid w:val="00037A15"/>
    <w:rsid w:val="000403BA"/>
    <w:rsid w:val="00040BA7"/>
    <w:rsid w:val="000412C5"/>
    <w:rsid w:val="000423C6"/>
    <w:rsid w:val="00042C39"/>
    <w:rsid w:val="00042D8A"/>
    <w:rsid w:val="000435D5"/>
    <w:rsid w:val="0004360F"/>
    <w:rsid w:val="00043B83"/>
    <w:rsid w:val="00044325"/>
    <w:rsid w:val="00045B83"/>
    <w:rsid w:val="000470EB"/>
    <w:rsid w:val="00047A3B"/>
    <w:rsid w:val="0005049A"/>
    <w:rsid w:val="00050799"/>
    <w:rsid w:val="0005131A"/>
    <w:rsid w:val="00051707"/>
    <w:rsid w:val="00051985"/>
    <w:rsid w:val="00051F3F"/>
    <w:rsid w:val="000525AA"/>
    <w:rsid w:val="00053076"/>
    <w:rsid w:val="00053475"/>
    <w:rsid w:val="00053B96"/>
    <w:rsid w:val="00053DEB"/>
    <w:rsid w:val="000542BC"/>
    <w:rsid w:val="0005490E"/>
    <w:rsid w:val="0005494C"/>
    <w:rsid w:val="00055759"/>
    <w:rsid w:val="00055993"/>
    <w:rsid w:val="000565E4"/>
    <w:rsid w:val="0005710F"/>
    <w:rsid w:val="000572F7"/>
    <w:rsid w:val="00057F48"/>
    <w:rsid w:val="00057F8B"/>
    <w:rsid w:val="00060589"/>
    <w:rsid w:val="00060FFF"/>
    <w:rsid w:val="00062285"/>
    <w:rsid w:val="00062586"/>
    <w:rsid w:val="0006464E"/>
    <w:rsid w:val="000650AB"/>
    <w:rsid w:val="0006522F"/>
    <w:rsid w:val="000663FA"/>
    <w:rsid w:val="00066D4A"/>
    <w:rsid w:val="00067E98"/>
    <w:rsid w:val="000700F9"/>
    <w:rsid w:val="000704CD"/>
    <w:rsid w:val="00070941"/>
    <w:rsid w:val="00071A93"/>
    <w:rsid w:val="00071FF3"/>
    <w:rsid w:val="00072121"/>
    <w:rsid w:val="000723CB"/>
    <w:rsid w:val="000732AE"/>
    <w:rsid w:val="00073A86"/>
    <w:rsid w:val="00073ECE"/>
    <w:rsid w:val="0007433C"/>
    <w:rsid w:val="00074D55"/>
    <w:rsid w:val="00074DBF"/>
    <w:rsid w:val="0007552A"/>
    <w:rsid w:val="00075585"/>
    <w:rsid w:val="00075931"/>
    <w:rsid w:val="00075B12"/>
    <w:rsid w:val="000775B9"/>
    <w:rsid w:val="000776E8"/>
    <w:rsid w:val="000804BE"/>
    <w:rsid w:val="00080C65"/>
    <w:rsid w:val="00080CCE"/>
    <w:rsid w:val="0008155F"/>
    <w:rsid w:val="00082225"/>
    <w:rsid w:val="00082283"/>
    <w:rsid w:val="00082399"/>
    <w:rsid w:val="000826E8"/>
    <w:rsid w:val="00082A67"/>
    <w:rsid w:val="00082AC3"/>
    <w:rsid w:val="00084003"/>
    <w:rsid w:val="00084D8C"/>
    <w:rsid w:val="000852DF"/>
    <w:rsid w:val="00085704"/>
    <w:rsid w:val="00085BDD"/>
    <w:rsid w:val="00085C23"/>
    <w:rsid w:val="00085FE6"/>
    <w:rsid w:val="00086920"/>
    <w:rsid w:val="00086B49"/>
    <w:rsid w:val="00086B4C"/>
    <w:rsid w:val="00086DFF"/>
    <w:rsid w:val="00090F6D"/>
    <w:rsid w:val="00091418"/>
    <w:rsid w:val="00091F07"/>
    <w:rsid w:val="00092361"/>
    <w:rsid w:val="00092CBD"/>
    <w:rsid w:val="000932A6"/>
    <w:rsid w:val="000937EB"/>
    <w:rsid w:val="00094003"/>
    <w:rsid w:val="0009464E"/>
    <w:rsid w:val="00094BE6"/>
    <w:rsid w:val="000951AE"/>
    <w:rsid w:val="00097021"/>
    <w:rsid w:val="000977B9"/>
    <w:rsid w:val="000A0FEB"/>
    <w:rsid w:val="000A19C2"/>
    <w:rsid w:val="000A1D79"/>
    <w:rsid w:val="000A257A"/>
    <w:rsid w:val="000A30A9"/>
    <w:rsid w:val="000A373E"/>
    <w:rsid w:val="000A4835"/>
    <w:rsid w:val="000A5483"/>
    <w:rsid w:val="000A5E7C"/>
    <w:rsid w:val="000A6094"/>
    <w:rsid w:val="000A6BEC"/>
    <w:rsid w:val="000A6D89"/>
    <w:rsid w:val="000A701A"/>
    <w:rsid w:val="000A72F5"/>
    <w:rsid w:val="000A7774"/>
    <w:rsid w:val="000A7866"/>
    <w:rsid w:val="000A7CBB"/>
    <w:rsid w:val="000B0801"/>
    <w:rsid w:val="000B08FF"/>
    <w:rsid w:val="000B0D9C"/>
    <w:rsid w:val="000B12F8"/>
    <w:rsid w:val="000B18D8"/>
    <w:rsid w:val="000B1D4F"/>
    <w:rsid w:val="000B1E30"/>
    <w:rsid w:val="000B2169"/>
    <w:rsid w:val="000B252B"/>
    <w:rsid w:val="000B285B"/>
    <w:rsid w:val="000B2DC8"/>
    <w:rsid w:val="000B4230"/>
    <w:rsid w:val="000B50C1"/>
    <w:rsid w:val="000B5D06"/>
    <w:rsid w:val="000B6B01"/>
    <w:rsid w:val="000B6E81"/>
    <w:rsid w:val="000B7373"/>
    <w:rsid w:val="000B747A"/>
    <w:rsid w:val="000C0406"/>
    <w:rsid w:val="000C1B19"/>
    <w:rsid w:val="000C1FFD"/>
    <w:rsid w:val="000C2265"/>
    <w:rsid w:val="000C2E18"/>
    <w:rsid w:val="000C3041"/>
    <w:rsid w:val="000C307C"/>
    <w:rsid w:val="000C3436"/>
    <w:rsid w:val="000C3D54"/>
    <w:rsid w:val="000C3DF5"/>
    <w:rsid w:val="000C44D9"/>
    <w:rsid w:val="000C49C6"/>
    <w:rsid w:val="000C4D4F"/>
    <w:rsid w:val="000C54B0"/>
    <w:rsid w:val="000C5821"/>
    <w:rsid w:val="000C5D8A"/>
    <w:rsid w:val="000C69ED"/>
    <w:rsid w:val="000C7C05"/>
    <w:rsid w:val="000D021C"/>
    <w:rsid w:val="000D0359"/>
    <w:rsid w:val="000D080E"/>
    <w:rsid w:val="000D0AE0"/>
    <w:rsid w:val="000D11D5"/>
    <w:rsid w:val="000D1638"/>
    <w:rsid w:val="000D1F26"/>
    <w:rsid w:val="000D1FDF"/>
    <w:rsid w:val="000D230F"/>
    <w:rsid w:val="000D264C"/>
    <w:rsid w:val="000D2734"/>
    <w:rsid w:val="000D2B4C"/>
    <w:rsid w:val="000D2D98"/>
    <w:rsid w:val="000D309F"/>
    <w:rsid w:val="000D3303"/>
    <w:rsid w:val="000D4A1F"/>
    <w:rsid w:val="000D4F2A"/>
    <w:rsid w:val="000D4F90"/>
    <w:rsid w:val="000D5CD4"/>
    <w:rsid w:val="000D627F"/>
    <w:rsid w:val="000D6F86"/>
    <w:rsid w:val="000D7067"/>
    <w:rsid w:val="000D7768"/>
    <w:rsid w:val="000D7769"/>
    <w:rsid w:val="000D77F2"/>
    <w:rsid w:val="000E01D3"/>
    <w:rsid w:val="000E0902"/>
    <w:rsid w:val="000E0C09"/>
    <w:rsid w:val="000E117B"/>
    <w:rsid w:val="000E14C2"/>
    <w:rsid w:val="000E307E"/>
    <w:rsid w:val="000E33C8"/>
    <w:rsid w:val="000E37CE"/>
    <w:rsid w:val="000E43D8"/>
    <w:rsid w:val="000E47C8"/>
    <w:rsid w:val="000E4E75"/>
    <w:rsid w:val="000E53C9"/>
    <w:rsid w:val="000E6B1F"/>
    <w:rsid w:val="000E6E63"/>
    <w:rsid w:val="000E73D9"/>
    <w:rsid w:val="000E7866"/>
    <w:rsid w:val="000E7C80"/>
    <w:rsid w:val="000F05BA"/>
    <w:rsid w:val="000F072D"/>
    <w:rsid w:val="000F113F"/>
    <w:rsid w:val="000F14B8"/>
    <w:rsid w:val="000F1A26"/>
    <w:rsid w:val="000F2206"/>
    <w:rsid w:val="000F26A4"/>
    <w:rsid w:val="000F2AAB"/>
    <w:rsid w:val="000F35F9"/>
    <w:rsid w:val="000F37C9"/>
    <w:rsid w:val="000F4170"/>
    <w:rsid w:val="000F44C5"/>
    <w:rsid w:val="000F49A2"/>
    <w:rsid w:val="000F5205"/>
    <w:rsid w:val="000F5ADD"/>
    <w:rsid w:val="000F6179"/>
    <w:rsid w:val="000F7278"/>
    <w:rsid w:val="000F78D0"/>
    <w:rsid w:val="000F7EA2"/>
    <w:rsid w:val="0010034A"/>
    <w:rsid w:val="001008EF"/>
    <w:rsid w:val="00100ACF"/>
    <w:rsid w:val="0010100E"/>
    <w:rsid w:val="001016A7"/>
    <w:rsid w:val="00101845"/>
    <w:rsid w:val="00104B22"/>
    <w:rsid w:val="00107455"/>
    <w:rsid w:val="0010746C"/>
    <w:rsid w:val="00107649"/>
    <w:rsid w:val="00110716"/>
    <w:rsid w:val="00110B3D"/>
    <w:rsid w:val="00111B66"/>
    <w:rsid w:val="001123F2"/>
    <w:rsid w:val="0011342A"/>
    <w:rsid w:val="001135DA"/>
    <w:rsid w:val="001137DA"/>
    <w:rsid w:val="0011383A"/>
    <w:rsid w:val="00113FF5"/>
    <w:rsid w:val="0011447C"/>
    <w:rsid w:val="00114577"/>
    <w:rsid w:val="0011473D"/>
    <w:rsid w:val="00115056"/>
    <w:rsid w:val="0011543E"/>
    <w:rsid w:val="0011659B"/>
    <w:rsid w:val="001165F9"/>
    <w:rsid w:val="00116807"/>
    <w:rsid w:val="00117E41"/>
    <w:rsid w:val="0012025F"/>
    <w:rsid w:val="00120592"/>
    <w:rsid w:val="00120E41"/>
    <w:rsid w:val="001216F5"/>
    <w:rsid w:val="001218A0"/>
    <w:rsid w:val="00121AA0"/>
    <w:rsid w:val="00122A38"/>
    <w:rsid w:val="0012335E"/>
    <w:rsid w:val="001242D0"/>
    <w:rsid w:val="00124478"/>
    <w:rsid w:val="00124A33"/>
    <w:rsid w:val="00125A17"/>
    <w:rsid w:val="00125F25"/>
    <w:rsid w:val="0012612E"/>
    <w:rsid w:val="00126389"/>
    <w:rsid w:val="00126DBA"/>
    <w:rsid w:val="00126F91"/>
    <w:rsid w:val="00127556"/>
    <w:rsid w:val="00130531"/>
    <w:rsid w:val="001307D1"/>
    <w:rsid w:val="0013081F"/>
    <w:rsid w:val="00130944"/>
    <w:rsid w:val="00130A02"/>
    <w:rsid w:val="00131356"/>
    <w:rsid w:val="001317E8"/>
    <w:rsid w:val="001320B0"/>
    <w:rsid w:val="001320D4"/>
    <w:rsid w:val="0013235D"/>
    <w:rsid w:val="00132C26"/>
    <w:rsid w:val="00133B67"/>
    <w:rsid w:val="00134BEC"/>
    <w:rsid w:val="00134D64"/>
    <w:rsid w:val="00135580"/>
    <w:rsid w:val="00135E0A"/>
    <w:rsid w:val="00135E3E"/>
    <w:rsid w:val="00136108"/>
    <w:rsid w:val="0013738C"/>
    <w:rsid w:val="0013799D"/>
    <w:rsid w:val="0014134B"/>
    <w:rsid w:val="0014155F"/>
    <w:rsid w:val="00141692"/>
    <w:rsid w:val="00142649"/>
    <w:rsid w:val="00142E20"/>
    <w:rsid w:val="001445DA"/>
    <w:rsid w:val="00145A34"/>
    <w:rsid w:val="00145EDA"/>
    <w:rsid w:val="00146F77"/>
    <w:rsid w:val="00147721"/>
    <w:rsid w:val="00147909"/>
    <w:rsid w:val="00150189"/>
    <w:rsid w:val="00150806"/>
    <w:rsid w:val="00150C25"/>
    <w:rsid w:val="00150FD5"/>
    <w:rsid w:val="001512CA"/>
    <w:rsid w:val="00151E4D"/>
    <w:rsid w:val="00151EBB"/>
    <w:rsid w:val="001521C3"/>
    <w:rsid w:val="00152B77"/>
    <w:rsid w:val="00152F4C"/>
    <w:rsid w:val="00152FBF"/>
    <w:rsid w:val="001532C0"/>
    <w:rsid w:val="00153315"/>
    <w:rsid w:val="00153436"/>
    <w:rsid w:val="001535F8"/>
    <w:rsid w:val="001544FC"/>
    <w:rsid w:val="00154AB0"/>
    <w:rsid w:val="00155E8E"/>
    <w:rsid w:val="00156A04"/>
    <w:rsid w:val="001575F7"/>
    <w:rsid w:val="001579D1"/>
    <w:rsid w:val="00157A8F"/>
    <w:rsid w:val="00160819"/>
    <w:rsid w:val="00161694"/>
    <w:rsid w:val="001617ED"/>
    <w:rsid w:val="001620F7"/>
    <w:rsid w:val="00162D62"/>
    <w:rsid w:val="00162DF3"/>
    <w:rsid w:val="00164083"/>
    <w:rsid w:val="0016488D"/>
    <w:rsid w:val="00164C05"/>
    <w:rsid w:val="00164F7B"/>
    <w:rsid w:val="001656F7"/>
    <w:rsid w:val="00165999"/>
    <w:rsid w:val="001667A9"/>
    <w:rsid w:val="00166D6F"/>
    <w:rsid w:val="00166F3E"/>
    <w:rsid w:val="001705C2"/>
    <w:rsid w:val="001710B8"/>
    <w:rsid w:val="001713A1"/>
    <w:rsid w:val="00171A5D"/>
    <w:rsid w:val="00171B4B"/>
    <w:rsid w:val="00171F67"/>
    <w:rsid w:val="001721BD"/>
    <w:rsid w:val="00172F23"/>
    <w:rsid w:val="00172FE0"/>
    <w:rsid w:val="001736E4"/>
    <w:rsid w:val="0017482E"/>
    <w:rsid w:val="00174941"/>
    <w:rsid w:val="00174D2D"/>
    <w:rsid w:val="0017539B"/>
    <w:rsid w:val="001754D4"/>
    <w:rsid w:val="0017602D"/>
    <w:rsid w:val="001760C9"/>
    <w:rsid w:val="001763B2"/>
    <w:rsid w:val="00176A21"/>
    <w:rsid w:val="001770EA"/>
    <w:rsid w:val="00177292"/>
    <w:rsid w:val="00177399"/>
    <w:rsid w:val="001773EF"/>
    <w:rsid w:val="00177495"/>
    <w:rsid w:val="00177605"/>
    <w:rsid w:val="00177D3C"/>
    <w:rsid w:val="00180117"/>
    <w:rsid w:val="00180AD7"/>
    <w:rsid w:val="00180D4D"/>
    <w:rsid w:val="001826D8"/>
    <w:rsid w:val="00182A7C"/>
    <w:rsid w:val="00183265"/>
    <w:rsid w:val="00183FBB"/>
    <w:rsid w:val="001841C5"/>
    <w:rsid w:val="0018429A"/>
    <w:rsid w:val="001860D1"/>
    <w:rsid w:val="00186404"/>
    <w:rsid w:val="001871B8"/>
    <w:rsid w:val="00187538"/>
    <w:rsid w:val="001878A1"/>
    <w:rsid w:val="00190CCC"/>
    <w:rsid w:val="00190E75"/>
    <w:rsid w:val="0019170F"/>
    <w:rsid w:val="0019187D"/>
    <w:rsid w:val="00191950"/>
    <w:rsid w:val="001925E9"/>
    <w:rsid w:val="00192CF7"/>
    <w:rsid w:val="001932EF"/>
    <w:rsid w:val="00193FA9"/>
    <w:rsid w:val="00194FF1"/>
    <w:rsid w:val="00195333"/>
    <w:rsid w:val="0019584C"/>
    <w:rsid w:val="00195867"/>
    <w:rsid w:val="00196410"/>
    <w:rsid w:val="00196E41"/>
    <w:rsid w:val="001975E2"/>
    <w:rsid w:val="0019790E"/>
    <w:rsid w:val="00197D5A"/>
    <w:rsid w:val="001A113C"/>
    <w:rsid w:val="001A230F"/>
    <w:rsid w:val="001A2AC7"/>
    <w:rsid w:val="001A2BBA"/>
    <w:rsid w:val="001A2E32"/>
    <w:rsid w:val="001A3986"/>
    <w:rsid w:val="001A5114"/>
    <w:rsid w:val="001A5C40"/>
    <w:rsid w:val="001A60FB"/>
    <w:rsid w:val="001A622B"/>
    <w:rsid w:val="001A65F9"/>
    <w:rsid w:val="001A751D"/>
    <w:rsid w:val="001A76EC"/>
    <w:rsid w:val="001A7A8E"/>
    <w:rsid w:val="001A7B45"/>
    <w:rsid w:val="001B0177"/>
    <w:rsid w:val="001B02F1"/>
    <w:rsid w:val="001B0324"/>
    <w:rsid w:val="001B222D"/>
    <w:rsid w:val="001B334A"/>
    <w:rsid w:val="001B5224"/>
    <w:rsid w:val="001B53DF"/>
    <w:rsid w:val="001B5AD7"/>
    <w:rsid w:val="001B6272"/>
    <w:rsid w:val="001B6A44"/>
    <w:rsid w:val="001B7255"/>
    <w:rsid w:val="001B7433"/>
    <w:rsid w:val="001B7E69"/>
    <w:rsid w:val="001C013B"/>
    <w:rsid w:val="001C02D8"/>
    <w:rsid w:val="001C03B7"/>
    <w:rsid w:val="001C0876"/>
    <w:rsid w:val="001C1F1A"/>
    <w:rsid w:val="001C2FCF"/>
    <w:rsid w:val="001C30F9"/>
    <w:rsid w:val="001C43D1"/>
    <w:rsid w:val="001C4462"/>
    <w:rsid w:val="001C46AD"/>
    <w:rsid w:val="001C4AA5"/>
    <w:rsid w:val="001C4D75"/>
    <w:rsid w:val="001C4FBC"/>
    <w:rsid w:val="001C5850"/>
    <w:rsid w:val="001C5E14"/>
    <w:rsid w:val="001C5F7B"/>
    <w:rsid w:val="001C7633"/>
    <w:rsid w:val="001D0395"/>
    <w:rsid w:val="001D0D75"/>
    <w:rsid w:val="001D1448"/>
    <w:rsid w:val="001D2174"/>
    <w:rsid w:val="001D21F5"/>
    <w:rsid w:val="001D33AE"/>
    <w:rsid w:val="001D3801"/>
    <w:rsid w:val="001D3E76"/>
    <w:rsid w:val="001D3F0C"/>
    <w:rsid w:val="001D4863"/>
    <w:rsid w:val="001D498B"/>
    <w:rsid w:val="001D523B"/>
    <w:rsid w:val="001D5D80"/>
    <w:rsid w:val="001D5D94"/>
    <w:rsid w:val="001D5FD5"/>
    <w:rsid w:val="001D6B4F"/>
    <w:rsid w:val="001D7B6D"/>
    <w:rsid w:val="001E06A6"/>
    <w:rsid w:val="001E0790"/>
    <w:rsid w:val="001E145A"/>
    <w:rsid w:val="001E1CBD"/>
    <w:rsid w:val="001E1D73"/>
    <w:rsid w:val="001E272C"/>
    <w:rsid w:val="001E299B"/>
    <w:rsid w:val="001E454A"/>
    <w:rsid w:val="001E5513"/>
    <w:rsid w:val="001E5AFC"/>
    <w:rsid w:val="001E651F"/>
    <w:rsid w:val="001F033C"/>
    <w:rsid w:val="001F0787"/>
    <w:rsid w:val="001F0C1C"/>
    <w:rsid w:val="001F1858"/>
    <w:rsid w:val="001F313A"/>
    <w:rsid w:val="001F3E25"/>
    <w:rsid w:val="001F4D0D"/>
    <w:rsid w:val="001F56F1"/>
    <w:rsid w:val="001F570C"/>
    <w:rsid w:val="001F604C"/>
    <w:rsid w:val="001F67C0"/>
    <w:rsid w:val="001F770D"/>
    <w:rsid w:val="001F7B33"/>
    <w:rsid w:val="00200019"/>
    <w:rsid w:val="00201341"/>
    <w:rsid w:val="00201CC4"/>
    <w:rsid w:val="00202430"/>
    <w:rsid w:val="002035CD"/>
    <w:rsid w:val="00203A6C"/>
    <w:rsid w:val="00203B8D"/>
    <w:rsid w:val="00204724"/>
    <w:rsid w:val="00204D29"/>
    <w:rsid w:val="00204F1E"/>
    <w:rsid w:val="0020518D"/>
    <w:rsid w:val="002052F4"/>
    <w:rsid w:val="0020728F"/>
    <w:rsid w:val="0020768A"/>
    <w:rsid w:val="00210616"/>
    <w:rsid w:val="002108C0"/>
    <w:rsid w:val="00210DF6"/>
    <w:rsid w:val="0021162F"/>
    <w:rsid w:val="0021178D"/>
    <w:rsid w:val="00211E7C"/>
    <w:rsid w:val="00212E7A"/>
    <w:rsid w:val="002143A9"/>
    <w:rsid w:val="00214553"/>
    <w:rsid w:val="00215790"/>
    <w:rsid w:val="002169EE"/>
    <w:rsid w:val="00216D7B"/>
    <w:rsid w:val="002175A2"/>
    <w:rsid w:val="002179E6"/>
    <w:rsid w:val="002179F7"/>
    <w:rsid w:val="00217C59"/>
    <w:rsid w:val="002201C8"/>
    <w:rsid w:val="00221042"/>
    <w:rsid w:val="0022111B"/>
    <w:rsid w:val="00221693"/>
    <w:rsid w:val="002217FA"/>
    <w:rsid w:val="00221FF8"/>
    <w:rsid w:val="00223B9F"/>
    <w:rsid w:val="00223DC5"/>
    <w:rsid w:val="00224CF6"/>
    <w:rsid w:val="00225483"/>
    <w:rsid w:val="0022594B"/>
    <w:rsid w:val="00225E59"/>
    <w:rsid w:val="00225F9C"/>
    <w:rsid w:val="00226E9B"/>
    <w:rsid w:val="0022762E"/>
    <w:rsid w:val="00227F83"/>
    <w:rsid w:val="002304F8"/>
    <w:rsid w:val="0023074A"/>
    <w:rsid w:val="00231052"/>
    <w:rsid w:val="00231122"/>
    <w:rsid w:val="0023255C"/>
    <w:rsid w:val="00232B5E"/>
    <w:rsid w:val="00232EE0"/>
    <w:rsid w:val="00232FE2"/>
    <w:rsid w:val="0023392F"/>
    <w:rsid w:val="002345C0"/>
    <w:rsid w:val="0023528D"/>
    <w:rsid w:val="00236127"/>
    <w:rsid w:val="0023635B"/>
    <w:rsid w:val="002365F6"/>
    <w:rsid w:val="00236C13"/>
    <w:rsid w:val="002377D6"/>
    <w:rsid w:val="00240276"/>
    <w:rsid w:val="00241F19"/>
    <w:rsid w:val="00243925"/>
    <w:rsid w:val="0024408F"/>
    <w:rsid w:val="00244879"/>
    <w:rsid w:val="00244A5E"/>
    <w:rsid w:val="002450E6"/>
    <w:rsid w:val="00245D81"/>
    <w:rsid w:val="00246255"/>
    <w:rsid w:val="00246782"/>
    <w:rsid w:val="00246FD5"/>
    <w:rsid w:val="002476ED"/>
    <w:rsid w:val="0024788F"/>
    <w:rsid w:val="00247CE6"/>
    <w:rsid w:val="002504A1"/>
    <w:rsid w:val="00250809"/>
    <w:rsid w:val="00250B81"/>
    <w:rsid w:val="002517F2"/>
    <w:rsid w:val="00251DEC"/>
    <w:rsid w:val="00252231"/>
    <w:rsid w:val="002536C1"/>
    <w:rsid w:val="0025438E"/>
    <w:rsid w:val="00255B98"/>
    <w:rsid w:val="002570D1"/>
    <w:rsid w:val="00257B0D"/>
    <w:rsid w:val="00257B56"/>
    <w:rsid w:val="00257C75"/>
    <w:rsid w:val="002600F6"/>
    <w:rsid w:val="002606EA"/>
    <w:rsid w:val="00260F52"/>
    <w:rsid w:val="00261285"/>
    <w:rsid w:val="00261E01"/>
    <w:rsid w:val="00261FCE"/>
    <w:rsid w:val="0026263B"/>
    <w:rsid w:val="00262786"/>
    <w:rsid w:val="002628BF"/>
    <w:rsid w:val="00262AE4"/>
    <w:rsid w:val="00262E5D"/>
    <w:rsid w:val="00263423"/>
    <w:rsid w:val="00263BD6"/>
    <w:rsid w:val="00263E42"/>
    <w:rsid w:val="0026400F"/>
    <w:rsid w:val="0026404B"/>
    <w:rsid w:val="0026509B"/>
    <w:rsid w:val="00265B04"/>
    <w:rsid w:val="00266D66"/>
    <w:rsid w:val="00267054"/>
    <w:rsid w:val="002675AE"/>
    <w:rsid w:val="002707FC"/>
    <w:rsid w:val="00271050"/>
    <w:rsid w:val="0027107F"/>
    <w:rsid w:val="0027127F"/>
    <w:rsid w:val="002726E0"/>
    <w:rsid w:val="002729B7"/>
    <w:rsid w:val="00272E30"/>
    <w:rsid w:val="002730F1"/>
    <w:rsid w:val="002740DF"/>
    <w:rsid w:val="0027467C"/>
    <w:rsid w:val="002755C3"/>
    <w:rsid w:val="002756CE"/>
    <w:rsid w:val="002758B6"/>
    <w:rsid w:val="00275B80"/>
    <w:rsid w:val="00275D74"/>
    <w:rsid w:val="0027661C"/>
    <w:rsid w:val="00276A87"/>
    <w:rsid w:val="00277001"/>
    <w:rsid w:val="00277354"/>
    <w:rsid w:val="002773E7"/>
    <w:rsid w:val="002774BE"/>
    <w:rsid w:val="00277C1E"/>
    <w:rsid w:val="00277EBB"/>
    <w:rsid w:val="00280180"/>
    <w:rsid w:val="0028033B"/>
    <w:rsid w:val="0028036A"/>
    <w:rsid w:val="002807C6"/>
    <w:rsid w:val="00281FD8"/>
    <w:rsid w:val="00282A5A"/>
    <w:rsid w:val="00283330"/>
    <w:rsid w:val="002850E6"/>
    <w:rsid w:val="00285F49"/>
    <w:rsid w:val="00286054"/>
    <w:rsid w:val="0028766B"/>
    <w:rsid w:val="002878EC"/>
    <w:rsid w:val="00287A07"/>
    <w:rsid w:val="00287FC4"/>
    <w:rsid w:val="0029043A"/>
    <w:rsid w:val="002908C0"/>
    <w:rsid w:val="002908D6"/>
    <w:rsid w:val="00290CED"/>
    <w:rsid w:val="00291E55"/>
    <w:rsid w:val="002925AA"/>
    <w:rsid w:val="00292FD2"/>
    <w:rsid w:val="00294152"/>
    <w:rsid w:val="002953DB"/>
    <w:rsid w:val="00295906"/>
    <w:rsid w:val="00295CFC"/>
    <w:rsid w:val="00295FF0"/>
    <w:rsid w:val="00296777"/>
    <w:rsid w:val="00296802"/>
    <w:rsid w:val="0029691A"/>
    <w:rsid w:val="002977A8"/>
    <w:rsid w:val="002A02FD"/>
    <w:rsid w:val="002A0A51"/>
    <w:rsid w:val="002A17D5"/>
    <w:rsid w:val="002A188F"/>
    <w:rsid w:val="002A22B8"/>
    <w:rsid w:val="002A26F6"/>
    <w:rsid w:val="002A285B"/>
    <w:rsid w:val="002A2A62"/>
    <w:rsid w:val="002A41C4"/>
    <w:rsid w:val="002A4265"/>
    <w:rsid w:val="002A4402"/>
    <w:rsid w:val="002A45EC"/>
    <w:rsid w:val="002A463B"/>
    <w:rsid w:val="002A47A3"/>
    <w:rsid w:val="002A488F"/>
    <w:rsid w:val="002A4CAB"/>
    <w:rsid w:val="002A4E66"/>
    <w:rsid w:val="002A50DB"/>
    <w:rsid w:val="002A5123"/>
    <w:rsid w:val="002A51CA"/>
    <w:rsid w:val="002A5452"/>
    <w:rsid w:val="002A5941"/>
    <w:rsid w:val="002A5D01"/>
    <w:rsid w:val="002A605E"/>
    <w:rsid w:val="002A61EB"/>
    <w:rsid w:val="002A63FD"/>
    <w:rsid w:val="002A64C9"/>
    <w:rsid w:val="002A698E"/>
    <w:rsid w:val="002A74C9"/>
    <w:rsid w:val="002A75B3"/>
    <w:rsid w:val="002A78EE"/>
    <w:rsid w:val="002B0772"/>
    <w:rsid w:val="002B0943"/>
    <w:rsid w:val="002B0D2F"/>
    <w:rsid w:val="002B1C33"/>
    <w:rsid w:val="002B2180"/>
    <w:rsid w:val="002B240B"/>
    <w:rsid w:val="002B3EE6"/>
    <w:rsid w:val="002B3F67"/>
    <w:rsid w:val="002B460F"/>
    <w:rsid w:val="002B4969"/>
    <w:rsid w:val="002B5243"/>
    <w:rsid w:val="002B5548"/>
    <w:rsid w:val="002B5619"/>
    <w:rsid w:val="002B5B79"/>
    <w:rsid w:val="002B7B3B"/>
    <w:rsid w:val="002B7BEC"/>
    <w:rsid w:val="002C0526"/>
    <w:rsid w:val="002C11BA"/>
    <w:rsid w:val="002C199F"/>
    <w:rsid w:val="002C2235"/>
    <w:rsid w:val="002C2258"/>
    <w:rsid w:val="002C350A"/>
    <w:rsid w:val="002C3546"/>
    <w:rsid w:val="002C3F2F"/>
    <w:rsid w:val="002C4226"/>
    <w:rsid w:val="002C4EDE"/>
    <w:rsid w:val="002C5668"/>
    <w:rsid w:val="002C5AE0"/>
    <w:rsid w:val="002C646D"/>
    <w:rsid w:val="002C672D"/>
    <w:rsid w:val="002C6D1C"/>
    <w:rsid w:val="002C78D7"/>
    <w:rsid w:val="002C7F70"/>
    <w:rsid w:val="002D0041"/>
    <w:rsid w:val="002D0B3A"/>
    <w:rsid w:val="002D1A1A"/>
    <w:rsid w:val="002D20D9"/>
    <w:rsid w:val="002D219E"/>
    <w:rsid w:val="002D2D7E"/>
    <w:rsid w:val="002D3464"/>
    <w:rsid w:val="002D3E5E"/>
    <w:rsid w:val="002D4428"/>
    <w:rsid w:val="002D481C"/>
    <w:rsid w:val="002D48AE"/>
    <w:rsid w:val="002D5393"/>
    <w:rsid w:val="002D53C7"/>
    <w:rsid w:val="002D54E6"/>
    <w:rsid w:val="002D5950"/>
    <w:rsid w:val="002D64C1"/>
    <w:rsid w:val="002D6C48"/>
    <w:rsid w:val="002D740D"/>
    <w:rsid w:val="002D74EC"/>
    <w:rsid w:val="002D755D"/>
    <w:rsid w:val="002D76C1"/>
    <w:rsid w:val="002E0259"/>
    <w:rsid w:val="002E06CD"/>
    <w:rsid w:val="002E1325"/>
    <w:rsid w:val="002E13BB"/>
    <w:rsid w:val="002E1C87"/>
    <w:rsid w:val="002E1F02"/>
    <w:rsid w:val="002E3DEB"/>
    <w:rsid w:val="002E51A7"/>
    <w:rsid w:val="002E54E5"/>
    <w:rsid w:val="002E5AE5"/>
    <w:rsid w:val="002E620D"/>
    <w:rsid w:val="002E6439"/>
    <w:rsid w:val="002E6629"/>
    <w:rsid w:val="002E6860"/>
    <w:rsid w:val="002E6E7D"/>
    <w:rsid w:val="002F009E"/>
    <w:rsid w:val="002F0436"/>
    <w:rsid w:val="002F05BB"/>
    <w:rsid w:val="002F13EB"/>
    <w:rsid w:val="002F2481"/>
    <w:rsid w:val="002F278F"/>
    <w:rsid w:val="002F2869"/>
    <w:rsid w:val="002F2FB1"/>
    <w:rsid w:val="002F381E"/>
    <w:rsid w:val="002F4501"/>
    <w:rsid w:val="002F5E37"/>
    <w:rsid w:val="002F5F28"/>
    <w:rsid w:val="002F63BF"/>
    <w:rsid w:val="002F67EC"/>
    <w:rsid w:val="00300233"/>
    <w:rsid w:val="00300424"/>
    <w:rsid w:val="00300432"/>
    <w:rsid w:val="00300A42"/>
    <w:rsid w:val="00300D33"/>
    <w:rsid w:val="0030107B"/>
    <w:rsid w:val="0030109D"/>
    <w:rsid w:val="0030145D"/>
    <w:rsid w:val="003017F3"/>
    <w:rsid w:val="00301C6B"/>
    <w:rsid w:val="00302950"/>
    <w:rsid w:val="0030381D"/>
    <w:rsid w:val="003041C3"/>
    <w:rsid w:val="0030498F"/>
    <w:rsid w:val="00304E3D"/>
    <w:rsid w:val="00305AD4"/>
    <w:rsid w:val="00305C47"/>
    <w:rsid w:val="00306A29"/>
    <w:rsid w:val="00307E6C"/>
    <w:rsid w:val="00307E84"/>
    <w:rsid w:val="00310187"/>
    <w:rsid w:val="003108B8"/>
    <w:rsid w:val="00311A9C"/>
    <w:rsid w:val="00311B5D"/>
    <w:rsid w:val="00312217"/>
    <w:rsid w:val="00312262"/>
    <w:rsid w:val="00312276"/>
    <w:rsid w:val="00312D11"/>
    <w:rsid w:val="00313124"/>
    <w:rsid w:val="00315090"/>
    <w:rsid w:val="003155AD"/>
    <w:rsid w:val="00315C5F"/>
    <w:rsid w:val="003160E8"/>
    <w:rsid w:val="003163B7"/>
    <w:rsid w:val="00316FBC"/>
    <w:rsid w:val="0031710B"/>
    <w:rsid w:val="0031725D"/>
    <w:rsid w:val="003176B8"/>
    <w:rsid w:val="00317E0D"/>
    <w:rsid w:val="00320BB4"/>
    <w:rsid w:val="00320EF8"/>
    <w:rsid w:val="00322175"/>
    <w:rsid w:val="00322D69"/>
    <w:rsid w:val="0032362E"/>
    <w:rsid w:val="00323B3A"/>
    <w:rsid w:val="0032498A"/>
    <w:rsid w:val="00324D89"/>
    <w:rsid w:val="003258E8"/>
    <w:rsid w:val="003270BD"/>
    <w:rsid w:val="00327657"/>
    <w:rsid w:val="00327F49"/>
    <w:rsid w:val="00327F5D"/>
    <w:rsid w:val="00330396"/>
    <w:rsid w:val="00332034"/>
    <w:rsid w:val="003326A2"/>
    <w:rsid w:val="003326E6"/>
    <w:rsid w:val="0033298B"/>
    <w:rsid w:val="00332EA1"/>
    <w:rsid w:val="00334425"/>
    <w:rsid w:val="003354BF"/>
    <w:rsid w:val="00335B72"/>
    <w:rsid w:val="00335C32"/>
    <w:rsid w:val="00335E6E"/>
    <w:rsid w:val="00337078"/>
    <w:rsid w:val="00337C65"/>
    <w:rsid w:val="00337F39"/>
    <w:rsid w:val="00340404"/>
    <w:rsid w:val="0034044A"/>
    <w:rsid w:val="0034078E"/>
    <w:rsid w:val="00340F58"/>
    <w:rsid w:val="00341BF1"/>
    <w:rsid w:val="00341C5A"/>
    <w:rsid w:val="00341CDC"/>
    <w:rsid w:val="00342270"/>
    <w:rsid w:val="00342D38"/>
    <w:rsid w:val="003437A0"/>
    <w:rsid w:val="0034410C"/>
    <w:rsid w:val="0034439B"/>
    <w:rsid w:val="00346477"/>
    <w:rsid w:val="00346688"/>
    <w:rsid w:val="00346A60"/>
    <w:rsid w:val="0035061C"/>
    <w:rsid w:val="00350A3F"/>
    <w:rsid w:val="0035139B"/>
    <w:rsid w:val="0035188F"/>
    <w:rsid w:val="0035263A"/>
    <w:rsid w:val="00352643"/>
    <w:rsid w:val="00352A6D"/>
    <w:rsid w:val="0035348F"/>
    <w:rsid w:val="003539BE"/>
    <w:rsid w:val="00353A88"/>
    <w:rsid w:val="00354417"/>
    <w:rsid w:val="003555F3"/>
    <w:rsid w:val="003564F3"/>
    <w:rsid w:val="003568FC"/>
    <w:rsid w:val="00356C7F"/>
    <w:rsid w:val="00356E2C"/>
    <w:rsid w:val="00356E5D"/>
    <w:rsid w:val="00356F43"/>
    <w:rsid w:val="00357DE8"/>
    <w:rsid w:val="00357E5B"/>
    <w:rsid w:val="0036020D"/>
    <w:rsid w:val="00360357"/>
    <w:rsid w:val="0036056E"/>
    <w:rsid w:val="00360579"/>
    <w:rsid w:val="00360666"/>
    <w:rsid w:val="003608F6"/>
    <w:rsid w:val="00360D48"/>
    <w:rsid w:val="00360DAD"/>
    <w:rsid w:val="00360E36"/>
    <w:rsid w:val="00360F95"/>
    <w:rsid w:val="003617F1"/>
    <w:rsid w:val="00361B6A"/>
    <w:rsid w:val="00362A2A"/>
    <w:rsid w:val="00362CC1"/>
    <w:rsid w:val="00362DB2"/>
    <w:rsid w:val="00363BEE"/>
    <w:rsid w:val="00364B77"/>
    <w:rsid w:val="00366709"/>
    <w:rsid w:val="0036691F"/>
    <w:rsid w:val="00366CB9"/>
    <w:rsid w:val="003670DF"/>
    <w:rsid w:val="003700C4"/>
    <w:rsid w:val="00370FCA"/>
    <w:rsid w:val="00371AE2"/>
    <w:rsid w:val="00371F4B"/>
    <w:rsid w:val="003730AC"/>
    <w:rsid w:val="003737A1"/>
    <w:rsid w:val="00373CD6"/>
    <w:rsid w:val="00374633"/>
    <w:rsid w:val="00374897"/>
    <w:rsid w:val="00374D79"/>
    <w:rsid w:val="00374DA6"/>
    <w:rsid w:val="00374EE5"/>
    <w:rsid w:val="00376276"/>
    <w:rsid w:val="003765A7"/>
    <w:rsid w:val="003801F3"/>
    <w:rsid w:val="003810C4"/>
    <w:rsid w:val="0038230F"/>
    <w:rsid w:val="00382384"/>
    <w:rsid w:val="003827FB"/>
    <w:rsid w:val="0038290B"/>
    <w:rsid w:val="00383565"/>
    <w:rsid w:val="00384158"/>
    <w:rsid w:val="00384386"/>
    <w:rsid w:val="00384CD3"/>
    <w:rsid w:val="003852C8"/>
    <w:rsid w:val="003859F3"/>
    <w:rsid w:val="00385F97"/>
    <w:rsid w:val="00386BA9"/>
    <w:rsid w:val="00386E16"/>
    <w:rsid w:val="003871DE"/>
    <w:rsid w:val="003878F0"/>
    <w:rsid w:val="00391572"/>
    <w:rsid w:val="0039254B"/>
    <w:rsid w:val="003929C3"/>
    <w:rsid w:val="00392A25"/>
    <w:rsid w:val="00393690"/>
    <w:rsid w:val="00393931"/>
    <w:rsid w:val="003946BF"/>
    <w:rsid w:val="003947F3"/>
    <w:rsid w:val="00394B9A"/>
    <w:rsid w:val="00395325"/>
    <w:rsid w:val="0039676A"/>
    <w:rsid w:val="00397EA9"/>
    <w:rsid w:val="003A00EF"/>
    <w:rsid w:val="003A15F8"/>
    <w:rsid w:val="003A1EE9"/>
    <w:rsid w:val="003A2292"/>
    <w:rsid w:val="003A236A"/>
    <w:rsid w:val="003A2812"/>
    <w:rsid w:val="003A30FF"/>
    <w:rsid w:val="003A33FF"/>
    <w:rsid w:val="003A4487"/>
    <w:rsid w:val="003A45E0"/>
    <w:rsid w:val="003A46E0"/>
    <w:rsid w:val="003A6303"/>
    <w:rsid w:val="003A63EB"/>
    <w:rsid w:val="003A6657"/>
    <w:rsid w:val="003A7633"/>
    <w:rsid w:val="003A7739"/>
    <w:rsid w:val="003B0185"/>
    <w:rsid w:val="003B0ACE"/>
    <w:rsid w:val="003B1465"/>
    <w:rsid w:val="003B1BB9"/>
    <w:rsid w:val="003B274A"/>
    <w:rsid w:val="003B2FED"/>
    <w:rsid w:val="003B3B17"/>
    <w:rsid w:val="003B481B"/>
    <w:rsid w:val="003B4BAE"/>
    <w:rsid w:val="003B52C8"/>
    <w:rsid w:val="003B532A"/>
    <w:rsid w:val="003B547B"/>
    <w:rsid w:val="003B5861"/>
    <w:rsid w:val="003B5AE5"/>
    <w:rsid w:val="003B6F74"/>
    <w:rsid w:val="003B7367"/>
    <w:rsid w:val="003B78A0"/>
    <w:rsid w:val="003B7E40"/>
    <w:rsid w:val="003C025E"/>
    <w:rsid w:val="003C0CC7"/>
    <w:rsid w:val="003C0DF9"/>
    <w:rsid w:val="003C122A"/>
    <w:rsid w:val="003C2506"/>
    <w:rsid w:val="003C2B4C"/>
    <w:rsid w:val="003C3E42"/>
    <w:rsid w:val="003C4534"/>
    <w:rsid w:val="003C4D6C"/>
    <w:rsid w:val="003C69E7"/>
    <w:rsid w:val="003C7B72"/>
    <w:rsid w:val="003D03EA"/>
    <w:rsid w:val="003D0D9C"/>
    <w:rsid w:val="003D1148"/>
    <w:rsid w:val="003D148B"/>
    <w:rsid w:val="003D1BAB"/>
    <w:rsid w:val="003D1DC1"/>
    <w:rsid w:val="003D1DED"/>
    <w:rsid w:val="003D221D"/>
    <w:rsid w:val="003D2912"/>
    <w:rsid w:val="003D2C15"/>
    <w:rsid w:val="003D34BB"/>
    <w:rsid w:val="003D366C"/>
    <w:rsid w:val="003D36BF"/>
    <w:rsid w:val="003D3A4A"/>
    <w:rsid w:val="003D51CA"/>
    <w:rsid w:val="003D55AD"/>
    <w:rsid w:val="003D5699"/>
    <w:rsid w:val="003D592C"/>
    <w:rsid w:val="003D5C15"/>
    <w:rsid w:val="003D5EFF"/>
    <w:rsid w:val="003D7674"/>
    <w:rsid w:val="003E1017"/>
    <w:rsid w:val="003E1128"/>
    <w:rsid w:val="003E1D49"/>
    <w:rsid w:val="003E1ECD"/>
    <w:rsid w:val="003E2646"/>
    <w:rsid w:val="003E2F69"/>
    <w:rsid w:val="003E42C5"/>
    <w:rsid w:val="003E49CC"/>
    <w:rsid w:val="003E4F6F"/>
    <w:rsid w:val="003E676B"/>
    <w:rsid w:val="003E74F4"/>
    <w:rsid w:val="003E7BB0"/>
    <w:rsid w:val="003E7CFD"/>
    <w:rsid w:val="003E7F63"/>
    <w:rsid w:val="003F01F0"/>
    <w:rsid w:val="003F0556"/>
    <w:rsid w:val="003F0801"/>
    <w:rsid w:val="003F0817"/>
    <w:rsid w:val="003F107B"/>
    <w:rsid w:val="003F1D7C"/>
    <w:rsid w:val="003F1E3C"/>
    <w:rsid w:val="003F27B2"/>
    <w:rsid w:val="003F3006"/>
    <w:rsid w:val="003F35D0"/>
    <w:rsid w:val="003F402C"/>
    <w:rsid w:val="003F4368"/>
    <w:rsid w:val="003F43EC"/>
    <w:rsid w:val="003F4CF6"/>
    <w:rsid w:val="003F59FE"/>
    <w:rsid w:val="003F5C05"/>
    <w:rsid w:val="003F5FC6"/>
    <w:rsid w:val="003F7439"/>
    <w:rsid w:val="003F760A"/>
    <w:rsid w:val="004000F2"/>
    <w:rsid w:val="004001C4"/>
    <w:rsid w:val="00400469"/>
    <w:rsid w:val="0040047C"/>
    <w:rsid w:val="00401AC4"/>
    <w:rsid w:val="0040215C"/>
    <w:rsid w:val="00402215"/>
    <w:rsid w:val="004034AA"/>
    <w:rsid w:val="004041EE"/>
    <w:rsid w:val="00404D7D"/>
    <w:rsid w:val="0040507C"/>
    <w:rsid w:val="004060AF"/>
    <w:rsid w:val="004068BC"/>
    <w:rsid w:val="0040799E"/>
    <w:rsid w:val="00407E71"/>
    <w:rsid w:val="00407F47"/>
    <w:rsid w:val="00410B28"/>
    <w:rsid w:val="00410DB8"/>
    <w:rsid w:val="004111C3"/>
    <w:rsid w:val="0041169A"/>
    <w:rsid w:val="00411921"/>
    <w:rsid w:val="00411D22"/>
    <w:rsid w:val="004128B3"/>
    <w:rsid w:val="004135D6"/>
    <w:rsid w:val="004136F9"/>
    <w:rsid w:val="00413F6D"/>
    <w:rsid w:val="00414F4D"/>
    <w:rsid w:val="0041557F"/>
    <w:rsid w:val="004155AB"/>
    <w:rsid w:val="00415836"/>
    <w:rsid w:val="00416DFA"/>
    <w:rsid w:val="00416EC0"/>
    <w:rsid w:val="00417925"/>
    <w:rsid w:val="004203FF"/>
    <w:rsid w:val="0042042C"/>
    <w:rsid w:val="00420BB7"/>
    <w:rsid w:val="004214E3"/>
    <w:rsid w:val="0042225E"/>
    <w:rsid w:val="004222DC"/>
    <w:rsid w:val="0042308A"/>
    <w:rsid w:val="0042344A"/>
    <w:rsid w:val="004236FA"/>
    <w:rsid w:val="00424B63"/>
    <w:rsid w:val="004254C4"/>
    <w:rsid w:val="00426DDF"/>
    <w:rsid w:val="004307E1"/>
    <w:rsid w:val="00430983"/>
    <w:rsid w:val="00430EB8"/>
    <w:rsid w:val="0043100B"/>
    <w:rsid w:val="004311FD"/>
    <w:rsid w:val="00431327"/>
    <w:rsid w:val="0043175A"/>
    <w:rsid w:val="00431F9F"/>
    <w:rsid w:val="00432C15"/>
    <w:rsid w:val="00432D8A"/>
    <w:rsid w:val="0043433B"/>
    <w:rsid w:val="00434483"/>
    <w:rsid w:val="004345DD"/>
    <w:rsid w:val="00434B81"/>
    <w:rsid w:val="00435259"/>
    <w:rsid w:val="004364A5"/>
    <w:rsid w:val="004367F6"/>
    <w:rsid w:val="004368CD"/>
    <w:rsid w:val="00436D11"/>
    <w:rsid w:val="0043704C"/>
    <w:rsid w:val="00437918"/>
    <w:rsid w:val="00437A56"/>
    <w:rsid w:val="00437B83"/>
    <w:rsid w:val="00437EB8"/>
    <w:rsid w:val="0044053E"/>
    <w:rsid w:val="004408F1"/>
    <w:rsid w:val="00441D3D"/>
    <w:rsid w:val="00442BB2"/>
    <w:rsid w:val="00442CC5"/>
    <w:rsid w:val="00442F78"/>
    <w:rsid w:val="004437D1"/>
    <w:rsid w:val="00444091"/>
    <w:rsid w:val="00444319"/>
    <w:rsid w:val="00444526"/>
    <w:rsid w:val="00444715"/>
    <w:rsid w:val="004448A5"/>
    <w:rsid w:val="00444B4C"/>
    <w:rsid w:val="004450BE"/>
    <w:rsid w:val="0044516E"/>
    <w:rsid w:val="00445339"/>
    <w:rsid w:val="004456F1"/>
    <w:rsid w:val="00445E28"/>
    <w:rsid w:val="00446D11"/>
    <w:rsid w:val="00447A8B"/>
    <w:rsid w:val="00450D62"/>
    <w:rsid w:val="004515D5"/>
    <w:rsid w:val="00451625"/>
    <w:rsid w:val="004523E0"/>
    <w:rsid w:val="0045242E"/>
    <w:rsid w:val="00452EE0"/>
    <w:rsid w:val="00453423"/>
    <w:rsid w:val="0045413E"/>
    <w:rsid w:val="00454BB3"/>
    <w:rsid w:val="00454EEA"/>
    <w:rsid w:val="00454FEF"/>
    <w:rsid w:val="004568E1"/>
    <w:rsid w:val="00456F5F"/>
    <w:rsid w:val="00457162"/>
    <w:rsid w:val="004575DE"/>
    <w:rsid w:val="00457742"/>
    <w:rsid w:val="00457766"/>
    <w:rsid w:val="00460078"/>
    <w:rsid w:val="004605F3"/>
    <w:rsid w:val="00460FE6"/>
    <w:rsid w:val="0046175B"/>
    <w:rsid w:val="0046240C"/>
    <w:rsid w:val="0046269E"/>
    <w:rsid w:val="004628B6"/>
    <w:rsid w:val="00462AA4"/>
    <w:rsid w:val="0046460D"/>
    <w:rsid w:val="00465B7D"/>
    <w:rsid w:val="00465B8C"/>
    <w:rsid w:val="00465FCF"/>
    <w:rsid w:val="00466488"/>
    <w:rsid w:val="004669FF"/>
    <w:rsid w:val="0046731A"/>
    <w:rsid w:val="004704A9"/>
    <w:rsid w:val="004707E3"/>
    <w:rsid w:val="00470F52"/>
    <w:rsid w:val="00470F9C"/>
    <w:rsid w:val="0047130D"/>
    <w:rsid w:val="00471A10"/>
    <w:rsid w:val="00471B72"/>
    <w:rsid w:val="00472794"/>
    <w:rsid w:val="00472FC5"/>
    <w:rsid w:val="00473343"/>
    <w:rsid w:val="0047367F"/>
    <w:rsid w:val="004738DD"/>
    <w:rsid w:val="00473CF8"/>
    <w:rsid w:val="00473D19"/>
    <w:rsid w:val="004747B9"/>
    <w:rsid w:val="00474932"/>
    <w:rsid w:val="00474B8B"/>
    <w:rsid w:val="0047501D"/>
    <w:rsid w:val="00475387"/>
    <w:rsid w:val="00476690"/>
    <w:rsid w:val="004766A7"/>
    <w:rsid w:val="00476F42"/>
    <w:rsid w:val="00476F87"/>
    <w:rsid w:val="004773AB"/>
    <w:rsid w:val="00477BFF"/>
    <w:rsid w:val="0048005A"/>
    <w:rsid w:val="00481778"/>
    <w:rsid w:val="004817B0"/>
    <w:rsid w:val="00481C3B"/>
    <w:rsid w:val="00481CEF"/>
    <w:rsid w:val="0048229F"/>
    <w:rsid w:val="004822DA"/>
    <w:rsid w:val="00482E11"/>
    <w:rsid w:val="00483013"/>
    <w:rsid w:val="00483945"/>
    <w:rsid w:val="00483CE1"/>
    <w:rsid w:val="00483E0B"/>
    <w:rsid w:val="00484C68"/>
    <w:rsid w:val="004854EF"/>
    <w:rsid w:val="004863BE"/>
    <w:rsid w:val="00486AF7"/>
    <w:rsid w:val="00490AC3"/>
    <w:rsid w:val="00491724"/>
    <w:rsid w:val="0049199F"/>
    <w:rsid w:val="00491B37"/>
    <w:rsid w:val="004920F4"/>
    <w:rsid w:val="0049258D"/>
    <w:rsid w:val="004926CE"/>
    <w:rsid w:val="0049291B"/>
    <w:rsid w:val="00492CDA"/>
    <w:rsid w:val="004931B5"/>
    <w:rsid w:val="00494FB0"/>
    <w:rsid w:val="0049542D"/>
    <w:rsid w:val="004959F0"/>
    <w:rsid w:val="00496EE1"/>
    <w:rsid w:val="00497952"/>
    <w:rsid w:val="004A0636"/>
    <w:rsid w:val="004A078F"/>
    <w:rsid w:val="004A0B57"/>
    <w:rsid w:val="004A0BDC"/>
    <w:rsid w:val="004A116E"/>
    <w:rsid w:val="004A1175"/>
    <w:rsid w:val="004A1210"/>
    <w:rsid w:val="004A1B11"/>
    <w:rsid w:val="004A1B76"/>
    <w:rsid w:val="004A1FCA"/>
    <w:rsid w:val="004A27D9"/>
    <w:rsid w:val="004A2CE4"/>
    <w:rsid w:val="004A2E72"/>
    <w:rsid w:val="004A4192"/>
    <w:rsid w:val="004A424B"/>
    <w:rsid w:val="004A4B3D"/>
    <w:rsid w:val="004A4FA6"/>
    <w:rsid w:val="004A51E5"/>
    <w:rsid w:val="004A5218"/>
    <w:rsid w:val="004A5897"/>
    <w:rsid w:val="004A5A15"/>
    <w:rsid w:val="004A6440"/>
    <w:rsid w:val="004A647D"/>
    <w:rsid w:val="004A6780"/>
    <w:rsid w:val="004A6E03"/>
    <w:rsid w:val="004A6FC7"/>
    <w:rsid w:val="004A71AF"/>
    <w:rsid w:val="004A781B"/>
    <w:rsid w:val="004B1140"/>
    <w:rsid w:val="004B2395"/>
    <w:rsid w:val="004B2A92"/>
    <w:rsid w:val="004B32A6"/>
    <w:rsid w:val="004B441B"/>
    <w:rsid w:val="004B47EE"/>
    <w:rsid w:val="004B50F2"/>
    <w:rsid w:val="004B58EC"/>
    <w:rsid w:val="004B69B5"/>
    <w:rsid w:val="004B6D26"/>
    <w:rsid w:val="004B7B1D"/>
    <w:rsid w:val="004C02A8"/>
    <w:rsid w:val="004C0DCF"/>
    <w:rsid w:val="004C15EA"/>
    <w:rsid w:val="004C2302"/>
    <w:rsid w:val="004C24DE"/>
    <w:rsid w:val="004C2823"/>
    <w:rsid w:val="004C2A62"/>
    <w:rsid w:val="004C341F"/>
    <w:rsid w:val="004C3A8C"/>
    <w:rsid w:val="004C45AC"/>
    <w:rsid w:val="004C4759"/>
    <w:rsid w:val="004C5B8B"/>
    <w:rsid w:val="004C5E16"/>
    <w:rsid w:val="004C6DE2"/>
    <w:rsid w:val="004C6FE6"/>
    <w:rsid w:val="004C7691"/>
    <w:rsid w:val="004D073D"/>
    <w:rsid w:val="004D0BDF"/>
    <w:rsid w:val="004D0D5D"/>
    <w:rsid w:val="004D1873"/>
    <w:rsid w:val="004D1969"/>
    <w:rsid w:val="004D1DCA"/>
    <w:rsid w:val="004D1EA5"/>
    <w:rsid w:val="004D1EF8"/>
    <w:rsid w:val="004D2954"/>
    <w:rsid w:val="004D2BDB"/>
    <w:rsid w:val="004D3B73"/>
    <w:rsid w:val="004D4585"/>
    <w:rsid w:val="004D4E43"/>
    <w:rsid w:val="004D659E"/>
    <w:rsid w:val="004D67BE"/>
    <w:rsid w:val="004D6D4D"/>
    <w:rsid w:val="004D7592"/>
    <w:rsid w:val="004D7E7A"/>
    <w:rsid w:val="004E0261"/>
    <w:rsid w:val="004E03F6"/>
    <w:rsid w:val="004E1443"/>
    <w:rsid w:val="004E179E"/>
    <w:rsid w:val="004E28D5"/>
    <w:rsid w:val="004E38EA"/>
    <w:rsid w:val="004E3DCA"/>
    <w:rsid w:val="004E3FE8"/>
    <w:rsid w:val="004E43C0"/>
    <w:rsid w:val="004E4EB7"/>
    <w:rsid w:val="004E5057"/>
    <w:rsid w:val="004E5082"/>
    <w:rsid w:val="004E51D0"/>
    <w:rsid w:val="004E5810"/>
    <w:rsid w:val="004E5D37"/>
    <w:rsid w:val="004E6620"/>
    <w:rsid w:val="004F0A13"/>
    <w:rsid w:val="004F1888"/>
    <w:rsid w:val="004F1F09"/>
    <w:rsid w:val="004F32C5"/>
    <w:rsid w:val="004F459F"/>
    <w:rsid w:val="004F523B"/>
    <w:rsid w:val="004F53BF"/>
    <w:rsid w:val="004F5B3D"/>
    <w:rsid w:val="004F5C3E"/>
    <w:rsid w:val="004F62EF"/>
    <w:rsid w:val="004F64D1"/>
    <w:rsid w:val="004F68AF"/>
    <w:rsid w:val="004F6AD0"/>
    <w:rsid w:val="004F7705"/>
    <w:rsid w:val="004F7AF2"/>
    <w:rsid w:val="0050012E"/>
    <w:rsid w:val="005006C3"/>
    <w:rsid w:val="0050125C"/>
    <w:rsid w:val="00501509"/>
    <w:rsid w:val="00502B43"/>
    <w:rsid w:val="00502C5F"/>
    <w:rsid w:val="0050312F"/>
    <w:rsid w:val="00503639"/>
    <w:rsid w:val="005039E4"/>
    <w:rsid w:val="00505D00"/>
    <w:rsid w:val="005073A4"/>
    <w:rsid w:val="00510578"/>
    <w:rsid w:val="005108A8"/>
    <w:rsid w:val="00510A23"/>
    <w:rsid w:val="00510A90"/>
    <w:rsid w:val="00511A03"/>
    <w:rsid w:val="00512C11"/>
    <w:rsid w:val="00512E12"/>
    <w:rsid w:val="00512FDD"/>
    <w:rsid w:val="0051442A"/>
    <w:rsid w:val="00514AD5"/>
    <w:rsid w:val="00514B47"/>
    <w:rsid w:val="005155B4"/>
    <w:rsid w:val="0051570D"/>
    <w:rsid w:val="00515FB4"/>
    <w:rsid w:val="00516FA0"/>
    <w:rsid w:val="0051702C"/>
    <w:rsid w:val="00517B6B"/>
    <w:rsid w:val="00517E1A"/>
    <w:rsid w:val="005213C8"/>
    <w:rsid w:val="0052281A"/>
    <w:rsid w:val="00522E88"/>
    <w:rsid w:val="00522F92"/>
    <w:rsid w:val="00523160"/>
    <w:rsid w:val="00523226"/>
    <w:rsid w:val="0052367E"/>
    <w:rsid w:val="005238FD"/>
    <w:rsid w:val="00523A91"/>
    <w:rsid w:val="00523FA6"/>
    <w:rsid w:val="00524176"/>
    <w:rsid w:val="00524DB5"/>
    <w:rsid w:val="00525E92"/>
    <w:rsid w:val="00525ED8"/>
    <w:rsid w:val="00525F0E"/>
    <w:rsid w:val="00525FDC"/>
    <w:rsid w:val="00527C83"/>
    <w:rsid w:val="00530CA7"/>
    <w:rsid w:val="00530E99"/>
    <w:rsid w:val="00531741"/>
    <w:rsid w:val="00531D0E"/>
    <w:rsid w:val="00531D45"/>
    <w:rsid w:val="005326B4"/>
    <w:rsid w:val="00532A07"/>
    <w:rsid w:val="00532DA9"/>
    <w:rsid w:val="00533480"/>
    <w:rsid w:val="00533BCD"/>
    <w:rsid w:val="00534252"/>
    <w:rsid w:val="00534769"/>
    <w:rsid w:val="00534E55"/>
    <w:rsid w:val="00534EB4"/>
    <w:rsid w:val="0053539A"/>
    <w:rsid w:val="0053642E"/>
    <w:rsid w:val="00536EF6"/>
    <w:rsid w:val="00537C69"/>
    <w:rsid w:val="0054061E"/>
    <w:rsid w:val="00540684"/>
    <w:rsid w:val="0054087F"/>
    <w:rsid w:val="00541592"/>
    <w:rsid w:val="005415CD"/>
    <w:rsid w:val="005419F8"/>
    <w:rsid w:val="005422B7"/>
    <w:rsid w:val="00542AD4"/>
    <w:rsid w:val="005430FF"/>
    <w:rsid w:val="00543A87"/>
    <w:rsid w:val="00543B5C"/>
    <w:rsid w:val="00543E84"/>
    <w:rsid w:val="00545693"/>
    <w:rsid w:val="00545820"/>
    <w:rsid w:val="00545E1D"/>
    <w:rsid w:val="00546701"/>
    <w:rsid w:val="0054681A"/>
    <w:rsid w:val="0054712C"/>
    <w:rsid w:val="005474C2"/>
    <w:rsid w:val="00550480"/>
    <w:rsid w:val="0055158C"/>
    <w:rsid w:val="00552DD8"/>
    <w:rsid w:val="00553091"/>
    <w:rsid w:val="00553514"/>
    <w:rsid w:val="00553D1C"/>
    <w:rsid w:val="005555BA"/>
    <w:rsid w:val="00555DF5"/>
    <w:rsid w:val="00556339"/>
    <w:rsid w:val="005568FD"/>
    <w:rsid w:val="00556BEA"/>
    <w:rsid w:val="0055703C"/>
    <w:rsid w:val="005570C8"/>
    <w:rsid w:val="005617C7"/>
    <w:rsid w:val="005624D3"/>
    <w:rsid w:val="00562EF2"/>
    <w:rsid w:val="005644EC"/>
    <w:rsid w:val="00564842"/>
    <w:rsid w:val="00565413"/>
    <w:rsid w:val="00565870"/>
    <w:rsid w:val="005661A9"/>
    <w:rsid w:val="0056695D"/>
    <w:rsid w:val="00567CD2"/>
    <w:rsid w:val="00570EA8"/>
    <w:rsid w:val="005715BA"/>
    <w:rsid w:val="00572128"/>
    <w:rsid w:val="00572657"/>
    <w:rsid w:val="00572831"/>
    <w:rsid w:val="00572F3A"/>
    <w:rsid w:val="005730BA"/>
    <w:rsid w:val="00573141"/>
    <w:rsid w:val="0057415B"/>
    <w:rsid w:val="005747CB"/>
    <w:rsid w:val="00574A9C"/>
    <w:rsid w:val="00574CEA"/>
    <w:rsid w:val="005750AB"/>
    <w:rsid w:val="00575B8D"/>
    <w:rsid w:val="00575BC2"/>
    <w:rsid w:val="00577C10"/>
    <w:rsid w:val="00577C37"/>
    <w:rsid w:val="0058113B"/>
    <w:rsid w:val="005813EC"/>
    <w:rsid w:val="0058236F"/>
    <w:rsid w:val="005829B2"/>
    <w:rsid w:val="00582C07"/>
    <w:rsid w:val="00582F88"/>
    <w:rsid w:val="005836B4"/>
    <w:rsid w:val="00583824"/>
    <w:rsid w:val="00583A77"/>
    <w:rsid w:val="00583DD6"/>
    <w:rsid w:val="00583E86"/>
    <w:rsid w:val="005847E3"/>
    <w:rsid w:val="00585774"/>
    <w:rsid w:val="00586518"/>
    <w:rsid w:val="00586523"/>
    <w:rsid w:val="00586679"/>
    <w:rsid w:val="00586752"/>
    <w:rsid w:val="00586FF1"/>
    <w:rsid w:val="00587043"/>
    <w:rsid w:val="00587934"/>
    <w:rsid w:val="00587BD6"/>
    <w:rsid w:val="0059016D"/>
    <w:rsid w:val="00590559"/>
    <w:rsid w:val="00590618"/>
    <w:rsid w:val="00590C03"/>
    <w:rsid w:val="00590D49"/>
    <w:rsid w:val="0059117C"/>
    <w:rsid w:val="005918A0"/>
    <w:rsid w:val="00591941"/>
    <w:rsid w:val="00591A35"/>
    <w:rsid w:val="00592420"/>
    <w:rsid w:val="00593BF7"/>
    <w:rsid w:val="0059400B"/>
    <w:rsid w:val="0059400D"/>
    <w:rsid w:val="005946A6"/>
    <w:rsid w:val="005946CD"/>
    <w:rsid w:val="0059470B"/>
    <w:rsid w:val="00594717"/>
    <w:rsid w:val="00594726"/>
    <w:rsid w:val="00594B2E"/>
    <w:rsid w:val="00594CE1"/>
    <w:rsid w:val="005955E5"/>
    <w:rsid w:val="00596771"/>
    <w:rsid w:val="0059696D"/>
    <w:rsid w:val="00596E5A"/>
    <w:rsid w:val="00597361"/>
    <w:rsid w:val="0059795E"/>
    <w:rsid w:val="005A0B77"/>
    <w:rsid w:val="005A0BBA"/>
    <w:rsid w:val="005A16FB"/>
    <w:rsid w:val="005A17F7"/>
    <w:rsid w:val="005A1A34"/>
    <w:rsid w:val="005A21B2"/>
    <w:rsid w:val="005A2370"/>
    <w:rsid w:val="005A27AA"/>
    <w:rsid w:val="005A34F9"/>
    <w:rsid w:val="005A39DD"/>
    <w:rsid w:val="005A3CF5"/>
    <w:rsid w:val="005A48FE"/>
    <w:rsid w:val="005A4CC5"/>
    <w:rsid w:val="005A53BF"/>
    <w:rsid w:val="005A5704"/>
    <w:rsid w:val="005A5C10"/>
    <w:rsid w:val="005A5E7B"/>
    <w:rsid w:val="005A65DF"/>
    <w:rsid w:val="005A66B7"/>
    <w:rsid w:val="005A6FC7"/>
    <w:rsid w:val="005A730E"/>
    <w:rsid w:val="005A75E7"/>
    <w:rsid w:val="005A79EA"/>
    <w:rsid w:val="005B01ED"/>
    <w:rsid w:val="005B0906"/>
    <w:rsid w:val="005B1698"/>
    <w:rsid w:val="005B1C54"/>
    <w:rsid w:val="005B283C"/>
    <w:rsid w:val="005B28E1"/>
    <w:rsid w:val="005B2D4A"/>
    <w:rsid w:val="005B2D83"/>
    <w:rsid w:val="005B306E"/>
    <w:rsid w:val="005B33CE"/>
    <w:rsid w:val="005B384D"/>
    <w:rsid w:val="005B3B3D"/>
    <w:rsid w:val="005B4304"/>
    <w:rsid w:val="005B4670"/>
    <w:rsid w:val="005B4C57"/>
    <w:rsid w:val="005B4D59"/>
    <w:rsid w:val="005B52E1"/>
    <w:rsid w:val="005B54DA"/>
    <w:rsid w:val="005B5EE0"/>
    <w:rsid w:val="005B5FE7"/>
    <w:rsid w:val="005B62B6"/>
    <w:rsid w:val="005B65C4"/>
    <w:rsid w:val="005B681C"/>
    <w:rsid w:val="005B718C"/>
    <w:rsid w:val="005B72D0"/>
    <w:rsid w:val="005B7901"/>
    <w:rsid w:val="005B7EA5"/>
    <w:rsid w:val="005C0418"/>
    <w:rsid w:val="005C1A24"/>
    <w:rsid w:val="005C1E49"/>
    <w:rsid w:val="005C3110"/>
    <w:rsid w:val="005C5213"/>
    <w:rsid w:val="005C5479"/>
    <w:rsid w:val="005C5516"/>
    <w:rsid w:val="005C564E"/>
    <w:rsid w:val="005C56F6"/>
    <w:rsid w:val="005C58FB"/>
    <w:rsid w:val="005C63B8"/>
    <w:rsid w:val="005C6661"/>
    <w:rsid w:val="005C76FF"/>
    <w:rsid w:val="005C7B93"/>
    <w:rsid w:val="005D003D"/>
    <w:rsid w:val="005D04FF"/>
    <w:rsid w:val="005D083B"/>
    <w:rsid w:val="005D0C7A"/>
    <w:rsid w:val="005D0E21"/>
    <w:rsid w:val="005D202F"/>
    <w:rsid w:val="005D236B"/>
    <w:rsid w:val="005D2883"/>
    <w:rsid w:val="005D3093"/>
    <w:rsid w:val="005D30A2"/>
    <w:rsid w:val="005D382F"/>
    <w:rsid w:val="005D383C"/>
    <w:rsid w:val="005D3C07"/>
    <w:rsid w:val="005D402A"/>
    <w:rsid w:val="005D459B"/>
    <w:rsid w:val="005D46F8"/>
    <w:rsid w:val="005D4761"/>
    <w:rsid w:val="005D4AAE"/>
    <w:rsid w:val="005D5050"/>
    <w:rsid w:val="005D55C1"/>
    <w:rsid w:val="005D5CFE"/>
    <w:rsid w:val="005D64A7"/>
    <w:rsid w:val="005D657F"/>
    <w:rsid w:val="005D68AD"/>
    <w:rsid w:val="005D7460"/>
    <w:rsid w:val="005D7628"/>
    <w:rsid w:val="005E01C8"/>
    <w:rsid w:val="005E0B32"/>
    <w:rsid w:val="005E11F1"/>
    <w:rsid w:val="005E1605"/>
    <w:rsid w:val="005E18C3"/>
    <w:rsid w:val="005E18C4"/>
    <w:rsid w:val="005E206C"/>
    <w:rsid w:val="005E23C4"/>
    <w:rsid w:val="005E365A"/>
    <w:rsid w:val="005E3877"/>
    <w:rsid w:val="005E4241"/>
    <w:rsid w:val="005E45C2"/>
    <w:rsid w:val="005E505F"/>
    <w:rsid w:val="005E6643"/>
    <w:rsid w:val="005E7B72"/>
    <w:rsid w:val="005F0632"/>
    <w:rsid w:val="005F0942"/>
    <w:rsid w:val="005F0AE5"/>
    <w:rsid w:val="005F14CE"/>
    <w:rsid w:val="005F1B06"/>
    <w:rsid w:val="005F2639"/>
    <w:rsid w:val="005F2EFA"/>
    <w:rsid w:val="005F34DA"/>
    <w:rsid w:val="005F3969"/>
    <w:rsid w:val="005F3EE7"/>
    <w:rsid w:val="005F3F45"/>
    <w:rsid w:val="005F4369"/>
    <w:rsid w:val="005F5171"/>
    <w:rsid w:val="005F5AFD"/>
    <w:rsid w:val="005F5D90"/>
    <w:rsid w:val="005F687F"/>
    <w:rsid w:val="005F6CC5"/>
    <w:rsid w:val="005F719C"/>
    <w:rsid w:val="005F7362"/>
    <w:rsid w:val="005F76BB"/>
    <w:rsid w:val="005F7B3D"/>
    <w:rsid w:val="005F7E29"/>
    <w:rsid w:val="005F7EB5"/>
    <w:rsid w:val="00600DD9"/>
    <w:rsid w:val="00601D88"/>
    <w:rsid w:val="006021A4"/>
    <w:rsid w:val="00602517"/>
    <w:rsid w:val="00602A58"/>
    <w:rsid w:val="006036FE"/>
    <w:rsid w:val="006046C8"/>
    <w:rsid w:val="00604E4C"/>
    <w:rsid w:val="0060530D"/>
    <w:rsid w:val="0060562F"/>
    <w:rsid w:val="006060D6"/>
    <w:rsid w:val="00606CAB"/>
    <w:rsid w:val="00606F0D"/>
    <w:rsid w:val="006078F8"/>
    <w:rsid w:val="00607FEE"/>
    <w:rsid w:val="00610C08"/>
    <w:rsid w:val="006118FE"/>
    <w:rsid w:val="00611ED2"/>
    <w:rsid w:val="00612B35"/>
    <w:rsid w:val="00612C39"/>
    <w:rsid w:val="00612DC3"/>
    <w:rsid w:val="00612ECC"/>
    <w:rsid w:val="006137ED"/>
    <w:rsid w:val="00613C00"/>
    <w:rsid w:val="006145CE"/>
    <w:rsid w:val="006158E5"/>
    <w:rsid w:val="006160FD"/>
    <w:rsid w:val="006168D5"/>
    <w:rsid w:val="00616DDA"/>
    <w:rsid w:val="00617031"/>
    <w:rsid w:val="0061771F"/>
    <w:rsid w:val="00617BCD"/>
    <w:rsid w:val="00617CE8"/>
    <w:rsid w:val="006206B7"/>
    <w:rsid w:val="00621499"/>
    <w:rsid w:val="006219A3"/>
    <w:rsid w:val="006234FE"/>
    <w:rsid w:val="00623889"/>
    <w:rsid w:val="00623C22"/>
    <w:rsid w:val="006247BB"/>
    <w:rsid w:val="006256C3"/>
    <w:rsid w:val="0062647A"/>
    <w:rsid w:val="0062664E"/>
    <w:rsid w:val="00626BE4"/>
    <w:rsid w:val="00626E28"/>
    <w:rsid w:val="00627007"/>
    <w:rsid w:val="00627657"/>
    <w:rsid w:val="00630070"/>
    <w:rsid w:val="0063023F"/>
    <w:rsid w:val="006309C6"/>
    <w:rsid w:val="006314EA"/>
    <w:rsid w:val="00631F52"/>
    <w:rsid w:val="006320D8"/>
    <w:rsid w:val="006323AD"/>
    <w:rsid w:val="006324DE"/>
    <w:rsid w:val="006327C6"/>
    <w:rsid w:val="00632D6E"/>
    <w:rsid w:val="00632DC0"/>
    <w:rsid w:val="006344B6"/>
    <w:rsid w:val="00634EC2"/>
    <w:rsid w:val="00635183"/>
    <w:rsid w:val="00635B7F"/>
    <w:rsid w:val="00635E15"/>
    <w:rsid w:val="0063655F"/>
    <w:rsid w:val="00636C77"/>
    <w:rsid w:val="00636E55"/>
    <w:rsid w:val="0063790F"/>
    <w:rsid w:val="006401ED"/>
    <w:rsid w:val="00640364"/>
    <w:rsid w:val="00640E30"/>
    <w:rsid w:val="00641088"/>
    <w:rsid w:val="00641350"/>
    <w:rsid w:val="00641553"/>
    <w:rsid w:val="00641CEB"/>
    <w:rsid w:val="00642B69"/>
    <w:rsid w:val="0064345D"/>
    <w:rsid w:val="00643664"/>
    <w:rsid w:val="00643CDD"/>
    <w:rsid w:val="00646A09"/>
    <w:rsid w:val="00646DAF"/>
    <w:rsid w:val="00646DFC"/>
    <w:rsid w:val="00647808"/>
    <w:rsid w:val="00647C76"/>
    <w:rsid w:val="00647F1E"/>
    <w:rsid w:val="00650CBF"/>
    <w:rsid w:val="00651FFD"/>
    <w:rsid w:val="00653864"/>
    <w:rsid w:val="00654175"/>
    <w:rsid w:val="006546A6"/>
    <w:rsid w:val="00654917"/>
    <w:rsid w:val="00654AB8"/>
    <w:rsid w:val="00654B3D"/>
    <w:rsid w:val="0065542C"/>
    <w:rsid w:val="00655E16"/>
    <w:rsid w:val="0065621C"/>
    <w:rsid w:val="0065705B"/>
    <w:rsid w:val="00657861"/>
    <w:rsid w:val="006601BF"/>
    <w:rsid w:val="006610FD"/>
    <w:rsid w:val="00661E6A"/>
    <w:rsid w:val="00662CFA"/>
    <w:rsid w:val="00662D92"/>
    <w:rsid w:val="00664146"/>
    <w:rsid w:val="006655E4"/>
    <w:rsid w:val="006656A6"/>
    <w:rsid w:val="0066579C"/>
    <w:rsid w:val="00665D45"/>
    <w:rsid w:val="00665FA7"/>
    <w:rsid w:val="006664B2"/>
    <w:rsid w:val="00666D5B"/>
    <w:rsid w:val="00666EB0"/>
    <w:rsid w:val="0067116F"/>
    <w:rsid w:val="006725E2"/>
    <w:rsid w:val="00672A28"/>
    <w:rsid w:val="00674531"/>
    <w:rsid w:val="0067469B"/>
    <w:rsid w:val="00674700"/>
    <w:rsid w:val="0067571B"/>
    <w:rsid w:val="006758BF"/>
    <w:rsid w:val="00676CC2"/>
    <w:rsid w:val="00676FAA"/>
    <w:rsid w:val="00677C4E"/>
    <w:rsid w:val="006801CD"/>
    <w:rsid w:val="0068091F"/>
    <w:rsid w:val="006815BD"/>
    <w:rsid w:val="0068183F"/>
    <w:rsid w:val="006823B8"/>
    <w:rsid w:val="006833AF"/>
    <w:rsid w:val="00683734"/>
    <w:rsid w:val="00684042"/>
    <w:rsid w:val="00684B38"/>
    <w:rsid w:val="00684EE0"/>
    <w:rsid w:val="00685AA1"/>
    <w:rsid w:val="00685E58"/>
    <w:rsid w:val="00685F27"/>
    <w:rsid w:val="00686A8C"/>
    <w:rsid w:val="00687A07"/>
    <w:rsid w:val="00687A15"/>
    <w:rsid w:val="006905D0"/>
    <w:rsid w:val="006908F5"/>
    <w:rsid w:val="0069199E"/>
    <w:rsid w:val="00692A3A"/>
    <w:rsid w:val="00692FAE"/>
    <w:rsid w:val="00693023"/>
    <w:rsid w:val="00693029"/>
    <w:rsid w:val="006930C3"/>
    <w:rsid w:val="00693379"/>
    <w:rsid w:val="00693F02"/>
    <w:rsid w:val="00694053"/>
    <w:rsid w:val="0069453F"/>
    <w:rsid w:val="00694610"/>
    <w:rsid w:val="00695168"/>
    <w:rsid w:val="006954EE"/>
    <w:rsid w:val="00695A9E"/>
    <w:rsid w:val="00696506"/>
    <w:rsid w:val="00696E4E"/>
    <w:rsid w:val="0069764D"/>
    <w:rsid w:val="006A0692"/>
    <w:rsid w:val="006A08E5"/>
    <w:rsid w:val="006A0957"/>
    <w:rsid w:val="006A0B0C"/>
    <w:rsid w:val="006A0FF4"/>
    <w:rsid w:val="006A1285"/>
    <w:rsid w:val="006A16C8"/>
    <w:rsid w:val="006A2301"/>
    <w:rsid w:val="006A302D"/>
    <w:rsid w:val="006A4045"/>
    <w:rsid w:val="006A46F9"/>
    <w:rsid w:val="006A4C68"/>
    <w:rsid w:val="006A4F6B"/>
    <w:rsid w:val="006A552C"/>
    <w:rsid w:val="006A671B"/>
    <w:rsid w:val="006A6F80"/>
    <w:rsid w:val="006A725F"/>
    <w:rsid w:val="006A770C"/>
    <w:rsid w:val="006A7984"/>
    <w:rsid w:val="006B0A71"/>
    <w:rsid w:val="006B0DAE"/>
    <w:rsid w:val="006B17E0"/>
    <w:rsid w:val="006B1865"/>
    <w:rsid w:val="006B18E9"/>
    <w:rsid w:val="006B1BC8"/>
    <w:rsid w:val="006B2309"/>
    <w:rsid w:val="006B25F3"/>
    <w:rsid w:val="006B28C3"/>
    <w:rsid w:val="006B2A4D"/>
    <w:rsid w:val="006B31A2"/>
    <w:rsid w:val="006B33AD"/>
    <w:rsid w:val="006B4191"/>
    <w:rsid w:val="006B458C"/>
    <w:rsid w:val="006B4745"/>
    <w:rsid w:val="006B54EE"/>
    <w:rsid w:val="006B59AA"/>
    <w:rsid w:val="006B5AEE"/>
    <w:rsid w:val="006B6580"/>
    <w:rsid w:val="006B6A49"/>
    <w:rsid w:val="006B7316"/>
    <w:rsid w:val="006B7531"/>
    <w:rsid w:val="006B77A4"/>
    <w:rsid w:val="006C0820"/>
    <w:rsid w:val="006C0F76"/>
    <w:rsid w:val="006C1013"/>
    <w:rsid w:val="006C128C"/>
    <w:rsid w:val="006C2C6C"/>
    <w:rsid w:val="006C32D0"/>
    <w:rsid w:val="006C37C9"/>
    <w:rsid w:val="006C39CC"/>
    <w:rsid w:val="006C3E33"/>
    <w:rsid w:val="006C45F1"/>
    <w:rsid w:val="006C53E7"/>
    <w:rsid w:val="006C564D"/>
    <w:rsid w:val="006C5CE7"/>
    <w:rsid w:val="006C6A15"/>
    <w:rsid w:val="006C6F9D"/>
    <w:rsid w:val="006C7606"/>
    <w:rsid w:val="006D0111"/>
    <w:rsid w:val="006D0864"/>
    <w:rsid w:val="006D0C07"/>
    <w:rsid w:val="006D14B8"/>
    <w:rsid w:val="006D1797"/>
    <w:rsid w:val="006D3097"/>
    <w:rsid w:val="006D3C42"/>
    <w:rsid w:val="006D3F9E"/>
    <w:rsid w:val="006D45C2"/>
    <w:rsid w:val="006D45DD"/>
    <w:rsid w:val="006D484D"/>
    <w:rsid w:val="006D4C33"/>
    <w:rsid w:val="006D5706"/>
    <w:rsid w:val="006D5C94"/>
    <w:rsid w:val="006D6467"/>
    <w:rsid w:val="006D69CD"/>
    <w:rsid w:val="006D754E"/>
    <w:rsid w:val="006D75F7"/>
    <w:rsid w:val="006D7709"/>
    <w:rsid w:val="006D787F"/>
    <w:rsid w:val="006D78F3"/>
    <w:rsid w:val="006D7ECE"/>
    <w:rsid w:val="006E0894"/>
    <w:rsid w:val="006E0CC2"/>
    <w:rsid w:val="006E1049"/>
    <w:rsid w:val="006E114C"/>
    <w:rsid w:val="006E2468"/>
    <w:rsid w:val="006E25EC"/>
    <w:rsid w:val="006E2875"/>
    <w:rsid w:val="006E2E6F"/>
    <w:rsid w:val="006E33C5"/>
    <w:rsid w:val="006E34A3"/>
    <w:rsid w:val="006E3876"/>
    <w:rsid w:val="006E44F6"/>
    <w:rsid w:val="006E452C"/>
    <w:rsid w:val="006E472A"/>
    <w:rsid w:val="006E5661"/>
    <w:rsid w:val="006E579E"/>
    <w:rsid w:val="006E5F5E"/>
    <w:rsid w:val="006E61E1"/>
    <w:rsid w:val="006E671C"/>
    <w:rsid w:val="006E71D6"/>
    <w:rsid w:val="006E74B8"/>
    <w:rsid w:val="006E754A"/>
    <w:rsid w:val="006E7F35"/>
    <w:rsid w:val="006F10C3"/>
    <w:rsid w:val="006F1294"/>
    <w:rsid w:val="006F12CB"/>
    <w:rsid w:val="006F1855"/>
    <w:rsid w:val="006F1EDE"/>
    <w:rsid w:val="006F43CE"/>
    <w:rsid w:val="006F4DEC"/>
    <w:rsid w:val="006F5048"/>
    <w:rsid w:val="006F54B8"/>
    <w:rsid w:val="006F5B8D"/>
    <w:rsid w:val="006F6796"/>
    <w:rsid w:val="006F6C66"/>
    <w:rsid w:val="006F6F8F"/>
    <w:rsid w:val="006F77C0"/>
    <w:rsid w:val="006F7C7E"/>
    <w:rsid w:val="00700536"/>
    <w:rsid w:val="007016EF"/>
    <w:rsid w:val="007020DF"/>
    <w:rsid w:val="00702B1D"/>
    <w:rsid w:val="0070330E"/>
    <w:rsid w:val="00703805"/>
    <w:rsid w:val="0070441D"/>
    <w:rsid w:val="00704856"/>
    <w:rsid w:val="0070497A"/>
    <w:rsid w:val="007057F7"/>
    <w:rsid w:val="00705A0B"/>
    <w:rsid w:val="0070614B"/>
    <w:rsid w:val="007065C5"/>
    <w:rsid w:val="00706BB3"/>
    <w:rsid w:val="00706CE6"/>
    <w:rsid w:val="0070729A"/>
    <w:rsid w:val="0070743B"/>
    <w:rsid w:val="00707C6F"/>
    <w:rsid w:val="00710780"/>
    <w:rsid w:val="0071118D"/>
    <w:rsid w:val="007113F5"/>
    <w:rsid w:val="00711488"/>
    <w:rsid w:val="00711774"/>
    <w:rsid w:val="00711ED9"/>
    <w:rsid w:val="0071233F"/>
    <w:rsid w:val="0071238B"/>
    <w:rsid w:val="00713261"/>
    <w:rsid w:val="007135E3"/>
    <w:rsid w:val="00713D68"/>
    <w:rsid w:val="007143B1"/>
    <w:rsid w:val="007145A9"/>
    <w:rsid w:val="00714692"/>
    <w:rsid w:val="0071485A"/>
    <w:rsid w:val="0071582F"/>
    <w:rsid w:val="007158CA"/>
    <w:rsid w:val="00715CEA"/>
    <w:rsid w:val="007162F0"/>
    <w:rsid w:val="00716C30"/>
    <w:rsid w:val="007173C5"/>
    <w:rsid w:val="00720C15"/>
    <w:rsid w:val="00721176"/>
    <w:rsid w:val="00721955"/>
    <w:rsid w:val="0072265A"/>
    <w:rsid w:val="00722D08"/>
    <w:rsid w:val="00722FC1"/>
    <w:rsid w:val="0072329F"/>
    <w:rsid w:val="00724CA8"/>
    <w:rsid w:val="00724CF8"/>
    <w:rsid w:val="00726590"/>
    <w:rsid w:val="00727570"/>
    <w:rsid w:val="007276BD"/>
    <w:rsid w:val="00727880"/>
    <w:rsid w:val="00727911"/>
    <w:rsid w:val="0073006E"/>
    <w:rsid w:val="0073045D"/>
    <w:rsid w:val="007305A3"/>
    <w:rsid w:val="0073067B"/>
    <w:rsid w:val="00730CA7"/>
    <w:rsid w:val="00730FFA"/>
    <w:rsid w:val="00731210"/>
    <w:rsid w:val="007331BA"/>
    <w:rsid w:val="007334E5"/>
    <w:rsid w:val="007343E9"/>
    <w:rsid w:val="00735197"/>
    <w:rsid w:val="00735C7C"/>
    <w:rsid w:val="00736AA2"/>
    <w:rsid w:val="007379EB"/>
    <w:rsid w:val="007401E6"/>
    <w:rsid w:val="00740376"/>
    <w:rsid w:val="007416CA"/>
    <w:rsid w:val="00742CEC"/>
    <w:rsid w:val="007435D7"/>
    <w:rsid w:val="00744CDD"/>
    <w:rsid w:val="00744FDE"/>
    <w:rsid w:val="0074553C"/>
    <w:rsid w:val="0074598D"/>
    <w:rsid w:val="00746759"/>
    <w:rsid w:val="007470FF"/>
    <w:rsid w:val="00747194"/>
    <w:rsid w:val="007474B0"/>
    <w:rsid w:val="007501BB"/>
    <w:rsid w:val="00751BB7"/>
    <w:rsid w:val="007526A9"/>
    <w:rsid w:val="00752710"/>
    <w:rsid w:val="00753606"/>
    <w:rsid w:val="00755164"/>
    <w:rsid w:val="00755620"/>
    <w:rsid w:val="00756801"/>
    <w:rsid w:val="00756AA2"/>
    <w:rsid w:val="00757329"/>
    <w:rsid w:val="00757999"/>
    <w:rsid w:val="00757AA1"/>
    <w:rsid w:val="00757B12"/>
    <w:rsid w:val="007603A1"/>
    <w:rsid w:val="00760507"/>
    <w:rsid w:val="00760A6C"/>
    <w:rsid w:val="00760B51"/>
    <w:rsid w:val="00761234"/>
    <w:rsid w:val="007615EA"/>
    <w:rsid w:val="00761F3B"/>
    <w:rsid w:val="00761FF9"/>
    <w:rsid w:val="00762119"/>
    <w:rsid w:val="007626CD"/>
    <w:rsid w:val="007642D5"/>
    <w:rsid w:val="00764440"/>
    <w:rsid w:val="007646F9"/>
    <w:rsid w:val="0076525E"/>
    <w:rsid w:val="00765481"/>
    <w:rsid w:val="00765681"/>
    <w:rsid w:val="00765E3D"/>
    <w:rsid w:val="0076661A"/>
    <w:rsid w:val="0076681C"/>
    <w:rsid w:val="00767D07"/>
    <w:rsid w:val="00767D21"/>
    <w:rsid w:val="0077038C"/>
    <w:rsid w:val="007708BD"/>
    <w:rsid w:val="00770FA4"/>
    <w:rsid w:val="00771E3B"/>
    <w:rsid w:val="00771FA4"/>
    <w:rsid w:val="00772812"/>
    <w:rsid w:val="00772C29"/>
    <w:rsid w:val="0077554A"/>
    <w:rsid w:val="007763C9"/>
    <w:rsid w:val="00777CBF"/>
    <w:rsid w:val="00780558"/>
    <w:rsid w:val="00780C33"/>
    <w:rsid w:val="00780C9B"/>
    <w:rsid w:val="00781759"/>
    <w:rsid w:val="007819B5"/>
    <w:rsid w:val="00781D9B"/>
    <w:rsid w:val="00782FF7"/>
    <w:rsid w:val="00783461"/>
    <w:rsid w:val="00784296"/>
    <w:rsid w:val="00785188"/>
    <w:rsid w:val="007851C5"/>
    <w:rsid w:val="00785BBD"/>
    <w:rsid w:val="00785D5B"/>
    <w:rsid w:val="007864DA"/>
    <w:rsid w:val="00787014"/>
    <w:rsid w:val="0078709C"/>
    <w:rsid w:val="007870CF"/>
    <w:rsid w:val="00787D9C"/>
    <w:rsid w:val="00790FEF"/>
    <w:rsid w:val="00791071"/>
    <w:rsid w:val="00791118"/>
    <w:rsid w:val="00791285"/>
    <w:rsid w:val="00791D28"/>
    <w:rsid w:val="00791DD6"/>
    <w:rsid w:val="00794CC2"/>
    <w:rsid w:val="00795461"/>
    <w:rsid w:val="007958BC"/>
    <w:rsid w:val="00796F18"/>
    <w:rsid w:val="00797662"/>
    <w:rsid w:val="007A0443"/>
    <w:rsid w:val="007A0F0B"/>
    <w:rsid w:val="007A10F3"/>
    <w:rsid w:val="007A111F"/>
    <w:rsid w:val="007A17A3"/>
    <w:rsid w:val="007A17DE"/>
    <w:rsid w:val="007A1A14"/>
    <w:rsid w:val="007A1D73"/>
    <w:rsid w:val="007A2416"/>
    <w:rsid w:val="007A2A90"/>
    <w:rsid w:val="007A3D65"/>
    <w:rsid w:val="007A42E1"/>
    <w:rsid w:val="007A48A3"/>
    <w:rsid w:val="007A4BD8"/>
    <w:rsid w:val="007A632E"/>
    <w:rsid w:val="007A6CEA"/>
    <w:rsid w:val="007A6F15"/>
    <w:rsid w:val="007A7252"/>
    <w:rsid w:val="007A73F7"/>
    <w:rsid w:val="007A74DF"/>
    <w:rsid w:val="007A7B2C"/>
    <w:rsid w:val="007B1148"/>
    <w:rsid w:val="007B230B"/>
    <w:rsid w:val="007B23E9"/>
    <w:rsid w:val="007B389A"/>
    <w:rsid w:val="007B4CF3"/>
    <w:rsid w:val="007B4E6C"/>
    <w:rsid w:val="007B60BD"/>
    <w:rsid w:val="007B6452"/>
    <w:rsid w:val="007B6AF3"/>
    <w:rsid w:val="007B788A"/>
    <w:rsid w:val="007B7A6A"/>
    <w:rsid w:val="007B7F69"/>
    <w:rsid w:val="007C128C"/>
    <w:rsid w:val="007C1F73"/>
    <w:rsid w:val="007C28D2"/>
    <w:rsid w:val="007C2917"/>
    <w:rsid w:val="007C30DE"/>
    <w:rsid w:val="007C3787"/>
    <w:rsid w:val="007C37B3"/>
    <w:rsid w:val="007C43EF"/>
    <w:rsid w:val="007C5A47"/>
    <w:rsid w:val="007C6211"/>
    <w:rsid w:val="007C71EB"/>
    <w:rsid w:val="007C75A0"/>
    <w:rsid w:val="007C7624"/>
    <w:rsid w:val="007C763D"/>
    <w:rsid w:val="007C786B"/>
    <w:rsid w:val="007D00D9"/>
    <w:rsid w:val="007D08D3"/>
    <w:rsid w:val="007D09EC"/>
    <w:rsid w:val="007D1C3E"/>
    <w:rsid w:val="007D2815"/>
    <w:rsid w:val="007D2A94"/>
    <w:rsid w:val="007D37D5"/>
    <w:rsid w:val="007D42DC"/>
    <w:rsid w:val="007D493C"/>
    <w:rsid w:val="007D496D"/>
    <w:rsid w:val="007D61D6"/>
    <w:rsid w:val="007D6301"/>
    <w:rsid w:val="007D7D81"/>
    <w:rsid w:val="007E023E"/>
    <w:rsid w:val="007E08D6"/>
    <w:rsid w:val="007E0EC1"/>
    <w:rsid w:val="007E0F4E"/>
    <w:rsid w:val="007E2412"/>
    <w:rsid w:val="007E2554"/>
    <w:rsid w:val="007E2FB5"/>
    <w:rsid w:val="007E3026"/>
    <w:rsid w:val="007E472C"/>
    <w:rsid w:val="007E52FE"/>
    <w:rsid w:val="007E5683"/>
    <w:rsid w:val="007E5CD5"/>
    <w:rsid w:val="007E5DD8"/>
    <w:rsid w:val="007E7824"/>
    <w:rsid w:val="007E7BCF"/>
    <w:rsid w:val="007F108A"/>
    <w:rsid w:val="007F1D5B"/>
    <w:rsid w:val="007F313F"/>
    <w:rsid w:val="007F348D"/>
    <w:rsid w:val="007F3A86"/>
    <w:rsid w:val="007F3F8A"/>
    <w:rsid w:val="007F4A16"/>
    <w:rsid w:val="007F4C0F"/>
    <w:rsid w:val="007F5673"/>
    <w:rsid w:val="007F57F9"/>
    <w:rsid w:val="007F6915"/>
    <w:rsid w:val="007F6D85"/>
    <w:rsid w:val="00800077"/>
    <w:rsid w:val="008008A5"/>
    <w:rsid w:val="008016C2"/>
    <w:rsid w:val="0080260D"/>
    <w:rsid w:val="00803C26"/>
    <w:rsid w:val="00804282"/>
    <w:rsid w:val="008057AA"/>
    <w:rsid w:val="0080616B"/>
    <w:rsid w:val="00806365"/>
    <w:rsid w:val="008063D2"/>
    <w:rsid w:val="00806688"/>
    <w:rsid w:val="008079FB"/>
    <w:rsid w:val="00807D42"/>
    <w:rsid w:val="00810637"/>
    <w:rsid w:val="008108C4"/>
    <w:rsid w:val="00810C63"/>
    <w:rsid w:val="00811717"/>
    <w:rsid w:val="00812345"/>
    <w:rsid w:val="008126CE"/>
    <w:rsid w:val="00812EC2"/>
    <w:rsid w:val="008134CF"/>
    <w:rsid w:val="0081403F"/>
    <w:rsid w:val="00814600"/>
    <w:rsid w:val="00814768"/>
    <w:rsid w:val="00814C6C"/>
    <w:rsid w:val="00817F8F"/>
    <w:rsid w:val="00820CEC"/>
    <w:rsid w:val="00821074"/>
    <w:rsid w:val="00822883"/>
    <w:rsid w:val="008236DF"/>
    <w:rsid w:val="00823735"/>
    <w:rsid w:val="00823AB0"/>
    <w:rsid w:val="00824008"/>
    <w:rsid w:val="008240FF"/>
    <w:rsid w:val="0082425E"/>
    <w:rsid w:val="0082496B"/>
    <w:rsid w:val="0082541B"/>
    <w:rsid w:val="008264B6"/>
    <w:rsid w:val="00826773"/>
    <w:rsid w:val="00827A1E"/>
    <w:rsid w:val="00827BF9"/>
    <w:rsid w:val="00827DEC"/>
    <w:rsid w:val="00830298"/>
    <w:rsid w:val="00830A32"/>
    <w:rsid w:val="008311E2"/>
    <w:rsid w:val="00832A80"/>
    <w:rsid w:val="00832AF9"/>
    <w:rsid w:val="00832D31"/>
    <w:rsid w:val="00832F9D"/>
    <w:rsid w:val="00832FF9"/>
    <w:rsid w:val="00834A2E"/>
    <w:rsid w:val="00834A64"/>
    <w:rsid w:val="00834C0D"/>
    <w:rsid w:val="00834D6C"/>
    <w:rsid w:val="00836B35"/>
    <w:rsid w:val="00836D38"/>
    <w:rsid w:val="008374C7"/>
    <w:rsid w:val="00840233"/>
    <w:rsid w:val="00840E52"/>
    <w:rsid w:val="00840E72"/>
    <w:rsid w:val="00841FF6"/>
    <w:rsid w:val="00842188"/>
    <w:rsid w:val="00842328"/>
    <w:rsid w:val="0084234E"/>
    <w:rsid w:val="00842932"/>
    <w:rsid w:val="00842B31"/>
    <w:rsid w:val="00842B58"/>
    <w:rsid w:val="00843450"/>
    <w:rsid w:val="00843F40"/>
    <w:rsid w:val="0084418C"/>
    <w:rsid w:val="008442F7"/>
    <w:rsid w:val="008446C9"/>
    <w:rsid w:val="00845187"/>
    <w:rsid w:val="00845737"/>
    <w:rsid w:val="008466E0"/>
    <w:rsid w:val="00846785"/>
    <w:rsid w:val="0084691F"/>
    <w:rsid w:val="00847C4A"/>
    <w:rsid w:val="00847ED2"/>
    <w:rsid w:val="00850630"/>
    <w:rsid w:val="00850E99"/>
    <w:rsid w:val="00850EF9"/>
    <w:rsid w:val="00851A12"/>
    <w:rsid w:val="00851DA7"/>
    <w:rsid w:val="00852B4B"/>
    <w:rsid w:val="00853F33"/>
    <w:rsid w:val="0085451F"/>
    <w:rsid w:val="00854F1A"/>
    <w:rsid w:val="00855665"/>
    <w:rsid w:val="008557E8"/>
    <w:rsid w:val="00855904"/>
    <w:rsid w:val="00856042"/>
    <w:rsid w:val="008562EA"/>
    <w:rsid w:val="00856442"/>
    <w:rsid w:val="00856608"/>
    <w:rsid w:val="0086090E"/>
    <w:rsid w:val="00860B19"/>
    <w:rsid w:val="00860FAC"/>
    <w:rsid w:val="00861B53"/>
    <w:rsid w:val="00861D72"/>
    <w:rsid w:val="0086210B"/>
    <w:rsid w:val="008636CA"/>
    <w:rsid w:val="0086435F"/>
    <w:rsid w:val="0086493F"/>
    <w:rsid w:val="008651FD"/>
    <w:rsid w:val="00865B4E"/>
    <w:rsid w:val="008660E9"/>
    <w:rsid w:val="008669D2"/>
    <w:rsid w:val="00866BDE"/>
    <w:rsid w:val="00867066"/>
    <w:rsid w:val="00867138"/>
    <w:rsid w:val="00867830"/>
    <w:rsid w:val="00867E7F"/>
    <w:rsid w:val="00867F2F"/>
    <w:rsid w:val="00870022"/>
    <w:rsid w:val="008701B5"/>
    <w:rsid w:val="008704CD"/>
    <w:rsid w:val="008719A8"/>
    <w:rsid w:val="00871AD7"/>
    <w:rsid w:val="00871DD7"/>
    <w:rsid w:val="00871EF3"/>
    <w:rsid w:val="00873335"/>
    <w:rsid w:val="00874200"/>
    <w:rsid w:val="00874307"/>
    <w:rsid w:val="00874DF5"/>
    <w:rsid w:val="00875C8A"/>
    <w:rsid w:val="00875D6F"/>
    <w:rsid w:val="0087641E"/>
    <w:rsid w:val="0088079E"/>
    <w:rsid w:val="00880D4E"/>
    <w:rsid w:val="008815C2"/>
    <w:rsid w:val="008826DF"/>
    <w:rsid w:val="0088289F"/>
    <w:rsid w:val="00882938"/>
    <w:rsid w:val="008834E4"/>
    <w:rsid w:val="008840C9"/>
    <w:rsid w:val="00884289"/>
    <w:rsid w:val="008849DA"/>
    <w:rsid w:val="0088537F"/>
    <w:rsid w:val="00885D58"/>
    <w:rsid w:val="00885EE8"/>
    <w:rsid w:val="008867EC"/>
    <w:rsid w:val="008873C4"/>
    <w:rsid w:val="0088767D"/>
    <w:rsid w:val="00887822"/>
    <w:rsid w:val="00890389"/>
    <w:rsid w:val="00890857"/>
    <w:rsid w:val="00890EB6"/>
    <w:rsid w:val="00891108"/>
    <w:rsid w:val="008920BF"/>
    <w:rsid w:val="0089259F"/>
    <w:rsid w:val="00894628"/>
    <w:rsid w:val="008952D9"/>
    <w:rsid w:val="00895A39"/>
    <w:rsid w:val="00895BF1"/>
    <w:rsid w:val="00897895"/>
    <w:rsid w:val="00897ABB"/>
    <w:rsid w:val="008A0188"/>
    <w:rsid w:val="008A0C5E"/>
    <w:rsid w:val="008A1115"/>
    <w:rsid w:val="008A113A"/>
    <w:rsid w:val="008A114C"/>
    <w:rsid w:val="008A1467"/>
    <w:rsid w:val="008A187A"/>
    <w:rsid w:val="008A1B7C"/>
    <w:rsid w:val="008A2242"/>
    <w:rsid w:val="008A36C6"/>
    <w:rsid w:val="008A43A5"/>
    <w:rsid w:val="008A5119"/>
    <w:rsid w:val="008A610E"/>
    <w:rsid w:val="008A6487"/>
    <w:rsid w:val="008A7995"/>
    <w:rsid w:val="008A7A6F"/>
    <w:rsid w:val="008B0574"/>
    <w:rsid w:val="008B06CE"/>
    <w:rsid w:val="008B11A2"/>
    <w:rsid w:val="008B1A12"/>
    <w:rsid w:val="008B1E81"/>
    <w:rsid w:val="008B35F7"/>
    <w:rsid w:val="008B393D"/>
    <w:rsid w:val="008B3984"/>
    <w:rsid w:val="008B3AF7"/>
    <w:rsid w:val="008B46FE"/>
    <w:rsid w:val="008B4865"/>
    <w:rsid w:val="008B5F35"/>
    <w:rsid w:val="008B60C4"/>
    <w:rsid w:val="008B617C"/>
    <w:rsid w:val="008B6294"/>
    <w:rsid w:val="008C0049"/>
    <w:rsid w:val="008C033C"/>
    <w:rsid w:val="008C0723"/>
    <w:rsid w:val="008C15F9"/>
    <w:rsid w:val="008C24E5"/>
    <w:rsid w:val="008C29B5"/>
    <w:rsid w:val="008C3321"/>
    <w:rsid w:val="008C358C"/>
    <w:rsid w:val="008C35B3"/>
    <w:rsid w:val="008C38A5"/>
    <w:rsid w:val="008C3DBC"/>
    <w:rsid w:val="008C453D"/>
    <w:rsid w:val="008C576D"/>
    <w:rsid w:val="008C5DA0"/>
    <w:rsid w:val="008C5F52"/>
    <w:rsid w:val="008C6226"/>
    <w:rsid w:val="008C750D"/>
    <w:rsid w:val="008C7E07"/>
    <w:rsid w:val="008C7FE4"/>
    <w:rsid w:val="008D0202"/>
    <w:rsid w:val="008D03CA"/>
    <w:rsid w:val="008D0691"/>
    <w:rsid w:val="008D0B77"/>
    <w:rsid w:val="008D0DAC"/>
    <w:rsid w:val="008D0F8E"/>
    <w:rsid w:val="008D1152"/>
    <w:rsid w:val="008D14D4"/>
    <w:rsid w:val="008D1A20"/>
    <w:rsid w:val="008D21C1"/>
    <w:rsid w:val="008D2C24"/>
    <w:rsid w:val="008D3189"/>
    <w:rsid w:val="008D3BF2"/>
    <w:rsid w:val="008D4EB8"/>
    <w:rsid w:val="008D5A60"/>
    <w:rsid w:val="008D5BE4"/>
    <w:rsid w:val="008D5BE8"/>
    <w:rsid w:val="008D609E"/>
    <w:rsid w:val="008D6508"/>
    <w:rsid w:val="008D6B5C"/>
    <w:rsid w:val="008D6DBF"/>
    <w:rsid w:val="008D6F8B"/>
    <w:rsid w:val="008D74EE"/>
    <w:rsid w:val="008E0570"/>
    <w:rsid w:val="008E2178"/>
    <w:rsid w:val="008E2676"/>
    <w:rsid w:val="008E2FAF"/>
    <w:rsid w:val="008E3012"/>
    <w:rsid w:val="008E33B8"/>
    <w:rsid w:val="008E3C9D"/>
    <w:rsid w:val="008E3E41"/>
    <w:rsid w:val="008E3F5D"/>
    <w:rsid w:val="008E4584"/>
    <w:rsid w:val="008E467A"/>
    <w:rsid w:val="008E50CD"/>
    <w:rsid w:val="008E5458"/>
    <w:rsid w:val="008E6A18"/>
    <w:rsid w:val="008E7378"/>
    <w:rsid w:val="008E756E"/>
    <w:rsid w:val="008E769B"/>
    <w:rsid w:val="008E7915"/>
    <w:rsid w:val="008F0341"/>
    <w:rsid w:val="008F1192"/>
    <w:rsid w:val="008F1A1F"/>
    <w:rsid w:val="008F1F44"/>
    <w:rsid w:val="008F2376"/>
    <w:rsid w:val="008F281D"/>
    <w:rsid w:val="008F36CB"/>
    <w:rsid w:val="008F470D"/>
    <w:rsid w:val="008F499B"/>
    <w:rsid w:val="008F5D50"/>
    <w:rsid w:val="008F60B6"/>
    <w:rsid w:val="008F60E3"/>
    <w:rsid w:val="008F6D80"/>
    <w:rsid w:val="008F6F5D"/>
    <w:rsid w:val="008F7034"/>
    <w:rsid w:val="008F7091"/>
    <w:rsid w:val="008F7B38"/>
    <w:rsid w:val="008F7DD9"/>
    <w:rsid w:val="008F7EA5"/>
    <w:rsid w:val="00901426"/>
    <w:rsid w:val="009014AF"/>
    <w:rsid w:val="0090190B"/>
    <w:rsid w:val="009020F5"/>
    <w:rsid w:val="00902B4C"/>
    <w:rsid w:val="00902D92"/>
    <w:rsid w:val="009034D7"/>
    <w:rsid w:val="009050E8"/>
    <w:rsid w:val="009066F0"/>
    <w:rsid w:val="00906B4E"/>
    <w:rsid w:val="00906ED3"/>
    <w:rsid w:val="0090722C"/>
    <w:rsid w:val="00907338"/>
    <w:rsid w:val="00907AE0"/>
    <w:rsid w:val="00910053"/>
    <w:rsid w:val="00910C78"/>
    <w:rsid w:val="00910CC0"/>
    <w:rsid w:val="00910EA7"/>
    <w:rsid w:val="00910F6C"/>
    <w:rsid w:val="00911089"/>
    <w:rsid w:val="00911143"/>
    <w:rsid w:val="00911489"/>
    <w:rsid w:val="009117BE"/>
    <w:rsid w:val="009120B4"/>
    <w:rsid w:val="009123CB"/>
    <w:rsid w:val="009124DA"/>
    <w:rsid w:val="00913524"/>
    <w:rsid w:val="00913694"/>
    <w:rsid w:val="009137CF"/>
    <w:rsid w:val="00914889"/>
    <w:rsid w:val="00915653"/>
    <w:rsid w:val="00915C50"/>
    <w:rsid w:val="00915FF6"/>
    <w:rsid w:val="00916853"/>
    <w:rsid w:val="009169F4"/>
    <w:rsid w:val="00916B75"/>
    <w:rsid w:val="00916C0C"/>
    <w:rsid w:val="00916EC3"/>
    <w:rsid w:val="00916FDC"/>
    <w:rsid w:val="00917939"/>
    <w:rsid w:val="00917B15"/>
    <w:rsid w:val="009209EC"/>
    <w:rsid w:val="00920CDE"/>
    <w:rsid w:val="00920D09"/>
    <w:rsid w:val="009213AE"/>
    <w:rsid w:val="00921596"/>
    <w:rsid w:val="009243C1"/>
    <w:rsid w:val="00925FAA"/>
    <w:rsid w:val="00926D1B"/>
    <w:rsid w:val="00926D33"/>
    <w:rsid w:val="009278B1"/>
    <w:rsid w:val="00927C16"/>
    <w:rsid w:val="00927C7A"/>
    <w:rsid w:val="00927FDF"/>
    <w:rsid w:val="00930629"/>
    <w:rsid w:val="00930D2E"/>
    <w:rsid w:val="0093104D"/>
    <w:rsid w:val="0093117B"/>
    <w:rsid w:val="0093185C"/>
    <w:rsid w:val="00932AC2"/>
    <w:rsid w:val="00932F9E"/>
    <w:rsid w:val="00933E5E"/>
    <w:rsid w:val="00933FD4"/>
    <w:rsid w:val="00934883"/>
    <w:rsid w:val="00934E4C"/>
    <w:rsid w:val="009351CD"/>
    <w:rsid w:val="009358A0"/>
    <w:rsid w:val="00937877"/>
    <w:rsid w:val="00937D84"/>
    <w:rsid w:val="00940884"/>
    <w:rsid w:val="00940E4E"/>
    <w:rsid w:val="009417B7"/>
    <w:rsid w:val="00942DFB"/>
    <w:rsid w:val="009436CF"/>
    <w:rsid w:val="0094375A"/>
    <w:rsid w:val="009444F8"/>
    <w:rsid w:val="009446BC"/>
    <w:rsid w:val="0094544B"/>
    <w:rsid w:val="0094554D"/>
    <w:rsid w:val="009455C8"/>
    <w:rsid w:val="00945A37"/>
    <w:rsid w:val="00945A6E"/>
    <w:rsid w:val="00945CB6"/>
    <w:rsid w:val="00945DAA"/>
    <w:rsid w:val="009468B2"/>
    <w:rsid w:val="00951017"/>
    <w:rsid w:val="00953023"/>
    <w:rsid w:val="009536AC"/>
    <w:rsid w:val="00953A44"/>
    <w:rsid w:val="00953AA3"/>
    <w:rsid w:val="00954685"/>
    <w:rsid w:val="00954736"/>
    <w:rsid w:val="009547CB"/>
    <w:rsid w:val="00954835"/>
    <w:rsid w:val="0095485C"/>
    <w:rsid w:val="00955D19"/>
    <w:rsid w:val="00955F4A"/>
    <w:rsid w:val="00956078"/>
    <w:rsid w:val="0095623E"/>
    <w:rsid w:val="00957D73"/>
    <w:rsid w:val="00961E6A"/>
    <w:rsid w:val="0096292E"/>
    <w:rsid w:val="00962981"/>
    <w:rsid w:val="00963653"/>
    <w:rsid w:val="00963929"/>
    <w:rsid w:val="0096489E"/>
    <w:rsid w:val="00965111"/>
    <w:rsid w:val="00965668"/>
    <w:rsid w:val="00965E4A"/>
    <w:rsid w:val="009661C1"/>
    <w:rsid w:val="00966BDF"/>
    <w:rsid w:val="00967A2C"/>
    <w:rsid w:val="00967B67"/>
    <w:rsid w:val="00967ED8"/>
    <w:rsid w:val="00967FCB"/>
    <w:rsid w:val="009713B7"/>
    <w:rsid w:val="0097177B"/>
    <w:rsid w:val="00973D32"/>
    <w:rsid w:val="00973F87"/>
    <w:rsid w:val="00973FE6"/>
    <w:rsid w:val="00974664"/>
    <w:rsid w:val="0097487C"/>
    <w:rsid w:val="00974B49"/>
    <w:rsid w:val="00974D1E"/>
    <w:rsid w:val="00974E1B"/>
    <w:rsid w:val="00975E30"/>
    <w:rsid w:val="0097657E"/>
    <w:rsid w:val="00976759"/>
    <w:rsid w:val="00976DFC"/>
    <w:rsid w:val="00977A63"/>
    <w:rsid w:val="00980B14"/>
    <w:rsid w:val="009810B5"/>
    <w:rsid w:val="009814F8"/>
    <w:rsid w:val="0098165A"/>
    <w:rsid w:val="009816FB"/>
    <w:rsid w:val="00981872"/>
    <w:rsid w:val="00982A11"/>
    <w:rsid w:val="00983973"/>
    <w:rsid w:val="00983B8A"/>
    <w:rsid w:val="00984ACC"/>
    <w:rsid w:val="0098569D"/>
    <w:rsid w:val="00985A98"/>
    <w:rsid w:val="00985C83"/>
    <w:rsid w:val="00985E20"/>
    <w:rsid w:val="0098635C"/>
    <w:rsid w:val="009867D6"/>
    <w:rsid w:val="00987714"/>
    <w:rsid w:val="00987F91"/>
    <w:rsid w:val="009900CF"/>
    <w:rsid w:val="009908FD"/>
    <w:rsid w:val="009910C4"/>
    <w:rsid w:val="00991597"/>
    <w:rsid w:val="0099287A"/>
    <w:rsid w:val="0099348C"/>
    <w:rsid w:val="009943EE"/>
    <w:rsid w:val="009945AE"/>
    <w:rsid w:val="0099485F"/>
    <w:rsid w:val="00994879"/>
    <w:rsid w:val="00994B32"/>
    <w:rsid w:val="00994C8A"/>
    <w:rsid w:val="00995340"/>
    <w:rsid w:val="00995B44"/>
    <w:rsid w:val="00995C8E"/>
    <w:rsid w:val="00995F87"/>
    <w:rsid w:val="00996363"/>
    <w:rsid w:val="009963BB"/>
    <w:rsid w:val="00996B40"/>
    <w:rsid w:val="00996C8C"/>
    <w:rsid w:val="00997CF0"/>
    <w:rsid w:val="009A0060"/>
    <w:rsid w:val="009A04A2"/>
    <w:rsid w:val="009A0520"/>
    <w:rsid w:val="009A08AB"/>
    <w:rsid w:val="009A0C93"/>
    <w:rsid w:val="009A1370"/>
    <w:rsid w:val="009A160C"/>
    <w:rsid w:val="009A2250"/>
    <w:rsid w:val="009A27E4"/>
    <w:rsid w:val="009A2BCC"/>
    <w:rsid w:val="009A38EB"/>
    <w:rsid w:val="009A3CB2"/>
    <w:rsid w:val="009A4044"/>
    <w:rsid w:val="009A4445"/>
    <w:rsid w:val="009A51A6"/>
    <w:rsid w:val="009A6892"/>
    <w:rsid w:val="009A7037"/>
    <w:rsid w:val="009A7BFF"/>
    <w:rsid w:val="009B04EC"/>
    <w:rsid w:val="009B0534"/>
    <w:rsid w:val="009B0EAA"/>
    <w:rsid w:val="009B0EC4"/>
    <w:rsid w:val="009B1767"/>
    <w:rsid w:val="009B190B"/>
    <w:rsid w:val="009B220F"/>
    <w:rsid w:val="009B27E0"/>
    <w:rsid w:val="009B28C6"/>
    <w:rsid w:val="009B2C99"/>
    <w:rsid w:val="009B2DB7"/>
    <w:rsid w:val="009B2FB2"/>
    <w:rsid w:val="009B320D"/>
    <w:rsid w:val="009B3B3C"/>
    <w:rsid w:val="009B607B"/>
    <w:rsid w:val="009B6633"/>
    <w:rsid w:val="009B67CE"/>
    <w:rsid w:val="009B69C9"/>
    <w:rsid w:val="009B6C09"/>
    <w:rsid w:val="009B7FFA"/>
    <w:rsid w:val="009C054F"/>
    <w:rsid w:val="009C137E"/>
    <w:rsid w:val="009C1C2E"/>
    <w:rsid w:val="009C1FCF"/>
    <w:rsid w:val="009C22FA"/>
    <w:rsid w:val="009C34A2"/>
    <w:rsid w:val="009C3B9F"/>
    <w:rsid w:val="009C4178"/>
    <w:rsid w:val="009C473D"/>
    <w:rsid w:val="009C51B9"/>
    <w:rsid w:val="009C5FE9"/>
    <w:rsid w:val="009C76BC"/>
    <w:rsid w:val="009C7793"/>
    <w:rsid w:val="009C7A84"/>
    <w:rsid w:val="009D01BA"/>
    <w:rsid w:val="009D09AA"/>
    <w:rsid w:val="009D11EF"/>
    <w:rsid w:val="009D12A7"/>
    <w:rsid w:val="009D12D6"/>
    <w:rsid w:val="009D242C"/>
    <w:rsid w:val="009D2DB9"/>
    <w:rsid w:val="009D420B"/>
    <w:rsid w:val="009D4913"/>
    <w:rsid w:val="009D546A"/>
    <w:rsid w:val="009D5B46"/>
    <w:rsid w:val="009D5E29"/>
    <w:rsid w:val="009D6205"/>
    <w:rsid w:val="009D6B92"/>
    <w:rsid w:val="009E064A"/>
    <w:rsid w:val="009E0B39"/>
    <w:rsid w:val="009E0B68"/>
    <w:rsid w:val="009E12B4"/>
    <w:rsid w:val="009E1C36"/>
    <w:rsid w:val="009E1E15"/>
    <w:rsid w:val="009E259D"/>
    <w:rsid w:val="009E2D35"/>
    <w:rsid w:val="009E32F3"/>
    <w:rsid w:val="009E38AD"/>
    <w:rsid w:val="009E3966"/>
    <w:rsid w:val="009E543A"/>
    <w:rsid w:val="009E5AD1"/>
    <w:rsid w:val="009E5D7F"/>
    <w:rsid w:val="009E6277"/>
    <w:rsid w:val="009E6D8D"/>
    <w:rsid w:val="009E6E53"/>
    <w:rsid w:val="009F015A"/>
    <w:rsid w:val="009F0D62"/>
    <w:rsid w:val="009F0E23"/>
    <w:rsid w:val="009F0F61"/>
    <w:rsid w:val="009F0FC8"/>
    <w:rsid w:val="009F112A"/>
    <w:rsid w:val="009F1A09"/>
    <w:rsid w:val="009F1F26"/>
    <w:rsid w:val="009F2AFF"/>
    <w:rsid w:val="009F30EC"/>
    <w:rsid w:val="009F3187"/>
    <w:rsid w:val="009F4015"/>
    <w:rsid w:val="009F41B8"/>
    <w:rsid w:val="009F4886"/>
    <w:rsid w:val="009F48CA"/>
    <w:rsid w:val="009F637A"/>
    <w:rsid w:val="009F6426"/>
    <w:rsid w:val="009F687B"/>
    <w:rsid w:val="009F6E7D"/>
    <w:rsid w:val="009F7D42"/>
    <w:rsid w:val="009F7EBE"/>
    <w:rsid w:val="009F7F67"/>
    <w:rsid w:val="009F7FDD"/>
    <w:rsid w:val="00A01AA9"/>
    <w:rsid w:val="00A03804"/>
    <w:rsid w:val="00A03C5B"/>
    <w:rsid w:val="00A053F1"/>
    <w:rsid w:val="00A055CB"/>
    <w:rsid w:val="00A05606"/>
    <w:rsid w:val="00A063FD"/>
    <w:rsid w:val="00A069FC"/>
    <w:rsid w:val="00A074F3"/>
    <w:rsid w:val="00A07555"/>
    <w:rsid w:val="00A075FC"/>
    <w:rsid w:val="00A07DDA"/>
    <w:rsid w:val="00A1071C"/>
    <w:rsid w:val="00A11333"/>
    <w:rsid w:val="00A12BA9"/>
    <w:rsid w:val="00A132A2"/>
    <w:rsid w:val="00A1332B"/>
    <w:rsid w:val="00A145A0"/>
    <w:rsid w:val="00A14B91"/>
    <w:rsid w:val="00A15504"/>
    <w:rsid w:val="00A1637E"/>
    <w:rsid w:val="00A163D6"/>
    <w:rsid w:val="00A166A7"/>
    <w:rsid w:val="00A169C0"/>
    <w:rsid w:val="00A174AD"/>
    <w:rsid w:val="00A17650"/>
    <w:rsid w:val="00A176E2"/>
    <w:rsid w:val="00A178A8"/>
    <w:rsid w:val="00A17AB4"/>
    <w:rsid w:val="00A20D88"/>
    <w:rsid w:val="00A21978"/>
    <w:rsid w:val="00A22A01"/>
    <w:rsid w:val="00A22E8D"/>
    <w:rsid w:val="00A23CC0"/>
    <w:rsid w:val="00A23D78"/>
    <w:rsid w:val="00A24269"/>
    <w:rsid w:val="00A24670"/>
    <w:rsid w:val="00A246A1"/>
    <w:rsid w:val="00A24B7F"/>
    <w:rsid w:val="00A24BA7"/>
    <w:rsid w:val="00A256D4"/>
    <w:rsid w:val="00A2587C"/>
    <w:rsid w:val="00A26522"/>
    <w:rsid w:val="00A26F4E"/>
    <w:rsid w:val="00A26FFD"/>
    <w:rsid w:val="00A2783A"/>
    <w:rsid w:val="00A279EB"/>
    <w:rsid w:val="00A27BE6"/>
    <w:rsid w:val="00A30348"/>
    <w:rsid w:val="00A303F0"/>
    <w:rsid w:val="00A307E5"/>
    <w:rsid w:val="00A309F3"/>
    <w:rsid w:val="00A30E34"/>
    <w:rsid w:val="00A3172B"/>
    <w:rsid w:val="00A32354"/>
    <w:rsid w:val="00A328F6"/>
    <w:rsid w:val="00A32E83"/>
    <w:rsid w:val="00A32EB1"/>
    <w:rsid w:val="00A340D0"/>
    <w:rsid w:val="00A34109"/>
    <w:rsid w:val="00A344B1"/>
    <w:rsid w:val="00A34C6F"/>
    <w:rsid w:val="00A34D22"/>
    <w:rsid w:val="00A34F70"/>
    <w:rsid w:val="00A3578B"/>
    <w:rsid w:val="00A3617C"/>
    <w:rsid w:val="00A36D68"/>
    <w:rsid w:val="00A371D3"/>
    <w:rsid w:val="00A37590"/>
    <w:rsid w:val="00A37648"/>
    <w:rsid w:val="00A37C03"/>
    <w:rsid w:val="00A37E3B"/>
    <w:rsid w:val="00A40487"/>
    <w:rsid w:val="00A40E5D"/>
    <w:rsid w:val="00A4114A"/>
    <w:rsid w:val="00A4129C"/>
    <w:rsid w:val="00A4181C"/>
    <w:rsid w:val="00A4184D"/>
    <w:rsid w:val="00A42106"/>
    <w:rsid w:val="00A42854"/>
    <w:rsid w:val="00A42EDD"/>
    <w:rsid w:val="00A431D7"/>
    <w:rsid w:val="00A43FE8"/>
    <w:rsid w:val="00A44E87"/>
    <w:rsid w:val="00A44FD8"/>
    <w:rsid w:val="00A45DF0"/>
    <w:rsid w:val="00A464D8"/>
    <w:rsid w:val="00A46AD1"/>
    <w:rsid w:val="00A470D3"/>
    <w:rsid w:val="00A473DF"/>
    <w:rsid w:val="00A501E1"/>
    <w:rsid w:val="00A50544"/>
    <w:rsid w:val="00A507E2"/>
    <w:rsid w:val="00A50B06"/>
    <w:rsid w:val="00A52297"/>
    <w:rsid w:val="00A524E0"/>
    <w:rsid w:val="00A52E82"/>
    <w:rsid w:val="00A536F2"/>
    <w:rsid w:val="00A538B5"/>
    <w:rsid w:val="00A53D37"/>
    <w:rsid w:val="00A54114"/>
    <w:rsid w:val="00A54761"/>
    <w:rsid w:val="00A5486E"/>
    <w:rsid w:val="00A54B13"/>
    <w:rsid w:val="00A558B0"/>
    <w:rsid w:val="00A60103"/>
    <w:rsid w:val="00A60538"/>
    <w:rsid w:val="00A60A35"/>
    <w:rsid w:val="00A61050"/>
    <w:rsid w:val="00A62420"/>
    <w:rsid w:val="00A6246E"/>
    <w:rsid w:val="00A62899"/>
    <w:rsid w:val="00A62F04"/>
    <w:rsid w:val="00A637AA"/>
    <w:rsid w:val="00A63BDD"/>
    <w:rsid w:val="00A6468A"/>
    <w:rsid w:val="00A647F5"/>
    <w:rsid w:val="00A65D81"/>
    <w:rsid w:val="00A66A43"/>
    <w:rsid w:val="00A66D5D"/>
    <w:rsid w:val="00A66E47"/>
    <w:rsid w:val="00A67061"/>
    <w:rsid w:val="00A67230"/>
    <w:rsid w:val="00A6746A"/>
    <w:rsid w:val="00A675BC"/>
    <w:rsid w:val="00A67D93"/>
    <w:rsid w:val="00A70429"/>
    <w:rsid w:val="00A7133E"/>
    <w:rsid w:val="00A71482"/>
    <w:rsid w:val="00A7222D"/>
    <w:rsid w:val="00A7242E"/>
    <w:rsid w:val="00A72628"/>
    <w:rsid w:val="00A727EC"/>
    <w:rsid w:val="00A72BD7"/>
    <w:rsid w:val="00A7309A"/>
    <w:rsid w:val="00A7363F"/>
    <w:rsid w:val="00A73EE4"/>
    <w:rsid w:val="00A740DF"/>
    <w:rsid w:val="00A7431C"/>
    <w:rsid w:val="00A74954"/>
    <w:rsid w:val="00A749C5"/>
    <w:rsid w:val="00A7540B"/>
    <w:rsid w:val="00A75652"/>
    <w:rsid w:val="00A7669A"/>
    <w:rsid w:val="00A767BE"/>
    <w:rsid w:val="00A76F9F"/>
    <w:rsid w:val="00A77311"/>
    <w:rsid w:val="00A777D4"/>
    <w:rsid w:val="00A809A6"/>
    <w:rsid w:val="00A81049"/>
    <w:rsid w:val="00A82826"/>
    <w:rsid w:val="00A8292F"/>
    <w:rsid w:val="00A83854"/>
    <w:rsid w:val="00A83894"/>
    <w:rsid w:val="00A85178"/>
    <w:rsid w:val="00A85909"/>
    <w:rsid w:val="00A86D37"/>
    <w:rsid w:val="00A878DB"/>
    <w:rsid w:val="00A87F65"/>
    <w:rsid w:val="00A90211"/>
    <w:rsid w:val="00A90265"/>
    <w:rsid w:val="00A903C7"/>
    <w:rsid w:val="00A90433"/>
    <w:rsid w:val="00A90C28"/>
    <w:rsid w:val="00A92F2B"/>
    <w:rsid w:val="00A93182"/>
    <w:rsid w:val="00A93967"/>
    <w:rsid w:val="00A9444B"/>
    <w:rsid w:val="00A9450C"/>
    <w:rsid w:val="00A94D8D"/>
    <w:rsid w:val="00A94E12"/>
    <w:rsid w:val="00A9508D"/>
    <w:rsid w:val="00A95AEB"/>
    <w:rsid w:val="00A95E0D"/>
    <w:rsid w:val="00A96991"/>
    <w:rsid w:val="00A9708C"/>
    <w:rsid w:val="00A9765D"/>
    <w:rsid w:val="00A97EE0"/>
    <w:rsid w:val="00AA1A44"/>
    <w:rsid w:val="00AA21E1"/>
    <w:rsid w:val="00AA34D5"/>
    <w:rsid w:val="00AA380D"/>
    <w:rsid w:val="00AA413F"/>
    <w:rsid w:val="00AA4CD3"/>
    <w:rsid w:val="00AA4F53"/>
    <w:rsid w:val="00AA4FE7"/>
    <w:rsid w:val="00AA539D"/>
    <w:rsid w:val="00AA56B4"/>
    <w:rsid w:val="00AA62BF"/>
    <w:rsid w:val="00AA65C5"/>
    <w:rsid w:val="00AA6BC0"/>
    <w:rsid w:val="00AA6CD7"/>
    <w:rsid w:val="00AA7440"/>
    <w:rsid w:val="00AA7ACB"/>
    <w:rsid w:val="00AA7EA3"/>
    <w:rsid w:val="00AB084F"/>
    <w:rsid w:val="00AB1550"/>
    <w:rsid w:val="00AB19C1"/>
    <w:rsid w:val="00AB1E03"/>
    <w:rsid w:val="00AB1E05"/>
    <w:rsid w:val="00AB2D60"/>
    <w:rsid w:val="00AB34B8"/>
    <w:rsid w:val="00AB3639"/>
    <w:rsid w:val="00AB3988"/>
    <w:rsid w:val="00AB3C21"/>
    <w:rsid w:val="00AB49CB"/>
    <w:rsid w:val="00AB5703"/>
    <w:rsid w:val="00AB57AC"/>
    <w:rsid w:val="00AB5813"/>
    <w:rsid w:val="00AB5AB5"/>
    <w:rsid w:val="00AB5B55"/>
    <w:rsid w:val="00AB5E1D"/>
    <w:rsid w:val="00AC0B60"/>
    <w:rsid w:val="00AC11E1"/>
    <w:rsid w:val="00AC1B2A"/>
    <w:rsid w:val="00AC1CA9"/>
    <w:rsid w:val="00AC2794"/>
    <w:rsid w:val="00AC2B1C"/>
    <w:rsid w:val="00AC3521"/>
    <w:rsid w:val="00AC39CD"/>
    <w:rsid w:val="00AC3AB3"/>
    <w:rsid w:val="00AC3BF8"/>
    <w:rsid w:val="00AC4993"/>
    <w:rsid w:val="00AC4CED"/>
    <w:rsid w:val="00AC5C45"/>
    <w:rsid w:val="00AC5EE8"/>
    <w:rsid w:val="00AC6062"/>
    <w:rsid w:val="00AC63AE"/>
    <w:rsid w:val="00AC693E"/>
    <w:rsid w:val="00AC6BF4"/>
    <w:rsid w:val="00AC6D4E"/>
    <w:rsid w:val="00AC6EF8"/>
    <w:rsid w:val="00AC78B6"/>
    <w:rsid w:val="00AC78D0"/>
    <w:rsid w:val="00AC7939"/>
    <w:rsid w:val="00AD0116"/>
    <w:rsid w:val="00AD0192"/>
    <w:rsid w:val="00AD07BD"/>
    <w:rsid w:val="00AD0A94"/>
    <w:rsid w:val="00AD1189"/>
    <w:rsid w:val="00AD18F3"/>
    <w:rsid w:val="00AD1D5F"/>
    <w:rsid w:val="00AD1E2B"/>
    <w:rsid w:val="00AD229D"/>
    <w:rsid w:val="00AD27F6"/>
    <w:rsid w:val="00AD29A3"/>
    <w:rsid w:val="00AD2AD3"/>
    <w:rsid w:val="00AD3B94"/>
    <w:rsid w:val="00AD41C1"/>
    <w:rsid w:val="00AD61CE"/>
    <w:rsid w:val="00AD627C"/>
    <w:rsid w:val="00AD6B91"/>
    <w:rsid w:val="00AD750C"/>
    <w:rsid w:val="00AD76A2"/>
    <w:rsid w:val="00AE04A9"/>
    <w:rsid w:val="00AE0661"/>
    <w:rsid w:val="00AE0729"/>
    <w:rsid w:val="00AE1683"/>
    <w:rsid w:val="00AE16A7"/>
    <w:rsid w:val="00AE192D"/>
    <w:rsid w:val="00AE270B"/>
    <w:rsid w:val="00AE33E5"/>
    <w:rsid w:val="00AE3D63"/>
    <w:rsid w:val="00AE3F0D"/>
    <w:rsid w:val="00AE46EF"/>
    <w:rsid w:val="00AE47C6"/>
    <w:rsid w:val="00AE58F8"/>
    <w:rsid w:val="00AE6754"/>
    <w:rsid w:val="00AE6FAB"/>
    <w:rsid w:val="00AE766F"/>
    <w:rsid w:val="00AF015C"/>
    <w:rsid w:val="00AF0800"/>
    <w:rsid w:val="00AF0C20"/>
    <w:rsid w:val="00AF1623"/>
    <w:rsid w:val="00AF24CB"/>
    <w:rsid w:val="00AF2FF9"/>
    <w:rsid w:val="00AF471C"/>
    <w:rsid w:val="00AF5D4C"/>
    <w:rsid w:val="00AF6019"/>
    <w:rsid w:val="00AF621D"/>
    <w:rsid w:val="00AF6616"/>
    <w:rsid w:val="00AF6914"/>
    <w:rsid w:val="00AF6D0B"/>
    <w:rsid w:val="00AF7166"/>
    <w:rsid w:val="00AF7A40"/>
    <w:rsid w:val="00AF7A50"/>
    <w:rsid w:val="00AF7CB6"/>
    <w:rsid w:val="00B000F3"/>
    <w:rsid w:val="00B00201"/>
    <w:rsid w:val="00B00242"/>
    <w:rsid w:val="00B00256"/>
    <w:rsid w:val="00B00294"/>
    <w:rsid w:val="00B00C4C"/>
    <w:rsid w:val="00B02163"/>
    <w:rsid w:val="00B033E2"/>
    <w:rsid w:val="00B04DD4"/>
    <w:rsid w:val="00B05B1D"/>
    <w:rsid w:val="00B0601C"/>
    <w:rsid w:val="00B07BE0"/>
    <w:rsid w:val="00B07C9D"/>
    <w:rsid w:val="00B07EAF"/>
    <w:rsid w:val="00B10EF8"/>
    <w:rsid w:val="00B11479"/>
    <w:rsid w:val="00B11851"/>
    <w:rsid w:val="00B12F32"/>
    <w:rsid w:val="00B13687"/>
    <w:rsid w:val="00B138CE"/>
    <w:rsid w:val="00B145FE"/>
    <w:rsid w:val="00B14AA8"/>
    <w:rsid w:val="00B14DC5"/>
    <w:rsid w:val="00B1523A"/>
    <w:rsid w:val="00B1566A"/>
    <w:rsid w:val="00B15C34"/>
    <w:rsid w:val="00B15F5A"/>
    <w:rsid w:val="00B16387"/>
    <w:rsid w:val="00B164A2"/>
    <w:rsid w:val="00B1690B"/>
    <w:rsid w:val="00B170AF"/>
    <w:rsid w:val="00B17B1F"/>
    <w:rsid w:val="00B202C3"/>
    <w:rsid w:val="00B207A2"/>
    <w:rsid w:val="00B211B4"/>
    <w:rsid w:val="00B21652"/>
    <w:rsid w:val="00B22112"/>
    <w:rsid w:val="00B2290C"/>
    <w:rsid w:val="00B22EFB"/>
    <w:rsid w:val="00B22FA0"/>
    <w:rsid w:val="00B231B0"/>
    <w:rsid w:val="00B23B66"/>
    <w:rsid w:val="00B2417E"/>
    <w:rsid w:val="00B24384"/>
    <w:rsid w:val="00B24FAD"/>
    <w:rsid w:val="00B2546F"/>
    <w:rsid w:val="00B25807"/>
    <w:rsid w:val="00B25D97"/>
    <w:rsid w:val="00B26051"/>
    <w:rsid w:val="00B263FD"/>
    <w:rsid w:val="00B3091C"/>
    <w:rsid w:val="00B324CA"/>
    <w:rsid w:val="00B32622"/>
    <w:rsid w:val="00B332C0"/>
    <w:rsid w:val="00B33907"/>
    <w:rsid w:val="00B34F9D"/>
    <w:rsid w:val="00B35A2A"/>
    <w:rsid w:val="00B36506"/>
    <w:rsid w:val="00B365AA"/>
    <w:rsid w:val="00B36C9B"/>
    <w:rsid w:val="00B37096"/>
    <w:rsid w:val="00B370D2"/>
    <w:rsid w:val="00B376A4"/>
    <w:rsid w:val="00B37825"/>
    <w:rsid w:val="00B41F76"/>
    <w:rsid w:val="00B43E7D"/>
    <w:rsid w:val="00B4445F"/>
    <w:rsid w:val="00B445A4"/>
    <w:rsid w:val="00B4498E"/>
    <w:rsid w:val="00B44EE9"/>
    <w:rsid w:val="00B45977"/>
    <w:rsid w:val="00B45E0B"/>
    <w:rsid w:val="00B46168"/>
    <w:rsid w:val="00B46338"/>
    <w:rsid w:val="00B469FE"/>
    <w:rsid w:val="00B47BE3"/>
    <w:rsid w:val="00B47F2F"/>
    <w:rsid w:val="00B5001E"/>
    <w:rsid w:val="00B50F1E"/>
    <w:rsid w:val="00B51135"/>
    <w:rsid w:val="00B51167"/>
    <w:rsid w:val="00B5139E"/>
    <w:rsid w:val="00B51700"/>
    <w:rsid w:val="00B51763"/>
    <w:rsid w:val="00B51D0B"/>
    <w:rsid w:val="00B51D8E"/>
    <w:rsid w:val="00B51E3C"/>
    <w:rsid w:val="00B5213F"/>
    <w:rsid w:val="00B524B7"/>
    <w:rsid w:val="00B528F7"/>
    <w:rsid w:val="00B5312C"/>
    <w:rsid w:val="00B531FC"/>
    <w:rsid w:val="00B537B8"/>
    <w:rsid w:val="00B556AE"/>
    <w:rsid w:val="00B55DA8"/>
    <w:rsid w:val="00B55FE3"/>
    <w:rsid w:val="00B56809"/>
    <w:rsid w:val="00B56AF1"/>
    <w:rsid w:val="00B5705B"/>
    <w:rsid w:val="00B57B64"/>
    <w:rsid w:val="00B57D59"/>
    <w:rsid w:val="00B60C6A"/>
    <w:rsid w:val="00B60E2D"/>
    <w:rsid w:val="00B612CF"/>
    <w:rsid w:val="00B62957"/>
    <w:rsid w:val="00B631DD"/>
    <w:rsid w:val="00B635D2"/>
    <w:rsid w:val="00B646E3"/>
    <w:rsid w:val="00B655DD"/>
    <w:rsid w:val="00B658A3"/>
    <w:rsid w:val="00B661F1"/>
    <w:rsid w:val="00B6666B"/>
    <w:rsid w:val="00B67758"/>
    <w:rsid w:val="00B67BFE"/>
    <w:rsid w:val="00B67C86"/>
    <w:rsid w:val="00B701EA"/>
    <w:rsid w:val="00B70704"/>
    <w:rsid w:val="00B70973"/>
    <w:rsid w:val="00B71BC9"/>
    <w:rsid w:val="00B71D6B"/>
    <w:rsid w:val="00B72C0C"/>
    <w:rsid w:val="00B732EB"/>
    <w:rsid w:val="00B7376E"/>
    <w:rsid w:val="00B73C14"/>
    <w:rsid w:val="00B73D96"/>
    <w:rsid w:val="00B73DC6"/>
    <w:rsid w:val="00B74197"/>
    <w:rsid w:val="00B74230"/>
    <w:rsid w:val="00B7476C"/>
    <w:rsid w:val="00B75431"/>
    <w:rsid w:val="00B75AF4"/>
    <w:rsid w:val="00B7767F"/>
    <w:rsid w:val="00B801A3"/>
    <w:rsid w:val="00B8023F"/>
    <w:rsid w:val="00B80E69"/>
    <w:rsid w:val="00B81479"/>
    <w:rsid w:val="00B820DD"/>
    <w:rsid w:val="00B822B3"/>
    <w:rsid w:val="00B824B2"/>
    <w:rsid w:val="00B825BC"/>
    <w:rsid w:val="00B82C2E"/>
    <w:rsid w:val="00B82F55"/>
    <w:rsid w:val="00B837A4"/>
    <w:rsid w:val="00B84989"/>
    <w:rsid w:val="00B8529E"/>
    <w:rsid w:val="00B863E2"/>
    <w:rsid w:val="00B868EF"/>
    <w:rsid w:val="00B86E15"/>
    <w:rsid w:val="00B86FF9"/>
    <w:rsid w:val="00B870E9"/>
    <w:rsid w:val="00B8717A"/>
    <w:rsid w:val="00B90EBE"/>
    <w:rsid w:val="00B91459"/>
    <w:rsid w:val="00B917D4"/>
    <w:rsid w:val="00B9271C"/>
    <w:rsid w:val="00B92A72"/>
    <w:rsid w:val="00B92B58"/>
    <w:rsid w:val="00B93913"/>
    <w:rsid w:val="00B942EC"/>
    <w:rsid w:val="00B94478"/>
    <w:rsid w:val="00B95978"/>
    <w:rsid w:val="00B960C1"/>
    <w:rsid w:val="00B96624"/>
    <w:rsid w:val="00B97516"/>
    <w:rsid w:val="00B97993"/>
    <w:rsid w:val="00BA08D8"/>
    <w:rsid w:val="00BA0FC3"/>
    <w:rsid w:val="00BA1884"/>
    <w:rsid w:val="00BA2DC8"/>
    <w:rsid w:val="00BA457D"/>
    <w:rsid w:val="00BA47CA"/>
    <w:rsid w:val="00BA499D"/>
    <w:rsid w:val="00BA4E1E"/>
    <w:rsid w:val="00BA51D6"/>
    <w:rsid w:val="00BA5356"/>
    <w:rsid w:val="00BA5BD2"/>
    <w:rsid w:val="00BA6900"/>
    <w:rsid w:val="00BA7301"/>
    <w:rsid w:val="00BA74D6"/>
    <w:rsid w:val="00BA7D11"/>
    <w:rsid w:val="00BB0C1D"/>
    <w:rsid w:val="00BB0DBE"/>
    <w:rsid w:val="00BB0E16"/>
    <w:rsid w:val="00BB15B5"/>
    <w:rsid w:val="00BB25CB"/>
    <w:rsid w:val="00BB27BE"/>
    <w:rsid w:val="00BB29CB"/>
    <w:rsid w:val="00BB369A"/>
    <w:rsid w:val="00BB388F"/>
    <w:rsid w:val="00BB38AF"/>
    <w:rsid w:val="00BB480A"/>
    <w:rsid w:val="00BB4919"/>
    <w:rsid w:val="00BB4D06"/>
    <w:rsid w:val="00BB4DD1"/>
    <w:rsid w:val="00BB6542"/>
    <w:rsid w:val="00BB6A71"/>
    <w:rsid w:val="00BB74B0"/>
    <w:rsid w:val="00BB7957"/>
    <w:rsid w:val="00BB7AE2"/>
    <w:rsid w:val="00BC0288"/>
    <w:rsid w:val="00BC0687"/>
    <w:rsid w:val="00BC17B7"/>
    <w:rsid w:val="00BC1D77"/>
    <w:rsid w:val="00BC2DF3"/>
    <w:rsid w:val="00BC32E7"/>
    <w:rsid w:val="00BC3DB4"/>
    <w:rsid w:val="00BC3E69"/>
    <w:rsid w:val="00BC4020"/>
    <w:rsid w:val="00BC48F3"/>
    <w:rsid w:val="00BC5592"/>
    <w:rsid w:val="00BC55F6"/>
    <w:rsid w:val="00BC5600"/>
    <w:rsid w:val="00BC5B4D"/>
    <w:rsid w:val="00BC60E3"/>
    <w:rsid w:val="00BC64B4"/>
    <w:rsid w:val="00BC65F7"/>
    <w:rsid w:val="00BC72F7"/>
    <w:rsid w:val="00BC7398"/>
    <w:rsid w:val="00BC74DD"/>
    <w:rsid w:val="00BD0179"/>
    <w:rsid w:val="00BD26CD"/>
    <w:rsid w:val="00BD2E79"/>
    <w:rsid w:val="00BD5858"/>
    <w:rsid w:val="00BD5F93"/>
    <w:rsid w:val="00BD6078"/>
    <w:rsid w:val="00BD6763"/>
    <w:rsid w:val="00BD7A99"/>
    <w:rsid w:val="00BD7FA2"/>
    <w:rsid w:val="00BE0170"/>
    <w:rsid w:val="00BE1197"/>
    <w:rsid w:val="00BE17ED"/>
    <w:rsid w:val="00BE1C1B"/>
    <w:rsid w:val="00BE20C1"/>
    <w:rsid w:val="00BE23A5"/>
    <w:rsid w:val="00BE3FB3"/>
    <w:rsid w:val="00BE45B8"/>
    <w:rsid w:val="00BE48BC"/>
    <w:rsid w:val="00BE4A81"/>
    <w:rsid w:val="00BE4EA2"/>
    <w:rsid w:val="00BE5699"/>
    <w:rsid w:val="00BE5A0C"/>
    <w:rsid w:val="00BE6634"/>
    <w:rsid w:val="00BE6F31"/>
    <w:rsid w:val="00BE6FB0"/>
    <w:rsid w:val="00BE73F0"/>
    <w:rsid w:val="00BE7893"/>
    <w:rsid w:val="00BE7922"/>
    <w:rsid w:val="00BF024D"/>
    <w:rsid w:val="00BF02DA"/>
    <w:rsid w:val="00BF0F73"/>
    <w:rsid w:val="00BF180E"/>
    <w:rsid w:val="00BF248D"/>
    <w:rsid w:val="00BF32D6"/>
    <w:rsid w:val="00BF3F1D"/>
    <w:rsid w:val="00BF5271"/>
    <w:rsid w:val="00BF56F2"/>
    <w:rsid w:val="00BF62C7"/>
    <w:rsid w:val="00BF689D"/>
    <w:rsid w:val="00BF6A57"/>
    <w:rsid w:val="00BF7065"/>
    <w:rsid w:val="00BF798C"/>
    <w:rsid w:val="00C004B1"/>
    <w:rsid w:val="00C00A35"/>
    <w:rsid w:val="00C01C52"/>
    <w:rsid w:val="00C02390"/>
    <w:rsid w:val="00C0261D"/>
    <w:rsid w:val="00C0273E"/>
    <w:rsid w:val="00C02811"/>
    <w:rsid w:val="00C031E6"/>
    <w:rsid w:val="00C0349E"/>
    <w:rsid w:val="00C041B6"/>
    <w:rsid w:val="00C04CA6"/>
    <w:rsid w:val="00C04D19"/>
    <w:rsid w:val="00C04DE1"/>
    <w:rsid w:val="00C063ED"/>
    <w:rsid w:val="00C07280"/>
    <w:rsid w:val="00C075B4"/>
    <w:rsid w:val="00C079F5"/>
    <w:rsid w:val="00C07F65"/>
    <w:rsid w:val="00C103E7"/>
    <w:rsid w:val="00C10979"/>
    <w:rsid w:val="00C114B8"/>
    <w:rsid w:val="00C11707"/>
    <w:rsid w:val="00C11747"/>
    <w:rsid w:val="00C11D2D"/>
    <w:rsid w:val="00C11DEB"/>
    <w:rsid w:val="00C11E77"/>
    <w:rsid w:val="00C12427"/>
    <w:rsid w:val="00C12B14"/>
    <w:rsid w:val="00C12C66"/>
    <w:rsid w:val="00C12FEB"/>
    <w:rsid w:val="00C133E5"/>
    <w:rsid w:val="00C13AFF"/>
    <w:rsid w:val="00C13CC1"/>
    <w:rsid w:val="00C145B4"/>
    <w:rsid w:val="00C151E3"/>
    <w:rsid w:val="00C156F6"/>
    <w:rsid w:val="00C2038D"/>
    <w:rsid w:val="00C2076C"/>
    <w:rsid w:val="00C20994"/>
    <w:rsid w:val="00C20EB7"/>
    <w:rsid w:val="00C22646"/>
    <w:rsid w:val="00C22D74"/>
    <w:rsid w:val="00C22ECC"/>
    <w:rsid w:val="00C23301"/>
    <w:rsid w:val="00C23D09"/>
    <w:rsid w:val="00C23D9C"/>
    <w:rsid w:val="00C23DB1"/>
    <w:rsid w:val="00C2427A"/>
    <w:rsid w:val="00C24A33"/>
    <w:rsid w:val="00C25E27"/>
    <w:rsid w:val="00C26032"/>
    <w:rsid w:val="00C26AC2"/>
    <w:rsid w:val="00C26B30"/>
    <w:rsid w:val="00C26F98"/>
    <w:rsid w:val="00C2705B"/>
    <w:rsid w:val="00C27685"/>
    <w:rsid w:val="00C27894"/>
    <w:rsid w:val="00C27B86"/>
    <w:rsid w:val="00C302EE"/>
    <w:rsid w:val="00C303D1"/>
    <w:rsid w:val="00C3050C"/>
    <w:rsid w:val="00C32944"/>
    <w:rsid w:val="00C32C1D"/>
    <w:rsid w:val="00C33D5B"/>
    <w:rsid w:val="00C340FB"/>
    <w:rsid w:val="00C3414B"/>
    <w:rsid w:val="00C3479F"/>
    <w:rsid w:val="00C35068"/>
    <w:rsid w:val="00C35975"/>
    <w:rsid w:val="00C362F2"/>
    <w:rsid w:val="00C36C4A"/>
    <w:rsid w:val="00C375FD"/>
    <w:rsid w:val="00C37B3C"/>
    <w:rsid w:val="00C37B59"/>
    <w:rsid w:val="00C400F0"/>
    <w:rsid w:val="00C409CE"/>
    <w:rsid w:val="00C409F9"/>
    <w:rsid w:val="00C4122C"/>
    <w:rsid w:val="00C4126C"/>
    <w:rsid w:val="00C41375"/>
    <w:rsid w:val="00C426E9"/>
    <w:rsid w:val="00C429EB"/>
    <w:rsid w:val="00C434C9"/>
    <w:rsid w:val="00C46E0A"/>
    <w:rsid w:val="00C470A3"/>
    <w:rsid w:val="00C47603"/>
    <w:rsid w:val="00C47906"/>
    <w:rsid w:val="00C505AD"/>
    <w:rsid w:val="00C50746"/>
    <w:rsid w:val="00C50795"/>
    <w:rsid w:val="00C5084D"/>
    <w:rsid w:val="00C50A0B"/>
    <w:rsid w:val="00C50FCB"/>
    <w:rsid w:val="00C51805"/>
    <w:rsid w:val="00C51B54"/>
    <w:rsid w:val="00C52428"/>
    <w:rsid w:val="00C527BA"/>
    <w:rsid w:val="00C52914"/>
    <w:rsid w:val="00C5553A"/>
    <w:rsid w:val="00C564CF"/>
    <w:rsid w:val="00C569AC"/>
    <w:rsid w:val="00C569E5"/>
    <w:rsid w:val="00C56A67"/>
    <w:rsid w:val="00C56E9D"/>
    <w:rsid w:val="00C57B53"/>
    <w:rsid w:val="00C57E28"/>
    <w:rsid w:val="00C60132"/>
    <w:rsid w:val="00C60C6C"/>
    <w:rsid w:val="00C61523"/>
    <w:rsid w:val="00C63081"/>
    <w:rsid w:val="00C6358A"/>
    <w:rsid w:val="00C641E9"/>
    <w:rsid w:val="00C65BBE"/>
    <w:rsid w:val="00C663AB"/>
    <w:rsid w:val="00C663C3"/>
    <w:rsid w:val="00C667C8"/>
    <w:rsid w:val="00C67B5D"/>
    <w:rsid w:val="00C67F3A"/>
    <w:rsid w:val="00C70798"/>
    <w:rsid w:val="00C71C72"/>
    <w:rsid w:val="00C7277C"/>
    <w:rsid w:val="00C72F93"/>
    <w:rsid w:val="00C73387"/>
    <w:rsid w:val="00C734EA"/>
    <w:rsid w:val="00C73AD8"/>
    <w:rsid w:val="00C73C3E"/>
    <w:rsid w:val="00C743BA"/>
    <w:rsid w:val="00C74A03"/>
    <w:rsid w:val="00C751E0"/>
    <w:rsid w:val="00C75417"/>
    <w:rsid w:val="00C768EB"/>
    <w:rsid w:val="00C801B7"/>
    <w:rsid w:val="00C80870"/>
    <w:rsid w:val="00C82C41"/>
    <w:rsid w:val="00C82E2C"/>
    <w:rsid w:val="00C831E9"/>
    <w:rsid w:val="00C83B56"/>
    <w:rsid w:val="00C83C5F"/>
    <w:rsid w:val="00C84707"/>
    <w:rsid w:val="00C850E0"/>
    <w:rsid w:val="00C85E4C"/>
    <w:rsid w:val="00C86320"/>
    <w:rsid w:val="00C870C0"/>
    <w:rsid w:val="00C8740F"/>
    <w:rsid w:val="00C876A2"/>
    <w:rsid w:val="00C900A2"/>
    <w:rsid w:val="00C901F0"/>
    <w:rsid w:val="00C91358"/>
    <w:rsid w:val="00C9138B"/>
    <w:rsid w:val="00C91555"/>
    <w:rsid w:val="00C9237C"/>
    <w:rsid w:val="00C92904"/>
    <w:rsid w:val="00C929DE"/>
    <w:rsid w:val="00C9313A"/>
    <w:rsid w:val="00C93405"/>
    <w:rsid w:val="00C93FB2"/>
    <w:rsid w:val="00C960DE"/>
    <w:rsid w:val="00C9641E"/>
    <w:rsid w:val="00C96765"/>
    <w:rsid w:val="00C96FD1"/>
    <w:rsid w:val="00C975C7"/>
    <w:rsid w:val="00C97666"/>
    <w:rsid w:val="00C9777B"/>
    <w:rsid w:val="00CA0D9D"/>
    <w:rsid w:val="00CA16B2"/>
    <w:rsid w:val="00CA1C71"/>
    <w:rsid w:val="00CA2395"/>
    <w:rsid w:val="00CA2E2D"/>
    <w:rsid w:val="00CA41E9"/>
    <w:rsid w:val="00CA42A1"/>
    <w:rsid w:val="00CA4D91"/>
    <w:rsid w:val="00CA4F20"/>
    <w:rsid w:val="00CA5F6C"/>
    <w:rsid w:val="00CA6420"/>
    <w:rsid w:val="00CA683F"/>
    <w:rsid w:val="00CA6E47"/>
    <w:rsid w:val="00CA76E0"/>
    <w:rsid w:val="00CA78D6"/>
    <w:rsid w:val="00CA7981"/>
    <w:rsid w:val="00CB145D"/>
    <w:rsid w:val="00CB178D"/>
    <w:rsid w:val="00CB2028"/>
    <w:rsid w:val="00CB4D44"/>
    <w:rsid w:val="00CB4DCB"/>
    <w:rsid w:val="00CB5329"/>
    <w:rsid w:val="00CB5947"/>
    <w:rsid w:val="00CB635A"/>
    <w:rsid w:val="00CB6E8D"/>
    <w:rsid w:val="00CB7970"/>
    <w:rsid w:val="00CB79E4"/>
    <w:rsid w:val="00CC17C6"/>
    <w:rsid w:val="00CC261A"/>
    <w:rsid w:val="00CC28FC"/>
    <w:rsid w:val="00CC3098"/>
    <w:rsid w:val="00CC3523"/>
    <w:rsid w:val="00CC363B"/>
    <w:rsid w:val="00CC3CAA"/>
    <w:rsid w:val="00CC4A5D"/>
    <w:rsid w:val="00CC6780"/>
    <w:rsid w:val="00CC67AB"/>
    <w:rsid w:val="00CC6BE8"/>
    <w:rsid w:val="00CC7BE2"/>
    <w:rsid w:val="00CD0E2F"/>
    <w:rsid w:val="00CD0EB9"/>
    <w:rsid w:val="00CD12BD"/>
    <w:rsid w:val="00CD15E7"/>
    <w:rsid w:val="00CD2303"/>
    <w:rsid w:val="00CD3A50"/>
    <w:rsid w:val="00CD3B6C"/>
    <w:rsid w:val="00CD3FD7"/>
    <w:rsid w:val="00CD5738"/>
    <w:rsid w:val="00CD5C6F"/>
    <w:rsid w:val="00CD5E53"/>
    <w:rsid w:val="00CD7682"/>
    <w:rsid w:val="00CE03DC"/>
    <w:rsid w:val="00CE084F"/>
    <w:rsid w:val="00CE17F9"/>
    <w:rsid w:val="00CE26F0"/>
    <w:rsid w:val="00CE2959"/>
    <w:rsid w:val="00CE2C34"/>
    <w:rsid w:val="00CE3358"/>
    <w:rsid w:val="00CE4313"/>
    <w:rsid w:val="00CE447E"/>
    <w:rsid w:val="00CE44B6"/>
    <w:rsid w:val="00CE5858"/>
    <w:rsid w:val="00CE64F8"/>
    <w:rsid w:val="00CE6832"/>
    <w:rsid w:val="00CE77BD"/>
    <w:rsid w:val="00CE7971"/>
    <w:rsid w:val="00CE7F66"/>
    <w:rsid w:val="00CF0022"/>
    <w:rsid w:val="00CF068B"/>
    <w:rsid w:val="00CF17F1"/>
    <w:rsid w:val="00CF1A5D"/>
    <w:rsid w:val="00CF1CA2"/>
    <w:rsid w:val="00CF1DD9"/>
    <w:rsid w:val="00CF2358"/>
    <w:rsid w:val="00CF2541"/>
    <w:rsid w:val="00CF308B"/>
    <w:rsid w:val="00CF3F2F"/>
    <w:rsid w:val="00CF45A7"/>
    <w:rsid w:val="00CF5623"/>
    <w:rsid w:val="00CF585F"/>
    <w:rsid w:val="00CF63E8"/>
    <w:rsid w:val="00CF67E1"/>
    <w:rsid w:val="00CF770D"/>
    <w:rsid w:val="00CF7D0F"/>
    <w:rsid w:val="00D00965"/>
    <w:rsid w:val="00D017AF"/>
    <w:rsid w:val="00D0228E"/>
    <w:rsid w:val="00D02439"/>
    <w:rsid w:val="00D0265F"/>
    <w:rsid w:val="00D02881"/>
    <w:rsid w:val="00D03060"/>
    <w:rsid w:val="00D032B2"/>
    <w:rsid w:val="00D039BD"/>
    <w:rsid w:val="00D03A38"/>
    <w:rsid w:val="00D04CCC"/>
    <w:rsid w:val="00D04F1B"/>
    <w:rsid w:val="00D053B7"/>
    <w:rsid w:val="00D05E7B"/>
    <w:rsid w:val="00D0617F"/>
    <w:rsid w:val="00D06231"/>
    <w:rsid w:val="00D0629F"/>
    <w:rsid w:val="00D071F6"/>
    <w:rsid w:val="00D074A1"/>
    <w:rsid w:val="00D07B06"/>
    <w:rsid w:val="00D10EE8"/>
    <w:rsid w:val="00D11C66"/>
    <w:rsid w:val="00D12002"/>
    <w:rsid w:val="00D12AAB"/>
    <w:rsid w:val="00D12BF7"/>
    <w:rsid w:val="00D12C87"/>
    <w:rsid w:val="00D13227"/>
    <w:rsid w:val="00D13792"/>
    <w:rsid w:val="00D1439C"/>
    <w:rsid w:val="00D15268"/>
    <w:rsid w:val="00D15315"/>
    <w:rsid w:val="00D159BA"/>
    <w:rsid w:val="00D16272"/>
    <w:rsid w:val="00D167CF"/>
    <w:rsid w:val="00D17186"/>
    <w:rsid w:val="00D205DE"/>
    <w:rsid w:val="00D2066E"/>
    <w:rsid w:val="00D20AA9"/>
    <w:rsid w:val="00D210EE"/>
    <w:rsid w:val="00D21815"/>
    <w:rsid w:val="00D21D21"/>
    <w:rsid w:val="00D22445"/>
    <w:rsid w:val="00D22E25"/>
    <w:rsid w:val="00D241B8"/>
    <w:rsid w:val="00D249A9"/>
    <w:rsid w:val="00D24D12"/>
    <w:rsid w:val="00D24E24"/>
    <w:rsid w:val="00D24E5A"/>
    <w:rsid w:val="00D2540E"/>
    <w:rsid w:val="00D25F41"/>
    <w:rsid w:val="00D25FD2"/>
    <w:rsid w:val="00D2636D"/>
    <w:rsid w:val="00D26619"/>
    <w:rsid w:val="00D2737A"/>
    <w:rsid w:val="00D27A9B"/>
    <w:rsid w:val="00D3147C"/>
    <w:rsid w:val="00D315EA"/>
    <w:rsid w:val="00D319E1"/>
    <w:rsid w:val="00D31A7D"/>
    <w:rsid w:val="00D31E95"/>
    <w:rsid w:val="00D33504"/>
    <w:rsid w:val="00D33554"/>
    <w:rsid w:val="00D34E7C"/>
    <w:rsid w:val="00D3538B"/>
    <w:rsid w:val="00D35F28"/>
    <w:rsid w:val="00D37F43"/>
    <w:rsid w:val="00D40284"/>
    <w:rsid w:val="00D405C1"/>
    <w:rsid w:val="00D407D4"/>
    <w:rsid w:val="00D40864"/>
    <w:rsid w:val="00D408FE"/>
    <w:rsid w:val="00D417DB"/>
    <w:rsid w:val="00D4215C"/>
    <w:rsid w:val="00D4236F"/>
    <w:rsid w:val="00D42D55"/>
    <w:rsid w:val="00D43115"/>
    <w:rsid w:val="00D43723"/>
    <w:rsid w:val="00D438CB"/>
    <w:rsid w:val="00D43941"/>
    <w:rsid w:val="00D447CF"/>
    <w:rsid w:val="00D44F80"/>
    <w:rsid w:val="00D4593C"/>
    <w:rsid w:val="00D459E1"/>
    <w:rsid w:val="00D46AC3"/>
    <w:rsid w:val="00D47630"/>
    <w:rsid w:val="00D506FE"/>
    <w:rsid w:val="00D50AE7"/>
    <w:rsid w:val="00D52374"/>
    <w:rsid w:val="00D52EFD"/>
    <w:rsid w:val="00D53260"/>
    <w:rsid w:val="00D532F2"/>
    <w:rsid w:val="00D534AF"/>
    <w:rsid w:val="00D539BA"/>
    <w:rsid w:val="00D53F28"/>
    <w:rsid w:val="00D55A94"/>
    <w:rsid w:val="00D55F24"/>
    <w:rsid w:val="00D56902"/>
    <w:rsid w:val="00D57336"/>
    <w:rsid w:val="00D60621"/>
    <w:rsid w:val="00D61933"/>
    <w:rsid w:val="00D61CF0"/>
    <w:rsid w:val="00D61D4C"/>
    <w:rsid w:val="00D62756"/>
    <w:rsid w:val="00D630CE"/>
    <w:rsid w:val="00D64073"/>
    <w:rsid w:val="00D643D2"/>
    <w:rsid w:val="00D6468B"/>
    <w:rsid w:val="00D66264"/>
    <w:rsid w:val="00D66C80"/>
    <w:rsid w:val="00D674A1"/>
    <w:rsid w:val="00D67B15"/>
    <w:rsid w:val="00D67F92"/>
    <w:rsid w:val="00D715C8"/>
    <w:rsid w:val="00D715D6"/>
    <w:rsid w:val="00D71968"/>
    <w:rsid w:val="00D7241F"/>
    <w:rsid w:val="00D727A2"/>
    <w:rsid w:val="00D7299F"/>
    <w:rsid w:val="00D72D2D"/>
    <w:rsid w:val="00D72D96"/>
    <w:rsid w:val="00D72F7F"/>
    <w:rsid w:val="00D7367A"/>
    <w:rsid w:val="00D73C44"/>
    <w:rsid w:val="00D7436F"/>
    <w:rsid w:val="00D74921"/>
    <w:rsid w:val="00D7533F"/>
    <w:rsid w:val="00D75455"/>
    <w:rsid w:val="00D75459"/>
    <w:rsid w:val="00D7634E"/>
    <w:rsid w:val="00D76542"/>
    <w:rsid w:val="00D76766"/>
    <w:rsid w:val="00D771B7"/>
    <w:rsid w:val="00D77368"/>
    <w:rsid w:val="00D800FD"/>
    <w:rsid w:val="00D8020C"/>
    <w:rsid w:val="00D80311"/>
    <w:rsid w:val="00D80DE7"/>
    <w:rsid w:val="00D8179B"/>
    <w:rsid w:val="00D81A86"/>
    <w:rsid w:val="00D823EA"/>
    <w:rsid w:val="00D83467"/>
    <w:rsid w:val="00D83D35"/>
    <w:rsid w:val="00D849EA"/>
    <w:rsid w:val="00D85261"/>
    <w:rsid w:val="00D86A9A"/>
    <w:rsid w:val="00D86BE0"/>
    <w:rsid w:val="00D86C41"/>
    <w:rsid w:val="00D871D2"/>
    <w:rsid w:val="00D87AE4"/>
    <w:rsid w:val="00D87D5F"/>
    <w:rsid w:val="00D90ADF"/>
    <w:rsid w:val="00D90AFD"/>
    <w:rsid w:val="00D913A8"/>
    <w:rsid w:val="00D915A5"/>
    <w:rsid w:val="00D916D5"/>
    <w:rsid w:val="00D91C02"/>
    <w:rsid w:val="00D921A7"/>
    <w:rsid w:val="00D925AB"/>
    <w:rsid w:val="00D927DC"/>
    <w:rsid w:val="00D92C77"/>
    <w:rsid w:val="00D92FA6"/>
    <w:rsid w:val="00D9340B"/>
    <w:rsid w:val="00D935C5"/>
    <w:rsid w:val="00D9381C"/>
    <w:rsid w:val="00D9393D"/>
    <w:rsid w:val="00D941A0"/>
    <w:rsid w:val="00D94E84"/>
    <w:rsid w:val="00D95ABC"/>
    <w:rsid w:val="00D95C67"/>
    <w:rsid w:val="00D96547"/>
    <w:rsid w:val="00D968D8"/>
    <w:rsid w:val="00D97344"/>
    <w:rsid w:val="00D97424"/>
    <w:rsid w:val="00D97A51"/>
    <w:rsid w:val="00D97BC2"/>
    <w:rsid w:val="00D97C20"/>
    <w:rsid w:val="00DA01A2"/>
    <w:rsid w:val="00DA05D5"/>
    <w:rsid w:val="00DA0BC4"/>
    <w:rsid w:val="00DA0E76"/>
    <w:rsid w:val="00DA1A27"/>
    <w:rsid w:val="00DA2738"/>
    <w:rsid w:val="00DA29DD"/>
    <w:rsid w:val="00DA2B84"/>
    <w:rsid w:val="00DA3BE8"/>
    <w:rsid w:val="00DA4B2F"/>
    <w:rsid w:val="00DA4F12"/>
    <w:rsid w:val="00DA5641"/>
    <w:rsid w:val="00DA575F"/>
    <w:rsid w:val="00DA5A79"/>
    <w:rsid w:val="00DA5ACC"/>
    <w:rsid w:val="00DA5AE7"/>
    <w:rsid w:val="00DA5CF5"/>
    <w:rsid w:val="00DA6A54"/>
    <w:rsid w:val="00DA72C1"/>
    <w:rsid w:val="00DB07A7"/>
    <w:rsid w:val="00DB08E9"/>
    <w:rsid w:val="00DB0BF0"/>
    <w:rsid w:val="00DB1744"/>
    <w:rsid w:val="00DB27D5"/>
    <w:rsid w:val="00DB28C0"/>
    <w:rsid w:val="00DB2D18"/>
    <w:rsid w:val="00DB2DCF"/>
    <w:rsid w:val="00DB2FE6"/>
    <w:rsid w:val="00DB3AAC"/>
    <w:rsid w:val="00DB4615"/>
    <w:rsid w:val="00DB4A77"/>
    <w:rsid w:val="00DB4CD3"/>
    <w:rsid w:val="00DB5B6B"/>
    <w:rsid w:val="00DB5E05"/>
    <w:rsid w:val="00DB5EC3"/>
    <w:rsid w:val="00DB607D"/>
    <w:rsid w:val="00DB6542"/>
    <w:rsid w:val="00DB67A0"/>
    <w:rsid w:val="00DB6B4D"/>
    <w:rsid w:val="00DB6F2C"/>
    <w:rsid w:val="00DB7022"/>
    <w:rsid w:val="00DB72D6"/>
    <w:rsid w:val="00DB7AFF"/>
    <w:rsid w:val="00DC01BC"/>
    <w:rsid w:val="00DC0857"/>
    <w:rsid w:val="00DC0E63"/>
    <w:rsid w:val="00DC111A"/>
    <w:rsid w:val="00DC1C97"/>
    <w:rsid w:val="00DC1DD6"/>
    <w:rsid w:val="00DC241A"/>
    <w:rsid w:val="00DC2B5B"/>
    <w:rsid w:val="00DC2BED"/>
    <w:rsid w:val="00DC33DB"/>
    <w:rsid w:val="00DC3943"/>
    <w:rsid w:val="00DC4DC6"/>
    <w:rsid w:val="00DC60A4"/>
    <w:rsid w:val="00DC7A53"/>
    <w:rsid w:val="00DC7B28"/>
    <w:rsid w:val="00DC7D35"/>
    <w:rsid w:val="00DD0F9E"/>
    <w:rsid w:val="00DD2367"/>
    <w:rsid w:val="00DD2A3F"/>
    <w:rsid w:val="00DD2D75"/>
    <w:rsid w:val="00DD3C94"/>
    <w:rsid w:val="00DD404C"/>
    <w:rsid w:val="00DD47CA"/>
    <w:rsid w:val="00DD49DF"/>
    <w:rsid w:val="00DD4EAA"/>
    <w:rsid w:val="00DD5414"/>
    <w:rsid w:val="00DD577D"/>
    <w:rsid w:val="00DD5A9A"/>
    <w:rsid w:val="00DD6DB7"/>
    <w:rsid w:val="00DD6E95"/>
    <w:rsid w:val="00DE0AE2"/>
    <w:rsid w:val="00DE16C3"/>
    <w:rsid w:val="00DE1DE3"/>
    <w:rsid w:val="00DE3428"/>
    <w:rsid w:val="00DE38DD"/>
    <w:rsid w:val="00DE419B"/>
    <w:rsid w:val="00DE4E2F"/>
    <w:rsid w:val="00DE5616"/>
    <w:rsid w:val="00DE5E83"/>
    <w:rsid w:val="00DE6240"/>
    <w:rsid w:val="00DE6893"/>
    <w:rsid w:val="00DE728A"/>
    <w:rsid w:val="00DE7305"/>
    <w:rsid w:val="00DE732C"/>
    <w:rsid w:val="00DE7EDB"/>
    <w:rsid w:val="00DF0B51"/>
    <w:rsid w:val="00DF0C3D"/>
    <w:rsid w:val="00DF1FBB"/>
    <w:rsid w:val="00DF233B"/>
    <w:rsid w:val="00DF39DA"/>
    <w:rsid w:val="00DF4998"/>
    <w:rsid w:val="00DF4CDE"/>
    <w:rsid w:val="00DF5943"/>
    <w:rsid w:val="00DF695C"/>
    <w:rsid w:val="00DF7411"/>
    <w:rsid w:val="00E0027A"/>
    <w:rsid w:val="00E00BA5"/>
    <w:rsid w:val="00E00F6E"/>
    <w:rsid w:val="00E01147"/>
    <w:rsid w:val="00E017B9"/>
    <w:rsid w:val="00E020C8"/>
    <w:rsid w:val="00E03098"/>
    <w:rsid w:val="00E03C26"/>
    <w:rsid w:val="00E03F6D"/>
    <w:rsid w:val="00E05AF0"/>
    <w:rsid w:val="00E06043"/>
    <w:rsid w:val="00E06A16"/>
    <w:rsid w:val="00E077B6"/>
    <w:rsid w:val="00E101E2"/>
    <w:rsid w:val="00E10AF3"/>
    <w:rsid w:val="00E10E63"/>
    <w:rsid w:val="00E1123D"/>
    <w:rsid w:val="00E112EF"/>
    <w:rsid w:val="00E11C1F"/>
    <w:rsid w:val="00E11CD9"/>
    <w:rsid w:val="00E126B7"/>
    <w:rsid w:val="00E12888"/>
    <w:rsid w:val="00E1299C"/>
    <w:rsid w:val="00E12B07"/>
    <w:rsid w:val="00E12C3F"/>
    <w:rsid w:val="00E12FCE"/>
    <w:rsid w:val="00E131F6"/>
    <w:rsid w:val="00E13CC6"/>
    <w:rsid w:val="00E13E33"/>
    <w:rsid w:val="00E143D3"/>
    <w:rsid w:val="00E14FA3"/>
    <w:rsid w:val="00E1505B"/>
    <w:rsid w:val="00E15A19"/>
    <w:rsid w:val="00E16176"/>
    <w:rsid w:val="00E16178"/>
    <w:rsid w:val="00E16F0C"/>
    <w:rsid w:val="00E17499"/>
    <w:rsid w:val="00E17AF2"/>
    <w:rsid w:val="00E20B3F"/>
    <w:rsid w:val="00E20C60"/>
    <w:rsid w:val="00E21370"/>
    <w:rsid w:val="00E220E0"/>
    <w:rsid w:val="00E22400"/>
    <w:rsid w:val="00E2242C"/>
    <w:rsid w:val="00E22963"/>
    <w:rsid w:val="00E22A7F"/>
    <w:rsid w:val="00E22B60"/>
    <w:rsid w:val="00E2329B"/>
    <w:rsid w:val="00E23408"/>
    <w:rsid w:val="00E235D4"/>
    <w:rsid w:val="00E23D00"/>
    <w:rsid w:val="00E25004"/>
    <w:rsid w:val="00E25B0F"/>
    <w:rsid w:val="00E27856"/>
    <w:rsid w:val="00E279BB"/>
    <w:rsid w:val="00E27C29"/>
    <w:rsid w:val="00E27F3A"/>
    <w:rsid w:val="00E3057D"/>
    <w:rsid w:val="00E31DDC"/>
    <w:rsid w:val="00E32190"/>
    <w:rsid w:val="00E3242A"/>
    <w:rsid w:val="00E32A7F"/>
    <w:rsid w:val="00E32C76"/>
    <w:rsid w:val="00E32C7B"/>
    <w:rsid w:val="00E33046"/>
    <w:rsid w:val="00E33221"/>
    <w:rsid w:val="00E33A8C"/>
    <w:rsid w:val="00E3447E"/>
    <w:rsid w:val="00E34C1A"/>
    <w:rsid w:val="00E35E14"/>
    <w:rsid w:val="00E363D6"/>
    <w:rsid w:val="00E36D0E"/>
    <w:rsid w:val="00E36E0B"/>
    <w:rsid w:val="00E37695"/>
    <w:rsid w:val="00E37ADF"/>
    <w:rsid w:val="00E37F0D"/>
    <w:rsid w:val="00E40761"/>
    <w:rsid w:val="00E41098"/>
    <w:rsid w:val="00E41204"/>
    <w:rsid w:val="00E41319"/>
    <w:rsid w:val="00E41546"/>
    <w:rsid w:val="00E41A00"/>
    <w:rsid w:val="00E41BF1"/>
    <w:rsid w:val="00E430CE"/>
    <w:rsid w:val="00E44B9B"/>
    <w:rsid w:val="00E459D5"/>
    <w:rsid w:val="00E4673A"/>
    <w:rsid w:val="00E46E5A"/>
    <w:rsid w:val="00E50443"/>
    <w:rsid w:val="00E50F99"/>
    <w:rsid w:val="00E51FFF"/>
    <w:rsid w:val="00E53758"/>
    <w:rsid w:val="00E53F07"/>
    <w:rsid w:val="00E54588"/>
    <w:rsid w:val="00E55228"/>
    <w:rsid w:val="00E55354"/>
    <w:rsid w:val="00E55458"/>
    <w:rsid w:val="00E5581F"/>
    <w:rsid w:val="00E55BFB"/>
    <w:rsid w:val="00E56A72"/>
    <w:rsid w:val="00E57AC2"/>
    <w:rsid w:val="00E57DF5"/>
    <w:rsid w:val="00E60972"/>
    <w:rsid w:val="00E60DB4"/>
    <w:rsid w:val="00E61ABE"/>
    <w:rsid w:val="00E61ED7"/>
    <w:rsid w:val="00E6268D"/>
    <w:rsid w:val="00E6297A"/>
    <w:rsid w:val="00E62A87"/>
    <w:rsid w:val="00E631AA"/>
    <w:rsid w:val="00E63E9D"/>
    <w:rsid w:val="00E6413F"/>
    <w:rsid w:val="00E6421C"/>
    <w:rsid w:val="00E648A2"/>
    <w:rsid w:val="00E65D23"/>
    <w:rsid w:val="00E663C7"/>
    <w:rsid w:val="00E67349"/>
    <w:rsid w:val="00E70C0B"/>
    <w:rsid w:val="00E70C54"/>
    <w:rsid w:val="00E714E5"/>
    <w:rsid w:val="00E71553"/>
    <w:rsid w:val="00E71A37"/>
    <w:rsid w:val="00E71B21"/>
    <w:rsid w:val="00E720DF"/>
    <w:rsid w:val="00E721D9"/>
    <w:rsid w:val="00E7256E"/>
    <w:rsid w:val="00E7264D"/>
    <w:rsid w:val="00E72F0A"/>
    <w:rsid w:val="00E730BD"/>
    <w:rsid w:val="00E73984"/>
    <w:rsid w:val="00E74281"/>
    <w:rsid w:val="00E7432A"/>
    <w:rsid w:val="00E7432D"/>
    <w:rsid w:val="00E74E07"/>
    <w:rsid w:val="00E75F4D"/>
    <w:rsid w:val="00E76F78"/>
    <w:rsid w:val="00E77961"/>
    <w:rsid w:val="00E77CA5"/>
    <w:rsid w:val="00E80123"/>
    <w:rsid w:val="00E802B2"/>
    <w:rsid w:val="00E804B0"/>
    <w:rsid w:val="00E804B5"/>
    <w:rsid w:val="00E804DE"/>
    <w:rsid w:val="00E80585"/>
    <w:rsid w:val="00E80778"/>
    <w:rsid w:val="00E80907"/>
    <w:rsid w:val="00E80A9D"/>
    <w:rsid w:val="00E812B6"/>
    <w:rsid w:val="00E81743"/>
    <w:rsid w:val="00E819C1"/>
    <w:rsid w:val="00E81E82"/>
    <w:rsid w:val="00E82269"/>
    <w:rsid w:val="00E82480"/>
    <w:rsid w:val="00E826CE"/>
    <w:rsid w:val="00E82A22"/>
    <w:rsid w:val="00E8345B"/>
    <w:rsid w:val="00E83EA1"/>
    <w:rsid w:val="00E84BA9"/>
    <w:rsid w:val="00E85806"/>
    <w:rsid w:val="00E87DE3"/>
    <w:rsid w:val="00E90C39"/>
    <w:rsid w:val="00E90EA4"/>
    <w:rsid w:val="00E931DA"/>
    <w:rsid w:val="00E936EE"/>
    <w:rsid w:val="00E93930"/>
    <w:rsid w:val="00E9455A"/>
    <w:rsid w:val="00E94DD6"/>
    <w:rsid w:val="00E94E06"/>
    <w:rsid w:val="00E9513C"/>
    <w:rsid w:val="00E957B9"/>
    <w:rsid w:val="00E96629"/>
    <w:rsid w:val="00E96A8C"/>
    <w:rsid w:val="00E972F2"/>
    <w:rsid w:val="00E97B58"/>
    <w:rsid w:val="00EA0BA8"/>
    <w:rsid w:val="00EA0EC5"/>
    <w:rsid w:val="00EA1BC2"/>
    <w:rsid w:val="00EA24FB"/>
    <w:rsid w:val="00EA25B1"/>
    <w:rsid w:val="00EA2746"/>
    <w:rsid w:val="00EA385D"/>
    <w:rsid w:val="00EA7091"/>
    <w:rsid w:val="00EA74FE"/>
    <w:rsid w:val="00EA7B4F"/>
    <w:rsid w:val="00EA7C40"/>
    <w:rsid w:val="00EB0077"/>
    <w:rsid w:val="00EB007F"/>
    <w:rsid w:val="00EB1D96"/>
    <w:rsid w:val="00EB1E64"/>
    <w:rsid w:val="00EB2046"/>
    <w:rsid w:val="00EB29D7"/>
    <w:rsid w:val="00EB2C98"/>
    <w:rsid w:val="00EB31AC"/>
    <w:rsid w:val="00EB34D2"/>
    <w:rsid w:val="00EB3F3D"/>
    <w:rsid w:val="00EB41E3"/>
    <w:rsid w:val="00EB4290"/>
    <w:rsid w:val="00EB440E"/>
    <w:rsid w:val="00EB49EB"/>
    <w:rsid w:val="00EB5B7C"/>
    <w:rsid w:val="00EB5C06"/>
    <w:rsid w:val="00EB5FDD"/>
    <w:rsid w:val="00EB676C"/>
    <w:rsid w:val="00EB79BD"/>
    <w:rsid w:val="00EB7DFC"/>
    <w:rsid w:val="00EC161E"/>
    <w:rsid w:val="00EC1907"/>
    <w:rsid w:val="00EC35D8"/>
    <w:rsid w:val="00EC38BB"/>
    <w:rsid w:val="00EC3B84"/>
    <w:rsid w:val="00EC44F9"/>
    <w:rsid w:val="00EC4B0E"/>
    <w:rsid w:val="00EC4C95"/>
    <w:rsid w:val="00EC4ED5"/>
    <w:rsid w:val="00EC5CFC"/>
    <w:rsid w:val="00EC6740"/>
    <w:rsid w:val="00EC6FD6"/>
    <w:rsid w:val="00EC7036"/>
    <w:rsid w:val="00EC7384"/>
    <w:rsid w:val="00EC7AED"/>
    <w:rsid w:val="00EC7F72"/>
    <w:rsid w:val="00EC7F78"/>
    <w:rsid w:val="00ED07B2"/>
    <w:rsid w:val="00ED08C3"/>
    <w:rsid w:val="00ED0A59"/>
    <w:rsid w:val="00ED0C38"/>
    <w:rsid w:val="00ED105D"/>
    <w:rsid w:val="00ED1C54"/>
    <w:rsid w:val="00ED1DBA"/>
    <w:rsid w:val="00ED2088"/>
    <w:rsid w:val="00ED2388"/>
    <w:rsid w:val="00ED25C7"/>
    <w:rsid w:val="00ED2FB5"/>
    <w:rsid w:val="00ED2FF2"/>
    <w:rsid w:val="00ED348B"/>
    <w:rsid w:val="00ED4147"/>
    <w:rsid w:val="00ED41F7"/>
    <w:rsid w:val="00ED5EA0"/>
    <w:rsid w:val="00ED5EC1"/>
    <w:rsid w:val="00ED68FB"/>
    <w:rsid w:val="00ED6CD4"/>
    <w:rsid w:val="00ED6DBC"/>
    <w:rsid w:val="00ED7723"/>
    <w:rsid w:val="00ED7C0B"/>
    <w:rsid w:val="00EE00B5"/>
    <w:rsid w:val="00EE08A4"/>
    <w:rsid w:val="00EE08AB"/>
    <w:rsid w:val="00EE275E"/>
    <w:rsid w:val="00EE33AC"/>
    <w:rsid w:val="00EE37C6"/>
    <w:rsid w:val="00EE3E7F"/>
    <w:rsid w:val="00EE5350"/>
    <w:rsid w:val="00EE62F5"/>
    <w:rsid w:val="00EE6764"/>
    <w:rsid w:val="00EE6B63"/>
    <w:rsid w:val="00EE6DED"/>
    <w:rsid w:val="00EE75B9"/>
    <w:rsid w:val="00EE7950"/>
    <w:rsid w:val="00EE7AF5"/>
    <w:rsid w:val="00EE7DAA"/>
    <w:rsid w:val="00EF07B8"/>
    <w:rsid w:val="00EF1141"/>
    <w:rsid w:val="00EF2336"/>
    <w:rsid w:val="00EF2384"/>
    <w:rsid w:val="00EF264F"/>
    <w:rsid w:val="00EF2AA2"/>
    <w:rsid w:val="00EF2AFC"/>
    <w:rsid w:val="00EF3C45"/>
    <w:rsid w:val="00EF4C88"/>
    <w:rsid w:val="00EF5452"/>
    <w:rsid w:val="00EF55E3"/>
    <w:rsid w:val="00EF57B6"/>
    <w:rsid w:val="00EF5C5A"/>
    <w:rsid w:val="00EF602C"/>
    <w:rsid w:val="00EF6F7C"/>
    <w:rsid w:val="00EF70BF"/>
    <w:rsid w:val="00EF7A01"/>
    <w:rsid w:val="00F00053"/>
    <w:rsid w:val="00F002D3"/>
    <w:rsid w:val="00F005DA"/>
    <w:rsid w:val="00F00AA0"/>
    <w:rsid w:val="00F02843"/>
    <w:rsid w:val="00F02D4D"/>
    <w:rsid w:val="00F02E77"/>
    <w:rsid w:val="00F02FA7"/>
    <w:rsid w:val="00F035DC"/>
    <w:rsid w:val="00F036A8"/>
    <w:rsid w:val="00F038EF"/>
    <w:rsid w:val="00F0448F"/>
    <w:rsid w:val="00F06247"/>
    <w:rsid w:val="00F07A3A"/>
    <w:rsid w:val="00F07DED"/>
    <w:rsid w:val="00F10587"/>
    <w:rsid w:val="00F10695"/>
    <w:rsid w:val="00F10CDE"/>
    <w:rsid w:val="00F1293D"/>
    <w:rsid w:val="00F13F3B"/>
    <w:rsid w:val="00F14674"/>
    <w:rsid w:val="00F153BF"/>
    <w:rsid w:val="00F158F0"/>
    <w:rsid w:val="00F15AA2"/>
    <w:rsid w:val="00F15C52"/>
    <w:rsid w:val="00F15CDC"/>
    <w:rsid w:val="00F15D7B"/>
    <w:rsid w:val="00F168A5"/>
    <w:rsid w:val="00F169AE"/>
    <w:rsid w:val="00F16F27"/>
    <w:rsid w:val="00F17255"/>
    <w:rsid w:val="00F179D6"/>
    <w:rsid w:val="00F17CED"/>
    <w:rsid w:val="00F20477"/>
    <w:rsid w:val="00F21627"/>
    <w:rsid w:val="00F21A4F"/>
    <w:rsid w:val="00F21BE6"/>
    <w:rsid w:val="00F21C5F"/>
    <w:rsid w:val="00F22958"/>
    <w:rsid w:val="00F22DC3"/>
    <w:rsid w:val="00F2382F"/>
    <w:rsid w:val="00F23AF4"/>
    <w:rsid w:val="00F23D3A"/>
    <w:rsid w:val="00F24D4D"/>
    <w:rsid w:val="00F24D93"/>
    <w:rsid w:val="00F254A5"/>
    <w:rsid w:val="00F255A3"/>
    <w:rsid w:val="00F259E7"/>
    <w:rsid w:val="00F26107"/>
    <w:rsid w:val="00F26784"/>
    <w:rsid w:val="00F26F4F"/>
    <w:rsid w:val="00F27386"/>
    <w:rsid w:val="00F3026E"/>
    <w:rsid w:val="00F30375"/>
    <w:rsid w:val="00F319F9"/>
    <w:rsid w:val="00F31A2D"/>
    <w:rsid w:val="00F31CE7"/>
    <w:rsid w:val="00F31F89"/>
    <w:rsid w:val="00F32062"/>
    <w:rsid w:val="00F32DA7"/>
    <w:rsid w:val="00F3409F"/>
    <w:rsid w:val="00F340A5"/>
    <w:rsid w:val="00F348B2"/>
    <w:rsid w:val="00F3547D"/>
    <w:rsid w:val="00F35C1B"/>
    <w:rsid w:val="00F36723"/>
    <w:rsid w:val="00F36CFC"/>
    <w:rsid w:val="00F37001"/>
    <w:rsid w:val="00F3738A"/>
    <w:rsid w:val="00F377B4"/>
    <w:rsid w:val="00F37A17"/>
    <w:rsid w:val="00F37C51"/>
    <w:rsid w:val="00F40601"/>
    <w:rsid w:val="00F40D47"/>
    <w:rsid w:val="00F41641"/>
    <w:rsid w:val="00F41C32"/>
    <w:rsid w:val="00F41DB9"/>
    <w:rsid w:val="00F42440"/>
    <w:rsid w:val="00F42643"/>
    <w:rsid w:val="00F42857"/>
    <w:rsid w:val="00F4337D"/>
    <w:rsid w:val="00F43566"/>
    <w:rsid w:val="00F43DFC"/>
    <w:rsid w:val="00F44B67"/>
    <w:rsid w:val="00F45F1A"/>
    <w:rsid w:val="00F46094"/>
    <w:rsid w:val="00F462EF"/>
    <w:rsid w:val="00F4640C"/>
    <w:rsid w:val="00F4682C"/>
    <w:rsid w:val="00F46834"/>
    <w:rsid w:val="00F46F85"/>
    <w:rsid w:val="00F47650"/>
    <w:rsid w:val="00F478D4"/>
    <w:rsid w:val="00F47B73"/>
    <w:rsid w:val="00F47CE8"/>
    <w:rsid w:val="00F50258"/>
    <w:rsid w:val="00F505D0"/>
    <w:rsid w:val="00F50AAC"/>
    <w:rsid w:val="00F51185"/>
    <w:rsid w:val="00F51A4B"/>
    <w:rsid w:val="00F52123"/>
    <w:rsid w:val="00F5287E"/>
    <w:rsid w:val="00F5371A"/>
    <w:rsid w:val="00F54D8B"/>
    <w:rsid w:val="00F56AA8"/>
    <w:rsid w:val="00F56EBF"/>
    <w:rsid w:val="00F57486"/>
    <w:rsid w:val="00F57C5C"/>
    <w:rsid w:val="00F57EE3"/>
    <w:rsid w:val="00F60572"/>
    <w:rsid w:val="00F607F4"/>
    <w:rsid w:val="00F60DDA"/>
    <w:rsid w:val="00F619B6"/>
    <w:rsid w:val="00F61C4D"/>
    <w:rsid w:val="00F626D6"/>
    <w:rsid w:val="00F62A21"/>
    <w:rsid w:val="00F6338E"/>
    <w:rsid w:val="00F634C9"/>
    <w:rsid w:val="00F63B16"/>
    <w:rsid w:val="00F63F35"/>
    <w:rsid w:val="00F64690"/>
    <w:rsid w:val="00F6481E"/>
    <w:rsid w:val="00F64AEA"/>
    <w:rsid w:val="00F6671B"/>
    <w:rsid w:val="00F7167F"/>
    <w:rsid w:val="00F718DB"/>
    <w:rsid w:val="00F7319E"/>
    <w:rsid w:val="00F733B6"/>
    <w:rsid w:val="00F735CE"/>
    <w:rsid w:val="00F73C35"/>
    <w:rsid w:val="00F73FB6"/>
    <w:rsid w:val="00F74EE0"/>
    <w:rsid w:val="00F7501A"/>
    <w:rsid w:val="00F7533B"/>
    <w:rsid w:val="00F75425"/>
    <w:rsid w:val="00F75770"/>
    <w:rsid w:val="00F757E2"/>
    <w:rsid w:val="00F75804"/>
    <w:rsid w:val="00F7616B"/>
    <w:rsid w:val="00F766C6"/>
    <w:rsid w:val="00F76AB1"/>
    <w:rsid w:val="00F76CCA"/>
    <w:rsid w:val="00F77702"/>
    <w:rsid w:val="00F779E5"/>
    <w:rsid w:val="00F77DA9"/>
    <w:rsid w:val="00F80A6D"/>
    <w:rsid w:val="00F8105A"/>
    <w:rsid w:val="00F815DB"/>
    <w:rsid w:val="00F81ACC"/>
    <w:rsid w:val="00F82021"/>
    <w:rsid w:val="00F83123"/>
    <w:rsid w:val="00F84166"/>
    <w:rsid w:val="00F842A4"/>
    <w:rsid w:val="00F855EC"/>
    <w:rsid w:val="00F85ACA"/>
    <w:rsid w:val="00F86030"/>
    <w:rsid w:val="00F86E10"/>
    <w:rsid w:val="00F8723F"/>
    <w:rsid w:val="00F90264"/>
    <w:rsid w:val="00F90578"/>
    <w:rsid w:val="00F90CA4"/>
    <w:rsid w:val="00F914DD"/>
    <w:rsid w:val="00F91EBE"/>
    <w:rsid w:val="00F921D4"/>
    <w:rsid w:val="00F93279"/>
    <w:rsid w:val="00F9328C"/>
    <w:rsid w:val="00F93F97"/>
    <w:rsid w:val="00F953AF"/>
    <w:rsid w:val="00F95832"/>
    <w:rsid w:val="00F95960"/>
    <w:rsid w:val="00F95D45"/>
    <w:rsid w:val="00F95E92"/>
    <w:rsid w:val="00F96291"/>
    <w:rsid w:val="00F97467"/>
    <w:rsid w:val="00FA0970"/>
    <w:rsid w:val="00FA146D"/>
    <w:rsid w:val="00FA1E3B"/>
    <w:rsid w:val="00FA1F4E"/>
    <w:rsid w:val="00FA28BC"/>
    <w:rsid w:val="00FA2A14"/>
    <w:rsid w:val="00FA36E8"/>
    <w:rsid w:val="00FA42D2"/>
    <w:rsid w:val="00FA465E"/>
    <w:rsid w:val="00FA522A"/>
    <w:rsid w:val="00FA60EC"/>
    <w:rsid w:val="00FA6913"/>
    <w:rsid w:val="00FA6D4E"/>
    <w:rsid w:val="00FB0B3D"/>
    <w:rsid w:val="00FB0C2A"/>
    <w:rsid w:val="00FB0C73"/>
    <w:rsid w:val="00FB0CFD"/>
    <w:rsid w:val="00FB1DF8"/>
    <w:rsid w:val="00FB1E4E"/>
    <w:rsid w:val="00FB251F"/>
    <w:rsid w:val="00FB2832"/>
    <w:rsid w:val="00FB3DB2"/>
    <w:rsid w:val="00FB431E"/>
    <w:rsid w:val="00FB44D7"/>
    <w:rsid w:val="00FB4975"/>
    <w:rsid w:val="00FB4B09"/>
    <w:rsid w:val="00FB4EEF"/>
    <w:rsid w:val="00FB5361"/>
    <w:rsid w:val="00FB680E"/>
    <w:rsid w:val="00FB6B39"/>
    <w:rsid w:val="00FB7585"/>
    <w:rsid w:val="00FB78AA"/>
    <w:rsid w:val="00FB7C42"/>
    <w:rsid w:val="00FB7D02"/>
    <w:rsid w:val="00FC02B1"/>
    <w:rsid w:val="00FC0D25"/>
    <w:rsid w:val="00FC0DE8"/>
    <w:rsid w:val="00FC10FD"/>
    <w:rsid w:val="00FC1CF1"/>
    <w:rsid w:val="00FC2074"/>
    <w:rsid w:val="00FC210C"/>
    <w:rsid w:val="00FC226E"/>
    <w:rsid w:val="00FC2379"/>
    <w:rsid w:val="00FC28B0"/>
    <w:rsid w:val="00FC32B1"/>
    <w:rsid w:val="00FC358A"/>
    <w:rsid w:val="00FC3967"/>
    <w:rsid w:val="00FC39C1"/>
    <w:rsid w:val="00FC3BB0"/>
    <w:rsid w:val="00FC473A"/>
    <w:rsid w:val="00FC5516"/>
    <w:rsid w:val="00FC573B"/>
    <w:rsid w:val="00FC5B00"/>
    <w:rsid w:val="00FC609F"/>
    <w:rsid w:val="00FC6D6B"/>
    <w:rsid w:val="00FC7151"/>
    <w:rsid w:val="00FC770E"/>
    <w:rsid w:val="00FC7A1F"/>
    <w:rsid w:val="00FD0CAE"/>
    <w:rsid w:val="00FD1913"/>
    <w:rsid w:val="00FD1A32"/>
    <w:rsid w:val="00FD388E"/>
    <w:rsid w:val="00FD411C"/>
    <w:rsid w:val="00FD41A9"/>
    <w:rsid w:val="00FD4F89"/>
    <w:rsid w:val="00FD5032"/>
    <w:rsid w:val="00FD6E57"/>
    <w:rsid w:val="00FD768B"/>
    <w:rsid w:val="00FD78FB"/>
    <w:rsid w:val="00FD7A2F"/>
    <w:rsid w:val="00FE0291"/>
    <w:rsid w:val="00FE0541"/>
    <w:rsid w:val="00FE07E9"/>
    <w:rsid w:val="00FE1247"/>
    <w:rsid w:val="00FE1316"/>
    <w:rsid w:val="00FE1EE1"/>
    <w:rsid w:val="00FE24B1"/>
    <w:rsid w:val="00FE27BF"/>
    <w:rsid w:val="00FE29FE"/>
    <w:rsid w:val="00FE3826"/>
    <w:rsid w:val="00FE39FB"/>
    <w:rsid w:val="00FE56DA"/>
    <w:rsid w:val="00FE58B5"/>
    <w:rsid w:val="00FE657C"/>
    <w:rsid w:val="00FE78E0"/>
    <w:rsid w:val="00FE7FDB"/>
    <w:rsid w:val="00FF0F2E"/>
    <w:rsid w:val="00FF12DA"/>
    <w:rsid w:val="00FF1703"/>
    <w:rsid w:val="00FF184A"/>
    <w:rsid w:val="00FF20F4"/>
    <w:rsid w:val="00FF23D8"/>
    <w:rsid w:val="00FF35B0"/>
    <w:rsid w:val="00FF504A"/>
    <w:rsid w:val="00FF5512"/>
    <w:rsid w:val="00FF5806"/>
    <w:rsid w:val="00FF5843"/>
    <w:rsid w:val="00FF6030"/>
    <w:rsid w:val="00FF6422"/>
    <w:rsid w:val="00FF7A0E"/>
    <w:rsid w:val="00FF7B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DEF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BDD"/>
    <w:rPr>
      <w:rFonts w:ascii="Verdana" w:eastAsia="Times New Roman" w:hAnsi="Verdana" w:cs="Times New Roman"/>
      <w:sz w:val="24"/>
      <w:szCs w:val="24"/>
      <w:lang w:eastAsia="es-CR"/>
    </w:rPr>
  </w:style>
  <w:style w:type="paragraph" w:styleId="Heading1">
    <w:name w:val="heading 1"/>
    <w:aliases w:val="Título Verdana"/>
    <w:basedOn w:val="Normal"/>
    <w:next w:val="Normal"/>
    <w:link w:val="Heading1Char"/>
    <w:uiPriority w:val="9"/>
    <w:qFormat/>
    <w:rsid w:val="00085BDD"/>
    <w:pPr>
      <w:keepNext/>
      <w:keepLines/>
      <w:tabs>
        <w:tab w:val="left" w:pos="720"/>
      </w:tabs>
      <w:jc w:val="center"/>
      <w:outlineLvl w:val="0"/>
    </w:pPr>
    <w:rPr>
      <w:rFonts w:eastAsia="MS ????"/>
      <w:b/>
      <w:bCs/>
      <w:caps/>
      <w:snapToGrid w:val="0"/>
      <w:spacing w:val="-2"/>
      <w:sz w:val="20"/>
      <w:szCs w:val="20"/>
      <w:lang w:val="x-none" w:eastAsia="es-ES"/>
    </w:rPr>
  </w:style>
  <w:style w:type="paragraph" w:styleId="Heading2">
    <w:name w:val="heading 2"/>
    <w:basedOn w:val="Normal"/>
    <w:next w:val="Normal"/>
    <w:link w:val="Heading2Char"/>
    <w:autoRedefine/>
    <w:unhideWhenUsed/>
    <w:qFormat/>
    <w:rsid w:val="002726E0"/>
    <w:pPr>
      <w:keepNext/>
      <w:keepLines/>
      <w:numPr>
        <w:numId w:val="7"/>
      </w:numPr>
      <w:outlineLvl w:val="1"/>
    </w:pPr>
    <w:rPr>
      <w:rFonts w:eastAsia="MS Mincho"/>
      <w:b/>
      <w:i/>
      <w:sz w:val="20"/>
      <w:szCs w:val="26"/>
    </w:rPr>
  </w:style>
  <w:style w:type="paragraph" w:styleId="Heading3">
    <w:name w:val="heading 3"/>
    <w:basedOn w:val="Normal"/>
    <w:next w:val="Normal"/>
    <w:link w:val="Heading3Char"/>
    <w:uiPriority w:val="9"/>
    <w:qFormat/>
    <w:rsid w:val="003700C4"/>
    <w:pPr>
      <w:tabs>
        <w:tab w:val="left" w:pos="567"/>
      </w:tabs>
      <w:autoSpaceDE w:val="0"/>
      <w:autoSpaceDN w:val="0"/>
      <w:ind w:left="1416"/>
      <w:contextualSpacing/>
      <w:outlineLvl w:val="2"/>
    </w:pPr>
    <w:rPr>
      <w:rFonts w:eastAsia="Calibri"/>
      <w:i/>
      <w:spacing w:val="-2"/>
      <w:sz w:val="20"/>
      <w:szCs w:val="20"/>
      <w:lang w:val="es-ES" w:eastAsia="x-none"/>
    </w:rPr>
  </w:style>
  <w:style w:type="paragraph" w:styleId="Heading4">
    <w:name w:val="heading 4"/>
    <w:basedOn w:val="Normal"/>
    <w:next w:val="Normal"/>
    <w:link w:val="Heading4Char"/>
    <w:uiPriority w:val="9"/>
    <w:unhideWhenUsed/>
    <w:qFormat/>
    <w:rsid w:val="00EB31AC"/>
    <w:pPr>
      <w:keepNext/>
      <w:keepLines/>
      <w:spacing w:before="200"/>
      <w:outlineLvl w:val="3"/>
    </w:pPr>
    <w:rPr>
      <w:bCs/>
      <w:i/>
      <w:iCs/>
      <w:sz w:val="20"/>
    </w:rPr>
  </w:style>
  <w:style w:type="paragraph" w:styleId="Heading5">
    <w:name w:val="heading 5"/>
    <w:basedOn w:val="Normal"/>
    <w:next w:val="Normal"/>
    <w:link w:val="Heading5Char"/>
    <w:uiPriority w:val="9"/>
    <w:unhideWhenUsed/>
    <w:qFormat/>
    <w:rsid w:val="00E344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unhideWhenUsed/>
    <w:qFormat/>
    <w:rsid w:val="00E3447E"/>
    <w:pPr>
      <w:keepNext w:val="0"/>
      <w:keepLines w:val="0"/>
      <w:tabs>
        <w:tab w:val="num" w:pos="3600"/>
      </w:tabs>
      <w:spacing w:before="0"/>
      <w:ind w:left="3600" w:hanging="360"/>
      <w:outlineLvl w:val="5"/>
    </w:pPr>
    <w:rPr>
      <w:rFonts w:ascii="Verdana" w:eastAsia="Times New Roman" w:hAnsi="Verdana" w:cs="Times New Roman"/>
      <w:color w:val="auto"/>
      <w:spacing w:val="-2"/>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Verdana Char"/>
    <w:basedOn w:val="DefaultParagraphFont"/>
    <w:link w:val="Heading1"/>
    <w:uiPriority w:val="9"/>
    <w:rsid w:val="00085BDD"/>
    <w:rPr>
      <w:rFonts w:ascii="Verdana" w:eastAsia="MS ????" w:hAnsi="Verdana" w:cs="Times New Roman"/>
      <w:b/>
      <w:bCs/>
      <w:caps/>
      <w:snapToGrid w:val="0"/>
      <w:spacing w:val="-2"/>
      <w:sz w:val="20"/>
      <w:szCs w:val="20"/>
      <w:lang w:val="x-none" w:eastAsia="es-ES"/>
    </w:rPr>
  </w:style>
  <w:style w:type="character" w:customStyle="1" w:styleId="Heading3Char">
    <w:name w:val="Heading 3 Char"/>
    <w:basedOn w:val="DefaultParagraphFont"/>
    <w:link w:val="Heading3"/>
    <w:uiPriority w:val="9"/>
    <w:rsid w:val="003700C4"/>
    <w:rPr>
      <w:rFonts w:ascii="Verdana" w:eastAsia="Calibri" w:hAnsi="Verdana" w:cs="Times New Roman"/>
      <w:i/>
      <w:spacing w:val="-2"/>
      <w:sz w:val="20"/>
      <w:szCs w:val="20"/>
      <w:lang w:val="es-ES" w:eastAsia="x-none"/>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link w:val="4GChar"/>
    <w:uiPriority w:val="99"/>
    <w:qFormat/>
    <w:rsid w:val="00085BDD"/>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qFormat/>
    <w:rsid w:val="00085BDD"/>
    <w:rPr>
      <w:sz w:val="20"/>
      <w:szCs w:val="20"/>
      <w:lang w:val="es-ES_tradnl"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qFormat/>
    <w:rsid w:val="00085BDD"/>
    <w:rPr>
      <w:rFonts w:ascii="Verdana" w:eastAsia="Times New Roman" w:hAnsi="Verdana" w:cs="Times New Roman"/>
      <w:sz w:val="20"/>
      <w:szCs w:val="20"/>
      <w:lang w:val="es-ES_tradnl" w:eastAsia="x-none"/>
    </w:rPr>
  </w:style>
  <w:style w:type="character" w:styleId="Strong">
    <w:name w:val="Strong"/>
    <w:uiPriority w:val="22"/>
    <w:qFormat/>
    <w:rsid w:val="00085BDD"/>
    <w:rPr>
      <w:b/>
      <w:bCs/>
    </w:rPr>
  </w:style>
  <w:style w:type="paragraph" w:styleId="ListParagraph">
    <w:name w:val="List Paragraph"/>
    <w:aliases w:val="List Paragraph2,Lista vistosa - Énfasis 11,Párrafo de lista1,Footnote,List Paragraph1"/>
    <w:basedOn w:val="Normal"/>
    <w:link w:val="ListParagraphChar1"/>
    <w:qFormat/>
    <w:rsid w:val="00085BDD"/>
    <w:pPr>
      <w:ind w:left="708"/>
    </w:pPr>
  </w:style>
  <w:style w:type="character" w:customStyle="1" w:styleId="MediumGrid1-Accent2Char">
    <w:name w:val="Medium Grid 1 - Accent 2 Char"/>
    <w:aliases w:val="Footnote Char,List Paragraph1 Char,Colorful List - Accent 11 Char,Párrafo de lista1 Char,List Paragraph Char,List Paragraph2 Char,Lista vistosa - Énfasis 11 Char,Colorful List - Accent 1 Char"/>
    <w:link w:val="MediumGrid1-Accent2"/>
    <w:uiPriority w:val="34"/>
    <w:locked/>
    <w:rsid w:val="00475387"/>
    <w:rPr>
      <w:rFonts w:ascii="Verdana" w:eastAsia="Batang" w:hAnsi="Verdana" w:cs="Times"/>
      <w:noProof/>
      <w:sz w:val="20"/>
      <w:szCs w:val="24"/>
      <w:lang w:val="es-ES_tradnl"/>
    </w:rPr>
  </w:style>
  <w:style w:type="paragraph" w:customStyle="1" w:styleId="PrrafodeSentencia">
    <w:name w:val="*. Párrafo de Sentencia"/>
    <w:basedOn w:val="FootnoteText"/>
    <w:link w:val="PrrafodeSentenciaChar"/>
    <w:autoRedefine/>
    <w:qFormat/>
    <w:rsid w:val="00475387"/>
    <w:pPr>
      <w:numPr>
        <w:numId w:val="1"/>
      </w:numPr>
      <w:tabs>
        <w:tab w:val="left" w:pos="720"/>
      </w:tabs>
      <w:spacing w:before="120" w:after="120"/>
    </w:pPr>
    <w:rPr>
      <w:bCs/>
      <w:noProof/>
      <w:lang w:eastAsia="es-ES"/>
    </w:rPr>
  </w:style>
  <w:style w:type="table" w:styleId="MediumGrid1-Accent2">
    <w:name w:val="Medium Grid 1 Accent 2"/>
    <w:basedOn w:val="TableNormal"/>
    <w:link w:val="MediumGrid1-Accent2Char"/>
    <w:rsid w:val="00475387"/>
    <w:rPr>
      <w:rFonts w:ascii="Verdana" w:eastAsia="Batang" w:hAnsi="Verdana" w:cs="Times"/>
      <w:noProof/>
      <w:sz w:val="20"/>
      <w:szCs w:val="24"/>
      <w:lang w:val="es-ES_tradn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NormalWeb">
    <w:name w:val="Normal (Web)"/>
    <w:aliases w:val="Normal (Web) Char1,Normal (Web) Char Char,Normal (Web) Char1 Char,Normal (Web) Char Char Char"/>
    <w:basedOn w:val="Normal"/>
    <w:uiPriority w:val="99"/>
    <w:unhideWhenUsed/>
    <w:rsid w:val="006C37C9"/>
    <w:pPr>
      <w:spacing w:after="200" w:line="276" w:lineRule="auto"/>
      <w:jc w:val="left"/>
    </w:pPr>
    <w:rPr>
      <w:rFonts w:ascii="Times New Roman" w:eastAsiaTheme="minorHAnsi" w:hAnsi="Times New Roman"/>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rsid w:val="006C37C9"/>
    <w:rPr>
      <w:sz w:val="20"/>
      <w:szCs w:val="20"/>
      <w:lang w:val="en-US"/>
    </w:rPr>
  </w:style>
  <w:style w:type="paragraph" w:styleId="Header">
    <w:name w:val="header"/>
    <w:basedOn w:val="Normal"/>
    <w:link w:val="HeaderChar"/>
    <w:uiPriority w:val="99"/>
    <w:unhideWhenUsed/>
    <w:rsid w:val="006C37C9"/>
    <w:pPr>
      <w:tabs>
        <w:tab w:val="center" w:pos="4252"/>
        <w:tab w:val="right" w:pos="8504"/>
      </w:tabs>
      <w:jc w:val="left"/>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6C37C9"/>
    <w:rPr>
      <w:lang w:val="en-US"/>
    </w:rPr>
  </w:style>
  <w:style w:type="paragraph" w:styleId="Footer">
    <w:name w:val="footer"/>
    <w:basedOn w:val="Normal"/>
    <w:link w:val="FooterChar"/>
    <w:uiPriority w:val="99"/>
    <w:unhideWhenUsed/>
    <w:rsid w:val="006C37C9"/>
    <w:pPr>
      <w:tabs>
        <w:tab w:val="center" w:pos="4252"/>
        <w:tab w:val="right" w:pos="8504"/>
      </w:tabs>
      <w:jc w:val="left"/>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6C37C9"/>
    <w:rPr>
      <w:lang w:val="en-US"/>
    </w:rPr>
  </w:style>
  <w:style w:type="paragraph" w:styleId="EndnoteText">
    <w:name w:val="endnote text"/>
    <w:basedOn w:val="Normal"/>
    <w:link w:val="EndnoteTextChar"/>
    <w:unhideWhenUsed/>
    <w:rsid w:val="006C37C9"/>
    <w:pPr>
      <w:jc w:val="left"/>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rsid w:val="006C37C9"/>
    <w:rPr>
      <w:sz w:val="20"/>
      <w:szCs w:val="20"/>
      <w:lang w:val="en-US"/>
    </w:rPr>
  </w:style>
  <w:style w:type="character" w:styleId="Hyperlink">
    <w:name w:val="Hyperlink"/>
    <w:aliases w:val="Heading 3 caso"/>
    <w:basedOn w:val="DefaultParagraphFont"/>
    <w:uiPriority w:val="99"/>
    <w:unhideWhenUsed/>
    <w:rsid w:val="006C37C9"/>
    <w:rPr>
      <w:color w:val="0000FF" w:themeColor="hyperlink"/>
      <w:u w:val="single"/>
    </w:rPr>
  </w:style>
  <w:style w:type="character" w:styleId="FollowedHyperlink">
    <w:name w:val="FollowedHyperlink"/>
    <w:basedOn w:val="DefaultParagraphFont"/>
    <w:uiPriority w:val="99"/>
    <w:semiHidden/>
    <w:unhideWhenUsed/>
    <w:rsid w:val="006C37C9"/>
    <w:rPr>
      <w:color w:val="800080" w:themeColor="followedHyperlink"/>
      <w:u w:val="single"/>
    </w:rPr>
  </w:style>
  <w:style w:type="paragraph" w:styleId="BalloonText">
    <w:name w:val="Balloon Text"/>
    <w:basedOn w:val="Normal"/>
    <w:link w:val="BalloonTextChar"/>
    <w:uiPriority w:val="99"/>
    <w:semiHidden/>
    <w:unhideWhenUsed/>
    <w:rsid w:val="006C37C9"/>
    <w:pPr>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C37C9"/>
    <w:rPr>
      <w:rFonts w:ascii="Tahoma" w:hAnsi="Tahoma" w:cs="Tahoma"/>
      <w:sz w:val="16"/>
      <w:szCs w:val="16"/>
    </w:rPr>
  </w:style>
  <w:style w:type="paragraph" w:styleId="TOCHeading">
    <w:name w:val="TOC Heading"/>
    <w:basedOn w:val="Heading1"/>
    <w:next w:val="Normal"/>
    <w:uiPriority w:val="39"/>
    <w:unhideWhenUsed/>
    <w:qFormat/>
    <w:rsid w:val="00E16176"/>
    <w:pPr>
      <w:tabs>
        <w:tab w:val="clear" w:pos="720"/>
      </w:tabs>
      <w:spacing w:before="480" w:line="276" w:lineRule="auto"/>
      <w:jc w:val="left"/>
      <w:outlineLvl w:val="9"/>
    </w:pPr>
    <w:rPr>
      <w:rFonts w:asciiTheme="majorHAnsi" w:eastAsiaTheme="majorEastAsia" w:hAnsiTheme="majorHAnsi" w:cstheme="majorBidi"/>
      <w:caps w:val="0"/>
      <w:snapToGrid/>
      <w:color w:val="365F91" w:themeColor="accent1" w:themeShade="BF"/>
      <w:spacing w:val="0"/>
      <w:sz w:val="28"/>
      <w:szCs w:val="28"/>
      <w:lang w:val="en-US" w:eastAsia="ja-JP"/>
    </w:rPr>
  </w:style>
  <w:style w:type="paragraph" w:styleId="TOC1">
    <w:name w:val="toc 1"/>
    <w:basedOn w:val="Title"/>
    <w:next w:val="Normal"/>
    <w:autoRedefine/>
    <w:uiPriority w:val="39"/>
    <w:unhideWhenUsed/>
    <w:qFormat/>
    <w:rsid w:val="00C004B1"/>
    <w:pPr>
      <w:tabs>
        <w:tab w:val="right" w:leader="dot" w:pos="9736"/>
      </w:tabs>
      <w:spacing w:before="120" w:after="120"/>
      <w:ind w:left="0"/>
      <w:contextualSpacing w:val="0"/>
      <w:jc w:val="both"/>
    </w:pPr>
    <w:rPr>
      <w:rFonts w:asciiTheme="minorHAnsi" w:eastAsia="Times New Roman" w:hAnsiTheme="minorHAnsi" w:cs="Times New Roman"/>
      <w:bCs/>
      <w:caps/>
      <w:snapToGrid/>
      <w:spacing w:val="0"/>
      <w:kern w:val="0"/>
      <w:szCs w:val="20"/>
    </w:rPr>
  </w:style>
  <w:style w:type="paragraph" w:styleId="TOC2">
    <w:name w:val="toc 2"/>
    <w:basedOn w:val="Normal"/>
    <w:next w:val="Normal"/>
    <w:autoRedefine/>
    <w:uiPriority w:val="39"/>
    <w:unhideWhenUsed/>
    <w:qFormat/>
    <w:rsid w:val="008A6487"/>
    <w:pPr>
      <w:ind w:left="240"/>
      <w:jc w:val="left"/>
    </w:pPr>
    <w:rPr>
      <w:rFonts w:asciiTheme="minorHAnsi" w:hAnsiTheme="minorHAnsi"/>
      <w:smallCaps/>
      <w:sz w:val="20"/>
      <w:szCs w:val="20"/>
    </w:rPr>
  </w:style>
  <w:style w:type="paragraph" w:styleId="TOC3">
    <w:name w:val="toc 3"/>
    <w:basedOn w:val="Normal"/>
    <w:next w:val="Normal"/>
    <w:autoRedefine/>
    <w:uiPriority w:val="39"/>
    <w:unhideWhenUsed/>
    <w:qFormat/>
    <w:rsid w:val="00BE23A5"/>
    <w:pPr>
      <w:tabs>
        <w:tab w:val="left" w:pos="960"/>
        <w:tab w:val="right" w:leader="dot" w:pos="9736"/>
      </w:tabs>
      <w:ind w:left="480"/>
    </w:pPr>
    <w:rPr>
      <w:iCs/>
      <w:noProof/>
      <w:sz w:val="20"/>
      <w:szCs w:val="20"/>
    </w:rPr>
  </w:style>
  <w:style w:type="character" w:styleId="LineNumber">
    <w:name w:val="line number"/>
    <w:basedOn w:val="DefaultParagraphFont"/>
    <w:uiPriority w:val="99"/>
    <w:unhideWhenUsed/>
    <w:rsid w:val="00D407D4"/>
  </w:style>
  <w:style w:type="character" w:styleId="CommentReference">
    <w:name w:val="annotation reference"/>
    <w:basedOn w:val="DefaultParagraphFont"/>
    <w:uiPriority w:val="99"/>
    <w:unhideWhenUsed/>
    <w:rsid w:val="007A1A14"/>
    <w:rPr>
      <w:sz w:val="16"/>
      <w:szCs w:val="16"/>
    </w:rPr>
  </w:style>
  <w:style w:type="paragraph" w:styleId="CommentText">
    <w:name w:val="annotation text"/>
    <w:basedOn w:val="Normal"/>
    <w:link w:val="CommentTextChar"/>
    <w:uiPriority w:val="99"/>
    <w:unhideWhenUsed/>
    <w:rsid w:val="007A1A14"/>
    <w:pPr>
      <w:spacing w:after="200"/>
      <w:jc w:val="left"/>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7A1A14"/>
    <w:rPr>
      <w:sz w:val="20"/>
      <w:szCs w:val="20"/>
      <w:lang w:val="en-US"/>
    </w:rPr>
  </w:style>
  <w:style w:type="paragraph" w:styleId="CommentSubject">
    <w:name w:val="annotation subject"/>
    <w:basedOn w:val="CommentText"/>
    <w:next w:val="CommentText"/>
    <w:link w:val="CommentSubjectChar"/>
    <w:uiPriority w:val="99"/>
    <w:semiHidden/>
    <w:unhideWhenUsed/>
    <w:rsid w:val="007A1A14"/>
    <w:rPr>
      <w:b/>
      <w:bCs/>
    </w:rPr>
  </w:style>
  <w:style w:type="character" w:customStyle="1" w:styleId="CommentSubjectChar">
    <w:name w:val="Comment Subject Char"/>
    <w:basedOn w:val="CommentTextChar"/>
    <w:link w:val="CommentSubject"/>
    <w:uiPriority w:val="99"/>
    <w:semiHidden/>
    <w:rsid w:val="007A1A14"/>
    <w:rPr>
      <w:b/>
      <w:bCs/>
      <w:sz w:val="20"/>
      <w:szCs w:val="20"/>
      <w:lang w:val="en-US"/>
    </w:rPr>
  </w:style>
  <w:style w:type="paragraph" w:customStyle="1" w:styleId="Heading21">
    <w:name w:val="Heading 21"/>
    <w:basedOn w:val="Normal"/>
    <w:next w:val="Normal"/>
    <w:uiPriority w:val="9"/>
    <w:semiHidden/>
    <w:unhideWhenUsed/>
    <w:qFormat/>
    <w:rsid w:val="008920BF"/>
    <w:pPr>
      <w:keepNext/>
      <w:keepLines/>
      <w:spacing w:before="200"/>
      <w:outlineLvl w:val="1"/>
    </w:pPr>
    <w:rPr>
      <w:rFonts w:ascii="Cambria" w:hAnsi="Cambria"/>
      <w:b/>
      <w:bCs/>
      <w:color w:val="4F81BD"/>
      <w:sz w:val="26"/>
      <w:szCs w:val="26"/>
    </w:rPr>
  </w:style>
  <w:style w:type="paragraph" w:customStyle="1" w:styleId="Heading41">
    <w:name w:val="Heading 41"/>
    <w:basedOn w:val="Normal"/>
    <w:next w:val="Normal"/>
    <w:uiPriority w:val="9"/>
    <w:semiHidden/>
    <w:unhideWhenUsed/>
    <w:qFormat/>
    <w:rsid w:val="008920BF"/>
    <w:pPr>
      <w:keepNext/>
      <w:keepLines/>
      <w:spacing w:before="200"/>
      <w:outlineLvl w:val="3"/>
    </w:pPr>
    <w:rPr>
      <w:rFonts w:ascii="Cambria" w:hAnsi="Cambria"/>
      <w:b/>
      <w:bCs/>
      <w:i/>
      <w:iCs/>
      <w:color w:val="4F81BD"/>
    </w:rPr>
  </w:style>
  <w:style w:type="numbering" w:customStyle="1" w:styleId="NoList1">
    <w:name w:val="No List1"/>
    <w:next w:val="NoList"/>
    <w:uiPriority w:val="99"/>
    <w:semiHidden/>
    <w:unhideWhenUsed/>
    <w:rsid w:val="008920BF"/>
  </w:style>
  <w:style w:type="character" w:customStyle="1" w:styleId="Heading2Char">
    <w:name w:val="Heading 2 Char"/>
    <w:basedOn w:val="DefaultParagraphFont"/>
    <w:link w:val="Heading2"/>
    <w:rsid w:val="002726E0"/>
    <w:rPr>
      <w:rFonts w:ascii="Verdana" w:eastAsia="MS Mincho" w:hAnsi="Verdana" w:cs="Times New Roman"/>
      <w:b/>
      <w:i/>
      <w:sz w:val="20"/>
      <w:szCs w:val="26"/>
      <w:lang w:eastAsia="es-CR"/>
    </w:rPr>
  </w:style>
  <w:style w:type="character" w:customStyle="1" w:styleId="Heading4Char">
    <w:name w:val="Heading 4 Char"/>
    <w:basedOn w:val="DefaultParagraphFont"/>
    <w:link w:val="Heading4"/>
    <w:uiPriority w:val="9"/>
    <w:rsid w:val="00EB31AC"/>
    <w:rPr>
      <w:rFonts w:ascii="Verdana" w:eastAsia="Times New Roman" w:hAnsi="Verdana" w:cs="Times New Roman"/>
      <w:bCs/>
      <w:i/>
      <w:iCs/>
      <w:sz w:val="20"/>
      <w:szCs w:val="24"/>
      <w:lang w:eastAsia="es-CR"/>
    </w:rPr>
  </w:style>
  <w:style w:type="paragraph" w:customStyle="1" w:styleId="Prrafodelista2">
    <w:name w:val="Párrafo de lista2"/>
    <w:basedOn w:val="Normal"/>
    <w:uiPriority w:val="99"/>
    <w:rsid w:val="008920BF"/>
    <w:pPr>
      <w:ind w:left="720"/>
      <w:jc w:val="left"/>
    </w:pPr>
    <w:rPr>
      <w:rFonts w:eastAsia="MS Mincho"/>
      <w:sz w:val="20"/>
      <w:szCs w:val="20"/>
      <w:lang w:val="es-ES_tradnl" w:eastAsia="en-US" w:bidi="en-US"/>
    </w:rPr>
  </w:style>
  <w:style w:type="character" w:customStyle="1" w:styleId="apple-style-span">
    <w:name w:val="apple-style-span"/>
    <w:rsid w:val="008920BF"/>
    <w:rPr>
      <w:rFonts w:cs="Times New Roman"/>
    </w:rPr>
  </w:style>
  <w:style w:type="character" w:customStyle="1" w:styleId="Listavistosa-nfasis1Car1">
    <w:name w:val="Lista vistosa - Énfasis 1 Car1"/>
    <w:link w:val="ColorfulList-Accent1"/>
    <w:uiPriority w:val="99"/>
    <w:locked/>
    <w:rsid w:val="008920BF"/>
    <w:rPr>
      <w:rFonts w:ascii="Verdana" w:eastAsia="Times New Roman" w:hAnsi="Verdana"/>
      <w:lang w:val="es-ES_tradnl" w:eastAsia="en-US"/>
    </w:rPr>
  </w:style>
  <w:style w:type="character" w:customStyle="1" w:styleId="column01">
    <w:name w:val="column01"/>
    <w:basedOn w:val="DefaultParagraphFont"/>
    <w:rsid w:val="008920BF"/>
  </w:style>
  <w:style w:type="table" w:customStyle="1" w:styleId="ColorfulList-Accent11">
    <w:name w:val="Colorful List - Accent 11"/>
    <w:basedOn w:val="TableNormal"/>
    <w:next w:val="ColorfulList-Accent1"/>
    <w:uiPriority w:val="99"/>
    <w:rsid w:val="008920BF"/>
    <w:rPr>
      <w:rFonts w:ascii="Verdana" w:eastAsia="Times New Roman" w:hAnsi="Verdana"/>
      <w:lang w:val="es-ES_tradn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Indent">
    <w:name w:val="Body Text Indent"/>
    <w:basedOn w:val="Normal"/>
    <w:link w:val="BodyTextIndentChar"/>
    <w:uiPriority w:val="99"/>
    <w:rsid w:val="008920BF"/>
    <w:pPr>
      <w:spacing w:after="120"/>
      <w:ind w:left="360"/>
      <w:jc w:val="left"/>
    </w:pPr>
    <w:rPr>
      <w:rFonts w:ascii="Times New Roman" w:eastAsia="MS Mincho" w:hAnsi="Times New Roman"/>
      <w:lang w:val="es-AR" w:eastAsia="en-US"/>
    </w:rPr>
  </w:style>
  <w:style w:type="character" w:customStyle="1" w:styleId="BodyTextIndentChar">
    <w:name w:val="Body Text Indent Char"/>
    <w:basedOn w:val="DefaultParagraphFont"/>
    <w:link w:val="BodyTextIndent"/>
    <w:uiPriority w:val="99"/>
    <w:rsid w:val="008920BF"/>
    <w:rPr>
      <w:rFonts w:ascii="Times New Roman" w:eastAsia="MS Mincho" w:hAnsi="Times New Roman" w:cs="Times New Roman"/>
      <w:sz w:val="24"/>
      <w:szCs w:val="24"/>
      <w:lang w:val="es-AR"/>
    </w:rPr>
  </w:style>
  <w:style w:type="character" w:customStyle="1" w:styleId="apple-converted-space">
    <w:name w:val="apple-converted-space"/>
    <w:basedOn w:val="DefaultParagraphFont"/>
    <w:rsid w:val="008920BF"/>
  </w:style>
  <w:style w:type="paragraph" w:customStyle="1" w:styleId="CM4">
    <w:name w:val="CM4"/>
    <w:basedOn w:val="Normal"/>
    <w:next w:val="Normal"/>
    <w:uiPriority w:val="99"/>
    <w:rsid w:val="008920BF"/>
    <w:pPr>
      <w:autoSpaceDE w:val="0"/>
      <w:autoSpaceDN w:val="0"/>
      <w:jc w:val="left"/>
    </w:pPr>
    <w:rPr>
      <w:rFonts w:ascii="EUAlbertina" w:eastAsia="Calibri" w:hAnsi="EUAlbertina"/>
      <w:lang w:eastAsia="en-US"/>
    </w:rPr>
  </w:style>
  <w:style w:type="paragraph" w:customStyle="1" w:styleId="Default">
    <w:name w:val="Default"/>
    <w:rsid w:val="008920BF"/>
    <w:pPr>
      <w:autoSpaceDE w:val="0"/>
      <w:autoSpaceDN w:val="0"/>
      <w:adjustRightInd w:val="0"/>
    </w:pPr>
    <w:rPr>
      <w:rFonts w:ascii="Times New Roman" w:eastAsia="Times New Roman" w:hAnsi="Times New Roman" w:cs="Times New Roman"/>
      <w:color w:val="000000"/>
      <w:sz w:val="24"/>
      <w:szCs w:val="24"/>
      <w:lang w:eastAsia="es-CR"/>
    </w:rPr>
  </w:style>
  <w:style w:type="paragraph" w:styleId="HTMLPreformatted">
    <w:name w:val="HTML Preformatted"/>
    <w:basedOn w:val="Normal"/>
    <w:link w:val="HTMLPreformattedChar"/>
    <w:uiPriority w:val="99"/>
    <w:unhideWhenUsed/>
    <w:rsid w:val="00892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920BF"/>
    <w:rPr>
      <w:rFonts w:ascii="Courier New" w:eastAsia="Times New Roman" w:hAnsi="Courier New" w:cs="Courier New"/>
      <w:sz w:val="20"/>
      <w:szCs w:val="20"/>
      <w:lang w:val="en-US"/>
    </w:rPr>
  </w:style>
  <w:style w:type="character" w:customStyle="1" w:styleId="Heading2Char1">
    <w:name w:val="Heading 2 Char1"/>
    <w:basedOn w:val="DefaultParagraphFont"/>
    <w:uiPriority w:val="9"/>
    <w:semiHidden/>
    <w:rsid w:val="008920BF"/>
    <w:rPr>
      <w:rFonts w:asciiTheme="majorHAnsi" w:eastAsiaTheme="majorEastAsia" w:hAnsiTheme="majorHAnsi" w:cstheme="majorBidi"/>
      <w:b/>
      <w:bCs/>
      <w:color w:val="4F81BD" w:themeColor="accent1"/>
      <w:sz w:val="26"/>
      <w:szCs w:val="26"/>
      <w:lang w:eastAsia="es-CR"/>
    </w:rPr>
  </w:style>
  <w:style w:type="character" w:customStyle="1" w:styleId="Heading4Char1">
    <w:name w:val="Heading 4 Char1"/>
    <w:basedOn w:val="DefaultParagraphFont"/>
    <w:uiPriority w:val="9"/>
    <w:semiHidden/>
    <w:rsid w:val="008920BF"/>
    <w:rPr>
      <w:rFonts w:asciiTheme="majorHAnsi" w:eastAsiaTheme="majorEastAsia" w:hAnsiTheme="majorHAnsi" w:cstheme="majorBidi"/>
      <w:b/>
      <w:bCs/>
      <w:i/>
      <w:iCs/>
      <w:color w:val="4F81BD" w:themeColor="accent1"/>
      <w:sz w:val="24"/>
      <w:szCs w:val="24"/>
      <w:lang w:eastAsia="es-CR"/>
    </w:rPr>
  </w:style>
  <w:style w:type="table" w:styleId="ColorfulList-Accent1">
    <w:name w:val="Colorful List Accent 1"/>
    <w:basedOn w:val="TableNormal"/>
    <w:link w:val="Listavistosa-nfasis1Car1"/>
    <w:uiPriority w:val="99"/>
    <w:rsid w:val="008920BF"/>
    <w:rPr>
      <w:rFonts w:ascii="Verdana" w:eastAsia="Times New Roman" w:hAnsi="Verdana"/>
      <w:lang w:val="es-ES_tradnl"/>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b8d990e2">
    <w:name w:val="sb8d990e2"/>
    <w:basedOn w:val="DefaultParagraphFont"/>
    <w:uiPriority w:val="99"/>
    <w:rsid w:val="00502B43"/>
  </w:style>
  <w:style w:type="character" w:customStyle="1" w:styleId="s6b621b36">
    <w:name w:val="s6b621b36"/>
    <w:basedOn w:val="DefaultParagraphFont"/>
    <w:rsid w:val="00502B4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502B43"/>
    <w:rPr>
      <w:rFonts w:asciiTheme="minorHAnsi" w:eastAsiaTheme="minorHAnsi" w:hAnsiTheme="minorHAnsi" w:cstheme="minorBidi"/>
      <w:sz w:val="22"/>
      <w:szCs w:val="22"/>
      <w:vertAlign w:val="superscript"/>
      <w:lang w:eastAsia="en-US"/>
    </w:rPr>
  </w:style>
  <w:style w:type="paragraph" w:customStyle="1" w:styleId="s5891fd46">
    <w:name w:val="s5891fd46"/>
    <w:basedOn w:val="Normal"/>
    <w:rsid w:val="00502B43"/>
    <w:pPr>
      <w:spacing w:before="100" w:beforeAutospacing="1" w:after="100" w:afterAutospacing="1"/>
      <w:jc w:val="left"/>
    </w:pPr>
    <w:rPr>
      <w:rFonts w:ascii="Times New Roman" w:hAnsi="Times New Roman"/>
    </w:rPr>
  </w:style>
  <w:style w:type="character" w:styleId="Emphasis">
    <w:name w:val="Emphasis"/>
    <w:uiPriority w:val="20"/>
    <w:qFormat/>
    <w:rsid w:val="00502B43"/>
    <w:rPr>
      <w:b/>
      <w:bCs/>
      <w:i/>
      <w:iCs/>
      <w:spacing w:val="10"/>
      <w:bdr w:val="none" w:sz="0" w:space="0" w:color="auto"/>
      <w:shd w:val="clear" w:color="auto" w:fill="auto"/>
    </w:rPr>
  </w:style>
  <w:style w:type="paragraph" w:styleId="TOC4">
    <w:name w:val="toc 4"/>
    <w:basedOn w:val="Normal"/>
    <w:next w:val="Normal"/>
    <w:autoRedefine/>
    <w:uiPriority w:val="39"/>
    <w:unhideWhenUsed/>
    <w:rsid w:val="00E35E14"/>
    <w:pPr>
      <w:ind w:left="720"/>
      <w:jc w:val="left"/>
    </w:pPr>
    <w:rPr>
      <w:rFonts w:asciiTheme="minorHAnsi" w:hAnsiTheme="minorHAnsi"/>
      <w:sz w:val="18"/>
      <w:szCs w:val="18"/>
    </w:rPr>
  </w:style>
  <w:style w:type="paragraph" w:styleId="TOC5">
    <w:name w:val="toc 5"/>
    <w:basedOn w:val="Normal"/>
    <w:next w:val="Normal"/>
    <w:autoRedefine/>
    <w:uiPriority w:val="39"/>
    <w:unhideWhenUsed/>
    <w:rsid w:val="00E35E14"/>
    <w:pPr>
      <w:ind w:left="960"/>
      <w:jc w:val="left"/>
    </w:pPr>
    <w:rPr>
      <w:rFonts w:asciiTheme="minorHAnsi" w:hAnsiTheme="minorHAnsi"/>
      <w:sz w:val="18"/>
      <w:szCs w:val="18"/>
    </w:rPr>
  </w:style>
  <w:style w:type="paragraph" w:styleId="TOC6">
    <w:name w:val="toc 6"/>
    <w:basedOn w:val="Normal"/>
    <w:next w:val="Normal"/>
    <w:autoRedefine/>
    <w:uiPriority w:val="39"/>
    <w:unhideWhenUsed/>
    <w:rsid w:val="00E35E14"/>
    <w:pPr>
      <w:ind w:left="1200"/>
      <w:jc w:val="left"/>
    </w:pPr>
    <w:rPr>
      <w:rFonts w:asciiTheme="minorHAnsi" w:hAnsiTheme="minorHAnsi"/>
      <w:sz w:val="18"/>
      <w:szCs w:val="18"/>
    </w:rPr>
  </w:style>
  <w:style w:type="paragraph" w:styleId="TOC7">
    <w:name w:val="toc 7"/>
    <w:basedOn w:val="Normal"/>
    <w:next w:val="Normal"/>
    <w:autoRedefine/>
    <w:uiPriority w:val="39"/>
    <w:unhideWhenUsed/>
    <w:rsid w:val="00E35E14"/>
    <w:pPr>
      <w:ind w:left="1440"/>
      <w:jc w:val="left"/>
    </w:pPr>
    <w:rPr>
      <w:rFonts w:asciiTheme="minorHAnsi" w:hAnsiTheme="minorHAnsi"/>
      <w:sz w:val="18"/>
      <w:szCs w:val="18"/>
    </w:rPr>
  </w:style>
  <w:style w:type="paragraph" w:styleId="TOC8">
    <w:name w:val="toc 8"/>
    <w:basedOn w:val="Normal"/>
    <w:next w:val="Normal"/>
    <w:autoRedefine/>
    <w:uiPriority w:val="39"/>
    <w:unhideWhenUsed/>
    <w:rsid w:val="00E35E14"/>
    <w:pPr>
      <w:ind w:left="1680"/>
      <w:jc w:val="left"/>
    </w:pPr>
    <w:rPr>
      <w:rFonts w:asciiTheme="minorHAnsi" w:hAnsiTheme="minorHAnsi"/>
      <w:sz w:val="18"/>
      <w:szCs w:val="18"/>
    </w:rPr>
  </w:style>
  <w:style w:type="paragraph" w:styleId="TOC9">
    <w:name w:val="toc 9"/>
    <w:basedOn w:val="Normal"/>
    <w:next w:val="Normal"/>
    <w:autoRedefine/>
    <w:uiPriority w:val="39"/>
    <w:unhideWhenUsed/>
    <w:rsid w:val="00E35E14"/>
    <w:pPr>
      <w:ind w:left="1920"/>
      <w:jc w:val="left"/>
    </w:pPr>
    <w:rPr>
      <w:rFonts w:asciiTheme="minorHAnsi" w:hAnsiTheme="minorHAnsi"/>
      <w:sz w:val="18"/>
      <w:szCs w:val="18"/>
    </w:rPr>
  </w:style>
  <w:style w:type="paragraph" w:customStyle="1" w:styleId="styletitle2">
    <w:name w:val="styletitle2"/>
    <w:basedOn w:val="Normal"/>
    <w:rsid w:val="00000131"/>
    <w:pPr>
      <w:spacing w:before="100" w:beforeAutospacing="1" w:after="100" w:afterAutospacing="1"/>
      <w:jc w:val="left"/>
    </w:pPr>
    <w:rPr>
      <w:rFonts w:ascii="Times New Roman" w:hAnsi="Times New Roman"/>
    </w:rPr>
  </w:style>
  <w:style w:type="character" w:customStyle="1" w:styleId="ListParagraphChar1">
    <w:name w:val="List Paragraph Char1"/>
    <w:aliases w:val="List Paragraph2 Char1,Lista vistosa - Énfasis 11 Char1,Párrafo de lista1 Char1,Footnote Char1,List Paragraph1 Char1,Colorful List - Accent 11 Char1"/>
    <w:basedOn w:val="DefaultParagraphFont"/>
    <w:link w:val="ListParagraph"/>
    <w:rsid w:val="005624D3"/>
    <w:rPr>
      <w:rFonts w:ascii="Verdana" w:eastAsia="Times New Roman" w:hAnsi="Verdana" w:cs="Times New Roman"/>
      <w:sz w:val="24"/>
      <w:szCs w:val="24"/>
      <w:lang w:eastAsia="es-CR"/>
    </w:rPr>
  </w:style>
  <w:style w:type="character" w:customStyle="1" w:styleId="Hipervnculo1">
    <w:name w:val="Hipervínculo1"/>
    <w:basedOn w:val="DefaultParagraphFont"/>
    <w:uiPriority w:val="99"/>
    <w:unhideWhenUsed/>
    <w:rsid w:val="00D534AF"/>
    <w:rPr>
      <w:color w:val="0000FF"/>
      <w:u w:val="single"/>
    </w:rPr>
  </w:style>
  <w:style w:type="character" w:customStyle="1" w:styleId="Heading6Char">
    <w:name w:val="Heading 6 Char"/>
    <w:basedOn w:val="DefaultParagraphFont"/>
    <w:link w:val="Heading6"/>
    <w:uiPriority w:val="9"/>
    <w:rsid w:val="00E3447E"/>
    <w:rPr>
      <w:rFonts w:ascii="Verdana" w:eastAsia="Times New Roman" w:hAnsi="Verdana" w:cs="Times New Roman"/>
      <w:spacing w:val="-2"/>
      <w:sz w:val="20"/>
      <w:szCs w:val="20"/>
      <w:lang w:val="es-ES_tradnl" w:eastAsia="es-CR"/>
    </w:rPr>
  </w:style>
  <w:style w:type="character" w:customStyle="1" w:styleId="Caracteresdenotafinal">
    <w:name w:val="Caracteres de nota final"/>
    <w:rsid w:val="00E3447E"/>
    <w:rPr>
      <w:vertAlign w:val="superscript"/>
    </w:rPr>
  </w:style>
  <w:style w:type="character" w:customStyle="1" w:styleId="Heading5Char">
    <w:name w:val="Heading 5 Char"/>
    <w:basedOn w:val="DefaultParagraphFont"/>
    <w:link w:val="Heading5"/>
    <w:uiPriority w:val="9"/>
    <w:rsid w:val="00E3447E"/>
    <w:rPr>
      <w:rFonts w:asciiTheme="majorHAnsi" w:eastAsiaTheme="majorEastAsia" w:hAnsiTheme="majorHAnsi" w:cstheme="majorBidi"/>
      <w:color w:val="243F60" w:themeColor="accent1" w:themeShade="7F"/>
      <w:sz w:val="24"/>
      <w:szCs w:val="24"/>
      <w:lang w:eastAsia="es-CR"/>
    </w:rPr>
  </w:style>
  <w:style w:type="character" w:styleId="PageNumber">
    <w:name w:val="page number"/>
    <w:basedOn w:val="DefaultParagraphFont"/>
    <w:uiPriority w:val="99"/>
    <w:semiHidden/>
    <w:unhideWhenUsed/>
    <w:rsid w:val="00011543"/>
  </w:style>
  <w:style w:type="paragraph" w:styleId="Title">
    <w:name w:val="Title"/>
    <w:basedOn w:val="Normal"/>
    <w:next w:val="Normal"/>
    <w:link w:val="TitleChar"/>
    <w:autoRedefine/>
    <w:uiPriority w:val="10"/>
    <w:qFormat/>
    <w:rsid w:val="006B2A4D"/>
    <w:pPr>
      <w:ind w:left="825"/>
      <w:contextualSpacing/>
      <w:jc w:val="center"/>
    </w:pPr>
    <w:rPr>
      <w:rFonts w:eastAsiaTheme="majorEastAsia" w:cstheme="majorBidi"/>
      <w:b/>
      <w:snapToGrid w:val="0"/>
      <w:spacing w:val="5"/>
      <w:kern w:val="28"/>
      <w:sz w:val="20"/>
      <w:szCs w:val="52"/>
    </w:rPr>
  </w:style>
  <w:style w:type="character" w:customStyle="1" w:styleId="TitleChar">
    <w:name w:val="Title Char"/>
    <w:basedOn w:val="DefaultParagraphFont"/>
    <w:link w:val="Title"/>
    <w:uiPriority w:val="10"/>
    <w:rsid w:val="006B2A4D"/>
    <w:rPr>
      <w:rFonts w:ascii="Verdana" w:eastAsiaTheme="majorEastAsia" w:hAnsi="Verdana" w:cstheme="majorBidi"/>
      <w:b/>
      <w:snapToGrid w:val="0"/>
      <w:spacing w:val="5"/>
      <w:kern w:val="28"/>
      <w:sz w:val="20"/>
      <w:szCs w:val="52"/>
      <w:lang w:eastAsia="es-CR"/>
    </w:rPr>
  </w:style>
  <w:style w:type="paragraph" w:customStyle="1" w:styleId="Estilo1">
    <w:name w:val="Estilo1"/>
    <w:basedOn w:val="Normal"/>
    <w:link w:val="Estilo1Car"/>
    <w:qFormat/>
    <w:rsid w:val="004D7E7A"/>
    <w:pPr>
      <w:spacing w:after="120"/>
      <w:ind w:left="2018" w:right="6" w:hanging="180"/>
    </w:pPr>
    <w:rPr>
      <w:rFonts w:eastAsia="Batang" w:cs="Times"/>
      <w:i/>
      <w:sz w:val="20"/>
      <w:lang w:val="es-ES" w:eastAsia="en-US"/>
    </w:rPr>
  </w:style>
  <w:style w:type="character" w:customStyle="1" w:styleId="Estilo1Car">
    <w:name w:val="Estilo1 Car"/>
    <w:basedOn w:val="DefaultParagraphFont"/>
    <w:link w:val="Estilo1"/>
    <w:rsid w:val="004D7E7A"/>
    <w:rPr>
      <w:rFonts w:ascii="Verdana" w:eastAsia="Batang" w:hAnsi="Verdana" w:cs="Times"/>
      <w:i/>
      <w:sz w:val="20"/>
      <w:szCs w:val="24"/>
      <w:lang w:val="es-ES"/>
    </w:rPr>
  </w:style>
  <w:style w:type="paragraph" w:styleId="NoSpacing">
    <w:name w:val="No Spacing"/>
    <w:link w:val="NoSpacingChar"/>
    <w:uiPriority w:val="1"/>
    <w:qFormat/>
    <w:rsid w:val="000214BA"/>
    <w:rPr>
      <w:rFonts w:eastAsiaTheme="minorEastAsia"/>
      <w:lang w:val="en-US" w:eastAsia="ja-JP"/>
    </w:rPr>
  </w:style>
  <w:style w:type="character" w:customStyle="1" w:styleId="NoSpacingChar">
    <w:name w:val="No Spacing Char"/>
    <w:basedOn w:val="DefaultParagraphFont"/>
    <w:link w:val="NoSpacing"/>
    <w:uiPriority w:val="1"/>
    <w:rsid w:val="000214BA"/>
    <w:rPr>
      <w:rFonts w:eastAsiaTheme="minorEastAsia"/>
      <w:lang w:val="en-US" w:eastAsia="ja-JP"/>
    </w:rPr>
  </w:style>
  <w:style w:type="paragraph" w:styleId="BodyText">
    <w:name w:val="Body Text"/>
    <w:basedOn w:val="Normal"/>
    <w:link w:val="BodyTextChar"/>
    <w:uiPriority w:val="99"/>
    <w:unhideWhenUsed/>
    <w:rsid w:val="000214BA"/>
    <w:pPr>
      <w:spacing w:after="120"/>
    </w:pPr>
  </w:style>
  <w:style w:type="character" w:customStyle="1" w:styleId="BodyTextChar">
    <w:name w:val="Body Text Char"/>
    <w:basedOn w:val="DefaultParagraphFont"/>
    <w:link w:val="BodyText"/>
    <w:uiPriority w:val="99"/>
    <w:rsid w:val="000214BA"/>
    <w:rPr>
      <w:rFonts w:ascii="Verdana" w:eastAsia="Times New Roman" w:hAnsi="Verdana" w:cs="Times New Roman"/>
      <w:sz w:val="24"/>
      <w:szCs w:val="24"/>
      <w:lang w:eastAsia="es-CR"/>
    </w:rPr>
  </w:style>
  <w:style w:type="character" w:customStyle="1" w:styleId="Smbolodenotaalpie">
    <w:name w:val="Símbolo de nota al pie"/>
    <w:rsid w:val="00E67349"/>
    <w:rPr>
      <w:rFonts w:ascii="Times New Roman" w:hAnsi="Times New Roman" w:cs="Times New Roman" w:hint="default"/>
      <w:szCs w:val="20"/>
      <w:vertAlign w:val="superscript"/>
    </w:rPr>
  </w:style>
  <w:style w:type="paragraph" w:customStyle="1" w:styleId="ju-005fpara">
    <w:name w:val="ju-005fpara"/>
    <w:basedOn w:val="Normal"/>
    <w:rsid w:val="00E67349"/>
    <w:pPr>
      <w:spacing w:before="100" w:beforeAutospacing="1" w:after="100" w:afterAutospacing="1"/>
      <w:jc w:val="left"/>
    </w:pPr>
    <w:rPr>
      <w:rFonts w:ascii="Times New Roman" w:hAnsi="Times New Roman"/>
      <w:lang w:val="es-ES" w:eastAsia="es-ES"/>
    </w:rPr>
  </w:style>
  <w:style w:type="character" w:customStyle="1" w:styleId="normal--char">
    <w:name w:val="normal--char"/>
    <w:basedOn w:val="DefaultParagraphFont"/>
    <w:uiPriority w:val="99"/>
    <w:rsid w:val="00E67349"/>
  </w:style>
  <w:style w:type="character" w:customStyle="1" w:styleId="ju-005fpara--char">
    <w:name w:val="ju-005fpara--char"/>
    <w:basedOn w:val="DefaultParagraphFont"/>
    <w:rsid w:val="00E67349"/>
  </w:style>
  <w:style w:type="numbering" w:customStyle="1" w:styleId="NoList2">
    <w:name w:val="No List2"/>
    <w:next w:val="NoList"/>
    <w:uiPriority w:val="99"/>
    <w:semiHidden/>
    <w:unhideWhenUsed/>
    <w:rsid w:val="006B2A4D"/>
  </w:style>
  <w:style w:type="paragraph" w:styleId="Revision">
    <w:name w:val="Revision"/>
    <w:hidden/>
    <w:uiPriority w:val="99"/>
    <w:semiHidden/>
    <w:rsid w:val="006B2A4D"/>
    <w:rPr>
      <w:rFonts w:ascii="Verdana" w:eastAsia="Times New Roman" w:hAnsi="Verdana" w:cs="Times New Roman"/>
      <w:sz w:val="20"/>
      <w:szCs w:val="20"/>
      <w:lang w:val="es-ES"/>
    </w:rPr>
  </w:style>
  <w:style w:type="numbering" w:customStyle="1" w:styleId="NoList3">
    <w:name w:val="No List3"/>
    <w:next w:val="NoList"/>
    <w:uiPriority w:val="99"/>
    <w:semiHidden/>
    <w:unhideWhenUsed/>
    <w:rsid w:val="002570D1"/>
  </w:style>
  <w:style w:type="character" w:customStyle="1" w:styleId="CommentTextChar1">
    <w:name w:val="Comment Text Char1"/>
    <w:basedOn w:val="DefaultParagraphFont"/>
    <w:uiPriority w:val="99"/>
    <w:semiHidden/>
    <w:rsid w:val="002570D1"/>
    <w:rPr>
      <w:rFonts w:ascii="Times New Roman" w:eastAsia="Calibri" w:hAnsi="Times New Roman" w:cs="Times New Roman"/>
      <w:sz w:val="20"/>
      <w:szCs w:val="20"/>
      <w:lang w:val="es-ES_tradnl"/>
    </w:rPr>
  </w:style>
  <w:style w:type="character" w:customStyle="1" w:styleId="BalloonTextChar1">
    <w:name w:val="Balloon Text Char1"/>
    <w:basedOn w:val="DefaultParagraphFont"/>
    <w:uiPriority w:val="99"/>
    <w:semiHidden/>
    <w:rsid w:val="002570D1"/>
    <w:rPr>
      <w:rFonts w:ascii="Tahoma" w:eastAsia="Calibri" w:hAnsi="Tahoma" w:cs="Tahoma"/>
      <w:sz w:val="16"/>
      <w:szCs w:val="16"/>
      <w:lang w:val="es-ES_tradnl"/>
    </w:rPr>
  </w:style>
  <w:style w:type="paragraph" w:customStyle="1" w:styleId="Footnotes">
    <w:name w:val="**. Footnotes"/>
    <w:basedOn w:val="FootnoteText"/>
    <w:link w:val="FootnotesChar"/>
    <w:autoRedefine/>
    <w:qFormat/>
    <w:rsid w:val="002570D1"/>
    <w:pPr>
      <w:widowControl w:val="0"/>
      <w:tabs>
        <w:tab w:val="left" w:pos="567"/>
      </w:tabs>
      <w:spacing w:before="120" w:after="40"/>
    </w:pPr>
    <w:rPr>
      <w:rFonts w:eastAsia="Batang" w:cs="Palatino-Italic"/>
      <w:iCs/>
      <w:sz w:val="16"/>
      <w:szCs w:val="16"/>
      <w:lang w:val="en-US" w:eastAsia="en-US"/>
    </w:rPr>
  </w:style>
  <w:style w:type="character" w:customStyle="1" w:styleId="FootnotesChar">
    <w:name w:val="**. Footnotes Char"/>
    <w:basedOn w:val="DefaultParagraphFont"/>
    <w:link w:val="Footnotes"/>
    <w:rsid w:val="002570D1"/>
    <w:rPr>
      <w:rFonts w:ascii="Verdana" w:eastAsia="Batang" w:hAnsi="Verdana" w:cs="Palatino-Italic"/>
      <w:iCs/>
      <w:sz w:val="16"/>
      <w:szCs w:val="16"/>
      <w:lang w:val="en-US"/>
    </w:rPr>
  </w:style>
  <w:style w:type="character" w:customStyle="1" w:styleId="Ttulo1">
    <w:name w:val="Título1"/>
    <w:basedOn w:val="DefaultParagraphFont"/>
    <w:rsid w:val="002570D1"/>
  </w:style>
  <w:style w:type="character" w:customStyle="1" w:styleId="PrrafodeSentenciaChar">
    <w:name w:val="*. Párrafo de Sentencia Char"/>
    <w:link w:val="PrrafodeSentencia"/>
    <w:rsid w:val="002570D1"/>
    <w:rPr>
      <w:rFonts w:ascii="Verdana" w:eastAsia="Times New Roman" w:hAnsi="Verdana" w:cs="Times New Roman"/>
      <w:bCs/>
      <w:noProof/>
      <w:sz w:val="20"/>
      <w:szCs w:val="20"/>
      <w:lang w:val="es-ES_tradnl" w:eastAsia="es-ES"/>
    </w:rPr>
  </w:style>
  <w:style w:type="character" w:customStyle="1" w:styleId="hps">
    <w:name w:val="hps"/>
    <w:basedOn w:val="DefaultParagraphFont"/>
    <w:rsid w:val="002570D1"/>
  </w:style>
  <w:style w:type="paragraph" w:customStyle="1" w:styleId="2Footnotes">
    <w:name w:val="2. Footnotes"/>
    <w:basedOn w:val="FootnoteText"/>
    <w:link w:val="2FootnotesChar"/>
    <w:autoRedefine/>
    <w:qFormat/>
    <w:rsid w:val="002570D1"/>
    <w:pPr>
      <w:widowControl w:val="0"/>
      <w:spacing w:before="120" w:after="40"/>
    </w:pPr>
    <w:rPr>
      <w:rFonts w:cs="Palatino-Italic"/>
      <w:iCs/>
      <w:noProof/>
      <w:sz w:val="16"/>
      <w:szCs w:val="18"/>
      <w:lang w:val="en-US" w:eastAsia="en-US"/>
    </w:rPr>
  </w:style>
  <w:style w:type="character" w:customStyle="1" w:styleId="2FootnotesChar">
    <w:name w:val="2. Footnotes Char"/>
    <w:link w:val="2Footnotes"/>
    <w:rsid w:val="002570D1"/>
    <w:rPr>
      <w:rFonts w:ascii="Verdana" w:eastAsia="Times New Roman" w:hAnsi="Verdana" w:cs="Palatino-Italic"/>
      <w:iCs/>
      <w:noProof/>
      <w:sz w:val="16"/>
      <w:szCs w:val="18"/>
      <w:lang w:val="en-US"/>
    </w:rPr>
  </w:style>
  <w:style w:type="paragraph" w:customStyle="1" w:styleId="xmsonormal">
    <w:name w:val="x_msonormal"/>
    <w:basedOn w:val="Normal"/>
    <w:rsid w:val="002570D1"/>
    <w:pPr>
      <w:spacing w:before="100" w:beforeAutospacing="1" w:after="100" w:afterAutospacing="1"/>
      <w:jc w:val="left"/>
    </w:pPr>
    <w:rPr>
      <w:rFonts w:ascii="Times New Roman" w:hAnsi="Times New Roman"/>
      <w:lang w:val="en-US" w:eastAsia="en-US"/>
    </w:rPr>
  </w:style>
  <w:style w:type="paragraph" w:customStyle="1" w:styleId="HChG">
    <w:name w:val="_ H _Ch_G"/>
    <w:basedOn w:val="Normal"/>
    <w:next w:val="Normal"/>
    <w:rsid w:val="002570D1"/>
    <w:pPr>
      <w:keepNext/>
      <w:keepLines/>
      <w:tabs>
        <w:tab w:val="right" w:pos="851"/>
      </w:tabs>
      <w:suppressAutoHyphens/>
      <w:spacing w:before="360" w:after="240" w:line="300" w:lineRule="exact"/>
      <w:ind w:left="1134" w:right="1134" w:hanging="1134"/>
      <w:jc w:val="left"/>
    </w:pPr>
    <w:rPr>
      <w:rFonts w:ascii="Times New Roman" w:hAnsi="Times New Roman"/>
      <w:b/>
      <w:sz w:val="28"/>
      <w:szCs w:val="20"/>
      <w:lang w:val="es-ES" w:eastAsia="es-ES"/>
    </w:rPr>
  </w:style>
  <w:style w:type="paragraph" w:customStyle="1" w:styleId="H1G">
    <w:name w:val="_ H_1_G"/>
    <w:basedOn w:val="Normal"/>
    <w:next w:val="Normal"/>
    <w:rsid w:val="002570D1"/>
    <w:pPr>
      <w:keepNext/>
      <w:keepLines/>
      <w:tabs>
        <w:tab w:val="right" w:pos="851"/>
      </w:tabs>
      <w:suppressAutoHyphens/>
      <w:spacing w:before="360" w:after="240" w:line="270" w:lineRule="exact"/>
      <w:ind w:left="1134" w:right="1134" w:hanging="1134"/>
      <w:jc w:val="left"/>
    </w:pPr>
    <w:rPr>
      <w:rFonts w:ascii="Times New Roman" w:hAnsi="Times New Roman"/>
      <w:b/>
      <w:szCs w:val="20"/>
      <w:lang w:val="es-ES"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ﬂnotentext Car1,Ca Car,C Car"/>
    <w:basedOn w:val="DefaultParagraphFont"/>
    <w:uiPriority w:val="99"/>
    <w:qFormat/>
    <w:locked/>
    <w:rsid w:val="002570D1"/>
    <w:rPr>
      <w:rFonts w:ascii="Verdana" w:eastAsia="MS Mincho" w:hAnsi="Verdana" w:cs="Times"/>
      <w:sz w:val="16"/>
      <w:szCs w:val="24"/>
      <w:lang w:val="es-ES_tradnl"/>
    </w:rPr>
  </w:style>
  <w:style w:type="character" w:customStyle="1" w:styleId="BodyTextIndentChar1">
    <w:name w:val="Body Text Indent Char1"/>
    <w:basedOn w:val="DefaultParagraphFont"/>
    <w:uiPriority w:val="99"/>
    <w:semiHidden/>
    <w:rsid w:val="002570D1"/>
    <w:rPr>
      <w:rFonts w:ascii="Times New Roman" w:eastAsia="Calibri" w:hAnsi="Times New Roman" w:cs="Times New Roman"/>
      <w:sz w:val="24"/>
      <w:szCs w:val="24"/>
      <w:lang w:val="es-ES_tradnl"/>
    </w:rPr>
  </w:style>
  <w:style w:type="character" w:customStyle="1" w:styleId="Estilo1Char">
    <w:name w:val="Estilo1 Char"/>
    <w:rsid w:val="002570D1"/>
    <w:rPr>
      <w:rFonts w:ascii="Verdana" w:eastAsia="Calibri" w:hAnsi="Verdana" w:cs="Times New Roman"/>
      <w:sz w:val="20"/>
      <w:szCs w:val="20"/>
      <w:lang w:val="es-ES"/>
    </w:rPr>
  </w:style>
  <w:style w:type="paragraph" w:customStyle="1" w:styleId="Estilo2">
    <w:name w:val="Estilo2"/>
    <w:basedOn w:val="Normal"/>
    <w:qFormat/>
    <w:rsid w:val="002570D1"/>
    <w:pPr>
      <w:tabs>
        <w:tab w:val="left" w:pos="567"/>
        <w:tab w:val="left" w:pos="1134"/>
        <w:tab w:val="num" w:pos="4767"/>
      </w:tabs>
      <w:spacing w:after="120"/>
      <w:ind w:left="4767" w:hanging="360"/>
    </w:pPr>
    <w:rPr>
      <w:rFonts w:eastAsia="Calibri"/>
      <w:sz w:val="20"/>
      <w:szCs w:val="20"/>
      <w:lang w:val="es-ES" w:eastAsia="en-US"/>
    </w:rPr>
  </w:style>
  <w:style w:type="paragraph" w:styleId="BodyTextIndent3">
    <w:name w:val="Body Text Indent 3"/>
    <w:basedOn w:val="Normal"/>
    <w:link w:val="BodyTextIndent3Char"/>
    <w:rsid w:val="002570D1"/>
    <w:pPr>
      <w:ind w:left="720"/>
    </w:pPr>
    <w:rPr>
      <w:rFonts w:eastAsia="Times"/>
      <w:b/>
      <w:sz w:val="22"/>
      <w:szCs w:val="20"/>
      <w:lang w:val="es-ES_tradnl" w:eastAsia="es-ES"/>
    </w:rPr>
  </w:style>
  <w:style w:type="character" w:customStyle="1" w:styleId="BodyTextIndent3Char">
    <w:name w:val="Body Text Indent 3 Char"/>
    <w:basedOn w:val="DefaultParagraphFont"/>
    <w:link w:val="BodyTextIndent3"/>
    <w:rsid w:val="002570D1"/>
    <w:rPr>
      <w:rFonts w:ascii="Verdana" w:eastAsia="Times" w:hAnsi="Verdana" w:cs="Times New Roman"/>
      <w:b/>
      <w:szCs w:val="20"/>
      <w:lang w:val="es-ES_tradnl" w:eastAsia="es-ES"/>
    </w:rPr>
  </w:style>
  <w:style w:type="paragraph" w:customStyle="1" w:styleId="Estilo7">
    <w:name w:val="Estilo7"/>
    <w:basedOn w:val="Normal"/>
    <w:qFormat/>
    <w:rsid w:val="002570D1"/>
    <w:pPr>
      <w:tabs>
        <w:tab w:val="left" w:pos="567"/>
        <w:tab w:val="left" w:pos="851"/>
        <w:tab w:val="num" w:pos="2160"/>
      </w:tabs>
      <w:spacing w:before="120" w:after="120"/>
      <w:ind w:left="2160" w:hanging="180"/>
    </w:pPr>
    <w:rPr>
      <w:rFonts w:eastAsia="Batang"/>
      <w:b/>
      <w:i/>
      <w:sz w:val="20"/>
      <w:szCs w:val="20"/>
      <w:lang w:val="es-ES_tradnl" w:eastAsia="es-MX"/>
    </w:rPr>
  </w:style>
  <w:style w:type="paragraph" w:customStyle="1" w:styleId="Sangradetindependiente">
    <w:name w:val="Sangr’a de t. independiente"/>
    <w:basedOn w:val="Normal"/>
    <w:rsid w:val="002570D1"/>
    <w:pPr>
      <w:overflowPunct w:val="0"/>
      <w:autoSpaceDE w:val="0"/>
      <w:autoSpaceDN w:val="0"/>
      <w:adjustRightInd w:val="0"/>
      <w:textAlignment w:val="baseline"/>
    </w:pPr>
    <w:rPr>
      <w:rFonts w:ascii="Times New Roman" w:hAnsi="Times New Roman"/>
      <w:szCs w:val="20"/>
      <w:lang w:val="es-ES_tradnl" w:eastAsia="es-ES"/>
    </w:rPr>
  </w:style>
  <w:style w:type="character" w:customStyle="1" w:styleId="normalchar1">
    <w:name w:val="normal__char1"/>
    <w:basedOn w:val="DefaultParagraphFont"/>
    <w:rsid w:val="002570D1"/>
    <w:rPr>
      <w:rFonts w:ascii="Verdana" w:hAnsi="Verdana" w:hint="default"/>
      <w:sz w:val="20"/>
      <w:szCs w:val="20"/>
    </w:rPr>
  </w:style>
  <w:style w:type="character" w:customStyle="1" w:styleId="FootnoteTextCharCar">
    <w:name w:val="Footnote Text Char Car"/>
    <w:aliases w:val="FA Car,Note de bas de page Car Car Car"/>
    <w:basedOn w:val="DefaultParagraphFont"/>
    <w:uiPriority w:val="99"/>
    <w:locked/>
    <w:rsid w:val="002570D1"/>
  </w:style>
  <w:style w:type="character" w:customStyle="1" w:styleId="st1">
    <w:name w:val="st1"/>
    <w:basedOn w:val="DefaultParagraphFont"/>
    <w:rsid w:val="002570D1"/>
  </w:style>
  <w:style w:type="paragraph" w:customStyle="1" w:styleId="NormalNumbered">
    <w:name w:val="Normal Numbered"/>
    <w:basedOn w:val="Normal"/>
    <w:qFormat/>
    <w:rsid w:val="002570D1"/>
    <w:pPr>
      <w:numPr>
        <w:numId w:val="14"/>
      </w:numPr>
      <w:ind w:left="0" w:firstLine="0"/>
    </w:pPr>
    <w:rPr>
      <w:sz w:val="20"/>
      <w:szCs w:val="20"/>
      <w:lang w:val="x-none" w:eastAsia="x-none"/>
    </w:rPr>
  </w:style>
  <w:style w:type="numbering" w:customStyle="1" w:styleId="NoList11">
    <w:name w:val="No List11"/>
    <w:next w:val="NoList"/>
    <w:uiPriority w:val="99"/>
    <w:semiHidden/>
    <w:unhideWhenUsed/>
    <w:rsid w:val="002570D1"/>
  </w:style>
  <w:style w:type="paragraph" w:customStyle="1" w:styleId="ju-005fpara-002cleft-002cfirst-0020line-003a-0020-00200-0020cm">
    <w:name w:val="ju-005fpara-002cleft-002cfirst-0020line-003a-0020-00200-0020cm"/>
    <w:basedOn w:val="Normal"/>
    <w:rsid w:val="002570D1"/>
    <w:pPr>
      <w:spacing w:after="135"/>
      <w:jc w:val="left"/>
    </w:pPr>
    <w:rPr>
      <w:rFonts w:ascii="Times New Roman" w:hAnsi="Times New Roman"/>
      <w:lang w:val="es-MX" w:eastAsia="es-MX"/>
    </w:rPr>
  </w:style>
  <w:style w:type="character" w:customStyle="1" w:styleId="ju-005fpara-002cleft-002cfirst-0020line-003a-0020-00200-0020cm--char">
    <w:name w:val="ju-005fpara-002cleft-002cfirst-0020line-003a-0020-00200-0020cm--char"/>
    <w:rsid w:val="002570D1"/>
  </w:style>
  <w:style w:type="character" w:customStyle="1" w:styleId="PrrafodelistaCar1">
    <w:name w:val="Párrafo de lista Car1"/>
    <w:basedOn w:val="DefaultParagraphFont"/>
    <w:uiPriority w:val="99"/>
    <w:locked/>
    <w:rsid w:val="002570D1"/>
    <w:rPr>
      <w:rFonts w:ascii="Verdana" w:hAnsi="Verdana" w:cs="Verdana"/>
      <w:lang w:eastAsia="en-US"/>
    </w:rPr>
  </w:style>
  <w:style w:type="character" w:customStyle="1" w:styleId="TextocomentarioCar1">
    <w:name w:val="Texto comentario Car1"/>
    <w:basedOn w:val="DefaultParagraphFont"/>
    <w:uiPriority w:val="99"/>
    <w:semiHidden/>
    <w:rsid w:val="002570D1"/>
    <w:rPr>
      <w:sz w:val="20"/>
      <w:szCs w:val="20"/>
    </w:rPr>
  </w:style>
  <w:style w:type="paragraph" w:customStyle="1" w:styleId="Body1">
    <w:name w:val="Body 1"/>
    <w:link w:val="Body1Char"/>
    <w:rsid w:val="002570D1"/>
    <w:pPr>
      <w:spacing w:after="200" w:line="276" w:lineRule="auto"/>
      <w:jc w:val="left"/>
      <w:outlineLvl w:val="0"/>
    </w:pPr>
    <w:rPr>
      <w:rFonts w:ascii="Helvetica" w:eastAsia="ヒラギノ角ゴ Pro W3" w:hAnsi="Helvetica" w:cs="Times New Roman"/>
      <w:color w:val="000000"/>
      <w:szCs w:val="20"/>
      <w:lang w:val="en-US" w:eastAsia="es-CR"/>
    </w:rPr>
  </w:style>
  <w:style w:type="character" w:customStyle="1" w:styleId="Body1Char">
    <w:name w:val="Body 1 Char"/>
    <w:link w:val="Body1"/>
    <w:rsid w:val="002570D1"/>
    <w:rPr>
      <w:rFonts w:ascii="Helvetica" w:eastAsia="ヒラギノ角ゴ Pro W3" w:hAnsi="Helvetica" w:cs="Times New Roman"/>
      <w:color w:val="000000"/>
      <w:szCs w:val="20"/>
      <w:lang w:val="en-US" w:eastAsia="es-CR"/>
    </w:rPr>
  </w:style>
  <w:style w:type="paragraph" w:customStyle="1" w:styleId="style11">
    <w:name w:val="style11"/>
    <w:basedOn w:val="Normal"/>
    <w:rsid w:val="002570D1"/>
    <w:pPr>
      <w:spacing w:before="192" w:after="192"/>
      <w:ind w:left="120" w:right="144"/>
    </w:pPr>
    <w:rPr>
      <w:rFonts w:ascii="Times New Roman" w:hAnsi="Times New Roman"/>
      <w:lang w:val="es-MX" w:eastAsia="es-MX"/>
    </w:rPr>
  </w:style>
  <w:style w:type="paragraph" w:styleId="Subtitle">
    <w:name w:val="Subtitle"/>
    <w:basedOn w:val="Normal"/>
    <w:next w:val="Normal"/>
    <w:link w:val="SubtitleChar"/>
    <w:uiPriority w:val="11"/>
    <w:qFormat/>
    <w:rsid w:val="002570D1"/>
    <w:pPr>
      <w:numPr>
        <w:ilvl w:val="1"/>
      </w:numPr>
      <w:spacing w:after="160"/>
      <w:jc w:val="left"/>
    </w:pPr>
    <w:rPr>
      <w:rFonts w:asciiTheme="minorHAnsi" w:eastAsiaTheme="minorEastAsia" w:hAnsiTheme="minorHAnsi" w:cstheme="minorBidi"/>
      <w:color w:val="5A5A5A" w:themeColor="text1" w:themeTint="A5"/>
      <w:spacing w:val="15"/>
      <w:sz w:val="22"/>
      <w:szCs w:val="22"/>
      <w:lang w:val="es-ES_tradnl" w:eastAsia="en-US"/>
    </w:rPr>
  </w:style>
  <w:style w:type="character" w:customStyle="1" w:styleId="SubtitleChar">
    <w:name w:val="Subtitle Char"/>
    <w:basedOn w:val="DefaultParagraphFont"/>
    <w:link w:val="Subtitle"/>
    <w:uiPriority w:val="11"/>
    <w:rsid w:val="002570D1"/>
    <w:rPr>
      <w:rFonts w:eastAsiaTheme="minorEastAsia"/>
      <w:color w:val="5A5A5A" w:themeColor="text1" w:themeTint="A5"/>
      <w:spacing w:val="15"/>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BDD"/>
    <w:rPr>
      <w:rFonts w:ascii="Verdana" w:eastAsia="Times New Roman" w:hAnsi="Verdana" w:cs="Times New Roman"/>
      <w:sz w:val="24"/>
      <w:szCs w:val="24"/>
      <w:lang w:eastAsia="es-CR"/>
    </w:rPr>
  </w:style>
  <w:style w:type="paragraph" w:styleId="Heading1">
    <w:name w:val="heading 1"/>
    <w:aliases w:val="Título Verdana"/>
    <w:basedOn w:val="Normal"/>
    <w:next w:val="Normal"/>
    <w:link w:val="Heading1Char"/>
    <w:uiPriority w:val="9"/>
    <w:qFormat/>
    <w:rsid w:val="00085BDD"/>
    <w:pPr>
      <w:keepNext/>
      <w:keepLines/>
      <w:tabs>
        <w:tab w:val="left" w:pos="720"/>
      </w:tabs>
      <w:jc w:val="center"/>
      <w:outlineLvl w:val="0"/>
    </w:pPr>
    <w:rPr>
      <w:rFonts w:eastAsia="MS ????"/>
      <w:b/>
      <w:bCs/>
      <w:caps/>
      <w:snapToGrid w:val="0"/>
      <w:spacing w:val="-2"/>
      <w:sz w:val="20"/>
      <w:szCs w:val="20"/>
      <w:lang w:val="x-none" w:eastAsia="es-ES"/>
    </w:rPr>
  </w:style>
  <w:style w:type="paragraph" w:styleId="Heading2">
    <w:name w:val="heading 2"/>
    <w:basedOn w:val="Normal"/>
    <w:next w:val="Normal"/>
    <w:link w:val="Heading2Char"/>
    <w:autoRedefine/>
    <w:unhideWhenUsed/>
    <w:qFormat/>
    <w:rsid w:val="002726E0"/>
    <w:pPr>
      <w:keepNext/>
      <w:keepLines/>
      <w:numPr>
        <w:numId w:val="7"/>
      </w:numPr>
      <w:outlineLvl w:val="1"/>
    </w:pPr>
    <w:rPr>
      <w:rFonts w:eastAsia="MS Mincho"/>
      <w:b/>
      <w:i/>
      <w:sz w:val="20"/>
      <w:szCs w:val="26"/>
    </w:rPr>
  </w:style>
  <w:style w:type="paragraph" w:styleId="Heading3">
    <w:name w:val="heading 3"/>
    <w:basedOn w:val="Normal"/>
    <w:next w:val="Normal"/>
    <w:link w:val="Heading3Char"/>
    <w:uiPriority w:val="9"/>
    <w:qFormat/>
    <w:rsid w:val="003700C4"/>
    <w:pPr>
      <w:tabs>
        <w:tab w:val="left" w:pos="567"/>
      </w:tabs>
      <w:autoSpaceDE w:val="0"/>
      <w:autoSpaceDN w:val="0"/>
      <w:ind w:left="1416"/>
      <w:contextualSpacing/>
      <w:outlineLvl w:val="2"/>
    </w:pPr>
    <w:rPr>
      <w:rFonts w:eastAsia="Calibri"/>
      <w:i/>
      <w:spacing w:val="-2"/>
      <w:sz w:val="20"/>
      <w:szCs w:val="20"/>
      <w:lang w:val="es-ES" w:eastAsia="x-none"/>
    </w:rPr>
  </w:style>
  <w:style w:type="paragraph" w:styleId="Heading4">
    <w:name w:val="heading 4"/>
    <w:basedOn w:val="Normal"/>
    <w:next w:val="Normal"/>
    <w:link w:val="Heading4Char"/>
    <w:uiPriority w:val="9"/>
    <w:unhideWhenUsed/>
    <w:qFormat/>
    <w:rsid w:val="00EB31AC"/>
    <w:pPr>
      <w:keepNext/>
      <w:keepLines/>
      <w:spacing w:before="200"/>
      <w:outlineLvl w:val="3"/>
    </w:pPr>
    <w:rPr>
      <w:bCs/>
      <w:i/>
      <w:iCs/>
      <w:sz w:val="20"/>
    </w:rPr>
  </w:style>
  <w:style w:type="paragraph" w:styleId="Heading5">
    <w:name w:val="heading 5"/>
    <w:basedOn w:val="Normal"/>
    <w:next w:val="Normal"/>
    <w:link w:val="Heading5Char"/>
    <w:uiPriority w:val="9"/>
    <w:unhideWhenUsed/>
    <w:qFormat/>
    <w:rsid w:val="00E344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unhideWhenUsed/>
    <w:qFormat/>
    <w:rsid w:val="00E3447E"/>
    <w:pPr>
      <w:keepNext w:val="0"/>
      <w:keepLines w:val="0"/>
      <w:tabs>
        <w:tab w:val="num" w:pos="3600"/>
      </w:tabs>
      <w:spacing w:before="0"/>
      <w:ind w:left="3600" w:hanging="360"/>
      <w:outlineLvl w:val="5"/>
    </w:pPr>
    <w:rPr>
      <w:rFonts w:ascii="Verdana" w:eastAsia="Times New Roman" w:hAnsi="Verdana" w:cs="Times New Roman"/>
      <w:color w:val="auto"/>
      <w:spacing w:val="-2"/>
      <w:sz w:val="20"/>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Verdana Char"/>
    <w:basedOn w:val="DefaultParagraphFont"/>
    <w:link w:val="Heading1"/>
    <w:uiPriority w:val="9"/>
    <w:rsid w:val="00085BDD"/>
    <w:rPr>
      <w:rFonts w:ascii="Verdana" w:eastAsia="MS ????" w:hAnsi="Verdana" w:cs="Times New Roman"/>
      <w:b/>
      <w:bCs/>
      <w:caps/>
      <w:snapToGrid w:val="0"/>
      <w:spacing w:val="-2"/>
      <w:sz w:val="20"/>
      <w:szCs w:val="20"/>
      <w:lang w:val="x-none" w:eastAsia="es-ES"/>
    </w:rPr>
  </w:style>
  <w:style w:type="character" w:customStyle="1" w:styleId="Heading3Char">
    <w:name w:val="Heading 3 Char"/>
    <w:basedOn w:val="DefaultParagraphFont"/>
    <w:link w:val="Heading3"/>
    <w:uiPriority w:val="9"/>
    <w:rsid w:val="003700C4"/>
    <w:rPr>
      <w:rFonts w:ascii="Verdana" w:eastAsia="Calibri" w:hAnsi="Verdana" w:cs="Times New Roman"/>
      <w:i/>
      <w:spacing w:val="-2"/>
      <w:sz w:val="20"/>
      <w:szCs w:val="20"/>
      <w:lang w:val="es-ES" w:eastAsia="x-none"/>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link w:val="4GChar"/>
    <w:uiPriority w:val="99"/>
    <w:qFormat/>
    <w:rsid w:val="00085BDD"/>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qFormat/>
    <w:rsid w:val="00085BDD"/>
    <w:rPr>
      <w:sz w:val="20"/>
      <w:szCs w:val="20"/>
      <w:lang w:val="es-ES_tradnl" w:eastAsia="x-none"/>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qFormat/>
    <w:rsid w:val="00085BDD"/>
    <w:rPr>
      <w:rFonts w:ascii="Verdana" w:eastAsia="Times New Roman" w:hAnsi="Verdana" w:cs="Times New Roman"/>
      <w:sz w:val="20"/>
      <w:szCs w:val="20"/>
      <w:lang w:val="es-ES_tradnl" w:eastAsia="x-none"/>
    </w:rPr>
  </w:style>
  <w:style w:type="character" w:styleId="Strong">
    <w:name w:val="Strong"/>
    <w:uiPriority w:val="22"/>
    <w:qFormat/>
    <w:rsid w:val="00085BDD"/>
    <w:rPr>
      <w:b/>
      <w:bCs/>
    </w:rPr>
  </w:style>
  <w:style w:type="paragraph" w:styleId="ListParagraph">
    <w:name w:val="List Paragraph"/>
    <w:aliases w:val="List Paragraph2,Lista vistosa - Énfasis 11,Párrafo de lista1,Footnote,List Paragraph1"/>
    <w:basedOn w:val="Normal"/>
    <w:link w:val="ListParagraphChar1"/>
    <w:qFormat/>
    <w:rsid w:val="00085BDD"/>
    <w:pPr>
      <w:ind w:left="708"/>
    </w:pPr>
  </w:style>
  <w:style w:type="character" w:customStyle="1" w:styleId="MediumGrid1-Accent2Char">
    <w:name w:val="Medium Grid 1 - Accent 2 Char"/>
    <w:aliases w:val="Footnote Char,List Paragraph1 Char,Colorful List - Accent 11 Char,Párrafo de lista1 Char,List Paragraph Char,List Paragraph2 Char,Lista vistosa - Énfasis 11 Char,Colorful List - Accent 1 Char"/>
    <w:link w:val="MediumGrid1-Accent2"/>
    <w:uiPriority w:val="34"/>
    <w:locked/>
    <w:rsid w:val="00475387"/>
    <w:rPr>
      <w:rFonts w:ascii="Verdana" w:eastAsia="Batang" w:hAnsi="Verdana" w:cs="Times"/>
      <w:noProof/>
      <w:sz w:val="20"/>
      <w:szCs w:val="24"/>
      <w:lang w:val="es-ES_tradnl"/>
    </w:rPr>
  </w:style>
  <w:style w:type="paragraph" w:customStyle="1" w:styleId="PrrafodeSentencia">
    <w:name w:val="*. Párrafo de Sentencia"/>
    <w:basedOn w:val="FootnoteText"/>
    <w:link w:val="PrrafodeSentenciaChar"/>
    <w:autoRedefine/>
    <w:qFormat/>
    <w:rsid w:val="00475387"/>
    <w:pPr>
      <w:numPr>
        <w:numId w:val="1"/>
      </w:numPr>
      <w:tabs>
        <w:tab w:val="left" w:pos="720"/>
      </w:tabs>
      <w:spacing w:before="120" w:after="120"/>
    </w:pPr>
    <w:rPr>
      <w:bCs/>
      <w:noProof/>
      <w:lang w:eastAsia="es-ES"/>
    </w:rPr>
  </w:style>
  <w:style w:type="table" w:styleId="MediumGrid1-Accent2">
    <w:name w:val="Medium Grid 1 Accent 2"/>
    <w:basedOn w:val="TableNormal"/>
    <w:link w:val="MediumGrid1-Accent2Char"/>
    <w:rsid w:val="00475387"/>
    <w:rPr>
      <w:rFonts w:ascii="Verdana" w:eastAsia="Batang" w:hAnsi="Verdana" w:cs="Times"/>
      <w:noProof/>
      <w:sz w:val="20"/>
      <w:szCs w:val="24"/>
      <w:lang w:val="es-ES_tradnl"/>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NormalWeb">
    <w:name w:val="Normal (Web)"/>
    <w:aliases w:val="Normal (Web) Char1,Normal (Web) Char Char,Normal (Web) Char1 Char,Normal (Web) Char Char Char"/>
    <w:basedOn w:val="Normal"/>
    <w:uiPriority w:val="99"/>
    <w:unhideWhenUsed/>
    <w:rsid w:val="006C37C9"/>
    <w:pPr>
      <w:spacing w:after="200" w:line="276" w:lineRule="auto"/>
      <w:jc w:val="left"/>
    </w:pPr>
    <w:rPr>
      <w:rFonts w:ascii="Times New Roman" w:eastAsiaTheme="minorHAnsi" w:hAnsi="Times New Roman"/>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rsid w:val="006C37C9"/>
    <w:rPr>
      <w:sz w:val="20"/>
      <w:szCs w:val="20"/>
      <w:lang w:val="en-US"/>
    </w:rPr>
  </w:style>
  <w:style w:type="paragraph" w:styleId="Header">
    <w:name w:val="header"/>
    <w:basedOn w:val="Normal"/>
    <w:link w:val="HeaderChar"/>
    <w:uiPriority w:val="99"/>
    <w:unhideWhenUsed/>
    <w:rsid w:val="006C37C9"/>
    <w:pPr>
      <w:tabs>
        <w:tab w:val="center" w:pos="4252"/>
        <w:tab w:val="right" w:pos="8504"/>
      </w:tabs>
      <w:jc w:val="left"/>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6C37C9"/>
    <w:rPr>
      <w:lang w:val="en-US"/>
    </w:rPr>
  </w:style>
  <w:style w:type="paragraph" w:styleId="Footer">
    <w:name w:val="footer"/>
    <w:basedOn w:val="Normal"/>
    <w:link w:val="FooterChar"/>
    <w:uiPriority w:val="99"/>
    <w:unhideWhenUsed/>
    <w:rsid w:val="006C37C9"/>
    <w:pPr>
      <w:tabs>
        <w:tab w:val="center" w:pos="4252"/>
        <w:tab w:val="right" w:pos="8504"/>
      </w:tabs>
      <w:jc w:val="left"/>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6C37C9"/>
    <w:rPr>
      <w:lang w:val="en-US"/>
    </w:rPr>
  </w:style>
  <w:style w:type="paragraph" w:styleId="EndnoteText">
    <w:name w:val="endnote text"/>
    <w:basedOn w:val="Normal"/>
    <w:link w:val="EndnoteTextChar"/>
    <w:unhideWhenUsed/>
    <w:rsid w:val="006C37C9"/>
    <w:pPr>
      <w:jc w:val="left"/>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rsid w:val="006C37C9"/>
    <w:rPr>
      <w:sz w:val="20"/>
      <w:szCs w:val="20"/>
      <w:lang w:val="en-US"/>
    </w:rPr>
  </w:style>
  <w:style w:type="character" w:styleId="Hyperlink">
    <w:name w:val="Hyperlink"/>
    <w:aliases w:val="Heading 3 caso"/>
    <w:basedOn w:val="DefaultParagraphFont"/>
    <w:uiPriority w:val="99"/>
    <w:unhideWhenUsed/>
    <w:rsid w:val="006C37C9"/>
    <w:rPr>
      <w:color w:val="0000FF" w:themeColor="hyperlink"/>
      <w:u w:val="single"/>
    </w:rPr>
  </w:style>
  <w:style w:type="character" w:styleId="FollowedHyperlink">
    <w:name w:val="FollowedHyperlink"/>
    <w:basedOn w:val="DefaultParagraphFont"/>
    <w:uiPriority w:val="99"/>
    <w:semiHidden/>
    <w:unhideWhenUsed/>
    <w:rsid w:val="006C37C9"/>
    <w:rPr>
      <w:color w:val="800080" w:themeColor="followedHyperlink"/>
      <w:u w:val="single"/>
    </w:rPr>
  </w:style>
  <w:style w:type="paragraph" w:styleId="BalloonText">
    <w:name w:val="Balloon Text"/>
    <w:basedOn w:val="Normal"/>
    <w:link w:val="BalloonTextChar"/>
    <w:uiPriority w:val="99"/>
    <w:semiHidden/>
    <w:unhideWhenUsed/>
    <w:rsid w:val="006C37C9"/>
    <w:pPr>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C37C9"/>
    <w:rPr>
      <w:rFonts w:ascii="Tahoma" w:hAnsi="Tahoma" w:cs="Tahoma"/>
      <w:sz w:val="16"/>
      <w:szCs w:val="16"/>
    </w:rPr>
  </w:style>
  <w:style w:type="paragraph" w:styleId="TOCHeading">
    <w:name w:val="TOC Heading"/>
    <w:basedOn w:val="Heading1"/>
    <w:next w:val="Normal"/>
    <w:uiPriority w:val="39"/>
    <w:unhideWhenUsed/>
    <w:qFormat/>
    <w:rsid w:val="00E16176"/>
    <w:pPr>
      <w:tabs>
        <w:tab w:val="clear" w:pos="720"/>
      </w:tabs>
      <w:spacing w:before="480" w:line="276" w:lineRule="auto"/>
      <w:jc w:val="left"/>
      <w:outlineLvl w:val="9"/>
    </w:pPr>
    <w:rPr>
      <w:rFonts w:asciiTheme="majorHAnsi" w:eastAsiaTheme="majorEastAsia" w:hAnsiTheme="majorHAnsi" w:cstheme="majorBidi"/>
      <w:caps w:val="0"/>
      <w:snapToGrid/>
      <w:color w:val="365F91" w:themeColor="accent1" w:themeShade="BF"/>
      <w:spacing w:val="0"/>
      <w:sz w:val="28"/>
      <w:szCs w:val="28"/>
      <w:lang w:val="en-US" w:eastAsia="ja-JP"/>
    </w:rPr>
  </w:style>
  <w:style w:type="paragraph" w:styleId="TOC1">
    <w:name w:val="toc 1"/>
    <w:basedOn w:val="Title"/>
    <w:next w:val="Normal"/>
    <w:autoRedefine/>
    <w:uiPriority w:val="39"/>
    <w:unhideWhenUsed/>
    <w:qFormat/>
    <w:rsid w:val="00C004B1"/>
    <w:pPr>
      <w:tabs>
        <w:tab w:val="right" w:leader="dot" w:pos="9736"/>
      </w:tabs>
      <w:spacing w:before="120" w:after="120"/>
      <w:ind w:left="0"/>
      <w:contextualSpacing w:val="0"/>
      <w:jc w:val="both"/>
    </w:pPr>
    <w:rPr>
      <w:rFonts w:asciiTheme="minorHAnsi" w:eastAsia="Times New Roman" w:hAnsiTheme="minorHAnsi" w:cs="Times New Roman"/>
      <w:bCs/>
      <w:caps/>
      <w:snapToGrid/>
      <w:spacing w:val="0"/>
      <w:kern w:val="0"/>
      <w:szCs w:val="20"/>
    </w:rPr>
  </w:style>
  <w:style w:type="paragraph" w:styleId="TOC2">
    <w:name w:val="toc 2"/>
    <w:basedOn w:val="Normal"/>
    <w:next w:val="Normal"/>
    <w:autoRedefine/>
    <w:uiPriority w:val="39"/>
    <w:unhideWhenUsed/>
    <w:qFormat/>
    <w:rsid w:val="008A6487"/>
    <w:pPr>
      <w:ind w:left="240"/>
      <w:jc w:val="left"/>
    </w:pPr>
    <w:rPr>
      <w:rFonts w:asciiTheme="minorHAnsi" w:hAnsiTheme="minorHAnsi"/>
      <w:smallCaps/>
      <w:sz w:val="20"/>
      <w:szCs w:val="20"/>
    </w:rPr>
  </w:style>
  <w:style w:type="paragraph" w:styleId="TOC3">
    <w:name w:val="toc 3"/>
    <w:basedOn w:val="Normal"/>
    <w:next w:val="Normal"/>
    <w:autoRedefine/>
    <w:uiPriority w:val="39"/>
    <w:unhideWhenUsed/>
    <w:qFormat/>
    <w:rsid w:val="00BE23A5"/>
    <w:pPr>
      <w:tabs>
        <w:tab w:val="left" w:pos="960"/>
        <w:tab w:val="right" w:leader="dot" w:pos="9736"/>
      </w:tabs>
      <w:ind w:left="480"/>
    </w:pPr>
    <w:rPr>
      <w:iCs/>
      <w:noProof/>
      <w:sz w:val="20"/>
      <w:szCs w:val="20"/>
    </w:rPr>
  </w:style>
  <w:style w:type="character" w:styleId="LineNumber">
    <w:name w:val="line number"/>
    <w:basedOn w:val="DefaultParagraphFont"/>
    <w:uiPriority w:val="99"/>
    <w:unhideWhenUsed/>
    <w:rsid w:val="00D407D4"/>
  </w:style>
  <w:style w:type="character" w:styleId="CommentReference">
    <w:name w:val="annotation reference"/>
    <w:basedOn w:val="DefaultParagraphFont"/>
    <w:uiPriority w:val="99"/>
    <w:unhideWhenUsed/>
    <w:rsid w:val="007A1A14"/>
    <w:rPr>
      <w:sz w:val="16"/>
      <w:szCs w:val="16"/>
    </w:rPr>
  </w:style>
  <w:style w:type="paragraph" w:styleId="CommentText">
    <w:name w:val="annotation text"/>
    <w:basedOn w:val="Normal"/>
    <w:link w:val="CommentTextChar"/>
    <w:uiPriority w:val="99"/>
    <w:unhideWhenUsed/>
    <w:rsid w:val="007A1A14"/>
    <w:pPr>
      <w:spacing w:after="200"/>
      <w:jc w:val="left"/>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7A1A14"/>
    <w:rPr>
      <w:sz w:val="20"/>
      <w:szCs w:val="20"/>
      <w:lang w:val="en-US"/>
    </w:rPr>
  </w:style>
  <w:style w:type="paragraph" w:styleId="CommentSubject">
    <w:name w:val="annotation subject"/>
    <w:basedOn w:val="CommentText"/>
    <w:next w:val="CommentText"/>
    <w:link w:val="CommentSubjectChar"/>
    <w:uiPriority w:val="99"/>
    <w:semiHidden/>
    <w:unhideWhenUsed/>
    <w:rsid w:val="007A1A14"/>
    <w:rPr>
      <w:b/>
      <w:bCs/>
    </w:rPr>
  </w:style>
  <w:style w:type="character" w:customStyle="1" w:styleId="CommentSubjectChar">
    <w:name w:val="Comment Subject Char"/>
    <w:basedOn w:val="CommentTextChar"/>
    <w:link w:val="CommentSubject"/>
    <w:uiPriority w:val="99"/>
    <w:semiHidden/>
    <w:rsid w:val="007A1A14"/>
    <w:rPr>
      <w:b/>
      <w:bCs/>
      <w:sz w:val="20"/>
      <w:szCs w:val="20"/>
      <w:lang w:val="en-US"/>
    </w:rPr>
  </w:style>
  <w:style w:type="paragraph" w:customStyle="1" w:styleId="Heading21">
    <w:name w:val="Heading 21"/>
    <w:basedOn w:val="Normal"/>
    <w:next w:val="Normal"/>
    <w:uiPriority w:val="9"/>
    <w:semiHidden/>
    <w:unhideWhenUsed/>
    <w:qFormat/>
    <w:rsid w:val="008920BF"/>
    <w:pPr>
      <w:keepNext/>
      <w:keepLines/>
      <w:spacing w:before="200"/>
      <w:outlineLvl w:val="1"/>
    </w:pPr>
    <w:rPr>
      <w:rFonts w:ascii="Cambria" w:hAnsi="Cambria"/>
      <w:b/>
      <w:bCs/>
      <w:color w:val="4F81BD"/>
      <w:sz w:val="26"/>
      <w:szCs w:val="26"/>
    </w:rPr>
  </w:style>
  <w:style w:type="paragraph" w:customStyle="1" w:styleId="Heading41">
    <w:name w:val="Heading 41"/>
    <w:basedOn w:val="Normal"/>
    <w:next w:val="Normal"/>
    <w:uiPriority w:val="9"/>
    <w:semiHidden/>
    <w:unhideWhenUsed/>
    <w:qFormat/>
    <w:rsid w:val="008920BF"/>
    <w:pPr>
      <w:keepNext/>
      <w:keepLines/>
      <w:spacing w:before="200"/>
      <w:outlineLvl w:val="3"/>
    </w:pPr>
    <w:rPr>
      <w:rFonts w:ascii="Cambria" w:hAnsi="Cambria"/>
      <w:b/>
      <w:bCs/>
      <w:i/>
      <w:iCs/>
      <w:color w:val="4F81BD"/>
    </w:rPr>
  </w:style>
  <w:style w:type="numbering" w:customStyle="1" w:styleId="NoList1">
    <w:name w:val="No List1"/>
    <w:next w:val="NoList"/>
    <w:uiPriority w:val="99"/>
    <w:semiHidden/>
    <w:unhideWhenUsed/>
    <w:rsid w:val="008920BF"/>
  </w:style>
  <w:style w:type="character" w:customStyle="1" w:styleId="Heading2Char">
    <w:name w:val="Heading 2 Char"/>
    <w:basedOn w:val="DefaultParagraphFont"/>
    <w:link w:val="Heading2"/>
    <w:rsid w:val="002726E0"/>
    <w:rPr>
      <w:rFonts w:ascii="Verdana" w:eastAsia="MS Mincho" w:hAnsi="Verdana" w:cs="Times New Roman"/>
      <w:b/>
      <w:i/>
      <w:sz w:val="20"/>
      <w:szCs w:val="26"/>
      <w:lang w:eastAsia="es-CR"/>
    </w:rPr>
  </w:style>
  <w:style w:type="character" w:customStyle="1" w:styleId="Heading4Char">
    <w:name w:val="Heading 4 Char"/>
    <w:basedOn w:val="DefaultParagraphFont"/>
    <w:link w:val="Heading4"/>
    <w:uiPriority w:val="9"/>
    <w:rsid w:val="00EB31AC"/>
    <w:rPr>
      <w:rFonts w:ascii="Verdana" w:eastAsia="Times New Roman" w:hAnsi="Verdana" w:cs="Times New Roman"/>
      <w:bCs/>
      <w:i/>
      <w:iCs/>
      <w:sz w:val="20"/>
      <w:szCs w:val="24"/>
      <w:lang w:eastAsia="es-CR"/>
    </w:rPr>
  </w:style>
  <w:style w:type="paragraph" w:customStyle="1" w:styleId="Prrafodelista2">
    <w:name w:val="Párrafo de lista2"/>
    <w:basedOn w:val="Normal"/>
    <w:uiPriority w:val="99"/>
    <w:rsid w:val="008920BF"/>
    <w:pPr>
      <w:ind w:left="720"/>
      <w:jc w:val="left"/>
    </w:pPr>
    <w:rPr>
      <w:rFonts w:eastAsia="MS Mincho"/>
      <w:sz w:val="20"/>
      <w:szCs w:val="20"/>
      <w:lang w:val="es-ES_tradnl" w:eastAsia="en-US" w:bidi="en-US"/>
    </w:rPr>
  </w:style>
  <w:style w:type="character" w:customStyle="1" w:styleId="apple-style-span">
    <w:name w:val="apple-style-span"/>
    <w:rsid w:val="008920BF"/>
    <w:rPr>
      <w:rFonts w:cs="Times New Roman"/>
    </w:rPr>
  </w:style>
  <w:style w:type="character" w:customStyle="1" w:styleId="Listavistosa-nfasis1Car1">
    <w:name w:val="Lista vistosa - Énfasis 1 Car1"/>
    <w:link w:val="ColorfulList-Accent1"/>
    <w:uiPriority w:val="99"/>
    <w:locked/>
    <w:rsid w:val="008920BF"/>
    <w:rPr>
      <w:rFonts w:ascii="Verdana" w:eastAsia="Times New Roman" w:hAnsi="Verdana"/>
      <w:lang w:val="es-ES_tradnl" w:eastAsia="en-US"/>
    </w:rPr>
  </w:style>
  <w:style w:type="character" w:customStyle="1" w:styleId="column01">
    <w:name w:val="column01"/>
    <w:basedOn w:val="DefaultParagraphFont"/>
    <w:rsid w:val="008920BF"/>
  </w:style>
  <w:style w:type="table" w:customStyle="1" w:styleId="ColorfulList-Accent11">
    <w:name w:val="Colorful List - Accent 11"/>
    <w:basedOn w:val="TableNormal"/>
    <w:next w:val="ColorfulList-Accent1"/>
    <w:uiPriority w:val="99"/>
    <w:rsid w:val="008920BF"/>
    <w:rPr>
      <w:rFonts w:ascii="Verdana" w:eastAsia="Times New Roman" w:hAnsi="Verdana"/>
      <w:lang w:val="es-ES_tradn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Indent">
    <w:name w:val="Body Text Indent"/>
    <w:basedOn w:val="Normal"/>
    <w:link w:val="BodyTextIndentChar"/>
    <w:uiPriority w:val="99"/>
    <w:rsid w:val="008920BF"/>
    <w:pPr>
      <w:spacing w:after="120"/>
      <w:ind w:left="360"/>
      <w:jc w:val="left"/>
    </w:pPr>
    <w:rPr>
      <w:rFonts w:ascii="Times New Roman" w:eastAsia="MS Mincho" w:hAnsi="Times New Roman"/>
      <w:lang w:val="es-AR" w:eastAsia="en-US"/>
    </w:rPr>
  </w:style>
  <w:style w:type="character" w:customStyle="1" w:styleId="BodyTextIndentChar">
    <w:name w:val="Body Text Indent Char"/>
    <w:basedOn w:val="DefaultParagraphFont"/>
    <w:link w:val="BodyTextIndent"/>
    <w:uiPriority w:val="99"/>
    <w:rsid w:val="008920BF"/>
    <w:rPr>
      <w:rFonts w:ascii="Times New Roman" w:eastAsia="MS Mincho" w:hAnsi="Times New Roman" w:cs="Times New Roman"/>
      <w:sz w:val="24"/>
      <w:szCs w:val="24"/>
      <w:lang w:val="es-AR"/>
    </w:rPr>
  </w:style>
  <w:style w:type="character" w:customStyle="1" w:styleId="apple-converted-space">
    <w:name w:val="apple-converted-space"/>
    <w:basedOn w:val="DefaultParagraphFont"/>
    <w:rsid w:val="008920BF"/>
  </w:style>
  <w:style w:type="paragraph" w:customStyle="1" w:styleId="CM4">
    <w:name w:val="CM4"/>
    <w:basedOn w:val="Normal"/>
    <w:next w:val="Normal"/>
    <w:uiPriority w:val="99"/>
    <w:rsid w:val="008920BF"/>
    <w:pPr>
      <w:autoSpaceDE w:val="0"/>
      <w:autoSpaceDN w:val="0"/>
      <w:jc w:val="left"/>
    </w:pPr>
    <w:rPr>
      <w:rFonts w:ascii="EUAlbertina" w:eastAsia="Calibri" w:hAnsi="EUAlbertina"/>
      <w:lang w:eastAsia="en-US"/>
    </w:rPr>
  </w:style>
  <w:style w:type="paragraph" w:customStyle="1" w:styleId="Default">
    <w:name w:val="Default"/>
    <w:rsid w:val="008920BF"/>
    <w:pPr>
      <w:autoSpaceDE w:val="0"/>
      <w:autoSpaceDN w:val="0"/>
      <w:adjustRightInd w:val="0"/>
    </w:pPr>
    <w:rPr>
      <w:rFonts w:ascii="Times New Roman" w:eastAsia="Times New Roman" w:hAnsi="Times New Roman" w:cs="Times New Roman"/>
      <w:color w:val="000000"/>
      <w:sz w:val="24"/>
      <w:szCs w:val="24"/>
      <w:lang w:eastAsia="es-CR"/>
    </w:rPr>
  </w:style>
  <w:style w:type="paragraph" w:styleId="HTMLPreformatted">
    <w:name w:val="HTML Preformatted"/>
    <w:basedOn w:val="Normal"/>
    <w:link w:val="HTMLPreformattedChar"/>
    <w:uiPriority w:val="99"/>
    <w:unhideWhenUsed/>
    <w:rsid w:val="00892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8920BF"/>
    <w:rPr>
      <w:rFonts w:ascii="Courier New" w:eastAsia="Times New Roman" w:hAnsi="Courier New" w:cs="Courier New"/>
      <w:sz w:val="20"/>
      <w:szCs w:val="20"/>
      <w:lang w:val="en-US"/>
    </w:rPr>
  </w:style>
  <w:style w:type="character" w:customStyle="1" w:styleId="Heading2Char1">
    <w:name w:val="Heading 2 Char1"/>
    <w:basedOn w:val="DefaultParagraphFont"/>
    <w:uiPriority w:val="9"/>
    <w:semiHidden/>
    <w:rsid w:val="008920BF"/>
    <w:rPr>
      <w:rFonts w:asciiTheme="majorHAnsi" w:eastAsiaTheme="majorEastAsia" w:hAnsiTheme="majorHAnsi" w:cstheme="majorBidi"/>
      <w:b/>
      <w:bCs/>
      <w:color w:val="4F81BD" w:themeColor="accent1"/>
      <w:sz w:val="26"/>
      <w:szCs w:val="26"/>
      <w:lang w:eastAsia="es-CR"/>
    </w:rPr>
  </w:style>
  <w:style w:type="character" w:customStyle="1" w:styleId="Heading4Char1">
    <w:name w:val="Heading 4 Char1"/>
    <w:basedOn w:val="DefaultParagraphFont"/>
    <w:uiPriority w:val="9"/>
    <w:semiHidden/>
    <w:rsid w:val="008920BF"/>
    <w:rPr>
      <w:rFonts w:asciiTheme="majorHAnsi" w:eastAsiaTheme="majorEastAsia" w:hAnsiTheme="majorHAnsi" w:cstheme="majorBidi"/>
      <w:b/>
      <w:bCs/>
      <w:i/>
      <w:iCs/>
      <w:color w:val="4F81BD" w:themeColor="accent1"/>
      <w:sz w:val="24"/>
      <w:szCs w:val="24"/>
      <w:lang w:eastAsia="es-CR"/>
    </w:rPr>
  </w:style>
  <w:style w:type="table" w:styleId="ColorfulList-Accent1">
    <w:name w:val="Colorful List Accent 1"/>
    <w:basedOn w:val="TableNormal"/>
    <w:link w:val="Listavistosa-nfasis1Car1"/>
    <w:uiPriority w:val="99"/>
    <w:rsid w:val="008920BF"/>
    <w:rPr>
      <w:rFonts w:ascii="Verdana" w:eastAsia="Times New Roman" w:hAnsi="Verdana"/>
      <w:lang w:val="es-ES_tradnl"/>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b8d990e2">
    <w:name w:val="sb8d990e2"/>
    <w:basedOn w:val="DefaultParagraphFont"/>
    <w:uiPriority w:val="99"/>
    <w:rsid w:val="00502B43"/>
  </w:style>
  <w:style w:type="character" w:customStyle="1" w:styleId="s6b621b36">
    <w:name w:val="s6b621b36"/>
    <w:basedOn w:val="DefaultParagraphFont"/>
    <w:rsid w:val="00502B43"/>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502B43"/>
    <w:rPr>
      <w:rFonts w:asciiTheme="minorHAnsi" w:eastAsiaTheme="minorHAnsi" w:hAnsiTheme="minorHAnsi" w:cstheme="minorBidi"/>
      <w:sz w:val="22"/>
      <w:szCs w:val="22"/>
      <w:vertAlign w:val="superscript"/>
      <w:lang w:eastAsia="en-US"/>
    </w:rPr>
  </w:style>
  <w:style w:type="paragraph" w:customStyle="1" w:styleId="s5891fd46">
    <w:name w:val="s5891fd46"/>
    <w:basedOn w:val="Normal"/>
    <w:rsid w:val="00502B43"/>
    <w:pPr>
      <w:spacing w:before="100" w:beforeAutospacing="1" w:after="100" w:afterAutospacing="1"/>
      <w:jc w:val="left"/>
    </w:pPr>
    <w:rPr>
      <w:rFonts w:ascii="Times New Roman" w:hAnsi="Times New Roman"/>
    </w:rPr>
  </w:style>
  <w:style w:type="character" w:styleId="Emphasis">
    <w:name w:val="Emphasis"/>
    <w:uiPriority w:val="20"/>
    <w:qFormat/>
    <w:rsid w:val="00502B43"/>
    <w:rPr>
      <w:b/>
      <w:bCs/>
      <w:i/>
      <w:iCs/>
      <w:spacing w:val="10"/>
      <w:bdr w:val="none" w:sz="0" w:space="0" w:color="auto"/>
      <w:shd w:val="clear" w:color="auto" w:fill="auto"/>
    </w:rPr>
  </w:style>
  <w:style w:type="paragraph" w:styleId="TOC4">
    <w:name w:val="toc 4"/>
    <w:basedOn w:val="Normal"/>
    <w:next w:val="Normal"/>
    <w:autoRedefine/>
    <w:uiPriority w:val="39"/>
    <w:unhideWhenUsed/>
    <w:rsid w:val="00E35E14"/>
    <w:pPr>
      <w:ind w:left="720"/>
      <w:jc w:val="left"/>
    </w:pPr>
    <w:rPr>
      <w:rFonts w:asciiTheme="minorHAnsi" w:hAnsiTheme="minorHAnsi"/>
      <w:sz w:val="18"/>
      <w:szCs w:val="18"/>
    </w:rPr>
  </w:style>
  <w:style w:type="paragraph" w:styleId="TOC5">
    <w:name w:val="toc 5"/>
    <w:basedOn w:val="Normal"/>
    <w:next w:val="Normal"/>
    <w:autoRedefine/>
    <w:uiPriority w:val="39"/>
    <w:unhideWhenUsed/>
    <w:rsid w:val="00E35E14"/>
    <w:pPr>
      <w:ind w:left="960"/>
      <w:jc w:val="left"/>
    </w:pPr>
    <w:rPr>
      <w:rFonts w:asciiTheme="minorHAnsi" w:hAnsiTheme="minorHAnsi"/>
      <w:sz w:val="18"/>
      <w:szCs w:val="18"/>
    </w:rPr>
  </w:style>
  <w:style w:type="paragraph" w:styleId="TOC6">
    <w:name w:val="toc 6"/>
    <w:basedOn w:val="Normal"/>
    <w:next w:val="Normal"/>
    <w:autoRedefine/>
    <w:uiPriority w:val="39"/>
    <w:unhideWhenUsed/>
    <w:rsid w:val="00E35E14"/>
    <w:pPr>
      <w:ind w:left="1200"/>
      <w:jc w:val="left"/>
    </w:pPr>
    <w:rPr>
      <w:rFonts w:asciiTheme="minorHAnsi" w:hAnsiTheme="minorHAnsi"/>
      <w:sz w:val="18"/>
      <w:szCs w:val="18"/>
    </w:rPr>
  </w:style>
  <w:style w:type="paragraph" w:styleId="TOC7">
    <w:name w:val="toc 7"/>
    <w:basedOn w:val="Normal"/>
    <w:next w:val="Normal"/>
    <w:autoRedefine/>
    <w:uiPriority w:val="39"/>
    <w:unhideWhenUsed/>
    <w:rsid w:val="00E35E14"/>
    <w:pPr>
      <w:ind w:left="1440"/>
      <w:jc w:val="left"/>
    </w:pPr>
    <w:rPr>
      <w:rFonts w:asciiTheme="minorHAnsi" w:hAnsiTheme="minorHAnsi"/>
      <w:sz w:val="18"/>
      <w:szCs w:val="18"/>
    </w:rPr>
  </w:style>
  <w:style w:type="paragraph" w:styleId="TOC8">
    <w:name w:val="toc 8"/>
    <w:basedOn w:val="Normal"/>
    <w:next w:val="Normal"/>
    <w:autoRedefine/>
    <w:uiPriority w:val="39"/>
    <w:unhideWhenUsed/>
    <w:rsid w:val="00E35E14"/>
    <w:pPr>
      <w:ind w:left="1680"/>
      <w:jc w:val="left"/>
    </w:pPr>
    <w:rPr>
      <w:rFonts w:asciiTheme="minorHAnsi" w:hAnsiTheme="minorHAnsi"/>
      <w:sz w:val="18"/>
      <w:szCs w:val="18"/>
    </w:rPr>
  </w:style>
  <w:style w:type="paragraph" w:styleId="TOC9">
    <w:name w:val="toc 9"/>
    <w:basedOn w:val="Normal"/>
    <w:next w:val="Normal"/>
    <w:autoRedefine/>
    <w:uiPriority w:val="39"/>
    <w:unhideWhenUsed/>
    <w:rsid w:val="00E35E14"/>
    <w:pPr>
      <w:ind w:left="1920"/>
      <w:jc w:val="left"/>
    </w:pPr>
    <w:rPr>
      <w:rFonts w:asciiTheme="minorHAnsi" w:hAnsiTheme="minorHAnsi"/>
      <w:sz w:val="18"/>
      <w:szCs w:val="18"/>
    </w:rPr>
  </w:style>
  <w:style w:type="paragraph" w:customStyle="1" w:styleId="styletitle2">
    <w:name w:val="styletitle2"/>
    <w:basedOn w:val="Normal"/>
    <w:rsid w:val="00000131"/>
    <w:pPr>
      <w:spacing w:before="100" w:beforeAutospacing="1" w:after="100" w:afterAutospacing="1"/>
      <w:jc w:val="left"/>
    </w:pPr>
    <w:rPr>
      <w:rFonts w:ascii="Times New Roman" w:hAnsi="Times New Roman"/>
    </w:rPr>
  </w:style>
  <w:style w:type="character" w:customStyle="1" w:styleId="ListParagraphChar1">
    <w:name w:val="List Paragraph Char1"/>
    <w:aliases w:val="List Paragraph2 Char1,Lista vistosa - Énfasis 11 Char1,Párrafo de lista1 Char1,Footnote Char1,List Paragraph1 Char1,Colorful List - Accent 11 Char1"/>
    <w:basedOn w:val="DefaultParagraphFont"/>
    <w:link w:val="ListParagraph"/>
    <w:rsid w:val="005624D3"/>
    <w:rPr>
      <w:rFonts w:ascii="Verdana" w:eastAsia="Times New Roman" w:hAnsi="Verdana" w:cs="Times New Roman"/>
      <w:sz w:val="24"/>
      <w:szCs w:val="24"/>
      <w:lang w:eastAsia="es-CR"/>
    </w:rPr>
  </w:style>
  <w:style w:type="character" w:customStyle="1" w:styleId="Hipervnculo1">
    <w:name w:val="Hipervínculo1"/>
    <w:basedOn w:val="DefaultParagraphFont"/>
    <w:uiPriority w:val="99"/>
    <w:unhideWhenUsed/>
    <w:rsid w:val="00D534AF"/>
    <w:rPr>
      <w:color w:val="0000FF"/>
      <w:u w:val="single"/>
    </w:rPr>
  </w:style>
  <w:style w:type="character" w:customStyle="1" w:styleId="Heading6Char">
    <w:name w:val="Heading 6 Char"/>
    <w:basedOn w:val="DefaultParagraphFont"/>
    <w:link w:val="Heading6"/>
    <w:uiPriority w:val="9"/>
    <w:rsid w:val="00E3447E"/>
    <w:rPr>
      <w:rFonts w:ascii="Verdana" w:eastAsia="Times New Roman" w:hAnsi="Verdana" w:cs="Times New Roman"/>
      <w:spacing w:val="-2"/>
      <w:sz w:val="20"/>
      <w:szCs w:val="20"/>
      <w:lang w:val="es-ES_tradnl" w:eastAsia="es-CR"/>
    </w:rPr>
  </w:style>
  <w:style w:type="character" w:customStyle="1" w:styleId="Caracteresdenotafinal">
    <w:name w:val="Caracteres de nota final"/>
    <w:rsid w:val="00E3447E"/>
    <w:rPr>
      <w:vertAlign w:val="superscript"/>
    </w:rPr>
  </w:style>
  <w:style w:type="character" w:customStyle="1" w:styleId="Heading5Char">
    <w:name w:val="Heading 5 Char"/>
    <w:basedOn w:val="DefaultParagraphFont"/>
    <w:link w:val="Heading5"/>
    <w:uiPriority w:val="9"/>
    <w:rsid w:val="00E3447E"/>
    <w:rPr>
      <w:rFonts w:asciiTheme="majorHAnsi" w:eastAsiaTheme="majorEastAsia" w:hAnsiTheme="majorHAnsi" w:cstheme="majorBidi"/>
      <w:color w:val="243F60" w:themeColor="accent1" w:themeShade="7F"/>
      <w:sz w:val="24"/>
      <w:szCs w:val="24"/>
      <w:lang w:eastAsia="es-CR"/>
    </w:rPr>
  </w:style>
  <w:style w:type="character" w:styleId="PageNumber">
    <w:name w:val="page number"/>
    <w:basedOn w:val="DefaultParagraphFont"/>
    <w:uiPriority w:val="99"/>
    <w:semiHidden/>
    <w:unhideWhenUsed/>
    <w:rsid w:val="00011543"/>
  </w:style>
  <w:style w:type="paragraph" w:styleId="Title">
    <w:name w:val="Title"/>
    <w:basedOn w:val="Normal"/>
    <w:next w:val="Normal"/>
    <w:link w:val="TitleChar"/>
    <w:autoRedefine/>
    <w:uiPriority w:val="10"/>
    <w:qFormat/>
    <w:rsid w:val="006B2A4D"/>
    <w:pPr>
      <w:ind w:left="825"/>
      <w:contextualSpacing/>
      <w:jc w:val="center"/>
    </w:pPr>
    <w:rPr>
      <w:rFonts w:eastAsiaTheme="majorEastAsia" w:cstheme="majorBidi"/>
      <w:b/>
      <w:snapToGrid w:val="0"/>
      <w:spacing w:val="5"/>
      <w:kern w:val="28"/>
      <w:sz w:val="20"/>
      <w:szCs w:val="52"/>
    </w:rPr>
  </w:style>
  <w:style w:type="character" w:customStyle="1" w:styleId="TitleChar">
    <w:name w:val="Title Char"/>
    <w:basedOn w:val="DefaultParagraphFont"/>
    <w:link w:val="Title"/>
    <w:uiPriority w:val="10"/>
    <w:rsid w:val="006B2A4D"/>
    <w:rPr>
      <w:rFonts w:ascii="Verdana" w:eastAsiaTheme="majorEastAsia" w:hAnsi="Verdana" w:cstheme="majorBidi"/>
      <w:b/>
      <w:snapToGrid w:val="0"/>
      <w:spacing w:val="5"/>
      <w:kern w:val="28"/>
      <w:sz w:val="20"/>
      <w:szCs w:val="52"/>
      <w:lang w:eastAsia="es-CR"/>
    </w:rPr>
  </w:style>
  <w:style w:type="paragraph" w:customStyle="1" w:styleId="Estilo1">
    <w:name w:val="Estilo1"/>
    <w:basedOn w:val="Normal"/>
    <w:link w:val="Estilo1Car"/>
    <w:qFormat/>
    <w:rsid w:val="004D7E7A"/>
    <w:pPr>
      <w:spacing w:after="120"/>
      <w:ind w:left="2018" w:right="6" w:hanging="180"/>
    </w:pPr>
    <w:rPr>
      <w:rFonts w:eastAsia="Batang" w:cs="Times"/>
      <w:i/>
      <w:sz w:val="20"/>
      <w:lang w:val="es-ES" w:eastAsia="en-US"/>
    </w:rPr>
  </w:style>
  <w:style w:type="character" w:customStyle="1" w:styleId="Estilo1Car">
    <w:name w:val="Estilo1 Car"/>
    <w:basedOn w:val="DefaultParagraphFont"/>
    <w:link w:val="Estilo1"/>
    <w:rsid w:val="004D7E7A"/>
    <w:rPr>
      <w:rFonts w:ascii="Verdana" w:eastAsia="Batang" w:hAnsi="Verdana" w:cs="Times"/>
      <w:i/>
      <w:sz w:val="20"/>
      <w:szCs w:val="24"/>
      <w:lang w:val="es-ES"/>
    </w:rPr>
  </w:style>
  <w:style w:type="paragraph" w:styleId="NoSpacing">
    <w:name w:val="No Spacing"/>
    <w:link w:val="NoSpacingChar"/>
    <w:uiPriority w:val="1"/>
    <w:qFormat/>
    <w:rsid w:val="000214BA"/>
    <w:rPr>
      <w:rFonts w:eastAsiaTheme="minorEastAsia"/>
      <w:lang w:val="en-US" w:eastAsia="ja-JP"/>
    </w:rPr>
  </w:style>
  <w:style w:type="character" w:customStyle="1" w:styleId="NoSpacingChar">
    <w:name w:val="No Spacing Char"/>
    <w:basedOn w:val="DefaultParagraphFont"/>
    <w:link w:val="NoSpacing"/>
    <w:uiPriority w:val="1"/>
    <w:rsid w:val="000214BA"/>
    <w:rPr>
      <w:rFonts w:eastAsiaTheme="minorEastAsia"/>
      <w:lang w:val="en-US" w:eastAsia="ja-JP"/>
    </w:rPr>
  </w:style>
  <w:style w:type="paragraph" w:styleId="BodyText">
    <w:name w:val="Body Text"/>
    <w:basedOn w:val="Normal"/>
    <w:link w:val="BodyTextChar"/>
    <w:uiPriority w:val="99"/>
    <w:unhideWhenUsed/>
    <w:rsid w:val="000214BA"/>
    <w:pPr>
      <w:spacing w:after="120"/>
    </w:pPr>
  </w:style>
  <w:style w:type="character" w:customStyle="1" w:styleId="BodyTextChar">
    <w:name w:val="Body Text Char"/>
    <w:basedOn w:val="DefaultParagraphFont"/>
    <w:link w:val="BodyText"/>
    <w:uiPriority w:val="99"/>
    <w:rsid w:val="000214BA"/>
    <w:rPr>
      <w:rFonts w:ascii="Verdana" w:eastAsia="Times New Roman" w:hAnsi="Verdana" w:cs="Times New Roman"/>
      <w:sz w:val="24"/>
      <w:szCs w:val="24"/>
      <w:lang w:eastAsia="es-CR"/>
    </w:rPr>
  </w:style>
  <w:style w:type="character" w:customStyle="1" w:styleId="Smbolodenotaalpie">
    <w:name w:val="Símbolo de nota al pie"/>
    <w:rsid w:val="00E67349"/>
    <w:rPr>
      <w:rFonts w:ascii="Times New Roman" w:hAnsi="Times New Roman" w:cs="Times New Roman" w:hint="default"/>
      <w:szCs w:val="20"/>
      <w:vertAlign w:val="superscript"/>
    </w:rPr>
  </w:style>
  <w:style w:type="paragraph" w:customStyle="1" w:styleId="ju-005fpara">
    <w:name w:val="ju-005fpara"/>
    <w:basedOn w:val="Normal"/>
    <w:rsid w:val="00E67349"/>
    <w:pPr>
      <w:spacing w:before="100" w:beforeAutospacing="1" w:after="100" w:afterAutospacing="1"/>
      <w:jc w:val="left"/>
    </w:pPr>
    <w:rPr>
      <w:rFonts w:ascii="Times New Roman" w:hAnsi="Times New Roman"/>
      <w:lang w:val="es-ES" w:eastAsia="es-ES"/>
    </w:rPr>
  </w:style>
  <w:style w:type="character" w:customStyle="1" w:styleId="normal--char">
    <w:name w:val="normal--char"/>
    <w:basedOn w:val="DefaultParagraphFont"/>
    <w:uiPriority w:val="99"/>
    <w:rsid w:val="00E67349"/>
  </w:style>
  <w:style w:type="character" w:customStyle="1" w:styleId="ju-005fpara--char">
    <w:name w:val="ju-005fpara--char"/>
    <w:basedOn w:val="DefaultParagraphFont"/>
    <w:rsid w:val="00E67349"/>
  </w:style>
  <w:style w:type="numbering" w:customStyle="1" w:styleId="NoList2">
    <w:name w:val="No List2"/>
    <w:next w:val="NoList"/>
    <w:uiPriority w:val="99"/>
    <w:semiHidden/>
    <w:unhideWhenUsed/>
    <w:rsid w:val="006B2A4D"/>
  </w:style>
  <w:style w:type="paragraph" w:styleId="Revision">
    <w:name w:val="Revision"/>
    <w:hidden/>
    <w:uiPriority w:val="99"/>
    <w:semiHidden/>
    <w:rsid w:val="006B2A4D"/>
    <w:rPr>
      <w:rFonts w:ascii="Verdana" w:eastAsia="Times New Roman" w:hAnsi="Verdana" w:cs="Times New Roman"/>
      <w:sz w:val="20"/>
      <w:szCs w:val="20"/>
      <w:lang w:val="es-ES"/>
    </w:rPr>
  </w:style>
  <w:style w:type="numbering" w:customStyle="1" w:styleId="NoList3">
    <w:name w:val="No List3"/>
    <w:next w:val="NoList"/>
    <w:uiPriority w:val="99"/>
    <w:semiHidden/>
    <w:unhideWhenUsed/>
    <w:rsid w:val="002570D1"/>
  </w:style>
  <w:style w:type="character" w:customStyle="1" w:styleId="CommentTextChar1">
    <w:name w:val="Comment Text Char1"/>
    <w:basedOn w:val="DefaultParagraphFont"/>
    <w:uiPriority w:val="99"/>
    <w:semiHidden/>
    <w:rsid w:val="002570D1"/>
    <w:rPr>
      <w:rFonts w:ascii="Times New Roman" w:eastAsia="Calibri" w:hAnsi="Times New Roman" w:cs="Times New Roman"/>
      <w:sz w:val="20"/>
      <w:szCs w:val="20"/>
      <w:lang w:val="es-ES_tradnl"/>
    </w:rPr>
  </w:style>
  <w:style w:type="character" w:customStyle="1" w:styleId="BalloonTextChar1">
    <w:name w:val="Balloon Text Char1"/>
    <w:basedOn w:val="DefaultParagraphFont"/>
    <w:uiPriority w:val="99"/>
    <w:semiHidden/>
    <w:rsid w:val="002570D1"/>
    <w:rPr>
      <w:rFonts w:ascii="Tahoma" w:eastAsia="Calibri" w:hAnsi="Tahoma" w:cs="Tahoma"/>
      <w:sz w:val="16"/>
      <w:szCs w:val="16"/>
      <w:lang w:val="es-ES_tradnl"/>
    </w:rPr>
  </w:style>
  <w:style w:type="paragraph" w:customStyle="1" w:styleId="Footnotes">
    <w:name w:val="**. Footnotes"/>
    <w:basedOn w:val="FootnoteText"/>
    <w:link w:val="FootnotesChar"/>
    <w:autoRedefine/>
    <w:qFormat/>
    <w:rsid w:val="002570D1"/>
    <w:pPr>
      <w:widowControl w:val="0"/>
      <w:tabs>
        <w:tab w:val="left" w:pos="567"/>
      </w:tabs>
      <w:spacing w:before="120" w:after="40"/>
    </w:pPr>
    <w:rPr>
      <w:rFonts w:eastAsia="Batang" w:cs="Palatino-Italic"/>
      <w:iCs/>
      <w:sz w:val="16"/>
      <w:szCs w:val="16"/>
      <w:lang w:val="en-US" w:eastAsia="en-US"/>
    </w:rPr>
  </w:style>
  <w:style w:type="character" w:customStyle="1" w:styleId="FootnotesChar">
    <w:name w:val="**. Footnotes Char"/>
    <w:basedOn w:val="DefaultParagraphFont"/>
    <w:link w:val="Footnotes"/>
    <w:rsid w:val="002570D1"/>
    <w:rPr>
      <w:rFonts w:ascii="Verdana" w:eastAsia="Batang" w:hAnsi="Verdana" w:cs="Palatino-Italic"/>
      <w:iCs/>
      <w:sz w:val="16"/>
      <w:szCs w:val="16"/>
      <w:lang w:val="en-US"/>
    </w:rPr>
  </w:style>
  <w:style w:type="character" w:customStyle="1" w:styleId="Ttulo1">
    <w:name w:val="Título1"/>
    <w:basedOn w:val="DefaultParagraphFont"/>
    <w:rsid w:val="002570D1"/>
  </w:style>
  <w:style w:type="character" w:customStyle="1" w:styleId="PrrafodeSentenciaChar">
    <w:name w:val="*. Párrafo de Sentencia Char"/>
    <w:link w:val="PrrafodeSentencia"/>
    <w:rsid w:val="002570D1"/>
    <w:rPr>
      <w:rFonts w:ascii="Verdana" w:eastAsia="Times New Roman" w:hAnsi="Verdana" w:cs="Times New Roman"/>
      <w:bCs/>
      <w:noProof/>
      <w:sz w:val="20"/>
      <w:szCs w:val="20"/>
      <w:lang w:val="es-ES_tradnl" w:eastAsia="es-ES"/>
    </w:rPr>
  </w:style>
  <w:style w:type="character" w:customStyle="1" w:styleId="hps">
    <w:name w:val="hps"/>
    <w:basedOn w:val="DefaultParagraphFont"/>
    <w:rsid w:val="002570D1"/>
  </w:style>
  <w:style w:type="paragraph" w:customStyle="1" w:styleId="2Footnotes">
    <w:name w:val="2. Footnotes"/>
    <w:basedOn w:val="FootnoteText"/>
    <w:link w:val="2FootnotesChar"/>
    <w:autoRedefine/>
    <w:qFormat/>
    <w:rsid w:val="002570D1"/>
    <w:pPr>
      <w:widowControl w:val="0"/>
      <w:spacing w:before="120" w:after="40"/>
    </w:pPr>
    <w:rPr>
      <w:rFonts w:cs="Palatino-Italic"/>
      <w:iCs/>
      <w:noProof/>
      <w:sz w:val="16"/>
      <w:szCs w:val="18"/>
      <w:lang w:val="en-US" w:eastAsia="en-US"/>
    </w:rPr>
  </w:style>
  <w:style w:type="character" w:customStyle="1" w:styleId="2FootnotesChar">
    <w:name w:val="2. Footnotes Char"/>
    <w:link w:val="2Footnotes"/>
    <w:rsid w:val="002570D1"/>
    <w:rPr>
      <w:rFonts w:ascii="Verdana" w:eastAsia="Times New Roman" w:hAnsi="Verdana" w:cs="Palatino-Italic"/>
      <w:iCs/>
      <w:noProof/>
      <w:sz w:val="16"/>
      <w:szCs w:val="18"/>
      <w:lang w:val="en-US"/>
    </w:rPr>
  </w:style>
  <w:style w:type="paragraph" w:customStyle="1" w:styleId="xmsonormal">
    <w:name w:val="x_msonormal"/>
    <w:basedOn w:val="Normal"/>
    <w:rsid w:val="002570D1"/>
    <w:pPr>
      <w:spacing w:before="100" w:beforeAutospacing="1" w:after="100" w:afterAutospacing="1"/>
      <w:jc w:val="left"/>
    </w:pPr>
    <w:rPr>
      <w:rFonts w:ascii="Times New Roman" w:hAnsi="Times New Roman"/>
      <w:lang w:val="en-US" w:eastAsia="en-US"/>
    </w:rPr>
  </w:style>
  <w:style w:type="paragraph" w:customStyle="1" w:styleId="HChG">
    <w:name w:val="_ H _Ch_G"/>
    <w:basedOn w:val="Normal"/>
    <w:next w:val="Normal"/>
    <w:rsid w:val="002570D1"/>
    <w:pPr>
      <w:keepNext/>
      <w:keepLines/>
      <w:tabs>
        <w:tab w:val="right" w:pos="851"/>
      </w:tabs>
      <w:suppressAutoHyphens/>
      <w:spacing w:before="360" w:after="240" w:line="300" w:lineRule="exact"/>
      <w:ind w:left="1134" w:right="1134" w:hanging="1134"/>
      <w:jc w:val="left"/>
    </w:pPr>
    <w:rPr>
      <w:rFonts w:ascii="Times New Roman" w:hAnsi="Times New Roman"/>
      <w:b/>
      <w:sz w:val="28"/>
      <w:szCs w:val="20"/>
      <w:lang w:val="es-ES" w:eastAsia="es-ES"/>
    </w:rPr>
  </w:style>
  <w:style w:type="paragraph" w:customStyle="1" w:styleId="H1G">
    <w:name w:val="_ H_1_G"/>
    <w:basedOn w:val="Normal"/>
    <w:next w:val="Normal"/>
    <w:rsid w:val="002570D1"/>
    <w:pPr>
      <w:keepNext/>
      <w:keepLines/>
      <w:tabs>
        <w:tab w:val="right" w:pos="851"/>
      </w:tabs>
      <w:suppressAutoHyphens/>
      <w:spacing w:before="360" w:after="240" w:line="270" w:lineRule="exact"/>
      <w:ind w:left="1134" w:right="1134" w:hanging="1134"/>
      <w:jc w:val="left"/>
    </w:pPr>
    <w:rPr>
      <w:rFonts w:ascii="Times New Roman" w:hAnsi="Times New Roman"/>
      <w:b/>
      <w:szCs w:val="20"/>
      <w:lang w:val="es-ES" w:eastAsia="es-ES"/>
    </w:rPr>
  </w:style>
  <w:style w:type="character" w:customStyle="1" w:styleId="TextonotapieCar1">
    <w:name w:val="Texto nota pie Car1"/>
    <w:aliases w:val="Footnote Text Char Char Char Char Char Car1,Footnote Text Char Char Char Char Car1,Footnote reference Car1,FA Fu Car1,Footnote Text Char Char Char Car1,Footnote Text Cha Car1,FA Fußnotentext Car1,FA Fuﬂnotentext Car1,Ca Car,C Car"/>
    <w:basedOn w:val="DefaultParagraphFont"/>
    <w:uiPriority w:val="99"/>
    <w:qFormat/>
    <w:locked/>
    <w:rsid w:val="002570D1"/>
    <w:rPr>
      <w:rFonts w:ascii="Verdana" w:eastAsia="MS Mincho" w:hAnsi="Verdana" w:cs="Times"/>
      <w:sz w:val="16"/>
      <w:szCs w:val="24"/>
      <w:lang w:val="es-ES_tradnl"/>
    </w:rPr>
  </w:style>
  <w:style w:type="character" w:customStyle="1" w:styleId="BodyTextIndentChar1">
    <w:name w:val="Body Text Indent Char1"/>
    <w:basedOn w:val="DefaultParagraphFont"/>
    <w:uiPriority w:val="99"/>
    <w:semiHidden/>
    <w:rsid w:val="002570D1"/>
    <w:rPr>
      <w:rFonts w:ascii="Times New Roman" w:eastAsia="Calibri" w:hAnsi="Times New Roman" w:cs="Times New Roman"/>
      <w:sz w:val="24"/>
      <w:szCs w:val="24"/>
      <w:lang w:val="es-ES_tradnl"/>
    </w:rPr>
  </w:style>
  <w:style w:type="character" w:customStyle="1" w:styleId="Estilo1Char">
    <w:name w:val="Estilo1 Char"/>
    <w:rsid w:val="002570D1"/>
    <w:rPr>
      <w:rFonts w:ascii="Verdana" w:eastAsia="Calibri" w:hAnsi="Verdana" w:cs="Times New Roman"/>
      <w:sz w:val="20"/>
      <w:szCs w:val="20"/>
      <w:lang w:val="es-ES"/>
    </w:rPr>
  </w:style>
  <w:style w:type="paragraph" w:customStyle="1" w:styleId="Estilo2">
    <w:name w:val="Estilo2"/>
    <w:basedOn w:val="Normal"/>
    <w:qFormat/>
    <w:rsid w:val="002570D1"/>
    <w:pPr>
      <w:tabs>
        <w:tab w:val="left" w:pos="567"/>
        <w:tab w:val="left" w:pos="1134"/>
        <w:tab w:val="num" w:pos="4767"/>
      </w:tabs>
      <w:spacing w:after="120"/>
      <w:ind w:left="4767" w:hanging="360"/>
    </w:pPr>
    <w:rPr>
      <w:rFonts w:eastAsia="Calibri"/>
      <w:sz w:val="20"/>
      <w:szCs w:val="20"/>
      <w:lang w:val="es-ES" w:eastAsia="en-US"/>
    </w:rPr>
  </w:style>
  <w:style w:type="paragraph" w:styleId="BodyTextIndent3">
    <w:name w:val="Body Text Indent 3"/>
    <w:basedOn w:val="Normal"/>
    <w:link w:val="BodyTextIndent3Char"/>
    <w:rsid w:val="002570D1"/>
    <w:pPr>
      <w:ind w:left="720"/>
    </w:pPr>
    <w:rPr>
      <w:rFonts w:eastAsia="Times"/>
      <w:b/>
      <w:sz w:val="22"/>
      <w:szCs w:val="20"/>
      <w:lang w:val="es-ES_tradnl" w:eastAsia="es-ES"/>
    </w:rPr>
  </w:style>
  <w:style w:type="character" w:customStyle="1" w:styleId="BodyTextIndent3Char">
    <w:name w:val="Body Text Indent 3 Char"/>
    <w:basedOn w:val="DefaultParagraphFont"/>
    <w:link w:val="BodyTextIndent3"/>
    <w:rsid w:val="002570D1"/>
    <w:rPr>
      <w:rFonts w:ascii="Verdana" w:eastAsia="Times" w:hAnsi="Verdana" w:cs="Times New Roman"/>
      <w:b/>
      <w:szCs w:val="20"/>
      <w:lang w:val="es-ES_tradnl" w:eastAsia="es-ES"/>
    </w:rPr>
  </w:style>
  <w:style w:type="paragraph" w:customStyle="1" w:styleId="Estilo7">
    <w:name w:val="Estilo7"/>
    <w:basedOn w:val="Normal"/>
    <w:qFormat/>
    <w:rsid w:val="002570D1"/>
    <w:pPr>
      <w:tabs>
        <w:tab w:val="left" w:pos="567"/>
        <w:tab w:val="left" w:pos="851"/>
        <w:tab w:val="num" w:pos="2160"/>
      </w:tabs>
      <w:spacing w:before="120" w:after="120"/>
      <w:ind w:left="2160" w:hanging="180"/>
    </w:pPr>
    <w:rPr>
      <w:rFonts w:eastAsia="Batang"/>
      <w:b/>
      <w:i/>
      <w:sz w:val="20"/>
      <w:szCs w:val="20"/>
      <w:lang w:val="es-ES_tradnl" w:eastAsia="es-MX"/>
    </w:rPr>
  </w:style>
  <w:style w:type="paragraph" w:customStyle="1" w:styleId="Sangradetindependiente">
    <w:name w:val="Sangr’a de t. independiente"/>
    <w:basedOn w:val="Normal"/>
    <w:rsid w:val="002570D1"/>
    <w:pPr>
      <w:overflowPunct w:val="0"/>
      <w:autoSpaceDE w:val="0"/>
      <w:autoSpaceDN w:val="0"/>
      <w:adjustRightInd w:val="0"/>
      <w:textAlignment w:val="baseline"/>
    </w:pPr>
    <w:rPr>
      <w:rFonts w:ascii="Times New Roman" w:hAnsi="Times New Roman"/>
      <w:szCs w:val="20"/>
      <w:lang w:val="es-ES_tradnl" w:eastAsia="es-ES"/>
    </w:rPr>
  </w:style>
  <w:style w:type="character" w:customStyle="1" w:styleId="normalchar1">
    <w:name w:val="normal__char1"/>
    <w:basedOn w:val="DefaultParagraphFont"/>
    <w:rsid w:val="002570D1"/>
    <w:rPr>
      <w:rFonts w:ascii="Verdana" w:hAnsi="Verdana" w:hint="default"/>
      <w:sz w:val="20"/>
      <w:szCs w:val="20"/>
    </w:rPr>
  </w:style>
  <w:style w:type="character" w:customStyle="1" w:styleId="FootnoteTextCharCar">
    <w:name w:val="Footnote Text Char Car"/>
    <w:aliases w:val="FA Car,Note de bas de page Car Car Car"/>
    <w:basedOn w:val="DefaultParagraphFont"/>
    <w:uiPriority w:val="99"/>
    <w:locked/>
    <w:rsid w:val="002570D1"/>
  </w:style>
  <w:style w:type="character" w:customStyle="1" w:styleId="st1">
    <w:name w:val="st1"/>
    <w:basedOn w:val="DefaultParagraphFont"/>
    <w:rsid w:val="002570D1"/>
  </w:style>
  <w:style w:type="paragraph" w:customStyle="1" w:styleId="NormalNumbered">
    <w:name w:val="Normal Numbered"/>
    <w:basedOn w:val="Normal"/>
    <w:qFormat/>
    <w:rsid w:val="002570D1"/>
    <w:pPr>
      <w:numPr>
        <w:numId w:val="14"/>
      </w:numPr>
      <w:ind w:left="0" w:firstLine="0"/>
    </w:pPr>
    <w:rPr>
      <w:sz w:val="20"/>
      <w:szCs w:val="20"/>
      <w:lang w:val="x-none" w:eastAsia="x-none"/>
    </w:rPr>
  </w:style>
  <w:style w:type="numbering" w:customStyle="1" w:styleId="NoList11">
    <w:name w:val="No List11"/>
    <w:next w:val="NoList"/>
    <w:uiPriority w:val="99"/>
    <w:semiHidden/>
    <w:unhideWhenUsed/>
    <w:rsid w:val="002570D1"/>
  </w:style>
  <w:style w:type="paragraph" w:customStyle="1" w:styleId="ju-005fpara-002cleft-002cfirst-0020line-003a-0020-00200-0020cm">
    <w:name w:val="ju-005fpara-002cleft-002cfirst-0020line-003a-0020-00200-0020cm"/>
    <w:basedOn w:val="Normal"/>
    <w:rsid w:val="002570D1"/>
    <w:pPr>
      <w:spacing w:after="135"/>
      <w:jc w:val="left"/>
    </w:pPr>
    <w:rPr>
      <w:rFonts w:ascii="Times New Roman" w:hAnsi="Times New Roman"/>
      <w:lang w:val="es-MX" w:eastAsia="es-MX"/>
    </w:rPr>
  </w:style>
  <w:style w:type="character" w:customStyle="1" w:styleId="ju-005fpara-002cleft-002cfirst-0020line-003a-0020-00200-0020cm--char">
    <w:name w:val="ju-005fpara-002cleft-002cfirst-0020line-003a-0020-00200-0020cm--char"/>
    <w:rsid w:val="002570D1"/>
  </w:style>
  <w:style w:type="character" w:customStyle="1" w:styleId="PrrafodelistaCar1">
    <w:name w:val="Párrafo de lista Car1"/>
    <w:basedOn w:val="DefaultParagraphFont"/>
    <w:uiPriority w:val="99"/>
    <w:locked/>
    <w:rsid w:val="002570D1"/>
    <w:rPr>
      <w:rFonts w:ascii="Verdana" w:hAnsi="Verdana" w:cs="Verdana"/>
      <w:lang w:eastAsia="en-US"/>
    </w:rPr>
  </w:style>
  <w:style w:type="character" w:customStyle="1" w:styleId="TextocomentarioCar1">
    <w:name w:val="Texto comentario Car1"/>
    <w:basedOn w:val="DefaultParagraphFont"/>
    <w:uiPriority w:val="99"/>
    <w:semiHidden/>
    <w:rsid w:val="002570D1"/>
    <w:rPr>
      <w:sz w:val="20"/>
      <w:szCs w:val="20"/>
    </w:rPr>
  </w:style>
  <w:style w:type="paragraph" w:customStyle="1" w:styleId="Body1">
    <w:name w:val="Body 1"/>
    <w:link w:val="Body1Char"/>
    <w:rsid w:val="002570D1"/>
    <w:pPr>
      <w:spacing w:after="200" w:line="276" w:lineRule="auto"/>
      <w:jc w:val="left"/>
      <w:outlineLvl w:val="0"/>
    </w:pPr>
    <w:rPr>
      <w:rFonts w:ascii="Helvetica" w:eastAsia="ヒラギノ角ゴ Pro W3" w:hAnsi="Helvetica" w:cs="Times New Roman"/>
      <w:color w:val="000000"/>
      <w:szCs w:val="20"/>
      <w:lang w:val="en-US" w:eastAsia="es-CR"/>
    </w:rPr>
  </w:style>
  <w:style w:type="character" w:customStyle="1" w:styleId="Body1Char">
    <w:name w:val="Body 1 Char"/>
    <w:link w:val="Body1"/>
    <w:rsid w:val="002570D1"/>
    <w:rPr>
      <w:rFonts w:ascii="Helvetica" w:eastAsia="ヒラギノ角ゴ Pro W3" w:hAnsi="Helvetica" w:cs="Times New Roman"/>
      <w:color w:val="000000"/>
      <w:szCs w:val="20"/>
      <w:lang w:val="en-US" w:eastAsia="es-CR"/>
    </w:rPr>
  </w:style>
  <w:style w:type="paragraph" w:customStyle="1" w:styleId="style11">
    <w:name w:val="style11"/>
    <w:basedOn w:val="Normal"/>
    <w:rsid w:val="002570D1"/>
    <w:pPr>
      <w:spacing w:before="192" w:after="192"/>
      <w:ind w:left="120" w:right="144"/>
    </w:pPr>
    <w:rPr>
      <w:rFonts w:ascii="Times New Roman" w:hAnsi="Times New Roman"/>
      <w:lang w:val="es-MX" w:eastAsia="es-MX"/>
    </w:rPr>
  </w:style>
  <w:style w:type="paragraph" w:styleId="Subtitle">
    <w:name w:val="Subtitle"/>
    <w:basedOn w:val="Normal"/>
    <w:next w:val="Normal"/>
    <w:link w:val="SubtitleChar"/>
    <w:uiPriority w:val="11"/>
    <w:qFormat/>
    <w:rsid w:val="002570D1"/>
    <w:pPr>
      <w:numPr>
        <w:ilvl w:val="1"/>
      </w:numPr>
      <w:spacing w:after="160"/>
      <w:jc w:val="left"/>
    </w:pPr>
    <w:rPr>
      <w:rFonts w:asciiTheme="minorHAnsi" w:eastAsiaTheme="minorEastAsia" w:hAnsiTheme="minorHAnsi" w:cstheme="minorBidi"/>
      <w:color w:val="5A5A5A" w:themeColor="text1" w:themeTint="A5"/>
      <w:spacing w:val="15"/>
      <w:sz w:val="22"/>
      <w:szCs w:val="22"/>
      <w:lang w:val="es-ES_tradnl" w:eastAsia="en-US"/>
    </w:rPr>
  </w:style>
  <w:style w:type="character" w:customStyle="1" w:styleId="SubtitleChar">
    <w:name w:val="Subtitle Char"/>
    <w:basedOn w:val="DefaultParagraphFont"/>
    <w:link w:val="Subtitle"/>
    <w:uiPriority w:val="11"/>
    <w:rsid w:val="002570D1"/>
    <w:rPr>
      <w:rFonts w:eastAsiaTheme="minorEastAsia"/>
      <w:color w:val="5A5A5A" w:themeColor="text1" w:themeTint="A5"/>
      <w:spacing w:val="15"/>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3350">
      <w:bodyDiv w:val="1"/>
      <w:marLeft w:val="0"/>
      <w:marRight w:val="0"/>
      <w:marTop w:val="0"/>
      <w:marBottom w:val="0"/>
      <w:divBdr>
        <w:top w:val="none" w:sz="0" w:space="0" w:color="auto"/>
        <w:left w:val="none" w:sz="0" w:space="0" w:color="auto"/>
        <w:bottom w:val="none" w:sz="0" w:space="0" w:color="auto"/>
        <w:right w:val="none" w:sz="0" w:space="0" w:color="auto"/>
      </w:divBdr>
    </w:div>
    <w:div w:id="70860996">
      <w:bodyDiv w:val="1"/>
      <w:marLeft w:val="0"/>
      <w:marRight w:val="0"/>
      <w:marTop w:val="0"/>
      <w:marBottom w:val="0"/>
      <w:divBdr>
        <w:top w:val="none" w:sz="0" w:space="0" w:color="auto"/>
        <w:left w:val="none" w:sz="0" w:space="0" w:color="auto"/>
        <w:bottom w:val="none" w:sz="0" w:space="0" w:color="auto"/>
        <w:right w:val="none" w:sz="0" w:space="0" w:color="auto"/>
      </w:divBdr>
    </w:div>
    <w:div w:id="123475629">
      <w:bodyDiv w:val="1"/>
      <w:marLeft w:val="0"/>
      <w:marRight w:val="0"/>
      <w:marTop w:val="0"/>
      <w:marBottom w:val="0"/>
      <w:divBdr>
        <w:top w:val="none" w:sz="0" w:space="0" w:color="auto"/>
        <w:left w:val="none" w:sz="0" w:space="0" w:color="auto"/>
        <w:bottom w:val="none" w:sz="0" w:space="0" w:color="auto"/>
        <w:right w:val="none" w:sz="0" w:space="0" w:color="auto"/>
      </w:divBdr>
    </w:div>
    <w:div w:id="183641365">
      <w:bodyDiv w:val="1"/>
      <w:marLeft w:val="0"/>
      <w:marRight w:val="0"/>
      <w:marTop w:val="0"/>
      <w:marBottom w:val="0"/>
      <w:divBdr>
        <w:top w:val="none" w:sz="0" w:space="0" w:color="auto"/>
        <w:left w:val="none" w:sz="0" w:space="0" w:color="auto"/>
        <w:bottom w:val="none" w:sz="0" w:space="0" w:color="auto"/>
        <w:right w:val="none" w:sz="0" w:space="0" w:color="auto"/>
      </w:divBdr>
    </w:div>
    <w:div w:id="210265953">
      <w:bodyDiv w:val="1"/>
      <w:marLeft w:val="0"/>
      <w:marRight w:val="0"/>
      <w:marTop w:val="0"/>
      <w:marBottom w:val="0"/>
      <w:divBdr>
        <w:top w:val="none" w:sz="0" w:space="0" w:color="auto"/>
        <w:left w:val="none" w:sz="0" w:space="0" w:color="auto"/>
        <w:bottom w:val="none" w:sz="0" w:space="0" w:color="auto"/>
        <w:right w:val="none" w:sz="0" w:space="0" w:color="auto"/>
      </w:divBdr>
    </w:div>
    <w:div w:id="228080537">
      <w:bodyDiv w:val="1"/>
      <w:marLeft w:val="0"/>
      <w:marRight w:val="0"/>
      <w:marTop w:val="0"/>
      <w:marBottom w:val="0"/>
      <w:divBdr>
        <w:top w:val="none" w:sz="0" w:space="0" w:color="auto"/>
        <w:left w:val="none" w:sz="0" w:space="0" w:color="auto"/>
        <w:bottom w:val="none" w:sz="0" w:space="0" w:color="auto"/>
        <w:right w:val="none" w:sz="0" w:space="0" w:color="auto"/>
      </w:divBdr>
    </w:div>
    <w:div w:id="265693091">
      <w:bodyDiv w:val="1"/>
      <w:marLeft w:val="0"/>
      <w:marRight w:val="0"/>
      <w:marTop w:val="0"/>
      <w:marBottom w:val="0"/>
      <w:divBdr>
        <w:top w:val="none" w:sz="0" w:space="0" w:color="auto"/>
        <w:left w:val="none" w:sz="0" w:space="0" w:color="auto"/>
        <w:bottom w:val="none" w:sz="0" w:space="0" w:color="auto"/>
        <w:right w:val="none" w:sz="0" w:space="0" w:color="auto"/>
      </w:divBdr>
    </w:div>
    <w:div w:id="346055597">
      <w:bodyDiv w:val="1"/>
      <w:marLeft w:val="0"/>
      <w:marRight w:val="0"/>
      <w:marTop w:val="0"/>
      <w:marBottom w:val="0"/>
      <w:divBdr>
        <w:top w:val="none" w:sz="0" w:space="0" w:color="auto"/>
        <w:left w:val="none" w:sz="0" w:space="0" w:color="auto"/>
        <w:bottom w:val="none" w:sz="0" w:space="0" w:color="auto"/>
        <w:right w:val="none" w:sz="0" w:space="0" w:color="auto"/>
      </w:divBdr>
      <w:divsChild>
        <w:div w:id="1780489099">
          <w:marLeft w:val="547"/>
          <w:marRight w:val="0"/>
          <w:marTop w:val="125"/>
          <w:marBottom w:val="0"/>
          <w:divBdr>
            <w:top w:val="none" w:sz="0" w:space="0" w:color="auto"/>
            <w:left w:val="none" w:sz="0" w:space="0" w:color="auto"/>
            <w:bottom w:val="none" w:sz="0" w:space="0" w:color="auto"/>
            <w:right w:val="none" w:sz="0" w:space="0" w:color="auto"/>
          </w:divBdr>
        </w:div>
        <w:div w:id="232393733">
          <w:marLeft w:val="547"/>
          <w:marRight w:val="0"/>
          <w:marTop w:val="125"/>
          <w:marBottom w:val="0"/>
          <w:divBdr>
            <w:top w:val="none" w:sz="0" w:space="0" w:color="auto"/>
            <w:left w:val="none" w:sz="0" w:space="0" w:color="auto"/>
            <w:bottom w:val="none" w:sz="0" w:space="0" w:color="auto"/>
            <w:right w:val="none" w:sz="0" w:space="0" w:color="auto"/>
          </w:divBdr>
        </w:div>
      </w:divsChild>
    </w:div>
    <w:div w:id="349140117">
      <w:bodyDiv w:val="1"/>
      <w:marLeft w:val="0"/>
      <w:marRight w:val="0"/>
      <w:marTop w:val="0"/>
      <w:marBottom w:val="0"/>
      <w:divBdr>
        <w:top w:val="none" w:sz="0" w:space="0" w:color="auto"/>
        <w:left w:val="none" w:sz="0" w:space="0" w:color="auto"/>
        <w:bottom w:val="none" w:sz="0" w:space="0" w:color="auto"/>
        <w:right w:val="none" w:sz="0" w:space="0" w:color="auto"/>
      </w:divBdr>
      <w:divsChild>
        <w:div w:id="1429081194">
          <w:marLeft w:val="0"/>
          <w:marRight w:val="0"/>
          <w:marTop w:val="0"/>
          <w:marBottom w:val="0"/>
          <w:divBdr>
            <w:top w:val="none" w:sz="0" w:space="0" w:color="auto"/>
            <w:left w:val="none" w:sz="0" w:space="0" w:color="auto"/>
            <w:bottom w:val="none" w:sz="0" w:space="0" w:color="auto"/>
            <w:right w:val="none" w:sz="0" w:space="0" w:color="auto"/>
          </w:divBdr>
          <w:divsChild>
            <w:div w:id="2021077975">
              <w:marLeft w:val="0"/>
              <w:marRight w:val="60"/>
              <w:marTop w:val="0"/>
              <w:marBottom w:val="0"/>
              <w:divBdr>
                <w:top w:val="none" w:sz="0" w:space="0" w:color="auto"/>
                <w:left w:val="none" w:sz="0" w:space="0" w:color="auto"/>
                <w:bottom w:val="none" w:sz="0" w:space="0" w:color="auto"/>
                <w:right w:val="none" w:sz="0" w:space="0" w:color="auto"/>
              </w:divBdr>
              <w:divsChild>
                <w:div w:id="1169172349">
                  <w:marLeft w:val="0"/>
                  <w:marRight w:val="0"/>
                  <w:marTop w:val="0"/>
                  <w:marBottom w:val="120"/>
                  <w:divBdr>
                    <w:top w:val="single" w:sz="6" w:space="0" w:color="C0C0C0"/>
                    <w:left w:val="single" w:sz="6" w:space="0" w:color="D9D9D9"/>
                    <w:bottom w:val="single" w:sz="6" w:space="0" w:color="D9D9D9"/>
                    <w:right w:val="single" w:sz="6" w:space="0" w:color="D9D9D9"/>
                  </w:divBdr>
                  <w:divsChild>
                    <w:div w:id="108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9240">
          <w:marLeft w:val="0"/>
          <w:marRight w:val="0"/>
          <w:marTop w:val="0"/>
          <w:marBottom w:val="0"/>
          <w:divBdr>
            <w:top w:val="none" w:sz="0" w:space="0" w:color="auto"/>
            <w:left w:val="none" w:sz="0" w:space="0" w:color="auto"/>
            <w:bottom w:val="none" w:sz="0" w:space="0" w:color="auto"/>
            <w:right w:val="none" w:sz="0" w:space="0" w:color="auto"/>
          </w:divBdr>
          <w:divsChild>
            <w:div w:id="9337766">
              <w:marLeft w:val="60"/>
              <w:marRight w:val="0"/>
              <w:marTop w:val="0"/>
              <w:marBottom w:val="0"/>
              <w:divBdr>
                <w:top w:val="none" w:sz="0" w:space="0" w:color="auto"/>
                <w:left w:val="none" w:sz="0" w:space="0" w:color="auto"/>
                <w:bottom w:val="none" w:sz="0" w:space="0" w:color="auto"/>
                <w:right w:val="none" w:sz="0" w:space="0" w:color="auto"/>
              </w:divBdr>
              <w:divsChild>
                <w:div w:id="896430872">
                  <w:marLeft w:val="0"/>
                  <w:marRight w:val="0"/>
                  <w:marTop w:val="0"/>
                  <w:marBottom w:val="0"/>
                  <w:divBdr>
                    <w:top w:val="none" w:sz="0" w:space="0" w:color="auto"/>
                    <w:left w:val="none" w:sz="0" w:space="0" w:color="auto"/>
                    <w:bottom w:val="none" w:sz="0" w:space="0" w:color="auto"/>
                    <w:right w:val="none" w:sz="0" w:space="0" w:color="auto"/>
                  </w:divBdr>
                  <w:divsChild>
                    <w:div w:id="1255674402">
                      <w:marLeft w:val="0"/>
                      <w:marRight w:val="0"/>
                      <w:marTop w:val="0"/>
                      <w:marBottom w:val="120"/>
                      <w:divBdr>
                        <w:top w:val="single" w:sz="6" w:space="0" w:color="F5F5F5"/>
                        <w:left w:val="single" w:sz="6" w:space="0" w:color="F5F5F5"/>
                        <w:bottom w:val="single" w:sz="6" w:space="0" w:color="F5F5F5"/>
                        <w:right w:val="single" w:sz="6" w:space="0" w:color="F5F5F5"/>
                      </w:divBdr>
                      <w:divsChild>
                        <w:div w:id="671491477">
                          <w:marLeft w:val="0"/>
                          <w:marRight w:val="0"/>
                          <w:marTop w:val="0"/>
                          <w:marBottom w:val="0"/>
                          <w:divBdr>
                            <w:top w:val="none" w:sz="0" w:space="0" w:color="auto"/>
                            <w:left w:val="none" w:sz="0" w:space="0" w:color="auto"/>
                            <w:bottom w:val="none" w:sz="0" w:space="0" w:color="auto"/>
                            <w:right w:val="none" w:sz="0" w:space="0" w:color="auto"/>
                          </w:divBdr>
                          <w:divsChild>
                            <w:div w:id="122383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69525">
      <w:bodyDiv w:val="1"/>
      <w:marLeft w:val="0"/>
      <w:marRight w:val="0"/>
      <w:marTop w:val="0"/>
      <w:marBottom w:val="0"/>
      <w:divBdr>
        <w:top w:val="none" w:sz="0" w:space="0" w:color="auto"/>
        <w:left w:val="none" w:sz="0" w:space="0" w:color="auto"/>
        <w:bottom w:val="none" w:sz="0" w:space="0" w:color="auto"/>
        <w:right w:val="none" w:sz="0" w:space="0" w:color="auto"/>
      </w:divBdr>
    </w:div>
    <w:div w:id="651444427">
      <w:bodyDiv w:val="1"/>
      <w:marLeft w:val="0"/>
      <w:marRight w:val="0"/>
      <w:marTop w:val="0"/>
      <w:marBottom w:val="0"/>
      <w:divBdr>
        <w:top w:val="none" w:sz="0" w:space="0" w:color="auto"/>
        <w:left w:val="none" w:sz="0" w:space="0" w:color="auto"/>
        <w:bottom w:val="none" w:sz="0" w:space="0" w:color="auto"/>
        <w:right w:val="none" w:sz="0" w:space="0" w:color="auto"/>
      </w:divBdr>
    </w:div>
    <w:div w:id="664433772">
      <w:bodyDiv w:val="1"/>
      <w:marLeft w:val="0"/>
      <w:marRight w:val="0"/>
      <w:marTop w:val="0"/>
      <w:marBottom w:val="0"/>
      <w:divBdr>
        <w:top w:val="none" w:sz="0" w:space="0" w:color="auto"/>
        <w:left w:val="none" w:sz="0" w:space="0" w:color="auto"/>
        <w:bottom w:val="none" w:sz="0" w:space="0" w:color="auto"/>
        <w:right w:val="none" w:sz="0" w:space="0" w:color="auto"/>
      </w:divBdr>
    </w:div>
    <w:div w:id="670913164">
      <w:bodyDiv w:val="1"/>
      <w:marLeft w:val="0"/>
      <w:marRight w:val="0"/>
      <w:marTop w:val="0"/>
      <w:marBottom w:val="0"/>
      <w:divBdr>
        <w:top w:val="none" w:sz="0" w:space="0" w:color="auto"/>
        <w:left w:val="none" w:sz="0" w:space="0" w:color="auto"/>
        <w:bottom w:val="none" w:sz="0" w:space="0" w:color="auto"/>
        <w:right w:val="none" w:sz="0" w:space="0" w:color="auto"/>
      </w:divBdr>
    </w:div>
    <w:div w:id="692223344">
      <w:bodyDiv w:val="1"/>
      <w:marLeft w:val="0"/>
      <w:marRight w:val="0"/>
      <w:marTop w:val="0"/>
      <w:marBottom w:val="0"/>
      <w:divBdr>
        <w:top w:val="none" w:sz="0" w:space="0" w:color="auto"/>
        <w:left w:val="none" w:sz="0" w:space="0" w:color="auto"/>
        <w:bottom w:val="none" w:sz="0" w:space="0" w:color="auto"/>
        <w:right w:val="none" w:sz="0" w:space="0" w:color="auto"/>
      </w:divBdr>
    </w:div>
    <w:div w:id="747845350">
      <w:bodyDiv w:val="1"/>
      <w:marLeft w:val="0"/>
      <w:marRight w:val="0"/>
      <w:marTop w:val="0"/>
      <w:marBottom w:val="0"/>
      <w:divBdr>
        <w:top w:val="none" w:sz="0" w:space="0" w:color="auto"/>
        <w:left w:val="none" w:sz="0" w:space="0" w:color="auto"/>
        <w:bottom w:val="none" w:sz="0" w:space="0" w:color="auto"/>
        <w:right w:val="none" w:sz="0" w:space="0" w:color="auto"/>
      </w:divBdr>
    </w:div>
    <w:div w:id="755058272">
      <w:bodyDiv w:val="1"/>
      <w:marLeft w:val="0"/>
      <w:marRight w:val="0"/>
      <w:marTop w:val="0"/>
      <w:marBottom w:val="0"/>
      <w:divBdr>
        <w:top w:val="none" w:sz="0" w:space="0" w:color="auto"/>
        <w:left w:val="none" w:sz="0" w:space="0" w:color="auto"/>
        <w:bottom w:val="none" w:sz="0" w:space="0" w:color="auto"/>
        <w:right w:val="none" w:sz="0" w:space="0" w:color="auto"/>
      </w:divBdr>
    </w:div>
    <w:div w:id="781265155">
      <w:bodyDiv w:val="1"/>
      <w:marLeft w:val="0"/>
      <w:marRight w:val="0"/>
      <w:marTop w:val="0"/>
      <w:marBottom w:val="0"/>
      <w:divBdr>
        <w:top w:val="none" w:sz="0" w:space="0" w:color="auto"/>
        <w:left w:val="none" w:sz="0" w:space="0" w:color="auto"/>
        <w:bottom w:val="none" w:sz="0" w:space="0" w:color="auto"/>
        <w:right w:val="none" w:sz="0" w:space="0" w:color="auto"/>
      </w:divBdr>
    </w:div>
    <w:div w:id="871185451">
      <w:bodyDiv w:val="1"/>
      <w:marLeft w:val="0"/>
      <w:marRight w:val="0"/>
      <w:marTop w:val="0"/>
      <w:marBottom w:val="0"/>
      <w:divBdr>
        <w:top w:val="none" w:sz="0" w:space="0" w:color="auto"/>
        <w:left w:val="none" w:sz="0" w:space="0" w:color="auto"/>
        <w:bottom w:val="none" w:sz="0" w:space="0" w:color="auto"/>
        <w:right w:val="none" w:sz="0" w:space="0" w:color="auto"/>
      </w:divBdr>
    </w:div>
    <w:div w:id="874392621">
      <w:bodyDiv w:val="1"/>
      <w:marLeft w:val="0"/>
      <w:marRight w:val="0"/>
      <w:marTop w:val="0"/>
      <w:marBottom w:val="0"/>
      <w:divBdr>
        <w:top w:val="none" w:sz="0" w:space="0" w:color="auto"/>
        <w:left w:val="none" w:sz="0" w:space="0" w:color="auto"/>
        <w:bottom w:val="none" w:sz="0" w:space="0" w:color="auto"/>
        <w:right w:val="none" w:sz="0" w:space="0" w:color="auto"/>
      </w:divBdr>
    </w:div>
    <w:div w:id="906917223">
      <w:bodyDiv w:val="1"/>
      <w:marLeft w:val="0"/>
      <w:marRight w:val="0"/>
      <w:marTop w:val="0"/>
      <w:marBottom w:val="0"/>
      <w:divBdr>
        <w:top w:val="none" w:sz="0" w:space="0" w:color="auto"/>
        <w:left w:val="none" w:sz="0" w:space="0" w:color="auto"/>
        <w:bottom w:val="none" w:sz="0" w:space="0" w:color="auto"/>
        <w:right w:val="none" w:sz="0" w:space="0" w:color="auto"/>
      </w:divBdr>
    </w:div>
    <w:div w:id="972826696">
      <w:bodyDiv w:val="1"/>
      <w:marLeft w:val="0"/>
      <w:marRight w:val="0"/>
      <w:marTop w:val="0"/>
      <w:marBottom w:val="0"/>
      <w:divBdr>
        <w:top w:val="none" w:sz="0" w:space="0" w:color="auto"/>
        <w:left w:val="none" w:sz="0" w:space="0" w:color="auto"/>
        <w:bottom w:val="none" w:sz="0" w:space="0" w:color="auto"/>
        <w:right w:val="none" w:sz="0" w:space="0" w:color="auto"/>
      </w:divBdr>
    </w:div>
    <w:div w:id="980227223">
      <w:bodyDiv w:val="1"/>
      <w:marLeft w:val="0"/>
      <w:marRight w:val="0"/>
      <w:marTop w:val="0"/>
      <w:marBottom w:val="0"/>
      <w:divBdr>
        <w:top w:val="none" w:sz="0" w:space="0" w:color="auto"/>
        <w:left w:val="none" w:sz="0" w:space="0" w:color="auto"/>
        <w:bottom w:val="none" w:sz="0" w:space="0" w:color="auto"/>
        <w:right w:val="none" w:sz="0" w:space="0" w:color="auto"/>
      </w:divBdr>
    </w:div>
    <w:div w:id="980354312">
      <w:bodyDiv w:val="1"/>
      <w:marLeft w:val="0"/>
      <w:marRight w:val="0"/>
      <w:marTop w:val="0"/>
      <w:marBottom w:val="0"/>
      <w:divBdr>
        <w:top w:val="none" w:sz="0" w:space="0" w:color="auto"/>
        <w:left w:val="none" w:sz="0" w:space="0" w:color="auto"/>
        <w:bottom w:val="none" w:sz="0" w:space="0" w:color="auto"/>
        <w:right w:val="none" w:sz="0" w:space="0" w:color="auto"/>
      </w:divBdr>
    </w:div>
    <w:div w:id="1075664695">
      <w:bodyDiv w:val="1"/>
      <w:marLeft w:val="0"/>
      <w:marRight w:val="0"/>
      <w:marTop w:val="0"/>
      <w:marBottom w:val="0"/>
      <w:divBdr>
        <w:top w:val="none" w:sz="0" w:space="0" w:color="auto"/>
        <w:left w:val="none" w:sz="0" w:space="0" w:color="auto"/>
        <w:bottom w:val="none" w:sz="0" w:space="0" w:color="auto"/>
        <w:right w:val="none" w:sz="0" w:space="0" w:color="auto"/>
      </w:divBdr>
    </w:div>
    <w:div w:id="1170753839">
      <w:bodyDiv w:val="1"/>
      <w:marLeft w:val="0"/>
      <w:marRight w:val="0"/>
      <w:marTop w:val="0"/>
      <w:marBottom w:val="0"/>
      <w:divBdr>
        <w:top w:val="none" w:sz="0" w:space="0" w:color="auto"/>
        <w:left w:val="none" w:sz="0" w:space="0" w:color="auto"/>
        <w:bottom w:val="none" w:sz="0" w:space="0" w:color="auto"/>
        <w:right w:val="none" w:sz="0" w:space="0" w:color="auto"/>
      </w:divBdr>
    </w:div>
    <w:div w:id="1187326676">
      <w:bodyDiv w:val="1"/>
      <w:marLeft w:val="0"/>
      <w:marRight w:val="0"/>
      <w:marTop w:val="0"/>
      <w:marBottom w:val="0"/>
      <w:divBdr>
        <w:top w:val="none" w:sz="0" w:space="0" w:color="auto"/>
        <w:left w:val="none" w:sz="0" w:space="0" w:color="auto"/>
        <w:bottom w:val="none" w:sz="0" w:space="0" w:color="auto"/>
        <w:right w:val="none" w:sz="0" w:space="0" w:color="auto"/>
      </w:divBdr>
    </w:div>
    <w:div w:id="1381856901">
      <w:bodyDiv w:val="1"/>
      <w:marLeft w:val="0"/>
      <w:marRight w:val="0"/>
      <w:marTop w:val="0"/>
      <w:marBottom w:val="0"/>
      <w:divBdr>
        <w:top w:val="none" w:sz="0" w:space="0" w:color="auto"/>
        <w:left w:val="none" w:sz="0" w:space="0" w:color="auto"/>
        <w:bottom w:val="none" w:sz="0" w:space="0" w:color="auto"/>
        <w:right w:val="none" w:sz="0" w:space="0" w:color="auto"/>
      </w:divBdr>
    </w:div>
    <w:div w:id="1410224755">
      <w:bodyDiv w:val="1"/>
      <w:marLeft w:val="0"/>
      <w:marRight w:val="0"/>
      <w:marTop w:val="0"/>
      <w:marBottom w:val="0"/>
      <w:divBdr>
        <w:top w:val="none" w:sz="0" w:space="0" w:color="auto"/>
        <w:left w:val="none" w:sz="0" w:space="0" w:color="auto"/>
        <w:bottom w:val="none" w:sz="0" w:space="0" w:color="auto"/>
        <w:right w:val="none" w:sz="0" w:space="0" w:color="auto"/>
      </w:divBdr>
    </w:div>
    <w:div w:id="1430202653">
      <w:bodyDiv w:val="1"/>
      <w:marLeft w:val="0"/>
      <w:marRight w:val="0"/>
      <w:marTop w:val="0"/>
      <w:marBottom w:val="0"/>
      <w:divBdr>
        <w:top w:val="none" w:sz="0" w:space="0" w:color="auto"/>
        <w:left w:val="none" w:sz="0" w:space="0" w:color="auto"/>
        <w:bottom w:val="none" w:sz="0" w:space="0" w:color="auto"/>
        <w:right w:val="none" w:sz="0" w:space="0" w:color="auto"/>
      </w:divBdr>
    </w:div>
    <w:div w:id="1495991012">
      <w:bodyDiv w:val="1"/>
      <w:marLeft w:val="0"/>
      <w:marRight w:val="0"/>
      <w:marTop w:val="0"/>
      <w:marBottom w:val="0"/>
      <w:divBdr>
        <w:top w:val="none" w:sz="0" w:space="0" w:color="auto"/>
        <w:left w:val="none" w:sz="0" w:space="0" w:color="auto"/>
        <w:bottom w:val="none" w:sz="0" w:space="0" w:color="auto"/>
        <w:right w:val="none" w:sz="0" w:space="0" w:color="auto"/>
      </w:divBdr>
    </w:div>
    <w:div w:id="1710035295">
      <w:bodyDiv w:val="1"/>
      <w:marLeft w:val="0"/>
      <w:marRight w:val="0"/>
      <w:marTop w:val="0"/>
      <w:marBottom w:val="0"/>
      <w:divBdr>
        <w:top w:val="none" w:sz="0" w:space="0" w:color="auto"/>
        <w:left w:val="none" w:sz="0" w:space="0" w:color="auto"/>
        <w:bottom w:val="none" w:sz="0" w:space="0" w:color="auto"/>
        <w:right w:val="none" w:sz="0" w:space="0" w:color="auto"/>
      </w:divBdr>
    </w:div>
    <w:div w:id="1719278655">
      <w:bodyDiv w:val="1"/>
      <w:marLeft w:val="0"/>
      <w:marRight w:val="0"/>
      <w:marTop w:val="0"/>
      <w:marBottom w:val="0"/>
      <w:divBdr>
        <w:top w:val="none" w:sz="0" w:space="0" w:color="auto"/>
        <w:left w:val="none" w:sz="0" w:space="0" w:color="auto"/>
        <w:bottom w:val="none" w:sz="0" w:space="0" w:color="auto"/>
        <w:right w:val="none" w:sz="0" w:space="0" w:color="auto"/>
      </w:divBdr>
    </w:div>
    <w:div w:id="1775586840">
      <w:bodyDiv w:val="1"/>
      <w:marLeft w:val="0"/>
      <w:marRight w:val="0"/>
      <w:marTop w:val="0"/>
      <w:marBottom w:val="0"/>
      <w:divBdr>
        <w:top w:val="none" w:sz="0" w:space="0" w:color="auto"/>
        <w:left w:val="none" w:sz="0" w:space="0" w:color="auto"/>
        <w:bottom w:val="none" w:sz="0" w:space="0" w:color="auto"/>
        <w:right w:val="none" w:sz="0" w:space="0" w:color="auto"/>
      </w:divBdr>
    </w:div>
    <w:div w:id="1830098175">
      <w:bodyDiv w:val="1"/>
      <w:marLeft w:val="0"/>
      <w:marRight w:val="0"/>
      <w:marTop w:val="0"/>
      <w:marBottom w:val="0"/>
      <w:divBdr>
        <w:top w:val="none" w:sz="0" w:space="0" w:color="auto"/>
        <w:left w:val="none" w:sz="0" w:space="0" w:color="auto"/>
        <w:bottom w:val="none" w:sz="0" w:space="0" w:color="auto"/>
        <w:right w:val="none" w:sz="0" w:space="0" w:color="auto"/>
      </w:divBdr>
    </w:div>
    <w:div w:id="1864827254">
      <w:bodyDiv w:val="1"/>
      <w:marLeft w:val="0"/>
      <w:marRight w:val="0"/>
      <w:marTop w:val="0"/>
      <w:marBottom w:val="0"/>
      <w:divBdr>
        <w:top w:val="none" w:sz="0" w:space="0" w:color="auto"/>
        <w:left w:val="none" w:sz="0" w:space="0" w:color="auto"/>
        <w:bottom w:val="none" w:sz="0" w:space="0" w:color="auto"/>
        <w:right w:val="none" w:sz="0" w:space="0" w:color="auto"/>
      </w:divBdr>
    </w:div>
    <w:div w:id="1875384218">
      <w:bodyDiv w:val="1"/>
      <w:marLeft w:val="0"/>
      <w:marRight w:val="0"/>
      <w:marTop w:val="0"/>
      <w:marBottom w:val="0"/>
      <w:divBdr>
        <w:top w:val="none" w:sz="0" w:space="0" w:color="auto"/>
        <w:left w:val="none" w:sz="0" w:space="0" w:color="auto"/>
        <w:bottom w:val="none" w:sz="0" w:space="0" w:color="auto"/>
        <w:right w:val="none" w:sz="0" w:space="0" w:color="auto"/>
      </w:divBdr>
    </w:div>
    <w:div w:id="1879774946">
      <w:bodyDiv w:val="1"/>
      <w:marLeft w:val="0"/>
      <w:marRight w:val="0"/>
      <w:marTop w:val="0"/>
      <w:marBottom w:val="0"/>
      <w:divBdr>
        <w:top w:val="none" w:sz="0" w:space="0" w:color="auto"/>
        <w:left w:val="none" w:sz="0" w:space="0" w:color="auto"/>
        <w:bottom w:val="none" w:sz="0" w:space="0" w:color="auto"/>
        <w:right w:val="none" w:sz="0" w:space="0" w:color="auto"/>
      </w:divBdr>
    </w:div>
    <w:div w:id="1971666257">
      <w:bodyDiv w:val="1"/>
      <w:marLeft w:val="0"/>
      <w:marRight w:val="0"/>
      <w:marTop w:val="0"/>
      <w:marBottom w:val="0"/>
      <w:divBdr>
        <w:top w:val="none" w:sz="0" w:space="0" w:color="auto"/>
        <w:left w:val="none" w:sz="0" w:space="0" w:color="auto"/>
        <w:bottom w:val="none" w:sz="0" w:space="0" w:color="auto"/>
        <w:right w:val="none" w:sz="0" w:space="0" w:color="auto"/>
      </w:divBdr>
    </w:div>
    <w:div w:id="2035957804">
      <w:bodyDiv w:val="1"/>
      <w:marLeft w:val="0"/>
      <w:marRight w:val="0"/>
      <w:marTop w:val="0"/>
      <w:marBottom w:val="0"/>
      <w:divBdr>
        <w:top w:val="none" w:sz="0" w:space="0" w:color="auto"/>
        <w:left w:val="none" w:sz="0" w:space="0" w:color="auto"/>
        <w:bottom w:val="none" w:sz="0" w:space="0" w:color="auto"/>
        <w:right w:val="none" w:sz="0" w:space="0" w:color="auto"/>
      </w:divBdr>
    </w:div>
    <w:div w:id="212495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N09/450/90/PDF/N0945090.pdf?OpenElement" TargetMode="External"/><Relationship Id="rId3" Type="http://schemas.openxmlformats.org/officeDocument/2006/relationships/hyperlink" Target="http://www.corteidh.or.cr/docs/asuntos/poblete_21_09_17.pdf" TargetMode="External"/><Relationship Id="rId7" Type="http://schemas.openxmlformats.org/officeDocument/2006/relationships/hyperlink" Target="https://www.coe.int/en/web/conventions/full-list/-/conventions/treaty/164" TargetMode="External"/><Relationship Id="rId2" Type="http://schemas.openxmlformats.org/officeDocument/2006/relationships/hyperlink" Target="http://www.corteidh.or.cr/docs/asuntos/poblete_21_09_17.pdf" TargetMode="External"/><Relationship Id="rId1" Type="http://schemas.openxmlformats.org/officeDocument/2006/relationships/hyperlink" Target="http://www.corteidh.or.cr/docs/asuntos/poblete_25_11_16.pdf" TargetMode="External"/><Relationship Id="rId6" Type="http://schemas.openxmlformats.org/officeDocument/2006/relationships/hyperlink" Target="http://esa.un.org/unpd/wpp/" TargetMode="External"/><Relationship Id="rId5" Type="http://schemas.openxmlformats.org/officeDocument/2006/relationships/hyperlink" Target="http://www.oas.org/es/sla/ddi/tratados_multilaterales_interamericanos_A-41_carta_OEA.asp" TargetMode="External"/><Relationship Id="rId4" Type="http://schemas.openxmlformats.org/officeDocument/2006/relationships/hyperlink" Target="https://www.reclamos.cl/empresa/hospital_s_tero_del_r_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5BEBE2BF87F40A76A9C926EBECC0C" ma:contentTypeVersion="0" ma:contentTypeDescription="Create a new document." ma:contentTypeScope="" ma:versionID="ad8069bb81a7b5dc5c766ad6aa2648b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D2E36-E7C0-4B8D-8B38-606914D2C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4BC590-28B5-4743-B898-205C07CDC597}">
  <ds:schemaRef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5683C95-A841-4BE2-ADBA-55816544F322}">
  <ds:schemaRefs>
    <ds:schemaRef ds:uri="http://schemas.microsoft.com/sharepoint/v3/contenttype/forms"/>
  </ds:schemaRefs>
</ds:datastoreItem>
</file>

<file path=customXml/itemProps4.xml><?xml version="1.0" encoding="utf-8"?>
<ds:datastoreItem xmlns:ds="http://schemas.openxmlformats.org/officeDocument/2006/customXml" ds:itemID="{3336DF6D-2BAF-48AE-B23F-EF2A2E8A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90</Pages>
  <Words>36805</Words>
  <Characters>209790</Characters>
  <Application>Microsoft Office Word</Application>
  <DocSecurity>0</DocSecurity>
  <Lines>1748</Lines>
  <Paragraphs>492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246103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Patricia Calderon</cp:lastModifiedBy>
  <cp:revision>3</cp:revision>
  <cp:lastPrinted>2018-06-21T19:28:00Z</cp:lastPrinted>
  <dcterms:created xsi:type="dcterms:W3CDTF">2018-06-21T22:46:00Z</dcterms:created>
  <dcterms:modified xsi:type="dcterms:W3CDTF">2018-06-21T23:11:00Z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0x010100D015BEBE2BF87F40A76A9C926EBECC0C</vt:lpwstr>
  </property>
  <property fmtid="{D5CDD505-2E9C-101B-9397-08002B2CF9AE}" pid="3" name="_DocHome">
    <vt:i4>683061634</vt:i4>
  </property>
</Properties>
</file>