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CC1DC" w14:textId="06C6E519" w:rsidR="00191991" w:rsidRPr="00995B4D" w:rsidRDefault="00191991" w:rsidP="006C37C9">
      <w:pPr>
        <w:jc w:val="center"/>
        <w:rPr>
          <w:rFonts w:eastAsia="Calibri" w:cs="Calibri"/>
          <w:b/>
          <w:sz w:val="20"/>
          <w:szCs w:val="20"/>
          <w:lang w:val="en-US"/>
        </w:rPr>
      </w:pPr>
      <w:r w:rsidRPr="00995B4D">
        <w:rPr>
          <w:rFonts w:eastAsia="Calibri" w:cs="Calibri"/>
          <w:b/>
          <w:sz w:val="20"/>
          <w:szCs w:val="20"/>
          <w:lang w:val="en-US"/>
        </w:rPr>
        <w:t xml:space="preserve">  </w:t>
      </w:r>
    </w:p>
    <w:p w14:paraId="7CA0D6BB" w14:textId="119DFFCD" w:rsidR="00B8717A" w:rsidRPr="00995B4D" w:rsidRDefault="00B8717A" w:rsidP="000F6163">
      <w:pPr>
        <w:tabs>
          <w:tab w:val="left" w:pos="960"/>
        </w:tabs>
        <w:rPr>
          <w:rFonts w:eastAsia="Calibri" w:cs="Calibri"/>
          <w:b/>
          <w:sz w:val="20"/>
          <w:szCs w:val="20"/>
          <w:lang w:val="en-US"/>
        </w:rPr>
      </w:pPr>
    </w:p>
    <w:p w14:paraId="46121112" w14:textId="32D482CE" w:rsidR="000F6163" w:rsidRPr="00995B4D" w:rsidRDefault="000F6163" w:rsidP="000F6163">
      <w:pPr>
        <w:tabs>
          <w:tab w:val="left" w:pos="960"/>
        </w:tabs>
        <w:rPr>
          <w:rFonts w:eastAsia="Calibri" w:cs="Calibri"/>
          <w:b/>
          <w:sz w:val="20"/>
          <w:szCs w:val="20"/>
          <w:lang w:val="en-US"/>
        </w:rPr>
      </w:pPr>
    </w:p>
    <w:p w14:paraId="1DAADB73" w14:textId="77777777" w:rsidR="00842057" w:rsidRPr="00995B4D" w:rsidRDefault="00842057" w:rsidP="000F6163">
      <w:pPr>
        <w:tabs>
          <w:tab w:val="left" w:pos="960"/>
        </w:tabs>
        <w:rPr>
          <w:rFonts w:eastAsia="Calibri" w:cs="Calibri"/>
          <w:b/>
          <w:sz w:val="20"/>
          <w:szCs w:val="20"/>
          <w:lang w:val="en-US"/>
        </w:rPr>
      </w:pPr>
    </w:p>
    <w:p w14:paraId="3B784DD4" w14:textId="4099F97D" w:rsidR="005C1A24" w:rsidRPr="00995B4D" w:rsidRDefault="005C1A24" w:rsidP="006C37C9">
      <w:pPr>
        <w:jc w:val="center"/>
        <w:rPr>
          <w:rFonts w:eastAsia="Calibri" w:cs="Calibri"/>
          <w:b/>
          <w:sz w:val="20"/>
          <w:szCs w:val="20"/>
          <w:lang w:val="en-US"/>
        </w:rPr>
      </w:pPr>
    </w:p>
    <w:p w14:paraId="6E05133D" w14:textId="77777777" w:rsidR="00061AE6" w:rsidRPr="00995B4D" w:rsidRDefault="00061AE6" w:rsidP="006C37C9">
      <w:pPr>
        <w:jc w:val="center"/>
        <w:rPr>
          <w:rFonts w:eastAsia="Calibri" w:cs="Calibri"/>
          <w:b/>
          <w:sz w:val="20"/>
          <w:szCs w:val="20"/>
          <w:lang w:val="en-US"/>
        </w:rPr>
      </w:pPr>
    </w:p>
    <w:p w14:paraId="1FB4A240" w14:textId="05959B56" w:rsidR="005C731C" w:rsidRPr="00995B4D" w:rsidRDefault="005C731C" w:rsidP="00B06735">
      <w:pPr>
        <w:rPr>
          <w:rFonts w:eastAsia="Calibri" w:cs="Calibri"/>
          <w:b/>
          <w:sz w:val="20"/>
          <w:szCs w:val="20"/>
          <w:lang w:val="en-US"/>
        </w:rPr>
      </w:pPr>
    </w:p>
    <w:p w14:paraId="114E90BD" w14:textId="0BC9980F" w:rsidR="005C1A24" w:rsidRPr="00995B4D" w:rsidRDefault="008A0768" w:rsidP="00436C13">
      <w:pPr>
        <w:rPr>
          <w:rFonts w:eastAsia="Calibri" w:cs="Calibri"/>
          <w:b/>
          <w:sz w:val="20"/>
          <w:szCs w:val="20"/>
          <w:lang w:val="en-US"/>
        </w:rPr>
      </w:pPr>
      <w:r w:rsidRPr="00995B4D">
        <w:rPr>
          <w:rFonts w:eastAsia="Calibri" w:cs="Calibri"/>
          <w:b/>
          <w:sz w:val="20"/>
          <w:szCs w:val="20"/>
          <w:lang w:val="en-US"/>
        </w:rPr>
        <w:t xml:space="preserve"> </w:t>
      </w:r>
    </w:p>
    <w:p w14:paraId="0E136A85" w14:textId="77777777" w:rsidR="005C1A24" w:rsidRPr="00995B4D" w:rsidRDefault="005C1A24" w:rsidP="006C37C9">
      <w:pPr>
        <w:jc w:val="center"/>
        <w:rPr>
          <w:rFonts w:eastAsia="Calibri" w:cs="Calibri"/>
          <w:b/>
          <w:sz w:val="20"/>
          <w:szCs w:val="20"/>
          <w:lang w:val="en-US"/>
        </w:rPr>
      </w:pPr>
    </w:p>
    <w:p w14:paraId="0B417FE1" w14:textId="77777777" w:rsidR="00B8717A" w:rsidRPr="00995B4D" w:rsidRDefault="00B8717A" w:rsidP="00B1523A">
      <w:pPr>
        <w:rPr>
          <w:rFonts w:eastAsia="Calibri" w:cs="Calibri"/>
          <w:b/>
          <w:sz w:val="20"/>
          <w:szCs w:val="20"/>
          <w:lang w:val="en-US"/>
        </w:rPr>
      </w:pPr>
    </w:p>
    <w:p w14:paraId="37BE918C" w14:textId="633DB1F1" w:rsidR="006C37C9" w:rsidRPr="00CF6765" w:rsidRDefault="005C731C" w:rsidP="006C37C9">
      <w:pPr>
        <w:jc w:val="center"/>
        <w:rPr>
          <w:rFonts w:eastAsia="Calibri" w:cs="Calibri"/>
          <w:b/>
          <w:sz w:val="20"/>
          <w:szCs w:val="20"/>
          <w:lang w:val="en-US"/>
        </w:rPr>
      </w:pPr>
      <w:r w:rsidRPr="00CF6765">
        <w:rPr>
          <w:rFonts w:eastAsia="Calibri" w:cs="Calibri"/>
          <w:b/>
          <w:sz w:val="20"/>
          <w:szCs w:val="20"/>
          <w:lang w:val="en-US"/>
        </w:rPr>
        <w:t>INTER-AMERICAN COURT OF HUMAN RIGHTS</w:t>
      </w:r>
      <w:r w:rsidR="000012D8" w:rsidRPr="00CF6765">
        <w:rPr>
          <w:rStyle w:val="Refdenotaalpie"/>
          <w:rFonts w:eastAsia="MS Mincho"/>
          <w:lang w:val="en-US"/>
        </w:rPr>
        <w:footnoteReference w:customMarkFollows="1" w:id="2"/>
        <w:t>*</w:t>
      </w:r>
    </w:p>
    <w:p w14:paraId="24E2702B" w14:textId="77777777" w:rsidR="006C37C9" w:rsidRPr="00CF6765" w:rsidRDefault="006C37C9" w:rsidP="006C37C9">
      <w:pPr>
        <w:tabs>
          <w:tab w:val="left" w:pos="720"/>
        </w:tabs>
        <w:jc w:val="center"/>
        <w:rPr>
          <w:rFonts w:eastAsia="Calibri" w:cs="Verdana"/>
          <w:b/>
          <w:bCs/>
          <w:caps/>
          <w:snapToGrid w:val="0"/>
          <w:sz w:val="20"/>
          <w:szCs w:val="20"/>
          <w:lang w:val="en-US" w:eastAsia="es-ES"/>
        </w:rPr>
      </w:pPr>
    </w:p>
    <w:p w14:paraId="1DF5DFF7" w14:textId="56965E59" w:rsidR="006C37C9" w:rsidRPr="00CF6765" w:rsidRDefault="006C37C9" w:rsidP="006C37C9">
      <w:pPr>
        <w:jc w:val="center"/>
        <w:rPr>
          <w:rFonts w:eastAsia="Calibri" w:cs="Calibri"/>
          <w:b/>
          <w:sz w:val="20"/>
          <w:szCs w:val="20"/>
          <w:lang w:val="en-US"/>
        </w:rPr>
      </w:pPr>
      <w:r w:rsidRPr="00CF6765">
        <w:rPr>
          <w:rFonts w:eastAsia="Calibri" w:cs="Calibri"/>
          <w:b/>
          <w:sz w:val="20"/>
          <w:szCs w:val="20"/>
          <w:lang w:val="en-US"/>
        </w:rPr>
        <w:t>CAS</w:t>
      </w:r>
      <w:r w:rsidR="005C731C" w:rsidRPr="00CF6765">
        <w:rPr>
          <w:rFonts w:eastAsia="Calibri" w:cs="Calibri"/>
          <w:b/>
          <w:sz w:val="20"/>
          <w:szCs w:val="20"/>
          <w:lang w:val="en-US"/>
        </w:rPr>
        <w:t>E OF</w:t>
      </w:r>
      <w:r w:rsidRPr="00CF6765">
        <w:rPr>
          <w:rFonts w:eastAsia="Calibri" w:cs="Calibri"/>
          <w:b/>
          <w:sz w:val="20"/>
          <w:szCs w:val="20"/>
          <w:lang w:val="en-US"/>
        </w:rPr>
        <w:t xml:space="preserve"> </w:t>
      </w:r>
      <w:r w:rsidR="00E80907" w:rsidRPr="00CF6765">
        <w:rPr>
          <w:rFonts w:eastAsia="Calibri" w:cs="Calibri"/>
          <w:b/>
          <w:sz w:val="20"/>
          <w:szCs w:val="20"/>
          <w:lang w:val="en-US"/>
        </w:rPr>
        <w:t xml:space="preserve">POBLETE VILCHES </w:t>
      </w:r>
      <w:r w:rsidR="005C731C" w:rsidRPr="00CF6765">
        <w:rPr>
          <w:rFonts w:eastAsia="Calibri" w:cs="Calibri"/>
          <w:b/>
          <w:i/>
          <w:iCs/>
          <w:sz w:val="20"/>
          <w:szCs w:val="20"/>
          <w:lang w:val="en-US"/>
        </w:rPr>
        <w:t>ET AL. V.</w:t>
      </w:r>
      <w:r w:rsidRPr="00CF6765">
        <w:rPr>
          <w:rFonts w:eastAsia="Calibri" w:cs="Calibri"/>
          <w:b/>
          <w:sz w:val="20"/>
          <w:szCs w:val="20"/>
          <w:lang w:val="en-US"/>
        </w:rPr>
        <w:t xml:space="preserve"> </w:t>
      </w:r>
      <w:r w:rsidR="00E80907" w:rsidRPr="00CF6765">
        <w:rPr>
          <w:rFonts w:eastAsia="Calibri" w:cs="Calibri"/>
          <w:b/>
          <w:sz w:val="20"/>
          <w:szCs w:val="20"/>
          <w:lang w:val="en-US"/>
        </w:rPr>
        <w:t>CHILE</w:t>
      </w:r>
    </w:p>
    <w:p w14:paraId="7C9DBF00" w14:textId="77777777" w:rsidR="006C37C9" w:rsidRPr="00CF6765" w:rsidRDefault="006C37C9" w:rsidP="006C37C9">
      <w:pPr>
        <w:tabs>
          <w:tab w:val="left" w:pos="720"/>
        </w:tabs>
        <w:jc w:val="center"/>
        <w:rPr>
          <w:rFonts w:eastAsia="Calibri" w:cs="Verdana"/>
          <w:b/>
          <w:bCs/>
          <w:caps/>
          <w:snapToGrid w:val="0"/>
          <w:sz w:val="20"/>
          <w:szCs w:val="20"/>
          <w:lang w:val="en-US" w:eastAsia="es-ES"/>
        </w:rPr>
      </w:pPr>
    </w:p>
    <w:p w14:paraId="4AB54CA6" w14:textId="51150EED" w:rsidR="006C37C9" w:rsidRPr="00CF6765" w:rsidRDefault="005C731C" w:rsidP="006C37C9">
      <w:pPr>
        <w:tabs>
          <w:tab w:val="left" w:pos="720"/>
        </w:tabs>
        <w:jc w:val="center"/>
        <w:rPr>
          <w:rFonts w:eastAsia="Calibri" w:cs="Verdana"/>
          <w:b/>
          <w:bCs/>
          <w:snapToGrid w:val="0"/>
          <w:sz w:val="20"/>
          <w:szCs w:val="20"/>
          <w:lang w:val="en-US" w:eastAsia="es-ES"/>
        </w:rPr>
      </w:pPr>
      <w:r w:rsidRPr="00CF6765">
        <w:rPr>
          <w:rFonts w:eastAsia="Calibri" w:cs="Verdana"/>
          <w:b/>
          <w:bCs/>
          <w:snapToGrid w:val="0"/>
          <w:sz w:val="20"/>
          <w:szCs w:val="20"/>
          <w:lang w:val="en-US" w:eastAsia="es-ES"/>
        </w:rPr>
        <w:t>JUDGMENT OF MARCH</w:t>
      </w:r>
      <w:r w:rsidR="006C37C9" w:rsidRPr="00CF6765">
        <w:rPr>
          <w:rFonts w:eastAsia="Calibri" w:cs="Verdana"/>
          <w:b/>
          <w:bCs/>
          <w:snapToGrid w:val="0"/>
          <w:sz w:val="20"/>
          <w:szCs w:val="20"/>
          <w:lang w:val="en-US" w:eastAsia="es-ES"/>
        </w:rPr>
        <w:t xml:space="preserve"> </w:t>
      </w:r>
      <w:r w:rsidR="00AE766F" w:rsidRPr="00CF6765">
        <w:rPr>
          <w:rFonts w:eastAsia="Calibri" w:cs="Verdana"/>
          <w:b/>
          <w:bCs/>
          <w:snapToGrid w:val="0"/>
          <w:sz w:val="20"/>
          <w:szCs w:val="20"/>
          <w:lang w:val="en-US" w:eastAsia="es-ES"/>
        </w:rPr>
        <w:t>8</w:t>
      </w:r>
      <w:r w:rsidRPr="00CF6765">
        <w:rPr>
          <w:rFonts w:eastAsia="Calibri" w:cs="Verdana"/>
          <w:b/>
          <w:bCs/>
          <w:snapToGrid w:val="0"/>
          <w:sz w:val="20"/>
          <w:szCs w:val="20"/>
          <w:lang w:val="en-US" w:eastAsia="es-ES"/>
        </w:rPr>
        <w:t xml:space="preserve">, </w:t>
      </w:r>
      <w:r w:rsidR="007020DF" w:rsidRPr="00CF6765">
        <w:rPr>
          <w:rFonts w:eastAsia="Calibri" w:cs="Verdana"/>
          <w:b/>
          <w:bCs/>
          <w:snapToGrid w:val="0"/>
          <w:sz w:val="20"/>
          <w:szCs w:val="20"/>
          <w:lang w:val="en-US" w:eastAsia="es-ES"/>
        </w:rPr>
        <w:t>2018</w:t>
      </w:r>
    </w:p>
    <w:p w14:paraId="284A5A7E" w14:textId="77777777" w:rsidR="006C37C9" w:rsidRPr="00CF6765" w:rsidRDefault="006C37C9" w:rsidP="006C37C9">
      <w:pPr>
        <w:tabs>
          <w:tab w:val="left" w:pos="720"/>
        </w:tabs>
        <w:jc w:val="center"/>
        <w:rPr>
          <w:rFonts w:eastAsia="Calibri" w:cs="Verdana"/>
          <w:b/>
          <w:bCs/>
          <w:caps/>
          <w:snapToGrid w:val="0"/>
          <w:sz w:val="20"/>
          <w:szCs w:val="20"/>
          <w:lang w:val="en-US" w:eastAsia="es-ES"/>
        </w:rPr>
      </w:pPr>
    </w:p>
    <w:p w14:paraId="477E539D" w14:textId="4832B219" w:rsidR="006C37C9" w:rsidRPr="00CF6765" w:rsidRDefault="006C37C9" w:rsidP="006C37C9">
      <w:pPr>
        <w:tabs>
          <w:tab w:val="left" w:pos="720"/>
        </w:tabs>
        <w:jc w:val="center"/>
        <w:rPr>
          <w:rFonts w:eastAsia="Calibri" w:cs="Verdana"/>
          <w:b/>
          <w:bCs/>
          <w:caps/>
          <w:snapToGrid w:val="0"/>
          <w:sz w:val="20"/>
          <w:szCs w:val="20"/>
          <w:lang w:val="en-US" w:eastAsia="es-ES"/>
        </w:rPr>
      </w:pPr>
      <w:r w:rsidRPr="00CF6765">
        <w:rPr>
          <w:rFonts w:eastAsia="Calibri" w:cs="Verdana"/>
          <w:b/>
          <w:bCs/>
          <w:i/>
          <w:iCs/>
          <w:snapToGrid w:val="0"/>
          <w:sz w:val="20"/>
          <w:szCs w:val="20"/>
          <w:lang w:val="en-US" w:eastAsia="es-ES"/>
        </w:rPr>
        <w:t>(</w:t>
      </w:r>
      <w:r w:rsidR="005C731C" w:rsidRPr="00CF6765">
        <w:rPr>
          <w:rFonts w:eastAsia="Calibri" w:cs="Verdana"/>
          <w:b/>
          <w:bCs/>
          <w:i/>
          <w:iCs/>
          <w:snapToGrid w:val="0"/>
          <w:sz w:val="20"/>
          <w:szCs w:val="20"/>
          <w:lang w:val="en-US" w:eastAsia="es-ES"/>
        </w:rPr>
        <w:t>Merits, reparations and costs</w:t>
      </w:r>
      <w:r w:rsidRPr="00CF6765">
        <w:rPr>
          <w:rFonts w:eastAsia="Calibri" w:cs="Verdana"/>
          <w:b/>
          <w:bCs/>
          <w:i/>
          <w:iCs/>
          <w:snapToGrid w:val="0"/>
          <w:sz w:val="20"/>
          <w:szCs w:val="20"/>
          <w:lang w:val="en-US" w:eastAsia="es-ES"/>
        </w:rPr>
        <w:t>)</w:t>
      </w:r>
    </w:p>
    <w:p w14:paraId="545A7E95" w14:textId="77777777" w:rsidR="006C37C9" w:rsidRPr="00CF6765" w:rsidRDefault="006C37C9" w:rsidP="006C37C9">
      <w:pPr>
        <w:spacing w:before="4" w:line="280" w:lineRule="exact"/>
        <w:rPr>
          <w:rFonts w:ascii="Calibri" w:eastAsia="Calibri" w:hAnsi="Calibri"/>
          <w:sz w:val="28"/>
          <w:szCs w:val="28"/>
          <w:lang w:val="en-US"/>
        </w:rPr>
      </w:pPr>
    </w:p>
    <w:p w14:paraId="2EB6FE16" w14:textId="77777777" w:rsidR="006C37C9" w:rsidRPr="00CF6765" w:rsidRDefault="006C37C9" w:rsidP="006C37C9">
      <w:pPr>
        <w:spacing w:before="4" w:line="280" w:lineRule="exact"/>
        <w:rPr>
          <w:rFonts w:ascii="Calibri" w:eastAsia="Calibri" w:hAnsi="Calibri"/>
          <w:sz w:val="28"/>
          <w:szCs w:val="28"/>
          <w:lang w:val="en-US"/>
        </w:rPr>
      </w:pPr>
    </w:p>
    <w:p w14:paraId="3D3E514F" w14:textId="77777777" w:rsidR="006C37C9" w:rsidRPr="00CF6765" w:rsidRDefault="006C37C9" w:rsidP="006C37C9">
      <w:pPr>
        <w:spacing w:before="4" w:line="280" w:lineRule="exact"/>
        <w:rPr>
          <w:rFonts w:ascii="Calibri" w:eastAsia="Calibri" w:hAnsi="Calibri"/>
          <w:sz w:val="28"/>
          <w:szCs w:val="28"/>
          <w:lang w:val="en-US"/>
        </w:rPr>
      </w:pPr>
    </w:p>
    <w:p w14:paraId="1AC209D6" w14:textId="77777777" w:rsidR="006C37C9" w:rsidRPr="00CF6765" w:rsidRDefault="006C37C9" w:rsidP="006C37C9">
      <w:pPr>
        <w:spacing w:before="4" w:line="280" w:lineRule="exact"/>
        <w:rPr>
          <w:rFonts w:ascii="Calibri" w:eastAsia="Calibri" w:hAnsi="Calibri"/>
          <w:sz w:val="28"/>
          <w:szCs w:val="28"/>
          <w:lang w:val="en-US"/>
        </w:rPr>
      </w:pPr>
    </w:p>
    <w:p w14:paraId="21000AD2" w14:textId="7F9F8985" w:rsidR="006C37C9" w:rsidRPr="00CF6765" w:rsidRDefault="005C731C" w:rsidP="006C37C9">
      <w:pPr>
        <w:tabs>
          <w:tab w:val="left" w:pos="720"/>
        </w:tabs>
        <w:rPr>
          <w:rFonts w:eastAsia="Verdana" w:cs="Verdana"/>
          <w:sz w:val="20"/>
          <w:szCs w:val="20"/>
          <w:lang w:val="en-US"/>
        </w:rPr>
      </w:pPr>
      <w:r w:rsidRPr="00CF6765">
        <w:rPr>
          <w:rFonts w:eastAsia="Verdana" w:cs="Verdana"/>
          <w:sz w:val="20"/>
          <w:szCs w:val="20"/>
          <w:lang w:val="en-US"/>
        </w:rPr>
        <w:t>In the case of</w:t>
      </w:r>
      <w:r w:rsidR="006C37C9" w:rsidRPr="00CF6765">
        <w:rPr>
          <w:rFonts w:eastAsia="Verdana" w:cs="Verdana"/>
          <w:sz w:val="20"/>
          <w:szCs w:val="20"/>
          <w:lang w:val="en-US"/>
        </w:rPr>
        <w:t xml:space="preserve"> </w:t>
      </w:r>
      <w:r w:rsidR="000012D8" w:rsidRPr="00CF6765">
        <w:rPr>
          <w:rFonts w:eastAsia="Verdana" w:cs="Verdana"/>
          <w:i/>
          <w:sz w:val="20"/>
          <w:szCs w:val="20"/>
          <w:lang w:val="en-US"/>
        </w:rPr>
        <w:t xml:space="preserve">Poblete </w:t>
      </w:r>
      <w:proofErr w:type="spellStart"/>
      <w:r w:rsidRPr="00CF6765">
        <w:rPr>
          <w:rFonts w:eastAsia="Verdana" w:cs="Verdana"/>
          <w:i/>
          <w:sz w:val="20"/>
          <w:szCs w:val="20"/>
          <w:lang w:val="en-US"/>
        </w:rPr>
        <w:t>Vilches</w:t>
      </w:r>
      <w:proofErr w:type="spellEnd"/>
      <w:r w:rsidRPr="00CF6765">
        <w:rPr>
          <w:rFonts w:eastAsia="Verdana" w:cs="Verdana"/>
          <w:i/>
          <w:sz w:val="20"/>
          <w:szCs w:val="20"/>
          <w:lang w:val="en-US"/>
        </w:rPr>
        <w:t xml:space="preserve"> et al.</w:t>
      </w:r>
      <w:r w:rsidR="006C37C9" w:rsidRPr="00CF6765">
        <w:rPr>
          <w:rFonts w:eastAsia="Verdana" w:cs="Verdana"/>
          <w:sz w:val="20"/>
          <w:szCs w:val="20"/>
          <w:lang w:val="en-US"/>
        </w:rPr>
        <w:t>,</w:t>
      </w:r>
    </w:p>
    <w:p w14:paraId="19ABD6FC" w14:textId="77777777" w:rsidR="006C37C9" w:rsidRPr="00CF6765" w:rsidRDefault="006C37C9" w:rsidP="006C37C9">
      <w:pPr>
        <w:spacing w:before="4" w:line="240" w:lineRule="exact"/>
        <w:rPr>
          <w:rFonts w:ascii="Calibri" w:eastAsia="Calibri" w:hAnsi="Calibri"/>
          <w:lang w:val="en-US"/>
        </w:rPr>
      </w:pPr>
    </w:p>
    <w:p w14:paraId="706339F7" w14:textId="7C9657BD" w:rsidR="006C37C9" w:rsidRPr="00CF6765" w:rsidRDefault="005C731C" w:rsidP="006C37C9">
      <w:pPr>
        <w:tabs>
          <w:tab w:val="left" w:pos="720"/>
        </w:tabs>
        <w:rPr>
          <w:rFonts w:eastAsia="Calibri" w:cs="Verdana"/>
          <w:sz w:val="20"/>
          <w:szCs w:val="20"/>
          <w:lang w:val="en-US"/>
        </w:rPr>
      </w:pPr>
      <w:r w:rsidRPr="00CF6765">
        <w:rPr>
          <w:rFonts w:eastAsia="Calibri" w:cs="Verdana"/>
          <w:sz w:val="20"/>
          <w:szCs w:val="20"/>
          <w:lang w:val="en-US"/>
        </w:rPr>
        <w:t>the Inter-American Court of Human Rights</w:t>
      </w:r>
      <w:r w:rsidR="006C37C9" w:rsidRPr="00CF6765">
        <w:rPr>
          <w:rFonts w:eastAsia="Calibri" w:cs="Verdana"/>
          <w:sz w:val="20"/>
          <w:szCs w:val="20"/>
          <w:lang w:val="en-US"/>
        </w:rPr>
        <w:t xml:space="preserve"> (</w:t>
      </w:r>
      <w:r w:rsidRPr="00CF6765">
        <w:rPr>
          <w:rFonts w:eastAsia="Calibri" w:cs="Verdana"/>
          <w:sz w:val="20"/>
          <w:szCs w:val="20"/>
          <w:lang w:val="en-US"/>
        </w:rPr>
        <w:t>hereinafter</w:t>
      </w:r>
      <w:r w:rsidR="006C37C9" w:rsidRPr="00CF6765">
        <w:rPr>
          <w:rFonts w:eastAsia="Calibri" w:cs="Verdana"/>
          <w:sz w:val="20"/>
          <w:szCs w:val="20"/>
          <w:lang w:val="en-US"/>
        </w:rPr>
        <w:t xml:space="preserve"> “</w:t>
      </w:r>
      <w:r w:rsidRPr="00CF6765">
        <w:rPr>
          <w:rFonts w:eastAsia="Calibri" w:cs="Verdana"/>
          <w:sz w:val="20"/>
          <w:szCs w:val="20"/>
          <w:lang w:val="en-US"/>
        </w:rPr>
        <w:t>the Inter-American Court</w:t>
      </w:r>
      <w:r w:rsidR="006C37C9" w:rsidRPr="00CF6765">
        <w:rPr>
          <w:rFonts w:eastAsia="Calibri" w:cs="Verdana"/>
          <w:sz w:val="20"/>
          <w:szCs w:val="20"/>
          <w:lang w:val="en-US"/>
        </w:rPr>
        <w:t>”</w:t>
      </w:r>
      <w:r w:rsidRPr="00CF6765">
        <w:rPr>
          <w:rFonts w:eastAsia="Calibri" w:cs="Verdana"/>
          <w:sz w:val="20"/>
          <w:szCs w:val="20"/>
          <w:lang w:val="en-US"/>
        </w:rPr>
        <w:t xml:space="preserve"> or</w:t>
      </w:r>
      <w:r w:rsidR="006C37C9" w:rsidRPr="00CF6765">
        <w:rPr>
          <w:rFonts w:eastAsia="Calibri" w:cs="Verdana"/>
          <w:sz w:val="20"/>
          <w:szCs w:val="20"/>
          <w:lang w:val="en-US"/>
        </w:rPr>
        <w:t xml:space="preserve"> “</w:t>
      </w:r>
      <w:r w:rsidRPr="00CF6765">
        <w:rPr>
          <w:rFonts w:eastAsia="Calibri" w:cs="Verdana"/>
          <w:sz w:val="20"/>
          <w:szCs w:val="20"/>
          <w:lang w:val="en-US"/>
        </w:rPr>
        <w:t>the Court</w:t>
      </w:r>
      <w:r w:rsidR="006C37C9" w:rsidRPr="00CF6765">
        <w:rPr>
          <w:rFonts w:eastAsia="Calibri" w:cs="Verdana"/>
          <w:sz w:val="20"/>
          <w:szCs w:val="20"/>
          <w:lang w:val="en-US"/>
        </w:rPr>
        <w:t xml:space="preserve">”), </w:t>
      </w:r>
      <w:r w:rsidRPr="00CF6765">
        <w:rPr>
          <w:rFonts w:eastAsia="Calibri" w:cs="Verdana"/>
          <w:sz w:val="20"/>
          <w:szCs w:val="20"/>
          <w:lang w:val="en-US"/>
        </w:rPr>
        <w:t>composed of the following judges</w:t>
      </w:r>
      <w:r w:rsidR="006C37C9" w:rsidRPr="00CF6765">
        <w:rPr>
          <w:rFonts w:eastAsia="Calibri" w:cs="Verdana"/>
          <w:sz w:val="20"/>
          <w:szCs w:val="20"/>
          <w:lang w:val="en-US"/>
        </w:rPr>
        <w:t>:</w:t>
      </w:r>
    </w:p>
    <w:p w14:paraId="29B3B051" w14:textId="77777777" w:rsidR="006C37C9" w:rsidRPr="00CF6765" w:rsidRDefault="006C37C9" w:rsidP="006C37C9">
      <w:pPr>
        <w:tabs>
          <w:tab w:val="left" w:pos="720"/>
        </w:tabs>
        <w:rPr>
          <w:rFonts w:eastAsia="Calibri" w:cs="Verdana"/>
          <w:sz w:val="20"/>
          <w:szCs w:val="20"/>
          <w:lang w:val="en-US"/>
        </w:rPr>
      </w:pPr>
    </w:p>
    <w:p w14:paraId="6D7FE95E" w14:textId="079B0CBF" w:rsidR="006C37C9" w:rsidRPr="003558F5" w:rsidRDefault="006C37C9" w:rsidP="006C37C9">
      <w:pPr>
        <w:tabs>
          <w:tab w:val="left" w:pos="720"/>
        </w:tabs>
        <w:rPr>
          <w:rFonts w:eastAsia="Calibri" w:cs="Verdana"/>
          <w:sz w:val="20"/>
          <w:szCs w:val="20"/>
        </w:rPr>
      </w:pPr>
      <w:r w:rsidRPr="003558F5">
        <w:rPr>
          <w:rFonts w:eastAsia="Calibri" w:cs="Verdana"/>
          <w:sz w:val="20"/>
          <w:szCs w:val="20"/>
        </w:rPr>
        <w:t>Eduardo Ferrer Mac-</w:t>
      </w:r>
      <w:proofErr w:type="spellStart"/>
      <w:r w:rsidRPr="003558F5">
        <w:rPr>
          <w:rFonts w:eastAsia="Calibri" w:cs="Verdana"/>
          <w:sz w:val="20"/>
          <w:szCs w:val="20"/>
        </w:rPr>
        <w:t>Gregor</w:t>
      </w:r>
      <w:proofErr w:type="spellEnd"/>
      <w:r w:rsidRPr="003558F5">
        <w:rPr>
          <w:rFonts w:eastAsia="Calibri" w:cs="Verdana"/>
          <w:sz w:val="20"/>
          <w:szCs w:val="20"/>
        </w:rPr>
        <w:t xml:space="preserve"> </w:t>
      </w:r>
      <w:proofErr w:type="spellStart"/>
      <w:r w:rsidRPr="003558F5">
        <w:rPr>
          <w:rFonts w:eastAsia="Calibri" w:cs="Verdana"/>
          <w:sz w:val="20"/>
          <w:szCs w:val="20"/>
        </w:rPr>
        <w:t>Poisot</w:t>
      </w:r>
      <w:proofErr w:type="spellEnd"/>
      <w:r w:rsidRPr="003558F5">
        <w:rPr>
          <w:rFonts w:eastAsia="Calibri" w:cs="Verdana"/>
          <w:sz w:val="20"/>
          <w:szCs w:val="20"/>
        </w:rPr>
        <w:t xml:space="preserve">, </w:t>
      </w:r>
      <w:proofErr w:type="spellStart"/>
      <w:r w:rsidR="005C731C" w:rsidRPr="003558F5">
        <w:rPr>
          <w:rFonts w:eastAsia="Calibri" w:cs="Verdana"/>
          <w:sz w:val="20"/>
          <w:szCs w:val="20"/>
        </w:rPr>
        <w:t>President</w:t>
      </w:r>
      <w:proofErr w:type="spellEnd"/>
    </w:p>
    <w:p w14:paraId="34DF88F3" w14:textId="6244BAED" w:rsidR="006C37C9" w:rsidRPr="003558F5" w:rsidRDefault="006C37C9" w:rsidP="006C37C9">
      <w:pPr>
        <w:tabs>
          <w:tab w:val="left" w:pos="720"/>
        </w:tabs>
        <w:rPr>
          <w:rFonts w:eastAsia="Calibri" w:cs="Verdana"/>
          <w:sz w:val="20"/>
          <w:szCs w:val="20"/>
        </w:rPr>
      </w:pPr>
      <w:r w:rsidRPr="003558F5">
        <w:rPr>
          <w:rFonts w:eastAsia="Calibri" w:cs="Verdana"/>
          <w:sz w:val="20"/>
          <w:szCs w:val="20"/>
        </w:rPr>
        <w:t xml:space="preserve">Humberto Antonio Sierra Porto, </w:t>
      </w:r>
      <w:proofErr w:type="spellStart"/>
      <w:r w:rsidR="005C731C" w:rsidRPr="003558F5">
        <w:rPr>
          <w:rFonts w:eastAsia="Calibri" w:cs="Verdana"/>
          <w:sz w:val="20"/>
          <w:szCs w:val="20"/>
        </w:rPr>
        <w:t>Judge</w:t>
      </w:r>
      <w:proofErr w:type="spellEnd"/>
    </w:p>
    <w:p w14:paraId="7E95B362" w14:textId="550699CA" w:rsidR="006C37C9" w:rsidRPr="003558F5" w:rsidRDefault="006C37C9" w:rsidP="007E5CD5">
      <w:pPr>
        <w:tabs>
          <w:tab w:val="left" w:pos="720"/>
          <w:tab w:val="left" w:pos="5760"/>
        </w:tabs>
        <w:rPr>
          <w:rFonts w:eastAsia="Calibri" w:cs="Verdana"/>
          <w:sz w:val="20"/>
          <w:szCs w:val="20"/>
        </w:rPr>
      </w:pPr>
      <w:r w:rsidRPr="003558F5">
        <w:rPr>
          <w:rFonts w:eastAsia="Calibri" w:cs="Verdana"/>
          <w:sz w:val="20"/>
          <w:szCs w:val="20"/>
        </w:rPr>
        <w:t xml:space="preserve">Elizabeth Odio Benito, </w:t>
      </w:r>
      <w:proofErr w:type="spellStart"/>
      <w:r w:rsidR="005C731C" w:rsidRPr="003558F5">
        <w:rPr>
          <w:rFonts w:eastAsia="Calibri" w:cs="Verdana"/>
          <w:sz w:val="20"/>
          <w:szCs w:val="20"/>
        </w:rPr>
        <w:t>Judge</w:t>
      </w:r>
      <w:proofErr w:type="spellEnd"/>
      <w:r w:rsidR="007E5CD5" w:rsidRPr="003558F5">
        <w:rPr>
          <w:rFonts w:eastAsia="Calibri" w:cs="Verdana"/>
          <w:sz w:val="20"/>
          <w:szCs w:val="20"/>
        </w:rPr>
        <w:tab/>
      </w:r>
    </w:p>
    <w:p w14:paraId="500FA006" w14:textId="2DED6100" w:rsidR="006C37C9" w:rsidRPr="003558F5" w:rsidRDefault="006C37C9" w:rsidP="006C37C9">
      <w:pPr>
        <w:tabs>
          <w:tab w:val="left" w:pos="720"/>
        </w:tabs>
        <w:rPr>
          <w:rFonts w:eastAsia="Calibri" w:cs="Verdana"/>
          <w:sz w:val="20"/>
          <w:szCs w:val="20"/>
        </w:rPr>
      </w:pPr>
      <w:r w:rsidRPr="003558F5">
        <w:rPr>
          <w:rFonts w:eastAsia="Calibri" w:cs="Verdana"/>
          <w:sz w:val="20"/>
          <w:szCs w:val="20"/>
        </w:rPr>
        <w:t xml:space="preserve">Eugenio Raúl Zaffaroni, </w:t>
      </w:r>
      <w:proofErr w:type="spellStart"/>
      <w:r w:rsidR="005C731C" w:rsidRPr="003558F5">
        <w:rPr>
          <w:rFonts w:eastAsia="Calibri" w:cs="Verdana"/>
          <w:sz w:val="20"/>
          <w:szCs w:val="20"/>
        </w:rPr>
        <w:t>Judge</w:t>
      </w:r>
      <w:proofErr w:type="spellEnd"/>
      <w:r w:rsidRPr="003558F5">
        <w:rPr>
          <w:rFonts w:eastAsia="Calibri" w:cs="Verdana"/>
          <w:sz w:val="20"/>
          <w:szCs w:val="20"/>
        </w:rPr>
        <w:t xml:space="preserve">, </w:t>
      </w:r>
      <w:r w:rsidR="005C731C" w:rsidRPr="003558F5">
        <w:rPr>
          <w:rFonts w:eastAsia="Calibri" w:cs="Verdana"/>
          <w:sz w:val="20"/>
          <w:szCs w:val="20"/>
        </w:rPr>
        <w:t>and</w:t>
      </w:r>
    </w:p>
    <w:p w14:paraId="027AF5E7" w14:textId="410F8300" w:rsidR="006C37C9" w:rsidRPr="003558F5" w:rsidRDefault="006C37C9" w:rsidP="006C37C9">
      <w:pPr>
        <w:tabs>
          <w:tab w:val="left" w:pos="720"/>
        </w:tabs>
        <w:rPr>
          <w:rFonts w:eastAsia="Calibri" w:cs="Verdana"/>
          <w:sz w:val="20"/>
          <w:szCs w:val="20"/>
        </w:rPr>
      </w:pPr>
      <w:r w:rsidRPr="003558F5">
        <w:rPr>
          <w:rFonts w:eastAsia="Calibri" w:cs="Verdana"/>
          <w:sz w:val="20"/>
          <w:szCs w:val="20"/>
        </w:rPr>
        <w:t xml:space="preserve">L. Patricio Pazmiño Freire, </w:t>
      </w:r>
      <w:proofErr w:type="spellStart"/>
      <w:r w:rsidR="005C731C" w:rsidRPr="003558F5">
        <w:rPr>
          <w:rFonts w:eastAsia="Calibri" w:cs="Verdana"/>
          <w:sz w:val="20"/>
          <w:szCs w:val="20"/>
        </w:rPr>
        <w:t>Judge</w:t>
      </w:r>
      <w:proofErr w:type="spellEnd"/>
      <w:r w:rsidRPr="003558F5">
        <w:rPr>
          <w:rFonts w:eastAsia="Calibri" w:cs="Verdana"/>
          <w:sz w:val="20"/>
          <w:szCs w:val="20"/>
        </w:rPr>
        <w:t>;</w:t>
      </w:r>
    </w:p>
    <w:p w14:paraId="42384BBA" w14:textId="77777777" w:rsidR="006C37C9" w:rsidRPr="003558F5" w:rsidRDefault="006C37C9" w:rsidP="006C37C9">
      <w:pPr>
        <w:tabs>
          <w:tab w:val="left" w:pos="720"/>
        </w:tabs>
        <w:rPr>
          <w:rFonts w:eastAsia="Calibri" w:cs="Verdana"/>
          <w:sz w:val="20"/>
          <w:szCs w:val="20"/>
        </w:rPr>
      </w:pPr>
    </w:p>
    <w:p w14:paraId="04BDE9E1" w14:textId="01F20606" w:rsidR="006C37C9" w:rsidRPr="003558F5" w:rsidRDefault="00A032F9" w:rsidP="006C37C9">
      <w:pPr>
        <w:tabs>
          <w:tab w:val="left" w:pos="720"/>
        </w:tabs>
        <w:rPr>
          <w:rFonts w:eastAsia="Calibri" w:cs="Verdana"/>
          <w:sz w:val="20"/>
          <w:szCs w:val="20"/>
        </w:rPr>
      </w:pPr>
      <w:proofErr w:type="spellStart"/>
      <w:r w:rsidRPr="003558F5">
        <w:rPr>
          <w:rFonts w:eastAsia="Calibri" w:cs="Verdana"/>
          <w:sz w:val="20"/>
          <w:szCs w:val="20"/>
        </w:rPr>
        <w:t>a</w:t>
      </w:r>
      <w:r w:rsidR="005C731C" w:rsidRPr="003558F5">
        <w:rPr>
          <w:rFonts w:eastAsia="Calibri" w:cs="Verdana"/>
          <w:sz w:val="20"/>
          <w:szCs w:val="20"/>
        </w:rPr>
        <w:t>lso</w:t>
      </w:r>
      <w:proofErr w:type="spellEnd"/>
      <w:r w:rsidR="005C731C" w:rsidRPr="003558F5">
        <w:rPr>
          <w:rFonts w:eastAsia="Calibri" w:cs="Verdana"/>
          <w:sz w:val="20"/>
          <w:szCs w:val="20"/>
        </w:rPr>
        <w:t xml:space="preserve"> </w:t>
      </w:r>
      <w:proofErr w:type="spellStart"/>
      <w:r w:rsidR="005C731C" w:rsidRPr="003558F5">
        <w:rPr>
          <w:rFonts w:eastAsia="Calibri" w:cs="Verdana"/>
          <w:sz w:val="20"/>
          <w:szCs w:val="20"/>
        </w:rPr>
        <w:t>present</w:t>
      </w:r>
      <w:proofErr w:type="spellEnd"/>
      <w:r w:rsidR="005C731C" w:rsidRPr="003558F5">
        <w:rPr>
          <w:rFonts w:eastAsia="Calibri" w:cs="Verdana"/>
          <w:sz w:val="20"/>
          <w:szCs w:val="20"/>
        </w:rPr>
        <w:t>,</w:t>
      </w:r>
      <w:r w:rsidR="00746759" w:rsidRPr="003558F5">
        <w:rPr>
          <w:rStyle w:val="Refdenotaalpie"/>
          <w:rFonts w:eastAsia="MS Mincho"/>
        </w:rPr>
        <w:footnoteReference w:customMarkFollows="1" w:id="3"/>
        <w:t>*</w:t>
      </w:r>
      <w:r w:rsidR="00746759" w:rsidRPr="003558F5">
        <w:rPr>
          <w:rStyle w:val="Refdenotaalpie"/>
          <w:rFonts w:eastAsia="MS Mincho"/>
        </w:rPr>
        <w:footnoteReference w:customMarkFollows="1" w:id="4"/>
        <w:t>*</w:t>
      </w:r>
    </w:p>
    <w:p w14:paraId="04C215EA" w14:textId="77777777" w:rsidR="006C37C9" w:rsidRPr="003558F5" w:rsidRDefault="006C37C9" w:rsidP="006C37C9">
      <w:pPr>
        <w:tabs>
          <w:tab w:val="left" w:pos="720"/>
        </w:tabs>
        <w:rPr>
          <w:rFonts w:eastAsia="Calibri" w:cs="Verdana"/>
          <w:sz w:val="20"/>
          <w:szCs w:val="20"/>
        </w:rPr>
      </w:pPr>
    </w:p>
    <w:p w14:paraId="24CF55D3" w14:textId="75AB9A67" w:rsidR="006C37C9" w:rsidRPr="003558F5" w:rsidRDefault="006C37C9" w:rsidP="006C37C9">
      <w:pPr>
        <w:tabs>
          <w:tab w:val="left" w:pos="720"/>
        </w:tabs>
        <w:rPr>
          <w:rFonts w:eastAsia="Calibri" w:cs="Verdana"/>
          <w:sz w:val="20"/>
          <w:szCs w:val="20"/>
        </w:rPr>
      </w:pPr>
      <w:r w:rsidRPr="003558F5">
        <w:rPr>
          <w:rFonts w:eastAsia="Calibri" w:cs="Verdana"/>
          <w:sz w:val="20"/>
          <w:szCs w:val="20"/>
          <w:lang w:eastAsia="es-MX"/>
        </w:rPr>
        <w:t xml:space="preserve">Emilia Segares Rodríguez, </w:t>
      </w:r>
      <w:proofErr w:type="spellStart"/>
      <w:r w:rsidR="005C731C" w:rsidRPr="003558F5">
        <w:rPr>
          <w:rFonts w:eastAsia="Calibri" w:cs="Verdana"/>
          <w:sz w:val="20"/>
          <w:szCs w:val="20"/>
          <w:lang w:eastAsia="es-MX"/>
        </w:rPr>
        <w:t>Deputy</w:t>
      </w:r>
      <w:proofErr w:type="spellEnd"/>
      <w:r w:rsidR="005C731C" w:rsidRPr="003558F5">
        <w:rPr>
          <w:rFonts w:eastAsia="Calibri" w:cs="Verdana"/>
          <w:sz w:val="20"/>
          <w:szCs w:val="20"/>
          <w:lang w:eastAsia="es-MX"/>
        </w:rPr>
        <w:t xml:space="preserve"> </w:t>
      </w:r>
      <w:proofErr w:type="spellStart"/>
      <w:r w:rsidR="005C731C" w:rsidRPr="003558F5">
        <w:rPr>
          <w:rFonts w:eastAsia="Calibri" w:cs="Verdana"/>
          <w:sz w:val="20"/>
          <w:szCs w:val="20"/>
          <w:lang w:eastAsia="es-MX"/>
        </w:rPr>
        <w:t>Secretary</w:t>
      </w:r>
      <w:proofErr w:type="spellEnd"/>
      <w:r w:rsidRPr="003558F5">
        <w:rPr>
          <w:rFonts w:eastAsia="Calibri" w:cs="Verdana"/>
          <w:sz w:val="20"/>
          <w:szCs w:val="20"/>
          <w:lang w:eastAsia="es-MX"/>
        </w:rPr>
        <w:t>,</w:t>
      </w:r>
    </w:p>
    <w:p w14:paraId="411C52C0" w14:textId="77777777" w:rsidR="006C37C9" w:rsidRPr="003558F5" w:rsidRDefault="006C37C9" w:rsidP="006C37C9">
      <w:pPr>
        <w:tabs>
          <w:tab w:val="left" w:pos="720"/>
        </w:tabs>
        <w:rPr>
          <w:rFonts w:eastAsia="Calibri" w:cs="Verdana"/>
          <w:sz w:val="20"/>
          <w:szCs w:val="20"/>
        </w:rPr>
      </w:pPr>
    </w:p>
    <w:p w14:paraId="769F5415" w14:textId="13EEA23C" w:rsidR="006C37C9" w:rsidRPr="00CF6765" w:rsidRDefault="00A032F9" w:rsidP="006C37C9">
      <w:pPr>
        <w:tabs>
          <w:tab w:val="left" w:pos="720"/>
        </w:tabs>
        <w:rPr>
          <w:rFonts w:eastAsia="Calibri" w:cs="Verdana"/>
          <w:sz w:val="20"/>
          <w:szCs w:val="20"/>
          <w:lang w:val="en-US"/>
        </w:rPr>
      </w:pPr>
      <w:r w:rsidRPr="00CF6765">
        <w:rPr>
          <w:rFonts w:eastAsia="Calibri" w:cs="Verdana"/>
          <w:sz w:val="20"/>
          <w:szCs w:val="20"/>
          <w:lang w:val="en-US"/>
        </w:rPr>
        <w:t>p</w:t>
      </w:r>
      <w:r w:rsidR="005C731C" w:rsidRPr="00CF6765">
        <w:rPr>
          <w:rFonts w:eastAsia="Calibri" w:cs="Verdana"/>
          <w:sz w:val="20"/>
          <w:szCs w:val="20"/>
          <w:lang w:val="en-US"/>
        </w:rPr>
        <w:t>ursuant to</w:t>
      </w:r>
      <w:r w:rsidR="006C37C9" w:rsidRPr="00CF6765">
        <w:rPr>
          <w:rFonts w:eastAsia="Calibri" w:cs="Verdana"/>
          <w:sz w:val="20"/>
          <w:szCs w:val="20"/>
          <w:lang w:val="en-US"/>
        </w:rPr>
        <w:t xml:space="preserve"> </w:t>
      </w:r>
      <w:r w:rsidR="005C731C" w:rsidRPr="00CF6765">
        <w:rPr>
          <w:rFonts w:eastAsia="Calibri" w:cs="Verdana"/>
          <w:sz w:val="20"/>
          <w:szCs w:val="20"/>
          <w:lang w:val="en-US"/>
        </w:rPr>
        <w:t>Articles</w:t>
      </w:r>
      <w:r w:rsidR="006C37C9" w:rsidRPr="00CF6765">
        <w:rPr>
          <w:rFonts w:eastAsia="Calibri" w:cs="Verdana"/>
          <w:sz w:val="20"/>
          <w:szCs w:val="20"/>
          <w:lang w:val="en-US"/>
        </w:rPr>
        <w:t xml:space="preserve"> 62</w:t>
      </w:r>
      <w:r w:rsidR="005C731C" w:rsidRPr="00CF6765">
        <w:rPr>
          <w:rFonts w:eastAsia="Calibri" w:cs="Verdana"/>
          <w:sz w:val="20"/>
          <w:szCs w:val="20"/>
          <w:lang w:val="en-US"/>
        </w:rPr>
        <w:t>(</w:t>
      </w:r>
      <w:r w:rsidR="006C37C9" w:rsidRPr="00CF6765">
        <w:rPr>
          <w:rFonts w:eastAsia="Calibri" w:cs="Verdana"/>
          <w:sz w:val="20"/>
          <w:szCs w:val="20"/>
          <w:lang w:val="en-US"/>
        </w:rPr>
        <w:t>3</w:t>
      </w:r>
      <w:r w:rsidR="005C731C" w:rsidRPr="00CF6765">
        <w:rPr>
          <w:rFonts w:eastAsia="Calibri" w:cs="Verdana"/>
          <w:sz w:val="20"/>
          <w:szCs w:val="20"/>
          <w:lang w:val="en-US"/>
        </w:rPr>
        <w:t>) and 63(1) of the American Convention on Human Rights</w:t>
      </w:r>
      <w:r w:rsidR="006C37C9" w:rsidRPr="00CF6765">
        <w:rPr>
          <w:rFonts w:eastAsia="Calibri" w:cs="Verdana"/>
          <w:sz w:val="20"/>
          <w:szCs w:val="20"/>
          <w:lang w:val="en-US"/>
        </w:rPr>
        <w:t xml:space="preserve"> (</w:t>
      </w:r>
      <w:r w:rsidR="005C731C" w:rsidRPr="00CF6765">
        <w:rPr>
          <w:rFonts w:eastAsia="Calibri" w:cs="Verdana"/>
          <w:sz w:val="20"/>
          <w:szCs w:val="20"/>
          <w:lang w:val="en-US"/>
        </w:rPr>
        <w:t>hereinafter</w:t>
      </w:r>
      <w:r w:rsidR="006C37C9" w:rsidRPr="00CF6765">
        <w:rPr>
          <w:rFonts w:eastAsia="Calibri" w:cs="Verdana"/>
          <w:sz w:val="20"/>
          <w:szCs w:val="20"/>
          <w:lang w:val="en-US"/>
        </w:rPr>
        <w:t xml:space="preserve"> “</w:t>
      </w:r>
      <w:r w:rsidR="005C731C" w:rsidRPr="00CF6765">
        <w:rPr>
          <w:rFonts w:eastAsia="Calibri" w:cs="Verdana"/>
          <w:sz w:val="20"/>
          <w:szCs w:val="20"/>
          <w:lang w:val="en-US"/>
        </w:rPr>
        <w:t>the American Convention</w:t>
      </w:r>
      <w:r w:rsidR="006C37C9" w:rsidRPr="00CF6765">
        <w:rPr>
          <w:rFonts w:eastAsia="Calibri" w:cs="Verdana"/>
          <w:sz w:val="20"/>
          <w:szCs w:val="20"/>
          <w:lang w:val="en-US"/>
        </w:rPr>
        <w:t>” o</w:t>
      </w:r>
      <w:r w:rsidR="005C731C" w:rsidRPr="00CF6765">
        <w:rPr>
          <w:rFonts w:eastAsia="Calibri" w:cs="Verdana"/>
          <w:sz w:val="20"/>
          <w:szCs w:val="20"/>
          <w:lang w:val="en-US"/>
        </w:rPr>
        <w:t>r</w:t>
      </w:r>
      <w:r w:rsidR="006C37C9" w:rsidRPr="00CF6765">
        <w:rPr>
          <w:rFonts w:eastAsia="Calibri" w:cs="Verdana"/>
          <w:sz w:val="20"/>
          <w:szCs w:val="20"/>
          <w:lang w:val="en-US"/>
        </w:rPr>
        <w:t xml:space="preserve"> “</w:t>
      </w:r>
      <w:r w:rsidR="005C731C" w:rsidRPr="00CF6765">
        <w:rPr>
          <w:rFonts w:eastAsia="Calibri" w:cs="Verdana"/>
          <w:sz w:val="20"/>
          <w:szCs w:val="20"/>
          <w:lang w:val="en-US"/>
        </w:rPr>
        <w:t>the Convention</w:t>
      </w:r>
      <w:r w:rsidR="000012D8" w:rsidRPr="00CF6765">
        <w:rPr>
          <w:rFonts w:eastAsia="Calibri" w:cs="Verdana"/>
          <w:sz w:val="20"/>
          <w:szCs w:val="20"/>
          <w:lang w:val="en-US"/>
        </w:rPr>
        <w:t xml:space="preserve">”) </w:t>
      </w:r>
      <w:r w:rsidR="005C731C" w:rsidRPr="00CF6765">
        <w:rPr>
          <w:rFonts w:eastAsia="Calibri" w:cs="Verdana"/>
          <w:sz w:val="20"/>
          <w:szCs w:val="20"/>
          <w:lang w:val="en-US"/>
        </w:rPr>
        <w:t>and</w:t>
      </w:r>
      <w:r w:rsidR="000012D8" w:rsidRPr="00CF6765">
        <w:rPr>
          <w:rFonts w:eastAsia="Calibri" w:cs="Verdana"/>
          <w:sz w:val="20"/>
          <w:szCs w:val="20"/>
          <w:lang w:val="en-US"/>
        </w:rPr>
        <w:t xml:space="preserve"> </w:t>
      </w:r>
      <w:r w:rsidR="005C731C" w:rsidRPr="00CF6765">
        <w:rPr>
          <w:rFonts w:eastAsia="Calibri" w:cs="Verdana"/>
          <w:sz w:val="20"/>
          <w:szCs w:val="20"/>
          <w:lang w:val="en-US"/>
        </w:rPr>
        <w:t>Articles</w:t>
      </w:r>
      <w:r w:rsidR="000012D8" w:rsidRPr="00CF6765">
        <w:rPr>
          <w:rFonts w:eastAsia="Calibri" w:cs="Verdana"/>
          <w:sz w:val="20"/>
          <w:szCs w:val="20"/>
          <w:lang w:val="en-US"/>
        </w:rPr>
        <w:t xml:space="preserve"> 31, 32, </w:t>
      </w:r>
      <w:r w:rsidR="00221693" w:rsidRPr="00CF6765">
        <w:rPr>
          <w:rFonts w:eastAsia="Calibri" w:cs="Verdana"/>
          <w:sz w:val="20"/>
          <w:szCs w:val="20"/>
          <w:lang w:val="en-US"/>
        </w:rPr>
        <w:t xml:space="preserve">62, </w:t>
      </w:r>
      <w:r w:rsidR="006C37C9" w:rsidRPr="00CF6765">
        <w:rPr>
          <w:rFonts w:eastAsia="Calibri" w:cs="Verdana"/>
          <w:sz w:val="20"/>
          <w:szCs w:val="20"/>
          <w:lang w:val="en-US"/>
        </w:rPr>
        <w:t xml:space="preserve">65 </w:t>
      </w:r>
      <w:r w:rsidR="005C731C" w:rsidRPr="00CF6765">
        <w:rPr>
          <w:rFonts w:eastAsia="Calibri" w:cs="Verdana"/>
          <w:sz w:val="20"/>
          <w:szCs w:val="20"/>
          <w:lang w:val="en-US"/>
        </w:rPr>
        <w:t>and</w:t>
      </w:r>
      <w:r w:rsidR="006C37C9" w:rsidRPr="00CF6765">
        <w:rPr>
          <w:rFonts w:eastAsia="Calibri" w:cs="Verdana"/>
          <w:sz w:val="20"/>
          <w:szCs w:val="20"/>
          <w:lang w:val="en-US"/>
        </w:rPr>
        <w:t xml:space="preserve"> 67</w:t>
      </w:r>
      <w:r w:rsidR="005C731C" w:rsidRPr="00CF6765">
        <w:rPr>
          <w:rFonts w:eastAsia="Calibri" w:cs="Verdana"/>
          <w:sz w:val="20"/>
          <w:szCs w:val="20"/>
          <w:lang w:val="en-US"/>
        </w:rPr>
        <w:t xml:space="preserve"> of the Rules of Procedure of the Inter-American Court</w:t>
      </w:r>
      <w:r w:rsidR="00780558" w:rsidRPr="00CF6765">
        <w:rPr>
          <w:rFonts w:eastAsia="Calibri" w:cs="Verdana"/>
          <w:sz w:val="20"/>
          <w:szCs w:val="20"/>
          <w:lang w:val="en-US"/>
        </w:rPr>
        <w:t xml:space="preserve"> </w:t>
      </w:r>
      <w:r w:rsidR="006C37C9" w:rsidRPr="00CF6765">
        <w:rPr>
          <w:rFonts w:eastAsia="Calibri" w:cs="Verdana"/>
          <w:sz w:val="20"/>
          <w:szCs w:val="20"/>
          <w:lang w:val="en-US"/>
        </w:rPr>
        <w:t>(</w:t>
      </w:r>
      <w:r w:rsidR="005C731C" w:rsidRPr="00CF6765">
        <w:rPr>
          <w:rFonts w:eastAsia="Calibri" w:cs="Verdana"/>
          <w:sz w:val="20"/>
          <w:szCs w:val="20"/>
          <w:lang w:val="en-US"/>
        </w:rPr>
        <w:t>hereinafter</w:t>
      </w:r>
      <w:r w:rsidR="006C37C9" w:rsidRPr="00CF6765">
        <w:rPr>
          <w:rFonts w:eastAsia="Calibri" w:cs="Verdana"/>
          <w:sz w:val="20"/>
          <w:szCs w:val="20"/>
          <w:lang w:val="en-US"/>
        </w:rPr>
        <w:t xml:space="preserve"> “</w:t>
      </w:r>
      <w:r w:rsidR="005C731C" w:rsidRPr="00CF6765">
        <w:rPr>
          <w:rFonts w:eastAsia="Calibri" w:cs="Verdana"/>
          <w:sz w:val="20"/>
          <w:szCs w:val="20"/>
          <w:lang w:val="en-US"/>
        </w:rPr>
        <w:t>the Rules of Procedure</w:t>
      </w:r>
      <w:r w:rsidR="006C37C9" w:rsidRPr="00CF6765">
        <w:rPr>
          <w:rFonts w:eastAsia="Calibri" w:cs="Verdana"/>
          <w:sz w:val="20"/>
          <w:szCs w:val="20"/>
          <w:lang w:val="en-US"/>
        </w:rPr>
        <w:t>” o</w:t>
      </w:r>
      <w:r w:rsidR="005C731C" w:rsidRPr="00CF6765">
        <w:rPr>
          <w:rFonts w:eastAsia="Calibri" w:cs="Verdana"/>
          <w:sz w:val="20"/>
          <w:szCs w:val="20"/>
          <w:lang w:val="en-US"/>
        </w:rPr>
        <w:t>r</w:t>
      </w:r>
      <w:r w:rsidR="006C37C9" w:rsidRPr="00CF6765">
        <w:rPr>
          <w:rFonts w:eastAsia="Calibri" w:cs="Verdana"/>
          <w:sz w:val="20"/>
          <w:szCs w:val="20"/>
          <w:lang w:val="en-US"/>
        </w:rPr>
        <w:t xml:space="preserve"> “</w:t>
      </w:r>
      <w:r w:rsidR="005C731C" w:rsidRPr="00CF6765">
        <w:rPr>
          <w:rFonts w:eastAsia="Calibri" w:cs="Verdana"/>
          <w:sz w:val="20"/>
          <w:szCs w:val="20"/>
          <w:lang w:val="en-US"/>
        </w:rPr>
        <w:t>the Court’s Rules of Procedure</w:t>
      </w:r>
      <w:r w:rsidR="006C37C9" w:rsidRPr="00CF6765">
        <w:rPr>
          <w:rFonts w:eastAsia="Calibri" w:cs="Verdana"/>
          <w:sz w:val="20"/>
          <w:szCs w:val="20"/>
          <w:lang w:val="en-US"/>
        </w:rPr>
        <w:t>”), d</w:t>
      </w:r>
      <w:r w:rsidR="005C731C" w:rsidRPr="00CF6765">
        <w:rPr>
          <w:rFonts w:eastAsia="Calibri" w:cs="Verdana"/>
          <w:sz w:val="20"/>
          <w:szCs w:val="20"/>
          <w:lang w:val="en-US"/>
        </w:rPr>
        <w:t>elivers this judgment, structured as follows:</w:t>
      </w:r>
    </w:p>
    <w:p w14:paraId="59699CA5" w14:textId="77777777" w:rsidR="006C37C9" w:rsidRPr="00CF6765" w:rsidRDefault="006C37C9" w:rsidP="006C37C9">
      <w:pPr>
        <w:spacing w:before="1" w:line="235" w:lineRule="exact"/>
        <w:ind w:left="100" w:right="-1085"/>
        <w:rPr>
          <w:rFonts w:eastAsia="Verdana" w:cs="Verdana"/>
          <w:position w:val="-1"/>
          <w:sz w:val="20"/>
          <w:szCs w:val="20"/>
          <w:lang w:val="en-US"/>
        </w:rPr>
      </w:pPr>
    </w:p>
    <w:p w14:paraId="43AB38E3" w14:textId="77777777" w:rsidR="006C37C9" w:rsidRPr="00CF6765" w:rsidRDefault="006C37C9" w:rsidP="006C37C9">
      <w:pPr>
        <w:spacing w:before="1" w:line="235" w:lineRule="exact"/>
        <w:ind w:left="100" w:right="-20"/>
        <w:rPr>
          <w:rFonts w:eastAsia="Verdana" w:cs="Verdana"/>
          <w:position w:val="-1"/>
          <w:sz w:val="20"/>
          <w:szCs w:val="20"/>
          <w:lang w:val="en-US"/>
        </w:rPr>
      </w:pPr>
    </w:p>
    <w:p w14:paraId="424A3AF7" w14:textId="0E573203" w:rsidR="009F7F67" w:rsidRPr="00CF6765" w:rsidRDefault="006C37C9" w:rsidP="00BE6F31">
      <w:pPr>
        <w:rPr>
          <w:rFonts w:eastAsia="Verdana" w:cs="Verdana"/>
          <w:position w:val="-1"/>
          <w:sz w:val="20"/>
          <w:szCs w:val="20"/>
          <w:lang w:val="en-US"/>
        </w:rPr>
      </w:pPr>
      <w:r w:rsidRPr="00CF6765">
        <w:rPr>
          <w:rFonts w:eastAsia="Verdana" w:cs="Verdana"/>
          <w:position w:val="-1"/>
          <w:sz w:val="20"/>
          <w:szCs w:val="20"/>
          <w:lang w:val="en-US"/>
        </w:rPr>
        <w:br w:type="page"/>
      </w:r>
    </w:p>
    <w:sdt>
      <w:sdtPr>
        <w:rPr>
          <w:rFonts w:ascii="Verdana" w:eastAsia="Times New Roman" w:hAnsi="Verdana" w:cs="Times New Roman"/>
          <w:b w:val="0"/>
          <w:bCs w:val="0"/>
          <w:caps/>
          <w:color w:val="auto"/>
          <w:sz w:val="20"/>
          <w:szCs w:val="20"/>
          <w:lang w:eastAsia="es-CR"/>
        </w:rPr>
        <w:id w:val="-1331666852"/>
        <w:docPartObj>
          <w:docPartGallery w:val="Table of Contents"/>
          <w:docPartUnique/>
        </w:docPartObj>
      </w:sdtPr>
      <w:sdtEndPr>
        <w:rPr>
          <w:rFonts w:asciiTheme="minorHAnsi" w:hAnsiTheme="minorHAnsi"/>
          <w:b/>
          <w:bCs/>
          <w:noProof/>
        </w:rPr>
      </w:sdtEndPr>
      <w:sdtContent>
        <w:p w14:paraId="34C4E7DA" w14:textId="08EA2690" w:rsidR="009F7F67" w:rsidRPr="003558F5" w:rsidRDefault="005C731C" w:rsidP="00760A6C">
          <w:pPr>
            <w:pStyle w:val="TtuloTDC"/>
            <w:spacing w:before="0" w:line="240" w:lineRule="auto"/>
            <w:jc w:val="center"/>
            <w:rPr>
              <w:rFonts w:ascii="Verdana" w:hAnsi="Verdana"/>
              <w:color w:val="auto"/>
              <w:sz w:val="20"/>
              <w:szCs w:val="20"/>
            </w:rPr>
          </w:pPr>
          <w:r w:rsidRPr="003558F5">
            <w:rPr>
              <w:rFonts w:ascii="Verdana" w:hAnsi="Verdana"/>
              <w:color w:val="auto"/>
              <w:sz w:val="20"/>
              <w:szCs w:val="20"/>
            </w:rPr>
            <w:t>TABLE OF CONTENTS</w:t>
          </w:r>
        </w:p>
        <w:p w14:paraId="30478E62" w14:textId="77777777" w:rsidR="00760A6C" w:rsidRPr="003558F5" w:rsidRDefault="00760A6C" w:rsidP="002A64C9">
          <w:pPr>
            <w:rPr>
              <w:sz w:val="20"/>
              <w:szCs w:val="20"/>
              <w:lang w:val="en-US"/>
            </w:rPr>
          </w:pPr>
        </w:p>
        <w:p w14:paraId="271143A3" w14:textId="5EE510DF" w:rsidR="003558F5" w:rsidRPr="003558F5" w:rsidRDefault="009F7F67" w:rsidP="00650E38">
          <w:pPr>
            <w:pStyle w:val="TDC1"/>
            <w:rPr>
              <w:rFonts w:eastAsiaTheme="minorEastAsia" w:cstheme="minorBidi"/>
              <w:noProof/>
              <w:lang w:eastAsia="en-US"/>
            </w:rPr>
          </w:pPr>
          <w:r w:rsidRPr="003558F5">
            <w:rPr>
              <w:smallCaps/>
            </w:rPr>
            <w:fldChar w:fldCharType="begin"/>
          </w:r>
          <w:r w:rsidRPr="003558F5">
            <w:rPr>
              <w:smallCaps/>
            </w:rPr>
            <w:instrText xml:space="preserve"> TOC \h \z \t "Heading 1,2,Heading 2,3,Heading 3,4,Heading 4,5,Title,1,Body 1,1" </w:instrText>
          </w:r>
          <w:r w:rsidRPr="003558F5">
            <w:rPr>
              <w:smallCaps/>
            </w:rPr>
            <w:fldChar w:fldCharType="separate"/>
          </w:r>
          <w:hyperlink w:anchor="_Toc47864350" w:history="1">
            <w:r w:rsidR="003558F5" w:rsidRPr="003558F5">
              <w:rPr>
                <w:rStyle w:val="Hipervnculo"/>
                <w:rFonts w:ascii="Verdana" w:hAnsi="Verdana"/>
                <w:noProof/>
              </w:rPr>
              <w:t>I INTRODUCTION OF THE CASE AND PURPOSE OF THE DISPUTE</w:t>
            </w:r>
            <w:r w:rsidR="003558F5" w:rsidRPr="003558F5">
              <w:rPr>
                <w:noProof/>
                <w:webHidden/>
              </w:rPr>
              <w:tab/>
            </w:r>
            <w:r w:rsidR="003558F5" w:rsidRPr="003558F5">
              <w:rPr>
                <w:noProof/>
                <w:webHidden/>
              </w:rPr>
              <w:fldChar w:fldCharType="begin"/>
            </w:r>
            <w:r w:rsidR="003558F5" w:rsidRPr="003558F5">
              <w:rPr>
                <w:noProof/>
                <w:webHidden/>
              </w:rPr>
              <w:instrText xml:space="preserve"> PAGEREF _Toc47864350 \h </w:instrText>
            </w:r>
            <w:r w:rsidR="003558F5" w:rsidRPr="003558F5">
              <w:rPr>
                <w:noProof/>
                <w:webHidden/>
              </w:rPr>
            </w:r>
            <w:r w:rsidR="003558F5" w:rsidRPr="003558F5">
              <w:rPr>
                <w:noProof/>
                <w:webHidden/>
              </w:rPr>
              <w:fldChar w:fldCharType="separate"/>
            </w:r>
            <w:r w:rsidR="0054438D">
              <w:rPr>
                <w:noProof/>
                <w:webHidden/>
              </w:rPr>
              <w:t>4</w:t>
            </w:r>
            <w:r w:rsidR="003558F5" w:rsidRPr="003558F5">
              <w:rPr>
                <w:noProof/>
                <w:webHidden/>
              </w:rPr>
              <w:fldChar w:fldCharType="end"/>
            </w:r>
          </w:hyperlink>
        </w:p>
        <w:p w14:paraId="5C5C96C9" w14:textId="1532030D" w:rsidR="003558F5" w:rsidRPr="003558F5" w:rsidRDefault="006A1E69" w:rsidP="00650E38">
          <w:pPr>
            <w:pStyle w:val="TDC1"/>
            <w:rPr>
              <w:rFonts w:eastAsiaTheme="minorEastAsia" w:cstheme="minorBidi"/>
              <w:noProof/>
              <w:lang w:eastAsia="en-US"/>
            </w:rPr>
          </w:pPr>
          <w:hyperlink w:anchor="_Toc47864351" w:history="1">
            <w:r w:rsidR="003558F5" w:rsidRPr="003558F5">
              <w:rPr>
                <w:rStyle w:val="Hipervnculo"/>
                <w:rFonts w:ascii="Verdana" w:hAnsi="Verdana"/>
                <w:noProof/>
              </w:rPr>
              <w:t>II PROCEEDINGS BEFORE THE COURT</w:t>
            </w:r>
            <w:r w:rsidR="003558F5" w:rsidRPr="003558F5">
              <w:rPr>
                <w:noProof/>
                <w:webHidden/>
              </w:rPr>
              <w:tab/>
            </w:r>
            <w:r w:rsidR="003558F5" w:rsidRPr="003558F5">
              <w:rPr>
                <w:noProof/>
                <w:webHidden/>
              </w:rPr>
              <w:fldChar w:fldCharType="begin"/>
            </w:r>
            <w:r w:rsidR="003558F5" w:rsidRPr="003558F5">
              <w:rPr>
                <w:noProof/>
                <w:webHidden/>
              </w:rPr>
              <w:instrText xml:space="preserve"> PAGEREF _Toc47864351 \h </w:instrText>
            </w:r>
            <w:r w:rsidR="003558F5" w:rsidRPr="003558F5">
              <w:rPr>
                <w:noProof/>
                <w:webHidden/>
              </w:rPr>
            </w:r>
            <w:r w:rsidR="003558F5" w:rsidRPr="003558F5">
              <w:rPr>
                <w:noProof/>
                <w:webHidden/>
              </w:rPr>
              <w:fldChar w:fldCharType="separate"/>
            </w:r>
            <w:r w:rsidR="0054438D">
              <w:rPr>
                <w:noProof/>
                <w:webHidden/>
              </w:rPr>
              <w:t>5</w:t>
            </w:r>
            <w:r w:rsidR="003558F5" w:rsidRPr="003558F5">
              <w:rPr>
                <w:noProof/>
                <w:webHidden/>
              </w:rPr>
              <w:fldChar w:fldCharType="end"/>
            </w:r>
          </w:hyperlink>
        </w:p>
        <w:p w14:paraId="67117D4D" w14:textId="6C2C80AD" w:rsidR="003558F5" w:rsidRPr="003558F5" w:rsidRDefault="006A1E69" w:rsidP="00650E38">
          <w:pPr>
            <w:pStyle w:val="TDC1"/>
            <w:rPr>
              <w:rFonts w:eastAsiaTheme="minorEastAsia" w:cstheme="minorBidi"/>
              <w:noProof/>
              <w:lang w:eastAsia="en-US"/>
            </w:rPr>
          </w:pPr>
          <w:hyperlink w:anchor="_Toc47864352" w:history="1">
            <w:r w:rsidR="003558F5" w:rsidRPr="003558F5">
              <w:rPr>
                <w:rStyle w:val="Hipervnculo"/>
                <w:rFonts w:ascii="Verdana" w:hAnsi="Verdana"/>
                <w:noProof/>
              </w:rPr>
              <w:t>III JURISDICTION</w:t>
            </w:r>
            <w:r w:rsidR="003558F5" w:rsidRPr="003558F5">
              <w:rPr>
                <w:noProof/>
                <w:webHidden/>
              </w:rPr>
              <w:tab/>
            </w:r>
            <w:r w:rsidR="003558F5" w:rsidRPr="003558F5">
              <w:rPr>
                <w:noProof/>
                <w:webHidden/>
              </w:rPr>
              <w:fldChar w:fldCharType="begin"/>
            </w:r>
            <w:r w:rsidR="003558F5" w:rsidRPr="003558F5">
              <w:rPr>
                <w:noProof/>
                <w:webHidden/>
              </w:rPr>
              <w:instrText xml:space="preserve"> PAGEREF _Toc47864352 \h </w:instrText>
            </w:r>
            <w:r w:rsidR="003558F5" w:rsidRPr="003558F5">
              <w:rPr>
                <w:noProof/>
                <w:webHidden/>
              </w:rPr>
            </w:r>
            <w:r w:rsidR="003558F5" w:rsidRPr="003558F5">
              <w:rPr>
                <w:noProof/>
                <w:webHidden/>
              </w:rPr>
              <w:fldChar w:fldCharType="separate"/>
            </w:r>
            <w:r w:rsidR="0054438D">
              <w:rPr>
                <w:noProof/>
                <w:webHidden/>
              </w:rPr>
              <w:t>7</w:t>
            </w:r>
            <w:r w:rsidR="003558F5" w:rsidRPr="003558F5">
              <w:rPr>
                <w:noProof/>
                <w:webHidden/>
              </w:rPr>
              <w:fldChar w:fldCharType="end"/>
            </w:r>
          </w:hyperlink>
        </w:p>
        <w:p w14:paraId="2500DC79" w14:textId="06BAB587" w:rsidR="003558F5" w:rsidRPr="003558F5" w:rsidRDefault="006A1E69" w:rsidP="00650E38">
          <w:pPr>
            <w:pStyle w:val="TDC1"/>
            <w:rPr>
              <w:rFonts w:eastAsiaTheme="minorEastAsia" w:cstheme="minorBidi"/>
              <w:noProof/>
              <w:lang w:eastAsia="en-US"/>
            </w:rPr>
          </w:pPr>
          <w:hyperlink w:anchor="_Toc47864353" w:history="1">
            <w:r w:rsidR="003558F5" w:rsidRPr="003558F5">
              <w:rPr>
                <w:rStyle w:val="Hipervnculo"/>
                <w:rFonts w:ascii="Verdana" w:hAnsi="Verdana"/>
                <w:noProof/>
              </w:rPr>
              <w:t>IV PARTIAL ACKNOWLEDGEMENT OF INTERNATIONAL RESPONSIBILITY BY THE STATE</w:t>
            </w:r>
            <w:r w:rsidR="003558F5" w:rsidRPr="003558F5">
              <w:rPr>
                <w:noProof/>
                <w:webHidden/>
              </w:rPr>
              <w:tab/>
            </w:r>
            <w:r w:rsidR="003558F5" w:rsidRPr="003558F5">
              <w:rPr>
                <w:noProof/>
                <w:webHidden/>
              </w:rPr>
              <w:fldChar w:fldCharType="begin"/>
            </w:r>
            <w:r w:rsidR="003558F5" w:rsidRPr="003558F5">
              <w:rPr>
                <w:noProof/>
                <w:webHidden/>
              </w:rPr>
              <w:instrText xml:space="preserve"> PAGEREF _Toc47864353 \h </w:instrText>
            </w:r>
            <w:r w:rsidR="003558F5" w:rsidRPr="003558F5">
              <w:rPr>
                <w:noProof/>
                <w:webHidden/>
              </w:rPr>
            </w:r>
            <w:r w:rsidR="003558F5" w:rsidRPr="003558F5">
              <w:rPr>
                <w:noProof/>
                <w:webHidden/>
              </w:rPr>
              <w:fldChar w:fldCharType="separate"/>
            </w:r>
            <w:r w:rsidR="0054438D">
              <w:rPr>
                <w:noProof/>
                <w:webHidden/>
              </w:rPr>
              <w:t>7</w:t>
            </w:r>
            <w:r w:rsidR="003558F5" w:rsidRPr="003558F5">
              <w:rPr>
                <w:noProof/>
                <w:webHidden/>
              </w:rPr>
              <w:fldChar w:fldCharType="end"/>
            </w:r>
          </w:hyperlink>
        </w:p>
        <w:p w14:paraId="2D16DE35" w14:textId="0581C007" w:rsidR="003558F5" w:rsidRPr="003558F5" w:rsidRDefault="006A1E69" w:rsidP="001C4977">
          <w:pPr>
            <w:pStyle w:val="TDC3"/>
            <w:rPr>
              <w:rFonts w:eastAsiaTheme="minorEastAsia" w:cstheme="minorBidi"/>
              <w:iCs w:val="0"/>
              <w:lang w:val="en-US" w:eastAsia="en-US"/>
            </w:rPr>
          </w:pPr>
          <w:hyperlink w:anchor="_Toc47864354" w:history="1">
            <w:r w:rsidR="003558F5" w:rsidRPr="003558F5">
              <w:rPr>
                <w:rStyle w:val="Hipervnculo"/>
                <w:lang w:val="en-US"/>
              </w:rPr>
              <w:t>A.</w:t>
            </w:r>
            <w:r w:rsidR="003558F5" w:rsidRPr="003558F5">
              <w:rPr>
                <w:rFonts w:eastAsiaTheme="minorEastAsia" w:cstheme="minorBidi"/>
                <w:iCs w:val="0"/>
                <w:lang w:val="en-US" w:eastAsia="en-US"/>
              </w:rPr>
              <w:tab/>
            </w:r>
            <w:r w:rsidR="003558F5" w:rsidRPr="003558F5">
              <w:rPr>
                <w:rStyle w:val="Hipervnculo"/>
                <w:lang w:val="en-US"/>
              </w:rPr>
              <w:t>Positions in relation to the State’s partial acknowledgement of responsibility</w:t>
            </w:r>
            <w:r w:rsidR="003558F5" w:rsidRPr="003558F5">
              <w:rPr>
                <w:webHidden/>
              </w:rPr>
              <w:tab/>
            </w:r>
            <w:r w:rsidR="003558F5" w:rsidRPr="003558F5">
              <w:rPr>
                <w:webHidden/>
              </w:rPr>
              <w:fldChar w:fldCharType="begin"/>
            </w:r>
            <w:r w:rsidR="003558F5" w:rsidRPr="003558F5">
              <w:rPr>
                <w:webHidden/>
              </w:rPr>
              <w:instrText xml:space="preserve"> PAGEREF _Toc47864354 \h </w:instrText>
            </w:r>
            <w:r w:rsidR="003558F5" w:rsidRPr="003558F5">
              <w:rPr>
                <w:webHidden/>
              </w:rPr>
            </w:r>
            <w:r w:rsidR="003558F5" w:rsidRPr="003558F5">
              <w:rPr>
                <w:webHidden/>
              </w:rPr>
              <w:fldChar w:fldCharType="separate"/>
            </w:r>
            <w:r w:rsidR="0054438D">
              <w:rPr>
                <w:webHidden/>
              </w:rPr>
              <w:t>7</w:t>
            </w:r>
            <w:r w:rsidR="003558F5" w:rsidRPr="003558F5">
              <w:rPr>
                <w:webHidden/>
              </w:rPr>
              <w:fldChar w:fldCharType="end"/>
            </w:r>
          </w:hyperlink>
        </w:p>
        <w:p w14:paraId="61575F55" w14:textId="57A4CC0E" w:rsidR="003558F5" w:rsidRPr="003558F5" w:rsidRDefault="006A1E69" w:rsidP="001C4977">
          <w:pPr>
            <w:pStyle w:val="TDC3"/>
            <w:rPr>
              <w:rFonts w:eastAsiaTheme="minorEastAsia" w:cstheme="minorBidi"/>
              <w:iCs w:val="0"/>
              <w:lang w:val="en-US" w:eastAsia="en-US"/>
            </w:rPr>
          </w:pPr>
          <w:hyperlink w:anchor="_Toc47864355" w:history="1">
            <w:r w:rsidR="003558F5" w:rsidRPr="003558F5">
              <w:rPr>
                <w:rStyle w:val="Hipervnculo"/>
                <w:lang w:val="en-US"/>
              </w:rPr>
              <w:t>B.</w:t>
            </w:r>
            <w:r w:rsidR="003558F5" w:rsidRPr="003558F5">
              <w:rPr>
                <w:rFonts w:eastAsiaTheme="minorEastAsia" w:cstheme="minorBidi"/>
                <w:iCs w:val="0"/>
                <w:lang w:val="en-US" w:eastAsia="en-US"/>
              </w:rPr>
              <w:tab/>
            </w:r>
            <w:r w:rsidR="003558F5" w:rsidRPr="003558F5">
              <w:rPr>
                <w:rStyle w:val="Hipervnculo"/>
                <w:lang w:val="en-US"/>
              </w:rPr>
              <w:t>Considerations of the Court</w:t>
            </w:r>
            <w:r w:rsidR="003558F5" w:rsidRPr="003558F5">
              <w:rPr>
                <w:webHidden/>
              </w:rPr>
              <w:tab/>
            </w:r>
            <w:r w:rsidR="003558F5" w:rsidRPr="003558F5">
              <w:rPr>
                <w:webHidden/>
              </w:rPr>
              <w:fldChar w:fldCharType="begin"/>
            </w:r>
            <w:r w:rsidR="003558F5" w:rsidRPr="003558F5">
              <w:rPr>
                <w:webHidden/>
              </w:rPr>
              <w:instrText xml:space="preserve"> PAGEREF _Toc47864355 \h </w:instrText>
            </w:r>
            <w:r w:rsidR="003558F5" w:rsidRPr="003558F5">
              <w:rPr>
                <w:webHidden/>
              </w:rPr>
            </w:r>
            <w:r w:rsidR="003558F5" w:rsidRPr="003558F5">
              <w:rPr>
                <w:webHidden/>
              </w:rPr>
              <w:fldChar w:fldCharType="separate"/>
            </w:r>
            <w:r w:rsidR="0054438D">
              <w:rPr>
                <w:webHidden/>
              </w:rPr>
              <w:t>9</w:t>
            </w:r>
            <w:r w:rsidR="003558F5" w:rsidRPr="003558F5">
              <w:rPr>
                <w:webHidden/>
              </w:rPr>
              <w:fldChar w:fldCharType="end"/>
            </w:r>
          </w:hyperlink>
        </w:p>
        <w:p w14:paraId="6FF1360A" w14:textId="5947CC36" w:rsidR="003558F5" w:rsidRPr="003558F5" w:rsidRDefault="006A1E69" w:rsidP="001C4977">
          <w:pPr>
            <w:pStyle w:val="TDC4"/>
            <w:tabs>
              <w:tab w:val="left" w:pos="1200"/>
              <w:tab w:val="right" w:leader="dot" w:pos="9736"/>
              <w:tab w:val="right" w:leader="dot" w:pos="9903"/>
            </w:tabs>
            <w:rPr>
              <w:rFonts w:ascii="Verdana" w:eastAsiaTheme="minorEastAsia" w:hAnsi="Verdana" w:cstheme="minorBidi"/>
              <w:noProof/>
              <w:sz w:val="20"/>
              <w:szCs w:val="20"/>
              <w:lang w:val="en-US" w:eastAsia="en-US"/>
            </w:rPr>
          </w:pPr>
          <w:hyperlink w:anchor="_Toc47864356" w:history="1">
            <w:r w:rsidR="003558F5" w:rsidRPr="003558F5">
              <w:rPr>
                <w:rStyle w:val="Hipervnculo"/>
                <w:rFonts w:ascii="Verdana" w:hAnsi="Verdana"/>
                <w:noProof/>
                <w:sz w:val="20"/>
                <w:szCs w:val="20"/>
                <w:lang w:val="en-US"/>
              </w:rPr>
              <w:t xml:space="preserve">1. </w:t>
            </w:r>
            <w:r w:rsidR="003558F5" w:rsidRPr="003558F5">
              <w:rPr>
                <w:rFonts w:ascii="Verdana" w:eastAsiaTheme="minorEastAsia" w:hAnsi="Verdana" w:cstheme="minorBidi"/>
                <w:noProof/>
                <w:sz w:val="20"/>
                <w:szCs w:val="20"/>
                <w:lang w:val="en-US" w:eastAsia="en-US"/>
              </w:rPr>
              <w:tab/>
            </w:r>
            <w:r w:rsidR="003558F5" w:rsidRPr="003558F5">
              <w:rPr>
                <w:rStyle w:val="Hipervnculo"/>
                <w:rFonts w:ascii="Verdana" w:hAnsi="Verdana"/>
                <w:noProof/>
                <w:sz w:val="20"/>
                <w:szCs w:val="20"/>
                <w:lang w:val="en-US"/>
              </w:rPr>
              <w:t>Regarding the facts</w:t>
            </w:r>
            <w:r w:rsidR="003558F5" w:rsidRPr="003558F5">
              <w:rPr>
                <w:rFonts w:ascii="Verdana" w:hAnsi="Verdana"/>
                <w:noProof/>
                <w:webHidden/>
                <w:sz w:val="20"/>
                <w:szCs w:val="20"/>
              </w:rPr>
              <w:tab/>
            </w:r>
            <w:r w:rsidR="003558F5" w:rsidRPr="003558F5">
              <w:rPr>
                <w:rFonts w:ascii="Verdana" w:hAnsi="Verdana"/>
                <w:noProof/>
                <w:webHidden/>
                <w:sz w:val="20"/>
                <w:szCs w:val="20"/>
              </w:rPr>
              <w:fldChar w:fldCharType="begin"/>
            </w:r>
            <w:r w:rsidR="003558F5" w:rsidRPr="003558F5">
              <w:rPr>
                <w:rFonts w:ascii="Verdana" w:hAnsi="Verdana"/>
                <w:noProof/>
                <w:webHidden/>
                <w:sz w:val="20"/>
                <w:szCs w:val="20"/>
              </w:rPr>
              <w:instrText xml:space="preserve"> PAGEREF _Toc47864356 \h </w:instrText>
            </w:r>
            <w:r w:rsidR="003558F5" w:rsidRPr="003558F5">
              <w:rPr>
                <w:rFonts w:ascii="Verdana" w:hAnsi="Verdana"/>
                <w:noProof/>
                <w:webHidden/>
                <w:sz w:val="20"/>
                <w:szCs w:val="20"/>
              </w:rPr>
            </w:r>
            <w:r w:rsidR="003558F5" w:rsidRPr="003558F5">
              <w:rPr>
                <w:rFonts w:ascii="Verdana" w:hAnsi="Verdana"/>
                <w:noProof/>
                <w:webHidden/>
                <w:sz w:val="20"/>
                <w:szCs w:val="20"/>
              </w:rPr>
              <w:fldChar w:fldCharType="separate"/>
            </w:r>
            <w:r w:rsidR="0054438D">
              <w:rPr>
                <w:rFonts w:ascii="Verdana" w:hAnsi="Verdana"/>
                <w:noProof/>
                <w:webHidden/>
                <w:sz w:val="20"/>
                <w:szCs w:val="20"/>
              </w:rPr>
              <w:t>10</w:t>
            </w:r>
            <w:r w:rsidR="003558F5" w:rsidRPr="003558F5">
              <w:rPr>
                <w:rFonts w:ascii="Verdana" w:hAnsi="Verdana"/>
                <w:noProof/>
                <w:webHidden/>
                <w:sz w:val="20"/>
                <w:szCs w:val="20"/>
              </w:rPr>
              <w:fldChar w:fldCharType="end"/>
            </w:r>
          </w:hyperlink>
        </w:p>
        <w:p w14:paraId="13B308A2" w14:textId="60F31FB4" w:rsidR="003558F5" w:rsidRPr="003558F5" w:rsidRDefault="006A1E69" w:rsidP="001C4977">
          <w:pPr>
            <w:pStyle w:val="TDC4"/>
            <w:tabs>
              <w:tab w:val="left" w:pos="1200"/>
              <w:tab w:val="right" w:leader="dot" w:pos="9736"/>
              <w:tab w:val="right" w:leader="dot" w:pos="9903"/>
            </w:tabs>
            <w:rPr>
              <w:rFonts w:ascii="Verdana" w:eastAsiaTheme="minorEastAsia" w:hAnsi="Verdana" w:cstheme="minorBidi"/>
              <w:noProof/>
              <w:sz w:val="20"/>
              <w:szCs w:val="20"/>
              <w:lang w:val="en-US" w:eastAsia="en-US"/>
            </w:rPr>
          </w:pPr>
          <w:hyperlink w:anchor="_Toc47864357" w:history="1">
            <w:r w:rsidR="003558F5" w:rsidRPr="003558F5">
              <w:rPr>
                <w:rStyle w:val="Hipervnculo"/>
                <w:rFonts w:ascii="Verdana" w:hAnsi="Verdana"/>
                <w:noProof/>
                <w:sz w:val="20"/>
                <w:szCs w:val="20"/>
                <w:lang w:val="en-US"/>
              </w:rPr>
              <w:t xml:space="preserve">2. </w:t>
            </w:r>
            <w:r w:rsidR="003558F5" w:rsidRPr="003558F5">
              <w:rPr>
                <w:rFonts w:ascii="Verdana" w:eastAsiaTheme="minorEastAsia" w:hAnsi="Verdana" w:cstheme="minorBidi"/>
                <w:noProof/>
                <w:sz w:val="20"/>
                <w:szCs w:val="20"/>
                <w:lang w:val="en-US" w:eastAsia="en-US"/>
              </w:rPr>
              <w:tab/>
            </w:r>
            <w:r w:rsidR="003558F5" w:rsidRPr="003558F5">
              <w:rPr>
                <w:rStyle w:val="Hipervnculo"/>
                <w:rFonts w:ascii="Verdana" w:hAnsi="Verdana"/>
                <w:noProof/>
                <w:sz w:val="20"/>
                <w:szCs w:val="20"/>
                <w:lang w:val="en-US"/>
              </w:rPr>
              <w:t>Regarding the legal claims</w:t>
            </w:r>
            <w:r w:rsidR="003558F5" w:rsidRPr="003558F5">
              <w:rPr>
                <w:rFonts w:ascii="Verdana" w:hAnsi="Verdana"/>
                <w:noProof/>
                <w:webHidden/>
                <w:sz w:val="20"/>
                <w:szCs w:val="20"/>
              </w:rPr>
              <w:tab/>
            </w:r>
            <w:r w:rsidR="003558F5" w:rsidRPr="003558F5">
              <w:rPr>
                <w:rFonts w:ascii="Verdana" w:hAnsi="Verdana"/>
                <w:noProof/>
                <w:webHidden/>
                <w:sz w:val="20"/>
                <w:szCs w:val="20"/>
              </w:rPr>
              <w:fldChar w:fldCharType="begin"/>
            </w:r>
            <w:r w:rsidR="003558F5" w:rsidRPr="003558F5">
              <w:rPr>
                <w:rFonts w:ascii="Verdana" w:hAnsi="Verdana"/>
                <w:noProof/>
                <w:webHidden/>
                <w:sz w:val="20"/>
                <w:szCs w:val="20"/>
              </w:rPr>
              <w:instrText xml:space="preserve"> PAGEREF _Toc47864357 \h </w:instrText>
            </w:r>
            <w:r w:rsidR="003558F5" w:rsidRPr="003558F5">
              <w:rPr>
                <w:rFonts w:ascii="Verdana" w:hAnsi="Verdana"/>
                <w:noProof/>
                <w:webHidden/>
                <w:sz w:val="20"/>
                <w:szCs w:val="20"/>
              </w:rPr>
            </w:r>
            <w:r w:rsidR="003558F5" w:rsidRPr="003558F5">
              <w:rPr>
                <w:rFonts w:ascii="Verdana" w:hAnsi="Verdana"/>
                <w:noProof/>
                <w:webHidden/>
                <w:sz w:val="20"/>
                <w:szCs w:val="20"/>
              </w:rPr>
              <w:fldChar w:fldCharType="separate"/>
            </w:r>
            <w:r w:rsidR="0054438D">
              <w:rPr>
                <w:rFonts w:ascii="Verdana" w:hAnsi="Verdana"/>
                <w:noProof/>
                <w:webHidden/>
                <w:sz w:val="20"/>
                <w:szCs w:val="20"/>
              </w:rPr>
              <w:t>11</w:t>
            </w:r>
            <w:r w:rsidR="003558F5" w:rsidRPr="003558F5">
              <w:rPr>
                <w:rFonts w:ascii="Verdana" w:hAnsi="Verdana"/>
                <w:noProof/>
                <w:webHidden/>
                <w:sz w:val="20"/>
                <w:szCs w:val="20"/>
              </w:rPr>
              <w:fldChar w:fldCharType="end"/>
            </w:r>
          </w:hyperlink>
        </w:p>
        <w:p w14:paraId="565EF103" w14:textId="20FE9797" w:rsidR="003558F5" w:rsidRPr="003558F5" w:rsidRDefault="006A1E69" w:rsidP="001C4977">
          <w:pPr>
            <w:pStyle w:val="TDC4"/>
            <w:tabs>
              <w:tab w:val="left" w:pos="1200"/>
              <w:tab w:val="right" w:leader="dot" w:pos="9736"/>
              <w:tab w:val="right" w:leader="dot" w:pos="9903"/>
            </w:tabs>
            <w:rPr>
              <w:rFonts w:ascii="Verdana" w:eastAsiaTheme="minorEastAsia" w:hAnsi="Verdana" w:cstheme="minorBidi"/>
              <w:noProof/>
              <w:sz w:val="20"/>
              <w:szCs w:val="20"/>
              <w:lang w:val="en-US" w:eastAsia="en-US"/>
            </w:rPr>
          </w:pPr>
          <w:hyperlink w:anchor="_Toc47864358" w:history="1">
            <w:r w:rsidR="003558F5" w:rsidRPr="003558F5">
              <w:rPr>
                <w:rStyle w:val="Hipervnculo"/>
                <w:rFonts w:ascii="Verdana" w:hAnsi="Verdana"/>
                <w:noProof/>
                <w:sz w:val="20"/>
                <w:szCs w:val="20"/>
                <w:lang w:val="en-US"/>
              </w:rPr>
              <w:t xml:space="preserve">3. </w:t>
            </w:r>
            <w:r w:rsidR="003558F5" w:rsidRPr="003558F5">
              <w:rPr>
                <w:rFonts w:ascii="Verdana" w:eastAsiaTheme="minorEastAsia" w:hAnsi="Verdana" w:cstheme="minorBidi"/>
                <w:noProof/>
                <w:sz w:val="20"/>
                <w:szCs w:val="20"/>
                <w:lang w:val="en-US" w:eastAsia="en-US"/>
              </w:rPr>
              <w:tab/>
            </w:r>
            <w:r w:rsidR="003558F5" w:rsidRPr="003558F5">
              <w:rPr>
                <w:rStyle w:val="Hipervnculo"/>
                <w:rFonts w:ascii="Verdana" w:hAnsi="Verdana"/>
                <w:noProof/>
                <w:sz w:val="20"/>
                <w:szCs w:val="20"/>
                <w:lang w:val="en-US"/>
              </w:rPr>
              <w:t>Regarding reparations</w:t>
            </w:r>
            <w:r w:rsidR="003558F5" w:rsidRPr="003558F5">
              <w:rPr>
                <w:rFonts w:ascii="Verdana" w:hAnsi="Verdana"/>
                <w:noProof/>
                <w:webHidden/>
                <w:sz w:val="20"/>
                <w:szCs w:val="20"/>
              </w:rPr>
              <w:tab/>
            </w:r>
            <w:r w:rsidR="003558F5" w:rsidRPr="003558F5">
              <w:rPr>
                <w:rFonts w:ascii="Verdana" w:hAnsi="Verdana"/>
                <w:noProof/>
                <w:webHidden/>
                <w:sz w:val="20"/>
                <w:szCs w:val="20"/>
              </w:rPr>
              <w:fldChar w:fldCharType="begin"/>
            </w:r>
            <w:r w:rsidR="003558F5" w:rsidRPr="003558F5">
              <w:rPr>
                <w:rFonts w:ascii="Verdana" w:hAnsi="Verdana"/>
                <w:noProof/>
                <w:webHidden/>
                <w:sz w:val="20"/>
                <w:szCs w:val="20"/>
              </w:rPr>
              <w:instrText xml:space="preserve"> PAGEREF _Toc47864358 \h </w:instrText>
            </w:r>
            <w:r w:rsidR="003558F5" w:rsidRPr="003558F5">
              <w:rPr>
                <w:rFonts w:ascii="Verdana" w:hAnsi="Verdana"/>
                <w:noProof/>
                <w:webHidden/>
                <w:sz w:val="20"/>
                <w:szCs w:val="20"/>
              </w:rPr>
            </w:r>
            <w:r w:rsidR="003558F5" w:rsidRPr="003558F5">
              <w:rPr>
                <w:rFonts w:ascii="Verdana" w:hAnsi="Verdana"/>
                <w:noProof/>
                <w:webHidden/>
                <w:sz w:val="20"/>
                <w:szCs w:val="20"/>
              </w:rPr>
              <w:fldChar w:fldCharType="separate"/>
            </w:r>
            <w:r w:rsidR="0054438D">
              <w:rPr>
                <w:rFonts w:ascii="Verdana" w:hAnsi="Verdana"/>
                <w:noProof/>
                <w:webHidden/>
                <w:sz w:val="20"/>
                <w:szCs w:val="20"/>
              </w:rPr>
              <w:t>11</w:t>
            </w:r>
            <w:r w:rsidR="003558F5" w:rsidRPr="003558F5">
              <w:rPr>
                <w:rFonts w:ascii="Verdana" w:hAnsi="Verdana"/>
                <w:noProof/>
                <w:webHidden/>
                <w:sz w:val="20"/>
                <w:szCs w:val="20"/>
              </w:rPr>
              <w:fldChar w:fldCharType="end"/>
            </w:r>
          </w:hyperlink>
        </w:p>
        <w:p w14:paraId="1350E8D8" w14:textId="3C565B16" w:rsidR="003558F5" w:rsidRPr="003558F5" w:rsidRDefault="006A1E69" w:rsidP="001C4977">
          <w:pPr>
            <w:pStyle w:val="TDC4"/>
            <w:tabs>
              <w:tab w:val="left" w:pos="1200"/>
              <w:tab w:val="right" w:leader="dot" w:pos="9736"/>
              <w:tab w:val="right" w:leader="dot" w:pos="9903"/>
            </w:tabs>
            <w:rPr>
              <w:rFonts w:ascii="Verdana" w:eastAsiaTheme="minorEastAsia" w:hAnsi="Verdana" w:cstheme="minorBidi"/>
              <w:noProof/>
              <w:sz w:val="20"/>
              <w:szCs w:val="20"/>
              <w:lang w:val="en-US" w:eastAsia="en-US"/>
            </w:rPr>
          </w:pPr>
          <w:hyperlink w:anchor="_Toc47864359" w:history="1">
            <w:r w:rsidR="003558F5" w:rsidRPr="003558F5">
              <w:rPr>
                <w:rStyle w:val="Hipervnculo"/>
                <w:rFonts w:ascii="Verdana" w:hAnsi="Verdana"/>
                <w:noProof/>
                <w:sz w:val="20"/>
                <w:szCs w:val="20"/>
                <w:lang w:val="en-US"/>
              </w:rPr>
              <w:t xml:space="preserve">4. </w:t>
            </w:r>
            <w:r w:rsidR="003558F5" w:rsidRPr="003558F5">
              <w:rPr>
                <w:rFonts w:ascii="Verdana" w:eastAsiaTheme="minorEastAsia" w:hAnsi="Verdana" w:cstheme="minorBidi"/>
                <w:noProof/>
                <w:sz w:val="20"/>
                <w:szCs w:val="20"/>
                <w:lang w:val="en-US" w:eastAsia="en-US"/>
              </w:rPr>
              <w:tab/>
            </w:r>
            <w:r w:rsidR="003558F5" w:rsidRPr="003558F5">
              <w:rPr>
                <w:rStyle w:val="Hipervnculo"/>
                <w:rFonts w:ascii="Verdana" w:hAnsi="Verdana"/>
                <w:noProof/>
                <w:sz w:val="20"/>
                <w:szCs w:val="20"/>
                <w:lang w:val="en-US"/>
              </w:rPr>
              <w:t>Assessment of the scope of the partial acknowledgement of responsibility</w:t>
            </w:r>
            <w:r w:rsidR="003558F5" w:rsidRPr="003558F5">
              <w:rPr>
                <w:rFonts w:ascii="Verdana" w:hAnsi="Verdana"/>
                <w:noProof/>
                <w:webHidden/>
                <w:sz w:val="20"/>
                <w:szCs w:val="20"/>
              </w:rPr>
              <w:tab/>
            </w:r>
            <w:r w:rsidR="003558F5" w:rsidRPr="003558F5">
              <w:rPr>
                <w:rFonts w:ascii="Verdana" w:hAnsi="Verdana"/>
                <w:noProof/>
                <w:webHidden/>
                <w:sz w:val="20"/>
                <w:szCs w:val="20"/>
              </w:rPr>
              <w:fldChar w:fldCharType="begin"/>
            </w:r>
            <w:r w:rsidR="003558F5" w:rsidRPr="003558F5">
              <w:rPr>
                <w:rFonts w:ascii="Verdana" w:hAnsi="Verdana"/>
                <w:noProof/>
                <w:webHidden/>
                <w:sz w:val="20"/>
                <w:szCs w:val="20"/>
              </w:rPr>
              <w:instrText xml:space="preserve"> PAGEREF _Toc47864359 \h </w:instrText>
            </w:r>
            <w:r w:rsidR="003558F5" w:rsidRPr="003558F5">
              <w:rPr>
                <w:rFonts w:ascii="Verdana" w:hAnsi="Verdana"/>
                <w:noProof/>
                <w:webHidden/>
                <w:sz w:val="20"/>
                <w:szCs w:val="20"/>
              </w:rPr>
            </w:r>
            <w:r w:rsidR="003558F5" w:rsidRPr="003558F5">
              <w:rPr>
                <w:rFonts w:ascii="Verdana" w:hAnsi="Verdana"/>
                <w:noProof/>
                <w:webHidden/>
                <w:sz w:val="20"/>
                <w:szCs w:val="20"/>
              </w:rPr>
              <w:fldChar w:fldCharType="separate"/>
            </w:r>
            <w:r w:rsidR="0054438D">
              <w:rPr>
                <w:rFonts w:ascii="Verdana" w:hAnsi="Verdana"/>
                <w:noProof/>
                <w:webHidden/>
                <w:sz w:val="20"/>
                <w:szCs w:val="20"/>
              </w:rPr>
              <w:t>11</w:t>
            </w:r>
            <w:r w:rsidR="003558F5" w:rsidRPr="003558F5">
              <w:rPr>
                <w:rFonts w:ascii="Verdana" w:hAnsi="Verdana"/>
                <w:noProof/>
                <w:webHidden/>
                <w:sz w:val="20"/>
                <w:szCs w:val="20"/>
              </w:rPr>
              <w:fldChar w:fldCharType="end"/>
            </w:r>
          </w:hyperlink>
        </w:p>
        <w:p w14:paraId="22015766" w14:textId="59513A66" w:rsidR="003558F5" w:rsidRPr="003558F5" w:rsidRDefault="006A1E69" w:rsidP="00650E38">
          <w:pPr>
            <w:pStyle w:val="TDC1"/>
            <w:rPr>
              <w:rFonts w:eastAsiaTheme="minorEastAsia" w:cstheme="minorBidi"/>
              <w:noProof/>
              <w:lang w:eastAsia="en-US"/>
            </w:rPr>
          </w:pPr>
          <w:hyperlink w:anchor="_Toc47864360" w:history="1">
            <w:r w:rsidR="003558F5" w:rsidRPr="003558F5">
              <w:rPr>
                <w:rStyle w:val="Hipervnculo"/>
                <w:rFonts w:ascii="Verdana" w:hAnsi="Verdana"/>
                <w:noProof/>
              </w:rPr>
              <w:t>V EVIDENCE</w:t>
            </w:r>
            <w:r w:rsidR="003558F5" w:rsidRPr="003558F5">
              <w:rPr>
                <w:noProof/>
                <w:webHidden/>
              </w:rPr>
              <w:tab/>
            </w:r>
            <w:r w:rsidR="003558F5" w:rsidRPr="003558F5">
              <w:rPr>
                <w:noProof/>
                <w:webHidden/>
              </w:rPr>
              <w:fldChar w:fldCharType="begin"/>
            </w:r>
            <w:r w:rsidR="003558F5" w:rsidRPr="003558F5">
              <w:rPr>
                <w:noProof/>
                <w:webHidden/>
              </w:rPr>
              <w:instrText xml:space="preserve"> PAGEREF _Toc47864360 \h </w:instrText>
            </w:r>
            <w:r w:rsidR="003558F5" w:rsidRPr="003558F5">
              <w:rPr>
                <w:noProof/>
                <w:webHidden/>
              </w:rPr>
            </w:r>
            <w:r w:rsidR="003558F5" w:rsidRPr="003558F5">
              <w:rPr>
                <w:noProof/>
                <w:webHidden/>
              </w:rPr>
              <w:fldChar w:fldCharType="separate"/>
            </w:r>
            <w:r w:rsidR="0054438D">
              <w:rPr>
                <w:noProof/>
                <w:webHidden/>
              </w:rPr>
              <w:t>12</w:t>
            </w:r>
            <w:r w:rsidR="003558F5" w:rsidRPr="003558F5">
              <w:rPr>
                <w:noProof/>
                <w:webHidden/>
              </w:rPr>
              <w:fldChar w:fldCharType="end"/>
            </w:r>
          </w:hyperlink>
        </w:p>
        <w:p w14:paraId="2882AEFC" w14:textId="004B4406" w:rsidR="003558F5" w:rsidRPr="003558F5" w:rsidRDefault="006A1E69" w:rsidP="001C4977">
          <w:pPr>
            <w:pStyle w:val="TDC3"/>
            <w:rPr>
              <w:rFonts w:eastAsiaTheme="minorEastAsia" w:cstheme="minorBidi"/>
              <w:iCs w:val="0"/>
              <w:lang w:val="en-US" w:eastAsia="en-US"/>
            </w:rPr>
          </w:pPr>
          <w:hyperlink w:anchor="_Toc47864361" w:history="1">
            <w:r w:rsidR="003558F5" w:rsidRPr="003558F5">
              <w:rPr>
                <w:rStyle w:val="Hipervnculo"/>
                <w:lang w:val="en-US"/>
              </w:rPr>
              <w:t>A.</w:t>
            </w:r>
            <w:r w:rsidR="003558F5" w:rsidRPr="003558F5">
              <w:rPr>
                <w:rFonts w:eastAsiaTheme="minorEastAsia" w:cstheme="minorBidi"/>
                <w:iCs w:val="0"/>
                <w:lang w:val="en-US" w:eastAsia="en-US"/>
              </w:rPr>
              <w:tab/>
            </w:r>
            <w:r w:rsidR="003558F5" w:rsidRPr="003558F5">
              <w:rPr>
                <w:rStyle w:val="Hipervnculo"/>
                <w:lang w:val="en-US"/>
              </w:rPr>
              <w:t>Documentary, testimonial and expert evidence</w:t>
            </w:r>
            <w:r w:rsidR="003558F5" w:rsidRPr="003558F5">
              <w:rPr>
                <w:webHidden/>
              </w:rPr>
              <w:tab/>
            </w:r>
            <w:r w:rsidR="003558F5" w:rsidRPr="003558F5">
              <w:rPr>
                <w:webHidden/>
              </w:rPr>
              <w:fldChar w:fldCharType="begin"/>
            </w:r>
            <w:r w:rsidR="003558F5" w:rsidRPr="003558F5">
              <w:rPr>
                <w:webHidden/>
              </w:rPr>
              <w:instrText xml:space="preserve"> PAGEREF _Toc47864361 \h </w:instrText>
            </w:r>
            <w:r w:rsidR="003558F5" w:rsidRPr="003558F5">
              <w:rPr>
                <w:webHidden/>
              </w:rPr>
            </w:r>
            <w:r w:rsidR="003558F5" w:rsidRPr="003558F5">
              <w:rPr>
                <w:webHidden/>
              </w:rPr>
              <w:fldChar w:fldCharType="separate"/>
            </w:r>
            <w:r w:rsidR="0054438D">
              <w:rPr>
                <w:webHidden/>
              </w:rPr>
              <w:t>12</w:t>
            </w:r>
            <w:r w:rsidR="003558F5" w:rsidRPr="003558F5">
              <w:rPr>
                <w:webHidden/>
              </w:rPr>
              <w:fldChar w:fldCharType="end"/>
            </w:r>
          </w:hyperlink>
        </w:p>
        <w:p w14:paraId="387FC59A" w14:textId="79F11088" w:rsidR="003558F5" w:rsidRPr="003558F5" w:rsidRDefault="006A1E69" w:rsidP="001C4977">
          <w:pPr>
            <w:pStyle w:val="TDC3"/>
            <w:rPr>
              <w:rFonts w:eastAsiaTheme="minorEastAsia" w:cstheme="minorBidi"/>
              <w:iCs w:val="0"/>
              <w:lang w:val="en-US" w:eastAsia="en-US"/>
            </w:rPr>
          </w:pPr>
          <w:hyperlink w:anchor="_Toc47864362" w:history="1">
            <w:r w:rsidR="003558F5" w:rsidRPr="003558F5">
              <w:rPr>
                <w:rStyle w:val="Hipervnculo"/>
                <w:lang w:val="en-US"/>
              </w:rPr>
              <w:t>B.</w:t>
            </w:r>
            <w:r w:rsidR="003558F5" w:rsidRPr="003558F5">
              <w:rPr>
                <w:rFonts w:eastAsiaTheme="minorEastAsia" w:cstheme="minorBidi"/>
                <w:iCs w:val="0"/>
                <w:lang w:val="en-US" w:eastAsia="en-US"/>
              </w:rPr>
              <w:tab/>
            </w:r>
            <w:r w:rsidR="003558F5" w:rsidRPr="003558F5">
              <w:rPr>
                <w:rStyle w:val="Hipervnculo"/>
                <w:lang w:val="en-US"/>
              </w:rPr>
              <w:t>Admission of the evidence</w:t>
            </w:r>
            <w:r w:rsidR="003558F5" w:rsidRPr="003558F5">
              <w:rPr>
                <w:webHidden/>
              </w:rPr>
              <w:tab/>
            </w:r>
            <w:r w:rsidR="003558F5" w:rsidRPr="003558F5">
              <w:rPr>
                <w:webHidden/>
              </w:rPr>
              <w:fldChar w:fldCharType="begin"/>
            </w:r>
            <w:r w:rsidR="003558F5" w:rsidRPr="003558F5">
              <w:rPr>
                <w:webHidden/>
              </w:rPr>
              <w:instrText xml:space="preserve"> PAGEREF _Toc47864362 \h </w:instrText>
            </w:r>
            <w:r w:rsidR="003558F5" w:rsidRPr="003558F5">
              <w:rPr>
                <w:webHidden/>
              </w:rPr>
            </w:r>
            <w:r w:rsidR="003558F5" w:rsidRPr="003558F5">
              <w:rPr>
                <w:webHidden/>
              </w:rPr>
              <w:fldChar w:fldCharType="separate"/>
            </w:r>
            <w:r w:rsidR="0054438D">
              <w:rPr>
                <w:webHidden/>
              </w:rPr>
              <w:t>12</w:t>
            </w:r>
            <w:r w:rsidR="003558F5" w:rsidRPr="003558F5">
              <w:rPr>
                <w:webHidden/>
              </w:rPr>
              <w:fldChar w:fldCharType="end"/>
            </w:r>
          </w:hyperlink>
        </w:p>
        <w:p w14:paraId="18CC666F" w14:textId="11AEC033" w:rsidR="003558F5" w:rsidRPr="003558F5" w:rsidRDefault="006A1E69" w:rsidP="001C4977">
          <w:pPr>
            <w:pStyle w:val="TDC3"/>
            <w:rPr>
              <w:rFonts w:eastAsiaTheme="minorEastAsia" w:cstheme="minorBidi"/>
              <w:iCs w:val="0"/>
              <w:lang w:val="en-US" w:eastAsia="en-US"/>
            </w:rPr>
          </w:pPr>
          <w:hyperlink w:anchor="_Toc47864363" w:history="1">
            <w:r w:rsidR="003558F5" w:rsidRPr="003558F5">
              <w:rPr>
                <w:rStyle w:val="Hipervnculo"/>
                <w:lang w:val="en-US"/>
              </w:rPr>
              <w:t>C.</w:t>
            </w:r>
            <w:r w:rsidR="003558F5" w:rsidRPr="003558F5">
              <w:rPr>
                <w:rFonts w:eastAsiaTheme="minorEastAsia" w:cstheme="minorBidi"/>
                <w:iCs w:val="0"/>
                <w:lang w:val="en-US" w:eastAsia="en-US"/>
              </w:rPr>
              <w:tab/>
            </w:r>
            <w:r w:rsidR="003558F5" w:rsidRPr="003558F5">
              <w:rPr>
                <w:rStyle w:val="Hipervnculo"/>
                <w:lang w:val="en-US"/>
              </w:rPr>
              <w:t>Assessment of the evidence</w:t>
            </w:r>
            <w:r w:rsidR="003558F5" w:rsidRPr="003558F5">
              <w:rPr>
                <w:webHidden/>
              </w:rPr>
              <w:tab/>
            </w:r>
            <w:r w:rsidR="003558F5" w:rsidRPr="003558F5">
              <w:rPr>
                <w:webHidden/>
              </w:rPr>
              <w:fldChar w:fldCharType="begin"/>
            </w:r>
            <w:r w:rsidR="003558F5" w:rsidRPr="003558F5">
              <w:rPr>
                <w:webHidden/>
              </w:rPr>
              <w:instrText xml:space="preserve"> PAGEREF _Toc47864363 \h </w:instrText>
            </w:r>
            <w:r w:rsidR="003558F5" w:rsidRPr="003558F5">
              <w:rPr>
                <w:webHidden/>
              </w:rPr>
            </w:r>
            <w:r w:rsidR="003558F5" w:rsidRPr="003558F5">
              <w:rPr>
                <w:webHidden/>
              </w:rPr>
              <w:fldChar w:fldCharType="separate"/>
            </w:r>
            <w:r w:rsidR="0054438D">
              <w:rPr>
                <w:webHidden/>
              </w:rPr>
              <w:t>13</w:t>
            </w:r>
            <w:r w:rsidR="003558F5" w:rsidRPr="003558F5">
              <w:rPr>
                <w:webHidden/>
              </w:rPr>
              <w:fldChar w:fldCharType="end"/>
            </w:r>
          </w:hyperlink>
        </w:p>
        <w:p w14:paraId="748280B8" w14:textId="1B649C53" w:rsidR="003558F5" w:rsidRPr="003558F5" w:rsidRDefault="006A1E69" w:rsidP="00650E38">
          <w:pPr>
            <w:pStyle w:val="TDC1"/>
            <w:rPr>
              <w:rFonts w:eastAsiaTheme="minorEastAsia" w:cstheme="minorBidi"/>
              <w:noProof/>
              <w:lang w:eastAsia="en-US"/>
            </w:rPr>
          </w:pPr>
          <w:hyperlink w:anchor="_Toc47864364" w:history="1">
            <w:r w:rsidR="003558F5" w:rsidRPr="003558F5">
              <w:rPr>
                <w:rStyle w:val="Hipervnculo"/>
                <w:rFonts w:ascii="Verdana" w:hAnsi="Verdana"/>
                <w:noProof/>
              </w:rPr>
              <w:t>VI</w:t>
            </w:r>
            <w:r w:rsidR="003558F5">
              <w:rPr>
                <w:rStyle w:val="Hipervnculo"/>
                <w:rFonts w:ascii="Verdana" w:hAnsi="Verdana"/>
                <w:noProof/>
              </w:rPr>
              <w:t xml:space="preserve"> FACTS</w:t>
            </w:r>
            <w:r w:rsidR="003558F5" w:rsidRPr="003558F5">
              <w:rPr>
                <w:noProof/>
                <w:webHidden/>
              </w:rPr>
              <w:tab/>
            </w:r>
            <w:r w:rsidR="003558F5" w:rsidRPr="003558F5">
              <w:rPr>
                <w:noProof/>
                <w:webHidden/>
              </w:rPr>
              <w:fldChar w:fldCharType="begin"/>
            </w:r>
            <w:r w:rsidR="003558F5" w:rsidRPr="003558F5">
              <w:rPr>
                <w:noProof/>
                <w:webHidden/>
              </w:rPr>
              <w:instrText xml:space="preserve"> PAGEREF _Toc47864364 \h </w:instrText>
            </w:r>
            <w:r w:rsidR="003558F5" w:rsidRPr="003558F5">
              <w:rPr>
                <w:noProof/>
                <w:webHidden/>
              </w:rPr>
            </w:r>
            <w:r w:rsidR="003558F5" w:rsidRPr="003558F5">
              <w:rPr>
                <w:noProof/>
                <w:webHidden/>
              </w:rPr>
              <w:fldChar w:fldCharType="separate"/>
            </w:r>
            <w:r w:rsidR="0054438D">
              <w:rPr>
                <w:noProof/>
                <w:webHidden/>
              </w:rPr>
              <w:t>13</w:t>
            </w:r>
            <w:r w:rsidR="003558F5" w:rsidRPr="003558F5">
              <w:rPr>
                <w:noProof/>
                <w:webHidden/>
              </w:rPr>
              <w:fldChar w:fldCharType="end"/>
            </w:r>
          </w:hyperlink>
        </w:p>
        <w:p w14:paraId="5101EBA0" w14:textId="5CC2983A" w:rsidR="003558F5" w:rsidRPr="003558F5" w:rsidRDefault="006A1E69" w:rsidP="00650E38">
          <w:pPr>
            <w:pStyle w:val="TDC1"/>
            <w:rPr>
              <w:rFonts w:eastAsiaTheme="minorEastAsia" w:cstheme="minorBidi"/>
              <w:noProof/>
              <w:lang w:eastAsia="en-US"/>
            </w:rPr>
          </w:pPr>
          <w:hyperlink w:anchor="_Toc47864366" w:history="1">
            <w:r w:rsidR="003558F5" w:rsidRPr="003558F5">
              <w:rPr>
                <w:rStyle w:val="Hipervnculo"/>
                <w:rFonts w:ascii="Verdana" w:hAnsi="Verdana"/>
                <w:noProof/>
              </w:rPr>
              <w:t>VII</w:t>
            </w:r>
            <w:r w:rsidR="003558F5">
              <w:rPr>
                <w:rStyle w:val="Hipervnculo"/>
                <w:rFonts w:ascii="Verdana" w:hAnsi="Verdana"/>
                <w:noProof/>
              </w:rPr>
              <w:t xml:space="preserve"> MERITS</w:t>
            </w:r>
            <w:r w:rsidR="003558F5" w:rsidRPr="003558F5">
              <w:rPr>
                <w:noProof/>
                <w:webHidden/>
              </w:rPr>
              <w:tab/>
            </w:r>
            <w:r w:rsidR="003558F5" w:rsidRPr="003558F5">
              <w:rPr>
                <w:noProof/>
                <w:webHidden/>
              </w:rPr>
              <w:fldChar w:fldCharType="begin"/>
            </w:r>
            <w:r w:rsidR="003558F5" w:rsidRPr="003558F5">
              <w:rPr>
                <w:noProof/>
                <w:webHidden/>
              </w:rPr>
              <w:instrText xml:space="preserve"> PAGEREF _Toc47864366 \h </w:instrText>
            </w:r>
            <w:r w:rsidR="003558F5" w:rsidRPr="003558F5">
              <w:rPr>
                <w:noProof/>
                <w:webHidden/>
              </w:rPr>
            </w:r>
            <w:r w:rsidR="003558F5" w:rsidRPr="003558F5">
              <w:rPr>
                <w:noProof/>
                <w:webHidden/>
              </w:rPr>
              <w:fldChar w:fldCharType="separate"/>
            </w:r>
            <w:r w:rsidR="0054438D">
              <w:rPr>
                <w:noProof/>
                <w:webHidden/>
              </w:rPr>
              <w:t>24</w:t>
            </w:r>
            <w:r w:rsidR="003558F5" w:rsidRPr="003558F5">
              <w:rPr>
                <w:noProof/>
                <w:webHidden/>
              </w:rPr>
              <w:fldChar w:fldCharType="end"/>
            </w:r>
          </w:hyperlink>
        </w:p>
        <w:p w14:paraId="4B94007E" w14:textId="0CF025C4" w:rsidR="003558F5" w:rsidRPr="003558F5" w:rsidRDefault="006A1E69" w:rsidP="00650E38">
          <w:pPr>
            <w:pStyle w:val="TDC1"/>
            <w:rPr>
              <w:rFonts w:eastAsiaTheme="minorEastAsia" w:cstheme="minorBidi"/>
              <w:noProof/>
              <w:lang w:eastAsia="en-US"/>
            </w:rPr>
          </w:pPr>
          <w:hyperlink w:anchor="_Toc47864368" w:history="1">
            <w:r w:rsidR="003558F5" w:rsidRPr="003558F5">
              <w:rPr>
                <w:rStyle w:val="Hipervnculo"/>
                <w:rFonts w:ascii="Verdana" w:hAnsi="Verdana"/>
                <w:noProof/>
              </w:rPr>
              <w:t>VII-1</w:t>
            </w:r>
            <w:r w:rsidR="003558F5">
              <w:rPr>
                <w:rStyle w:val="Hipervnculo"/>
                <w:rFonts w:ascii="Verdana" w:hAnsi="Verdana"/>
                <w:noProof/>
              </w:rPr>
              <w:t xml:space="preserve"> RIGHT TO HEALTH, LIFE, INTEGRITY AND ACCESS TO INFORMATION (articles 26, </w:t>
            </w:r>
            <w:r w:rsidR="003558F5" w:rsidRPr="003558F5">
              <w:rPr>
                <w:rStyle w:val="Hipervnculo"/>
                <w:rFonts w:ascii="Verdana" w:hAnsi="Verdana"/>
                <w:noProof/>
              </w:rPr>
              <w:t>1(1), 4, 5, 13, 7 AND 11 OF</w:t>
            </w:r>
            <w:r w:rsidR="003558F5">
              <w:rPr>
                <w:rStyle w:val="Hipervnculo"/>
                <w:rFonts w:ascii="Verdana" w:hAnsi="Verdana"/>
                <w:noProof/>
              </w:rPr>
              <w:t xml:space="preserve"> the american convention)</w:t>
            </w:r>
            <w:r w:rsidR="003558F5" w:rsidRPr="003558F5">
              <w:rPr>
                <w:noProof/>
                <w:webHidden/>
              </w:rPr>
              <w:tab/>
            </w:r>
            <w:r w:rsidR="003558F5" w:rsidRPr="003558F5">
              <w:rPr>
                <w:noProof/>
                <w:webHidden/>
              </w:rPr>
              <w:fldChar w:fldCharType="begin"/>
            </w:r>
            <w:r w:rsidR="003558F5" w:rsidRPr="003558F5">
              <w:rPr>
                <w:noProof/>
                <w:webHidden/>
              </w:rPr>
              <w:instrText xml:space="preserve"> PAGEREF _Toc47864368 \h </w:instrText>
            </w:r>
            <w:r w:rsidR="003558F5" w:rsidRPr="003558F5">
              <w:rPr>
                <w:noProof/>
                <w:webHidden/>
              </w:rPr>
            </w:r>
            <w:r w:rsidR="003558F5" w:rsidRPr="003558F5">
              <w:rPr>
                <w:noProof/>
                <w:webHidden/>
              </w:rPr>
              <w:fldChar w:fldCharType="separate"/>
            </w:r>
            <w:r w:rsidR="0054438D">
              <w:rPr>
                <w:noProof/>
                <w:webHidden/>
              </w:rPr>
              <w:t>25</w:t>
            </w:r>
            <w:r w:rsidR="003558F5" w:rsidRPr="003558F5">
              <w:rPr>
                <w:noProof/>
                <w:webHidden/>
              </w:rPr>
              <w:fldChar w:fldCharType="end"/>
            </w:r>
          </w:hyperlink>
        </w:p>
        <w:p w14:paraId="0E915C8B" w14:textId="48582C1B" w:rsidR="003558F5" w:rsidRPr="003558F5" w:rsidRDefault="006A1E69" w:rsidP="001C4977">
          <w:pPr>
            <w:pStyle w:val="TDC3"/>
            <w:rPr>
              <w:rFonts w:eastAsiaTheme="minorEastAsia" w:cstheme="minorBidi"/>
              <w:iCs w:val="0"/>
              <w:lang w:val="en-US" w:eastAsia="en-US"/>
            </w:rPr>
          </w:pPr>
          <w:hyperlink w:anchor="_Toc47864371" w:history="1">
            <w:r w:rsidR="003558F5" w:rsidRPr="003558F5">
              <w:rPr>
                <w:rStyle w:val="Hipervnculo"/>
                <w:lang w:val="en-US"/>
              </w:rPr>
              <w:t>A.</w:t>
            </w:r>
            <w:r w:rsidR="003558F5" w:rsidRPr="003558F5">
              <w:rPr>
                <w:rFonts w:eastAsiaTheme="minorEastAsia" w:cstheme="minorBidi"/>
                <w:iCs w:val="0"/>
                <w:lang w:val="en-US" w:eastAsia="en-US"/>
              </w:rPr>
              <w:tab/>
            </w:r>
            <w:r w:rsidR="003558F5" w:rsidRPr="003558F5">
              <w:rPr>
                <w:rStyle w:val="Hipervnculo"/>
                <w:lang w:val="en-US"/>
              </w:rPr>
              <w:t>Arguments of the parties and of the Commission</w:t>
            </w:r>
            <w:r w:rsidR="003558F5" w:rsidRPr="003558F5">
              <w:rPr>
                <w:webHidden/>
              </w:rPr>
              <w:tab/>
            </w:r>
            <w:r w:rsidR="003558F5" w:rsidRPr="003558F5">
              <w:rPr>
                <w:webHidden/>
              </w:rPr>
              <w:fldChar w:fldCharType="begin"/>
            </w:r>
            <w:r w:rsidR="003558F5" w:rsidRPr="003558F5">
              <w:rPr>
                <w:webHidden/>
              </w:rPr>
              <w:instrText xml:space="preserve"> PAGEREF _Toc47864371 \h </w:instrText>
            </w:r>
            <w:r w:rsidR="003558F5" w:rsidRPr="003558F5">
              <w:rPr>
                <w:webHidden/>
              </w:rPr>
            </w:r>
            <w:r w:rsidR="003558F5" w:rsidRPr="003558F5">
              <w:rPr>
                <w:webHidden/>
              </w:rPr>
              <w:fldChar w:fldCharType="separate"/>
            </w:r>
            <w:r w:rsidR="0054438D">
              <w:rPr>
                <w:webHidden/>
              </w:rPr>
              <w:t>25</w:t>
            </w:r>
            <w:r w:rsidR="003558F5" w:rsidRPr="003558F5">
              <w:rPr>
                <w:webHidden/>
              </w:rPr>
              <w:fldChar w:fldCharType="end"/>
            </w:r>
          </w:hyperlink>
        </w:p>
        <w:p w14:paraId="7997FE4F" w14:textId="2B50F6BD" w:rsidR="003558F5" w:rsidRPr="003558F5" w:rsidRDefault="006A1E69" w:rsidP="001C4977">
          <w:pPr>
            <w:pStyle w:val="TDC4"/>
            <w:tabs>
              <w:tab w:val="left" w:pos="1200"/>
              <w:tab w:val="right" w:leader="dot" w:pos="9736"/>
              <w:tab w:val="right" w:leader="dot" w:pos="9903"/>
            </w:tabs>
            <w:rPr>
              <w:rFonts w:ascii="Verdana" w:eastAsiaTheme="minorEastAsia" w:hAnsi="Verdana" w:cstheme="minorBidi"/>
              <w:noProof/>
              <w:sz w:val="20"/>
              <w:szCs w:val="20"/>
              <w:lang w:val="en-US" w:eastAsia="en-US"/>
            </w:rPr>
          </w:pPr>
          <w:hyperlink w:anchor="_Toc47864372" w:history="1">
            <w:r w:rsidR="003558F5" w:rsidRPr="003558F5">
              <w:rPr>
                <w:rStyle w:val="Hipervnculo"/>
                <w:rFonts w:ascii="Verdana" w:hAnsi="Verdana"/>
                <w:noProof/>
                <w:sz w:val="20"/>
                <w:szCs w:val="20"/>
                <w:lang w:val="en-US"/>
              </w:rPr>
              <w:t>1.</w:t>
            </w:r>
            <w:r w:rsidR="003558F5" w:rsidRPr="003558F5">
              <w:rPr>
                <w:rFonts w:ascii="Verdana" w:eastAsiaTheme="minorEastAsia" w:hAnsi="Verdana" w:cstheme="minorBidi"/>
                <w:noProof/>
                <w:sz w:val="20"/>
                <w:szCs w:val="20"/>
                <w:lang w:val="en-US" w:eastAsia="en-US"/>
              </w:rPr>
              <w:tab/>
            </w:r>
            <w:r w:rsidR="003558F5" w:rsidRPr="003558F5">
              <w:rPr>
                <w:rStyle w:val="Hipervnculo"/>
                <w:rFonts w:ascii="Verdana" w:hAnsi="Verdana"/>
                <w:noProof/>
                <w:sz w:val="20"/>
                <w:szCs w:val="20"/>
                <w:lang w:val="en-US"/>
              </w:rPr>
              <w:t>On the right to health</w:t>
            </w:r>
            <w:r w:rsidR="003558F5" w:rsidRPr="003558F5">
              <w:rPr>
                <w:rFonts w:ascii="Verdana" w:hAnsi="Verdana"/>
                <w:noProof/>
                <w:webHidden/>
                <w:sz w:val="20"/>
                <w:szCs w:val="20"/>
              </w:rPr>
              <w:tab/>
            </w:r>
            <w:r w:rsidR="003558F5" w:rsidRPr="003558F5">
              <w:rPr>
                <w:rFonts w:ascii="Verdana" w:hAnsi="Verdana"/>
                <w:noProof/>
                <w:webHidden/>
                <w:sz w:val="20"/>
                <w:szCs w:val="20"/>
              </w:rPr>
              <w:fldChar w:fldCharType="begin"/>
            </w:r>
            <w:r w:rsidR="003558F5" w:rsidRPr="003558F5">
              <w:rPr>
                <w:rFonts w:ascii="Verdana" w:hAnsi="Verdana"/>
                <w:noProof/>
                <w:webHidden/>
                <w:sz w:val="20"/>
                <w:szCs w:val="20"/>
              </w:rPr>
              <w:instrText xml:space="preserve"> PAGEREF _Toc47864372 \h </w:instrText>
            </w:r>
            <w:r w:rsidR="003558F5" w:rsidRPr="003558F5">
              <w:rPr>
                <w:rFonts w:ascii="Verdana" w:hAnsi="Verdana"/>
                <w:noProof/>
                <w:webHidden/>
                <w:sz w:val="20"/>
                <w:szCs w:val="20"/>
              </w:rPr>
            </w:r>
            <w:r w:rsidR="003558F5" w:rsidRPr="003558F5">
              <w:rPr>
                <w:rFonts w:ascii="Verdana" w:hAnsi="Verdana"/>
                <w:noProof/>
                <w:webHidden/>
                <w:sz w:val="20"/>
                <w:szCs w:val="20"/>
              </w:rPr>
              <w:fldChar w:fldCharType="separate"/>
            </w:r>
            <w:r w:rsidR="0054438D">
              <w:rPr>
                <w:rFonts w:ascii="Verdana" w:hAnsi="Verdana"/>
                <w:noProof/>
                <w:webHidden/>
                <w:sz w:val="20"/>
                <w:szCs w:val="20"/>
              </w:rPr>
              <w:t>25</w:t>
            </w:r>
            <w:r w:rsidR="003558F5" w:rsidRPr="003558F5">
              <w:rPr>
                <w:rFonts w:ascii="Verdana" w:hAnsi="Verdana"/>
                <w:noProof/>
                <w:webHidden/>
                <w:sz w:val="20"/>
                <w:szCs w:val="20"/>
              </w:rPr>
              <w:fldChar w:fldCharType="end"/>
            </w:r>
          </w:hyperlink>
        </w:p>
        <w:p w14:paraId="57041748" w14:textId="6490476A" w:rsidR="003558F5" w:rsidRPr="003558F5" w:rsidRDefault="006A1E69" w:rsidP="001C4977">
          <w:pPr>
            <w:pStyle w:val="TDC4"/>
            <w:tabs>
              <w:tab w:val="left" w:pos="1200"/>
              <w:tab w:val="right" w:leader="dot" w:pos="9736"/>
              <w:tab w:val="right" w:leader="dot" w:pos="9903"/>
            </w:tabs>
            <w:rPr>
              <w:rFonts w:ascii="Verdana" w:eastAsiaTheme="minorEastAsia" w:hAnsi="Verdana" w:cstheme="minorBidi"/>
              <w:noProof/>
              <w:sz w:val="20"/>
              <w:szCs w:val="20"/>
              <w:lang w:val="en-US" w:eastAsia="en-US"/>
            </w:rPr>
          </w:pPr>
          <w:hyperlink w:anchor="_Toc47864373" w:history="1">
            <w:r w:rsidR="003558F5" w:rsidRPr="003558F5">
              <w:rPr>
                <w:rStyle w:val="Hipervnculo"/>
                <w:rFonts w:ascii="Verdana" w:hAnsi="Verdana"/>
                <w:noProof/>
                <w:sz w:val="20"/>
                <w:szCs w:val="20"/>
                <w:lang w:val="en-US"/>
              </w:rPr>
              <w:t>2.</w:t>
            </w:r>
            <w:r w:rsidR="003558F5" w:rsidRPr="003558F5">
              <w:rPr>
                <w:rFonts w:ascii="Verdana" w:eastAsiaTheme="minorEastAsia" w:hAnsi="Verdana" w:cstheme="minorBidi"/>
                <w:noProof/>
                <w:sz w:val="20"/>
                <w:szCs w:val="20"/>
                <w:lang w:val="en-US" w:eastAsia="en-US"/>
              </w:rPr>
              <w:tab/>
            </w:r>
            <w:r w:rsidR="003558F5" w:rsidRPr="003558F5">
              <w:rPr>
                <w:rStyle w:val="Hipervnculo"/>
                <w:rFonts w:ascii="Verdana" w:hAnsi="Verdana"/>
                <w:noProof/>
                <w:sz w:val="20"/>
                <w:szCs w:val="20"/>
                <w:lang w:val="en-US"/>
              </w:rPr>
              <w:t>On the right to life and to personal integrity</w:t>
            </w:r>
            <w:r w:rsidR="003558F5" w:rsidRPr="003558F5">
              <w:rPr>
                <w:rFonts w:ascii="Verdana" w:hAnsi="Verdana"/>
                <w:noProof/>
                <w:webHidden/>
                <w:sz w:val="20"/>
                <w:szCs w:val="20"/>
              </w:rPr>
              <w:tab/>
            </w:r>
            <w:r w:rsidR="003558F5" w:rsidRPr="003558F5">
              <w:rPr>
                <w:rFonts w:ascii="Verdana" w:hAnsi="Verdana"/>
                <w:noProof/>
                <w:webHidden/>
                <w:sz w:val="20"/>
                <w:szCs w:val="20"/>
              </w:rPr>
              <w:fldChar w:fldCharType="begin"/>
            </w:r>
            <w:r w:rsidR="003558F5" w:rsidRPr="003558F5">
              <w:rPr>
                <w:rFonts w:ascii="Verdana" w:hAnsi="Verdana"/>
                <w:noProof/>
                <w:webHidden/>
                <w:sz w:val="20"/>
                <w:szCs w:val="20"/>
              </w:rPr>
              <w:instrText xml:space="preserve"> PAGEREF _Toc47864373 \h </w:instrText>
            </w:r>
            <w:r w:rsidR="003558F5" w:rsidRPr="003558F5">
              <w:rPr>
                <w:rFonts w:ascii="Verdana" w:hAnsi="Verdana"/>
                <w:noProof/>
                <w:webHidden/>
                <w:sz w:val="20"/>
                <w:szCs w:val="20"/>
              </w:rPr>
            </w:r>
            <w:r w:rsidR="003558F5" w:rsidRPr="003558F5">
              <w:rPr>
                <w:rFonts w:ascii="Verdana" w:hAnsi="Verdana"/>
                <w:noProof/>
                <w:webHidden/>
                <w:sz w:val="20"/>
                <w:szCs w:val="20"/>
              </w:rPr>
              <w:fldChar w:fldCharType="separate"/>
            </w:r>
            <w:r w:rsidR="0054438D">
              <w:rPr>
                <w:rFonts w:ascii="Verdana" w:hAnsi="Verdana"/>
                <w:noProof/>
                <w:webHidden/>
                <w:sz w:val="20"/>
                <w:szCs w:val="20"/>
              </w:rPr>
              <w:t>26</w:t>
            </w:r>
            <w:r w:rsidR="003558F5" w:rsidRPr="003558F5">
              <w:rPr>
                <w:rFonts w:ascii="Verdana" w:hAnsi="Verdana"/>
                <w:noProof/>
                <w:webHidden/>
                <w:sz w:val="20"/>
                <w:szCs w:val="20"/>
              </w:rPr>
              <w:fldChar w:fldCharType="end"/>
            </w:r>
          </w:hyperlink>
        </w:p>
        <w:p w14:paraId="52FE054A" w14:textId="3077B5B4" w:rsidR="003558F5" w:rsidRPr="003558F5" w:rsidRDefault="006A1E69" w:rsidP="001C4977">
          <w:pPr>
            <w:pStyle w:val="TDC4"/>
            <w:tabs>
              <w:tab w:val="left" w:pos="1200"/>
              <w:tab w:val="right" w:leader="dot" w:pos="9736"/>
              <w:tab w:val="right" w:leader="dot" w:pos="9903"/>
            </w:tabs>
            <w:rPr>
              <w:rFonts w:ascii="Verdana" w:eastAsiaTheme="minorEastAsia" w:hAnsi="Verdana" w:cstheme="minorBidi"/>
              <w:noProof/>
              <w:sz w:val="20"/>
              <w:szCs w:val="20"/>
              <w:lang w:val="en-US" w:eastAsia="en-US"/>
            </w:rPr>
          </w:pPr>
          <w:hyperlink w:anchor="_Toc47864374" w:history="1">
            <w:r w:rsidR="003558F5" w:rsidRPr="003558F5">
              <w:rPr>
                <w:rStyle w:val="Hipervnculo"/>
                <w:rFonts w:ascii="Verdana" w:hAnsi="Verdana"/>
                <w:noProof/>
                <w:sz w:val="20"/>
                <w:szCs w:val="20"/>
                <w:lang w:val="en-US"/>
              </w:rPr>
              <w:t>3.</w:t>
            </w:r>
            <w:r w:rsidR="003558F5" w:rsidRPr="003558F5">
              <w:rPr>
                <w:rFonts w:ascii="Verdana" w:eastAsiaTheme="minorEastAsia" w:hAnsi="Verdana" w:cstheme="minorBidi"/>
                <w:noProof/>
                <w:sz w:val="20"/>
                <w:szCs w:val="20"/>
                <w:lang w:val="en-US" w:eastAsia="en-US"/>
              </w:rPr>
              <w:tab/>
            </w:r>
            <w:r w:rsidR="003558F5" w:rsidRPr="003558F5">
              <w:rPr>
                <w:rStyle w:val="Hipervnculo"/>
                <w:rFonts w:ascii="Verdana" w:hAnsi="Verdana"/>
                <w:noProof/>
                <w:sz w:val="20"/>
                <w:szCs w:val="20"/>
                <w:lang w:val="en-US"/>
              </w:rPr>
              <w:t>On informed consent</w:t>
            </w:r>
            <w:r w:rsidR="003558F5" w:rsidRPr="003558F5">
              <w:rPr>
                <w:rFonts w:ascii="Verdana" w:hAnsi="Verdana"/>
                <w:noProof/>
                <w:webHidden/>
                <w:sz w:val="20"/>
                <w:szCs w:val="20"/>
              </w:rPr>
              <w:tab/>
            </w:r>
            <w:r w:rsidR="003558F5" w:rsidRPr="003558F5">
              <w:rPr>
                <w:rFonts w:ascii="Verdana" w:hAnsi="Verdana"/>
                <w:noProof/>
                <w:webHidden/>
                <w:sz w:val="20"/>
                <w:szCs w:val="20"/>
              </w:rPr>
              <w:fldChar w:fldCharType="begin"/>
            </w:r>
            <w:r w:rsidR="003558F5" w:rsidRPr="003558F5">
              <w:rPr>
                <w:rFonts w:ascii="Verdana" w:hAnsi="Verdana"/>
                <w:noProof/>
                <w:webHidden/>
                <w:sz w:val="20"/>
                <w:szCs w:val="20"/>
              </w:rPr>
              <w:instrText xml:space="preserve"> PAGEREF _Toc47864374 \h </w:instrText>
            </w:r>
            <w:r w:rsidR="003558F5" w:rsidRPr="003558F5">
              <w:rPr>
                <w:rFonts w:ascii="Verdana" w:hAnsi="Verdana"/>
                <w:noProof/>
                <w:webHidden/>
                <w:sz w:val="20"/>
                <w:szCs w:val="20"/>
              </w:rPr>
            </w:r>
            <w:r w:rsidR="003558F5" w:rsidRPr="003558F5">
              <w:rPr>
                <w:rFonts w:ascii="Verdana" w:hAnsi="Verdana"/>
                <w:noProof/>
                <w:webHidden/>
                <w:sz w:val="20"/>
                <w:szCs w:val="20"/>
              </w:rPr>
              <w:fldChar w:fldCharType="separate"/>
            </w:r>
            <w:r w:rsidR="0054438D">
              <w:rPr>
                <w:rFonts w:ascii="Verdana" w:hAnsi="Verdana"/>
                <w:noProof/>
                <w:webHidden/>
                <w:sz w:val="20"/>
                <w:szCs w:val="20"/>
              </w:rPr>
              <w:t>27</w:t>
            </w:r>
            <w:r w:rsidR="003558F5" w:rsidRPr="003558F5">
              <w:rPr>
                <w:rFonts w:ascii="Verdana" w:hAnsi="Verdana"/>
                <w:noProof/>
                <w:webHidden/>
                <w:sz w:val="20"/>
                <w:szCs w:val="20"/>
              </w:rPr>
              <w:fldChar w:fldCharType="end"/>
            </w:r>
          </w:hyperlink>
        </w:p>
        <w:p w14:paraId="761DC371" w14:textId="5BE4E873" w:rsidR="003558F5" w:rsidRPr="003558F5" w:rsidRDefault="006A1E69" w:rsidP="001C4977">
          <w:pPr>
            <w:pStyle w:val="TDC3"/>
            <w:rPr>
              <w:rFonts w:eastAsiaTheme="minorEastAsia" w:cstheme="minorBidi"/>
              <w:iCs w:val="0"/>
              <w:lang w:val="en-US" w:eastAsia="en-US"/>
            </w:rPr>
          </w:pPr>
          <w:hyperlink w:anchor="_Toc47864375" w:history="1">
            <w:r w:rsidR="003558F5" w:rsidRPr="003558F5">
              <w:rPr>
                <w:rStyle w:val="Hipervnculo"/>
                <w:lang w:val="en-US"/>
              </w:rPr>
              <w:t>B.</w:t>
            </w:r>
            <w:r w:rsidR="003558F5" w:rsidRPr="003558F5">
              <w:rPr>
                <w:rFonts w:eastAsiaTheme="minorEastAsia" w:cstheme="minorBidi"/>
                <w:iCs w:val="0"/>
                <w:lang w:val="en-US" w:eastAsia="en-US"/>
              </w:rPr>
              <w:tab/>
            </w:r>
            <w:r w:rsidR="003558F5" w:rsidRPr="003558F5">
              <w:rPr>
                <w:rStyle w:val="Hipervnculo"/>
                <w:lang w:val="en-US"/>
              </w:rPr>
              <w:t>Considerations of the Court</w:t>
            </w:r>
            <w:r w:rsidR="003558F5" w:rsidRPr="003558F5">
              <w:rPr>
                <w:webHidden/>
              </w:rPr>
              <w:tab/>
            </w:r>
            <w:r w:rsidR="003558F5" w:rsidRPr="003558F5">
              <w:rPr>
                <w:webHidden/>
              </w:rPr>
              <w:fldChar w:fldCharType="begin"/>
            </w:r>
            <w:r w:rsidR="003558F5" w:rsidRPr="003558F5">
              <w:rPr>
                <w:webHidden/>
              </w:rPr>
              <w:instrText xml:space="preserve"> PAGEREF _Toc47864375 \h </w:instrText>
            </w:r>
            <w:r w:rsidR="003558F5" w:rsidRPr="003558F5">
              <w:rPr>
                <w:webHidden/>
              </w:rPr>
            </w:r>
            <w:r w:rsidR="003558F5" w:rsidRPr="003558F5">
              <w:rPr>
                <w:webHidden/>
              </w:rPr>
              <w:fldChar w:fldCharType="separate"/>
            </w:r>
            <w:r w:rsidR="0054438D">
              <w:rPr>
                <w:webHidden/>
              </w:rPr>
              <w:t>29</w:t>
            </w:r>
            <w:r w:rsidR="003558F5" w:rsidRPr="003558F5">
              <w:rPr>
                <w:webHidden/>
              </w:rPr>
              <w:fldChar w:fldCharType="end"/>
            </w:r>
          </w:hyperlink>
        </w:p>
        <w:p w14:paraId="6EDFC4E7" w14:textId="2AEA3FCC" w:rsidR="003558F5" w:rsidRPr="001C4977" w:rsidRDefault="006A1E69" w:rsidP="001C4977">
          <w:pPr>
            <w:pStyle w:val="TDC4"/>
            <w:tabs>
              <w:tab w:val="left" w:pos="1200"/>
              <w:tab w:val="right" w:leader="dot" w:pos="9736"/>
              <w:tab w:val="right" w:leader="dot" w:pos="9903"/>
            </w:tabs>
            <w:rPr>
              <w:rFonts w:ascii="Verdana" w:eastAsiaTheme="minorEastAsia" w:hAnsi="Verdana" w:cstheme="minorBidi"/>
              <w:noProof/>
              <w:sz w:val="20"/>
              <w:szCs w:val="20"/>
              <w:lang w:val="en-US" w:eastAsia="en-US"/>
            </w:rPr>
          </w:pPr>
          <w:hyperlink w:anchor="_Toc47864376" w:history="1">
            <w:r w:rsidR="003558F5" w:rsidRPr="001C4977">
              <w:rPr>
                <w:rStyle w:val="Hipervnculo"/>
                <w:rFonts w:ascii="Verdana" w:hAnsi="Verdana"/>
                <w:smallCaps/>
                <w:noProof/>
                <w:sz w:val="20"/>
                <w:szCs w:val="20"/>
                <w:lang w:val="en-US"/>
              </w:rPr>
              <w:t>1.</w:t>
            </w:r>
            <w:r w:rsidR="003558F5" w:rsidRPr="001C4977">
              <w:rPr>
                <w:rFonts w:ascii="Verdana" w:eastAsiaTheme="minorEastAsia" w:hAnsi="Verdana" w:cstheme="minorBidi"/>
                <w:noProof/>
                <w:sz w:val="20"/>
                <w:szCs w:val="20"/>
                <w:lang w:val="en-US" w:eastAsia="en-US"/>
              </w:rPr>
              <w:tab/>
            </w:r>
            <w:r w:rsidR="003558F5" w:rsidRPr="001C4977">
              <w:rPr>
                <w:rStyle w:val="Hipervnculo"/>
                <w:rFonts w:ascii="Verdana" w:hAnsi="Verdana"/>
                <w:smallCaps/>
                <w:noProof/>
                <w:sz w:val="20"/>
                <w:szCs w:val="20"/>
                <w:lang w:val="en-US"/>
              </w:rPr>
              <w:t>The right to health</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_Toc47864376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29</w:t>
            </w:r>
            <w:r w:rsidR="003558F5" w:rsidRPr="001C4977">
              <w:rPr>
                <w:rFonts w:ascii="Verdana" w:hAnsi="Verdana"/>
                <w:noProof/>
                <w:webHidden/>
                <w:sz w:val="20"/>
                <w:szCs w:val="20"/>
              </w:rPr>
              <w:fldChar w:fldCharType="end"/>
            </w:r>
          </w:hyperlink>
        </w:p>
        <w:p w14:paraId="1991BFB1" w14:textId="0A344C68" w:rsidR="003558F5" w:rsidRPr="001C4977" w:rsidRDefault="006A1E69" w:rsidP="001C4977">
          <w:pPr>
            <w:pStyle w:val="TDC5"/>
            <w:tabs>
              <w:tab w:val="right" w:leader="dot" w:pos="9736"/>
              <w:tab w:val="right" w:leader="dot" w:pos="9903"/>
            </w:tabs>
            <w:rPr>
              <w:rFonts w:ascii="Verdana" w:eastAsiaTheme="minorEastAsia" w:hAnsi="Verdana" w:cstheme="minorBidi"/>
              <w:noProof/>
              <w:sz w:val="20"/>
              <w:szCs w:val="20"/>
              <w:lang w:val="en-US" w:eastAsia="en-US"/>
            </w:rPr>
          </w:pPr>
          <w:hyperlink w:anchor="_Toc47864377" w:history="1">
            <w:r w:rsidR="003558F5" w:rsidRPr="001C4977">
              <w:rPr>
                <w:rStyle w:val="Hipervnculo"/>
                <w:rFonts w:ascii="Verdana" w:eastAsia="Calibri" w:hAnsi="Verdana"/>
                <w:noProof/>
                <w:sz w:val="20"/>
                <w:szCs w:val="20"/>
                <w:lang w:val="en-US" w:eastAsia="en-US"/>
              </w:rPr>
              <w:t>1.1 The right to health protected by Article 26 of the Convention</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_Toc47864377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29</w:t>
            </w:r>
            <w:r w:rsidR="003558F5" w:rsidRPr="001C4977">
              <w:rPr>
                <w:rFonts w:ascii="Verdana" w:hAnsi="Verdana"/>
                <w:noProof/>
                <w:webHidden/>
                <w:sz w:val="20"/>
                <w:szCs w:val="20"/>
              </w:rPr>
              <w:fldChar w:fldCharType="end"/>
            </w:r>
          </w:hyperlink>
        </w:p>
        <w:p w14:paraId="0773A0D4" w14:textId="7D83C26F" w:rsidR="003558F5" w:rsidRPr="001C4977" w:rsidRDefault="006A1E69" w:rsidP="001C4977">
          <w:pPr>
            <w:pStyle w:val="TDC5"/>
            <w:tabs>
              <w:tab w:val="right" w:leader="dot" w:pos="9736"/>
              <w:tab w:val="right" w:leader="dot" w:pos="9903"/>
            </w:tabs>
            <w:rPr>
              <w:rFonts w:ascii="Verdana" w:eastAsiaTheme="minorEastAsia" w:hAnsi="Verdana" w:cstheme="minorBidi"/>
              <w:noProof/>
              <w:sz w:val="20"/>
              <w:szCs w:val="20"/>
              <w:lang w:val="en-US" w:eastAsia="en-US"/>
            </w:rPr>
          </w:pPr>
          <w:hyperlink w:anchor="_Toc47864378" w:history="1">
            <w:r w:rsidR="003558F5" w:rsidRPr="001C4977">
              <w:rPr>
                <w:rStyle w:val="Hipervnculo"/>
                <w:rFonts w:ascii="Verdana" w:eastAsia="Calibri" w:hAnsi="Verdana"/>
                <w:noProof/>
                <w:sz w:val="20"/>
                <w:szCs w:val="20"/>
                <w:lang w:val="en-US" w:eastAsia="en-US"/>
              </w:rPr>
              <w:t>1.1.1 Standards for the right to health applicable to situations of medical emergency</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_Toc47864378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36</w:t>
            </w:r>
            <w:r w:rsidR="003558F5" w:rsidRPr="001C4977">
              <w:rPr>
                <w:rFonts w:ascii="Verdana" w:hAnsi="Verdana"/>
                <w:noProof/>
                <w:webHidden/>
                <w:sz w:val="20"/>
                <w:szCs w:val="20"/>
              </w:rPr>
              <w:fldChar w:fldCharType="end"/>
            </w:r>
          </w:hyperlink>
        </w:p>
        <w:p w14:paraId="79ED88FA" w14:textId="6B19FEBD" w:rsidR="003558F5" w:rsidRPr="001C4977" w:rsidRDefault="006A1E69" w:rsidP="001C4977">
          <w:pPr>
            <w:pStyle w:val="TDC5"/>
            <w:tabs>
              <w:tab w:val="right" w:leader="dot" w:pos="9736"/>
              <w:tab w:val="right" w:leader="dot" w:pos="9903"/>
            </w:tabs>
            <w:rPr>
              <w:rFonts w:ascii="Verdana" w:eastAsiaTheme="minorEastAsia" w:hAnsi="Verdana" w:cstheme="minorBidi"/>
              <w:noProof/>
              <w:sz w:val="20"/>
              <w:szCs w:val="20"/>
              <w:lang w:val="en-US" w:eastAsia="en-US"/>
            </w:rPr>
          </w:pPr>
          <w:hyperlink w:anchor="_Toc47864379" w:history="1">
            <w:r w:rsidR="003558F5" w:rsidRPr="001C4977">
              <w:rPr>
                <w:rStyle w:val="Hipervnculo"/>
                <w:rFonts w:ascii="Verdana" w:eastAsia="Calibri" w:hAnsi="Verdana"/>
                <w:noProof/>
                <w:sz w:val="20"/>
                <w:szCs w:val="20"/>
                <w:lang w:val="en-US" w:eastAsia="en-US"/>
              </w:rPr>
              <w:t>1.1.2 Older persons and health-related matters</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_Toc47864379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39</w:t>
            </w:r>
            <w:r w:rsidR="003558F5" w:rsidRPr="001C4977">
              <w:rPr>
                <w:rFonts w:ascii="Verdana" w:hAnsi="Verdana"/>
                <w:noProof/>
                <w:webHidden/>
                <w:sz w:val="20"/>
                <w:szCs w:val="20"/>
              </w:rPr>
              <w:fldChar w:fldCharType="end"/>
            </w:r>
          </w:hyperlink>
        </w:p>
        <w:p w14:paraId="28ACE638" w14:textId="602F42CC" w:rsidR="003558F5" w:rsidRPr="001C4977" w:rsidRDefault="006A1E69" w:rsidP="001C4977">
          <w:pPr>
            <w:pStyle w:val="TDC5"/>
            <w:tabs>
              <w:tab w:val="right" w:leader="dot" w:pos="9736"/>
              <w:tab w:val="right" w:leader="dot" w:pos="9903"/>
            </w:tabs>
            <w:rPr>
              <w:rFonts w:ascii="Verdana" w:eastAsiaTheme="minorEastAsia" w:hAnsi="Verdana" w:cstheme="minorBidi"/>
              <w:noProof/>
              <w:sz w:val="20"/>
              <w:szCs w:val="20"/>
              <w:lang w:val="en-US" w:eastAsia="en-US"/>
            </w:rPr>
          </w:pPr>
          <w:hyperlink w:anchor="_Toc47864380" w:history="1">
            <w:r w:rsidR="003558F5" w:rsidRPr="001C4977">
              <w:rPr>
                <w:rStyle w:val="Hipervnculo"/>
                <w:rFonts w:ascii="Verdana" w:eastAsia="Calibri" w:hAnsi="Verdana"/>
                <w:noProof/>
                <w:sz w:val="20"/>
                <w:szCs w:val="20"/>
                <w:lang w:val="en-US" w:eastAsia="en-US"/>
              </w:rPr>
              <w:t>1.1.3 Analysis of this case</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_Toc47864380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43</w:t>
            </w:r>
            <w:r w:rsidR="003558F5" w:rsidRPr="001C4977">
              <w:rPr>
                <w:rFonts w:ascii="Verdana" w:hAnsi="Verdana"/>
                <w:noProof/>
                <w:webHidden/>
                <w:sz w:val="20"/>
                <w:szCs w:val="20"/>
              </w:rPr>
              <w:fldChar w:fldCharType="end"/>
            </w:r>
          </w:hyperlink>
        </w:p>
        <w:p w14:paraId="0C08AE84" w14:textId="17A753A9" w:rsidR="003558F5" w:rsidRPr="001C4977" w:rsidRDefault="006A1E69" w:rsidP="001C4977">
          <w:pPr>
            <w:pStyle w:val="TDC5"/>
            <w:tabs>
              <w:tab w:val="right" w:leader="dot" w:pos="9736"/>
              <w:tab w:val="right" w:leader="dot" w:pos="9903"/>
            </w:tabs>
            <w:rPr>
              <w:rFonts w:ascii="Verdana" w:eastAsiaTheme="minorEastAsia" w:hAnsi="Verdana" w:cstheme="minorBidi"/>
              <w:noProof/>
              <w:sz w:val="20"/>
              <w:szCs w:val="20"/>
              <w:lang w:val="en-US" w:eastAsia="en-US"/>
            </w:rPr>
          </w:pPr>
          <w:hyperlink w:anchor="_Toc47864381" w:history="1">
            <w:r w:rsidR="003558F5" w:rsidRPr="001C4977">
              <w:rPr>
                <w:rStyle w:val="Hipervnculo"/>
                <w:rFonts w:ascii="Verdana" w:eastAsia="Calibri" w:hAnsi="Verdana"/>
                <w:noProof/>
                <w:sz w:val="20"/>
                <w:szCs w:val="20"/>
                <w:lang w:val="en-US" w:eastAsia="en-US"/>
              </w:rPr>
              <w:t>1.2 Rights to life and to personal integrity</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_Toc47864381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45</w:t>
            </w:r>
            <w:r w:rsidR="003558F5" w:rsidRPr="001C4977">
              <w:rPr>
                <w:rFonts w:ascii="Verdana" w:hAnsi="Verdana"/>
                <w:noProof/>
                <w:webHidden/>
                <w:sz w:val="20"/>
                <w:szCs w:val="20"/>
              </w:rPr>
              <w:fldChar w:fldCharType="end"/>
            </w:r>
          </w:hyperlink>
        </w:p>
        <w:p w14:paraId="441BABF6" w14:textId="26D6DB2C" w:rsidR="003558F5" w:rsidRPr="001C4977" w:rsidRDefault="006A1E69" w:rsidP="001C4977">
          <w:pPr>
            <w:pStyle w:val="TDC5"/>
            <w:tabs>
              <w:tab w:val="right" w:leader="dot" w:pos="9736"/>
              <w:tab w:val="right" w:leader="dot" w:pos="9903"/>
            </w:tabs>
            <w:rPr>
              <w:rFonts w:ascii="Verdana" w:eastAsiaTheme="minorEastAsia" w:hAnsi="Verdana" w:cstheme="minorBidi"/>
              <w:noProof/>
              <w:sz w:val="20"/>
              <w:szCs w:val="20"/>
              <w:lang w:val="en-US" w:eastAsia="en-US"/>
            </w:rPr>
          </w:pPr>
          <w:hyperlink w:anchor="_Toc47864382" w:history="1">
            <w:r w:rsidR="003558F5" w:rsidRPr="001C4977">
              <w:rPr>
                <w:rStyle w:val="Hipervnculo"/>
                <w:rFonts w:ascii="Verdana" w:eastAsia="Calibri" w:hAnsi="Verdana"/>
                <w:noProof/>
                <w:sz w:val="20"/>
                <w:szCs w:val="20"/>
                <w:lang w:val="en-US" w:eastAsia="en-US"/>
              </w:rPr>
              <w:t>1.3 Right to informed consent in health-related matters and access to information</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_Toc47864382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48</w:t>
            </w:r>
            <w:r w:rsidR="003558F5" w:rsidRPr="001C4977">
              <w:rPr>
                <w:rFonts w:ascii="Verdana" w:hAnsi="Verdana"/>
                <w:noProof/>
                <w:webHidden/>
                <w:sz w:val="20"/>
                <w:szCs w:val="20"/>
              </w:rPr>
              <w:fldChar w:fldCharType="end"/>
            </w:r>
          </w:hyperlink>
        </w:p>
        <w:p w14:paraId="74A0C412" w14:textId="57329286" w:rsidR="003558F5" w:rsidRPr="001C4977" w:rsidRDefault="006A1E69" w:rsidP="001C4977">
          <w:pPr>
            <w:pStyle w:val="TDC5"/>
            <w:tabs>
              <w:tab w:val="right" w:leader="dot" w:pos="9736"/>
              <w:tab w:val="right" w:leader="dot" w:pos="9903"/>
            </w:tabs>
            <w:rPr>
              <w:rFonts w:ascii="Verdana" w:eastAsiaTheme="minorEastAsia" w:hAnsi="Verdana" w:cstheme="minorBidi"/>
              <w:noProof/>
              <w:sz w:val="20"/>
              <w:szCs w:val="20"/>
              <w:lang w:val="en-US" w:eastAsia="en-US"/>
            </w:rPr>
          </w:pPr>
          <w:hyperlink w:anchor="_Toc47864383" w:history="1">
            <w:r w:rsidR="003558F5" w:rsidRPr="001C4977">
              <w:rPr>
                <w:rStyle w:val="Hipervnculo"/>
                <w:rFonts w:ascii="Verdana" w:eastAsia="Calibri" w:hAnsi="Verdana"/>
                <w:noProof/>
                <w:sz w:val="20"/>
                <w:szCs w:val="20"/>
                <w:lang w:val="en-US" w:eastAsia="en-US"/>
              </w:rPr>
              <w:t>1.3.1. Vinicio Poblete and the State’s partial acknowledgement of responsibility</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_Toc47864383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48</w:t>
            </w:r>
            <w:r w:rsidR="003558F5" w:rsidRPr="001C4977">
              <w:rPr>
                <w:rFonts w:ascii="Verdana" w:hAnsi="Verdana"/>
                <w:noProof/>
                <w:webHidden/>
                <w:sz w:val="20"/>
                <w:szCs w:val="20"/>
              </w:rPr>
              <w:fldChar w:fldCharType="end"/>
            </w:r>
          </w:hyperlink>
        </w:p>
        <w:p w14:paraId="568EE039" w14:textId="12D8C447" w:rsidR="003558F5" w:rsidRPr="001C4977" w:rsidRDefault="006A1E69" w:rsidP="001C4977">
          <w:pPr>
            <w:pStyle w:val="TDC5"/>
            <w:tabs>
              <w:tab w:val="right" w:leader="dot" w:pos="9736"/>
              <w:tab w:val="right" w:leader="dot" w:pos="9903"/>
            </w:tabs>
            <w:rPr>
              <w:rFonts w:ascii="Verdana" w:eastAsiaTheme="minorEastAsia" w:hAnsi="Verdana" w:cstheme="minorBidi"/>
              <w:noProof/>
              <w:sz w:val="20"/>
              <w:szCs w:val="20"/>
              <w:lang w:val="en-US" w:eastAsia="en-US"/>
            </w:rPr>
          </w:pPr>
          <w:hyperlink w:anchor="_Toc47864384" w:history="1">
            <w:r w:rsidR="003558F5" w:rsidRPr="001C4977">
              <w:rPr>
                <w:rStyle w:val="Hipervnculo"/>
                <w:rFonts w:ascii="Verdana" w:eastAsia="Calibri" w:hAnsi="Verdana"/>
                <w:noProof/>
                <w:sz w:val="20"/>
                <w:szCs w:val="20"/>
                <w:lang w:val="en-US" w:eastAsia="en-US"/>
              </w:rPr>
              <w:t>1.3.2 Consent by substitution and access to information on health-related matters by the family</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_Toc47864384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49</w:t>
            </w:r>
            <w:r w:rsidR="003558F5" w:rsidRPr="001C4977">
              <w:rPr>
                <w:rFonts w:ascii="Verdana" w:hAnsi="Verdana"/>
                <w:noProof/>
                <w:webHidden/>
                <w:sz w:val="20"/>
                <w:szCs w:val="20"/>
              </w:rPr>
              <w:fldChar w:fldCharType="end"/>
            </w:r>
          </w:hyperlink>
        </w:p>
        <w:p w14:paraId="423CC3F2" w14:textId="7B7E3AEF" w:rsidR="003558F5" w:rsidRPr="003558F5" w:rsidRDefault="006A1E69" w:rsidP="001C4977">
          <w:pPr>
            <w:pStyle w:val="TDC5"/>
            <w:tabs>
              <w:tab w:val="right" w:leader="dot" w:pos="9736"/>
              <w:tab w:val="right" w:leader="dot" w:pos="9903"/>
            </w:tabs>
            <w:rPr>
              <w:rFonts w:ascii="Verdana" w:eastAsiaTheme="minorEastAsia" w:hAnsi="Verdana" w:cstheme="minorBidi"/>
              <w:noProof/>
              <w:sz w:val="20"/>
              <w:szCs w:val="20"/>
              <w:lang w:val="en-US" w:eastAsia="en-US"/>
            </w:rPr>
          </w:pPr>
          <w:hyperlink w:anchor="_Toc47864385" w:history="1">
            <w:r w:rsidR="003558F5" w:rsidRPr="001C4977">
              <w:rPr>
                <w:rStyle w:val="Hipervnculo"/>
                <w:rFonts w:ascii="Verdana" w:eastAsia="Calibri" w:hAnsi="Verdana"/>
                <w:noProof/>
                <w:sz w:val="20"/>
                <w:szCs w:val="20"/>
                <w:lang w:val="en-US" w:eastAsia="en-US"/>
              </w:rPr>
              <w:t>1.4 General conclusion on the right to health</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_Toc47864385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53</w:t>
            </w:r>
            <w:r w:rsidR="003558F5" w:rsidRPr="001C4977">
              <w:rPr>
                <w:rFonts w:ascii="Verdana" w:hAnsi="Verdana"/>
                <w:noProof/>
                <w:webHidden/>
                <w:sz w:val="20"/>
                <w:szCs w:val="20"/>
              </w:rPr>
              <w:fldChar w:fldCharType="end"/>
            </w:r>
          </w:hyperlink>
        </w:p>
        <w:p w14:paraId="30360191" w14:textId="2405E006" w:rsidR="003558F5" w:rsidRPr="003558F5" w:rsidRDefault="006A1E69" w:rsidP="00650E38">
          <w:pPr>
            <w:pStyle w:val="TDC1"/>
            <w:rPr>
              <w:rFonts w:eastAsiaTheme="minorEastAsia" w:cstheme="minorBidi"/>
              <w:noProof/>
              <w:lang w:eastAsia="en-US"/>
            </w:rPr>
          </w:pPr>
          <w:hyperlink w:anchor="_Toc47864386" w:history="1">
            <w:r w:rsidR="003558F5" w:rsidRPr="003558F5">
              <w:rPr>
                <w:rStyle w:val="Hipervnculo"/>
                <w:rFonts w:ascii="Verdana" w:hAnsi="Verdana"/>
                <w:noProof/>
              </w:rPr>
              <w:t>VII-2</w:t>
            </w:r>
            <w:r w:rsidR="001C4977">
              <w:rPr>
                <w:rStyle w:val="Hipervnculo"/>
                <w:rFonts w:ascii="Verdana" w:hAnsi="Verdana"/>
                <w:noProof/>
              </w:rPr>
              <w:t xml:space="preserve"> RIGHTS TO JUDICIAL guarantees and judicial protection (articles 8 and 25 of the american convention)</w:t>
            </w:r>
            <w:r w:rsidR="003558F5" w:rsidRPr="003558F5">
              <w:rPr>
                <w:noProof/>
                <w:webHidden/>
              </w:rPr>
              <w:tab/>
            </w:r>
            <w:r w:rsidR="003558F5" w:rsidRPr="003558F5">
              <w:rPr>
                <w:noProof/>
                <w:webHidden/>
              </w:rPr>
              <w:fldChar w:fldCharType="begin"/>
            </w:r>
            <w:r w:rsidR="003558F5" w:rsidRPr="003558F5">
              <w:rPr>
                <w:noProof/>
                <w:webHidden/>
              </w:rPr>
              <w:instrText xml:space="preserve"> PAGEREF _Toc47864386 \h </w:instrText>
            </w:r>
            <w:r w:rsidR="003558F5" w:rsidRPr="003558F5">
              <w:rPr>
                <w:noProof/>
                <w:webHidden/>
              </w:rPr>
            </w:r>
            <w:r w:rsidR="003558F5" w:rsidRPr="003558F5">
              <w:rPr>
                <w:noProof/>
                <w:webHidden/>
              </w:rPr>
              <w:fldChar w:fldCharType="separate"/>
            </w:r>
            <w:r w:rsidR="0054438D">
              <w:rPr>
                <w:noProof/>
                <w:webHidden/>
              </w:rPr>
              <w:t>53</w:t>
            </w:r>
            <w:r w:rsidR="003558F5" w:rsidRPr="003558F5">
              <w:rPr>
                <w:noProof/>
                <w:webHidden/>
              </w:rPr>
              <w:fldChar w:fldCharType="end"/>
            </w:r>
          </w:hyperlink>
        </w:p>
        <w:p w14:paraId="0FEBF0B7" w14:textId="35EB6F9F" w:rsidR="003558F5" w:rsidRPr="003558F5" w:rsidRDefault="006A1E69" w:rsidP="001C4977">
          <w:pPr>
            <w:pStyle w:val="TDC3"/>
            <w:rPr>
              <w:rFonts w:eastAsiaTheme="minorEastAsia" w:cstheme="minorBidi"/>
              <w:iCs w:val="0"/>
              <w:lang w:val="en-US" w:eastAsia="en-US"/>
            </w:rPr>
          </w:pPr>
          <w:hyperlink w:anchor="_Toc47864388" w:history="1">
            <w:r w:rsidR="003558F5" w:rsidRPr="003558F5">
              <w:rPr>
                <w:rStyle w:val="Hipervnculo"/>
                <w:lang w:val="en-US"/>
              </w:rPr>
              <w:t>A.</w:t>
            </w:r>
            <w:r w:rsidR="003558F5" w:rsidRPr="003558F5">
              <w:rPr>
                <w:rFonts w:eastAsiaTheme="minorEastAsia" w:cstheme="minorBidi"/>
                <w:iCs w:val="0"/>
                <w:lang w:val="en-US" w:eastAsia="en-US"/>
              </w:rPr>
              <w:tab/>
            </w:r>
            <w:r w:rsidR="003558F5" w:rsidRPr="003558F5">
              <w:rPr>
                <w:rStyle w:val="Hipervnculo"/>
                <w:lang w:val="en-US"/>
              </w:rPr>
              <w:t>Arguments of the parties and of the Commission</w:t>
            </w:r>
            <w:r w:rsidR="003558F5" w:rsidRPr="003558F5">
              <w:rPr>
                <w:webHidden/>
              </w:rPr>
              <w:tab/>
            </w:r>
            <w:r w:rsidR="003558F5" w:rsidRPr="003558F5">
              <w:rPr>
                <w:webHidden/>
              </w:rPr>
              <w:fldChar w:fldCharType="begin"/>
            </w:r>
            <w:r w:rsidR="003558F5" w:rsidRPr="003558F5">
              <w:rPr>
                <w:webHidden/>
              </w:rPr>
              <w:instrText xml:space="preserve"> PAGEREF _Toc47864388 \h </w:instrText>
            </w:r>
            <w:r w:rsidR="003558F5" w:rsidRPr="003558F5">
              <w:rPr>
                <w:webHidden/>
              </w:rPr>
            </w:r>
            <w:r w:rsidR="003558F5" w:rsidRPr="003558F5">
              <w:rPr>
                <w:webHidden/>
              </w:rPr>
              <w:fldChar w:fldCharType="separate"/>
            </w:r>
            <w:r w:rsidR="0054438D">
              <w:rPr>
                <w:webHidden/>
              </w:rPr>
              <w:t>53</w:t>
            </w:r>
            <w:r w:rsidR="003558F5" w:rsidRPr="003558F5">
              <w:rPr>
                <w:webHidden/>
              </w:rPr>
              <w:fldChar w:fldCharType="end"/>
            </w:r>
          </w:hyperlink>
        </w:p>
        <w:p w14:paraId="697E5E0A" w14:textId="610BC474" w:rsidR="003558F5" w:rsidRPr="001C4977" w:rsidRDefault="006A1E69" w:rsidP="001C4977">
          <w:pPr>
            <w:pStyle w:val="TDC3"/>
            <w:rPr>
              <w:rFonts w:eastAsiaTheme="minorEastAsia" w:cstheme="minorBidi"/>
              <w:iCs w:val="0"/>
              <w:lang w:val="en-US" w:eastAsia="en-US"/>
            </w:rPr>
          </w:pPr>
          <w:hyperlink w:anchor="_Toc47864389" w:history="1">
            <w:r w:rsidR="003558F5" w:rsidRPr="001C4977">
              <w:rPr>
                <w:rStyle w:val="Hipervnculo"/>
                <w:lang w:val="en-US"/>
              </w:rPr>
              <w:t>B.</w:t>
            </w:r>
            <w:r w:rsidR="003558F5" w:rsidRPr="001C4977">
              <w:rPr>
                <w:rFonts w:eastAsiaTheme="minorEastAsia" w:cstheme="minorBidi"/>
                <w:iCs w:val="0"/>
                <w:lang w:val="en-US" w:eastAsia="en-US"/>
              </w:rPr>
              <w:tab/>
            </w:r>
            <w:r w:rsidR="003558F5" w:rsidRPr="001C4977">
              <w:rPr>
                <w:rStyle w:val="Hipervnculo"/>
                <w:lang w:val="en-US"/>
              </w:rPr>
              <w:t>Considerations of the Court</w:t>
            </w:r>
            <w:r w:rsidR="003558F5" w:rsidRPr="001C4977">
              <w:rPr>
                <w:webHidden/>
              </w:rPr>
              <w:tab/>
            </w:r>
            <w:r w:rsidR="003558F5" w:rsidRPr="001C4977">
              <w:rPr>
                <w:webHidden/>
              </w:rPr>
              <w:fldChar w:fldCharType="begin"/>
            </w:r>
            <w:r w:rsidR="003558F5" w:rsidRPr="001C4977">
              <w:rPr>
                <w:webHidden/>
              </w:rPr>
              <w:instrText xml:space="preserve"> PAGEREF _Toc47864389 \h </w:instrText>
            </w:r>
            <w:r w:rsidR="003558F5" w:rsidRPr="001C4977">
              <w:rPr>
                <w:webHidden/>
              </w:rPr>
            </w:r>
            <w:r w:rsidR="003558F5" w:rsidRPr="001C4977">
              <w:rPr>
                <w:webHidden/>
              </w:rPr>
              <w:fldChar w:fldCharType="separate"/>
            </w:r>
            <w:r w:rsidR="0054438D">
              <w:rPr>
                <w:webHidden/>
              </w:rPr>
              <w:t>55</w:t>
            </w:r>
            <w:r w:rsidR="003558F5" w:rsidRPr="001C4977">
              <w:rPr>
                <w:webHidden/>
              </w:rPr>
              <w:fldChar w:fldCharType="end"/>
            </w:r>
          </w:hyperlink>
        </w:p>
        <w:p w14:paraId="2FEAA35D" w14:textId="10006070" w:rsidR="003558F5" w:rsidRPr="001C4977" w:rsidRDefault="006A1E69" w:rsidP="001C4977">
          <w:pPr>
            <w:pStyle w:val="TDC4"/>
            <w:tabs>
              <w:tab w:val="right" w:leader="dot" w:pos="9736"/>
              <w:tab w:val="right" w:leader="dot" w:pos="9903"/>
            </w:tabs>
            <w:rPr>
              <w:rFonts w:ascii="Verdana" w:eastAsiaTheme="minorEastAsia" w:hAnsi="Verdana" w:cstheme="minorBidi"/>
              <w:noProof/>
              <w:sz w:val="20"/>
              <w:szCs w:val="20"/>
              <w:lang w:val="en-US" w:eastAsia="en-US"/>
            </w:rPr>
          </w:pPr>
          <w:hyperlink w:anchor="_Toc47864390" w:history="1">
            <w:r w:rsidR="003558F5" w:rsidRPr="001C4977">
              <w:rPr>
                <w:rStyle w:val="Hipervnculo"/>
                <w:rFonts w:ascii="Verdana" w:hAnsi="Verdana"/>
                <w:noProof/>
                <w:sz w:val="20"/>
                <w:szCs w:val="20"/>
                <w:lang w:val="en-US"/>
              </w:rPr>
              <w:t>1. On due diligence</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_Toc47864390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55</w:t>
            </w:r>
            <w:r w:rsidR="003558F5" w:rsidRPr="001C4977">
              <w:rPr>
                <w:rFonts w:ascii="Verdana" w:hAnsi="Verdana"/>
                <w:noProof/>
                <w:webHidden/>
                <w:sz w:val="20"/>
                <w:szCs w:val="20"/>
              </w:rPr>
              <w:fldChar w:fldCharType="end"/>
            </w:r>
          </w:hyperlink>
        </w:p>
        <w:p w14:paraId="5789F8AE" w14:textId="4B3FF5BC" w:rsidR="003558F5" w:rsidRPr="001C4977" w:rsidRDefault="006A1E69" w:rsidP="001C4977">
          <w:pPr>
            <w:pStyle w:val="TDC4"/>
            <w:tabs>
              <w:tab w:val="right" w:leader="dot" w:pos="9736"/>
              <w:tab w:val="right" w:leader="dot" w:pos="9903"/>
            </w:tabs>
            <w:rPr>
              <w:rFonts w:ascii="Verdana" w:eastAsiaTheme="minorEastAsia" w:hAnsi="Verdana" w:cstheme="minorBidi"/>
              <w:noProof/>
              <w:sz w:val="20"/>
              <w:szCs w:val="20"/>
              <w:lang w:val="en-US" w:eastAsia="en-US"/>
            </w:rPr>
          </w:pPr>
          <w:hyperlink w:anchor="_Toc47864391" w:history="1">
            <w:r w:rsidR="003558F5" w:rsidRPr="001C4977">
              <w:rPr>
                <w:rStyle w:val="Hipervnculo"/>
                <w:rFonts w:ascii="Verdana" w:hAnsi="Verdana"/>
                <w:noProof/>
                <w:sz w:val="20"/>
                <w:szCs w:val="20"/>
                <w:lang w:val="en-US"/>
              </w:rPr>
              <w:t>2. On judicial impartiality</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_Toc47864391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58</w:t>
            </w:r>
            <w:r w:rsidR="003558F5" w:rsidRPr="001C4977">
              <w:rPr>
                <w:rFonts w:ascii="Verdana" w:hAnsi="Verdana"/>
                <w:noProof/>
                <w:webHidden/>
                <w:sz w:val="20"/>
                <w:szCs w:val="20"/>
              </w:rPr>
              <w:fldChar w:fldCharType="end"/>
            </w:r>
          </w:hyperlink>
        </w:p>
        <w:p w14:paraId="63161981" w14:textId="25CDB438" w:rsidR="003558F5" w:rsidRPr="003558F5" w:rsidRDefault="006A1E69" w:rsidP="00650E38">
          <w:pPr>
            <w:pStyle w:val="TDC1"/>
            <w:rPr>
              <w:rFonts w:eastAsiaTheme="minorEastAsia" w:cstheme="minorBidi"/>
              <w:noProof/>
              <w:lang w:eastAsia="en-US"/>
            </w:rPr>
          </w:pPr>
          <w:hyperlink w:anchor="_Toc47864392" w:history="1">
            <w:r w:rsidR="003558F5" w:rsidRPr="003558F5">
              <w:rPr>
                <w:rStyle w:val="Hipervnculo"/>
                <w:rFonts w:ascii="Verdana" w:hAnsi="Verdana"/>
                <w:noProof/>
              </w:rPr>
              <w:t>VII-3</w:t>
            </w:r>
            <w:r w:rsidR="001C4977">
              <w:rPr>
                <w:rStyle w:val="Hipervnculo"/>
                <w:rFonts w:ascii="Verdana" w:hAnsi="Verdana"/>
                <w:noProof/>
              </w:rPr>
              <w:t xml:space="preserve"> RIGHT TO PERSONAL INTEGRITY OF THE FAMILY MEMBERS (ARTICLE 5(1) OF THE AMERICAN CONVENTION)</w:t>
            </w:r>
            <w:r w:rsidR="003558F5" w:rsidRPr="003558F5">
              <w:rPr>
                <w:noProof/>
                <w:webHidden/>
              </w:rPr>
              <w:tab/>
            </w:r>
            <w:r w:rsidR="003558F5" w:rsidRPr="003558F5">
              <w:rPr>
                <w:noProof/>
                <w:webHidden/>
              </w:rPr>
              <w:fldChar w:fldCharType="begin"/>
            </w:r>
            <w:r w:rsidR="003558F5" w:rsidRPr="003558F5">
              <w:rPr>
                <w:noProof/>
                <w:webHidden/>
              </w:rPr>
              <w:instrText xml:space="preserve"> PAGEREF _Toc47864392 \h </w:instrText>
            </w:r>
            <w:r w:rsidR="003558F5" w:rsidRPr="003558F5">
              <w:rPr>
                <w:noProof/>
                <w:webHidden/>
              </w:rPr>
            </w:r>
            <w:r w:rsidR="003558F5" w:rsidRPr="003558F5">
              <w:rPr>
                <w:noProof/>
                <w:webHidden/>
              </w:rPr>
              <w:fldChar w:fldCharType="separate"/>
            </w:r>
            <w:r w:rsidR="0054438D">
              <w:rPr>
                <w:noProof/>
                <w:webHidden/>
              </w:rPr>
              <w:t>59</w:t>
            </w:r>
            <w:r w:rsidR="003558F5" w:rsidRPr="003558F5">
              <w:rPr>
                <w:noProof/>
                <w:webHidden/>
              </w:rPr>
              <w:fldChar w:fldCharType="end"/>
            </w:r>
          </w:hyperlink>
        </w:p>
        <w:p w14:paraId="43A60436" w14:textId="6F325017" w:rsidR="003558F5" w:rsidRPr="003558F5" w:rsidRDefault="006A1E69" w:rsidP="001C4977">
          <w:pPr>
            <w:pStyle w:val="TDC3"/>
            <w:rPr>
              <w:rFonts w:eastAsiaTheme="minorEastAsia" w:cstheme="minorBidi"/>
              <w:iCs w:val="0"/>
              <w:lang w:val="en-US" w:eastAsia="en-US"/>
            </w:rPr>
          </w:pPr>
          <w:hyperlink w:anchor="_Toc47864395" w:history="1">
            <w:r w:rsidR="003558F5" w:rsidRPr="003558F5">
              <w:rPr>
                <w:rStyle w:val="Hipervnculo"/>
                <w:lang w:val="en-US"/>
              </w:rPr>
              <w:t>A.</w:t>
            </w:r>
            <w:r w:rsidR="003558F5" w:rsidRPr="003558F5">
              <w:rPr>
                <w:rFonts w:eastAsiaTheme="minorEastAsia" w:cstheme="minorBidi"/>
                <w:iCs w:val="0"/>
                <w:lang w:val="en-US" w:eastAsia="en-US"/>
              </w:rPr>
              <w:tab/>
            </w:r>
            <w:r w:rsidR="003558F5" w:rsidRPr="003558F5">
              <w:rPr>
                <w:rStyle w:val="Hipervnculo"/>
                <w:lang w:val="en-US"/>
              </w:rPr>
              <w:t>Arguments of the Commission and of the parties</w:t>
            </w:r>
            <w:r w:rsidR="003558F5" w:rsidRPr="003558F5">
              <w:rPr>
                <w:webHidden/>
              </w:rPr>
              <w:tab/>
            </w:r>
            <w:r w:rsidR="003558F5" w:rsidRPr="003558F5">
              <w:rPr>
                <w:webHidden/>
              </w:rPr>
              <w:fldChar w:fldCharType="begin"/>
            </w:r>
            <w:r w:rsidR="003558F5" w:rsidRPr="003558F5">
              <w:rPr>
                <w:webHidden/>
              </w:rPr>
              <w:instrText xml:space="preserve"> PAGEREF _Toc47864395 \h </w:instrText>
            </w:r>
            <w:r w:rsidR="003558F5" w:rsidRPr="003558F5">
              <w:rPr>
                <w:webHidden/>
              </w:rPr>
            </w:r>
            <w:r w:rsidR="003558F5" w:rsidRPr="003558F5">
              <w:rPr>
                <w:webHidden/>
              </w:rPr>
              <w:fldChar w:fldCharType="separate"/>
            </w:r>
            <w:r w:rsidR="0054438D">
              <w:rPr>
                <w:webHidden/>
              </w:rPr>
              <w:t>59</w:t>
            </w:r>
            <w:r w:rsidR="003558F5" w:rsidRPr="003558F5">
              <w:rPr>
                <w:webHidden/>
              </w:rPr>
              <w:fldChar w:fldCharType="end"/>
            </w:r>
          </w:hyperlink>
        </w:p>
        <w:p w14:paraId="52FC550C" w14:textId="04D7B6DB" w:rsidR="003558F5" w:rsidRPr="003558F5" w:rsidRDefault="006A1E69" w:rsidP="001C4977">
          <w:pPr>
            <w:pStyle w:val="TDC3"/>
            <w:rPr>
              <w:rFonts w:eastAsiaTheme="minorEastAsia" w:cstheme="minorBidi"/>
              <w:iCs w:val="0"/>
              <w:lang w:val="en-US" w:eastAsia="en-US"/>
            </w:rPr>
          </w:pPr>
          <w:hyperlink w:anchor="_Toc47864396" w:history="1">
            <w:r w:rsidR="003558F5" w:rsidRPr="003558F5">
              <w:rPr>
                <w:rStyle w:val="Hipervnculo"/>
                <w:lang w:val="en-US"/>
              </w:rPr>
              <w:t>B.</w:t>
            </w:r>
            <w:r w:rsidR="003558F5" w:rsidRPr="003558F5">
              <w:rPr>
                <w:rFonts w:eastAsiaTheme="minorEastAsia" w:cstheme="minorBidi"/>
                <w:iCs w:val="0"/>
                <w:lang w:val="en-US" w:eastAsia="en-US"/>
              </w:rPr>
              <w:tab/>
            </w:r>
            <w:r w:rsidR="003558F5" w:rsidRPr="003558F5">
              <w:rPr>
                <w:rStyle w:val="Hipervnculo"/>
                <w:lang w:val="en-US"/>
              </w:rPr>
              <w:t>Considerations of the Court</w:t>
            </w:r>
            <w:r w:rsidR="003558F5" w:rsidRPr="003558F5">
              <w:rPr>
                <w:webHidden/>
              </w:rPr>
              <w:tab/>
            </w:r>
            <w:r w:rsidR="003558F5" w:rsidRPr="003558F5">
              <w:rPr>
                <w:webHidden/>
              </w:rPr>
              <w:fldChar w:fldCharType="begin"/>
            </w:r>
            <w:r w:rsidR="003558F5" w:rsidRPr="003558F5">
              <w:rPr>
                <w:webHidden/>
              </w:rPr>
              <w:instrText xml:space="preserve"> PAGEREF _Toc47864396 \h </w:instrText>
            </w:r>
            <w:r w:rsidR="003558F5" w:rsidRPr="003558F5">
              <w:rPr>
                <w:webHidden/>
              </w:rPr>
            </w:r>
            <w:r w:rsidR="003558F5" w:rsidRPr="003558F5">
              <w:rPr>
                <w:webHidden/>
              </w:rPr>
              <w:fldChar w:fldCharType="separate"/>
            </w:r>
            <w:r w:rsidR="0054438D">
              <w:rPr>
                <w:webHidden/>
              </w:rPr>
              <w:t>60</w:t>
            </w:r>
            <w:r w:rsidR="003558F5" w:rsidRPr="003558F5">
              <w:rPr>
                <w:webHidden/>
              </w:rPr>
              <w:fldChar w:fldCharType="end"/>
            </w:r>
          </w:hyperlink>
        </w:p>
        <w:p w14:paraId="35579E81" w14:textId="13F7AE9E" w:rsidR="003558F5" w:rsidRPr="003558F5" w:rsidRDefault="006A1E69" w:rsidP="00650E38">
          <w:pPr>
            <w:pStyle w:val="TDC1"/>
            <w:rPr>
              <w:rFonts w:eastAsiaTheme="minorEastAsia" w:cstheme="minorBidi"/>
              <w:noProof/>
              <w:lang w:eastAsia="en-US"/>
            </w:rPr>
          </w:pPr>
          <w:hyperlink w:anchor="_Toc47864397" w:history="1">
            <w:r w:rsidR="003558F5" w:rsidRPr="003558F5">
              <w:rPr>
                <w:rStyle w:val="Hipervnculo"/>
                <w:rFonts w:ascii="Verdana" w:hAnsi="Verdana"/>
                <w:noProof/>
              </w:rPr>
              <w:t>VIII</w:t>
            </w:r>
            <w:r w:rsidR="001C4977">
              <w:rPr>
                <w:rStyle w:val="Hipervnculo"/>
                <w:rFonts w:ascii="Verdana" w:hAnsi="Verdana"/>
                <w:noProof/>
              </w:rPr>
              <w:t xml:space="preserve"> reparations (application of article 63(1) of the american convention)</w:t>
            </w:r>
            <w:r w:rsidR="003558F5" w:rsidRPr="003558F5">
              <w:rPr>
                <w:noProof/>
                <w:webHidden/>
              </w:rPr>
              <w:tab/>
            </w:r>
            <w:r w:rsidR="003558F5" w:rsidRPr="003558F5">
              <w:rPr>
                <w:noProof/>
                <w:webHidden/>
              </w:rPr>
              <w:fldChar w:fldCharType="begin"/>
            </w:r>
            <w:r w:rsidR="003558F5" w:rsidRPr="003558F5">
              <w:rPr>
                <w:noProof/>
                <w:webHidden/>
              </w:rPr>
              <w:instrText xml:space="preserve"> PAGEREF _Toc47864397 \h </w:instrText>
            </w:r>
            <w:r w:rsidR="003558F5" w:rsidRPr="003558F5">
              <w:rPr>
                <w:noProof/>
                <w:webHidden/>
              </w:rPr>
            </w:r>
            <w:r w:rsidR="003558F5" w:rsidRPr="003558F5">
              <w:rPr>
                <w:noProof/>
                <w:webHidden/>
              </w:rPr>
              <w:fldChar w:fldCharType="separate"/>
            </w:r>
            <w:r w:rsidR="0054438D">
              <w:rPr>
                <w:noProof/>
                <w:webHidden/>
              </w:rPr>
              <w:t>61</w:t>
            </w:r>
            <w:r w:rsidR="003558F5" w:rsidRPr="003558F5">
              <w:rPr>
                <w:noProof/>
                <w:webHidden/>
              </w:rPr>
              <w:fldChar w:fldCharType="end"/>
            </w:r>
          </w:hyperlink>
        </w:p>
        <w:p w14:paraId="174126A9" w14:textId="3B89BEE8" w:rsidR="003558F5" w:rsidRPr="003558F5" w:rsidRDefault="006A1E69">
          <w:pPr>
            <w:pStyle w:val="TDC3"/>
            <w:rPr>
              <w:rFonts w:eastAsiaTheme="minorEastAsia" w:cstheme="minorBidi"/>
              <w:iCs w:val="0"/>
              <w:lang w:val="en-US" w:eastAsia="en-US"/>
            </w:rPr>
          </w:pPr>
          <w:hyperlink w:anchor="_Toc47864400" w:history="1">
            <w:r w:rsidR="003558F5" w:rsidRPr="003558F5">
              <w:rPr>
                <w:rStyle w:val="Hipervnculo"/>
                <w:lang w:val="en-US"/>
              </w:rPr>
              <w:t>A.</w:t>
            </w:r>
            <w:r w:rsidR="003558F5" w:rsidRPr="003558F5">
              <w:rPr>
                <w:rFonts w:eastAsiaTheme="minorEastAsia" w:cstheme="minorBidi"/>
                <w:iCs w:val="0"/>
                <w:lang w:val="en-US" w:eastAsia="en-US"/>
              </w:rPr>
              <w:tab/>
            </w:r>
            <w:r w:rsidR="003558F5" w:rsidRPr="003558F5">
              <w:rPr>
                <w:rStyle w:val="Hipervnculo"/>
                <w:lang w:val="en-US"/>
              </w:rPr>
              <w:t>Injured party</w:t>
            </w:r>
            <w:r w:rsidR="003558F5" w:rsidRPr="003558F5">
              <w:rPr>
                <w:webHidden/>
              </w:rPr>
              <w:tab/>
            </w:r>
            <w:r w:rsidR="003558F5" w:rsidRPr="003558F5">
              <w:rPr>
                <w:webHidden/>
              </w:rPr>
              <w:fldChar w:fldCharType="begin"/>
            </w:r>
            <w:r w:rsidR="003558F5" w:rsidRPr="003558F5">
              <w:rPr>
                <w:webHidden/>
              </w:rPr>
              <w:instrText xml:space="preserve"> PAGEREF _Toc47864400 \h </w:instrText>
            </w:r>
            <w:r w:rsidR="003558F5" w:rsidRPr="003558F5">
              <w:rPr>
                <w:webHidden/>
              </w:rPr>
            </w:r>
            <w:r w:rsidR="003558F5" w:rsidRPr="003558F5">
              <w:rPr>
                <w:webHidden/>
              </w:rPr>
              <w:fldChar w:fldCharType="separate"/>
            </w:r>
            <w:r w:rsidR="0054438D">
              <w:rPr>
                <w:webHidden/>
              </w:rPr>
              <w:t>62</w:t>
            </w:r>
            <w:r w:rsidR="003558F5" w:rsidRPr="003558F5">
              <w:rPr>
                <w:webHidden/>
              </w:rPr>
              <w:fldChar w:fldCharType="end"/>
            </w:r>
          </w:hyperlink>
        </w:p>
        <w:p w14:paraId="3974D818" w14:textId="3D1BE382" w:rsidR="003558F5" w:rsidRPr="003558F5" w:rsidRDefault="006A1E69">
          <w:pPr>
            <w:pStyle w:val="TDC3"/>
            <w:rPr>
              <w:rFonts w:eastAsiaTheme="minorEastAsia" w:cstheme="minorBidi"/>
              <w:iCs w:val="0"/>
              <w:lang w:val="en-US" w:eastAsia="en-US"/>
            </w:rPr>
          </w:pPr>
          <w:hyperlink w:anchor="_Toc47864401" w:history="1">
            <w:r w:rsidR="003558F5" w:rsidRPr="003558F5">
              <w:rPr>
                <w:rStyle w:val="Hipervnculo"/>
                <w:lang w:val="en-US"/>
              </w:rPr>
              <w:t>B.</w:t>
            </w:r>
            <w:r w:rsidR="003558F5" w:rsidRPr="003558F5">
              <w:rPr>
                <w:rFonts w:eastAsiaTheme="minorEastAsia" w:cstheme="minorBidi"/>
                <w:iCs w:val="0"/>
                <w:lang w:val="en-US" w:eastAsia="en-US"/>
              </w:rPr>
              <w:tab/>
            </w:r>
            <w:r w:rsidR="003558F5" w:rsidRPr="003558F5">
              <w:rPr>
                <w:rStyle w:val="Hipervnculo"/>
                <w:lang w:val="en-US"/>
              </w:rPr>
              <w:t>Investigation</w:t>
            </w:r>
            <w:r w:rsidR="003558F5" w:rsidRPr="003558F5">
              <w:rPr>
                <w:webHidden/>
              </w:rPr>
              <w:tab/>
            </w:r>
            <w:r w:rsidR="003558F5" w:rsidRPr="003558F5">
              <w:rPr>
                <w:webHidden/>
              </w:rPr>
              <w:fldChar w:fldCharType="begin"/>
            </w:r>
            <w:r w:rsidR="003558F5" w:rsidRPr="003558F5">
              <w:rPr>
                <w:webHidden/>
              </w:rPr>
              <w:instrText xml:space="preserve"> PAGEREF _Toc47864401 \h </w:instrText>
            </w:r>
            <w:r w:rsidR="003558F5" w:rsidRPr="003558F5">
              <w:rPr>
                <w:webHidden/>
              </w:rPr>
            </w:r>
            <w:r w:rsidR="003558F5" w:rsidRPr="003558F5">
              <w:rPr>
                <w:webHidden/>
              </w:rPr>
              <w:fldChar w:fldCharType="separate"/>
            </w:r>
            <w:r w:rsidR="0054438D">
              <w:rPr>
                <w:webHidden/>
              </w:rPr>
              <w:t>62</w:t>
            </w:r>
            <w:r w:rsidR="003558F5" w:rsidRPr="003558F5">
              <w:rPr>
                <w:webHidden/>
              </w:rPr>
              <w:fldChar w:fldCharType="end"/>
            </w:r>
          </w:hyperlink>
        </w:p>
        <w:p w14:paraId="5292DB1F" w14:textId="2D7321AE" w:rsidR="003558F5" w:rsidRPr="003558F5" w:rsidRDefault="006A1E69">
          <w:pPr>
            <w:pStyle w:val="TDC3"/>
            <w:rPr>
              <w:rFonts w:eastAsiaTheme="minorEastAsia" w:cstheme="minorBidi"/>
              <w:iCs w:val="0"/>
              <w:lang w:val="en-US" w:eastAsia="en-US"/>
            </w:rPr>
          </w:pPr>
          <w:hyperlink w:anchor="_Toc47864402" w:history="1">
            <w:r w:rsidR="003558F5" w:rsidRPr="003558F5">
              <w:rPr>
                <w:rStyle w:val="Hipervnculo"/>
                <w:lang w:val="en-US"/>
              </w:rPr>
              <w:t>C.</w:t>
            </w:r>
            <w:r w:rsidR="003558F5" w:rsidRPr="003558F5">
              <w:rPr>
                <w:rFonts w:eastAsiaTheme="minorEastAsia" w:cstheme="minorBidi"/>
                <w:iCs w:val="0"/>
                <w:lang w:val="en-US" w:eastAsia="en-US"/>
              </w:rPr>
              <w:tab/>
            </w:r>
            <w:r w:rsidR="003558F5" w:rsidRPr="003558F5">
              <w:rPr>
                <w:rStyle w:val="Hipervnculo"/>
                <w:lang w:val="en-US"/>
              </w:rPr>
              <w:t>Satisfaction</w:t>
            </w:r>
            <w:r w:rsidR="003558F5" w:rsidRPr="003558F5">
              <w:rPr>
                <w:webHidden/>
              </w:rPr>
              <w:tab/>
            </w:r>
            <w:r w:rsidR="003558F5" w:rsidRPr="003558F5">
              <w:rPr>
                <w:webHidden/>
              </w:rPr>
              <w:fldChar w:fldCharType="begin"/>
            </w:r>
            <w:r w:rsidR="003558F5" w:rsidRPr="003558F5">
              <w:rPr>
                <w:webHidden/>
              </w:rPr>
              <w:instrText xml:space="preserve"> PAGEREF _Toc47864402 \h </w:instrText>
            </w:r>
            <w:r w:rsidR="003558F5" w:rsidRPr="003558F5">
              <w:rPr>
                <w:webHidden/>
              </w:rPr>
            </w:r>
            <w:r w:rsidR="003558F5" w:rsidRPr="003558F5">
              <w:rPr>
                <w:webHidden/>
              </w:rPr>
              <w:fldChar w:fldCharType="separate"/>
            </w:r>
            <w:r w:rsidR="0054438D">
              <w:rPr>
                <w:webHidden/>
              </w:rPr>
              <w:t>63</w:t>
            </w:r>
            <w:r w:rsidR="003558F5" w:rsidRPr="003558F5">
              <w:rPr>
                <w:webHidden/>
              </w:rPr>
              <w:fldChar w:fldCharType="end"/>
            </w:r>
          </w:hyperlink>
        </w:p>
        <w:p w14:paraId="66ED1C43" w14:textId="0D95C13A" w:rsidR="003558F5" w:rsidRPr="003558F5" w:rsidRDefault="006A1E69">
          <w:pPr>
            <w:pStyle w:val="TDC3"/>
            <w:rPr>
              <w:rFonts w:eastAsiaTheme="minorEastAsia" w:cstheme="minorBidi"/>
              <w:iCs w:val="0"/>
              <w:lang w:val="en-US" w:eastAsia="en-US"/>
            </w:rPr>
          </w:pPr>
          <w:hyperlink w:anchor="_Toc47864403" w:history="1">
            <w:r w:rsidR="003558F5" w:rsidRPr="003558F5">
              <w:rPr>
                <w:rStyle w:val="Hipervnculo"/>
                <w:lang w:val="en-US"/>
              </w:rPr>
              <w:t>D.</w:t>
            </w:r>
            <w:r w:rsidR="003558F5" w:rsidRPr="003558F5">
              <w:rPr>
                <w:rFonts w:eastAsiaTheme="minorEastAsia" w:cstheme="minorBidi"/>
                <w:iCs w:val="0"/>
                <w:lang w:val="en-US" w:eastAsia="en-US"/>
              </w:rPr>
              <w:tab/>
            </w:r>
            <w:r w:rsidR="003558F5" w:rsidRPr="003558F5">
              <w:rPr>
                <w:rStyle w:val="Hipervnculo"/>
                <w:lang w:val="en-US"/>
              </w:rPr>
              <w:t>Rehabilitation</w:t>
            </w:r>
            <w:r w:rsidR="003558F5" w:rsidRPr="003558F5">
              <w:rPr>
                <w:webHidden/>
              </w:rPr>
              <w:tab/>
            </w:r>
            <w:r w:rsidR="003558F5" w:rsidRPr="003558F5">
              <w:rPr>
                <w:webHidden/>
              </w:rPr>
              <w:fldChar w:fldCharType="begin"/>
            </w:r>
            <w:r w:rsidR="003558F5" w:rsidRPr="003558F5">
              <w:rPr>
                <w:webHidden/>
              </w:rPr>
              <w:instrText xml:space="preserve"> PAGEREF _Toc47864403 \h </w:instrText>
            </w:r>
            <w:r w:rsidR="003558F5" w:rsidRPr="003558F5">
              <w:rPr>
                <w:webHidden/>
              </w:rPr>
            </w:r>
            <w:r w:rsidR="003558F5" w:rsidRPr="003558F5">
              <w:rPr>
                <w:webHidden/>
              </w:rPr>
              <w:fldChar w:fldCharType="separate"/>
            </w:r>
            <w:r w:rsidR="0054438D">
              <w:rPr>
                <w:webHidden/>
              </w:rPr>
              <w:t>64</w:t>
            </w:r>
            <w:r w:rsidR="003558F5" w:rsidRPr="003558F5">
              <w:rPr>
                <w:webHidden/>
              </w:rPr>
              <w:fldChar w:fldCharType="end"/>
            </w:r>
          </w:hyperlink>
        </w:p>
        <w:p w14:paraId="316214AD" w14:textId="560A7DF7" w:rsidR="003558F5" w:rsidRPr="003558F5" w:rsidRDefault="006A1E69" w:rsidP="001C4977">
          <w:pPr>
            <w:pStyle w:val="TDC3"/>
            <w:rPr>
              <w:rFonts w:eastAsiaTheme="minorEastAsia" w:cstheme="minorBidi"/>
              <w:iCs w:val="0"/>
              <w:lang w:val="en-US" w:eastAsia="en-US"/>
            </w:rPr>
          </w:pPr>
          <w:hyperlink w:anchor="_Toc47864404" w:history="1">
            <w:r w:rsidR="003558F5" w:rsidRPr="003558F5">
              <w:rPr>
                <w:rStyle w:val="Hipervnculo"/>
                <w:lang w:val="en-US"/>
              </w:rPr>
              <w:t>E.</w:t>
            </w:r>
            <w:r w:rsidR="003558F5" w:rsidRPr="003558F5">
              <w:rPr>
                <w:rFonts w:eastAsiaTheme="minorEastAsia" w:cstheme="minorBidi"/>
                <w:iCs w:val="0"/>
                <w:lang w:val="en-US" w:eastAsia="en-US"/>
              </w:rPr>
              <w:tab/>
            </w:r>
            <w:r w:rsidR="003558F5" w:rsidRPr="003558F5">
              <w:rPr>
                <w:rStyle w:val="Hipervnculo"/>
                <w:lang w:val="en-US"/>
              </w:rPr>
              <w:t>Guarantees of non-repetition</w:t>
            </w:r>
            <w:r w:rsidR="003558F5" w:rsidRPr="003558F5">
              <w:rPr>
                <w:webHidden/>
              </w:rPr>
              <w:tab/>
            </w:r>
            <w:r w:rsidR="003558F5" w:rsidRPr="003558F5">
              <w:rPr>
                <w:webHidden/>
              </w:rPr>
              <w:fldChar w:fldCharType="begin"/>
            </w:r>
            <w:r w:rsidR="003558F5" w:rsidRPr="003558F5">
              <w:rPr>
                <w:webHidden/>
              </w:rPr>
              <w:instrText xml:space="preserve"> PAGEREF _Toc47864404 \h </w:instrText>
            </w:r>
            <w:r w:rsidR="003558F5" w:rsidRPr="003558F5">
              <w:rPr>
                <w:webHidden/>
              </w:rPr>
            </w:r>
            <w:r w:rsidR="003558F5" w:rsidRPr="003558F5">
              <w:rPr>
                <w:webHidden/>
              </w:rPr>
              <w:fldChar w:fldCharType="separate"/>
            </w:r>
            <w:r w:rsidR="0054438D">
              <w:rPr>
                <w:webHidden/>
              </w:rPr>
              <w:t>64</w:t>
            </w:r>
            <w:r w:rsidR="003558F5" w:rsidRPr="003558F5">
              <w:rPr>
                <w:webHidden/>
              </w:rPr>
              <w:fldChar w:fldCharType="end"/>
            </w:r>
          </w:hyperlink>
        </w:p>
        <w:p w14:paraId="1ABFFEA0" w14:textId="7259A34B" w:rsidR="003558F5" w:rsidRPr="003558F5" w:rsidRDefault="006A1E69" w:rsidP="001C4977">
          <w:pPr>
            <w:pStyle w:val="TDC3"/>
            <w:rPr>
              <w:rFonts w:eastAsiaTheme="minorEastAsia" w:cstheme="minorBidi"/>
              <w:iCs w:val="0"/>
              <w:lang w:val="en-US" w:eastAsia="en-US"/>
            </w:rPr>
          </w:pPr>
          <w:hyperlink w:anchor="_Toc47864405" w:history="1">
            <w:r w:rsidR="003558F5" w:rsidRPr="003558F5">
              <w:rPr>
                <w:rStyle w:val="Hipervnculo"/>
                <w:lang w:val="en-US"/>
              </w:rPr>
              <w:t>F.</w:t>
            </w:r>
            <w:r w:rsidR="003558F5" w:rsidRPr="003558F5">
              <w:rPr>
                <w:rFonts w:eastAsiaTheme="minorEastAsia" w:cstheme="minorBidi"/>
                <w:iCs w:val="0"/>
                <w:lang w:val="en-US" w:eastAsia="en-US"/>
              </w:rPr>
              <w:tab/>
            </w:r>
            <w:r w:rsidR="003558F5" w:rsidRPr="003558F5">
              <w:rPr>
                <w:rStyle w:val="Hipervnculo"/>
                <w:lang w:val="en-US"/>
              </w:rPr>
              <w:t>Compensation</w:t>
            </w:r>
            <w:r w:rsidR="003558F5" w:rsidRPr="003558F5">
              <w:rPr>
                <w:webHidden/>
              </w:rPr>
              <w:tab/>
            </w:r>
            <w:r w:rsidR="003558F5" w:rsidRPr="003558F5">
              <w:rPr>
                <w:webHidden/>
              </w:rPr>
              <w:fldChar w:fldCharType="begin"/>
            </w:r>
            <w:r w:rsidR="003558F5" w:rsidRPr="003558F5">
              <w:rPr>
                <w:webHidden/>
              </w:rPr>
              <w:instrText xml:space="preserve"> PAGEREF _Toc47864405 \h </w:instrText>
            </w:r>
            <w:r w:rsidR="003558F5" w:rsidRPr="003558F5">
              <w:rPr>
                <w:webHidden/>
              </w:rPr>
            </w:r>
            <w:r w:rsidR="003558F5" w:rsidRPr="003558F5">
              <w:rPr>
                <w:webHidden/>
              </w:rPr>
              <w:fldChar w:fldCharType="separate"/>
            </w:r>
            <w:r w:rsidR="0054438D">
              <w:rPr>
                <w:webHidden/>
              </w:rPr>
              <w:t>67</w:t>
            </w:r>
            <w:r w:rsidR="003558F5" w:rsidRPr="003558F5">
              <w:rPr>
                <w:webHidden/>
              </w:rPr>
              <w:fldChar w:fldCharType="end"/>
            </w:r>
          </w:hyperlink>
        </w:p>
        <w:p w14:paraId="5298086E" w14:textId="1F812837" w:rsidR="003558F5" w:rsidRPr="001C4977" w:rsidRDefault="006A1E69" w:rsidP="001C4977">
          <w:pPr>
            <w:pStyle w:val="TDC4"/>
            <w:tabs>
              <w:tab w:val="right" w:leader="dot" w:pos="9736"/>
              <w:tab w:val="right" w:leader="dot" w:pos="9903"/>
            </w:tabs>
            <w:rPr>
              <w:rFonts w:ascii="Verdana" w:eastAsiaTheme="minorEastAsia" w:hAnsi="Verdana" w:cstheme="minorBidi"/>
              <w:noProof/>
              <w:sz w:val="20"/>
              <w:szCs w:val="20"/>
              <w:lang w:val="en-US" w:eastAsia="en-US"/>
            </w:rPr>
          </w:pPr>
          <w:hyperlink w:anchor="_Toc47864406" w:history="1">
            <w:r w:rsidR="003558F5" w:rsidRPr="001C4977">
              <w:rPr>
                <w:rStyle w:val="Hipervnculo"/>
                <w:rFonts w:ascii="Verdana" w:hAnsi="Verdana"/>
                <w:noProof/>
                <w:sz w:val="20"/>
                <w:szCs w:val="20"/>
                <w:lang w:val="en-US"/>
              </w:rPr>
              <w:t>1. Pecuniary damage</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_Toc47864406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68</w:t>
            </w:r>
            <w:r w:rsidR="003558F5" w:rsidRPr="001C4977">
              <w:rPr>
                <w:rFonts w:ascii="Verdana" w:hAnsi="Verdana"/>
                <w:noProof/>
                <w:webHidden/>
                <w:sz w:val="20"/>
                <w:szCs w:val="20"/>
              </w:rPr>
              <w:fldChar w:fldCharType="end"/>
            </w:r>
          </w:hyperlink>
        </w:p>
        <w:p w14:paraId="2D8848AA" w14:textId="7EF43234" w:rsidR="003558F5" w:rsidRPr="001C4977" w:rsidRDefault="006A1E69" w:rsidP="001C4977">
          <w:pPr>
            <w:pStyle w:val="TDC4"/>
            <w:tabs>
              <w:tab w:val="right" w:leader="dot" w:pos="9736"/>
              <w:tab w:val="right" w:leader="dot" w:pos="9903"/>
            </w:tabs>
            <w:rPr>
              <w:rFonts w:ascii="Verdana" w:eastAsiaTheme="minorEastAsia" w:hAnsi="Verdana" w:cstheme="minorBidi"/>
              <w:noProof/>
              <w:sz w:val="20"/>
              <w:szCs w:val="20"/>
              <w:lang w:val="en-US" w:eastAsia="en-US"/>
            </w:rPr>
          </w:pPr>
          <w:hyperlink w:anchor="_Toc47864407" w:history="1">
            <w:r w:rsidR="003558F5" w:rsidRPr="001C4977">
              <w:rPr>
                <w:rStyle w:val="Hipervnculo"/>
                <w:rFonts w:ascii="Verdana" w:hAnsi="Verdana"/>
                <w:noProof/>
                <w:sz w:val="20"/>
                <w:szCs w:val="20"/>
                <w:lang w:val="en-US"/>
              </w:rPr>
              <w:t>2. Non-pecuniary damage</w:t>
            </w:r>
            <w:r w:rsidR="003558F5" w:rsidRPr="001C4977">
              <w:rPr>
                <w:rFonts w:ascii="Verdana" w:hAnsi="Verdana"/>
                <w:noProof/>
                <w:webHidden/>
                <w:sz w:val="20"/>
                <w:szCs w:val="20"/>
              </w:rPr>
              <w:tab/>
            </w:r>
            <w:r w:rsidR="003558F5" w:rsidRPr="001C4977">
              <w:rPr>
                <w:rFonts w:ascii="Verdana" w:hAnsi="Verdana"/>
                <w:noProof/>
                <w:webHidden/>
                <w:sz w:val="20"/>
                <w:szCs w:val="20"/>
              </w:rPr>
              <w:fldChar w:fldCharType="begin"/>
            </w:r>
            <w:r w:rsidR="003558F5" w:rsidRPr="001C4977">
              <w:rPr>
                <w:rFonts w:ascii="Verdana" w:hAnsi="Verdana"/>
                <w:noProof/>
                <w:webHidden/>
                <w:sz w:val="20"/>
                <w:szCs w:val="20"/>
              </w:rPr>
              <w:instrText xml:space="preserve"> PAGEREF _Toc47864407 \h </w:instrText>
            </w:r>
            <w:r w:rsidR="003558F5" w:rsidRPr="001C4977">
              <w:rPr>
                <w:rFonts w:ascii="Verdana" w:hAnsi="Verdana"/>
                <w:noProof/>
                <w:webHidden/>
                <w:sz w:val="20"/>
                <w:szCs w:val="20"/>
              </w:rPr>
            </w:r>
            <w:r w:rsidR="003558F5" w:rsidRPr="001C4977">
              <w:rPr>
                <w:rFonts w:ascii="Verdana" w:hAnsi="Verdana"/>
                <w:noProof/>
                <w:webHidden/>
                <w:sz w:val="20"/>
                <w:szCs w:val="20"/>
              </w:rPr>
              <w:fldChar w:fldCharType="separate"/>
            </w:r>
            <w:r w:rsidR="0054438D">
              <w:rPr>
                <w:rFonts w:ascii="Verdana" w:hAnsi="Verdana"/>
                <w:noProof/>
                <w:webHidden/>
                <w:sz w:val="20"/>
                <w:szCs w:val="20"/>
              </w:rPr>
              <w:t>69</w:t>
            </w:r>
            <w:r w:rsidR="003558F5" w:rsidRPr="001C4977">
              <w:rPr>
                <w:rFonts w:ascii="Verdana" w:hAnsi="Verdana"/>
                <w:noProof/>
                <w:webHidden/>
                <w:sz w:val="20"/>
                <w:szCs w:val="20"/>
              </w:rPr>
              <w:fldChar w:fldCharType="end"/>
            </w:r>
          </w:hyperlink>
        </w:p>
        <w:p w14:paraId="60588064" w14:textId="4BF83061" w:rsidR="003558F5" w:rsidRPr="001C4977" w:rsidRDefault="006A1E69" w:rsidP="001C4977">
          <w:pPr>
            <w:pStyle w:val="TDC3"/>
            <w:rPr>
              <w:rFonts w:eastAsiaTheme="minorEastAsia" w:cstheme="minorBidi"/>
              <w:iCs w:val="0"/>
              <w:lang w:val="en-US" w:eastAsia="en-US"/>
            </w:rPr>
          </w:pPr>
          <w:hyperlink w:anchor="_Toc47864408" w:history="1">
            <w:r w:rsidR="003558F5" w:rsidRPr="001C4977">
              <w:rPr>
                <w:rStyle w:val="Hipervnculo"/>
                <w:lang w:val="en-US"/>
              </w:rPr>
              <w:t>G.</w:t>
            </w:r>
            <w:r w:rsidR="003558F5" w:rsidRPr="001C4977">
              <w:rPr>
                <w:rFonts w:eastAsiaTheme="minorEastAsia" w:cstheme="minorBidi"/>
                <w:iCs w:val="0"/>
                <w:lang w:val="en-US" w:eastAsia="en-US"/>
              </w:rPr>
              <w:tab/>
            </w:r>
            <w:r w:rsidR="003558F5" w:rsidRPr="001C4977">
              <w:rPr>
                <w:rStyle w:val="Hipervnculo"/>
                <w:lang w:val="en-US"/>
              </w:rPr>
              <w:t>Costs and expenses</w:t>
            </w:r>
            <w:r w:rsidR="003558F5" w:rsidRPr="001C4977">
              <w:rPr>
                <w:webHidden/>
              </w:rPr>
              <w:tab/>
            </w:r>
            <w:r w:rsidR="003558F5" w:rsidRPr="001C4977">
              <w:rPr>
                <w:webHidden/>
              </w:rPr>
              <w:fldChar w:fldCharType="begin"/>
            </w:r>
            <w:r w:rsidR="003558F5" w:rsidRPr="001C4977">
              <w:rPr>
                <w:webHidden/>
              </w:rPr>
              <w:instrText xml:space="preserve"> PAGEREF _Toc47864408 \h </w:instrText>
            </w:r>
            <w:r w:rsidR="003558F5" w:rsidRPr="001C4977">
              <w:rPr>
                <w:webHidden/>
              </w:rPr>
            </w:r>
            <w:r w:rsidR="003558F5" w:rsidRPr="001C4977">
              <w:rPr>
                <w:webHidden/>
              </w:rPr>
              <w:fldChar w:fldCharType="separate"/>
            </w:r>
            <w:r w:rsidR="0054438D">
              <w:rPr>
                <w:webHidden/>
              </w:rPr>
              <w:t>69</w:t>
            </w:r>
            <w:r w:rsidR="003558F5" w:rsidRPr="001C4977">
              <w:rPr>
                <w:webHidden/>
              </w:rPr>
              <w:fldChar w:fldCharType="end"/>
            </w:r>
          </w:hyperlink>
        </w:p>
        <w:p w14:paraId="3E4265FA" w14:textId="37782720" w:rsidR="003558F5" w:rsidRPr="003558F5" w:rsidRDefault="006A1E69" w:rsidP="001C4977">
          <w:pPr>
            <w:pStyle w:val="TDC3"/>
            <w:rPr>
              <w:rFonts w:eastAsiaTheme="minorEastAsia" w:cstheme="minorBidi"/>
              <w:iCs w:val="0"/>
              <w:lang w:val="en-US" w:eastAsia="en-US"/>
            </w:rPr>
          </w:pPr>
          <w:hyperlink w:anchor="_Toc47864409" w:history="1">
            <w:r w:rsidR="003558F5" w:rsidRPr="003558F5">
              <w:rPr>
                <w:rStyle w:val="Hipervnculo"/>
                <w:lang w:val="en-US"/>
              </w:rPr>
              <w:t>H.</w:t>
            </w:r>
            <w:r w:rsidR="003558F5" w:rsidRPr="003558F5">
              <w:rPr>
                <w:rFonts w:eastAsiaTheme="minorEastAsia" w:cstheme="minorBidi"/>
                <w:iCs w:val="0"/>
                <w:lang w:val="en-US" w:eastAsia="en-US"/>
              </w:rPr>
              <w:tab/>
            </w:r>
            <w:r w:rsidR="003558F5" w:rsidRPr="003558F5">
              <w:rPr>
                <w:rStyle w:val="Hipervnculo"/>
                <w:lang w:val="en-US"/>
              </w:rPr>
              <w:t>Reimbursement of expenses to the Victims’ Legal Assistance Fund</w:t>
            </w:r>
            <w:r w:rsidR="003558F5" w:rsidRPr="003558F5">
              <w:rPr>
                <w:webHidden/>
              </w:rPr>
              <w:tab/>
            </w:r>
            <w:r w:rsidR="003558F5" w:rsidRPr="003558F5">
              <w:rPr>
                <w:webHidden/>
              </w:rPr>
              <w:fldChar w:fldCharType="begin"/>
            </w:r>
            <w:r w:rsidR="003558F5" w:rsidRPr="003558F5">
              <w:rPr>
                <w:webHidden/>
              </w:rPr>
              <w:instrText xml:space="preserve"> PAGEREF _Toc47864409 \h </w:instrText>
            </w:r>
            <w:r w:rsidR="003558F5" w:rsidRPr="003558F5">
              <w:rPr>
                <w:webHidden/>
              </w:rPr>
            </w:r>
            <w:r w:rsidR="003558F5" w:rsidRPr="003558F5">
              <w:rPr>
                <w:webHidden/>
              </w:rPr>
              <w:fldChar w:fldCharType="separate"/>
            </w:r>
            <w:r w:rsidR="0054438D">
              <w:rPr>
                <w:webHidden/>
              </w:rPr>
              <w:t>70</w:t>
            </w:r>
            <w:r w:rsidR="003558F5" w:rsidRPr="003558F5">
              <w:rPr>
                <w:webHidden/>
              </w:rPr>
              <w:fldChar w:fldCharType="end"/>
            </w:r>
          </w:hyperlink>
        </w:p>
        <w:p w14:paraId="144F0602" w14:textId="6A49B559" w:rsidR="003558F5" w:rsidRPr="003558F5" w:rsidRDefault="006A1E69">
          <w:pPr>
            <w:pStyle w:val="TDC3"/>
            <w:rPr>
              <w:rFonts w:eastAsiaTheme="minorEastAsia" w:cstheme="minorBidi"/>
              <w:iCs w:val="0"/>
              <w:lang w:val="en-US" w:eastAsia="en-US"/>
            </w:rPr>
          </w:pPr>
          <w:hyperlink w:anchor="_Toc47864410" w:history="1">
            <w:r w:rsidR="003558F5" w:rsidRPr="003558F5">
              <w:rPr>
                <w:rStyle w:val="Hipervnculo"/>
                <w:lang w:val="en-US"/>
              </w:rPr>
              <w:t>I.</w:t>
            </w:r>
            <w:r w:rsidR="003558F5" w:rsidRPr="003558F5">
              <w:rPr>
                <w:rFonts w:eastAsiaTheme="minorEastAsia" w:cstheme="minorBidi"/>
                <w:iCs w:val="0"/>
                <w:lang w:val="en-US" w:eastAsia="en-US"/>
              </w:rPr>
              <w:tab/>
            </w:r>
            <w:r w:rsidR="003558F5" w:rsidRPr="003558F5">
              <w:rPr>
                <w:rStyle w:val="Hipervnculo"/>
                <w:lang w:val="en-US"/>
              </w:rPr>
              <w:t>Method of complying with the payments ordered</w:t>
            </w:r>
            <w:r w:rsidR="003558F5" w:rsidRPr="003558F5">
              <w:rPr>
                <w:webHidden/>
              </w:rPr>
              <w:tab/>
            </w:r>
            <w:r w:rsidR="003558F5" w:rsidRPr="003558F5">
              <w:rPr>
                <w:webHidden/>
              </w:rPr>
              <w:fldChar w:fldCharType="begin"/>
            </w:r>
            <w:r w:rsidR="003558F5" w:rsidRPr="003558F5">
              <w:rPr>
                <w:webHidden/>
              </w:rPr>
              <w:instrText xml:space="preserve"> PAGEREF _Toc47864410 \h </w:instrText>
            </w:r>
            <w:r w:rsidR="003558F5" w:rsidRPr="003558F5">
              <w:rPr>
                <w:webHidden/>
              </w:rPr>
            </w:r>
            <w:r w:rsidR="003558F5" w:rsidRPr="003558F5">
              <w:rPr>
                <w:webHidden/>
              </w:rPr>
              <w:fldChar w:fldCharType="separate"/>
            </w:r>
            <w:r w:rsidR="0054438D">
              <w:rPr>
                <w:webHidden/>
              </w:rPr>
              <w:t>71</w:t>
            </w:r>
            <w:r w:rsidR="003558F5" w:rsidRPr="003558F5">
              <w:rPr>
                <w:webHidden/>
              </w:rPr>
              <w:fldChar w:fldCharType="end"/>
            </w:r>
          </w:hyperlink>
        </w:p>
        <w:p w14:paraId="1EA953EB" w14:textId="443C085C" w:rsidR="009F7F67" w:rsidRPr="001C4977" w:rsidRDefault="006A1E69" w:rsidP="00650E38">
          <w:pPr>
            <w:pStyle w:val="TDC1"/>
            <w:rPr>
              <w:rFonts w:eastAsiaTheme="minorEastAsia" w:cstheme="minorBidi"/>
              <w:noProof/>
              <w:lang w:eastAsia="en-US"/>
            </w:rPr>
          </w:pPr>
          <w:hyperlink w:anchor="_Toc47864411" w:history="1">
            <w:r w:rsidR="003558F5" w:rsidRPr="003558F5">
              <w:rPr>
                <w:rStyle w:val="Hipervnculo"/>
                <w:rFonts w:ascii="Verdana" w:hAnsi="Verdana"/>
                <w:noProof/>
              </w:rPr>
              <w:t>IX</w:t>
            </w:r>
            <w:r w:rsidR="001C4977">
              <w:rPr>
                <w:rStyle w:val="Hipervnculo"/>
                <w:rFonts w:ascii="Verdana" w:hAnsi="Verdana"/>
                <w:noProof/>
              </w:rPr>
              <w:t xml:space="preserve"> operative paragraphs</w:t>
            </w:r>
            <w:r w:rsidR="003558F5" w:rsidRPr="003558F5">
              <w:rPr>
                <w:noProof/>
                <w:webHidden/>
              </w:rPr>
              <w:tab/>
            </w:r>
            <w:r w:rsidR="003558F5" w:rsidRPr="003558F5">
              <w:rPr>
                <w:noProof/>
                <w:webHidden/>
              </w:rPr>
              <w:fldChar w:fldCharType="begin"/>
            </w:r>
            <w:r w:rsidR="003558F5" w:rsidRPr="003558F5">
              <w:rPr>
                <w:noProof/>
                <w:webHidden/>
              </w:rPr>
              <w:instrText xml:space="preserve"> PAGEREF _Toc47864411 \h </w:instrText>
            </w:r>
            <w:r w:rsidR="003558F5" w:rsidRPr="003558F5">
              <w:rPr>
                <w:noProof/>
                <w:webHidden/>
              </w:rPr>
            </w:r>
            <w:r w:rsidR="003558F5" w:rsidRPr="003558F5">
              <w:rPr>
                <w:noProof/>
                <w:webHidden/>
              </w:rPr>
              <w:fldChar w:fldCharType="separate"/>
            </w:r>
            <w:r w:rsidR="0054438D">
              <w:rPr>
                <w:noProof/>
                <w:webHidden/>
              </w:rPr>
              <w:t>72</w:t>
            </w:r>
            <w:r w:rsidR="003558F5" w:rsidRPr="003558F5">
              <w:rPr>
                <w:noProof/>
                <w:webHidden/>
              </w:rPr>
              <w:fldChar w:fldCharType="end"/>
            </w:r>
          </w:hyperlink>
          <w:r w:rsidR="009F7F67" w:rsidRPr="003558F5">
            <w:rPr>
              <w:smallCaps/>
            </w:rPr>
            <w:fldChar w:fldCharType="end"/>
          </w:r>
        </w:p>
      </w:sdtContent>
    </w:sdt>
    <w:p w14:paraId="61051BF6" w14:textId="6211588E" w:rsidR="009F7F67" w:rsidRPr="00CF6765" w:rsidRDefault="001C4977" w:rsidP="009F4015">
      <w:pPr>
        <w:rPr>
          <w:rFonts w:eastAsia="Verdana" w:cs="Verdana"/>
          <w:position w:val="-1"/>
          <w:sz w:val="20"/>
          <w:szCs w:val="20"/>
          <w:lang w:val="en-US"/>
        </w:rPr>
      </w:pPr>
      <w:r>
        <w:rPr>
          <w:rFonts w:eastAsia="Verdana" w:cs="Verdana"/>
          <w:position w:val="-1"/>
          <w:sz w:val="20"/>
          <w:szCs w:val="20"/>
          <w:lang w:val="en-US"/>
        </w:rPr>
        <w:t xml:space="preserve"> </w:t>
      </w:r>
    </w:p>
    <w:p w14:paraId="1C0EA90D" w14:textId="4BE744B5" w:rsidR="001C4462" w:rsidRPr="00CF6765" w:rsidRDefault="001C4462" w:rsidP="00BE23A5">
      <w:pPr>
        <w:rPr>
          <w:rFonts w:eastAsia="Verdana" w:cs="Verdana"/>
          <w:position w:val="-1"/>
          <w:sz w:val="20"/>
          <w:szCs w:val="20"/>
          <w:lang w:val="en-US"/>
        </w:rPr>
      </w:pPr>
      <w:r w:rsidRPr="00CF6765">
        <w:rPr>
          <w:rFonts w:eastAsia="Verdana" w:cs="Verdana"/>
          <w:position w:val="-1"/>
          <w:sz w:val="20"/>
          <w:szCs w:val="20"/>
          <w:lang w:val="en-US"/>
        </w:rPr>
        <w:br w:type="page"/>
      </w:r>
    </w:p>
    <w:p w14:paraId="797814C9" w14:textId="6D7CCCCD" w:rsidR="006C37C9" w:rsidRPr="00CF6765" w:rsidRDefault="006C37C9" w:rsidP="00F322EC">
      <w:pPr>
        <w:pStyle w:val="Ttulo"/>
      </w:pPr>
      <w:bookmarkStart w:id="0" w:name="_Toc373093233"/>
      <w:bookmarkStart w:id="1" w:name="_Toc373350045"/>
      <w:bookmarkStart w:id="2" w:name="_Toc375560891"/>
      <w:bookmarkStart w:id="3" w:name="_Toc401931877"/>
      <w:bookmarkStart w:id="4" w:name="_Toc428369976"/>
      <w:bookmarkStart w:id="5" w:name="_Toc459158092"/>
      <w:bookmarkStart w:id="6" w:name="_Toc470180032"/>
      <w:bookmarkStart w:id="7" w:name="_Toc47864350"/>
      <w:r w:rsidRPr="00CF6765">
        <w:lastRenderedPageBreak/>
        <w:t>I</w:t>
      </w:r>
      <w:bookmarkStart w:id="8" w:name="_Toc375062709"/>
      <w:bookmarkStart w:id="9" w:name="_Toc375140859"/>
      <w:bookmarkStart w:id="10" w:name="_Toc375504818"/>
      <w:bookmarkStart w:id="11" w:name="_Toc375560892"/>
      <w:bookmarkEnd w:id="0"/>
      <w:bookmarkEnd w:id="1"/>
      <w:bookmarkEnd w:id="2"/>
      <w:r w:rsidRPr="00CF6765">
        <w:br/>
      </w:r>
      <w:r w:rsidR="005C731C" w:rsidRPr="00CF6765">
        <w:t>INTRODUCTION OF THE CASE AND PURPOSE OF THE DISPUTE</w:t>
      </w:r>
      <w:bookmarkEnd w:id="3"/>
      <w:bookmarkEnd w:id="4"/>
      <w:bookmarkEnd w:id="5"/>
      <w:bookmarkEnd w:id="6"/>
      <w:bookmarkEnd w:id="7"/>
      <w:bookmarkEnd w:id="8"/>
      <w:bookmarkEnd w:id="9"/>
      <w:bookmarkEnd w:id="10"/>
      <w:bookmarkEnd w:id="11"/>
    </w:p>
    <w:p w14:paraId="0EC264A6" w14:textId="77777777" w:rsidR="006C37C9" w:rsidRPr="00CF6765" w:rsidRDefault="006C37C9" w:rsidP="00F3026E">
      <w:pPr>
        <w:spacing w:line="240" w:lineRule="exact"/>
        <w:rPr>
          <w:rFonts w:ascii="Calibri" w:eastAsia="Calibri" w:hAnsi="Calibri"/>
          <w:lang w:val="en-US"/>
        </w:rPr>
      </w:pPr>
    </w:p>
    <w:p w14:paraId="529BF0EC" w14:textId="2CAA6ABA" w:rsidR="006C37C9" w:rsidRPr="00CF6765" w:rsidRDefault="005C731C" w:rsidP="00671A8C">
      <w:pPr>
        <w:numPr>
          <w:ilvl w:val="0"/>
          <w:numId w:val="2"/>
        </w:numPr>
        <w:tabs>
          <w:tab w:val="left" w:pos="567"/>
          <w:tab w:val="num" w:pos="12305"/>
        </w:tabs>
        <w:ind w:left="0" w:firstLine="0"/>
        <w:rPr>
          <w:rFonts w:eastAsia="Calibri" w:cs="Arial"/>
          <w:szCs w:val="20"/>
          <w:lang w:val="en-US"/>
        </w:rPr>
      </w:pPr>
      <w:r w:rsidRPr="00CF6765">
        <w:rPr>
          <w:rFonts w:eastAsia="Verdana" w:cs="Verdana"/>
          <w:i/>
          <w:sz w:val="20"/>
          <w:szCs w:val="20"/>
          <w:lang w:val="en-US"/>
        </w:rPr>
        <w:t>The case submitted to</w:t>
      </w:r>
      <w:r w:rsidR="006C37C9" w:rsidRPr="00CF6765">
        <w:rPr>
          <w:rFonts w:eastAsia="Verdana" w:cs="Verdana"/>
          <w:i/>
          <w:sz w:val="20"/>
          <w:szCs w:val="20"/>
          <w:lang w:val="en-US"/>
        </w:rPr>
        <w:t xml:space="preserve"> </w:t>
      </w:r>
      <w:r w:rsidRPr="00CF6765">
        <w:rPr>
          <w:rFonts w:eastAsia="Verdana" w:cs="Verdana"/>
          <w:i/>
          <w:sz w:val="20"/>
          <w:szCs w:val="20"/>
          <w:lang w:val="en-US"/>
        </w:rPr>
        <w:t>the Court</w:t>
      </w:r>
      <w:r w:rsidR="006C37C9" w:rsidRPr="00CF6765">
        <w:rPr>
          <w:rFonts w:eastAsia="Verdana" w:cs="Verdana"/>
          <w:i/>
          <w:sz w:val="20"/>
          <w:szCs w:val="20"/>
          <w:lang w:val="en-US"/>
        </w:rPr>
        <w:t xml:space="preserve">. </w:t>
      </w:r>
      <w:r w:rsidRPr="00CF6765">
        <w:rPr>
          <w:rFonts w:eastAsia="Verdana" w:cs="Verdana"/>
          <w:sz w:val="20"/>
          <w:szCs w:val="20"/>
          <w:lang w:val="en-US"/>
        </w:rPr>
        <w:t>On August 26,</w:t>
      </w:r>
      <w:r w:rsidR="0058113B" w:rsidRPr="00CF6765">
        <w:rPr>
          <w:rFonts w:eastAsia="Verdana" w:cs="Verdana"/>
          <w:sz w:val="20"/>
          <w:szCs w:val="20"/>
          <w:lang w:val="en-US"/>
        </w:rPr>
        <w:t xml:space="preserve"> 2016</w:t>
      </w:r>
      <w:r w:rsidR="00EC50FC" w:rsidRPr="00CF6765">
        <w:rPr>
          <w:rFonts w:eastAsia="Verdana" w:cs="Verdana"/>
          <w:sz w:val="20"/>
          <w:szCs w:val="20"/>
          <w:lang w:val="en-US"/>
        </w:rPr>
        <w:t>,</w:t>
      </w:r>
      <w:r w:rsidR="006C37C9" w:rsidRPr="00CF6765">
        <w:rPr>
          <w:rFonts w:eastAsia="Verdana" w:cs="Verdana"/>
          <w:sz w:val="20"/>
          <w:szCs w:val="20"/>
          <w:lang w:val="en-US"/>
        </w:rPr>
        <w:t xml:space="preserve"> </w:t>
      </w:r>
      <w:r w:rsidRPr="00CF6765">
        <w:rPr>
          <w:rFonts w:eastAsia="Verdana" w:cs="Verdana"/>
          <w:sz w:val="20"/>
          <w:szCs w:val="20"/>
          <w:lang w:val="en-US"/>
        </w:rPr>
        <w:t>the Inter-American Commission on Human Rights</w:t>
      </w:r>
      <w:r w:rsidR="006C37C9" w:rsidRPr="00CF6765">
        <w:rPr>
          <w:rFonts w:eastAsia="Verdana" w:cs="Verdana"/>
          <w:sz w:val="20"/>
          <w:szCs w:val="20"/>
          <w:lang w:val="en-US"/>
        </w:rPr>
        <w:t xml:space="preserve"> (</w:t>
      </w:r>
      <w:r w:rsidRPr="00CF6765">
        <w:rPr>
          <w:rFonts w:eastAsia="Verdana" w:cs="Verdana"/>
          <w:sz w:val="20"/>
          <w:szCs w:val="20"/>
          <w:lang w:val="en-US"/>
        </w:rPr>
        <w:t>hereinafter</w:t>
      </w:r>
      <w:r w:rsidR="006C37C9" w:rsidRPr="00CF6765">
        <w:rPr>
          <w:rFonts w:eastAsia="Verdana" w:cs="Verdana"/>
          <w:sz w:val="20"/>
          <w:szCs w:val="20"/>
          <w:lang w:val="en-US"/>
        </w:rPr>
        <w:t xml:space="preserve"> “</w:t>
      </w:r>
      <w:r w:rsidRPr="00CF6765">
        <w:rPr>
          <w:rFonts w:eastAsia="Verdana" w:cs="Verdana"/>
          <w:sz w:val="20"/>
          <w:szCs w:val="20"/>
          <w:lang w:val="en-US"/>
        </w:rPr>
        <w:t>the Inter-American Commission</w:t>
      </w:r>
      <w:r w:rsidR="006C37C9" w:rsidRPr="00CF6765">
        <w:rPr>
          <w:rFonts w:eastAsia="Verdana" w:cs="Verdana"/>
          <w:sz w:val="20"/>
          <w:szCs w:val="20"/>
          <w:lang w:val="en-US"/>
        </w:rPr>
        <w:t>” o</w:t>
      </w:r>
      <w:r w:rsidR="00EC50FC" w:rsidRPr="00CF6765">
        <w:rPr>
          <w:rFonts w:eastAsia="Verdana" w:cs="Verdana"/>
          <w:sz w:val="20"/>
          <w:szCs w:val="20"/>
          <w:lang w:val="en-US"/>
        </w:rPr>
        <w:t>r</w:t>
      </w:r>
      <w:r w:rsidR="006C37C9" w:rsidRPr="00CF6765">
        <w:rPr>
          <w:rFonts w:eastAsia="Verdana" w:cs="Verdana"/>
          <w:sz w:val="20"/>
          <w:szCs w:val="20"/>
          <w:lang w:val="en-US"/>
        </w:rPr>
        <w:t xml:space="preserve"> “</w:t>
      </w:r>
      <w:r w:rsidRPr="00CF6765">
        <w:rPr>
          <w:rFonts w:eastAsia="Verdana" w:cs="Verdana"/>
          <w:sz w:val="20"/>
          <w:szCs w:val="20"/>
          <w:lang w:val="en-US"/>
        </w:rPr>
        <w:t>the Commission</w:t>
      </w:r>
      <w:r w:rsidR="006C37C9" w:rsidRPr="00CF6765">
        <w:rPr>
          <w:rFonts w:eastAsia="Verdana" w:cs="Verdana"/>
          <w:sz w:val="20"/>
          <w:szCs w:val="20"/>
          <w:lang w:val="en-US"/>
        </w:rPr>
        <w:t xml:space="preserve">”) </w:t>
      </w:r>
      <w:r w:rsidR="00671A8C" w:rsidRPr="00CF6765">
        <w:rPr>
          <w:rFonts w:eastAsia="Verdana" w:cs="Verdana"/>
          <w:sz w:val="20"/>
          <w:szCs w:val="20"/>
          <w:lang w:val="en-US"/>
        </w:rPr>
        <w:t>submitted</w:t>
      </w:r>
      <w:r w:rsidR="006C37C9" w:rsidRPr="00CF6765">
        <w:rPr>
          <w:rFonts w:eastAsia="Verdana" w:cs="Verdana"/>
          <w:sz w:val="20"/>
          <w:szCs w:val="20"/>
          <w:lang w:val="en-US"/>
        </w:rPr>
        <w:t xml:space="preserve"> </w:t>
      </w:r>
      <w:r w:rsidR="00671A8C" w:rsidRPr="00CF6765">
        <w:rPr>
          <w:rFonts w:eastAsia="Verdana" w:cs="Verdana"/>
          <w:sz w:val="20"/>
          <w:szCs w:val="20"/>
          <w:lang w:val="en-US"/>
        </w:rPr>
        <w:t>to the jurisdiction</w:t>
      </w:r>
      <w:r w:rsidRPr="00CF6765">
        <w:rPr>
          <w:rFonts w:eastAsia="Verdana" w:cs="Verdana"/>
          <w:sz w:val="20"/>
          <w:szCs w:val="20"/>
          <w:lang w:val="en-US"/>
        </w:rPr>
        <w:t xml:space="preserve"> of the Court</w:t>
      </w:r>
      <w:r w:rsidR="006C37C9" w:rsidRPr="00CF6765">
        <w:rPr>
          <w:rFonts w:eastAsia="Verdana" w:cs="Verdana"/>
          <w:sz w:val="20"/>
          <w:szCs w:val="20"/>
          <w:lang w:val="en-US"/>
        </w:rPr>
        <w:t xml:space="preserve"> </w:t>
      </w:r>
      <w:r w:rsidR="00671A8C" w:rsidRPr="00CF6765">
        <w:rPr>
          <w:rFonts w:eastAsia="Verdana" w:cs="Verdana"/>
          <w:sz w:val="20"/>
          <w:szCs w:val="20"/>
          <w:lang w:val="en-US"/>
        </w:rPr>
        <w:t>the case of</w:t>
      </w:r>
      <w:r w:rsidR="006C37C9" w:rsidRPr="00CF6765">
        <w:rPr>
          <w:rFonts w:eastAsia="Verdana" w:cs="Verdana"/>
          <w:sz w:val="20"/>
          <w:szCs w:val="20"/>
          <w:lang w:val="en-US"/>
        </w:rPr>
        <w:t xml:space="preserve"> </w:t>
      </w:r>
      <w:r w:rsidR="00DE732C" w:rsidRPr="00CF6765">
        <w:rPr>
          <w:rFonts w:eastAsia="Verdana" w:cs="Verdana"/>
          <w:i/>
          <w:sz w:val="20"/>
          <w:szCs w:val="20"/>
          <w:lang w:val="en-US"/>
        </w:rPr>
        <w:t xml:space="preserve">Poblete </w:t>
      </w:r>
      <w:proofErr w:type="spellStart"/>
      <w:r w:rsidRPr="00CF6765">
        <w:rPr>
          <w:rFonts w:eastAsia="Verdana" w:cs="Verdana"/>
          <w:i/>
          <w:sz w:val="20"/>
          <w:szCs w:val="20"/>
          <w:lang w:val="en-US"/>
        </w:rPr>
        <w:t>Vilches</w:t>
      </w:r>
      <w:proofErr w:type="spellEnd"/>
      <w:r w:rsidRPr="00CF6765">
        <w:rPr>
          <w:rFonts w:eastAsia="Verdana" w:cs="Verdana"/>
          <w:i/>
          <w:sz w:val="20"/>
          <w:szCs w:val="20"/>
          <w:lang w:val="en-US"/>
        </w:rPr>
        <w:t xml:space="preserve"> et al.</w:t>
      </w:r>
      <w:r w:rsidR="006C37C9" w:rsidRPr="00CF6765">
        <w:rPr>
          <w:rFonts w:eastAsia="Verdana" w:cs="Verdana"/>
          <w:sz w:val="20"/>
          <w:szCs w:val="20"/>
          <w:lang w:val="en-US"/>
        </w:rPr>
        <w:t xml:space="preserve"> </w:t>
      </w:r>
      <w:r w:rsidR="00671A8C" w:rsidRPr="00CF6765">
        <w:rPr>
          <w:rFonts w:eastAsia="Verdana" w:cs="Verdana"/>
          <w:sz w:val="20"/>
          <w:szCs w:val="20"/>
          <w:lang w:val="en-US"/>
        </w:rPr>
        <w:t>against</w:t>
      </w:r>
      <w:r w:rsidR="006C37C9" w:rsidRPr="00CF6765">
        <w:rPr>
          <w:rFonts w:eastAsia="Verdana" w:cs="Verdana"/>
          <w:sz w:val="20"/>
          <w:szCs w:val="20"/>
          <w:lang w:val="en-US"/>
        </w:rPr>
        <w:t xml:space="preserve"> </w:t>
      </w:r>
      <w:r w:rsidR="00EC50FC" w:rsidRPr="00CF6765">
        <w:rPr>
          <w:rFonts w:eastAsia="Verdana" w:cs="Verdana"/>
          <w:sz w:val="20"/>
          <w:szCs w:val="20"/>
          <w:lang w:val="en-US"/>
        </w:rPr>
        <w:t>the Republic of</w:t>
      </w:r>
      <w:r w:rsidR="0058113B" w:rsidRPr="00CF6765">
        <w:rPr>
          <w:rFonts w:eastAsia="Verdana" w:cs="Verdana"/>
          <w:sz w:val="20"/>
          <w:szCs w:val="20"/>
          <w:lang w:val="en-US"/>
        </w:rPr>
        <w:t xml:space="preserve"> </w:t>
      </w:r>
      <w:r w:rsidR="00DE732C" w:rsidRPr="00CF6765">
        <w:rPr>
          <w:rFonts w:eastAsia="Verdana" w:cs="Verdana"/>
          <w:sz w:val="20"/>
          <w:szCs w:val="20"/>
          <w:lang w:val="en-US"/>
        </w:rPr>
        <w:t>Chile</w:t>
      </w:r>
      <w:r w:rsidR="006C37C9" w:rsidRPr="00CF6765">
        <w:rPr>
          <w:rFonts w:eastAsia="Verdana" w:cs="Verdana"/>
          <w:sz w:val="20"/>
          <w:szCs w:val="20"/>
          <w:lang w:val="en-US"/>
        </w:rPr>
        <w:t xml:space="preserve"> (</w:t>
      </w:r>
      <w:r w:rsidRPr="00CF6765">
        <w:rPr>
          <w:rFonts w:eastAsia="Verdana" w:cs="Verdana"/>
          <w:sz w:val="20"/>
          <w:szCs w:val="20"/>
          <w:lang w:val="en-US"/>
        </w:rPr>
        <w:t>hereinafter</w:t>
      </w:r>
      <w:r w:rsidR="006C37C9" w:rsidRPr="00CF6765">
        <w:rPr>
          <w:rFonts w:eastAsia="Verdana" w:cs="Verdana"/>
          <w:sz w:val="20"/>
          <w:szCs w:val="20"/>
          <w:lang w:val="en-US"/>
        </w:rPr>
        <w:t xml:space="preserve"> “</w:t>
      </w:r>
      <w:r w:rsidR="00EC50FC" w:rsidRPr="00CF6765">
        <w:rPr>
          <w:rFonts w:eastAsia="Verdana" w:cs="Verdana"/>
          <w:sz w:val="20"/>
          <w:szCs w:val="20"/>
          <w:lang w:val="en-US"/>
        </w:rPr>
        <w:t>the State</w:t>
      </w:r>
      <w:r w:rsidR="006C37C9" w:rsidRPr="00CF6765">
        <w:rPr>
          <w:rFonts w:eastAsia="Verdana" w:cs="Verdana"/>
          <w:sz w:val="20"/>
          <w:szCs w:val="20"/>
          <w:lang w:val="en-US"/>
        </w:rPr>
        <w:t xml:space="preserve"> </w:t>
      </w:r>
      <w:r w:rsidR="00671A8C" w:rsidRPr="00CF6765">
        <w:rPr>
          <w:rFonts w:eastAsia="Verdana" w:cs="Verdana"/>
          <w:sz w:val="20"/>
          <w:szCs w:val="20"/>
          <w:lang w:val="en-US"/>
        </w:rPr>
        <w:t>of</w:t>
      </w:r>
      <w:r w:rsidR="006C37C9" w:rsidRPr="00CF6765">
        <w:rPr>
          <w:rFonts w:eastAsia="Verdana" w:cs="Verdana"/>
          <w:sz w:val="20"/>
          <w:szCs w:val="20"/>
          <w:lang w:val="en-US"/>
        </w:rPr>
        <w:t xml:space="preserve"> </w:t>
      </w:r>
      <w:r w:rsidR="00DE732C" w:rsidRPr="00CF6765">
        <w:rPr>
          <w:rFonts w:eastAsia="Verdana" w:cs="Verdana"/>
          <w:sz w:val="20"/>
          <w:szCs w:val="20"/>
          <w:lang w:val="en-US"/>
        </w:rPr>
        <w:t>Chile</w:t>
      </w:r>
      <w:r w:rsidR="00671A8C" w:rsidRPr="00CF6765">
        <w:rPr>
          <w:rFonts w:eastAsia="Verdana" w:cs="Verdana"/>
          <w:sz w:val="20"/>
          <w:szCs w:val="20"/>
          <w:lang w:val="en-US"/>
        </w:rPr>
        <w:t>,</w:t>
      </w:r>
      <w:r w:rsidR="006C37C9" w:rsidRPr="00CF6765">
        <w:rPr>
          <w:rFonts w:eastAsia="Verdana" w:cs="Verdana"/>
          <w:sz w:val="20"/>
          <w:szCs w:val="20"/>
          <w:lang w:val="en-US"/>
        </w:rPr>
        <w:t>” “</w:t>
      </w:r>
      <w:r w:rsidR="00EC50FC" w:rsidRPr="00CF6765">
        <w:rPr>
          <w:rFonts w:eastAsia="Verdana" w:cs="Verdana"/>
          <w:sz w:val="20"/>
          <w:szCs w:val="20"/>
          <w:lang w:val="en-US"/>
        </w:rPr>
        <w:t xml:space="preserve">the </w:t>
      </w:r>
      <w:r w:rsidR="00671A8C" w:rsidRPr="00CF6765">
        <w:rPr>
          <w:rFonts w:eastAsia="Verdana" w:cs="Verdana"/>
          <w:sz w:val="20"/>
          <w:szCs w:val="20"/>
          <w:lang w:val="en-US"/>
        </w:rPr>
        <w:t>Chilean State</w:t>
      </w:r>
      <w:r w:rsidR="006C37C9" w:rsidRPr="00CF6765">
        <w:rPr>
          <w:rFonts w:eastAsia="Verdana" w:cs="Verdana"/>
          <w:sz w:val="20"/>
          <w:szCs w:val="20"/>
          <w:lang w:val="en-US"/>
        </w:rPr>
        <w:t>” o</w:t>
      </w:r>
      <w:r w:rsidR="00671A8C" w:rsidRPr="00CF6765">
        <w:rPr>
          <w:rFonts w:eastAsia="Verdana" w:cs="Verdana"/>
          <w:sz w:val="20"/>
          <w:szCs w:val="20"/>
          <w:lang w:val="en-US"/>
        </w:rPr>
        <w:t>r</w:t>
      </w:r>
      <w:r w:rsidR="006C37C9" w:rsidRPr="00CF6765">
        <w:rPr>
          <w:rFonts w:eastAsia="Verdana" w:cs="Verdana"/>
          <w:sz w:val="20"/>
          <w:szCs w:val="20"/>
          <w:lang w:val="en-US"/>
        </w:rPr>
        <w:t xml:space="preserve"> “</w:t>
      </w:r>
      <w:r w:rsidR="00082399" w:rsidRPr="00CF6765">
        <w:rPr>
          <w:rFonts w:eastAsia="Verdana" w:cs="Verdana"/>
          <w:sz w:val="20"/>
          <w:szCs w:val="20"/>
          <w:lang w:val="en-US"/>
        </w:rPr>
        <w:t>Chile</w:t>
      </w:r>
      <w:r w:rsidR="006C37C9" w:rsidRPr="00CF6765">
        <w:rPr>
          <w:rFonts w:eastAsia="Verdana" w:cs="Verdana"/>
          <w:sz w:val="20"/>
          <w:szCs w:val="20"/>
          <w:lang w:val="en-US"/>
        </w:rPr>
        <w:t xml:space="preserve">”). </w:t>
      </w:r>
      <w:r w:rsidR="00671A8C" w:rsidRPr="00CF6765">
        <w:rPr>
          <w:rFonts w:eastAsia="Verdana" w:cs="Verdana"/>
          <w:sz w:val="20"/>
          <w:szCs w:val="20"/>
          <w:lang w:val="en-US"/>
        </w:rPr>
        <w:t>According to</w:t>
      </w:r>
      <w:r w:rsidR="006C37C9" w:rsidRPr="00CF6765">
        <w:rPr>
          <w:rFonts w:eastAsia="Verdana" w:cs="Verdana"/>
          <w:sz w:val="20"/>
          <w:szCs w:val="20"/>
          <w:lang w:val="en-US"/>
        </w:rPr>
        <w:t xml:space="preserve"> </w:t>
      </w:r>
      <w:r w:rsidRPr="00CF6765">
        <w:rPr>
          <w:rFonts w:eastAsia="Verdana" w:cs="Verdana"/>
          <w:sz w:val="20"/>
          <w:szCs w:val="20"/>
          <w:lang w:val="en-US"/>
        </w:rPr>
        <w:t>the Commission</w:t>
      </w:r>
      <w:r w:rsidR="006C37C9" w:rsidRPr="00CF6765">
        <w:rPr>
          <w:rFonts w:eastAsia="Verdana" w:cs="Verdana"/>
          <w:sz w:val="20"/>
          <w:szCs w:val="20"/>
          <w:lang w:val="en-US"/>
        </w:rPr>
        <w:t xml:space="preserve">, </w:t>
      </w:r>
      <w:r w:rsidR="00671A8C" w:rsidRPr="00CF6765">
        <w:rPr>
          <w:rFonts w:eastAsia="Verdana" w:cs="Verdana"/>
          <w:sz w:val="20"/>
          <w:szCs w:val="20"/>
          <w:lang w:val="en-US"/>
        </w:rPr>
        <w:t xml:space="preserve">the case refers to the alleged international responsibility of the </w:t>
      </w:r>
      <w:r w:rsidR="00EC50FC" w:rsidRPr="00CF6765">
        <w:rPr>
          <w:rFonts w:eastAsia="Calibri" w:cs="Arial"/>
          <w:sz w:val="20"/>
          <w:szCs w:val="20"/>
          <w:lang w:val="en-US"/>
        </w:rPr>
        <w:t>State</w:t>
      </w:r>
      <w:r w:rsidR="00F14674" w:rsidRPr="00CF6765">
        <w:rPr>
          <w:rFonts w:eastAsia="Calibri" w:cs="Arial"/>
          <w:sz w:val="20"/>
          <w:szCs w:val="20"/>
          <w:lang w:val="en-US"/>
        </w:rPr>
        <w:t xml:space="preserve"> </w:t>
      </w:r>
      <w:r w:rsidR="00671A8C" w:rsidRPr="00CF6765">
        <w:rPr>
          <w:rFonts w:eastAsia="Calibri" w:cs="Arial"/>
          <w:sz w:val="20"/>
          <w:szCs w:val="20"/>
          <w:lang w:val="en-US"/>
        </w:rPr>
        <w:t>of Chile</w:t>
      </w:r>
      <w:r w:rsidR="004E1443" w:rsidRPr="00CF6765">
        <w:rPr>
          <w:rFonts w:eastAsia="Calibri" w:cs="Arial"/>
          <w:sz w:val="20"/>
          <w:szCs w:val="20"/>
          <w:lang w:val="en-US"/>
        </w:rPr>
        <w:t xml:space="preserve"> </w:t>
      </w:r>
      <w:r w:rsidR="00671A8C" w:rsidRPr="00CF6765">
        <w:rPr>
          <w:rFonts w:eastAsia="Calibri" w:cs="Arial"/>
          <w:sz w:val="20"/>
          <w:szCs w:val="20"/>
          <w:lang w:val="en-US"/>
        </w:rPr>
        <w:t>for the acts and omissions that took place between January 17</w:t>
      </w:r>
      <w:r w:rsidR="00EC50FC" w:rsidRPr="00CF6765">
        <w:rPr>
          <w:rFonts w:eastAsia="Calibri" w:cs="Arial"/>
          <w:sz w:val="20"/>
          <w:szCs w:val="20"/>
          <w:lang w:val="en-US"/>
        </w:rPr>
        <w:t xml:space="preserve"> and </w:t>
      </w:r>
      <w:r w:rsidR="00671A8C" w:rsidRPr="00CF6765">
        <w:rPr>
          <w:rFonts w:eastAsia="Calibri" w:cs="Arial"/>
          <w:sz w:val="20"/>
          <w:szCs w:val="20"/>
          <w:lang w:val="en-US"/>
        </w:rPr>
        <w:t>February 7,</w:t>
      </w:r>
      <w:r w:rsidR="004E1443" w:rsidRPr="00CF6765">
        <w:rPr>
          <w:rFonts w:eastAsia="Calibri" w:cs="Arial"/>
          <w:sz w:val="20"/>
          <w:szCs w:val="20"/>
          <w:lang w:val="en-US"/>
        </w:rPr>
        <w:t xml:space="preserve"> 2001, </w:t>
      </w:r>
      <w:r w:rsidR="00671A8C" w:rsidRPr="00CF6765">
        <w:rPr>
          <w:rFonts w:eastAsia="Calibri" w:cs="Arial"/>
          <w:sz w:val="20"/>
          <w:szCs w:val="20"/>
          <w:lang w:val="en-US"/>
        </w:rPr>
        <w:t>the dates on which</w:t>
      </w:r>
      <w:r w:rsidR="004E1443" w:rsidRPr="00CF6765">
        <w:rPr>
          <w:rFonts w:eastAsia="Calibri" w:cs="Arial"/>
          <w:sz w:val="20"/>
          <w:szCs w:val="20"/>
          <w:lang w:val="en-US"/>
        </w:rPr>
        <w:t xml:space="preserve"> Vinicio Antonio Poblete </w:t>
      </w:r>
      <w:proofErr w:type="spellStart"/>
      <w:r w:rsidR="004E1443" w:rsidRPr="00CF6765">
        <w:rPr>
          <w:rFonts w:eastAsia="Calibri" w:cs="Arial"/>
          <w:sz w:val="20"/>
          <w:szCs w:val="20"/>
          <w:lang w:val="en-US"/>
        </w:rPr>
        <w:t>Vilches</w:t>
      </w:r>
      <w:proofErr w:type="spellEnd"/>
      <w:r w:rsidR="004E1443" w:rsidRPr="00CF6765">
        <w:rPr>
          <w:rFonts w:eastAsia="Calibri" w:cs="Arial"/>
          <w:sz w:val="20"/>
          <w:szCs w:val="20"/>
          <w:lang w:val="en-US"/>
        </w:rPr>
        <w:t xml:space="preserve">, </w:t>
      </w:r>
      <w:r w:rsidR="00671A8C" w:rsidRPr="00CF6765">
        <w:rPr>
          <w:rFonts w:eastAsia="Calibri" w:cs="Arial"/>
          <w:sz w:val="20"/>
          <w:szCs w:val="20"/>
          <w:lang w:val="en-US"/>
        </w:rPr>
        <w:t xml:space="preserve">who was an older person, was twice admitted to the </w:t>
      </w:r>
      <w:proofErr w:type="spellStart"/>
      <w:r w:rsidR="00671A8C" w:rsidRPr="00CF6765">
        <w:rPr>
          <w:rFonts w:eastAsia="Calibri" w:cs="Arial"/>
          <w:sz w:val="20"/>
          <w:szCs w:val="20"/>
          <w:lang w:val="en-US"/>
        </w:rPr>
        <w:t>Sótero</w:t>
      </w:r>
      <w:proofErr w:type="spellEnd"/>
      <w:r w:rsidR="00671A8C" w:rsidRPr="00CF6765">
        <w:rPr>
          <w:rFonts w:eastAsia="Calibri" w:cs="Arial"/>
          <w:sz w:val="20"/>
          <w:szCs w:val="20"/>
          <w:lang w:val="en-US"/>
        </w:rPr>
        <w:t xml:space="preserve"> del Río public hospital where he died on the latter date. </w:t>
      </w:r>
      <w:r w:rsidRPr="00CF6765">
        <w:rPr>
          <w:rFonts w:eastAsia="Calibri" w:cs="Arial"/>
          <w:sz w:val="20"/>
          <w:szCs w:val="20"/>
          <w:lang w:val="en-US"/>
        </w:rPr>
        <w:t>The Commission</w:t>
      </w:r>
      <w:r w:rsidR="004E1443" w:rsidRPr="00CF6765">
        <w:rPr>
          <w:rFonts w:eastAsia="Calibri" w:cs="Arial"/>
          <w:sz w:val="20"/>
          <w:szCs w:val="20"/>
          <w:lang w:val="en-US"/>
        </w:rPr>
        <w:t xml:space="preserve"> establ</w:t>
      </w:r>
      <w:r w:rsidR="00671A8C" w:rsidRPr="00CF6765">
        <w:rPr>
          <w:rFonts w:eastAsia="Calibri" w:cs="Arial"/>
          <w:sz w:val="20"/>
          <w:szCs w:val="20"/>
          <w:lang w:val="en-US"/>
        </w:rPr>
        <w:t>ished that</w:t>
      </w:r>
      <w:r w:rsidR="00BB4040" w:rsidRPr="00CF6765">
        <w:rPr>
          <w:rFonts w:eastAsia="Calibri" w:cs="Arial"/>
          <w:sz w:val="20"/>
          <w:szCs w:val="20"/>
          <w:lang w:val="en-US"/>
        </w:rPr>
        <w:t>,</w:t>
      </w:r>
      <w:r w:rsidR="00671A8C" w:rsidRPr="00CF6765">
        <w:rPr>
          <w:rFonts w:eastAsia="Calibri" w:cs="Arial"/>
          <w:sz w:val="20"/>
          <w:szCs w:val="20"/>
          <w:lang w:val="en-US"/>
        </w:rPr>
        <w:t xml:space="preserve"> on two occasions</w:t>
      </w:r>
      <w:r w:rsidR="00BB4040" w:rsidRPr="00CF6765">
        <w:rPr>
          <w:rFonts w:eastAsia="Calibri" w:cs="Arial"/>
          <w:sz w:val="20"/>
          <w:szCs w:val="20"/>
          <w:lang w:val="en-US"/>
        </w:rPr>
        <w:t xml:space="preserve">, </w:t>
      </w:r>
      <w:r w:rsidR="00671A8C" w:rsidRPr="00CF6765">
        <w:rPr>
          <w:rFonts w:eastAsia="Calibri" w:cs="Arial"/>
          <w:sz w:val="20"/>
          <w:szCs w:val="20"/>
          <w:lang w:val="en-US"/>
        </w:rPr>
        <w:t>the hospital’s medical staff failed to obtain informed consent to take health-related decision</w:t>
      </w:r>
      <w:r w:rsidR="00BB4040" w:rsidRPr="00CF6765">
        <w:rPr>
          <w:rFonts w:eastAsia="Calibri" w:cs="Arial"/>
          <w:sz w:val="20"/>
          <w:szCs w:val="20"/>
          <w:lang w:val="en-US"/>
        </w:rPr>
        <w:t>s</w:t>
      </w:r>
      <w:r w:rsidR="00671A8C" w:rsidRPr="00CF6765">
        <w:rPr>
          <w:rFonts w:eastAsia="Calibri" w:cs="Arial"/>
          <w:sz w:val="20"/>
          <w:szCs w:val="20"/>
          <w:lang w:val="en-US"/>
        </w:rPr>
        <w:t>. Specifically, in the context of a procedure performed on January 26, 2001, during his first admission to the hospital, and also in the</w:t>
      </w:r>
      <w:r w:rsidR="00BB4040" w:rsidRPr="00CF6765">
        <w:rPr>
          <w:rFonts w:eastAsia="Calibri" w:cs="Arial"/>
          <w:sz w:val="20"/>
          <w:szCs w:val="20"/>
          <w:lang w:val="en-US"/>
        </w:rPr>
        <w:t xml:space="preserve"> case of the</w:t>
      </w:r>
      <w:r w:rsidR="00671A8C" w:rsidRPr="00CF6765">
        <w:rPr>
          <w:rFonts w:eastAsia="Calibri" w:cs="Arial"/>
          <w:sz w:val="20"/>
          <w:szCs w:val="20"/>
          <w:lang w:val="en-US"/>
        </w:rPr>
        <w:t xml:space="preserve"> decision to keep him in “intermediate treatment” in the hours before his death during his second admission to the hospital. The Commission concluded that there was sufficient evidence to consider that the decision to discharge </w:t>
      </w:r>
      <w:r w:rsidR="004E1443" w:rsidRPr="00CF6765">
        <w:rPr>
          <w:rFonts w:eastAsia="Calibri" w:cs="Arial"/>
          <w:sz w:val="20"/>
          <w:szCs w:val="20"/>
          <w:lang w:val="en-US"/>
        </w:rPr>
        <w:t xml:space="preserve">Vinicio Antonio Poblete </w:t>
      </w:r>
      <w:proofErr w:type="spellStart"/>
      <w:r w:rsidR="004E1443" w:rsidRPr="00CF6765">
        <w:rPr>
          <w:rFonts w:eastAsia="Calibri" w:cs="Arial"/>
          <w:sz w:val="20"/>
          <w:szCs w:val="20"/>
          <w:lang w:val="en-US"/>
        </w:rPr>
        <w:t>Vilches</w:t>
      </w:r>
      <w:proofErr w:type="spellEnd"/>
      <w:r w:rsidR="00EC50FC" w:rsidRPr="00CF6765">
        <w:rPr>
          <w:rFonts w:eastAsia="Calibri" w:cs="Arial"/>
          <w:sz w:val="20"/>
          <w:szCs w:val="20"/>
          <w:lang w:val="en-US"/>
        </w:rPr>
        <w:t xml:space="preserve"> and </w:t>
      </w:r>
      <w:r w:rsidR="00671A8C" w:rsidRPr="00CF6765">
        <w:rPr>
          <w:rFonts w:eastAsia="Calibri" w:cs="Arial"/>
          <w:sz w:val="20"/>
          <w:szCs w:val="20"/>
          <w:lang w:val="en-US"/>
        </w:rPr>
        <w:t xml:space="preserve">the way in which this was </w:t>
      </w:r>
      <w:r w:rsidR="00BB4040" w:rsidRPr="00CF6765">
        <w:rPr>
          <w:rFonts w:eastAsia="Calibri" w:cs="Arial"/>
          <w:sz w:val="20"/>
          <w:szCs w:val="20"/>
          <w:lang w:val="en-US"/>
        </w:rPr>
        <w:t>carried out</w:t>
      </w:r>
      <w:r w:rsidR="00671A8C" w:rsidRPr="00CF6765">
        <w:rPr>
          <w:rFonts w:eastAsia="Calibri" w:cs="Arial"/>
          <w:sz w:val="20"/>
          <w:szCs w:val="20"/>
          <w:lang w:val="en-US"/>
        </w:rPr>
        <w:t xml:space="preserve"> could have </w:t>
      </w:r>
      <w:r w:rsidR="00BB4040" w:rsidRPr="00CF6765">
        <w:rPr>
          <w:rFonts w:eastAsia="Calibri" w:cs="Arial"/>
          <w:sz w:val="20"/>
          <w:szCs w:val="20"/>
          <w:lang w:val="en-US"/>
        </w:rPr>
        <w:t>contributed to</w:t>
      </w:r>
      <w:r w:rsidR="00671A8C" w:rsidRPr="00CF6765">
        <w:rPr>
          <w:rFonts w:eastAsia="Calibri" w:cs="Arial"/>
          <w:sz w:val="20"/>
          <w:szCs w:val="20"/>
          <w:lang w:val="en-US"/>
        </w:rPr>
        <w:t xml:space="preserve"> the rapid deterioration he experienced in the days immediately following his discharge from the hospital and his subsequent death </w:t>
      </w:r>
      <w:r w:rsidR="00BB4040" w:rsidRPr="00CF6765">
        <w:rPr>
          <w:rFonts w:eastAsia="Calibri" w:cs="Arial"/>
          <w:sz w:val="20"/>
          <w:szCs w:val="20"/>
          <w:lang w:val="en-US"/>
        </w:rPr>
        <w:t>after</w:t>
      </w:r>
      <w:r w:rsidR="00671A8C" w:rsidRPr="00CF6765">
        <w:rPr>
          <w:rFonts w:eastAsia="Calibri" w:cs="Arial"/>
          <w:sz w:val="20"/>
          <w:szCs w:val="20"/>
          <w:lang w:val="en-US"/>
        </w:rPr>
        <w:t xml:space="preserve"> he was admitted a second time in a serious condition. It also determined that the State was responsible for failing to provide him with the intensive treatment </w:t>
      </w:r>
      <w:r w:rsidR="00BB4040" w:rsidRPr="00CF6765">
        <w:rPr>
          <w:rFonts w:eastAsia="Calibri" w:cs="Arial"/>
          <w:sz w:val="20"/>
          <w:szCs w:val="20"/>
          <w:lang w:val="en-US"/>
        </w:rPr>
        <w:t>required</w:t>
      </w:r>
      <w:r w:rsidR="00671A8C" w:rsidRPr="00CF6765">
        <w:rPr>
          <w:rFonts w:eastAsia="Calibri" w:cs="Arial"/>
          <w:sz w:val="20"/>
          <w:szCs w:val="20"/>
          <w:lang w:val="en-US"/>
        </w:rPr>
        <w:t xml:space="preserve"> during his second admission to hospital, and for the fact that, in the domestic sphere, the investigations were not </w:t>
      </w:r>
      <w:r w:rsidR="00B328D7" w:rsidRPr="00CF6765">
        <w:rPr>
          <w:rFonts w:eastAsia="Calibri" w:cs="Arial"/>
          <w:sz w:val="20"/>
          <w:szCs w:val="20"/>
          <w:lang w:val="en-US"/>
        </w:rPr>
        <w:t>conducted</w:t>
      </w:r>
      <w:r w:rsidR="00671A8C" w:rsidRPr="00CF6765">
        <w:rPr>
          <w:rFonts w:eastAsia="Calibri" w:cs="Arial"/>
          <w:sz w:val="20"/>
          <w:szCs w:val="20"/>
          <w:lang w:val="en-US"/>
        </w:rPr>
        <w:t xml:space="preserve"> with due diligence and within a reasonable time. The presumed victims in this case, in addition to</w:t>
      </w:r>
      <w:r w:rsidR="00671A8C" w:rsidRPr="00CF6765">
        <w:rPr>
          <w:rFonts w:eastAsia="Calibri" w:cs="Arial"/>
          <w:szCs w:val="20"/>
          <w:lang w:val="en-US"/>
        </w:rPr>
        <w:t xml:space="preserve"> </w:t>
      </w:r>
      <w:r w:rsidR="00BC17B7" w:rsidRPr="00CF6765">
        <w:rPr>
          <w:sz w:val="20"/>
          <w:szCs w:val="16"/>
          <w:lang w:val="en-US"/>
        </w:rPr>
        <w:t xml:space="preserve">Vinicio Antonio Poblete </w:t>
      </w:r>
      <w:proofErr w:type="spellStart"/>
      <w:r w:rsidR="00BC17B7" w:rsidRPr="00CF6765">
        <w:rPr>
          <w:sz w:val="20"/>
          <w:szCs w:val="16"/>
          <w:lang w:val="en-US"/>
        </w:rPr>
        <w:t>Vilches</w:t>
      </w:r>
      <w:proofErr w:type="spellEnd"/>
      <w:r w:rsidR="00BC17B7" w:rsidRPr="00CF6765">
        <w:rPr>
          <w:sz w:val="20"/>
          <w:szCs w:val="16"/>
          <w:lang w:val="en-US"/>
        </w:rPr>
        <w:t xml:space="preserve">, </w:t>
      </w:r>
      <w:r w:rsidR="00671A8C" w:rsidRPr="00CF6765">
        <w:rPr>
          <w:sz w:val="20"/>
          <w:szCs w:val="16"/>
          <w:lang w:val="en-US"/>
        </w:rPr>
        <w:t>are</w:t>
      </w:r>
      <w:r w:rsidR="00BC17B7" w:rsidRPr="00CF6765">
        <w:rPr>
          <w:sz w:val="20"/>
          <w:szCs w:val="16"/>
          <w:lang w:val="en-US"/>
        </w:rPr>
        <w:t xml:space="preserve">: </w:t>
      </w:r>
      <w:r w:rsidR="00EC50FC" w:rsidRPr="00CF6765">
        <w:rPr>
          <w:sz w:val="20"/>
          <w:szCs w:val="16"/>
          <w:lang w:val="en-US"/>
        </w:rPr>
        <w:t>his wife</w:t>
      </w:r>
      <w:r w:rsidR="00E32C7B" w:rsidRPr="00CF6765">
        <w:rPr>
          <w:sz w:val="20"/>
          <w:szCs w:val="16"/>
          <w:lang w:val="en-US"/>
        </w:rPr>
        <w:t xml:space="preserve">, </w:t>
      </w:r>
      <w:r w:rsidR="00BC17B7" w:rsidRPr="00CF6765">
        <w:rPr>
          <w:sz w:val="20"/>
          <w:szCs w:val="16"/>
          <w:lang w:val="en-US"/>
        </w:rPr>
        <w:t xml:space="preserve">Blanca Tapia </w:t>
      </w:r>
      <w:proofErr w:type="spellStart"/>
      <w:r w:rsidR="00BC17B7" w:rsidRPr="00CF6765">
        <w:rPr>
          <w:sz w:val="20"/>
          <w:szCs w:val="16"/>
          <w:lang w:val="en-US"/>
        </w:rPr>
        <w:t>Encina</w:t>
      </w:r>
      <w:proofErr w:type="spellEnd"/>
      <w:r w:rsidR="00BC17B7" w:rsidRPr="00CF6765">
        <w:rPr>
          <w:sz w:val="20"/>
          <w:szCs w:val="16"/>
          <w:lang w:val="en-US"/>
        </w:rPr>
        <w:t xml:space="preserve"> (</w:t>
      </w:r>
      <w:r w:rsidR="00671A8C" w:rsidRPr="00CF6765">
        <w:rPr>
          <w:sz w:val="20"/>
          <w:szCs w:val="16"/>
          <w:lang w:val="en-US"/>
        </w:rPr>
        <w:t>deceased</w:t>
      </w:r>
      <w:r w:rsidR="00BC17B7" w:rsidRPr="00CF6765">
        <w:rPr>
          <w:sz w:val="20"/>
          <w:szCs w:val="16"/>
          <w:lang w:val="en-US"/>
        </w:rPr>
        <w:t>),</w:t>
      </w:r>
      <w:r w:rsidR="00EC50FC" w:rsidRPr="00CF6765">
        <w:rPr>
          <w:sz w:val="20"/>
          <w:szCs w:val="16"/>
          <w:lang w:val="en-US"/>
        </w:rPr>
        <w:t xml:space="preserve"> and</w:t>
      </w:r>
      <w:r w:rsidR="00671A8C" w:rsidRPr="00CF6765">
        <w:rPr>
          <w:sz w:val="20"/>
          <w:szCs w:val="16"/>
          <w:lang w:val="en-US"/>
        </w:rPr>
        <w:t xml:space="preserve"> his sons and </w:t>
      </w:r>
      <w:r w:rsidR="00B328D7" w:rsidRPr="00CF6765">
        <w:rPr>
          <w:sz w:val="20"/>
          <w:szCs w:val="16"/>
          <w:lang w:val="en-US"/>
        </w:rPr>
        <w:t>daughter</w:t>
      </w:r>
      <w:r w:rsidR="008F36CB" w:rsidRPr="00CF6765">
        <w:rPr>
          <w:sz w:val="20"/>
          <w:szCs w:val="16"/>
          <w:lang w:val="en-US"/>
        </w:rPr>
        <w:t xml:space="preserve">, </w:t>
      </w:r>
      <w:r w:rsidR="00BC17B7" w:rsidRPr="00CF6765">
        <w:rPr>
          <w:rFonts w:eastAsia="Calibri"/>
          <w:sz w:val="20"/>
          <w:szCs w:val="20"/>
          <w:lang w:val="en-US" w:eastAsia="en-US"/>
        </w:rPr>
        <w:t>Gonzalo Poblete Tapia</w:t>
      </w:r>
      <w:r w:rsidR="00BC17B7" w:rsidRPr="00CF6765">
        <w:rPr>
          <w:rFonts w:eastAsia="Calibri"/>
          <w:sz w:val="20"/>
          <w:szCs w:val="20"/>
          <w:lang w:val="en-US" w:eastAsia="es-ES"/>
        </w:rPr>
        <w:t xml:space="preserve"> (</w:t>
      </w:r>
      <w:r w:rsidR="00671A8C" w:rsidRPr="00CF6765">
        <w:rPr>
          <w:rFonts w:eastAsia="Calibri"/>
          <w:sz w:val="20"/>
          <w:szCs w:val="20"/>
          <w:lang w:val="en-US" w:eastAsia="es-ES"/>
        </w:rPr>
        <w:t>deceased</w:t>
      </w:r>
      <w:r w:rsidR="00BC17B7" w:rsidRPr="00CF6765">
        <w:rPr>
          <w:rFonts w:eastAsia="Calibri"/>
          <w:sz w:val="20"/>
          <w:szCs w:val="20"/>
          <w:lang w:val="en-US" w:eastAsia="es-ES"/>
        </w:rPr>
        <w:t>),</w:t>
      </w:r>
      <w:r w:rsidR="00E32C7B" w:rsidRPr="00CF6765">
        <w:rPr>
          <w:rFonts w:eastAsia="Calibri"/>
          <w:sz w:val="20"/>
          <w:szCs w:val="20"/>
          <w:lang w:val="en-US" w:eastAsia="es-ES"/>
        </w:rPr>
        <w:t xml:space="preserve"> </w:t>
      </w:r>
      <w:r w:rsidR="00BC17B7" w:rsidRPr="00CF6765">
        <w:rPr>
          <w:sz w:val="20"/>
          <w:szCs w:val="16"/>
          <w:lang w:val="en-US"/>
        </w:rPr>
        <w:t>Vinicio Marco Poblete Tapia</w:t>
      </w:r>
      <w:r w:rsidR="00EC50FC" w:rsidRPr="00CF6765">
        <w:rPr>
          <w:sz w:val="20"/>
          <w:szCs w:val="16"/>
          <w:lang w:val="en-US"/>
        </w:rPr>
        <w:t xml:space="preserve"> and </w:t>
      </w:r>
      <w:proofErr w:type="spellStart"/>
      <w:r w:rsidR="00BC17B7" w:rsidRPr="00CF6765">
        <w:rPr>
          <w:sz w:val="20"/>
          <w:szCs w:val="16"/>
          <w:lang w:val="en-US"/>
        </w:rPr>
        <w:t>Cesia</w:t>
      </w:r>
      <w:proofErr w:type="spellEnd"/>
      <w:r w:rsidR="00BC17B7" w:rsidRPr="00CF6765">
        <w:rPr>
          <w:sz w:val="20"/>
          <w:szCs w:val="16"/>
          <w:lang w:val="en-US"/>
        </w:rPr>
        <w:t xml:space="preserve"> Poblete Tapia.</w:t>
      </w:r>
    </w:p>
    <w:p w14:paraId="4376658D" w14:textId="77777777" w:rsidR="00BC17B7" w:rsidRPr="00CF6765" w:rsidRDefault="00BC17B7" w:rsidP="00BC17B7">
      <w:pPr>
        <w:tabs>
          <w:tab w:val="left" w:pos="567"/>
        </w:tabs>
        <w:rPr>
          <w:rFonts w:eastAsia="Calibri" w:cs="Arial"/>
          <w:sz w:val="20"/>
          <w:szCs w:val="20"/>
          <w:lang w:val="en-US"/>
        </w:rPr>
      </w:pPr>
    </w:p>
    <w:p w14:paraId="3022A791" w14:textId="37E6ED62" w:rsidR="006C37C9" w:rsidRPr="00CF6765" w:rsidRDefault="00671A8C" w:rsidP="00F3026E">
      <w:pPr>
        <w:numPr>
          <w:ilvl w:val="0"/>
          <w:numId w:val="2"/>
        </w:numPr>
        <w:tabs>
          <w:tab w:val="left" w:pos="567"/>
          <w:tab w:val="num" w:pos="12305"/>
        </w:tabs>
        <w:ind w:left="0" w:firstLine="0"/>
        <w:rPr>
          <w:rFonts w:eastAsia="Calibri" w:cs="Arial"/>
          <w:sz w:val="20"/>
          <w:szCs w:val="20"/>
          <w:lang w:val="en-US"/>
        </w:rPr>
      </w:pPr>
      <w:r w:rsidRPr="00CF6765">
        <w:rPr>
          <w:rFonts w:eastAsia="Verdana" w:cs="Verdana"/>
          <w:i/>
          <w:sz w:val="20"/>
          <w:szCs w:val="20"/>
          <w:lang w:val="en-US"/>
        </w:rPr>
        <w:t>Procedure before</w:t>
      </w:r>
      <w:r w:rsidR="006C37C9" w:rsidRPr="00CF6765">
        <w:rPr>
          <w:rFonts w:eastAsia="Verdana" w:cs="Verdana"/>
          <w:i/>
          <w:sz w:val="20"/>
          <w:szCs w:val="20"/>
          <w:lang w:val="en-US"/>
        </w:rPr>
        <w:t xml:space="preserve"> </w:t>
      </w:r>
      <w:r w:rsidR="005C731C" w:rsidRPr="00CF6765">
        <w:rPr>
          <w:rFonts w:eastAsia="Verdana" w:cs="Verdana"/>
          <w:i/>
          <w:sz w:val="20"/>
          <w:szCs w:val="20"/>
          <w:lang w:val="en-US"/>
        </w:rPr>
        <w:t>the Commission</w:t>
      </w:r>
      <w:r w:rsidR="006C37C9" w:rsidRPr="00CF6765">
        <w:rPr>
          <w:rFonts w:eastAsia="Verdana" w:cs="Verdana"/>
          <w:i/>
          <w:sz w:val="20"/>
          <w:szCs w:val="20"/>
          <w:lang w:val="en-US"/>
        </w:rPr>
        <w:t xml:space="preserve">. </w:t>
      </w:r>
      <w:r w:rsidRPr="00CF6765">
        <w:rPr>
          <w:rFonts w:eastAsia="Verdana" w:cs="Verdana"/>
          <w:sz w:val="20"/>
          <w:szCs w:val="20"/>
          <w:lang w:val="en-US"/>
        </w:rPr>
        <w:t>The procedure before the Commission was as follows</w:t>
      </w:r>
      <w:r w:rsidR="006C37C9" w:rsidRPr="00CF6765">
        <w:rPr>
          <w:rFonts w:eastAsia="Verdana" w:cs="Verdana"/>
          <w:sz w:val="20"/>
          <w:szCs w:val="20"/>
          <w:lang w:val="en-US"/>
        </w:rPr>
        <w:t>:</w:t>
      </w:r>
    </w:p>
    <w:p w14:paraId="3C833B3F" w14:textId="77777777" w:rsidR="006C37C9" w:rsidRPr="00CF6765" w:rsidRDefault="006C37C9" w:rsidP="007D7158">
      <w:pPr>
        <w:rPr>
          <w:rFonts w:eastAsia="Calibri"/>
          <w:sz w:val="20"/>
          <w:szCs w:val="20"/>
          <w:lang w:val="en-US"/>
        </w:rPr>
      </w:pPr>
    </w:p>
    <w:p w14:paraId="1184A400" w14:textId="277B6427" w:rsidR="006C37C9" w:rsidRPr="00CF6765" w:rsidRDefault="00671A8C" w:rsidP="007D7158">
      <w:pPr>
        <w:numPr>
          <w:ilvl w:val="0"/>
          <w:numId w:val="3"/>
        </w:numPr>
        <w:contextualSpacing/>
        <w:rPr>
          <w:rFonts w:eastAsia="Verdana" w:cs="Verdana"/>
          <w:sz w:val="20"/>
          <w:szCs w:val="20"/>
          <w:lang w:val="en-US"/>
        </w:rPr>
      </w:pPr>
      <w:r w:rsidRPr="00CF6765">
        <w:rPr>
          <w:rFonts w:eastAsia="Verdana" w:cs="Verdana"/>
          <w:i/>
          <w:sz w:val="20"/>
          <w:szCs w:val="20"/>
          <w:lang w:val="en-US"/>
        </w:rPr>
        <w:t>Petition</w:t>
      </w:r>
      <w:r w:rsidR="006C37C9" w:rsidRPr="00CF6765">
        <w:rPr>
          <w:rFonts w:eastAsia="Verdana" w:cs="Verdana"/>
          <w:i/>
          <w:sz w:val="20"/>
          <w:szCs w:val="20"/>
          <w:lang w:val="en-US"/>
        </w:rPr>
        <w:t xml:space="preserve">. </w:t>
      </w:r>
      <w:r w:rsidRPr="00CF6765">
        <w:rPr>
          <w:rFonts w:eastAsia="Verdana" w:cs="Verdana"/>
          <w:sz w:val="20"/>
          <w:szCs w:val="20"/>
          <w:lang w:val="en-US"/>
        </w:rPr>
        <w:t>On May 15,</w:t>
      </w:r>
      <w:r w:rsidR="00F14674" w:rsidRPr="00CF6765">
        <w:rPr>
          <w:rFonts w:eastAsia="Verdana" w:cs="Verdana"/>
          <w:sz w:val="20"/>
          <w:szCs w:val="20"/>
          <w:lang w:val="en-US"/>
        </w:rPr>
        <w:t xml:space="preserve"> 2002</w:t>
      </w:r>
      <w:r w:rsidRPr="00CF6765">
        <w:rPr>
          <w:rFonts w:eastAsia="Verdana" w:cs="Verdana"/>
          <w:sz w:val="20"/>
          <w:szCs w:val="20"/>
          <w:lang w:val="en-US"/>
        </w:rPr>
        <w:t>,</w:t>
      </w:r>
      <w:r w:rsidR="00F14674" w:rsidRPr="00CF6765">
        <w:rPr>
          <w:rFonts w:eastAsia="Verdana" w:cs="Verdana"/>
          <w:sz w:val="20"/>
          <w:szCs w:val="20"/>
          <w:lang w:val="en-US"/>
        </w:rPr>
        <w:t xml:space="preserve"> </w:t>
      </w:r>
      <w:r w:rsidR="004E1443" w:rsidRPr="00CF6765">
        <w:rPr>
          <w:rFonts w:eastAsia="Verdana" w:cs="Verdana"/>
          <w:sz w:val="20"/>
          <w:szCs w:val="20"/>
          <w:lang w:val="en-US"/>
        </w:rPr>
        <w:t xml:space="preserve">Blanca Margarita Tapia </w:t>
      </w:r>
      <w:proofErr w:type="spellStart"/>
      <w:r w:rsidR="004E1443" w:rsidRPr="00CF6765">
        <w:rPr>
          <w:rFonts w:eastAsia="Verdana" w:cs="Verdana"/>
          <w:sz w:val="20"/>
          <w:szCs w:val="20"/>
          <w:lang w:val="en-US"/>
        </w:rPr>
        <w:t>Encina</w:t>
      </w:r>
      <w:proofErr w:type="spellEnd"/>
      <w:r w:rsidR="001736E4" w:rsidRPr="00CF6765">
        <w:rPr>
          <w:rFonts w:eastAsia="Verdana" w:cs="Verdana"/>
          <w:sz w:val="20"/>
          <w:szCs w:val="20"/>
          <w:lang w:val="en-US"/>
        </w:rPr>
        <w:t xml:space="preserve">, </w:t>
      </w:r>
      <w:proofErr w:type="spellStart"/>
      <w:r w:rsidR="004E1443" w:rsidRPr="00CF6765">
        <w:rPr>
          <w:rFonts w:eastAsia="Verdana" w:cs="Verdana"/>
          <w:sz w:val="20"/>
          <w:szCs w:val="20"/>
          <w:lang w:val="en-US"/>
        </w:rPr>
        <w:t>Cesia</w:t>
      </w:r>
      <w:proofErr w:type="spellEnd"/>
      <w:r w:rsidR="004E1443" w:rsidRPr="00CF6765">
        <w:rPr>
          <w:rFonts w:eastAsia="Verdana" w:cs="Verdana"/>
          <w:sz w:val="20"/>
          <w:szCs w:val="20"/>
          <w:lang w:val="en-US"/>
        </w:rPr>
        <w:t xml:space="preserve"> Leyla Poblete Tapia</w:t>
      </w:r>
      <w:r w:rsidR="00EC50FC" w:rsidRPr="00CF6765">
        <w:rPr>
          <w:rFonts w:eastAsia="Verdana" w:cs="Verdana"/>
          <w:sz w:val="20"/>
          <w:szCs w:val="20"/>
          <w:lang w:val="en-US"/>
        </w:rPr>
        <w:t xml:space="preserve"> and</w:t>
      </w:r>
      <w:r w:rsidR="004E1443" w:rsidRPr="00CF6765">
        <w:rPr>
          <w:rFonts w:eastAsia="Verdana" w:cs="Verdana"/>
          <w:sz w:val="20"/>
          <w:szCs w:val="20"/>
          <w:lang w:val="en-US"/>
        </w:rPr>
        <w:t xml:space="preserve"> Vinicio Antonio Poblete Tapia </w:t>
      </w:r>
      <w:r w:rsidR="006C37C9" w:rsidRPr="00CF6765">
        <w:rPr>
          <w:rFonts w:eastAsia="Verdana" w:cs="Verdana"/>
          <w:sz w:val="20"/>
          <w:szCs w:val="20"/>
          <w:lang w:val="en-US"/>
        </w:rPr>
        <w:t>(</w:t>
      </w:r>
      <w:r w:rsidR="005C731C" w:rsidRPr="00CF6765">
        <w:rPr>
          <w:rFonts w:eastAsia="Verdana" w:cs="Verdana"/>
          <w:sz w:val="20"/>
          <w:szCs w:val="20"/>
          <w:lang w:val="en-US"/>
        </w:rPr>
        <w:t>hereinafter</w:t>
      </w:r>
      <w:r w:rsidR="006C37C9" w:rsidRPr="00CF6765">
        <w:rPr>
          <w:rFonts w:eastAsia="Verdana" w:cs="Verdana"/>
          <w:sz w:val="20"/>
          <w:szCs w:val="20"/>
          <w:lang w:val="en-US"/>
        </w:rPr>
        <w:t xml:space="preserve"> “</w:t>
      </w:r>
      <w:r w:rsidRPr="00CF6765">
        <w:rPr>
          <w:rFonts w:eastAsia="Verdana" w:cs="Verdana"/>
          <w:sz w:val="20"/>
          <w:szCs w:val="20"/>
          <w:lang w:val="en-US"/>
        </w:rPr>
        <w:t>the petitioners</w:t>
      </w:r>
      <w:r w:rsidR="006C37C9" w:rsidRPr="00CF6765">
        <w:rPr>
          <w:rFonts w:eastAsia="Verdana" w:cs="Verdana"/>
          <w:sz w:val="20"/>
          <w:szCs w:val="20"/>
          <w:lang w:val="en-US"/>
        </w:rPr>
        <w:t>”</w:t>
      </w:r>
      <w:r w:rsidR="004E1443" w:rsidRPr="00CF6765">
        <w:rPr>
          <w:rFonts w:eastAsia="Verdana" w:cs="Verdana"/>
          <w:sz w:val="20"/>
          <w:szCs w:val="20"/>
          <w:lang w:val="en-US"/>
        </w:rPr>
        <w:t xml:space="preserve">) </w:t>
      </w:r>
      <w:r w:rsidRPr="00CF6765">
        <w:rPr>
          <w:rFonts w:eastAsia="Verdana" w:cs="Verdana"/>
          <w:sz w:val="20"/>
          <w:szCs w:val="20"/>
          <w:lang w:val="en-US"/>
        </w:rPr>
        <w:t>lodged the initial</w:t>
      </w:r>
      <w:r w:rsidR="006C37C9" w:rsidRPr="00CF6765">
        <w:rPr>
          <w:rFonts w:eastAsia="Verdana" w:cs="Verdana"/>
          <w:sz w:val="20"/>
          <w:szCs w:val="20"/>
          <w:lang w:val="en-US"/>
        </w:rPr>
        <w:t xml:space="preserve"> </w:t>
      </w:r>
      <w:r w:rsidRPr="00CF6765">
        <w:rPr>
          <w:rFonts w:eastAsia="Verdana" w:cs="Verdana"/>
          <w:sz w:val="20"/>
          <w:szCs w:val="20"/>
          <w:lang w:val="en-US"/>
        </w:rPr>
        <w:t>petition</w:t>
      </w:r>
      <w:r w:rsidR="006C37C9" w:rsidRPr="00CF6765">
        <w:rPr>
          <w:rFonts w:eastAsia="Verdana" w:cs="Verdana"/>
          <w:sz w:val="20"/>
          <w:szCs w:val="20"/>
          <w:lang w:val="en-US"/>
        </w:rPr>
        <w:t xml:space="preserve"> </w:t>
      </w:r>
      <w:r w:rsidRPr="00CF6765">
        <w:rPr>
          <w:rFonts w:eastAsia="Verdana" w:cs="Verdana"/>
          <w:sz w:val="20"/>
          <w:szCs w:val="20"/>
          <w:lang w:val="en-US"/>
        </w:rPr>
        <w:t>before</w:t>
      </w:r>
      <w:r w:rsidR="006C37C9" w:rsidRPr="00CF6765">
        <w:rPr>
          <w:rFonts w:eastAsia="Verdana" w:cs="Verdana"/>
          <w:sz w:val="20"/>
          <w:szCs w:val="20"/>
          <w:lang w:val="en-US"/>
        </w:rPr>
        <w:t xml:space="preserve"> </w:t>
      </w:r>
      <w:r w:rsidR="005C731C" w:rsidRPr="00CF6765">
        <w:rPr>
          <w:rFonts w:eastAsia="Verdana" w:cs="Verdana"/>
          <w:sz w:val="20"/>
          <w:szCs w:val="20"/>
          <w:lang w:val="en-US"/>
        </w:rPr>
        <w:t>the Commission</w:t>
      </w:r>
      <w:r w:rsidR="000F5ADD" w:rsidRPr="00CF6765">
        <w:rPr>
          <w:rFonts w:eastAsia="Verdana" w:cs="Verdana"/>
          <w:sz w:val="20"/>
          <w:szCs w:val="20"/>
          <w:lang w:val="en-US"/>
        </w:rPr>
        <w:t xml:space="preserve"> </w:t>
      </w:r>
      <w:r w:rsidRPr="00CF6765">
        <w:rPr>
          <w:rFonts w:eastAsia="Verdana" w:cs="Verdana"/>
          <w:sz w:val="20"/>
          <w:szCs w:val="20"/>
          <w:lang w:val="en-US"/>
        </w:rPr>
        <w:t xml:space="preserve">in which they alleged that Chile was </w:t>
      </w:r>
      <w:r w:rsidR="00B328D7" w:rsidRPr="00CF6765">
        <w:rPr>
          <w:rFonts w:eastAsia="Verdana" w:cs="Verdana"/>
          <w:sz w:val="20"/>
          <w:szCs w:val="20"/>
          <w:lang w:val="en-US"/>
        </w:rPr>
        <w:t>internationally</w:t>
      </w:r>
      <w:r w:rsidRPr="00CF6765">
        <w:rPr>
          <w:rFonts w:eastAsia="Verdana" w:cs="Verdana"/>
          <w:sz w:val="20"/>
          <w:szCs w:val="20"/>
          <w:lang w:val="en-US"/>
        </w:rPr>
        <w:t xml:space="preserve"> </w:t>
      </w:r>
      <w:r w:rsidR="00B328D7" w:rsidRPr="00CF6765">
        <w:rPr>
          <w:rFonts w:eastAsia="Verdana" w:cs="Verdana"/>
          <w:sz w:val="20"/>
          <w:szCs w:val="20"/>
          <w:lang w:val="en-US"/>
        </w:rPr>
        <w:t>responsible</w:t>
      </w:r>
      <w:r w:rsidRPr="00CF6765">
        <w:rPr>
          <w:rFonts w:eastAsia="Verdana" w:cs="Verdana"/>
          <w:sz w:val="20"/>
          <w:szCs w:val="20"/>
          <w:lang w:val="en-US"/>
        </w:rPr>
        <w:t xml:space="preserve"> </w:t>
      </w:r>
      <w:r w:rsidR="00BB4040" w:rsidRPr="00CF6765">
        <w:rPr>
          <w:rFonts w:eastAsia="Verdana" w:cs="Verdana"/>
          <w:sz w:val="20"/>
          <w:szCs w:val="20"/>
          <w:lang w:val="en-US"/>
        </w:rPr>
        <w:t>for</w:t>
      </w:r>
      <w:r w:rsidRPr="00CF6765">
        <w:rPr>
          <w:rFonts w:eastAsia="Verdana" w:cs="Verdana"/>
          <w:sz w:val="20"/>
          <w:szCs w:val="20"/>
          <w:lang w:val="en-US"/>
        </w:rPr>
        <w:t xml:space="preserve"> the death of </w:t>
      </w:r>
      <w:r w:rsidR="004E1443" w:rsidRPr="00CF6765">
        <w:rPr>
          <w:rFonts w:eastAsia="Verdana" w:cs="Verdana"/>
          <w:sz w:val="20"/>
          <w:szCs w:val="20"/>
          <w:lang w:val="en-US"/>
        </w:rPr>
        <w:t xml:space="preserve">Vinicio Antonio Poblete </w:t>
      </w:r>
      <w:proofErr w:type="spellStart"/>
      <w:r w:rsidR="004E1443" w:rsidRPr="00CF6765">
        <w:rPr>
          <w:rFonts w:eastAsia="Verdana" w:cs="Verdana"/>
          <w:sz w:val="20"/>
          <w:szCs w:val="20"/>
          <w:lang w:val="en-US"/>
        </w:rPr>
        <w:t>Vilches</w:t>
      </w:r>
      <w:proofErr w:type="spellEnd"/>
      <w:r w:rsidR="004E1443" w:rsidRPr="00CF6765">
        <w:rPr>
          <w:rFonts w:eastAsia="Verdana" w:cs="Verdana"/>
          <w:sz w:val="20"/>
          <w:szCs w:val="20"/>
          <w:lang w:val="en-US"/>
        </w:rPr>
        <w:t xml:space="preserve">, </w:t>
      </w:r>
      <w:r w:rsidRPr="00CF6765">
        <w:rPr>
          <w:rFonts w:eastAsia="Verdana" w:cs="Verdana"/>
          <w:sz w:val="20"/>
          <w:szCs w:val="20"/>
          <w:lang w:val="en-US"/>
        </w:rPr>
        <w:t>on</w:t>
      </w:r>
      <w:r w:rsidR="004E1443" w:rsidRPr="00CF6765">
        <w:rPr>
          <w:rFonts w:eastAsia="Verdana" w:cs="Verdana"/>
          <w:sz w:val="20"/>
          <w:szCs w:val="20"/>
          <w:lang w:val="en-US"/>
        </w:rPr>
        <w:t xml:space="preserve"> </w:t>
      </w:r>
      <w:r w:rsidRPr="00CF6765">
        <w:rPr>
          <w:rFonts w:eastAsia="Verdana" w:cs="Verdana"/>
          <w:sz w:val="20"/>
          <w:szCs w:val="20"/>
          <w:lang w:val="en-US"/>
        </w:rPr>
        <w:t>February 7,</w:t>
      </w:r>
      <w:r w:rsidR="004E1443" w:rsidRPr="00CF6765">
        <w:rPr>
          <w:rFonts w:eastAsia="Verdana" w:cs="Verdana"/>
          <w:sz w:val="20"/>
          <w:szCs w:val="20"/>
          <w:lang w:val="en-US"/>
        </w:rPr>
        <w:t xml:space="preserve"> 2001</w:t>
      </w:r>
      <w:r w:rsidRPr="00CF6765">
        <w:rPr>
          <w:rFonts w:eastAsia="Verdana" w:cs="Verdana"/>
          <w:sz w:val="20"/>
          <w:szCs w:val="20"/>
          <w:lang w:val="en-US"/>
        </w:rPr>
        <w:t>,</w:t>
      </w:r>
      <w:r w:rsidR="004E1443" w:rsidRPr="00CF6765">
        <w:rPr>
          <w:rFonts w:eastAsia="Verdana" w:cs="Verdana"/>
          <w:sz w:val="20"/>
          <w:szCs w:val="20"/>
          <w:lang w:val="en-US"/>
        </w:rPr>
        <w:t xml:space="preserve"> </w:t>
      </w:r>
      <w:r w:rsidRPr="00CF6765">
        <w:rPr>
          <w:rFonts w:eastAsia="Verdana" w:cs="Verdana"/>
          <w:sz w:val="20"/>
          <w:szCs w:val="20"/>
          <w:lang w:val="en-US"/>
        </w:rPr>
        <w:t>i</w:t>
      </w:r>
      <w:r w:rsidR="004E1443" w:rsidRPr="00CF6765">
        <w:rPr>
          <w:rFonts w:eastAsia="Verdana" w:cs="Verdana"/>
          <w:sz w:val="20"/>
          <w:szCs w:val="20"/>
          <w:lang w:val="en-US"/>
        </w:rPr>
        <w:t xml:space="preserve">n </w:t>
      </w:r>
      <w:r w:rsidRPr="00CF6765">
        <w:rPr>
          <w:rFonts w:eastAsia="Verdana" w:cs="Verdana"/>
          <w:sz w:val="20"/>
          <w:szCs w:val="20"/>
          <w:lang w:val="en-US"/>
        </w:rPr>
        <w:t>a Santiago public hospital</w:t>
      </w:r>
      <w:r w:rsidR="000F5ADD" w:rsidRPr="00CF6765">
        <w:rPr>
          <w:rFonts w:eastAsia="Verdana" w:cs="Verdana"/>
          <w:sz w:val="20"/>
          <w:szCs w:val="20"/>
          <w:lang w:val="en-US"/>
        </w:rPr>
        <w:t>.</w:t>
      </w:r>
      <w:r w:rsidR="004D7E7A" w:rsidRPr="00CF6765">
        <w:rPr>
          <w:rFonts w:eastAsia="Verdana" w:cs="Verdana"/>
          <w:sz w:val="20"/>
          <w:szCs w:val="20"/>
          <w:lang w:val="en-US"/>
        </w:rPr>
        <w:t xml:space="preserve"> </w:t>
      </w:r>
    </w:p>
    <w:p w14:paraId="28944BC0" w14:textId="0E63F223" w:rsidR="006C37C9" w:rsidRPr="00CF6765" w:rsidRDefault="006C37C9" w:rsidP="007D7158">
      <w:pPr>
        <w:ind w:left="818"/>
        <w:contextualSpacing/>
        <w:rPr>
          <w:rFonts w:eastAsia="Verdana" w:cs="Verdana"/>
          <w:sz w:val="20"/>
          <w:szCs w:val="20"/>
          <w:lang w:val="en-US"/>
        </w:rPr>
      </w:pPr>
    </w:p>
    <w:p w14:paraId="5C2ABD9F" w14:textId="28F927B8" w:rsidR="006C37C9" w:rsidRPr="00CF6765" w:rsidRDefault="00EC50FC" w:rsidP="007D7158">
      <w:pPr>
        <w:numPr>
          <w:ilvl w:val="0"/>
          <w:numId w:val="3"/>
        </w:numPr>
        <w:contextualSpacing/>
        <w:rPr>
          <w:rFonts w:eastAsia="Verdana" w:cs="Verdana"/>
          <w:sz w:val="20"/>
          <w:szCs w:val="20"/>
          <w:lang w:val="en-US"/>
        </w:rPr>
      </w:pPr>
      <w:r w:rsidRPr="00CF6765">
        <w:rPr>
          <w:rFonts w:eastAsia="Verdana" w:cs="Verdana"/>
          <w:i/>
          <w:sz w:val="20"/>
          <w:szCs w:val="20"/>
          <w:lang w:val="en-US"/>
        </w:rPr>
        <w:t>Admissibility Report</w:t>
      </w:r>
      <w:r w:rsidR="006C37C9" w:rsidRPr="00CF6765">
        <w:rPr>
          <w:rFonts w:eastAsia="Verdana" w:cs="Verdana"/>
          <w:i/>
          <w:sz w:val="20"/>
          <w:szCs w:val="20"/>
          <w:lang w:val="en-US"/>
        </w:rPr>
        <w:t xml:space="preserve">. </w:t>
      </w:r>
      <w:r w:rsidR="00671A8C" w:rsidRPr="00CF6765">
        <w:rPr>
          <w:rFonts w:eastAsia="Verdana" w:cs="Verdana"/>
          <w:sz w:val="20"/>
          <w:szCs w:val="20"/>
          <w:lang w:val="en-US"/>
        </w:rPr>
        <w:t>On March 19,</w:t>
      </w:r>
      <w:r w:rsidR="000F5ADD" w:rsidRPr="00CF6765">
        <w:rPr>
          <w:rFonts w:eastAsia="Verdana" w:cs="Verdana"/>
          <w:sz w:val="20"/>
          <w:szCs w:val="20"/>
          <w:lang w:val="en-US"/>
        </w:rPr>
        <w:t xml:space="preserve"> 2009</w:t>
      </w:r>
      <w:r w:rsidR="00671A8C" w:rsidRPr="00CF6765">
        <w:rPr>
          <w:rFonts w:eastAsia="Verdana" w:cs="Verdana"/>
          <w:sz w:val="20"/>
          <w:szCs w:val="20"/>
          <w:lang w:val="en-US"/>
        </w:rPr>
        <w:t>,</w:t>
      </w:r>
      <w:r w:rsidR="006C37C9" w:rsidRPr="00CF6765">
        <w:rPr>
          <w:rFonts w:eastAsia="Verdana" w:cs="Verdana"/>
          <w:sz w:val="20"/>
          <w:szCs w:val="20"/>
          <w:lang w:val="en-US"/>
        </w:rPr>
        <w:t xml:space="preserve"> </w:t>
      </w:r>
      <w:r w:rsidR="005C731C" w:rsidRPr="00CF6765">
        <w:rPr>
          <w:rFonts w:eastAsia="Verdana" w:cs="Verdana"/>
          <w:sz w:val="20"/>
          <w:szCs w:val="20"/>
          <w:lang w:val="en-US"/>
        </w:rPr>
        <w:t>the Commission</w:t>
      </w:r>
      <w:r w:rsidR="006C37C9" w:rsidRPr="00CF6765">
        <w:rPr>
          <w:rFonts w:eastAsia="Verdana" w:cs="Verdana"/>
          <w:sz w:val="20"/>
          <w:szCs w:val="20"/>
          <w:lang w:val="en-US"/>
        </w:rPr>
        <w:t xml:space="preserve"> </w:t>
      </w:r>
      <w:r w:rsidR="00671A8C" w:rsidRPr="00CF6765">
        <w:rPr>
          <w:rFonts w:eastAsia="Verdana" w:cs="Verdana"/>
          <w:sz w:val="20"/>
          <w:szCs w:val="20"/>
          <w:lang w:val="en-US"/>
        </w:rPr>
        <w:t>adopted</w:t>
      </w:r>
      <w:r w:rsidR="006C37C9" w:rsidRPr="00CF6765">
        <w:rPr>
          <w:rFonts w:eastAsia="Verdana" w:cs="Verdana"/>
          <w:sz w:val="20"/>
          <w:szCs w:val="20"/>
          <w:lang w:val="en-US"/>
        </w:rPr>
        <w:t xml:space="preserve"> </w:t>
      </w:r>
      <w:r w:rsidRPr="00CF6765">
        <w:rPr>
          <w:rFonts w:eastAsia="Verdana" w:cs="Verdana"/>
          <w:sz w:val="20"/>
          <w:szCs w:val="20"/>
          <w:lang w:val="en-US"/>
        </w:rPr>
        <w:t>Admissibility Report</w:t>
      </w:r>
      <w:r w:rsidR="006C37C9" w:rsidRPr="00CF6765">
        <w:rPr>
          <w:rFonts w:eastAsia="Verdana" w:cs="Verdana"/>
          <w:position w:val="-1"/>
          <w:sz w:val="20"/>
          <w:szCs w:val="20"/>
          <w:lang w:val="en-US"/>
        </w:rPr>
        <w:t xml:space="preserve"> No. </w:t>
      </w:r>
      <w:r w:rsidR="004E1443" w:rsidRPr="00CF6765">
        <w:rPr>
          <w:rFonts w:eastAsia="Verdana" w:cs="Verdana"/>
          <w:position w:val="-1"/>
          <w:sz w:val="20"/>
          <w:szCs w:val="20"/>
          <w:lang w:val="en-US"/>
        </w:rPr>
        <w:t>1</w:t>
      </w:r>
      <w:r w:rsidR="000F5ADD" w:rsidRPr="00CF6765">
        <w:rPr>
          <w:rFonts w:eastAsia="Verdana" w:cs="Verdana"/>
          <w:position w:val="-1"/>
          <w:sz w:val="20"/>
          <w:szCs w:val="20"/>
          <w:lang w:val="en-US"/>
        </w:rPr>
        <w:t>3/09</w:t>
      </w:r>
      <w:r w:rsidR="006C37C9" w:rsidRPr="00CF6765">
        <w:rPr>
          <w:rFonts w:eastAsia="Verdana" w:cs="Verdana"/>
          <w:position w:val="-1"/>
          <w:sz w:val="20"/>
          <w:szCs w:val="20"/>
          <w:lang w:val="en-US"/>
        </w:rPr>
        <w:t xml:space="preserve"> </w:t>
      </w:r>
      <w:r w:rsidR="00671A8C" w:rsidRPr="00CF6765">
        <w:rPr>
          <w:rFonts w:eastAsia="Verdana" w:cs="Verdana"/>
          <w:position w:val="-1"/>
          <w:sz w:val="20"/>
          <w:szCs w:val="20"/>
          <w:lang w:val="en-US"/>
        </w:rPr>
        <w:t xml:space="preserve">in which it concluded that </w:t>
      </w:r>
      <w:r w:rsidR="00671A8C" w:rsidRPr="00CF6765">
        <w:rPr>
          <w:rFonts w:cs="Verdana"/>
          <w:sz w:val="20"/>
          <w:szCs w:val="20"/>
          <w:lang w:val="en-US"/>
        </w:rPr>
        <w:t>petition</w:t>
      </w:r>
      <w:r w:rsidR="006C37C9" w:rsidRPr="00CF6765">
        <w:rPr>
          <w:rFonts w:cs="Verdana"/>
          <w:sz w:val="20"/>
          <w:szCs w:val="20"/>
          <w:lang w:val="en-US"/>
        </w:rPr>
        <w:t xml:space="preserve"> </w:t>
      </w:r>
      <w:r w:rsidR="004E1443" w:rsidRPr="00CF6765">
        <w:rPr>
          <w:rFonts w:cs="Verdana"/>
          <w:sz w:val="20"/>
          <w:szCs w:val="20"/>
          <w:lang w:val="en-US"/>
        </w:rPr>
        <w:t>339</w:t>
      </w:r>
      <w:r w:rsidR="003A6303" w:rsidRPr="00CF6765">
        <w:rPr>
          <w:rFonts w:cs="Verdana"/>
          <w:sz w:val="20"/>
          <w:szCs w:val="20"/>
          <w:lang w:val="en-US"/>
        </w:rPr>
        <w:t>-02</w:t>
      </w:r>
      <w:r w:rsidR="006C37C9" w:rsidRPr="00CF6765">
        <w:rPr>
          <w:rFonts w:cs="Verdana"/>
          <w:sz w:val="20"/>
          <w:szCs w:val="20"/>
          <w:lang w:val="en-US"/>
        </w:rPr>
        <w:t xml:space="preserve"> </w:t>
      </w:r>
      <w:r w:rsidR="00671A8C" w:rsidRPr="00CF6765">
        <w:rPr>
          <w:rFonts w:cs="Verdana"/>
          <w:sz w:val="20"/>
          <w:szCs w:val="20"/>
          <w:lang w:val="en-US"/>
        </w:rPr>
        <w:t>was admissible.</w:t>
      </w:r>
      <w:r w:rsidR="006C37C9" w:rsidRPr="00CF6765">
        <w:rPr>
          <w:rStyle w:val="Refdenotaalpie"/>
          <w:rFonts w:eastAsia="Verdana" w:cs="Verdana"/>
          <w:position w:val="-1"/>
          <w:sz w:val="20"/>
          <w:szCs w:val="20"/>
          <w:lang w:val="en-US"/>
        </w:rPr>
        <w:footnoteReference w:id="5"/>
      </w:r>
      <w:r w:rsidR="004D7E7A" w:rsidRPr="00CF6765">
        <w:rPr>
          <w:rFonts w:eastAsia="Verdana" w:cs="Verdana"/>
          <w:position w:val="-1"/>
          <w:sz w:val="20"/>
          <w:szCs w:val="20"/>
          <w:lang w:val="en-US"/>
        </w:rPr>
        <w:t xml:space="preserve"> </w:t>
      </w:r>
    </w:p>
    <w:p w14:paraId="6EB9516E" w14:textId="77777777" w:rsidR="006C37C9" w:rsidRPr="00CF6765" w:rsidRDefault="006C37C9" w:rsidP="007D7158">
      <w:pPr>
        <w:ind w:left="818"/>
        <w:contextualSpacing/>
        <w:rPr>
          <w:rFonts w:eastAsia="Verdana" w:cs="Verdana"/>
          <w:sz w:val="20"/>
          <w:szCs w:val="20"/>
          <w:lang w:val="en-US"/>
        </w:rPr>
      </w:pPr>
    </w:p>
    <w:p w14:paraId="5675CC8A" w14:textId="448B04F5" w:rsidR="006C37C9" w:rsidRPr="00CF6765" w:rsidRDefault="00EC50FC" w:rsidP="007D7158">
      <w:pPr>
        <w:numPr>
          <w:ilvl w:val="0"/>
          <w:numId w:val="3"/>
        </w:numPr>
        <w:contextualSpacing/>
        <w:rPr>
          <w:rFonts w:eastAsia="Verdana" w:cs="Verdana"/>
          <w:sz w:val="20"/>
          <w:szCs w:val="20"/>
          <w:lang w:val="en-US"/>
        </w:rPr>
      </w:pPr>
      <w:r w:rsidRPr="00CF6765">
        <w:rPr>
          <w:rFonts w:eastAsia="Verdana" w:cs="Verdana"/>
          <w:i/>
          <w:sz w:val="20"/>
          <w:szCs w:val="20"/>
          <w:lang w:val="en-US"/>
        </w:rPr>
        <w:t>Merits Report</w:t>
      </w:r>
      <w:r w:rsidR="006C37C9" w:rsidRPr="00CF6765">
        <w:rPr>
          <w:rFonts w:eastAsia="Verdana" w:cs="Verdana"/>
          <w:i/>
          <w:sz w:val="20"/>
          <w:szCs w:val="20"/>
          <w:lang w:val="en-US"/>
        </w:rPr>
        <w:t xml:space="preserve">. </w:t>
      </w:r>
      <w:r w:rsidR="00671A8C" w:rsidRPr="00CF6765">
        <w:rPr>
          <w:rFonts w:eastAsia="Verdana" w:cs="Verdana"/>
          <w:sz w:val="20"/>
          <w:szCs w:val="20"/>
          <w:lang w:val="en-US"/>
        </w:rPr>
        <w:t>On April 13,</w:t>
      </w:r>
      <w:r w:rsidR="003A6303" w:rsidRPr="00CF6765">
        <w:rPr>
          <w:rFonts w:eastAsia="Verdana" w:cs="Verdana"/>
          <w:sz w:val="20"/>
          <w:szCs w:val="20"/>
          <w:lang w:val="en-US"/>
        </w:rPr>
        <w:t xml:space="preserve"> 2016</w:t>
      </w:r>
      <w:r w:rsidR="00671A8C" w:rsidRPr="00CF6765">
        <w:rPr>
          <w:rFonts w:eastAsia="Verdana" w:cs="Verdana"/>
          <w:sz w:val="20"/>
          <w:szCs w:val="20"/>
          <w:lang w:val="en-US"/>
        </w:rPr>
        <w:t>,</w:t>
      </w:r>
      <w:r w:rsidR="006C37C9" w:rsidRPr="00CF6765">
        <w:rPr>
          <w:rFonts w:eastAsia="Verdana" w:cs="Verdana"/>
          <w:sz w:val="20"/>
          <w:szCs w:val="20"/>
          <w:lang w:val="en-US"/>
        </w:rPr>
        <w:t xml:space="preserve"> </w:t>
      </w:r>
      <w:r w:rsidR="005C731C" w:rsidRPr="00CF6765">
        <w:rPr>
          <w:rFonts w:eastAsia="Verdana" w:cs="Verdana"/>
          <w:sz w:val="20"/>
          <w:szCs w:val="20"/>
          <w:lang w:val="en-US"/>
        </w:rPr>
        <w:t>the Commission</w:t>
      </w:r>
      <w:r w:rsidR="006C37C9" w:rsidRPr="00CF6765">
        <w:rPr>
          <w:rFonts w:eastAsia="Verdana" w:cs="Verdana"/>
          <w:sz w:val="20"/>
          <w:szCs w:val="20"/>
          <w:lang w:val="en-US"/>
        </w:rPr>
        <w:t xml:space="preserve"> </w:t>
      </w:r>
      <w:r w:rsidR="00671A8C" w:rsidRPr="00CF6765">
        <w:rPr>
          <w:rFonts w:eastAsia="Verdana" w:cs="Verdana"/>
          <w:sz w:val="20"/>
          <w:szCs w:val="20"/>
          <w:lang w:val="en-US"/>
        </w:rPr>
        <w:t>adopted</w:t>
      </w:r>
      <w:r w:rsidR="006C37C9" w:rsidRPr="00CF6765">
        <w:rPr>
          <w:rFonts w:eastAsia="Verdana" w:cs="Verdana"/>
          <w:sz w:val="20"/>
          <w:szCs w:val="20"/>
          <w:lang w:val="en-US"/>
        </w:rPr>
        <w:t xml:space="preserve"> </w:t>
      </w:r>
      <w:r w:rsidRPr="00CF6765">
        <w:rPr>
          <w:rFonts w:eastAsia="Verdana" w:cs="Verdana"/>
          <w:sz w:val="20"/>
          <w:szCs w:val="20"/>
          <w:lang w:val="en-US"/>
        </w:rPr>
        <w:t>Merits Report</w:t>
      </w:r>
      <w:r w:rsidR="006C37C9" w:rsidRPr="00CF6765">
        <w:rPr>
          <w:rFonts w:eastAsia="Verdana" w:cs="Verdana"/>
          <w:sz w:val="20"/>
          <w:szCs w:val="20"/>
          <w:lang w:val="en-US"/>
        </w:rPr>
        <w:t xml:space="preserve"> No. </w:t>
      </w:r>
      <w:r w:rsidR="004D7E7A" w:rsidRPr="00CF6765">
        <w:rPr>
          <w:rFonts w:eastAsia="Verdana" w:cs="Verdana"/>
          <w:sz w:val="20"/>
          <w:szCs w:val="20"/>
          <w:lang w:val="en-US"/>
        </w:rPr>
        <w:t>1</w:t>
      </w:r>
      <w:r w:rsidR="003A6303" w:rsidRPr="00CF6765">
        <w:rPr>
          <w:rFonts w:eastAsia="Verdana" w:cs="Verdana"/>
          <w:sz w:val="20"/>
          <w:szCs w:val="20"/>
          <w:lang w:val="en-US"/>
        </w:rPr>
        <w:t>/16</w:t>
      </w:r>
      <w:r w:rsidR="006C37C9" w:rsidRPr="00CF6765">
        <w:rPr>
          <w:rFonts w:eastAsia="Verdana" w:cs="Verdana"/>
          <w:sz w:val="20"/>
          <w:szCs w:val="20"/>
          <w:lang w:val="en-US"/>
        </w:rPr>
        <w:t xml:space="preserve">, </w:t>
      </w:r>
      <w:r w:rsidR="00671A8C" w:rsidRPr="00CF6765">
        <w:rPr>
          <w:rFonts w:eastAsia="Verdana" w:cs="Verdana"/>
          <w:sz w:val="20"/>
          <w:szCs w:val="20"/>
          <w:lang w:val="en-US"/>
        </w:rPr>
        <w:t xml:space="preserve">pursuant to </w:t>
      </w:r>
      <w:r w:rsidR="005C731C" w:rsidRPr="00CF6765">
        <w:rPr>
          <w:rFonts w:eastAsia="Verdana" w:cs="Verdana"/>
          <w:sz w:val="20"/>
          <w:szCs w:val="20"/>
          <w:lang w:val="en-US"/>
        </w:rPr>
        <w:t>Article</w:t>
      </w:r>
      <w:r w:rsidR="006C37C9" w:rsidRPr="00CF6765">
        <w:rPr>
          <w:rFonts w:eastAsia="Verdana" w:cs="Verdana"/>
          <w:sz w:val="20"/>
          <w:szCs w:val="20"/>
          <w:lang w:val="en-US"/>
        </w:rPr>
        <w:t xml:space="preserve"> 50</w:t>
      </w:r>
      <w:r w:rsidR="005C731C" w:rsidRPr="00CF6765">
        <w:rPr>
          <w:rFonts w:eastAsia="Verdana" w:cs="Verdana"/>
          <w:sz w:val="20"/>
          <w:szCs w:val="20"/>
          <w:lang w:val="en-US"/>
        </w:rPr>
        <w:t xml:space="preserve"> of the Convention</w:t>
      </w:r>
      <w:r w:rsidR="006C37C9" w:rsidRPr="00CF6765">
        <w:rPr>
          <w:rFonts w:eastAsia="Verdana" w:cs="Verdana"/>
          <w:sz w:val="20"/>
          <w:szCs w:val="20"/>
          <w:lang w:val="en-US"/>
        </w:rPr>
        <w:t xml:space="preserve"> (</w:t>
      </w:r>
      <w:r w:rsidR="005C731C" w:rsidRPr="00CF6765">
        <w:rPr>
          <w:rFonts w:eastAsia="Verdana" w:cs="Verdana"/>
          <w:sz w:val="20"/>
          <w:szCs w:val="20"/>
          <w:lang w:val="en-US"/>
        </w:rPr>
        <w:t>hereinafter</w:t>
      </w:r>
      <w:r w:rsidR="006C37C9" w:rsidRPr="00CF6765">
        <w:rPr>
          <w:rFonts w:eastAsia="Verdana" w:cs="Verdana"/>
          <w:sz w:val="20"/>
          <w:szCs w:val="20"/>
          <w:lang w:val="en-US"/>
        </w:rPr>
        <w:t xml:space="preserve"> “</w:t>
      </w:r>
      <w:r w:rsidR="00671A8C" w:rsidRPr="00CF6765">
        <w:rPr>
          <w:rFonts w:eastAsia="Verdana" w:cs="Verdana"/>
          <w:sz w:val="20"/>
          <w:szCs w:val="20"/>
          <w:lang w:val="en-US"/>
        </w:rPr>
        <w:t>the</w:t>
      </w:r>
      <w:r w:rsidR="006C37C9" w:rsidRPr="00CF6765">
        <w:rPr>
          <w:rFonts w:eastAsia="Verdana" w:cs="Verdana"/>
          <w:sz w:val="20"/>
          <w:szCs w:val="20"/>
          <w:lang w:val="en-US"/>
        </w:rPr>
        <w:t xml:space="preserve"> </w:t>
      </w:r>
      <w:r w:rsidRPr="00CF6765">
        <w:rPr>
          <w:rFonts w:eastAsia="Verdana" w:cs="Verdana"/>
          <w:sz w:val="20"/>
          <w:szCs w:val="20"/>
          <w:lang w:val="en-US"/>
        </w:rPr>
        <w:t>Merits Report</w:t>
      </w:r>
      <w:r w:rsidR="006C37C9" w:rsidRPr="00CF6765">
        <w:rPr>
          <w:rFonts w:eastAsia="Verdana" w:cs="Verdana"/>
          <w:sz w:val="20"/>
          <w:szCs w:val="20"/>
          <w:lang w:val="en-US"/>
        </w:rPr>
        <w:t>” o</w:t>
      </w:r>
      <w:r w:rsidR="00671A8C" w:rsidRPr="00CF6765">
        <w:rPr>
          <w:rFonts w:eastAsia="Verdana" w:cs="Verdana"/>
          <w:sz w:val="20"/>
          <w:szCs w:val="20"/>
          <w:lang w:val="en-US"/>
        </w:rPr>
        <w:t>r</w:t>
      </w:r>
      <w:r w:rsidR="006C37C9" w:rsidRPr="00CF6765">
        <w:rPr>
          <w:rFonts w:eastAsia="Verdana" w:cs="Verdana"/>
          <w:sz w:val="20"/>
          <w:szCs w:val="20"/>
          <w:lang w:val="en-US"/>
        </w:rPr>
        <w:t xml:space="preserve"> “</w:t>
      </w:r>
      <w:r w:rsidRPr="00CF6765">
        <w:rPr>
          <w:rFonts w:eastAsia="Verdana" w:cs="Verdana"/>
          <w:sz w:val="20"/>
          <w:szCs w:val="20"/>
          <w:lang w:val="en-US"/>
        </w:rPr>
        <w:t>Report</w:t>
      </w:r>
      <w:r w:rsidR="006C37C9" w:rsidRPr="00CF6765">
        <w:rPr>
          <w:rFonts w:eastAsia="Verdana" w:cs="Verdana"/>
          <w:sz w:val="20"/>
          <w:szCs w:val="20"/>
          <w:lang w:val="en-US"/>
        </w:rPr>
        <w:t xml:space="preserve"> No. </w:t>
      </w:r>
      <w:r w:rsidR="004D7E7A" w:rsidRPr="00CF6765">
        <w:rPr>
          <w:rFonts w:eastAsia="Verdana" w:cs="Verdana"/>
          <w:sz w:val="20"/>
          <w:szCs w:val="20"/>
          <w:lang w:val="en-US"/>
        </w:rPr>
        <w:t>1</w:t>
      </w:r>
      <w:r w:rsidR="003A6303" w:rsidRPr="00CF6765">
        <w:rPr>
          <w:rFonts w:eastAsia="Verdana" w:cs="Verdana"/>
          <w:sz w:val="20"/>
          <w:szCs w:val="20"/>
          <w:lang w:val="en-US"/>
        </w:rPr>
        <w:t>/16</w:t>
      </w:r>
      <w:r w:rsidR="006C37C9" w:rsidRPr="00CF6765">
        <w:rPr>
          <w:rFonts w:eastAsia="Verdana" w:cs="Verdana"/>
          <w:sz w:val="20"/>
          <w:szCs w:val="20"/>
          <w:lang w:val="en-US"/>
        </w:rPr>
        <w:t xml:space="preserve">”), </w:t>
      </w:r>
      <w:r w:rsidR="00671A8C" w:rsidRPr="00CF6765">
        <w:rPr>
          <w:rFonts w:eastAsia="Verdana" w:cs="Verdana"/>
          <w:sz w:val="20"/>
          <w:szCs w:val="20"/>
          <w:lang w:val="en-US"/>
        </w:rPr>
        <w:t xml:space="preserve">in which it reached a series of </w:t>
      </w:r>
      <w:r w:rsidRPr="00CF6765">
        <w:rPr>
          <w:rFonts w:eastAsia="Verdana" w:cs="Verdana"/>
          <w:sz w:val="20"/>
          <w:szCs w:val="20"/>
          <w:lang w:val="en-US"/>
        </w:rPr>
        <w:t xml:space="preserve">conclusions and </w:t>
      </w:r>
      <w:r w:rsidR="00671A8C" w:rsidRPr="00CF6765">
        <w:rPr>
          <w:rFonts w:eastAsia="Verdana" w:cs="Verdana"/>
          <w:sz w:val="20"/>
          <w:szCs w:val="20"/>
          <w:lang w:val="en-US"/>
        </w:rPr>
        <w:t xml:space="preserve">made several recommendations to the State. </w:t>
      </w:r>
    </w:p>
    <w:p w14:paraId="0034B369" w14:textId="77777777" w:rsidR="004D7E7A" w:rsidRPr="00CF6765" w:rsidRDefault="004D7E7A" w:rsidP="00F3026E">
      <w:pPr>
        <w:ind w:left="818" w:right="144"/>
        <w:contextualSpacing/>
        <w:rPr>
          <w:rFonts w:eastAsia="Verdana" w:cs="Verdana"/>
          <w:sz w:val="20"/>
          <w:szCs w:val="20"/>
          <w:lang w:val="en-US"/>
        </w:rPr>
      </w:pPr>
    </w:p>
    <w:p w14:paraId="00D37E7E" w14:textId="1F649414" w:rsidR="004D7E7A" w:rsidRPr="00CF6765" w:rsidRDefault="00EC50FC" w:rsidP="007D7158">
      <w:pPr>
        <w:pStyle w:val="Prrafodelista"/>
        <w:numPr>
          <w:ilvl w:val="0"/>
          <w:numId w:val="6"/>
        </w:numPr>
        <w:tabs>
          <w:tab w:val="left" w:pos="9720"/>
        </w:tabs>
        <w:ind w:right="13"/>
        <w:contextualSpacing/>
        <w:rPr>
          <w:sz w:val="20"/>
          <w:szCs w:val="20"/>
          <w:lang w:val="en-US"/>
        </w:rPr>
      </w:pPr>
      <w:r w:rsidRPr="00CF6765">
        <w:rPr>
          <w:rFonts w:eastAsia="Verdana" w:cs="Verdana"/>
          <w:i/>
          <w:sz w:val="20"/>
          <w:szCs w:val="20"/>
          <w:lang w:val="en-US"/>
        </w:rPr>
        <w:t>Conclusions</w:t>
      </w:r>
      <w:r w:rsidR="004D7E7A" w:rsidRPr="00CF6765">
        <w:rPr>
          <w:rFonts w:eastAsia="Verdana" w:cs="Verdana"/>
          <w:i/>
          <w:sz w:val="20"/>
          <w:szCs w:val="20"/>
          <w:lang w:val="en-US"/>
        </w:rPr>
        <w:t xml:space="preserve">. </w:t>
      </w:r>
      <w:r w:rsidR="004D7E7A" w:rsidRPr="00CF6765">
        <w:rPr>
          <w:rFonts w:eastAsia="Verdana" w:cs="Verdana"/>
          <w:sz w:val="20"/>
          <w:szCs w:val="20"/>
          <w:lang w:val="en-US"/>
        </w:rPr>
        <w:t xml:space="preserve"> </w:t>
      </w:r>
      <w:r w:rsidR="005C731C" w:rsidRPr="00CF6765">
        <w:rPr>
          <w:sz w:val="20"/>
          <w:szCs w:val="20"/>
          <w:lang w:val="en-US"/>
        </w:rPr>
        <w:t>The Commission</w:t>
      </w:r>
      <w:r w:rsidR="004D7E7A" w:rsidRPr="00CF6765">
        <w:rPr>
          <w:sz w:val="20"/>
          <w:szCs w:val="20"/>
          <w:lang w:val="en-US"/>
        </w:rPr>
        <w:t xml:space="preserve"> conclu</w:t>
      </w:r>
      <w:r w:rsidR="00671A8C" w:rsidRPr="00CF6765">
        <w:rPr>
          <w:sz w:val="20"/>
          <w:szCs w:val="20"/>
          <w:lang w:val="en-US"/>
        </w:rPr>
        <w:t xml:space="preserve">ded that the State </w:t>
      </w:r>
      <w:r w:rsidR="00B328D7" w:rsidRPr="00CF6765">
        <w:rPr>
          <w:sz w:val="20"/>
          <w:szCs w:val="20"/>
          <w:lang w:val="en-US"/>
        </w:rPr>
        <w:t>was</w:t>
      </w:r>
      <w:r w:rsidR="00671A8C" w:rsidRPr="00CF6765">
        <w:rPr>
          <w:sz w:val="20"/>
          <w:szCs w:val="20"/>
          <w:lang w:val="en-US"/>
        </w:rPr>
        <w:t xml:space="preserve"> </w:t>
      </w:r>
      <w:r w:rsidR="00B328D7" w:rsidRPr="00CF6765">
        <w:rPr>
          <w:sz w:val="20"/>
          <w:szCs w:val="20"/>
          <w:lang w:val="en-US"/>
        </w:rPr>
        <w:t>responsible</w:t>
      </w:r>
      <w:r w:rsidR="00671A8C" w:rsidRPr="00CF6765">
        <w:rPr>
          <w:sz w:val="20"/>
          <w:szCs w:val="20"/>
          <w:lang w:val="en-US"/>
        </w:rPr>
        <w:t xml:space="preserve"> for the alleged violation of the following human rights established in </w:t>
      </w:r>
      <w:r w:rsidR="005C731C" w:rsidRPr="00CF6765">
        <w:rPr>
          <w:sz w:val="20"/>
          <w:szCs w:val="20"/>
          <w:lang w:val="en-US"/>
        </w:rPr>
        <w:t>the American Convention</w:t>
      </w:r>
      <w:r w:rsidR="004D7E7A" w:rsidRPr="00CF6765">
        <w:rPr>
          <w:sz w:val="20"/>
          <w:szCs w:val="20"/>
          <w:lang w:val="en-US"/>
        </w:rPr>
        <w:t>:</w:t>
      </w:r>
    </w:p>
    <w:p w14:paraId="4CA855DB" w14:textId="77777777" w:rsidR="00F42643" w:rsidRPr="00CF6765" w:rsidRDefault="00F42643" w:rsidP="00F42643">
      <w:pPr>
        <w:pStyle w:val="Prrafodelista"/>
        <w:ind w:left="1900" w:right="148"/>
        <w:contextualSpacing/>
        <w:rPr>
          <w:sz w:val="20"/>
          <w:szCs w:val="20"/>
          <w:lang w:val="en-US"/>
        </w:rPr>
      </w:pPr>
    </w:p>
    <w:p w14:paraId="70F28F9B" w14:textId="62CAEB83" w:rsidR="004D7E7A" w:rsidRPr="00CF6765" w:rsidRDefault="00671A8C" w:rsidP="00F3026E">
      <w:pPr>
        <w:pStyle w:val="Prrafodelista"/>
        <w:numPr>
          <w:ilvl w:val="0"/>
          <w:numId w:val="4"/>
        </w:numPr>
        <w:autoSpaceDE w:val="0"/>
        <w:autoSpaceDN w:val="0"/>
        <w:ind w:left="2404" w:hanging="357"/>
        <w:rPr>
          <w:sz w:val="18"/>
          <w:szCs w:val="18"/>
          <w:lang w:val="en-US"/>
        </w:rPr>
      </w:pPr>
      <w:r w:rsidRPr="00CF6765">
        <w:rPr>
          <w:sz w:val="18"/>
          <w:szCs w:val="18"/>
          <w:lang w:val="en-US"/>
        </w:rPr>
        <w:t>Violation of the right of access to information</w:t>
      </w:r>
      <w:r w:rsidR="00690D57" w:rsidRPr="00CF6765">
        <w:rPr>
          <w:sz w:val="18"/>
          <w:szCs w:val="18"/>
          <w:lang w:val="en-US"/>
        </w:rPr>
        <w:t xml:space="preserve"> on health established in </w:t>
      </w:r>
      <w:r w:rsidR="005C731C" w:rsidRPr="00CF6765">
        <w:rPr>
          <w:sz w:val="18"/>
          <w:szCs w:val="18"/>
          <w:lang w:val="en-US"/>
        </w:rPr>
        <w:t>Article</w:t>
      </w:r>
      <w:r w:rsidR="004D7E7A" w:rsidRPr="00CF6765">
        <w:rPr>
          <w:sz w:val="18"/>
          <w:szCs w:val="18"/>
          <w:lang w:val="en-US"/>
        </w:rPr>
        <w:t xml:space="preserve"> 13</w:t>
      </w:r>
      <w:r w:rsidR="005C731C" w:rsidRPr="00CF6765">
        <w:rPr>
          <w:sz w:val="18"/>
          <w:szCs w:val="18"/>
          <w:lang w:val="en-US"/>
        </w:rPr>
        <w:t xml:space="preserve"> of the Convention</w:t>
      </w:r>
      <w:r w:rsidR="004D7E7A" w:rsidRPr="00CF6765">
        <w:rPr>
          <w:sz w:val="18"/>
          <w:szCs w:val="18"/>
          <w:lang w:val="en-US"/>
        </w:rPr>
        <w:t xml:space="preserve">, </w:t>
      </w:r>
      <w:r w:rsidR="00690D57" w:rsidRPr="00CF6765">
        <w:rPr>
          <w:sz w:val="18"/>
          <w:szCs w:val="18"/>
          <w:lang w:val="en-US"/>
        </w:rPr>
        <w:t xml:space="preserve">in relation to the rights to life, personal integrity and health established </w:t>
      </w:r>
      <w:r w:rsidR="005C731C" w:rsidRPr="00CF6765">
        <w:rPr>
          <w:sz w:val="18"/>
          <w:szCs w:val="18"/>
          <w:lang w:val="en-US"/>
        </w:rPr>
        <w:t>Articles</w:t>
      </w:r>
      <w:r w:rsidR="004D7E7A" w:rsidRPr="00CF6765">
        <w:rPr>
          <w:sz w:val="18"/>
          <w:szCs w:val="18"/>
          <w:lang w:val="en-US"/>
        </w:rPr>
        <w:t xml:space="preserve"> 4</w:t>
      </w:r>
      <w:r w:rsidR="00EC50FC" w:rsidRPr="00CF6765">
        <w:rPr>
          <w:sz w:val="18"/>
          <w:szCs w:val="18"/>
          <w:lang w:val="en-US"/>
        </w:rPr>
        <w:t xml:space="preserve"> and </w:t>
      </w:r>
      <w:r w:rsidR="004D7E7A" w:rsidRPr="00CF6765">
        <w:rPr>
          <w:sz w:val="18"/>
          <w:szCs w:val="18"/>
          <w:lang w:val="en-US"/>
        </w:rPr>
        <w:t>5</w:t>
      </w:r>
      <w:r w:rsidR="005C731C" w:rsidRPr="00CF6765">
        <w:rPr>
          <w:sz w:val="18"/>
          <w:szCs w:val="18"/>
          <w:lang w:val="en-US"/>
        </w:rPr>
        <w:t xml:space="preserve"> of the Convention</w:t>
      </w:r>
      <w:r w:rsidR="004D7E7A" w:rsidRPr="00CF6765">
        <w:rPr>
          <w:sz w:val="18"/>
          <w:szCs w:val="18"/>
          <w:lang w:val="en-US"/>
        </w:rPr>
        <w:t>,</w:t>
      </w:r>
      <w:r w:rsidR="00EC50FC" w:rsidRPr="00CF6765">
        <w:rPr>
          <w:sz w:val="18"/>
          <w:szCs w:val="18"/>
          <w:lang w:val="en-US"/>
        </w:rPr>
        <w:t xml:space="preserve"> and </w:t>
      </w:r>
      <w:r w:rsidR="00690D57" w:rsidRPr="00CF6765">
        <w:rPr>
          <w:sz w:val="18"/>
          <w:szCs w:val="18"/>
          <w:lang w:val="en-US"/>
        </w:rPr>
        <w:t xml:space="preserve">to the obligations established in </w:t>
      </w:r>
      <w:r w:rsidR="00EC50FC" w:rsidRPr="00CF6765">
        <w:rPr>
          <w:sz w:val="18"/>
          <w:szCs w:val="18"/>
          <w:lang w:val="en-US"/>
        </w:rPr>
        <w:t>Article 1(1)</w:t>
      </w:r>
      <w:r w:rsidR="004D7E7A" w:rsidRPr="00CF6765">
        <w:rPr>
          <w:sz w:val="18"/>
          <w:szCs w:val="18"/>
          <w:lang w:val="en-US"/>
        </w:rPr>
        <w:t xml:space="preserve"> </w:t>
      </w:r>
      <w:r w:rsidR="00690D57" w:rsidRPr="00CF6765">
        <w:rPr>
          <w:sz w:val="18"/>
          <w:szCs w:val="18"/>
          <w:lang w:val="en-US"/>
        </w:rPr>
        <w:t>of this instrument</w:t>
      </w:r>
      <w:r w:rsidR="00F42643" w:rsidRPr="00CF6765">
        <w:rPr>
          <w:sz w:val="18"/>
          <w:szCs w:val="18"/>
          <w:lang w:val="en-US"/>
        </w:rPr>
        <w:t xml:space="preserve">, </w:t>
      </w:r>
      <w:r w:rsidR="00690D57" w:rsidRPr="00CF6765">
        <w:rPr>
          <w:sz w:val="18"/>
          <w:szCs w:val="18"/>
          <w:lang w:val="en-US"/>
        </w:rPr>
        <w:t>to the detriment of</w:t>
      </w:r>
      <w:r w:rsidR="00F42643" w:rsidRPr="00CF6765">
        <w:rPr>
          <w:sz w:val="18"/>
          <w:szCs w:val="18"/>
          <w:lang w:val="en-US"/>
        </w:rPr>
        <w:t xml:space="preserve"> Vini</w:t>
      </w:r>
      <w:r w:rsidR="004D7E7A" w:rsidRPr="00CF6765">
        <w:rPr>
          <w:sz w:val="18"/>
          <w:szCs w:val="18"/>
          <w:lang w:val="en-US"/>
        </w:rPr>
        <w:t xml:space="preserve">cio Antonio Poblete </w:t>
      </w:r>
      <w:proofErr w:type="spellStart"/>
      <w:r w:rsidR="004D7E7A" w:rsidRPr="00CF6765">
        <w:rPr>
          <w:sz w:val="18"/>
          <w:szCs w:val="18"/>
          <w:lang w:val="en-US"/>
        </w:rPr>
        <w:t>Vilches</w:t>
      </w:r>
      <w:proofErr w:type="spellEnd"/>
      <w:r w:rsidR="00EC50FC" w:rsidRPr="00CF6765">
        <w:rPr>
          <w:sz w:val="18"/>
          <w:szCs w:val="18"/>
          <w:lang w:val="en-US"/>
        </w:rPr>
        <w:t xml:space="preserve"> </w:t>
      </w:r>
      <w:r w:rsidR="00690D57" w:rsidRPr="00CF6765">
        <w:rPr>
          <w:sz w:val="18"/>
          <w:szCs w:val="18"/>
          <w:lang w:val="en-US"/>
        </w:rPr>
        <w:t>and the members of his family</w:t>
      </w:r>
      <w:r w:rsidR="00F44B67" w:rsidRPr="00CF6765">
        <w:rPr>
          <w:sz w:val="18"/>
          <w:szCs w:val="18"/>
          <w:lang w:val="en-US"/>
        </w:rPr>
        <w:t>[</w:t>
      </w:r>
      <w:r w:rsidR="004D7E7A" w:rsidRPr="00CF6765">
        <w:rPr>
          <w:sz w:val="18"/>
          <w:szCs w:val="18"/>
          <w:lang w:val="en-US"/>
        </w:rPr>
        <w:t>;</w:t>
      </w:r>
      <w:r w:rsidR="00F44B67" w:rsidRPr="00CF6765">
        <w:rPr>
          <w:sz w:val="18"/>
          <w:szCs w:val="18"/>
          <w:lang w:val="en-US"/>
        </w:rPr>
        <w:t>]</w:t>
      </w:r>
    </w:p>
    <w:p w14:paraId="247C1875" w14:textId="138292E2" w:rsidR="004D7E7A" w:rsidRPr="00CF6765" w:rsidRDefault="00690D57" w:rsidP="00F3026E">
      <w:pPr>
        <w:pStyle w:val="Prrafodelista"/>
        <w:numPr>
          <w:ilvl w:val="0"/>
          <w:numId w:val="4"/>
        </w:numPr>
        <w:autoSpaceDE w:val="0"/>
        <w:autoSpaceDN w:val="0"/>
        <w:ind w:left="2404" w:hanging="357"/>
        <w:rPr>
          <w:sz w:val="18"/>
          <w:szCs w:val="18"/>
          <w:lang w:val="en-US"/>
        </w:rPr>
      </w:pPr>
      <w:r w:rsidRPr="00CF6765">
        <w:rPr>
          <w:sz w:val="18"/>
          <w:szCs w:val="18"/>
          <w:lang w:val="en-US"/>
        </w:rPr>
        <w:lastRenderedPageBreak/>
        <w:t xml:space="preserve">Violation of the rights to life, personal integrity and health established in Articles </w:t>
      </w:r>
      <w:r w:rsidR="004D7E7A" w:rsidRPr="00CF6765">
        <w:rPr>
          <w:sz w:val="18"/>
          <w:szCs w:val="18"/>
          <w:lang w:val="en-US"/>
        </w:rPr>
        <w:t>4</w:t>
      </w:r>
      <w:r w:rsidR="00EC50FC" w:rsidRPr="00CF6765">
        <w:rPr>
          <w:sz w:val="18"/>
          <w:szCs w:val="18"/>
          <w:lang w:val="en-US"/>
        </w:rPr>
        <w:t xml:space="preserve"> and </w:t>
      </w:r>
      <w:r w:rsidR="004D7E7A" w:rsidRPr="00CF6765">
        <w:rPr>
          <w:sz w:val="18"/>
          <w:szCs w:val="18"/>
          <w:lang w:val="en-US"/>
        </w:rPr>
        <w:t>5</w:t>
      </w:r>
      <w:r w:rsidR="005C731C" w:rsidRPr="00CF6765">
        <w:rPr>
          <w:sz w:val="18"/>
          <w:szCs w:val="18"/>
          <w:lang w:val="en-US"/>
        </w:rPr>
        <w:t xml:space="preserve"> of the American Convention</w:t>
      </w:r>
      <w:r w:rsidR="004D7E7A" w:rsidRPr="00CF6765">
        <w:rPr>
          <w:sz w:val="18"/>
          <w:szCs w:val="18"/>
          <w:lang w:val="en-US"/>
        </w:rPr>
        <w:t xml:space="preserve">, </w:t>
      </w:r>
      <w:r w:rsidRPr="00CF6765">
        <w:rPr>
          <w:sz w:val="18"/>
          <w:szCs w:val="18"/>
          <w:lang w:val="en-US"/>
        </w:rPr>
        <w:t xml:space="preserve">in relation to the obligations established in </w:t>
      </w:r>
      <w:r w:rsidR="00EC50FC" w:rsidRPr="00CF6765">
        <w:rPr>
          <w:sz w:val="18"/>
          <w:szCs w:val="18"/>
          <w:lang w:val="en-US"/>
        </w:rPr>
        <w:t>Article 1(1)</w:t>
      </w:r>
      <w:r w:rsidR="004D7E7A" w:rsidRPr="00CF6765">
        <w:rPr>
          <w:sz w:val="18"/>
          <w:szCs w:val="18"/>
          <w:lang w:val="en-US"/>
        </w:rPr>
        <w:t xml:space="preserve"> </w:t>
      </w:r>
      <w:r w:rsidRPr="00CF6765">
        <w:rPr>
          <w:sz w:val="18"/>
          <w:szCs w:val="18"/>
          <w:lang w:val="en-US"/>
        </w:rPr>
        <w:t>of this instrument</w:t>
      </w:r>
      <w:r w:rsidR="004D7E7A" w:rsidRPr="00CF6765">
        <w:rPr>
          <w:sz w:val="18"/>
          <w:szCs w:val="18"/>
          <w:lang w:val="en-US"/>
        </w:rPr>
        <w:t xml:space="preserve">, </w:t>
      </w:r>
      <w:r w:rsidRPr="00CF6765">
        <w:rPr>
          <w:sz w:val="18"/>
          <w:szCs w:val="18"/>
          <w:lang w:val="en-US"/>
        </w:rPr>
        <w:t>to the detriment of</w:t>
      </w:r>
      <w:r w:rsidR="004D7E7A" w:rsidRPr="00CF6765">
        <w:rPr>
          <w:sz w:val="18"/>
          <w:szCs w:val="18"/>
          <w:lang w:val="en-US"/>
        </w:rPr>
        <w:t xml:space="preserve"> Vinicio Antonio Poblete </w:t>
      </w:r>
      <w:proofErr w:type="spellStart"/>
      <w:r w:rsidR="004D7E7A" w:rsidRPr="00CF6765">
        <w:rPr>
          <w:sz w:val="18"/>
          <w:szCs w:val="18"/>
          <w:lang w:val="en-US"/>
        </w:rPr>
        <w:t>Vilches</w:t>
      </w:r>
      <w:proofErr w:type="spellEnd"/>
      <w:r w:rsidR="003B52C8" w:rsidRPr="00CF6765">
        <w:rPr>
          <w:sz w:val="18"/>
          <w:szCs w:val="18"/>
          <w:lang w:val="en-US"/>
        </w:rPr>
        <w:t>,</w:t>
      </w:r>
      <w:r w:rsidR="00F42643" w:rsidRPr="00CF6765">
        <w:rPr>
          <w:sz w:val="18"/>
          <w:szCs w:val="18"/>
          <w:lang w:val="en-US"/>
        </w:rPr>
        <w:t xml:space="preserve"> [</w:t>
      </w:r>
      <w:r w:rsidRPr="00CF6765">
        <w:rPr>
          <w:sz w:val="18"/>
          <w:szCs w:val="18"/>
          <w:lang w:val="en-US"/>
        </w:rPr>
        <w:t>and</w:t>
      </w:r>
      <w:r w:rsidR="00F42643" w:rsidRPr="00CF6765">
        <w:rPr>
          <w:sz w:val="18"/>
          <w:szCs w:val="18"/>
          <w:lang w:val="en-US"/>
        </w:rPr>
        <w:t xml:space="preserve">] </w:t>
      </w:r>
    </w:p>
    <w:p w14:paraId="47C3109A" w14:textId="52F77112" w:rsidR="004D7E7A" w:rsidRPr="00CF6765" w:rsidRDefault="00690D57" w:rsidP="00F3026E">
      <w:pPr>
        <w:pStyle w:val="Prrafodelista"/>
        <w:numPr>
          <w:ilvl w:val="0"/>
          <w:numId w:val="4"/>
        </w:numPr>
        <w:autoSpaceDE w:val="0"/>
        <w:autoSpaceDN w:val="0"/>
        <w:ind w:left="2404" w:hanging="357"/>
        <w:rPr>
          <w:sz w:val="18"/>
          <w:szCs w:val="18"/>
          <w:lang w:val="en-US"/>
        </w:rPr>
      </w:pPr>
      <w:r w:rsidRPr="00CF6765">
        <w:rPr>
          <w:sz w:val="18"/>
          <w:szCs w:val="18"/>
          <w:lang w:val="en-US"/>
        </w:rPr>
        <w:t>Violation of the rights to personal integrity, judicial guarantees and judicial protection established in</w:t>
      </w:r>
      <w:r w:rsidR="004D7E7A" w:rsidRPr="00CF6765">
        <w:rPr>
          <w:sz w:val="18"/>
          <w:szCs w:val="18"/>
          <w:lang w:val="en-US"/>
        </w:rPr>
        <w:t xml:space="preserve"> </w:t>
      </w:r>
      <w:r w:rsidR="005C731C" w:rsidRPr="00CF6765">
        <w:rPr>
          <w:sz w:val="18"/>
          <w:szCs w:val="18"/>
          <w:lang w:val="en-US"/>
        </w:rPr>
        <w:t>Articles</w:t>
      </w:r>
      <w:r w:rsidR="004D7E7A" w:rsidRPr="00CF6765">
        <w:rPr>
          <w:sz w:val="18"/>
          <w:szCs w:val="18"/>
          <w:lang w:val="en-US"/>
        </w:rPr>
        <w:t xml:space="preserve"> 5, 8</w:t>
      </w:r>
      <w:r w:rsidR="00EC50FC" w:rsidRPr="00CF6765">
        <w:rPr>
          <w:sz w:val="18"/>
          <w:szCs w:val="18"/>
          <w:lang w:val="en-US"/>
        </w:rPr>
        <w:t xml:space="preserve"> and </w:t>
      </w:r>
      <w:r w:rsidR="004D7E7A" w:rsidRPr="00CF6765">
        <w:rPr>
          <w:sz w:val="18"/>
          <w:szCs w:val="18"/>
          <w:lang w:val="en-US"/>
        </w:rPr>
        <w:t>25</w:t>
      </w:r>
      <w:r w:rsidR="005C731C" w:rsidRPr="00CF6765">
        <w:rPr>
          <w:sz w:val="18"/>
          <w:szCs w:val="18"/>
          <w:lang w:val="en-US"/>
        </w:rPr>
        <w:t xml:space="preserve"> of the American Convention</w:t>
      </w:r>
      <w:r w:rsidR="00C12427" w:rsidRPr="00CF6765">
        <w:rPr>
          <w:sz w:val="18"/>
          <w:szCs w:val="18"/>
          <w:lang w:val="en-US"/>
        </w:rPr>
        <w:t>,</w:t>
      </w:r>
      <w:r w:rsidR="00F42643" w:rsidRPr="00CF6765">
        <w:rPr>
          <w:sz w:val="18"/>
          <w:szCs w:val="18"/>
          <w:lang w:val="en-US"/>
        </w:rPr>
        <w:t xml:space="preserve"> </w:t>
      </w:r>
      <w:r w:rsidRPr="00CF6765">
        <w:rPr>
          <w:sz w:val="18"/>
          <w:szCs w:val="18"/>
          <w:lang w:val="en-US"/>
        </w:rPr>
        <w:t>in relation to Article</w:t>
      </w:r>
      <w:r w:rsidR="00EC50FC" w:rsidRPr="00CF6765">
        <w:rPr>
          <w:sz w:val="18"/>
          <w:szCs w:val="18"/>
          <w:lang w:val="en-US"/>
        </w:rPr>
        <w:t xml:space="preserve"> 1(1)</w:t>
      </w:r>
      <w:r w:rsidR="004D7E7A" w:rsidRPr="00CF6765">
        <w:rPr>
          <w:sz w:val="18"/>
          <w:szCs w:val="18"/>
          <w:lang w:val="en-US"/>
        </w:rPr>
        <w:t xml:space="preserve"> </w:t>
      </w:r>
      <w:r w:rsidRPr="00CF6765">
        <w:rPr>
          <w:sz w:val="18"/>
          <w:szCs w:val="18"/>
          <w:lang w:val="en-US"/>
        </w:rPr>
        <w:t>of this instrument</w:t>
      </w:r>
      <w:r w:rsidR="004D7E7A" w:rsidRPr="00CF6765">
        <w:rPr>
          <w:sz w:val="18"/>
          <w:szCs w:val="18"/>
          <w:lang w:val="en-US"/>
        </w:rPr>
        <w:t xml:space="preserve">, </w:t>
      </w:r>
      <w:r w:rsidRPr="00CF6765">
        <w:rPr>
          <w:sz w:val="18"/>
          <w:szCs w:val="18"/>
          <w:lang w:val="en-US"/>
        </w:rPr>
        <w:t>to the detriment of</w:t>
      </w:r>
      <w:r w:rsidR="004D7E7A" w:rsidRPr="00CF6765">
        <w:rPr>
          <w:sz w:val="18"/>
          <w:szCs w:val="18"/>
          <w:lang w:val="en-US"/>
        </w:rPr>
        <w:t xml:space="preserve"> </w:t>
      </w:r>
      <w:r w:rsidRPr="00CF6765">
        <w:rPr>
          <w:sz w:val="18"/>
          <w:szCs w:val="18"/>
          <w:lang w:val="en-US"/>
        </w:rPr>
        <w:t xml:space="preserve">the members of </w:t>
      </w:r>
      <w:r w:rsidR="004D7E7A" w:rsidRPr="00CF6765">
        <w:rPr>
          <w:sz w:val="18"/>
          <w:szCs w:val="18"/>
          <w:lang w:val="en-US"/>
        </w:rPr>
        <w:t>Vi</w:t>
      </w:r>
      <w:r w:rsidR="00F42643" w:rsidRPr="00CF6765">
        <w:rPr>
          <w:sz w:val="18"/>
          <w:szCs w:val="18"/>
          <w:lang w:val="en-US"/>
        </w:rPr>
        <w:t>nicio</w:t>
      </w:r>
      <w:r w:rsidR="004D7E7A" w:rsidRPr="00CF6765">
        <w:rPr>
          <w:sz w:val="18"/>
          <w:szCs w:val="18"/>
          <w:lang w:val="en-US"/>
        </w:rPr>
        <w:t xml:space="preserve"> Antonio Poblete </w:t>
      </w:r>
      <w:proofErr w:type="spellStart"/>
      <w:r w:rsidR="001E55C3" w:rsidRPr="00CF6765">
        <w:rPr>
          <w:sz w:val="18"/>
          <w:szCs w:val="18"/>
          <w:lang w:val="en-US"/>
        </w:rPr>
        <w:t>Vilches’s</w:t>
      </w:r>
      <w:proofErr w:type="spellEnd"/>
      <w:r w:rsidR="001E55C3" w:rsidRPr="00CF6765">
        <w:rPr>
          <w:sz w:val="18"/>
          <w:szCs w:val="18"/>
          <w:lang w:val="en-US"/>
        </w:rPr>
        <w:t xml:space="preserve"> </w:t>
      </w:r>
      <w:r w:rsidRPr="00CF6765">
        <w:rPr>
          <w:sz w:val="18"/>
          <w:szCs w:val="18"/>
          <w:lang w:val="en-US"/>
        </w:rPr>
        <w:t>family</w:t>
      </w:r>
      <w:r w:rsidR="00F44B67" w:rsidRPr="00CF6765">
        <w:rPr>
          <w:sz w:val="18"/>
          <w:szCs w:val="18"/>
          <w:lang w:val="en-US"/>
        </w:rPr>
        <w:t>.</w:t>
      </w:r>
    </w:p>
    <w:p w14:paraId="2160C475" w14:textId="3FB04754" w:rsidR="006C37C9" w:rsidRPr="00CF6765" w:rsidRDefault="006C37C9" w:rsidP="00690D57">
      <w:pPr>
        <w:ind w:right="148"/>
        <w:rPr>
          <w:rFonts w:eastAsia="Verdana" w:cs="Verdana"/>
          <w:sz w:val="20"/>
          <w:szCs w:val="20"/>
          <w:lang w:val="en-US"/>
        </w:rPr>
      </w:pPr>
    </w:p>
    <w:p w14:paraId="185D6E2F" w14:textId="204B1F61" w:rsidR="006C37C9" w:rsidRPr="00CF6765" w:rsidRDefault="006C37C9" w:rsidP="00F3026E">
      <w:pPr>
        <w:pStyle w:val="Prrafodelista"/>
        <w:numPr>
          <w:ilvl w:val="0"/>
          <w:numId w:val="6"/>
        </w:numPr>
        <w:ind w:right="148"/>
        <w:contextualSpacing/>
        <w:rPr>
          <w:rFonts w:eastAsia="Verdana" w:cs="Verdana"/>
          <w:sz w:val="20"/>
          <w:szCs w:val="20"/>
          <w:lang w:val="en-US"/>
        </w:rPr>
      </w:pPr>
      <w:r w:rsidRPr="00CF6765">
        <w:rPr>
          <w:rFonts w:eastAsia="Verdana" w:cs="Verdana"/>
          <w:i/>
          <w:sz w:val="20"/>
          <w:szCs w:val="20"/>
          <w:lang w:val="en-US"/>
        </w:rPr>
        <w:t>Recom</w:t>
      </w:r>
      <w:r w:rsidR="00690D57" w:rsidRPr="00CF6765">
        <w:rPr>
          <w:rFonts w:eastAsia="Verdana" w:cs="Verdana"/>
          <w:i/>
          <w:sz w:val="20"/>
          <w:szCs w:val="20"/>
          <w:lang w:val="en-US"/>
        </w:rPr>
        <w:t>mendation</w:t>
      </w:r>
      <w:r w:rsidRPr="00CF6765">
        <w:rPr>
          <w:rFonts w:eastAsia="Verdana" w:cs="Verdana"/>
          <w:i/>
          <w:sz w:val="20"/>
          <w:szCs w:val="20"/>
          <w:lang w:val="en-US"/>
        </w:rPr>
        <w:t>s.</w:t>
      </w:r>
      <w:r w:rsidRPr="00CF6765">
        <w:rPr>
          <w:rFonts w:eastAsia="Verdana" w:cs="Verdana"/>
          <w:sz w:val="20"/>
          <w:szCs w:val="20"/>
          <w:lang w:val="en-US"/>
        </w:rPr>
        <w:t xml:space="preserve"> </w:t>
      </w:r>
      <w:r w:rsidR="00690D57" w:rsidRPr="00CF6765">
        <w:rPr>
          <w:rFonts w:eastAsia="Verdana" w:cs="Verdana"/>
          <w:sz w:val="20"/>
          <w:szCs w:val="20"/>
          <w:lang w:val="en-US"/>
        </w:rPr>
        <w:t>Consequently</w:t>
      </w:r>
      <w:r w:rsidRPr="00CF6765">
        <w:rPr>
          <w:rFonts w:eastAsia="Verdana" w:cs="Verdana"/>
          <w:sz w:val="20"/>
          <w:szCs w:val="20"/>
          <w:lang w:val="en-US"/>
        </w:rPr>
        <w:t xml:space="preserve">, </w:t>
      </w:r>
      <w:r w:rsidR="005C731C" w:rsidRPr="00CF6765">
        <w:rPr>
          <w:rFonts w:eastAsia="Verdana" w:cs="Verdana"/>
          <w:sz w:val="20"/>
          <w:szCs w:val="20"/>
          <w:lang w:val="en-US"/>
        </w:rPr>
        <w:t>the Commission</w:t>
      </w:r>
      <w:r w:rsidR="00690D57" w:rsidRPr="00CF6765">
        <w:rPr>
          <w:rFonts w:eastAsia="Verdana" w:cs="Verdana"/>
          <w:sz w:val="20"/>
          <w:szCs w:val="20"/>
          <w:lang w:val="en-US"/>
        </w:rPr>
        <w:t xml:space="preserve"> made a series of recommendations to the State:</w:t>
      </w:r>
      <w:r w:rsidRPr="00CF6765">
        <w:rPr>
          <w:rFonts w:eastAsia="Verdana" w:cs="Verdana"/>
          <w:sz w:val="20"/>
          <w:szCs w:val="20"/>
          <w:lang w:val="en-US"/>
        </w:rPr>
        <w:t xml:space="preserve"> </w:t>
      </w:r>
    </w:p>
    <w:p w14:paraId="5358C4F5" w14:textId="77777777" w:rsidR="006C37C9" w:rsidRPr="00CF6765" w:rsidRDefault="006C37C9" w:rsidP="00F3026E">
      <w:pPr>
        <w:pStyle w:val="Prrafodelista"/>
        <w:ind w:left="1900" w:right="148"/>
        <w:rPr>
          <w:rFonts w:eastAsia="Verdana" w:cs="Verdana"/>
          <w:sz w:val="20"/>
          <w:szCs w:val="20"/>
          <w:lang w:val="en-US"/>
        </w:rPr>
      </w:pPr>
    </w:p>
    <w:p w14:paraId="6FA06B9E" w14:textId="44FA80B2" w:rsidR="00690D57" w:rsidRPr="00CF6765" w:rsidRDefault="00690D57" w:rsidP="00690D57">
      <w:pPr>
        <w:numPr>
          <w:ilvl w:val="0"/>
          <w:numId w:val="5"/>
        </w:numPr>
        <w:suppressAutoHyphens/>
        <w:rPr>
          <w:rFonts w:cs="BookAntiqua"/>
          <w:sz w:val="18"/>
          <w:szCs w:val="18"/>
          <w:lang w:val="en-US"/>
        </w:rPr>
      </w:pPr>
      <w:r w:rsidRPr="00CF6765">
        <w:rPr>
          <w:sz w:val="18"/>
          <w:szCs w:val="18"/>
          <w:lang w:val="en-US"/>
        </w:rPr>
        <w:t xml:space="preserve">Make full reparation to Vinicio Antonio Poblete </w:t>
      </w:r>
      <w:proofErr w:type="spellStart"/>
      <w:r w:rsidRPr="00CF6765">
        <w:rPr>
          <w:sz w:val="18"/>
          <w:szCs w:val="18"/>
          <w:lang w:val="en-US"/>
        </w:rPr>
        <w:t>Vilches’s</w:t>
      </w:r>
      <w:proofErr w:type="spellEnd"/>
      <w:r w:rsidRPr="00CF6765">
        <w:rPr>
          <w:sz w:val="18"/>
          <w:szCs w:val="18"/>
          <w:lang w:val="en-US"/>
        </w:rPr>
        <w:t xml:space="preserve"> </w:t>
      </w:r>
      <w:r w:rsidR="00D2168F" w:rsidRPr="00CF6765">
        <w:rPr>
          <w:sz w:val="18"/>
          <w:szCs w:val="18"/>
          <w:lang w:val="en-US"/>
        </w:rPr>
        <w:t>family</w:t>
      </w:r>
      <w:r w:rsidRPr="00CF6765">
        <w:rPr>
          <w:sz w:val="18"/>
          <w:szCs w:val="18"/>
          <w:lang w:val="en-US"/>
        </w:rPr>
        <w:t xml:space="preserve"> for the human rights violations found in this report, including appropriate compensation for the pecuniary and non-pecuniary harm caused, as well as other measures of </w:t>
      </w:r>
      <w:r w:rsidR="001E55C3" w:rsidRPr="00CF6765">
        <w:rPr>
          <w:sz w:val="18"/>
          <w:szCs w:val="18"/>
          <w:lang w:val="en-US"/>
        </w:rPr>
        <w:t>non-pecuniary</w:t>
      </w:r>
      <w:r w:rsidRPr="00CF6765">
        <w:rPr>
          <w:sz w:val="18"/>
          <w:szCs w:val="18"/>
          <w:lang w:val="en-US"/>
        </w:rPr>
        <w:t xml:space="preserve"> satisfaction;</w:t>
      </w:r>
    </w:p>
    <w:p w14:paraId="36E30D88" w14:textId="537C7680" w:rsidR="00D2168F" w:rsidRPr="00CF6765" w:rsidRDefault="00690D57" w:rsidP="00D2168F">
      <w:pPr>
        <w:pStyle w:val="Prrafodelista"/>
        <w:numPr>
          <w:ilvl w:val="0"/>
          <w:numId w:val="5"/>
        </w:numPr>
        <w:autoSpaceDE w:val="0"/>
        <w:autoSpaceDN w:val="0"/>
        <w:rPr>
          <w:sz w:val="18"/>
          <w:szCs w:val="18"/>
          <w:lang w:val="en-US"/>
        </w:rPr>
      </w:pPr>
      <w:r w:rsidRPr="00CF6765">
        <w:rPr>
          <w:sz w:val="18"/>
          <w:szCs w:val="18"/>
          <w:lang w:val="en-US"/>
        </w:rPr>
        <w:t xml:space="preserve">Undertake </w:t>
      </w:r>
      <w:r w:rsidRPr="00CF6765">
        <w:rPr>
          <w:rFonts w:cs="Arial"/>
          <w:sz w:val="18"/>
          <w:szCs w:val="18"/>
          <w:lang w:val="en-US"/>
        </w:rPr>
        <w:t xml:space="preserve">a thorough and effective investigation into the human rights violations found in this report so that Mr. </w:t>
      </w:r>
      <w:r w:rsidRPr="00CF6765">
        <w:rPr>
          <w:sz w:val="18"/>
          <w:szCs w:val="18"/>
          <w:lang w:val="en-US"/>
        </w:rPr>
        <w:t xml:space="preserve">Poblete </w:t>
      </w:r>
      <w:proofErr w:type="spellStart"/>
      <w:r w:rsidRPr="00CF6765">
        <w:rPr>
          <w:sz w:val="18"/>
          <w:szCs w:val="18"/>
          <w:lang w:val="en-US"/>
        </w:rPr>
        <w:t>Vilches</w:t>
      </w:r>
      <w:r w:rsidR="00D2168F" w:rsidRPr="00CF6765">
        <w:rPr>
          <w:sz w:val="18"/>
          <w:szCs w:val="18"/>
          <w:lang w:val="en-US"/>
        </w:rPr>
        <w:t>’s</w:t>
      </w:r>
      <w:proofErr w:type="spellEnd"/>
      <w:r w:rsidR="00D2168F" w:rsidRPr="00CF6765">
        <w:rPr>
          <w:sz w:val="18"/>
          <w:szCs w:val="18"/>
          <w:lang w:val="en-US"/>
        </w:rPr>
        <w:t xml:space="preserve"> family</w:t>
      </w:r>
      <w:r w:rsidRPr="00CF6765">
        <w:rPr>
          <w:sz w:val="18"/>
          <w:szCs w:val="18"/>
          <w:lang w:val="en-US"/>
        </w:rPr>
        <w:t xml:space="preserve"> can know the truth of what happened and, if appropriate, so that the corresponding sanctions be imposed. To that e</w:t>
      </w:r>
      <w:r w:rsidR="00D2168F" w:rsidRPr="00CF6765">
        <w:rPr>
          <w:sz w:val="18"/>
          <w:szCs w:val="18"/>
          <w:lang w:val="en-US"/>
        </w:rPr>
        <w:t>nd</w:t>
      </w:r>
      <w:r w:rsidRPr="00CF6765">
        <w:rPr>
          <w:sz w:val="18"/>
          <w:szCs w:val="18"/>
          <w:lang w:val="en-US"/>
        </w:rPr>
        <w:t xml:space="preserve">, the State must continue the investigation reopened in 2008 or, if </w:t>
      </w:r>
      <w:r w:rsidR="00D2168F" w:rsidRPr="00CF6765">
        <w:rPr>
          <w:sz w:val="18"/>
          <w:szCs w:val="18"/>
          <w:lang w:val="en-US"/>
        </w:rPr>
        <w:t>appropriate</w:t>
      </w:r>
      <w:r w:rsidRPr="00CF6765">
        <w:rPr>
          <w:sz w:val="18"/>
          <w:szCs w:val="18"/>
          <w:lang w:val="en-US"/>
        </w:rPr>
        <w:t xml:space="preserve">, </w:t>
      </w:r>
      <w:r w:rsidR="00D2168F" w:rsidRPr="00CF6765">
        <w:rPr>
          <w:sz w:val="18"/>
          <w:szCs w:val="18"/>
          <w:lang w:val="en-US"/>
        </w:rPr>
        <w:t>open</w:t>
      </w:r>
      <w:r w:rsidRPr="00CF6765">
        <w:rPr>
          <w:sz w:val="18"/>
          <w:szCs w:val="18"/>
          <w:lang w:val="en-US"/>
        </w:rPr>
        <w:t xml:space="preserve"> a new investigation with the aim of overcoming the obstacles identifie</w:t>
      </w:r>
      <w:r w:rsidR="00D2168F" w:rsidRPr="00CF6765">
        <w:rPr>
          <w:sz w:val="18"/>
          <w:szCs w:val="18"/>
          <w:lang w:val="en-US"/>
        </w:rPr>
        <w:t>d</w:t>
      </w:r>
      <w:r w:rsidRPr="00CF6765">
        <w:rPr>
          <w:sz w:val="18"/>
          <w:szCs w:val="18"/>
          <w:lang w:val="en-US"/>
        </w:rPr>
        <w:t xml:space="preserve"> in </w:t>
      </w:r>
      <w:proofErr w:type="spellStart"/>
      <w:r w:rsidRPr="00CF6765">
        <w:rPr>
          <w:sz w:val="18"/>
          <w:szCs w:val="18"/>
          <w:lang w:val="en-US"/>
        </w:rPr>
        <w:t>th</w:t>
      </w:r>
      <w:proofErr w:type="spellEnd"/>
      <w:r w:rsidR="001E55C3" w:rsidRPr="00CF6765">
        <w:rPr>
          <w:sz w:val="18"/>
          <w:szCs w:val="18"/>
          <w:lang w:val="en-US"/>
        </w:rPr>
        <w:t>[e]</w:t>
      </w:r>
      <w:r w:rsidRPr="00CF6765">
        <w:rPr>
          <w:sz w:val="18"/>
          <w:szCs w:val="18"/>
          <w:lang w:val="en-US"/>
        </w:rPr>
        <w:t xml:space="preserve"> report that have impeded </w:t>
      </w:r>
      <w:r w:rsidR="00D2168F" w:rsidRPr="00CF6765">
        <w:rPr>
          <w:sz w:val="18"/>
          <w:szCs w:val="18"/>
          <w:lang w:val="en-US"/>
        </w:rPr>
        <w:t>obtaining</w:t>
      </w:r>
      <w:r w:rsidRPr="00CF6765">
        <w:rPr>
          <w:sz w:val="18"/>
          <w:szCs w:val="18"/>
          <w:lang w:val="en-US"/>
        </w:rPr>
        <w:t xml:space="preserve"> justice</w:t>
      </w:r>
      <w:r w:rsidR="00D2168F" w:rsidRPr="00CF6765">
        <w:rPr>
          <w:sz w:val="18"/>
          <w:szCs w:val="18"/>
          <w:lang w:val="en-US"/>
        </w:rPr>
        <w:t>, [and]</w:t>
      </w:r>
    </w:p>
    <w:p w14:paraId="5D32C83C" w14:textId="4EE354CB" w:rsidR="00D2168F" w:rsidRPr="00CF6765" w:rsidRDefault="00D2168F" w:rsidP="00D2168F">
      <w:pPr>
        <w:pStyle w:val="Prrafodelista"/>
        <w:numPr>
          <w:ilvl w:val="0"/>
          <w:numId w:val="5"/>
        </w:numPr>
        <w:autoSpaceDE w:val="0"/>
        <w:autoSpaceDN w:val="0"/>
        <w:rPr>
          <w:sz w:val="18"/>
          <w:szCs w:val="18"/>
          <w:lang w:val="en-US"/>
        </w:rPr>
      </w:pPr>
      <w:r w:rsidRPr="00CF6765">
        <w:rPr>
          <w:rFonts w:cs="BookAntiqua"/>
          <w:sz w:val="18"/>
          <w:szCs w:val="18"/>
          <w:lang w:val="en-US"/>
        </w:rPr>
        <w:t>Put in place measures of non-repetition that include: (</w:t>
      </w:r>
      <w:proofErr w:type="spellStart"/>
      <w:r w:rsidRPr="00CF6765">
        <w:rPr>
          <w:rFonts w:cs="BookAntiqua"/>
          <w:sz w:val="18"/>
          <w:szCs w:val="18"/>
          <w:lang w:val="en-US"/>
        </w:rPr>
        <w:t>i</w:t>
      </w:r>
      <w:proofErr w:type="spellEnd"/>
      <w:r w:rsidRPr="00CF6765">
        <w:rPr>
          <w:rFonts w:cs="BookAntiqua"/>
          <w:sz w:val="18"/>
          <w:szCs w:val="18"/>
          <w:lang w:val="en-US"/>
        </w:rPr>
        <w:t xml:space="preserve">) any legislative, administrative or other measures that may be required to implement informed consent in the area of health in keeping with the standards established in this report; (ii) the measures needed, including budgetary measures, to ensure that the </w:t>
      </w:r>
      <w:proofErr w:type="spellStart"/>
      <w:r w:rsidRPr="00CF6765">
        <w:rPr>
          <w:rFonts w:cs="BookAntiqua"/>
          <w:sz w:val="18"/>
          <w:szCs w:val="18"/>
          <w:lang w:val="en-US"/>
        </w:rPr>
        <w:t>Sótero</w:t>
      </w:r>
      <w:proofErr w:type="spellEnd"/>
      <w:r w:rsidRPr="00CF6765">
        <w:rPr>
          <w:rFonts w:cs="BookAntiqua"/>
          <w:sz w:val="18"/>
          <w:szCs w:val="18"/>
          <w:lang w:val="en-US"/>
        </w:rPr>
        <w:t xml:space="preserve"> del Río Hospital has the resources and infrastructure needed to provide adequate care, particularly when intensive therapy is required, and (iii) education and training measures for judicial agents regarding the duty to investigate possible liabilities arising from the death of a person as the result of inadequate health care.</w:t>
      </w:r>
    </w:p>
    <w:p w14:paraId="181CAEA0" w14:textId="77777777" w:rsidR="00F3026E" w:rsidRPr="00CF6765" w:rsidRDefault="00F3026E" w:rsidP="00D2168F">
      <w:pPr>
        <w:pStyle w:val="Prrafodelista"/>
        <w:autoSpaceDE w:val="0"/>
        <w:autoSpaceDN w:val="0"/>
        <w:ind w:left="2407"/>
        <w:rPr>
          <w:sz w:val="18"/>
          <w:szCs w:val="18"/>
          <w:lang w:val="en-US"/>
        </w:rPr>
      </w:pPr>
    </w:p>
    <w:p w14:paraId="1F63E40E" w14:textId="17593EF7" w:rsidR="006C37C9" w:rsidRPr="00CF6765" w:rsidRDefault="00D2168F" w:rsidP="00D2168F">
      <w:pPr>
        <w:numPr>
          <w:ilvl w:val="0"/>
          <w:numId w:val="3"/>
        </w:numPr>
        <w:contextualSpacing/>
        <w:rPr>
          <w:rFonts w:eastAsia="Verdana" w:cs="Verdana"/>
          <w:sz w:val="20"/>
          <w:szCs w:val="20"/>
          <w:lang w:val="en-US"/>
        </w:rPr>
      </w:pPr>
      <w:r w:rsidRPr="00CF6765">
        <w:rPr>
          <w:rFonts w:eastAsia="Verdana" w:cs="Verdana"/>
          <w:i/>
          <w:sz w:val="20"/>
          <w:szCs w:val="20"/>
          <w:lang w:val="en-US"/>
        </w:rPr>
        <w:t>Notification</w:t>
      </w:r>
      <w:r w:rsidR="006C37C9" w:rsidRPr="00CF6765">
        <w:rPr>
          <w:rFonts w:eastAsia="Verdana" w:cs="Verdana"/>
          <w:i/>
          <w:sz w:val="20"/>
          <w:szCs w:val="20"/>
          <w:lang w:val="en-US"/>
        </w:rPr>
        <w:t xml:space="preserve"> </w:t>
      </w:r>
      <w:r w:rsidRPr="00CF6765">
        <w:rPr>
          <w:rFonts w:eastAsia="Verdana" w:cs="Verdana"/>
          <w:i/>
          <w:sz w:val="20"/>
          <w:szCs w:val="20"/>
          <w:lang w:val="en-US"/>
        </w:rPr>
        <w:t>of the State</w:t>
      </w:r>
      <w:r w:rsidR="006C37C9" w:rsidRPr="00CF6765">
        <w:rPr>
          <w:rFonts w:eastAsia="Verdana" w:cs="Verdana"/>
          <w:i/>
          <w:sz w:val="20"/>
          <w:szCs w:val="20"/>
          <w:lang w:val="en-US"/>
        </w:rPr>
        <w:t xml:space="preserve">. </w:t>
      </w:r>
      <w:r w:rsidRPr="00CF6765">
        <w:rPr>
          <w:rFonts w:eastAsia="Verdana" w:cs="Verdana"/>
          <w:sz w:val="20"/>
          <w:szCs w:val="20"/>
          <w:lang w:val="en-US"/>
        </w:rPr>
        <w:t xml:space="preserve">The </w:t>
      </w:r>
      <w:r w:rsidR="00EC50FC" w:rsidRPr="00CF6765">
        <w:rPr>
          <w:rFonts w:eastAsia="Verdana" w:cs="Verdana"/>
          <w:sz w:val="20"/>
          <w:szCs w:val="20"/>
          <w:lang w:val="en-US"/>
        </w:rPr>
        <w:t>Merits Report</w:t>
      </w:r>
      <w:r w:rsidR="006C37C9" w:rsidRPr="00CF6765">
        <w:rPr>
          <w:rFonts w:eastAsia="Verdana" w:cs="Verdana"/>
          <w:sz w:val="20"/>
          <w:szCs w:val="20"/>
          <w:lang w:val="en-US"/>
        </w:rPr>
        <w:t xml:space="preserve"> </w:t>
      </w:r>
      <w:r w:rsidRPr="00CF6765">
        <w:rPr>
          <w:rFonts w:eastAsia="Verdana" w:cs="Verdana"/>
          <w:sz w:val="20"/>
          <w:szCs w:val="20"/>
          <w:lang w:val="en-US"/>
        </w:rPr>
        <w:t xml:space="preserve">was notified to the State on May 27, </w:t>
      </w:r>
      <w:r w:rsidR="00EF57B6" w:rsidRPr="00CF6765">
        <w:rPr>
          <w:rFonts w:eastAsia="Verdana" w:cs="Verdana"/>
          <w:sz w:val="20"/>
          <w:szCs w:val="20"/>
          <w:lang w:val="en-US"/>
        </w:rPr>
        <w:t>201</w:t>
      </w:r>
      <w:r w:rsidR="004D67BE" w:rsidRPr="00CF6765">
        <w:rPr>
          <w:rFonts w:eastAsia="Verdana" w:cs="Verdana"/>
          <w:sz w:val="20"/>
          <w:szCs w:val="20"/>
          <w:lang w:val="en-US"/>
        </w:rPr>
        <w:t>6</w:t>
      </w:r>
      <w:r w:rsidR="006C37C9" w:rsidRPr="00CF6765">
        <w:rPr>
          <w:rFonts w:eastAsia="Verdana" w:cs="Verdana"/>
          <w:sz w:val="20"/>
          <w:szCs w:val="20"/>
          <w:lang w:val="en-US"/>
        </w:rPr>
        <w:t xml:space="preserve">, </w:t>
      </w:r>
      <w:r w:rsidRPr="00CF6765">
        <w:rPr>
          <w:rFonts w:eastAsia="Verdana" w:cs="Verdana"/>
          <w:sz w:val="20"/>
          <w:szCs w:val="20"/>
          <w:lang w:val="en-US"/>
        </w:rPr>
        <w:t xml:space="preserve">granting it two months to report on compliance with the recommendations. </w:t>
      </w:r>
    </w:p>
    <w:p w14:paraId="5630B2D8" w14:textId="09CB436B" w:rsidR="00B4445F" w:rsidRPr="00CF6765" w:rsidRDefault="00B4445F" w:rsidP="00D2168F">
      <w:pPr>
        <w:ind w:left="818"/>
        <w:contextualSpacing/>
        <w:rPr>
          <w:rFonts w:eastAsia="Verdana" w:cs="Verdana"/>
          <w:sz w:val="20"/>
          <w:szCs w:val="20"/>
          <w:lang w:val="en-US"/>
        </w:rPr>
      </w:pPr>
    </w:p>
    <w:p w14:paraId="2549E66E" w14:textId="41FAEA3E" w:rsidR="006C37C9" w:rsidRPr="00CF6765" w:rsidRDefault="00D2168F" w:rsidP="00D2168F">
      <w:pPr>
        <w:numPr>
          <w:ilvl w:val="0"/>
          <w:numId w:val="3"/>
        </w:numPr>
        <w:contextualSpacing/>
        <w:rPr>
          <w:sz w:val="20"/>
          <w:szCs w:val="20"/>
          <w:lang w:val="en-US"/>
        </w:rPr>
      </w:pPr>
      <w:r w:rsidRPr="00CF6765">
        <w:rPr>
          <w:rFonts w:eastAsia="Verdana" w:cs="Verdana"/>
          <w:i/>
          <w:sz w:val="20"/>
          <w:szCs w:val="20"/>
          <w:lang w:val="en-US"/>
        </w:rPr>
        <w:t>Reports on the Commission’s recommendations</w:t>
      </w:r>
      <w:r w:rsidR="006C37C9" w:rsidRPr="00CF6765">
        <w:rPr>
          <w:rFonts w:eastAsia="Verdana" w:cs="Verdana"/>
          <w:i/>
          <w:sz w:val="20"/>
          <w:szCs w:val="20"/>
          <w:lang w:val="en-US"/>
        </w:rPr>
        <w:t xml:space="preserve">. </w:t>
      </w:r>
      <w:r w:rsidR="00EC50FC" w:rsidRPr="00CF6765">
        <w:rPr>
          <w:sz w:val="20"/>
          <w:szCs w:val="20"/>
          <w:lang w:val="en-US"/>
        </w:rPr>
        <w:t xml:space="preserve">The </w:t>
      </w:r>
      <w:r w:rsidR="00671A8C" w:rsidRPr="00CF6765">
        <w:rPr>
          <w:sz w:val="20"/>
          <w:szCs w:val="20"/>
          <w:lang w:val="en-US"/>
        </w:rPr>
        <w:t>Chilean State</w:t>
      </w:r>
      <w:r w:rsidR="000C3D54" w:rsidRPr="00CF6765">
        <w:rPr>
          <w:sz w:val="20"/>
          <w:szCs w:val="20"/>
          <w:lang w:val="en-US"/>
        </w:rPr>
        <w:t xml:space="preserve"> </w:t>
      </w:r>
      <w:r w:rsidRPr="00CF6765">
        <w:rPr>
          <w:sz w:val="20"/>
          <w:szCs w:val="20"/>
          <w:lang w:val="en-US"/>
        </w:rPr>
        <w:t xml:space="preserve">did not respond </w:t>
      </w:r>
      <w:r w:rsidR="00E27148" w:rsidRPr="00CF6765">
        <w:rPr>
          <w:sz w:val="20"/>
          <w:szCs w:val="20"/>
          <w:lang w:val="en-US"/>
        </w:rPr>
        <w:t>to the</w:t>
      </w:r>
      <w:r w:rsidRPr="00CF6765">
        <w:rPr>
          <w:sz w:val="20"/>
          <w:szCs w:val="20"/>
          <w:lang w:val="en-US"/>
        </w:rPr>
        <w:t xml:space="preserve"> </w:t>
      </w:r>
      <w:r w:rsidR="001E55C3" w:rsidRPr="00CF6765">
        <w:rPr>
          <w:sz w:val="20"/>
          <w:szCs w:val="20"/>
          <w:lang w:val="en-US"/>
        </w:rPr>
        <w:t xml:space="preserve">Commission’s </w:t>
      </w:r>
      <w:r w:rsidR="00EC50FC" w:rsidRPr="00CF6765">
        <w:rPr>
          <w:sz w:val="20"/>
          <w:szCs w:val="20"/>
          <w:lang w:val="en-US"/>
        </w:rPr>
        <w:t>Merits Report</w:t>
      </w:r>
      <w:r w:rsidR="000C3D54" w:rsidRPr="00CF6765">
        <w:rPr>
          <w:sz w:val="20"/>
          <w:szCs w:val="20"/>
          <w:lang w:val="en-US"/>
        </w:rPr>
        <w:t>.</w:t>
      </w:r>
    </w:p>
    <w:p w14:paraId="1F19DB43" w14:textId="77777777" w:rsidR="006C37C9" w:rsidRPr="00CF6765" w:rsidRDefault="006C37C9" w:rsidP="00D2168F">
      <w:pPr>
        <w:ind w:left="818"/>
        <w:contextualSpacing/>
        <w:rPr>
          <w:rFonts w:eastAsia="Verdana" w:cs="Verdana"/>
          <w:sz w:val="20"/>
          <w:szCs w:val="20"/>
          <w:lang w:val="en-US"/>
        </w:rPr>
      </w:pPr>
    </w:p>
    <w:p w14:paraId="3DFD4FE3" w14:textId="44656DDC" w:rsidR="006C37C9" w:rsidRPr="00CF6765" w:rsidRDefault="006C37C9" w:rsidP="00D2168F">
      <w:pPr>
        <w:numPr>
          <w:ilvl w:val="0"/>
          <w:numId w:val="2"/>
        </w:numPr>
        <w:tabs>
          <w:tab w:val="left" w:pos="567"/>
          <w:tab w:val="num" w:pos="12305"/>
        </w:tabs>
        <w:ind w:left="0" w:firstLine="0"/>
        <w:rPr>
          <w:rFonts w:cs="Arial"/>
          <w:sz w:val="20"/>
          <w:szCs w:val="20"/>
          <w:lang w:val="en-US"/>
        </w:rPr>
      </w:pPr>
      <w:r w:rsidRPr="00CF6765">
        <w:rPr>
          <w:rFonts w:eastAsia="Verdana" w:cs="Verdana"/>
          <w:i/>
          <w:sz w:val="20"/>
          <w:szCs w:val="20"/>
          <w:lang w:val="en-US"/>
        </w:rPr>
        <w:t>S</w:t>
      </w:r>
      <w:r w:rsidR="00D2168F" w:rsidRPr="00CF6765">
        <w:rPr>
          <w:rFonts w:eastAsia="Verdana" w:cs="Verdana"/>
          <w:i/>
          <w:sz w:val="20"/>
          <w:szCs w:val="20"/>
          <w:lang w:val="en-US"/>
        </w:rPr>
        <w:t>ubmission to</w:t>
      </w:r>
      <w:r w:rsidRPr="00CF6765">
        <w:rPr>
          <w:rFonts w:eastAsia="Verdana" w:cs="Verdana"/>
          <w:i/>
          <w:sz w:val="20"/>
          <w:szCs w:val="20"/>
          <w:lang w:val="en-US"/>
        </w:rPr>
        <w:t xml:space="preserve"> </w:t>
      </w:r>
      <w:r w:rsidR="005C731C" w:rsidRPr="00CF6765">
        <w:rPr>
          <w:rFonts w:eastAsia="Verdana" w:cs="Verdana"/>
          <w:i/>
          <w:sz w:val="20"/>
          <w:szCs w:val="20"/>
          <w:lang w:val="en-US"/>
        </w:rPr>
        <w:t>the Court</w:t>
      </w:r>
      <w:r w:rsidRPr="00CF6765">
        <w:rPr>
          <w:rFonts w:eastAsia="Verdana" w:cs="Verdana"/>
          <w:i/>
          <w:sz w:val="20"/>
          <w:szCs w:val="20"/>
          <w:lang w:val="en-US"/>
        </w:rPr>
        <w:t xml:space="preserve">. </w:t>
      </w:r>
      <w:r w:rsidR="00D2168F" w:rsidRPr="00CF6765">
        <w:rPr>
          <w:rFonts w:eastAsia="Verdana" w:cs="Verdana"/>
          <w:sz w:val="20"/>
          <w:szCs w:val="20"/>
          <w:lang w:val="en-US"/>
        </w:rPr>
        <w:t>On August 26,</w:t>
      </w:r>
      <w:r w:rsidR="00EF57B6" w:rsidRPr="00CF6765">
        <w:rPr>
          <w:rFonts w:eastAsia="Verdana" w:cs="Verdana"/>
          <w:sz w:val="20"/>
          <w:szCs w:val="20"/>
          <w:lang w:val="en-US"/>
        </w:rPr>
        <w:t xml:space="preserve"> 2016</w:t>
      </w:r>
      <w:r w:rsidRPr="00CF6765">
        <w:rPr>
          <w:rFonts w:eastAsia="Verdana" w:cs="Verdana"/>
          <w:sz w:val="20"/>
          <w:szCs w:val="20"/>
          <w:lang w:val="en-US"/>
        </w:rPr>
        <w:t xml:space="preserve">, </w:t>
      </w:r>
      <w:r w:rsidR="005C731C" w:rsidRPr="00CF6765">
        <w:rPr>
          <w:rFonts w:eastAsia="Verdana" w:cs="Verdana"/>
          <w:sz w:val="20"/>
          <w:szCs w:val="20"/>
          <w:lang w:val="en-US"/>
        </w:rPr>
        <w:t>the Commission</w:t>
      </w:r>
      <w:r w:rsidRPr="00CF6765">
        <w:rPr>
          <w:rFonts w:eastAsia="Verdana" w:cs="Verdana"/>
          <w:sz w:val="20"/>
          <w:szCs w:val="20"/>
          <w:lang w:val="en-US"/>
        </w:rPr>
        <w:t xml:space="preserve"> s</w:t>
      </w:r>
      <w:r w:rsidR="00D2168F" w:rsidRPr="00CF6765">
        <w:rPr>
          <w:rFonts w:eastAsia="Verdana" w:cs="Verdana"/>
          <w:sz w:val="20"/>
          <w:szCs w:val="20"/>
          <w:lang w:val="en-US"/>
        </w:rPr>
        <w:t xml:space="preserve">ubmitted all the facts and human rights described in the </w:t>
      </w:r>
      <w:r w:rsidR="00EC50FC" w:rsidRPr="00CF6765">
        <w:rPr>
          <w:rFonts w:eastAsia="Verdana" w:cs="Verdana"/>
          <w:sz w:val="20"/>
          <w:szCs w:val="20"/>
          <w:lang w:val="en-US"/>
        </w:rPr>
        <w:t>Merits Report</w:t>
      </w:r>
      <w:r w:rsidRPr="00CF6765">
        <w:rPr>
          <w:rFonts w:eastAsia="Verdana" w:cs="Verdana"/>
          <w:sz w:val="20"/>
          <w:szCs w:val="20"/>
          <w:lang w:val="en-US"/>
        </w:rPr>
        <w:t xml:space="preserve"> </w:t>
      </w:r>
      <w:r w:rsidR="00D2168F" w:rsidRPr="00CF6765">
        <w:rPr>
          <w:rFonts w:eastAsia="Verdana" w:cs="Verdana"/>
          <w:sz w:val="20"/>
          <w:szCs w:val="20"/>
          <w:lang w:val="en-US"/>
        </w:rPr>
        <w:t xml:space="preserve">to the jurisdiction the Inter-American Court </w:t>
      </w:r>
      <w:r w:rsidRPr="00CF6765">
        <w:rPr>
          <w:rFonts w:eastAsia="Verdana" w:cs="Verdana"/>
          <w:sz w:val="20"/>
          <w:szCs w:val="20"/>
          <w:lang w:val="en-US"/>
        </w:rPr>
        <w:t>“</w:t>
      </w:r>
      <w:r w:rsidR="00D2168F" w:rsidRPr="00CF6765">
        <w:rPr>
          <w:rFonts w:eastAsia="Verdana" w:cs="Verdana"/>
          <w:sz w:val="20"/>
          <w:szCs w:val="20"/>
          <w:lang w:val="en-US"/>
        </w:rPr>
        <w:t>given the need to obtain justice.</w:t>
      </w:r>
      <w:r w:rsidRPr="00CF6765">
        <w:rPr>
          <w:rFonts w:eastAsia="Verdana" w:cs="Verdana"/>
          <w:sz w:val="20"/>
          <w:szCs w:val="20"/>
          <w:lang w:val="en-US"/>
        </w:rPr>
        <w:t>”</w:t>
      </w:r>
      <w:r w:rsidR="00EB3F3D" w:rsidRPr="00CF6765">
        <w:rPr>
          <w:rStyle w:val="Refdenotaalpie"/>
          <w:rFonts w:eastAsia="Verdana" w:cs="Verdana"/>
          <w:sz w:val="20"/>
          <w:szCs w:val="20"/>
          <w:lang w:val="en-US"/>
        </w:rPr>
        <w:footnoteReference w:id="6"/>
      </w:r>
    </w:p>
    <w:p w14:paraId="39EE9A4C" w14:textId="77777777" w:rsidR="006C37C9" w:rsidRPr="00CF6765" w:rsidRDefault="006C37C9" w:rsidP="00F3026E">
      <w:pPr>
        <w:ind w:left="818" w:right="144"/>
        <w:contextualSpacing/>
        <w:rPr>
          <w:rFonts w:cs="Arial"/>
          <w:sz w:val="20"/>
          <w:szCs w:val="20"/>
          <w:lang w:val="en-US"/>
        </w:rPr>
      </w:pPr>
    </w:p>
    <w:p w14:paraId="11A21F7E" w14:textId="3561291D" w:rsidR="006C37C9" w:rsidRPr="00CF6765" w:rsidRDefault="00D2168F" w:rsidP="00F3026E">
      <w:pPr>
        <w:numPr>
          <w:ilvl w:val="0"/>
          <w:numId w:val="2"/>
        </w:numPr>
        <w:tabs>
          <w:tab w:val="left" w:pos="567"/>
          <w:tab w:val="num" w:pos="12305"/>
        </w:tabs>
        <w:ind w:left="0" w:firstLine="0"/>
        <w:rPr>
          <w:rFonts w:eastAsia="Verdana" w:cs="Verdana"/>
          <w:sz w:val="20"/>
          <w:szCs w:val="20"/>
          <w:lang w:val="en-US"/>
        </w:rPr>
      </w:pPr>
      <w:r w:rsidRPr="00CF6765">
        <w:rPr>
          <w:rFonts w:eastAsia="Verdana" w:cs="Verdana"/>
          <w:i/>
          <w:sz w:val="20"/>
          <w:szCs w:val="20"/>
          <w:lang w:val="en-US"/>
        </w:rPr>
        <w:t>Request</w:t>
      </w:r>
      <w:r w:rsidR="006C37C9" w:rsidRPr="00CF6765">
        <w:rPr>
          <w:rFonts w:eastAsia="Verdana" w:cs="Verdana"/>
          <w:i/>
          <w:sz w:val="20"/>
          <w:szCs w:val="20"/>
          <w:lang w:val="en-US"/>
        </w:rPr>
        <w:t>s</w:t>
      </w:r>
      <w:r w:rsidR="005C731C" w:rsidRPr="00CF6765">
        <w:rPr>
          <w:rFonts w:eastAsia="Verdana" w:cs="Verdana"/>
          <w:i/>
          <w:sz w:val="20"/>
          <w:szCs w:val="20"/>
          <w:lang w:val="en-US"/>
        </w:rPr>
        <w:t xml:space="preserve"> </w:t>
      </w:r>
      <w:r w:rsidR="001E55C3" w:rsidRPr="00CF6765">
        <w:rPr>
          <w:rFonts w:eastAsia="Verdana" w:cs="Verdana"/>
          <w:i/>
          <w:sz w:val="20"/>
          <w:szCs w:val="20"/>
          <w:lang w:val="en-US"/>
        </w:rPr>
        <w:t>by</w:t>
      </w:r>
      <w:r w:rsidR="005C731C" w:rsidRPr="00CF6765">
        <w:rPr>
          <w:rFonts w:eastAsia="Verdana" w:cs="Verdana"/>
          <w:i/>
          <w:sz w:val="20"/>
          <w:szCs w:val="20"/>
          <w:lang w:val="en-US"/>
        </w:rPr>
        <w:t xml:space="preserve"> the Inter-American Commission</w:t>
      </w:r>
      <w:r w:rsidR="006C37C9" w:rsidRPr="00CF6765">
        <w:rPr>
          <w:rFonts w:eastAsia="Verdana" w:cs="Verdana"/>
          <w:i/>
          <w:sz w:val="20"/>
          <w:szCs w:val="20"/>
          <w:lang w:val="en-US"/>
        </w:rPr>
        <w:t xml:space="preserve">. </w:t>
      </w:r>
      <w:r w:rsidRPr="00CF6765">
        <w:rPr>
          <w:rFonts w:eastAsia="Verdana" w:cs="Verdana"/>
          <w:sz w:val="20"/>
          <w:szCs w:val="20"/>
          <w:lang w:val="en-US"/>
        </w:rPr>
        <w:t>Based on the foregoing</w:t>
      </w:r>
      <w:r w:rsidR="006C37C9" w:rsidRPr="00CF6765">
        <w:rPr>
          <w:rFonts w:eastAsia="Verdana" w:cs="Verdana"/>
          <w:sz w:val="20"/>
          <w:szCs w:val="20"/>
          <w:lang w:val="en-US"/>
        </w:rPr>
        <w:t xml:space="preserve">, </w:t>
      </w:r>
      <w:r w:rsidR="005C731C" w:rsidRPr="00CF6765">
        <w:rPr>
          <w:rFonts w:eastAsia="Verdana" w:cs="Verdana"/>
          <w:sz w:val="20"/>
          <w:szCs w:val="20"/>
          <w:lang w:val="en-US"/>
        </w:rPr>
        <w:t>the Commission</w:t>
      </w:r>
      <w:r w:rsidR="006C37C9" w:rsidRPr="00CF6765">
        <w:rPr>
          <w:rFonts w:eastAsia="Verdana" w:cs="Verdana"/>
          <w:sz w:val="20"/>
          <w:szCs w:val="20"/>
          <w:lang w:val="en-US"/>
        </w:rPr>
        <w:t xml:space="preserve"> </w:t>
      </w:r>
      <w:r w:rsidRPr="00CF6765">
        <w:rPr>
          <w:rFonts w:eastAsia="Verdana" w:cs="Verdana"/>
          <w:sz w:val="20"/>
          <w:szCs w:val="20"/>
          <w:lang w:val="en-US"/>
        </w:rPr>
        <w:t>asked</w:t>
      </w:r>
      <w:r w:rsidR="006C37C9" w:rsidRPr="00CF6765">
        <w:rPr>
          <w:rFonts w:eastAsia="Verdana" w:cs="Verdana"/>
          <w:sz w:val="20"/>
          <w:szCs w:val="20"/>
          <w:lang w:val="en-US"/>
        </w:rPr>
        <w:t xml:space="preserve"> </w:t>
      </w:r>
      <w:r w:rsidR="005C731C" w:rsidRPr="00CF6765">
        <w:rPr>
          <w:rFonts w:eastAsia="Verdana" w:cs="Verdana"/>
          <w:sz w:val="20"/>
          <w:szCs w:val="20"/>
          <w:lang w:val="en-US"/>
        </w:rPr>
        <w:t>the Court</w:t>
      </w:r>
      <w:r w:rsidR="006C37C9" w:rsidRPr="00CF6765">
        <w:rPr>
          <w:rFonts w:eastAsia="Verdana" w:cs="Verdana"/>
          <w:sz w:val="20"/>
          <w:szCs w:val="20"/>
          <w:lang w:val="en-US"/>
        </w:rPr>
        <w:t xml:space="preserve"> </w:t>
      </w:r>
      <w:r w:rsidRPr="00CF6765">
        <w:rPr>
          <w:rFonts w:eastAsia="Verdana" w:cs="Verdana"/>
          <w:sz w:val="20"/>
          <w:szCs w:val="20"/>
          <w:lang w:val="en-US"/>
        </w:rPr>
        <w:t xml:space="preserve">to declare that the State was internationally responsible for the violations indicated in its </w:t>
      </w:r>
      <w:r w:rsidR="00EC50FC" w:rsidRPr="00CF6765">
        <w:rPr>
          <w:rFonts w:eastAsia="Verdana" w:cs="Verdana"/>
          <w:sz w:val="20"/>
          <w:szCs w:val="20"/>
          <w:lang w:val="en-US"/>
        </w:rPr>
        <w:t>Merits Report</w:t>
      </w:r>
      <w:r w:rsidR="006C37C9" w:rsidRPr="00CF6765">
        <w:rPr>
          <w:rFonts w:eastAsia="Verdana" w:cs="Verdana"/>
          <w:sz w:val="20"/>
          <w:szCs w:val="20"/>
          <w:lang w:val="en-US"/>
        </w:rPr>
        <w:t xml:space="preserve"> </w:t>
      </w:r>
      <w:r w:rsidR="006C37C9" w:rsidRPr="00CF6765">
        <w:rPr>
          <w:rFonts w:cs="Verdana"/>
          <w:sz w:val="20"/>
          <w:szCs w:val="20"/>
          <w:lang w:val="en-US"/>
        </w:rPr>
        <w:t>(</w:t>
      </w:r>
      <w:r w:rsidR="00062586" w:rsidRPr="00CF6765">
        <w:rPr>
          <w:rFonts w:cs="Verdana"/>
          <w:i/>
          <w:iCs/>
          <w:sz w:val="20"/>
          <w:szCs w:val="20"/>
          <w:lang w:val="en-US"/>
        </w:rPr>
        <w:t>supra</w:t>
      </w:r>
      <w:r w:rsidR="006C37C9" w:rsidRPr="00CF6765">
        <w:rPr>
          <w:rFonts w:cs="Verdana"/>
          <w:i/>
          <w:iCs/>
          <w:sz w:val="20"/>
          <w:szCs w:val="20"/>
          <w:lang w:val="en-US"/>
        </w:rPr>
        <w:t xml:space="preserve"> </w:t>
      </w:r>
      <w:r w:rsidR="00EC50FC" w:rsidRPr="00CF6765">
        <w:rPr>
          <w:rFonts w:cs="Verdana"/>
          <w:sz w:val="20"/>
          <w:szCs w:val="20"/>
          <w:lang w:val="en-US"/>
        </w:rPr>
        <w:t>para.</w:t>
      </w:r>
      <w:r w:rsidR="003568FC" w:rsidRPr="00CF6765">
        <w:rPr>
          <w:rFonts w:cs="Verdana"/>
          <w:sz w:val="20"/>
          <w:szCs w:val="20"/>
          <w:lang w:val="en-US"/>
        </w:rPr>
        <w:t xml:space="preserve"> 2.c.</w:t>
      </w:r>
      <w:r w:rsidR="006C37C9" w:rsidRPr="00CF6765">
        <w:rPr>
          <w:rFonts w:cs="Verdana"/>
          <w:sz w:val="20"/>
          <w:szCs w:val="20"/>
          <w:lang w:val="en-US"/>
        </w:rPr>
        <w:t>)</w:t>
      </w:r>
      <w:r w:rsidR="006C37C9" w:rsidRPr="00CF6765">
        <w:rPr>
          <w:rFonts w:eastAsia="Verdana" w:cs="Verdana"/>
          <w:sz w:val="20"/>
          <w:szCs w:val="20"/>
          <w:lang w:val="en-US"/>
        </w:rPr>
        <w:t xml:space="preserve">. </w:t>
      </w:r>
      <w:r w:rsidRPr="00CF6765">
        <w:rPr>
          <w:rFonts w:eastAsia="Verdana" w:cs="Verdana"/>
          <w:sz w:val="20"/>
          <w:szCs w:val="20"/>
          <w:lang w:val="en-US"/>
        </w:rPr>
        <w:t>The</w:t>
      </w:r>
      <w:r w:rsidR="005C731C" w:rsidRPr="00CF6765">
        <w:rPr>
          <w:rFonts w:eastAsia="Verdana" w:cs="Verdana"/>
          <w:sz w:val="20"/>
          <w:szCs w:val="20"/>
          <w:lang w:val="en-US"/>
        </w:rPr>
        <w:t xml:space="preserve"> Commission</w:t>
      </w:r>
      <w:r w:rsidR="006C37C9" w:rsidRPr="00CF6765">
        <w:rPr>
          <w:rFonts w:eastAsia="Verdana" w:cs="Verdana"/>
          <w:sz w:val="20"/>
          <w:szCs w:val="20"/>
          <w:lang w:val="en-US"/>
        </w:rPr>
        <w:t xml:space="preserve"> </w:t>
      </w:r>
      <w:r w:rsidRPr="00CF6765">
        <w:rPr>
          <w:rFonts w:eastAsia="Verdana" w:cs="Verdana"/>
          <w:sz w:val="20"/>
          <w:szCs w:val="20"/>
          <w:lang w:val="en-US"/>
        </w:rPr>
        <w:t>also asked</w:t>
      </w:r>
      <w:r w:rsidR="006C37C9" w:rsidRPr="00CF6765">
        <w:rPr>
          <w:rFonts w:eastAsia="Verdana" w:cs="Verdana"/>
          <w:sz w:val="20"/>
          <w:szCs w:val="20"/>
          <w:lang w:val="en-US"/>
        </w:rPr>
        <w:t xml:space="preserve"> </w:t>
      </w:r>
      <w:r w:rsidR="005C731C" w:rsidRPr="00CF6765">
        <w:rPr>
          <w:rFonts w:eastAsia="Verdana" w:cs="Verdana"/>
          <w:sz w:val="20"/>
          <w:szCs w:val="20"/>
          <w:lang w:val="en-US"/>
        </w:rPr>
        <w:t>the Court</w:t>
      </w:r>
      <w:r w:rsidR="006C37C9" w:rsidRPr="00CF6765">
        <w:rPr>
          <w:rFonts w:eastAsia="Verdana" w:cs="Verdana"/>
          <w:sz w:val="20"/>
          <w:szCs w:val="20"/>
          <w:lang w:val="en-US"/>
        </w:rPr>
        <w:t xml:space="preserve"> </w:t>
      </w:r>
      <w:r w:rsidRPr="00CF6765">
        <w:rPr>
          <w:rFonts w:eastAsia="Verdana" w:cs="Verdana"/>
          <w:sz w:val="20"/>
          <w:szCs w:val="20"/>
          <w:lang w:val="en-US"/>
        </w:rPr>
        <w:t xml:space="preserve">to </w:t>
      </w:r>
      <w:r w:rsidR="001E55C3" w:rsidRPr="00CF6765">
        <w:rPr>
          <w:rFonts w:eastAsia="Verdana" w:cs="Verdana"/>
          <w:sz w:val="20"/>
          <w:szCs w:val="20"/>
          <w:lang w:val="en-US"/>
        </w:rPr>
        <w:t>establish</w:t>
      </w:r>
      <w:r w:rsidRPr="00CF6765">
        <w:rPr>
          <w:rFonts w:eastAsia="Verdana" w:cs="Verdana"/>
          <w:sz w:val="20"/>
          <w:szCs w:val="20"/>
          <w:lang w:val="en-US"/>
        </w:rPr>
        <w:t xml:space="preserve"> specific measures of reparation, which are described and analyzed in</w:t>
      </w:r>
      <w:r w:rsidR="006C37C9" w:rsidRPr="00CF6765">
        <w:rPr>
          <w:rFonts w:eastAsia="Verdana" w:cs="Verdana"/>
          <w:sz w:val="20"/>
          <w:szCs w:val="20"/>
          <w:lang w:val="en-US"/>
        </w:rPr>
        <w:t xml:space="preserve"> </w:t>
      </w:r>
      <w:r w:rsidRPr="00CF6765">
        <w:rPr>
          <w:rFonts w:eastAsia="Verdana" w:cs="Verdana"/>
          <w:sz w:val="20"/>
          <w:szCs w:val="20"/>
          <w:lang w:val="en-US"/>
        </w:rPr>
        <w:t>Chapter</w:t>
      </w:r>
      <w:r w:rsidR="006C37C9" w:rsidRPr="00CF6765">
        <w:rPr>
          <w:rFonts w:eastAsia="Verdana" w:cs="Verdana"/>
          <w:sz w:val="20"/>
          <w:szCs w:val="20"/>
          <w:lang w:val="en-US"/>
        </w:rPr>
        <w:t xml:space="preserve"> </w:t>
      </w:r>
      <w:r w:rsidR="00F4682C" w:rsidRPr="00CF6765">
        <w:rPr>
          <w:rFonts w:eastAsia="Verdana" w:cs="Verdana"/>
          <w:sz w:val="20"/>
          <w:szCs w:val="20"/>
          <w:lang w:val="en-US"/>
        </w:rPr>
        <w:t>VIII</w:t>
      </w:r>
      <w:r w:rsidR="006C37C9" w:rsidRPr="00CF6765">
        <w:rPr>
          <w:rFonts w:eastAsia="Verdana" w:cs="Verdana"/>
          <w:sz w:val="20"/>
          <w:szCs w:val="20"/>
          <w:lang w:val="en-US"/>
        </w:rPr>
        <w:t xml:space="preserve"> </w:t>
      </w:r>
      <w:r w:rsidRPr="00CF6765">
        <w:rPr>
          <w:rFonts w:eastAsia="Verdana" w:cs="Verdana"/>
          <w:sz w:val="20"/>
          <w:szCs w:val="20"/>
          <w:lang w:val="en-US"/>
        </w:rPr>
        <w:t>of this judgment</w:t>
      </w:r>
      <w:r w:rsidR="006C37C9" w:rsidRPr="00CF6765">
        <w:rPr>
          <w:rFonts w:eastAsia="Verdana" w:cs="Verdana"/>
          <w:sz w:val="20"/>
          <w:szCs w:val="20"/>
          <w:lang w:val="en-US"/>
        </w:rPr>
        <w:t>.</w:t>
      </w:r>
    </w:p>
    <w:p w14:paraId="139EDC00" w14:textId="74635867" w:rsidR="006C37C9" w:rsidRPr="00CF6765" w:rsidRDefault="006C37C9" w:rsidP="006C37C9">
      <w:pPr>
        <w:pStyle w:val="Prrafodelista"/>
        <w:autoSpaceDE w:val="0"/>
        <w:autoSpaceDN w:val="0"/>
        <w:ind w:left="709"/>
        <w:rPr>
          <w:rFonts w:eastAsia="Verdana" w:cs="Verdana"/>
          <w:sz w:val="20"/>
          <w:szCs w:val="20"/>
          <w:lang w:val="en-US"/>
        </w:rPr>
      </w:pPr>
    </w:p>
    <w:p w14:paraId="506A9A74" w14:textId="2FCE6F89" w:rsidR="003568FC" w:rsidRPr="00CF6765" w:rsidRDefault="006C37C9" w:rsidP="00F322EC">
      <w:pPr>
        <w:pStyle w:val="Ttulo"/>
      </w:pPr>
      <w:bookmarkStart w:id="12" w:name="_Toc372568229"/>
      <w:bookmarkStart w:id="13" w:name="_Toc373093235"/>
      <w:bookmarkStart w:id="14" w:name="_Toc373350047"/>
      <w:bookmarkStart w:id="15" w:name="_Toc375560893"/>
      <w:bookmarkStart w:id="16" w:name="_Toc401931878"/>
      <w:bookmarkStart w:id="17" w:name="_Toc428369977"/>
      <w:bookmarkStart w:id="18" w:name="_Toc459158093"/>
      <w:bookmarkStart w:id="19" w:name="_Toc470180033"/>
      <w:bookmarkStart w:id="20" w:name="_Toc47864351"/>
      <w:r w:rsidRPr="00CF6765">
        <w:t>II</w:t>
      </w:r>
      <w:bookmarkStart w:id="21" w:name="_Toc375062711"/>
      <w:bookmarkStart w:id="22" w:name="_Toc375140861"/>
      <w:bookmarkStart w:id="23" w:name="_Toc375504820"/>
      <w:bookmarkStart w:id="24" w:name="_Toc375560894"/>
      <w:bookmarkEnd w:id="12"/>
      <w:bookmarkEnd w:id="13"/>
      <w:bookmarkEnd w:id="14"/>
      <w:bookmarkEnd w:id="15"/>
      <w:r w:rsidRPr="00CF6765">
        <w:br/>
      </w:r>
      <w:r w:rsidR="00D2168F" w:rsidRPr="00CF6765">
        <w:t>PROCEEDINGS BEFORE</w:t>
      </w:r>
      <w:r w:rsidRPr="00CF6765">
        <w:t xml:space="preserve"> </w:t>
      </w:r>
      <w:r w:rsidR="005C731C" w:rsidRPr="00CF6765">
        <w:t>THE COURT</w:t>
      </w:r>
      <w:bookmarkEnd w:id="16"/>
      <w:bookmarkEnd w:id="17"/>
      <w:bookmarkEnd w:id="18"/>
      <w:bookmarkEnd w:id="19"/>
      <w:bookmarkEnd w:id="20"/>
      <w:bookmarkEnd w:id="21"/>
      <w:bookmarkEnd w:id="22"/>
      <w:bookmarkEnd w:id="23"/>
      <w:bookmarkEnd w:id="24"/>
    </w:p>
    <w:p w14:paraId="24B445A9" w14:textId="77777777" w:rsidR="00F3026E" w:rsidRPr="00CF6765" w:rsidRDefault="00F3026E" w:rsidP="00F3026E">
      <w:pPr>
        <w:rPr>
          <w:rFonts w:eastAsia="Verdana"/>
          <w:sz w:val="20"/>
          <w:szCs w:val="20"/>
          <w:lang w:val="en-US"/>
        </w:rPr>
      </w:pPr>
    </w:p>
    <w:p w14:paraId="32E11EFD" w14:textId="7F8F731B" w:rsidR="006C37C9" w:rsidRPr="00CF6765" w:rsidRDefault="00D2168F" w:rsidP="00F3026E">
      <w:pPr>
        <w:numPr>
          <w:ilvl w:val="0"/>
          <w:numId w:val="2"/>
        </w:numPr>
        <w:tabs>
          <w:tab w:val="left" w:pos="567"/>
          <w:tab w:val="num" w:pos="12305"/>
        </w:tabs>
        <w:ind w:left="0" w:firstLine="0"/>
        <w:rPr>
          <w:rFonts w:eastAsia="Verdana" w:cs="Verdana"/>
          <w:sz w:val="16"/>
          <w:szCs w:val="16"/>
          <w:lang w:val="en-US"/>
        </w:rPr>
      </w:pPr>
      <w:r w:rsidRPr="00CF6765">
        <w:rPr>
          <w:rFonts w:eastAsia="Verdana" w:cs="Verdana"/>
          <w:i/>
          <w:sz w:val="20"/>
          <w:szCs w:val="20"/>
          <w:lang w:val="en-US"/>
        </w:rPr>
        <w:t>Notification</w:t>
      </w:r>
      <w:r w:rsidR="006C37C9" w:rsidRPr="00CF6765">
        <w:rPr>
          <w:rFonts w:eastAsia="Verdana" w:cs="Verdana"/>
          <w:i/>
          <w:sz w:val="20"/>
          <w:szCs w:val="20"/>
          <w:lang w:val="en-US"/>
        </w:rPr>
        <w:t xml:space="preserve"> </w:t>
      </w:r>
      <w:r w:rsidR="001E55C3" w:rsidRPr="00CF6765">
        <w:rPr>
          <w:rFonts w:eastAsia="Verdana" w:cs="Verdana"/>
          <w:i/>
          <w:sz w:val="20"/>
          <w:szCs w:val="20"/>
          <w:lang w:val="en-US"/>
        </w:rPr>
        <w:t>of</w:t>
      </w:r>
      <w:r w:rsidR="006C37C9" w:rsidRPr="00CF6765">
        <w:rPr>
          <w:rFonts w:eastAsia="Verdana" w:cs="Verdana"/>
          <w:i/>
          <w:sz w:val="20"/>
          <w:szCs w:val="20"/>
          <w:lang w:val="en-US"/>
        </w:rPr>
        <w:t xml:space="preserve"> </w:t>
      </w:r>
      <w:r w:rsidRPr="00CF6765">
        <w:rPr>
          <w:rFonts w:eastAsia="Verdana" w:cs="Verdana"/>
          <w:i/>
          <w:sz w:val="20"/>
          <w:szCs w:val="20"/>
          <w:lang w:val="en-US"/>
        </w:rPr>
        <w:t>the representatives</w:t>
      </w:r>
      <w:r w:rsidR="00EC50FC" w:rsidRPr="00CF6765">
        <w:rPr>
          <w:rFonts w:eastAsia="Verdana" w:cs="Verdana"/>
          <w:i/>
          <w:sz w:val="20"/>
          <w:szCs w:val="20"/>
          <w:lang w:val="en-US"/>
        </w:rPr>
        <w:t xml:space="preserve"> and</w:t>
      </w:r>
      <w:r w:rsidR="001E55C3" w:rsidRPr="00CF6765">
        <w:rPr>
          <w:rFonts w:eastAsia="Verdana" w:cs="Verdana"/>
          <w:i/>
          <w:sz w:val="20"/>
          <w:szCs w:val="20"/>
          <w:lang w:val="en-US"/>
        </w:rPr>
        <w:t xml:space="preserve"> of</w:t>
      </w:r>
      <w:r w:rsidRPr="00CF6765">
        <w:rPr>
          <w:rFonts w:eastAsia="Verdana" w:cs="Verdana"/>
          <w:i/>
          <w:sz w:val="20"/>
          <w:szCs w:val="20"/>
          <w:lang w:val="en-US"/>
        </w:rPr>
        <w:t xml:space="preserve"> the State</w:t>
      </w:r>
      <w:r w:rsidR="006C37C9" w:rsidRPr="00CF6765">
        <w:rPr>
          <w:rFonts w:eastAsia="Verdana" w:cs="Verdana"/>
          <w:i/>
          <w:sz w:val="20"/>
          <w:szCs w:val="20"/>
          <w:lang w:val="en-US"/>
        </w:rPr>
        <w:t xml:space="preserve">. </w:t>
      </w:r>
      <w:r w:rsidRPr="00CF6765">
        <w:rPr>
          <w:rFonts w:eastAsia="Verdana" w:cs="Verdana"/>
          <w:sz w:val="20"/>
          <w:szCs w:val="20"/>
          <w:lang w:val="en-US"/>
        </w:rPr>
        <w:t xml:space="preserve">The Court notified the submission of the case by </w:t>
      </w:r>
      <w:r w:rsidR="005C731C" w:rsidRPr="00CF6765">
        <w:rPr>
          <w:rFonts w:eastAsia="Verdana" w:cs="Verdana"/>
          <w:sz w:val="20"/>
          <w:szCs w:val="20"/>
          <w:lang w:val="en-US"/>
        </w:rPr>
        <w:t>the Commission</w:t>
      </w:r>
      <w:r w:rsidRPr="00CF6765">
        <w:rPr>
          <w:rFonts w:eastAsia="Verdana" w:cs="Verdana"/>
          <w:sz w:val="20"/>
          <w:szCs w:val="20"/>
          <w:lang w:val="en-US"/>
        </w:rPr>
        <w:t xml:space="preserve"> to</w:t>
      </w:r>
      <w:r w:rsidR="003568FC" w:rsidRPr="00CF6765">
        <w:rPr>
          <w:rFonts w:eastAsia="Verdana" w:cs="Verdana"/>
          <w:sz w:val="20"/>
          <w:szCs w:val="20"/>
          <w:lang w:val="en-US"/>
        </w:rPr>
        <w:t xml:space="preserve"> </w:t>
      </w:r>
      <w:r w:rsidR="00EC50FC" w:rsidRPr="00CF6765">
        <w:rPr>
          <w:rFonts w:eastAsia="Verdana" w:cs="Verdana"/>
          <w:sz w:val="20"/>
          <w:szCs w:val="20"/>
          <w:lang w:val="en-US"/>
        </w:rPr>
        <w:t>the representatives</w:t>
      </w:r>
      <w:r w:rsidRPr="00CF6765">
        <w:rPr>
          <w:rFonts w:eastAsia="Verdana" w:cs="Verdana"/>
          <w:sz w:val="20"/>
          <w:szCs w:val="20"/>
          <w:lang w:val="en-US"/>
        </w:rPr>
        <w:t xml:space="preserve"> of the presumed victims</w:t>
      </w:r>
      <w:r w:rsidR="003568FC" w:rsidRPr="00CF6765">
        <w:rPr>
          <w:rFonts w:eastAsia="Verdana" w:cs="Verdana"/>
          <w:sz w:val="20"/>
          <w:szCs w:val="20"/>
          <w:lang w:val="en-US"/>
        </w:rPr>
        <w:t xml:space="preserve">, Nicolás </w:t>
      </w:r>
      <w:proofErr w:type="spellStart"/>
      <w:r w:rsidR="003568FC" w:rsidRPr="00CF6765">
        <w:rPr>
          <w:rFonts w:eastAsia="Verdana" w:cs="Verdana"/>
          <w:sz w:val="20"/>
          <w:szCs w:val="20"/>
          <w:lang w:val="en-US"/>
        </w:rPr>
        <w:t>Daneri</w:t>
      </w:r>
      <w:proofErr w:type="spellEnd"/>
      <w:r w:rsidR="003568FC" w:rsidRPr="00CF6765">
        <w:rPr>
          <w:rFonts w:eastAsia="Verdana" w:cs="Verdana"/>
          <w:sz w:val="20"/>
          <w:szCs w:val="20"/>
          <w:lang w:val="en-US"/>
        </w:rPr>
        <w:t xml:space="preserve"> </w:t>
      </w:r>
      <w:proofErr w:type="spellStart"/>
      <w:r w:rsidR="003568FC" w:rsidRPr="00CF6765">
        <w:rPr>
          <w:rFonts w:eastAsia="Verdana" w:cs="Verdana"/>
          <w:sz w:val="20"/>
          <w:szCs w:val="20"/>
          <w:lang w:val="en-US"/>
        </w:rPr>
        <w:t>Bascuña</w:t>
      </w:r>
      <w:proofErr w:type="spellEnd"/>
      <w:r w:rsidR="00EC50FC" w:rsidRPr="00CF6765">
        <w:rPr>
          <w:rFonts w:eastAsia="Verdana" w:cs="Verdana"/>
          <w:sz w:val="20"/>
          <w:szCs w:val="20"/>
          <w:lang w:val="en-US"/>
        </w:rPr>
        <w:t xml:space="preserve"> and </w:t>
      </w:r>
      <w:r w:rsidR="003568FC" w:rsidRPr="00CF6765">
        <w:rPr>
          <w:rFonts w:eastAsia="Verdana" w:cs="Verdana"/>
          <w:sz w:val="20"/>
          <w:szCs w:val="20"/>
          <w:lang w:val="en-US"/>
        </w:rPr>
        <w:t xml:space="preserve">Vinicio </w:t>
      </w:r>
      <w:r w:rsidR="00F4682C" w:rsidRPr="00CF6765">
        <w:rPr>
          <w:rFonts w:eastAsia="Verdana" w:cs="Verdana"/>
          <w:sz w:val="20"/>
          <w:szCs w:val="20"/>
          <w:lang w:val="en-US"/>
        </w:rPr>
        <w:t xml:space="preserve">Marco </w:t>
      </w:r>
      <w:r w:rsidR="003568FC" w:rsidRPr="00CF6765">
        <w:rPr>
          <w:rFonts w:eastAsia="Verdana" w:cs="Verdana"/>
          <w:sz w:val="20"/>
          <w:szCs w:val="20"/>
          <w:lang w:val="en-US"/>
        </w:rPr>
        <w:t>Poblete Tapia</w:t>
      </w:r>
      <w:r w:rsidR="00F4682C" w:rsidRPr="00CF6765">
        <w:rPr>
          <w:rFonts w:eastAsia="Verdana" w:cs="Verdana"/>
          <w:sz w:val="20"/>
          <w:szCs w:val="20"/>
          <w:lang w:val="en-US"/>
        </w:rPr>
        <w:t>,</w:t>
      </w:r>
      <w:r w:rsidR="00EC50FC" w:rsidRPr="00CF6765">
        <w:rPr>
          <w:rFonts w:eastAsia="Verdana" w:cs="Verdana"/>
          <w:sz w:val="20"/>
          <w:szCs w:val="20"/>
          <w:lang w:val="en-US"/>
        </w:rPr>
        <w:t xml:space="preserve"> and </w:t>
      </w:r>
      <w:r w:rsidRPr="00CF6765">
        <w:rPr>
          <w:rFonts w:eastAsia="Verdana" w:cs="Verdana"/>
          <w:sz w:val="20"/>
          <w:szCs w:val="20"/>
          <w:lang w:val="en-US"/>
        </w:rPr>
        <w:t>to the State</w:t>
      </w:r>
      <w:r w:rsidR="006C37C9" w:rsidRPr="00CF6765">
        <w:rPr>
          <w:rFonts w:eastAsia="Verdana" w:cs="Verdana"/>
          <w:sz w:val="20"/>
          <w:szCs w:val="20"/>
          <w:lang w:val="en-US"/>
        </w:rPr>
        <w:t xml:space="preserve"> </w:t>
      </w:r>
      <w:r w:rsidRPr="00CF6765">
        <w:rPr>
          <w:rFonts w:eastAsia="Verdana" w:cs="Verdana"/>
          <w:sz w:val="20"/>
          <w:szCs w:val="20"/>
          <w:lang w:val="en-US"/>
        </w:rPr>
        <w:t>on October 17,</w:t>
      </w:r>
      <w:r w:rsidR="004B6D26" w:rsidRPr="00CF6765">
        <w:rPr>
          <w:rFonts w:eastAsia="Verdana" w:cs="Verdana"/>
          <w:sz w:val="20"/>
          <w:szCs w:val="20"/>
          <w:lang w:val="en-US"/>
        </w:rPr>
        <w:t xml:space="preserve"> 2016</w:t>
      </w:r>
      <w:r w:rsidR="006C37C9" w:rsidRPr="00CF6765">
        <w:rPr>
          <w:rFonts w:eastAsia="Verdana" w:cs="Verdana"/>
          <w:sz w:val="20"/>
          <w:szCs w:val="20"/>
          <w:lang w:val="en-US"/>
        </w:rPr>
        <w:t>.</w:t>
      </w:r>
      <w:r w:rsidR="00962981" w:rsidRPr="00CF6765">
        <w:rPr>
          <w:rFonts w:eastAsia="Verdana" w:cs="Verdana"/>
          <w:sz w:val="20"/>
          <w:szCs w:val="20"/>
          <w:lang w:val="en-US"/>
        </w:rPr>
        <w:t xml:space="preserve"> </w:t>
      </w:r>
    </w:p>
    <w:p w14:paraId="016EAB67" w14:textId="77777777" w:rsidR="003568FC" w:rsidRPr="00CF6765" w:rsidRDefault="003568FC" w:rsidP="00F3026E">
      <w:pPr>
        <w:tabs>
          <w:tab w:val="left" w:pos="567"/>
        </w:tabs>
        <w:rPr>
          <w:rFonts w:eastAsia="Verdana" w:cs="Verdana"/>
          <w:sz w:val="16"/>
          <w:szCs w:val="16"/>
          <w:lang w:val="en-US"/>
        </w:rPr>
      </w:pPr>
    </w:p>
    <w:p w14:paraId="0DB23994" w14:textId="1A8342D9" w:rsidR="003568FC" w:rsidRPr="00CF6765" w:rsidRDefault="00D2168F" w:rsidP="00F3026E">
      <w:pPr>
        <w:numPr>
          <w:ilvl w:val="0"/>
          <w:numId w:val="2"/>
        </w:numPr>
        <w:tabs>
          <w:tab w:val="left" w:pos="567"/>
          <w:tab w:val="num" w:pos="12305"/>
        </w:tabs>
        <w:ind w:left="0" w:firstLine="0"/>
        <w:rPr>
          <w:rFonts w:eastAsia="Verdana" w:cs="Verdana"/>
          <w:sz w:val="20"/>
          <w:szCs w:val="20"/>
          <w:lang w:val="en-US"/>
        </w:rPr>
      </w:pPr>
      <w:r w:rsidRPr="00CF6765">
        <w:rPr>
          <w:rFonts w:eastAsia="Verdana" w:cs="Verdana"/>
          <w:i/>
          <w:sz w:val="20"/>
          <w:szCs w:val="20"/>
          <w:lang w:val="en-US"/>
        </w:rPr>
        <w:lastRenderedPageBreak/>
        <w:t>Appointment of inter-American public defenders</w:t>
      </w:r>
      <w:r w:rsidR="00366326" w:rsidRPr="00CF6765">
        <w:rPr>
          <w:rFonts w:eastAsia="Verdana" w:cs="Verdana"/>
          <w:i/>
          <w:sz w:val="20"/>
          <w:szCs w:val="20"/>
          <w:lang w:val="en-US"/>
        </w:rPr>
        <w:t>.</w:t>
      </w:r>
      <w:r w:rsidR="003568FC" w:rsidRPr="00CF6765">
        <w:rPr>
          <w:rFonts w:eastAsia="Verdana" w:cs="Verdana"/>
          <w:sz w:val="20"/>
          <w:szCs w:val="20"/>
          <w:lang w:val="en-US"/>
        </w:rPr>
        <w:t xml:space="preserve"> </w:t>
      </w:r>
      <w:r w:rsidRPr="00CF6765">
        <w:rPr>
          <w:rFonts w:eastAsia="Verdana" w:cs="Verdana"/>
          <w:sz w:val="20"/>
          <w:szCs w:val="20"/>
          <w:lang w:val="en-US"/>
        </w:rPr>
        <w:t>On November 23,</w:t>
      </w:r>
      <w:r w:rsidR="003568FC" w:rsidRPr="00CF6765">
        <w:rPr>
          <w:rFonts w:eastAsia="Verdana" w:cs="Verdana"/>
          <w:sz w:val="20"/>
          <w:szCs w:val="20"/>
          <w:lang w:val="en-US"/>
        </w:rPr>
        <w:t xml:space="preserve"> 2016</w:t>
      </w:r>
      <w:r w:rsidRPr="00CF6765">
        <w:rPr>
          <w:rFonts w:eastAsia="Verdana" w:cs="Verdana"/>
          <w:sz w:val="20"/>
          <w:szCs w:val="20"/>
          <w:lang w:val="en-US"/>
        </w:rPr>
        <w:t>,</w:t>
      </w:r>
      <w:r w:rsidR="003568FC" w:rsidRPr="00CF6765">
        <w:rPr>
          <w:rFonts w:eastAsia="Verdana" w:cs="Verdana"/>
          <w:sz w:val="20"/>
          <w:szCs w:val="20"/>
          <w:lang w:val="en-US"/>
        </w:rPr>
        <w:t xml:space="preserve"> </w:t>
      </w:r>
      <w:r w:rsidRPr="00CF6765">
        <w:rPr>
          <w:rFonts w:eastAsia="Verdana" w:cs="Verdana"/>
          <w:sz w:val="20"/>
          <w:szCs w:val="20"/>
          <w:lang w:val="en-US"/>
        </w:rPr>
        <w:t>Vinicio</w:t>
      </w:r>
      <w:r w:rsidR="003568FC" w:rsidRPr="00CF6765">
        <w:rPr>
          <w:rFonts w:eastAsia="Verdana" w:cs="Verdana"/>
          <w:sz w:val="20"/>
          <w:szCs w:val="20"/>
          <w:lang w:val="en-US"/>
        </w:rPr>
        <w:t xml:space="preserve"> Poblete Tapia </w:t>
      </w:r>
      <w:r w:rsidRPr="00CF6765">
        <w:rPr>
          <w:rFonts w:eastAsia="Verdana" w:cs="Verdana"/>
          <w:sz w:val="20"/>
          <w:szCs w:val="20"/>
          <w:lang w:val="en-US"/>
        </w:rPr>
        <w:t xml:space="preserve">indicated that </w:t>
      </w:r>
      <w:r w:rsidR="003568FC" w:rsidRPr="00CF6765">
        <w:rPr>
          <w:rFonts w:eastAsia="Verdana" w:cs="Verdana"/>
          <w:sz w:val="20"/>
          <w:szCs w:val="20"/>
          <w:lang w:val="en-US"/>
        </w:rPr>
        <w:t xml:space="preserve">Nicolás </w:t>
      </w:r>
      <w:proofErr w:type="spellStart"/>
      <w:r w:rsidR="003568FC" w:rsidRPr="00CF6765">
        <w:rPr>
          <w:rFonts w:eastAsia="Verdana" w:cs="Verdana"/>
          <w:sz w:val="20"/>
          <w:szCs w:val="20"/>
          <w:lang w:val="en-US"/>
        </w:rPr>
        <w:t>Daneri</w:t>
      </w:r>
      <w:proofErr w:type="spellEnd"/>
      <w:r w:rsidR="003568FC" w:rsidRPr="00CF6765">
        <w:rPr>
          <w:rFonts w:eastAsia="Verdana" w:cs="Verdana"/>
          <w:sz w:val="20"/>
          <w:szCs w:val="20"/>
          <w:lang w:val="en-US"/>
        </w:rPr>
        <w:t xml:space="preserve"> </w:t>
      </w:r>
      <w:proofErr w:type="spellStart"/>
      <w:r w:rsidR="003568FC" w:rsidRPr="00CF6765">
        <w:rPr>
          <w:rFonts w:eastAsia="Verdana" w:cs="Verdana"/>
          <w:sz w:val="20"/>
          <w:szCs w:val="20"/>
          <w:lang w:val="en-US"/>
        </w:rPr>
        <w:t>Bascuña</w:t>
      </w:r>
      <w:proofErr w:type="spellEnd"/>
      <w:r w:rsidR="003568FC" w:rsidRPr="00CF6765">
        <w:rPr>
          <w:rFonts w:eastAsia="Verdana" w:cs="Verdana"/>
          <w:sz w:val="20"/>
          <w:szCs w:val="20"/>
          <w:lang w:val="en-US"/>
        </w:rPr>
        <w:t xml:space="preserve"> </w:t>
      </w:r>
      <w:r w:rsidRPr="00CF6765">
        <w:rPr>
          <w:rFonts w:eastAsia="Verdana" w:cs="Verdana"/>
          <w:sz w:val="20"/>
          <w:szCs w:val="20"/>
          <w:lang w:val="en-US"/>
        </w:rPr>
        <w:t xml:space="preserve">would </w:t>
      </w:r>
      <w:r w:rsidR="00366326" w:rsidRPr="00CF6765">
        <w:rPr>
          <w:rFonts w:eastAsia="Verdana" w:cs="Verdana"/>
          <w:sz w:val="20"/>
          <w:szCs w:val="20"/>
          <w:lang w:val="en-US"/>
        </w:rPr>
        <w:t>no longer be</w:t>
      </w:r>
      <w:r w:rsidRPr="00CF6765">
        <w:rPr>
          <w:rFonts w:eastAsia="Verdana" w:cs="Verdana"/>
          <w:sz w:val="20"/>
          <w:szCs w:val="20"/>
          <w:lang w:val="en-US"/>
        </w:rPr>
        <w:t xml:space="preserve"> the legal representative of the case before the Court, information that was confirmed by Mr. </w:t>
      </w:r>
      <w:proofErr w:type="spellStart"/>
      <w:r w:rsidR="003568FC" w:rsidRPr="00CF6765">
        <w:rPr>
          <w:rFonts w:eastAsia="Verdana" w:cs="Verdana"/>
          <w:sz w:val="20"/>
          <w:szCs w:val="20"/>
          <w:lang w:val="en-US"/>
        </w:rPr>
        <w:t>Daneri</w:t>
      </w:r>
      <w:proofErr w:type="spellEnd"/>
      <w:r w:rsidR="003568FC" w:rsidRPr="00CF6765">
        <w:rPr>
          <w:rFonts w:eastAsia="Verdana" w:cs="Verdana"/>
          <w:sz w:val="20"/>
          <w:szCs w:val="20"/>
          <w:lang w:val="en-US"/>
        </w:rPr>
        <w:t>.</w:t>
      </w:r>
      <w:r w:rsidR="00962981" w:rsidRPr="00CF6765">
        <w:rPr>
          <w:b/>
          <w:sz w:val="18"/>
          <w:szCs w:val="18"/>
          <w:lang w:val="en-US"/>
        </w:rPr>
        <w:t xml:space="preserve"> </w:t>
      </w:r>
      <w:r w:rsidRPr="00CF6765">
        <w:rPr>
          <w:rFonts w:eastAsia="Verdana" w:cs="Verdana"/>
          <w:sz w:val="20"/>
          <w:szCs w:val="20"/>
          <w:lang w:val="en-US"/>
        </w:rPr>
        <w:t>Following a communication</w:t>
      </w:r>
      <w:r w:rsidR="00366326" w:rsidRPr="00CF6765">
        <w:rPr>
          <w:rFonts w:eastAsia="Verdana" w:cs="Verdana"/>
          <w:sz w:val="20"/>
          <w:szCs w:val="20"/>
          <w:lang w:val="en-US"/>
        </w:rPr>
        <w:t xml:space="preserve"> of November 24, 2016,</w:t>
      </w:r>
      <w:r w:rsidRPr="00CF6765">
        <w:rPr>
          <w:rFonts w:eastAsia="Verdana" w:cs="Verdana"/>
          <w:sz w:val="20"/>
          <w:szCs w:val="20"/>
          <w:lang w:val="en-US"/>
        </w:rPr>
        <w:t xml:space="preserve"> sent by the </w:t>
      </w:r>
      <w:r w:rsidR="005C731C" w:rsidRPr="00CF6765">
        <w:rPr>
          <w:rFonts w:eastAsia="Verdana" w:cs="Verdana"/>
          <w:sz w:val="20"/>
          <w:szCs w:val="20"/>
          <w:lang w:val="en-US"/>
        </w:rPr>
        <w:t>Secretariat</w:t>
      </w:r>
      <w:r w:rsidR="00366326" w:rsidRPr="00CF6765">
        <w:rPr>
          <w:rFonts w:eastAsia="Verdana" w:cs="Verdana"/>
          <w:sz w:val="20"/>
          <w:szCs w:val="20"/>
          <w:lang w:val="en-US"/>
        </w:rPr>
        <w:t xml:space="preserve"> </w:t>
      </w:r>
      <w:r w:rsidRPr="00CF6765">
        <w:rPr>
          <w:rFonts w:eastAsia="Verdana" w:cs="Verdana"/>
          <w:sz w:val="20"/>
          <w:szCs w:val="20"/>
          <w:lang w:val="en-US"/>
        </w:rPr>
        <w:t>on the instructions of the</w:t>
      </w:r>
      <w:r w:rsidR="003568FC" w:rsidRPr="00CF6765">
        <w:rPr>
          <w:rFonts w:eastAsia="Verdana" w:cs="Verdana"/>
          <w:sz w:val="20"/>
          <w:szCs w:val="20"/>
          <w:lang w:val="en-US"/>
        </w:rPr>
        <w:t xml:space="preserve"> </w:t>
      </w:r>
      <w:r w:rsidR="005C731C" w:rsidRPr="00CF6765">
        <w:rPr>
          <w:rFonts w:eastAsia="Verdana" w:cs="Verdana"/>
          <w:sz w:val="20"/>
          <w:szCs w:val="20"/>
          <w:lang w:val="en-US"/>
        </w:rPr>
        <w:t>President of the Court</w:t>
      </w:r>
      <w:r w:rsidR="003568FC" w:rsidRPr="00CF6765">
        <w:rPr>
          <w:rFonts w:eastAsia="Verdana" w:cs="Verdana"/>
          <w:sz w:val="20"/>
          <w:szCs w:val="20"/>
          <w:lang w:val="en-US"/>
        </w:rPr>
        <w:t xml:space="preserve">, </w:t>
      </w:r>
      <w:r w:rsidRPr="00CF6765">
        <w:rPr>
          <w:rFonts w:eastAsia="Verdana" w:cs="Verdana"/>
          <w:sz w:val="20"/>
          <w:szCs w:val="20"/>
          <w:lang w:val="en-US"/>
        </w:rPr>
        <w:t>Mr. Poblete</w:t>
      </w:r>
      <w:r w:rsidR="003568FC" w:rsidRPr="00CF6765">
        <w:rPr>
          <w:rFonts w:eastAsia="Verdana" w:cs="Verdana"/>
          <w:sz w:val="20"/>
          <w:szCs w:val="20"/>
          <w:lang w:val="en-US"/>
        </w:rPr>
        <w:t xml:space="preserve"> Tapia </w:t>
      </w:r>
      <w:r w:rsidRPr="00CF6765">
        <w:rPr>
          <w:rFonts w:eastAsia="Verdana" w:cs="Verdana"/>
          <w:sz w:val="20"/>
          <w:szCs w:val="20"/>
          <w:lang w:val="en-US"/>
        </w:rPr>
        <w:t xml:space="preserve">asked the Court to appoint an inter-American public defender. In </w:t>
      </w:r>
      <w:r w:rsidR="00366326" w:rsidRPr="00CF6765">
        <w:rPr>
          <w:rFonts w:eastAsia="Verdana" w:cs="Verdana"/>
          <w:sz w:val="20"/>
          <w:szCs w:val="20"/>
          <w:lang w:val="en-US"/>
        </w:rPr>
        <w:t>an</w:t>
      </w:r>
      <w:r w:rsidRPr="00CF6765">
        <w:rPr>
          <w:rFonts w:eastAsia="Verdana" w:cs="Verdana"/>
          <w:sz w:val="20"/>
          <w:szCs w:val="20"/>
          <w:lang w:val="en-US"/>
        </w:rPr>
        <w:t xml:space="preserve"> order of the</w:t>
      </w:r>
      <w:r w:rsidR="003568FC" w:rsidRPr="00CF6765">
        <w:rPr>
          <w:rFonts w:eastAsia="Verdana" w:cs="Verdana"/>
          <w:sz w:val="20"/>
          <w:szCs w:val="20"/>
          <w:lang w:val="en-US"/>
        </w:rPr>
        <w:t xml:space="preserve"> </w:t>
      </w:r>
      <w:r w:rsidR="005C731C" w:rsidRPr="00CF6765">
        <w:rPr>
          <w:rFonts w:eastAsia="Verdana" w:cs="Verdana"/>
          <w:sz w:val="20"/>
          <w:szCs w:val="20"/>
          <w:lang w:val="en-US"/>
        </w:rPr>
        <w:t>President</w:t>
      </w:r>
      <w:r w:rsidR="003568FC" w:rsidRPr="00CF6765">
        <w:rPr>
          <w:rFonts w:eastAsia="Verdana" w:cs="Verdana"/>
          <w:sz w:val="20"/>
          <w:szCs w:val="20"/>
          <w:lang w:val="en-US"/>
        </w:rPr>
        <w:t xml:space="preserve"> </w:t>
      </w:r>
      <w:r w:rsidRPr="00CF6765">
        <w:rPr>
          <w:rFonts w:eastAsia="Verdana" w:cs="Verdana"/>
          <w:sz w:val="20"/>
          <w:szCs w:val="20"/>
          <w:lang w:val="en-US"/>
        </w:rPr>
        <w:t>of</w:t>
      </w:r>
      <w:r w:rsidR="003568FC" w:rsidRPr="00CF6765">
        <w:rPr>
          <w:rFonts w:eastAsia="Verdana" w:cs="Verdana"/>
          <w:sz w:val="20"/>
          <w:szCs w:val="20"/>
          <w:lang w:val="en-US"/>
        </w:rPr>
        <w:t xml:space="preserve"> </w:t>
      </w:r>
      <w:r w:rsidRPr="00CF6765">
        <w:rPr>
          <w:rFonts w:eastAsia="Verdana" w:cs="Verdana"/>
          <w:sz w:val="20"/>
          <w:szCs w:val="20"/>
          <w:lang w:val="en-US"/>
        </w:rPr>
        <w:t>November 25,</w:t>
      </w:r>
      <w:r w:rsidR="003568FC" w:rsidRPr="00CF6765">
        <w:rPr>
          <w:rFonts w:eastAsia="Verdana" w:cs="Verdana"/>
          <w:sz w:val="20"/>
          <w:szCs w:val="20"/>
          <w:lang w:val="en-US"/>
        </w:rPr>
        <w:t xml:space="preserve"> 201</w:t>
      </w:r>
      <w:r w:rsidR="00366326" w:rsidRPr="00CF6765">
        <w:rPr>
          <w:rFonts w:eastAsia="Verdana" w:cs="Verdana"/>
          <w:sz w:val="20"/>
          <w:szCs w:val="20"/>
          <w:lang w:val="en-US"/>
        </w:rPr>
        <w:t>6</w:t>
      </w:r>
      <w:r w:rsidRPr="00CF6765">
        <w:rPr>
          <w:rFonts w:eastAsia="Verdana" w:cs="Verdana"/>
          <w:sz w:val="20"/>
          <w:szCs w:val="20"/>
          <w:lang w:val="en-US"/>
        </w:rPr>
        <w:t>, the two-month time limit for the presentation of the brief with pleadings, motions and arguments</w:t>
      </w:r>
      <w:r w:rsidR="009F637A" w:rsidRPr="00CF6765">
        <w:rPr>
          <w:rFonts w:eastAsia="Verdana" w:cs="Verdana"/>
          <w:sz w:val="20"/>
          <w:szCs w:val="20"/>
          <w:lang w:val="en-US"/>
        </w:rPr>
        <w:t xml:space="preserve"> (</w:t>
      </w:r>
      <w:r w:rsidR="005C731C" w:rsidRPr="00CF6765">
        <w:rPr>
          <w:rFonts w:eastAsia="Verdana" w:cs="Verdana"/>
          <w:sz w:val="20"/>
          <w:szCs w:val="20"/>
          <w:lang w:val="en-US"/>
        </w:rPr>
        <w:t>hereinafter</w:t>
      </w:r>
      <w:r w:rsidR="009F637A" w:rsidRPr="00CF6765">
        <w:rPr>
          <w:rFonts w:eastAsia="Verdana" w:cs="Verdana"/>
          <w:sz w:val="20"/>
          <w:szCs w:val="20"/>
          <w:lang w:val="en-US"/>
        </w:rPr>
        <w:t xml:space="preserve"> “</w:t>
      </w:r>
      <w:r w:rsidRPr="00CF6765">
        <w:rPr>
          <w:rFonts w:eastAsia="Verdana" w:cs="Verdana"/>
          <w:sz w:val="20"/>
          <w:szCs w:val="20"/>
          <w:lang w:val="en-US"/>
        </w:rPr>
        <w:t>the pleadings and motions brief</w:t>
      </w:r>
      <w:r w:rsidR="009F637A" w:rsidRPr="00CF6765">
        <w:rPr>
          <w:rFonts w:eastAsia="Verdana" w:cs="Verdana"/>
          <w:sz w:val="20"/>
          <w:szCs w:val="20"/>
          <w:lang w:val="en-US"/>
        </w:rPr>
        <w:t xml:space="preserve">”) </w:t>
      </w:r>
      <w:r w:rsidRPr="00CF6765">
        <w:rPr>
          <w:rFonts w:eastAsia="Verdana" w:cs="Verdana"/>
          <w:sz w:val="20"/>
          <w:szCs w:val="20"/>
          <w:lang w:val="en-US"/>
        </w:rPr>
        <w:t>was suspended until the new legal representative had been notified pursuant to</w:t>
      </w:r>
      <w:r w:rsidR="009F637A" w:rsidRPr="00CF6765">
        <w:rPr>
          <w:rFonts w:eastAsia="Verdana" w:cs="Verdana"/>
          <w:sz w:val="20"/>
          <w:szCs w:val="20"/>
          <w:lang w:val="en-US"/>
        </w:rPr>
        <w:t xml:space="preserve"> </w:t>
      </w:r>
      <w:r w:rsidR="005C731C" w:rsidRPr="00CF6765">
        <w:rPr>
          <w:rFonts w:eastAsia="Verdana" w:cs="Verdana"/>
          <w:sz w:val="20"/>
          <w:szCs w:val="20"/>
          <w:lang w:val="en-US"/>
        </w:rPr>
        <w:t>Article</w:t>
      </w:r>
      <w:r w:rsidR="009F637A" w:rsidRPr="00CF6765">
        <w:rPr>
          <w:rFonts w:eastAsia="Verdana" w:cs="Verdana"/>
          <w:sz w:val="20"/>
          <w:szCs w:val="20"/>
          <w:lang w:val="en-US"/>
        </w:rPr>
        <w:t xml:space="preserve"> 40</w:t>
      </w:r>
      <w:r w:rsidR="005C731C" w:rsidRPr="00CF6765">
        <w:rPr>
          <w:rFonts w:eastAsia="Verdana" w:cs="Verdana"/>
          <w:sz w:val="20"/>
          <w:szCs w:val="20"/>
          <w:lang w:val="en-US"/>
        </w:rPr>
        <w:t xml:space="preserve"> of the </w:t>
      </w:r>
      <w:r w:rsidRPr="00CF6765">
        <w:rPr>
          <w:rFonts w:eastAsia="Verdana" w:cs="Verdana"/>
          <w:sz w:val="20"/>
          <w:szCs w:val="20"/>
          <w:lang w:val="en-US"/>
        </w:rPr>
        <w:t xml:space="preserve">Court’s </w:t>
      </w:r>
      <w:r w:rsidR="005C731C" w:rsidRPr="00CF6765">
        <w:rPr>
          <w:rFonts w:eastAsia="Verdana" w:cs="Verdana"/>
          <w:sz w:val="20"/>
          <w:szCs w:val="20"/>
          <w:lang w:val="en-US"/>
        </w:rPr>
        <w:t>Rules of Procedure</w:t>
      </w:r>
      <w:r w:rsidRPr="00CF6765">
        <w:rPr>
          <w:rFonts w:eastAsia="Verdana" w:cs="Verdana"/>
          <w:sz w:val="20"/>
          <w:szCs w:val="20"/>
          <w:lang w:val="en-US"/>
        </w:rPr>
        <w:t>.</w:t>
      </w:r>
      <w:r w:rsidR="009F637A" w:rsidRPr="00CF6765">
        <w:rPr>
          <w:rStyle w:val="Refdenotaalpie"/>
          <w:rFonts w:eastAsia="Verdana" w:cs="Verdana"/>
          <w:sz w:val="20"/>
          <w:szCs w:val="20"/>
          <w:lang w:val="en-US"/>
        </w:rPr>
        <w:footnoteReference w:id="7"/>
      </w:r>
      <w:r w:rsidR="009F637A" w:rsidRPr="00CF6765">
        <w:rPr>
          <w:rFonts w:eastAsia="Verdana" w:cs="Verdana"/>
          <w:sz w:val="20"/>
          <w:szCs w:val="20"/>
          <w:lang w:val="en-US"/>
        </w:rPr>
        <w:t xml:space="preserve"> </w:t>
      </w:r>
      <w:r w:rsidRPr="00CF6765">
        <w:rPr>
          <w:rFonts w:eastAsia="Verdana" w:cs="Verdana"/>
          <w:sz w:val="20"/>
          <w:szCs w:val="20"/>
          <w:lang w:val="en-US"/>
        </w:rPr>
        <w:t xml:space="preserve">Following the respective communications with the Inter-American Public Defenders Association </w:t>
      </w:r>
      <w:r w:rsidR="003568FC" w:rsidRPr="00CF6765">
        <w:rPr>
          <w:rFonts w:eastAsia="Verdana" w:cs="Verdana"/>
          <w:sz w:val="20"/>
          <w:szCs w:val="20"/>
          <w:lang w:val="en-US"/>
        </w:rPr>
        <w:t xml:space="preserve">(AIDEF), </w:t>
      </w:r>
      <w:r w:rsidRPr="00CF6765">
        <w:rPr>
          <w:rFonts w:eastAsia="Verdana" w:cs="Verdana"/>
          <w:sz w:val="20"/>
          <w:szCs w:val="20"/>
          <w:lang w:val="en-US"/>
        </w:rPr>
        <w:t>on December 7,</w:t>
      </w:r>
      <w:r w:rsidR="009F637A" w:rsidRPr="00CF6765">
        <w:rPr>
          <w:rFonts w:eastAsia="Verdana" w:cs="Verdana"/>
          <w:sz w:val="20"/>
          <w:szCs w:val="20"/>
          <w:lang w:val="en-US"/>
        </w:rPr>
        <w:t xml:space="preserve"> 2017</w:t>
      </w:r>
      <w:r w:rsidRPr="00CF6765">
        <w:rPr>
          <w:rFonts w:eastAsia="Verdana" w:cs="Verdana"/>
          <w:sz w:val="20"/>
          <w:szCs w:val="20"/>
          <w:lang w:val="en-US"/>
        </w:rPr>
        <w:t xml:space="preserve">, the General Coordinator of the Association informed the Court that </w:t>
      </w:r>
      <w:r w:rsidR="00C133E5" w:rsidRPr="00CF6765">
        <w:rPr>
          <w:rFonts w:eastAsia="Verdana" w:cs="Verdana"/>
          <w:sz w:val="20"/>
          <w:szCs w:val="20"/>
          <w:lang w:val="en-US"/>
        </w:rPr>
        <w:t>Silvia Martínez</w:t>
      </w:r>
      <w:r w:rsidR="00EC50FC" w:rsidRPr="00CF6765">
        <w:rPr>
          <w:rFonts w:eastAsia="Verdana" w:cs="Verdana"/>
          <w:sz w:val="20"/>
          <w:szCs w:val="20"/>
          <w:lang w:val="en-US"/>
        </w:rPr>
        <w:t xml:space="preserve"> and </w:t>
      </w:r>
      <w:proofErr w:type="spellStart"/>
      <w:r w:rsidR="009F637A" w:rsidRPr="00CF6765">
        <w:rPr>
          <w:rFonts w:eastAsia="Verdana" w:cs="Verdana"/>
          <w:sz w:val="20"/>
          <w:szCs w:val="20"/>
          <w:lang w:val="en-US"/>
        </w:rPr>
        <w:t>Rivana</w:t>
      </w:r>
      <w:proofErr w:type="spellEnd"/>
      <w:r w:rsidR="009F637A" w:rsidRPr="00CF6765">
        <w:rPr>
          <w:rFonts w:eastAsia="Verdana" w:cs="Verdana"/>
          <w:sz w:val="20"/>
          <w:szCs w:val="20"/>
          <w:lang w:val="en-US"/>
        </w:rPr>
        <w:t xml:space="preserve"> Barreto Ricarte de Oliveira</w:t>
      </w:r>
      <w:r w:rsidR="00C133E5" w:rsidRPr="00CF6765">
        <w:rPr>
          <w:rFonts w:eastAsia="Verdana" w:cs="Verdana"/>
          <w:sz w:val="20"/>
          <w:szCs w:val="20"/>
          <w:lang w:val="en-US"/>
        </w:rPr>
        <w:t xml:space="preserve"> </w:t>
      </w:r>
      <w:r w:rsidR="003568FC" w:rsidRPr="00CF6765">
        <w:rPr>
          <w:rFonts w:eastAsia="Verdana" w:cs="Verdana"/>
          <w:sz w:val="20"/>
          <w:szCs w:val="20"/>
          <w:lang w:val="en-US"/>
        </w:rPr>
        <w:t>ha</w:t>
      </w:r>
      <w:r w:rsidRPr="00CF6765">
        <w:rPr>
          <w:rFonts w:eastAsia="Verdana" w:cs="Verdana"/>
          <w:sz w:val="20"/>
          <w:szCs w:val="20"/>
          <w:lang w:val="en-US"/>
        </w:rPr>
        <w:t>d been appointed as inter-American public defenders to exercise the legal representation of the presumed victims</w:t>
      </w:r>
      <w:r w:rsidR="009F637A" w:rsidRPr="00CF6765">
        <w:rPr>
          <w:rFonts w:eastAsia="Verdana" w:cs="Verdana"/>
          <w:sz w:val="20"/>
          <w:szCs w:val="20"/>
          <w:lang w:val="en-US"/>
        </w:rPr>
        <w:t xml:space="preserve"> </w:t>
      </w:r>
      <w:r w:rsidRPr="00CF6765">
        <w:rPr>
          <w:rFonts w:eastAsia="Verdana" w:cs="Verdana"/>
          <w:sz w:val="20"/>
          <w:szCs w:val="20"/>
          <w:lang w:val="en-US"/>
        </w:rPr>
        <w:t>in this case</w:t>
      </w:r>
      <w:r w:rsidR="009F637A" w:rsidRPr="00CF6765">
        <w:rPr>
          <w:rFonts w:eastAsia="Verdana" w:cs="Verdana"/>
          <w:sz w:val="20"/>
          <w:szCs w:val="20"/>
          <w:lang w:val="en-US"/>
        </w:rPr>
        <w:t xml:space="preserve"> (</w:t>
      </w:r>
      <w:r w:rsidR="005C731C" w:rsidRPr="00CF6765">
        <w:rPr>
          <w:rFonts w:eastAsia="Verdana" w:cs="Verdana"/>
          <w:sz w:val="20"/>
          <w:szCs w:val="20"/>
          <w:lang w:val="en-US"/>
        </w:rPr>
        <w:t>hereinafter</w:t>
      </w:r>
      <w:r w:rsidR="009F637A" w:rsidRPr="00CF6765">
        <w:rPr>
          <w:rFonts w:eastAsia="Verdana" w:cs="Verdana"/>
          <w:sz w:val="20"/>
          <w:szCs w:val="20"/>
          <w:lang w:val="en-US"/>
        </w:rPr>
        <w:t xml:space="preserve"> “</w:t>
      </w:r>
      <w:r w:rsidRPr="00CF6765">
        <w:rPr>
          <w:rFonts w:eastAsia="Verdana" w:cs="Verdana"/>
          <w:sz w:val="20"/>
          <w:szCs w:val="20"/>
          <w:lang w:val="en-US"/>
        </w:rPr>
        <w:t>the inter-American defenders</w:t>
      </w:r>
      <w:r w:rsidR="003568FC" w:rsidRPr="00CF6765">
        <w:rPr>
          <w:rFonts w:eastAsia="Verdana" w:cs="Verdana"/>
          <w:sz w:val="20"/>
          <w:szCs w:val="20"/>
          <w:lang w:val="en-US"/>
        </w:rPr>
        <w:t>”</w:t>
      </w:r>
      <w:r w:rsidR="009F637A" w:rsidRPr="00CF6765">
        <w:rPr>
          <w:rFonts w:eastAsia="Verdana" w:cs="Verdana"/>
          <w:sz w:val="20"/>
          <w:szCs w:val="20"/>
          <w:lang w:val="en-US"/>
        </w:rPr>
        <w:t xml:space="preserve"> o</w:t>
      </w:r>
      <w:r w:rsidRPr="00CF6765">
        <w:rPr>
          <w:rFonts w:eastAsia="Verdana" w:cs="Verdana"/>
          <w:sz w:val="20"/>
          <w:szCs w:val="20"/>
          <w:lang w:val="en-US"/>
        </w:rPr>
        <w:t>r</w:t>
      </w:r>
      <w:r w:rsidR="009F637A" w:rsidRPr="00CF6765">
        <w:rPr>
          <w:rFonts w:eastAsia="Verdana" w:cs="Verdana"/>
          <w:sz w:val="20"/>
          <w:szCs w:val="20"/>
          <w:lang w:val="en-US"/>
        </w:rPr>
        <w:t xml:space="preserve"> “</w:t>
      </w:r>
      <w:r w:rsidRPr="00CF6765">
        <w:rPr>
          <w:rFonts w:eastAsia="Verdana" w:cs="Verdana"/>
          <w:sz w:val="20"/>
          <w:szCs w:val="20"/>
          <w:lang w:val="en-US"/>
        </w:rPr>
        <w:t>the representatives</w:t>
      </w:r>
      <w:r w:rsidR="009F637A" w:rsidRPr="00CF6765">
        <w:rPr>
          <w:rFonts w:eastAsia="Verdana" w:cs="Verdana"/>
          <w:sz w:val="20"/>
          <w:szCs w:val="20"/>
          <w:lang w:val="en-US"/>
        </w:rPr>
        <w:t>”</w:t>
      </w:r>
      <w:r w:rsidR="003568FC" w:rsidRPr="00CF6765">
        <w:rPr>
          <w:rFonts w:eastAsia="Verdana" w:cs="Verdana"/>
          <w:sz w:val="20"/>
          <w:szCs w:val="20"/>
          <w:lang w:val="en-US"/>
        </w:rPr>
        <w:t>).</w:t>
      </w:r>
      <w:r w:rsidR="00962981" w:rsidRPr="00CF6765">
        <w:rPr>
          <w:rFonts w:eastAsia="Verdana" w:cs="Verdana"/>
          <w:sz w:val="20"/>
          <w:szCs w:val="20"/>
          <w:lang w:val="en-US"/>
        </w:rPr>
        <w:t xml:space="preserve"> </w:t>
      </w:r>
    </w:p>
    <w:p w14:paraId="0957AE39" w14:textId="77777777" w:rsidR="006C37C9" w:rsidRPr="00CF6765" w:rsidRDefault="006C37C9" w:rsidP="00F3026E">
      <w:pPr>
        <w:rPr>
          <w:lang w:val="en-US"/>
        </w:rPr>
      </w:pPr>
    </w:p>
    <w:p w14:paraId="03C37C51" w14:textId="1C19F3EF" w:rsidR="006C37C9" w:rsidRPr="00CF6765" w:rsidRDefault="00D2168F" w:rsidP="00F3026E">
      <w:pPr>
        <w:numPr>
          <w:ilvl w:val="0"/>
          <w:numId w:val="2"/>
        </w:numPr>
        <w:tabs>
          <w:tab w:val="left" w:pos="567"/>
          <w:tab w:val="num" w:pos="12305"/>
        </w:tabs>
        <w:ind w:left="0" w:firstLine="0"/>
        <w:rPr>
          <w:rFonts w:eastAsia="Verdana" w:cs="Verdana"/>
          <w:sz w:val="20"/>
          <w:szCs w:val="20"/>
          <w:u w:val="single"/>
          <w:lang w:val="en-US"/>
        </w:rPr>
      </w:pPr>
      <w:r w:rsidRPr="00CF6765">
        <w:rPr>
          <w:rFonts w:eastAsia="Verdana" w:cs="Verdana"/>
          <w:i/>
          <w:sz w:val="20"/>
          <w:szCs w:val="20"/>
          <w:lang w:val="en-US"/>
        </w:rPr>
        <w:t>Brief with pleadings, motions and arguments</w:t>
      </w:r>
      <w:r w:rsidR="006C37C9" w:rsidRPr="00CF6765">
        <w:rPr>
          <w:rFonts w:eastAsia="Verdana" w:cs="Verdana"/>
          <w:i/>
          <w:sz w:val="20"/>
          <w:szCs w:val="20"/>
          <w:lang w:val="en-US"/>
        </w:rPr>
        <w:t xml:space="preserve">. </w:t>
      </w:r>
      <w:r w:rsidRPr="00CF6765">
        <w:rPr>
          <w:rFonts w:eastAsia="Verdana" w:cs="Verdana"/>
          <w:sz w:val="20"/>
          <w:szCs w:val="20"/>
          <w:lang w:val="en-US"/>
        </w:rPr>
        <w:t>On</w:t>
      </w:r>
      <w:r w:rsidR="006C37C9" w:rsidRPr="00CF6765">
        <w:rPr>
          <w:rFonts w:eastAsia="Verdana" w:cs="Verdana"/>
          <w:sz w:val="20"/>
          <w:szCs w:val="20"/>
          <w:lang w:val="en-US"/>
        </w:rPr>
        <w:t xml:space="preserve"> </w:t>
      </w:r>
      <w:r w:rsidRPr="00CF6765">
        <w:rPr>
          <w:rFonts w:eastAsia="Verdana" w:cs="Verdana"/>
          <w:sz w:val="20"/>
          <w:szCs w:val="20"/>
          <w:lang w:val="en-US"/>
        </w:rPr>
        <w:t>January 27,</w:t>
      </w:r>
      <w:r w:rsidR="004B6D26" w:rsidRPr="00CF6765">
        <w:rPr>
          <w:rFonts w:eastAsia="Verdana" w:cs="Verdana"/>
          <w:sz w:val="20"/>
          <w:szCs w:val="20"/>
          <w:lang w:val="en-US"/>
        </w:rPr>
        <w:t xml:space="preserve"> 2017</w:t>
      </w:r>
      <w:r w:rsidRPr="00CF6765">
        <w:rPr>
          <w:rFonts w:eastAsia="Verdana" w:cs="Verdana"/>
          <w:sz w:val="20"/>
          <w:szCs w:val="20"/>
          <w:lang w:val="en-US"/>
        </w:rPr>
        <w:t>,</w:t>
      </w:r>
      <w:r w:rsidR="006C37C9" w:rsidRPr="00CF6765">
        <w:rPr>
          <w:rFonts w:eastAsia="Verdana" w:cs="Verdana"/>
          <w:sz w:val="20"/>
          <w:szCs w:val="20"/>
          <w:lang w:val="en-US"/>
        </w:rPr>
        <w:t xml:space="preserve"> </w:t>
      </w:r>
      <w:r w:rsidRPr="00CF6765">
        <w:rPr>
          <w:rFonts w:eastAsia="Verdana" w:cs="Verdana"/>
          <w:sz w:val="20"/>
          <w:szCs w:val="20"/>
          <w:lang w:val="en-US"/>
        </w:rPr>
        <w:t>the inter-American defenders</w:t>
      </w:r>
      <w:r w:rsidR="006C37C9" w:rsidRPr="00CF6765">
        <w:rPr>
          <w:rFonts w:eastAsia="Verdana" w:cs="Verdana"/>
          <w:sz w:val="20"/>
          <w:szCs w:val="20"/>
          <w:lang w:val="en-US"/>
        </w:rPr>
        <w:t xml:space="preserve"> </w:t>
      </w:r>
      <w:r w:rsidRPr="00CF6765">
        <w:rPr>
          <w:rFonts w:eastAsia="Verdana" w:cs="Verdana"/>
          <w:sz w:val="20"/>
          <w:szCs w:val="20"/>
          <w:lang w:val="en-US"/>
        </w:rPr>
        <w:t>submitted their</w:t>
      </w:r>
      <w:r w:rsidR="006D1797" w:rsidRPr="00CF6765">
        <w:rPr>
          <w:rFonts w:eastAsia="Verdana" w:cs="Verdana"/>
          <w:sz w:val="20"/>
          <w:szCs w:val="20"/>
          <w:lang w:val="en-US"/>
        </w:rPr>
        <w:t xml:space="preserve"> </w:t>
      </w:r>
      <w:r w:rsidRPr="00CF6765">
        <w:rPr>
          <w:rFonts w:eastAsia="Verdana" w:cs="Verdana"/>
          <w:sz w:val="20"/>
          <w:szCs w:val="20"/>
          <w:lang w:val="en-US"/>
        </w:rPr>
        <w:t>pleadings and motions brief to the Court</w:t>
      </w:r>
      <w:r w:rsidR="006C37C9" w:rsidRPr="00CF6765">
        <w:rPr>
          <w:rFonts w:eastAsia="Verdana" w:cs="Verdana"/>
          <w:sz w:val="20"/>
          <w:szCs w:val="20"/>
          <w:lang w:val="en-US"/>
        </w:rPr>
        <w:t xml:space="preserve">. </w:t>
      </w:r>
      <w:r w:rsidRPr="00CF6765">
        <w:rPr>
          <w:rFonts w:eastAsia="Verdana" w:cs="Verdana"/>
          <w:sz w:val="20"/>
          <w:szCs w:val="20"/>
          <w:lang w:val="en-US"/>
        </w:rPr>
        <w:t>The representatives</w:t>
      </w:r>
      <w:r w:rsidR="006C37C9" w:rsidRPr="00CF6765">
        <w:rPr>
          <w:rFonts w:eastAsia="Verdana" w:cs="Verdana"/>
          <w:sz w:val="20"/>
          <w:szCs w:val="20"/>
          <w:lang w:val="en-US"/>
        </w:rPr>
        <w:t xml:space="preserve"> </w:t>
      </w:r>
      <w:r w:rsidRPr="00CF6765">
        <w:rPr>
          <w:rFonts w:eastAsia="Verdana" w:cs="Verdana"/>
          <w:sz w:val="20"/>
          <w:szCs w:val="20"/>
          <w:lang w:val="en-US"/>
        </w:rPr>
        <w:t>agreed substantially with the allegations</w:t>
      </w:r>
      <w:r w:rsidR="005C731C" w:rsidRPr="00CF6765">
        <w:rPr>
          <w:rFonts w:eastAsia="Verdana" w:cs="Verdana"/>
          <w:sz w:val="20"/>
          <w:szCs w:val="20"/>
          <w:lang w:val="en-US"/>
        </w:rPr>
        <w:t xml:space="preserve"> of the Commission</w:t>
      </w:r>
      <w:r w:rsidR="00EC50FC" w:rsidRPr="00CF6765">
        <w:rPr>
          <w:rFonts w:eastAsia="Verdana" w:cs="Verdana"/>
          <w:sz w:val="20"/>
          <w:szCs w:val="20"/>
          <w:lang w:val="en-US"/>
        </w:rPr>
        <w:t xml:space="preserve"> and </w:t>
      </w:r>
      <w:r w:rsidRPr="00CF6765">
        <w:rPr>
          <w:rFonts w:eastAsia="Verdana" w:cs="Verdana"/>
          <w:sz w:val="20"/>
          <w:szCs w:val="20"/>
          <w:lang w:val="en-US"/>
        </w:rPr>
        <w:t>asked</w:t>
      </w:r>
      <w:r w:rsidR="006C37C9" w:rsidRPr="00CF6765">
        <w:rPr>
          <w:rFonts w:eastAsia="Verdana" w:cs="Verdana"/>
          <w:sz w:val="20"/>
          <w:szCs w:val="20"/>
          <w:lang w:val="en-US"/>
        </w:rPr>
        <w:t xml:space="preserve"> </w:t>
      </w:r>
      <w:r w:rsidR="005C731C" w:rsidRPr="00CF6765">
        <w:rPr>
          <w:rFonts w:eastAsia="Verdana" w:cs="Verdana"/>
          <w:sz w:val="20"/>
          <w:szCs w:val="20"/>
          <w:lang w:val="en-US"/>
        </w:rPr>
        <w:t>the Court</w:t>
      </w:r>
      <w:r w:rsidR="006C37C9" w:rsidRPr="00CF6765">
        <w:rPr>
          <w:rFonts w:eastAsia="Verdana" w:cs="Verdana"/>
          <w:sz w:val="20"/>
          <w:szCs w:val="20"/>
          <w:lang w:val="en-US"/>
        </w:rPr>
        <w:t xml:space="preserve"> </w:t>
      </w:r>
      <w:r w:rsidRPr="00CF6765">
        <w:rPr>
          <w:rFonts w:eastAsia="Verdana" w:cs="Verdana"/>
          <w:sz w:val="20"/>
          <w:szCs w:val="20"/>
          <w:lang w:val="en-US"/>
        </w:rPr>
        <w:t xml:space="preserve">to declare the international responsibility </w:t>
      </w:r>
      <w:r w:rsidR="00EC50FC" w:rsidRPr="00CF6765">
        <w:rPr>
          <w:rFonts w:eastAsia="Verdana" w:cs="Verdana"/>
          <w:sz w:val="20"/>
          <w:szCs w:val="20"/>
          <w:lang w:val="en-US"/>
        </w:rPr>
        <w:t>of the State</w:t>
      </w:r>
      <w:r w:rsidR="006C37C9" w:rsidRPr="00CF6765">
        <w:rPr>
          <w:rFonts w:eastAsia="Verdana" w:cs="Verdana"/>
          <w:sz w:val="20"/>
          <w:szCs w:val="20"/>
          <w:lang w:val="en-US"/>
        </w:rPr>
        <w:t xml:space="preserve"> </w:t>
      </w:r>
      <w:r w:rsidRPr="00CF6765">
        <w:rPr>
          <w:rFonts w:eastAsia="Verdana" w:cs="Verdana"/>
          <w:sz w:val="20"/>
          <w:szCs w:val="20"/>
          <w:lang w:val="en-US"/>
        </w:rPr>
        <w:t>for the violation of</w:t>
      </w:r>
      <w:r w:rsidR="006C37C9" w:rsidRPr="00CF6765">
        <w:rPr>
          <w:rFonts w:eastAsia="Verdana" w:cs="Verdana"/>
          <w:sz w:val="20"/>
          <w:szCs w:val="20"/>
          <w:lang w:val="en-US"/>
        </w:rPr>
        <w:t xml:space="preserve"> </w:t>
      </w:r>
      <w:r w:rsidR="005C731C" w:rsidRPr="00CF6765">
        <w:rPr>
          <w:rFonts w:eastAsia="Verdana" w:cs="Verdana"/>
          <w:sz w:val="20"/>
          <w:szCs w:val="20"/>
          <w:lang w:val="en-US"/>
        </w:rPr>
        <w:t>Articles</w:t>
      </w:r>
      <w:r w:rsidR="006C37C9" w:rsidRPr="00CF6765">
        <w:rPr>
          <w:rFonts w:eastAsia="Verdana" w:cs="Verdana"/>
          <w:sz w:val="20"/>
          <w:szCs w:val="20"/>
          <w:lang w:val="en-US"/>
        </w:rPr>
        <w:t xml:space="preserve"> </w:t>
      </w:r>
      <w:r w:rsidRPr="00CF6765">
        <w:rPr>
          <w:rFonts w:eastAsia="Verdana" w:cs="Verdana"/>
          <w:sz w:val="20"/>
          <w:szCs w:val="20"/>
          <w:lang w:val="en-US"/>
        </w:rPr>
        <w:t>4(1)</w:t>
      </w:r>
      <w:r w:rsidR="008D0F8E" w:rsidRPr="00CF6765">
        <w:rPr>
          <w:rFonts w:eastAsia="Verdana" w:cs="Verdana"/>
          <w:sz w:val="20"/>
          <w:szCs w:val="20"/>
          <w:lang w:val="en-US"/>
        </w:rPr>
        <w:t xml:space="preserve">, </w:t>
      </w:r>
      <w:r w:rsidRPr="00CF6765">
        <w:rPr>
          <w:rFonts w:eastAsia="Verdana" w:cs="Verdana"/>
          <w:sz w:val="20"/>
          <w:szCs w:val="20"/>
          <w:lang w:val="en-US"/>
        </w:rPr>
        <w:t>5(1)</w:t>
      </w:r>
      <w:r w:rsidR="008D0F8E" w:rsidRPr="00CF6765">
        <w:rPr>
          <w:rFonts w:eastAsia="Verdana" w:cs="Verdana"/>
          <w:sz w:val="20"/>
          <w:szCs w:val="20"/>
          <w:lang w:val="en-US"/>
        </w:rPr>
        <w:t xml:space="preserve">, 26, 8, 25, </w:t>
      </w:r>
      <w:r w:rsidRPr="00CF6765">
        <w:rPr>
          <w:rFonts w:eastAsia="Verdana" w:cs="Verdana"/>
          <w:sz w:val="20"/>
          <w:szCs w:val="20"/>
          <w:lang w:val="en-US"/>
        </w:rPr>
        <w:t>13(1)</w:t>
      </w:r>
      <w:r w:rsidR="008D0F8E" w:rsidRPr="00CF6765">
        <w:rPr>
          <w:rFonts w:eastAsia="Verdana" w:cs="Verdana"/>
          <w:sz w:val="20"/>
          <w:szCs w:val="20"/>
          <w:lang w:val="en-US"/>
        </w:rPr>
        <w:t>, 11</w:t>
      </w:r>
      <w:r w:rsidR="00EC50FC" w:rsidRPr="00CF6765">
        <w:rPr>
          <w:rFonts w:eastAsia="Verdana" w:cs="Verdana"/>
          <w:sz w:val="20"/>
          <w:szCs w:val="20"/>
          <w:lang w:val="en-US"/>
        </w:rPr>
        <w:t xml:space="preserve"> and </w:t>
      </w:r>
      <w:r w:rsidR="008D0F8E" w:rsidRPr="00CF6765">
        <w:rPr>
          <w:rFonts w:eastAsia="Verdana" w:cs="Verdana"/>
          <w:sz w:val="20"/>
          <w:szCs w:val="20"/>
          <w:lang w:val="en-US"/>
        </w:rPr>
        <w:t>7</w:t>
      </w:r>
      <w:r w:rsidR="005C731C" w:rsidRPr="00CF6765">
        <w:rPr>
          <w:rFonts w:eastAsia="Verdana" w:cs="Verdana"/>
          <w:sz w:val="20"/>
          <w:szCs w:val="20"/>
          <w:lang w:val="en-US"/>
        </w:rPr>
        <w:t xml:space="preserve"> of the American Convention</w:t>
      </w:r>
      <w:r w:rsidR="006C37C9" w:rsidRPr="00CF6765">
        <w:rPr>
          <w:rFonts w:eastAsia="Verdana" w:cs="Verdana"/>
          <w:sz w:val="20"/>
          <w:szCs w:val="20"/>
          <w:lang w:val="en-US"/>
        </w:rPr>
        <w:t xml:space="preserve">, </w:t>
      </w:r>
      <w:r w:rsidRPr="00CF6765">
        <w:rPr>
          <w:rFonts w:eastAsia="Verdana" w:cs="Verdana"/>
          <w:sz w:val="20"/>
          <w:szCs w:val="20"/>
          <w:lang w:val="en-US"/>
        </w:rPr>
        <w:t>in relation with</w:t>
      </w:r>
      <w:r w:rsidR="006C37C9" w:rsidRPr="00CF6765">
        <w:rPr>
          <w:rFonts w:eastAsia="Verdana" w:cs="Verdana"/>
          <w:sz w:val="20"/>
          <w:szCs w:val="20"/>
          <w:lang w:val="en-US"/>
        </w:rPr>
        <w:t xml:space="preserve"> </w:t>
      </w:r>
      <w:r w:rsidR="00EC50FC" w:rsidRPr="00CF6765">
        <w:rPr>
          <w:rFonts w:eastAsia="Verdana" w:cs="Verdana"/>
          <w:sz w:val="20"/>
          <w:szCs w:val="20"/>
          <w:lang w:val="en-US"/>
        </w:rPr>
        <w:t xml:space="preserve">Article 1(1) and </w:t>
      </w:r>
      <w:r w:rsidR="008D0F8E" w:rsidRPr="00CF6765">
        <w:rPr>
          <w:rFonts w:eastAsia="Verdana" w:cs="Verdana"/>
          <w:sz w:val="20"/>
          <w:szCs w:val="20"/>
          <w:lang w:val="en-US"/>
        </w:rPr>
        <w:t xml:space="preserve">2 </w:t>
      </w:r>
      <w:r w:rsidR="00690D57" w:rsidRPr="00CF6765">
        <w:rPr>
          <w:rFonts w:eastAsia="Verdana" w:cs="Verdana"/>
          <w:sz w:val="20"/>
          <w:szCs w:val="20"/>
          <w:lang w:val="en-US"/>
        </w:rPr>
        <w:t>of this instrument</w:t>
      </w:r>
      <w:r w:rsidR="00C133E5" w:rsidRPr="00CF6765">
        <w:rPr>
          <w:rFonts w:eastAsia="Verdana" w:cs="Verdana"/>
          <w:sz w:val="20"/>
          <w:szCs w:val="20"/>
          <w:lang w:val="en-US"/>
        </w:rPr>
        <w:t>,</w:t>
      </w:r>
      <w:r w:rsidR="008D0F8E" w:rsidRPr="00CF6765">
        <w:rPr>
          <w:rFonts w:eastAsia="Verdana" w:cs="Verdana"/>
          <w:sz w:val="20"/>
          <w:szCs w:val="20"/>
          <w:lang w:val="en-US"/>
        </w:rPr>
        <w:t xml:space="preserve"> </w:t>
      </w:r>
      <w:r w:rsidR="00690D57" w:rsidRPr="00CF6765">
        <w:rPr>
          <w:rFonts w:eastAsia="Verdana" w:cs="Verdana"/>
          <w:sz w:val="20"/>
          <w:szCs w:val="20"/>
          <w:lang w:val="en-US"/>
        </w:rPr>
        <w:t>to the detriment of</w:t>
      </w:r>
      <w:r w:rsidR="008D0F8E" w:rsidRPr="00CF6765">
        <w:rPr>
          <w:rFonts w:eastAsia="Verdana" w:cs="Verdana"/>
          <w:sz w:val="20"/>
          <w:szCs w:val="20"/>
          <w:lang w:val="en-US"/>
        </w:rPr>
        <w:t xml:space="preserve"> Vinicio Antonio Poblete </w:t>
      </w:r>
      <w:proofErr w:type="spellStart"/>
      <w:r w:rsidR="008D0F8E" w:rsidRPr="00CF6765">
        <w:rPr>
          <w:rFonts w:eastAsia="Verdana" w:cs="Verdana"/>
          <w:sz w:val="20"/>
          <w:szCs w:val="20"/>
          <w:lang w:val="en-US"/>
        </w:rPr>
        <w:t>Vilches</w:t>
      </w:r>
      <w:proofErr w:type="spellEnd"/>
      <w:r w:rsidR="00EC50FC" w:rsidRPr="00CF6765">
        <w:rPr>
          <w:rFonts w:eastAsia="Verdana" w:cs="Verdana"/>
          <w:sz w:val="20"/>
          <w:szCs w:val="20"/>
          <w:lang w:val="en-US"/>
        </w:rPr>
        <w:t xml:space="preserve"> </w:t>
      </w:r>
      <w:r w:rsidR="00690D57" w:rsidRPr="00CF6765">
        <w:rPr>
          <w:rFonts w:eastAsia="Verdana" w:cs="Verdana"/>
          <w:sz w:val="20"/>
          <w:szCs w:val="20"/>
          <w:lang w:val="en-US"/>
        </w:rPr>
        <w:t>and the members of his family</w:t>
      </w:r>
      <w:r w:rsidR="008D0F8E" w:rsidRPr="00CF6765">
        <w:rPr>
          <w:rFonts w:eastAsia="Verdana" w:cs="Verdana"/>
          <w:sz w:val="20"/>
          <w:szCs w:val="20"/>
          <w:lang w:val="en-US"/>
        </w:rPr>
        <w:t>.</w:t>
      </w:r>
      <w:r w:rsidR="00962981" w:rsidRPr="00CF6765">
        <w:rPr>
          <w:b/>
          <w:sz w:val="18"/>
          <w:szCs w:val="18"/>
          <w:lang w:val="en-US"/>
        </w:rPr>
        <w:t xml:space="preserve"> </w:t>
      </w:r>
      <w:r w:rsidRPr="00CF6765">
        <w:rPr>
          <w:rFonts w:eastAsia="Verdana" w:cs="Verdana"/>
          <w:sz w:val="20"/>
          <w:szCs w:val="20"/>
          <w:lang w:val="en-US"/>
        </w:rPr>
        <w:t>The inter-American defenders</w:t>
      </w:r>
      <w:r w:rsidR="008D0F8E" w:rsidRPr="00CF6765">
        <w:rPr>
          <w:rFonts w:eastAsia="Verdana" w:cs="Verdana"/>
          <w:sz w:val="20"/>
          <w:szCs w:val="20"/>
          <w:lang w:val="en-US"/>
        </w:rPr>
        <w:t xml:space="preserve"> </w:t>
      </w:r>
      <w:r w:rsidRPr="00CF6765">
        <w:rPr>
          <w:rFonts w:eastAsia="Verdana" w:cs="Verdana"/>
          <w:sz w:val="20"/>
          <w:szCs w:val="20"/>
          <w:lang w:val="en-US"/>
        </w:rPr>
        <w:t>also asked for access to the Victims’ Legal Assistance Fund</w:t>
      </w:r>
      <w:r w:rsidR="005C731C" w:rsidRPr="00CF6765">
        <w:rPr>
          <w:rFonts w:eastAsia="Verdana" w:cs="Verdana"/>
          <w:sz w:val="20"/>
          <w:szCs w:val="20"/>
          <w:lang w:val="en-US"/>
        </w:rPr>
        <w:t xml:space="preserve"> of the Inter-American Court</w:t>
      </w:r>
      <w:r w:rsidR="006C37C9" w:rsidRPr="00CF6765">
        <w:rPr>
          <w:rFonts w:eastAsia="Verdana" w:cs="Verdana"/>
          <w:sz w:val="20"/>
          <w:szCs w:val="20"/>
          <w:lang w:val="en-US"/>
        </w:rPr>
        <w:t xml:space="preserve"> (</w:t>
      </w:r>
      <w:r w:rsidR="005C731C" w:rsidRPr="00CF6765">
        <w:rPr>
          <w:rFonts w:eastAsia="Verdana" w:cs="Verdana"/>
          <w:sz w:val="20"/>
          <w:szCs w:val="20"/>
          <w:lang w:val="en-US"/>
        </w:rPr>
        <w:t>hereinafter</w:t>
      </w:r>
      <w:r w:rsidR="006C37C9" w:rsidRPr="00CF6765">
        <w:rPr>
          <w:rFonts w:eastAsia="Verdana" w:cs="Verdana"/>
          <w:sz w:val="20"/>
          <w:szCs w:val="20"/>
          <w:lang w:val="en-US"/>
        </w:rPr>
        <w:t xml:space="preserve"> </w:t>
      </w:r>
      <w:r w:rsidRPr="00CF6765">
        <w:rPr>
          <w:rFonts w:eastAsia="Verdana" w:cs="Verdana"/>
          <w:sz w:val="20"/>
          <w:szCs w:val="20"/>
          <w:lang w:val="en-US"/>
        </w:rPr>
        <w:t>“the Court’s Legal Assistance Fund</w:t>
      </w:r>
      <w:r w:rsidR="006C37C9" w:rsidRPr="00CF6765">
        <w:rPr>
          <w:rFonts w:eastAsia="Verdana" w:cs="Verdana"/>
          <w:sz w:val="20"/>
          <w:szCs w:val="20"/>
          <w:lang w:val="en-US"/>
        </w:rPr>
        <w:t xml:space="preserve">” </w:t>
      </w:r>
      <w:r w:rsidRPr="00CF6765">
        <w:rPr>
          <w:rFonts w:eastAsia="Verdana" w:cs="Verdana"/>
          <w:sz w:val="20"/>
          <w:szCs w:val="20"/>
          <w:lang w:val="en-US"/>
        </w:rPr>
        <w:t>or “the Fund</w:t>
      </w:r>
      <w:r w:rsidR="006C37C9" w:rsidRPr="00CF6765">
        <w:rPr>
          <w:rFonts w:eastAsia="Verdana" w:cs="Verdana"/>
          <w:sz w:val="20"/>
          <w:szCs w:val="20"/>
          <w:lang w:val="en-US"/>
        </w:rPr>
        <w:t xml:space="preserve">”). </w:t>
      </w:r>
      <w:r w:rsidR="00B328D7" w:rsidRPr="00CF6765">
        <w:rPr>
          <w:rFonts w:eastAsia="Verdana" w:cs="Verdana"/>
          <w:sz w:val="20"/>
          <w:szCs w:val="20"/>
          <w:lang w:val="en-US"/>
        </w:rPr>
        <w:t>Lastly</w:t>
      </w:r>
      <w:r w:rsidRPr="00CF6765">
        <w:rPr>
          <w:rFonts w:eastAsia="Verdana" w:cs="Verdana"/>
          <w:sz w:val="20"/>
          <w:szCs w:val="20"/>
          <w:lang w:val="en-US"/>
        </w:rPr>
        <w:t>, they asked the Court to order the State to adopt different measures of reparation and to reimburse certain costs and expenses</w:t>
      </w:r>
      <w:r w:rsidR="006C37C9" w:rsidRPr="00CF6765">
        <w:rPr>
          <w:rFonts w:eastAsia="Verdana" w:cs="Verdana"/>
          <w:sz w:val="20"/>
          <w:szCs w:val="20"/>
          <w:lang w:val="en-US"/>
        </w:rPr>
        <w:t>.</w:t>
      </w:r>
      <w:r w:rsidR="00962981" w:rsidRPr="00CF6765">
        <w:rPr>
          <w:b/>
          <w:sz w:val="18"/>
          <w:szCs w:val="18"/>
          <w:lang w:val="en-US"/>
        </w:rPr>
        <w:t xml:space="preserve"> </w:t>
      </w:r>
    </w:p>
    <w:p w14:paraId="7D84E2B6" w14:textId="77777777" w:rsidR="006C37C9" w:rsidRPr="00CF6765" w:rsidRDefault="006C37C9" w:rsidP="00F3026E">
      <w:pPr>
        <w:rPr>
          <w:sz w:val="20"/>
          <w:szCs w:val="20"/>
          <w:lang w:val="en-US"/>
        </w:rPr>
      </w:pPr>
    </w:p>
    <w:p w14:paraId="6DFA59E9" w14:textId="3EEE36E5" w:rsidR="006C37C9" w:rsidRPr="00CF6765" w:rsidRDefault="00D2168F" w:rsidP="00F3026E">
      <w:pPr>
        <w:numPr>
          <w:ilvl w:val="0"/>
          <w:numId w:val="2"/>
        </w:numPr>
        <w:tabs>
          <w:tab w:val="left" w:pos="567"/>
          <w:tab w:val="num" w:pos="12305"/>
        </w:tabs>
        <w:ind w:left="0" w:firstLine="0"/>
        <w:rPr>
          <w:rFonts w:eastAsia="Verdana" w:cs="Verdana"/>
          <w:i/>
          <w:sz w:val="20"/>
          <w:szCs w:val="20"/>
          <w:lang w:val="en-US"/>
        </w:rPr>
      </w:pPr>
      <w:r w:rsidRPr="00CF6765">
        <w:rPr>
          <w:rFonts w:eastAsia="Verdana" w:cs="Verdana"/>
          <w:i/>
          <w:sz w:val="20"/>
          <w:szCs w:val="20"/>
          <w:lang w:val="en-US"/>
        </w:rPr>
        <w:t>Answering brief</w:t>
      </w:r>
      <w:r w:rsidR="006C37C9" w:rsidRPr="00CF6765">
        <w:rPr>
          <w:rFonts w:eastAsia="Verdana" w:cs="Verdana"/>
          <w:i/>
          <w:sz w:val="20"/>
          <w:szCs w:val="20"/>
          <w:lang w:val="en-US"/>
        </w:rPr>
        <w:t xml:space="preserve">. </w:t>
      </w:r>
      <w:r w:rsidRPr="00CF6765">
        <w:rPr>
          <w:rFonts w:eastAsia="Verdana" w:cs="Verdana"/>
          <w:sz w:val="20"/>
          <w:szCs w:val="20"/>
          <w:lang w:val="en-US"/>
        </w:rPr>
        <w:t>On April 21,</w:t>
      </w:r>
      <w:r w:rsidR="006C37C9" w:rsidRPr="00CF6765">
        <w:rPr>
          <w:rFonts w:eastAsia="Verdana" w:cs="Verdana"/>
          <w:sz w:val="20"/>
          <w:szCs w:val="20"/>
          <w:lang w:val="en-US"/>
        </w:rPr>
        <w:t xml:space="preserve"> 201</w:t>
      </w:r>
      <w:r w:rsidR="008D0F8E" w:rsidRPr="00CF6765">
        <w:rPr>
          <w:rFonts w:eastAsia="Verdana" w:cs="Verdana"/>
          <w:sz w:val="20"/>
          <w:szCs w:val="20"/>
          <w:lang w:val="en-US"/>
        </w:rPr>
        <w:t>7</w:t>
      </w:r>
      <w:r w:rsidRPr="00CF6765">
        <w:rPr>
          <w:rFonts w:eastAsia="Verdana" w:cs="Verdana"/>
          <w:sz w:val="20"/>
          <w:szCs w:val="20"/>
          <w:lang w:val="en-US"/>
        </w:rPr>
        <w:t>,</w:t>
      </w:r>
      <w:r w:rsidR="006C37C9" w:rsidRPr="00CF6765">
        <w:rPr>
          <w:rFonts w:eastAsia="Verdana" w:cs="Verdana"/>
          <w:sz w:val="20"/>
          <w:szCs w:val="20"/>
          <w:lang w:val="en-US"/>
        </w:rPr>
        <w:t xml:space="preserve"> </w:t>
      </w:r>
      <w:r w:rsidR="00EC50FC" w:rsidRPr="00CF6765">
        <w:rPr>
          <w:rFonts w:eastAsia="Verdana" w:cs="Verdana"/>
          <w:sz w:val="20"/>
          <w:szCs w:val="20"/>
          <w:lang w:val="en-US"/>
        </w:rPr>
        <w:t>the State</w:t>
      </w:r>
      <w:r w:rsidR="00EB3F3D" w:rsidRPr="00CF6765">
        <w:rPr>
          <w:rStyle w:val="Refdenotaalpie"/>
          <w:rFonts w:eastAsia="Verdana" w:cs="Verdana"/>
          <w:sz w:val="20"/>
          <w:szCs w:val="20"/>
          <w:lang w:val="en-US"/>
        </w:rPr>
        <w:footnoteReference w:id="8"/>
      </w:r>
      <w:r w:rsidR="006C37C9" w:rsidRPr="00CF6765">
        <w:rPr>
          <w:rFonts w:eastAsia="Verdana" w:cs="Verdana"/>
          <w:sz w:val="20"/>
          <w:szCs w:val="20"/>
          <w:lang w:val="en-US"/>
        </w:rPr>
        <w:t xml:space="preserve"> presen</w:t>
      </w:r>
      <w:r w:rsidRPr="00CF6765">
        <w:rPr>
          <w:rFonts w:eastAsia="Verdana" w:cs="Verdana"/>
          <w:sz w:val="20"/>
          <w:szCs w:val="20"/>
          <w:lang w:val="en-US"/>
        </w:rPr>
        <w:t xml:space="preserve">ted to the Court its </w:t>
      </w:r>
      <w:r w:rsidRPr="00CF6765">
        <w:rPr>
          <w:rFonts w:eastAsia="Calibri" w:cs="Arial"/>
          <w:sz w:val="20"/>
          <w:szCs w:val="20"/>
          <w:lang w:val="en-US"/>
        </w:rPr>
        <w:t xml:space="preserve">brief answering the submission of the case and the </w:t>
      </w:r>
      <w:r w:rsidR="00EC50FC" w:rsidRPr="00CF6765">
        <w:rPr>
          <w:rFonts w:eastAsia="Verdana" w:cs="Verdana"/>
          <w:sz w:val="20"/>
          <w:szCs w:val="20"/>
          <w:lang w:val="en-US"/>
        </w:rPr>
        <w:t>Merits Report</w:t>
      </w:r>
      <w:r w:rsidR="005C731C" w:rsidRPr="00CF6765">
        <w:rPr>
          <w:rFonts w:eastAsia="Verdana" w:cs="Verdana"/>
          <w:sz w:val="20"/>
          <w:szCs w:val="20"/>
          <w:lang w:val="en-US"/>
        </w:rPr>
        <w:t xml:space="preserve"> of the Inter-American Commission</w:t>
      </w:r>
      <w:r w:rsidRPr="00CF6765">
        <w:rPr>
          <w:rFonts w:eastAsia="Verdana" w:cs="Verdana"/>
          <w:sz w:val="20"/>
          <w:szCs w:val="20"/>
          <w:lang w:val="en-US"/>
        </w:rPr>
        <w:t>,</w:t>
      </w:r>
      <w:r w:rsidR="00EC50FC" w:rsidRPr="00CF6765">
        <w:rPr>
          <w:rFonts w:eastAsia="Verdana" w:cs="Verdana"/>
          <w:sz w:val="20"/>
          <w:szCs w:val="20"/>
          <w:lang w:val="en-US"/>
        </w:rPr>
        <w:t xml:space="preserve"> and</w:t>
      </w:r>
      <w:r w:rsidR="00366326" w:rsidRPr="00CF6765">
        <w:rPr>
          <w:rFonts w:eastAsia="Verdana" w:cs="Verdana"/>
          <w:sz w:val="20"/>
          <w:szCs w:val="20"/>
          <w:lang w:val="en-US"/>
        </w:rPr>
        <w:t xml:space="preserve"> also</w:t>
      </w:r>
      <w:r w:rsidR="00EC50FC" w:rsidRPr="00CF6765">
        <w:rPr>
          <w:rFonts w:eastAsia="Verdana" w:cs="Verdana"/>
          <w:sz w:val="20"/>
          <w:szCs w:val="20"/>
          <w:lang w:val="en-US"/>
        </w:rPr>
        <w:t xml:space="preserve"> </w:t>
      </w:r>
      <w:r w:rsidRPr="00CF6765">
        <w:rPr>
          <w:rFonts w:eastAsia="Verdana" w:cs="Verdana"/>
          <w:sz w:val="20"/>
          <w:szCs w:val="20"/>
          <w:lang w:val="en-US"/>
        </w:rPr>
        <w:t>the</w:t>
      </w:r>
      <w:r w:rsidR="006C37C9" w:rsidRPr="00CF6765">
        <w:rPr>
          <w:rFonts w:eastAsia="Verdana" w:cs="Verdana"/>
          <w:sz w:val="20"/>
          <w:szCs w:val="20"/>
          <w:lang w:val="en-US"/>
        </w:rPr>
        <w:t xml:space="preserve"> </w:t>
      </w:r>
      <w:r w:rsidRPr="00CF6765">
        <w:rPr>
          <w:rFonts w:eastAsia="Verdana" w:cs="Verdana"/>
          <w:sz w:val="20"/>
          <w:szCs w:val="20"/>
          <w:lang w:val="en-US"/>
        </w:rPr>
        <w:t>pleadings and motions brief</w:t>
      </w:r>
      <w:r w:rsidR="006C37C9" w:rsidRPr="00CF6765">
        <w:rPr>
          <w:rFonts w:eastAsia="Verdana" w:cs="Verdana"/>
          <w:sz w:val="20"/>
          <w:szCs w:val="20"/>
          <w:lang w:val="en-US"/>
        </w:rPr>
        <w:t xml:space="preserve">. </w:t>
      </w:r>
      <w:r w:rsidRPr="00CF6765">
        <w:rPr>
          <w:rFonts w:eastAsia="Verdana" w:cs="Verdana"/>
          <w:sz w:val="20"/>
          <w:szCs w:val="20"/>
          <w:lang w:val="en-US"/>
        </w:rPr>
        <w:t xml:space="preserve">In </w:t>
      </w:r>
      <w:r w:rsidR="00366326" w:rsidRPr="00CF6765">
        <w:rPr>
          <w:rFonts w:eastAsia="Verdana" w:cs="Verdana"/>
          <w:sz w:val="20"/>
          <w:szCs w:val="20"/>
          <w:lang w:val="en-US"/>
        </w:rPr>
        <w:t>its</w:t>
      </w:r>
      <w:r w:rsidRPr="00CF6765">
        <w:rPr>
          <w:rFonts w:eastAsia="Verdana" w:cs="Verdana"/>
          <w:sz w:val="20"/>
          <w:szCs w:val="20"/>
          <w:lang w:val="en-US"/>
        </w:rPr>
        <w:t xml:space="preserve"> brief, the State </w:t>
      </w:r>
      <w:r w:rsidR="00366326" w:rsidRPr="00CF6765">
        <w:rPr>
          <w:rFonts w:eastAsia="Verdana" w:cs="Verdana"/>
          <w:sz w:val="20"/>
          <w:szCs w:val="20"/>
          <w:lang w:val="en-US"/>
        </w:rPr>
        <w:t>included</w:t>
      </w:r>
      <w:r w:rsidRPr="00CF6765">
        <w:rPr>
          <w:rFonts w:eastAsia="Verdana" w:cs="Verdana"/>
          <w:sz w:val="20"/>
          <w:szCs w:val="20"/>
          <w:lang w:val="en-US"/>
        </w:rPr>
        <w:t xml:space="preserve"> a partial acknowledgement</w:t>
      </w:r>
      <w:r w:rsidR="00AD6DF0" w:rsidRPr="00CF6765">
        <w:rPr>
          <w:rFonts w:eastAsia="Verdana" w:cs="Verdana"/>
          <w:sz w:val="20"/>
          <w:szCs w:val="20"/>
          <w:lang w:val="en-US"/>
        </w:rPr>
        <w:t xml:space="preserve"> of international responsibility</w:t>
      </w:r>
      <w:r w:rsidR="00D823EA" w:rsidRPr="00CF6765">
        <w:rPr>
          <w:rFonts w:eastAsia="Verdana" w:cs="Verdana"/>
          <w:sz w:val="20"/>
          <w:szCs w:val="20"/>
          <w:lang w:val="en-US"/>
        </w:rPr>
        <w:t>.</w:t>
      </w:r>
      <w:r w:rsidR="00962981" w:rsidRPr="00CF6765">
        <w:rPr>
          <w:b/>
          <w:sz w:val="18"/>
          <w:szCs w:val="18"/>
          <w:lang w:val="en-US"/>
        </w:rPr>
        <w:t xml:space="preserve"> </w:t>
      </w:r>
    </w:p>
    <w:p w14:paraId="3858368E" w14:textId="77777777" w:rsidR="00D823EA" w:rsidRPr="00CF6765" w:rsidRDefault="00D823EA" w:rsidP="00F3026E">
      <w:pPr>
        <w:tabs>
          <w:tab w:val="left" w:pos="567"/>
        </w:tabs>
        <w:rPr>
          <w:rFonts w:eastAsia="Verdana" w:cs="Verdana"/>
          <w:i/>
          <w:sz w:val="20"/>
          <w:szCs w:val="20"/>
          <w:lang w:val="en-US"/>
        </w:rPr>
      </w:pPr>
    </w:p>
    <w:p w14:paraId="2B31C99E" w14:textId="3C05CE60" w:rsidR="00D823EA" w:rsidRPr="00CF6765" w:rsidRDefault="00D823EA" w:rsidP="00F3026E">
      <w:pPr>
        <w:numPr>
          <w:ilvl w:val="0"/>
          <w:numId w:val="2"/>
        </w:numPr>
        <w:tabs>
          <w:tab w:val="left" w:pos="567"/>
          <w:tab w:val="num" w:pos="12305"/>
        </w:tabs>
        <w:ind w:left="0" w:firstLine="0"/>
        <w:rPr>
          <w:rFonts w:eastAsia="Verdana" w:cs="Verdana"/>
          <w:i/>
          <w:sz w:val="20"/>
          <w:szCs w:val="20"/>
          <w:lang w:val="en-US"/>
        </w:rPr>
      </w:pPr>
      <w:r w:rsidRPr="00CF6765">
        <w:rPr>
          <w:rFonts w:eastAsia="Verdana" w:cs="Verdana"/>
          <w:i/>
          <w:sz w:val="20"/>
          <w:szCs w:val="20"/>
          <w:lang w:val="en-US"/>
        </w:rPr>
        <w:t>Observa</w:t>
      </w:r>
      <w:r w:rsidR="00AD6DF0" w:rsidRPr="00CF6765">
        <w:rPr>
          <w:rFonts w:eastAsia="Verdana" w:cs="Verdana"/>
          <w:i/>
          <w:sz w:val="20"/>
          <w:szCs w:val="20"/>
          <w:lang w:val="en-US"/>
        </w:rPr>
        <w:t xml:space="preserve">tions </w:t>
      </w:r>
      <w:r w:rsidR="00366326" w:rsidRPr="00CF6765">
        <w:rPr>
          <w:rFonts w:eastAsia="Verdana" w:cs="Verdana"/>
          <w:i/>
          <w:sz w:val="20"/>
          <w:szCs w:val="20"/>
          <w:lang w:val="en-US"/>
        </w:rPr>
        <w:t>on the State’s</w:t>
      </w:r>
      <w:r w:rsidR="00AD6DF0" w:rsidRPr="00CF6765">
        <w:rPr>
          <w:rFonts w:eastAsia="Verdana" w:cs="Verdana"/>
          <w:i/>
          <w:sz w:val="20"/>
          <w:szCs w:val="20"/>
          <w:lang w:val="en-US"/>
        </w:rPr>
        <w:t xml:space="preserve"> partial acknowledgement of international responsibility</w:t>
      </w:r>
      <w:r w:rsidRPr="00CF6765">
        <w:rPr>
          <w:rFonts w:eastAsia="Verdana" w:cs="Verdana"/>
          <w:i/>
          <w:sz w:val="20"/>
          <w:szCs w:val="20"/>
          <w:lang w:val="en-US"/>
        </w:rPr>
        <w:t>.</w:t>
      </w:r>
      <w:r w:rsidRPr="00CF6765">
        <w:rPr>
          <w:rFonts w:eastAsia="Verdana" w:cs="Verdana"/>
          <w:sz w:val="20"/>
          <w:szCs w:val="20"/>
          <w:lang w:val="en-US"/>
        </w:rPr>
        <w:t xml:space="preserve"> </w:t>
      </w:r>
      <w:r w:rsidR="00AD6DF0" w:rsidRPr="00CF6765">
        <w:rPr>
          <w:rFonts w:eastAsia="Verdana" w:cs="Verdana"/>
          <w:sz w:val="20"/>
          <w:szCs w:val="20"/>
          <w:lang w:val="en-US"/>
        </w:rPr>
        <w:t>On July 3,</w:t>
      </w:r>
      <w:r w:rsidRPr="00CF6765">
        <w:rPr>
          <w:rFonts w:eastAsia="Verdana" w:cs="Verdana"/>
          <w:sz w:val="20"/>
          <w:szCs w:val="20"/>
          <w:lang w:val="en-US"/>
        </w:rPr>
        <w:t xml:space="preserve"> 2017</w:t>
      </w:r>
      <w:r w:rsidR="00AD6DF0" w:rsidRPr="00CF6765">
        <w:rPr>
          <w:rFonts w:eastAsia="Verdana" w:cs="Verdana"/>
          <w:sz w:val="20"/>
          <w:szCs w:val="20"/>
          <w:lang w:val="en-US"/>
        </w:rPr>
        <w:t>,</w:t>
      </w:r>
      <w:r w:rsidRPr="00CF6765">
        <w:rPr>
          <w:rFonts w:eastAsia="Verdana" w:cs="Verdana"/>
          <w:sz w:val="20"/>
          <w:szCs w:val="20"/>
          <w:lang w:val="en-US"/>
        </w:rPr>
        <w:t xml:space="preserve"> </w:t>
      </w:r>
      <w:r w:rsidR="00D2168F" w:rsidRPr="00CF6765">
        <w:rPr>
          <w:rFonts w:eastAsia="Verdana" w:cs="Verdana"/>
          <w:sz w:val="20"/>
          <w:szCs w:val="20"/>
          <w:lang w:val="en-US"/>
        </w:rPr>
        <w:t>the inter-American defenders</w:t>
      </w:r>
      <w:r w:rsidR="00EC50FC" w:rsidRPr="00CF6765">
        <w:rPr>
          <w:rFonts w:eastAsia="Verdana" w:cs="Verdana"/>
          <w:sz w:val="20"/>
          <w:szCs w:val="20"/>
          <w:lang w:val="en-US"/>
        </w:rPr>
        <w:t xml:space="preserve"> and </w:t>
      </w:r>
      <w:r w:rsidR="005C731C" w:rsidRPr="00CF6765">
        <w:rPr>
          <w:rFonts w:eastAsia="Verdana" w:cs="Verdana"/>
          <w:sz w:val="20"/>
          <w:szCs w:val="20"/>
          <w:lang w:val="en-US"/>
        </w:rPr>
        <w:t>the Inter-American Commission</w:t>
      </w:r>
      <w:r w:rsidRPr="00CF6765">
        <w:rPr>
          <w:rFonts w:eastAsia="Verdana" w:cs="Verdana"/>
          <w:sz w:val="20"/>
          <w:szCs w:val="20"/>
          <w:lang w:val="en-US"/>
        </w:rPr>
        <w:t xml:space="preserve"> present</w:t>
      </w:r>
      <w:r w:rsidR="00AD6DF0" w:rsidRPr="00CF6765">
        <w:rPr>
          <w:rFonts w:eastAsia="Verdana" w:cs="Verdana"/>
          <w:sz w:val="20"/>
          <w:szCs w:val="20"/>
          <w:lang w:val="en-US"/>
        </w:rPr>
        <w:t>ed their observations on the partial acknowledgement of international responsibility</w:t>
      </w:r>
      <w:r w:rsidRPr="00CF6765">
        <w:rPr>
          <w:rFonts w:eastAsia="Verdana" w:cs="Verdana"/>
          <w:sz w:val="20"/>
          <w:szCs w:val="20"/>
          <w:lang w:val="en-US"/>
        </w:rPr>
        <w:t xml:space="preserve"> </w:t>
      </w:r>
      <w:r w:rsidR="00366326" w:rsidRPr="00CF6765">
        <w:rPr>
          <w:rFonts w:eastAsia="Verdana" w:cs="Verdana"/>
          <w:sz w:val="20"/>
          <w:szCs w:val="20"/>
          <w:lang w:val="en-US"/>
        </w:rPr>
        <w:t>made</w:t>
      </w:r>
      <w:r w:rsidR="00AD6DF0" w:rsidRPr="00CF6765">
        <w:rPr>
          <w:rFonts w:eastAsia="Verdana" w:cs="Verdana"/>
          <w:sz w:val="20"/>
          <w:szCs w:val="20"/>
          <w:lang w:val="en-US"/>
        </w:rPr>
        <w:t xml:space="preserve"> by</w:t>
      </w:r>
      <w:r w:rsidRPr="00CF6765">
        <w:rPr>
          <w:rFonts w:eastAsia="Verdana" w:cs="Verdana"/>
          <w:sz w:val="20"/>
          <w:szCs w:val="20"/>
          <w:lang w:val="en-US"/>
        </w:rPr>
        <w:t xml:space="preserve"> </w:t>
      </w:r>
      <w:r w:rsidR="00EC50FC" w:rsidRPr="00CF6765">
        <w:rPr>
          <w:rFonts w:eastAsia="Verdana" w:cs="Verdana"/>
          <w:sz w:val="20"/>
          <w:szCs w:val="20"/>
          <w:lang w:val="en-US"/>
        </w:rPr>
        <w:t>the State</w:t>
      </w:r>
      <w:r w:rsidRPr="00CF6765">
        <w:rPr>
          <w:rFonts w:eastAsia="Verdana" w:cs="Verdana"/>
          <w:sz w:val="20"/>
          <w:szCs w:val="20"/>
          <w:lang w:val="en-US"/>
        </w:rPr>
        <w:t xml:space="preserve"> </w:t>
      </w:r>
      <w:r w:rsidR="00671A8C" w:rsidRPr="00CF6765">
        <w:rPr>
          <w:rFonts w:eastAsia="Verdana" w:cs="Verdana"/>
          <w:sz w:val="20"/>
          <w:szCs w:val="20"/>
          <w:lang w:val="en-US"/>
        </w:rPr>
        <w:t>of Chile</w:t>
      </w:r>
      <w:r w:rsidRPr="00CF6765">
        <w:rPr>
          <w:rFonts w:eastAsia="Verdana" w:cs="Verdana"/>
          <w:sz w:val="20"/>
          <w:szCs w:val="20"/>
          <w:lang w:val="en-US"/>
        </w:rPr>
        <w:t>.</w:t>
      </w:r>
      <w:r w:rsidR="00962981" w:rsidRPr="00CF6765">
        <w:rPr>
          <w:b/>
          <w:sz w:val="18"/>
          <w:szCs w:val="18"/>
          <w:lang w:val="en-US"/>
        </w:rPr>
        <w:t xml:space="preserve"> </w:t>
      </w:r>
    </w:p>
    <w:p w14:paraId="301078AF" w14:textId="77777777" w:rsidR="006C37C9" w:rsidRPr="00CF6765" w:rsidRDefault="006C37C9" w:rsidP="00F3026E">
      <w:pPr>
        <w:autoSpaceDE w:val="0"/>
        <w:autoSpaceDN w:val="0"/>
        <w:rPr>
          <w:rFonts w:eastAsia="Verdana" w:cs="Verdana"/>
          <w:sz w:val="20"/>
          <w:szCs w:val="20"/>
          <w:lang w:val="en-US"/>
        </w:rPr>
      </w:pPr>
    </w:p>
    <w:p w14:paraId="02F29397" w14:textId="56265F5A" w:rsidR="006C37C9" w:rsidRPr="00CF6765" w:rsidRDefault="00AD6DF0" w:rsidP="00F3026E">
      <w:pPr>
        <w:numPr>
          <w:ilvl w:val="0"/>
          <w:numId w:val="2"/>
        </w:numPr>
        <w:tabs>
          <w:tab w:val="left" w:pos="567"/>
          <w:tab w:val="num" w:pos="12305"/>
        </w:tabs>
        <w:ind w:left="0" w:firstLine="0"/>
        <w:rPr>
          <w:rFonts w:eastAsia="Verdana" w:cs="Verdana"/>
          <w:sz w:val="20"/>
          <w:szCs w:val="20"/>
          <w:lang w:val="en-US"/>
        </w:rPr>
      </w:pPr>
      <w:r w:rsidRPr="00CF6765">
        <w:rPr>
          <w:rFonts w:eastAsia="Verdana" w:cs="Verdana"/>
          <w:i/>
          <w:position w:val="-1"/>
          <w:sz w:val="20"/>
          <w:szCs w:val="20"/>
          <w:lang w:val="en-US"/>
        </w:rPr>
        <w:t>Public hearing.</w:t>
      </w:r>
      <w:r w:rsidR="006C37C9" w:rsidRPr="00CF6765">
        <w:rPr>
          <w:rFonts w:eastAsia="Verdana" w:cs="Verdana"/>
          <w:i/>
          <w:position w:val="-1"/>
          <w:sz w:val="20"/>
          <w:szCs w:val="20"/>
          <w:lang w:val="en-US"/>
        </w:rPr>
        <w:t xml:space="preserve"> </w:t>
      </w:r>
      <w:r w:rsidRPr="00CF6765">
        <w:rPr>
          <w:rFonts w:eastAsia="Verdana" w:cs="Verdana"/>
          <w:position w:val="-1"/>
          <w:sz w:val="20"/>
          <w:szCs w:val="20"/>
          <w:lang w:val="en-US"/>
        </w:rPr>
        <w:t xml:space="preserve">In an order of September 21, </w:t>
      </w:r>
      <w:r w:rsidR="005C56F6" w:rsidRPr="00CF6765">
        <w:rPr>
          <w:rFonts w:eastAsia="Verdana" w:cs="Verdana"/>
          <w:position w:val="-1"/>
          <w:sz w:val="20"/>
          <w:szCs w:val="20"/>
          <w:lang w:val="en-US"/>
        </w:rPr>
        <w:t>2017</w:t>
      </w:r>
      <w:r w:rsidRPr="00CF6765">
        <w:rPr>
          <w:rFonts w:eastAsia="Verdana" w:cs="Verdana"/>
          <w:position w:val="-1"/>
          <w:sz w:val="20"/>
          <w:szCs w:val="20"/>
          <w:lang w:val="en-US"/>
        </w:rPr>
        <w:t>,</w:t>
      </w:r>
      <w:r w:rsidR="006C37C9" w:rsidRPr="00CF6765">
        <w:rPr>
          <w:rStyle w:val="Refdenotaalpie"/>
          <w:rFonts w:eastAsia="Verdana" w:cs="Verdana"/>
          <w:position w:val="-1"/>
          <w:sz w:val="20"/>
          <w:szCs w:val="20"/>
          <w:lang w:val="en-US"/>
        </w:rPr>
        <w:footnoteReference w:id="9"/>
      </w:r>
      <w:r w:rsidR="006C37C9" w:rsidRPr="00CF6765">
        <w:rPr>
          <w:rFonts w:eastAsia="Verdana" w:cs="Verdana"/>
          <w:position w:val="-1"/>
          <w:sz w:val="20"/>
          <w:szCs w:val="20"/>
          <w:lang w:val="en-US"/>
        </w:rPr>
        <w:t xml:space="preserve"> </w:t>
      </w:r>
      <w:r w:rsidRPr="00CF6765">
        <w:rPr>
          <w:rFonts w:eastAsia="Verdana" w:cs="Verdana"/>
          <w:position w:val="-1"/>
          <w:sz w:val="20"/>
          <w:szCs w:val="20"/>
          <w:lang w:val="en-US"/>
        </w:rPr>
        <w:t>the</w:t>
      </w:r>
      <w:r w:rsidR="006C37C9" w:rsidRPr="00CF6765">
        <w:rPr>
          <w:rFonts w:eastAsia="Verdana" w:cs="Verdana"/>
          <w:position w:val="-1"/>
          <w:sz w:val="20"/>
          <w:szCs w:val="20"/>
          <w:lang w:val="en-US"/>
        </w:rPr>
        <w:t xml:space="preserve"> </w:t>
      </w:r>
      <w:r w:rsidR="005C731C" w:rsidRPr="00CF6765">
        <w:rPr>
          <w:rFonts w:eastAsia="Verdana" w:cs="Verdana"/>
          <w:position w:val="-1"/>
          <w:sz w:val="20"/>
          <w:szCs w:val="20"/>
          <w:lang w:val="en-US"/>
        </w:rPr>
        <w:t>President</w:t>
      </w:r>
      <w:r w:rsidR="006C37C9" w:rsidRPr="00CF6765">
        <w:rPr>
          <w:rFonts w:eastAsia="Verdana" w:cs="Verdana"/>
          <w:position w:val="-1"/>
          <w:sz w:val="20"/>
          <w:szCs w:val="20"/>
          <w:lang w:val="en-US"/>
        </w:rPr>
        <w:t xml:space="preserve"> c</w:t>
      </w:r>
      <w:r w:rsidRPr="00CF6765">
        <w:rPr>
          <w:rFonts w:eastAsia="Verdana" w:cs="Verdana"/>
          <w:position w:val="-1"/>
          <w:sz w:val="20"/>
          <w:szCs w:val="20"/>
          <w:lang w:val="en-US"/>
        </w:rPr>
        <w:t xml:space="preserve">alled the parties and </w:t>
      </w:r>
      <w:r w:rsidR="005C731C" w:rsidRPr="00CF6765">
        <w:rPr>
          <w:rFonts w:eastAsia="Verdana" w:cs="Verdana"/>
          <w:position w:val="-1"/>
          <w:sz w:val="20"/>
          <w:szCs w:val="20"/>
          <w:lang w:val="en-US"/>
        </w:rPr>
        <w:t>the Inter-American Commission</w:t>
      </w:r>
      <w:r w:rsidR="006C37C9" w:rsidRPr="00CF6765">
        <w:rPr>
          <w:rFonts w:eastAsia="Verdana" w:cs="Verdana"/>
          <w:position w:val="-1"/>
          <w:sz w:val="20"/>
          <w:szCs w:val="20"/>
          <w:lang w:val="en-US"/>
        </w:rPr>
        <w:t xml:space="preserve"> </w:t>
      </w:r>
      <w:r w:rsidRPr="00CF6765">
        <w:rPr>
          <w:rFonts w:eastAsia="Verdana" w:cs="Verdana"/>
          <w:position w:val="-1"/>
          <w:sz w:val="20"/>
          <w:szCs w:val="20"/>
          <w:lang w:val="en-US"/>
        </w:rPr>
        <w:t>to a</w:t>
      </w:r>
      <w:r w:rsidR="006C37C9" w:rsidRPr="00CF6765">
        <w:rPr>
          <w:rFonts w:eastAsia="Verdana" w:cs="Verdana"/>
          <w:position w:val="-1"/>
          <w:sz w:val="20"/>
          <w:szCs w:val="20"/>
          <w:lang w:val="en-US"/>
        </w:rPr>
        <w:t xml:space="preserve"> </w:t>
      </w:r>
      <w:r w:rsidRPr="00CF6765">
        <w:rPr>
          <w:rFonts w:eastAsia="Verdana" w:cs="Verdana"/>
          <w:position w:val="-1"/>
          <w:sz w:val="20"/>
          <w:szCs w:val="20"/>
          <w:lang w:val="en-US"/>
        </w:rPr>
        <w:t>public hearing</w:t>
      </w:r>
      <w:r w:rsidR="006C37C9" w:rsidRPr="00CF6765">
        <w:rPr>
          <w:rFonts w:eastAsia="Verdana" w:cs="Verdana"/>
          <w:position w:val="-1"/>
          <w:sz w:val="20"/>
          <w:szCs w:val="20"/>
          <w:lang w:val="en-US"/>
        </w:rPr>
        <w:t xml:space="preserve"> </w:t>
      </w:r>
      <w:r w:rsidRPr="00CF6765">
        <w:rPr>
          <w:rFonts w:eastAsia="Verdana" w:cs="Verdana"/>
          <w:position w:val="-1"/>
          <w:sz w:val="20"/>
          <w:szCs w:val="20"/>
          <w:lang w:val="en-US"/>
        </w:rPr>
        <w:t xml:space="preserve">to receive their final oral arguments and observations on the merits and eventual </w:t>
      </w:r>
      <w:r w:rsidR="005C731C" w:rsidRPr="00CF6765">
        <w:rPr>
          <w:rFonts w:eastAsia="Verdana" w:cs="Verdana"/>
          <w:position w:val="-1"/>
          <w:sz w:val="20"/>
          <w:szCs w:val="20"/>
          <w:lang w:val="en-US"/>
        </w:rPr>
        <w:t>reparations and costs</w:t>
      </w:r>
      <w:r w:rsidR="006C37C9" w:rsidRPr="00CF6765">
        <w:rPr>
          <w:rFonts w:eastAsia="Verdana" w:cs="Verdana"/>
          <w:position w:val="-1"/>
          <w:sz w:val="20"/>
          <w:szCs w:val="20"/>
          <w:lang w:val="en-US"/>
        </w:rPr>
        <w:t>, as</w:t>
      </w:r>
      <w:r w:rsidRPr="00CF6765">
        <w:rPr>
          <w:rFonts w:eastAsia="Verdana" w:cs="Verdana"/>
          <w:position w:val="-1"/>
          <w:sz w:val="20"/>
          <w:szCs w:val="20"/>
          <w:lang w:val="en-US"/>
        </w:rPr>
        <w:t xml:space="preserve"> well as to </w:t>
      </w:r>
      <w:r w:rsidR="00366326" w:rsidRPr="00CF6765">
        <w:rPr>
          <w:rFonts w:eastAsia="Verdana" w:cs="Verdana"/>
          <w:position w:val="-1"/>
          <w:sz w:val="20"/>
          <w:szCs w:val="20"/>
          <w:lang w:val="en-US"/>
        </w:rPr>
        <w:t>hear</w:t>
      </w:r>
      <w:r w:rsidRPr="00CF6765">
        <w:rPr>
          <w:rFonts w:eastAsia="Verdana" w:cs="Verdana"/>
          <w:position w:val="-1"/>
          <w:sz w:val="20"/>
          <w:szCs w:val="20"/>
          <w:lang w:val="en-US"/>
        </w:rPr>
        <w:t xml:space="preserve"> the statements of one presumed victim, one witness proposed by the State, and two expert witnesses offered by </w:t>
      </w:r>
      <w:r w:rsidR="005C731C" w:rsidRPr="00CF6765">
        <w:rPr>
          <w:rFonts w:eastAsia="Verdana" w:cs="Verdana"/>
          <w:position w:val="-1"/>
          <w:sz w:val="20"/>
          <w:szCs w:val="20"/>
          <w:lang w:val="en-US"/>
        </w:rPr>
        <w:t>the Commission</w:t>
      </w:r>
      <w:r w:rsidR="00EC50FC" w:rsidRPr="00CF6765">
        <w:rPr>
          <w:rFonts w:eastAsia="Verdana" w:cs="Verdana"/>
          <w:position w:val="-1"/>
          <w:sz w:val="20"/>
          <w:szCs w:val="20"/>
          <w:lang w:val="en-US"/>
        </w:rPr>
        <w:t xml:space="preserve"> and </w:t>
      </w:r>
      <w:r w:rsidR="00D2168F" w:rsidRPr="00CF6765">
        <w:rPr>
          <w:rFonts w:eastAsia="Verdana" w:cs="Verdana"/>
          <w:position w:val="-1"/>
          <w:sz w:val="20"/>
          <w:szCs w:val="20"/>
          <w:lang w:val="en-US"/>
        </w:rPr>
        <w:t>the inter-American defenders</w:t>
      </w:r>
      <w:r w:rsidR="006C37C9" w:rsidRPr="00CF6765">
        <w:rPr>
          <w:rFonts w:eastAsia="Verdana" w:cs="Verdana"/>
          <w:position w:val="-1"/>
          <w:sz w:val="20"/>
          <w:szCs w:val="20"/>
          <w:lang w:val="en-US"/>
        </w:rPr>
        <w:t xml:space="preserve">. </w:t>
      </w:r>
      <w:r w:rsidRPr="00CF6765">
        <w:rPr>
          <w:rFonts w:eastAsia="Verdana" w:cs="Verdana"/>
          <w:sz w:val="20"/>
          <w:szCs w:val="20"/>
          <w:lang w:val="en-US"/>
        </w:rPr>
        <w:t>The</w:t>
      </w:r>
      <w:r w:rsidR="006C37C9" w:rsidRPr="00CF6765">
        <w:rPr>
          <w:rFonts w:eastAsia="Verdana" w:cs="Verdana"/>
          <w:sz w:val="20"/>
          <w:szCs w:val="20"/>
          <w:lang w:val="en-US"/>
        </w:rPr>
        <w:t xml:space="preserve"> </w:t>
      </w:r>
      <w:r w:rsidRPr="00CF6765">
        <w:rPr>
          <w:rFonts w:eastAsia="Verdana" w:cs="Verdana"/>
          <w:sz w:val="20"/>
          <w:szCs w:val="20"/>
          <w:lang w:val="en-US"/>
        </w:rPr>
        <w:t xml:space="preserve">public hearing </w:t>
      </w:r>
      <w:r w:rsidR="00366326" w:rsidRPr="00CF6765">
        <w:rPr>
          <w:rFonts w:eastAsia="Verdana" w:cs="Verdana"/>
          <w:sz w:val="20"/>
          <w:szCs w:val="20"/>
          <w:lang w:val="en-US"/>
        </w:rPr>
        <w:t>took place</w:t>
      </w:r>
      <w:r w:rsidRPr="00CF6765">
        <w:rPr>
          <w:rFonts w:eastAsia="Verdana" w:cs="Verdana"/>
          <w:sz w:val="20"/>
          <w:szCs w:val="20"/>
          <w:lang w:val="en-US"/>
        </w:rPr>
        <w:t xml:space="preserve"> on October 19, </w:t>
      </w:r>
      <w:r w:rsidR="005C56F6" w:rsidRPr="00CF6765">
        <w:rPr>
          <w:rFonts w:eastAsia="Verdana" w:cs="Verdana"/>
          <w:sz w:val="20"/>
          <w:szCs w:val="20"/>
          <w:lang w:val="en-US"/>
        </w:rPr>
        <w:t>2017</w:t>
      </w:r>
      <w:r w:rsidR="006C37C9" w:rsidRPr="00CF6765">
        <w:rPr>
          <w:rFonts w:eastAsia="Verdana" w:cs="Verdana"/>
          <w:sz w:val="20"/>
          <w:szCs w:val="20"/>
          <w:lang w:val="en-US"/>
        </w:rPr>
        <w:t>, dur</w:t>
      </w:r>
      <w:r w:rsidRPr="00CF6765">
        <w:rPr>
          <w:rFonts w:eastAsia="Verdana" w:cs="Verdana"/>
          <w:sz w:val="20"/>
          <w:szCs w:val="20"/>
          <w:lang w:val="en-US"/>
        </w:rPr>
        <w:t>ing the fifty-eighth special session of the Court held in Panama City.</w:t>
      </w:r>
      <w:r w:rsidR="006C37C9" w:rsidRPr="00CF6765">
        <w:rPr>
          <w:rStyle w:val="Refdenotaalpie"/>
          <w:rFonts w:eastAsia="Verdana" w:cs="Verdana"/>
          <w:sz w:val="20"/>
          <w:szCs w:val="20"/>
          <w:lang w:val="en-US"/>
        </w:rPr>
        <w:footnoteReference w:id="10"/>
      </w:r>
      <w:r w:rsidR="006C37C9" w:rsidRPr="00CF6765">
        <w:rPr>
          <w:rFonts w:eastAsia="Verdana" w:cs="Verdana"/>
          <w:sz w:val="20"/>
          <w:szCs w:val="20"/>
          <w:lang w:val="en-US"/>
        </w:rPr>
        <w:t xml:space="preserve"> </w:t>
      </w:r>
      <w:r w:rsidRPr="00CF6765">
        <w:rPr>
          <w:rFonts w:eastAsia="Verdana" w:cs="Verdana"/>
          <w:sz w:val="20"/>
          <w:szCs w:val="20"/>
          <w:lang w:val="en-US"/>
        </w:rPr>
        <w:t xml:space="preserve">During the hearing, the Court received the statement of presumed victim </w:t>
      </w:r>
      <w:r w:rsidR="005C56F6" w:rsidRPr="00CF6765">
        <w:rPr>
          <w:rFonts w:eastAsia="Verdana" w:cs="Verdana"/>
          <w:sz w:val="20"/>
          <w:szCs w:val="20"/>
          <w:lang w:val="en-US"/>
        </w:rPr>
        <w:t>Vinicio Marco Antonio Poblete Tapia</w:t>
      </w:r>
      <w:r w:rsidR="006C37C9" w:rsidRPr="00CF6765">
        <w:rPr>
          <w:rFonts w:eastAsia="Verdana" w:cs="Verdana"/>
          <w:sz w:val="20"/>
          <w:szCs w:val="20"/>
          <w:lang w:val="en-US"/>
        </w:rPr>
        <w:t xml:space="preserve">, </w:t>
      </w:r>
      <w:r w:rsidRPr="00CF6765">
        <w:rPr>
          <w:rFonts w:eastAsia="Verdana" w:cs="Verdana"/>
          <w:sz w:val="20"/>
          <w:szCs w:val="20"/>
          <w:lang w:val="en-US"/>
        </w:rPr>
        <w:t>witness</w:t>
      </w:r>
      <w:r w:rsidR="006C37C9" w:rsidRPr="00CF6765">
        <w:rPr>
          <w:rFonts w:eastAsia="Verdana" w:cs="Verdana"/>
          <w:sz w:val="20"/>
          <w:szCs w:val="20"/>
          <w:lang w:val="en-US"/>
        </w:rPr>
        <w:t xml:space="preserve"> </w:t>
      </w:r>
      <w:r w:rsidR="005C56F6" w:rsidRPr="00CF6765">
        <w:rPr>
          <w:rFonts w:eastAsia="Verdana" w:cs="Verdana"/>
          <w:sz w:val="20"/>
          <w:szCs w:val="20"/>
          <w:lang w:val="en-US"/>
        </w:rPr>
        <w:lastRenderedPageBreak/>
        <w:t xml:space="preserve">Rodrigo </w:t>
      </w:r>
      <w:proofErr w:type="spellStart"/>
      <w:r w:rsidR="005C56F6" w:rsidRPr="00CF6765">
        <w:rPr>
          <w:rFonts w:eastAsia="Verdana" w:cs="Verdana"/>
          <w:sz w:val="20"/>
          <w:szCs w:val="20"/>
          <w:lang w:val="en-US"/>
        </w:rPr>
        <w:t>Avendaño</w:t>
      </w:r>
      <w:proofErr w:type="spellEnd"/>
      <w:r w:rsidR="005C56F6" w:rsidRPr="00CF6765">
        <w:rPr>
          <w:rFonts w:eastAsia="Verdana" w:cs="Verdana"/>
          <w:sz w:val="20"/>
          <w:szCs w:val="20"/>
          <w:lang w:val="en-US"/>
        </w:rPr>
        <w:t xml:space="preserve"> Brandeis</w:t>
      </w:r>
      <w:r w:rsidRPr="00CF6765">
        <w:rPr>
          <w:rFonts w:eastAsia="Verdana" w:cs="Verdana"/>
          <w:sz w:val="20"/>
          <w:szCs w:val="20"/>
          <w:lang w:val="en-US"/>
        </w:rPr>
        <w:t>,</w:t>
      </w:r>
      <w:r w:rsidR="00EC50FC" w:rsidRPr="00CF6765">
        <w:rPr>
          <w:rFonts w:eastAsia="Verdana" w:cs="Verdana"/>
          <w:sz w:val="20"/>
          <w:szCs w:val="20"/>
          <w:lang w:val="en-US"/>
        </w:rPr>
        <w:t xml:space="preserve"> and </w:t>
      </w:r>
      <w:r w:rsidRPr="00CF6765">
        <w:rPr>
          <w:rFonts w:eastAsia="Verdana" w:cs="Verdana"/>
          <w:sz w:val="20"/>
          <w:szCs w:val="20"/>
          <w:lang w:val="en-US"/>
        </w:rPr>
        <w:t>the two expert witnesses,</w:t>
      </w:r>
      <w:r w:rsidR="006C37C9" w:rsidRPr="00CF6765">
        <w:rPr>
          <w:rFonts w:eastAsia="Verdana" w:cs="Verdana"/>
          <w:sz w:val="20"/>
          <w:szCs w:val="20"/>
          <w:lang w:val="en-US"/>
        </w:rPr>
        <w:t xml:space="preserve"> </w:t>
      </w:r>
      <w:r w:rsidR="005C56F6" w:rsidRPr="00CF6765">
        <w:rPr>
          <w:rFonts w:eastAsia="Verdana" w:cs="Verdana"/>
          <w:sz w:val="20"/>
          <w:szCs w:val="20"/>
          <w:lang w:val="en-US"/>
        </w:rPr>
        <w:t xml:space="preserve">Alicia Ely </w:t>
      </w:r>
      <w:proofErr w:type="spellStart"/>
      <w:r w:rsidR="005C56F6" w:rsidRPr="00CF6765">
        <w:rPr>
          <w:rFonts w:eastAsia="Verdana" w:cs="Verdana"/>
          <w:sz w:val="20"/>
          <w:szCs w:val="20"/>
          <w:lang w:val="en-US"/>
        </w:rPr>
        <w:t>Yemin</w:t>
      </w:r>
      <w:proofErr w:type="spellEnd"/>
      <w:r w:rsidR="00EC50FC" w:rsidRPr="00CF6765">
        <w:rPr>
          <w:rFonts w:eastAsia="Verdana" w:cs="Verdana"/>
          <w:sz w:val="20"/>
          <w:szCs w:val="20"/>
          <w:lang w:val="en-US"/>
        </w:rPr>
        <w:t xml:space="preserve"> and </w:t>
      </w:r>
      <w:r w:rsidR="005C56F6" w:rsidRPr="00CF6765">
        <w:rPr>
          <w:rFonts w:eastAsia="Verdana" w:cs="Verdana"/>
          <w:sz w:val="20"/>
          <w:szCs w:val="20"/>
          <w:lang w:val="en-US"/>
        </w:rPr>
        <w:t>Javier Alejandro Santos</w:t>
      </w:r>
      <w:r w:rsidR="006C37C9" w:rsidRPr="00CF6765">
        <w:rPr>
          <w:rFonts w:eastAsia="Verdana" w:cs="Verdana"/>
          <w:sz w:val="20"/>
          <w:szCs w:val="20"/>
          <w:lang w:val="en-US"/>
        </w:rPr>
        <w:t xml:space="preserve">. </w:t>
      </w:r>
      <w:r w:rsidRPr="00CF6765">
        <w:rPr>
          <w:sz w:val="20"/>
          <w:szCs w:val="20"/>
          <w:lang w:val="en-US" w:eastAsia="es-ES"/>
        </w:rPr>
        <w:t>The</w:t>
      </w:r>
      <w:r w:rsidR="005C731C" w:rsidRPr="00CF6765">
        <w:rPr>
          <w:sz w:val="20"/>
          <w:szCs w:val="20"/>
          <w:lang w:val="en-US" w:eastAsia="es-ES"/>
        </w:rPr>
        <w:t xml:space="preserve"> Court</w:t>
      </w:r>
      <w:r w:rsidR="0011543E" w:rsidRPr="00CF6765">
        <w:rPr>
          <w:sz w:val="20"/>
          <w:szCs w:val="20"/>
          <w:lang w:val="en-US" w:eastAsia="es-ES"/>
        </w:rPr>
        <w:t xml:space="preserve"> </w:t>
      </w:r>
      <w:r w:rsidRPr="00CF6765">
        <w:rPr>
          <w:sz w:val="20"/>
          <w:szCs w:val="20"/>
          <w:lang w:val="en-US" w:eastAsia="es-ES"/>
        </w:rPr>
        <w:t>also requested the parties to submit certain information and documentation. The affidavits</w:t>
      </w:r>
      <w:r w:rsidR="00366326" w:rsidRPr="00CF6765">
        <w:rPr>
          <w:sz w:val="20"/>
          <w:szCs w:val="20"/>
          <w:lang w:val="en-US" w:eastAsia="es-ES"/>
        </w:rPr>
        <w:t xml:space="preserve"> that had been</w:t>
      </w:r>
      <w:r w:rsidRPr="00CF6765">
        <w:rPr>
          <w:sz w:val="20"/>
          <w:szCs w:val="20"/>
          <w:lang w:val="en-US" w:eastAsia="es-ES"/>
        </w:rPr>
        <w:t xml:space="preserve"> requested were received on October </w:t>
      </w:r>
      <w:r w:rsidR="00C07280" w:rsidRPr="00CF6765">
        <w:rPr>
          <w:rFonts w:eastAsia="Verdana" w:cs="Verdana"/>
          <w:position w:val="-1"/>
          <w:sz w:val="20"/>
          <w:szCs w:val="20"/>
          <w:lang w:val="en-US"/>
        </w:rPr>
        <w:t>10</w:t>
      </w:r>
      <w:r w:rsidR="00EC50FC" w:rsidRPr="00CF6765">
        <w:rPr>
          <w:rFonts w:eastAsia="Verdana" w:cs="Verdana"/>
          <w:position w:val="-1"/>
          <w:sz w:val="20"/>
          <w:szCs w:val="20"/>
          <w:lang w:val="en-US"/>
        </w:rPr>
        <w:t xml:space="preserve"> and </w:t>
      </w:r>
      <w:r w:rsidR="00C07280" w:rsidRPr="00CF6765">
        <w:rPr>
          <w:rFonts w:eastAsia="Verdana" w:cs="Verdana"/>
          <w:position w:val="-1"/>
          <w:sz w:val="20"/>
          <w:szCs w:val="20"/>
          <w:lang w:val="en-US"/>
        </w:rPr>
        <w:t>11</w:t>
      </w:r>
      <w:r w:rsidRPr="00CF6765">
        <w:rPr>
          <w:rFonts w:eastAsia="Verdana" w:cs="Verdana"/>
          <w:position w:val="-1"/>
          <w:sz w:val="20"/>
          <w:szCs w:val="20"/>
          <w:lang w:val="en-US"/>
        </w:rPr>
        <w:t>,</w:t>
      </w:r>
      <w:r w:rsidR="006C37C9" w:rsidRPr="00CF6765">
        <w:rPr>
          <w:rFonts w:eastAsia="Verdana" w:cs="Verdana"/>
          <w:position w:val="-1"/>
          <w:sz w:val="20"/>
          <w:szCs w:val="20"/>
          <w:lang w:val="en-US"/>
        </w:rPr>
        <w:t xml:space="preserve"> </w:t>
      </w:r>
      <w:r w:rsidR="00C07280" w:rsidRPr="00CF6765">
        <w:rPr>
          <w:rFonts w:eastAsia="Verdana" w:cs="Verdana"/>
          <w:position w:val="-1"/>
          <w:sz w:val="20"/>
          <w:szCs w:val="20"/>
          <w:lang w:val="en-US"/>
        </w:rPr>
        <w:t>2017</w:t>
      </w:r>
      <w:r w:rsidR="006C37C9" w:rsidRPr="00CF6765">
        <w:rPr>
          <w:rFonts w:eastAsia="Verdana" w:cs="Verdana"/>
          <w:position w:val="-1"/>
          <w:sz w:val="20"/>
          <w:szCs w:val="20"/>
          <w:lang w:val="en-US"/>
        </w:rPr>
        <w:t>.</w:t>
      </w:r>
    </w:p>
    <w:p w14:paraId="2F14BC4E" w14:textId="77777777" w:rsidR="003765A7" w:rsidRPr="00CF6765" w:rsidRDefault="003765A7" w:rsidP="00F3026E">
      <w:pPr>
        <w:autoSpaceDE w:val="0"/>
        <w:autoSpaceDN w:val="0"/>
        <w:rPr>
          <w:rFonts w:eastAsia="Verdana" w:cs="Verdana"/>
          <w:sz w:val="20"/>
          <w:szCs w:val="20"/>
          <w:lang w:val="en-US"/>
        </w:rPr>
      </w:pPr>
    </w:p>
    <w:p w14:paraId="4988DBDF" w14:textId="5DBF1481" w:rsidR="006C37C9" w:rsidRPr="00CF6765" w:rsidRDefault="00FC495E" w:rsidP="00F3026E">
      <w:pPr>
        <w:numPr>
          <w:ilvl w:val="0"/>
          <w:numId w:val="2"/>
        </w:numPr>
        <w:tabs>
          <w:tab w:val="left" w:pos="567"/>
          <w:tab w:val="num" w:pos="12305"/>
        </w:tabs>
        <w:ind w:left="0" w:firstLine="0"/>
        <w:rPr>
          <w:rFonts w:cs="Verdana"/>
          <w:snapToGrid w:val="0"/>
          <w:sz w:val="20"/>
          <w:szCs w:val="20"/>
          <w:lang w:val="en-US" w:eastAsia="es-ES"/>
        </w:rPr>
      </w:pPr>
      <w:bookmarkStart w:id="25" w:name="_Ref354147731"/>
      <w:r w:rsidRPr="00CF6765">
        <w:rPr>
          <w:rFonts w:cs="Verdana"/>
          <w:i/>
          <w:sz w:val="20"/>
          <w:szCs w:val="20"/>
          <w:lang w:val="en-US"/>
        </w:rPr>
        <w:t>Final written arguments and observations</w:t>
      </w:r>
      <w:r w:rsidR="006C37C9" w:rsidRPr="00CF6765">
        <w:rPr>
          <w:rFonts w:cs="Verdana"/>
          <w:i/>
          <w:sz w:val="20"/>
          <w:szCs w:val="20"/>
          <w:lang w:val="en-US"/>
        </w:rPr>
        <w:t>.</w:t>
      </w:r>
      <w:bookmarkEnd w:id="25"/>
      <w:r w:rsidR="006C37C9" w:rsidRPr="00CF6765">
        <w:rPr>
          <w:rFonts w:cs="Verdana"/>
          <w:i/>
          <w:sz w:val="20"/>
          <w:szCs w:val="20"/>
          <w:lang w:val="en-US"/>
        </w:rPr>
        <w:t xml:space="preserve"> </w:t>
      </w:r>
      <w:r w:rsidRPr="00CF6765">
        <w:rPr>
          <w:rFonts w:eastAsia="Verdana" w:cs="Verdana"/>
          <w:position w:val="-1"/>
          <w:sz w:val="20"/>
          <w:szCs w:val="20"/>
          <w:lang w:val="en-US"/>
        </w:rPr>
        <w:t>On November 20,</w:t>
      </w:r>
      <w:r w:rsidR="00EB2C98" w:rsidRPr="00CF6765">
        <w:rPr>
          <w:rFonts w:eastAsia="Verdana" w:cs="Verdana"/>
          <w:position w:val="-1"/>
          <w:sz w:val="20"/>
          <w:szCs w:val="20"/>
          <w:lang w:val="en-US"/>
        </w:rPr>
        <w:t xml:space="preserve"> 2017</w:t>
      </w:r>
      <w:r w:rsidRPr="00CF6765">
        <w:rPr>
          <w:rFonts w:eastAsia="Verdana" w:cs="Verdana"/>
          <w:position w:val="-1"/>
          <w:sz w:val="20"/>
          <w:szCs w:val="20"/>
          <w:lang w:val="en-US"/>
        </w:rPr>
        <w:t>,</w:t>
      </w:r>
      <w:r w:rsidR="00EB2C98" w:rsidRPr="00CF6765">
        <w:rPr>
          <w:rFonts w:eastAsia="Verdana" w:cs="Verdana"/>
          <w:position w:val="-1"/>
          <w:sz w:val="20"/>
          <w:szCs w:val="20"/>
          <w:lang w:val="en-US"/>
        </w:rPr>
        <w:t xml:space="preserve"> </w:t>
      </w:r>
      <w:r w:rsidR="00EC50FC" w:rsidRPr="00CF6765">
        <w:rPr>
          <w:rFonts w:eastAsia="Verdana" w:cs="Verdana"/>
          <w:position w:val="-1"/>
          <w:sz w:val="20"/>
          <w:szCs w:val="20"/>
          <w:lang w:val="en-US"/>
        </w:rPr>
        <w:t xml:space="preserve">the State and </w:t>
      </w:r>
      <w:r w:rsidR="00D2168F" w:rsidRPr="00CF6765">
        <w:rPr>
          <w:rFonts w:eastAsia="Verdana" w:cs="Verdana"/>
          <w:position w:val="-1"/>
          <w:sz w:val="20"/>
          <w:szCs w:val="20"/>
          <w:lang w:val="en-US"/>
        </w:rPr>
        <w:t>the representatives</w:t>
      </w:r>
      <w:r w:rsidR="00EB2C98" w:rsidRPr="00CF6765">
        <w:rPr>
          <w:rFonts w:eastAsia="Verdana" w:cs="Verdana"/>
          <w:position w:val="-1"/>
          <w:sz w:val="20"/>
          <w:szCs w:val="20"/>
          <w:lang w:val="en-US"/>
        </w:rPr>
        <w:t xml:space="preserve"> present</w:t>
      </w:r>
      <w:r w:rsidRPr="00CF6765">
        <w:rPr>
          <w:rFonts w:eastAsia="Verdana" w:cs="Verdana"/>
          <w:position w:val="-1"/>
          <w:sz w:val="20"/>
          <w:szCs w:val="20"/>
          <w:lang w:val="en-US"/>
        </w:rPr>
        <w:t>ed their</w:t>
      </w:r>
      <w:r w:rsidR="00EB2C98" w:rsidRPr="00CF6765">
        <w:rPr>
          <w:rFonts w:eastAsia="Verdana" w:cs="Verdana"/>
          <w:position w:val="-1"/>
          <w:sz w:val="20"/>
          <w:szCs w:val="20"/>
          <w:lang w:val="en-US"/>
        </w:rPr>
        <w:t xml:space="preserve"> </w:t>
      </w:r>
      <w:r w:rsidRPr="00CF6765">
        <w:rPr>
          <w:rFonts w:eastAsia="Verdana" w:cs="Verdana"/>
          <w:position w:val="-1"/>
          <w:sz w:val="20"/>
          <w:szCs w:val="20"/>
          <w:lang w:val="en-US"/>
        </w:rPr>
        <w:t xml:space="preserve">final </w:t>
      </w:r>
      <w:r w:rsidR="00E27148" w:rsidRPr="00CF6765">
        <w:rPr>
          <w:rFonts w:eastAsia="Verdana" w:cs="Verdana"/>
          <w:position w:val="-1"/>
          <w:sz w:val="20"/>
          <w:szCs w:val="20"/>
          <w:lang w:val="en-US"/>
        </w:rPr>
        <w:t>written</w:t>
      </w:r>
      <w:r w:rsidR="00C835DC" w:rsidRPr="00CF6765">
        <w:rPr>
          <w:rFonts w:eastAsia="Verdana" w:cs="Verdana"/>
          <w:position w:val="-1"/>
          <w:sz w:val="20"/>
          <w:szCs w:val="20"/>
          <w:lang w:val="en-US"/>
        </w:rPr>
        <w:t xml:space="preserve"> arguments</w:t>
      </w:r>
      <w:r w:rsidR="00E27148" w:rsidRPr="00CF6765">
        <w:rPr>
          <w:rFonts w:eastAsia="Verdana" w:cs="Verdana"/>
          <w:position w:val="-1"/>
          <w:sz w:val="20"/>
          <w:szCs w:val="20"/>
          <w:lang w:val="en-US"/>
        </w:rPr>
        <w:t xml:space="preserve"> with</w:t>
      </w:r>
      <w:r w:rsidRPr="00CF6765">
        <w:rPr>
          <w:rFonts w:eastAsia="Verdana" w:cs="Verdana"/>
          <w:position w:val="-1"/>
          <w:sz w:val="20"/>
          <w:szCs w:val="20"/>
          <w:lang w:val="en-US"/>
        </w:rPr>
        <w:t xml:space="preserve"> annexes, and </w:t>
      </w:r>
      <w:r w:rsidR="005C731C" w:rsidRPr="00CF6765">
        <w:rPr>
          <w:rFonts w:eastAsia="Verdana" w:cs="Verdana"/>
          <w:position w:val="-1"/>
          <w:sz w:val="20"/>
          <w:szCs w:val="20"/>
          <w:lang w:val="en-US"/>
        </w:rPr>
        <w:t>the Commission</w:t>
      </w:r>
      <w:r w:rsidR="00EB2C98" w:rsidRPr="00CF6765">
        <w:rPr>
          <w:rFonts w:eastAsia="Verdana" w:cs="Verdana"/>
          <w:position w:val="-1"/>
          <w:sz w:val="20"/>
          <w:szCs w:val="20"/>
          <w:lang w:val="en-US"/>
        </w:rPr>
        <w:t xml:space="preserve"> present</w:t>
      </w:r>
      <w:r w:rsidRPr="00CF6765">
        <w:rPr>
          <w:rFonts w:eastAsia="Verdana" w:cs="Verdana"/>
          <w:position w:val="-1"/>
          <w:sz w:val="20"/>
          <w:szCs w:val="20"/>
          <w:lang w:val="en-US"/>
        </w:rPr>
        <w:t>ed its final written observations</w:t>
      </w:r>
      <w:r w:rsidR="00EB2C98" w:rsidRPr="00CF6765">
        <w:rPr>
          <w:rFonts w:eastAsia="Verdana" w:cs="Verdana"/>
          <w:position w:val="-1"/>
          <w:sz w:val="20"/>
          <w:szCs w:val="20"/>
          <w:lang w:val="en-US"/>
        </w:rPr>
        <w:t xml:space="preserve">. </w:t>
      </w:r>
      <w:r w:rsidRPr="00CF6765">
        <w:rPr>
          <w:rFonts w:eastAsia="Verdana" w:cs="Verdana"/>
          <w:position w:val="-1"/>
          <w:sz w:val="20"/>
          <w:szCs w:val="20"/>
          <w:lang w:val="en-US"/>
        </w:rPr>
        <w:t>On November 27,</w:t>
      </w:r>
      <w:r w:rsidR="00EB2C98" w:rsidRPr="00CF6765">
        <w:rPr>
          <w:rFonts w:eastAsia="Verdana" w:cs="Verdana"/>
          <w:position w:val="-1"/>
          <w:sz w:val="20"/>
          <w:szCs w:val="20"/>
          <w:lang w:val="en-US"/>
        </w:rPr>
        <w:t xml:space="preserve"> 2017</w:t>
      </w:r>
      <w:r w:rsidRPr="00CF6765">
        <w:rPr>
          <w:rFonts w:eastAsia="Verdana" w:cs="Verdana"/>
          <w:position w:val="-1"/>
          <w:sz w:val="20"/>
          <w:szCs w:val="20"/>
          <w:lang w:val="en-US"/>
        </w:rPr>
        <w:t>,</w:t>
      </w:r>
      <w:r w:rsidR="00EB2C98" w:rsidRPr="00CF6765">
        <w:rPr>
          <w:rFonts w:eastAsia="Verdana" w:cs="Verdana"/>
          <w:position w:val="-1"/>
          <w:sz w:val="20"/>
          <w:szCs w:val="20"/>
          <w:lang w:val="en-US"/>
        </w:rPr>
        <w:t xml:space="preserve"> </w:t>
      </w:r>
      <w:r w:rsidRPr="00CF6765">
        <w:rPr>
          <w:rFonts w:eastAsia="Verdana" w:cs="Verdana"/>
          <w:position w:val="-1"/>
          <w:sz w:val="20"/>
          <w:szCs w:val="20"/>
          <w:lang w:val="en-US"/>
        </w:rPr>
        <w:t>the Court’s</w:t>
      </w:r>
      <w:r w:rsidR="00EB2C98" w:rsidRPr="00CF6765">
        <w:rPr>
          <w:rFonts w:eastAsia="Verdana" w:cs="Verdana"/>
          <w:position w:val="-1"/>
          <w:sz w:val="20"/>
          <w:szCs w:val="20"/>
          <w:lang w:val="en-US"/>
        </w:rPr>
        <w:t xml:space="preserve"> </w:t>
      </w:r>
      <w:r w:rsidR="005C731C" w:rsidRPr="00CF6765">
        <w:rPr>
          <w:rFonts w:eastAsia="Verdana" w:cs="Verdana"/>
          <w:position w:val="-1"/>
          <w:sz w:val="20"/>
          <w:szCs w:val="20"/>
          <w:lang w:val="en-US"/>
        </w:rPr>
        <w:t xml:space="preserve">Secretariat </w:t>
      </w:r>
      <w:r w:rsidRPr="00CF6765">
        <w:rPr>
          <w:rFonts w:eastAsia="Verdana" w:cs="Verdana"/>
          <w:position w:val="-1"/>
          <w:sz w:val="20"/>
          <w:szCs w:val="20"/>
          <w:lang w:val="en-US"/>
        </w:rPr>
        <w:t>forwarded the annex to the</w:t>
      </w:r>
      <w:r w:rsidR="00C835DC" w:rsidRPr="00CF6765">
        <w:rPr>
          <w:rFonts w:eastAsia="Verdana" w:cs="Verdana"/>
          <w:position w:val="-1"/>
          <w:sz w:val="20"/>
          <w:szCs w:val="20"/>
          <w:lang w:val="en-US"/>
        </w:rPr>
        <w:t xml:space="preserve"> representatives’</w:t>
      </w:r>
      <w:r w:rsidRPr="00CF6765">
        <w:rPr>
          <w:rFonts w:eastAsia="Verdana" w:cs="Verdana"/>
          <w:position w:val="-1"/>
          <w:sz w:val="20"/>
          <w:szCs w:val="20"/>
          <w:lang w:val="en-US"/>
        </w:rPr>
        <w:t xml:space="preserve"> final written arguments</w:t>
      </w:r>
      <w:r w:rsidR="00D2168F" w:rsidRPr="00CF6765">
        <w:rPr>
          <w:rFonts w:eastAsia="Verdana" w:cs="Verdana"/>
          <w:position w:val="-1"/>
          <w:sz w:val="20"/>
          <w:szCs w:val="20"/>
          <w:lang w:val="en-US"/>
        </w:rPr>
        <w:t xml:space="preserve"> </w:t>
      </w:r>
      <w:r w:rsidRPr="00CF6765">
        <w:rPr>
          <w:rFonts w:eastAsia="Verdana" w:cs="Verdana"/>
          <w:position w:val="-1"/>
          <w:sz w:val="20"/>
          <w:szCs w:val="20"/>
          <w:lang w:val="en-US"/>
        </w:rPr>
        <w:t xml:space="preserve">to the State and asked it to submit any observations it deemed pertinent. In a communication of December 4, </w:t>
      </w:r>
      <w:r w:rsidR="00EB2C98" w:rsidRPr="00CF6765">
        <w:rPr>
          <w:rFonts w:eastAsia="Verdana" w:cs="Verdana"/>
          <w:position w:val="-1"/>
          <w:sz w:val="20"/>
          <w:szCs w:val="20"/>
          <w:lang w:val="en-US"/>
        </w:rPr>
        <w:t xml:space="preserve">2017, </w:t>
      </w:r>
      <w:r w:rsidR="00EC50FC" w:rsidRPr="00CF6765">
        <w:rPr>
          <w:rFonts w:eastAsia="Verdana" w:cs="Verdana"/>
          <w:position w:val="-1"/>
          <w:sz w:val="20"/>
          <w:szCs w:val="20"/>
          <w:lang w:val="en-US"/>
        </w:rPr>
        <w:t>the State</w:t>
      </w:r>
      <w:r w:rsidR="00EB2C98" w:rsidRPr="00CF6765">
        <w:rPr>
          <w:rFonts w:eastAsia="Verdana" w:cs="Verdana"/>
          <w:position w:val="-1"/>
          <w:sz w:val="20"/>
          <w:szCs w:val="20"/>
          <w:lang w:val="en-US"/>
        </w:rPr>
        <w:t xml:space="preserve"> present</w:t>
      </w:r>
      <w:r w:rsidRPr="00CF6765">
        <w:rPr>
          <w:rFonts w:eastAsia="Verdana" w:cs="Verdana"/>
          <w:position w:val="-1"/>
          <w:sz w:val="20"/>
          <w:szCs w:val="20"/>
          <w:lang w:val="en-US"/>
        </w:rPr>
        <w:t xml:space="preserve">ed observations on the annex </w:t>
      </w:r>
      <w:r w:rsidR="00C835DC" w:rsidRPr="00CF6765">
        <w:rPr>
          <w:rFonts w:eastAsia="Verdana" w:cs="Verdana"/>
          <w:position w:val="-1"/>
          <w:sz w:val="20"/>
          <w:szCs w:val="20"/>
          <w:lang w:val="en-US"/>
        </w:rPr>
        <w:t>submitted</w:t>
      </w:r>
      <w:r w:rsidRPr="00CF6765">
        <w:rPr>
          <w:rFonts w:eastAsia="Verdana" w:cs="Verdana"/>
          <w:position w:val="-1"/>
          <w:sz w:val="20"/>
          <w:szCs w:val="20"/>
          <w:lang w:val="en-US"/>
        </w:rPr>
        <w:t xml:space="preserve"> by</w:t>
      </w:r>
      <w:r w:rsidR="00EB2C98" w:rsidRPr="00CF6765">
        <w:rPr>
          <w:rFonts w:eastAsia="Verdana" w:cs="Verdana"/>
          <w:position w:val="-1"/>
          <w:sz w:val="20"/>
          <w:szCs w:val="20"/>
          <w:lang w:val="en-US"/>
        </w:rPr>
        <w:t xml:space="preserve"> </w:t>
      </w:r>
      <w:r w:rsidR="00D2168F" w:rsidRPr="00CF6765">
        <w:rPr>
          <w:rFonts w:eastAsia="Verdana" w:cs="Verdana"/>
          <w:position w:val="-1"/>
          <w:sz w:val="20"/>
          <w:szCs w:val="20"/>
          <w:lang w:val="en-US"/>
        </w:rPr>
        <w:t>the representatives</w:t>
      </w:r>
      <w:r w:rsidR="00EB2C98" w:rsidRPr="00CF6765">
        <w:rPr>
          <w:rFonts w:eastAsia="Verdana" w:cs="Verdana"/>
          <w:position w:val="-1"/>
          <w:sz w:val="20"/>
          <w:szCs w:val="20"/>
          <w:lang w:val="en-US"/>
        </w:rPr>
        <w:t>.</w:t>
      </w:r>
    </w:p>
    <w:p w14:paraId="2267DB32" w14:textId="0CD840E4" w:rsidR="006C37C9" w:rsidRPr="00CF6765" w:rsidRDefault="006C37C9" w:rsidP="00F3026E">
      <w:pPr>
        <w:autoSpaceDE w:val="0"/>
        <w:autoSpaceDN w:val="0"/>
        <w:rPr>
          <w:rFonts w:eastAsia="Batang"/>
          <w:sz w:val="20"/>
          <w:lang w:val="en-US"/>
        </w:rPr>
      </w:pPr>
    </w:p>
    <w:p w14:paraId="0550D732" w14:textId="5413ADC7" w:rsidR="00C92904" w:rsidRPr="00CF6765" w:rsidRDefault="00FC495E" w:rsidP="00F3026E">
      <w:pPr>
        <w:numPr>
          <w:ilvl w:val="0"/>
          <w:numId w:val="2"/>
        </w:numPr>
        <w:tabs>
          <w:tab w:val="left" w:pos="567"/>
          <w:tab w:val="num" w:pos="12305"/>
        </w:tabs>
        <w:ind w:left="0" w:firstLine="0"/>
        <w:rPr>
          <w:rFonts w:eastAsia="Batang"/>
          <w:sz w:val="20"/>
          <w:lang w:val="en-US"/>
        </w:rPr>
      </w:pPr>
      <w:r w:rsidRPr="00CF6765">
        <w:rPr>
          <w:rFonts w:eastAsia="Batang"/>
          <w:i/>
          <w:sz w:val="20"/>
          <w:lang w:val="en-US"/>
        </w:rPr>
        <w:t>Helpful evidence</w:t>
      </w:r>
      <w:r w:rsidR="00C92904" w:rsidRPr="00CF6765">
        <w:rPr>
          <w:rFonts w:eastAsia="Batang"/>
          <w:i/>
          <w:sz w:val="20"/>
          <w:lang w:val="en-US"/>
        </w:rPr>
        <w:t xml:space="preserve">. </w:t>
      </w:r>
      <w:r w:rsidRPr="00CF6765">
        <w:rPr>
          <w:rFonts w:eastAsia="Batang"/>
          <w:sz w:val="20"/>
          <w:lang w:val="en-US"/>
        </w:rPr>
        <w:t>On November 27,</w:t>
      </w:r>
      <w:r w:rsidR="00E41319" w:rsidRPr="00CF6765">
        <w:rPr>
          <w:rFonts w:eastAsia="Batang"/>
          <w:sz w:val="20"/>
          <w:lang w:val="en-US"/>
        </w:rPr>
        <w:t xml:space="preserve"> 2017</w:t>
      </w:r>
      <w:r w:rsidRPr="00CF6765">
        <w:rPr>
          <w:rFonts w:eastAsia="Batang"/>
          <w:sz w:val="20"/>
          <w:lang w:val="en-US"/>
        </w:rPr>
        <w:t>,</w:t>
      </w:r>
      <w:r w:rsidR="00EC50FC" w:rsidRPr="00CF6765">
        <w:rPr>
          <w:rFonts w:eastAsia="Batang"/>
          <w:sz w:val="20"/>
          <w:lang w:val="en-US"/>
        </w:rPr>
        <w:t xml:space="preserve"> and </w:t>
      </w:r>
      <w:r w:rsidR="00671A8C" w:rsidRPr="00CF6765">
        <w:rPr>
          <w:rFonts w:eastAsia="Batang"/>
          <w:sz w:val="20"/>
          <w:lang w:val="en-US"/>
        </w:rPr>
        <w:t>January 26,</w:t>
      </w:r>
      <w:r w:rsidR="00C12427" w:rsidRPr="00CF6765">
        <w:rPr>
          <w:rFonts w:eastAsia="Batang"/>
          <w:sz w:val="20"/>
          <w:lang w:val="en-US"/>
        </w:rPr>
        <w:t xml:space="preserve"> 2018</w:t>
      </w:r>
      <w:r w:rsidRPr="00CF6765">
        <w:rPr>
          <w:rFonts w:eastAsia="Batang"/>
          <w:sz w:val="20"/>
          <w:lang w:val="en-US"/>
        </w:rPr>
        <w:t>, the State was asked to provide</w:t>
      </w:r>
      <w:r w:rsidR="00E41319" w:rsidRPr="00CF6765">
        <w:rPr>
          <w:rFonts w:eastAsia="Batang"/>
          <w:sz w:val="20"/>
          <w:lang w:val="en-US"/>
        </w:rPr>
        <w:t xml:space="preserve"> </w:t>
      </w:r>
      <w:r w:rsidRPr="00CF6765">
        <w:rPr>
          <w:rFonts w:eastAsia="Batang"/>
          <w:sz w:val="20"/>
          <w:lang w:val="en-US"/>
        </w:rPr>
        <w:t>helpful evidence</w:t>
      </w:r>
      <w:r w:rsidR="00E41319" w:rsidRPr="00CF6765">
        <w:rPr>
          <w:rFonts w:eastAsia="Batang"/>
          <w:sz w:val="20"/>
          <w:lang w:val="en-US"/>
        </w:rPr>
        <w:t xml:space="preserve">. </w:t>
      </w:r>
      <w:r w:rsidRPr="00CF6765">
        <w:rPr>
          <w:rFonts w:eastAsia="Batang"/>
          <w:sz w:val="20"/>
          <w:lang w:val="en-US"/>
        </w:rPr>
        <w:t>On December 22,</w:t>
      </w:r>
      <w:r w:rsidR="00E41319" w:rsidRPr="00CF6765">
        <w:rPr>
          <w:rFonts w:eastAsia="Batang"/>
          <w:sz w:val="20"/>
          <w:lang w:val="en-US"/>
        </w:rPr>
        <w:t xml:space="preserve"> 2017</w:t>
      </w:r>
      <w:r w:rsidRPr="00CF6765">
        <w:rPr>
          <w:rFonts w:eastAsia="Batang"/>
          <w:sz w:val="20"/>
          <w:lang w:val="en-US"/>
        </w:rPr>
        <w:t>,</w:t>
      </w:r>
      <w:r w:rsidR="00EC50FC" w:rsidRPr="00CF6765">
        <w:rPr>
          <w:rFonts w:eastAsia="Batang"/>
          <w:sz w:val="20"/>
          <w:lang w:val="en-US"/>
        </w:rPr>
        <w:t xml:space="preserve"> and </w:t>
      </w:r>
      <w:r w:rsidRPr="00CF6765">
        <w:rPr>
          <w:rFonts w:eastAsia="Batang"/>
          <w:sz w:val="20"/>
          <w:lang w:val="en-US"/>
        </w:rPr>
        <w:t>February 12,</w:t>
      </w:r>
      <w:r w:rsidR="00C12427" w:rsidRPr="00CF6765">
        <w:rPr>
          <w:rFonts w:eastAsia="Batang"/>
          <w:sz w:val="20"/>
          <w:lang w:val="en-US"/>
        </w:rPr>
        <w:t xml:space="preserve"> 2018</w:t>
      </w:r>
      <w:r w:rsidRPr="00CF6765">
        <w:rPr>
          <w:rFonts w:eastAsia="Batang"/>
          <w:sz w:val="20"/>
          <w:lang w:val="en-US"/>
        </w:rPr>
        <w:t>,</w:t>
      </w:r>
      <w:r w:rsidR="00C12427" w:rsidRPr="00CF6765">
        <w:rPr>
          <w:rFonts w:eastAsia="Batang"/>
          <w:sz w:val="20"/>
          <w:lang w:val="en-US"/>
        </w:rPr>
        <w:t xml:space="preserve"> </w:t>
      </w:r>
      <w:r w:rsidR="00EC50FC" w:rsidRPr="00CF6765">
        <w:rPr>
          <w:rFonts w:eastAsia="Batang"/>
          <w:sz w:val="20"/>
          <w:lang w:val="en-US"/>
        </w:rPr>
        <w:t>the State</w:t>
      </w:r>
      <w:r w:rsidR="00E41319" w:rsidRPr="00CF6765">
        <w:rPr>
          <w:rFonts w:eastAsia="Batang"/>
          <w:sz w:val="20"/>
          <w:lang w:val="en-US"/>
        </w:rPr>
        <w:t xml:space="preserve"> </w:t>
      </w:r>
      <w:r w:rsidRPr="00CF6765">
        <w:rPr>
          <w:rFonts w:eastAsia="Batang"/>
          <w:sz w:val="20"/>
          <w:lang w:val="en-US"/>
        </w:rPr>
        <w:t>forwarded the information requested.</w:t>
      </w:r>
    </w:p>
    <w:p w14:paraId="095C5E54" w14:textId="77777777" w:rsidR="006C37C9" w:rsidRPr="00CF6765" w:rsidRDefault="006C37C9" w:rsidP="00F3026E">
      <w:pPr>
        <w:tabs>
          <w:tab w:val="left" w:pos="567"/>
          <w:tab w:val="left" w:pos="1134"/>
          <w:tab w:val="num" w:pos="6042"/>
        </w:tabs>
        <w:autoSpaceDE w:val="0"/>
        <w:autoSpaceDN w:val="0"/>
        <w:rPr>
          <w:rFonts w:eastAsia="Calibri" w:cs="Verdana"/>
          <w:snapToGrid w:val="0"/>
          <w:sz w:val="20"/>
          <w:szCs w:val="20"/>
          <w:lang w:val="en-US" w:eastAsia="es-ES"/>
        </w:rPr>
      </w:pPr>
    </w:p>
    <w:p w14:paraId="379B62BB" w14:textId="0BB8190D" w:rsidR="004D67BE" w:rsidRPr="00CF6765" w:rsidRDefault="00FC495E" w:rsidP="00F3026E">
      <w:pPr>
        <w:numPr>
          <w:ilvl w:val="0"/>
          <w:numId w:val="2"/>
        </w:numPr>
        <w:tabs>
          <w:tab w:val="left" w:pos="567"/>
          <w:tab w:val="num" w:pos="12305"/>
        </w:tabs>
        <w:ind w:left="0" w:firstLine="0"/>
        <w:rPr>
          <w:rFonts w:eastAsia="Verdana" w:cs="Verdana"/>
          <w:position w:val="-1"/>
          <w:sz w:val="20"/>
          <w:szCs w:val="20"/>
          <w:lang w:val="en-US"/>
        </w:rPr>
      </w:pPr>
      <w:r w:rsidRPr="00CF6765">
        <w:rPr>
          <w:rFonts w:cs="Verdana"/>
          <w:i/>
          <w:snapToGrid w:val="0"/>
          <w:sz w:val="20"/>
          <w:szCs w:val="20"/>
          <w:lang w:val="en-US" w:eastAsia="es-ES"/>
        </w:rPr>
        <w:t>Disbursements from the Legal Assistance</w:t>
      </w:r>
      <w:r w:rsidR="00D2168F" w:rsidRPr="00CF6765">
        <w:rPr>
          <w:rFonts w:cs="Verdana"/>
          <w:i/>
          <w:snapToGrid w:val="0"/>
          <w:sz w:val="20"/>
          <w:szCs w:val="20"/>
          <w:lang w:val="en-US" w:eastAsia="es-ES"/>
        </w:rPr>
        <w:t xml:space="preserve"> Fund</w:t>
      </w:r>
      <w:r w:rsidR="006C37C9" w:rsidRPr="00CF6765">
        <w:rPr>
          <w:rFonts w:cs="Verdana"/>
          <w:i/>
          <w:snapToGrid w:val="0"/>
          <w:sz w:val="20"/>
          <w:szCs w:val="20"/>
          <w:lang w:val="en-US" w:eastAsia="es-ES"/>
        </w:rPr>
        <w:t>.</w:t>
      </w:r>
      <w:r w:rsidR="006C37C9" w:rsidRPr="00CF6765">
        <w:rPr>
          <w:rFonts w:cs="Verdana"/>
          <w:snapToGrid w:val="0"/>
          <w:sz w:val="20"/>
          <w:szCs w:val="20"/>
          <w:lang w:val="en-US" w:eastAsia="es-ES"/>
        </w:rPr>
        <w:t xml:space="preserve"> </w:t>
      </w:r>
      <w:r w:rsidRPr="00CF6765">
        <w:rPr>
          <w:rFonts w:eastAsia="Verdana" w:cs="Verdana"/>
          <w:position w:val="-1"/>
          <w:sz w:val="20"/>
          <w:szCs w:val="20"/>
          <w:lang w:val="en-US"/>
        </w:rPr>
        <w:t>On</w:t>
      </w:r>
      <w:r w:rsidR="004D67BE" w:rsidRPr="00CF6765">
        <w:rPr>
          <w:rFonts w:eastAsia="Verdana" w:cs="Verdana"/>
          <w:position w:val="-1"/>
          <w:sz w:val="20"/>
          <w:szCs w:val="20"/>
          <w:lang w:val="en-US"/>
        </w:rPr>
        <w:t xml:space="preserve"> </w:t>
      </w:r>
      <w:r w:rsidR="00671A8C" w:rsidRPr="00CF6765">
        <w:rPr>
          <w:rFonts w:eastAsia="Verdana" w:cs="Verdana"/>
          <w:position w:val="-1"/>
          <w:sz w:val="20"/>
          <w:szCs w:val="20"/>
          <w:lang w:val="en-US"/>
        </w:rPr>
        <w:t>January 26,</w:t>
      </w:r>
      <w:r w:rsidR="00C12427" w:rsidRPr="00CF6765">
        <w:rPr>
          <w:rFonts w:eastAsia="Verdana" w:cs="Verdana"/>
          <w:position w:val="-1"/>
          <w:sz w:val="20"/>
          <w:szCs w:val="20"/>
          <w:lang w:val="en-US"/>
        </w:rPr>
        <w:t xml:space="preserve"> 2018</w:t>
      </w:r>
      <w:r w:rsidRPr="00CF6765">
        <w:rPr>
          <w:rFonts w:eastAsia="Verdana" w:cs="Verdana"/>
          <w:position w:val="-1"/>
          <w:sz w:val="20"/>
          <w:szCs w:val="20"/>
          <w:lang w:val="en-US"/>
        </w:rPr>
        <w:t>,</w:t>
      </w:r>
      <w:r w:rsidR="004D67BE" w:rsidRPr="00CF6765">
        <w:rPr>
          <w:rFonts w:eastAsia="Verdana" w:cs="Verdana"/>
          <w:position w:val="-1"/>
          <w:sz w:val="20"/>
          <w:szCs w:val="20"/>
          <w:lang w:val="en-US"/>
        </w:rPr>
        <w:t xml:space="preserve"> </w:t>
      </w:r>
      <w:r w:rsidR="00C835DC" w:rsidRPr="00CF6765">
        <w:rPr>
          <w:rFonts w:eastAsia="Verdana" w:cs="Verdana"/>
          <w:position w:val="-1"/>
          <w:sz w:val="20"/>
          <w:szCs w:val="20"/>
          <w:lang w:val="en-US"/>
        </w:rPr>
        <w:t>the</w:t>
      </w:r>
      <w:r w:rsidR="004D67BE" w:rsidRPr="00CF6765">
        <w:rPr>
          <w:rFonts w:eastAsia="Verdana" w:cs="Verdana"/>
          <w:position w:val="-1"/>
          <w:sz w:val="20"/>
          <w:szCs w:val="20"/>
          <w:lang w:val="en-US"/>
        </w:rPr>
        <w:t xml:space="preserve"> </w:t>
      </w:r>
      <w:r w:rsidR="005C731C" w:rsidRPr="00CF6765">
        <w:rPr>
          <w:rFonts w:eastAsia="Verdana" w:cs="Verdana"/>
          <w:position w:val="-1"/>
          <w:sz w:val="20"/>
          <w:szCs w:val="20"/>
          <w:lang w:val="en-US"/>
        </w:rPr>
        <w:t>Secretariat</w:t>
      </w:r>
      <w:r w:rsidR="004D67BE" w:rsidRPr="00CF6765">
        <w:rPr>
          <w:rFonts w:eastAsia="Verdana" w:cs="Verdana"/>
          <w:position w:val="-1"/>
          <w:sz w:val="20"/>
          <w:szCs w:val="20"/>
          <w:lang w:val="en-US"/>
        </w:rPr>
        <w:t xml:space="preserve">, </w:t>
      </w:r>
      <w:r w:rsidRPr="00CF6765">
        <w:rPr>
          <w:rFonts w:eastAsia="Verdana" w:cs="Verdana"/>
          <w:position w:val="-1"/>
          <w:sz w:val="20"/>
          <w:szCs w:val="20"/>
          <w:lang w:val="en-US"/>
        </w:rPr>
        <w:t>on the instruction</w:t>
      </w:r>
      <w:r w:rsidR="00C835DC" w:rsidRPr="00CF6765">
        <w:rPr>
          <w:rFonts w:eastAsia="Verdana" w:cs="Verdana"/>
          <w:position w:val="-1"/>
          <w:sz w:val="20"/>
          <w:szCs w:val="20"/>
          <w:lang w:val="en-US"/>
        </w:rPr>
        <w:t>s</w:t>
      </w:r>
      <w:r w:rsidRPr="00CF6765">
        <w:rPr>
          <w:rFonts w:eastAsia="Verdana" w:cs="Verdana"/>
          <w:position w:val="-1"/>
          <w:sz w:val="20"/>
          <w:szCs w:val="20"/>
          <w:lang w:val="en-US"/>
        </w:rPr>
        <w:t xml:space="preserve"> of the </w:t>
      </w:r>
      <w:r w:rsidR="005C731C" w:rsidRPr="00CF6765">
        <w:rPr>
          <w:rFonts w:eastAsia="Verdana" w:cs="Verdana"/>
          <w:position w:val="-1"/>
          <w:sz w:val="20"/>
          <w:szCs w:val="20"/>
          <w:lang w:val="en-US"/>
        </w:rPr>
        <w:t>President of the Court</w:t>
      </w:r>
      <w:r w:rsidR="004D67BE" w:rsidRPr="00CF6765">
        <w:rPr>
          <w:rFonts w:eastAsia="Verdana" w:cs="Verdana"/>
          <w:position w:val="-1"/>
          <w:sz w:val="20"/>
          <w:szCs w:val="20"/>
          <w:lang w:val="en-US"/>
        </w:rPr>
        <w:t xml:space="preserve">, </w:t>
      </w:r>
      <w:r w:rsidRPr="00CF6765">
        <w:rPr>
          <w:rFonts w:eastAsia="Verdana" w:cs="Verdana"/>
          <w:position w:val="-1"/>
          <w:sz w:val="20"/>
          <w:szCs w:val="20"/>
          <w:lang w:val="en-US"/>
        </w:rPr>
        <w:t xml:space="preserve">forwarded information on the disbursements made in application of the Legal </w:t>
      </w:r>
      <w:r w:rsidR="00B328D7" w:rsidRPr="00CF6765">
        <w:rPr>
          <w:rFonts w:eastAsia="Verdana" w:cs="Verdana"/>
          <w:position w:val="-1"/>
          <w:sz w:val="20"/>
          <w:szCs w:val="20"/>
          <w:lang w:val="en-US"/>
        </w:rPr>
        <w:t>Assistance</w:t>
      </w:r>
      <w:r w:rsidRPr="00CF6765">
        <w:rPr>
          <w:rFonts w:eastAsia="Verdana" w:cs="Verdana"/>
          <w:position w:val="-1"/>
          <w:sz w:val="20"/>
          <w:szCs w:val="20"/>
          <w:lang w:val="en-US"/>
        </w:rPr>
        <w:t xml:space="preserve"> Fund in this case</w:t>
      </w:r>
      <w:r w:rsidR="004D67BE" w:rsidRPr="00CF6765">
        <w:rPr>
          <w:rFonts w:eastAsia="Verdana" w:cs="Verdana"/>
          <w:position w:val="-1"/>
          <w:sz w:val="20"/>
          <w:szCs w:val="20"/>
          <w:lang w:val="en-US"/>
        </w:rPr>
        <w:t xml:space="preserve"> </w:t>
      </w:r>
      <w:r w:rsidR="00D2168F" w:rsidRPr="00CF6765">
        <w:rPr>
          <w:rFonts w:eastAsia="Verdana" w:cs="Verdana"/>
          <w:position w:val="-1"/>
          <w:sz w:val="20"/>
          <w:szCs w:val="20"/>
          <w:lang w:val="en-US"/>
        </w:rPr>
        <w:t>to the State</w:t>
      </w:r>
      <w:r w:rsidRPr="00CF6765">
        <w:rPr>
          <w:rFonts w:eastAsia="Verdana" w:cs="Verdana"/>
          <w:position w:val="-1"/>
          <w:sz w:val="20"/>
          <w:szCs w:val="20"/>
          <w:lang w:val="en-US"/>
        </w:rPr>
        <w:t xml:space="preserve"> and, as established in </w:t>
      </w:r>
      <w:r w:rsidR="004D67BE" w:rsidRPr="00CF6765">
        <w:rPr>
          <w:rFonts w:eastAsia="Verdana" w:cs="Verdana"/>
          <w:position w:val="-1"/>
          <w:sz w:val="20"/>
          <w:szCs w:val="20"/>
          <w:lang w:val="en-US"/>
        </w:rPr>
        <w:t xml:space="preserve"> </w:t>
      </w:r>
      <w:r w:rsidR="005C731C" w:rsidRPr="00CF6765">
        <w:rPr>
          <w:rFonts w:eastAsia="Verdana" w:cs="Verdana"/>
          <w:position w:val="-1"/>
          <w:sz w:val="20"/>
          <w:szCs w:val="20"/>
          <w:lang w:val="en-US"/>
        </w:rPr>
        <w:t>Article</w:t>
      </w:r>
      <w:r w:rsidR="004D67BE" w:rsidRPr="00CF6765">
        <w:rPr>
          <w:rFonts w:eastAsia="Verdana" w:cs="Verdana"/>
          <w:position w:val="-1"/>
          <w:sz w:val="20"/>
          <w:szCs w:val="20"/>
          <w:lang w:val="en-US"/>
        </w:rPr>
        <w:t xml:space="preserve"> 5</w:t>
      </w:r>
      <w:r w:rsidR="005C731C" w:rsidRPr="00CF6765">
        <w:rPr>
          <w:rFonts w:eastAsia="Verdana" w:cs="Verdana"/>
          <w:position w:val="-1"/>
          <w:sz w:val="20"/>
          <w:szCs w:val="20"/>
          <w:lang w:val="en-US"/>
        </w:rPr>
        <w:t xml:space="preserve"> of the Rules</w:t>
      </w:r>
      <w:r w:rsidRPr="00CF6765">
        <w:rPr>
          <w:rFonts w:eastAsia="Verdana" w:cs="Verdana"/>
          <w:position w:val="-1"/>
          <w:sz w:val="20"/>
          <w:szCs w:val="20"/>
          <w:lang w:val="en-US"/>
        </w:rPr>
        <w:t xml:space="preserve"> </w:t>
      </w:r>
      <w:r w:rsidR="00C835DC" w:rsidRPr="00CF6765">
        <w:rPr>
          <w:rFonts w:eastAsia="Verdana" w:cs="Verdana"/>
          <w:position w:val="-1"/>
          <w:sz w:val="20"/>
          <w:szCs w:val="20"/>
          <w:lang w:val="en-US"/>
        </w:rPr>
        <w:t>for</w:t>
      </w:r>
      <w:r w:rsidRPr="00CF6765">
        <w:rPr>
          <w:rFonts w:eastAsia="Verdana" w:cs="Verdana"/>
          <w:position w:val="-1"/>
          <w:sz w:val="20"/>
          <w:szCs w:val="20"/>
          <w:lang w:val="en-US"/>
        </w:rPr>
        <w:t xml:space="preserve"> the Operation of the Fund, granted it a time frame for presenting any observations it deemed pertinent. The State </w:t>
      </w:r>
      <w:r w:rsidR="00B328D7" w:rsidRPr="00CF6765">
        <w:rPr>
          <w:rFonts w:eastAsia="Verdana" w:cs="Verdana"/>
          <w:position w:val="-1"/>
          <w:sz w:val="20"/>
          <w:szCs w:val="20"/>
          <w:lang w:val="en-US"/>
        </w:rPr>
        <w:t>presented</w:t>
      </w:r>
      <w:r w:rsidRPr="00CF6765">
        <w:rPr>
          <w:rFonts w:eastAsia="Verdana" w:cs="Verdana"/>
          <w:position w:val="-1"/>
          <w:sz w:val="20"/>
          <w:szCs w:val="20"/>
          <w:lang w:val="en-US"/>
        </w:rPr>
        <w:t xml:space="preserve"> observations on February 2,</w:t>
      </w:r>
      <w:r w:rsidR="005C731C" w:rsidRPr="00CF6765">
        <w:rPr>
          <w:rFonts w:eastAsia="Verdana" w:cs="Verdana"/>
          <w:position w:val="-1"/>
          <w:sz w:val="20"/>
          <w:szCs w:val="20"/>
          <w:lang w:val="en-US"/>
        </w:rPr>
        <w:t xml:space="preserve"> </w:t>
      </w:r>
      <w:r w:rsidR="008D1152" w:rsidRPr="00CF6765">
        <w:rPr>
          <w:rFonts w:eastAsia="Verdana" w:cs="Verdana"/>
          <w:position w:val="-1"/>
          <w:sz w:val="20"/>
          <w:szCs w:val="20"/>
          <w:lang w:val="en-US"/>
        </w:rPr>
        <w:t>2018</w:t>
      </w:r>
      <w:r w:rsidR="004D67BE" w:rsidRPr="00CF6765">
        <w:rPr>
          <w:rFonts w:eastAsia="Verdana" w:cs="Verdana"/>
          <w:position w:val="-1"/>
          <w:sz w:val="20"/>
          <w:szCs w:val="20"/>
          <w:lang w:val="en-US"/>
        </w:rPr>
        <w:t>.</w:t>
      </w:r>
    </w:p>
    <w:p w14:paraId="5F276BD6" w14:textId="77777777" w:rsidR="006C37C9" w:rsidRPr="00CF6765" w:rsidRDefault="006C37C9" w:rsidP="00F3026E">
      <w:pPr>
        <w:tabs>
          <w:tab w:val="left" w:pos="567"/>
          <w:tab w:val="left" w:pos="1134"/>
          <w:tab w:val="num" w:pos="6042"/>
        </w:tabs>
        <w:autoSpaceDE w:val="0"/>
        <w:autoSpaceDN w:val="0"/>
        <w:rPr>
          <w:rFonts w:eastAsia="Calibri" w:cs="Verdana"/>
          <w:snapToGrid w:val="0"/>
          <w:sz w:val="20"/>
          <w:szCs w:val="20"/>
          <w:lang w:val="en-US" w:eastAsia="es-ES"/>
        </w:rPr>
      </w:pPr>
    </w:p>
    <w:p w14:paraId="0660CAA9" w14:textId="16DEC983" w:rsidR="006C37C9" w:rsidRPr="00CF6765" w:rsidRDefault="006C37C9" w:rsidP="00C27894">
      <w:pPr>
        <w:numPr>
          <w:ilvl w:val="0"/>
          <w:numId w:val="2"/>
        </w:numPr>
        <w:tabs>
          <w:tab w:val="left" w:pos="567"/>
          <w:tab w:val="num" w:pos="12305"/>
        </w:tabs>
        <w:ind w:left="0" w:firstLine="0"/>
        <w:rPr>
          <w:rFonts w:eastAsia="Verdana" w:cs="Verdana"/>
          <w:sz w:val="20"/>
          <w:szCs w:val="20"/>
          <w:lang w:val="en-US"/>
        </w:rPr>
      </w:pPr>
      <w:r w:rsidRPr="00CF6765">
        <w:rPr>
          <w:rFonts w:cs="Verdana"/>
          <w:i/>
          <w:snapToGrid w:val="0"/>
          <w:sz w:val="20"/>
          <w:szCs w:val="20"/>
          <w:lang w:val="en-US" w:eastAsia="es-ES"/>
        </w:rPr>
        <w:t>Delibera</w:t>
      </w:r>
      <w:r w:rsidR="00FC495E" w:rsidRPr="00CF6765">
        <w:rPr>
          <w:rFonts w:cs="Verdana"/>
          <w:i/>
          <w:snapToGrid w:val="0"/>
          <w:sz w:val="20"/>
          <w:szCs w:val="20"/>
          <w:lang w:val="en-US" w:eastAsia="es-ES"/>
        </w:rPr>
        <w:t>tion of the case</w:t>
      </w:r>
      <w:r w:rsidRPr="00CF6765">
        <w:rPr>
          <w:rFonts w:cs="Verdana"/>
          <w:i/>
          <w:iCs/>
          <w:snapToGrid w:val="0"/>
          <w:sz w:val="20"/>
          <w:szCs w:val="20"/>
          <w:lang w:val="en-US" w:eastAsia="es-ES"/>
        </w:rPr>
        <w:t>.</w:t>
      </w:r>
      <w:r w:rsidR="004D67BE" w:rsidRPr="00CF6765">
        <w:rPr>
          <w:rFonts w:cs="Verdana"/>
          <w:i/>
          <w:iCs/>
          <w:snapToGrid w:val="0"/>
          <w:sz w:val="20"/>
          <w:szCs w:val="20"/>
          <w:lang w:val="en-US" w:eastAsia="es-ES"/>
        </w:rPr>
        <w:t xml:space="preserve"> </w:t>
      </w:r>
      <w:r w:rsidR="005C731C" w:rsidRPr="00CF6765">
        <w:rPr>
          <w:rFonts w:cs="Verdana"/>
          <w:iCs/>
          <w:snapToGrid w:val="0"/>
          <w:sz w:val="20"/>
          <w:szCs w:val="20"/>
          <w:lang w:val="en-US" w:eastAsia="es-ES"/>
        </w:rPr>
        <w:t>The Court</w:t>
      </w:r>
      <w:r w:rsidR="004D67BE" w:rsidRPr="00CF6765">
        <w:rPr>
          <w:rFonts w:cs="Verdana"/>
          <w:iCs/>
          <w:snapToGrid w:val="0"/>
          <w:sz w:val="20"/>
          <w:szCs w:val="20"/>
          <w:lang w:val="en-US" w:eastAsia="es-ES"/>
        </w:rPr>
        <w:t xml:space="preserve"> </w:t>
      </w:r>
      <w:r w:rsidR="00FC495E" w:rsidRPr="00CF6765">
        <w:rPr>
          <w:rFonts w:cs="Verdana"/>
          <w:iCs/>
          <w:snapToGrid w:val="0"/>
          <w:sz w:val="20"/>
          <w:szCs w:val="20"/>
          <w:lang w:val="en-US" w:eastAsia="es-ES"/>
        </w:rPr>
        <w:t xml:space="preserve">began deliberating </w:t>
      </w:r>
      <w:r w:rsidR="00D2168F" w:rsidRPr="00CF6765">
        <w:rPr>
          <w:rFonts w:cs="Verdana"/>
          <w:iCs/>
          <w:snapToGrid w:val="0"/>
          <w:sz w:val="20"/>
          <w:szCs w:val="20"/>
          <w:lang w:val="en-US" w:eastAsia="es-ES"/>
        </w:rPr>
        <w:t>this judgment</w:t>
      </w:r>
      <w:r w:rsidR="004D67BE" w:rsidRPr="00CF6765">
        <w:rPr>
          <w:rFonts w:cs="Verdana"/>
          <w:iCs/>
          <w:snapToGrid w:val="0"/>
          <w:sz w:val="20"/>
          <w:szCs w:val="20"/>
          <w:lang w:val="en-US" w:eastAsia="es-ES"/>
        </w:rPr>
        <w:t xml:space="preserve"> </w:t>
      </w:r>
      <w:r w:rsidR="00FC495E" w:rsidRPr="00CF6765">
        <w:rPr>
          <w:rFonts w:cs="Verdana"/>
          <w:iCs/>
          <w:snapToGrid w:val="0"/>
          <w:sz w:val="20"/>
          <w:szCs w:val="20"/>
          <w:lang w:val="en-US" w:eastAsia="es-ES"/>
        </w:rPr>
        <w:t>on March 5,</w:t>
      </w:r>
      <w:r w:rsidR="00094BE6" w:rsidRPr="00CF6765">
        <w:rPr>
          <w:rFonts w:cs="Verdana"/>
          <w:iCs/>
          <w:snapToGrid w:val="0"/>
          <w:sz w:val="20"/>
          <w:szCs w:val="20"/>
          <w:lang w:val="en-US" w:eastAsia="es-ES"/>
        </w:rPr>
        <w:t xml:space="preserve"> 2018. </w:t>
      </w:r>
    </w:p>
    <w:p w14:paraId="7BE55604" w14:textId="77777777" w:rsidR="00FC495E" w:rsidRPr="00CF6765" w:rsidRDefault="00FC495E" w:rsidP="00FC495E">
      <w:pPr>
        <w:tabs>
          <w:tab w:val="left" w:pos="567"/>
        </w:tabs>
        <w:rPr>
          <w:rFonts w:eastAsia="Verdana" w:cs="Verdana"/>
          <w:sz w:val="20"/>
          <w:szCs w:val="20"/>
          <w:lang w:val="en-US"/>
        </w:rPr>
      </w:pPr>
    </w:p>
    <w:p w14:paraId="4A4B67AC" w14:textId="36BD55F4" w:rsidR="006C37C9" w:rsidRPr="00CF6765" w:rsidRDefault="006C37C9" w:rsidP="00F322EC">
      <w:pPr>
        <w:pStyle w:val="Ttulo"/>
      </w:pPr>
      <w:bookmarkStart w:id="26" w:name="_Toc470180034"/>
      <w:bookmarkStart w:id="27" w:name="_Toc47864352"/>
      <w:r w:rsidRPr="00CF6765">
        <w:t>III</w:t>
      </w:r>
      <w:r w:rsidRPr="00CF6765">
        <w:br/>
      </w:r>
      <w:r w:rsidR="00FC495E" w:rsidRPr="00CF6765">
        <w:t>JURISDICTION</w:t>
      </w:r>
      <w:bookmarkEnd w:id="26"/>
      <w:bookmarkEnd w:id="27"/>
    </w:p>
    <w:p w14:paraId="49D506C1" w14:textId="77777777" w:rsidR="006C37C9" w:rsidRPr="00CF6765" w:rsidRDefault="006C37C9" w:rsidP="00F3026E">
      <w:pPr>
        <w:rPr>
          <w:lang w:val="en-US"/>
        </w:rPr>
      </w:pPr>
    </w:p>
    <w:p w14:paraId="0C70E8B7" w14:textId="794BD0A6" w:rsidR="00342270" w:rsidRPr="00CF6765" w:rsidRDefault="005C731C" w:rsidP="00F3026E">
      <w:pPr>
        <w:numPr>
          <w:ilvl w:val="0"/>
          <w:numId w:val="2"/>
        </w:numPr>
        <w:tabs>
          <w:tab w:val="left" w:pos="567"/>
          <w:tab w:val="num" w:pos="12305"/>
        </w:tabs>
        <w:ind w:left="0" w:firstLine="0"/>
        <w:rPr>
          <w:sz w:val="20"/>
          <w:lang w:val="en-US"/>
        </w:rPr>
      </w:pPr>
      <w:r w:rsidRPr="00CF6765">
        <w:rPr>
          <w:sz w:val="20"/>
          <w:lang w:val="en-US"/>
        </w:rPr>
        <w:t>The Court</w:t>
      </w:r>
      <w:r w:rsidR="00FB4EEF" w:rsidRPr="00CF6765">
        <w:rPr>
          <w:sz w:val="20"/>
          <w:lang w:val="en-US"/>
        </w:rPr>
        <w:t xml:space="preserve"> </w:t>
      </w:r>
      <w:r w:rsidR="0088423A" w:rsidRPr="00CF6765">
        <w:rPr>
          <w:sz w:val="20"/>
          <w:lang w:val="en-US"/>
        </w:rPr>
        <w:t>has jurisdiction to hear this case pursuant to Article</w:t>
      </w:r>
      <w:r w:rsidR="00FB4EEF" w:rsidRPr="00CF6765">
        <w:rPr>
          <w:sz w:val="20"/>
          <w:lang w:val="en-US"/>
        </w:rPr>
        <w:t xml:space="preserve"> 62</w:t>
      </w:r>
      <w:r w:rsidR="0088423A" w:rsidRPr="00CF6765">
        <w:rPr>
          <w:sz w:val="20"/>
          <w:lang w:val="en-US"/>
        </w:rPr>
        <w:t>(</w:t>
      </w:r>
      <w:r w:rsidR="00FB4EEF" w:rsidRPr="00CF6765">
        <w:rPr>
          <w:sz w:val="20"/>
          <w:lang w:val="en-US"/>
        </w:rPr>
        <w:t>3</w:t>
      </w:r>
      <w:r w:rsidR="0088423A" w:rsidRPr="00CF6765">
        <w:rPr>
          <w:sz w:val="20"/>
          <w:lang w:val="en-US"/>
        </w:rPr>
        <w:t>)</w:t>
      </w:r>
      <w:r w:rsidRPr="00CF6765">
        <w:rPr>
          <w:sz w:val="20"/>
          <w:lang w:val="en-US"/>
        </w:rPr>
        <w:t xml:space="preserve"> of the Convention</w:t>
      </w:r>
      <w:r w:rsidR="0088423A" w:rsidRPr="00CF6765">
        <w:rPr>
          <w:sz w:val="20"/>
          <w:lang w:val="en-US"/>
        </w:rPr>
        <w:t xml:space="preserve"> because Chile has been a State Party to the Convention since August 21, </w:t>
      </w:r>
      <w:r w:rsidR="00FB4EEF" w:rsidRPr="00CF6765">
        <w:rPr>
          <w:sz w:val="20"/>
          <w:lang w:val="en-US"/>
        </w:rPr>
        <w:t>1990</w:t>
      </w:r>
      <w:r w:rsidR="0088423A" w:rsidRPr="00CF6765">
        <w:rPr>
          <w:sz w:val="20"/>
          <w:lang w:val="en-US"/>
        </w:rPr>
        <w:t>,</w:t>
      </w:r>
      <w:r w:rsidR="00EC50FC" w:rsidRPr="00CF6765">
        <w:rPr>
          <w:sz w:val="20"/>
          <w:lang w:val="en-US"/>
        </w:rPr>
        <w:t xml:space="preserve"> and</w:t>
      </w:r>
      <w:r w:rsidR="0088423A" w:rsidRPr="00CF6765">
        <w:rPr>
          <w:sz w:val="20"/>
          <w:lang w:val="en-US"/>
        </w:rPr>
        <w:t xml:space="preserve"> accepted the compulsory jurisdiction of the Court on that date</w:t>
      </w:r>
      <w:r w:rsidR="00FB4EEF" w:rsidRPr="00CF6765">
        <w:rPr>
          <w:sz w:val="20"/>
          <w:lang w:val="en-US"/>
        </w:rPr>
        <w:t xml:space="preserve">. </w:t>
      </w:r>
    </w:p>
    <w:p w14:paraId="629C7CB6" w14:textId="77777777" w:rsidR="00542AD4" w:rsidRPr="00CF6765" w:rsidRDefault="00542AD4" w:rsidP="00C27894">
      <w:pPr>
        <w:tabs>
          <w:tab w:val="left" w:pos="567"/>
        </w:tabs>
        <w:rPr>
          <w:sz w:val="20"/>
          <w:lang w:val="en-US"/>
        </w:rPr>
      </w:pPr>
    </w:p>
    <w:p w14:paraId="28692FDB" w14:textId="05B15C95" w:rsidR="00542AD4" w:rsidRPr="00CF6765" w:rsidRDefault="00542AD4" w:rsidP="00F322EC">
      <w:pPr>
        <w:pStyle w:val="Ttulo"/>
      </w:pPr>
      <w:bookmarkStart w:id="28" w:name="_Toc47864353"/>
      <w:r w:rsidRPr="00CF6765">
        <w:t>IV</w:t>
      </w:r>
      <w:r w:rsidRPr="00CF6765">
        <w:br/>
      </w:r>
      <w:r w:rsidR="00AD6DF0" w:rsidRPr="00CF6765">
        <w:t xml:space="preserve">PARTIAL ACKNOWLEDGEMENT OF INTERNATIONAL </w:t>
      </w:r>
      <w:r w:rsidR="0088423A" w:rsidRPr="00CF6765">
        <w:t>RESPONSIBILITY BY THE STATE</w:t>
      </w:r>
      <w:bookmarkEnd w:id="28"/>
    </w:p>
    <w:p w14:paraId="665DA0F3" w14:textId="77777777" w:rsidR="00542AD4" w:rsidRPr="00CF6765" w:rsidRDefault="00542AD4" w:rsidP="00542AD4">
      <w:pPr>
        <w:rPr>
          <w:sz w:val="20"/>
          <w:szCs w:val="20"/>
          <w:lang w:val="en-US"/>
        </w:rPr>
      </w:pPr>
    </w:p>
    <w:p w14:paraId="30F4738E" w14:textId="33B6AB57" w:rsidR="00542AD4" w:rsidRPr="00CF6765" w:rsidRDefault="0088423A" w:rsidP="002726E0">
      <w:pPr>
        <w:pStyle w:val="Ttulo2"/>
        <w:numPr>
          <w:ilvl w:val="0"/>
          <w:numId w:val="9"/>
        </w:numPr>
        <w:rPr>
          <w:lang w:val="en-US"/>
        </w:rPr>
      </w:pPr>
      <w:bookmarkStart w:id="29" w:name="_Toc47864354"/>
      <w:r w:rsidRPr="00CF6765">
        <w:rPr>
          <w:lang w:val="en-US"/>
        </w:rPr>
        <w:t>Positions in relation to the State’s partial acknowledgement of responsibility</w:t>
      </w:r>
      <w:bookmarkEnd w:id="29"/>
      <w:r w:rsidR="00542AD4" w:rsidRPr="00CF6765">
        <w:rPr>
          <w:lang w:val="en-US"/>
        </w:rPr>
        <w:t xml:space="preserve"> </w:t>
      </w:r>
    </w:p>
    <w:p w14:paraId="2D01C9EE" w14:textId="77777777" w:rsidR="00542AD4" w:rsidRPr="00CF6765" w:rsidRDefault="00542AD4" w:rsidP="00542AD4">
      <w:pPr>
        <w:autoSpaceDE w:val="0"/>
        <w:autoSpaceDN w:val="0"/>
        <w:rPr>
          <w:rFonts w:eastAsia="Calibri" w:cs="Verdana"/>
          <w:snapToGrid w:val="0"/>
          <w:sz w:val="20"/>
          <w:szCs w:val="20"/>
          <w:lang w:val="en-US" w:eastAsia="es-ES"/>
        </w:rPr>
      </w:pPr>
    </w:p>
    <w:p w14:paraId="38AC83E8" w14:textId="121C28F0" w:rsidR="00542AD4" w:rsidRPr="00CF6765" w:rsidRDefault="00EC50FC" w:rsidP="00542AD4">
      <w:pPr>
        <w:numPr>
          <w:ilvl w:val="0"/>
          <w:numId w:val="2"/>
        </w:numPr>
        <w:tabs>
          <w:tab w:val="left" w:pos="567"/>
          <w:tab w:val="num" w:pos="12305"/>
        </w:tabs>
        <w:ind w:left="0" w:firstLine="0"/>
        <w:rPr>
          <w:rFonts w:eastAsia="Batang"/>
          <w:sz w:val="20"/>
          <w:szCs w:val="20"/>
          <w:lang w:val="en-US" w:eastAsia="en-US"/>
        </w:rPr>
      </w:pPr>
      <w:r w:rsidRPr="00CF6765">
        <w:rPr>
          <w:rFonts w:eastAsia="Batang"/>
          <w:sz w:val="20"/>
          <w:szCs w:val="20"/>
          <w:lang w:val="en-US" w:eastAsia="en-US"/>
        </w:rPr>
        <w:t xml:space="preserve">The </w:t>
      </w:r>
      <w:r w:rsidRPr="00CF6765">
        <w:rPr>
          <w:rFonts w:eastAsia="Batang"/>
          <w:b/>
          <w:bCs/>
          <w:i/>
          <w:iCs/>
          <w:sz w:val="20"/>
          <w:szCs w:val="20"/>
          <w:lang w:val="en-US" w:eastAsia="en-US"/>
        </w:rPr>
        <w:t>State</w:t>
      </w:r>
      <w:r w:rsidR="00542AD4" w:rsidRPr="00CF6765">
        <w:rPr>
          <w:rFonts w:eastAsia="Batang"/>
          <w:sz w:val="20"/>
          <w:szCs w:val="20"/>
          <w:lang w:val="en-US" w:eastAsia="en-US"/>
        </w:rPr>
        <w:t xml:space="preserve"> </w:t>
      </w:r>
      <w:r w:rsidR="0088423A" w:rsidRPr="00CF6765">
        <w:rPr>
          <w:rFonts w:eastAsia="Batang"/>
          <w:sz w:val="20"/>
          <w:szCs w:val="20"/>
          <w:lang w:val="en-US" w:eastAsia="en-US"/>
        </w:rPr>
        <w:t>recognized its</w:t>
      </w:r>
      <w:r w:rsidR="00542AD4" w:rsidRPr="00CF6765">
        <w:rPr>
          <w:rFonts w:eastAsia="Batang"/>
          <w:sz w:val="20"/>
          <w:szCs w:val="20"/>
          <w:lang w:val="en-US" w:eastAsia="en-US"/>
        </w:rPr>
        <w:t xml:space="preserve"> </w:t>
      </w:r>
      <w:r w:rsidR="0088423A" w:rsidRPr="00CF6765">
        <w:rPr>
          <w:rFonts w:eastAsia="Batang"/>
          <w:sz w:val="20"/>
          <w:szCs w:val="20"/>
          <w:lang w:val="en-US" w:eastAsia="en-US"/>
        </w:rPr>
        <w:t>international responsibility</w:t>
      </w:r>
      <w:r w:rsidR="00542AD4" w:rsidRPr="00CF6765">
        <w:rPr>
          <w:rFonts w:eastAsia="Batang"/>
          <w:sz w:val="20"/>
          <w:szCs w:val="20"/>
          <w:lang w:val="en-US" w:eastAsia="en-US"/>
        </w:rPr>
        <w:t xml:space="preserve"> </w:t>
      </w:r>
      <w:r w:rsidR="0088423A" w:rsidRPr="00CF6765">
        <w:rPr>
          <w:rFonts w:eastAsia="Batang"/>
          <w:sz w:val="20"/>
          <w:szCs w:val="20"/>
          <w:lang w:val="en-US" w:eastAsia="en-US"/>
        </w:rPr>
        <w:t>for the</w:t>
      </w:r>
      <w:r w:rsidR="00542AD4" w:rsidRPr="00CF6765">
        <w:rPr>
          <w:rFonts w:eastAsia="Batang"/>
          <w:sz w:val="20"/>
          <w:szCs w:val="20"/>
          <w:lang w:val="en-US" w:eastAsia="en-US"/>
        </w:rPr>
        <w:t xml:space="preserve"> “</w:t>
      </w:r>
      <w:r w:rsidR="0088423A" w:rsidRPr="00CF6765">
        <w:rPr>
          <w:rFonts w:eastAsia="Batang"/>
          <w:sz w:val="20"/>
          <w:szCs w:val="20"/>
          <w:lang w:val="en-US" w:eastAsia="en-US"/>
        </w:rPr>
        <w:t xml:space="preserve">violation of the right to personal integrity [established in] </w:t>
      </w:r>
      <w:r w:rsidR="005C731C" w:rsidRPr="00CF6765">
        <w:rPr>
          <w:rFonts w:eastAsia="Batang"/>
          <w:sz w:val="20"/>
          <w:szCs w:val="20"/>
          <w:lang w:val="en-US" w:eastAsia="en-US"/>
        </w:rPr>
        <w:t>Article</w:t>
      </w:r>
      <w:r w:rsidR="00542AD4" w:rsidRPr="00CF6765">
        <w:rPr>
          <w:rFonts w:eastAsia="Batang"/>
          <w:sz w:val="20"/>
          <w:szCs w:val="20"/>
          <w:lang w:val="en-US" w:eastAsia="en-US"/>
        </w:rPr>
        <w:t xml:space="preserve"> 5 [</w:t>
      </w:r>
      <w:r w:rsidR="0088423A" w:rsidRPr="00CF6765">
        <w:rPr>
          <w:rFonts w:eastAsia="Batang"/>
          <w:sz w:val="20"/>
          <w:szCs w:val="20"/>
          <w:lang w:val="en-US" w:eastAsia="en-US"/>
        </w:rPr>
        <w:t>of the American Convention</w:t>
      </w:r>
      <w:r w:rsidR="00542AD4" w:rsidRPr="00CF6765">
        <w:rPr>
          <w:rFonts w:eastAsia="Batang"/>
          <w:sz w:val="20"/>
          <w:szCs w:val="20"/>
          <w:lang w:val="en-US" w:eastAsia="en-US"/>
        </w:rPr>
        <w:t xml:space="preserve">], </w:t>
      </w:r>
      <w:r w:rsidR="0088423A" w:rsidRPr="00CF6765">
        <w:rPr>
          <w:rFonts w:eastAsia="Batang"/>
          <w:sz w:val="20"/>
          <w:szCs w:val="20"/>
          <w:lang w:val="en-US" w:eastAsia="en-US"/>
        </w:rPr>
        <w:t xml:space="preserve">physical integrity </w:t>
      </w:r>
      <w:r w:rsidR="00542AD4" w:rsidRPr="00CF6765">
        <w:rPr>
          <w:rFonts w:eastAsia="Batang"/>
          <w:sz w:val="20"/>
          <w:szCs w:val="20"/>
          <w:lang w:val="en-US" w:eastAsia="en-US"/>
        </w:rPr>
        <w:t>[</w:t>
      </w:r>
      <w:r w:rsidR="0088423A" w:rsidRPr="00CF6765">
        <w:rPr>
          <w:rFonts w:eastAsia="Batang"/>
          <w:sz w:val="20"/>
          <w:szCs w:val="20"/>
          <w:lang w:val="en-US" w:eastAsia="en-US"/>
        </w:rPr>
        <w:t>established in</w:t>
      </w:r>
      <w:r w:rsidR="00542AD4" w:rsidRPr="00CF6765">
        <w:rPr>
          <w:rFonts w:eastAsia="Batang"/>
          <w:sz w:val="20"/>
          <w:szCs w:val="20"/>
          <w:lang w:val="en-US" w:eastAsia="en-US"/>
        </w:rPr>
        <w:t xml:space="preserve">] </w:t>
      </w:r>
      <w:r w:rsidR="005C731C" w:rsidRPr="00CF6765">
        <w:rPr>
          <w:rFonts w:eastAsia="Batang"/>
          <w:sz w:val="20"/>
          <w:szCs w:val="20"/>
          <w:lang w:val="en-US" w:eastAsia="en-US"/>
        </w:rPr>
        <w:t>Article</w:t>
      </w:r>
      <w:r w:rsidR="00542AD4" w:rsidRPr="00CF6765">
        <w:rPr>
          <w:rFonts w:eastAsia="Batang"/>
          <w:sz w:val="20"/>
          <w:szCs w:val="20"/>
          <w:lang w:val="en-US" w:eastAsia="en-US"/>
        </w:rPr>
        <w:t xml:space="preserve"> 5 [</w:t>
      </w:r>
      <w:r w:rsidR="00690D57" w:rsidRPr="00CF6765">
        <w:rPr>
          <w:rFonts w:eastAsia="Batang"/>
          <w:sz w:val="20"/>
          <w:szCs w:val="20"/>
          <w:lang w:val="en-US" w:eastAsia="en-US"/>
        </w:rPr>
        <w:t>of this instrument</w:t>
      </w:r>
      <w:r w:rsidR="00542AD4" w:rsidRPr="00CF6765">
        <w:rPr>
          <w:rFonts w:eastAsia="Batang"/>
          <w:sz w:val="20"/>
          <w:szCs w:val="20"/>
          <w:lang w:val="en-US" w:eastAsia="en-US"/>
        </w:rPr>
        <w:t>]</w:t>
      </w:r>
      <w:r w:rsidRPr="00CF6765">
        <w:rPr>
          <w:rFonts w:eastAsia="Batang"/>
          <w:sz w:val="20"/>
          <w:szCs w:val="20"/>
          <w:lang w:val="en-US" w:eastAsia="en-US"/>
        </w:rPr>
        <w:t xml:space="preserve"> and </w:t>
      </w:r>
      <w:r w:rsidR="0088423A" w:rsidRPr="00CF6765">
        <w:rPr>
          <w:rFonts w:eastAsia="Batang"/>
          <w:sz w:val="20"/>
          <w:szCs w:val="20"/>
          <w:lang w:val="en-US" w:eastAsia="en-US"/>
        </w:rPr>
        <w:t xml:space="preserve">the right to health, in relation to </w:t>
      </w:r>
      <w:r w:rsidRPr="00CF6765">
        <w:rPr>
          <w:rFonts w:eastAsia="Batang"/>
          <w:sz w:val="20"/>
          <w:szCs w:val="20"/>
          <w:lang w:val="en-US" w:eastAsia="en-US"/>
        </w:rPr>
        <w:t>Article 1(1)</w:t>
      </w:r>
      <w:r w:rsidR="00542AD4" w:rsidRPr="00CF6765">
        <w:rPr>
          <w:rFonts w:eastAsia="Batang"/>
          <w:sz w:val="20"/>
          <w:szCs w:val="20"/>
          <w:lang w:val="en-US" w:eastAsia="en-US"/>
        </w:rPr>
        <w:t xml:space="preserve"> </w:t>
      </w:r>
      <w:r w:rsidR="0088423A" w:rsidRPr="00CF6765">
        <w:rPr>
          <w:rFonts w:eastAsia="Batang"/>
          <w:sz w:val="20"/>
          <w:szCs w:val="20"/>
          <w:lang w:val="en-US" w:eastAsia="en-US"/>
        </w:rPr>
        <w:t>of the</w:t>
      </w:r>
      <w:r w:rsidR="00542AD4" w:rsidRPr="00CF6765">
        <w:rPr>
          <w:rFonts w:eastAsia="Batang"/>
          <w:sz w:val="20"/>
          <w:szCs w:val="20"/>
          <w:lang w:val="en-US" w:eastAsia="en-US"/>
        </w:rPr>
        <w:t xml:space="preserve"> [Conven</w:t>
      </w:r>
      <w:r w:rsidR="0088423A" w:rsidRPr="00CF6765">
        <w:rPr>
          <w:rFonts w:eastAsia="Batang"/>
          <w:sz w:val="20"/>
          <w:szCs w:val="20"/>
          <w:lang w:val="en-US" w:eastAsia="en-US"/>
        </w:rPr>
        <w:t>tio</w:t>
      </w:r>
      <w:r w:rsidR="00542AD4" w:rsidRPr="00CF6765">
        <w:rPr>
          <w:rFonts w:eastAsia="Batang"/>
          <w:sz w:val="20"/>
          <w:szCs w:val="20"/>
          <w:lang w:val="en-US" w:eastAsia="en-US"/>
        </w:rPr>
        <w:t xml:space="preserve">n] </w:t>
      </w:r>
      <w:r w:rsidR="00690D57" w:rsidRPr="00CF6765">
        <w:rPr>
          <w:rFonts w:eastAsia="Batang"/>
          <w:sz w:val="20"/>
          <w:szCs w:val="20"/>
          <w:lang w:val="en-US" w:eastAsia="en-US"/>
        </w:rPr>
        <w:t xml:space="preserve">to the detriment </w:t>
      </w:r>
      <w:r w:rsidR="0088423A" w:rsidRPr="00CF6765">
        <w:rPr>
          <w:rFonts w:eastAsia="Batang"/>
          <w:sz w:val="20"/>
          <w:szCs w:val="20"/>
          <w:lang w:val="en-US" w:eastAsia="en-US"/>
        </w:rPr>
        <w:t>of</w:t>
      </w:r>
      <w:r w:rsidR="00542AD4" w:rsidRPr="00CF6765">
        <w:rPr>
          <w:rFonts w:eastAsia="Batang"/>
          <w:sz w:val="20"/>
          <w:szCs w:val="20"/>
          <w:lang w:val="en-US" w:eastAsia="en-US"/>
        </w:rPr>
        <w:t xml:space="preserve"> Vinicio Poblete</w:t>
      </w:r>
      <w:r w:rsidR="0088423A" w:rsidRPr="00CF6765">
        <w:rPr>
          <w:rFonts w:eastAsia="Batang"/>
          <w:sz w:val="20"/>
          <w:szCs w:val="20"/>
          <w:lang w:val="en-US" w:eastAsia="en-US"/>
        </w:rPr>
        <w:t>.</w:t>
      </w:r>
      <w:r w:rsidR="00542AD4" w:rsidRPr="00CF6765">
        <w:rPr>
          <w:rFonts w:eastAsia="Batang"/>
          <w:sz w:val="20"/>
          <w:szCs w:val="20"/>
          <w:lang w:val="en-US" w:eastAsia="en-US"/>
        </w:rPr>
        <w:t>”</w:t>
      </w:r>
      <w:r w:rsidR="0088423A" w:rsidRPr="00CF6765">
        <w:rPr>
          <w:rFonts w:eastAsia="Batang"/>
          <w:sz w:val="20"/>
          <w:szCs w:val="20"/>
          <w:lang w:val="en-US" w:eastAsia="en-US"/>
        </w:rPr>
        <w:t xml:space="preserve"> However, the State did not acknowledge the violation of the right to life of </w:t>
      </w:r>
      <w:r w:rsidR="00D2168F" w:rsidRPr="00CF6765">
        <w:rPr>
          <w:rFonts w:eastAsia="Batang"/>
          <w:sz w:val="20"/>
          <w:szCs w:val="20"/>
          <w:lang w:val="en-US" w:eastAsia="en-US"/>
        </w:rPr>
        <w:t>Vinicio</w:t>
      </w:r>
      <w:r w:rsidR="00542AD4" w:rsidRPr="00CF6765">
        <w:rPr>
          <w:rFonts w:eastAsia="Batang"/>
          <w:sz w:val="20"/>
          <w:szCs w:val="20"/>
          <w:lang w:val="en-US" w:eastAsia="en-US"/>
        </w:rPr>
        <w:t xml:space="preserve"> Poblete, </w:t>
      </w:r>
      <w:r w:rsidR="0088423A" w:rsidRPr="00CF6765">
        <w:rPr>
          <w:rFonts w:eastAsia="Batang"/>
          <w:sz w:val="20"/>
          <w:szCs w:val="20"/>
          <w:lang w:val="en-US" w:eastAsia="en-US"/>
        </w:rPr>
        <w:t>established in</w:t>
      </w:r>
      <w:r w:rsidR="00542AD4" w:rsidRPr="00CF6765">
        <w:rPr>
          <w:rFonts w:eastAsia="Batang"/>
          <w:sz w:val="20"/>
          <w:szCs w:val="20"/>
          <w:lang w:val="en-US" w:eastAsia="en-US"/>
        </w:rPr>
        <w:t xml:space="preserve"> </w:t>
      </w:r>
      <w:r w:rsidR="005C731C" w:rsidRPr="00CF6765">
        <w:rPr>
          <w:rFonts w:eastAsia="Batang"/>
          <w:sz w:val="20"/>
          <w:szCs w:val="20"/>
          <w:lang w:val="en-US" w:eastAsia="en-US"/>
        </w:rPr>
        <w:t>Article</w:t>
      </w:r>
      <w:r w:rsidR="00542AD4" w:rsidRPr="00CF6765">
        <w:rPr>
          <w:rFonts w:eastAsia="Batang"/>
          <w:sz w:val="20"/>
          <w:szCs w:val="20"/>
          <w:lang w:val="en-US" w:eastAsia="en-US"/>
        </w:rPr>
        <w:t xml:space="preserve"> 4</w:t>
      </w:r>
      <w:r w:rsidR="005C731C" w:rsidRPr="00CF6765">
        <w:rPr>
          <w:rFonts w:eastAsia="Batang"/>
          <w:sz w:val="20"/>
          <w:szCs w:val="20"/>
          <w:lang w:val="en-US" w:eastAsia="en-US"/>
        </w:rPr>
        <w:t xml:space="preserve"> of the Convention</w:t>
      </w:r>
      <w:r w:rsidR="00542AD4" w:rsidRPr="00CF6765">
        <w:rPr>
          <w:rFonts w:eastAsia="Batang"/>
          <w:sz w:val="20"/>
          <w:szCs w:val="20"/>
          <w:lang w:val="en-US" w:eastAsia="en-US"/>
        </w:rPr>
        <w:t xml:space="preserve">. </w:t>
      </w:r>
      <w:r w:rsidR="0088423A" w:rsidRPr="00CF6765">
        <w:rPr>
          <w:rFonts w:eastAsia="Batang"/>
          <w:sz w:val="20"/>
          <w:szCs w:val="20"/>
          <w:lang w:val="en-US" w:eastAsia="en-US"/>
        </w:rPr>
        <w:t xml:space="preserve">The State also </w:t>
      </w:r>
      <w:r w:rsidR="00C835DC" w:rsidRPr="00CF6765">
        <w:rPr>
          <w:rFonts w:eastAsia="Batang"/>
          <w:sz w:val="20"/>
          <w:szCs w:val="20"/>
          <w:lang w:val="en-US" w:eastAsia="en-US"/>
        </w:rPr>
        <w:t>acknowledged</w:t>
      </w:r>
      <w:r w:rsidR="0088423A" w:rsidRPr="00CF6765">
        <w:rPr>
          <w:rFonts w:eastAsia="Batang"/>
          <w:sz w:val="20"/>
          <w:szCs w:val="20"/>
          <w:lang w:val="en-US" w:eastAsia="en-US"/>
        </w:rPr>
        <w:t xml:space="preserve"> </w:t>
      </w:r>
      <w:r w:rsidR="00542AD4" w:rsidRPr="00CF6765">
        <w:rPr>
          <w:rFonts w:eastAsia="Batang"/>
          <w:sz w:val="20"/>
          <w:szCs w:val="20"/>
          <w:lang w:val="en-US" w:eastAsia="en-US"/>
        </w:rPr>
        <w:t>“</w:t>
      </w:r>
      <w:r w:rsidR="0088423A" w:rsidRPr="00CF6765">
        <w:rPr>
          <w:rFonts w:eastAsia="Batang"/>
          <w:sz w:val="20"/>
          <w:szCs w:val="20"/>
          <w:lang w:val="en-US" w:eastAsia="en-US"/>
        </w:rPr>
        <w:t xml:space="preserve">the violation of the right of access to information </w:t>
      </w:r>
      <w:r w:rsidR="00C835DC" w:rsidRPr="00CF6765">
        <w:rPr>
          <w:rFonts w:eastAsia="Batang"/>
          <w:sz w:val="20"/>
          <w:szCs w:val="20"/>
          <w:lang w:val="en-US" w:eastAsia="en-US"/>
        </w:rPr>
        <w:t>on health-related matters</w:t>
      </w:r>
      <w:r w:rsidR="0088423A" w:rsidRPr="00CF6765">
        <w:rPr>
          <w:rFonts w:eastAsia="Batang"/>
          <w:sz w:val="20"/>
          <w:szCs w:val="20"/>
          <w:lang w:val="en-US" w:eastAsia="en-US"/>
        </w:rPr>
        <w:t xml:space="preserve"> established </w:t>
      </w:r>
      <w:r w:rsidR="00542AD4" w:rsidRPr="00CF6765">
        <w:rPr>
          <w:rFonts w:eastAsia="Batang"/>
          <w:sz w:val="20"/>
          <w:szCs w:val="20"/>
          <w:lang w:val="en-US" w:eastAsia="en-US"/>
        </w:rPr>
        <w:t>[</w:t>
      </w:r>
      <w:r w:rsidR="0088423A" w:rsidRPr="00CF6765">
        <w:rPr>
          <w:rFonts w:eastAsia="Batang"/>
          <w:sz w:val="20"/>
          <w:szCs w:val="20"/>
          <w:lang w:val="en-US" w:eastAsia="en-US"/>
        </w:rPr>
        <w:t>i</w:t>
      </w:r>
      <w:r w:rsidR="00542AD4" w:rsidRPr="00CF6765">
        <w:rPr>
          <w:rFonts w:eastAsia="Batang"/>
          <w:sz w:val="20"/>
          <w:szCs w:val="20"/>
          <w:lang w:val="en-US" w:eastAsia="en-US"/>
        </w:rPr>
        <w:t xml:space="preserve">n </w:t>
      </w:r>
      <w:r w:rsidR="005C731C" w:rsidRPr="00CF6765">
        <w:rPr>
          <w:rFonts w:eastAsia="Batang"/>
          <w:sz w:val="20"/>
          <w:szCs w:val="20"/>
          <w:lang w:val="en-US" w:eastAsia="en-US"/>
        </w:rPr>
        <w:t>Article</w:t>
      </w:r>
      <w:r w:rsidR="00542AD4" w:rsidRPr="00CF6765">
        <w:rPr>
          <w:rFonts w:eastAsia="Batang"/>
          <w:sz w:val="20"/>
          <w:szCs w:val="20"/>
          <w:lang w:val="en-US" w:eastAsia="en-US"/>
        </w:rPr>
        <w:t xml:space="preserve"> 13</w:t>
      </w:r>
      <w:r w:rsidR="005C731C" w:rsidRPr="00CF6765">
        <w:rPr>
          <w:rFonts w:eastAsia="Batang"/>
          <w:sz w:val="20"/>
          <w:szCs w:val="20"/>
          <w:lang w:val="en-US" w:eastAsia="en-US"/>
        </w:rPr>
        <w:t xml:space="preserve"> of the Convention</w:t>
      </w:r>
      <w:r w:rsidR="00542AD4" w:rsidRPr="00CF6765">
        <w:rPr>
          <w:rFonts w:eastAsia="Batang"/>
          <w:sz w:val="20"/>
          <w:szCs w:val="20"/>
          <w:lang w:val="en-US" w:eastAsia="en-US"/>
        </w:rPr>
        <w:t xml:space="preserve">], </w:t>
      </w:r>
      <w:r w:rsidR="0088423A" w:rsidRPr="00CF6765">
        <w:rPr>
          <w:rFonts w:eastAsia="Batang"/>
          <w:sz w:val="20"/>
          <w:szCs w:val="20"/>
          <w:lang w:val="en-US" w:eastAsia="en-US"/>
        </w:rPr>
        <w:t>in connection with the rights to life, personal integrity and health [established in</w:t>
      </w:r>
      <w:r w:rsidR="00542AD4" w:rsidRPr="00CF6765">
        <w:rPr>
          <w:rFonts w:eastAsia="Batang"/>
          <w:sz w:val="20"/>
          <w:szCs w:val="20"/>
          <w:lang w:val="en-US" w:eastAsia="en-US"/>
        </w:rPr>
        <w:t xml:space="preserve"> </w:t>
      </w:r>
      <w:r w:rsidR="005C731C" w:rsidRPr="00CF6765">
        <w:rPr>
          <w:rFonts w:eastAsia="Batang"/>
          <w:sz w:val="20"/>
          <w:szCs w:val="20"/>
          <w:lang w:val="en-US" w:eastAsia="en-US"/>
        </w:rPr>
        <w:t>Articles</w:t>
      </w:r>
      <w:r w:rsidR="00542AD4" w:rsidRPr="00CF6765">
        <w:rPr>
          <w:rFonts w:eastAsia="Batang"/>
          <w:sz w:val="20"/>
          <w:szCs w:val="20"/>
          <w:lang w:val="en-US" w:eastAsia="en-US"/>
        </w:rPr>
        <w:t xml:space="preserve"> 4</w:t>
      </w:r>
      <w:r w:rsidRPr="00CF6765">
        <w:rPr>
          <w:rFonts w:eastAsia="Batang"/>
          <w:sz w:val="20"/>
          <w:szCs w:val="20"/>
          <w:lang w:val="en-US" w:eastAsia="en-US"/>
        </w:rPr>
        <w:t xml:space="preserve"> and </w:t>
      </w:r>
      <w:r w:rsidR="00542AD4" w:rsidRPr="00CF6765">
        <w:rPr>
          <w:rFonts w:eastAsia="Batang"/>
          <w:sz w:val="20"/>
          <w:szCs w:val="20"/>
          <w:lang w:val="en-US" w:eastAsia="en-US"/>
        </w:rPr>
        <w:t>5</w:t>
      </w:r>
      <w:r w:rsidR="005C731C" w:rsidRPr="00CF6765">
        <w:rPr>
          <w:rFonts w:eastAsia="Batang"/>
          <w:sz w:val="20"/>
          <w:szCs w:val="20"/>
          <w:lang w:val="en-US" w:eastAsia="en-US"/>
        </w:rPr>
        <w:t xml:space="preserve"> of the American Convention</w:t>
      </w:r>
      <w:r w:rsidR="00542AD4" w:rsidRPr="00CF6765">
        <w:rPr>
          <w:rFonts w:eastAsia="Batang"/>
          <w:sz w:val="20"/>
          <w:szCs w:val="20"/>
          <w:lang w:val="en-US" w:eastAsia="en-US"/>
        </w:rPr>
        <w:t xml:space="preserve">], </w:t>
      </w:r>
      <w:r w:rsidR="0088423A" w:rsidRPr="00CF6765">
        <w:rPr>
          <w:rFonts w:eastAsia="Batang"/>
          <w:sz w:val="20"/>
          <w:szCs w:val="20"/>
          <w:lang w:val="en-US" w:eastAsia="en-US"/>
        </w:rPr>
        <w:t xml:space="preserve">in relation to the obligations established in </w:t>
      </w:r>
      <w:r w:rsidRPr="00CF6765">
        <w:rPr>
          <w:rFonts w:eastAsia="Batang"/>
          <w:sz w:val="20"/>
          <w:szCs w:val="20"/>
          <w:lang w:val="en-US" w:eastAsia="en-US"/>
        </w:rPr>
        <w:t xml:space="preserve">Articles 1(1) and </w:t>
      </w:r>
      <w:r w:rsidR="00542AD4" w:rsidRPr="00CF6765">
        <w:rPr>
          <w:rFonts w:eastAsia="Batang"/>
          <w:sz w:val="20"/>
          <w:szCs w:val="20"/>
          <w:lang w:val="en-US" w:eastAsia="en-US"/>
        </w:rPr>
        <w:t xml:space="preserve">2 </w:t>
      </w:r>
      <w:r w:rsidR="00690D57" w:rsidRPr="00CF6765">
        <w:rPr>
          <w:rFonts w:eastAsia="Batang"/>
          <w:sz w:val="20"/>
          <w:szCs w:val="20"/>
          <w:lang w:val="en-US" w:eastAsia="en-US"/>
        </w:rPr>
        <w:t>of this instrument</w:t>
      </w:r>
      <w:r w:rsidR="00542AD4" w:rsidRPr="00CF6765">
        <w:rPr>
          <w:rFonts w:eastAsia="Batang"/>
          <w:sz w:val="20"/>
          <w:szCs w:val="20"/>
          <w:lang w:val="en-US" w:eastAsia="en-US"/>
        </w:rPr>
        <w:t xml:space="preserve">, </w:t>
      </w:r>
      <w:r w:rsidR="00690D57" w:rsidRPr="00CF6765">
        <w:rPr>
          <w:rFonts w:eastAsia="Batang"/>
          <w:sz w:val="20"/>
          <w:szCs w:val="20"/>
          <w:lang w:val="en-US" w:eastAsia="en-US"/>
        </w:rPr>
        <w:t xml:space="preserve">to the detriment </w:t>
      </w:r>
      <w:r w:rsidR="0088423A" w:rsidRPr="00CF6765">
        <w:rPr>
          <w:rFonts w:eastAsia="Batang"/>
          <w:sz w:val="20"/>
          <w:szCs w:val="20"/>
          <w:lang w:val="en-US" w:eastAsia="en-US"/>
        </w:rPr>
        <w:t>of Vinicio</w:t>
      </w:r>
      <w:r w:rsidR="00542AD4" w:rsidRPr="00CF6765">
        <w:rPr>
          <w:rFonts w:eastAsia="Batang"/>
          <w:sz w:val="20"/>
          <w:szCs w:val="20"/>
          <w:lang w:val="en-US" w:eastAsia="en-US"/>
        </w:rPr>
        <w:t xml:space="preserve"> Antonio Poblete </w:t>
      </w:r>
      <w:proofErr w:type="spellStart"/>
      <w:r w:rsidR="00542AD4" w:rsidRPr="00CF6765">
        <w:rPr>
          <w:rFonts w:eastAsia="Batang"/>
          <w:sz w:val="20"/>
          <w:szCs w:val="20"/>
          <w:lang w:val="en-US" w:eastAsia="en-US"/>
        </w:rPr>
        <w:t>Vilches</w:t>
      </w:r>
      <w:proofErr w:type="spellEnd"/>
      <w:r w:rsidRPr="00CF6765">
        <w:rPr>
          <w:rFonts w:eastAsia="Batang"/>
          <w:sz w:val="20"/>
          <w:szCs w:val="20"/>
          <w:lang w:val="en-US" w:eastAsia="en-US"/>
        </w:rPr>
        <w:t xml:space="preserve"> </w:t>
      </w:r>
      <w:r w:rsidR="00690D57" w:rsidRPr="00CF6765">
        <w:rPr>
          <w:rFonts w:eastAsia="Batang"/>
          <w:sz w:val="20"/>
          <w:szCs w:val="20"/>
          <w:lang w:val="en-US" w:eastAsia="en-US"/>
        </w:rPr>
        <w:t>and the members of his family</w:t>
      </w:r>
      <w:r w:rsidR="0088423A" w:rsidRPr="00CF6765">
        <w:rPr>
          <w:rFonts w:eastAsia="Batang"/>
          <w:sz w:val="20"/>
          <w:szCs w:val="20"/>
          <w:lang w:val="en-US" w:eastAsia="en-US"/>
        </w:rPr>
        <w:t>.</w:t>
      </w:r>
      <w:r w:rsidR="00542AD4" w:rsidRPr="00CF6765">
        <w:rPr>
          <w:rFonts w:eastAsia="Batang"/>
          <w:sz w:val="20"/>
          <w:szCs w:val="20"/>
          <w:lang w:val="en-US" w:eastAsia="en-US"/>
        </w:rPr>
        <w:t>”</w:t>
      </w:r>
      <w:r w:rsidR="00D04694" w:rsidRPr="00CF6765">
        <w:rPr>
          <w:rFonts w:eastAsia="Batang"/>
          <w:sz w:val="20"/>
          <w:szCs w:val="20"/>
          <w:lang w:val="en-US" w:eastAsia="en-US"/>
        </w:rPr>
        <w:t xml:space="preserve"> Furthermore, it acknowledged, pursuant to</w:t>
      </w:r>
      <w:r w:rsidR="00542AD4" w:rsidRPr="00CF6765">
        <w:rPr>
          <w:rFonts w:eastAsia="Batang"/>
          <w:sz w:val="20"/>
          <w:lang w:val="en-US" w:eastAsia="en-US"/>
        </w:rPr>
        <w:t xml:space="preserve"> </w:t>
      </w:r>
      <w:r w:rsidR="005C731C" w:rsidRPr="00CF6765">
        <w:rPr>
          <w:rFonts w:eastAsia="Batang"/>
          <w:sz w:val="20"/>
          <w:lang w:val="en-US" w:eastAsia="en-US"/>
        </w:rPr>
        <w:t>Articles</w:t>
      </w:r>
      <w:r w:rsidR="00542AD4" w:rsidRPr="00CF6765">
        <w:rPr>
          <w:rFonts w:eastAsia="Batang"/>
          <w:sz w:val="20"/>
          <w:lang w:val="en-US" w:eastAsia="en-US"/>
        </w:rPr>
        <w:t xml:space="preserve"> 11</w:t>
      </w:r>
      <w:r w:rsidRPr="00CF6765">
        <w:rPr>
          <w:rFonts w:eastAsia="Batang"/>
          <w:sz w:val="20"/>
          <w:lang w:val="en-US" w:eastAsia="en-US"/>
        </w:rPr>
        <w:t xml:space="preserve"> and </w:t>
      </w:r>
      <w:r w:rsidR="00542AD4" w:rsidRPr="00CF6765">
        <w:rPr>
          <w:rFonts w:eastAsia="Batang"/>
          <w:sz w:val="20"/>
          <w:lang w:val="en-US" w:eastAsia="en-US"/>
        </w:rPr>
        <w:t>7</w:t>
      </w:r>
      <w:r w:rsidR="005C731C" w:rsidRPr="00CF6765">
        <w:rPr>
          <w:rFonts w:eastAsia="Batang"/>
          <w:sz w:val="20"/>
          <w:lang w:val="en-US" w:eastAsia="en-US"/>
        </w:rPr>
        <w:t xml:space="preserve"> of the American Convention</w:t>
      </w:r>
      <w:r w:rsidR="00542AD4" w:rsidRPr="00CF6765">
        <w:rPr>
          <w:rFonts w:eastAsia="Batang"/>
          <w:sz w:val="20"/>
          <w:lang w:val="en-US" w:eastAsia="en-US"/>
        </w:rPr>
        <w:t>,</w:t>
      </w:r>
      <w:r w:rsidR="00D04694" w:rsidRPr="00CF6765">
        <w:rPr>
          <w:rFonts w:eastAsia="Batang"/>
          <w:sz w:val="20"/>
          <w:lang w:val="en-US" w:eastAsia="en-US"/>
        </w:rPr>
        <w:t xml:space="preserve"> the violation of the right to dignity and self-determination of Vinicio</w:t>
      </w:r>
      <w:r w:rsidR="00542AD4" w:rsidRPr="00CF6765">
        <w:rPr>
          <w:rFonts w:eastAsia="Batang"/>
          <w:sz w:val="20"/>
          <w:lang w:val="en-US" w:eastAsia="en-US"/>
        </w:rPr>
        <w:t xml:space="preserve"> Poblete </w:t>
      </w:r>
      <w:proofErr w:type="spellStart"/>
      <w:r w:rsidR="00542AD4" w:rsidRPr="00CF6765">
        <w:rPr>
          <w:rFonts w:eastAsia="Batang"/>
          <w:sz w:val="20"/>
          <w:lang w:val="en-US" w:eastAsia="en-US"/>
        </w:rPr>
        <w:t>Vilches</w:t>
      </w:r>
      <w:proofErr w:type="spellEnd"/>
      <w:r w:rsidR="00542AD4" w:rsidRPr="00CF6765">
        <w:rPr>
          <w:rFonts w:eastAsia="Batang"/>
          <w:sz w:val="20"/>
          <w:lang w:val="en-US" w:eastAsia="en-US"/>
        </w:rPr>
        <w:t>,</w:t>
      </w:r>
      <w:r w:rsidR="00D04694" w:rsidRPr="00CF6765">
        <w:rPr>
          <w:rFonts w:eastAsia="Batang"/>
          <w:sz w:val="20"/>
          <w:lang w:val="en-US" w:eastAsia="en-US"/>
        </w:rPr>
        <w:t xml:space="preserve"> but not with regard to the members of his family. Lastly, pursuant to </w:t>
      </w:r>
      <w:r w:rsidR="005C731C" w:rsidRPr="00CF6765">
        <w:rPr>
          <w:sz w:val="20"/>
          <w:szCs w:val="20"/>
          <w:lang w:val="en-US"/>
        </w:rPr>
        <w:t>Articles</w:t>
      </w:r>
      <w:r w:rsidR="00542AD4" w:rsidRPr="00CF6765">
        <w:rPr>
          <w:sz w:val="20"/>
          <w:szCs w:val="20"/>
          <w:lang w:val="en-US"/>
        </w:rPr>
        <w:t xml:space="preserve"> 8</w:t>
      </w:r>
      <w:r w:rsidRPr="00CF6765">
        <w:rPr>
          <w:sz w:val="20"/>
          <w:szCs w:val="20"/>
          <w:lang w:val="en-US"/>
        </w:rPr>
        <w:t xml:space="preserve"> and </w:t>
      </w:r>
      <w:r w:rsidR="00542AD4" w:rsidRPr="00CF6765">
        <w:rPr>
          <w:sz w:val="20"/>
          <w:szCs w:val="20"/>
          <w:lang w:val="en-US"/>
        </w:rPr>
        <w:t>25</w:t>
      </w:r>
      <w:r w:rsidR="005C731C" w:rsidRPr="00CF6765">
        <w:rPr>
          <w:sz w:val="20"/>
          <w:szCs w:val="20"/>
          <w:lang w:val="en-US"/>
        </w:rPr>
        <w:t xml:space="preserve"> of the American Convention</w:t>
      </w:r>
      <w:r w:rsidR="00542AD4" w:rsidRPr="00CF6765">
        <w:rPr>
          <w:sz w:val="20"/>
          <w:szCs w:val="20"/>
          <w:lang w:val="en-US"/>
        </w:rPr>
        <w:t>,</w:t>
      </w:r>
      <w:r w:rsidR="00542AD4" w:rsidRPr="00CF6765">
        <w:rPr>
          <w:b/>
          <w:bCs/>
          <w:sz w:val="20"/>
          <w:szCs w:val="20"/>
          <w:lang w:val="en-US"/>
        </w:rPr>
        <w:t xml:space="preserve"> </w:t>
      </w:r>
      <w:r w:rsidRPr="00CF6765">
        <w:rPr>
          <w:bCs/>
          <w:sz w:val="20"/>
          <w:szCs w:val="20"/>
          <w:lang w:val="en-US"/>
        </w:rPr>
        <w:t>the State</w:t>
      </w:r>
      <w:r w:rsidR="00542AD4" w:rsidRPr="00CF6765">
        <w:rPr>
          <w:bCs/>
          <w:sz w:val="20"/>
          <w:szCs w:val="20"/>
          <w:lang w:val="en-US"/>
        </w:rPr>
        <w:t xml:space="preserve"> </w:t>
      </w:r>
      <w:r w:rsidR="00B328D7" w:rsidRPr="00CF6765">
        <w:rPr>
          <w:sz w:val="20"/>
          <w:szCs w:val="20"/>
          <w:lang w:val="en-US"/>
        </w:rPr>
        <w:t>acknowledged</w:t>
      </w:r>
      <w:r w:rsidR="00D04694" w:rsidRPr="00CF6765">
        <w:rPr>
          <w:sz w:val="20"/>
          <w:szCs w:val="20"/>
          <w:lang w:val="en-US"/>
        </w:rPr>
        <w:t xml:space="preserve"> responsibility as regards failure to comply with the obligation to conduct jurisdictional proceedings within a reasonable time, but not as regards due diligence. </w:t>
      </w:r>
    </w:p>
    <w:p w14:paraId="4D4D29F5" w14:textId="77777777" w:rsidR="00542AD4" w:rsidRPr="00CF6765" w:rsidRDefault="00542AD4" w:rsidP="00542AD4">
      <w:pPr>
        <w:tabs>
          <w:tab w:val="left" w:pos="567"/>
        </w:tabs>
        <w:rPr>
          <w:sz w:val="20"/>
          <w:szCs w:val="20"/>
          <w:lang w:val="en-US"/>
        </w:rPr>
      </w:pPr>
    </w:p>
    <w:p w14:paraId="244F6B35" w14:textId="77EAB487" w:rsidR="00542AD4" w:rsidRPr="00CF6765" w:rsidRDefault="00EC50FC" w:rsidP="00542AD4">
      <w:pPr>
        <w:numPr>
          <w:ilvl w:val="0"/>
          <w:numId w:val="2"/>
        </w:numPr>
        <w:tabs>
          <w:tab w:val="left" w:pos="567"/>
          <w:tab w:val="num" w:pos="12305"/>
        </w:tabs>
        <w:ind w:left="0" w:firstLine="0"/>
        <w:rPr>
          <w:sz w:val="20"/>
          <w:szCs w:val="20"/>
          <w:lang w:val="en-US"/>
        </w:rPr>
      </w:pPr>
      <w:r w:rsidRPr="00CF6765">
        <w:rPr>
          <w:sz w:val="20"/>
          <w:szCs w:val="20"/>
          <w:lang w:val="en-US"/>
        </w:rPr>
        <w:t>The State</w:t>
      </w:r>
      <w:r w:rsidR="00542AD4" w:rsidRPr="00CF6765">
        <w:rPr>
          <w:sz w:val="20"/>
          <w:szCs w:val="20"/>
          <w:lang w:val="en-US"/>
        </w:rPr>
        <w:t xml:space="preserve"> consider</w:t>
      </w:r>
      <w:r w:rsidR="00D04694" w:rsidRPr="00CF6765">
        <w:rPr>
          <w:sz w:val="20"/>
          <w:szCs w:val="20"/>
          <w:lang w:val="en-US"/>
        </w:rPr>
        <w:t>ed that the following facts had violated the rights of Mr.</w:t>
      </w:r>
      <w:r w:rsidR="00D2168F" w:rsidRPr="00CF6765">
        <w:rPr>
          <w:sz w:val="20"/>
          <w:szCs w:val="20"/>
          <w:lang w:val="en-US"/>
        </w:rPr>
        <w:t xml:space="preserve"> Poblete</w:t>
      </w:r>
      <w:r w:rsidR="00542AD4" w:rsidRPr="00CF6765">
        <w:rPr>
          <w:sz w:val="20"/>
          <w:szCs w:val="20"/>
          <w:lang w:val="en-US"/>
        </w:rPr>
        <w:t xml:space="preserve"> </w:t>
      </w:r>
      <w:proofErr w:type="spellStart"/>
      <w:r w:rsidR="00542AD4" w:rsidRPr="00CF6765">
        <w:rPr>
          <w:sz w:val="20"/>
          <w:szCs w:val="20"/>
          <w:lang w:val="en-US"/>
        </w:rPr>
        <w:t>Vilches</w:t>
      </w:r>
      <w:proofErr w:type="spellEnd"/>
      <w:r w:rsidR="00542AD4" w:rsidRPr="00CF6765">
        <w:rPr>
          <w:sz w:val="20"/>
          <w:szCs w:val="20"/>
          <w:lang w:val="en-US"/>
        </w:rPr>
        <w:t>:</w:t>
      </w:r>
    </w:p>
    <w:p w14:paraId="15D08382" w14:textId="338DB66F" w:rsidR="00542AD4" w:rsidRPr="00CF6765" w:rsidRDefault="00542AD4" w:rsidP="00542AD4">
      <w:pPr>
        <w:tabs>
          <w:tab w:val="left" w:pos="567"/>
        </w:tabs>
        <w:rPr>
          <w:sz w:val="20"/>
          <w:szCs w:val="20"/>
          <w:lang w:val="en-US"/>
        </w:rPr>
      </w:pPr>
    </w:p>
    <w:p w14:paraId="38691EC2" w14:textId="3F2D25D2" w:rsidR="00D04694" w:rsidRPr="00CF6765" w:rsidRDefault="00542AD4" w:rsidP="00B20F91">
      <w:pPr>
        <w:ind w:left="720" w:right="373"/>
        <w:rPr>
          <w:sz w:val="18"/>
          <w:szCs w:val="18"/>
          <w:lang w:val="en-US" w:eastAsia="en-US"/>
        </w:rPr>
      </w:pPr>
      <w:r w:rsidRPr="00CF6765">
        <w:rPr>
          <w:sz w:val="18"/>
          <w:szCs w:val="18"/>
          <w:lang w:val="en-US" w:eastAsia="en-US"/>
        </w:rPr>
        <w:lastRenderedPageBreak/>
        <w:t>[</w:t>
      </w:r>
      <w:r w:rsidR="00D04694" w:rsidRPr="00CF6765">
        <w:rPr>
          <w:sz w:val="18"/>
          <w:szCs w:val="18"/>
          <w:lang w:val="en-US" w:eastAsia="en-US"/>
        </w:rPr>
        <w:t>T</w:t>
      </w:r>
      <w:r w:rsidRPr="00CF6765">
        <w:rPr>
          <w:sz w:val="18"/>
          <w:szCs w:val="18"/>
          <w:lang w:val="en-US" w:eastAsia="en-US"/>
        </w:rPr>
        <w:t>]</w:t>
      </w:r>
      <w:r w:rsidR="00D04694" w:rsidRPr="00CF6765">
        <w:rPr>
          <w:sz w:val="18"/>
          <w:szCs w:val="18"/>
          <w:lang w:val="en-US" w:eastAsia="en-US"/>
        </w:rPr>
        <w:t xml:space="preserve">he </w:t>
      </w:r>
      <w:r w:rsidR="00B328D7" w:rsidRPr="00CF6765">
        <w:rPr>
          <w:sz w:val="18"/>
          <w:szCs w:val="18"/>
          <w:lang w:val="en-US" w:eastAsia="en-US"/>
        </w:rPr>
        <w:t>decision</w:t>
      </w:r>
      <w:r w:rsidR="00D04694" w:rsidRPr="00CF6765">
        <w:rPr>
          <w:sz w:val="18"/>
          <w:szCs w:val="18"/>
          <w:lang w:val="en-US" w:eastAsia="en-US"/>
        </w:rPr>
        <w:t xml:space="preserve"> to discharge Vinicio Poblete [</w:t>
      </w:r>
      <w:proofErr w:type="spellStart"/>
      <w:r w:rsidR="00D04694" w:rsidRPr="00CF6765">
        <w:rPr>
          <w:sz w:val="18"/>
          <w:szCs w:val="18"/>
          <w:lang w:val="en-US" w:eastAsia="en-US"/>
        </w:rPr>
        <w:t>Vilches</w:t>
      </w:r>
      <w:proofErr w:type="spellEnd"/>
      <w:r w:rsidR="00D04694" w:rsidRPr="00CF6765">
        <w:rPr>
          <w:sz w:val="18"/>
          <w:szCs w:val="18"/>
          <w:lang w:val="en-US" w:eastAsia="en-US"/>
        </w:rPr>
        <w:t>] from the hospital constituted an obstacle to access to conditions that would</w:t>
      </w:r>
      <w:r w:rsidR="00C835DC" w:rsidRPr="00CF6765">
        <w:rPr>
          <w:sz w:val="18"/>
          <w:szCs w:val="18"/>
          <w:lang w:val="en-US" w:eastAsia="en-US"/>
        </w:rPr>
        <w:t xml:space="preserve"> have</w:t>
      </w:r>
      <w:r w:rsidR="00D04694" w:rsidRPr="00CF6765">
        <w:rPr>
          <w:sz w:val="18"/>
          <w:szCs w:val="18"/>
          <w:lang w:val="en-US" w:eastAsia="en-US"/>
        </w:rPr>
        <w:t xml:space="preserve"> guarantee</w:t>
      </w:r>
      <w:r w:rsidR="00C835DC" w:rsidRPr="00CF6765">
        <w:rPr>
          <w:sz w:val="18"/>
          <w:szCs w:val="18"/>
          <w:lang w:val="en-US" w:eastAsia="en-US"/>
        </w:rPr>
        <w:t>d</w:t>
      </w:r>
      <w:r w:rsidR="00D04694" w:rsidRPr="00CF6765">
        <w:rPr>
          <w:sz w:val="18"/>
          <w:szCs w:val="18"/>
          <w:lang w:val="en-US" w:eastAsia="en-US"/>
        </w:rPr>
        <w:t xml:space="preserve"> his right to physical integrity and also his health. This was so, because the discharge occurred even though the information available reveals that </w:t>
      </w:r>
      <w:r w:rsidR="00C835DC" w:rsidRPr="00CF6765">
        <w:rPr>
          <w:sz w:val="18"/>
          <w:szCs w:val="18"/>
          <w:lang w:val="en-US" w:eastAsia="en-US"/>
        </w:rPr>
        <w:t>this</w:t>
      </w:r>
      <w:r w:rsidR="00D04694" w:rsidRPr="00CF6765">
        <w:rPr>
          <w:sz w:val="18"/>
          <w:szCs w:val="18"/>
          <w:lang w:val="en-US" w:eastAsia="en-US"/>
        </w:rPr>
        <w:t xml:space="preserve"> was not a</w:t>
      </w:r>
      <w:r w:rsidR="00C835DC" w:rsidRPr="00CF6765">
        <w:rPr>
          <w:sz w:val="18"/>
          <w:szCs w:val="18"/>
          <w:lang w:val="en-US" w:eastAsia="en-US"/>
        </w:rPr>
        <w:t>n appropriate</w:t>
      </w:r>
      <w:r w:rsidR="00D04694" w:rsidRPr="00CF6765">
        <w:rPr>
          <w:sz w:val="18"/>
          <w:szCs w:val="18"/>
          <w:lang w:val="en-US" w:eastAsia="en-US"/>
        </w:rPr>
        <w:t xml:space="preserve"> measure. </w:t>
      </w:r>
      <w:r w:rsidR="00C835DC" w:rsidRPr="00CF6765">
        <w:rPr>
          <w:sz w:val="18"/>
          <w:szCs w:val="18"/>
          <w:lang w:val="en-US" w:eastAsia="en-US"/>
        </w:rPr>
        <w:t>Added to this is the</w:t>
      </w:r>
      <w:r w:rsidR="00D04694" w:rsidRPr="00CF6765">
        <w:rPr>
          <w:sz w:val="18"/>
          <w:szCs w:val="18"/>
          <w:lang w:val="en-US" w:eastAsia="en-US"/>
        </w:rPr>
        <w:t xml:space="preserve"> fact that</w:t>
      </w:r>
      <w:r w:rsidR="00C835DC" w:rsidRPr="00CF6765">
        <w:rPr>
          <w:sz w:val="18"/>
          <w:szCs w:val="18"/>
          <w:lang w:val="en-US" w:eastAsia="en-US"/>
        </w:rPr>
        <w:t>,</w:t>
      </w:r>
      <w:r w:rsidR="00D04694" w:rsidRPr="00CF6765">
        <w:rPr>
          <w:sz w:val="18"/>
          <w:szCs w:val="18"/>
          <w:lang w:val="en-US" w:eastAsia="en-US"/>
        </w:rPr>
        <w:t xml:space="preserve"> when Vinicio Poblete was readmitted to the Hospital, he was not treated in the Intensive Care Unit (ICU), despite his medical record indicat</w:t>
      </w:r>
      <w:r w:rsidR="00C835DC" w:rsidRPr="00CF6765">
        <w:rPr>
          <w:sz w:val="18"/>
          <w:szCs w:val="18"/>
          <w:lang w:val="en-US" w:eastAsia="en-US"/>
        </w:rPr>
        <w:t>ing</w:t>
      </w:r>
      <w:r w:rsidR="00D04694" w:rsidRPr="00CF6765">
        <w:rPr>
          <w:sz w:val="18"/>
          <w:szCs w:val="18"/>
          <w:lang w:val="en-US" w:eastAsia="en-US"/>
        </w:rPr>
        <w:t xml:space="preserve"> </w:t>
      </w:r>
      <w:r w:rsidR="00E27148" w:rsidRPr="00CF6765">
        <w:rPr>
          <w:sz w:val="18"/>
          <w:szCs w:val="18"/>
          <w:lang w:val="en-US" w:eastAsia="en-US"/>
        </w:rPr>
        <w:t>that this</w:t>
      </w:r>
      <w:r w:rsidR="00D04694" w:rsidRPr="00CF6765">
        <w:rPr>
          <w:sz w:val="18"/>
          <w:szCs w:val="18"/>
          <w:lang w:val="en-US" w:eastAsia="en-US"/>
        </w:rPr>
        <w:t xml:space="preserve"> was the appropriate Unit for his treatment owing to his symptoms.</w:t>
      </w:r>
    </w:p>
    <w:p w14:paraId="0C7ECC08" w14:textId="77777777" w:rsidR="00542AD4" w:rsidRPr="00CF6765" w:rsidRDefault="00542AD4" w:rsidP="00B20F91">
      <w:pPr>
        <w:ind w:left="720" w:right="373"/>
        <w:rPr>
          <w:sz w:val="18"/>
          <w:szCs w:val="18"/>
          <w:lang w:val="en-US" w:eastAsia="en-US"/>
        </w:rPr>
      </w:pPr>
    </w:p>
    <w:p w14:paraId="7765F5A4" w14:textId="085F021D" w:rsidR="00542AD4" w:rsidRPr="00CF6765" w:rsidRDefault="00D04694" w:rsidP="00B20F91">
      <w:pPr>
        <w:ind w:left="720" w:right="373"/>
        <w:rPr>
          <w:b/>
          <w:sz w:val="18"/>
          <w:szCs w:val="18"/>
          <w:lang w:val="en-US" w:eastAsia="en-US"/>
        </w:rPr>
      </w:pPr>
      <w:r w:rsidRPr="00CF6765">
        <w:rPr>
          <w:sz w:val="18"/>
          <w:szCs w:val="18"/>
          <w:lang w:val="en-US" w:eastAsia="en-US"/>
        </w:rPr>
        <w:t>The</w:t>
      </w:r>
      <w:r w:rsidR="00542AD4" w:rsidRPr="00CF6765">
        <w:rPr>
          <w:sz w:val="18"/>
          <w:szCs w:val="18"/>
          <w:lang w:val="en-US" w:eastAsia="en-US"/>
        </w:rPr>
        <w:t xml:space="preserve"> </w:t>
      </w:r>
      <w:r w:rsidRPr="00CF6765">
        <w:rPr>
          <w:sz w:val="18"/>
          <w:szCs w:val="18"/>
          <w:lang w:val="en-US" w:eastAsia="en-US"/>
        </w:rPr>
        <w:t xml:space="preserve">State of </w:t>
      </w:r>
      <w:r w:rsidR="00671A8C" w:rsidRPr="00CF6765">
        <w:rPr>
          <w:sz w:val="18"/>
          <w:szCs w:val="18"/>
          <w:lang w:val="en-US" w:eastAsia="en-US"/>
        </w:rPr>
        <w:t>Chile</w:t>
      </w:r>
      <w:r w:rsidR="00542AD4" w:rsidRPr="00CF6765">
        <w:rPr>
          <w:sz w:val="18"/>
          <w:szCs w:val="18"/>
          <w:lang w:val="en-US" w:eastAsia="en-US"/>
        </w:rPr>
        <w:t xml:space="preserve"> </w:t>
      </w:r>
      <w:proofErr w:type="spellStart"/>
      <w:r w:rsidRPr="00CF6765">
        <w:rPr>
          <w:sz w:val="18"/>
          <w:szCs w:val="18"/>
          <w:lang w:val="en-US" w:eastAsia="en-US"/>
        </w:rPr>
        <w:t>underst</w:t>
      </w:r>
      <w:proofErr w:type="spellEnd"/>
      <w:r w:rsidRPr="00CF6765">
        <w:rPr>
          <w:sz w:val="18"/>
          <w:szCs w:val="18"/>
          <w:lang w:val="en-US" w:eastAsia="en-US"/>
        </w:rPr>
        <w:t>[</w:t>
      </w:r>
      <w:proofErr w:type="spellStart"/>
      <w:r w:rsidRPr="00CF6765">
        <w:rPr>
          <w:sz w:val="18"/>
          <w:szCs w:val="18"/>
          <w:lang w:val="en-US" w:eastAsia="en-US"/>
        </w:rPr>
        <w:t>ood</w:t>
      </w:r>
      <w:proofErr w:type="spellEnd"/>
      <w:r w:rsidRPr="00CF6765">
        <w:rPr>
          <w:sz w:val="18"/>
          <w:szCs w:val="18"/>
          <w:lang w:val="en-US" w:eastAsia="en-US"/>
        </w:rPr>
        <w:t xml:space="preserve">] that, given the factual circumstances of this case, especially the hospitalization in the </w:t>
      </w:r>
      <w:proofErr w:type="spellStart"/>
      <w:r w:rsidR="00542AD4" w:rsidRPr="00CF6765">
        <w:rPr>
          <w:sz w:val="18"/>
          <w:szCs w:val="18"/>
          <w:lang w:val="en-US" w:eastAsia="en-US"/>
        </w:rPr>
        <w:t>Sótero</w:t>
      </w:r>
      <w:proofErr w:type="spellEnd"/>
      <w:r w:rsidR="00542AD4" w:rsidRPr="00CF6765">
        <w:rPr>
          <w:sz w:val="18"/>
          <w:szCs w:val="18"/>
          <w:lang w:val="en-US" w:eastAsia="en-US"/>
        </w:rPr>
        <w:t xml:space="preserve"> del Río</w:t>
      </w:r>
      <w:r w:rsidRPr="00CF6765">
        <w:rPr>
          <w:sz w:val="18"/>
          <w:szCs w:val="18"/>
          <w:lang w:val="en-US" w:eastAsia="en-US"/>
        </w:rPr>
        <w:t xml:space="preserve"> Hospital, in a ward other than the one recommended in his medical record </w:t>
      </w:r>
      <w:r w:rsidR="00C835DC" w:rsidRPr="00CF6765">
        <w:rPr>
          <w:sz w:val="18"/>
          <w:szCs w:val="18"/>
          <w:lang w:val="en-US" w:eastAsia="en-US"/>
        </w:rPr>
        <w:t>(</w:t>
      </w:r>
      <w:r w:rsidRPr="00CF6765">
        <w:rPr>
          <w:sz w:val="18"/>
          <w:szCs w:val="18"/>
          <w:lang w:val="en-US" w:eastAsia="en-US"/>
        </w:rPr>
        <w:t>owing to the lack of beds</w:t>
      </w:r>
      <w:r w:rsidR="00C835DC" w:rsidRPr="00CF6765">
        <w:rPr>
          <w:sz w:val="18"/>
          <w:szCs w:val="18"/>
          <w:lang w:val="en-US" w:eastAsia="en-US"/>
        </w:rPr>
        <w:t>),</w:t>
      </w:r>
      <w:r w:rsidRPr="00CF6765">
        <w:rPr>
          <w:sz w:val="18"/>
          <w:szCs w:val="18"/>
          <w:lang w:val="en-US" w:eastAsia="en-US"/>
        </w:rPr>
        <w:t xml:space="preserve"> and the</w:t>
      </w:r>
      <w:r w:rsidR="00C835DC" w:rsidRPr="00CF6765">
        <w:rPr>
          <w:sz w:val="18"/>
          <w:szCs w:val="18"/>
          <w:lang w:val="en-US" w:eastAsia="en-US"/>
        </w:rPr>
        <w:t xml:space="preserve"> State’s</w:t>
      </w:r>
      <w:r w:rsidRPr="00CF6765">
        <w:rPr>
          <w:sz w:val="18"/>
          <w:szCs w:val="18"/>
          <w:lang w:val="en-US" w:eastAsia="en-US"/>
        </w:rPr>
        <w:t xml:space="preserve"> lack of diligence to arrange his transfer to another health care center, this entail[ed] violations of the right to </w:t>
      </w:r>
      <w:r w:rsidR="0088423A" w:rsidRPr="00CF6765">
        <w:rPr>
          <w:sz w:val="18"/>
          <w:szCs w:val="18"/>
          <w:lang w:val="en-US" w:eastAsia="en-US"/>
        </w:rPr>
        <w:t>physical integrity</w:t>
      </w:r>
      <w:r w:rsidR="00542AD4" w:rsidRPr="00CF6765">
        <w:rPr>
          <w:sz w:val="18"/>
          <w:szCs w:val="18"/>
          <w:lang w:val="en-US" w:eastAsia="en-US"/>
        </w:rPr>
        <w:t xml:space="preserve"> </w:t>
      </w:r>
      <w:r w:rsidRPr="00CF6765">
        <w:rPr>
          <w:sz w:val="18"/>
          <w:szCs w:val="18"/>
          <w:lang w:val="en-US" w:eastAsia="en-US"/>
        </w:rPr>
        <w:t>in relation to the right to health.</w:t>
      </w:r>
    </w:p>
    <w:p w14:paraId="1D8D9143" w14:textId="77777777" w:rsidR="00542AD4" w:rsidRPr="00CF6765" w:rsidRDefault="00542AD4" w:rsidP="00542AD4">
      <w:pPr>
        <w:ind w:left="720" w:right="720"/>
        <w:rPr>
          <w:b/>
          <w:sz w:val="18"/>
          <w:szCs w:val="18"/>
          <w:lang w:val="en-US" w:eastAsia="en-US"/>
        </w:rPr>
      </w:pPr>
    </w:p>
    <w:p w14:paraId="5B0A7468" w14:textId="2D724EC1" w:rsidR="00542AD4" w:rsidRPr="00CF6765" w:rsidRDefault="00EC50FC" w:rsidP="00B85D56">
      <w:pPr>
        <w:numPr>
          <w:ilvl w:val="0"/>
          <w:numId w:val="2"/>
        </w:numPr>
        <w:tabs>
          <w:tab w:val="left" w:pos="567"/>
        </w:tabs>
        <w:ind w:left="0" w:firstLine="0"/>
        <w:rPr>
          <w:rFonts w:eastAsia="Batang"/>
          <w:sz w:val="20"/>
          <w:szCs w:val="20"/>
          <w:lang w:val="en-US" w:eastAsia="en-US"/>
        </w:rPr>
      </w:pPr>
      <w:r w:rsidRPr="00CF6765">
        <w:rPr>
          <w:rFonts w:eastAsia="Batang"/>
          <w:sz w:val="20"/>
          <w:szCs w:val="20"/>
          <w:lang w:val="en-US" w:eastAsia="en-US"/>
        </w:rPr>
        <w:t>The State</w:t>
      </w:r>
      <w:r w:rsidR="00542AD4" w:rsidRPr="00CF6765">
        <w:rPr>
          <w:rFonts w:eastAsia="Batang"/>
          <w:sz w:val="20"/>
          <w:szCs w:val="20"/>
          <w:lang w:val="en-US" w:eastAsia="en-US"/>
        </w:rPr>
        <w:t xml:space="preserve"> </w:t>
      </w:r>
      <w:r w:rsidR="00D04694" w:rsidRPr="00CF6765">
        <w:rPr>
          <w:rFonts w:eastAsia="Batang"/>
          <w:sz w:val="20"/>
          <w:szCs w:val="20"/>
          <w:lang w:val="en-US" w:eastAsia="en-US"/>
        </w:rPr>
        <w:t xml:space="preserve">also acknowledged the following facts before </w:t>
      </w:r>
      <w:r w:rsidR="005C731C" w:rsidRPr="00CF6765">
        <w:rPr>
          <w:rFonts w:eastAsia="Batang"/>
          <w:sz w:val="20"/>
          <w:szCs w:val="20"/>
          <w:lang w:val="en-US" w:eastAsia="en-US"/>
        </w:rPr>
        <w:t>the Court</w:t>
      </w:r>
      <w:r w:rsidR="00542AD4" w:rsidRPr="00CF6765">
        <w:rPr>
          <w:rFonts w:eastAsia="Batang"/>
          <w:sz w:val="20"/>
          <w:szCs w:val="20"/>
          <w:lang w:val="en-US" w:eastAsia="en-US"/>
        </w:rPr>
        <w:t>: “</w:t>
      </w:r>
      <w:r w:rsidR="00B85D56" w:rsidRPr="00CF6765">
        <w:rPr>
          <w:sz w:val="20"/>
          <w:szCs w:val="20"/>
          <w:lang w:val="en-US"/>
        </w:rPr>
        <w:t>(</w:t>
      </w:r>
      <w:proofErr w:type="spellStart"/>
      <w:r w:rsidR="00B85D56" w:rsidRPr="00CF6765">
        <w:rPr>
          <w:sz w:val="20"/>
          <w:szCs w:val="20"/>
          <w:lang w:val="en-US"/>
        </w:rPr>
        <w:t>i</w:t>
      </w:r>
      <w:proofErr w:type="spellEnd"/>
      <w:r w:rsidR="00B85D56" w:rsidRPr="00CF6765">
        <w:rPr>
          <w:sz w:val="20"/>
          <w:szCs w:val="20"/>
          <w:lang w:val="en-US"/>
        </w:rPr>
        <w:t xml:space="preserve">) the presumed victim was unconscious </w:t>
      </w:r>
      <w:r w:rsidR="00B85D56" w:rsidRPr="00CF6765">
        <w:rPr>
          <w:rFonts w:eastAsia="Batang"/>
          <w:sz w:val="20"/>
          <w:szCs w:val="20"/>
          <w:lang w:val="en-US" w:eastAsia="en-US"/>
        </w:rPr>
        <w:t xml:space="preserve">when the decision was taken to operate on him </w:t>
      </w:r>
      <w:r w:rsidR="00B85D56" w:rsidRPr="00CF6765">
        <w:rPr>
          <w:sz w:val="20"/>
          <w:szCs w:val="20"/>
          <w:lang w:val="en-US"/>
        </w:rPr>
        <w:t>and, therefore, he was not in a condition to consent to any type of procedure; (ii) the family were not adequately informed of the procedure that would be performed on the presumed victim; (iii) the only reference to the existence of supposed consent by the family was in the medical record, and it raises doubts about the way in which it was obtained and its authenticity; (iv) the medical record contains no information or note that would allow it to be understood that the supposed informed consent was provided in keeping with the requirements established by international law, and (v) the medical record reveals that doubts existed as to whether the family understood the presumed victim’s condition</w:t>
      </w:r>
      <w:r w:rsidR="00D04694" w:rsidRPr="00CF6765">
        <w:rPr>
          <w:rFonts w:eastAsia="Batang"/>
          <w:sz w:val="20"/>
          <w:szCs w:val="20"/>
          <w:lang w:val="en-US" w:eastAsia="en-US"/>
        </w:rPr>
        <w:t>.</w:t>
      </w:r>
      <w:r w:rsidR="00542AD4" w:rsidRPr="00CF6765">
        <w:rPr>
          <w:rFonts w:eastAsia="Batang"/>
          <w:sz w:val="20"/>
          <w:szCs w:val="20"/>
          <w:lang w:val="en-US" w:eastAsia="en-US"/>
        </w:rPr>
        <w:t>”</w:t>
      </w:r>
      <w:r w:rsidR="00D04694" w:rsidRPr="00CF6765">
        <w:rPr>
          <w:rFonts w:eastAsia="Batang"/>
          <w:sz w:val="20"/>
          <w:szCs w:val="20"/>
          <w:lang w:val="en-US" w:eastAsia="en-US"/>
        </w:rPr>
        <w:t xml:space="preserve"> Regarding the actions of the judicial authorities, </w:t>
      </w:r>
      <w:r w:rsidRPr="00CF6765">
        <w:rPr>
          <w:rFonts w:eastAsia="Batang"/>
          <w:sz w:val="20"/>
          <w:szCs w:val="20"/>
          <w:lang w:val="en-US" w:eastAsia="en-US"/>
        </w:rPr>
        <w:t xml:space="preserve">the </w:t>
      </w:r>
      <w:r w:rsidR="00671A8C" w:rsidRPr="00CF6765">
        <w:rPr>
          <w:rFonts w:eastAsia="Batang"/>
          <w:sz w:val="20"/>
          <w:szCs w:val="20"/>
          <w:lang w:val="en-US" w:eastAsia="en-US"/>
        </w:rPr>
        <w:t>Chilean State</w:t>
      </w:r>
      <w:r w:rsidR="00542AD4" w:rsidRPr="00CF6765">
        <w:rPr>
          <w:rFonts w:eastAsia="Batang"/>
          <w:sz w:val="20"/>
          <w:szCs w:val="20"/>
          <w:lang w:val="en-US" w:eastAsia="en-US"/>
        </w:rPr>
        <w:t xml:space="preserve"> </w:t>
      </w:r>
      <w:r w:rsidR="00D04694" w:rsidRPr="00CF6765">
        <w:rPr>
          <w:rFonts w:eastAsia="Batang"/>
          <w:sz w:val="20"/>
          <w:szCs w:val="20"/>
          <w:lang w:val="en-US" w:eastAsia="en-US"/>
        </w:rPr>
        <w:t>acknowledged that they were not taken within a reasonable time.</w:t>
      </w:r>
    </w:p>
    <w:p w14:paraId="3B20950B" w14:textId="77777777" w:rsidR="00542AD4" w:rsidRPr="00CF6765" w:rsidRDefault="00542AD4" w:rsidP="00542AD4">
      <w:pPr>
        <w:autoSpaceDE w:val="0"/>
        <w:autoSpaceDN w:val="0"/>
        <w:rPr>
          <w:rFonts w:eastAsia="Batang"/>
          <w:sz w:val="20"/>
          <w:lang w:val="en-US" w:eastAsia="en-US"/>
        </w:rPr>
      </w:pPr>
    </w:p>
    <w:p w14:paraId="400E572C" w14:textId="213DA374" w:rsidR="00D04694" w:rsidRPr="00CF6765" w:rsidRDefault="00D04694" w:rsidP="00D04694">
      <w:pPr>
        <w:numPr>
          <w:ilvl w:val="0"/>
          <w:numId w:val="2"/>
        </w:numPr>
        <w:tabs>
          <w:tab w:val="left" w:pos="567"/>
          <w:tab w:val="num" w:pos="12305"/>
        </w:tabs>
        <w:autoSpaceDE w:val="0"/>
        <w:autoSpaceDN w:val="0"/>
        <w:ind w:left="0" w:firstLine="0"/>
        <w:rPr>
          <w:rFonts w:eastAsia="Calibri" w:cs="Verdana"/>
          <w:snapToGrid w:val="0"/>
          <w:sz w:val="20"/>
          <w:szCs w:val="20"/>
          <w:lang w:val="en-US" w:eastAsia="es-ES"/>
        </w:rPr>
      </w:pPr>
      <w:r w:rsidRPr="00CF6765">
        <w:rPr>
          <w:rFonts w:eastAsia="Calibri" w:cs="Verdana"/>
          <w:snapToGrid w:val="0"/>
          <w:sz w:val="20"/>
          <w:szCs w:val="20"/>
          <w:lang w:val="en-US" w:eastAsia="es-ES"/>
        </w:rPr>
        <w:t>With regard to</w:t>
      </w:r>
      <w:r w:rsidR="00204323"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reparations</w:t>
      </w:r>
      <w:r w:rsidR="00542AD4" w:rsidRPr="00CF6765">
        <w:rPr>
          <w:rFonts w:eastAsia="Calibri" w:cs="Verdana"/>
          <w:snapToGrid w:val="0"/>
          <w:sz w:val="20"/>
          <w:szCs w:val="20"/>
          <w:lang w:val="en-US" w:eastAsia="es-ES"/>
        </w:rPr>
        <w:t xml:space="preserve">, </w:t>
      </w:r>
      <w:r w:rsidR="00EC50FC" w:rsidRPr="00CF6765">
        <w:rPr>
          <w:rFonts w:eastAsia="Calibri" w:cs="Verdana"/>
          <w:snapToGrid w:val="0"/>
          <w:sz w:val="20"/>
          <w:szCs w:val="20"/>
          <w:lang w:val="en-US" w:eastAsia="es-ES"/>
        </w:rPr>
        <w:t>the State</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 xml:space="preserve">did not acknowledge the reparations requested by </w:t>
      </w:r>
      <w:r w:rsidR="00D2168F" w:rsidRPr="00CF6765">
        <w:rPr>
          <w:rFonts w:eastAsia="Calibri" w:cs="Verdana"/>
          <w:snapToGrid w:val="0"/>
          <w:sz w:val="20"/>
          <w:szCs w:val="20"/>
          <w:lang w:val="en-US" w:eastAsia="es-ES"/>
        </w:rPr>
        <w:t>the presumed victims</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consider</w:t>
      </w:r>
      <w:r w:rsidR="00204323" w:rsidRPr="00CF6765">
        <w:rPr>
          <w:rFonts w:eastAsia="Calibri" w:cs="Verdana"/>
          <w:snapToGrid w:val="0"/>
          <w:sz w:val="20"/>
          <w:szCs w:val="20"/>
          <w:lang w:val="en-US" w:eastAsia="es-ES"/>
        </w:rPr>
        <w:t>ing</w:t>
      </w:r>
      <w:r w:rsidRPr="00CF6765">
        <w:rPr>
          <w:rFonts w:eastAsia="Calibri" w:cs="Verdana"/>
          <w:snapToGrid w:val="0"/>
          <w:sz w:val="20"/>
          <w:szCs w:val="20"/>
          <w:lang w:val="en-US" w:eastAsia="es-ES"/>
        </w:rPr>
        <w:t xml:space="preserve"> that the</w:t>
      </w:r>
      <w:r w:rsidR="00204323" w:rsidRPr="00CF6765">
        <w:rPr>
          <w:rFonts w:eastAsia="Calibri" w:cs="Verdana"/>
          <w:snapToGrid w:val="0"/>
          <w:sz w:val="20"/>
          <w:szCs w:val="20"/>
          <w:lang w:val="en-US" w:eastAsia="es-ES"/>
        </w:rPr>
        <w:t xml:space="preserve">y </w:t>
      </w:r>
      <w:r w:rsidRPr="00CF6765">
        <w:rPr>
          <w:rFonts w:eastAsia="Calibri" w:cs="Verdana"/>
          <w:snapToGrid w:val="0"/>
          <w:sz w:val="20"/>
          <w:szCs w:val="20"/>
          <w:lang w:val="en-US" w:eastAsia="es-ES"/>
        </w:rPr>
        <w:t xml:space="preserve">related to the violation of the right to life. However, the State asked the Court, when determining the </w:t>
      </w:r>
      <w:r w:rsidR="00B328D7" w:rsidRPr="00CF6765">
        <w:rPr>
          <w:rFonts w:eastAsia="Calibri" w:cs="Verdana"/>
          <w:snapToGrid w:val="0"/>
          <w:sz w:val="20"/>
          <w:szCs w:val="20"/>
          <w:lang w:val="en-US" w:eastAsia="es-ES"/>
        </w:rPr>
        <w:t>reparations</w:t>
      </w:r>
      <w:r w:rsidRPr="00CF6765">
        <w:rPr>
          <w:rFonts w:eastAsia="Calibri" w:cs="Verdana"/>
          <w:snapToGrid w:val="0"/>
          <w:sz w:val="20"/>
          <w:szCs w:val="20"/>
          <w:lang w:val="en-US" w:eastAsia="es-ES"/>
        </w:rPr>
        <w:t xml:space="preserve"> on aspects that were admissible, </w:t>
      </w:r>
      <w:r w:rsidR="00204323" w:rsidRPr="00CF6765">
        <w:rPr>
          <w:rFonts w:eastAsia="Calibri" w:cs="Verdana"/>
          <w:snapToGrid w:val="0"/>
          <w:sz w:val="20"/>
          <w:szCs w:val="20"/>
          <w:lang w:val="en-US" w:eastAsia="es-ES"/>
        </w:rPr>
        <w:t>to</w:t>
      </w:r>
      <w:r w:rsidRPr="00CF6765">
        <w:rPr>
          <w:rFonts w:eastAsia="Calibri" w:cs="Verdana"/>
          <w:snapToGrid w:val="0"/>
          <w:sz w:val="20"/>
          <w:szCs w:val="20"/>
          <w:lang w:val="en-US" w:eastAsia="es-ES"/>
        </w:rPr>
        <w:t xml:space="preserve"> take </w:t>
      </w:r>
      <w:r w:rsidR="00204323" w:rsidRPr="00CF6765">
        <w:rPr>
          <w:rFonts w:eastAsia="Calibri" w:cs="Verdana"/>
          <w:snapToGrid w:val="0"/>
          <w:sz w:val="20"/>
          <w:szCs w:val="20"/>
          <w:lang w:val="en-US" w:eastAsia="es-ES"/>
        </w:rPr>
        <w:t xml:space="preserve">its arguments </w:t>
      </w:r>
      <w:r w:rsidRPr="00CF6765">
        <w:rPr>
          <w:rFonts w:eastAsia="Calibri" w:cs="Verdana"/>
          <w:snapToGrid w:val="0"/>
          <w:sz w:val="20"/>
          <w:szCs w:val="20"/>
          <w:lang w:val="en-US" w:eastAsia="es-ES"/>
        </w:rPr>
        <w:t xml:space="preserve">into consideration, </w:t>
      </w:r>
      <w:r w:rsidR="009C2DEF" w:rsidRPr="00CF6765">
        <w:rPr>
          <w:rFonts w:eastAsia="Calibri" w:cs="Verdana"/>
          <w:snapToGrid w:val="0"/>
          <w:sz w:val="20"/>
          <w:szCs w:val="20"/>
          <w:lang w:val="en-US" w:eastAsia="es-ES"/>
        </w:rPr>
        <w:t xml:space="preserve">disregarding those factors and considerations that </w:t>
      </w:r>
      <w:r w:rsidR="00204323" w:rsidRPr="00CF6765">
        <w:rPr>
          <w:rFonts w:eastAsia="Calibri" w:cs="Verdana"/>
          <w:snapToGrid w:val="0"/>
          <w:sz w:val="20"/>
          <w:szCs w:val="20"/>
          <w:lang w:val="en-US" w:eastAsia="es-ES"/>
        </w:rPr>
        <w:t>we</w:t>
      </w:r>
      <w:r w:rsidR="009C2DEF" w:rsidRPr="00CF6765">
        <w:rPr>
          <w:rFonts w:eastAsia="Calibri" w:cs="Verdana"/>
          <w:snapToGrid w:val="0"/>
          <w:sz w:val="20"/>
          <w:szCs w:val="20"/>
          <w:lang w:val="en-US" w:eastAsia="es-ES"/>
        </w:rPr>
        <w:t>re unrelated to the perpetration of an international</w:t>
      </w:r>
      <w:r w:rsidR="00204323" w:rsidRPr="00CF6765">
        <w:rPr>
          <w:rFonts w:eastAsia="Calibri" w:cs="Verdana"/>
          <w:snapToGrid w:val="0"/>
          <w:sz w:val="20"/>
          <w:szCs w:val="20"/>
          <w:lang w:val="en-US" w:eastAsia="es-ES"/>
        </w:rPr>
        <w:t>ly</w:t>
      </w:r>
      <w:r w:rsidR="009C2DEF" w:rsidRPr="00CF6765">
        <w:rPr>
          <w:rFonts w:eastAsia="Calibri" w:cs="Verdana"/>
          <w:snapToGrid w:val="0"/>
          <w:sz w:val="20"/>
          <w:szCs w:val="20"/>
          <w:lang w:val="en-US" w:eastAsia="es-ES"/>
        </w:rPr>
        <w:t xml:space="preserve"> wrongful act or </w:t>
      </w:r>
      <w:r w:rsidR="00204323" w:rsidRPr="00CF6765">
        <w:rPr>
          <w:rFonts w:eastAsia="Calibri" w:cs="Verdana"/>
          <w:snapToGrid w:val="0"/>
          <w:sz w:val="20"/>
          <w:szCs w:val="20"/>
          <w:lang w:val="en-US" w:eastAsia="es-ES"/>
        </w:rPr>
        <w:t>if</w:t>
      </w:r>
      <w:r w:rsidR="009C2DEF" w:rsidRPr="00CF6765">
        <w:rPr>
          <w:rFonts w:eastAsia="Calibri" w:cs="Verdana"/>
          <w:snapToGrid w:val="0"/>
          <w:sz w:val="20"/>
          <w:szCs w:val="20"/>
          <w:lang w:val="en-US" w:eastAsia="es-ES"/>
        </w:rPr>
        <w:t xml:space="preserve"> no causal nexus </w:t>
      </w:r>
      <w:r w:rsidR="00204323" w:rsidRPr="00CF6765">
        <w:rPr>
          <w:rFonts w:eastAsia="Calibri" w:cs="Verdana"/>
          <w:snapToGrid w:val="0"/>
          <w:sz w:val="20"/>
          <w:szCs w:val="20"/>
          <w:lang w:val="en-US" w:eastAsia="es-ES"/>
        </w:rPr>
        <w:t xml:space="preserve">existed </w:t>
      </w:r>
      <w:r w:rsidR="009C2DEF" w:rsidRPr="00CF6765">
        <w:rPr>
          <w:rFonts w:eastAsia="Calibri" w:cs="Verdana"/>
          <w:snapToGrid w:val="0"/>
          <w:sz w:val="20"/>
          <w:szCs w:val="20"/>
          <w:lang w:val="en-US" w:eastAsia="es-ES"/>
        </w:rPr>
        <w:t>between the violation and the</w:t>
      </w:r>
      <w:r w:rsidR="00204323" w:rsidRPr="00CF6765">
        <w:rPr>
          <w:rFonts w:eastAsia="Calibri" w:cs="Verdana"/>
          <w:snapToGrid w:val="0"/>
          <w:sz w:val="20"/>
          <w:szCs w:val="20"/>
          <w:lang w:val="en-US" w:eastAsia="es-ES"/>
        </w:rPr>
        <w:t xml:space="preserve"> harm</w:t>
      </w:r>
      <w:r w:rsidR="009C2DEF" w:rsidRPr="00CF6765">
        <w:rPr>
          <w:rFonts w:eastAsia="Calibri" w:cs="Verdana"/>
          <w:snapToGrid w:val="0"/>
          <w:sz w:val="20"/>
          <w:szCs w:val="20"/>
          <w:lang w:val="en-US" w:eastAsia="es-ES"/>
        </w:rPr>
        <w:t xml:space="preserve"> to be repaired.</w:t>
      </w:r>
    </w:p>
    <w:p w14:paraId="3D3FB3A3" w14:textId="77777777" w:rsidR="00542AD4" w:rsidRPr="00CF6765" w:rsidRDefault="00542AD4" w:rsidP="00B1523A">
      <w:pPr>
        <w:tabs>
          <w:tab w:val="left" w:pos="567"/>
        </w:tabs>
        <w:autoSpaceDE w:val="0"/>
        <w:autoSpaceDN w:val="0"/>
        <w:rPr>
          <w:rFonts w:eastAsia="Calibri" w:cs="Verdana"/>
          <w:snapToGrid w:val="0"/>
          <w:sz w:val="20"/>
          <w:szCs w:val="20"/>
          <w:lang w:val="en-US" w:eastAsia="es-ES"/>
        </w:rPr>
      </w:pPr>
    </w:p>
    <w:p w14:paraId="6D34BE62" w14:textId="0187C626" w:rsidR="009C2DEF" w:rsidRPr="00CF6765" w:rsidRDefault="009C2DEF" w:rsidP="00542AD4">
      <w:pPr>
        <w:numPr>
          <w:ilvl w:val="0"/>
          <w:numId w:val="2"/>
        </w:numPr>
        <w:tabs>
          <w:tab w:val="left" w:pos="567"/>
          <w:tab w:val="num" w:pos="12305"/>
        </w:tabs>
        <w:ind w:left="0" w:firstLine="0"/>
        <w:rPr>
          <w:rFonts w:eastAsia="Batang"/>
          <w:sz w:val="20"/>
          <w:szCs w:val="20"/>
          <w:lang w:val="en-US" w:eastAsia="en-US"/>
        </w:rPr>
      </w:pPr>
      <w:r w:rsidRPr="00CF6765">
        <w:rPr>
          <w:rFonts w:eastAsia="Batang"/>
          <w:sz w:val="20"/>
          <w:szCs w:val="20"/>
          <w:lang w:val="en-US" w:eastAsia="en-US"/>
        </w:rPr>
        <w:t>In its</w:t>
      </w:r>
      <w:r w:rsidR="00542AD4" w:rsidRPr="00CF6765">
        <w:rPr>
          <w:rFonts w:eastAsia="Batang"/>
          <w:sz w:val="20"/>
          <w:szCs w:val="20"/>
          <w:lang w:val="en-US" w:eastAsia="en-US"/>
        </w:rPr>
        <w:t xml:space="preserve"> </w:t>
      </w:r>
      <w:r w:rsidR="00FC495E" w:rsidRPr="00CF6765">
        <w:rPr>
          <w:rFonts w:eastAsia="Batang"/>
          <w:sz w:val="20"/>
          <w:szCs w:val="20"/>
          <w:lang w:val="en-US" w:eastAsia="en-US"/>
        </w:rPr>
        <w:t>final written arguments</w:t>
      </w:r>
      <w:r w:rsidR="00542AD4" w:rsidRPr="00CF6765">
        <w:rPr>
          <w:rFonts w:eastAsia="Batang"/>
          <w:sz w:val="20"/>
          <w:szCs w:val="20"/>
          <w:lang w:val="en-US" w:eastAsia="en-US"/>
        </w:rPr>
        <w:t xml:space="preserve">, </w:t>
      </w:r>
      <w:r w:rsidR="00EC50FC" w:rsidRPr="00CF6765">
        <w:rPr>
          <w:rFonts w:eastAsia="Batang"/>
          <w:sz w:val="20"/>
          <w:szCs w:val="20"/>
          <w:lang w:val="en-US" w:eastAsia="en-US"/>
        </w:rPr>
        <w:t>the State</w:t>
      </w:r>
      <w:r w:rsidR="00542AD4" w:rsidRPr="00CF6765">
        <w:rPr>
          <w:rFonts w:eastAsia="Batang"/>
          <w:sz w:val="20"/>
          <w:szCs w:val="20"/>
          <w:lang w:val="en-US" w:eastAsia="en-US"/>
        </w:rPr>
        <w:t xml:space="preserve"> </w:t>
      </w:r>
      <w:r w:rsidRPr="00CF6765">
        <w:rPr>
          <w:rFonts w:eastAsia="Batang"/>
          <w:sz w:val="20"/>
          <w:szCs w:val="20"/>
          <w:lang w:val="en-US" w:eastAsia="en-US"/>
        </w:rPr>
        <w:t>indicated that the points on which it did not acknowledge having incurred</w:t>
      </w:r>
      <w:r w:rsidR="00542AD4" w:rsidRPr="00CF6765">
        <w:rPr>
          <w:rFonts w:eastAsia="Batang"/>
          <w:sz w:val="20"/>
          <w:szCs w:val="20"/>
          <w:lang w:val="en-US" w:eastAsia="en-US"/>
        </w:rPr>
        <w:t xml:space="preserve"> </w:t>
      </w:r>
      <w:r w:rsidR="0088423A" w:rsidRPr="00CF6765">
        <w:rPr>
          <w:rFonts w:eastAsia="Batang"/>
          <w:sz w:val="20"/>
          <w:szCs w:val="20"/>
          <w:lang w:val="en-US" w:eastAsia="en-US"/>
        </w:rPr>
        <w:t>international responsibility</w:t>
      </w:r>
      <w:r w:rsidR="00542AD4" w:rsidRPr="00CF6765">
        <w:rPr>
          <w:rFonts w:eastAsia="Batang"/>
          <w:sz w:val="20"/>
          <w:szCs w:val="20"/>
          <w:lang w:val="en-US" w:eastAsia="en-US"/>
        </w:rPr>
        <w:t xml:space="preserve"> </w:t>
      </w:r>
      <w:r w:rsidR="00204323" w:rsidRPr="00CF6765">
        <w:rPr>
          <w:rFonts w:eastAsia="Batang"/>
          <w:sz w:val="20"/>
          <w:szCs w:val="20"/>
          <w:lang w:val="en-US" w:eastAsia="en-US"/>
        </w:rPr>
        <w:t>we</w:t>
      </w:r>
      <w:r w:rsidRPr="00CF6765">
        <w:rPr>
          <w:rFonts w:eastAsia="Batang"/>
          <w:sz w:val="20"/>
          <w:szCs w:val="20"/>
          <w:lang w:val="en-US" w:eastAsia="en-US"/>
        </w:rPr>
        <w:t>re that:</w:t>
      </w:r>
      <w:r w:rsidR="00542AD4" w:rsidRPr="00CF6765">
        <w:rPr>
          <w:rFonts w:eastAsia="Batang"/>
          <w:sz w:val="20"/>
          <w:szCs w:val="20"/>
          <w:lang w:val="en-US" w:eastAsia="en-US"/>
        </w:rPr>
        <w:t xml:space="preserve"> “</w:t>
      </w:r>
      <w:r w:rsidRPr="00CF6765">
        <w:rPr>
          <w:rFonts w:eastAsia="Batang"/>
          <w:sz w:val="20"/>
          <w:szCs w:val="20"/>
          <w:lang w:val="en-US" w:eastAsia="en-US"/>
        </w:rPr>
        <w:t>(</w:t>
      </w:r>
      <w:proofErr w:type="spellStart"/>
      <w:r w:rsidR="00542AD4" w:rsidRPr="00CF6765">
        <w:rPr>
          <w:rFonts w:eastAsia="Batang"/>
          <w:sz w:val="20"/>
          <w:szCs w:val="20"/>
          <w:lang w:val="en-US" w:eastAsia="en-US"/>
        </w:rPr>
        <w:t>i</w:t>
      </w:r>
      <w:proofErr w:type="spellEnd"/>
      <w:r w:rsidR="00542AD4" w:rsidRPr="00CF6765">
        <w:rPr>
          <w:rFonts w:eastAsia="Batang"/>
          <w:sz w:val="20"/>
          <w:szCs w:val="20"/>
          <w:lang w:val="en-US" w:eastAsia="en-US"/>
        </w:rPr>
        <w:t xml:space="preserve">) </w:t>
      </w:r>
      <w:r w:rsidRPr="00CF6765">
        <w:rPr>
          <w:rFonts w:eastAsia="Batang"/>
          <w:sz w:val="20"/>
          <w:szCs w:val="20"/>
          <w:lang w:val="en-US" w:eastAsia="en-US"/>
        </w:rPr>
        <w:t>the Chilean courts conducted a substantive investigation into the facts that have resulted in this case, complying with the international standard of due diligence; (ii) from the facts of the case</w:t>
      </w:r>
      <w:r w:rsidR="00204323" w:rsidRPr="00CF6765">
        <w:rPr>
          <w:rFonts w:eastAsia="Batang"/>
          <w:sz w:val="20"/>
          <w:szCs w:val="20"/>
          <w:lang w:val="en-US" w:eastAsia="en-US"/>
        </w:rPr>
        <w:t>, and</w:t>
      </w:r>
      <w:r w:rsidRPr="00CF6765">
        <w:rPr>
          <w:rFonts w:eastAsia="Batang"/>
          <w:sz w:val="20"/>
          <w:szCs w:val="20"/>
          <w:lang w:val="en-US" w:eastAsia="en-US"/>
        </w:rPr>
        <w:t xml:space="preserve"> based on the standards established by this Court</w:t>
      </w:r>
      <w:r w:rsidR="00204323" w:rsidRPr="00CF6765">
        <w:rPr>
          <w:rFonts w:eastAsia="Batang"/>
          <w:sz w:val="20"/>
          <w:szCs w:val="20"/>
          <w:lang w:val="en-US" w:eastAsia="en-US"/>
        </w:rPr>
        <w:t>,</w:t>
      </w:r>
      <w:r w:rsidRPr="00CF6765">
        <w:rPr>
          <w:rFonts w:eastAsia="Batang"/>
          <w:sz w:val="20"/>
          <w:szCs w:val="20"/>
          <w:lang w:val="en-US" w:eastAsia="en-US"/>
        </w:rPr>
        <w:t xml:space="preserve"> </w:t>
      </w:r>
      <w:r w:rsidR="00204323" w:rsidRPr="00CF6765">
        <w:rPr>
          <w:rFonts w:eastAsia="Batang"/>
          <w:sz w:val="20"/>
          <w:szCs w:val="20"/>
          <w:lang w:val="en-US" w:eastAsia="en-US"/>
        </w:rPr>
        <w:t xml:space="preserve">it is not possible to identify </w:t>
      </w:r>
      <w:r w:rsidRPr="00CF6765">
        <w:rPr>
          <w:rFonts w:eastAsia="Batang"/>
          <w:sz w:val="20"/>
          <w:szCs w:val="20"/>
          <w:lang w:val="en-US" w:eastAsia="en-US"/>
        </w:rPr>
        <w:t xml:space="preserve">any violation of the right to be tried by an impartial court in either its subjective or objective aspect; (iii) the death of Mr. Poblete </w:t>
      </w:r>
      <w:proofErr w:type="spellStart"/>
      <w:r w:rsidRPr="00CF6765">
        <w:rPr>
          <w:rFonts w:eastAsia="Batang"/>
          <w:sz w:val="20"/>
          <w:szCs w:val="20"/>
          <w:lang w:val="en-US" w:eastAsia="en-US"/>
        </w:rPr>
        <w:t>Vilches</w:t>
      </w:r>
      <w:proofErr w:type="spellEnd"/>
      <w:r w:rsidRPr="00CF6765">
        <w:rPr>
          <w:rFonts w:eastAsia="Batang"/>
          <w:sz w:val="20"/>
          <w:szCs w:val="20"/>
          <w:lang w:val="en-US" w:eastAsia="en-US"/>
        </w:rPr>
        <w:t xml:space="preserve"> cannot be attributed to the State of Chile because his death is attributable to his serious health problems; (iv) in light of Article 26 of the Convention, Chile has adopted different measures to ensure the progressive development of economic, social and cultural rights, including the right to health; (v) regarding the family members, the State is not internationally responsible for either the supposed violation of their personal integrity or the right to dignity and self-determination in relation to the right to take free decisions </w:t>
      </w:r>
      <w:r w:rsidR="00204323" w:rsidRPr="00CF6765">
        <w:rPr>
          <w:rFonts w:eastAsia="Batang"/>
          <w:sz w:val="20"/>
          <w:szCs w:val="20"/>
          <w:lang w:val="en-US" w:eastAsia="en-US"/>
        </w:rPr>
        <w:t>in health-related matters</w:t>
      </w:r>
      <w:r w:rsidRPr="00CF6765">
        <w:rPr>
          <w:rFonts w:eastAsia="Batang"/>
          <w:sz w:val="20"/>
          <w:szCs w:val="20"/>
          <w:lang w:val="en-US" w:eastAsia="en-US"/>
        </w:rPr>
        <w:t xml:space="preserve"> in </w:t>
      </w:r>
      <w:r w:rsidR="00204323" w:rsidRPr="00CF6765">
        <w:rPr>
          <w:rFonts w:eastAsia="Batang"/>
          <w:sz w:val="20"/>
          <w:szCs w:val="20"/>
          <w:lang w:val="en-US" w:eastAsia="en-US"/>
        </w:rPr>
        <w:t>connection with</w:t>
      </w:r>
      <w:r w:rsidRPr="00CF6765">
        <w:rPr>
          <w:rFonts w:eastAsia="Batang"/>
          <w:sz w:val="20"/>
          <w:szCs w:val="20"/>
          <w:lang w:val="en-US" w:eastAsia="en-US"/>
        </w:rPr>
        <w:t xml:space="preserve"> the right to informed consent.”</w:t>
      </w:r>
    </w:p>
    <w:p w14:paraId="2AA1C885" w14:textId="77777777" w:rsidR="00542AD4" w:rsidRPr="00CF6765" w:rsidRDefault="00542AD4" w:rsidP="00542AD4">
      <w:pPr>
        <w:autoSpaceDE w:val="0"/>
        <w:autoSpaceDN w:val="0"/>
        <w:rPr>
          <w:rFonts w:eastAsia="Batang"/>
          <w:sz w:val="20"/>
          <w:lang w:val="en-US" w:eastAsia="en-US"/>
        </w:rPr>
      </w:pPr>
    </w:p>
    <w:p w14:paraId="1B965A6E" w14:textId="706CD29F" w:rsidR="00542AD4" w:rsidRPr="00CF6765" w:rsidRDefault="005C731C" w:rsidP="0084267C">
      <w:pPr>
        <w:numPr>
          <w:ilvl w:val="0"/>
          <w:numId w:val="2"/>
        </w:numPr>
        <w:tabs>
          <w:tab w:val="left" w:pos="567"/>
          <w:tab w:val="num" w:pos="1569"/>
          <w:tab w:val="num" w:pos="12305"/>
        </w:tabs>
        <w:ind w:left="0" w:firstLine="0"/>
        <w:rPr>
          <w:rFonts w:eastAsia="Calibri" w:cs="Verdana"/>
          <w:snapToGrid w:val="0"/>
          <w:sz w:val="20"/>
          <w:szCs w:val="20"/>
          <w:lang w:val="en-US" w:eastAsia="es-ES"/>
        </w:rPr>
      </w:pPr>
      <w:r w:rsidRPr="00CF6765">
        <w:rPr>
          <w:rFonts w:eastAsia="Calibri" w:cs="Verdana"/>
          <w:snapToGrid w:val="0"/>
          <w:sz w:val="20"/>
          <w:szCs w:val="20"/>
          <w:lang w:val="en-US" w:eastAsia="es-ES"/>
        </w:rPr>
        <w:t xml:space="preserve">The </w:t>
      </w:r>
      <w:r w:rsidRPr="00CF6765">
        <w:rPr>
          <w:rFonts w:eastAsia="Calibri" w:cs="Verdana"/>
          <w:b/>
          <w:bCs/>
          <w:i/>
          <w:iCs/>
          <w:snapToGrid w:val="0"/>
          <w:sz w:val="20"/>
          <w:szCs w:val="20"/>
          <w:lang w:val="en-US" w:eastAsia="es-ES"/>
        </w:rPr>
        <w:t>Commission</w:t>
      </w:r>
      <w:r w:rsidR="00542AD4" w:rsidRPr="00CF6765">
        <w:rPr>
          <w:rFonts w:eastAsia="Calibri" w:cs="Verdana"/>
          <w:snapToGrid w:val="0"/>
          <w:sz w:val="20"/>
          <w:szCs w:val="20"/>
          <w:lang w:val="en-US" w:eastAsia="es-ES"/>
        </w:rPr>
        <w:t xml:space="preserve"> </w:t>
      </w:r>
      <w:r w:rsidR="0084267C" w:rsidRPr="00CF6765">
        <w:rPr>
          <w:rFonts w:eastAsia="Calibri" w:cs="Verdana"/>
          <w:snapToGrid w:val="0"/>
          <w:sz w:val="20"/>
          <w:szCs w:val="20"/>
          <w:lang w:val="en-US" w:eastAsia="es-ES"/>
        </w:rPr>
        <w:t xml:space="preserve">appreciated the acknowledgement of responsibility made by </w:t>
      </w:r>
      <w:r w:rsidR="00EC50FC" w:rsidRPr="00CF6765">
        <w:rPr>
          <w:rFonts w:eastAsia="Calibri" w:cs="Verdana"/>
          <w:snapToGrid w:val="0"/>
          <w:sz w:val="20"/>
          <w:szCs w:val="20"/>
          <w:lang w:val="en-US" w:eastAsia="es-ES"/>
        </w:rPr>
        <w:t>the State</w:t>
      </w:r>
      <w:r w:rsidR="00542AD4" w:rsidRPr="00CF6765">
        <w:rPr>
          <w:rFonts w:eastAsia="Calibri" w:cs="Verdana"/>
          <w:snapToGrid w:val="0"/>
          <w:sz w:val="20"/>
          <w:szCs w:val="20"/>
          <w:lang w:val="en-US" w:eastAsia="es-ES"/>
        </w:rPr>
        <w:t xml:space="preserve"> </w:t>
      </w:r>
      <w:r w:rsidR="00671A8C" w:rsidRPr="00CF6765">
        <w:rPr>
          <w:rFonts w:eastAsia="Calibri" w:cs="Verdana"/>
          <w:snapToGrid w:val="0"/>
          <w:sz w:val="20"/>
          <w:szCs w:val="20"/>
          <w:lang w:val="en-US" w:eastAsia="es-ES"/>
        </w:rPr>
        <w:t>of Chile</w:t>
      </w:r>
      <w:r w:rsidR="0084267C" w:rsidRPr="00CF6765">
        <w:rPr>
          <w:rFonts w:eastAsia="Calibri" w:cs="Verdana"/>
          <w:snapToGrid w:val="0"/>
          <w:sz w:val="20"/>
          <w:szCs w:val="20"/>
          <w:lang w:val="en-US" w:eastAsia="es-ES"/>
        </w:rPr>
        <w:t xml:space="preserve"> concerning:</w:t>
      </w:r>
      <w:r w:rsidR="00542AD4" w:rsidRPr="00CF6765">
        <w:rPr>
          <w:rFonts w:eastAsia="Calibri" w:cs="Verdana"/>
          <w:snapToGrid w:val="0"/>
          <w:sz w:val="20"/>
          <w:szCs w:val="20"/>
          <w:lang w:val="en-US" w:eastAsia="es-ES"/>
        </w:rPr>
        <w:t xml:space="preserve"> </w:t>
      </w:r>
      <w:r w:rsidR="0084267C" w:rsidRPr="00CF6765">
        <w:rPr>
          <w:rFonts w:eastAsia="Calibri" w:cs="Verdana"/>
          <w:snapToGrid w:val="0"/>
          <w:sz w:val="20"/>
          <w:szCs w:val="20"/>
          <w:lang w:val="en-US" w:eastAsia="es-ES"/>
        </w:rPr>
        <w:t>(</w:t>
      </w:r>
      <w:proofErr w:type="spellStart"/>
      <w:r w:rsidR="00542AD4" w:rsidRPr="00CF6765">
        <w:rPr>
          <w:rFonts w:eastAsia="Calibri" w:cs="Verdana"/>
          <w:snapToGrid w:val="0"/>
          <w:sz w:val="20"/>
          <w:szCs w:val="20"/>
          <w:lang w:val="en-US" w:eastAsia="es-ES"/>
        </w:rPr>
        <w:t>i</w:t>
      </w:r>
      <w:proofErr w:type="spellEnd"/>
      <w:r w:rsidR="00542AD4" w:rsidRPr="00CF6765">
        <w:rPr>
          <w:rFonts w:eastAsia="Calibri" w:cs="Verdana"/>
          <w:snapToGrid w:val="0"/>
          <w:sz w:val="20"/>
          <w:szCs w:val="20"/>
          <w:lang w:val="en-US" w:eastAsia="es-ES"/>
        </w:rPr>
        <w:t xml:space="preserve">) </w:t>
      </w:r>
      <w:r w:rsidR="0084267C" w:rsidRPr="00CF6765">
        <w:rPr>
          <w:rFonts w:eastAsia="Calibri" w:cs="Verdana"/>
          <w:snapToGrid w:val="0"/>
          <w:sz w:val="20"/>
          <w:szCs w:val="20"/>
          <w:lang w:val="en-US" w:eastAsia="es-ES"/>
        </w:rPr>
        <w:t>the facts relating to the medical discharge and the lack of adequate medical care on re-admission to the hospital; (ii) the violation of the right of access to</w:t>
      </w:r>
      <w:r w:rsidR="00204323" w:rsidRPr="00CF6765">
        <w:rPr>
          <w:rFonts w:eastAsia="Calibri" w:cs="Verdana"/>
          <w:snapToGrid w:val="0"/>
          <w:sz w:val="20"/>
          <w:szCs w:val="20"/>
          <w:lang w:val="en-US" w:eastAsia="es-ES"/>
        </w:rPr>
        <w:t xml:space="preserve"> health-related</w:t>
      </w:r>
      <w:r w:rsidR="0084267C" w:rsidRPr="00CF6765">
        <w:rPr>
          <w:rFonts w:eastAsia="Calibri" w:cs="Verdana"/>
          <w:snapToGrid w:val="0"/>
          <w:sz w:val="20"/>
          <w:szCs w:val="20"/>
          <w:lang w:val="en-US" w:eastAsia="es-ES"/>
        </w:rPr>
        <w:t xml:space="preserve"> information, in relation </w:t>
      </w:r>
      <w:r w:rsidR="00690D57" w:rsidRPr="00CF6765">
        <w:rPr>
          <w:rFonts w:eastAsia="Calibri" w:cs="Verdana"/>
          <w:snapToGrid w:val="0"/>
          <w:sz w:val="20"/>
          <w:szCs w:val="20"/>
          <w:lang w:val="en-US" w:eastAsia="es-ES"/>
        </w:rPr>
        <w:t>to Article</w:t>
      </w:r>
      <w:r w:rsidRPr="00CF6765">
        <w:rPr>
          <w:rFonts w:eastAsia="Calibri" w:cs="Verdana"/>
          <w:snapToGrid w:val="0"/>
          <w:sz w:val="20"/>
          <w:szCs w:val="20"/>
          <w:lang w:val="en-US" w:eastAsia="es-ES"/>
        </w:rPr>
        <w:t>s</w:t>
      </w:r>
      <w:r w:rsidR="00542AD4" w:rsidRPr="00CF6765">
        <w:rPr>
          <w:rFonts w:eastAsia="Calibri" w:cs="Verdana"/>
          <w:snapToGrid w:val="0"/>
          <w:sz w:val="20"/>
          <w:szCs w:val="20"/>
          <w:lang w:val="en-US" w:eastAsia="es-ES"/>
        </w:rPr>
        <w:t xml:space="preserve"> 4, 5</w:t>
      </w:r>
      <w:r w:rsidR="00EC50FC" w:rsidRPr="00CF6765">
        <w:rPr>
          <w:rFonts w:eastAsia="Calibri" w:cs="Verdana"/>
          <w:snapToGrid w:val="0"/>
          <w:sz w:val="20"/>
          <w:szCs w:val="20"/>
          <w:lang w:val="en-US" w:eastAsia="es-ES"/>
        </w:rPr>
        <w:t xml:space="preserve"> and </w:t>
      </w:r>
      <w:r w:rsidR="00542AD4" w:rsidRPr="00CF6765">
        <w:rPr>
          <w:rFonts w:eastAsia="Calibri" w:cs="Verdana"/>
          <w:snapToGrid w:val="0"/>
          <w:sz w:val="20"/>
          <w:szCs w:val="20"/>
          <w:lang w:val="en-US" w:eastAsia="es-ES"/>
        </w:rPr>
        <w:t>13</w:t>
      </w:r>
      <w:r w:rsidRPr="00CF6765">
        <w:rPr>
          <w:rFonts w:eastAsia="Calibri" w:cs="Verdana"/>
          <w:snapToGrid w:val="0"/>
          <w:sz w:val="20"/>
          <w:szCs w:val="20"/>
          <w:lang w:val="en-US" w:eastAsia="es-ES"/>
        </w:rPr>
        <w:t xml:space="preserve"> of the American Convention</w:t>
      </w:r>
      <w:r w:rsidR="00EC50FC" w:rsidRPr="00CF6765">
        <w:rPr>
          <w:rFonts w:eastAsia="Calibri" w:cs="Verdana"/>
          <w:snapToGrid w:val="0"/>
          <w:sz w:val="20"/>
          <w:szCs w:val="20"/>
          <w:lang w:val="en-US" w:eastAsia="es-ES"/>
        </w:rPr>
        <w:t xml:space="preserve"> and</w:t>
      </w:r>
      <w:r w:rsidR="0084267C" w:rsidRPr="00CF6765">
        <w:rPr>
          <w:rFonts w:eastAsia="Calibri" w:cs="Verdana"/>
          <w:snapToGrid w:val="0"/>
          <w:sz w:val="20"/>
          <w:szCs w:val="20"/>
          <w:lang w:val="en-US" w:eastAsia="es-ES"/>
        </w:rPr>
        <w:t xml:space="preserve"> the obligations established in</w:t>
      </w:r>
      <w:r w:rsidR="00EC50FC" w:rsidRPr="00CF6765">
        <w:rPr>
          <w:rFonts w:eastAsia="Calibri" w:cs="Verdana"/>
          <w:snapToGrid w:val="0"/>
          <w:sz w:val="20"/>
          <w:szCs w:val="20"/>
          <w:lang w:val="en-US" w:eastAsia="es-ES"/>
        </w:rPr>
        <w:t xml:space="preserve"> Articles 1(1) and </w:t>
      </w:r>
      <w:r w:rsidR="00542AD4" w:rsidRPr="00CF6765">
        <w:rPr>
          <w:rFonts w:eastAsia="Calibri" w:cs="Verdana"/>
          <w:snapToGrid w:val="0"/>
          <w:sz w:val="20"/>
          <w:szCs w:val="20"/>
          <w:lang w:val="en-US" w:eastAsia="es-ES"/>
        </w:rPr>
        <w:t xml:space="preserve">2 </w:t>
      </w:r>
      <w:r w:rsidR="0084267C" w:rsidRPr="00CF6765">
        <w:rPr>
          <w:rFonts w:eastAsia="Calibri" w:cs="Verdana"/>
          <w:snapToGrid w:val="0"/>
          <w:sz w:val="20"/>
          <w:szCs w:val="20"/>
          <w:lang w:val="en-US" w:eastAsia="es-ES"/>
        </w:rPr>
        <w:t>of this instrument</w:t>
      </w:r>
      <w:r w:rsidR="00542AD4" w:rsidRPr="00CF6765">
        <w:rPr>
          <w:rFonts w:eastAsia="Calibri" w:cs="Verdana"/>
          <w:snapToGrid w:val="0"/>
          <w:sz w:val="20"/>
          <w:szCs w:val="20"/>
          <w:lang w:val="en-US" w:eastAsia="es-ES"/>
        </w:rPr>
        <w:t xml:space="preserve">, </w:t>
      </w:r>
      <w:r w:rsidR="00690D57" w:rsidRPr="00CF6765">
        <w:rPr>
          <w:rFonts w:eastAsia="Calibri" w:cs="Verdana"/>
          <w:snapToGrid w:val="0"/>
          <w:sz w:val="20"/>
          <w:szCs w:val="20"/>
          <w:lang w:val="en-US" w:eastAsia="es-ES"/>
        </w:rPr>
        <w:t xml:space="preserve">to the detriment </w:t>
      </w:r>
      <w:r w:rsidR="0088423A" w:rsidRPr="00CF6765">
        <w:rPr>
          <w:rFonts w:eastAsia="Calibri" w:cs="Verdana"/>
          <w:snapToGrid w:val="0"/>
          <w:sz w:val="20"/>
          <w:szCs w:val="20"/>
          <w:lang w:val="en-US" w:eastAsia="es-ES"/>
        </w:rPr>
        <w:t>of Vinicio</w:t>
      </w:r>
      <w:r w:rsidR="00542AD4" w:rsidRPr="00CF6765">
        <w:rPr>
          <w:rFonts w:eastAsia="Calibri" w:cs="Verdana"/>
          <w:snapToGrid w:val="0"/>
          <w:sz w:val="20"/>
          <w:szCs w:val="20"/>
          <w:lang w:val="en-US" w:eastAsia="es-ES"/>
        </w:rPr>
        <w:t xml:space="preserve"> Poblete </w:t>
      </w:r>
      <w:proofErr w:type="spellStart"/>
      <w:r w:rsidR="00542AD4" w:rsidRPr="00CF6765">
        <w:rPr>
          <w:rFonts w:eastAsia="Calibri" w:cs="Verdana"/>
          <w:snapToGrid w:val="0"/>
          <w:sz w:val="20"/>
          <w:szCs w:val="20"/>
          <w:lang w:val="en-US" w:eastAsia="es-ES"/>
        </w:rPr>
        <w:t>Vilches</w:t>
      </w:r>
      <w:proofErr w:type="spellEnd"/>
      <w:r w:rsidR="00EC50FC" w:rsidRPr="00CF6765">
        <w:rPr>
          <w:rFonts w:eastAsia="Calibri" w:cs="Verdana"/>
          <w:snapToGrid w:val="0"/>
          <w:sz w:val="20"/>
          <w:szCs w:val="20"/>
          <w:lang w:val="en-US" w:eastAsia="es-ES"/>
        </w:rPr>
        <w:t xml:space="preserve"> </w:t>
      </w:r>
      <w:r w:rsidR="00690D57" w:rsidRPr="00CF6765">
        <w:rPr>
          <w:rFonts w:eastAsia="Calibri" w:cs="Verdana"/>
          <w:snapToGrid w:val="0"/>
          <w:sz w:val="20"/>
          <w:szCs w:val="20"/>
          <w:lang w:val="en-US" w:eastAsia="es-ES"/>
        </w:rPr>
        <w:t>and the members of his family</w:t>
      </w:r>
      <w:r w:rsidR="00542AD4" w:rsidRPr="00CF6765">
        <w:rPr>
          <w:rFonts w:eastAsia="Calibri" w:cs="Verdana"/>
          <w:snapToGrid w:val="0"/>
          <w:sz w:val="20"/>
          <w:szCs w:val="20"/>
          <w:lang w:val="en-US" w:eastAsia="es-ES"/>
        </w:rPr>
        <w:t>, as</w:t>
      </w:r>
      <w:r w:rsidR="0084267C" w:rsidRPr="00CF6765">
        <w:rPr>
          <w:rFonts w:eastAsia="Calibri" w:cs="Verdana"/>
          <w:snapToGrid w:val="0"/>
          <w:sz w:val="20"/>
          <w:szCs w:val="20"/>
          <w:lang w:val="en-US" w:eastAsia="es-ES"/>
        </w:rPr>
        <w:t xml:space="preserve"> well as the facts relat</w:t>
      </w:r>
      <w:r w:rsidR="00204323" w:rsidRPr="00CF6765">
        <w:rPr>
          <w:rFonts w:eastAsia="Calibri" w:cs="Verdana"/>
          <w:snapToGrid w:val="0"/>
          <w:sz w:val="20"/>
          <w:szCs w:val="20"/>
          <w:lang w:val="en-US" w:eastAsia="es-ES"/>
        </w:rPr>
        <w:t>ing</w:t>
      </w:r>
      <w:r w:rsidR="0084267C" w:rsidRPr="00CF6765">
        <w:rPr>
          <w:rFonts w:eastAsia="Calibri" w:cs="Verdana"/>
          <w:snapToGrid w:val="0"/>
          <w:sz w:val="20"/>
          <w:szCs w:val="20"/>
          <w:lang w:val="en-US" w:eastAsia="es-ES"/>
        </w:rPr>
        <w:t xml:space="preserve"> to this violation.</w:t>
      </w:r>
    </w:p>
    <w:p w14:paraId="7217E5B4" w14:textId="77777777" w:rsidR="00542AD4" w:rsidRPr="00CF6765" w:rsidRDefault="00542AD4" w:rsidP="00542AD4">
      <w:pPr>
        <w:tabs>
          <w:tab w:val="left" w:pos="567"/>
        </w:tabs>
        <w:rPr>
          <w:rFonts w:eastAsia="Calibri" w:cs="Verdana"/>
          <w:b/>
          <w:bCs/>
          <w:snapToGrid w:val="0"/>
          <w:sz w:val="20"/>
          <w:szCs w:val="20"/>
          <w:lang w:val="en-US" w:eastAsia="es-ES"/>
        </w:rPr>
      </w:pPr>
    </w:p>
    <w:p w14:paraId="19D42FFE" w14:textId="58DADD26" w:rsidR="00542AD4" w:rsidRPr="00CF6765" w:rsidRDefault="0084267C" w:rsidP="0084267C">
      <w:pPr>
        <w:numPr>
          <w:ilvl w:val="0"/>
          <w:numId w:val="2"/>
        </w:numPr>
        <w:tabs>
          <w:tab w:val="left" w:pos="567"/>
          <w:tab w:val="num" w:pos="1569"/>
          <w:tab w:val="num" w:pos="12305"/>
        </w:tabs>
        <w:ind w:left="0" w:firstLine="0"/>
        <w:rPr>
          <w:rFonts w:eastAsia="Calibri" w:cs="Verdana"/>
          <w:snapToGrid w:val="0"/>
          <w:sz w:val="20"/>
          <w:szCs w:val="20"/>
          <w:lang w:val="en-US" w:eastAsia="es-ES"/>
        </w:rPr>
      </w:pPr>
      <w:r w:rsidRPr="00CF6765">
        <w:rPr>
          <w:rFonts w:eastAsia="Calibri" w:cs="Verdana"/>
          <w:snapToGrid w:val="0"/>
          <w:sz w:val="20"/>
          <w:szCs w:val="20"/>
          <w:lang w:val="en-US" w:eastAsia="es-ES"/>
        </w:rPr>
        <w:t xml:space="preserve">However, </w:t>
      </w:r>
      <w:r w:rsidR="005C731C" w:rsidRPr="00CF6765">
        <w:rPr>
          <w:rFonts w:eastAsia="Calibri" w:cs="Verdana"/>
          <w:snapToGrid w:val="0"/>
          <w:sz w:val="20"/>
          <w:szCs w:val="20"/>
          <w:lang w:val="en-US" w:eastAsia="es-ES"/>
        </w:rPr>
        <w:t>the Commission</w:t>
      </w:r>
      <w:r w:rsidR="00542AD4" w:rsidRPr="00CF6765">
        <w:rPr>
          <w:rFonts w:eastAsia="Calibri" w:cs="Verdana"/>
          <w:snapToGrid w:val="0"/>
          <w:sz w:val="20"/>
          <w:szCs w:val="20"/>
          <w:lang w:val="en-US" w:eastAsia="es-ES"/>
        </w:rPr>
        <w:t xml:space="preserve"> consider</w:t>
      </w:r>
      <w:r w:rsidRPr="00CF6765">
        <w:rPr>
          <w:rFonts w:eastAsia="Calibri" w:cs="Verdana"/>
          <w:snapToGrid w:val="0"/>
          <w:sz w:val="20"/>
          <w:szCs w:val="20"/>
          <w:lang w:val="en-US" w:eastAsia="es-ES"/>
        </w:rPr>
        <w:t>ed that the dispute remained with regard to the violation of the rights of Mr</w:t>
      </w:r>
      <w:r w:rsidR="00D04694" w:rsidRPr="00CF6765">
        <w:rPr>
          <w:rFonts w:eastAsia="Calibri" w:cs="Verdana"/>
          <w:snapToGrid w:val="0"/>
          <w:sz w:val="20"/>
          <w:szCs w:val="20"/>
          <w:lang w:val="en-US" w:eastAsia="es-ES"/>
        </w:rPr>
        <w:t>.</w:t>
      </w:r>
      <w:r w:rsidR="00D2168F" w:rsidRPr="00CF6765">
        <w:rPr>
          <w:rFonts w:eastAsia="Calibri" w:cs="Verdana"/>
          <w:snapToGrid w:val="0"/>
          <w:sz w:val="20"/>
          <w:szCs w:val="20"/>
          <w:lang w:val="en-US" w:eastAsia="es-ES"/>
        </w:rPr>
        <w:t xml:space="preserve"> Poblete</w:t>
      </w:r>
      <w:r w:rsidR="00542AD4" w:rsidRPr="00CF6765">
        <w:rPr>
          <w:rFonts w:eastAsia="Calibri" w:cs="Verdana"/>
          <w:snapToGrid w:val="0"/>
          <w:sz w:val="20"/>
          <w:szCs w:val="20"/>
          <w:lang w:val="en-US" w:eastAsia="es-ES"/>
        </w:rPr>
        <w:t xml:space="preserve"> </w:t>
      </w:r>
      <w:proofErr w:type="spellStart"/>
      <w:r w:rsidR="001E55C3" w:rsidRPr="00CF6765">
        <w:rPr>
          <w:rFonts w:eastAsia="Calibri" w:cs="Verdana"/>
          <w:snapToGrid w:val="0"/>
          <w:sz w:val="20"/>
          <w:szCs w:val="20"/>
          <w:lang w:val="en-US" w:eastAsia="es-ES"/>
        </w:rPr>
        <w:t>Vilches’s</w:t>
      </w:r>
      <w:proofErr w:type="spellEnd"/>
      <w:r w:rsidR="001E55C3"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family pursuant to</w:t>
      </w:r>
      <w:r w:rsidR="00542AD4" w:rsidRPr="00CF6765">
        <w:rPr>
          <w:rFonts w:eastAsia="Calibri" w:cs="Verdana"/>
          <w:snapToGrid w:val="0"/>
          <w:sz w:val="20"/>
          <w:szCs w:val="20"/>
          <w:lang w:val="en-US" w:eastAsia="es-ES"/>
        </w:rPr>
        <w:t xml:space="preserve"> </w:t>
      </w:r>
      <w:r w:rsidR="005C731C" w:rsidRPr="00CF6765">
        <w:rPr>
          <w:rFonts w:eastAsia="Calibri" w:cs="Verdana"/>
          <w:snapToGrid w:val="0"/>
          <w:sz w:val="20"/>
          <w:szCs w:val="20"/>
          <w:lang w:val="en-US" w:eastAsia="es-ES"/>
        </w:rPr>
        <w:t>Articles</w:t>
      </w:r>
      <w:r w:rsidR="00542AD4" w:rsidRPr="00CF6765">
        <w:rPr>
          <w:rFonts w:eastAsia="Calibri" w:cs="Verdana"/>
          <w:snapToGrid w:val="0"/>
          <w:sz w:val="20"/>
          <w:szCs w:val="20"/>
          <w:lang w:val="en-US" w:eastAsia="es-ES"/>
        </w:rPr>
        <w:t xml:space="preserve"> 8, 25</w:t>
      </w:r>
      <w:r w:rsidR="00EC50FC" w:rsidRPr="00CF6765">
        <w:rPr>
          <w:rFonts w:eastAsia="Calibri" w:cs="Verdana"/>
          <w:snapToGrid w:val="0"/>
          <w:sz w:val="20"/>
          <w:szCs w:val="20"/>
          <w:lang w:val="en-US" w:eastAsia="es-ES"/>
        </w:rPr>
        <w:t xml:space="preserve"> and </w:t>
      </w:r>
      <w:r w:rsidR="00542AD4" w:rsidRPr="00CF6765">
        <w:rPr>
          <w:rFonts w:eastAsia="Calibri" w:cs="Verdana"/>
          <w:snapToGrid w:val="0"/>
          <w:sz w:val="20"/>
          <w:szCs w:val="20"/>
          <w:lang w:val="en-US" w:eastAsia="es-ES"/>
        </w:rPr>
        <w:t>5</w:t>
      </w:r>
      <w:r w:rsidR="005C731C" w:rsidRPr="00CF6765">
        <w:rPr>
          <w:rFonts w:eastAsia="Calibri" w:cs="Verdana"/>
          <w:snapToGrid w:val="0"/>
          <w:sz w:val="20"/>
          <w:szCs w:val="20"/>
          <w:lang w:val="en-US" w:eastAsia="es-ES"/>
        </w:rPr>
        <w:t xml:space="preserve"> of the American Convention</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 xml:space="preserve">in relation to the denial of justice. Regarding the violation </w:t>
      </w:r>
      <w:r w:rsidR="004D5718" w:rsidRPr="00CF6765">
        <w:rPr>
          <w:rFonts w:eastAsia="Calibri" w:cs="Verdana"/>
          <w:snapToGrid w:val="0"/>
          <w:sz w:val="20"/>
          <w:szCs w:val="20"/>
          <w:lang w:val="en-US" w:eastAsia="es-ES"/>
        </w:rPr>
        <w:t xml:space="preserve">of Article 4 of the American </w:t>
      </w:r>
      <w:r w:rsidR="004D5718" w:rsidRPr="00CF6765">
        <w:rPr>
          <w:rFonts w:eastAsia="Calibri" w:cs="Verdana"/>
          <w:snapToGrid w:val="0"/>
          <w:sz w:val="20"/>
          <w:szCs w:val="20"/>
          <w:lang w:val="en-US" w:eastAsia="es-ES"/>
        </w:rPr>
        <w:lastRenderedPageBreak/>
        <w:t xml:space="preserve">Convention, the Commission considered that it could be “inferred that the dispute subsists in relation to important parts of the Merits Report that were not included </w:t>
      </w:r>
      <w:r w:rsidR="00204323" w:rsidRPr="00CF6765">
        <w:rPr>
          <w:rFonts w:eastAsia="Calibri" w:cs="Verdana"/>
          <w:snapToGrid w:val="0"/>
          <w:sz w:val="20"/>
          <w:szCs w:val="20"/>
          <w:lang w:val="en-US" w:eastAsia="es-ES"/>
        </w:rPr>
        <w:t>in</w:t>
      </w:r>
      <w:r w:rsidR="004D5718" w:rsidRPr="00CF6765">
        <w:rPr>
          <w:rFonts w:eastAsia="Calibri" w:cs="Verdana"/>
          <w:snapToGrid w:val="0"/>
          <w:sz w:val="20"/>
          <w:szCs w:val="20"/>
          <w:lang w:val="en-US" w:eastAsia="es-ES"/>
        </w:rPr>
        <w:t xml:space="preserve"> the State’s acknowledgement.” </w:t>
      </w:r>
      <w:r w:rsidR="00204323" w:rsidRPr="00CF6765">
        <w:rPr>
          <w:rFonts w:eastAsia="Calibri" w:cs="Verdana"/>
          <w:snapToGrid w:val="0"/>
          <w:sz w:val="20"/>
          <w:szCs w:val="20"/>
          <w:lang w:val="en-US" w:eastAsia="es-ES"/>
        </w:rPr>
        <w:t>T</w:t>
      </w:r>
      <w:r w:rsidR="004D5718" w:rsidRPr="00CF6765">
        <w:rPr>
          <w:rFonts w:eastAsia="Calibri" w:cs="Verdana"/>
          <w:snapToGrid w:val="0"/>
          <w:sz w:val="20"/>
          <w:szCs w:val="20"/>
          <w:lang w:val="en-US" w:eastAsia="es-ES"/>
        </w:rPr>
        <w:t>he Commission considered that the Court should determine the corresponding facts and establish their legal consequences and the respective reparations, based on the</w:t>
      </w:r>
      <w:r w:rsidR="00204323" w:rsidRPr="00CF6765">
        <w:rPr>
          <w:rFonts w:eastAsia="Calibri" w:cs="Verdana"/>
          <w:snapToGrid w:val="0"/>
          <w:sz w:val="20"/>
          <w:szCs w:val="20"/>
          <w:lang w:val="en-US" w:eastAsia="es-ES"/>
        </w:rPr>
        <w:t xml:space="preserve"> nature and</w:t>
      </w:r>
      <w:r w:rsidR="004D5718" w:rsidRPr="00CF6765">
        <w:rPr>
          <w:rFonts w:eastAsia="Calibri" w:cs="Verdana"/>
          <w:snapToGrid w:val="0"/>
          <w:sz w:val="20"/>
          <w:szCs w:val="20"/>
          <w:lang w:val="en-US" w:eastAsia="es-ES"/>
        </w:rPr>
        <w:t xml:space="preserve"> gravity of the violations that occurred in this case.” Furthermore, the Commission indicated in its final arguments that it was pertinent </w:t>
      </w:r>
      <w:r w:rsidR="00E27148" w:rsidRPr="00CF6765">
        <w:rPr>
          <w:rFonts w:eastAsia="Calibri" w:cs="Verdana"/>
          <w:snapToGrid w:val="0"/>
          <w:sz w:val="20"/>
          <w:szCs w:val="20"/>
          <w:lang w:val="en-US" w:eastAsia="es-ES"/>
        </w:rPr>
        <w:t>to</w:t>
      </w:r>
      <w:r w:rsidR="004D5718" w:rsidRPr="00CF6765">
        <w:rPr>
          <w:rFonts w:eastAsia="Calibri" w:cs="Verdana"/>
          <w:snapToGrid w:val="0"/>
          <w:sz w:val="20"/>
          <w:szCs w:val="20"/>
          <w:lang w:val="en-US" w:eastAsia="es-ES"/>
        </w:rPr>
        <w:t xml:space="preserve"> take into account the interdependence and indivisibility of the civil and political rights </w:t>
      </w:r>
      <w:r w:rsidR="00EC50FC" w:rsidRPr="00CF6765">
        <w:rPr>
          <w:rFonts w:eastAsia="Calibri" w:cs="Verdana"/>
          <w:snapToGrid w:val="0"/>
          <w:sz w:val="20"/>
          <w:szCs w:val="20"/>
          <w:lang w:val="en-US" w:eastAsia="es-ES"/>
        </w:rPr>
        <w:t xml:space="preserve">and </w:t>
      </w:r>
      <w:r w:rsidR="009C2DEF" w:rsidRPr="00CF6765">
        <w:rPr>
          <w:rFonts w:eastAsia="Calibri" w:cs="Verdana"/>
          <w:snapToGrid w:val="0"/>
          <w:sz w:val="20"/>
          <w:szCs w:val="20"/>
          <w:lang w:val="en-US" w:eastAsia="es-ES"/>
        </w:rPr>
        <w:t>the economic, social and cultural rights</w:t>
      </w:r>
      <w:r w:rsidR="00542AD4" w:rsidRPr="00CF6765">
        <w:rPr>
          <w:rFonts w:eastAsia="Calibri" w:cs="Verdana"/>
          <w:snapToGrid w:val="0"/>
          <w:sz w:val="20"/>
          <w:szCs w:val="20"/>
          <w:lang w:val="en-US" w:eastAsia="es-ES"/>
        </w:rPr>
        <w:t>,</w:t>
      </w:r>
      <w:r w:rsidR="00EC50FC" w:rsidRPr="00CF6765">
        <w:rPr>
          <w:rFonts w:eastAsia="Calibri" w:cs="Verdana"/>
          <w:snapToGrid w:val="0"/>
          <w:sz w:val="20"/>
          <w:szCs w:val="20"/>
          <w:lang w:val="en-US" w:eastAsia="es-ES"/>
        </w:rPr>
        <w:t xml:space="preserve"> and </w:t>
      </w:r>
      <w:r w:rsidR="004D5718" w:rsidRPr="00CF6765">
        <w:rPr>
          <w:rFonts w:eastAsia="Calibri" w:cs="Verdana"/>
          <w:snapToGrid w:val="0"/>
          <w:sz w:val="20"/>
          <w:szCs w:val="20"/>
          <w:lang w:val="en-US" w:eastAsia="es-ES"/>
        </w:rPr>
        <w:t xml:space="preserve">the impact they </w:t>
      </w:r>
      <w:r w:rsidR="00B328D7" w:rsidRPr="00CF6765">
        <w:rPr>
          <w:rFonts w:eastAsia="Calibri" w:cs="Verdana"/>
          <w:snapToGrid w:val="0"/>
          <w:sz w:val="20"/>
          <w:szCs w:val="20"/>
          <w:lang w:val="en-US" w:eastAsia="es-ES"/>
        </w:rPr>
        <w:t>have</w:t>
      </w:r>
      <w:r w:rsidR="004D5718" w:rsidRPr="00CF6765">
        <w:rPr>
          <w:rFonts w:eastAsia="Calibri" w:cs="Verdana"/>
          <w:snapToGrid w:val="0"/>
          <w:sz w:val="20"/>
          <w:szCs w:val="20"/>
          <w:lang w:val="en-US" w:eastAsia="es-ES"/>
        </w:rPr>
        <w:t xml:space="preserve"> on both the right to life and </w:t>
      </w:r>
      <w:r w:rsidR="00204323" w:rsidRPr="00CF6765">
        <w:rPr>
          <w:rFonts w:eastAsia="Calibri" w:cs="Verdana"/>
          <w:snapToGrid w:val="0"/>
          <w:sz w:val="20"/>
          <w:szCs w:val="20"/>
          <w:lang w:val="en-US" w:eastAsia="es-ES"/>
        </w:rPr>
        <w:t>the right to</w:t>
      </w:r>
      <w:r w:rsidR="004D5718" w:rsidRPr="00CF6765">
        <w:rPr>
          <w:rFonts w:eastAsia="Calibri" w:cs="Verdana"/>
          <w:snapToGrid w:val="0"/>
          <w:sz w:val="20"/>
          <w:szCs w:val="20"/>
          <w:lang w:val="en-US" w:eastAsia="es-ES"/>
        </w:rPr>
        <w:t xml:space="preserve"> personal integrity and the inadequate provision of health </w:t>
      </w:r>
      <w:r w:rsidR="00204323" w:rsidRPr="00CF6765">
        <w:rPr>
          <w:rFonts w:eastAsia="Calibri" w:cs="Verdana"/>
          <w:snapToGrid w:val="0"/>
          <w:sz w:val="20"/>
          <w:szCs w:val="20"/>
          <w:lang w:val="en-US" w:eastAsia="es-ES"/>
        </w:rPr>
        <w:t xml:space="preserve">care </w:t>
      </w:r>
      <w:r w:rsidR="004D5718" w:rsidRPr="00CF6765">
        <w:rPr>
          <w:rFonts w:eastAsia="Calibri" w:cs="Verdana"/>
          <w:snapToGrid w:val="0"/>
          <w:sz w:val="20"/>
          <w:szCs w:val="20"/>
          <w:lang w:val="en-US" w:eastAsia="es-ES"/>
        </w:rPr>
        <w:t>services.</w:t>
      </w:r>
    </w:p>
    <w:p w14:paraId="7C41D1A7" w14:textId="77777777" w:rsidR="00542AD4" w:rsidRPr="00CF6765" w:rsidRDefault="00542AD4" w:rsidP="00542AD4">
      <w:pPr>
        <w:tabs>
          <w:tab w:val="left" w:pos="567"/>
        </w:tabs>
        <w:rPr>
          <w:rFonts w:eastAsia="Calibri" w:cs="Verdana"/>
          <w:snapToGrid w:val="0"/>
          <w:sz w:val="20"/>
          <w:szCs w:val="20"/>
          <w:lang w:val="en-US" w:eastAsia="es-ES"/>
        </w:rPr>
      </w:pPr>
    </w:p>
    <w:p w14:paraId="0414DE38" w14:textId="63521871" w:rsidR="00542AD4" w:rsidRPr="00CF6765" w:rsidRDefault="005C731C" w:rsidP="009339F5">
      <w:pPr>
        <w:numPr>
          <w:ilvl w:val="0"/>
          <w:numId w:val="2"/>
        </w:numPr>
        <w:tabs>
          <w:tab w:val="left" w:pos="567"/>
          <w:tab w:val="num" w:pos="1569"/>
          <w:tab w:val="num" w:pos="12305"/>
        </w:tabs>
        <w:ind w:left="0" w:firstLine="0"/>
        <w:rPr>
          <w:rFonts w:eastAsia="Calibri" w:cs="Verdana"/>
          <w:snapToGrid w:val="0"/>
          <w:sz w:val="20"/>
          <w:szCs w:val="20"/>
          <w:lang w:val="en-US" w:eastAsia="es-ES"/>
        </w:rPr>
      </w:pPr>
      <w:r w:rsidRPr="00CF6765">
        <w:rPr>
          <w:rFonts w:eastAsia="Calibri" w:cs="Verdana"/>
          <w:snapToGrid w:val="0"/>
          <w:sz w:val="20"/>
          <w:szCs w:val="20"/>
          <w:lang w:val="en-US" w:eastAsia="es-ES"/>
        </w:rPr>
        <w:t>The Commission</w:t>
      </w:r>
      <w:r w:rsidR="00542AD4" w:rsidRPr="00CF6765">
        <w:rPr>
          <w:rFonts w:eastAsia="Calibri" w:cs="Verdana"/>
          <w:snapToGrid w:val="0"/>
          <w:sz w:val="20"/>
          <w:szCs w:val="20"/>
          <w:lang w:val="en-US" w:eastAsia="es-ES"/>
        </w:rPr>
        <w:t xml:space="preserve"> </w:t>
      </w:r>
      <w:r w:rsidR="004D5718" w:rsidRPr="00CF6765">
        <w:rPr>
          <w:rFonts w:eastAsia="Calibri" w:cs="Verdana"/>
          <w:snapToGrid w:val="0"/>
          <w:sz w:val="20"/>
          <w:szCs w:val="20"/>
          <w:lang w:val="en-US" w:eastAsia="es-ES"/>
        </w:rPr>
        <w:t>emphasize</w:t>
      </w:r>
      <w:r w:rsidR="00204323" w:rsidRPr="00CF6765">
        <w:rPr>
          <w:rFonts w:eastAsia="Calibri" w:cs="Verdana"/>
          <w:snapToGrid w:val="0"/>
          <w:sz w:val="20"/>
          <w:szCs w:val="20"/>
          <w:lang w:val="en-US" w:eastAsia="es-ES"/>
        </w:rPr>
        <w:t>d</w:t>
      </w:r>
      <w:r w:rsidR="004D5718" w:rsidRPr="00CF6765">
        <w:rPr>
          <w:rFonts w:eastAsia="Calibri" w:cs="Verdana"/>
          <w:snapToGrid w:val="0"/>
          <w:sz w:val="20"/>
          <w:szCs w:val="20"/>
          <w:lang w:val="en-US" w:eastAsia="es-ES"/>
        </w:rPr>
        <w:t xml:space="preserve"> that an essential aspect of the analysis remained in dispute; </w:t>
      </w:r>
      <w:proofErr w:type="gramStart"/>
      <w:r w:rsidR="004D5718" w:rsidRPr="00CF6765">
        <w:rPr>
          <w:rFonts w:eastAsia="Calibri" w:cs="Verdana"/>
          <w:snapToGrid w:val="0"/>
          <w:sz w:val="20"/>
          <w:szCs w:val="20"/>
          <w:lang w:val="en-US" w:eastAsia="es-ES"/>
        </w:rPr>
        <w:t>specifically</w:t>
      </w:r>
      <w:proofErr w:type="gramEnd"/>
      <w:r w:rsidR="004D5718" w:rsidRPr="00CF6765">
        <w:rPr>
          <w:rFonts w:eastAsia="Calibri" w:cs="Verdana"/>
          <w:snapToGrid w:val="0"/>
          <w:sz w:val="20"/>
          <w:szCs w:val="20"/>
          <w:lang w:val="en-US" w:eastAsia="es-ES"/>
        </w:rPr>
        <w:t xml:space="preserve"> the failure of the medical </w:t>
      </w:r>
      <w:r w:rsidR="00B328D7" w:rsidRPr="00CF6765">
        <w:rPr>
          <w:rFonts w:eastAsia="Calibri" w:cs="Verdana"/>
          <w:snapToGrid w:val="0"/>
          <w:sz w:val="20"/>
          <w:szCs w:val="20"/>
          <w:lang w:val="en-US" w:eastAsia="es-ES"/>
        </w:rPr>
        <w:t>staff</w:t>
      </w:r>
      <w:r w:rsidR="004D5718" w:rsidRPr="00CF6765">
        <w:rPr>
          <w:rFonts w:eastAsia="Calibri" w:cs="Verdana"/>
          <w:snapToGrid w:val="0"/>
          <w:sz w:val="20"/>
          <w:szCs w:val="20"/>
          <w:lang w:val="en-US" w:eastAsia="es-ES"/>
        </w:rPr>
        <w:t xml:space="preserve"> of a Chilean public hospital to take adequate measures, </w:t>
      </w:r>
      <w:r w:rsidR="001106B6" w:rsidRPr="00CF6765">
        <w:rPr>
          <w:rFonts w:eastAsia="Calibri" w:cs="Verdana"/>
          <w:snapToGrid w:val="0"/>
          <w:sz w:val="20"/>
          <w:szCs w:val="20"/>
          <w:lang w:val="en-US" w:eastAsia="es-ES"/>
        </w:rPr>
        <w:t>irrespective</w:t>
      </w:r>
      <w:r w:rsidR="004D5718" w:rsidRPr="00CF6765">
        <w:rPr>
          <w:rFonts w:eastAsia="Calibri" w:cs="Verdana"/>
          <w:snapToGrid w:val="0"/>
          <w:sz w:val="20"/>
          <w:szCs w:val="20"/>
          <w:lang w:val="en-US" w:eastAsia="es-ES"/>
        </w:rPr>
        <w:t xml:space="preserve"> of what the final impact of such measures might been on the health of Mr. Poblete </w:t>
      </w:r>
      <w:proofErr w:type="spellStart"/>
      <w:r w:rsidR="004D5718" w:rsidRPr="00CF6765">
        <w:rPr>
          <w:rFonts w:eastAsia="Calibri" w:cs="Verdana"/>
          <w:snapToGrid w:val="0"/>
          <w:sz w:val="20"/>
          <w:szCs w:val="20"/>
          <w:lang w:val="en-US" w:eastAsia="es-ES"/>
        </w:rPr>
        <w:t>Vilches</w:t>
      </w:r>
      <w:proofErr w:type="spellEnd"/>
      <w:r w:rsidR="004D5718" w:rsidRPr="00CF6765">
        <w:rPr>
          <w:rFonts w:eastAsia="Calibri" w:cs="Verdana"/>
          <w:snapToGrid w:val="0"/>
          <w:sz w:val="20"/>
          <w:szCs w:val="20"/>
          <w:lang w:val="en-US" w:eastAsia="es-ES"/>
        </w:rPr>
        <w:t xml:space="preserve"> and on his possibilities of survival. The Commission also underlined the possible inconsistency </w:t>
      </w:r>
      <w:r w:rsidR="001106B6" w:rsidRPr="00CF6765">
        <w:rPr>
          <w:rFonts w:eastAsia="Calibri" w:cs="Verdana"/>
          <w:snapToGrid w:val="0"/>
          <w:sz w:val="20"/>
          <w:szCs w:val="20"/>
          <w:lang w:val="en-US" w:eastAsia="es-ES"/>
        </w:rPr>
        <w:t>of</w:t>
      </w:r>
      <w:r w:rsidR="004D5718" w:rsidRPr="00CF6765">
        <w:rPr>
          <w:rFonts w:eastAsia="Calibri" w:cs="Verdana"/>
          <w:snapToGrid w:val="0"/>
          <w:sz w:val="20"/>
          <w:szCs w:val="20"/>
          <w:lang w:val="en-US" w:eastAsia="es-ES"/>
        </w:rPr>
        <w:t xml:space="preserve"> some aspects of the acknowledgement, such as the fact that the State </w:t>
      </w:r>
      <w:r w:rsidR="009339F5" w:rsidRPr="00CF6765">
        <w:rPr>
          <w:rFonts w:eastAsia="Calibri" w:cs="Verdana"/>
          <w:snapToGrid w:val="0"/>
          <w:sz w:val="20"/>
          <w:szCs w:val="20"/>
          <w:lang w:val="en-US" w:eastAsia="es-ES"/>
        </w:rPr>
        <w:t xml:space="preserve">had </w:t>
      </w:r>
      <w:r w:rsidR="004D5718" w:rsidRPr="00CF6765">
        <w:rPr>
          <w:rFonts w:eastAsia="Calibri" w:cs="Verdana"/>
          <w:snapToGrid w:val="0"/>
          <w:sz w:val="20"/>
          <w:szCs w:val="20"/>
          <w:lang w:val="en-US" w:eastAsia="es-ES"/>
        </w:rPr>
        <w:t xml:space="preserve">acknowledged the violation of the right to personal integrity, but when referring to the same facts in light of the right to life, it appeared to appraise them in a different way in relation to whether or not the State’s response was adequate. Lastly, the Commission asked the Court to </w:t>
      </w:r>
      <w:r w:rsidR="001106B6" w:rsidRPr="00CF6765">
        <w:rPr>
          <w:rFonts w:eastAsia="Calibri" w:cs="Verdana"/>
          <w:snapToGrid w:val="0"/>
          <w:sz w:val="20"/>
          <w:szCs w:val="20"/>
          <w:lang w:val="en-US" w:eastAsia="es-ES"/>
        </w:rPr>
        <w:t>examine</w:t>
      </w:r>
      <w:r w:rsidR="004D5718" w:rsidRPr="00CF6765">
        <w:rPr>
          <w:rFonts w:eastAsia="Calibri" w:cs="Verdana"/>
          <w:snapToGrid w:val="0"/>
          <w:sz w:val="20"/>
          <w:szCs w:val="20"/>
          <w:lang w:val="en-US" w:eastAsia="es-ES"/>
        </w:rPr>
        <w:t xml:space="preserve"> the scope of the acknowledgement in relation to the right </w:t>
      </w:r>
      <w:r w:rsidR="009339F5" w:rsidRPr="00CF6765">
        <w:rPr>
          <w:rFonts w:eastAsia="Calibri" w:cs="Verdana"/>
          <w:snapToGrid w:val="0"/>
          <w:sz w:val="20"/>
          <w:szCs w:val="20"/>
          <w:lang w:val="en-US" w:eastAsia="es-ES"/>
        </w:rPr>
        <w:t xml:space="preserve">of informed consent </w:t>
      </w:r>
      <w:r w:rsidR="00EC50FC" w:rsidRPr="00CF6765">
        <w:rPr>
          <w:rFonts w:eastAsia="Calibri" w:cs="Verdana"/>
          <w:snapToGrid w:val="0"/>
          <w:sz w:val="20"/>
          <w:szCs w:val="20"/>
          <w:lang w:val="en-US" w:eastAsia="es-ES"/>
        </w:rPr>
        <w:t xml:space="preserve">and </w:t>
      </w:r>
      <w:r w:rsidRPr="00CF6765">
        <w:rPr>
          <w:rFonts w:eastAsia="Calibri" w:cs="Verdana"/>
          <w:snapToGrid w:val="0"/>
          <w:sz w:val="20"/>
          <w:szCs w:val="20"/>
          <w:lang w:val="en-US" w:eastAsia="es-ES"/>
        </w:rPr>
        <w:t>Articles</w:t>
      </w:r>
      <w:r w:rsidR="00542AD4" w:rsidRPr="00CF6765">
        <w:rPr>
          <w:rFonts w:eastAsia="Calibri" w:cs="Verdana"/>
          <w:snapToGrid w:val="0"/>
          <w:sz w:val="20"/>
          <w:szCs w:val="20"/>
          <w:lang w:val="en-US" w:eastAsia="es-ES"/>
        </w:rPr>
        <w:t xml:space="preserve"> 4, 5</w:t>
      </w:r>
      <w:r w:rsidR="00EC50FC" w:rsidRPr="00CF6765">
        <w:rPr>
          <w:rFonts w:eastAsia="Calibri" w:cs="Verdana"/>
          <w:snapToGrid w:val="0"/>
          <w:sz w:val="20"/>
          <w:szCs w:val="20"/>
          <w:lang w:val="en-US" w:eastAsia="es-ES"/>
        </w:rPr>
        <w:t xml:space="preserve"> and </w:t>
      </w:r>
      <w:r w:rsidR="00542AD4" w:rsidRPr="00CF6765">
        <w:rPr>
          <w:rFonts w:eastAsia="Calibri" w:cs="Verdana"/>
          <w:snapToGrid w:val="0"/>
          <w:sz w:val="20"/>
          <w:szCs w:val="20"/>
          <w:lang w:val="en-US" w:eastAsia="es-ES"/>
        </w:rPr>
        <w:t>13</w:t>
      </w:r>
      <w:r w:rsidRPr="00CF6765">
        <w:rPr>
          <w:rFonts w:eastAsia="Calibri" w:cs="Verdana"/>
          <w:snapToGrid w:val="0"/>
          <w:sz w:val="20"/>
          <w:szCs w:val="20"/>
          <w:lang w:val="en-US" w:eastAsia="es-ES"/>
        </w:rPr>
        <w:t xml:space="preserve"> of the Convention</w:t>
      </w:r>
      <w:r w:rsidR="009339F5" w:rsidRPr="00CF6765">
        <w:rPr>
          <w:rFonts w:eastAsia="Calibri" w:cs="Verdana"/>
          <w:snapToGrid w:val="0"/>
          <w:sz w:val="20"/>
          <w:szCs w:val="20"/>
          <w:lang w:val="en-US" w:eastAsia="es-ES"/>
        </w:rPr>
        <w:t xml:space="preserve"> because, in the </w:t>
      </w:r>
      <w:r w:rsidR="00EC50FC" w:rsidRPr="00CF6765">
        <w:rPr>
          <w:rFonts w:eastAsia="Calibri" w:cs="Verdana"/>
          <w:snapToGrid w:val="0"/>
          <w:sz w:val="20"/>
          <w:szCs w:val="20"/>
          <w:lang w:val="en-US" w:eastAsia="es-ES"/>
        </w:rPr>
        <w:t>Merits Report</w:t>
      </w:r>
      <w:r w:rsidR="009339F5" w:rsidRPr="00CF6765">
        <w:rPr>
          <w:rFonts w:eastAsia="Calibri" w:cs="Verdana"/>
          <w:snapToGrid w:val="0"/>
          <w:sz w:val="20"/>
          <w:szCs w:val="20"/>
          <w:lang w:val="en-US" w:eastAsia="es-ES"/>
        </w:rPr>
        <w:t xml:space="preserve">, these had also been analyzed “in relation to the failure of the medical staff to take adequate measures to ensure access to information to both Mr. </w:t>
      </w:r>
      <w:r w:rsidR="00542AD4" w:rsidRPr="00CF6765">
        <w:rPr>
          <w:rFonts w:eastAsia="Calibri" w:cs="Verdana"/>
          <w:snapToGrid w:val="0"/>
          <w:sz w:val="20"/>
          <w:szCs w:val="20"/>
          <w:lang w:val="en-US" w:eastAsia="es-ES"/>
        </w:rPr>
        <w:t xml:space="preserve">Poblete </w:t>
      </w:r>
      <w:proofErr w:type="spellStart"/>
      <w:r w:rsidR="00542AD4" w:rsidRPr="00CF6765">
        <w:rPr>
          <w:rFonts w:eastAsia="Calibri" w:cs="Verdana"/>
          <w:snapToGrid w:val="0"/>
          <w:sz w:val="20"/>
          <w:szCs w:val="20"/>
          <w:lang w:val="en-US" w:eastAsia="es-ES"/>
        </w:rPr>
        <w:t>Vilches</w:t>
      </w:r>
      <w:proofErr w:type="spellEnd"/>
      <w:r w:rsidR="00542AD4" w:rsidRPr="00CF6765">
        <w:rPr>
          <w:rFonts w:eastAsia="Calibri" w:cs="Verdana"/>
          <w:snapToGrid w:val="0"/>
          <w:sz w:val="20"/>
          <w:szCs w:val="20"/>
          <w:lang w:val="en-US" w:eastAsia="es-ES"/>
        </w:rPr>
        <w:t xml:space="preserve"> </w:t>
      </w:r>
      <w:r w:rsidR="009339F5" w:rsidRPr="00CF6765">
        <w:rPr>
          <w:rFonts w:eastAsia="Calibri" w:cs="Verdana"/>
          <w:snapToGrid w:val="0"/>
          <w:sz w:val="20"/>
          <w:szCs w:val="20"/>
          <w:lang w:val="en-US" w:eastAsia="es-ES"/>
        </w:rPr>
        <w:t>and the members of his family.</w:t>
      </w:r>
      <w:r w:rsidR="00542AD4" w:rsidRPr="00CF6765">
        <w:rPr>
          <w:rFonts w:eastAsia="Calibri" w:cs="Verdana"/>
          <w:snapToGrid w:val="0"/>
          <w:sz w:val="20"/>
          <w:szCs w:val="20"/>
          <w:lang w:val="en-US" w:eastAsia="es-ES"/>
        </w:rPr>
        <w:t>”</w:t>
      </w:r>
    </w:p>
    <w:p w14:paraId="2F9DC90F" w14:textId="77777777" w:rsidR="00542AD4" w:rsidRPr="00CF6765" w:rsidRDefault="00542AD4" w:rsidP="00542AD4">
      <w:pPr>
        <w:tabs>
          <w:tab w:val="left" w:pos="567"/>
          <w:tab w:val="num" w:pos="12305"/>
        </w:tabs>
        <w:autoSpaceDE w:val="0"/>
        <w:autoSpaceDN w:val="0"/>
        <w:rPr>
          <w:rFonts w:eastAsia="Calibri" w:cs="Verdana"/>
          <w:snapToGrid w:val="0"/>
          <w:sz w:val="20"/>
          <w:szCs w:val="20"/>
          <w:lang w:val="en-US" w:eastAsia="es-ES"/>
        </w:rPr>
      </w:pPr>
    </w:p>
    <w:p w14:paraId="6B91BD67" w14:textId="689B237A" w:rsidR="009339F5" w:rsidRPr="00CF6765" w:rsidRDefault="00D2168F" w:rsidP="009339F5">
      <w:pPr>
        <w:numPr>
          <w:ilvl w:val="0"/>
          <w:numId w:val="2"/>
        </w:numPr>
        <w:tabs>
          <w:tab w:val="left" w:pos="567"/>
          <w:tab w:val="num" w:pos="1569"/>
          <w:tab w:val="num" w:pos="12305"/>
        </w:tabs>
        <w:autoSpaceDE w:val="0"/>
        <w:autoSpaceDN w:val="0"/>
        <w:ind w:left="0" w:firstLine="0"/>
        <w:rPr>
          <w:rFonts w:eastAsia="Calibri" w:cs="Verdana"/>
          <w:i/>
          <w:snapToGrid w:val="0"/>
          <w:sz w:val="20"/>
          <w:szCs w:val="20"/>
          <w:lang w:val="en-US" w:eastAsia="es-ES"/>
        </w:rPr>
      </w:pPr>
      <w:r w:rsidRPr="00CF6765">
        <w:rPr>
          <w:rFonts w:eastAsia="Calibri" w:cs="Verdana"/>
          <w:snapToGrid w:val="0"/>
          <w:sz w:val="20"/>
          <w:szCs w:val="20"/>
          <w:lang w:val="en-US" w:eastAsia="es-ES"/>
        </w:rPr>
        <w:t xml:space="preserve">The </w:t>
      </w:r>
      <w:r w:rsidRPr="00CF6765">
        <w:rPr>
          <w:rFonts w:eastAsia="Calibri" w:cs="Verdana"/>
          <w:b/>
          <w:bCs/>
          <w:i/>
          <w:iCs/>
          <w:snapToGrid w:val="0"/>
          <w:sz w:val="20"/>
          <w:szCs w:val="20"/>
          <w:lang w:val="en-US" w:eastAsia="es-ES"/>
        </w:rPr>
        <w:t>representatives</w:t>
      </w:r>
      <w:r w:rsidR="00542AD4" w:rsidRPr="00CF6765">
        <w:rPr>
          <w:rFonts w:eastAsia="Calibri" w:cs="Verdana"/>
          <w:snapToGrid w:val="0"/>
          <w:sz w:val="20"/>
          <w:szCs w:val="20"/>
          <w:lang w:val="en-US" w:eastAsia="es-ES"/>
        </w:rPr>
        <w:t xml:space="preserve"> </w:t>
      </w:r>
      <w:r w:rsidR="009339F5" w:rsidRPr="00CF6765">
        <w:rPr>
          <w:rFonts w:eastAsia="Calibri" w:cs="Verdana"/>
          <w:snapToGrid w:val="0"/>
          <w:sz w:val="20"/>
          <w:szCs w:val="20"/>
          <w:lang w:val="en-US" w:eastAsia="es-ES"/>
        </w:rPr>
        <w:t xml:space="preserve">also appreciated the partial acknowledgment made by </w:t>
      </w:r>
      <w:r w:rsidR="00EC50FC" w:rsidRPr="00CF6765">
        <w:rPr>
          <w:rFonts w:eastAsia="Calibri" w:cs="Verdana"/>
          <w:snapToGrid w:val="0"/>
          <w:sz w:val="20"/>
          <w:szCs w:val="20"/>
          <w:lang w:val="en-US" w:eastAsia="es-ES"/>
        </w:rPr>
        <w:t>the</w:t>
      </w:r>
      <w:r w:rsidR="009339F5" w:rsidRPr="00CF6765">
        <w:rPr>
          <w:rFonts w:eastAsia="Calibri" w:cs="Verdana"/>
          <w:snapToGrid w:val="0"/>
          <w:sz w:val="20"/>
          <w:szCs w:val="20"/>
          <w:lang w:val="en-US" w:eastAsia="es-ES"/>
        </w:rPr>
        <w:t xml:space="preserve"> </w:t>
      </w:r>
      <w:r w:rsidR="00671A8C" w:rsidRPr="00CF6765">
        <w:rPr>
          <w:rFonts w:eastAsia="Calibri" w:cs="Verdana"/>
          <w:snapToGrid w:val="0"/>
          <w:sz w:val="20"/>
          <w:szCs w:val="20"/>
          <w:lang w:val="en-US" w:eastAsia="es-ES"/>
        </w:rPr>
        <w:t>Chilean State</w:t>
      </w:r>
      <w:r w:rsidR="00542AD4" w:rsidRPr="00CF6765">
        <w:rPr>
          <w:rFonts w:eastAsia="Calibri" w:cs="Verdana"/>
          <w:snapToGrid w:val="0"/>
          <w:sz w:val="20"/>
          <w:szCs w:val="20"/>
          <w:lang w:val="en-US" w:eastAsia="es-ES"/>
        </w:rPr>
        <w:t xml:space="preserve"> </w:t>
      </w:r>
      <w:r w:rsidR="009339F5" w:rsidRPr="00CF6765">
        <w:rPr>
          <w:rFonts w:eastAsia="Calibri" w:cs="Verdana"/>
          <w:snapToGrid w:val="0"/>
          <w:sz w:val="20"/>
          <w:szCs w:val="20"/>
          <w:lang w:val="en-US" w:eastAsia="es-ES"/>
        </w:rPr>
        <w:t xml:space="preserve">with regard to the violation of the right to personal integrity and the right to health </w:t>
      </w:r>
      <w:r w:rsidR="00D04694" w:rsidRPr="00CF6765">
        <w:rPr>
          <w:rFonts w:eastAsia="Calibri" w:cs="Verdana"/>
          <w:snapToGrid w:val="0"/>
          <w:sz w:val="20"/>
          <w:szCs w:val="20"/>
          <w:lang w:val="en-US" w:eastAsia="es-ES"/>
        </w:rPr>
        <w:t>of Mr.</w:t>
      </w:r>
      <w:r w:rsidRPr="00CF6765">
        <w:rPr>
          <w:rFonts w:eastAsia="Calibri" w:cs="Verdana"/>
          <w:snapToGrid w:val="0"/>
          <w:sz w:val="20"/>
          <w:szCs w:val="20"/>
          <w:lang w:val="en-US" w:eastAsia="es-ES"/>
        </w:rPr>
        <w:t xml:space="preserve"> Poblete</w:t>
      </w:r>
      <w:r w:rsidR="00542AD4" w:rsidRPr="00CF6765">
        <w:rPr>
          <w:rFonts w:eastAsia="Calibri" w:cs="Verdana"/>
          <w:snapToGrid w:val="0"/>
          <w:sz w:val="20"/>
          <w:szCs w:val="20"/>
          <w:lang w:val="en-US" w:eastAsia="es-ES"/>
        </w:rPr>
        <w:t xml:space="preserve"> </w:t>
      </w:r>
      <w:proofErr w:type="spellStart"/>
      <w:r w:rsidR="00542AD4" w:rsidRPr="00CF6765">
        <w:rPr>
          <w:rFonts w:eastAsia="Calibri" w:cs="Verdana"/>
          <w:snapToGrid w:val="0"/>
          <w:sz w:val="20"/>
          <w:szCs w:val="20"/>
          <w:lang w:val="en-US" w:eastAsia="es-ES"/>
        </w:rPr>
        <w:t>Vilches</w:t>
      </w:r>
      <w:proofErr w:type="spellEnd"/>
      <w:r w:rsidR="00542AD4" w:rsidRPr="00CF6765">
        <w:rPr>
          <w:rFonts w:eastAsia="Calibri" w:cs="Verdana"/>
          <w:snapToGrid w:val="0"/>
          <w:sz w:val="20"/>
          <w:szCs w:val="20"/>
          <w:lang w:val="en-US" w:eastAsia="es-ES"/>
        </w:rPr>
        <w:t xml:space="preserve"> </w:t>
      </w:r>
      <w:r w:rsidR="00690D57" w:rsidRPr="00CF6765">
        <w:rPr>
          <w:rFonts w:eastAsia="Calibri" w:cs="Verdana"/>
          <w:snapToGrid w:val="0"/>
          <w:sz w:val="20"/>
          <w:szCs w:val="20"/>
          <w:lang w:val="en-US" w:eastAsia="es-ES"/>
        </w:rPr>
        <w:t>in relation to Article</w:t>
      </w:r>
      <w:r w:rsidR="00EC50FC" w:rsidRPr="00CF6765">
        <w:rPr>
          <w:rFonts w:eastAsia="Calibri" w:cs="Verdana"/>
          <w:snapToGrid w:val="0"/>
          <w:sz w:val="20"/>
          <w:szCs w:val="20"/>
          <w:lang w:val="en-US" w:eastAsia="es-ES"/>
        </w:rPr>
        <w:t xml:space="preserve"> 1(1)</w:t>
      </w:r>
      <w:r w:rsidR="005C731C" w:rsidRPr="00CF6765">
        <w:rPr>
          <w:rFonts w:eastAsia="Calibri" w:cs="Verdana"/>
          <w:snapToGrid w:val="0"/>
          <w:sz w:val="20"/>
          <w:szCs w:val="20"/>
          <w:lang w:val="en-US" w:eastAsia="es-ES"/>
        </w:rPr>
        <w:t xml:space="preserve"> of the Convention</w:t>
      </w:r>
      <w:r w:rsidR="00542AD4" w:rsidRPr="00CF6765">
        <w:rPr>
          <w:rFonts w:eastAsia="Calibri" w:cs="Verdana"/>
          <w:snapToGrid w:val="0"/>
          <w:sz w:val="20"/>
          <w:szCs w:val="20"/>
          <w:lang w:val="en-US" w:eastAsia="es-ES"/>
        </w:rPr>
        <w:t xml:space="preserve">; </w:t>
      </w:r>
      <w:r w:rsidR="009339F5" w:rsidRPr="00CF6765">
        <w:rPr>
          <w:rFonts w:eastAsia="Calibri" w:cs="Verdana"/>
          <w:snapToGrid w:val="0"/>
          <w:sz w:val="20"/>
          <w:szCs w:val="20"/>
          <w:lang w:val="en-US" w:eastAsia="es-ES"/>
        </w:rPr>
        <w:t>the right of</w:t>
      </w:r>
      <w:r w:rsidR="00542AD4" w:rsidRPr="00CF6765">
        <w:rPr>
          <w:rFonts w:eastAsia="Calibri" w:cs="Verdana"/>
          <w:snapToGrid w:val="0"/>
          <w:sz w:val="20"/>
          <w:szCs w:val="20"/>
          <w:lang w:val="en-US" w:eastAsia="es-ES"/>
        </w:rPr>
        <w:t xml:space="preserve"> </w:t>
      </w:r>
      <w:r w:rsidR="00690D57" w:rsidRPr="00CF6765">
        <w:rPr>
          <w:rFonts w:eastAsia="Calibri" w:cs="Verdana"/>
          <w:snapToGrid w:val="0"/>
          <w:sz w:val="20"/>
          <w:szCs w:val="20"/>
          <w:lang w:val="en-US" w:eastAsia="es-ES"/>
        </w:rPr>
        <w:t>access to information</w:t>
      </w:r>
      <w:r w:rsidR="00542AD4" w:rsidRPr="00CF6765">
        <w:rPr>
          <w:rFonts w:eastAsia="Calibri" w:cs="Verdana"/>
          <w:snapToGrid w:val="0"/>
          <w:sz w:val="20"/>
          <w:szCs w:val="20"/>
          <w:lang w:val="en-US" w:eastAsia="es-ES"/>
        </w:rPr>
        <w:t xml:space="preserve"> </w:t>
      </w:r>
      <w:r w:rsidR="009339F5" w:rsidRPr="00CF6765">
        <w:rPr>
          <w:rFonts w:eastAsia="Calibri" w:cs="Verdana"/>
          <w:snapToGrid w:val="0"/>
          <w:sz w:val="20"/>
          <w:szCs w:val="20"/>
          <w:lang w:val="en-US" w:eastAsia="es-ES"/>
        </w:rPr>
        <w:t xml:space="preserve">on health matters </w:t>
      </w:r>
      <w:r w:rsidR="00690D57" w:rsidRPr="00CF6765">
        <w:rPr>
          <w:rFonts w:eastAsia="Calibri" w:cs="Verdana"/>
          <w:snapToGrid w:val="0"/>
          <w:sz w:val="20"/>
          <w:szCs w:val="20"/>
          <w:lang w:val="en-US" w:eastAsia="es-ES"/>
        </w:rPr>
        <w:t xml:space="preserve">to the detriment </w:t>
      </w:r>
      <w:r w:rsidR="009339F5" w:rsidRPr="00CF6765">
        <w:rPr>
          <w:rFonts w:eastAsia="Calibri" w:cs="Verdana"/>
          <w:snapToGrid w:val="0"/>
          <w:sz w:val="20"/>
          <w:szCs w:val="20"/>
          <w:lang w:val="en-US" w:eastAsia="es-ES"/>
        </w:rPr>
        <w:t>of Mr. Poblete</w:t>
      </w:r>
      <w:r w:rsidR="00542AD4" w:rsidRPr="00CF6765">
        <w:rPr>
          <w:rFonts w:eastAsia="Calibri" w:cs="Verdana"/>
          <w:snapToGrid w:val="0"/>
          <w:sz w:val="20"/>
          <w:szCs w:val="20"/>
          <w:lang w:val="en-US" w:eastAsia="es-ES"/>
        </w:rPr>
        <w:t xml:space="preserve"> </w:t>
      </w:r>
      <w:proofErr w:type="spellStart"/>
      <w:r w:rsidR="00542AD4" w:rsidRPr="00CF6765">
        <w:rPr>
          <w:rFonts w:eastAsia="Calibri" w:cs="Verdana"/>
          <w:snapToGrid w:val="0"/>
          <w:sz w:val="20"/>
          <w:szCs w:val="20"/>
          <w:lang w:val="en-US" w:eastAsia="es-ES"/>
        </w:rPr>
        <w:t>Vilches</w:t>
      </w:r>
      <w:proofErr w:type="spellEnd"/>
      <w:r w:rsidR="00EC50FC" w:rsidRPr="00CF6765">
        <w:rPr>
          <w:rFonts w:eastAsia="Calibri" w:cs="Verdana"/>
          <w:snapToGrid w:val="0"/>
          <w:sz w:val="20"/>
          <w:szCs w:val="20"/>
          <w:lang w:val="en-US" w:eastAsia="es-ES"/>
        </w:rPr>
        <w:t xml:space="preserve"> </w:t>
      </w:r>
      <w:r w:rsidR="009339F5" w:rsidRPr="00CF6765">
        <w:rPr>
          <w:rFonts w:eastAsia="Calibri" w:cs="Verdana"/>
          <w:snapToGrid w:val="0"/>
          <w:sz w:val="20"/>
          <w:szCs w:val="20"/>
          <w:lang w:val="en-US" w:eastAsia="es-ES"/>
        </w:rPr>
        <w:t>and his family</w:t>
      </w:r>
      <w:r w:rsidR="00542AD4" w:rsidRPr="00CF6765">
        <w:rPr>
          <w:rFonts w:eastAsia="Calibri" w:cs="Verdana"/>
          <w:snapToGrid w:val="0"/>
          <w:sz w:val="20"/>
          <w:szCs w:val="20"/>
          <w:lang w:val="en-US" w:eastAsia="es-ES"/>
        </w:rPr>
        <w:t>,</w:t>
      </w:r>
      <w:r w:rsidR="00EC50FC" w:rsidRPr="00CF6765">
        <w:rPr>
          <w:rFonts w:eastAsia="Calibri" w:cs="Verdana"/>
          <w:snapToGrid w:val="0"/>
          <w:sz w:val="20"/>
          <w:szCs w:val="20"/>
          <w:lang w:val="en-US" w:eastAsia="es-ES"/>
        </w:rPr>
        <w:t xml:space="preserve"> and </w:t>
      </w:r>
      <w:r w:rsidR="005C731C" w:rsidRPr="00CF6765">
        <w:rPr>
          <w:rFonts w:eastAsia="Calibri" w:cs="Verdana"/>
          <w:snapToGrid w:val="0"/>
          <w:sz w:val="20"/>
          <w:szCs w:val="20"/>
          <w:lang w:val="en-US" w:eastAsia="es-ES"/>
        </w:rPr>
        <w:t>Articles</w:t>
      </w:r>
      <w:r w:rsidR="00542AD4" w:rsidRPr="00CF6765">
        <w:rPr>
          <w:rFonts w:eastAsia="Calibri" w:cs="Verdana"/>
          <w:snapToGrid w:val="0"/>
          <w:sz w:val="20"/>
          <w:szCs w:val="20"/>
          <w:lang w:val="en-US" w:eastAsia="es-ES"/>
        </w:rPr>
        <w:t xml:space="preserve"> 11</w:t>
      </w:r>
      <w:r w:rsidR="00EC50FC" w:rsidRPr="00CF6765">
        <w:rPr>
          <w:rFonts w:eastAsia="Calibri" w:cs="Verdana"/>
          <w:snapToGrid w:val="0"/>
          <w:sz w:val="20"/>
          <w:szCs w:val="20"/>
          <w:lang w:val="en-US" w:eastAsia="es-ES"/>
        </w:rPr>
        <w:t xml:space="preserve"> and </w:t>
      </w:r>
      <w:r w:rsidR="00542AD4" w:rsidRPr="00CF6765">
        <w:rPr>
          <w:rFonts w:eastAsia="Calibri" w:cs="Verdana"/>
          <w:snapToGrid w:val="0"/>
          <w:sz w:val="20"/>
          <w:szCs w:val="20"/>
          <w:lang w:val="en-US" w:eastAsia="es-ES"/>
        </w:rPr>
        <w:t>7</w:t>
      </w:r>
      <w:r w:rsidR="005C731C" w:rsidRPr="00CF6765">
        <w:rPr>
          <w:rFonts w:eastAsia="Calibri" w:cs="Verdana"/>
          <w:snapToGrid w:val="0"/>
          <w:sz w:val="20"/>
          <w:szCs w:val="20"/>
          <w:lang w:val="en-US" w:eastAsia="es-ES"/>
        </w:rPr>
        <w:t xml:space="preserve"> of the Convention</w:t>
      </w:r>
      <w:r w:rsidR="00542AD4" w:rsidRPr="00CF6765">
        <w:rPr>
          <w:rFonts w:eastAsia="Calibri" w:cs="Verdana"/>
          <w:snapToGrid w:val="0"/>
          <w:sz w:val="20"/>
          <w:szCs w:val="20"/>
          <w:lang w:val="en-US" w:eastAsia="es-ES"/>
        </w:rPr>
        <w:t xml:space="preserve"> </w:t>
      </w:r>
      <w:r w:rsidR="00690D57" w:rsidRPr="00CF6765">
        <w:rPr>
          <w:rFonts w:eastAsia="Calibri" w:cs="Verdana"/>
          <w:snapToGrid w:val="0"/>
          <w:sz w:val="20"/>
          <w:szCs w:val="20"/>
          <w:lang w:val="en-US" w:eastAsia="es-ES"/>
        </w:rPr>
        <w:t xml:space="preserve">to the detriment </w:t>
      </w:r>
      <w:r w:rsidR="009339F5" w:rsidRPr="00CF6765">
        <w:rPr>
          <w:rFonts w:eastAsia="Calibri" w:cs="Verdana"/>
          <w:snapToGrid w:val="0"/>
          <w:sz w:val="20"/>
          <w:szCs w:val="20"/>
          <w:lang w:val="en-US" w:eastAsia="es-ES"/>
        </w:rPr>
        <w:t>of Mr. Poblete</w:t>
      </w:r>
      <w:r w:rsidR="00542AD4" w:rsidRPr="00CF6765">
        <w:rPr>
          <w:rFonts w:eastAsia="Calibri" w:cs="Verdana"/>
          <w:snapToGrid w:val="0"/>
          <w:sz w:val="20"/>
          <w:szCs w:val="20"/>
          <w:lang w:val="en-US" w:eastAsia="es-ES"/>
        </w:rPr>
        <w:t xml:space="preserve"> </w:t>
      </w:r>
      <w:proofErr w:type="spellStart"/>
      <w:r w:rsidR="00542AD4" w:rsidRPr="00CF6765">
        <w:rPr>
          <w:rFonts w:eastAsia="Calibri" w:cs="Verdana"/>
          <w:snapToGrid w:val="0"/>
          <w:sz w:val="20"/>
          <w:szCs w:val="20"/>
          <w:lang w:val="en-US" w:eastAsia="es-ES"/>
        </w:rPr>
        <w:t>Vilches</w:t>
      </w:r>
      <w:proofErr w:type="spellEnd"/>
      <w:r w:rsidR="00542AD4" w:rsidRPr="00CF6765">
        <w:rPr>
          <w:rFonts w:eastAsia="Calibri" w:cs="Verdana"/>
          <w:snapToGrid w:val="0"/>
          <w:sz w:val="20"/>
          <w:szCs w:val="20"/>
          <w:lang w:val="en-US" w:eastAsia="es-ES"/>
        </w:rPr>
        <w:t xml:space="preserve">. </w:t>
      </w:r>
      <w:r w:rsidR="009339F5" w:rsidRPr="00CF6765">
        <w:rPr>
          <w:sz w:val="20"/>
          <w:szCs w:val="20"/>
          <w:lang w:val="en-US" w:eastAsia="en-US"/>
        </w:rPr>
        <w:t>Regarding</w:t>
      </w:r>
      <w:r w:rsidR="00542AD4" w:rsidRPr="00CF6765">
        <w:rPr>
          <w:sz w:val="20"/>
          <w:szCs w:val="20"/>
          <w:lang w:val="en-US" w:eastAsia="en-US"/>
        </w:rPr>
        <w:t xml:space="preserve"> </w:t>
      </w:r>
      <w:r w:rsidR="005C731C" w:rsidRPr="00CF6765">
        <w:rPr>
          <w:sz w:val="20"/>
          <w:szCs w:val="20"/>
          <w:lang w:val="en-US" w:eastAsia="en-US"/>
        </w:rPr>
        <w:t>Articles</w:t>
      </w:r>
      <w:r w:rsidR="00542AD4" w:rsidRPr="00CF6765">
        <w:rPr>
          <w:sz w:val="20"/>
          <w:szCs w:val="20"/>
          <w:lang w:val="en-US" w:eastAsia="en-US"/>
        </w:rPr>
        <w:t xml:space="preserve"> </w:t>
      </w:r>
      <w:r w:rsidR="009339F5" w:rsidRPr="00CF6765">
        <w:rPr>
          <w:sz w:val="20"/>
          <w:szCs w:val="20"/>
          <w:lang w:val="en-US" w:eastAsia="en-US"/>
        </w:rPr>
        <w:t>8(1)</w:t>
      </w:r>
      <w:r w:rsidR="00EC50FC" w:rsidRPr="00CF6765">
        <w:rPr>
          <w:sz w:val="20"/>
          <w:szCs w:val="20"/>
          <w:lang w:val="en-US" w:eastAsia="en-US"/>
        </w:rPr>
        <w:t xml:space="preserve"> and </w:t>
      </w:r>
      <w:r w:rsidR="00542AD4" w:rsidRPr="00CF6765">
        <w:rPr>
          <w:sz w:val="20"/>
          <w:szCs w:val="20"/>
          <w:lang w:val="en-US" w:eastAsia="en-US"/>
        </w:rPr>
        <w:t xml:space="preserve">25 </w:t>
      </w:r>
      <w:r w:rsidR="009339F5" w:rsidRPr="00CF6765">
        <w:rPr>
          <w:sz w:val="20"/>
          <w:szCs w:val="20"/>
          <w:lang w:val="en-US" w:eastAsia="en-US"/>
        </w:rPr>
        <w:t>in relation to Article</w:t>
      </w:r>
      <w:r w:rsidR="009C2DEF" w:rsidRPr="00CF6765">
        <w:rPr>
          <w:sz w:val="20"/>
          <w:szCs w:val="20"/>
          <w:lang w:val="en-US" w:eastAsia="en-US"/>
        </w:rPr>
        <w:t xml:space="preserve"> 1(1)</w:t>
      </w:r>
      <w:r w:rsidR="005C731C" w:rsidRPr="00CF6765">
        <w:rPr>
          <w:sz w:val="20"/>
          <w:szCs w:val="20"/>
          <w:lang w:val="en-US" w:eastAsia="en-US"/>
        </w:rPr>
        <w:t xml:space="preserve"> of the American Convention</w:t>
      </w:r>
      <w:r w:rsidR="00542AD4" w:rsidRPr="00CF6765">
        <w:rPr>
          <w:sz w:val="20"/>
          <w:szCs w:val="20"/>
          <w:lang w:val="en-US" w:eastAsia="en-US"/>
        </w:rPr>
        <w:t xml:space="preserve">, </w:t>
      </w:r>
      <w:r w:rsidRPr="00CF6765">
        <w:rPr>
          <w:sz w:val="20"/>
          <w:szCs w:val="20"/>
          <w:lang w:val="en-US" w:eastAsia="en-US"/>
        </w:rPr>
        <w:t>the representatives</w:t>
      </w:r>
      <w:r w:rsidR="00542AD4" w:rsidRPr="00CF6765">
        <w:rPr>
          <w:sz w:val="20"/>
          <w:szCs w:val="20"/>
          <w:lang w:val="en-US" w:eastAsia="en-US"/>
        </w:rPr>
        <w:t xml:space="preserve"> </w:t>
      </w:r>
      <w:r w:rsidR="009339F5" w:rsidRPr="00CF6765">
        <w:rPr>
          <w:sz w:val="20"/>
          <w:szCs w:val="20"/>
          <w:lang w:val="en-US" w:eastAsia="en-US"/>
        </w:rPr>
        <w:t>indicated that</w:t>
      </w:r>
      <w:r w:rsidR="00542AD4" w:rsidRPr="00CF6765">
        <w:rPr>
          <w:sz w:val="20"/>
          <w:szCs w:val="20"/>
          <w:lang w:val="en-US" w:eastAsia="en-US"/>
        </w:rPr>
        <w:t xml:space="preserve"> </w:t>
      </w:r>
      <w:r w:rsidR="00EC50FC" w:rsidRPr="00CF6765">
        <w:rPr>
          <w:sz w:val="20"/>
          <w:szCs w:val="20"/>
          <w:lang w:val="en-US" w:eastAsia="en-US"/>
        </w:rPr>
        <w:t>the State</w:t>
      </w:r>
      <w:r w:rsidR="00542AD4" w:rsidRPr="00CF6765">
        <w:rPr>
          <w:sz w:val="20"/>
          <w:szCs w:val="20"/>
          <w:lang w:val="en-US" w:eastAsia="en-US"/>
        </w:rPr>
        <w:t xml:space="preserve"> </w:t>
      </w:r>
      <w:r w:rsidR="009339F5" w:rsidRPr="00CF6765">
        <w:rPr>
          <w:sz w:val="20"/>
          <w:szCs w:val="20"/>
          <w:lang w:val="en-US" w:eastAsia="en-US"/>
        </w:rPr>
        <w:t xml:space="preserve">had denied its responsibility for violating the right to due diligence and the right to an impartial court, but had accepted responsibility for the fact that the case was not processed within a reasonable time. The representatives also noted that, in the chapter on final considerations of the State’s answering brief, it had only </w:t>
      </w:r>
      <w:r w:rsidR="001106B6" w:rsidRPr="00CF6765">
        <w:rPr>
          <w:sz w:val="20"/>
          <w:szCs w:val="20"/>
          <w:lang w:val="en-US" w:eastAsia="en-US"/>
        </w:rPr>
        <w:t>referred to</w:t>
      </w:r>
      <w:r w:rsidR="009339F5" w:rsidRPr="00CF6765">
        <w:rPr>
          <w:sz w:val="20"/>
          <w:szCs w:val="20"/>
          <w:lang w:val="en-US" w:eastAsia="en-US"/>
        </w:rPr>
        <w:t xml:space="preserve"> the violation of the right to personal integrity and the right to informed consent</w:t>
      </w:r>
      <w:r w:rsidR="009339F5" w:rsidRPr="00CF6765">
        <w:rPr>
          <w:rFonts w:eastAsia="Calibri" w:cs="Verdana"/>
          <w:i/>
          <w:snapToGrid w:val="0"/>
          <w:sz w:val="20"/>
          <w:szCs w:val="20"/>
          <w:lang w:val="en-US" w:eastAsia="es-ES"/>
        </w:rPr>
        <w:t xml:space="preserve"> </w:t>
      </w:r>
      <w:r w:rsidR="00690D57" w:rsidRPr="00CF6765">
        <w:rPr>
          <w:sz w:val="20"/>
          <w:szCs w:val="20"/>
          <w:lang w:val="en-US" w:eastAsia="en-US"/>
        </w:rPr>
        <w:t xml:space="preserve">to the detriment </w:t>
      </w:r>
      <w:r w:rsidR="009339F5" w:rsidRPr="00CF6765">
        <w:rPr>
          <w:sz w:val="20"/>
          <w:szCs w:val="20"/>
          <w:lang w:val="en-US" w:eastAsia="en-US"/>
        </w:rPr>
        <w:t>of Mr. Poblete</w:t>
      </w:r>
      <w:r w:rsidR="00542AD4" w:rsidRPr="00CF6765">
        <w:rPr>
          <w:sz w:val="20"/>
          <w:szCs w:val="20"/>
          <w:lang w:val="en-US" w:eastAsia="en-US"/>
        </w:rPr>
        <w:t xml:space="preserve"> </w:t>
      </w:r>
      <w:proofErr w:type="spellStart"/>
      <w:r w:rsidR="00542AD4" w:rsidRPr="00CF6765">
        <w:rPr>
          <w:sz w:val="20"/>
          <w:szCs w:val="20"/>
          <w:lang w:val="en-US" w:eastAsia="en-US"/>
        </w:rPr>
        <w:t>Vilches</w:t>
      </w:r>
      <w:proofErr w:type="spellEnd"/>
      <w:r w:rsidR="009339F5" w:rsidRPr="00CF6765">
        <w:rPr>
          <w:sz w:val="20"/>
          <w:szCs w:val="20"/>
          <w:lang w:val="en-US" w:eastAsia="en-US"/>
        </w:rPr>
        <w:t>, but had not mentioned the violation of the right to dignity and self-determination, the right to take free decisions</w:t>
      </w:r>
      <w:r w:rsidR="001106B6" w:rsidRPr="00CF6765">
        <w:rPr>
          <w:sz w:val="20"/>
          <w:szCs w:val="20"/>
          <w:lang w:val="en-US" w:eastAsia="en-US"/>
        </w:rPr>
        <w:t>,</w:t>
      </w:r>
      <w:r w:rsidR="009339F5" w:rsidRPr="00CF6765">
        <w:rPr>
          <w:sz w:val="20"/>
          <w:szCs w:val="20"/>
          <w:lang w:val="en-US" w:eastAsia="en-US"/>
        </w:rPr>
        <w:t xml:space="preserve"> and the right to a reasonable time, all of which it had </w:t>
      </w:r>
      <w:r w:rsidR="00B328D7" w:rsidRPr="00CF6765">
        <w:rPr>
          <w:sz w:val="20"/>
          <w:szCs w:val="20"/>
          <w:lang w:val="en-US" w:eastAsia="en-US"/>
        </w:rPr>
        <w:t>acknowledged</w:t>
      </w:r>
      <w:r w:rsidR="009339F5" w:rsidRPr="00CF6765">
        <w:rPr>
          <w:sz w:val="20"/>
          <w:szCs w:val="20"/>
          <w:lang w:val="en-US" w:eastAsia="en-US"/>
        </w:rPr>
        <w:t xml:space="preserve"> previously in different parts of that brief. Accordingly, </w:t>
      </w:r>
      <w:r w:rsidRPr="00CF6765">
        <w:rPr>
          <w:sz w:val="20"/>
          <w:szCs w:val="20"/>
          <w:lang w:val="en-US" w:eastAsia="en-US"/>
        </w:rPr>
        <w:t>the representatives</w:t>
      </w:r>
      <w:r w:rsidR="00542AD4" w:rsidRPr="00CF6765">
        <w:rPr>
          <w:sz w:val="20"/>
          <w:szCs w:val="20"/>
          <w:lang w:val="en-US" w:eastAsia="en-US"/>
        </w:rPr>
        <w:t xml:space="preserve"> </w:t>
      </w:r>
      <w:r w:rsidR="009339F5" w:rsidRPr="00CF6765">
        <w:rPr>
          <w:sz w:val="20"/>
          <w:szCs w:val="20"/>
          <w:lang w:val="en-US" w:eastAsia="en-US"/>
        </w:rPr>
        <w:t xml:space="preserve">indicated that several facts </w:t>
      </w:r>
      <w:r w:rsidR="001106B6" w:rsidRPr="00CF6765">
        <w:rPr>
          <w:sz w:val="20"/>
          <w:szCs w:val="20"/>
          <w:lang w:val="en-US" w:eastAsia="en-US"/>
        </w:rPr>
        <w:t>had not been</w:t>
      </w:r>
      <w:r w:rsidR="009339F5" w:rsidRPr="00CF6765">
        <w:rPr>
          <w:sz w:val="20"/>
          <w:szCs w:val="20"/>
          <w:lang w:val="en-US" w:eastAsia="en-US"/>
        </w:rPr>
        <w:t xml:space="preserve"> acknowledged by the State, and there were </w:t>
      </w:r>
      <w:r w:rsidR="00B328D7" w:rsidRPr="00CF6765">
        <w:rPr>
          <w:sz w:val="20"/>
          <w:szCs w:val="20"/>
          <w:lang w:val="en-US" w:eastAsia="en-US"/>
        </w:rPr>
        <w:t>discrepancies</w:t>
      </w:r>
      <w:r w:rsidR="009339F5" w:rsidRPr="00CF6765">
        <w:rPr>
          <w:sz w:val="20"/>
          <w:szCs w:val="20"/>
          <w:lang w:val="en-US" w:eastAsia="en-US"/>
        </w:rPr>
        <w:t xml:space="preserve"> in relation to the legal </w:t>
      </w:r>
      <w:r w:rsidR="00B328D7" w:rsidRPr="00CF6765">
        <w:rPr>
          <w:sz w:val="20"/>
          <w:szCs w:val="20"/>
          <w:lang w:val="en-US" w:eastAsia="en-US"/>
        </w:rPr>
        <w:t>definition</w:t>
      </w:r>
      <w:r w:rsidR="009339F5" w:rsidRPr="00CF6765">
        <w:rPr>
          <w:sz w:val="20"/>
          <w:szCs w:val="20"/>
          <w:lang w:val="en-US" w:eastAsia="en-US"/>
        </w:rPr>
        <w:t xml:space="preserve"> of the facts acknowledged, such as “the enormous differences existing between the parties with regard to the legal definition of the facts that violated the personal integrity and health </w:t>
      </w:r>
      <w:r w:rsidR="00D04694" w:rsidRPr="00CF6765">
        <w:rPr>
          <w:sz w:val="20"/>
          <w:szCs w:val="20"/>
          <w:lang w:val="en-US" w:eastAsia="en-US"/>
        </w:rPr>
        <w:t>of Vinicio</w:t>
      </w:r>
      <w:r w:rsidR="00542AD4" w:rsidRPr="00CF6765">
        <w:rPr>
          <w:sz w:val="20"/>
          <w:szCs w:val="20"/>
          <w:lang w:val="en-US" w:eastAsia="en-US"/>
        </w:rPr>
        <w:t xml:space="preserve"> Antonio Poblete </w:t>
      </w:r>
      <w:proofErr w:type="spellStart"/>
      <w:r w:rsidR="00542AD4" w:rsidRPr="00CF6765">
        <w:rPr>
          <w:sz w:val="20"/>
          <w:szCs w:val="20"/>
          <w:lang w:val="en-US" w:eastAsia="en-US"/>
        </w:rPr>
        <w:t>Vilches</w:t>
      </w:r>
      <w:proofErr w:type="spellEnd"/>
      <w:r w:rsidR="00542AD4" w:rsidRPr="00CF6765">
        <w:rPr>
          <w:sz w:val="20"/>
          <w:szCs w:val="20"/>
          <w:lang w:val="en-US" w:eastAsia="en-US"/>
        </w:rPr>
        <w:t xml:space="preserve">, </w:t>
      </w:r>
      <w:r w:rsidR="009339F5" w:rsidRPr="00CF6765">
        <w:rPr>
          <w:sz w:val="20"/>
          <w:szCs w:val="20"/>
          <w:lang w:val="en-US" w:eastAsia="en-US"/>
        </w:rPr>
        <w:t xml:space="preserve">which the State has only linked to the violation of Article 5 of the Convention while, to the contrary, this party </w:t>
      </w:r>
      <w:proofErr w:type="spellStart"/>
      <w:r w:rsidR="009339F5" w:rsidRPr="00CF6765">
        <w:rPr>
          <w:sz w:val="20"/>
          <w:szCs w:val="20"/>
          <w:lang w:val="en-US" w:eastAsia="en-US"/>
        </w:rPr>
        <w:t>underst</w:t>
      </w:r>
      <w:proofErr w:type="spellEnd"/>
      <w:r w:rsidR="009339F5" w:rsidRPr="00CF6765">
        <w:rPr>
          <w:sz w:val="20"/>
          <w:szCs w:val="20"/>
          <w:lang w:val="en-US" w:eastAsia="en-US"/>
        </w:rPr>
        <w:t>[</w:t>
      </w:r>
      <w:proofErr w:type="spellStart"/>
      <w:r w:rsidR="009339F5" w:rsidRPr="00CF6765">
        <w:rPr>
          <w:sz w:val="20"/>
          <w:szCs w:val="20"/>
          <w:lang w:val="en-US" w:eastAsia="en-US"/>
        </w:rPr>
        <w:t>ood</w:t>
      </w:r>
      <w:proofErr w:type="spellEnd"/>
      <w:r w:rsidR="009339F5" w:rsidRPr="00CF6765">
        <w:rPr>
          <w:sz w:val="20"/>
          <w:szCs w:val="20"/>
          <w:lang w:val="en-US" w:eastAsia="en-US"/>
        </w:rPr>
        <w:t>] that over and above the violation of Article 5, the facts also violated Article 4, right to life, and in addition signified the autonomous violation of the right to health and to social security recognized in Article 26 of the Convention.”</w:t>
      </w:r>
    </w:p>
    <w:p w14:paraId="04C2AC5C" w14:textId="77777777" w:rsidR="00542AD4" w:rsidRPr="00CF6765" w:rsidRDefault="00542AD4" w:rsidP="00542AD4">
      <w:pPr>
        <w:tabs>
          <w:tab w:val="left" w:pos="567"/>
          <w:tab w:val="num" w:pos="12305"/>
        </w:tabs>
        <w:autoSpaceDE w:val="0"/>
        <w:autoSpaceDN w:val="0"/>
        <w:rPr>
          <w:rFonts w:eastAsia="Calibri" w:cs="Verdana"/>
          <w:i/>
          <w:snapToGrid w:val="0"/>
          <w:sz w:val="20"/>
          <w:szCs w:val="20"/>
          <w:lang w:val="en-US" w:eastAsia="es-ES"/>
        </w:rPr>
      </w:pPr>
    </w:p>
    <w:p w14:paraId="3B5AFF1E" w14:textId="1BD21AC0" w:rsidR="00542AD4" w:rsidRPr="00CF6765" w:rsidRDefault="009C2DEF" w:rsidP="002726E0">
      <w:pPr>
        <w:pStyle w:val="Ttulo2"/>
        <w:numPr>
          <w:ilvl w:val="0"/>
          <w:numId w:val="9"/>
        </w:numPr>
        <w:rPr>
          <w:lang w:val="en-US"/>
        </w:rPr>
      </w:pPr>
      <w:bookmarkStart w:id="30" w:name="_Toc47864355"/>
      <w:r w:rsidRPr="00CF6765">
        <w:rPr>
          <w:lang w:val="en-US"/>
        </w:rPr>
        <w:t>Considerations</w:t>
      </w:r>
      <w:r w:rsidR="005C731C" w:rsidRPr="00CF6765">
        <w:rPr>
          <w:lang w:val="en-US"/>
        </w:rPr>
        <w:t xml:space="preserve"> of the Court</w:t>
      </w:r>
      <w:bookmarkEnd w:id="30"/>
    </w:p>
    <w:p w14:paraId="2CF9F67E" w14:textId="77777777" w:rsidR="00542AD4" w:rsidRPr="00CF6765" w:rsidRDefault="00542AD4" w:rsidP="00542AD4">
      <w:pPr>
        <w:autoSpaceDE w:val="0"/>
        <w:autoSpaceDN w:val="0"/>
        <w:rPr>
          <w:rFonts w:eastAsia="Batang"/>
          <w:sz w:val="20"/>
          <w:lang w:val="en-US" w:eastAsia="en-US"/>
        </w:rPr>
      </w:pPr>
    </w:p>
    <w:p w14:paraId="10B7C8ED" w14:textId="22ACE899" w:rsidR="00542AD4" w:rsidRPr="00CF6765" w:rsidRDefault="009339F5" w:rsidP="00B06735">
      <w:pPr>
        <w:numPr>
          <w:ilvl w:val="0"/>
          <w:numId w:val="2"/>
        </w:numPr>
        <w:tabs>
          <w:tab w:val="left" w:pos="567"/>
          <w:tab w:val="num" w:pos="1569"/>
          <w:tab w:val="num" w:pos="12305"/>
        </w:tabs>
        <w:autoSpaceDE w:val="0"/>
        <w:autoSpaceDN w:val="0"/>
        <w:ind w:left="0" w:firstLine="0"/>
        <w:rPr>
          <w:rFonts w:eastAsia="Calibri" w:cs="Verdana"/>
          <w:snapToGrid w:val="0"/>
          <w:sz w:val="20"/>
          <w:szCs w:val="20"/>
          <w:lang w:val="en-US" w:eastAsia="es-ES"/>
        </w:rPr>
      </w:pPr>
      <w:r w:rsidRPr="00CF6765">
        <w:rPr>
          <w:rFonts w:eastAsia="Calibri" w:cs="Verdana"/>
          <w:snapToGrid w:val="0"/>
          <w:sz w:val="20"/>
          <w:szCs w:val="20"/>
          <w:lang w:val="en-US" w:eastAsia="es-ES"/>
        </w:rPr>
        <w:t>T</w:t>
      </w:r>
      <w:r w:rsidR="005C731C" w:rsidRPr="00CF6765">
        <w:rPr>
          <w:rFonts w:eastAsia="Calibri" w:cs="Verdana"/>
          <w:snapToGrid w:val="0"/>
          <w:sz w:val="20"/>
          <w:szCs w:val="20"/>
          <w:lang w:val="en-US" w:eastAsia="es-ES"/>
        </w:rPr>
        <w:t>he Court</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finds that the</w:t>
      </w:r>
      <w:r w:rsidR="00542AD4" w:rsidRPr="00CF6765">
        <w:rPr>
          <w:rFonts w:eastAsia="Calibri" w:cs="Verdana"/>
          <w:snapToGrid w:val="0"/>
          <w:sz w:val="20"/>
          <w:szCs w:val="20"/>
          <w:lang w:val="en-US" w:eastAsia="es-ES"/>
        </w:rPr>
        <w:t xml:space="preserve"> </w:t>
      </w:r>
      <w:r w:rsidR="0088423A" w:rsidRPr="00CF6765">
        <w:rPr>
          <w:rFonts w:eastAsia="Calibri" w:cs="Verdana"/>
          <w:snapToGrid w:val="0"/>
          <w:sz w:val="20"/>
          <w:szCs w:val="20"/>
          <w:lang w:val="en-US" w:eastAsia="es-ES"/>
        </w:rPr>
        <w:t>partial acknowledgement of responsibility</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made by</w:t>
      </w:r>
      <w:r w:rsidR="00542AD4" w:rsidRPr="00CF6765">
        <w:rPr>
          <w:rFonts w:eastAsia="Calibri" w:cs="Verdana"/>
          <w:snapToGrid w:val="0"/>
          <w:sz w:val="20"/>
          <w:szCs w:val="20"/>
          <w:lang w:val="en-US" w:eastAsia="es-ES"/>
        </w:rPr>
        <w:t xml:space="preserve"> </w:t>
      </w:r>
      <w:r w:rsidR="00EC50FC" w:rsidRPr="00CF6765">
        <w:rPr>
          <w:rFonts w:eastAsia="Calibri" w:cs="Verdana"/>
          <w:snapToGrid w:val="0"/>
          <w:sz w:val="20"/>
          <w:szCs w:val="20"/>
          <w:lang w:val="en-US" w:eastAsia="es-ES"/>
        </w:rPr>
        <w:t>the State</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 xml:space="preserve">makes a positive contribution to the development of these proceedings and to the </w:t>
      </w:r>
      <w:r w:rsidR="000B4EF1" w:rsidRPr="00CF6765">
        <w:rPr>
          <w:rFonts w:eastAsia="Calibri" w:cs="Verdana"/>
          <w:snapToGrid w:val="0"/>
          <w:sz w:val="20"/>
          <w:szCs w:val="20"/>
          <w:lang w:val="en-US" w:eastAsia="es-ES"/>
        </w:rPr>
        <w:t>relevance</w:t>
      </w:r>
      <w:r w:rsidRPr="00CF6765">
        <w:rPr>
          <w:rFonts w:eastAsia="Calibri" w:cs="Verdana"/>
          <w:snapToGrid w:val="0"/>
          <w:sz w:val="20"/>
          <w:szCs w:val="20"/>
          <w:lang w:val="en-US" w:eastAsia="es-ES"/>
        </w:rPr>
        <w:t xml:space="preserve"> of the </w:t>
      </w:r>
      <w:r w:rsidRPr="00CF6765">
        <w:rPr>
          <w:rFonts w:eastAsia="Calibri" w:cs="Verdana"/>
          <w:snapToGrid w:val="0"/>
          <w:sz w:val="20"/>
          <w:szCs w:val="20"/>
          <w:lang w:val="en-US" w:eastAsia="es-ES"/>
        </w:rPr>
        <w:lastRenderedPageBreak/>
        <w:t xml:space="preserve">principles that inspire </w:t>
      </w:r>
      <w:r w:rsidR="005C731C" w:rsidRPr="00CF6765">
        <w:rPr>
          <w:rFonts w:eastAsia="Calibri" w:cs="Verdana"/>
          <w:snapToGrid w:val="0"/>
          <w:sz w:val="20"/>
          <w:szCs w:val="20"/>
          <w:lang w:val="en-US" w:eastAsia="es-ES"/>
        </w:rPr>
        <w:t>the American Convention</w:t>
      </w:r>
      <w:r w:rsidR="000B4EF1" w:rsidRPr="00CF6765">
        <w:rPr>
          <w:rFonts w:eastAsia="Calibri" w:cs="Verdana"/>
          <w:snapToGrid w:val="0"/>
          <w:sz w:val="20"/>
          <w:szCs w:val="20"/>
          <w:lang w:val="en-US" w:eastAsia="es-ES"/>
        </w:rPr>
        <w:t>.</w:t>
      </w:r>
      <w:r w:rsidR="00542AD4" w:rsidRPr="00CF6765">
        <w:rPr>
          <w:rStyle w:val="Refdenotaalpie"/>
          <w:rFonts w:eastAsia="Calibri" w:cs="Verdana"/>
          <w:snapToGrid w:val="0"/>
          <w:sz w:val="20"/>
          <w:szCs w:val="20"/>
          <w:lang w:val="en-US" w:eastAsia="es-ES"/>
        </w:rPr>
        <w:footnoteReference w:id="11"/>
      </w:r>
      <w:r w:rsidR="00542AD4" w:rsidRPr="00CF6765">
        <w:rPr>
          <w:rFonts w:eastAsia="Calibri" w:cs="Verdana"/>
          <w:snapToGrid w:val="0"/>
          <w:sz w:val="20"/>
          <w:szCs w:val="20"/>
          <w:lang w:val="en-US" w:eastAsia="es-ES"/>
        </w:rPr>
        <w:t xml:space="preserve"> </w:t>
      </w:r>
      <w:r w:rsidR="000B4EF1" w:rsidRPr="00CF6765">
        <w:rPr>
          <w:rFonts w:eastAsia="Calibri" w:cs="Verdana"/>
          <w:snapToGrid w:val="0"/>
          <w:sz w:val="20"/>
          <w:szCs w:val="20"/>
          <w:lang w:val="en-US" w:eastAsia="es-ES"/>
        </w:rPr>
        <w:t>The</w:t>
      </w:r>
      <w:r w:rsidR="005C731C" w:rsidRPr="00CF6765">
        <w:rPr>
          <w:rFonts w:eastAsia="Calibri" w:cs="Verdana"/>
          <w:snapToGrid w:val="0"/>
          <w:sz w:val="20"/>
          <w:szCs w:val="20"/>
          <w:lang w:val="en-US" w:eastAsia="es-ES"/>
        </w:rPr>
        <w:t xml:space="preserve"> Court</w:t>
      </w:r>
      <w:r w:rsidR="00542AD4" w:rsidRPr="00CF6765">
        <w:rPr>
          <w:rFonts w:eastAsia="Calibri" w:cs="Verdana"/>
          <w:snapToGrid w:val="0"/>
          <w:sz w:val="20"/>
          <w:szCs w:val="20"/>
          <w:lang w:val="en-US" w:eastAsia="es-ES"/>
        </w:rPr>
        <w:t xml:space="preserve"> </w:t>
      </w:r>
      <w:r w:rsidR="000B4EF1" w:rsidRPr="00CF6765">
        <w:rPr>
          <w:rFonts w:eastAsia="Calibri" w:cs="Verdana"/>
          <w:snapToGrid w:val="0"/>
          <w:sz w:val="20"/>
          <w:szCs w:val="20"/>
          <w:lang w:val="en-US" w:eastAsia="es-ES"/>
        </w:rPr>
        <w:t>also considers, as it has in other cases,</w:t>
      </w:r>
      <w:r w:rsidR="00542AD4" w:rsidRPr="00CF6765">
        <w:rPr>
          <w:rStyle w:val="Refdenotaalpie"/>
          <w:rFonts w:eastAsia="Calibri" w:cs="Verdana"/>
          <w:snapToGrid w:val="0"/>
          <w:sz w:val="20"/>
          <w:szCs w:val="20"/>
          <w:lang w:val="en-US" w:eastAsia="es-ES"/>
        </w:rPr>
        <w:footnoteReference w:id="12"/>
      </w:r>
      <w:r w:rsidR="000B4EF1" w:rsidRPr="00CF6765">
        <w:rPr>
          <w:rFonts w:eastAsia="Calibri" w:cs="Verdana"/>
          <w:snapToGrid w:val="0"/>
          <w:sz w:val="20"/>
          <w:szCs w:val="20"/>
          <w:lang w:val="en-US" w:eastAsia="es-ES"/>
        </w:rPr>
        <w:t xml:space="preserve"> that this acknowledgement has full legal effects in this case.</w:t>
      </w:r>
    </w:p>
    <w:p w14:paraId="7AC1E762" w14:textId="77777777" w:rsidR="000B4EF1" w:rsidRPr="00CF6765" w:rsidRDefault="000B4EF1" w:rsidP="000B4EF1">
      <w:pPr>
        <w:tabs>
          <w:tab w:val="left" w:pos="567"/>
          <w:tab w:val="num" w:pos="12305"/>
        </w:tabs>
        <w:autoSpaceDE w:val="0"/>
        <w:autoSpaceDN w:val="0"/>
        <w:rPr>
          <w:rFonts w:eastAsia="Calibri" w:cs="Verdana"/>
          <w:snapToGrid w:val="0"/>
          <w:sz w:val="20"/>
          <w:szCs w:val="20"/>
          <w:lang w:val="en-US" w:eastAsia="es-ES"/>
        </w:rPr>
      </w:pPr>
    </w:p>
    <w:p w14:paraId="75A3E018" w14:textId="51F5FE7C" w:rsidR="00542AD4" w:rsidRPr="00CF6765" w:rsidRDefault="000B4EF1" w:rsidP="000B4EF1">
      <w:pPr>
        <w:numPr>
          <w:ilvl w:val="0"/>
          <w:numId w:val="2"/>
        </w:numPr>
        <w:tabs>
          <w:tab w:val="left" w:pos="567"/>
          <w:tab w:val="num" w:pos="1569"/>
          <w:tab w:val="num" w:pos="12305"/>
        </w:tabs>
        <w:ind w:left="0" w:firstLine="0"/>
        <w:rPr>
          <w:rFonts w:eastAsia="Times" w:cs="Verdana"/>
          <w:snapToGrid w:val="0"/>
          <w:sz w:val="20"/>
          <w:szCs w:val="20"/>
          <w:lang w:val="en-US" w:eastAsia="es-ES"/>
        </w:rPr>
      </w:pPr>
      <w:r w:rsidRPr="00CF6765">
        <w:rPr>
          <w:rFonts w:eastAsia="Calibri" w:cs="Verdana"/>
          <w:snapToGrid w:val="0"/>
          <w:sz w:val="20"/>
          <w:szCs w:val="20"/>
          <w:lang w:val="en-US" w:eastAsia="es-ES"/>
        </w:rPr>
        <w:t>Nevertheless,</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pursuant to</w:t>
      </w:r>
      <w:r w:rsidR="00542AD4" w:rsidRPr="00CF6765">
        <w:rPr>
          <w:rFonts w:eastAsia="Calibri" w:cs="Verdana"/>
          <w:snapToGrid w:val="0"/>
          <w:sz w:val="20"/>
          <w:szCs w:val="20"/>
          <w:lang w:val="en-US" w:eastAsia="es-ES"/>
        </w:rPr>
        <w:t xml:space="preserve"> </w:t>
      </w:r>
      <w:r w:rsidR="005C731C" w:rsidRPr="00CF6765">
        <w:rPr>
          <w:rFonts w:eastAsia="Calibri" w:cs="Verdana"/>
          <w:snapToGrid w:val="0"/>
          <w:sz w:val="20"/>
          <w:szCs w:val="20"/>
          <w:lang w:val="en-US" w:eastAsia="es-ES"/>
        </w:rPr>
        <w:t>Articles</w:t>
      </w:r>
      <w:r w:rsidR="00542AD4" w:rsidRPr="00CF6765">
        <w:rPr>
          <w:rFonts w:eastAsia="Calibri" w:cs="Verdana"/>
          <w:snapToGrid w:val="0"/>
          <w:sz w:val="20"/>
          <w:szCs w:val="20"/>
          <w:lang w:val="en-US" w:eastAsia="es-ES"/>
        </w:rPr>
        <w:t xml:space="preserve"> 62</w:t>
      </w:r>
      <w:r w:rsidR="00542AD4" w:rsidRPr="00CF6765">
        <w:rPr>
          <w:rFonts w:eastAsia="Calibri" w:cs="Verdana"/>
          <w:snapToGrid w:val="0"/>
          <w:sz w:val="20"/>
          <w:szCs w:val="20"/>
          <w:vertAlign w:val="superscript"/>
          <w:lang w:val="en-US" w:eastAsia="es-ES"/>
        </w:rPr>
        <w:footnoteReference w:id="13"/>
      </w:r>
      <w:r w:rsidR="00EC50FC" w:rsidRPr="00CF6765">
        <w:rPr>
          <w:rFonts w:eastAsia="Calibri" w:cs="Verdana"/>
          <w:snapToGrid w:val="0"/>
          <w:sz w:val="20"/>
          <w:szCs w:val="20"/>
          <w:lang w:val="en-US" w:eastAsia="es-ES"/>
        </w:rPr>
        <w:t xml:space="preserve"> and </w:t>
      </w:r>
      <w:r w:rsidR="00542AD4" w:rsidRPr="00CF6765">
        <w:rPr>
          <w:rFonts w:eastAsia="Calibri" w:cs="Verdana"/>
          <w:snapToGrid w:val="0"/>
          <w:sz w:val="20"/>
          <w:szCs w:val="20"/>
          <w:lang w:val="en-US" w:eastAsia="es-ES"/>
        </w:rPr>
        <w:t>64</w:t>
      </w:r>
      <w:r w:rsidR="00542AD4" w:rsidRPr="00CF6765">
        <w:rPr>
          <w:rFonts w:eastAsia="Calibri" w:cs="Verdana"/>
          <w:snapToGrid w:val="0"/>
          <w:sz w:val="20"/>
          <w:szCs w:val="20"/>
          <w:vertAlign w:val="superscript"/>
          <w:lang w:val="en-US" w:eastAsia="es-ES"/>
        </w:rPr>
        <w:footnoteReference w:id="14"/>
      </w:r>
      <w:r w:rsidR="005C731C" w:rsidRPr="00CF6765">
        <w:rPr>
          <w:rFonts w:eastAsia="Calibri" w:cs="Verdana"/>
          <w:snapToGrid w:val="0"/>
          <w:sz w:val="20"/>
          <w:szCs w:val="20"/>
          <w:lang w:val="en-US" w:eastAsia="es-ES"/>
        </w:rPr>
        <w:t xml:space="preserve"> of the Rules of Procedure</w:t>
      </w:r>
      <w:r w:rsidR="00C133E5" w:rsidRPr="00CF6765">
        <w:rPr>
          <w:rFonts w:eastAsia="Calibri" w:cs="Verdana"/>
          <w:snapToGrid w:val="0"/>
          <w:sz w:val="20"/>
          <w:szCs w:val="20"/>
          <w:lang w:val="en-US" w:eastAsia="es-ES"/>
        </w:rPr>
        <w:t>, as</w:t>
      </w:r>
      <w:r w:rsidRPr="00CF6765">
        <w:rPr>
          <w:rFonts w:eastAsia="Calibri" w:cs="Verdana"/>
          <w:snapToGrid w:val="0"/>
          <w:sz w:val="20"/>
          <w:szCs w:val="20"/>
          <w:lang w:val="en-US" w:eastAsia="es-ES"/>
        </w:rPr>
        <w:t xml:space="preserve"> well as in exercise of its powers of international judicial protection of human rights, a matter of international public order that transcends the will of the parties, it is incumbent on the Court to ensure </w:t>
      </w:r>
      <w:r w:rsidRPr="00CF6765">
        <w:rPr>
          <w:rFonts w:cs="Arial"/>
          <w:sz w:val="20"/>
          <w:szCs w:val="20"/>
          <w:lang w:val="en-US"/>
        </w:rPr>
        <w:t xml:space="preserve">that the acts of acquiescence are acceptable for the objectives that the inter-American system seeks to achieve. In this task, the Court is not limited to merely taking note of the acknowledgment made by the State, or to verifying the formal conditions of </w:t>
      </w:r>
      <w:r w:rsidR="001106B6" w:rsidRPr="00CF6765">
        <w:rPr>
          <w:rFonts w:cs="Arial"/>
          <w:sz w:val="20"/>
          <w:szCs w:val="20"/>
          <w:lang w:val="en-US"/>
        </w:rPr>
        <w:t>such</w:t>
      </w:r>
      <w:r w:rsidRPr="00CF6765">
        <w:rPr>
          <w:rFonts w:cs="Arial"/>
          <w:sz w:val="20"/>
          <w:szCs w:val="20"/>
          <w:lang w:val="en-US"/>
        </w:rPr>
        <w:t xml:space="preserve"> acts, but rather it must relate them to the nature and gravity of the alleged violations, the requirements and interests of justice, the particular circumstances of the specific case, and the attitude and position of the parties</w:t>
      </w:r>
      <w:r w:rsidR="001106B6" w:rsidRPr="00CF6765">
        <w:rPr>
          <w:rFonts w:cs="Arial"/>
          <w:sz w:val="20"/>
          <w:szCs w:val="20"/>
          <w:lang w:val="en-US"/>
        </w:rPr>
        <w:t>,</w:t>
      </w:r>
      <w:r w:rsidRPr="00CF6765">
        <w:rPr>
          <w:rFonts w:eastAsia="Calibri" w:cs="Verdana"/>
          <w:snapToGrid w:val="0"/>
          <w:sz w:val="20"/>
          <w:szCs w:val="20"/>
          <w:vertAlign w:val="superscript"/>
          <w:lang w:val="en-US" w:eastAsia="es-ES"/>
        </w:rPr>
        <w:footnoteReference w:id="15"/>
      </w:r>
      <w:r w:rsidRPr="00CF6765">
        <w:rPr>
          <w:rFonts w:cs="Arial"/>
          <w:sz w:val="20"/>
          <w:szCs w:val="20"/>
          <w:lang w:val="en-US"/>
        </w:rPr>
        <w:t xml:space="preserve"> </w:t>
      </w:r>
      <w:r w:rsidR="001106B6" w:rsidRPr="00CF6765">
        <w:rPr>
          <w:rFonts w:cs="Arial"/>
          <w:sz w:val="20"/>
          <w:szCs w:val="20"/>
          <w:lang w:val="en-US"/>
        </w:rPr>
        <w:t xml:space="preserve">so that, </w:t>
      </w:r>
      <w:r w:rsidRPr="00CF6765">
        <w:rPr>
          <w:rFonts w:cs="Arial"/>
          <w:sz w:val="20"/>
          <w:szCs w:val="20"/>
          <w:lang w:val="en-US"/>
        </w:rPr>
        <w:t>insofar as possible and in exercise of its competence, it is able to assess the truth about what happened</w:t>
      </w:r>
      <w:r w:rsidRPr="00CF6765">
        <w:rPr>
          <w:rFonts w:eastAsia="Times" w:cs="Verdana"/>
          <w:snapToGrid w:val="0"/>
          <w:sz w:val="20"/>
          <w:szCs w:val="20"/>
          <w:lang w:val="en-US" w:eastAsia="es-ES"/>
        </w:rPr>
        <w:t>.</w:t>
      </w:r>
      <w:r w:rsidR="00542AD4" w:rsidRPr="00CF6765">
        <w:rPr>
          <w:rFonts w:eastAsia="Calibri" w:cs="Verdana"/>
          <w:snapToGrid w:val="0"/>
          <w:sz w:val="20"/>
          <w:szCs w:val="20"/>
          <w:vertAlign w:val="superscript"/>
          <w:lang w:val="en-US" w:eastAsia="es-ES"/>
        </w:rPr>
        <w:footnoteReference w:id="16"/>
      </w:r>
      <w:r w:rsidR="00542AD4" w:rsidRPr="00CF6765">
        <w:rPr>
          <w:rFonts w:eastAsia="Calibri" w:cs="Verdana"/>
          <w:snapToGrid w:val="0"/>
          <w:sz w:val="20"/>
          <w:szCs w:val="20"/>
          <w:lang w:val="en-US" w:eastAsia="es-ES"/>
        </w:rPr>
        <w:t xml:space="preserve"> </w:t>
      </w:r>
      <w:r w:rsidR="00B460C6" w:rsidRPr="00CF6765">
        <w:rPr>
          <w:rFonts w:eastAsia="Calibri" w:cs="Verdana"/>
          <w:snapToGrid w:val="0"/>
          <w:sz w:val="20"/>
          <w:szCs w:val="20"/>
          <w:lang w:val="en-US" w:eastAsia="es-ES"/>
        </w:rPr>
        <w:t>Thus, the acknowledgement cannot result in limiting, either directly or indirectly, the exercise of the Court’s authority to hear the case submitted to it,</w:t>
      </w:r>
      <w:r w:rsidR="00542AD4" w:rsidRPr="00CF6765">
        <w:rPr>
          <w:rFonts w:eastAsia="Calibri" w:cs="Verdana"/>
          <w:snapToGrid w:val="0"/>
          <w:sz w:val="20"/>
          <w:szCs w:val="20"/>
          <w:vertAlign w:val="superscript"/>
          <w:lang w:val="en-US" w:eastAsia="es-ES"/>
        </w:rPr>
        <w:footnoteReference w:id="17"/>
      </w:r>
      <w:r w:rsidR="00EC50FC" w:rsidRPr="00CF6765">
        <w:rPr>
          <w:rFonts w:eastAsia="Calibri" w:cs="Verdana"/>
          <w:snapToGrid w:val="0"/>
          <w:sz w:val="20"/>
          <w:szCs w:val="20"/>
          <w:lang w:val="en-US" w:eastAsia="es-ES"/>
        </w:rPr>
        <w:t xml:space="preserve"> and </w:t>
      </w:r>
      <w:r w:rsidR="001106B6" w:rsidRPr="00CF6765">
        <w:rPr>
          <w:rFonts w:eastAsia="Calibri" w:cs="Verdana"/>
          <w:snapToGrid w:val="0"/>
          <w:sz w:val="20"/>
          <w:szCs w:val="20"/>
          <w:lang w:val="en-US" w:eastAsia="es-ES"/>
        </w:rPr>
        <w:t xml:space="preserve">to </w:t>
      </w:r>
      <w:r w:rsidR="00542AD4" w:rsidRPr="00CF6765">
        <w:rPr>
          <w:rFonts w:eastAsia="Calibri" w:cs="Verdana"/>
          <w:snapToGrid w:val="0"/>
          <w:sz w:val="20"/>
          <w:szCs w:val="20"/>
          <w:lang w:val="en-US" w:eastAsia="es-ES"/>
        </w:rPr>
        <w:t>decid</w:t>
      </w:r>
      <w:r w:rsidR="001106B6" w:rsidRPr="00CF6765">
        <w:rPr>
          <w:rFonts w:eastAsia="Calibri" w:cs="Verdana"/>
          <w:snapToGrid w:val="0"/>
          <w:sz w:val="20"/>
          <w:szCs w:val="20"/>
          <w:lang w:val="en-US" w:eastAsia="es-ES"/>
        </w:rPr>
        <w:t>e</w:t>
      </w:r>
      <w:r w:rsidR="00B460C6" w:rsidRPr="00CF6765">
        <w:rPr>
          <w:rFonts w:eastAsia="Calibri" w:cs="Verdana"/>
          <w:snapToGrid w:val="0"/>
          <w:sz w:val="20"/>
          <w:szCs w:val="20"/>
          <w:lang w:val="en-US" w:eastAsia="es-ES"/>
        </w:rPr>
        <w:t xml:space="preserve"> whether</w:t>
      </w:r>
      <w:r w:rsidR="001106B6" w:rsidRPr="00CF6765">
        <w:rPr>
          <w:rFonts w:eastAsia="Calibri" w:cs="Verdana"/>
          <w:snapToGrid w:val="0"/>
          <w:sz w:val="20"/>
          <w:szCs w:val="20"/>
          <w:lang w:val="en-US" w:eastAsia="es-ES"/>
        </w:rPr>
        <w:t xml:space="preserve"> </w:t>
      </w:r>
      <w:r w:rsidR="00B460C6" w:rsidRPr="00CF6765">
        <w:rPr>
          <w:rFonts w:eastAsia="Calibri" w:cs="Verdana"/>
          <w:snapToGrid w:val="0"/>
          <w:sz w:val="20"/>
          <w:szCs w:val="20"/>
          <w:lang w:val="en-US" w:eastAsia="es-ES"/>
        </w:rPr>
        <w:t xml:space="preserve">a violation of a right </w:t>
      </w:r>
      <w:r w:rsidR="001106B6" w:rsidRPr="00CF6765">
        <w:rPr>
          <w:rFonts w:eastAsia="Calibri" w:cs="Verdana"/>
          <w:snapToGrid w:val="0"/>
          <w:sz w:val="20"/>
          <w:szCs w:val="20"/>
          <w:lang w:val="en-US" w:eastAsia="es-ES"/>
        </w:rPr>
        <w:t>or</w:t>
      </w:r>
      <w:r w:rsidR="00B460C6" w:rsidRPr="00CF6765">
        <w:rPr>
          <w:rFonts w:eastAsia="Calibri" w:cs="Verdana"/>
          <w:snapToGrid w:val="0"/>
          <w:sz w:val="20"/>
          <w:szCs w:val="20"/>
          <w:lang w:val="en-US" w:eastAsia="es-ES"/>
        </w:rPr>
        <w:t xml:space="preserve"> freedom protected by </w:t>
      </w:r>
      <w:r w:rsidR="005C731C" w:rsidRPr="00CF6765">
        <w:rPr>
          <w:rFonts w:eastAsia="Calibri" w:cs="Verdana"/>
          <w:snapToGrid w:val="0"/>
          <w:sz w:val="20"/>
          <w:szCs w:val="20"/>
          <w:lang w:val="en-US" w:eastAsia="es-ES"/>
        </w:rPr>
        <w:t>the Convention</w:t>
      </w:r>
      <w:r w:rsidR="001106B6" w:rsidRPr="00CF6765">
        <w:rPr>
          <w:rFonts w:eastAsia="Calibri" w:cs="Verdana"/>
          <w:snapToGrid w:val="0"/>
          <w:sz w:val="20"/>
          <w:szCs w:val="20"/>
          <w:lang w:val="en-US" w:eastAsia="es-ES"/>
        </w:rPr>
        <w:t xml:space="preserve"> has been violated</w:t>
      </w:r>
      <w:r w:rsidR="00B460C6" w:rsidRPr="00CF6765">
        <w:rPr>
          <w:rFonts w:eastAsia="Calibri" w:cs="Verdana"/>
          <w:snapToGrid w:val="0"/>
          <w:sz w:val="20"/>
          <w:szCs w:val="20"/>
          <w:lang w:val="en-US" w:eastAsia="es-ES"/>
        </w:rPr>
        <w:t>.</w:t>
      </w:r>
      <w:r w:rsidR="00542AD4" w:rsidRPr="00CF6765">
        <w:rPr>
          <w:rFonts w:eastAsia="Calibri" w:cs="Verdana"/>
          <w:snapToGrid w:val="0"/>
          <w:sz w:val="20"/>
          <w:szCs w:val="20"/>
          <w:vertAlign w:val="superscript"/>
          <w:lang w:val="en-US" w:eastAsia="es-ES"/>
        </w:rPr>
        <w:footnoteReference w:id="18"/>
      </w:r>
      <w:r w:rsidR="00B460C6" w:rsidRPr="00CF6765">
        <w:rPr>
          <w:rFonts w:eastAsia="Calibri" w:cs="Verdana"/>
          <w:snapToGrid w:val="0"/>
          <w:sz w:val="20"/>
          <w:szCs w:val="20"/>
          <w:lang w:val="en-US" w:eastAsia="es-ES"/>
        </w:rPr>
        <w:t xml:space="preserve"> To this end, the Court analyzes the situation submitted to it in each specific case.</w:t>
      </w:r>
      <w:r w:rsidR="00542AD4" w:rsidRPr="00CF6765">
        <w:rPr>
          <w:rFonts w:eastAsia="Calibri" w:cs="Verdana"/>
          <w:snapToGrid w:val="0"/>
          <w:color w:val="000000"/>
          <w:sz w:val="20"/>
          <w:szCs w:val="20"/>
          <w:vertAlign w:val="superscript"/>
          <w:lang w:val="en-US" w:eastAsia="es-ES"/>
        </w:rPr>
        <w:footnoteReference w:id="19"/>
      </w:r>
    </w:p>
    <w:p w14:paraId="2AD8FB2C" w14:textId="77777777" w:rsidR="00542AD4" w:rsidRPr="00CF6765" w:rsidRDefault="00542AD4" w:rsidP="00542AD4">
      <w:pPr>
        <w:autoSpaceDE w:val="0"/>
        <w:autoSpaceDN w:val="0"/>
        <w:rPr>
          <w:rFonts w:eastAsia="Calibri" w:cs="Verdana"/>
          <w:snapToGrid w:val="0"/>
          <w:sz w:val="20"/>
          <w:szCs w:val="20"/>
          <w:lang w:val="en-US" w:eastAsia="es-ES"/>
        </w:rPr>
      </w:pPr>
    </w:p>
    <w:p w14:paraId="6128839A" w14:textId="7B785912" w:rsidR="00542AD4" w:rsidRPr="00CF6765" w:rsidRDefault="00542AD4" w:rsidP="00542AD4">
      <w:pPr>
        <w:pStyle w:val="Ttulo3"/>
        <w:rPr>
          <w:b/>
          <w:lang w:val="en-US"/>
        </w:rPr>
      </w:pPr>
      <w:bookmarkStart w:id="31" w:name="_Toc47864356"/>
      <w:r w:rsidRPr="00CF6765">
        <w:rPr>
          <w:b/>
          <w:lang w:val="en-US"/>
        </w:rPr>
        <w:t>1</w:t>
      </w:r>
      <w:r w:rsidR="00386E16" w:rsidRPr="00CF6765">
        <w:rPr>
          <w:b/>
          <w:lang w:val="en-US"/>
        </w:rPr>
        <w:t>.</w:t>
      </w:r>
      <w:r w:rsidRPr="00CF6765">
        <w:rPr>
          <w:b/>
          <w:lang w:val="en-US"/>
        </w:rPr>
        <w:t xml:space="preserve"> </w:t>
      </w:r>
      <w:r w:rsidRPr="00CF6765">
        <w:rPr>
          <w:b/>
          <w:lang w:val="en-US"/>
        </w:rPr>
        <w:tab/>
      </w:r>
      <w:r w:rsidR="004C0DAA" w:rsidRPr="00CF6765">
        <w:rPr>
          <w:b/>
          <w:lang w:val="en-US"/>
        </w:rPr>
        <w:t>Regarding the facts</w:t>
      </w:r>
      <w:bookmarkEnd w:id="31"/>
    </w:p>
    <w:p w14:paraId="6A4D82C2" w14:textId="77777777" w:rsidR="00542AD4" w:rsidRPr="00CF6765" w:rsidRDefault="00542AD4" w:rsidP="00542AD4">
      <w:pPr>
        <w:autoSpaceDE w:val="0"/>
        <w:autoSpaceDN w:val="0"/>
        <w:ind w:left="708"/>
        <w:rPr>
          <w:rFonts w:eastAsia="Calibri" w:cs="Verdana"/>
          <w:snapToGrid w:val="0"/>
          <w:sz w:val="20"/>
          <w:szCs w:val="20"/>
          <w:lang w:val="en-US" w:eastAsia="es-ES"/>
        </w:rPr>
      </w:pPr>
    </w:p>
    <w:p w14:paraId="09533CB3" w14:textId="1418AF07" w:rsidR="0030716C" w:rsidRPr="00CF6765" w:rsidRDefault="004C0DAA" w:rsidP="00542AD4">
      <w:pPr>
        <w:numPr>
          <w:ilvl w:val="0"/>
          <w:numId w:val="2"/>
        </w:numPr>
        <w:tabs>
          <w:tab w:val="left" w:pos="567"/>
          <w:tab w:val="num" w:pos="1569"/>
          <w:tab w:val="num" w:pos="12305"/>
        </w:tabs>
        <w:ind w:left="0" w:firstLine="0"/>
        <w:rPr>
          <w:rFonts w:eastAsia="Calibri" w:cs="Verdana"/>
          <w:bCs/>
          <w:snapToGrid w:val="0"/>
          <w:sz w:val="20"/>
          <w:szCs w:val="20"/>
          <w:lang w:val="en-US" w:eastAsia="es-ES"/>
        </w:rPr>
      </w:pPr>
      <w:r w:rsidRPr="00CF6765">
        <w:rPr>
          <w:rFonts w:eastAsia="Calibri" w:cs="Verdana"/>
          <w:snapToGrid w:val="0"/>
          <w:sz w:val="20"/>
          <w:szCs w:val="20"/>
          <w:lang w:val="en-US" w:eastAsia="es-ES"/>
        </w:rPr>
        <w:t xml:space="preserve">In this case, the State </w:t>
      </w:r>
      <w:r w:rsidR="00BF5612" w:rsidRPr="00CF6765">
        <w:rPr>
          <w:rFonts w:eastAsia="Calibri" w:cs="Verdana"/>
          <w:snapToGrid w:val="0"/>
          <w:sz w:val="20"/>
          <w:szCs w:val="20"/>
          <w:lang w:val="en-US" w:eastAsia="es-ES"/>
        </w:rPr>
        <w:t xml:space="preserve">has </w:t>
      </w:r>
      <w:r w:rsidR="0030716C" w:rsidRPr="00CF6765">
        <w:rPr>
          <w:rFonts w:eastAsia="Calibri" w:cs="Verdana"/>
          <w:snapToGrid w:val="0"/>
          <w:sz w:val="20"/>
          <w:szCs w:val="20"/>
          <w:lang w:val="en-US" w:eastAsia="es-ES"/>
        </w:rPr>
        <w:t xml:space="preserve">made a </w:t>
      </w:r>
      <w:r w:rsidR="0088423A" w:rsidRPr="00CF6765">
        <w:rPr>
          <w:rFonts w:eastAsia="Calibri" w:cs="Verdana"/>
          <w:snapToGrid w:val="0"/>
          <w:sz w:val="20"/>
          <w:szCs w:val="20"/>
          <w:lang w:val="en-US" w:eastAsia="es-ES"/>
        </w:rPr>
        <w:t>partial acknowledgement of responsibility</w:t>
      </w:r>
      <w:r w:rsidR="00542AD4" w:rsidRPr="00CF6765">
        <w:rPr>
          <w:rFonts w:eastAsia="Calibri" w:cs="Verdana"/>
          <w:snapToGrid w:val="0"/>
          <w:sz w:val="20"/>
          <w:szCs w:val="20"/>
          <w:lang w:val="en-US" w:eastAsia="es-ES"/>
        </w:rPr>
        <w:t xml:space="preserve"> </w:t>
      </w:r>
      <w:r w:rsidR="0030716C" w:rsidRPr="00CF6765">
        <w:rPr>
          <w:rFonts w:eastAsia="Calibri" w:cs="Verdana"/>
          <w:snapToGrid w:val="0"/>
          <w:sz w:val="20"/>
          <w:szCs w:val="20"/>
          <w:lang w:val="en-US" w:eastAsia="es-ES"/>
        </w:rPr>
        <w:t>in relation to the facts concerning: (</w:t>
      </w:r>
      <w:proofErr w:type="spellStart"/>
      <w:r w:rsidR="00542AD4" w:rsidRPr="00CF6765">
        <w:rPr>
          <w:rFonts w:eastAsia="Calibri" w:cs="Verdana"/>
          <w:snapToGrid w:val="0"/>
          <w:sz w:val="20"/>
          <w:szCs w:val="20"/>
          <w:lang w:val="en-US" w:eastAsia="es-ES"/>
        </w:rPr>
        <w:t>i</w:t>
      </w:r>
      <w:proofErr w:type="spellEnd"/>
      <w:r w:rsidR="00542AD4" w:rsidRPr="00CF6765">
        <w:rPr>
          <w:rFonts w:eastAsia="Calibri" w:cs="Verdana"/>
          <w:snapToGrid w:val="0"/>
          <w:sz w:val="20"/>
          <w:szCs w:val="20"/>
          <w:lang w:val="en-US" w:eastAsia="es-ES"/>
        </w:rPr>
        <w:t xml:space="preserve">) </w:t>
      </w:r>
      <w:r w:rsidR="0030716C" w:rsidRPr="00CF6765">
        <w:rPr>
          <w:rFonts w:eastAsia="Calibri" w:cs="Verdana"/>
          <w:snapToGrid w:val="0"/>
          <w:sz w:val="20"/>
          <w:szCs w:val="20"/>
          <w:lang w:val="en-US" w:eastAsia="es-ES"/>
        </w:rPr>
        <w:t xml:space="preserve">the decision on the medical discharge; (ii) Mr. Poblete </w:t>
      </w:r>
      <w:proofErr w:type="spellStart"/>
      <w:r w:rsidR="001E55C3" w:rsidRPr="00CF6765">
        <w:rPr>
          <w:rFonts w:eastAsia="Calibri" w:cs="Verdana"/>
          <w:snapToGrid w:val="0"/>
          <w:sz w:val="20"/>
          <w:szCs w:val="20"/>
          <w:lang w:val="en-US" w:eastAsia="es-ES"/>
        </w:rPr>
        <w:t>Vilches’s</w:t>
      </w:r>
      <w:proofErr w:type="spellEnd"/>
      <w:r w:rsidR="001E55C3" w:rsidRPr="00CF6765">
        <w:rPr>
          <w:rFonts w:eastAsia="Calibri" w:cs="Verdana"/>
          <w:snapToGrid w:val="0"/>
          <w:sz w:val="20"/>
          <w:szCs w:val="20"/>
          <w:lang w:val="en-US" w:eastAsia="es-ES"/>
        </w:rPr>
        <w:t xml:space="preserve"> </w:t>
      </w:r>
      <w:r w:rsidR="0030716C" w:rsidRPr="00CF6765">
        <w:rPr>
          <w:rFonts w:eastAsia="Calibri" w:cs="Verdana"/>
          <w:snapToGrid w:val="0"/>
          <w:sz w:val="20"/>
          <w:szCs w:val="20"/>
          <w:lang w:val="en-US" w:eastAsia="es-ES"/>
        </w:rPr>
        <w:t xml:space="preserve">re-admission to the hospital and the State’s lack of diligence during his hospitalization as regards the measures that should have been taken to address his situation, the lack of an available bed in the hospital, and the fact that Mr. Poblete </w:t>
      </w:r>
      <w:proofErr w:type="spellStart"/>
      <w:r w:rsidR="0030716C" w:rsidRPr="00CF6765">
        <w:rPr>
          <w:rFonts w:eastAsia="Calibri" w:cs="Verdana"/>
          <w:snapToGrid w:val="0"/>
          <w:sz w:val="20"/>
          <w:szCs w:val="20"/>
          <w:lang w:val="en-US" w:eastAsia="es-ES"/>
        </w:rPr>
        <w:t>Vilches</w:t>
      </w:r>
      <w:proofErr w:type="spellEnd"/>
      <w:r w:rsidR="0030716C" w:rsidRPr="00CF6765">
        <w:rPr>
          <w:rFonts w:eastAsia="Calibri" w:cs="Verdana"/>
          <w:snapToGrid w:val="0"/>
          <w:sz w:val="20"/>
          <w:szCs w:val="20"/>
          <w:lang w:val="en-US" w:eastAsia="es-ES"/>
        </w:rPr>
        <w:t xml:space="preserve"> was not transferred to another hospital; (iii) the failure to obtain informed consent for the </w:t>
      </w:r>
      <w:r w:rsidR="00BF5612" w:rsidRPr="00CF6765">
        <w:rPr>
          <w:rFonts w:eastAsia="Calibri" w:cs="Verdana"/>
          <w:snapToGrid w:val="0"/>
          <w:sz w:val="20"/>
          <w:szCs w:val="20"/>
          <w:lang w:val="en-US" w:eastAsia="es-ES"/>
        </w:rPr>
        <w:t>surgical procedure</w:t>
      </w:r>
      <w:r w:rsidR="0030716C" w:rsidRPr="00CF6765">
        <w:rPr>
          <w:rFonts w:eastAsia="Calibri" w:cs="Verdana"/>
          <w:snapToGrid w:val="0"/>
          <w:sz w:val="20"/>
          <w:szCs w:val="20"/>
          <w:lang w:val="en-US" w:eastAsia="es-ES"/>
        </w:rPr>
        <w:t xml:space="preserve"> performed on Mr. Poblete </w:t>
      </w:r>
      <w:proofErr w:type="spellStart"/>
      <w:r w:rsidR="0030716C" w:rsidRPr="00CF6765">
        <w:rPr>
          <w:rFonts w:eastAsia="Calibri" w:cs="Verdana"/>
          <w:snapToGrid w:val="0"/>
          <w:sz w:val="20"/>
          <w:szCs w:val="20"/>
          <w:lang w:val="en-US" w:eastAsia="es-ES"/>
        </w:rPr>
        <w:t>Vilches</w:t>
      </w:r>
      <w:proofErr w:type="spellEnd"/>
      <w:r w:rsidR="0030716C" w:rsidRPr="00CF6765">
        <w:rPr>
          <w:rFonts w:eastAsia="Calibri" w:cs="Verdana"/>
          <w:snapToGrid w:val="0"/>
          <w:sz w:val="20"/>
          <w:szCs w:val="20"/>
          <w:lang w:val="en-US" w:eastAsia="es-ES"/>
        </w:rPr>
        <w:t>, and (iv) that the actions of the judicial authorities were not conducted within a reasonable time.</w:t>
      </w:r>
    </w:p>
    <w:p w14:paraId="654408A4" w14:textId="77777777" w:rsidR="00542AD4" w:rsidRPr="00CF6765" w:rsidRDefault="00542AD4" w:rsidP="00542AD4">
      <w:pPr>
        <w:tabs>
          <w:tab w:val="left" w:pos="567"/>
        </w:tabs>
        <w:rPr>
          <w:rFonts w:eastAsia="Calibri" w:cs="Verdana"/>
          <w:bCs/>
          <w:snapToGrid w:val="0"/>
          <w:sz w:val="20"/>
          <w:szCs w:val="20"/>
          <w:lang w:val="en-US" w:eastAsia="es-ES"/>
        </w:rPr>
      </w:pPr>
    </w:p>
    <w:p w14:paraId="2643F7D9" w14:textId="494D1305" w:rsidR="008F31F2" w:rsidRPr="00CF6765" w:rsidRDefault="0030716C" w:rsidP="00542AD4">
      <w:pPr>
        <w:numPr>
          <w:ilvl w:val="0"/>
          <w:numId w:val="2"/>
        </w:numPr>
        <w:tabs>
          <w:tab w:val="left" w:pos="567"/>
          <w:tab w:val="num" w:pos="1569"/>
          <w:tab w:val="num" w:pos="12305"/>
        </w:tabs>
        <w:ind w:left="0" w:firstLine="0"/>
        <w:rPr>
          <w:rFonts w:eastAsia="Calibri" w:cs="Verdana"/>
          <w:bCs/>
          <w:snapToGrid w:val="0"/>
          <w:sz w:val="20"/>
          <w:szCs w:val="20"/>
          <w:lang w:val="en-US" w:eastAsia="es-ES"/>
        </w:rPr>
      </w:pPr>
      <w:r w:rsidRPr="00CF6765">
        <w:rPr>
          <w:rFonts w:eastAsia="Calibri" w:cs="Verdana"/>
          <w:bCs/>
          <w:snapToGrid w:val="0"/>
          <w:sz w:val="20"/>
          <w:szCs w:val="20"/>
          <w:lang w:val="en-US" w:eastAsia="es-ES"/>
        </w:rPr>
        <w:t>I</w:t>
      </w:r>
      <w:r w:rsidR="00542AD4" w:rsidRPr="00CF6765">
        <w:rPr>
          <w:rFonts w:eastAsia="Calibri" w:cs="Verdana"/>
          <w:bCs/>
          <w:snapToGrid w:val="0"/>
          <w:sz w:val="20"/>
          <w:szCs w:val="20"/>
          <w:lang w:val="en-US" w:eastAsia="es-ES"/>
        </w:rPr>
        <w:t xml:space="preserve">n particular, </w:t>
      </w:r>
      <w:r w:rsidR="005C731C" w:rsidRPr="00CF6765">
        <w:rPr>
          <w:rFonts w:eastAsia="Calibri" w:cs="Verdana"/>
          <w:bCs/>
          <w:snapToGrid w:val="0"/>
          <w:sz w:val="20"/>
          <w:szCs w:val="20"/>
          <w:lang w:val="en-US" w:eastAsia="es-ES"/>
        </w:rPr>
        <w:t>the Court</w:t>
      </w:r>
      <w:r w:rsidR="00542AD4" w:rsidRPr="00CF6765">
        <w:rPr>
          <w:rFonts w:eastAsia="Calibri" w:cs="Verdana"/>
          <w:bCs/>
          <w:snapToGrid w:val="0"/>
          <w:sz w:val="20"/>
          <w:szCs w:val="20"/>
          <w:lang w:val="en-US" w:eastAsia="es-ES"/>
        </w:rPr>
        <w:t xml:space="preserve"> not</w:t>
      </w:r>
      <w:r w:rsidRPr="00CF6765">
        <w:rPr>
          <w:rFonts w:eastAsia="Calibri" w:cs="Verdana"/>
          <w:bCs/>
          <w:snapToGrid w:val="0"/>
          <w:sz w:val="20"/>
          <w:szCs w:val="20"/>
          <w:lang w:val="en-US" w:eastAsia="es-ES"/>
        </w:rPr>
        <w:t>es that some disputes subsist in relation to several fact</w:t>
      </w:r>
      <w:r w:rsidR="00BF5612" w:rsidRPr="00CF6765">
        <w:rPr>
          <w:rFonts w:eastAsia="Calibri" w:cs="Verdana"/>
          <w:bCs/>
          <w:snapToGrid w:val="0"/>
          <w:sz w:val="20"/>
          <w:szCs w:val="20"/>
          <w:lang w:val="en-US" w:eastAsia="es-ES"/>
        </w:rPr>
        <w:t>s</w:t>
      </w:r>
      <w:r w:rsidRPr="00CF6765">
        <w:rPr>
          <w:rFonts w:eastAsia="Calibri" w:cs="Verdana"/>
          <w:bCs/>
          <w:snapToGrid w:val="0"/>
          <w:sz w:val="20"/>
          <w:szCs w:val="20"/>
          <w:lang w:val="en-US" w:eastAsia="es-ES"/>
        </w:rPr>
        <w:t xml:space="preserve"> that have not been acknowledged by the State</w:t>
      </w:r>
      <w:r w:rsidR="008F31F2" w:rsidRPr="00CF6765">
        <w:rPr>
          <w:rFonts w:eastAsia="Calibri" w:cs="Verdana"/>
          <w:bCs/>
          <w:snapToGrid w:val="0"/>
          <w:sz w:val="20"/>
          <w:szCs w:val="20"/>
          <w:lang w:val="en-US" w:eastAsia="es-ES"/>
        </w:rPr>
        <w:t xml:space="preserve">, </w:t>
      </w:r>
      <w:r w:rsidRPr="00CF6765">
        <w:rPr>
          <w:rFonts w:eastAsia="Calibri" w:cs="Verdana"/>
          <w:bCs/>
          <w:snapToGrid w:val="0"/>
          <w:sz w:val="20"/>
          <w:szCs w:val="20"/>
          <w:lang w:val="en-US" w:eastAsia="es-ES"/>
        </w:rPr>
        <w:t xml:space="preserve">specifically </w:t>
      </w:r>
      <w:r w:rsidR="00BF5612" w:rsidRPr="00CF6765">
        <w:rPr>
          <w:rFonts w:eastAsia="Calibri" w:cs="Verdana"/>
          <w:bCs/>
          <w:snapToGrid w:val="0"/>
          <w:sz w:val="20"/>
          <w:szCs w:val="20"/>
          <w:lang w:val="en-US" w:eastAsia="es-ES"/>
        </w:rPr>
        <w:t>those</w:t>
      </w:r>
      <w:r w:rsidRPr="00CF6765">
        <w:rPr>
          <w:rFonts w:eastAsia="Calibri" w:cs="Verdana"/>
          <w:bCs/>
          <w:snapToGrid w:val="0"/>
          <w:sz w:val="20"/>
          <w:szCs w:val="20"/>
          <w:lang w:val="en-US" w:eastAsia="es-ES"/>
        </w:rPr>
        <w:t xml:space="preserve"> relating to</w:t>
      </w:r>
      <w:r w:rsidR="00BF5612" w:rsidRPr="00CF6765">
        <w:rPr>
          <w:rFonts w:eastAsia="Calibri" w:cs="Verdana"/>
          <w:bCs/>
          <w:snapToGrid w:val="0"/>
          <w:sz w:val="20"/>
          <w:szCs w:val="20"/>
          <w:lang w:val="en-US" w:eastAsia="es-ES"/>
        </w:rPr>
        <w:t>:</w:t>
      </w:r>
      <w:r w:rsidRPr="00CF6765">
        <w:rPr>
          <w:rFonts w:eastAsia="Calibri" w:cs="Verdana"/>
          <w:bCs/>
          <w:snapToGrid w:val="0"/>
          <w:sz w:val="20"/>
          <w:szCs w:val="20"/>
          <w:lang w:val="en-US" w:eastAsia="es-ES"/>
        </w:rPr>
        <w:t xml:space="preserve"> the actions of the </w:t>
      </w:r>
      <w:r w:rsidR="008F31F2" w:rsidRPr="00CF6765">
        <w:rPr>
          <w:rFonts w:eastAsia="Calibri" w:cs="Verdana"/>
          <w:bCs/>
          <w:snapToGrid w:val="0"/>
          <w:sz w:val="20"/>
          <w:szCs w:val="20"/>
          <w:lang w:val="en-US" w:eastAsia="es-ES"/>
        </w:rPr>
        <w:t>medical staff and the impact</w:t>
      </w:r>
      <w:r w:rsidR="00BF5612" w:rsidRPr="00CF6765">
        <w:rPr>
          <w:rFonts w:eastAsia="Calibri" w:cs="Verdana"/>
          <w:bCs/>
          <w:snapToGrid w:val="0"/>
          <w:sz w:val="20"/>
          <w:szCs w:val="20"/>
          <w:lang w:val="en-US" w:eastAsia="es-ES"/>
        </w:rPr>
        <w:t xml:space="preserve"> of these</w:t>
      </w:r>
      <w:r w:rsidR="008F31F2" w:rsidRPr="00CF6765">
        <w:rPr>
          <w:rFonts w:eastAsia="Calibri" w:cs="Verdana"/>
          <w:bCs/>
          <w:snapToGrid w:val="0"/>
          <w:sz w:val="20"/>
          <w:szCs w:val="20"/>
          <w:lang w:val="en-US" w:eastAsia="es-ES"/>
        </w:rPr>
        <w:t xml:space="preserve"> on the health of Mr. Poblete </w:t>
      </w:r>
      <w:proofErr w:type="spellStart"/>
      <w:r w:rsidR="008F31F2" w:rsidRPr="00CF6765">
        <w:rPr>
          <w:rFonts w:eastAsia="Calibri" w:cs="Verdana"/>
          <w:bCs/>
          <w:snapToGrid w:val="0"/>
          <w:sz w:val="20"/>
          <w:szCs w:val="20"/>
          <w:lang w:val="en-US" w:eastAsia="es-ES"/>
        </w:rPr>
        <w:t>Vilches</w:t>
      </w:r>
      <w:proofErr w:type="spellEnd"/>
      <w:r w:rsidR="008F31F2" w:rsidRPr="00CF6765">
        <w:rPr>
          <w:rFonts w:eastAsia="Calibri" w:cs="Verdana"/>
          <w:bCs/>
          <w:snapToGrid w:val="0"/>
          <w:sz w:val="20"/>
          <w:szCs w:val="20"/>
          <w:lang w:val="en-US" w:eastAsia="es-ES"/>
        </w:rPr>
        <w:t>, especially their relationship to his death</w:t>
      </w:r>
      <w:r w:rsidR="00BF5612" w:rsidRPr="00CF6765">
        <w:rPr>
          <w:rFonts w:eastAsia="Calibri" w:cs="Verdana"/>
          <w:bCs/>
          <w:snapToGrid w:val="0"/>
          <w:sz w:val="20"/>
          <w:szCs w:val="20"/>
          <w:lang w:val="en-US" w:eastAsia="es-ES"/>
        </w:rPr>
        <w:t>;</w:t>
      </w:r>
      <w:r w:rsidR="008F31F2" w:rsidRPr="00CF6765">
        <w:rPr>
          <w:rFonts w:eastAsia="Calibri" w:cs="Verdana"/>
          <w:bCs/>
          <w:snapToGrid w:val="0"/>
          <w:sz w:val="20"/>
          <w:szCs w:val="20"/>
          <w:lang w:val="en-US" w:eastAsia="es-ES"/>
        </w:rPr>
        <w:t xml:space="preserve"> obtaining consent to perform the surgical </w:t>
      </w:r>
      <w:r w:rsidR="00BF5612" w:rsidRPr="00CF6765">
        <w:rPr>
          <w:rFonts w:eastAsia="Calibri" w:cs="Verdana"/>
          <w:bCs/>
          <w:snapToGrid w:val="0"/>
          <w:sz w:val="20"/>
          <w:szCs w:val="20"/>
          <w:lang w:val="en-US" w:eastAsia="es-ES"/>
        </w:rPr>
        <w:t>procedure,</w:t>
      </w:r>
      <w:r w:rsidR="008F31F2" w:rsidRPr="00CF6765">
        <w:rPr>
          <w:rFonts w:eastAsia="Calibri" w:cs="Verdana"/>
          <w:bCs/>
          <w:snapToGrid w:val="0"/>
          <w:sz w:val="20"/>
          <w:szCs w:val="20"/>
          <w:lang w:val="en-US" w:eastAsia="es-ES"/>
        </w:rPr>
        <w:t xml:space="preserve"> and the treatment of his family by the </w:t>
      </w:r>
      <w:r w:rsidR="008F31F2" w:rsidRPr="00CF6765">
        <w:rPr>
          <w:rFonts w:eastAsia="Calibri" w:cs="Verdana"/>
          <w:bCs/>
          <w:snapToGrid w:val="0"/>
          <w:sz w:val="20"/>
          <w:szCs w:val="20"/>
          <w:lang w:val="en-US" w:eastAsia="es-ES"/>
        </w:rPr>
        <w:lastRenderedPageBreak/>
        <w:t xml:space="preserve">medical staff. Consequently, the Court finds it appropriate to </w:t>
      </w:r>
      <w:r w:rsidR="00BF5612" w:rsidRPr="00CF6765">
        <w:rPr>
          <w:rFonts w:eastAsia="Calibri" w:cs="Verdana"/>
          <w:bCs/>
          <w:snapToGrid w:val="0"/>
          <w:sz w:val="20"/>
          <w:szCs w:val="20"/>
          <w:lang w:val="en-US" w:eastAsia="es-ES"/>
        </w:rPr>
        <w:t>examine</w:t>
      </w:r>
      <w:r w:rsidR="008F31F2" w:rsidRPr="00CF6765">
        <w:rPr>
          <w:rFonts w:eastAsia="Calibri" w:cs="Verdana"/>
          <w:bCs/>
          <w:snapToGrid w:val="0"/>
          <w:sz w:val="20"/>
          <w:szCs w:val="20"/>
          <w:lang w:val="en-US" w:eastAsia="es-ES"/>
        </w:rPr>
        <w:t xml:space="preserve"> the disputed facts in Chapter VI of this judgement.</w:t>
      </w:r>
    </w:p>
    <w:p w14:paraId="3CB3DED5" w14:textId="77777777" w:rsidR="00542AD4" w:rsidRPr="00CF6765" w:rsidRDefault="00542AD4" w:rsidP="00542AD4">
      <w:pPr>
        <w:autoSpaceDE w:val="0"/>
        <w:autoSpaceDN w:val="0"/>
        <w:rPr>
          <w:rFonts w:eastAsia="Calibri" w:cs="Verdana"/>
          <w:bCs/>
          <w:snapToGrid w:val="0"/>
          <w:sz w:val="20"/>
          <w:szCs w:val="20"/>
          <w:lang w:val="en-US" w:eastAsia="es-ES"/>
        </w:rPr>
      </w:pPr>
    </w:p>
    <w:p w14:paraId="5B78709D" w14:textId="4CB0250D" w:rsidR="00542AD4" w:rsidRPr="00CF6765" w:rsidRDefault="00542AD4" w:rsidP="00542AD4">
      <w:pPr>
        <w:pStyle w:val="Ttulo3"/>
        <w:rPr>
          <w:b/>
          <w:lang w:val="en-US"/>
        </w:rPr>
      </w:pPr>
      <w:bookmarkStart w:id="32" w:name="_Toc47864357"/>
      <w:r w:rsidRPr="00CF6765">
        <w:rPr>
          <w:b/>
          <w:lang w:val="en-US"/>
        </w:rPr>
        <w:t>2</w:t>
      </w:r>
      <w:r w:rsidR="00386E16" w:rsidRPr="00CF6765">
        <w:rPr>
          <w:b/>
          <w:lang w:val="en-US"/>
        </w:rPr>
        <w:t>.</w:t>
      </w:r>
      <w:r w:rsidRPr="00CF6765">
        <w:rPr>
          <w:b/>
          <w:lang w:val="en-US"/>
        </w:rPr>
        <w:t xml:space="preserve"> </w:t>
      </w:r>
      <w:r w:rsidRPr="00CF6765">
        <w:rPr>
          <w:b/>
          <w:lang w:val="en-US"/>
        </w:rPr>
        <w:tab/>
      </w:r>
      <w:r w:rsidR="008F31F2" w:rsidRPr="00CF6765">
        <w:rPr>
          <w:b/>
          <w:lang w:val="en-US"/>
        </w:rPr>
        <w:t>Regarding the legal claims</w:t>
      </w:r>
      <w:bookmarkEnd w:id="32"/>
    </w:p>
    <w:p w14:paraId="36850BB4" w14:textId="77777777" w:rsidR="00542AD4" w:rsidRPr="00CF6765" w:rsidRDefault="00542AD4" w:rsidP="00542AD4">
      <w:pPr>
        <w:tabs>
          <w:tab w:val="left" w:pos="567"/>
        </w:tabs>
        <w:rPr>
          <w:rFonts w:eastAsia="Calibri" w:cs="Verdana"/>
          <w:snapToGrid w:val="0"/>
          <w:sz w:val="20"/>
          <w:szCs w:val="20"/>
          <w:lang w:val="en-US" w:eastAsia="es-ES"/>
        </w:rPr>
      </w:pPr>
    </w:p>
    <w:p w14:paraId="291EDBF9" w14:textId="72FEBDF9" w:rsidR="00542AD4" w:rsidRPr="00CF6765" w:rsidRDefault="005C731C" w:rsidP="00542AD4">
      <w:pPr>
        <w:numPr>
          <w:ilvl w:val="0"/>
          <w:numId w:val="2"/>
        </w:numPr>
        <w:tabs>
          <w:tab w:val="left" w:pos="567"/>
          <w:tab w:val="num" w:pos="1569"/>
          <w:tab w:val="num" w:pos="12305"/>
        </w:tabs>
        <w:ind w:left="0" w:firstLine="0"/>
        <w:rPr>
          <w:rFonts w:eastAsia="Calibri" w:cs="Verdana"/>
          <w:snapToGrid w:val="0"/>
          <w:sz w:val="20"/>
          <w:szCs w:val="20"/>
          <w:lang w:val="en-US" w:eastAsia="es-ES"/>
        </w:rPr>
      </w:pPr>
      <w:r w:rsidRPr="00CF6765">
        <w:rPr>
          <w:rFonts w:eastAsia="Calibri" w:cs="Verdana"/>
          <w:snapToGrid w:val="0"/>
          <w:sz w:val="20"/>
          <w:szCs w:val="20"/>
          <w:lang w:val="en-US" w:eastAsia="es-ES"/>
        </w:rPr>
        <w:t>The Court</w:t>
      </w:r>
      <w:r w:rsidR="00542AD4" w:rsidRPr="00CF6765">
        <w:rPr>
          <w:rFonts w:eastAsia="Calibri" w:cs="Verdana"/>
          <w:snapToGrid w:val="0"/>
          <w:sz w:val="20"/>
          <w:szCs w:val="20"/>
          <w:lang w:val="en-US" w:eastAsia="es-ES"/>
        </w:rPr>
        <w:t xml:space="preserve"> </w:t>
      </w:r>
      <w:r w:rsidR="008F31F2" w:rsidRPr="00CF6765">
        <w:rPr>
          <w:rFonts w:eastAsia="Calibri" w:cs="Verdana"/>
          <w:snapToGrid w:val="0"/>
          <w:sz w:val="20"/>
          <w:szCs w:val="20"/>
          <w:lang w:val="en-US" w:eastAsia="es-ES"/>
        </w:rPr>
        <w:t>notes that</w:t>
      </w:r>
      <w:r w:rsidR="00542AD4" w:rsidRPr="00CF6765">
        <w:rPr>
          <w:rFonts w:eastAsia="Calibri" w:cs="Verdana"/>
          <w:snapToGrid w:val="0"/>
          <w:sz w:val="20"/>
          <w:szCs w:val="20"/>
          <w:lang w:val="en-US" w:eastAsia="es-ES"/>
        </w:rPr>
        <w:t xml:space="preserve"> </w:t>
      </w:r>
      <w:r w:rsidR="00EC50FC" w:rsidRPr="00CF6765">
        <w:rPr>
          <w:rFonts w:eastAsia="Calibri" w:cs="Verdana"/>
          <w:snapToGrid w:val="0"/>
          <w:sz w:val="20"/>
          <w:szCs w:val="20"/>
          <w:lang w:val="en-US" w:eastAsia="es-ES"/>
        </w:rPr>
        <w:t>the State</w:t>
      </w:r>
      <w:r w:rsidR="00542AD4" w:rsidRPr="00CF6765">
        <w:rPr>
          <w:rFonts w:eastAsia="Calibri" w:cs="Verdana"/>
          <w:snapToGrid w:val="0"/>
          <w:sz w:val="20"/>
          <w:szCs w:val="20"/>
          <w:lang w:val="en-US" w:eastAsia="es-ES"/>
        </w:rPr>
        <w:t xml:space="preserve"> </w:t>
      </w:r>
      <w:r w:rsidR="0088423A" w:rsidRPr="00CF6765">
        <w:rPr>
          <w:rFonts w:eastAsia="Calibri" w:cs="Verdana"/>
          <w:snapToGrid w:val="0"/>
          <w:sz w:val="20"/>
          <w:szCs w:val="20"/>
          <w:lang w:val="en-US" w:eastAsia="es-ES"/>
        </w:rPr>
        <w:t>recognized its</w:t>
      </w:r>
      <w:r w:rsidR="00542AD4" w:rsidRPr="00CF6765">
        <w:rPr>
          <w:rFonts w:eastAsia="Calibri" w:cs="Verdana"/>
          <w:snapToGrid w:val="0"/>
          <w:sz w:val="20"/>
          <w:szCs w:val="20"/>
          <w:lang w:val="en-US" w:eastAsia="es-ES"/>
        </w:rPr>
        <w:t xml:space="preserve"> </w:t>
      </w:r>
      <w:r w:rsidR="0088423A" w:rsidRPr="00CF6765">
        <w:rPr>
          <w:rFonts w:eastAsia="Calibri" w:cs="Verdana"/>
          <w:snapToGrid w:val="0"/>
          <w:sz w:val="20"/>
          <w:szCs w:val="20"/>
          <w:lang w:val="en-US" w:eastAsia="es-ES"/>
        </w:rPr>
        <w:t>international responsibility</w:t>
      </w:r>
      <w:r w:rsidR="00542AD4" w:rsidRPr="00CF6765">
        <w:rPr>
          <w:rFonts w:eastAsia="Calibri" w:cs="Verdana"/>
          <w:snapToGrid w:val="0"/>
          <w:sz w:val="20"/>
          <w:szCs w:val="20"/>
          <w:lang w:val="en-US" w:eastAsia="es-ES"/>
        </w:rPr>
        <w:t xml:space="preserve"> </w:t>
      </w:r>
      <w:r w:rsidR="008F31F2" w:rsidRPr="00CF6765">
        <w:rPr>
          <w:rFonts w:eastAsia="Calibri" w:cs="Verdana"/>
          <w:snapToGrid w:val="0"/>
          <w:sz w:val="20"/>
          <w:szCs w:val="20"/>
          <w:lang w:val="en-US" w:eastAsia="es-ES"/>
        </w:rPr>
        <w:t>for the violation of</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Article</w:t>
      </w:r>
      <w:r w:rsidR="00542AD4" w:rsidRPr="00CF6765">
        <w:rPr>
          <w:rFonts w:eastAsia="Calibri" w:cs="Verdana"/>
          <w:snapToGrid w:val="0"/>
          <w:sz w:val="20"/>
          <w:szCs w:val="20"/>
          <w:lang w:val="en-US" w:eastAsia="es-ES"/>
        </w:rPr>
        <w:t xml:space="preserve"> 13 </w:t>
      </w:r>
      <w:r w:rsidR="008F31F2" w:rsidRPr="00CF6765">
        <w:rPr>
          <w:rFonts w:eastAsia="Calibri" w:cs="Verdana"/>
          <w:snapToGrid w:val="0"/>
          <w:sz w:val="20"/>
          <w:szCs w:val="20"/>
          <w:lang w:val="en-US" w:eastAsia="es-ES"/>
        </w:rPr>
        <w:t>in connection with</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Articles</w:t>
      </w:r>
      <w:r w:rsidR="00542AD4" w:rsidRPr="00CF6765">
        <w:rPr>
          <w:rFonts w:eastAsia="Calibri" w:cs="Verdana"/>
          <w:snapToGrid w:val="0"/>
          <w:sz w:val="20"/>
          <w:szCs w:val="20"/>
          <w:lang w:val="en-US" w:eastAsia="es-ES"/>
        </w:rPr>
        <w:t xml:space="preserve"> 4</w:t>
      </w:r>
      <w:r w:rsidR="00EC50FC" w:rsidRPr="00CF6765">
        <w:rPr>
          <w:rFonts w:eastAsia="Calibri" w:cs="Verdana"/>
          <w:snapToGrid w:val="0"/>
          <w:sz w:val="20"/>
          <w:szCs w:val="20"/>
          <w:lang w:val="en-US" w:eastAsia="es-ES"/>
        </w:rPr>
        <w:t xml:space="preserve"> and </w:t>
      </w:r>
      <w:r w:rsidR="00542AD4" w:rsidRPr="00CF6765">
        <w:rPr>
          <w:rFonts w:eastAsia="Calibri" w:cs="Verdana"/>
          <w:snapToGrid w:val="0"/>
          <w:sz w:val="20"/>
          <w:szCs w:val="20"/>
          <w:lang w:val="en-US" w:eastAsia="es-ES"/>
        </w:rPr>
        <w:t>5</w:t>
      </w:r>
      <w:r w:rsidRPr="00CF6765">
        <w:rPr>
          <w:rFonts w:eastAsia="Calibri" w:cs="Verdana"/>
          <w:snapToGrid w:val="0"/>
          <w:sz w:val="20"/>
          <w:szCs w:val="20"/>
          <w:lang w:val="en-US" w:eastAsia="es-ES"/>
        </w:rPr>
        <w:t xml:space="preserve"> of the American Convention</w:t>
      </w:r>
      <w:r w:rsidR="00EC50FC" w:rsidRPr="00CF6765">
        <w:rPr>
          <w:rFonts w:eastAsia="Calibri" w:cs="Verdana"/>
          <w:snapToGrid w:val="0"/>
          <w:sz w:val="20"/>
          <w:szCs w:val="20"/>
          <w:lang w:val="en-US" w:eastAsia="es-ES"/>
        </w:rPr>
        <w:t xml:space="preserve"> and </w:t>
      </w:r>
      <w:r w:rsidR="008F31F2" w:rsidRPr="00CF6765">
        <w:rPr>
          <w:rFonts w:eastAsia="Batang"/>
          <w:sz w:val="20"/>
          <w:szCs w:val="20"/>
          <w:lang w:val="en-US" w:eastAsia="en-US"/>
        </w:rPr>
        <w:t xml:space="preserve">in relation to the obligations established in </w:t>
      </w:r>
      <w:r w:rsidR="00EC50FC" w:rsidRPr="00CF6765">
        <w:rPr>
          <w:rFonts w:eastAsia="Batang"/>
          <w:sz w:val="20"/>
          <w:szCs w:val="20"/>
          <w:lang w:val="en-US" w:eastAsia="en-US"/>
        </w:rPr>
        <w:t xml:space="preserve">Articles 1(1) and </w:t>
      </w:r>
      <w:r w:rsidR="00542AD4" w:rsidRPr="00CF6765">
        <w:rPr>
          <w:rFonts w:eastAsia="Batang"/>
          <w:sz w:val="20"/>
          <w:szCs w:val="20"/>
          <w:lang w:val="en-US" w:eastAsia="en-US"/>
        </w:rPr>
        <w:t xml:space="preserve">2 </w:t>
      </w:r>
      <w:r w:rsidR="00690D57" w:rsidRPr="00CF6765">
        <w:rPr>
          <w:rFonts w:eastAsia="Batang"/>
          <w:sz w:val="20"/>
          <w:szCs w:val="20"/>
          <w:lang w:val="en-US" w:eastAsia="en-US"/>
        </w:rPr>
        <w:t xml:space="preserve">of this </w:t>
      </w:r>
      <w:proofErr w:type="gramStart"/>
      <w:r w:rsidR="00690D57" w:rsidRPr="00CF6765">
        <w:rPr>
          <w:rFonts w:eastAsia="Batang"/>
          <w:sz w:val="20"/>
          <w:szCs w:val="20"/>
          <w:lang w:val="en-US" w:eastAsia="en-US"/>
        </w:rPr>
        <w:t>instrument</w:t>
      </w:r>
      <w:proofErr w:type="gramEnd"/>
      <w:r w:rsidR="00542AD4" w:rsidRPr="00CF6765">
        <w:rPr>
          <w:rFonts w:eastAsia="Calibri" w:cs="Verdana"/>
          <w:snapToGrid w:val="0"/>
          <w:sz w:val="20"/>
          <w:szCs w:val="20"/>
          <w:lang w:val="en-US" w:eastAsia="es-ES"/>
        </w:rPr>
        <w:t xml:space="preserve">, </w:t>
      </w:r>
      <w:r w:rsidR="00690D57" w:rsidRPr="00CF6765">
        <w:rPr>
          <w:rFonts w:eastAsia="Calibri" w:cs="Verdana"/>
          <w:snapToGrid w:val="0"/>
          <w:sz w:val="20"/>
          <w:szCs w:val="20"/>
          <w:lang w:val="en-US" w:eastAsia="es-ES"/>
        </w:rPr>
        <w:t xml:space="preserve">to the detriment </w:t>
      </w:r>
      <w:r w:rsidR="009339F5" w:rsidRPr="00CF6765">
        <w:rPr>
          <w:rFonts w:eastAsia="Calibri" w:cs="Verdana"/>
          <w:snapToGrid w:val="0"/>
          <w:sz w:val="20"/>
          <w:szCs w:val="20"/>
          <w:lang w:val="en-US" w:eastAsia="es-ES"/>
        </w:rPr>
        <w:t>of Mr. Poblete</w:t>
      </w:r>
      <w:r w:rsidR="00542AD4" w:rsidRPr="00CF6765">
        <w:rPr>
          <w:rFonts w:eastAsia="Calibri" w:cs="Verdana"/>
          <w:snapToGrid w:val="0"/>
          <w:sz w:val="20"/>
          <w:szCs w:val="20"/>
          <w:lang w:val="en-US" w:eastAsia="es-ES"/>
        </w:rPr>
        <w:t xml:space="preserve"> </w:t>
      </w:r>
      <w:proofErr w:type="spellStart"/>
      <w:r w:rsidR="00542AD4" w:rsidRPr="00CF6765">
        <w:rPr>
          <w:rFonts w:eastAsia="Calibri" w:cs="Verdana"/>
          <w:snapToGrid w:val="0"/>
          <w:sz w:val="20"/>
          <w:szCs w:val="20"/>
          <w:lang w:val="en-US" w:eastAsia="es-ES"/>
        </w:rPr>
        <w:t>Vilches</w:t>
      </w:r>
      <w:proofErr w:type="spellEnd"/>
      <w:r w:rsidR="00EC50FC" w:rsidRPr="00CF6765">
        <w:rPr>
          <w:rFonts w:eastAsia="Calibri" w:cs="Verdana"/>
          <w:snapToGrid w:val="0"/>
          <w:sz w:val="20"/>
          <w:szCs w:val="20"/>
          <w:lang w:val="en-US" w:eastAsia="es-ES"/>
        </w:rPr>
        <w:t xml:space="preserve"> and </w:t>
      </w:r>
      <w:r w:rsidR="008F31F2" w:rsidRPr="00CF6765">
        <w:rPr>
          <w:rFonts w:eastAsia="Calibri" w:cs="Verdana"/>
          <w:snapToGrid w:val="0"/>
          <w:sz w:val="20"/>
          <w:szCs w:val="20"/>
          <w:lang w:val="en-US" w:eastAsia="es-ES"/>
        </w:rPr>
        <w:t>of his family</w:t>
      </w:r>
      <w:r w:rsidR="00542AD4" w:rsidRPr="00CF6765">
        <w:rPr>
          <w:rFonts w:eastAsia="Calibri" w:cs="Verdana"/>
          <w:snapToGrid w:val="0"/>
          <w:sz w:val="20"/>
          <w:szCs w:val="20"/>
          <w:lang w:val="en-US" w:eastAsia="es-ES"/>
        </w:rPr>
        <w:t xml:space="preserve">. </w:t>
      </w:r>
      <w:r w:rsidR="008F31F2" w:rsidRPr="00CF6765">
        <w:rPr>
          <w:rFonts w:eastAsia="Calibri" w:cs="Verdana"/>
          <w:snapToGrid w:val="0"/>
          <w:sz w:val="20"/>
          <w:szCs w:val="20"/>
          <w:lang w:val="en-US" w:eastAsia="es-ES"/>
        </w:rPr>
        <w:t xml:space="preserve">In addition, </w:t>
      </w:r>
      <w:r w:rsidR="00BF5612" w:rsidRPr="00CF6765">
        <w:rPr>
          <w:rFonts w:eastAsia="Calibri" w:cs="Verdana"/>
          <w:snapToGrid w:val="0"/>
          <w:sz w:val="20"/>
          <w:szCs w:val="20"/>
          <w:lang w:val="en-US" w:eastAsia="es-ES"/>
        </w:rPr>
        <w:t>the State</w:t>
      </w:r>
      <w:r w:rsidR="008F31F2" w:rsidRPr="00CF6765">
        <w:rPr>
          <w:rFonts w:eastAsia="Calibri" w:cs="Verdana"/>
          <w:snapToGrid w:val="0"/>
          <w:sz w:val="20"/>
          <w:szCs w:val="20"/>
          <w:lang w:val="en-US" w:eastAsia="es-ES"/>
        </w:rPr>
        <w:t xml:space="preserve"> considered that</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Articles</w:t>
      </w:r>
      <w:r w:rsidR="00542AD4" w:rsidRPr="00CF6765">
        <w:rPr>
          <w:rFonts w:eastAsia="Calibri" w:cs="Verdana"/>
          <w:snapToGrid w:val="0"/>
          <w:sz w:val="20"/>
          <w:szCs w:val="20"/>
          <w:lang w:val="en-US" w:eastAsia="es-ES"/>
        </w:rPr>
        <w:t xml:space="preserve"> 5, 7</w:t>
      </w:r>
      <w:r w:rsidR="00EC50FC" w:rsidRPr="00CF6765">
        <w:rPr>
          <w:rFonts w:eastAsia="Calibri" w:cs="Verdana"/>
          <w:snapToGrid w:val="0"/>
          <w:sz w:val="20"/>
          <w:szCs w:val="20"/>
          <w:lang w:val="en-US" w:eastAsia="es-ES"/>
        </w:rPr>
        <w:t xml:space="preserve"> and </w:t>
      </w:r>
      <w:r w:rsidR="00542AD4" w:rsidRPr="00CF6765">
        <w:rPr>
          <w:rFonts w:eastAsia="Calibri" w:cs="Verdana"/>
          <w:snapToGrid w:val="0"/>
          <w:sz w:val="20"/>
          <w:szCs w:val="20"/>
          <w:lang w:val="en-US" w:eastAsia="es-ES"/>
        </w:rPr>
        <w:t>11</w:t>
      </w:r>
      <w:r w:rsidRPr="00CF6765">
        <w:rPr>
          <w:rFonts w:eastAsia="Calibri" w:cs="Verdana"/>
          <w:snapToGrid w:val="0"/>
          <w:sz w:val="20"/>
          <w:szCs w:val="20"/>
          <w:lang w:val="en-US" w:eastAsia="es-ES"/>
        </w:rPr>
        <w:t xml:space="preserve"> of the Convention</w:t>
      </w:r>
      <w:r w:rsidR="008F31F2" w:rsidRPr="00CF6765">
        <w:rPr>
          <w:rFonts w:eastAsia="Calibri" w:cs="Verdana"/>
          <w:snapToGrid w:val="0"/>
          <w:sz w:val="20"/>
          <w:szCs w:val="20"/>
          <w:lang w:val="en-US" w:eastAsia="es-ES"/>
        </w:rPr>
        <w:t xml:space="preserve"> had been violated</w:t>
      </w:r>
      <w:r w:rsidR="00542AD4" w:rsidRPr="00CF6765">
        <w:rPr>
          <w:rFonts w:eastAsia="Calibri" w:cs="Verdana"/>
          <w:snapToGrid w:val="0"/>
          <w:sz w:val="20"/>
          <w:szCs w:val="20"/>
          <w:lang w:val="en-US" w:eastAsia="es-ES"/>
        </w:rPr>
        <w:t xml:space="preserve"> </w:t>
      </w:r>
      <w:r w:rsidR="00690D57" w:rsidRPr="00CF6765">
        <w:rPr>
          <w:rFonts w:eastAsia="Calibri" w:cs="Verdana"/>
          <w:snapToGrid w:val="0"/>
          <w:sz w:val="20"/>
          <w:szCs w:val="20"/>
          <w:lang w:val="en-US" w:eastAsia="es-ES"/>
        </w:rPr>
        <w:t xml:space="preserve">to the detriment </w:t>
      </w:r>
      <w:r w:rsidR="009339F5" w:rsidRPr="00CF6765">
        <w:rPr>
          <w:rFonts w:eastAsia="Calibri" w:cs="Verdana"/>
          <w:snapToGrid w:val="0"/>
          <w:sz w:val="20"/>
          <w:szCs w:val="20"/>
          <w:lang w:val="en-US" w:eastAsia="es-ES"/>
        </w:rPr>
        <w:t>of Mr. Poblete</w:t>
      </w:r>
      <w:r w:rsidR="00542AD4" w:rsidRPr="00CF6765">
        <w:rPr>
          <w:rFonts w:eastAsia="Calibri" w:cs="Verdana"/>
          <w:snapToGrid w:val="0"/>
          <w:sz w:val="20"/>
          <w:szCs w:val="20"/>
          <w:lang w:val="en-US" w:eastAsia="es-ES"/>
        </w:rPr>
        <w:t xml:space="preserve"> </w:t>
      </w:r>
      <w:proofErr w:type="spellStart"/>
      <w:r w:rsidR="00542AD4" w:rsidRPr="00CF6765">
        <w:rPr>
          <w:rFonts w:eastAsia="Calibri" w:cs="Verdana"/>
          <w:snapToGrid w:val="0"/>
          <w:sz w:val="20"/>
          <w:szCs w:val="20"/>
          <w:lang w:val="en-US" w:eastAsia="es-ES"/>
        </w:rPr>
        <w:t>Vilches</w:t>
      </w:r>
      <w:proofErr w:type="spellEnd"/>
      <w:r w:rsidR="00542AD4" w:rsidRPr="00CF6765">
        <w:rPr>
          <w:rFonts w:eastAsia="Calibri" w:cs="Verdana"/>
          <w:snapToGrid w:val="0"/>
          <w:sz w:val="20"/>
          <w:szCs w:val="20"/>
          <w:lang w:val="en-US" w:eastAsia="es-ES"/>
        </w:rPr>
        <w:t xml:space="preserve">. </w:t>
      </w:r>
      <w:r w:rsidR="008F31F2" w:rsidRPr="00CF6765">
        <w:rPr>
          <w:rFonts w:eastAsia="Calibri" w:cs="Verdana"/>
          <w:snapToGrid w:val="0"/>
          <w:sz w:val="20"/>
          <w:szCs w:val="20"/>
          <w:lang w:val="en-US" w:eastAsia="es-ES"/>
        </w:rPr>
        <w:t xml:space="preserve">Lastly, it acknowledged that </w:t>
      </w:r>
      <w:r w:rsidRPr="00CF6765">
        <w:rPr>
          <w:rFonts w:eastAsia="Calibri" w:cs="Verdana"/>
          <w:snapToGrid w:val="0"/>
          <w:sz w:val="20"/>
          <w:szCs w:val="20"/>
          <w:lang w:val="en-US" w:eastAsia="es-ES"/>
        </w:rPr>
        <w:t>Articles</w:t>
      </w:r>
      <w:r w:rsidR="00542AD4" w:rsidRPr="00CF6765">
        <w:rPr>
          <w:rFonts w:eastAsia="Calibri" w:cs="Verdana"/>
          <w:snapToGrid w:val="0"/>
          <w:sz w:val="20"/>
          <w:szCs w:val="20"/>
          <w:lang w:val="en-US" w:eastAsia="es-ES"/>
        </w:rPr>
        <w:t xml:space="preserve"> 8</w:t>
      </w:r>
      <w:r w:rsidR="00EC50FC" w:rsidRPr="00CF6765">
        <w:rPr>
          <w:rFonts w:eastAsia="Calibri" w:cs="Verdana"/>
          <w:snapToGrid w:val="0"/>
          <w:sz w:val="20"/>
          <w:szCs w:val="20"/>
          <w:lang w:val="en-US" w:eastAsia="es-ES"/>
        </w:rPr>
        <w:t xml:space="preserve"> and </w:t>
      </w:r>
      <w:r w:rsidR="00542AD4" w:rsidRPr="00CF6765">
        <w:rPr>
          <w:rFonts w:eastAsia="Calibri" w:cs="Verdana"/>
          <w:snapToGrid w:val="0"/>
          <w:sz w:val="20"/>
          <w:szCs w:val="20"/>
          <w:lang w:val="en-US" w:eastAsia="es-ES"/>
        </w:rPr>
        <w:t>25</w:t>
      </w:r>
      <w:r w:rsidR="008F31F2" w:rsidRPr="00CF6765">
        <w:rPr>
          <w:rFonts w:eastAsia="Calibri" w:cs="Verdana"/>
          <w:snapToGrid w:val="0"/>
          <w:sz w:val="20"/>
          <w:szCs w:val="20"/>
          <w:lang w:val="en-US" w:eastAsia="es-ES"/>
        </w:rPr>
        <w:t xml:space="preserve"> had been violated, owing to the infringement of the right to a reasonable time by the Chilean authorities</w:t>
      </w:r>
      <w:r w:rsidR="00542AD4" w:rsidRPr="00CF6765">
        <w:rPr>
          <w:rFonts w:eastAsia="Calibri" w:cs="Verdana"/>
          <w:snapToGrid w:val="0"/>
          <w:sz w:val="20"/>
          <w:szCs w:val="20"/>
          <w:lang w:val="en-US" w:eastAsia="es-ES"/>
        </w:rPr>
        <w:t xml:space="preserve">. </w:t>
      </w:r>
    </w:p>
    <w:p w14:paraId="1FE9A24C" w14:textId="77777777" w:rsidR="00542AD4" w:rsidRPr="00CF6765" w:rsidRDefault="00542AD4" w:rsidP="00542AD4">
      <w:pPr>
        <w:tabs>
          <w:tab w:val="left" w:pos="567"/>
        </w:tabs>
        <w:rPr>
          <w:rFonts w:eastAsia="Calibri" w:cs="Verdana"/>
          <w:snapToGrid w:val="0"/>
          <w:sz w:val="20"/>
          <w:szCs w:val="20"/>
          <w:lang w:val="en-US" w:eastAsia="es-ES"/>
        </w:rPr>
      </w:pPr>
      <w:r w:rsidRPr="00CF6765">
        <w:rPr>
          <w:rFonts w:eastAsia="Calibri" w:cs="Verdana"/>
          <w:snapToGrid w:val="0"/>
          <w:sz w:val="20"/>
          <w:szCs w:val="20"/>
          <w:lang w:val="en-US" w:eastAsia="es-ES"/>
        </w:rPr>
        <w:t xml:space="preserve"> </w:t>
      </w:r>
    </w:p>
    <w:p w14:paraId="2A0C87BF" w14:textId="429FBF6A" w:rsidR="008F31F2" w:rsidRPr="00CF6765" w:rsidRDefault="008F31F2" w:rsidP="00542AD4">
      <w:pPr>
        <w:numPr>
          <w:ilvl w:val="0"/>
          <w:numId w:val="2"/>
        </w:numPr>
        <w:tabs>
          <w:tab w:val="left" w:pos="567"/>
          <w:tab w:val="num" w:pos="1569"/>
          <w:tab w:val="num" w:pos="12305"/>
        </w:tabs>
        <w:ind w:left="0" w:firstLine="0"/>
        <w:rPr>
          <w:rFonts w:eastAsia="Calibri" w:cs="Verdana"/>
          <w:snapToGrid w:val="0"/>
          <w:sz w:val="20"/>
          <w:szCs w:val="20"/>
          <w:lang w:val="en-US" w:eastAsia="es-ES"/>
        </w:rPr>
      </w:pPr>
      <w:r w:rsidRPr="00CF6765">
        <w:rPr>
          <w:rFonts w:eastAsia="Calibri" w:cs="Verdana"/>
          <w:snapToGrid w:val="0"/>
          <w:sz w:val="20"/>
          <w:szCs w:val="20"/>
          <w:lang w:val="en-US" w:eastAsia="es-ES"/>
        </w:rPr>
        <w:t>Regarding the scope of the State’s responsibility for the violation of</w:t>
      </w:r>
      <w:r w:rsidR="00542AD4" w:rsidRPr="00CF6765">
        <w:rPr>
          <w:rFonts w:eastAsia="Calibri" w:cs="Verdana"/>
          <w:snapToGrid w:val="0"/>
          <w:sz w:val="20"/>
          <w:szCs w:val="20"/>
          <w:lang w:val="en-US" w:eastAsia="es-ES"/>
        </w:rPr>
        <w:t xml:space="preserve"> </w:t>
      </w:r>
      <w:r w:rsidR="005C731C" w:rsidRPr="00CF6765">
        <w:rPr>
          <w:rFonts w:eastAsia="Calibri" w:cs="Verdana"/>
          <w:snapToGrid w:val="0"/>
          <w:sz w:val="20"/>
          <w:szCs w:val="20"/>
          <w:lang w:val="en-US" w:eastAsia="es-ES"/>
        </w:rPr>
        <w:t>Articles</w:t>
      </w:r>
      <w:r w:rsidR="00542AD4" w:rsidRPr="00CF6765">
        <w:rPr>
          <w:rFonts w:eastAsia="Calibri" w:cs="Verdana"/>
          <w:snapToGrid w:val="0"/>
          <w:sz w:val="20"/>
          <w:szCs w:val="20"/>
          <w:lang w:val="en-US" w:eastAsia="es-ES"/>
        </w:rPr>
        <w:t xml:space="preserve"> 5, 7</w:t>
      </w:r>
      <w:r w:rsidR="00EC50FC" w:rsidRPr="00CF6765">
        <w:rPr>
          <w:rFonts w:eastAsia="Calibri" w:cs="Verdana"/>
          <w:snapToGrid w:val="0"/>
          <w:sz w:val="20"/>
          <w:szCs w:val="20"/>
          <w:lang w:val="en-US" w:eastAsia="es-ES"/>
        </w:rPr>
        <w:t xml:space="preserve"> and </w:t>
      </w:r>
      <w:r w:rsidR="00542AD4" w:rsidRPr="00CF6765">
        <w:rPr>
          <w:rFonts w:eastAsia="Calibri" w:cs="Verdana"/>
          <w:snapToGrid w:val="0"/>
          <w:sz w:val="20"/>
          <w:szCs w:val="20"/>
          <w:lang w:val="en-US" w:eastAsia="es-ES"/>
        </w:rPr>
        <w:t>11</w:t>
      </w:r>
      <w:r w:rsidR="005C731C" w:rsidRPr="00CF6765">
        <w:rPr>
          <w:rFonts w:eastAsia="Calibri" w:cs="Verdana"/>
          <w:snapToGrid w:val="0"/>
          <w:sz w:val="20"/>
          <w:szCs w:val="20"/>
          <w:lang w:val="en-US" w:eastAsia="es-ES"/>
        </w:rPr>
        <w:t xml:space="preserve"> of the Convention</w:t>
      </w:r>
      <w:r w:rsidR="00542AD4" w:rsidRPr="00CF6765">
        <w:rPr>
          <w:rFonts w:eastAsia="Calibri" w:cs="Verdana"/>
          <w:snapToGrid w:val="0"/>
          <w:sz w:val="20"/>
          <w:szCs w:val="20"/>
          <w:lang w:val="en-US" w:eastAsia="es-ES"/>
        </w:rPr>
        <w:t xml:space="preserve">, </w:t>
      </w:r>
      <w:r w:rsidR="00EC50FC" w:rsidRPr="00CF6765">
        <w:rPr>
          <w:rFonts w:eastAsia="Calibri" w:cs="Verdana"/>
          <w:snapToGrid w:val="0"/>
          <w:sz w:val="20"/>
          <w:szCs w:val="20"/>
          <w:lang w:val="en-US" w:eastAsia="es-ES"/>
        </w:rPr>
        <w:t>the State</w:t>
      </w:r>
      <w:r w:rsidRPr="00CF6765">
        <w:rPr>
          <w:rFonts w:eastAsia="Calibri" w:cs="Verdana"/>
          <w:snapToGrid w:val="0"/>
          <w:sz w:val="20"/>
          <w:szCs w:val="20"/>
          <w:lang w:val="en-US" w:eastAsia="es-ES"/>
        </w:rPr>
        <w:t xml:space="preserve"> referred</w:t>
      </w:r>
      <w:r w:rsidR="00BF5612" w:rsidRPr="00CF6765">
        <w:rPr>
          <w:rFonts w:eastAsia="Calibri" w:cs="Verdana"/>
          <w:snapToGrid w:val="0"/>
          <w:sz w:val="20"/>
          <w:szCs w:val="20"/>
          <w:lang w:val="en-US" w:eastAsia="es-ES"/>
        </w:rPr>
        <w:t xml:space="preserve"> only</w:t>
      </w:r>
      <w:r w:rsidRPr="00CF6765">
        <w:rPr>
          <w:rFonts w:eastAsia="Calibri" w:cs="Verdana"/>
          <w:snapToGrid w:val="0"/>
          <w:sz w:val="20"/>
          <w:szCs w:val="20"/>
          <w:lang w:val="en-US" w:eastAsia="es-ES"/>
        </w:rPr>
        <w:t xml:space="preserve"> to the violation of the rights </w:t>
      </w:r>
      <w:r w:rsidR="00D04694" w:rsidRPr="00CF6765">
        <w:rPr>
          <w:rFonts w:eastAsia="Calibri" w:cs="Verdana"/>
          <w:snapToGrid w:val="0"/>
          <w:sz w:val="20"/>
          <w:szCs w:val="20"/>
          <w:lang w:val="en-US" w:eastAsia="es-ES"/>
        </w:rPr>
        <w:t>of Mr.</w:t>
      </w:r>
      <w:r w:rsidR="00D2168F" w:rsidRPr="00CF6765">
        <w:rPr>
          <w:rFonts w:eastAsia="Calibri" w:cs="Verdana"/>
          <w:snapToGrid w:val="0"/>
          <w:sz w:val="20"/>
          <w:szCs w:val="20"/>
          <w:lang w:val="en-US" w:eastAsia="es-ES"/>
        </w:rPr>
        <w:t xml:space="preserve"> Poblete</w:t>
      </w:r>
      <w:r w:rsidR="00542AD4" w:rsidRPr="00CF6765">
        <w:rPr>
          <w:rFonts w:eastAsia="Calibri" w:cs="Verdana"/>
          <w:snapToGrid w:val="0"/>
          <w:sz w:val="20"/>
          <w:szCs w:val="20"/>
          <w:lang w:val="en-US" w:eastAsia="es-ES"/>
        </w:rPr>
        <w:t xml:space="preserve"> </w:t>
      </w:r>
      <w:proofErr w:type="spellStart"/>
      <w:r w:rsidR="00542AD4" w:rsidRPr="00CF6765">
        <w:rPr>
          <w:rFonts w:eastAsia="Calibri" w:cs="Verdana"/>
          <w:snapToGrid w:val="0"/>
          <w:sz w:val="20"/>
          <w:szCs w:val="20"/>
          <w:lang w:val="en-US" w:eastAsia="es-ES"/>
        </w:rPr>
        <w:t>Vilches</w:t>
      </w:r>
      <w:proofErr w:type="spellEnd"/>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but</w:t>
      </w:r>
      <w:r w:rsidR="00542AD4" w:rsidRPr="00CF6765">
        <w:rPr>
          <w:rFonts w:eastAsia="Calibri" w:cs="Verdana"/>
          <w:snapToGrid w:val="0"/>
          <w:sz w:val="20"/>
          <w:szCs w:val="20"/>
          <w:lang w:val="en-US" w:eastAsia="es-ES"/>
        </w:rPr>
        <w:t xml:space="preserve"> no</w:t>
      </w:r>
      <w:r w:rsidRPr="00CF6765">
        <w:rPr>
          <w:rFonts w:eastAsia="Calibri" w:cs="Verdana"/>
          <w:snapToGrid w:val="0"/>
          <w:sz w:val="20"/>
          <w:szCs w:val="20"/>
          <w:lang w:val="en-US" w:eastAsia="es-ES"/>
        </w:rPr>
        <w:t>t to those</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of his family members</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Furthermore,</w:t>
      </w:r>
      <w:r w:rsidR="00542AD4" w:rsidRPr="00CF6765">
        <w:rPr>
          <w:rFonts w:eastAsia="Calibri" w:cs="Verdana"/>
          <w:snapToGrid w:val="0"/>
          <w:sz w:val="20"/>
          <w:szCs w:val="20"/>
          <w:lang w:val="en-US" w:eastAsia="es-ES"/>
        </w:rPr>
        <w:t xml:space="preserve"> </w:t>
      </w:r>
      <w:r w:rsidR="00EC50FC" w:rsidRPr="00CF6765">
        <w:rPr>
          <w:rFonts w:eastAsia="Calibri" w:cs="Verdana"/>
          <w:snapToGrid w:val="0"/>
          <w:sz w:val="20"/>
          <w:szCs w:val="20"/>
          <w:lang w:val="en-US" w:eastAsia="es-ES"/>
        </w:rPr>
        <w:t>the State</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 xml:space="preserve">did not acknowledge responsibility for the violation of </w:t>
      </w:r>
      <w:r w:rsidR="005C731C" w:rsidRPr="00CF6765">
        <w:rPr>
          <w:rFonts w:eastAsia="Calibri" w:cs="Verdana"/>
          <w:snapToGrid w:val="0"/>
          <w:sz w:val="20"/>
          <w:szCs w:val="20"/>
          <w:lang w:val="en-US" w:eastAsia="es-ES"/>
        </w:rPr>
        <w:t>Articles</w:t>
      </w:r>
      <w:r w:rsidR="00542AD4" w:rsidRPr="00CF6765">
        <w:rPr>
          <w:rFonts w:eastAsia="Calibri" w:cs="Verdana"/>
          <w:snapToGrid w:val="0"/>
          <w:sz w:val="20"/>
          <w:szCs w:val="20"/>
          <w:lang w:val="en-US" w:eastAsia="es-ES"/>
        </w:rPr>
        <w:t xml:space="preserve"> 4</w:t>
      </w:r>
      <w:r w:rsidR="00EC50FC" w:rsidRPr="00CF6765">
        <w:rPr>
          <w:rFonts w:eastAsia="Calibri" w:cs="Verdana"/>
          <w:snapToGrid w:val="0"/>
          <w:sz w:val="20"/>
          <w:szCs w:val="20"/>
          <w:lang w:val="en-US" w:eastAsia="es-ES"/>
        </w:rPr>
        <w:t xml:space="preserve"> and </w:t>
      </w:r>
      <w:r w:rsidR="00542AD4" w:rsidRPr="00CF6765">
        <w:rPr>
          <w:rFonts w:eastAsia="Calibri" w:cs="Verdana"/>
          <w:snapToGrid w:val="0"/>
          <w:sz w:val="20"/>
          <w:szCs w:val="20"/>
          <w:lang w:val="en-US" w:eastAsia="es-ES"/>
        </w:rPr>
        <w:t>26</w:t>
      </w:r>
      <w:r w:rsidR="005C731C" w:rsidRPr="00CF6765">
        <w:rPr>
          <w:rFonts w:eastAsia="Calibri" w:cs="Verdana"/>
          <w:snapToGrid w:val="0"/>
          <w:sz w:val="20"/>
          <w:szCs w:val="20"/>
          <w:lang w:val="en-US" w:eastAsia="es-ES"/>
        </w:rPr>
        <w:t xml:space="preserve"> of the Convention</w:t>
      </w:r>
      <w:r w:rsidR="00542AD4" w:rsidRPr="00CF6765">
        <w:rPr>
          <w:rFonts w:eastAsia="Calibri" w:cs="Verdana"/>
          <w:snapToGrid w:val="0"/>
          <w:sz w:val="20"/>
          <w:szCs w:val="20"/>
          <w:lang w:val="en-US" w:eastAsia="es-ES"/>
        </w:rPr>
        <w:t xml:space="preserve">. </w:t>
      </w:r>
      <w:r w:rsidRPr="00CF6765">
        <w:rPr>
          <w:rFonts w:eastAsia="Calibri" w:cs="Verdana"/>
          <w:snapToGrid w:val="0"/>
          <w:sz w:val="20"/>
          <w:szCs w:val="20"/>
          <w:lang w:val="en-US" w:eastAsia="es-ES"/>
        </w:rPr>
        <w:t>In the case of</w:t>
      </w:r>
      <w:r w:rsidR="00542AD4" w:rsidRPr="00CF6765">
        <w:rPr>
          <w:rFonts w:eastAsia="Calibri" w:cs="Verdana"/>
          <w:snapToGrid w:val="0"/>
          <w:sz w:val="20"/>
          <w:szCs w:val="20"/>
          <w:lang w:val="en-US" w:eastAsia="es-ES"/>
        </w:rPr>
        <w:t xml:space="preserve"> </w:t>
      </w:r>
      <w:r w:rsidR="005C731C" w:rsidRPr="00CF6765">
        <w:rPr>
          <w:rFonts w:eastAsia="Calibri" w:cs="Verdana"/>
          <w:snapToGrid w:val="0"/>
          <w:sz w:val="20"/>
          <w:szCs w:val="20"/>
          <w:lang w:val="en-US" w:eastAsia="es-ES"/>
        </w:rPr>
        <w:t>Articles</w:t>
      </w:r>
      <w:r w:rsidR="00542AD4" w:rsidRPr="00CF6765">
        <w:rPr>
          <w:rFonts w:eastAsia="Calibri" w:cs="Verdana"/>
          <w:snapToGrid w:val="0"/>
          <w:sz w:val="20"/>
          <w:szCs w:val="20"/>
          <w:lang w:val="en-US" w:eastAsia="es-ES"/>
        </w:rPr>
        <w:t xml:space="preserve"> 8</w:t>
      </w:r>
      <w:r w:rsidR="00EC50FC" w:rsidRPr="00CF6765">
        <w:rPr>
          <w:rFonts w:eastAsia="Calibri" w:cs="Verdana"/>
          <w:snapToGrid w:val="0"/>
          <w:sz w:val="20"/>
          <w:szCs w:val="20"/>
          <w:lang w:val="en-US" w:eastAsia="es-ES"/>
        </w:rPr>
        <w:t xml:space="preserve"> and </w:t>
      </w:r>
      <w:r w:rsidR="00542AD4" w:rsidRPr="00CF6765">
        <w:rPr>
          <w:rFonts w:eastAsia="Calibri" w:cs="Verdana"/>
          <w:snapToGrid w:val="0"/>
          <w:sz w:val="20"/>
          <w:szCs w:val="20"/>
          <w:lang w:val="en-US" w:eastAsia="es-ES"/>
        </w:rPr>
        <w:t>25</w:t>
      </w:r>
      <w:r w:rsidR="005C731C" w:rsidRPr="00CF6765">
        <w:rPr>
          <w:rFonts w:eastAsia="Calibri" w:cs="Verdana"/>
          <w:snapToGrid w:val="0"/>
          <w:sz w:val="20"/>
          <w:szCs w:val="20"/>
          <w:lang w:val="en-US" w:eastAsia="es-ES"/>
        </w:rPr>
        <w:t xml:space="preserve"> of the American Convention</w:t>
      </w:r>
      <w:r w:rsidR="00542AD4" w:rsidRPr="00CF6765">
        <w:rPr>
          <w:rFonts w:eastAsia="Calibri" w:cs="Verdana"/>
          <w:snapToGrid w:val="0"/>
          <w:sz w:val="20"/>
          <w:szCs w:val="20"/>
          <w:lang w:val="en-US" w:eastAsia="es-ES"/>
        </w:rPr>
        <w:t xml:space="preserve">, </w:t>
      </w:r>
      <w:r w:rsidR="005C731C" w:rsidRPr="00CF6765">
        <w:rPr>
          <w:rFonts w:eastAsia="Calibri" w:cs="Verdana"/>
          <w:snapToGrid w:val="0"/>
          <w:sz w:val="20"/>
          <w:szCs w:val="20"/>
          <w:lang w:val="en-US" w:eastAsia="es-ES"/>
        </w:rPr>
        <w:t>the Court</w:t>
      </w:r>
      <w:r w:rsidR="00542AD4" w:rsidRPr="00CF6765">
        <w:rPr>
          <w:rFonts w:eastAsia="Calibri" w:cs="Verdana"/>
          <w:snapToGrid w:val="0"/>
          <w:sz w:val="20"/>
          <w:szCs w:val="20"/>
          <w:lang w:val="en-US" w:eastAsia="es-ES"/>
        </w:rPr>
        <w:t xml:space="preserve"> not</w:t>
      </w:r>
      <w:r w:rsidRPr="00CF6765">
        <w:rPr>
          <w:rFonts w:eastAsia="Calibri" w:cs="Verdana"/>
          <w:snapToGrid w:val="0"/>
          <w:sz w:val="20"/>
          <w:szCs w:val="20"/>
          <w:lang w:val="en-US" w:eastAsia="es-ES"/>
        </w:rPr>
        <w:t xml:space="preserve">es that, when acknowledging its </w:t>
      </w:r>
      <w:r w:rsidR="00B328D7" w:rsidRPr="00CF6765">
        <w:rPr>
          <w:rFonts w:eastAsia="Calibri" w:cs="Verdana"/>
          <w:snapToGrid w:val="0"/>
          <w:sz w:val="20"/>
          <w:szCs w:val="20"/>
          <w:lang w:val="en-US" w:eastAsia="es-ES"/>
        </w:rPr>
        <w:t>responsibility</w:t>
      </w:r>
      <w:r w:rsidRPr="00CF6765">
        <w:rPr>
          <w:rFonts w:eastAsia="Calibri" w:cs="Verdana"/>
          <w:snapToGrid w:val="0"/>
          <w:sz w:val="20"/>
          <w:szCs w:val="20"/>
          <w:lang w:val="en-US" w:eastAsia="es-ES"/>
        </w:rPr>
        <w:t>, the State focused on the fact that the actions of the judicial authorities were not conducted within a reasonable time, but denied its responsibility for</w:t>
      </w:r>
      <w:r w:rsidR="00BF5612" w:rsidRPr="00CF6765">
        <w:rPr>
          <w:rFonts w:eastAsia="Calibri" w:cs="Verdana"/>
          <w:snapToGrid w:val="0"/>
          <w:sz w:val="20"/>
          <w:szCs w:val="20"/>
          <w:lang w:val="en-US" w:eastAsia="es-ES"/>
        </w:rPr>
        <w:t xml:space="preserve"> violation of </w:t>
      </w:r>
      <w:r w:rsidRPr="00CF6765">
        <w:rPr>
          <w:rFonts w:eastAsia="Calibri" w:cs="Verdana"/>
          <w:snapToGrid w:val="0"/>
          <w:sz w:val="20"/>
          <w:szCs w:val="20"/>
          <w:lang w:val="en-US" w:eastAsia="es-ES"/>
        </w:rPr>
        <w:t>the right to due diligence and the right to an impartial court.</w:t>
      </w:r>
    </w:p>
    <w:p w14:paraId="6F67291C" w14:textId="77777777" w:rsidR="00542AD4" w:rsidRPr="00CF6765" w:rsidRDefault="00542AD4" w:rsidP="00542AD4">
      <w:pPr>
        <w:autoSpaceDE w:val="0"/>
        <w:autoSpaceDN w:val="0"/>
        <w:rPr>
          <w:rFonts w:eastAsia="Batang"/>
          <w:bCs/>
          <w:sz w:val="20"/>
          <w:lang w:val="en-US" w:eastAsia="en-US"/>
        </w:rPr>
      </w:pPr>
    </w:p>
    <w:p w14:paraId="63A10BD5" w14:textId="1DD268FC" w:rsidR="00542AD4" w:rsidRPr="00CF6765" w:rsidRDefault="008F31F2" w:rsidP="00542AD4">
      <w:pPr>
        <w:numPr>
          <w:ilvl w:val="0"/>
          <w:numId w:val="2"/>
        </w:numPr>
        <w:tabs>
          <w:tab w:val="left" w:pos="567"/>
          <w:tab w:val="num" w:pos="1569"/>
          <w:tab w:val="num" w:pos="12305"/>
        </w:tabs>
        <w:ind w:left="0" w:firstLine="0"/>
        <w:rPr>
          <w:rFonts w:eastAsia="Calibri" w:cs="Verdana"/>
          <w:snapToGrid w:val="0"/>
          <w:sz w:val="20"/>
          <w:szCs w:val="20"/>
          <w:lang w:val="en-US" w:eastAsia="es-ES"/>
        </w:rPr>
      </w:pPr>
      <w:r w:rsidRPr="00CF6765">
        <w:rPr>
          <w:rFonts w:eastAsia="Batang"/>
          <w:sz w:val="20"/>
          <w:lang w:val="en-US" w:eastAsia="en-US"/>
        </w:rPr>
        <w:t xml:space="preserve">Lastly, </w:t>
      </w:r>
      <w:r w:rsidR="002A0A64" w:rsidRPr="00CF6765">
        <w:rPr>
          <w:rFonts w:eastAsia="Batang"/>
          <w:sz w:val="20"/>
          <w:lang w:val="en-US" w:eastAsia="en-US"/>
        </w:rPr>
        <w:t xml:space="preserve">bearing in mind the violations acknowledged by the State, as well as the observations </w:t>
      </w:r>
      <w:r w:rsidR="00D2168F" w:rsidRPr="00CF6765">
        <w:rPr>
          <w:rFonts w:eastAsia="Calibri" w:cs="Verdana"/>
          <w:snapToGrid w:val="0"/>
          <w:sz w:val="20"/>
          <w:szCs w:val="20"/>
          <w:lang w:val="en-US" w:eastAsia="es-ES"/>
        </w:rPr>
        <w:t>of the representatives</w:t>
      </w:r>
      <w:r w:rsidR="00EC50FC" w:rsidRPr="00CF6765">
        <w:rPr>
          <w:rFonts w:eastAsia="Calibri" w:cs="Verdana"/>
          <w:snapToGrid w:val="0"/>
          <w:sz w:val="20"/>
          <w:szCs w:val="20"/>
          <w:lang w:val="en-US" w:eastAsia="es-ES"/>
        </w:rPr>
        <w:t xml:space="preserve"> and</w:t>
      </w:r>
      <w:r w:rsidR="005C731C" w:rsidRPr="00CF6765">
        <w:rPr>
          <w:rFonts w:eastAsia="Calibri" w:cs="Verdana"/>
          <w:snapToGrid w:val="0"/>
          <w:sz w:val="20"/>
          <w:szCs w:val="20"/>
          <w:lang w:val="en-US" w:eastAsia="es-ES"/>
        </w:rPr>
        <w:t xml:space="preserve"> the Commission</w:t>
      </w:r>
      <w:r w:rsidR="00542AD4" w:rsidRPr="00CF6765">
        <w:rPr>
          <w:rFonts w:eastAsia="Calibri" w:cs="Verdana"/>
          <w:snapToGrid w:val="0"/>
          <w:sz w:val="20"/>
          <w:szCs w:val="20"/>
          <w:lang w:val="en-US" w:eastAsia="es-ES"/>
        </w:rPr>
        <w:t xml:space="preserve">, </w:t>
      </w:r>
      <w:r w:rsidR="005C731C" w:rsidRPr="00CF6765">
        <w:rPr>
          <w:rFonts w:eastAsia="Calibri" w:cs="Verdana"/>
          <w:snapToGrid w:val="0"/>
          <w:sz w:val="20"/>
          <w:szCs w:val="20"/>
          <w:lang w:val="en-US" w:eastAsia="es-ES"/>
        </w:rPr>
        <w:t>the Court</w:t>
      </w:r>
      <w:r w:rsidR="00542AD4" w:rsidRPr="00CF6765">
        <w:rPr>
          <w:rFonts w:eastAsia="Calibri" w:cs="Verdana"/>
          <w:snapToGrid w:val="0"/>
          <w:sz w:val="20"/>
          <w:szCs w:val="20"/>
          <w:lang w:val="en-US" w:eastAsia="es-ES"/>
        </w:rPr>
        <w:t xml:space="preserve"> </w:t>
      </w:r>
      <w:r w:rsidR="00B328D7" w:rsidRPr="00CF6765">
        <w:rPr>
          <w:rFonts w:eastAsia="Calibri" w:cs="Verdana"/>
          <w:snapToGrid w:val="0"/>
          <w:sz w:val="20"/>
          <w:szCs w:val="20"/>
          <w:lang w:val="en-US" w:eastAsia="es-ES"/>
        </w:rPr>
        <w:t>considers</w:t>
      </w:r>
      <w:r w:rsidR="002A0A64" w:rsidRPr="00CF6765">
        <w:rPr>
          <w:rFonts w:eastAsia="Calibri" w:cs="Verdana"/>
          <w:snapToGrid w:val="0"/>
          <w:sz w:val="20"/>
          <w:szCs w:val="20"/>
          <w:lang w:val="en-US" w:eastAsia="es-ES"/>
        </w:rPr>
        <w:t xml:space="preserve"> that this acknowledgement by the State constitutes a partial acquiescence to the legal claims </w:t>
      </w:r>
      <w:r w:rsidR="005C731C" w:rsidRPr="00CF6765">
        <w:rPr>
          <w:rFonts w:eastAsia="Calibri" w:cs="Verdana"/>
          <w:snapToGrid w:val="0"/>
          <w:sz w:val="20"/>
          <w:szCs w:val="20"/>
          <w:lang w:val="en-US" w:eastAsia="es-ES"/>
        </w:rPr>
        <w:t>of the Commission</w:t>
      </w:r>
      <w:r w:rsidR="00EC50FC" w:rsidRPr="00CF6765">
        <w:rPr>
          <w:rFonts w:eastAsia="Calibri" w:cs="Verdana"/>
          <w:snapToGrid w:val="0"/>
          <w:sz w:val="20"/>
          <w:szCs w:val="20"/>
          <w:lang w:val="en-US" w:eastAsia="es-ES"/>
        </w:rPr>
        <w:t xml:space="preserve"> and</w:t>
      </w:r>
      <w:r w:rsidR="00D2168F" w:rsidRPr="00CF6765">
        <w:rPr>
          <w:rFonts w:eastAsia="Calibri" w:cs="Verdana"/>
          <w:snapToGrid w:val="0"/>
          <w:sz w:val="20"/>
          <w:szCs w:val="20"/>
          <w:lang w:val="en-US" w:eastAsia="es-ES"/>
        </w:rPr>
        <w:t xml:space="preserve"> the representatives</w:t>
      </w:r>
      <w:r w:rsidR="00542AD4" w:rsidRPr="00CF6765">
        <w:rPr>
          <w:rFonts w:eastAsia="Calibri" w:cs="Verdana"/>
          <w:snapToGrid w:val="0"/>
          <w:sz w:val="20"/>
          <w:szCs w:val="20"/>
          <w:lang w:val="en-US" w:eastAsia="es-ES"/>
        </w:rPr>
        <w:t xml:space="preserve">. </w:t>
      </w:r>
      <w:r w:rsidR="002A0A64" w:rsidRPr="00CF6765">
        <w:rPr>
          <w:rFonts w:eastAsia="Calibri" w:cs="Verdana"/>
          <w:snapToGrid w:val="0"/>
          <w:sz w:val="20"/>
          <w:szCs w:val="20"/>
          <w:lang w:val="en-US" w:eastAsia="es-ES"/>
        </w:rPr>
        <w:t>Nevertheless, and since disputes subsist in this regard, the Court finds it appropriate to include some consideration on the rights</w:t>
      </w:r>
      <w:r w:rsidR="00BF5612" w:rsidRPr="00CF6765">
        <w:rPr>
          <w:rFonts w:eastAsia="Calibri" w:cs="Verdana"/>
          <w:snapToGrid w:val="0"/>
          <w:sz w:val="20"/>
          <w:szCs w:val="20"/>
          <w:lang w:val="en-US" w:eastAsia="es-ES"/>
        </w:rPr>
        <w:t xml:space="preserve"> concerned</w:t>
      </w:r>
      <w:r w:rsidR="002A0A64" w:rsidRPr="00CF6765">
        <w:rPr>
          <w:rFonts w:eastAsia="Calibri" w:cs="Verdana"/>
          <w:snapToGrid w:val="0"/>
          <w:sz w:val="20"/>
          <w:szCs w:val="20"/>
          <w:lang w:val="en-US" w:eastAsia="es-ES"/>
        </w:rPr>
        <w:t xml:space="preserve"> in </w:t>
      </w:r>
      <w:r w:rsidR="00D2168F" w:rsidRPr="00CF6765">
        <w:rPr>
          <w:rFonts w:eastAsia="Calibri" w:cs="Verdana"/>
          <w:snapToGrid w:val="0"/>
          <w:sz w:val="20"/>
          <w:szCs w:val="20"/>
          <w:lang w:val="en-US" w:eastAsia="es-ES"/>
        </w:rPr>
        <w:t>Chapter</w:t>
      </w:r>
      <w:r w:rsidR="00542AD4" w:rsidRPr="00CF6765">
        <w:rPr>
          <w:rFonts w:eastAsia="Calibri" w:cs="Verdana"/>
          <w:snapToGrid w:val="0"/>
          <w:sz w:val="20"/>
          <w:szCs w:val="20"/>
          <w:lang w:val="en-US" w:eastAsia="es-ES"/>
        </w:rPr>
        <w:t xml:space="preserve"> VII </w:t>
      </w:r>
      <w:r w:rsidR="002A0A64" w:rsidRPr="00CF6765">
        <w:rPr>
          <w:rFonts w:eastAsia="Calibri" w:cs="Verdana"/>
          <w:snapToGrid w:val="0"/>
          <w:sz w:val="20"/>
          <w:szCs w:val="20"/>
          <w:lang w:val="en-US" w:eastAsia="es-ES"/>
        </w:rPr>
        <w:t>of the judgment</w:t>
      </w:r>
      <w:r w:rsidR="00542AD4" w:rsidRPr="00CF6765">
        <w:rPr>
          <w:rFonts w:eastAsia="Calibri" w:cs="Verdana"/>
          <w:snapToGrid w:val="0"/>
          <w:sz w:val="20"/>
          <w:szCs w:val="20"/>
          <w:lang w:val="en-US" w:eastAsia="es-ES"/>
        </w:rPr>
        <w:t>.</w:t>
      </w:r>
    </w:p>
    <w:p w14:paraId="344FE38A" w14:textId="77777777" w:rsidR="00542AD4" w:rsidRPr="00CF6765" w:rsidRDefault="00542AD4" w:rsidP="00542AD4">
      <w:pPr>
        <w:autoSpaceDE w:val="0"/>
        <w:autoSpaceDN w:val="0"/>
        <w:rPr>
          <w:rFonts w:eastAsia="Batang"/>
          <w:bCs/>
          <w:sz w:val="20"/>
          <w:lang w:val="en-US" w:eastAsia="en-US"/>
        </w:rPr>
      </w:pPr>
    </w:p>
    <w:p w14:paraId="77D8F3F4" w14:textId="317C2337" w:rsidR="00542AD4" w:rsidRPr="00CF6765" w:rsidRDefault="00542AD4" w:rsidP="00542AD4">
      <w:pPr>
        <w:pStyle w:val="Ttulo3"/>
        <w:rPr>
          <w:b/>
          <w:lang w:val="en-US"/>
        </w:rPr>
      </w:pPr>
      <w:bookmarkStart w:id="33" w:name="_Toc47864358"/>
      <w:r w:rsidRPr="00CF6765">
        <w:rPr>
          <w:b/>
          <w:lang w:val="en-US"/>
        </w:rPr>
        <w:t>3</w:t>
      </w:r>
      <w:r w:rsidR="00386E16" w:rsidRPr="00CF6765">
        <w:rPr>
          <w:b/>
          <w:lang w:val="en-US"/>
        </w:rPr>
        <w:t>.</w:t>
      </w:r>
      <w:r w:rsidRPr="00CF6765">
        <w:rPr>
          <w:b/>
          <w:lang w:val="en-US"/>
        </w:rPr>
        <w:t xml:space="preserve"> </w:t>
      </w:r>
      <w:r w:rsidRPr="00CF6765">
        <w:rPr>
          <w:b/>
          <w:lang w:val="en-US"/>
        </w:rPr>
        <w:tab/>
      </w:r>
      <w:r w:rsidR="002A0A64" w:rsidRPr="00CF6765">
        <w:rPr>
          <w:b/>
          <w:lang w:val="en-US"/>
        </w:rPr>
        <w:t>Regarding reparations</w:t>
      </w:r>
      <w:bookmarkEnd w:id="33"/>
    </w:p>
    <w:p w14:paraId="5913DB23" w14:textId="77777777" w:rsidR="00542AD4" w:rsidRPr="00CF6765" w:rsidRDefault="00542AD4" w:rsidP="00542AD4">
      <w:pPr>
        <w:autoSpaceDE w:val="0"/>
        <w:autoSpaceDN w:val="0"/>
        <w:rPr>
          <w:rFonts w:eastAsia="Batang"/>
          <w:bCs/>
          <w:sz w:val="20"/>
          <w:lang w:val="en-US" w:eastAsia="en-US"/>
        </w:rPr>
      </w:pPr>
    </w:p>
    <w:p w14:paraId="69CAC586" w14:textId="563383C4" w:rsidR="00542AD4" w:rsidRPr="00CF6765" w:rsidRDefault="00B328D7" w:rsidP="00542AD4">
      <w:pPr>
        <w:numPr>
          <w:ilvl w:val="0"/>
          <w:numId w:val="2"/>
        </w:numPr>
        <w:tabs>
          <w:tab w:val="left" w:pos="567"/>
          <w:tab w:val="num" w:pos="1569"/>
          <w:tab w:val="num" w:pos="12305"/>
        </w:tabs>
        <w:ind w:left="0" w:firstLine="0"/>
        <w:rPr>
          <w:rFonts w:eastAsia="Batang"/>
          <w:sz w:val="20"/>
          <w:szCs w:val="20"/>
          <w:lang w:val="en-US" w:eastAsia="en-US"/>
        </w:rPr>
      </w:pPr>
      <w:r w:rsidRPr="00CF6765">
        <w:rPr>
          <w:rFonts w:eastAsia="Batang"/>
          <w:sz w:val="20"/>
          <w:lang w:val="en-US" w:eastAsia="en-US"/>
        </w:rPr>
        <w:t xml:space="preserve">Regarding </w:t>
      </w:r>
      <w:r w:rsidR="00BF5612" w:rsidRPr="00CF6765">
        <w:rPr>
          <w:rFonts w:eastAsia="Batang"/>
          <w:sz w:val="20"/>
          <w:lang w:val="en-US" w:eastAsia="en-US"/>
        </w:rPr>
        <w:t xml:space="preserve">measures </w:t>
      </w:r>
      <w:r w:rsidRPr="00CF6765">
        <w:rPr>
          <w:rFonts w:eastAsia="Batang"/>
          <w:sz w:val="20"/>
          <w:lang w:val="en-US" w:eastAsia="en-US"/>
        </w:rPr>
        <w:t xml:space="preserve">of reparation, the Court notes that the State has not acknowledged the measures requested by </w:t>
      </w:r>
      <w:r w:rsidR="00D2168F" w:rsidRPr="00CF6765">
        <w:rPr>
          <w:rFonts w:eastAsia="Batang"/>
          <w:sz w:val="20"/>
          <w:lang w:val="en-US" w:eastAsia="en-US"/>
        </w:rPr>
        <w:t>the inter-American defenders</w:t>
      </w:r>
      <w:r w:rsidR="00542AD4" w:rsidRPr="00CF6765">
        <w:rPr>
          <w:rFonts w:eastAsia="Batang"/>
          <w:sz w:val="20"/>
          <w:lang w:val="en-US" w:eastAsia="en-US"/>
        </w:rPr>
        <w:t xml:space="preserve">. </w:t>
      </w:r>
      <w:r w:rsidRPr="00CF6765">
        <w:rPr>
          <w:rFonts w:eastAsia="Batang"/>
          <w:sz w:val="20"/>
          <w:lang w:val="en-US" w:eastAsia="en-US"/>
        </w:rPr>
        <w:t>Therefore</w:t>
      </w:r>
      <w:r w:rsidR="00542AD4" w:rsidRPr="00CF6765">
        <w:rPr>
          <w:rFonts w:eastAsia="Batang"/>
          <w:sz w:val="20"/>
          <w:lang w:val="en-US" w:eastAsia="en-US"/>
        </w:rPr>
        <w:t xml:space="preserve">, </w:t>
      </w:r>
      <w:r w:rsidRPr="00CF6765">
        <w:rPr>
          <w:rFonts w:eastAsia="Batang"/>
          <w:bCs/>
          <w:sz w:val="20"/>
          <w:lang w:val="en-US" w:eastAsia="en-US"/>
        </w:rPr>
        <w:t>i</w:t>
      </w:r>
      <w:r w:rsidR="00542AD4" w:rsidRPr="00CF6765">
        <w:rPr>
          <w:rFonts w:eastAsia="Batang"/>
          <w:bCs/>
          <w:sz w:val="20"/>
          <w:lang w:val="en-US" w:eastAsia="en-US"/>
        </w:rPr>
        <w:t xml:space="preserve">n </w:t>
      </w:r>
      <w:r w:rsidR="00D2168F" w:rsidRPr="00CF6765">
        <w:rPr>
          <w:rFonts w:eastAsia="Batang"/>
          <w:bCs/>
          <w:sz w:val="20"/>
          <w:lang w:val="en-US" w:eastAsia="en-US"/>
        </w:rPr>
        <w:t>Chapter</w:t>
      </w:r>
      <w:r w:rsidR="00542AD4" w:rsidRPr="00CF6765">
        <w:rPr>
          <w:rFonts w:eastAsia="Batang"/>
          <w:bCs/>
          <w:sz w:val="20"/>
          <w:lang w:val="en-US" w:eastAsia="en-US"/>
        </w:rPr>
        <w:t xml:space="preserve"> VIII,</w:t>
      </w:r>
      <w:r w:rsidR="00542AD4" w:rsidRPr="00CF6765">
        <w:rPr>
          <w:rFonts w:eastAsia="Batang"/>
          <w:sz w:val="20"/>
          <w:lang w:val="en-US" w:eastAsia="en-US"/>
        </w:rPr>
        <w:t xml:space="preserve"> </w:t>
      </w:r>
      <w:r w:rsidR="005C731C" w:rsidRPr="00CF6765">
        <w:rPr>
          <w:rFonts w:eastAsia="Batang"/>
          <w:sz w:val="20"/>
          <w:lang w:val="en-US" w:eastAsia="en-US"/>
        </w:rPr>
        <w:t>the Court</w:t>
      </w:r>
      <w:r w:rsidR="00542AD4" w:rsidRPr="00CF6765">
        <w:rPr>
          <w:rFonts w:eastAsia="Batang"/>
          <w:sz w:val="20"/>
          <w:lang w:val="en-US" w:eastAsia="en-US"/>
        </w:rPr>
        <w:t xml:space="preserve"> </w:t>
      </w:r>
      <w:r w:rsidRPr="00CF6765">
        <w:rPr>
          <w:rFonts w:eastAsia="Batang"/>
          <w:sz w:val="20"/>
          <w:lang w:val="en-US" w:eastAsia="en-US"/>
        </w:rPr>
        <w:t>will take the pertinent decision on the reparations requested by</w:t>
      </w:r>
      <w:r w:rsidR="00542AD4" w:rsidRPr="00CF6765">
        <w:rPr>
          <w:rFonts w:eastAsia="Batang"/>
          <w:bCs/>
          <w:sz w:val="20"/>
          <w:lang w:val="en-US" w:eastAsia="en-US"/>
        </w:rPr>
        <w:t xml:space="preserve"> </w:t>
      </w:r>
      <w:r w:rsidR="005C731C" w:rsidRPr="00CF6765">
        <w:rPr>
          <w:rFonts w:eastAsia="Batang"/>
          <w:bCs/>
          <w:sz w:val="20"/>
          <w:lang w:val="en-US" w:eastAsia="en-US"/>
        </w:rPr>
        <w:t>the Commission</w:t>
      </w:r>
      <w:r w:rsidR="00EC50FC" w:rsidRPr="00CF6765">
        <w:rPr>
          <w:rFonts w:eastAsia="Batang"/>
          <w:bCs/>
          <w:sz w:val="20"/>
          <w:lang w:val="en-US" w:eastAsia="en-US"/>
        </w:rPr>
        <w:t xml:space="preserve"> and </w:t>
      </w:r>
      <w:r w:rsidR="00D2168F" w:rsidRPr="00CF6765">
        <w:rPr>
          <w:rFonts w:eastAsia="Batang"/>
          <w:bCs/>
          <w:sz w:val="20"/>
          <w:lang w:val="en-US" w:eastAsia="en-US"/>
        </w:rPr>
        <w:t>the representatives</w:t>
      </w:r>
      <w:r w:rsidR="00EC50FC" w:rsidRPr="00CF6765">
        <w:rPr>
          <w:rFonts w:eastAsia="Batang"/>
          <w:bCs/>
          <w:sz w:val="20"/>
          <w:lang w:val="en-US" w:eastAsia="en-US"/>
        </w:rPr>
        <w:t xml:space="preserve"> and </w:t>
      </w:r>
      <w:r w:rsidRPr="00CF6765">
        <w:rPr>
          <w:rFonts w:eastAsia="Batang"/>
          <w:bCs/>
          <w:sz w:val="20"/>
          <w:lang w:val="en-US" w:eastAsia="en-US"/>
        </w:rPr>
        <w:t>will examine whether a causal nexus exists between the violations that have been declared and the measures claimed by the parties.</w:t>
      </w:r>
    </w:p>
    <w:p w14:paraId="23089088" w14:textId="77777777" w:rsidR="00542AD4" w:rsidRPr="00CF6765" w:rsidRDefault="00542AD4" w:rsidP="00542AD4">
      <w:pPr>
        <w:autoSpaceDE w:val="0"/>
        <w:autoSpaceDN w:val="0"/>
        <w:rPr>
          <w:rFonts w:eastAsia="Calibri" w:cs="Verdana"/>
          <w:snapToGrid w:val="0"/>
          <w:sz w:val="20"/>
          <w:szCs w:val="20"/>
          <w:lang w:val="en-US" w:eastAsia="es-ES"/>
        </w:rPr>
      </w:pPr>
    </w:p>
    <w:p w14:paraId="1A9D65A2" w14:textId="787C944A" w:rsidR="00542AD4" w:rsidRPr="00CF6765" w:rsidRDefault="00542AD4" w:rsidP="00542AD4">
      <w:pPr>
        <w:pStyle w:val="Ttulo3"/>
        <w:rPr>
          <w:b/>
          <w:lang w:val="en-US"/>
        </w:rPr>
      </w:pPr>
      <w:bookmarkStart w:id="34" w:name="_Toc47864359"/>
      <w:r w:rsidRPr="00CF6765">
        <w:rPr>
          <w:b/>
          <w:lang w:val="en-US"/>
        </w:rPr>
        <w:t>4</w:t>
      </w:r>
      <w:r w:rsidR="00386E16" w:rsidRPr="00CF6765">
        <w:rPr>
          <w:b/>
          <w:lang w:val="en-US"/>
        </w:rPr>
        <w:t>.</w:t>
      </w:r>
      <w:r w:rsidRPr="00CF6765">
        <w:rPr>
          <w:b/>
          <w:lang w:val="en-US"/>
        </w:rPr>
        <w:t xml:space="preserve"> </w:t>
      </w:r>
      <w:r w:rsidRPr="00CF6765">
        <w:rPr>
          <w:b/>
          <w:lang w:val="en-US"/>
        </w:rPr>
        <w:tab/>
      </w:r>
      <w:r w:rsidR="002A0A64" w:rsidRPr="00CF6765">
        <w:rPr>
          <w:b/>
          <w:lang w:val="en-US"/>
        </w:rPr>
        <w:t>Assessment of the scope of the</w:t>
      </w:r>
      <w:r w:rsidRPr="00CF6765">
        <w:rPr>
          <w:b/>
          <w:lang w:val="en-US"/>
        </w:rPr>
        <w:t xml:space="preserve"> </w:t>
      </w:r>
      <w:r w:rsidR="0088423A" w:rsidRPr="00CF6765">
        <w:rPr>
          <w:b/>
          <w:lang w:val="en-US"/>
        </w:rPr>
        <w:t>partial acknowledgement of responsibility</w:t>
      </w:r>
      <w:bookmarkEnd w:id="34"/>
    </w:p>
    <w:p w14:paraId="2350C27B" w14:textId="77777777" w:rsidR="00542AD4" w:rsidRPr="00CF6765" w:rsidRDefault="00542AD4" w:rsidP="00542AD4">
      <w:pPr>
        <w:autoSpaceDE w:val="0"/>
        <w:autoSpaceDN w:val="0"/>
        <w:rPr>
          <w:rFonts w:eastAsia="Batang"/>
          <w:sz w:val="20"/>
          <w:lang w:val="en-US" w:eastAsia="en-US"/>
        </w:rPr>
      </w:pPr>
    </w:p>
    <w:p w14:paraId="6C41BF39" w14:textId="7480A444" w:rsidR="00542AD4" w:rsidRPr="00CF6765" w:rsidRDefault="00D00161" w:rsidP="009F3E15">
      <w:pPr>
        <w:numPr>
          <w:ilvl w:val="0"/>
          <w:numId w:val="2"/>
        </w:numPr>
        <w:tabs>
          <w:tab w:val="left" w:pos="567"/>
          <w:tab w:val="num" w:pos="1569"/>
          <w:tab w:val="num" w:pos="12305"/>
        </w:tabs>
        <w:ind w:left="0" w:firstLine="0"/>
        <w:rPr>
          <w:rFonts w:eastAsia="Calibri" w:cs="Verdana"/>
          <w:bCs/>
          <w:snapToGrid w:val="0"/>
          <w:sz w:val="20"/>
          <w:szCs w:val="20"/>
          <w:lang w:val="en-US" w:eastAsia="es-ES"/>
        </w:rPr>
      </w:pPr>
      <w:r w:rsidRPr="00CF6765">
        <w:rPr>
          <w:rFonts w:eastAsia="Calibri" w:cs="Verdana"/>
          <w:snapToGrid w:val="0"/>
          <w:sz w:val="20"/>
          <w:szCs w:val="20"/>
          <w:lang w:val="en-US" w:eastAsia="es-ES"/>
        </w:rPr>
        <w:t>Based on the foregoing and its attributes as an international organ for the protection of human rights, the Court finds it necessary, considering the particularities of the events that occurred in this case and the way in which the dispute has evolved, to deliver a judgment in which it determines the facts</w:t>
      </w:r>
      <w:r w:rsidR="009F3E15" w:rsidRPr="00CF6765">
        <w:rPr>
          <w:rFonts w:eastAsia="Calibri" w:cs="Verdana"/>
          <w:snapToGrid w:val="0"/>
          <w:sz w:val="20"/>
          <w:szCs w:val="20"/>
          <w:lang w:val="en-US" w:eastAsia="es-ES"/>
        </w:rPr>
        <w:t xml:space="preserve"> that occurred </w:t>
      </w:r>
      <w:r w:rsidR="005E0C64" w:rsidRPr="00CF6765">
        <w:rPr>
          <w:rFonts w:eastAsia="Calibri" w:cs="Verdana"/>
          <w:snapToGrid w:val="0"/>
          <w:sz w:val="20"/>
          <w:szCs w:val="20"/>
          <w:lang w:val="en-US" w:eastAsia="es-ES"/>
        </w:rPr>
        <w:t>based on</w:t>
      </w:r>
      <w:r w:rsidR="009F3E15" w:rsidRPr="00CF6765">
        <w:rPr>
          <w:rFonts w:eastAsia="Calibri" w:cs="Verdana"/>
          <w:snapToGrid w:val="0"/>
          <w:sz w:val="20"/>
          <w:szCs w:val="20"/>
          <w:lang w:val="en-US" w:eastAsia="es-ES"/>
        </w:rPr>
        <w:t xml:space="preserve"> the evidence submitted in the proceedings before the Court, </w:t>
      </w:r>
      <w:r w:rsidR="005E0C64" w:rsidRPr="00CF6765">
        <w:rPr>
          <w:rFonts w:eastAsia="Calibri" w:cs="Verdana"/>
          <w:snapToGrid w:val="0"/>
          <w:sz w:val="20"/>
          <w:szCs w:val="20"/>
          <w:lang w:val="en-US" w:eastAsia="es-ES"/>
        </w:rPr>
        <w:t xml:space="preserve">in order </w:t>
      </w:r>
      <w:r w:rsidR="009F3E15" w:rsidRPr="00CF6765">
        <w:rPr>
          <w:rFonts w:eastAsia="Calibri" w:cs="Verdana"/>
          <w:snapToGrid w:val="0"/>
          <w:sz w:val="20"/>
          <w:szCs w:val="20"/>
          <w:lang w:val="en-US" w:eastAsia="es-ES"/>
        </w:rPr>
        <w:t xml:space="preserve">to avoid the repetition of similar events and, in sum, to comply with the purposes of the inter-American jurisdiction on human rights, because this will contribute to making reparation to  the members of Mr. Poblete </w:t>
      </w:r>
      <w:proofErr w:type="spellStart"/>
      <w:r w:rsidR="001E55C3" w:rsidRPr="00CF6765">
        <w:rPr>
          <w:rFonts w:eastAsia="Calibri" w:cs="Verdana"/>
          <w:snapToGrid w:val="0"/>
          <w:sz w:val="20"/>
          <w:szCs w:val="20"/>
          <w:lang w:val="en-US" w:eastAsia="es-ES"/>
        </w:rPr>
        <w:t>Vilches’s</w:t>
      </w:r>
      <w:proofErr w:type="spellEnd"/>
      <w:r w:rsidR="001E55C3" w:rsidRPr="00CF6765">
        <w:rPr>
          <w:rFonts w:eastAsia="Calibri" w:cs="Verdana"/>
          <w:snapToGrid w:val="0"/>
          <w:sz w:val="20"/>
          <w:szCs w:val="20"/>
          <w:lang w:val="en-US" w:eastAsia="es-ES"/>
        </w:rPr>
        <w:t xml:space="preserve"> </w:t>
      </w:r>
      <w:r w:rsidR="009F3E15" w:rsidRPr="00CF6765">
        <w:rPr>
          <w:rFonts w:eastAsia="Calibri" w:cs="Verdana"/>
          <w:snapToGrid w:val="0"/>
          <w:sz w:val="20"/>
          <w:szCs w:val="20"/>
          <w:lang w:val="en-US" w:eastAsia="es-ES"/>
        </w:rPr>
        <w:t>family</w:t>
      </w:r>
      <w:r w:rsidR="008B4F67" w:rsidRPr="00CF6765">
        <w:rPr>
          <w:rFonts w:eastAsia="Calibri" w:cs="Verdana"/>
          <w:bCs/>
          <w:snapToGrid w:val="0"/>
          <w:sz w:val="20"/>
          <w:szCs w:val="20"/>
          <w:lang w:val="en-US" w:eastAsia="es-ES"/>
        </w:rPr>
        <w:t>.</w:t>
      </w:r>
      <w:r w:rsidR="00542AD4" w:rsidRPr="00CF6765">
        <w:rPr>
          <w:rStyle w:val="Refdenotaalpie"/>
          <w:rFonts w:eastAsia="Calibri" w:cs="Verdana"/>
          <w:snapToGrid w:val="0"/>
          <w:sz w:val="20"/>
          <w:szCs w:val="20"/>
          <w:lang w:val="en-US" w:eastAsia="es-ES"/>
        </w:rPr>
        <w:footnoteReference w:id="20"/>
      </w:r>
    </w:p>
    <w:p w14:paraId="3151E60B" w14:textId="77777777" w:rsidR="00542AD4" w:rsidRPr="00CF6765" w:rsidRDefault="00542AD4" w:rsidP="00542AD4">
      <w:pPr>
        <w:autoSpaceDE w:val="0"/>
        <w:autoSpaceDN w:val="0"/>
        <w:rPr>
          <w:rFonts w:eastAsia="Calibri" w:cs="Verdana"/>
          <w:snapToGrid w:val="0"/>
          <w:sz w:val="20"/>
          <w:szCs w:val="20"/>
          <w:lang w:val="en-US" w:eastAsia="es-ES"/>
        </w:rPr>
      </w:pPr>
    </w:p>
    <w:p w14:paraId="2DF302E6" w14:textId="2F136996" w:rsidR="00342270" w:rsidRPr="00CF6765" w:rsidRDefault="008B4F67" w:rsidP="00C27894">
      <w:pPr>
        <w:numPr>
          <w:ilvl w:val="0"/>
          <w:numId w:val="2"/>
        </w:numPr>
        <w:tabs>
          <w:tab w:val="left" w:pos="567"/>
          <w:tab w:val="num" w:pos="1569"/>
          <w:tab w:val="num" w:pos="12305"/>
        </w:tabs>
        <w:ind w:left="0" w:firstLine="0"/>
        <w:rPr>
          <w:sz w:val="20"/>
          <w:lang w:val="en-US"/>
        </w:rPr>
      </w:pPr>
      <w:r w:rsidRPr="00CF6765">
        <w:rPr>
          <w:rFonts w:eastAsia="Calibri" w:cs="Verdana"/>
          <w:snapToGrid w:val="0"/>
          <w:sz w:val="20"/>
          <w:szCs w:val="20"/>
          <w:lang w:val="en-US" w:eastAsia="es-ES"/>
        </w:rPr>
        <w:t xml:space="preserve">Furthermore, in order to ensure a better </w:t>
      </w:r>
      <w:r w:rsidR="00B328D7" w:rsidRPr="00CF6765">
        <w:rPr>
          <w:rFonts w:eastAsia="Calibri" w:cs="Verdana"/>
          <w:snapToGrid w:val="0"/>
          <w:sz w:val="20"/>
          <w:szCs w:val="20"/>
          <w:lang w:val="en-US" w:eastAsia="es-ES"/>
        </w:rPr>
        <w:t>understanding</w:t>
      </w:r>
      <w:r w:rsidRPr="00CF6765">
        <w:rPr>
          <w:rFonts w:eastAsia="Calibri" w:cs="Verdana"/>
          <w:snapToGrid w:val="0"/>
          <w:sz w:val="20"/>
          <w:szCs w:val="20"/>
          <w:lang w:val="en-US" w:eastAsia="es-ES"/>
        </w:rPr>
        <w:t xml:space="preserve"> of the State’s international responsibility in this case and the causal nexus between the violations establishe</w:t>
      </w:r>
      <w:r w:rsidR="005E0C64" w:rsidRPr="00CF6765">
        <w:rPr>
          <w:rFonts w:eastAsia="Calibri" w:cs="Verdana"/>
          <w:snapToGrid w:val="0"/>
          <w:sz w:val="20"/>
          <w:szCs w:val="20"/>
          <w:lang w:val="en-US" w:eastAsia="es-ES"/>
        </w:rPr>
        <w:t>d</w:t>
      </w:r>
      <w:r w:rsidRPr="00CF6765">
        <w:rPr>
          <w:rFonts w:eastAsia="Calibri" w:cs="Verdana"/>
          <w:snapToGrid w:val="0"/>
          <w:sz w:val="20"/>
          <w:szCs w:val="20"/>
          <w:lang w:val="en-US" w:eastAsia="es-ES"/>
        </w:rPr>
        <w:t xml:space="preserve"> and the reparations that are ordered, the Court finds it pertinent to specify the scope and classification of the human rights violations that occurred in this case.</w:t>
      </w:r>
      <w:r w:rsidR="00542AD4" w:rsidRPr="00CF6765">
        <w:rPr>
          <w:rStyle w:val="Refdenotaalpie"/>
          <w:rFonts w:eastAsia="Batang"/>
          <w:sz w:val="20"/>
          <w:lang w:val="en-US" w:eastAsia="en-US"/>
        </w:rPr>
        <w:footnoteReference w:id="21"/>
      </w:r>
    </w:p>
    <w:p w14:paraId="5EC2EF4B" w14:textId="77777777" w:rsidR="00342270" w:rsidRPr="00CF6765" w:rsidRDefault="00342270" w:rsidP="00342270">
      <w:pPr>
        <w:tabs>
          <w:tab w:val="left" w:pos="720"/>
        </w:tabs>
        <w:ind w:right="-90"/>
        <w:rPr>
          <w:sz w:val="20"/>
          <w:lang w:val="en-US"/>
        </w:rPr>
      </w:pPr>
    </w:p>
    <w:p w14:paraId="776303DB" w14:textId="20536BBF" w:rsidR="007A1A14" w:rsidRPr="00CF6765" w:rsidRDefault="007A1A14" w:rsidP="00F322EC">
      <w:pPr>
        <w:pStyle w:val="Ttulo"/>
      </w:pPr>
      <w:bookmarkStart w:id="35" w:name="_Toc375517114"/>
      <w:bookmarkStart w:id="36" w:name="_Toc459158102"/>
      <w:bookmarkStart w:id="37" w:name="_Toc470180046"/>
      <w:bookmarkStart w:id="38" w:name="_Toc47864360"/>
      <w:r w:rsidRPr="00CF6765">
        <w:t>V</w:t>
      </w:r>
      <w:r w:rsidRPr="00CF6765">
        <w:br/>
      </w:r>
      <w:r w:rsidR="009C2DEF" w:rsidRPr="00CF6765">
        <w:t>EVIDENCE</w:t>
      </w:r>
      <w:bookmarkEnd w:id="35"/>
      <w:bookmarkEnd w:id="36"/>
      <w:bookmarkEnd w:id="37"/>
      <w:bookmarkEnd w:id="38"/>
    </w:p>
    <w:p w14:paraId="2C97F32D" w14:textId="05F421A8" w:rsidR="00F3026E" w:rsidRPr="00CF6765" w:rsidRDefault="00F3026E" w:rsidP="00F3026E">
      <w:pPr>
        <w:rPr>
          <w:sz w:val="20"/>
          <w:szCs w:val="20"/>
          <w:lang w:val="en-US"/>
        </w:rPr>
      </w:pPr>
    </w:p>
    <w:p w14:paraId="5C58E089" w14:textId="56136022" w:rsidR="007A1A14" w:rsidRPr="00CF6765" w:rsidRDefault="008B4F67" w:rsidP="00C27894">
      <w:pPr>
        <w:pStyle w:val="Ttulo2"/>
        <w:numPr>
          <w:ilvl w:val="0"/>
          <w:numId w:val="21"/>
        </w:numPr>
        <w:rPr>
          <w:lang w:val="en-US"/>
        </w:rPr>
      </w:pPr>
      <w:bookmarkStart w:id="39" w:name="_Toc47864361"/>
      <w:r w:rsidRPr="00CF6765">
        <w:rPr>
          <w:lang w:val="en-US"/>
        </w:rPr>
        <w:t>Documentary, testimonial and expert evidence</w:t>
      </w:r>
      <w:bookmarkEnd w:id="39"/>
    </w:p>
    <w:p w14:paraId="58AAC3C8" w14:textId="77777777" w:rsidR="007A1A14" w:rsidRPr="00CF6765" w:rsidRDefault="007A1A14" w:rsidP="00F3026E">
      <w:pPr>
        <w:tabs>
          <w:tab w:val="left" w:pos="567"/>
        </w:tabs>
        <w:autoSpaceDE w:val="0"/>
        <w:autoSpaceDN w:val="0"/>
        <w:rPr>
          <w:rFonts w:cs="Verdana"/>
          <w:sz w:val="20"/>
          <w:szCs w:val="20"/>
          <w:lang w:val="en-US" w:eastAsia="en-US"/>
        </w:rPr>
      </w:pPr>
    </w:p>
    <w:p w14:paraId="2A25AB98" w14:textId="636A7C3E" w:rsidR="00D96547" w:rsidRPr="00CF6765" w:rsidRDefault="005C731C" w:rsidP="006B458C">
      <w:pPr>
        <w:numPr>
          <w:ilvl w:val="0"/>
          <w:numId w:val="2"/>
        </w:numPr>
        <w:tabs>
          <w:tab w:val="left" w:pos="567"/>
          <w:tab w:val="num" w:pos="1569"/>
          <w:tab w:val="num" w:pos="12305"/>
        </w:tabs>
        <w:ind w:left="0" w:firstLine="0"/>
        <w:rPr>
          <w:sz w:val="22"/>
          <w:szCs w:val="22"/>
          <w:lang w:val="en-US"/>
        </w:rPr>
      </w:pPr>
      <w:r w:rsidRPr="00CF6765">
        <w:rPr>
          <w:sz w:val="20"/>
          <w:szCs w:val="20"/>
          <w:lang w:val="en-US"/>
        </w:rPr>
        <w:t>The Court</w:t>
      </w:r>
      <w:r w:rsidR="007A1A14" w:rsidRPr="00CF6765">
        <w:rPr>
          <w:sz w:val="20"/>
          <w:szCs w:val="20"/>
          <w:lang w:val="en-US"/>
        </w:rPr>
        <w:t xml:space="preserve"> rec</w:t>
      </w:r>
      <w:r w:rsidR="008B4F67" w:rsidRPr="00CF6765">
        <w:rPr>
          <w:sz w:val="20"/>
          <w:szCs w:val="20"/>
          <w:lang w:val="en-US"/>
        </w:rPr>
        <w:t xml:space="preserve">eived diverse documents presented as evidence by </w:t>
      </w:r>
      <w:r w:rsidR="00EC50FC" w:rsidRPr="00CF6765">
        <w:rPr>
          <w:sz w:val="20"/>
          <w:szCs w:val="20"/>
          <w:lang w:val="en-US"/>
        </w:rPr>
        <w:t>the State</w:t>
      </w:r>
      <w:r w:rsidR="007A1A14" w:rsidRPr="00CF6765">
        <w:rPr>
          <w:sz w:val="20"/>
          <w:szCs w:val="20"/>
          <w:lang w:val="en-US"/>
        </w:rPr>
        <w:t xml:space="preserve">, </w:t>
      </w:r>
      <w:r w:rsidR="00D2168F" w:rsidRPr="00CF6765">
        <w:rPr>
          <w:sz w:val="20"/>
          <w:szCs w:val="20"/>
          <w:lang w:val="en-US"/>
        </w:rPr>
        <w:t>the representatives</w:t>
      </w:r>
      <w:r w:rsidR="00EC50FC" w:rsidRPr="00CF6765">
        <w:rPr>
          <w:sz w:val="20"/>
          <w:szCs w:val="20"/>
          <w:lang w:val="en-US"/>
        </w:rPr>
        <w:t xml:space="preserve"> and </w:t>
      </w:r>
      <w:r w:rsidRPr="00CF6765">
        <w:rPr>
          <w:sz w:val="20"/>
          <w:szCs w:val="20"/>
          <w:lang w:val="en-US"/>
        </w:rPr>
        <w:t>the Inter-American Commission</w:t>
      </w:r>
      <w:r w:rsidR="007A1A14" w:rsidRPr="00CF6765">
        <w:rPr>
          <w:sz w:val="20"/>
          <w:szCs w:val="20"/>
          <w:lang w:val="en-US"/>
        </w:rPr>
        <w:t>, a</w:t>
      </w:r>
      <w:r w:rsidR="008B4F67" w:rsidRPr="00CF6765">
        <w:rPr>
          <w:sz w:val="20"/>
          <w:szCs w:val="20"/>
          <w:lang w:val="en-US"/>
        </w:rPr>
        <w:t>ttached to their principal briefs and with</w:t>
      </w:r>
      <w:r w:rsidR="005E0C64" w:rsidRPr="00CF6765">
        <w:rPr>
          <w:sz w:val="20"/>
          <w:szCs w:val="20"/>
          <w:lang w:val="en-US"/>
        </w:rPr>
        <w:t xml:space="preserve"> their</w:t>
      </w:r>
      <w:r w:rsidR="008B4F67" w:rsidRPr="00CF6765">
        <w:rPr>
          <w:sz w:val="20"/>
          <w:szCs w:val="20"/>
          <w:lang w:val="en-US"/>
        </w:rPr>
        <w:t xml:space="preserve"> final written arguments </w:t>
      </w:r>
      <w:r w:rsidR="007A1A14" w:rsidRPr="00CF6765">
        <w:rPr>
          <w:sz w:val="20"/>
          <w:szCs w:val="20"/>
          <w:lang w:val="en-US"/>
        </w:rPr>
        <w:t>(</w:t>
      </w:r>
      <w:r w:rsidR="00062586" w:rsidRPr="00CF6765">
        <w:rPr>
          <w:i/>
          <w:sz w:val="20"/>
          <w:szCs w:val="20"/>
          <w:lang w:val="en-US"/>
        </w:rPr>
        <w:t>supra</w:t>
      </w:r>
      <w:r w:rsidR="007A1A14" w:rsidRPr="00CF6765">
        <w:rPr>
          <w:sz w:val="20"/>
          <w:szCs w:val="20"/>
          <w:lang w:val="en-US"/>
        </w:rPr>
        <w:t xml:space="preserve"> </w:t>
      </w:r>
      <w:r w:rsidR="00EC50FC" w:rsidRPr="00CF6765">
        <w:rPr>
          <w:sz w:val="20"/>
          <w:szCs w:val="20"/>
          <w:lang w:val="en-US"/>
        </w:rPr>
        <w:t>paras.</w:t>
      </w:r>
      <w:r w:rsidR="007A1A14" w:rsidRPr="00CF6765">
        <w:rPr>
          <w:sz w:val="20"/>
          <w:szCs w:val="20"/>
          <w:lang w:val="en-US"/>
        </w:rPr>
        <w:t xml:space="preserve"> </w:t>
      </w:r>
      <w:r w:rsidR="005A65DF" w:rsidRPr="00CF6765">
        <w:rPr>
          <w:sz w:val="20"/>
          <w:szCs w:val="20"/>
          <w:lang w:val="en-US"/>
        </w:rPr>
        <w:t xml:space="preserve">5 </w:t>
      </w:r>
      <w:r w:rsidR="008B4F67" w:rsidRPr="00CF6765">
        <w:rPr>
          <w:sz w:val="20"/>
          <w:szCs w:val="20"/>
          <w:lang w:val="en-US"/>
        </w:rPr>
        <w:t>to</w:t>
      </w:r>
      <w:r w:rsidR="005A65DF" w:rsidRPr="00CF6765">
        <w:rPr>
          <w:sz w:val="20"/>
          <w:szCs w:val="20"/>
          <w:lang w:val="en-US"/>
        </w:rPr>
        <w:t xml:space="preserve"> 13</w:t>
      </w:r>
      <w:r w:rsidR="007A1A14" w:rsidRPr="00CF6765">
        <w:rPr>
          <w:sz w:val="20"/>
          <w:szCs w:val="20"/>
          <w:lang w:val="en-US"/>
        </w:rPr>
        <w:t xml:space="preserve">). </w:t>
      </w:r>
      <w:r w:rsidR="008B4F67" w:rsidRPr="00CF6765">
        <w:rPr>
          <w:sz w:val="20"/>
          <w:szCs w:val="20"/>
          <w:lang w:val="en-US"/>
        </w:rPr>
        <w:t>The</w:t>
      </w:r>
      <w:r w:rsidRPr="00CF6765">
        <w:rPr>
          <w:sz w:val="20"/>
          <w:szCs w:val="20"/>
          <w:lang w:val="en-US"/>
        </w:rPr>
        <w:t xml:space="preserve"> Court</w:t>
      </w:r>
      <w:r w:rsidR="008B4F67" w:rsidRPr="00CF6765">
        <w:rPr>
          <w:sz w:val="20"/>
          <w:szCs w:val="20"/>
          <w:lang w:val="en-US"/>
        </w:rPr>
        <w:t xml:space="preserve"> also received the affidavits made by</w:t>
      </w:r>
      <w:r w:rsidR="007A1A14" w:rsidRPr="00CF6765">
        <w:rPr>
          <w:sz w:val="20"/>
          <w:szCs w:val="20"/>
          <w:lang w:val="en-US"/>
        </w:rPr>
        <w:t xml:space="preserve"> </w:t>
      </w:r>
      <w:proofErr w:type="spellStart"/>
      <w:r w:rsidR="00310187" w:rsidRPr="00CF6765">
        <w:rPr>
          <w:sz w:val="20"/>
          <w:szCs w:val="20"/>
          <w:lang w:val="en-US"/>
        </w:rPr>
        <w:t>Cesia</w:t>
      </w:r>
      <w:proofErr w:type="spellEnd"/>
      <w:r w:rsidR="00310187" w:rsidRPr="00CF6765">
        <w:rPr>
          <w:sz w:val="20"/>
          <w:szCs w:val="20"/>
          <w:lang w:val="en-US"/>
        </w:rPr>
        <w:t xml:space="preserve"> Leila Poblete Tapia, Alejandra Marcela Fuentes Poblete</w:t>
      </w:r>
      <w:r w:rsidR="00EC50FC" w:rsidRPr="00CF6765">
        <w:rPr>
          <w:sz w:val="20"/>
          <w:szCs w:val="20"/>
          <w:lang w:val="en-US"/>
        </w:rPr>
        <w:t xml:space="preserve"> and </w:t>
      </w:r>
      <w:r w:rsidR="00310187" w:rsidRPr="00CF6765">
        <w:rPr>
          <w:sz w:val="20"/>
          <w:szCs w:val="20"/>
          <w:lang w:val="en-US"/>
        </w:rPr>
        <w:t xml:space="preserve">Sandra </w:t>
      </w:r>
      <w:proofErr w:type="spellStart"/>
      <w:r w:rsidR="00310187" w:rsidRPr="00CF6765">
        <w:rPr>
          <w:sz w:val="20"/>
          <w:szCs w:val="20"/>
          <w:lang w:val="en-US"/>
        </w:rPr>
        <w:t>Mo</w:t>
      </w:r>
      <w:r w:rsidR="00250769" w:rsidRPr="00CF6765">
        <w:rPr>
          <w:sz w:val="20"/>
          <w:szCs w:val="20"/>
          <w:lang w:val="en-US"/>
        </w:rPr>
        <w:t>n</w:t>
      </w:r>
      <w:r w:rsidR="00310187" w:rsidRPr="00CF6765">
        <w:rPr>
          <w:sz w:val="20"/>
          <w:szCs w:val="20"/>
          <w:lang w:val="en-US"/>
        </w:rPr>
        <w:t>tufar</w:t>
      </w:r>
      <w:proofErr w:type="spellEnd"/>
      <w:r w:rsidR="00310187" w:rsidRPr="00CF6765">
        <w:rPr>
          <w:sz w:val="20"/>
          <w:szCs w:val="20"/>
          <w:lang w:val="en-US"/>
        </w:rPr>
        <w:t xml:space="preserve"> Castillo, </w:t>
      </w:r>
      <w:r w:rsidR="007D3121" w:rsidRPr="00CF6765">
        <w:rPr>
          <w:sz w:val="20"/>
          <w:szCs w:val="20"/>
          <w:lang w:val="en-US"/>
        </w:rPr>
        <w:t>proposed by</w:t>
      </w:r>
      <w:r w:rsidR="00310187" w:rsidRPr="00CF6765">
        <w:rPr>
          <w:sz w:val="20"/>
          <w:szCs w:val="20"/>
          <w:lang w:val="en-US"/>
        </w:rPr>
        <w:t xml:space="preserve"> </w:t>
      </w:r>
      <w:r w:rsidR="00D2168F" w:rsidRPr="00CF6765">
        <w:rPr>
          <w:sz w:val="20"/>
          <w:szCs w:val="20"/>
          <w:lang w:val="en-US"/>
        </w:rPr>
        <w:t>the inter-American defenders</w:t>
      </w:r>
      <w:r w:rsidR="00EC50FC" w:rsidRPr="00CF6765">
        <w:rPr>
          <w:sz w:val="20"/>
          <w:szCs w:val="20"/>
          <w:lang w:val="en-US"/>
        </w:rPr>
        <w:t xml:space="preserve"> and </w:t>
      </w:r>
      <w:r w:rsidR="00310187" w:rsidRPr="00CF6765">
        <w:rPr>
          <w:sz w:val="20"/>
          <w:szCs w:val="20"/>
          <w:lang w:val="en-US"/>
        </w:rPr>
        <w:t>Patricia Isabel Navarrete</w:t>
      </w:r>
      <w:r w:rsidR="00EC50FC" w:rsidRPr="00CF6765">
        <w:rPr>
          <w:sz w:val="20"/>
          <w:szCs w:val="20"/>
          <w:lang w:val="en-US"/>
        </w:rPr>
        <w:t xml:space="preserve"> and </w:t>
      </w:r>
      <w:r w:rsidR="00310187" w:rsidRPr="00CF6765">
        <w:rPr>
          <w:sz w:val="20"/>
          <w:szCs w:val="20"/>
          <w:lang w:val="en-US"/>
        </w:rPr>
        <w:t xml:space="preserve">Osvaldo Salgado Zepeda, </w:t>
      </w:r>
      <w:r w:rsidR="007D3121" w:rsidRPr="00CF6765">
        <w:rPr>
          <w:sz w:val="20"/>
          <w:szCs w:val="20"/>
          <w:lang w:val="en-US"/>
        </w:rPr>
        <w:t>proposed by</w:t>
      </w:r>
      <w:r w:rsidR="00310187" w:rsidRPr="00CF6765">
        <w:rPr>
          <w:sz w:val="20"/>
          <w:szCs w:val="20"/>
          <w:lang w:val="en-US"/>
        </w:rPr>
        <w:t xml:space="preserve"> </w:t>
      </w:r>
      <w:r w:rsidR="00EC50FC" w:rsidRPr="00CF6765">
        <w:rPr>
          <w:sz w:val="20"/>
          <w:szCs w:val="20"/>
          <w:lang w:val="en-US"/>
        </w:rPr>
        <w:t>the State</w:t>
      </w:r>
      <w:r w:rsidR="007A1A14" w:rsidRPr="00CF6765">
        <w:rPr>
          <w:sz w:val="20"/>
          <w:szCs w:val="20"/>
          <w:lang w:val="en-US"/>
        </w:rPr>
        <w:t xml:space="preserve">. </w:t>
      </w:r>
      <w:r w:rsidR="007D3121" w:rsidRPr="00CF6765">
        <w:rPr>
          <w:sz w:val="20"/>
          <w:szCs w:val="20"/>
          <w:lang w:val="en-US"/>
        </w:rPr>
        <w:t xml:space="preserve">It also received the opinions of expert witnesses </w:t>
      </w:r>
      <w:r w:rsidR="00310187" w:rsidRPr="00CF6765">
        <w:rPr>
          <w:sz w:val="20"/>
          <w:szCs w:val="20"/>
          <w:lang w:val="en-US"/>
        </w:rPr>
        <w:t xml:space="preserve">Fernando </w:t>
      </w:r>
      <w:proofErr w:type="spellStart"/>
      <w:r w:rsidR="00310187" w:rsidRPr="00CF6765">
        <w:rPr>
          <w:sz w:val="20"/>
          <w:szCs w:val="20"/>
          <w:lang w:val="en-US"/>
        </w:rPr>
        <w:t>Mussa</w:t>
      </w:r>
      <w:proofErr w:type="spellEnd"/>
      <w:r w:rsidR="00310187" w:rsidRPr="00CF6765">
        <w:rPr>
          <w:sz w:val="20"/>
          <w:szCs w:val="20"/>
          <w:lang w:val="en-US"/>
        </w:rPr>
        <w:t xml:space="preserve"> </w:t>
      </w:r>
      <w:proofErr w:type="spellStart"/>
      <w:r w:rsidR="00310187" w:rsidRPr="00CF6765">
        <w:rPr>
          <w:sz w:val="20"/>
          <w:szCs w:val="20"/>
          <w:lang w:val="en-US"/>
        </w:rPr>
        <w:t>Abujamra</w:t>
      </w:r>
      <w:proofErr w:type="spellEnd"/>
      <w:r w:rsidR="00310187" w:rsidRPr="00CF6765">
        <w:rPr>
          <w:sz w:val="20"/>
          <w:szCs w:val="20"/>
          <w:lang w:val="en-US"/>
        </w:rPr>
        <w:t xml:space="preserve"> </w:t>
      </w:r>
      <w:proofErr w:type="spellStart"/>
      <w:r w:rsidR="00310187" w:rsidRPr="00CF6765">
        <w:rPr>
          <w:sz w:val="20"/>
          <w:szCs w:val="20"/>
          <w:lang w:val="en-US"/>
        </w:rPr>
        <w:t>Aith</w:t>
      </w:r>
      <w:proofErr w:type="spellEnd"/>
      <w:r w:rsidR="00EC50FC" w:rsidRPr="00CF6765">
        <w:rPr>
          <w:sz w:val="20"/>
          <w:szCs w:val="20"/>
          <w:lang w:val="en-US"/>
        </w:rPr>
        <w:t xml:space="preserve"> and </w:t>
      </w:r>
      <w:proofErr w:type="spellStart"/>
      <w:r w:rsidR="00310187" w:rsidRPr="00CF6765">
        <w:rPr>
          <w:sz w:val="20"/>
          <w:szCs w:val="20"/>
          <w:lang w:val="en-US"/>
        </w:rPr>
        <w:t>Hernán</w:t>
      </w:r>
      <w:proofErr w:type="spellEnd"/>
      <w:r w:rsidR="00310187" w:rsidRPr="00CF6765">
        <w:rPr>
          <w:sz w:val="20"/>
          <w:szCs w:val="20"/>
          <w:lang w:val="en-US"/>
        </w:rPr>
        <w:t xml:space="preserve"> Víctor </w:t>
      </w:r>
      <w:proofErr w:type="spellStart"/>
      <w:r w:rsidR="00310187" w:rsidRPr="00CF6765">
        <w:rPr>
          <w:sz w:val="20"/>
          <w:szCs w:val="20"/>
          <w:lang w:val="en-US"/>
        </w:rPr>
        <w:t>Gullco</w:t>
      </w:r>
      <w:proofErr w:type="spellEnd"/>
      <w:r w:rsidR="00310187" w:rsidRPr="00CF6765">
        <w:rPr>
          <w:sz w:val="20"/>
          <w:szCs w:val="20"/>
          <w:lang w:val="en-US"/>
        </w:rPr>
        <w:t xml:space="preserve">, </w:t>
      </w:r>
      <w:r w:rsidR="007D3121" w:rsidRPr="00CF6765">
        <w:rPr>
          <w:sz w:val="20"/>
          <w:szCs w:val="20"/>
          <w:lang w:val="en-US"/>
        </w:rPr>
        <w:t xml:space="preserve">proposed by </w:t>
      </w:r>
      <w:r w:rsidR="00D2168F" w:rsidRPr="00CF6765">
        <w:rPr>
          <w:sz w:val="20"/>
          <w:szCs w:val="20"/>
          <w:lang w:val="en-US"/>
        </w:rPr>
        <w:t>the inter-American defenders</w:t>
      </w:r>
      <w:r w:rsidR="005E0C64" w:rsidRPr="00CF6765">
        <w:rPr>
          <w:sz w:val="20"/>
          <w:szCs w:val="20"/>
          <w:lang w:val="en-US"/>
        </w:rPr>
        <w:t>,</w:t>
      </w:r>
      <w:r w:rsidR="00EC50FC" w:rsidRPr="00CF6765">
        <w:rPr>
          <w:sz w:val="20"/>
          <w:szCs w:val="20"/>
          <w:lang w:val="en-US"/>
        </w:rPr>
        <w:t xml:space="preserve"> and </w:t>
      </w:r>
      <w:r w:rsidR="00310187" w:rsidRPr="00CF6765">
        <w:rPr>
          <w:sz w:val="20"/>
          <w:szCs w:val="20"/>
          <w:lang w:val="en-US"/>
        </w:rPr>
        <w:t xml:space="preserve">Claudio Fuentes, </w:t>
      </w:r>
      <w:r w:rsidR="007D3121" w:rsidRPr="00CF6765">
        <w:rPr>
          <w:sz w:val="20"/>
          <w:szCs w:val="20"/>
          <w:lang w:val="en-US"/>
        </w:rPr>
        <w:t xml:space="preserve">proposed by </w:t>
      </w:r>
      <w:r w:rsidR="00EC50FC" w:rsidRPr="00CF6765">
        <w:rPr>
          <w:sz w:val="20"/>
          <w:szCs w:val="20"/>
          <w:lang w:val="en-US"/>
        </w:rPr>
        <w:t>the State</w:t>
      </w:r>
      <w:r w:rsidR="007A1A14" w:rsidRPr="00CF6765">
        <w:rPr>
          <w:sz w:val="20"/>
          <w:szCs w:val="20"/>
          <w:lang w:val="en-US"/>
        </w:rPr>
        <w:t xml:space="preserve">. </w:t>
      </w:r>
      <w:r w:rsidR="007D3121" w:rsidRPr="00CF6765">
        <w:rPr>
          <w:sz w:val="20"/>
          <w:szCs w:val="20"/>
          <w:lang w:val="en-US"/>
        </w:rPr>
        <w:t xml:space="preserve">Regarding the evidence submitted during the </w:t>
      </w:r>
      <w:r w:rsidR="00AD6DF0" w:rsidRPr="00CF6765">
        <w:rPr>
          <w:sz w:val="20"/>
          <w:szCs w:val="20"/>
          <w:lang w:val="en-US"/>
        </w:rPr>
        <w:t>public hearing</w:t>
      </w:r>
      <w:r w:rsidR="007A1A14" w:rsidRPr="00CF6765">
        <w:rPr>
          <w:sz w:val="20"/>
          <w:szCs w:val="20"/>
          <w:lang w:val="en-US"/>
        </w:rPr>
        <w:t xml:space="preserve">, </w:t>
      </w:r>
      <w:r w:rsidRPr="00CF6765">
        <w:rPr>
          <w:sz w:val="20"/>
          <w:szCs w:val="20"/>
          <w:lang w:val="en-US"/>
        </w:rPr>
        <w:t>the Court</w:t>
      </w:r>
      <w:r w:rsidR="007A1A14" w:rsidRPr="00CF6765">
        <w:rPr>
          <w:sz w:val="20"/>
          <w:szCs w:val="20"/>
          <w:lang w:val="en-US"/>
        </w:rPr>
        <w:t xml:space="preserve"> </w:t>
      </w:r>
      <w:r w:rsidR="007D3121" w:rsidRPr="00CF6765">
        <w:rPr>
          <w:sz w:val="20"/>
          <w:szCs w:val="20"/>
          <w:lang w:val="en-US"/>
        </w:rPr>
        <w:t>received the statements of</w:t>
      </w:r>
      <w:r w:rsidR="007A1A14" w:rsidRPr="00CF6765">
        <w:rPr>
          <w:sz w:val="20"/>
          <w:szCs w:val="20"/>
          <w:lang w:val="en-US"/>
        </w:rPr>
        <w:t xml:space="preserve"> </w:t>
      </w:r>
      <w:r w:rsidR="00D04694" w:rsidRPr="00CF6765">
        <w:rPr>
          <w:sz w:val="20"/>
          <w:szCs w:val="20"/>
          <w:lang w:val="en-US"/>
        </w:rPr>
        <w:t>the presumed victim</w:t>
      </w:r>
      <w:r w:rsidR="007D3121" w:rsidRPr="00CF6765">
        <w:rPr>
          <w:sz w:val="20"/>
          <w:szCs w:val="20"/>
          <w:lang w:val="en-US"/>
        </w:rPr>
        <w:t>,</w:t>
      </w:r>
      <w:r w:rsidR="007A1A14" w:rsidRPr="00CF6765">
        <w:rPr>
          <w:sz w:val="20"/>
          <w:szCs w:val="20"/>
          <w:lang w:val="en-US"/>
        </w:rPr>
        <w:t xml:space="preserve"> </w:t>
      </w:r>
      <w:r w:rsidR="00342270" w:rsidRPr="00CF6765">
        <w:rPr>
          <w:rFonts w:cs="Arial"/>
          <w:iCs/>
          <w:sz w:val="20"/>
          <w:szCs w:val="20"/>
          <w:lang w:val="en-US"/>
        </w:rPr>
        <w:t>Vinicio Marco Antonio Poblete Tapia</w:t>
      </w:r>
      <w:r w:rsidR="007D3121" w:rsidRPr="00CF6765">
        <w:rPr>
          <w:rFonts w:cs="Arial"/>
          <w:iCs/>
          <w:sz w:val="20"/>
          <w:szCs w:val="20"/>
          <w:lang w:val="en-US"/>
        </w:rPr>
        <w:t>,</w:t>
      </w:r>
      <w:r w:rsidR="00EC50FC" w:rsidRPr="00CF6765">
        <w:rPr>
          <w:rFonts w:cs="Arial"/>
          <w:iCs/>
          <w:sz w:val="20"/>
          <w:szCs w:val="20"/>
          <w:lang w:val="en-US"/>
        </w:rPr>
        <w:t xml:space="preserve"> and </w:t>
      </w:r>
      <w:r w:rsidR="007D3121" w:rsidRPr="00CF6765">
        <w:rPr>
          <w:rFonts w:cs="Arial"/>
          <w:iCs/>
          <w:sz w:val="20"/>
          <w:szCs w:val="20"/>
          <w:lang w:val="en-US"/>
        </w:rPr>
        <w:t>the witness,</w:t>
      </w:r>
      <w:r w:rsidR="007A1A14" w:rsidRPr="00CF6765">
        <w:rPr>
          <w:rFonts w:cs="Arial"/>
          <w:iCs/>
          <w:sz w:val="20"/>
          <w:szCs w:val="20"/>
          <w:lang w:val="en-US"/>
        </w:rPr>
        <w:t xml:space="preserve"> </w:t>
      </w:r>
      <w:r w:rsidR="00342270" w:rsidRPr="00CF6765">
        <w:rPr>
          <w:rFonts w:cs="Arial"/>
          <w:iCs/>
          <w:sz w:val="20"/>
          <w:szCs w:val="20"/>
          <w:lang w:val="en-US"/>
        </w:rPr>
        <w:t xml:space="preserve">Rodrigo </w:t>
      </w:r>
      <w:proofErr w:type="spellStart"/>
      <w:r w:rsidR="00342270" w:rsidRPr="00CF6765">
        <w:rPr>
          <w:rFonts w:cs="Arial"/>
          <w:iCs/>
          <w:sz w:val="20"/>
          <w:szCs w:val="20"/>
          <w:lang w:val="en-US"/>
        </w:rPr>
        <w:t>Avendaño</w:t>
      </w:r>
      <w:proofErr w:type="spellEnd"/>
      <w:r w:rsidR="00342270" w:rsidRPr="00CF6765">
        <w:rPr>
          <w:rFonts w:cs="Arial"/>
          <w:iCs/>
          <w:sz w:val="20"/>
          <w:szCs w:val="20"/>
          <w:lang w:val="en-US"/>
        </w:rPr>
        <w:t xml:space="preserve"> Brandeis</w:t>
      </w:r>
      <w:r w:rsidR="007A1A14" w:rsidRPr="00CF6765">
        <w:rPr>
          <w:rFonts w:cs="Arial"/>
          <w:iCs/>
          <w:sz w:val="20"/>
          <w:szCs w:val="20"/>
          <w:lang w:val="en-US"/>
        </w:rPr>
        <w:t xml:space="preserve">, </w:t>
      </w:r>
      <w:r w:rsidR="007D3121" w:rsidRPr="00CF6765">
        <w:rPr>
          <w:sz w:val="20"/>
          <w:szCs w:val="20"/>
          <w:lang w:val="en-US"/>
        </w:rPr>
        <w:t xml:space="preserve">proposed by </w:t>
      </w:r>
      <w:r w:rsidR="00EC50FC" w:rsidRPr="00CF6765">
        <w:rPr>
          <w:rFonts w:cs="Arial"/>
          <w:iCs/>
          <w:sz w:val="20"/>
          <w:szCs w:val="20"/>
          <w:lang w:val="en-US"/>
        </w:rPr>
        <w:t>the State</w:t>
      </w:r>
      <w:r w:rsidR="007D3121" w:rsidRPr="00CF6765">
        <w:rPr>
          <w:rFonts w:cs="Arial"/>
          <w:iCs/>
          <w:sz w:val="20"/>
          <w:szCs w:val="20"/>
          <w:lang w:val="en-US"/>
        </w:rPr>
        <w:t xml:space="preserve">, and also of the expert witnesses, </w:t>
      </w:r>
      <w:r w:rsidR="00342270" w:rsidRPr="00CF6765">
        <w:rPr>
          <w:rFonts w:cs="Arial"/>
          <w:iCs/>
          <w:sz w:val="20"/>
          <w:szCs w:val="20"/>
          <w:lang w:val="en-US"/>
        </w:rPr>
        <w:t xml:space="preserve">Alicia Ely </w:t>
      </w:r>
      <w:proofErr w:type="spellStart"/>
      <w:r w:rsidR="00342270" w:rsidRPr="00CF6765">
        <w:rPr>
          <w:rFonts w:cs="Arial"/>
          <w:iCs/>
          <w:sz w:val="20"/>
          <w:szCs w:val="20"/>
          <w:lang w:val="en-US"/>
        </w:rPr>
        <w:t>Yemin</w:t>
      </w:r>
      <w:proofErr w:type="spellEnd"/>
      <w:r w:rsidR="00342270" w:rsidRPr="00CF6765">
        <w:rPr>
          <w:rFonts w:cs="Arial"/>
          <w:iCs/>
          <w:sz w:val="20"/>
          <w:szCs w:val="20"/>
          <w:lang w:val="en-US"/>
        </w:rPr>
        <w:t xml:space="preserve">, </w:t>
      </w:r>
      <w:r w:rsidR="007D3121" w:rsidRPr="00CF6765">
        <w:rPr>
          <w:sz w:val="20"/>
          <w:szCs w:val="20"/>
          <w:lang w:val="en-US"/>
        </w:rPr>
        <w:t xml:space="preserve">proposed by </w:t>
      </w:r>
      <w:r w:rsidRPr="00CF6765">
        <w:rPr>
          <w:rFonts w:cs="Arial"/>
          <w:iCs/>
          <w:sz w:val="20"/>
          <w:szCs w:val="20"/>
          <w:lang w:val="en-US"/>
        </w:rPr>
        <w:t>the Commission</w:t>
      </w:r>
      <w:r w:rsidR="007D3121" w:rsidRPr="00CF6765">
        <w:rPr>
          <w:rFonts w:cs="Arial"/>
          <w:iCs/>
          <w:sz w:val="20"/>
          <w:szCs w:val="20"/>
          <w:lang w:val="en-US"/>
        </w:rPr>
        <w:t>,</w:t>
      </w:r>
      <w:r w:rsidR="00EC50FC" w:rsidRPr="00CF6765">
        <w:rPr>
          <w:rFonts w:cs="Arial"/>
          <w:iCs/>
          <w:sz w:val="20"/>
          <w:szCs w:val="20"/>
          <w:lang w:val="en-US"/>
        </w:rPr>
        <w:t xml:space="preserve"> and </w:t>
      </w:r>
      <w:r w:rsidR="00342270" w:rsidRPr="00CF6765">
        <w:rPr>
          <w:rFonts w:cs="Arial"/>
          <w:iCs/>
          <w:sz w:val="20"/>
          <w:szCs w:val="20"/>
          <w:lang w:val="en-US"/>
        </w:rPr>
        <w:t xml:space="preserve">Javier Alejandro Santos, </w:t>
      </w:r>
      <w:r w:rsidR="007D3121" w:rsidRPr="00CF6765">
        <w:rPr>
          <w:sz w:val="20"/>
          <w:szCs w:val="20"/>
          <w:lang w:val="en-US"/>
        </w:rPr>
        <w:t xml:space="preserve">proposed by </w:t>
      </w:r>
      <w:r w:rsidR="00D2168F" w:rsidRPr="00CF6765">
        <w:rPr>
          <w:rFonts w:cs="Arial"/>
          <w:iCs/>
          <w:sz w:val="20"/>
          <w:szCs w:val="20"/>
          <w:lang w:val="en-US"/>
        </w:rPr>
        <w:t>the inter-American defenders</w:t>
      </w:r>
      <w:r w:rsidR="007A1A14" w:rsidRPr="00CF6765">
        <w:rPr>
          <w:sz w:val="20"/>
          <w:szCs w:val="20"/>
          <w:lang w:val="en-US"/>
        </w:rPr>
        <w:t>.</w:t>
      </w:r>
      <w:r w:rsidR="00342270" w:rsidRPr="00CF6765">
        <w:rPr>
          <w:sz w:val="20"/>
          <w:szCs w:val="20"/>
          <w:lang w:val="en-US"/>
        </w:rPr>
        <w:t xml:space="preserve"> </w:t>
      </w:r>
      <w:r w:rsidR="007D3121" w:rsidRPr="00CF6765">
        <w:rPr>
          <w:sz w:val="20"/>
          <w:szCs w:val="20"/>
          <w:lang w:val="en-US"/>
        </w:rPr>
        <w:t>In addition, pursuant to</w:t>
      </w:r>
      <w:r w:rsidR="002A5452" w:rsidRPr="00CF6765">
        <w:rPr>
          <w:sz w:val="20"/>
          <w:szCs w:val="20"/>
          <w:lang w:val="en-US"/>
        </w:rPr>
        <w:t xml:space="preserve"> </w:t>
      </w:r>
      <w:r w:rsidRPr="00CF6765">
        <w:rPr>
          <w:sz w:val="20"/>
          <w:szCs w:val="20"/>
          <w:lang w:val="en-US"/>
        </w:rPr>
        <w:t>Article</w:t>
      </w:r>
      <w:r w:rsidR="002A5452" w:rsidRPr="00CF6765">
        <w:rPr>
          <w:sz w:val="20"/>
          <w:szCs w:val="20"/>
          <w:lang w:val="en-US"/>
        </w:rPr>
        <w:t xml:space="preserve"> 59</w:t>
      </w:r>
      <w:r w:rsidR="007D3121" w:rsidRPr="00CF6765">
        <w:rPr>
          <w:sz w:val="20"/>
          <w:szCs w:val="20"/>
          <w:lang w:val="en-US"/>
        </w:rPr>
        <w:t>(</w:t>
      </w:r>
      <w:r w:rsidR="002A5452" w:rsidRPr="00CF6765">
        <w:rPr>
          <w:sz w:val="20"/>
          <w:szCs w:val="20"/>
          <w:lang w:val="en-US"/>
        </w:rPr>
        <w:t>b)</w:t>
      </w:r>
      <w:r w:rsidRPr="00CF6765">
        <w:rPr>
          <w:sz w:val="20"/>
          <w:szCs w:val="20"/>
          <w:lang w:val="en-US"/>
        </w:rPr>
        <w:t xml:space="preserve"> of the Rules of Procedure</w:t>
      </w:r>
      <w:r w:rsidR="002A5452" w:rsidRPr="00CF6765">
        <w:rPr>
          <w:sz w:val="20"/>
          <w:szCs w:val="20"/>
          <w:lang w:val="en-US"/>
        </w:rPr>
        <w:t xml:space="preserve">, </w:t>
      </w:r>
      <w:r w:rsidRPr="00CF6765">
        <w:rPr>
          <w:sz w:val="20"/>
          <w:szCs w:val="20"/>
          <w:lang w:val="en-US"/>
        </w:rPr>
        <w:t>the Court</w:t>
      </w:r>
      <w:r w:rsidR="009A7BFF" w:rsidRPr="00CF6765">
        <w:rPr>
          <w:sz w:val="20"/>
          <w:szCs w:val="20"/>
          <w:lang w:val="en-US"/>
        </w:rPr>
        <w:t xml:space="preserve"> </w:t>
      </w:r>
      <w:r w:rsidR="007D3121" w:rsidRPr="00CF6765">
        <w:rPr>
          <w:sz w:val="20"/>
          <w:szCs w:val="20"/>
          <w:lang w:val="en-US"/>
        </w:rPr>
        <w:t>requested as</w:t>
      </w:r>
      <w:r w:rsidR="009A7BFF" w:rsidRPr="00CF6765">
        <w:rPr>
          <w:sz w:val="20"/>
          <w:szCs w:val="20"/>
          <w:lang w:val="en-US"/>
        </w:rPr>
        <w:t xml:space="preserve"> </w:t>
      </w:r>
      <w:r w:rsidR="00FC495E" w:rsidRPr="00CF6765">
        <w:rPr>
          <w:sz w:val="20"/>
          <w:szCs w:val="20"/>
          <w:lang w:val="en-US"/>
        </w:rPr>
        <w:t>helpful evidence</w:t>
      </w:r>
      <w:r w:rsidR="009A7BFF" w:rsidRPr="00CF6765">
        <w:rPr>
          <w:sz w:val="20"/>
          <w:szCs w:val="20"/>
          <w:lang w:val="en-US"/>
        </w:rPr>
        <w:t xml:space="preserve"> “</w:t>
      </w:r>
      <w:r w:rsidR="007D3121" w:rsidRPr="00CF6765">
        <w:rPr>
          <w:sz w:val="20"/>
          <w:szCs w:val="20"/>
          <w:lang w:val="en-US"/>
        </w:rPr>
        <w:t>Communication</w:t>
      </w:r>
      <w:r w:rsidR="009A7BFF" w:rsidRPr="00CF6765">
        <w:rPr>
          <w:sz w:val="20"/>
          <w:szCs w:val="20"/>
          <w:lang w:val="en-US"/>
        </w:rPr>
        <w:t xml:space="preserve"> No. 02609 </w:t>
      </w:r>
      <w:r w:rsidR="007D3121" w:rsidRPr="00CF6765">
        <w:rPr>
          <w:sz w:val="20"/>
          <w:szCs w:val="20"/>
          <w:lang w:val="en-US"/>
        </w:rPr>
        <w:t>of the Directorate of the South</w:t>
      </w:r>
      <w:r w:rsidR="005E0C64" w:rsidRPr="00CF6765">
        <w:rPr>
          <w:sz w:val="20"/>
          <w:szCs w:val="20"/>
          <w:lang w:val="en-US"/>
        </w:rPr>
        <w:t>e</w:t>
      </w:r>
      <w:r w:rsidR="007D3121" w:rsidRPr="00CF6765">
        <w:rPr>
          <w:sz w:val="20"/>
          <w:szCs w:val="20"/>
          <w:lang w:val="en-US"/>
        </w:rPr>
        <w:t>ast</w:t>
      </w:r>
      <w:r w:rsidR="005E0C64" w:rsidRPr="00CF6765">
        <w:rPr>
          <w:sz w:val="20"/>
          <w:szCs w:val="20"/>
          <w:lang w:val="en-US"/>
        </w:rPr>
        <w:t>ern</w:t>
      </w:r>
      <w:r w:rsidR="007D3121" w:rsidRPr="00CF6765">
        <w:rPr>
          <w:sz w:val="20"/>
          <w:szCs w:val="20"/>
          <w:lang w:val="en-US"/>
        </w:rPr>
        <w:t xml:space="preserve"> </w:t>
      </w:r>
      <w:r w:rsidR="00B328D7" w:rsidRPr="00CF6765">
        <w:rPr>
          <w:sz w:val="20"/>
          <w:szCs w:val="20"/>
          <w:lang w:val="en-US"/>
        </w:rPr>
        <w:t>Metropolitan</w:t>
      </w:r>
      <w:r w:rsidR="007D3121" w:rsidRPr="00CF6765">
        <w:rPr>
          <w:sz w:val="20"/>
          <w:szCs w:val="20"/>
          <w:lang w:val="en-US"/>
        </w:rPr>
        <w:t xml:space="preserve"> Service addressed to the Chilean Ministry of Health” and the “Rul</w:t>
      </w:r>
      <w:r w:rsidR="00061AE6" w:rsidRPr="00CF6765">
        <w:rPr>
          <w:sz w:val="20"/>
          <w:szCs w:val="20"/>
          <w:lang w:val="en-US"/>
        </w:rPr>
        <w:t>i</w:t>
      </w:r>
      <w:r w:rsidR="007D3121" w:rsidRPr="00CF6765">
        <w:rPr>
          <w:sz w:val="20"/>
          <w:szCs w:val="20"/>
          <w:lang w:val="en-US"/>
        </w:rPr>
        <w:t xml:space="preserve">ng of the </w:t>
      </w:r>
      <w:r w:rsidR="00061AE6" w:rsidRPr="00CF6765">
        <w:rPr>
          <w:sz w:val="20"/>
          <w:szCs w:val="20"/>
          <w:lang w:val="en-US"/>
        </w:rPr>
        <w:t>Supreme Court of Justice</w:t>
      </w:r>
      <w:r w:rsidR="00D92C77" w:rsidRPr="00CF6765">
        <w:rPr>
          <w:sz w:val="20"/>
          <w:szCs w:val="20"/>
          <w:lang w:val="en-US"/>
        </w:rPr>
        <w:t xml:space="preserve"> </w:t>
      </w:r>
      <w:r w:rsidR="00061AE6" w:rsidRPr="00CF6765">
        <w:rPr>
          <w:sz w:val="20"/>
          <w:szCs w:val="20"/>
          <w:lang w:val="en-US"/>
        </w:rPr>
        <w:t>of August 14,</w:t>
      </w:r>
      <w:r w:rsidR="00D92C77" w:rsidRPr="00CF6765">
        <w:rPr>
          <w:sz w:val="20"/>
          <w:szCs w:val="20"/>
          <w:lang w:val="en-US"/>
        </w:rPr>
        <w:t xml:space="preserve"> 2014</w:t>
      </w:r>
      <w:r w:rsidR="00061AE6" w:rsidRPr="00CF6765">
        <w:rPr>
          <w:sz w:val="20"/>
          <w:szCs w:val="20"/>
          <w:lang w:val="en-US"/>
        </w:rPr>
        <w:t>.</w:t>
      </w:r>
      <w:r w:rsidR="00D92C77" w:rsidRPr="00CF6765">
        <w:rPr>
          <w:sz w:val="20"/>
          <w:szCs w:val="20"/>
          <w:lang w:val="en-US"/>
        </w:rPr>
        <w:t>”</w:t>
      </w:r>
      <w:r w:rsidR="007D1C3E" w:rsidRPr="00CF6765">
        <w:rPr>
          <w:sz w:val="20"/>
          <w:szCs w:val="20"/>
          <w:lang w:val="en-US"/>
        </w:rPr>
        <w:t xml:space="preserve"> </w:t>
      </w:r>
      <w:r w:rsidR="00EC50FC" w:rsidRPr="00CF6765">
        <w:rPr>
          <w:sz w:val="20"/>
          <w:szCs w:val="20"/>
          <w:lang w:val="en-US"/>
        </w:rPr>
        <w:t>The State</w:t>
      </w:r>
      <w:r w:rsidR="007D1C3E" w:rsidRPr="00CF6765">
        <w:rPr>
          <w:sz w:val="20"/>
          <w:szCs w:val="20"/>
          <w:lang w:val="en-US"/>
        </w:rPr>
        <w:t xml:space="preserve"> presen</w:t>
      </w:r>
      <w:r w:rsidR="00061AE6" w:rsidRPr="00CF6765">
        <w:rPr>
          <w:sz w:val="20"/>
          <w:szCs w:val="20"/>
          <w:lang w:val="en-US"/>
        </w:rPr>
        <w:t xml:space="preserve">ted this documentation in communications </w:t>
      </w:r>
      <w:r w:rsidR="005E0C64" w:rsidRPr="00CF6765">
        <w:rPr>
          <w:sz w:val="20"/>
          <w:szCs w:val="20"/>
          <w:lang w:val="en-US"/>
        </w:rPr>
        <w:t>dated</w:t>
      </w:r>
      <w:r w:rsidR="00061AE6" w:rsidRPr="00CF6765">
        <w:rPr>
          <w:sz w:val="20"/>
          <w:szCs w:val="20"/>
          <w:lang w:val="en-US"/>
        </w:rPr>
        <w:t xml:space="preserve"> December 22, </w:t>
      </w:r>
      <w:r w:rsidR="002A75B3" w:rsidRPr="00CF6765">
        <w:rPr>
          <w:sz w:val="20"/>
          <w:szCs w:val="20"/>
          <w:lang w:val="en-US"/>
        </w:rPr>
        <w:t>2017</w:t>
      </w:r>
      <w:r w:rsidR="005E0C64" w:rsidRPr="00CF6765">
        <w:rPr>
          <w:sz w:val="20"/>
          <w:szCs w:val="20"/>
          <w:lang w:val="en-US"/>
        </w:rPr>
        <w:t>,</w:t>
      </w:r>
      <w:r w:rsidR="00EC50FC" w:rsidRPr="00CF6765">
        <w:rPr>
          <w:sz w:val="20"/>
          <w:szCs w:val="20"/>
          <w:lang w:val="en-US"/>
        </w:rPr>
        <w:t xml:space="preserve"> and </w:t>
      </w:r>
      <w:r w:rsidR="00061AE6" w:rsidRPr="00CF6765">
        <w:rPr>
          <w:sz w:val="20"/>
          <w:szCs w:val="20"/>
          <w:lang w:val="en-US"/>
        </w:rPr>
        <w:t>February 13,</w:t>
      </w:r>
      <w:r w:rsidR="007D1C3E" w:rsidRPr="00CF6765">
        <w:rPr>
          <w:sz w:val="20"/>
          <w:szCs w:val="20"/>
          <w:lang w:val="en-US"/>
        </w:rPr>
        <w:t xml:space="preserve"> 2018</w:t>
      </w:r>
      <w:r w:rsidR="00061AE6" w:rsidRPr="00CF6765">
        <w:rPr>
          <w:sz w:val="20"/>
          <w:szCs w:val="20"/>
          <w:lang w:val="en-US"/>
        </w:rPr>
        <w:t>,</w:t>
      </w:r>
      <w:r w:rsidR="002A5452" w:rsidRPr="00CF6765">
        <w:rPr>
          <w:rStyle w:val="Refdenotaalpie"/>
          <w:sz w:val="20"/>
          <w:szCs w:val="20"/>
          <w:lang w:val="en-US"/>
        </w:rPr>
        <w:footnoteReference w:id="22"/>
      </w:r>
      <w:r w:rsidR="00061AE6" w:rsidRPr="00CF6765">
        <w:rPr>
          <w:sz w:val="20"/>
          <w:szCs w:val="20"/>
          <w:lang w:val="en-US"/>
        </w:rPr>
        <w:t xml:space="preserve"> and it was forwarded to </w:t>
      </w:r>
      <w:r w:rsidR="00D2168F" w:rsidRPr="00CF6765">
        <w:rPr>
          <w:sz w:val="20"/>
          <w:szCs w:val="20"/>
          <w:lang w:val="en-US"/>
        </w:rPr>
        <w:t>the representatives</w:t>
      </w:r>
      <w:r w:rsidR="00EC50FC" w:rsidRPr="00CF6765">
        <w:rPr>
          <w:sz w:val="20"/>
          <w:szCs w:val="20"/>
          <w:lang w:val="en-US"/>
        </w:rPr>
        <w:t xml:space="preserve"> and </w:t>
      </w:r>
      <w:r w:rsidRPr="00CF6765">
        <w:rPr>
          <w:sz w:val="20"/>
          <w:szCs w:val="20"/>
          <w:lang w:val="en-US"/>
        </w:rPr>
        <w:t>the Commission</w:t>
      </w:r>
      <w:r w:rsidR="002A5452" w:rsidRPr="00CF6765">
        <w:rPr>
          <w:sz w:val="20"/>
          <w:szCs w:val="20"/>
          <w:lang w:val="en-US"/>
        </w:rPr>
        <w:t>.</w:t>
      </w:r>
    </w:p>
    <w:p w14:paraId="0234BB31" w14:textId="77777777" w:rsidR="007A1A14" w:rsidRPr="00CF6765" w:rsidRDefault="007A1A14" w:rsidP="00F3026E">
      <w:pPr>
        <w:autoSpaceDE w:val="0"/>
        <w:autoSpaceDN w:val="0"/>
        <w:rPr>
          <w:sz w:val="20"/>
          <w:szCs w:val="20"/>
          <w:lang w:val="en-US"/>
        </w:rPr>
      </w:pPr>
    </w:p>
    <w:p w14:paraId="195A88C3" w14:textId="1D476531" w:rsidR="007A1A14" w:rsidRPr="00CF6765" w:rsidRDefault="008B4F67" w:rsidP="002C6D1C">
      <w:pPr>
        <w:pStyle w:val="Ttulo2"/>
        <w:rPr>
          <w:lang w:val="en-US"/>
        </w:rPr>
      </w:pPr>
      <w:bookmarkStart w:id="40" w:name="_Toc47864362"/>
      <w:r w:rsidRPr="00CF6765">
        <w:rPr>
          <w:lang w:val="en-US"/>
        </w:rPr>
        <w:t>Admission of the evidence</w:t>
      </w:r>
      <w:bookmarkEnd w:id="40"/>
    </w:p>
    <w:p w14:paraId="192DF556" w14:textId="77777777" w:rsidR="002C6D1C" w:rsidRPr="00CF6765" w:rsidRDefault="002C6D1C" w:rsidP="002C6D1C">
      <w:pPr>
        <w:rPr>
          <w:lang w:val="en-US"/>
        </w:rPr>
      </w:pPr>
    </w:p>
    <w:p w14:paraId="413D6DB7" w14:textId="01BA2A89" w:rsidR="007A1A14" w:rsidRPr="00CF6765" w:rsidRDefault="005C731C" w:rsidP="00B73DC6">
      <w:pPr>
        <w:numPr>
          <w:ilvl w:val="0"/>
          <w:numId w:val="2"/>
        </w:numPr>
        <w:tabs>
          <w:tab w:val="left" w:pos="567"/>
          <w:tab w:val="num" w:pos="12305"/>
        </w:tabs>
        <w:ind w:left="0" w:firstLine="0"/>
        <w:rPr>
          <w:sz w:val="20"/>
          <w:szCs w:val="20"/>
          <w:lang w:val="en-US"/>
        </w:rPr>
      </w:pPr>
      <w:r w:rsidRPr="00CF6765">
        <w:rPr>
          <w:sz w:val="20"/>
          <w:szCs w:val="20"/>
          <w:lang w:val="en-US"/>
        </w:rPr>
        <w:t>The Court</w:t>
      </w:r>
      <w:r w:rsidR="007A1A14" w:rsidRPr="00CF6765">
        <w:rPr>
          <w:sz w:val="20"/>
          <w:szCs w:val="20"/>
          <w:lang w:val="en-US"/>
        </w:rPr>
        <w:t xml:space="preserve"> </w:t>
      </w:r>
      <w:r w:rsidR="00002163" w:rsidRPr="00CF6765">
        <w:rPr>
          <w:sz w:val="20"/>
          <w:szCs w:val="20"/>
          <w:lang w:val="en-US"/>
        </w:rPr>
        <w:t xml:space="preserve">admits the probative value of those documents presented at the proper procedural opportunity by the parties </w:t>
      </w:r>
      <w:r w:rsidR="00EC50FC" w:rsidRPr="00CF6765">
        <w:rPr>
          <w:sz w:val="20"/>
          <w:szCs w:val="20"/>
          <w:lang w:val="en-US"/>
        </w:rPr>
        <w:t xml:space="preserve">and </w:t>
      </w:r>
      <w:r w:rsidRPr="00CF6765">
        <w:rPr>
          <w:sz w:val="20"/>
          <w:szCs w:val="20"/>
          <w:lang w:val="en-US"/>
        </w:rPr>
        <w:t>the Commission</w:t>
      </w:r>
      <w:r w:rsidR="007A1A14" w:rsidRPr="00CF6765">
        <w:rPr>
          <w:sz w:val="20"/>
          <w:szCs w:val="20"/>
          <w:lang w:val="en-US"/>
        </w:rPr>
        <w:t xml:space="preserve"> </w:t>
      </w:r>
      <w:r w:rsidR="00002163" w:rsidRPr="00CF6765">
        <w:rPr>
          <w:sz w:val="20"/>
          <w:szCs w:val="20"/>
          <w:lang w:val="en-US"/>
        </w:rPr>
        <w:t xml:space="preserve">that were neither contested </w:t>
      </w:r>
      <w:r w:rsidR="005E0C64" w:rsidRPr="00CF6765">
        <w:rPr>
          <w:sz w:val="20"/>
          <w:szCs w:val="20"/>
          <w:lang w:val="en-US"/>
        </w:rPr>
        <w:t>n</w:t>
      </w:r>
      <w:r w:rsidR="00002163" w:rsidRPr="00CF6765">
        <w:rPr>
          <w:sz w:val="20"/>
          <w:szCs w:val="20"/>
          <w:lang w:val="en-US"/>
        </w:rPr>
        <w:t>or challenged.</w:t>
      </w:r>
      <w:r w:rsidR="007A1A14" w:rsidRPr="00CF6765">
        <w:rPr>
          <w:sz w:val="20"/>
          <w:szCs w:val="20"/>
          <w:vertAlign w:val="superscript"/>
          <w:lang w:val="en-US"/>
        </w:rPr>
        <w:footnoteReference w:id="23"/>
      </w:r>
      <w:r w:rsidR="00002163" w:rsidRPr="00CF6765">
        <w:rPr>
          <w:sz w:val="20"/>
          <w:szCs w:val="20"/>
          <w:lang w:val="en-US"/>
        </w:rPr>
        <w:t xml:space="preserve"> </w:t>
      </w:r>
      <w:r w:rsidRPr="00CF6765">
        <w:rPr>
          <w:sz w:val="20"/>
          <w:szCs w:val="20"/>
          <w:lang w:val="en-US"/>
        </w:rPr>
        <w:t>The Court</w:t>
      </w:r>
      <w:r w:rsidR="00C56E9D" w:rsidRPr="00CF6765">
        <w:rPr>
          <w:sz w:val="20"/>
          <w:szCs w:val="20"/>
          <w:lang w:val="en-US"/>
        </w:rPr>
        <w:t xml:space="preserve"> </w:t>
      </w:r>
      <w:r w:rsidR="00002163" w:rsidRPr="00CF6765">
        <w:rPr>
          <w:sz w:val="20"/>
          <w:szCs w:val="20"/>
          <w:lang w:val="en-US"/>
        </w:rPr>
        <w:t xml:space="preserve">finds it </w:t>
      </w:r>
      <w:r w:rsidR="00B328D7" w:rsidRPr="00CF6765">
        <w:rPr>
          <w:sz w:val="20"/>
          <w:szCs w:val="20"/>
          <w:lang w:val="en-US"/>
        </w:rPr>
        <w:t>pertinent</w:t>
      </w:r>
      <w:r w:rsidR="00002163" w:rsidRPr="00CF6765">
        <w:rPr>
          <w:sz w:val="20"/>
          <w:szCs w:val="20"/>
          <w:lang w:val="en-US"/>
        </w:rPr>
        <w:t xml:space="preserve"> to admit the statements and the expert opinions provided during the </w:t>
      </w:r>
      <w:r w:rsidR="00AD6DF0" w:rsidRPr="00CF6765">
        <w:rPr>
          <w:sz w:val="20"/>
          <w:szCs w:val="20"/>
          <w:lang w:val="en-US"/>
        </w:rPr>
        <w:t>public hearing</w:t>
      </w:r>
      <w:r w:rsidR="00EC50FC" w:rsidRPr="00CF6765">
        <w:rPr>
          <w:sz w:val="20"/>
          <w:szCs w:val="20"/>
          <w:lang w:val="en-US"/>
        </w:rPr>
        <w:t xml:space="preserve"> and </w:t>
      </w:r>
      <w:r w:rsidR="00002163" w:rsidRPr="00CF6765">
        <w:rPr>
          <w:sz w:val="20"/>
          <w:szCs w:val="20"/>
          <w:lang w:val="en-US"/>
        </w:rPr>
        <w:t>by affidavit, insofar as they are in keeping with the purpose defined by the President in the order requiring them</w:t>
      </w:r>
      <w:r w:rsidR="00C56E9D" w:rsidRPr="00CF6765">
        <w:rPr>
          <w:sz w:val="20"/>
          <w:szCs w:val="20"/>
          <w:vertAlign w:val="superscript"/>
          <w:lang w:val="en-US"/>
        </w:rPr>
        <w:footnoteReference w:id="24"/>
      </w:r>
      <w:r w:rsidR="00EC50FC" w:rsidRPr="00CF6765">
        <w:rPr>
          <w:sz w:val="20"/>
          <w:szCs w:val="20"/>
          <w:lang w:val="en-US"/>
        </w:rPr>
        <w:t xml:space="preserve"> and </w:t>
      </w:r>
      <w:r w:rsidR="00002163" w:rsidRPr="00CF6765">
        <w:rPr>
          <w:sz w:val="20"/>
          <w:szCs w:val="20"/>
          <w:lang w:val="en-US"/>
        </w:rPr>
        <w:t>the purpose of this case</w:t>
      </w:r>
      <w:r w:rsidR="00C56E9D" w:rsidRPr="00CF6765">
        <w:rPr>
          <w:sz w:val="20"/>
          <w:szCs w:val="20"/>
          <w:lang w:val="en-US"/>
        </w:rPr>
        <w:t>.</w:t>
      </w:r>
    </w:p>
    <w:p w14:paraId="6CA6ED41" w14:textId="77777777" w:rsidR="007A1A14" w:rsidRPr="00CF6765" w:rsidRDefault="007A1A14" w:rsidP="00F3026E">
      <w:pPr>
        <w:autoSpaceDE w:val="0"/>
        <w:autoSpaceDN w:val="0"/>
        <w:rPr>
          <w:sz w:val="20"/>
          <w:szCs w:val="20"/>
          <w:lang w:val="en-US"/>
        </w:rPr>
      </w:pPr>
    </w:p>
    <w:p w14:paraId="5AE8C668" w14:textId="54A5D05B" w:rsidR="007A1A14" w:rsidRPr="00CF6765" w:rsidRDefault="00002163" w:rsidP="00002163">
      <w:pPr>
        <w:numPr>
          <w:ilvl w:val="0"/>
          <w:numId w:val="2"/>
        </w:numPr>
        <w:tabs>
          <w:tab w:val="left" w:pos="567"/>
          <w:tab w:val="num" w:pos="12305"/>
        </w:tabs>
        <w:ind w:left="0" w:firstLine="0"/>
        <w:rPr>
          <w:sz w:val="20"/>
          <w:szCs w:val="20"/>
          <w:lang w:val="en-US" w:eastAsia="es-ES"/>
        </w:rPr>
      </w:pPr>
      <w:r w:rsidRPr="00CF6765">
        <w:rPr>
          <w:sz w:val="20"/>
          <w:szCs w:val="20"/>
          <w:lang w:val="en-US"/>
        </w:rPr>
        <w:t xml:space="preserve">Regarding the procedural opportunity to submit documentary evidence, pursuant to </w:t>
      </w:r>
      <w:r w:rsidR="005C731C" w:rsidRPr="00CF6765">
        <w:rPr>
          <w:sz w:val="20"/>
          <w:szCs w:val="20"/>
          <w:lang w:val="en-US" w:eastAsia="es-ES"/>
        </w:rPr>
        <w:t>Article</w:t>
      </w:r>
      <w:r w:rsidR="007A1A14" w:rsidRPr="00CF6765">
        <w:rPr>
          <w:sz w:val="20"/>
          <w:szCs w:val="20"/>
          <w:lang w:val="en-US" w:eastAsia="es-ES"/>
        </w:rPr>
        <w:t xml:space="preserve"> 57</w:t>
      </w:r>
      <w:r w:rsidRPr="00CF6765">
        <w:rPr>
          <w:sz w:val="20"/>
          <w:szCs w:val="20"/>
          <w:lang w:val="en-US" w:eastAsia="es-ES"/>
        </w:rPr>
        <w:t>(</w:t>
      </w:r>
      <w:r w:rsidR="007A1A14" w:rsidRPr="00CF6765">
        <w:rPr>
          <w:sz w:val="20"/>
          <w:szCs w:val="20"/>
          <w:lang w:val="en-US" w:eastAsia="es-ES"/>
        </w:rPr>
        <w:t>2</w:t>
      </w:r>
      <w:r w:rsidRPr="00CF6765">
        <w:rPr>
          <w:sz w:val="20"/>
          <w:szCs w:val="20"/>
          <w:lang w:val="en-US" w:eastAsia="es-ES"/>
        </w:rPr>
        <w:t>)</w:t>
      </w:r>
      <w:r w:rsidR="005C731C" w:rsidRPr="00CF6765">
        <w:rPr>
          <w:sz w:val="20"/>
          <w:szCs w:val="20"/>
          <w:lang w:val="en-US" w:eastAsia="es-ES"/>
        </w:rPr>
        <w:t xml:space="preserve"> of the Rules of Procedure</w:t>
      </w:r>
      <w:r w:rsidR="007A1A14" w:rsidRPr="00CF6765">
        <w:rPr>
          <w:sz w:val="20"/>
          <w:szCs w:val="20"/>
          <w:lang w:val="en-US" w:eastAsia="es-ES"/>
        </w:rPr>
        <w:t xml:space="preserve">, </w:t>
      </w:r>
      <w:r w:rsidRPr="00CF6765">
        <w:rPr>
          <w:sz w:val="20"/>
          <w:szCs w:val="20"/>
          <w:lang w:val="en-US" w:eastAsia="es-ES"/>
        </w:rPr>
        <w:t xml:space="preserve">in general, it should be presented together with the briefs submitting the case, with pleadings and motions, or the answering brief, as applicable. The Court recalls that evidence provided outside the appropriate procedural opportunities is not admissible, save in the case of the exceptions established in the </w:t>
      </w:r>
      <w:r w:rsidR="005C731C" w:rsidRPr="00CF6765">
        <w:rPr>
          <w:sz w:val="20"/>
          <w:szCs w:val="20"/>
          <w:lang w:val="en-US" w:eastAsia="es-ES"/>
        </w:rPr>
        <w:t>Article</w:t>
      </w:r>
      <w:r w:rsidR="007A1A14" w:rsidRPr="00CF6765">
        <w:rPr>
          <w:sz w:val="20"/>
          <w:szCs w:val="20"/>
          <w:lang w:val="en-US" w:eastAsia="es-ES"/>
        </w:rPr>
        <w:t xml:space="preserve"> 57</w:t>
      </w:r>
      <w:r w:rsidRPr="00CF6765">
        <w:rPr>
          <w:sz w:val="20"/>
          <w:szCs w:val="20"/>
          <w:lang w:val="en-US" w:eastAsia="es-ES"/>
        </w:rPr>
        <w:t>(</w:t>
      </w:r>
      <w:r w:rsidR="007A1A14" w:rsidRPr="00CF6765">
        <w:rPr>
          <w:sz w:val="20"/>
          <w:szCs w:val="20"/>
          <w:lang w:val="en-US" w:eastAsia="es-ES"/>
        </w:rPr>
        <w:t>2</w:t>
      </w:r>
      <w:r w:rsidRPr="00CF6765">
        <w:rPr>
          <w:sz w:val="20"/>
          <w:szCs w:val="20"/>
          <w:lang w:val="en-US" w:eastAsia="es-ES"/>
        </w:rPr>
        <w:t>)</w:t>
      </w:r>
      <w:r w:rsidR="005C731C" w:rsidRPr="00CF6765">
        <w:rPr>
          <w:sz w:val="20"/>
          <w:szCs w:val="20"/>
          <w:lang w:val="en-US" w:eastAsia="es-ES"/>
        </w:rPr>
        <w:t xml:space="preserve"> of the Rules of Procedure</w:t>
      </w:r>
      <w:r w:rsidRPr="00CF6765">
        <w:rPr>
          <w:sz w:val="20"/>
          <w:szCs w:val="20"/>
          <w:lang w:val="en-US" w:eastAsia="es-ES"/>
        </w:rPr>
        <w:t xml:space="preserve">; namely, </w:t>
      </w:r>
      <w:r w:rsidRPr="00CF6765">
        <w:rPr>
          <w:i/>
          <w:iCs/>
          <w:sz w:val="20"/>
          <w:szCs w:val="20"/>
          <w:lang w:val="en-US" w:eastAsia="es-ES"/>
        </w:rPr>
        <w:t>force majeure</w:t>
      </w:r>
      <w:r w:rsidRPr="00CF6765">
        <w:rPr>
          <w:sz w:val="20"/>
          <w:szCs w:val="20"/>
          <w:lang w:val="en-US" w:eastAsia="es-ES"/>
        </w:rPr>
        <w:t>, grave impediment or if it refers to a fact that occurred after the said procedural moments.</w:t>
      </w:r>
      <w:r w:rsidR="007A1A14" w:rsidRPr="00CF6765">
        <w:rPr>
          <w:sz w:val="20"/>
          <w:szCs w:val="20"/>
          <w:vertAlign w:val="superscript"/>
          <w:lang w:val="en-US" w:eastAsia="es-ES"/>
        </w:rPr>
        <w:footnoteReference w:id="25"/>
      </w:r>
    </w:p>
    <w:p w14:paraId="2F105DEC" w14:textId="77777777" w:rsidR="00B05B1D" w:rsidRPr="00CF6765" w:rsidRDefault="00B05B1D" w:rsidP="00F3026E">
      <w:pPr>
        <w:tabs>
          <w:tab w:val="left" w:pos="567"/>
        </w:tabs>
        <w:rPr>
          <w:sz w:val="20"/>
          <w:szCs w:val="20"/>
          <w:lang w:val="en-US" w:eastAsia="es-ES"/>
        </w:rPr>
      </w:pPr>
    </w:p>
    <w:p w14:paraId="21EFEDEB" w14:textId="3F1707BA" w:rsidR="00B05B1D" w:rsidRPr="00CF6765" w:rsidRDefault="00002163" w:rsidP="00450250">
      <w:pPr>
        <w:numPr>
          <w:ilvl w:val="0"/>
          <w:numId w:val="2"/>
        </w:numPr>
        <w:tabs>
          <w:tab w:val="left" w:pos="567"/>
          <w:tab w:val="num" w:pos="12305"/>
        </w:tabs>
        <w:ind w:left="0" w:firstLine="0"/>
        <w:rPr>
          <w:sz w:val="20"/>
          <w:szCs w:val="20"/>
          <w:lang w:val="en-US" w:eastAsia="es-ES"/>
        </w:rPr>
      </w:pPr>
      <w:r w:rsidRPr="00CF6765">
        <w:rPr>
          <w:sz w:val="20"/>
          <w:szCs w:val="20"/>
          <w:lang w:val="en-US" w:eastAsia="es-ES"/>
        </w:rPr>
        <w:t xml:space="preserve">With a communication of October 24, </w:t>
      </w:r>
      <w:r w:rsidR="00A30348" w:rsidRPr="00CF6765">
        <w:rPr>
          <w:sz w:val="20"/>
          <w:szCs w:val="20"/>
          <w:lang w:val="en-US" w:eastAsia="es-ES"/>
        </w:rPr>
        <w:t>2017</w:t>
      </w:r>
      <w:r w:rsidR="00B05B1D" w:rsidRPr="00CF6765">
        <w:rPr>
          <w:sz w:val="20"/>
          <w:szCs w:val="20"/>
          <w:lang w:val="en-US" w:eastAsia="es-ES"/>
        </w:rPr>
        <w:t xml:space="preserve">, </w:t>
      </w:r>
      <w:r w:rsidRPr="00CF6765">
        <w:rPr>
          <w:sz w:val="20"/>
          <w:szCs w:val="20"/>
          <w:lang w:val="en-US" w:eastAsia="es-ES"/>
        </w:rPr>
        <w:t>expert witness</w:t>
      </w:r>
      <w:r w:rsidR="00A30348" w:rsidRPr="00CF6765">
        <w:rPr>
          <w:sz w:val="20"/>
          <w:szCs w:val="20"/>
          <w:lang w:val="en-US" w:eastAsia="es-ES"/>
        </w:rPr>
        <w:t xml:space="preserve"> Alicia Ely </w:t>
      </w:r>
      <w:proofErr w:type="spellStart"/>
      <w:r w:rsidR="00A30348" w:rsidRPr="00CF6765">
        <w:rPr>
          <w:sz w:val="20"/>
          <w:szCs w:val="20"/>
          <w:lang w:val="en-US" w:eastAsia="es-ES"/>
        </w:rPr>
        <w:t>Yemin</w:t>
      </w:r>
      <w:proofErr w:type="spellEnd"/>
      <w:r w:rsidR="00B05B1D" w:rsidRPr="00CF6765">
        <w:rPr>
          <w:sz w:val="20"/>
          <w:szCs w:val="20"/>
          <w:lang w:val="en-US" w:eastAsia="es-ES"/>
        </w:rPr>
        <w:t xml:space="preserve"> </w:t>
      </w:r>
      <w:r w:rsidR="00B328D7" w:rsidRPr="00CF6765">
        <w:rPr>
          <w:sz w:val="20"/>
          <w:szCs w:val="20"/>
          <w:lang w:val="en-US" w:eastAsia="es-ES"/>
        </w:rPr>
        <w:t>submitted</w:t>
      </w:r>
      <w:r w:rsidRPr="00CF6765">
        <w:rPr>
          <w:sz w:val="20"/>
          <w:szCs w:val="20"/>
          <w:lang w:val="en-US" w:eastAsia="es-ES"/>
        </w:rPr>
        <w:t xml:space="preserve"> a document corresponding to information that supplemented her expert opinion. This document was </w:t>
      </w:r>
      <w:r w:rsidR="00B328D7" w:rsidRPr="00CF6765">
        <w:rPr>
          <w:sz w:val="20"/>
          <w:szCs w:val="20"/>
          <w:lang w:val="en-US" w:eastAsia="es-ES"/>
        </w:rPr>
        <w:lastRenderedPageBreak/>
        <w:t>incorporated</w:t>
      </w:r>
      <w:r w:rsidRPr="00CF6765">
        <w:rPr>
          <w:sz w:val="20"/>
          <w:szCs w:val="20"/>
          <w:lang w:val="en-US" w:eastAsia="es-ES"/>
        </w:rPr>
        <w:t xml:space="preserve"> into the proceedings and is pertinent for deciding this case;</w:t>
      </w:r>
      <w:r w:rsidR="001C2FCF" w:rsidRPr="00CF6765">
        <w:rPr>
          <w:rStyle w:val="Refdenotaalpie"/>
          <w:sz w:val="20"/>
          <w:szCs w:val="20"/>
          <w:lang w:val="en-US" w:eastAsia="es-ES"/>
        </w:rPr>
        <w:footnoteReference w:id="26"/>
      </w:r>
      <w:r w:rsidRPr="00CF6765">
        <w:rPr>
          <w:sz w:val="20"/>
          <w:szCs w:val="20"/>
          <w:lang w:val="en-US" w:eastAsia="es-ES"/>
        </w:rPr>
        <w:t xml:space="preserve"> also, the State did not contest it.</w:t>
      </w:r>
    </w:p>
    <w:p w14:paraId="283F13FC" w14:textId="77777777" w:rsidR="00A05606" w:rsidRPr="00CF6765" w:rsidRDefault="00A05606" w:rsidP="00450250">
      <w:pPr>
        <w:tabs>
          <w:tab w:val="left" w:pos="567"/>
        </w:tabs>
        <w:rPr>
          <w:sz w:val="20"/>
          <w:szCs w:val="20"/>
          <w:lang w:val="en-US"/>
        </w:rPr>
      </w:pPr>
    </w:p>
    <w:p w14:paraId="16EE70D5" w14:textId="763343EF" w:rsidR="007A1A14" w:rsidRPr="00CF6765" w:rsidRDefault="00FC495E" w:rsidP="00450250">
      <w:pPr>
        <w:numPr>
          <w:ilvl w:val="0"/>
          <w:numId w:val="2"/>
        </w:numPr>
        <w:tabs>
          <w:tab w:val="left" w:pos="567"/>
          <w:tab w:val="num" w:pos="12305"/>
        </w:tabs>
        <w:ind w:left="0" w:firstLine="0"/>
        <w:rPr>
          <w:lang w:val="en-US"/>
        </w:rPr>
      </w:pPr>
      <w:r w:rsidRPr="00CF6765">
        <w:rPr>
          <w:rFonts w:cs="Verdana"/>
          <w:sz w:val="20"/>
          <w:szCs w:val="20"/>
          <w:lang w:val="en-US"/>
        </w:rPr>
        <w:t>On November 20,</w:t>
      </w:r>
      <w:r w:rsidR="00D941A0" w:rsidRPr="00CF6765">
        <w:rPr>
          <w:rFonts w:cs="Verdana"/>
          <w:sz w:val="20"/>
          <w:szCs w:val="20"/>
          <w:lang w:val="en-US"/>
        </w:rPr>
        <w:t xml:space="preserve"> 2017</w:t>
      </w:r>
      <w:r w:rsidR="00002163" w:rsidRPr="00CF6765">
        <w:rPr>
          <w:rFonts w:cs="Verdana"/>
          <w:sz w:val="20"/>
          <w:szCs w:val="20"/>
          <w:lang w:val="en-US"/>
        </w:rPr>
        <w:t>, with their final written arguments,</w:t>
      </w:r>
      <w:r w:rsidR="00D941A0" w:rsidRPr="00CF6765">
        <w:rPr>
          <w:rFonts w:cs="Verdana"/>
          <w:sz w:val="20"/>
          <w:szCs w:val="20"/>
          <w:lang w:val="en-US"/>
        </w:rPr>
        <w:t xml:space="preserve"> </w:t>
      </w:r>
      <w:r w:rsidR="00D2168F" w:rsidRPr="00CF6765">
        <w:rPr>
          <w:rFonts w:cs="Verdana"/>
          <w:sz w:val="20"/>
          <w:szCs w:val="20"/>
          <w:lang w:val="en-US"/>
        </w:rPr>
        <w:t>the representatives</w:t>
      </w:r>
      <w:r w:rsidR="00D941A0" w:rsidRPr="00CF6765">
        <w:rPr>
          <w:rFonts w:cs="Verdana"/>
          <w:sz w:val="20"/>
          <w:szCs w:val="20"/>
          <w:lang w:val="en-US"/>
        </w:rPr>
        <w:t xml:space="preserve"> </w:t>
      </w:r>
      <w:r w:rsidR="00002163" w:rsidRPr="00CF6765">
        <w:rPr>
          <w:rFonts w:cs="Verdana"/>
          <w:sz w:val="20"/>
          <w:szCs w:val="20"/>
          <w:lang w:val="en-US"/>
        </w:rPr>
        <w:t xml:space="preserve">forwarded an annex referring to an invoice for the fees </w:t>
      </w:r>
      <w:r w:rsidR="00002163" w:rsidRPr="00CF6765">
        <w:rPr>
          <w:sz w:val="20"/>
          <w:szCs w:val="20"/>
          <w:lang w:val="en-US"/>
        </w:rPr>
        <w:t>of expert witness</w:t>
      </w:r>
      <w:r w:rsidR="00D941A0" w:rsidRPr="00CF6765">
        <w:rPr>
          <w:sz w:val="20"/>
          <w:szCs w:val="20"/>
          <w:lang w:val="en-US"/>
        </w:rPr>
        <w:t xml:space="preserve"> Fernando </w:t>
      </w:r>
      <w:proofErr w:type="spellStart"/>
      <w:r w:rsidR="00D941A0" w:rsidRPr="00CF6765">
        <w:rPr>
          <w:sz w:val="20"/>
          <w:szCs w:val="20"/>
          <w:lang w:val="en-US"/>
        </w:rPr>
        <w:t>Mussa</w:t>
      </w:r>
      <w:proofErr w:type="spellEnd"/>
      <w:r w:rsidR="00D941A0" w:rsidRPr="00CF6765">
        <w:rPr>
          <w:sz w:val="20"/>
          <w:szCs w:val="20"/>
          <w:lang w:val="en-US"/>
        </w:rPr>
        <w:t xml:space="preserve"> </w:t>
      </w:r>
      <w:proofErr w:type="spellStart"/>
      <w:r w:rsidR="00D941A0" w:rsidRPr="00CF6765">
        <w:rPr>
          <w:sz w:val="20"/>
          <w:szCs w:val="20"/>
          <w:lang w:val="en-US"/>
        </w:rPr>
        <w:t>Abujamra</w:t>
      </w:r>
      <w:proofErr w:type="spellEnd"/>
      <w:r w:rsidR="00D941A0" w:rsidRPr="00CF6765">
        <w:rPr>
          <w:sz w:val="20"/>
          <w:szCs w:val="20"/>
          <w:lang w:val="en-US"/>
        </w:rPr>
        <w:t xml:space="preserve"> </w:t>
      </w:r>
      <w:proofErr w:type="spellStart"/>
      <w:r w:rsidR="00D941A0" w:rsidRPr="00CF6765">
        <w:rPr>
          <w:sz w:val="20"/>
          <w:szCs w:val="20"/>
          <w:lang w:val="en-US"/>
        </w:rPr>
        <w:t>Aith</w:t>
      </w:r>
      <w:proofErr w:type="spellEnd"/>
      <w:r w:rsidR="007A1A14" w:rsidRPr="00CF6765">
        <w:rPr>
          <w:sz w:val="20"/>
          <w:szCs w:val="20"/>
          <w:lang w:val="en-US"/>
        </w:rPr>
        <w:t xml:space="preserve">. </w:t>
      </w:r>
      <w:r w:rsidR="00002163" w:rsidRPr="00CF6765">
        <w:rPr>
          <w:sz w:val="20"/>
          <w:szCs w:val="20"/>
          <w:lang w:val="en-US"/>
        </w:rPr>
        <w:t xml:space="preserve">In a </w:t>
      </w:r>
      <w:r w:rsidR="00B328D7" w:rsidRPr="00CF6765">
        <w:rPr>
          <w:sz w:val="20"/>
          <w:szCs w:val="20"/>
          <w:lang w:val="en-US"/>
        </w:rPr>
        <w:t>communication</w:t>
      </w:r>
      <w:r w:rsidR="00002163" w:rsidRPr="00CF6765">
        <w:rPr>
          <w:sz w:val="20"/>
          <w:szCs w:val="20"/>
          <w:lang w:val="en-US"/>
        </w:rPr>
        <w:t xml:space="preserve"> of December 4, </w:t>
      </w:r>
      <w:r w:rsidR="00D941A0" w:rsidRPr="00CF6765">
        <w:rPr>
          <w:sz w:val="20"/>
          <w:szCs w:val="20"/>
          <w:lang w:val="en-US"/>
        </w:rPr>
        <w:t xml:space="preserve">2017, </w:t>
      </w:r>
      <w:r w:rsidR="00EC50FC" w:rsidRPr="00CF6765">
        <w:rPr>
          <w:sz w:val="20"/>
          <w:szCs w:val="20"/>
          <w:lang w:val="en-US"/>
        </w:rPr>
        <w:t>the State</w:t>
      </w:r>
      <w:r w:rsidR="00D941A0" w:rsidRPr="00CF6765">
        <w:rPr>
          <w:sz w:val="20"/>
          <w:szCs w:val="20"/>
          <w:lang w:val="en-US"/>
        </w:rPr>
        <w:t xml:space="preserve"> present</w:t>
      </w:r>
      <w:r w:rsidR="00002163" w:rsidRPr="00CF6765">
        <w:rPr>
          <w:sz w:val="20"/>
          <w:szCs w:val="20"/>
          <w:lang w:val="en-US"/>
        </w:rPr>
        <w:t>ed its observations on this annex and indicated that it was time-barred, because it had not been submitted with the other expenses that the other party might have incurred and</w:t>
      </w:r>
      <w:r w:rsidR="00DA512C" w:rsidRPr="00CF6765">
        <w:rPr>
          <w:sz w:val="20"/>
          <w:szCs w:val="20"/>
          <w:lang w:val="en-US"/>
        </w:rPr>
        <w:t xml:space="preserve"> also that </w:t>
      </w:r>
      <w:r w:rsidR="00002163" w:rsidRPr="00CF6765">
        <w:rPr>
          <w:sz w:val="20"/>
          <w:szCs w:val="20"/>
          <w:lang w:val="en-US"/>
        </w:rPr>
        <w:t xml:space="preserve">the document should not be admitted as it lacked the essential elements to be incorporated as a valid invoice for the Victims’ Legal Assistance Fund. The Court observes that, despite the extensions granted, </w:t>
      </w:r>
      <w:r w:rsidR="00D2168F" w:rsidRPr="00CF6765">
        <w:rPr>
          <w:sz w:val="20"/>
          <w:szCs w:val="20"/>
          <w:lang w:val="en-US"/>
        </w:rPr>
        <w:t>the representatives</w:t>
      </w:r>
      <w:r w:rsidR="008B3AF7" w:rsidRPr="00CF6765">
        <w:rPr>
          <w:sz w:val="20"/>
          <w:szCs w:val="20"/>
          <w:lang w:val="en-US"/>
        </w:rPr>
        <w:t xml:space="preserve"> </w:t>
      </w:r>
      <w:r w:rsidR="00002163" w:rsidRPr="00CF6765">
        <w:rPr>
          <w:sz w:val="20"/>
          <w:szCs w:val="20"/>
          <w:lang w:val="en-US"/>
        </w:rPr>
        <w:t xml:space="preserve">failed to present the original invoice requested by the Court on December 12, 2017, in order to rectify the defects of the said document, so that this document on the invoice is inadmissible. </w:t>
      </w:r>
    </w:p>
    <w:p w14:paraId="546B5D64" w14:textId="77777777" w:rsidR="007A1A14" w:rsidRPr="00CF6765" w:rsidRDefault="007A1A14" w:rsidP="00450250">
      <w:pPr>
        <w:pStyle w:val="Prrafodelista"/>
        <w:ind w:left="0"/>
        <w:rPr>
          <w:rFonts w:cs="Verdana"/>
          <w:sz w:val="20"/>
          <w:szCs w:val="20"/>
          <w:lang w:val="en-US" w:eastAsia="es-MX"/>
        </w:rPr>
      </w:pPr>
    </w:p>
    <w:p w14:paraId="35EAA024" w14:textId="73AC8884" w:rsidR="007A1A14" w:rsidRPr="00CF6765" w:rsidRDefault="000D4A1F" w:rsidP="00450250">
      <w:pPr>
        <w:pStyle w:val="Ttulo2"/>
        <w:rPr>
          <w:lang w:val="en-US"/>
        </w:rPr>
      </w:pPr>
      <w:bookmarkStart w:id="41" w:name="_Toc405857807"/>
      <w:bookmarkStart w:id="42" w:name="_Toc423107375"/>
      <w:bookmarkStart w:id="43" w:name="_Toc438113881"/>
      <w:bookmarkStart w:id="44" w:name="_Toc459158107"/>
      <w:bookmarkStart w:id="45" w:name="_Toc470180051"/>
      <w:r w:rsidRPr="00CF6765">
        <w:rPr>
          <w:lang w:val="en-US"/>
        </w:rPr>
        <w:t xml:space="preserve"> </w:t>
      </w:r>
      <w:bookmarkStart w:id="46" w:name="_Toc47864363"/>
      <w:r w:rsidR="00B06735" w:rsidRPr="00CF6765">
        <w:rPr>
          <w:lang w:val="en-US"/>
        </w:rPr>
        <w:t>Assessment of the evidence</w:t>
      </w:r>
      <w:bookmarkEnd w:id="41"/>
      <w:bookmarkEnd w:id="42"/>
      <w:bookmarkEnd w:id="43"/>
      <w:bookmarkEnd w:id="44"/>
      <w:bookmarkEnd w:id="45"/>
      <w:bookmarkEnd w:id="46"/>
    </w:p>
    <w:p w14:paraId="050E649E" w14:textId="77777777" w:rsidR="007A1A14" w:rsidRPr="00CF6765" w:rsidRDefault="007A1A14" w:rsidP="00450250">
      <w:pPr>
        <w:rPr>
          <w:sz w:val="20"/>
          <w:szCs w:val="20"/>
          <w:lang w:val="en-US" w:eastAsia="es-MX"/>
        </w:rPr>
      </w:pPr>
      <w:bookmarkStart w:id="47" w:name="_Ref402038868"/>
    </w:p>
    <w:p w14:paraId="1436A538" w14:textId="0DA0D950" w:rsidR="007A1A14" w:rsidRPr="00CF6765" w:rsidRDefault="00002163" w:rsidP="00450250">
      <w:pPr>
        <w:numPr>
          <w:ilvl w:val="0"/>
          <w:numId w:val="2"/>
        </w:numPr>
        <w:tabs>
          <w:tab w:val="left" w:pos="567"/>
          <w:tab w:val="num" w:pos="12305"/>
        </w:tabs>
        <w:ind w:left="0" w:firstLine="0"/>
        <w:rPr>
          <w:rFonts w:cs="Verdana"/>
          <w:sz w:val="20"/>
          <w:szCs w:val="20"/>
          <w:lang w:val="en-US" w:eastAsia="es-MX"/>
        </w:rPr>
      </w:pPr>
      <w:r w:rsidRPr="00CF6765">
        <w:rPr>
          <w:rFonts w:cs="Verdana"/>
          <w:sz w:val="20"/>
          <w:szCs w:val="20"/>
          <w:lang w:val="en-US" w:eastAsia="es-MX"/>
        </w:rPr>
        <w:t>Based on its consistent case law</w:t>
      </w:r>
      <w:r w:rsidR="00DA512C" w:rsidRPr="00CF6765">
        <w:rPr>
          <w:rFonts w:cs="Verdana"/>
          <w:sz w:val="20"/>
          <w:szCs w:val="20"/>
          <w:lang w:val="en-US" w:eastAsia="es-MX"/>
        </w:rPr>
        <w:t xml:space="preserve"> </w:t>
      </w:r>
      <w:r w:rsidRPr="00CF6765">
        <w:rPr>
          <w:rFonts w:cs="Verdana"/>
          <w:sz w:val="20"/>
          <w:szCs w:val="20"/>
          <w:lang w:val="en-US" w:eastAsia="es-MX"/>
        </w:rPr>
        <w:t>on evidence and its assessment,</w:t>
      </w:r>
      <w:r w:rsidR="00DA512C" w:rsidRPr="00CF6765">
        <w:rPr>
          <w:rFonts w:cs="Verdana"/>
          <w:sz w:val="20"/>
          <w:szCs w:val="20"/>
          <w:lang w:val="en-US" w:eastAsia="es-MX"/>
        </w:rPr>
        <w:t xml:space="preserve"> </w:t>
      </w:r>
      <w:r w:rsidRPr="00CF6765">
        <w:rPr>
          <w:rFonts w:cs="Verdana"/>
          <w:sz w:val="20"/>
          <w:szCs w:val="20"/>
          <w:lang w:val="en-US" w:eastAsia="es-MX"/>
        </w:rPr>
        <w:t xml:space="preserve">the Court will examine and assess the documentary evidence forwarded by the parties and the Commission that </w:t>
      </w:r>
      <w:r w:rsidR="00DA512C" w:rsidRPr="00CF6765">
        <w:rPr>
          <w:rFonts w:cs="Verdana"/>
          <w:sz w:val="20"/>
          <w:szCs w:val="20"/>
          <w:lang w:val="en-US" w:eastAsia="es-MX"/>
        </w:rPr>
        <w:t>it</w:t>
      </w:r>
      <w:r w:rsidRPr="00CF6765">
        <w:rPr>
          <w:rFonts w:cs="Verdana"/>
          <w:sz w:val="20"/>
          <w:szCs w:val="20"/>
          <w:lang w:val="en-US" w:eastAsia="es-MX"/>
        </w:rPr>
        <w:t xml:space="preserve"> has incorporated into the case file, as well as the statements and expert opinions</w:t>
      </w:r>
      <w:r w:rsidR="00DA512C" w:rsidRPr="00CF6765">
        <w:rPr>
          <w:rFonts w:cs="Verdana"/>
          <w:sz w:val="20"/>
          <w:szCs w:val="20"/>
          <w:lang w:val="en-US" w:eastAsia="es-MX"/>
        </w:rPr>
        <w:t>, in order to establish the facts of the case and rule on the merits</w:t>
      </w:r>
      <w:r w:rsidRPr="00CF6765">
        <w:rPr>
          <w:rFonts w:cs="Verdana"/>
          <w:sz w:val="20"/>
          <w:szCs w:val="20"/>
          <w:lang w:val="en-US" w:eastAsia="es-MX"/>
        </w:rPr>
        <w:t>. To this end, it will abide by the principles of sound judicial discretion, within the corresponding legal framework, taking into account the whole body of evidence and the arguments submitted in the case.</w:t>
      </w:r>
      <w:r w:rsidR="007A1A14" w:rsidRPr="00CF6765">
        <w:rPr>
          <w:rFonts w:cs="Verdana"/>
          <w:sz w:val="20"/>
          <w:szCs w:val="20"/>
          <w:vertAlign w:val="superscript"/>
          <w:lang w:val="en-US" w:eastAsia="es-MX"/>
        </w:rPr>
        <w:footnoteReference w:id="27"/>
      </w:r>
      <w:bookmarkStart w:id="48" w:name="_Ref402038884"/>
      <w:bookmarkEnd w:id="47"/>
      <w:r w:rsidRPr="00CF6765">
        <w:rPr>
          <w:rFonts w:cs="Verdana"/>
          <w:sz w:val="20"/>
          <w:szCs w:val="20"/>
          <w:lang w:val="en-US" w:eastAsia="es-MX"/>
        </w:rPr>
        <w:t xml:space="preserve"> Lastly, pursuant to its case law, the Court recalls that the statements made by </w:t>
      </w:r>
      <w:r w:rsidR="00D2168F" w:rsidRPr="00CF6765">
        <w:rPr>
          <w:rFonts w:cs="Verdana"/>
          <w:sz w:val="20"/>
          <w:szCs w:val="20"/>
          <w:lang w:val="en-US" w:eastAsia="es-MX"/>
        </w:rPr>
        <w:t>the presumed victims</w:t>
      </w:r>
      <w:r w:rsidR="007A1A14" w:rsidRPr="00CF6765">
        <w:rPr>
          <w:rFonts w:cs="Verdana"/>
          <w:sz w:val="20"/>
          <w:szCs w:val="20"/>
          <w:lang w:val="en-US" w:eastAsia="es-MX"/>
        </w:rPr>
        <w:t xml:space="preserve"> </w:t>
      </w:r>
      <w:r w:rsidRPr="00CF6765">
        <w:rPr>
          <w:rFonts w:cs="Verdana"/>
          <w:sz w:val="20"/>
          <w:szCs w:val="20"/>
          <w:lang w:val="en-US" w:eastAsia="es-MX"/>
        </w:rPr>
        <w:t xml:space="preserve">cannot be assessed in isolation, but </w:t>
      </w:r>
      <w:r w:rsidR="00DA512C" w:rsidRPr="00CF6765">
        <w:rPr>
          <w:rFonts w:cs="Verdana"/>
          <w:sz w:val="20"/>
          <w:szCs w:val="20"/>
          <w:lang w:val="en-US" w:eastAsia="es-MX"/>
        </w:rPr>
        <w:t xml:space="preserve">rather </w:t>
      </w:r>
      <w:r w:rsidRPr="00CF6765">
        <w:rPr>
          <w:rFonts w:cs="Verdana"/>
          <w:sz w:val="20"/>
          <w:szCs w:val="20"/>
          <w:lang w:val="en-US" w:eastAsia="es-MX"/>
        </w:rPr>
        <w:t xml:space="preserve">within the body of evidence of the proceedings, insofar </w:t>
      </w:r>
      <w:r w:rsidR="00E27148" w:rsidRPr="00CF6765">
        <w:rPr>
          <w:rFonts w:cs="Verdana"/>
          <w:sz w:val="20"/>
          <w:szCs w:val="20"/>
          <w:lang w:val="en-US" w:eastAsia="es-MX"/>
        </w:rPr>
        <w:t>as</w:t>
      </w:r>
      <w:r w:rsidRPr="00CF6765">
        <w:rPr>
          <w:rFonts w:cs="Verdana"/>
          <w:sz w:val="20"/>
          <w:szCs w:val="20"/>
          <w:lang w:val="en-US" w:eastAsia="es-MX"/>
        </w:rPr>
        <w:t xml:space="preserve"> </w:t>
      </w:r>
      <w:r w:rsidR="00DA512C" w:rsidRPr="00CF6765">
        <w:rPr>
          <w:rFonts w:cs="Verdana"/>
          <w:sz w:val="20"/>
          <w:szCs w:val="20"/>
          <w:lang w:val="en-US" w:eastAsia="es-MX"/>
        </w:rPr>
        <w:t>they</w:t>
      </w:r>
      <w:r w:rsidRPr="00CF6765">
        <w:rPr>
          <w:rFonts w:cs="Verdana"/>
          <w:sz w:val="20"/>
          <w:szCs w:val="20"/>
          <w:lang w:val="en-US" w:eastAsia="es-MX"/>
        </w:rPr>
        <w:t xml:space="preserve"> may provide further information on the presumed violations and their consequences.</w:t>
      </w:r>
      <w:r w:rsidR="007A1A14" w:rsidRPr="00CF6765">
        <w:rPr>
          <w:rFonts w:cs="Verdana"/>
          <w:sz w:val="20"/>
          <w:szCs w:val="20"/>
          <w:vertAlign w:val="superscript"/>
          <w:lang w:val="en-US" w:eastAsia="es-MX"/>
        </w:rPr>
        <w:footnoteReference w:id="28"/>
      </w:r>
      <w:bookmarkEnd w:id="48"/>
    </w:p>
    <w:p w14:paraId="0F6D0214" w14:textId="77777777" w:rsidR="004931B5" w:rsidRPr="00CF6765" w:rsidRDefault="004931B5" w:rsidP="00450250">
      <w:pPr>
        <w:autoSpaceDE w:val="0"/>
        <w:autoSpaceDN w:val="0"/>
        <w:rPr>
          <w:rFonts w:eastAsia="Batang"/>
          <w:bCs/>
          <w:sz w:val="20"/>
          <w:lang w:val="en-US" w:eastAsia="en-US"/>
        </w:rPr>
      </w:pPr>
      <w:bookmarkStart w:id="49" w:name="_Ref405769497"/>
    </w:p>
    <w:p w14:paraId="63F57D99" w14:textId="51DCA757" w:rsidR="00F3026E" w:rsidRPr="00CF6765" w:rsidRDefault="00F3026E" w:rsidP="00F322EC">
      <w:pPr>
        <w:pStyle w:val="Ttulo"/>
      </w:pPr>
      <w:bookmarkStart w:id="50" w:name="_Toc504484518"/>
      <w:bookmarkStart w:id="51" w:name="_Toc506807357"/>
      <w:bookmarkStart w:id="52" w:name="_Toc513643933"/>
      <w:bookmarkStart w:id="53" w:name="_Toc47864364"/>
      <w:bookmarkStart w:id="54" w:name="_Toc494123977"/>
      <w:bookmarkStart w:id="55" w:name="_Toc499050337"/>
      <w:bookmarkEnd w:id="49"/>
      <w:r w:rsidRPr="00CF6765">
        <w:t>VI</w:t>
      </w:r>
      <w:bookmarkEnd w:id="50"/>
      <w:bookmarkEnd w:id="51"/>
      <w:bookmarkEnd w:id="52"/>
      <w:bookmarkEnd w:id="53"/>
      <w:r w:rsidRPr="00CF6765">
        <w:t xml:space="preserve"> </w:t>
      </w:r>
    </w:p>
    <w:p w14:paraId="5BE04998" w14:textId="474970E4" w:rsidR="000214BA" w:rsidRPr="00CF6765" w:rsidRDefault="009C2DEF" w:rsidP="00F322EC">
      <w:pPr>
        <w:pStyle w:val="Ttulo"/>
      </w:pPr>
      <w:bookmarkStart w:id="56" w:name="_Toc47864365"/>
      <w:r w:rsidRPr="00CF6765">
        <w:t>FACTS</w:t>
      </w:r>
      <w:bookmarkEnd w:id="56"/>
    </w:p>
    <w:bookmarkEnd w:id="54"/>
    <w:bookmarkEnd w:id="55"/>
    <w:p w14:paraId="46744574" w14:textId="77777777" w:rsidR="000214BA" w:rsidRPr="00CF6765" w:rsidRDefault="000214BA" w:rsidP="00450250">
      <w:pPr>
        <w:contextualSpacing/>
        <w:rPr>
          <w:rFonts w:eastAsia="Calibri"/>
          <w:sz w:val="20"/>
          <w:szCs w:val="20"/>
          <w:lang w:val="en-US" w:eastAsia="en-US"/>
        </w:rPr>
      </w:pPr>
    </w:p>
    <w:p w14:paraId="759948EE" w14:textId="6EBD84F0" w:rsidR="00E22B60" w:rsidRPr="00CF6765" w:rsidRDefault="00002163" w:rsidP="00450250">
      <w:pPr>
        <w:numPr>
          <w:ilvl w:val="0"/>
          <w:numId w:val="2"/>
        </w:numPr>
        <w:tabs>
          <w:tab w:val="left" w:pos="630"/>
          <w:tab w:val="left" w:pos="1530"/>
          <w:tab w:val="left" w:pos="1620"/>
        </w:tabs>
        <w:ind w:left="0" w:firstLine="0"/>
        <w:rPr>
          <w:rFonts w:eastAsia="Calibri"/>
          <w:sz w:val="20"/>
          <w:szCs w:val="20"/>
          <w:lang w:val="en-US"/>
        </w:rPr>
      </w:pPr>
      <w:r w:rsidRPr="00CF6765">
        <w:rPr>
          <w:rFonts w:eastAsia="Calibri"/>
          <w:sz w:val="20"/>
          <w:szCs w:val="20"/>
          <w:lang w:val="en-US"/>
        </w:rPr>
        <w:t>In this</w:t>
      </w:r>
      <w:r w:rsidR="00E22B60" w:rsidRPr="00CF6765">
        <w:rPr>
          <w:rFonts w:eastAsia="Calibri"/>
          <w:sz w:val="20"/>
          <w:szCs w:val="20"/>
          <w:lang w:val="en-US"/>
        </w:rPr>
        <w:t xml:space="preserve"> </w:t>
      </w:r>
      <w:r w:rsidRPr="00CF6765">
        <w:rPr>
          <w:rFonts w:eastAsia="Calibri"/>
          <w:sz w:val="20"/>
          <w:szCs w:val="20"/>
          <w:lang w:val="en-US"/>
        </w:rPr>
        <w:t>c</w:t>
      </w:r>
      <w:r w:rsidR="00D2168F" w:rsidRPr="00CF6765">
        <w:rPr>
          <w:rFonts w:eastAsia="Calibri"/>
          <w:sz w:val="20"/>
          <w:szCs w:val="20"/>
          <w:lang w:val="en-US"/>
        </w:rPr>
        <w:t>hapter</w:t>
      </w:r>
      <w:r w:rsidRPr="00CF6765">
        <w:rPr>
          <w:rFonts w:eastAsia="Calibri"/>
          <w:sz w:val="20"/>
          <w:szCs w:val="20"/>
          <w:lang w:val="en-US"/>
        </w:rPr>
        <w:t xml:space="preserve">, the Court will establish the facts of this case based on the factual framework submitted to its consideration by </w:t>
      </w:r>
      <w:r w:rsidR="005C731C" w:rsidRPr="00CF6765">
        <w:rPr>
          <w:rFonts w:eastAsia="Calibri"/>
          <w:sz w:val="20"/>
          <w:szCs w:val="20"/>
          <w:lang w:val="en-US"/>
        </w:rPr>
        <w:t>the Commission</w:t>
      </w:r>
      <w:r w:rsidR="00E22B60" w:rsidRPr="00CF6765">
        <w:rPr>
          <w:rFonts w:eastAsia="Calibri"/>
          <w:sz w:val="20"/>
          <w:szCs w:val="20"/>
          <w:lang w:val="en-US"/>
        </w:rPr>
        <w:t>, t</w:t>
      </w:r>
      <w:r w:rsidRPr="00CF6765">
        <w:rPr>
          <w:rFonts w:eastAsia="Calibri"/>
          <w:sz w:val="20"/>
          <w:szCs w:val="20"/>
          <w:lang w:val="en-US"/>
        </w:rPr>
        <w:t>aking into consideration the body of evidence in the case, the argument</w:t>
      </w:r>
      <w:r w:rsidR="00DA512C" w:rsidRPr="00CF6765">
        <w:rPr>
          <w:rFonts w:eastAsia="Calibri"/>
          <w:sz w:val="20"/>
          <w:szCs w:val="20"/>
          <w:lang w:val="en-US"/>
        </w:rPr>
        <w:t>s</w:t>
      </w:r>
      <w:r w:rsidRPr="00CF6765">
        <w:rPr>
          <w:rFonts w:eastAsia="Calibri"/>
          <w:sz w:val="20"/>
          <w:szCs w:val="20"/>
          <w:lang w:val="en-US"/>
        </w:rPr>
        <w:t xml:space="preserve"> of </w:t>
      </w:r>
      <w:r w:rsidR="00D2168F" w:rsidRPr="00CF6765">
        <w:rPr>
          <w:rFonts w:eastAsia="Calibri"/>
          <w:sz w:val="20"/>
          <w:szCs w:val="20"/>
          <w:lang w:val="en-US"/>
        </w:rPr>
        <w:t>the representatives</w:t>
      </w:r>
      <w:r w:rsidR="00EC50FC" w:rsidRPr="00CF6765">
        <w:rPr>
          <w:rFonts w:eastAsia="Calibri"/>
          <w:sz w:val="20"/>
          <w:szCs w:val="20"/>
          <w:lang w:val="en-US"/>
        </w:rPr>
        <w:t xml:space="preserve"> and the State</w:t>
      </w:r>
      <w:r w:rsidR="00E22B60" w:rsidRPr="00CF6765">
        <w:rPr>
          <w:rFonts w:eastAsia="Calibri"/>
          <w:sz w:val="20"/>
          <w:szCs w:val="20"/>
          <w:lang w:val="en-US"/>
        </w:rPr>
        <w:t>, a</w:t>
      </w:r>
      <w:r w:rsidRPr="00CF6765">
        <w:rPr>
          <w:rFonts w:eastAsia="Calibri"/>
          <w:sz w:val="20"/>
          <w:szCs w:val="20"/>
          <w:lang w:val="en-US"/>
        </w:rPr>
        <w:t xml:space="preserve">nd also the facts acknowledged by the State and those that have not been contested by the parties </w:t>
      </w:r>
      <w:r w:rsidR="008F36CB" w:rsidRPr="00CF6765">
        <w:rPr>
          <w:rFonts w:eastAsia="Calibri"/>
          <w:sz w:val="20"/>
          <w:szCs w:val="20"/>
          <w:lang w:val="en-US"/>
        </w:rPr>
        <w:t>(</w:t>
      </w:r>
      <w:r w:rsidR="008F36CB" w:rsidRPr="00CF6765">
        <w:rPr>
          <w:rFonts w:eastAsia="Calibri"/>
          <w:i/>
          <w:sz w:val="20"/>
          <w:szCs w:val="20"/>
          <w:lang w:val="en-US"/>
        </w:rPr>
        <w:t>supra</w:t>
      </w:r>
      <w:r w:rsidR="008F36CB" w:rsidRPr="00CF6765">
        <w:rPr>
          <w:rFonts w:eastAsia="Calibri"/>
          <w:sz w:val="20"/>
          <w:szCs w:val="20"/>
          <w:lang w:val="en-US"/>
        </w:rPr>
        <w:t xml:space="preserve"> </w:t>
      </w:r>
      <w:r w:rsidR="00EC50FC" w:rsidRPr="00CF6765">
        <w:rPr>
          <w:rFonts w:eastAsia="Calibri"/>
          <w:sz w:val="20"/>
          <w:szCs w:val="20"/>
          <w:lang w:val="en-US"/>
        </w:rPr>
        <w:t>paras.</w:t>
      </w:r>
      <w:r w:rsidR="00BC48F3" w:rsidRPr="00CF6765">
        <w:rPr>
          <w:rFonts w:eastAsia="Calibri"/>
          <w:sz w:val="20"/>
          <w:szCs w:val="20"/>
          <w:lang w:val="en-US"/>
        </w:rPr>
        <w:t xml:space="preserve"> </w:t>
      </w:r>
      <w:r w:rsidR="005A65DF" w:rsidRPr="00CF6765">
        <w:rPr>
          <w:rFonts w:eastAsia="Calibri"/>
          <w:sz w:val="20"/>
          <w:szCs w:val="20"/>
          <w:lang w:val="en-US"/>
        </w:rPr>
        <w:t xml:space="preserve">16 </w:t>
      </w:r>
      <w:r w:rsidRPr="00CF6765">
        <w:rPr>
          <w:rFonts w:eastAsia="Calibri"/>
          <w:sz w:val="20"/>
          <w:szCs w:val="20"/>
          <w:lang w:val="en-US"/>
        </w:rPr>
        <w:t>to</w:t>
      </w:r>
      <w:r w:rsidR="005A65DF" w:rsidRPr="00CF6765">
        <w:rPr>
          <w:rFonts w:eastAsia="Calibri"/>
          <w:sz w:val="20"/>
          <w:szCs w:val="20"/>
          <w:lang w:val="en-US"/>
        </w:rPr>
        <w:t xml:space="preserve"> 20</w:t>
      </w:r>
      <w:r w:rsidR="008F36CB" w:rsidRPr="00CF6765">
        <w:rPr>
          <w:rFonts w:eastAsia="Calibri"/>
          <w:sz w:val="20"/>
          <w:szCs w:val="20"/>
          <w:lang w:val="en-US"/>
        </w:rPr>
        <w:t>)</w:t>
      </w:r>
      <w:r w:rsidR="00E22B60" w:rsidRPr="00CF6765">
        <w:rPr>
          <w:rFonts w:eastAsia="Calibri"/>
          <w:sz w:val="20"/>
          <w:szCs w:val="20"/>
          <w:lang w:val="en-US"/>
        </w:rPr>
        <w:t xml:space="preserve">. </w:t>
      </w:r>
      <w:r w:rsidRPr="00CF6765">
        <w:rPr>
          <w:rFonts w:eastAsia="Calibri"/>
          <w:sz w:val="20"/>
          <w:szCs w:val="20"/>
          <w:lang w:val="en-US"/>
        </w:rPr>
        <w:t>It will do so in the following sections: (</w:t>
      </w:r>
      <w:r w:rsidR="00E22B60" w:rsidRPr="00CF6765">
        <w:rPr>
          <w:rFonts w:eastAsia="Calibri"/>
          <w:sz w:val="20"/>
          <w:szCs w:val="20"/>
          <w:lang w:val="en-US"/>
        </w:rPr>
        <w:t xml:space="preserve">a) </w:t>
      </w:r>
      <w:r w:rsidR="00B06735" w:rsidRPr="00CF6765">
        <w:rPr>
          <w:rFonts w:eastAsia="Calibri"/>
          <w:sz w:val="20"/>
          <w:szCs w:val="20"/>
          <w:lang w:val="en-US"/>
        </w:rPr>
        <w:t xml:space="preserve">Regarding Vinicio Antonio Poblete </w:t>
      </w:r>
      <w:proofErr w:type="spellStart"/>
      <w:r w:rsidR="00B06735" w:rsidRPr="00CF6765">
        <w:rPr>
          <w:rFonts w:eastAsia="Calibri"/>
          <w:sz w:val="20"/>
          <w:szCs w:val="20"/>
          <w:lang w:val="en-US"/>
        </w:rPr>
        <w:t>Vilches</w:t>
      </w:r>
      <w:proofErr w:type="spellEnd"/>
      <w:r w:rsidR="00E22B60" w:rsidRPr="00CF6765">
        <w:rPr>
          <w:rFonts w:eastAsia="Calibri"/>
          <w:sz w:val="20"/>
          <w:szCs w:val="20"/>
          <w:lang w:val="en-US"/>
        </w:rPr>
        <w:t xml:space="preserve">; </w:t>
      </w:r>
      <w:r w:rsidRPr="00CF6765">
        <w:rPr>
          <w:rFonts w:eastAsia="Calibri"/>
          <w:sz w:val="20"/>
          <w:szCs w:val="20"/>
          <w:lang w:val="en-US"/>
        </w:rPr>
        <w:t>(</w:t>
      </w:r>
      <w:r w:rsidR="00E22B60" w:rsidRPr="00CF6765">
        <w:rPr>
          <w:rFonts w:eastAsia="Calibri"/>
          <w:sz w:val="20"/>
          <w:szCs w:val="20"/>
          <w:lang w:val="en-US"/>
        </w:rPr>
        <w:t xml:space="preserve">b) </w:t>
      </w:r>
      <w:r w:rsidR="00B06735" w:rsidRPr="00CF6765">
        <w:rPr>
          <w:rFonts w:eastAsia="Calibri"/>
          <w:sz w:val="20"/>
          <w:szCs w:val="20"/>
          <w:lang w:val="en-US"/>
        </w:rPr>
        <w:t>First admission</w:t>
      </w:r>
      <w:r w:rsidR="00E22B60" w:rsidRPr="00CF6765">
        <w:rPr>
          <w:rFonts w:eastAsia="Calibri"/>
          <w:sz w:val="20"/>
          <w:szCs w:val="20"/>
          <w:lang w:val="en-US"/>
        </w:rPr>
        <w:t xml:space="preserve"> </w:t>
      </w:r>
      <w:r w:rsidR="00D04694" w:rsidRPr="00CF6765">
        <w:rPr>
          <w:rFonts w:eastAsia="Calibri"/>
          <w:sz w:val="20"/>
          <w:szCs w:val="20"/>
          <w:lang w:val="en-US"/>
        </w:rPr>
        <w:t>of Vinicio</w:t>
      </w:r>
      <w:r w:rsidR="00E22B60" w:rsidRPr="00CF6765">
        <w:rPr>
          <w:rFonts w:eastAsia="Calibri"/>
          <w:sz w:val="20"/>
          <w:szCs w:val="20"/>
          <w:lang w:val="en-US"/>
        </w:rPr>
        <w:t xml:space="preserve"> Antonio Poblete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00B06735" w:rsidRPr="00CF6765">
        <w:rPr>
          <w:rFonts w:eastAsia="Calibri"/>
          <w:sz w:val="20"/>
          <w:szCs w:val="20"/>
          <w:lang w:val="en-US"/>
        </w:rPr>
        <w:t xml:space="preserve">to the </w:t>
      </w:r>
      <w:proofErr w:type="spellStart"/>
      <w:r w:rsidR="00B06735" w:rsidRPr="00CF6765">
        <w:rPr>
          <w:rFonts w:eastAsia="Calibri"/>
          <w:sz w:val="20"/>
          <w:szCs w:val="20"/>
          <w:lang w:val="en-US"/>
        </w:rPr>
        <w:t>Sótero</w:t>
      </w:r>
      <w:proofErr w:type="spellEnd"/>
      <w:r w:rsidR="00B06735" w:rsidRPr="00CF6765">
        <w:rPr>
          <w:rFonts w:eastAsia="Calibri"/>
          <w:sz w:val="20"/>
          <w:szCs w:val="20"/>
          <w:lang w:val="en-US"/>
        </w:rPr>
        <w:t xml:space="preserve"> del Río Hospital</w:t>
      </w:r>
      <w:r w:rsidR="00E22B60" w:rsidRPr="00CF6765">
        <w:rPr>
          <w:rFonts w:eastAsia="Calibri"/>
          <w:sz w:val="20"/>
          <w:szCs w:val="20"/>
          <w:lang w:val="en-US"/>
        </w:rPr>
        <w:t xml:space="preserve">; </w:t>
      </w:r>
      <w:r w:rsidR="005C42AB" w:rsidRPr="00CF6765">
        <w:rPr>
          <w:rFonts w:eastAsia="Calibri"/>
          <w:sz w:val="20"/>
          <w:szCs w:val="20"/>
          <w:lang w:val="en-US"/>
        </w:rPr>
        <w:t>(</w:t>
      </w:r>
      <w:r w:rsidR="00E22B60" w:rsidRPr="00CF6765">
        <w:rPr>
          <w:rFonts w:eastAsia="Calibri"/>
          <w:sz w:val="20"/>
          <w:szCs w:val="20"/>
          <w:lang w:val="en-US"/>
        </w:rPr>
        <w:t xml:space="preserve">c) </w:t>
      </w:r>
      <w:r w:rsidR="00B969DD" w:rsidRPr="00CF6765">
        <w:rPr>
          <w:rFonts w:eastAsia="Calibri"/>
          <w:sz w:val="20"/>
          <w:szCs w:val="20"/>
          <w:lang w:val="en-US"/>
        </w:rPr>
        <w:t>Second admission</w:t>
      </w:r>
      <w:r w:rsidR="00E22B60" w:rsidRPr="00CF6765">
        <w:rPr>
          <w:rFonts w:eastAsia="Calibri"/>
          <w:sz w:val="20"/>
          <w:szCs w:val="20"/>
          <w:lang w:val="en-US"/>
        </w:rPr>
        <w:t xml:space="preserve"> </w:t>
      </w:r>
      <w:r w:rsidR="00D04694" w:rsidRPr="00CF6765">
        <w:rPr>
          <w:rFonts w:eastAsia="Calibri"/>
          <w:sz w:val="20"/>
          <w:szCs w:val="20"/>
          <w:lang w:val="en-US"/>
        </w:rPr>
        <w:t>of Vinicio</w:t>
      </w:r>
      <w:r w:rsidR="00E22B60" w:rsidRPr="00CF6765">
        <w:rPr>
          <w:rFonts w:eastAsia="Calibri"/>
          <w:sz w:val="20"/>
          <w:szCs w:val="20"/>
          <w:lang w:val="en-US"/>
        </w:rPr>
        <w:t xml:space="preserve"> Antonio Poblete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00B06735" w:rsidRPr="00CF6765">
        <w:rPr>
          <w:rFonts w:eastAsia="Calibri"/>
          <w:sz w:val="20"/>
          <w:szCs w:val="20"/>
          <w:lang w:val="en-US"/>
        </w:rPr>
        <w:t xml:space="preserve">to the </w:t>
      </w:r>
      <w:proofErr w:type="spellStart"/>
      <w:r w:rsidR="00B06735" w:rsidRPr="00CF6765">
        <w:rPr>
          <w:rFonts w:eastAsia="Calibri"/>
          <w:sz w:val="20"/>
          <w:szCs w:val="20"/>
          <w:lang w:val="en-US"/>
        </w:rPr>
        <w:t>Sótero</w:t>
      </w:r>
      <w:proofErr w:type="spellEnd"/>
      <w:r w:rsidR="00B06735" w:rsidRPr="00CF6765">
        <w:rPr>
          <w:rFonts w:eastAsia="Calibri"/>
          <w:sz w:val="20"/>
          <w:szCs w:val="20"/>
          <w:lang w:val="en-US"/>
        </w:rPr>
        <w:t xml:space="preserve"> del Río Hospital</w:t>
      </w:r>
      <w:r w:rsidR="00E22B60" w:rsidRPr="00CF6765">
        <w:rPr>
          <w:rFonts w:eastAsia="Calibri"/>
          <w:sz w:val="20"/>
          <w:szCs w:val="20"/>
          <w:lang w:val="en-US"/>
        </w:rPr>
        <w:t>,</w:t>
      </w:r>
      <w:r w:rsidR="00EC50FC" w:rsidRPr="00CF6765">
        <w:rPr>
          <w:rFonts w:eastAsia="Calibri"/>
          <w:sz w:val="20"/>
          <w:szCs w:val="20"/>
          <w:lang w:val="en-US"/>
        </w:rPr>
        <w:t xml:space="preserve"> and </w:t>
      </w:r>
      <w:r w:rsidR="005C42AB" w:rsidRPr="00CF6765">
        <w:rPr>
          <w:rFonts w:eastAsia="Calibri"/>
          <w:sz w:val="20"/>
          <w:szCs w:val="20"/>
          <w:lang w:val="en-US"/>
        </w:rPr>
        <w:t>(</w:t>
      </w:r>
      <w:r w:rsidR="00E22B60" w:rsidRPr="00CF6765">
        <w:rPr>
          <w:rFonts w:eastAsia="Calibri"/>
          <w:sz w:val="20"/>
          <w:szCs w:val="20"/>
          <w:lang w:val="en-US"/>
        </w:rPr>
        <w:t xml:space="preserve">d) </w:t>
      </w:r>
      <w:r w:rsidR="005C42AB" w:rsidRPr="00CF6765">
        <w:rPr>
          <w:rFonts w:eastAsia="Calibri"/>
          <w:sz w:val="20"/>
          <w:szCs w:val="20"/>
          <w:lang w:val="en-US"/>
        </w:rPr>
        <w:t xml:space="preserve">Actions taken by the </w:t>
      </w:r>
      <w:r w:rsidR="00941167" w:rsidRPr="00CF6765">
        <w:rPr>
          <w:rFonts w:eastAsia="Calibri"/>
          <w:sz w:val="20"/>
          <w:szCs w:val="20"/>
          <w:lang w:val="en-US"/>
        </w:rPr>
        <w:t xml:space="preserve">family </w:t>
      </w:r>
      <w:r w:rsidR="00B328D7" w:rsidRPr="00CF6765">
        <w:rPr>
          <w:rFonts w:eastAsia="Calibri"/>
          <w:sz w:val="20"/>
          <w:szCs w:val="20"/>
          <w:lang w:val="en-US"/>
        </w:rPr>
        <w:t>with</w:t>
      </w:r>
      <w:r w:rsidR="00941167" w:rsidRPr="00CF6765">
        <w:rPr>
          <w:rFonts w:eastAsia="Calibri"/>
          <w:sz w:val="20"/>
          <w:szCs w:val="20"/>
          <w:lang w:val="en-US"/>
        </w:rPr>
        <w:t xml:space="preserve"> state</w:t>
      </w:r>
      <w:r w:rsidR="005C42AB" w:rsidRPr="00CF6765">
        <w:rPr>
          <w:rFonts w:eastAsia="Calibri"/>
          <w:sz w:val="20"/>
          <w:szCs w:val="20"/>
          <w:lang w:val="en-US"/>
        </w:rPr>
        <w:t xml:space="preserve"> organs</w:t>
      </w:r>
      <w:r w:rsidR="00E22B60" w:rsidRPr="00CF6765">
        <w:rPr>
          <w:rFonts w:eastAsia="Calibri"/>
          <w:sz w:val="20"/>
          <w:szCs w:val="20"/>
          <w:lang w:val="en-US"/>
        </w:rPr>
        <w:t>.</w:t>
      </w:r>
    </w:p>
    <w:p w14:paraId="148FD1D8" w14:textId="77777777" w:rsidR="00E22B60" w:rsidRPr="00CF6765" w:rsidRDefault="00E22B60" w:rsidP="00450250">
      <w:pPr>
        <w:tabs>
          <w:tab w:val="left" w:pos="630"/>
          <w:tab w:val="left" w:pos="810"/>
          <w:tab w:val="left" w:pos="1530"/>
          <w:tab w:val="left" w:pos="1620"/>
        </w:tabs>
        <w:ind w:hanging="825"/>
        <w:contextualSpacing/>
        <w:rPr>
          <w:rFonts w:eastAsia="Calibri"/>
          <w:sz w:val="20"/>
          <w:szCs w:val="20"/>
          <w:lang w:val="en-US"/>
        </w:rPr>
      </w:pPr>
    </w:p>
    <w:p w14:paraId="6C71F6DA" w14:textId="77A1D1D6" w:rsidR="00E22B60" w:rsidRPr="00CF6765" w:rsidRDefault="00B06735" w:rsidP="00450250">
      <w:pPr>
        <w:pStyle w:val="Prrafodelista"/>
        <w:keepNext/>
        <w:keepLines/>
        <w:numPr>
          <w:ilvl w:val="0"/>
          <w:numId w:val="29"/>
        </w:numPr>
        <w:tabs>
          <w:tab w:val="left" w:pos="630"/>
          <w:tab w:val="left" w:pos="810"/>
          <w:tab w:val="left" w:pos="1530"/>
          <w:tab w:val="left" w:pos="1620"/>
        </w:tabs>
        <w:ind w:left="1080"/>
        <w:contextualSpacing/>
        <w:outlineLvl w:val="1"/>
        <w:rPr>
          <w:rFonts w:eastAsia="MS Mincho"/>
          <w:b/>
          <w:i/>
          <w:sz w:val="20"/>
          <w:szCs w:val="26"/>
          <w:lang w:val="en-US"/>
        </w:rPr>
      </w:pPr>
      <w:r w:rsidRPr="00CF6765">
        <w:rPr>
          <w:rFonts w:eastAsia="MS Mincho"/>
          <w:b/>
          <w:i/>
          <w:sz w:val="20"/>
          <w:szCs w:val="26"/>
          <w:lang w:val="en-US"/>
        </w:rPr>
        <w:t xml:space="preserve">Vinicio Antonio Poblete </w:t>
      </w:r>
      <w:proofErr w:type="spellStart"/>
      <w:r w:rsidRPr="00CF6765">
        <w:rPr>
          <w:rFonts w:eastAsia="MS Mincho"/>
          <w:b/>
          <w:i/>
          <w:sz w:val="20"/>
          <w:szCs w:val="26"/>
          <w:lang w:val="en-US"/>
        </w:rPr>
        <w:t>Vilches</w:t>
      </w:r>
      <w:proofErr w:type="spellEnd"/>
    </w:p>
    <w:p w14:paraId="6B17E98D" w14:textId="77777777" w:rsidR="00E22B60" w:rsidRPr="00CF6765" w:rsidRDefault="00E22B60" w:rsidP="00450250">
      <w:pPr>
        <w:tabs>
          <w:tab w:val="left" w:pos="630"/>
          <w:tab w:val="left" w:pos="810"/>
          <w:tab w:val="left" w:pos="1530"/>
          <w:tab w:val="left" w:pos="1620"/>
        </w:tabs>
        <w:ind w:hanging="825"/>
        <w:rPr>
          <w:rFonts w:eastAsia="Calibri"/>
          <w:sz w:val="20"/>
          <w:szCs w:val="20"/>
          <w:lang w:val="en-US"/>
        </w:rPr>
      </w:pPr>
    </w:p>
    <w:p w14:paraId="18D87081" w14:textId="796AC9AF" w:rsidR="00E22B60" w:rsidRPr="00CF6765" w:rsidRDefault="00D2168F" w:rsidP="00450250">
      <w:pPr>
        <w:numPr>
          <w:ilvl w:val="0"/>
          <w:numId w:val="2"/>
        </w:numPr>
        <w:tabs>
          <w:tab w:val="left" w:pos="630"/>
          <w:tab w:val="left" w:pos="900"/>
          <w:tab w:val="left" w:pos="1530"/>
          <w:tab w:val="left" w:pos="1620"/>
        </w:tabs>
        <w:ind w:left="0" w:firstLine="0"/>
        <w:rPr>
          <w:rFonts w:eastAsia="Calibri"/>
          <w:b/>
          <w:i/>
          <w:sz w:val="20"/>
          <w:szCs w:val="20"/>
          <w:lang w:val="en-US"/>
        </w:rPr>
      </w:pPr>
      <w:r w:rsidRPr="00CF6765">
        <w:rPr>
          <w:rFonts w:eastAsia="Calibri"/>
          <w:sz w:val="20"/>
          <w:szCs w:val="20"/>
          <w:lang w:val="en-US"/>
        </w:rPr>
        <w:t>Mr.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00B06735" w:rsidRPr="00CF6765">
        <w:rPr>
          <w:rFonts w:eastAsia="Calibri"/>
          <w:sz w:val="20"/>
          <w:szCs w:val="20"/>
          <w:lang w:val="en-US"/>
        </w:rPr>
        <w:t>was born on May 22,</w:t>
      </w:r>
      <w:r w:rsidR="00E22B60" w:rsidRPr="00CF6765">
        <w:rPr>
          <w:rFonts w:eastAsia="Calibri"/>
          <w:sz w:val="20"/>
          <w:szCs w:val="20"/>
          <w:lang w:val="en-US"/>
        </w:rPr>
        <w:t xml:space="preserve"> 1924</w:t>
      </w:r>
      <w:r w:rsidR="00B06735" w:rsidRPr="00CF6765">
        <w:rPr>
          <w:rFonts w:eastAsia="Calibri"/>
          <w:sz w:val="20"/>
          <w:szCs w:val="20"/>
          <w:lang w:val="en-US"/>
        </w:rPr>
        <w:t>,</w:t>
      </w:r>
      <w:r w:rsidR="00EC50FC" w:rsidRPr="00CF6765">
        <w:rPr>
          <w:rFonts w:eastAsia="Calibri"/>
          <w:sz w:val="20"/>
          <w:szCs w:val="20"/>
          <w:lang w:val="en-US"/>
        </w:rPr>
        <w:t xml:space="preserve"> and </w:t>
      </w:r>
      <w:r w:rsidR="00B06735" w:rsidRPr="00CF6765">
        <w:rPr>
          <w:rFonts w:eastAsia="Calibri"/>
          <w:sz w:val="20"/>
          <w:szCs w:val="20"/>
          <w:lang w:val="en-US"/>
        </w:rPr>
        <w:t xml:space="preserve">at the time of his death on </w:t>
      </w:r>
      <w:r w:rsidR="00671A8C" w:rsidRPr="00CF6765">
        <w:rPr>
          <w:rFonts w:eastAsia="Calibri"/>
          <w:sz w:val="20"/>
          <w:szCs w:val="20"/>
          <w:lang w:val="en-US"/>
        </w:rPr>
        <w:t>February 7,</w:t>
      </w:r>
      <w:r w:rsidR="00E22B60" w:rsidRPr="00CF6765">
        <w:rPr>
          <w:rFonts w:eastAsia="Calibri"/>
          <w:sz w:val="20"/>
          <w:szCs w:val="20"/>
          <w:lang w:val="en-US"/>
        </w:rPr>
        <w:t xml:space="preserve"> 2001, </w:t>
      </w:r>
      <w:r w:rsidR="00B06735" w:rsidRPr="00CF6765">
        <w:rPr>
          <w:rFonts w:eastAsia="Calibri"/>
          <w:sz w:val="20"/>
          <w:szCs w:val="20"/>
          <w:lang w:val="en-US"/>
        </w:rPr>
        <w:t>he was 76 years of age.</w:t>
      </w:r>
      <w:r w:rsidR="00E22B60" w:rsidRPr="00CF6765">
        <w:rPr>
          <w:rFonts w:eastAsia="Calibri"/>
          <w:sz w:val="20"/>
          <w:szCs w:val="20"/>
          <w:vertAlign w:val="superscript"/>
          <w:lang w:val="en-US"/>
        </w:rPr>
        <w:footnoteReference w:id="29"/>
      </w:r>
      <w:r w:rsidR="00E22B60" w:rsidRPr="00CF6765">
        <w:rPr>
          <w:rFonts w:eastAsia="Calibri"/>
          <w:sz w:val="20"/>
          <w:szCs w:val="20"/>
          <w:lang w:val="en-US"/>
        </w:rPr>
        <w:t xml:space="preserve"> </w:t>
      </w:r>
      <w:r w:rsidRPr="00CF6765">
        <w:rPr>
          <w:rFonts w:eastAsia="Calibri"/>
          <w:sz w:val="20"/>
          <w:szCs w:val="20"/>
          <w:lang w:val="en-US"/>
        </w:rPr>
        <w:t>Mr.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00B06735" w:rsidRPr="00CF6765">
        <w:rPr>
          <w:rFonts w:eastAsia="Calibri"/>
          <w:sz w:val="20"/>
          <w:szCs w:val="20"/>
          <w:lang w:val="en-US"/>
        </w:rPr>
        <w:t>lived with</w:t>
      </w:r>
      <w:r w:rsidR="00E22B60" w:rsidRPr="00CF6765">
        <w:rPr>
          <w:rFonts w:eastAsia="Calibri"/>
          <w:sz w:val="20"/>
          <w:szCs w:val="20"/>
          <w:lang w:val="en-US"/>
        </w:rPr>
        <w:t xml:space="preserve"> </w:t>
      </w:r>
      <w:r w:rsidR="00EC50FC" w:rsidRPr="00CF6765">
        <w:rPr>
          <w:rFonts w:eastAsia="Calibri"/>
          <w:sz w:val="20"/>
          <w:szCs w:val="20"/>
          <w:lang w:val="en-US"/>
        </w:rPr>
        <w:t>his wife</w:t>
      </w:r>
      <w:r w:rsidR="00E22B60" w:rsidRPr="00CF6765">
        <w:rPr>
          <w:rFonts w:eastAsia="Calibri"/>
          <w:sz w:val="20"/>
          <w:szCs w:val="20"/>
          <w:lang w:val="en-US"/>
        </w:rPr>
        <w:t xml:space="preserve">, Blanca Tapia </w:t>
      </w:r>
      <w:proofErr w:type="spellStart"/>
      <w:r w:rsidR="00E22B60" w:rsidRPr="00CF6765">
        <w:rPr>
          <w:rFonts w:eastAsia="Calibri"/>
          <w:sz w:val="20"/>
          <w:szCs w:val="20"/>
          <w:lang w:val="en-US"/>
        </w:rPr>
        <w:t>Encina</w:t>
      </w:r>
      <w:proofErr w:type="spellEnd"/>
      <w:r w:rsidR="00EC50FC" w:rsidRPr="00CF6765">
        <w:rPr>
          <w:rFonts w:eastAsia="Calibri"/>
          <w:sz w:val="20"/>
          <w:szCs w:val="20"/>
          <w:lang w:val="en-US"/>
        </w:rPr>
        <w:t xml:space="preserve"> and </w:t>
      </w:r>
      <w:r w:rsidR="00B06735" w:rsidRPr="00CF6765">
        <w:rPr>
          <w:rFonts w:eastAsia="Calibri"/>
          <w:sz w:val="20"/>
          <w:szCs w:val="20"/>
          <w:lang w:val="en-US"/>
        </w:rPr>
        <w:t xml:space="preserve">his </w:t>
      </w:r>
      <w:r w:rsidR="00B06735" w:rsidRPr="00CF6765">
        <w:rPr>
          <w:rFonts w:eastAsia="Calibri"/>
          <w:sz w:val="20"/>
          <w:szCs w:val="20"/>
          <w:lang w:val="en-US"/>
        </w:rPr>
        <w:lastRenderedPageBreak/>
        <w:t xml:space="preserve">three children: </w:t>
      </w:r>
      <w:proofErr w:type="spellStart"/>
      <w:r w:rsidR="00E22B60" w:rsidRPr="00CF6765">
        <w:rPr>
          <w:rFonts w:eastAsia="Calibri"/>
          <w:sz w:val="20"/>
          <w:szCs w:val="20"/>
          <w:lang w:val="en-US"/>
        </w:rPr>
        <w:t>Cesia</w:t>
      </w:r>
      <w:proofErr w:type="spellEnd"/>
      <w:r w:rsidR="00E22B60" w:rsidRPr="00CF6765">
        <w:rPr>
          <w:rFonts w:eastAsia="Calibri"/>
          <w:sz w:val="20"/>
          <w:szCs w:val="20"/>
          <w:lang w:val="en-US"/>
        </w:rPr>
        <w:t xml:space="preserve"> Leila Siria Poblete Tapia, Vinicio Marco Antonio Poblete Tapia</w:t>
      </w:r>
      <w:r w:rsidR="00EC50FC" w:rsidRPr="00CF6765">
        <w:rPr>
          <w:rFonts w:eastAsia="Calibri"/>
          <w:sz w:val="20"/>
          <w:szCs w:val="20"/>
          <w:lang w:val="en-US"/>
        </w:rPr>
        <w:t xml:space="preserve"> and </w:t>
      </w:r>
      <w:r w:rsidR="00E22B60" w:rsidRPr="00CF6765">
        <w:rPr>
          <w:rFonts w:eastAsia="Calibri"/>
          <w:sz w:val="20"/>
          <w:szCs w:val="20"/>
          <w:lang w:val="en-US"/>
        </w:rPr>
        <w:t>Gonzalo Poblete Tapia</w:t>
      </w:r>
      <w:r w:rsidR="00B06735" w:rsidRPr="00CF6765">
        <w:rPr>
          <w:rFonts w:eastAsia="Calibri"/>
          <w:sz w:val="20"/>
          <w:szCs w:val="20"/>
          <w:lang w:val="en-US"/>
        </w:rPr>
        <w:t>.</w:t>
      </w:r>
      <w:r w:rsidR="00E22B60" w:rsidRPr="00CF6765">
        <w:rPr>
          <w:rFonts w:eastAsia="Calibri"/>
          <w:sz w:val="20"/>
          <w:szCs w:val="20"/>
          <w:vertAlign w:val="superscript"/>
          <w:lang w:val="en-US"/>
        </w:rPr>
        <w:footnoteReference w:id="30"/>
      </w:r>
    </w:p>
    <w:p w14:paraId="4260D44A" w14:textId="77777777" w:rsidR="00CA76E0" w:rsidRPr="00CF6765" w:rsidRDefault="00CA76E0" w:rsidP="00450250">
      <w:pPr>
        <w:tabs>
          <w:tab w:val="left" w:pos="630"/>
          <w:tab w:val="left" w:pos="900"/>
          <w:tab w:val="left" w:pos="1530"/>
          <w:tab w:val="left" w:pos="1620"/>
        </w:tabs>
        <w:rPr>
          <w:rFonts w:eastAsia="Calibri"/>
          <w:b/>
          <w:i/>
          <w:sz w:val="20"/>
          <w:szCs w:val="20"/>
          <w:lang w:val="en-US"/>
        </w:rPr>
      </w:pPr>
    </w:p>
    <w:p w14:paraId="17BCE30B" w14:textId="68287C73" w:rsidR="00E22B60" w:rsidRPr="00CF6765" w:rsidRDefault="00B06735" w:rsidP="00450250">
      <w:pPr>
        <w:pStyle w:val="Prrafodelista"/>
        <w:keepNext/>
        <w:keepLines/>
        <w:numPr>
          <w:ilvl w:val="0"/>
          <w:numId w:val="29"/>
        </w:numPr>
        <w:tabs>
          <w:tab w:val="left" w:pos="630"/>
          <w:tab w:val="left" w:pos="810"/>
          <w:tab w:val="left" w:pos="1530"/>
          <w:tab w:val="left" w:pos="1620"/>
        </w:tabs>
        <w:ind w:left="1080"/>
        <w:contextualSpacing/>
        <w:outlineLvl w:val="1"/>
        <w:rPr>
          <w:rFonts w:eastAsia="MS Mincho"/>
          <w:b/>
          <w:bCs/>
          <w:i/>
          <w:snapToGrid w:val="0"/>
          <w:sz w:val="20"/>
          <w:szCs w:val="28"/>
          <w:lang w:val="en-US"/>
        </w:rPr>
      </w:pPr>
      <w:r w:rsidRPr="00CF6765">
        <w:rPr>
          <w:rFonts w:eastAsia="MS Mincho"/>
          <w:b/>
          <w:i/>
          <w:sz w:val="20"/>
          <w:szCs w:val="26"/>
          <w:lang w:val="en-US"/>
        </w:rPr>
        <w:t>First admission</w:t>
      </w:r>
      <w:r w:rsidR="00E22B60" w:rsidRPr="00CF6765">
        <w:rPr>
          <w:rFonts w:eastAsia="MS Mincho"/>
          <w:b/>
          <w:i/>
          <w:sz w:val="20"/>
          <w:szCs w:val="26"/>
          <w:lang w:val="en-US"/>
        </w:rPr>
        <w:t xml:space="preserve"> </w:t>
      </w:r>
      <w:r w:rsidR="00D04694" w:rsidRPr="00CF6765">
        <w:rPr>
          <w:rFonts w:eastAsia="MS Mincho"/>
          <w:b/>
          <w:i/>
          <w:sz w:val="20"/>
          <w:szCs w:val="26"/>
          <w:lang w:val="en-US"/>
        </w:rPr>
        <w:t>of Vinicio</w:t>
      </w:r>
      <w:r w:rsidR="00E22B60" w:rsidRPr="00CF6765">
        <w:rPr>
          <w:rFonts w:eastAsia="MS Mincho"/>
          <w:b/>
          <w:i/>
          <w:sz w:val="20"/>
          <w:szCs w:val="26"/>
          <w:lang w:val="en-US"/>
        </w:rPr>
        <w:t xml:space="preserve"> Antonio Poblete </w:t>
      </w:r>
      <w:proofErr w:type="spellStart"/>
      <w:r w:rsidR="00E22B60" w:rsidRPr="00CF6765">
        <w:rPr>
          <w:rFonts w:eastAsia="MS Mincho"/>
          <w:b/>
          <w:i/>
          <w:sz w:val="20"/>
          <w:szCs w:val="26"/>
          <w:lang w:val="en-US"/>
        </w:rPr>
        <w:t>Vilches</w:t>
      </w:r>
      <w:proofErr w:type="spellEnd"/>
      <w:r w:rsidR="00E22B60" w:rsidRPr="00CF6765">
        <w:rPr>
          <w:rFonts w:eastAsia="MS Mincho"/>
          <w:b/>
          <w:i/>
          <w:sz w:val="20"/>
          <w:szCs w:val="26"/>
          <w:lang w:val="en-US"/>
        </w:rPr>
        <w:t xml:space="preserve"> </w:t>
      </w:r>
      <w:r w:rsidRPr="00CF6765">
        <w:rPr>
          <w:rFonts w:eastAsia="MS Mincho"/>
          <w:b/>
          <w:i/>
          <w:sz w:val="20"/>
          <w:szCs w:val="26"/>
          <w:lang w:val="en-US"/>
        </w:rPr>
        <w:t xml:space="preserve">to the </w:t>
      </w:r>
      <w:proofErr w:type="spellStart"/>
      <w:r w:rsidRPr="00CF6765">
        <w:rPr>
          <w:rFonts w:eastAsia="MS Mincho"/>
          <w:b/>
          <w:i/>
          <w:sz w:val="20"/>
          <w:szCs w:val="26"/>
          <w:lang w:val="en-US"/>
        </w:rPr>
        <w:t>Sótero</w:t>
      </w:r>
      <w:proofErr w:type="spellEnd"/>
      <w:r w:rsidRPr="00CF6765">
        <w:rPr>
          <w:rFonts w:eastAsia="MS Mincho"/>
          <w:b/>
          <w:i/>
          <w:sz w:val="20"/>
          <w:szCs w:val="26"/>
          <w:lang w:val="en-US"/>
        </w:rPr>
        <w:t xml:space="preserve"> del Río Hospital</w:t>
      </w:r>
    </w:p>
    <w:p w14:paraId="445ECD66" w14:textId="77777777" w:rsidR="00E22B60" w:rsidRPr="00CF6765" w:rsidRDefault="00E22B60" w:rsidP="00450250">
      <w:pPr>
        <w:tabs>
          <w:tab w:val="left" w:pos="630"/>
          <w:tab w:val="left" w:pos="810"/>
          <w:tab w:val="left" w:pos="1530"/>
          <w:tab w:val="left" w:pos="1620"/>
        </w:tabs>
        <w:ind w:hanging="825"/>
        <w:contextualSpacing/>
        <w:rPr>
          <w:rFonts w:eastAsia="Calibri"/>
          <w:sz w:val="20"/>
          <w:szCs w:val="20"/>
          <w:lang w:val="en-US"/>
        </w:rPr>
      </w:pPr>
    </w:p>
    <w:p w14:paraId="3767FDA7" w14:textId="5C9F76BA" w:rsidR="00E22B60" w:rsidRPr="00CF6765" w:rsidRDefault="00B06735" w:rsidP="00450250">
      <w:pPr>
        <w:numPr>
          <w:ilvl w:val="0"/>
          <w:numId w:val="2"/>
        </w:numPr>
        <w:tabs>
          <w:tab w:val="left" w:pos="567"/>
          <w:tab w:val="left" w:pos="630"/>
          <w:tab w:val="left" w:pos="810"/>
          <w:tab w:val="left" w:pos="1530"/>
          <w:tab w:val="left" w:pos="1620"/>
        </w:tabs>
        <w:ind w:left="0" w:firstLine="0"/>
        <w:rPr>
          <w:rFonts w:eastAsia="Calibri"/>
          <w:b/>
          <w:i/>
          <w:sz w:val="20"/>
          <w:szCs w:val="20"/>
          <w:lang w:val="en-US"/>
        </w:rPr>
      </w:pPr>
      <w:r w:rsidRPr="00CF6765">
        <w:rPr>
          <w:rFonts w:eastAsia="Calibri"/>
          <w:sz w:val="20"/>
          <w:szCs w:val="20"/>
          <w:lang w:val="en-US"/>
        </w:rPr>
        <w:t>On</w:t>
      </w:r>
      <w:r w:rsidR="00E22B60" w:rsidRPr="00CF6765">
        <w:rPr>
          <w:rFonts w:eastAsia="Calibri"/>
          <w:sz w:val="20"/>
          <w:szCs w:val="20"/>
          <w:lang w:val="en-US"/>
        </w:rPr>
        <w:t xml:space="preserve"> </w:t>
      </w:r>
      <w:r w:rsidR="00671A8C" w:rsidRPr="00CF6765">
        <w:rPr>
          <w:rFonts w:eastAsia="Calibri"/>
          <w:sz w:val="20"/>
          <w:szCs w:val="20"/>
          <w:lang w:val="en-US"/>
        </w:rPr>
        <w:t>January 17,</w:t>
      </w:r>
      <w:r w:rsidR="00E22B60" w:rsidRPr="00CF6765">
        <w:rPr>
          <w:rFonts w:eastAsia="Calibri"/>
          <w:sz w:val="20"/>
          <w:szCs w:val="20"/>
          <w:lang w:val="en-US"/>
        </w:rPr>
        <w:t xml:space="preserve"> 2001</w:t>
      </w:r>
      <w:r w:rsidRPr="00CF6765">
        <w:rPr>
          <w:rFonts w:eastAsia="Calibri"/>
          <w:sz w:val="20"/>
          <w:szCs w:val="20"/>
          <w:lang w:val="en-US"/>
        </w:rPr>
        <w:t>,</w:t>
      </w:r>
      <w:r w:rsidR="00E22B60" w:rsidRPr="00CF6765">
        <w:rPr>
          <w:rFonts w:eastAsia="Calibri"/>
          <w:sz w:val="20"/>
          <w:szCs w:val="20"/>
          <w:lang w:val="en-US"/>
        </w:rPr>
        <w:t xml:space="preserve"> </w:t>
      </w:r>
      <w:r w:rsidR="00D2168F" w:rsidRPr="00CF6765">
        <w:rPr>
          <w:rFonts w:eastAsia="Calibri"/>
          <w:sz w:val="20"/>
          <w:szCs w:val="20"/>
          <w:lang w:val="en-US"/>
        </w:rPr>
        <w:t>Mr.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Pr="00CF6765">
        <w:rPr>
          <w:rFonts w:eastAsia="Calibri"/>
          <w:sz w:val="20"/>
          <w:szCs w:val="20"/>
          <w:lang w:val="en-US"/>
        </w:rPr>
        <w:t>was admitted</w:t>
      </w:r>
      <w:r w:rsidR="00E22B60" w:rsidRPr="00CF6765">
        <w:rPr>
          <w:rFonts w:eastAsia="Calibri"/>
          <w:sz w:val="20"/>
          <w:szCs w:val="20"/>
          <w:lang w:val="en-US"/>
        </w:rPr>
        <w:t xml:space="preserve"> </w:t>
      </w:r>
      <w:r w:rsidRPr="00CF6765">
        <w:rPr>
          <w:rFonts w:eastAsia="Calibri"/>
          <w:sz w:val="20"/>
          <w:szCs w:val="20"/>
          <w:lang w:val="en-US"/>
        </w:rPr>
        <w:t xml:space="preserve">to the </w:t>
      </w:r>
      <w:proofErr w:type="spellStart"/>
      <w:r w:rsidRPr="00CF6765">
        <w:rPr>
          <w:rFonts w:eastAsia="Calibri"/>
          <w:sz w:val="20"/>
          <w:szCs w:val="20"/>
          <w:lang w:val="en-US"/>
        </w:rPr>
        <w:t>Sótero</w:t>
      </w:r>
      <w:proofErr w:type="spellEnd"/>
      <w:r w:rsidRPr="00CF6765">
        <w:rPr>
          <w:rFonts w:eastAsia="Calibri"/>
          <w:sz w:val="20"/>
          <w:szCs w:val="20"/>
          <w:lang w:val="en-US"/>
        </w:rPr>
        <w:t xml:space="preserve"> del Río Hospital</w:t>
      </w:r>
      <w:r w:rsidR="00E22B60" w:rsidRPr="00CF6765">
        <w:rPr>
          <w:rFonts w:eastAsia="Calibri"/>
          <w:sz w:val="20"/>
          <w:szCs w:val="20"/>
          <w:lang w:val="en-US"/>
        </w:rPr>
        <w:t xml:space="preserve"> </w:t>
      </w:r>
      <w:r w:rsidRPr="00CF6765">
        <w:rPr>
          <w:rFonts w:eastAsia="Calibri"/>
          <w:sz w:val="20"/>
          <w:szCs w:val="20"/>
          <w:lang w:val="en-US"/>
        </w:rPr>
        <w:t>due to severe respiratory</w:t>
      </w:r>
      <w:r w:rsidR="002D729E" w:rsidRPr="00CF6765">
        <w:rPr>
          <w:rFonts w:eastAsia="Calibri"/>
          <w:sz w:val="20"/>
          <w:szCs w:val="20"/>
          <w:lang w:val="en-US"/>
        </w:rPr>
        <w:t xml:space="preserve"> failure.</w:t>
      </w:r>
      <w:r w:rsidR="00E22B60" w:rsidRPr="00CF6765">
        <w:rPr>
          <w:rFonts w:eastAsia="Calibri"/>
          <w:sz w:val="20"/>
          <w:szCs w:val="20"/>
          <w:vertAlign w:val="superscript"/>
          <w:lang w:val="en-US"/>
        </w:rPr>
        <w:footnoteReference w:id="31"/>
      </w:r>
      <w:r w:rsidR="00E22B60" w:rsidRPr="00CF6765">
        <w:rPr>
          <w:rFonts w:eastAsia="Calibri"/>
          <w:sz w:val="20"/>
          <w:szCs w:val="20"/>
          <w:lang w:val="en-US"/>
        </w:rPr>
        <w:t xml:space="preserve"> </w:t>
      </w:r>
      <w:r w:rsidR="005C42AB" w:rsidRPr="00CF6765">
        <w:rPr>
          <w:rFonts w:eastAsia="Calibri"/>
          <w:sz w:val="20"/>
          <w:szCs w:val="20"/>
          <w:lang w:val="en-US"/>
        </w:rPr>
        <w:t>According to the report that refers to the m</w:t>
      </w:r>
      <w:r w:rsidR="00B969DD" w:rsidRPr="00CF6765">
        <w:rPr>
          <w:rFonts w:eastAsia="Calibri"/>
          <w:sz w:val="20"/>
          <w:szCs w:val="20"/>
          <w:lang w:val="en-US"/>
        </w:rPr>
        <w:t>edical record</w:t>
      </w:r>
      <w:r w:rsidR="005C42AB" w:rsidRPr="00CF6765">
        <w:rPr>
          <w:rFonts w:eastAsia="Calibri"/>
          <w:sz w:val="20"/>
          <w:szCs w:val="20"/>
          <w:lang w:val="en-US"/>
        </w:rPr>
        <w:t>:</w:t>
      </w:r>
      <w:r w:rsidR="00E22B60" w:rsidRPr="00CF6765">
        <w:rPr>
          <w:rFonts w:eastAsia="Calibri"/>
          <w:sz w:val="20"/>
          <w:szCs w:val="20"/>
          <w:vertAlign w:val="superscript"/>
          <w:lang w:val="en-US"/>
        </w:rPr>
        <w:footnoteReference w:id="32"/>
      </w:r>
      <w:r w:rsidR="00E22B60" w:rsidRPr="00CF6765">
        <w:rPr>
          <w:rFonts w:eastAsia="Calibri"/>
          <w:sz w:val="20"/>
          <w:szCs w:val="20"/>
          <w:lang w:val="en-US"/>
        </w:rPr>
        <w:t xml:space="preserve"> “</w:t>
      </w:r>
      <w:r w:rsidR="005C42AB" w:rsidRPr="00CF6765">
        <w:rPr>
          <w:rFonts w:eastAsia="Calibri"/>
          <w:sz w:val="20"/>
          <w:szCs w:val="20"/>
          <w:lang w:val="en-US"/>
        </w:rPr>
        <w:t xml:space="preserve">the patient was admitted in </w:t>
      </w:r>
      <w:r w:rsidR="00E22B60" w:rsidRPr="00CF6765">
        <w:rPr>
          <w:rFonts w:eastAsia="Calibri"/>
          <w:sz w:val="20"/>
          <w:szCs w:val="20"/>
          <w:lang w:val="en-US"/>
        </w:rPr>
        <w:t xml:space="preserve">[…] </w:t>
      </w:r>
      <w:r w:rsidR="005C42AB" w:rsidRPr="00CF6765">
        <w:rPr>
          <w:rFonts w:eastAsia="Calibri"/>
          <w:sz w:val="20"/>
          <w:szCs w:val="20"/>
          <w:lang w:val="en-US"/>
        </w:rPr>
        <w:t xml:space="preserve">very bad general condition, </w:t>
      </w:r>
      <w:proofErr w:type="spellStart"/>
      <w:r w:rsidR="00E22B60" w:rsidRPr="00CF6765">
        <w:rPr>
          <w:rFonts w:eastAsia="Calibri"/>
          <w:sz w:val="20"/>
          <w:szCs w:val="20"/>
          <w:lang w:val="en-US"/>
        </w:rPr>
        <w:t>polipn</w:t>
      </w:r>
      <w:r w:rsidR="005C42AB" w:rsidRPr="00CF6765">
        <w:rPr>
          <w:rFonts w:eastAsia="Calibri"/>
          <w:sz w:val="20"/>
          <w:szCs w:val="20"/>
          <w:lang w:val="en-US"/>
        </w:rPr>
        <w:t>eic</w:t>
      </w:r>
      <w:proofErr w:type="spellEnd"/>
      <w:r w:rsidR="005C42AB" w:rsidRPr="00CF6765">
        <w:rPr>
          <w:rFonts w:eastAsia="Calibri"/>
          <w:sz w:val="20"/>
          <w:szCs w:val="20"/>
          <w:lang w:val="en-US"/>
        </w:rPr>
        <w:t>, semi-conscious</w:t>
      </w:r>
      <w:r w:rsidR="00E22B60" w:rsidRPr="00CF6765">
        <w:rPr>
          <w:rFonts w:eastAsia="Calibri"/>
          <w:sz w:val="20"/>
          <w:szCs w:val="20"/>
          <w:lang w:val="en-US"/>
        </w:rPr>
        <w:t xml:space="preserve">. Diabetes </w:t>
      </w:r>
      <w:r w:rsidR="005C42AB" w:rsidRPr="00CF6765">
        <w:rPr>
          <w:rFonts w:eastAsia="Calibri"/>
          <w:sz w:val="20"/>
          <w:szCs w:val="20"/>
          <w:lang w:val="en-US"/>
        </w:rPr>
        <w:t>in treatment,</w:t>
      </w:r>
      <w:r w:rsidR="00BB16C3" w:rsidRPr="00CF6765">
        <w:rPr>
          <w:rFonts w:eastAsia="Calibri"/>
          <w:sz w:val="20"/>
          <w:szCs w:val="20"/>
          <w:lang w:val="en-US"/>
        </w:rPr>
        <w:t xml:space="preserve"> unspecified</w:t>
      </w:r>
      <w:r w:rsidR="005C42AB" w:rsidRPr="00CF6765">
        <w:rPr>
          <w:rFonts w:eastAsia="Calibri"/>
          <w:sz w:val="20"/>
          <w:szCs w:val="20"/>
          <w:lang w:val="en-US"/>
        </w:rPr>
        <w:t xml:space="preserve"> </w:t>
      </w:r>
      <w:r w:rsidR="00BB16C3" w:rsidRPr="00CF6765">
        <w:rPr>
          <w:sz w:val="20"/>
          <w:szCs w:val="20"/>
          <w:lang w:val="en-US"/>
        </w:rPr>
        <w:t>arrhythmia</w:t>
      </w:r>
      <w:r w:rsidR="00BB16C3" w:rsidRPr="00CF6765">
        <w:rPr>
          <w:rFonts w:eastAsia="Calibri"/>
          <w:sz w:val="20"/>
          <w:szCs w:val="20"/>
          <w:lang w:val="en-US"/>
        </w:rPr>
        <w:t xml:space="preserve"> treated with</w:t>
      </w:r>
      <w:r w:rsidR="00E22B60" w:rsidRPr="00CF6765">
        <w:rPr>
          <w:rFonts w:eastAsia="Calibri"/>
          <w:sz w:val="20"/>
          <w:szCs w:val="20"/>
          <w:lang w:val="en-US"/>
        </w:rPr>
        <w:t xml:space="preserve"> </w:t>
      </w:r>
      <w:r w:rsidR="00BB16C3" w:rsidRPr="00CF6765">
        <w:rPr>
          <w:rFonts w:eastAsia="Calibri"/>
          <w:sz w:val="20"/>
          <w:szCs w:val="20"/>
          <w:lang w:val="en-US"/>
        </w:rPr>
        <w:t>a</w:t>
      </w:r>
      <w:r w:rsidR="00E22B60" w:rsidRPr="00CF6765">
        <w:rPr>
          <w:rFonts w:eastAsia="Calibri"/>
          <w:sz w:val="20"/>
          <w:szCs w:val="20"/>
          <w:lang w:val="en-US"/>
        </w:rPr>
        <w:t>miodaron</w:t>
      </w:r>
      <w:r w:rsidR="00BB16C3" w:rsidRPr="00CF6765">
        <w:rPr>
          <w:rFonts w:eastAsia="Calibri"/>
          <w:sz w:val="20"/>
          <w:szCs w:val="20"/>
          <w:lang w:val="en-US"/>
        </w:rPr>
        <w:t>e</w:t>
      </w:r>
      <w:r w:rsidR="00E22B60" w:rsidRPr="00CF6765">
        <w:rPr>
          <w:rFonts w:eastAsia="Calibri"/>
          <w:sz w:val="20"/>
          <w:szCs w:val="20"/>
          <w:lang w:val="en-US"/>
        </w:rPr>
        <w:t xml:space="preserve">. </w:t>
      </w:r>
      <w:r w:rsidR="00BB16C3" w:rsidRPr="00CF6765">
        <w:rPr>
          <w:rFonts w:eastAsia="Calibri"/>
          <w:sz w:val="20"/>
          <w:szCs w:val="20"/>
          <w:lang w:val="en-US"/>
        </w:rPr>
        <w:t>I</w:t>
      </w:r>
      <w:r w:rsidR="00E22B60" w:rsidRPr="00CF6765">
        <w:rPr>
          <w:rFonts w:eastAsia="Calibri"/>
          <w:sz w:val="20"/>
          <w:szCs w:val="20"/>
          <w:lang w:val="en-US"/>
        </w:rPr>
        <w:t>n [t</w:t>
      </w:r>
      <w:r w:rsidR="00BB16C3" w:rsidRPr="00CF6765">
        <w:rPr>
          <w:rFonts w:eastAsia="Calibri"/>
          <w:sz w:val="20"/>
          <w:szCs w:val="20"/>
          <w:lang w:val="en-US"/>
        </w:rPr>
        <w:t>hese] c</w:t>
      </w:r>
      <w:r w:rsidR="00E22B60" w:rsidRPr="00CF6765">
        <w:rPr>
          <w:rFonts w:eastAsia="Calibri"/>
          <w:sz w:val="20"/>
          <w:szCs w:val="20"/>
          <w:lang w:val="en-US"/>
        </w:rPr>
        <w:t>ondi</w:t>
      </w:r>
      <w:r w:rsidR="00BB16C3" w:rsidRPr="00CF6765">
        <w:rPr>
          <w:rFonts w:eastAsia="Calibri"/>
          <w:sz w:val="20"/>
          <w:szCs w:val="20"/>
          <w:lang w:val="en-US"/>
        </w:rPr>
        <w:t>tions</w:t>
      </w:r>
      <w:r w:rsidR="00E22B60" w:rsidRPr="00CF6765">
        <w:rPr>
          <w:rFonts w:eastAsia="Calibri"/>
          <w:sz w:val="20"/>
          <w:szCs w:val="20"/>
          <w:lang w:val="en-US"/>
        </w:rPr>
        <w:t xml:space="preserve"> [</w:t>
      </w:r>
      <w:r w:rsidR="00BB16C3" w:rsidRPr="00CF6765">
        <w:rPr>
          <w:rFonts w:eastAsia="Calibri"/>
          <w:sz w:val="20"/>
          <w:szCs w:val="20"/>
          <w:lang w:val="en-US"/>
        </w:rPr>
        <w:t>he was</w:t>
      </w:r>
      <w:r w:rsidR="00E22B60" w:rsidRPr="00CF6765">
        <w:rPr>
          <w:rFonts w:eastAsia="Calibri"/>
          <w:sz w:val="20"/>
          <w:szCs w:val="20"/>
          <w:lang w:val="en-US"/>
        </w:rPr>
        <w:t>] tra</w:t>
      </w:r>
      <w:r w:rsidR="00BB16C3" w:rsidRPr="00CF6765">
        <w:rPr>
          <w:rFonts w:eastAsia="Calibri"/>
          <w:sz w:val="20"/>
          <w:szCs w:val="20"/>
          <w:lang w:val="en-US"/>
        </w:rPr>
        <w:t>n</w:t>
      </w:r>
      <w:r w:rsidR="00E22B60" w:rsidRPr="00CF6765">
        <w:rPr>
          <w:rFonts w:eastAsia="Calibri"/>
          <w:sz w:val="20"/>
          <w:szCs w:val="20"/>
          <w:lang w:val="en-US"/>
        </w:rPr>
        <w:t>s</w:t>
      </w:r>
      <w:r w:rsidR="00BB16C3" w:rsidRPr="00CF6765">
        <w:rPr>
          <w:rFonts w:eastAsia="Calibri"/>
          <w:sz w:val="20"/>
          <w:szCs w:val="20"/>
          <w:lang w:val="en-US"/>
        </w:rPr>
        <w:t>ferred to the [Intensive Care Unit</w:t>
      </w:r>
      <w:r w:rsidR="00E22B60" w:rsidRPr="00CF6765">
        <w:rPr>
          <w:rFonts w:eastAsia="Calibri"/>
          <w:sz w:val="20"/>
          <w:szCs w:val="20"/>
          <w:lang w:val="en-US"/>
        </w:rPr>
        <w:t xml:space="preserve"> (</w:t>
      </w:r>
      <w:r w:rsidR="005C731C" w:rsidRPr="00CF6765">
        <w:rPr>
          <w:rFonts w:eastAsia="Calibri"/>
          <w:sz w:val="20"/>
          <w:szCs w:val="20"/>
          <w:lang w:val="en-US"/>
        </w:rPr>
        <w:t>hereinafter</w:t>
      </w:r>
      <w:r w:rsidR="00E22B60" w:rsidRPr="00CF6765">
        <w:rPr>
          <w:rFonts w:eastAsia="Calibri"/>
          <w:sz w:val="20"/>
          <w:szCs w:val="20"/>
          <w:lang w:val="en-US"/>
        </w:rPr>
        <w:t xml:space="preserve"> </w:t>
      </w:r>
      <w:r w:rsidR="00BB16C3" w:rsidRPr="00CF6765">
        <w:rPr>
          <w:rFonts w:eastAsia="Calibri"/>
          <w:sz w:val="20"/>
          <w:szCs w:val="20"/>
          <w:lang w:val="en-US"/>
        </w:rPr>
        <w:t>ICU</w:t>
      </w:r>
      <w:r w:rsidR="00E22B60" w:rsidRPr="00CF6765">
        <w:rPr>
          <w:rFonts w:eastAsia="Calibri"/>
          <w:sz w:val="20"/>
          <w:szCs w:val="20"/>
          <w:lang w:val="en-US"/>
        </w:rPr>
        <w:t>)],</w:t>
      </w:r>
      <w:r w:rsidR="00BB16C3" w:rsidRPr="00CF6765">
        <w:rPr>
          <w:rFonts w:eastAsia="Calibri"/>
          <w:sz w:val="20"/>
          <w:szCs w:val="20"/>
          <w:lang w:val="en-US"/>
        </w:rPr>
        <w:t xml:space="preserve"> where he was stabilized […]; consequently, on the fourth day [he was] transferred to a medical ward.</w:t>
      </w:r>
      <w:r w:rsidR="00E22B60" w:rsidRPr="00CF6765">
        <w:rPr>
          <w:rFonts w:eastAsia="Calibri"/>
          <w:sz w:val="20"/>
          <w:szCs w:val="20"/>
          <w:lang w:val="en-US"/>
        </w:rPr>
        <w:t>”</w:t>
      </w:r>
      <w:r w:rsidR="00E22B60" w:rsidRPr="00CF6765">
        <w:rPr>
          <w:rFonts w:eastAsia="Calibri"/>
          <w:sz w:val="20"/>
          <w:szCs w:val="20"/>
          <w:vertAlign w:val="superscript"/>
          <w:lang w:val="en-US"/>
        </w:rPr>
        <w:footnoteReference w:id="33"/>
      </w:r>
      <w:r w:rsidR="00E22B60" w:rsidRPr="00CF6765">
        <w:rPr>
          <w:rFonts w:eastAsia="Calibri"/>
          <w:sz w:val="20"/>
          <w:szCs w:val="20"/>
          <w:lang w:val="en-US"/>
        </w:rPr>
        <w:t xml:space="preserve"> </w:t>
      </w:r>
      <w:r w:rsidR="00BB16C3" w:rsidRPr="00CF6765">
        <w:rPr>
          <w:rFonts w:eastAsia="Calibri"/>
          <w:sz w:val="20"/>
          <w:szCs w:val="20"/>
          <w:lang w:val="en-US"/>
        </w:rPr>
        <w:t>He was hospitalized four days in the ICU</w:t>
      </w:r>
      <w:r w:rsidR="00E22B60" w:rsidRPr="00CF6765">
        <w:rPr>
          <w:rFonts w:eastAsia="Calibri"/>
          <w:sz w:val="20"/>
          <w:szCs w:val="20"/>
          <w:lang w:val="en-US"/>
        </w:rPr>
        <w:t xml:space="preserve">. </w:t>
      </w:r>
      <w:r w:rsidR="00BB16C3" w:rsidRPr="00CF6765">
        <w:rPr>
          <w:rFonts w:eastAsia="Calibri"/>
          <w:sz w:val="20"/>
          <w:szCs w:val="20"/>
          <w:lang w:val="en-US"/>
        </w:rPr>
        <w:t xml:space="preserve">On January 22, </w:t>
      </w:r>
      <w:r w:rsidR="00E22B60" w:rsidRPr="00CF6765">
        <w:rPr>
          <w:rFonts w:eastAsia="Calibri"/>
          <w:sz w:val="20"/>
          <w:szCs w:val="20"/>
          <w:lang w:val="en-US"/>
        </w:rPr>
        <w:t>2001</w:t>
      </w:r>
      <w:r w:rsidR="00BB16C3" w:rsidRPr="00CF6765">
        <w:rPr>
          <w:rFonts w:eastAsia="Calibri"/>
          <w:sz w:val="20"/>
          <w:szCs w:val="20"/>
          <w:lang w:val="en-US"/>
        </w:rPr>
        <w:t>, he was moved to</w:t>
      </w:r>
      <w:r w:rsidR="00E22B60" w:rsidRPr="00CF6765">
        <w:rPr>
          <w:rFonts w:eastAsia="Calibri"/>
          <w:sz w:val="20"/>
          <w:szCs w:val="20"/>
          <w:lang w:val="en-US"/>
        </w:rPr>
        <w:t xml:space="preserve"> </w:t>
      </w:r>
      <w:r w:rsidR="002D729E" w:rsidRPr="00CF6765">
        <w:rPr>
          <w:rFonts w:eastAsia="Calibri"/>
          <w:sz w:val="20"/>
          <w:szCs w:val="20"/>
          <w:lang w:val="en-US"/>
        </w:rPr>
        <w:t xml:space="preserve">the </w:t>
      </w:r>
      <w:r w:rsidR="00BB16C3" w:rsidRPr="00CF6765">
        <w:rPr>
          <w:rFonts w:eastAsia="Calibri"/>
          <w:sz w:val="20"/>
          <w:szCs w:val="20"/>
          <w:lang w:val="en-US"/>
        </w:rPr>
        <w:t xml:space="preserve">Surgical </w:t>
      </w:r>
      <w:r w:rsidR="002D729E" w:rsidRPr="00CF6765">
        <w:rPr>
          <w:rFonts w:eastAsia="Calibri"/>
          <w:sz w:val="20"/>
          <w:szCs w:val="20"/>
          <w:lang w:val="en-US"/>
        </w:rPr>
        <w:t>Intensive Care Unit</w:t>
      </w:r>
      <w:r w:rsidR="00E22B60" w:rsidRPr="00CF6765">
        <w:rPr>
          <w:rFonts w:eastAsia="Calibri"/>
          <w:sz w:val="20"/>
          <w:szCs w:val="20"/>
          <w:lang w:val="en-US"/>
        </w:rPr>
        <w:t xml:space="preserve"> </w:t>
      </w:r>
      <w:r w:rsidR="00BB16C3" w:rsidRPr="00CF6765">
        <w:rPr>
          <w:rFonts w:eastAsia="Calibri"/>
          <w:sz w:val="20"/>
          <w:szCs w:val="20"/>
          <w:lang w:val="en-US"/>
        </w:rPr>
        <w:t>where he was hooked up to an IV drip</w:t>
      </w:r>
      <w:r w:rsidR="00EC50FC" w:rsidRPr="00CF6765">
        <w:rPr>
          <w:rFonts w:eastAsia="Calibri"/>
          <w:sz w:val="20"/>
          <w:szCs w:val="20"/>
          <w:lang w:val="en-US"/>
        </w:rPr>
        <w:t xml:space="preserve"> and </w:t>
      </w:r>
      <w:r w:rsidR="00BB16C3" w:rsidRPr="00CF6765">
        <w:rPr>
          <w:rFonts w:eastAsia="Calibri"/>
          <w:sz w:val="20"/>
          <w:szCs w:val="20"/>
          <w:lang w:val="en-US"/>
        </w:rPr>
        <w:t>sedated.</w:t>
      </w:r>
      <w:r w:rsidR="00E22B60" w:rsidRPr="00CF6765">
        <w:rPr>
          <w:rFonts w:eastAsia="Calibri"/>
          <w:sz w:val="20"/>
          <w:szCs w:val="20"/>
          <w:vertAlign w:val="superscript"/>
          <w:lang w:val="en-US"/>
        </w:rPr>
        <w:footnoteReference w:id="34"/>
      </w:r>
      <w:r w:rsidR="00E22B60" w:rsidRPr="00CF6765">
        <w:rPr>
          <w:rFonts w:eastAsia="Calibri"/>
          <w:sz w:val="20"/>
          <w:szCs w:val="20"/>
          <w:lang w:val="en-US"/>
        </w:rPr>
        <w:t xml:space="preserve"> </w:t>
      </w:r>
    </w:p>
    <w:p w14:paraId="2B7AB25B" w14:textId="0486D533" w:rsidR="00E22B60" w:rsidRPr="00CF6765" w:rsidRDefault="00BB16C3" w:rsidP="00450250">
      <w:pPr>
        <w:tabs>
          <w:tab w:val="center" w:pos="5136"/>
        </w:tabs>
        <w:contextualSpacing/>
        <w:rPr>
          <w:rFonts w:eastAsia="Calibri"/>
          <w:b/>
          <w:sz w:val="20"/>
          <w:szCs w:val="20"/>
          <w:lang w:val="en-US"/>
        </w:rPr>
      </w:pPr>
      <w:r w:rsidRPr="00CF6765">
        <w:rPr>
          <w:rFonts w:eastAsia="Calibri"/>
          <w:b/>
          <w:sz w:val="20"/>
          <w:szCs w:val="20"/>
          <w:lang w:val="en-US"/>
        </w:rPr>
        <w:t xml:space="preserve"> </w:t>
      </w:r>
      <w:r w:rsidRPr="00CF6765">
        <w:rPr>
          <w:rFonts w:eastAsia="Calibri"/>
          <w:b/>
          <w:sz w:val="20"/>
          <w:szCs w:val="20"/>
          <w:lang w:val="en-US"/>
        </w:rPr>
        <w:tab/>
      </w:r>
    </w:p>
    <w:p w14:paraId="1D1919DD" w14:textId="47C978A6" w:rsidR="00E22B60" w:rsidRPr="00CF6765" w:rsidRDefault="00BB16C3" w:rsidP="00450250">
      <w:pPr>
        <w:numPr>
          <w:ilvl w:val="0"/>
          <w:numId w:val="2"/>
        </w:numPr>
        <w:tabs>
          <w:tab w:val="left" w:pos="567"/>
          <w:tab w:val="left" w:pos="630"/>
          <w:tab w:val="left" w:pos="810"/>
          <w:tab w:val="left" w:pos="1530"/>
          <w:tab w:val="num" w:pos="1569"/>
          <w:tab w:val="left" w:pos="1620"/>
          <w:tab w:val="num" w:pos="12305"/>
        </w:tabs>
        <w:ind w:left="0" w:firstLine="0"/>
        <w:rPr>
          <w:rFonts w:eastAsia="Calibri"/>
          <w:b/>
          <w:i/>
          <w:sz w:val="20"/>
          <w:szCs w:val="20"/>
          <w:lang w:val="en-US"/>
        </w:rPr>
      </w:pPr>
      <w:r w:rsidRPr="00CF6765">
        <w:rPr>
          <w:rFonts w:eastAsia="Calibri"/>
          <w:sz w:val="20"/>
          <w:szCs w:val="20"/>
          <w:lang w:val="en-US"/>
        </w:rPr>
        <w:t>When family members went to visit him</w:t>
      </w:r>
      <w:r w:rsidR="00E22B60" w:rsidRPr="00CF6765">
        <w:rPr>
          <w:rFonts w:eastAsia="Calibri"/>
          <w:sz w:val="20"/>
          <w:szCs w:val="20"/>
          <w:lang w:val="en-US"/>
        </w:rPr>
        <w:t xml:space="preserve"> </w:t>
      </w:r>
      <w:r w:rsidRPr="00CF6765">
        <w:rPr>
          <w:rFonts w:eastAsia="Calibri"/>
          <w:sz w:val="20"/>
          <w:szCs w:val="20"/>
          <w:lang w:val="en-US"/>
        </w:rPr>
        <w:t>on January 23,</w:t>
      </w:r>
      <w:r w:rsidR="00E22B60" w:rsidRPr="00CF6765">
        <w:rPr>
          <w:rFonts w:eastAsia="Calibri"/>
          <w:sz w:val="20"/>
          <w:szCs w:val="20"/>
          <w:lang w:val="en-US"/>
        </w:rPr>
        <w:t xml:space="preserve"> 2001, </w:t>
      </w:r>
      <w:r w:rsidRPr="00CF6765">
        <w:rPr>
          <w:rFonts w:eastAsia="Calibri"/>
          <w:sz w:val="20"/>
          <w:szCs w:val="20"/>
          <w:lang w:val="en-US"/>
        </w:rPr>
        <w:t>Dr.</w:t>
      </w:r>
      <w:r w:rsidR="00E22B60" w:rsidRPr="00CF6765">
        <w:rPr>
          <w:rFonts w:eastAsia="Calibri"/>
          <w:sz w:val="20"/>
          <w:szCs w:val="20"/>
          <w:lang w:val="en-US"/>
        </w:rPr>
        <w:t xml:space="preserve"> María </w:t>
      </w:r>
      <w:proofErr w:type="spellStart"/>
      <w:r w:rsidR="00E22B60" w:rsidRPr="00CF6765">
        <w:rPr>
          <w:rFonts w:eastAsia="Calibri"/>
          <w:sz w:val="20"/>
          <w:szCs w:val="20"/>
          <w:lang w:val="en-US"/>
        </w:rPr>
        <w:t>Chacón</w:t>
      </w:r>
      <w:proofErr w:type="spellEnd"/>
      <w:r w:rsidR="00E22B60" w:rsidRPr="00CF6765">
        <w:rPr>
          <w:rFonts w:eastAsia="Calibri"/>
          <w:sz w:val="20"/>
          <w:szCs w:val="20"/>
          <w:lang w:val="en-US"/>
        </w:rPr>
        <w:t xml:space="preserve"> Fernández </w:t>
      </w:r>
      <w:r w:rsidRPr="00CF6765">
        <w:rPr>
          <w:rFonts w:eastAsia="Calibri"/>
          <w:sz w:val="20"/>
          <w:szCs w:val="20"/>
          <w:lang w:val="en-US"/>
        </w:rPr>
        <w:t xml:space="preserve">did not allow them to see him and, they indicated that they heard </w:t>
      </w:r>
      <w:r w:rsidR="00D04694" w:rsidRPr="00CF6765">
        <w:rPr>
          <w:rFonts w:eastAsia="Calibri"/>
          <w:sz w:val="20"/>
          <w:szCs w:val="20"/>
          <w:lang w:val="en-US"/>
        </w:rPr>
        <w:t>Mr.</w:t>
      </w:r>
      <w:r w:rsidR="00D2168F" w:rsidRPr="00CF6765">
        <w:rPr>
          <w:rFonts w:eastAsia="Calibri"/>
          <w:sz w:val="20"/>
          <w:szCs w:val="20"/>
          <w:lang w:val="en-US"/>
        </w:rPr>
        <w:t xml:space="preserve">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00220512" w:rsidRPr="00CF6765">
        <w:rPr>
          <w:rFonts w:eastAsia="Calibri"/>
          <w:sz w:val="20"/>
          <w:szCs w:val="20"/>
          <w:lang w:val="en-US"/>
        </w:rPr>
        <w:t>moaning</w:t>
      </w:r>
      <w:r w:rsidRPr="00CF6765">
        <w:rPr>
          <w:rFonts w:eastAsia="Calibri"/>
          <w:sz w:val="20"/>
          <w:szCs w:val="20"/>
          <w:lang w:val="en-US"/>
        </w:rPr>
        <w:t xml:space="preserve"> </w:t>
      </w:r>
      <w:r w:rsidR="00220512" w:rsidRPr="00CF6765">
        <w:rPr>
          <w:rFonts w:eastAsia="Calibri"/>
          <w:sz w:val="20"/>
          <w:szCs w:val="20"/>
          <w:lang w:val="en-US"/>
        </w:rPr>
        <w:t>and asking them</w:t>
      </w:r>
      <w:r w:rsidRPr="00CF6765">
        <w:rPr>
          <w:rFonts w:eastAsia="Calibri"/>
          <w:sz w:val="20"/>
          <w:szCs w:val="20"/>
          <w:lang w:val="en-US"/>
        </w:rPr>
        <w:t xml:space="preserve"> “</w:t>
      </w:r>
      <w:r w:rsidR="00220512" w:rsidRPr="00CF6765">
        <w:rPr>
          <w:rFonts w:eastAsia="Calibri"/>
          <w:sz w:val="20"/>
          <w:szCs w:val="20"/>
          <w:lang w:val="en-US"/>
        </w:rPr>
        <w:t>to get him</w:t>
      </w:r>
      <w:r w:rsidRPr="00CF6765">
        <w:rPr>
          <w:rFonts w:eastAsia="Calibri"/>
          <w:sz w:val="20"/>
          <w:szCs w:val="20"/>
          <w:lang w:val="en-US"/>
        </w:rPr>
        <w:t xml:space="preserve"> out of there because they were killing him.</w:t>
      </w:r>
      <w:r w:rsidR="00E22B60" w:rsidRPr="00CF6765">
        <w:rPr>
          <w:rFonts w:eastAsia="Calibri"/>
          <w:sz w:val="20"/>
          <w:szCs w:val="20"/>
          <w:lang w:val="en-US"/>
        </w:rPr>
        <w:t>”</w:t>
      </w:r>
      <w:r w:rsidR="00E22B60" w:rsidRPr="00CF6765">
        <w:rPr>
          <w:rFonts w:eastAsia="Calibri"/>
          <w:sz w:val="20"/>
          <w:szCs w:val="20"/>
          <w:vertAlign w:val="superscript"/>
          <w:lang w:val="en-US"/>
        </w:rPr>
        <w:footnoteReference w:id="35"/>
      </w:r>
      <w:r w:rsidR="00E22B60" w:rsidRPr="00CF6765">
        <w:rPr>
          <w:rFonts w:eastAsia="Calibri"/>
          <w:sz w:val="20"/>
          <w:szCs w:val="20"/>
          <w:lang w:val="en-US"/>
        </w:rPr>
        <w:t xml:space="preserve"> </w:t>
      </w:r>
      <w:r w:rsidR="00220512" w:rsidRPr="00CF6765">
        <w:rPr>
          <w:rFonts w:eastAsia="Calibri"/>
          <w:sz w:val="20"/>
          <w:szCs w:val="20"/>
          <w:lang w:val="en-US"/>
        </w:rPr>
        <w:t xml:space="preserve">They also stated that Dr. </w:t>
      </w:r>
      <w:proofErr w:type="spellStart"/>
      <w:r w:rsidR="00E22B60" w:rsidRPr="00CF6765">
        <w:rPr>
          <w:rFonts w:eastAsia="Calibri"/>
          <w:sz w:val="20"/>
          <w:szCs w:val="20"/>
          <w:lang w:val="en-US"/>
        </w:rPr>
        <w:t>Chacón</w:t>
      </w:r>
      <w:proofErr w:type="spellEnd"/>
      <w:r w:rsidR="00E22B60" w:rsidRPr="00CF6765">
        <w:rPr>
          <w:rFonts w:eastAsia="Calibri"/>
          <w:sz w:val="20"/>
          <w:szCs w:val="20"/>
          <w:lang w:val="en-US"/>
        </w:rPr>
        <w:t xml:space="preserve"> </w:t>
      </w:r>
      <w:r w:rsidR="00220512" w:rsidRPr="00CF6765">
        <w:rPr>
          <w:rFonts w:eastAsia="Calibri"/>
          <w:sz w:val="20"/>
          <w:szCs w:val="20"/>
          <w:lang w:val="en-US"/>
        </w:rPr>
        <w:t>told them that</w:t>
      </w:r>
      <w:r w:rsidR="00E22B60" w:rsidRPr="00CF6765">
        <w:rPr>
          <w:rFonts w:eastAsia="Calibri"/>
          <w:sz w:val="20"/>
          <w:szCs w:val="20"/>
          <w:lang w:val="en-US"/>
        </w:rPr>
        <w:t xml:space="preserve"> </w:t>
      </w:r>
      <w:r w:rsidR="00D2168F" w:rsidRPr="00CF6765">
        <w:rPr>
          <w:rFonts w:eastAsia="Calibri"/>
          <w:sz w:val="20"/>
          <w:szCs w:val="20"/>
          <w:lang w:val="en-US"/>
        </w:rPr>
        <w:t>Mr.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00220512" w:rsidRPr="00CF6765">
        <w:rPr>
          <w:rFonts w:eastAsia="Calibri"/>
          <w:sz w:val="20"/>
          <w:szCs w:val="20"/>
          <w:lang w:val="en-US"/>
        </w:rPr>
        <w:t>was in good health and that they were going to take him to the “</w:t>
      </w:r>
      <w:r w:rsidR="000B3AE3" w:rsidRPr="00CF6765">
        <w:rPr>
          <w:rFonts w:eastAsia="Calibri"/>
          <w:sz w:val="20"/>
          <w:szCs w:val="20"/>
          <w:lang w:val="en-US"/>
        </w:rPr>
        <w:t>theater</w:t>
      </w:r>
      <w:r w:rsidR="00220512" w:rsidRPr="00CF6765">
        <w:rPr>
          <w:rFonts w:eastAsia="Calibri"/>
          <w:sz w:val="20"/>
          <w:szCs w:val="20"/>
          <w:lang w:val="en-US"/>
        </w:rPr>
        <w:t xml:space="preserve">” to make a small </w:t>
      </w:r>
      <w:r w:rsidR="000B641A" w:rsidRPr="00CF6765">
        <w:rPr>
          <w:rFonts w:eastAsia="Calibri"/>
          <w:sz w:val="20"/>
          <w:szCs w:val="20"/>
          <w:lang w:val="en-US"/>
        </w:rPr>
        <w:t>incision</w:t>
      </w:r>
      <w:r w:rsidR="00220512" w:rsidRPr="00CF6765">
        <w:rPr>
          <w:rFonts w:eastAsia="Calibri"/>
          <w:sz w:val="20"/>
          <w:szCs w:val="20"/>
          <w:lang w:val="en-US"/>
        </w:rPr>
        <w:t xml:space="preserve"> to see if he had liquid in his heart, but he would not be operated on; in response, the family warned that their father suffered from diabetes and could not be </w:t>
      </w:r>
      <w:r w:rsidR="004D3CD9" w:rsidRPr="00CF6765">
        <w:rPr>
          <w:rFonts w:eastAsia="Calibri"/>
          <w:sz w:val="20"/>
          <w:szCs w:val="20"/>
          <w:lang w:val="en-US"/>
        </w:rPr>
        <w:t>subjected to a surgical procedure</w:t>
      </w:r>
      <w:r w:rsidR="00220512" w:rsidRPr="00CF6765">
        <w:rPr>
          <w:rFonts w:eastAsia="Calibri"/>
          <w:sz w:val="20"/>
          <w:szCs w:val="20"/>
          <w:lang w:val="en-US"/>
        </w:rPr>
        <w:t>.</w:t>
      </w:r>
      <w:r w:rsidR="00E4673A" w:rsidRPr="00CF6765">
        <w:rPr>
          <w:rStyle w:val="Refdenotaalpie"/>
          <w:rFonts w:eastAsia="Calibri"/>
          <w:sz w:val="20"/>
          <w:szCs w:val="20"/>
          <w:lang w:val="en-US"/>
        </w:rPr>
        <w:footnoteReference w:id="36"/>
      </w:r>
      <w:r w:rsidR="00E22B60" w:rsidRPr="00CF6765">
        <w:rPr>
          <w:rFonts w:eastAsia="Calibri"/>
          <w:sz w:val="20"/>
          <w:szCs w:val="20"/>
          <w:lang w:val="en-US"/>
        </w:rPr>
        <w:t xml:space="preserve"> </w:t>
      </w:r>
    </w:p>
    <w:p w14:paraId="6701EDBA" w14:textId="77777777" w:rsidR="00E22B60" w:rsidRPr="00CF6765" w:rsidRDefault="00E22B60" w:rsidP="00450250">
      <w:pPr>
        <w:tabs>
          <w:tab w:val="left" w:pos="630"/>
          <w:tab w:val="left" w:pos="810"/>
          <w:tab w:val="left" w:pos="1530"/>
          <w:tab w:val="left" w:pos="1620"/>
        </w:tabs>
        <w:contextualSpacing/>
        <w:rPr>
          <w:rFonts w:eastAsia="Calibri"/>
          <w:b/>
          <w:i/>
          <w:sz w:val="20"/>
          <w:szCs w:val="20"/>
          <w:lang w:val="en-US"/>
        </w:rPr>
      </w:pPr>
    </w:p>
    <w:p w14:paraId="5009EC7C" w14:textId="3EAF1B21" w:rsidR="00E22B60" w:rsidRPr="00CF6765" w:rsidRDefault="00AD04D4" w:rsidP="00450250">
      <w:pPr>
        <w:numPr>
          <w:ilvl w:val="0"/>
          <w:numId w:val="2"/>
        </w:numPr>
        <w:tabs>
          <w:tab w:val="left" w:pos="567"/>
          <w:tab w:val="left" w:pos="630"/>
          <w:tab w:val="left" w:pos="810"/>
          <w:tab w:val="left" w:pos="1530"/>
          <w:tab w:val="num" w:pos="1569"/>
          <w:tab w:val="left" w:pos="1620"/>
          <w:tab w:val="num" w:pos="12305"/>
        </w:tabs>
        <w:ind w:left="0" w:firstLine="0"/>
        <w:rPr>
          <w:rFonts w:eastAsia="Calibri"/>
          <w:b/>
          <w:i/>
          <w:sz w:val="20"/>
          <w:szCs w:val="20"/>
          <w:lang w:val="en-US"/>
        </w:rPr>
      </w:pPr>
      <w:r w:rsidRPr="00CF6765">
        <w:rPr>
          <w:rFonts w:eastAsia="Calibri"/>
          <w:sz w:val="20"/>
          <w:szCs w:val="20"/>
          <w:lang w:val="en-US"/>
        </w:rPr>
        <w:t>On January 26,</w:t>
      </w:r>
      <w:r w:rsidR="00E22B60" w:rsidRPr="00CF6765">
        <w:rPr>
          <w:rFonts w:eastAsia="Calibri"/>
          <w:sz w:val="20"/>
          <w:szCs w:val="20"/>
          <w:lang w:val="en-US"/>
        </w:rPr>
        <w:t xml:space="preserve"> 2001</w:t>
      </w:r>
      <w:r w:rsidRPr="00CF6765">
        <w:rPr>
          <w:rFonts w:eastAsia="Calibri"/>
          <w:sz w:val="20"/>
          <w:szCs w:val="20"/>
          <w:lang w:val="en-US"/>
        </w:rPr>
        <w:t>,</w:t>
      </w:r>
      <w:r w:rsidR="00E22B60" w:rsidRPr="00CF6765">
        <w:rPr>
          <w:rFonts w:eastAsia="Calibri"/>
          <w:sz w:val="20"/>
          <w:szCs w:val="20"/>
          <w:lang w:val="en-US"/>
        </w:rPr>
        <w:t xml:space="preserve"> </w:t>
      </w:r>
      <w:r w:rsidR="00D2168F" w:rsidRPr="00CF6765">
        <w:rPr>
          <w:rFonts w:eastAsia="Calibri"/>
          <w:sz w:val="20"/>
          <w:szCs w:val="20"/>
          <w:lang w:val="en-US"/>
        </w:rPr>
        <w:t>Mr.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ent</w:t>
      </w:r>
      <w:r w:rsidR="000B3AE3" w:rsidRPr="00CF6765">
        <w:rPr>
          <w:rFonts w:eastAsia="Calibri"/>
          <w:sz w:val="20"/>
          <w:szCs w:val="20"/>
          <w:lang w:val="en-US"/>
        </w:rPr>
        <w:t>ered</w:t>
      </w:r>
      <w:r w:rsidR="00E22B60" w:rsidRPr="00CF6765">
        <w:rPr>
          <w:rFonts w:eastAsia="Calibri"/>
          <w:sz w:val="20"/>
          <w:szCs w:val="20"/>
          <w:lang w:val="en-US"/>
        </w:rPr>
        <w:t xml:space="preserve"> “</w:t>
      </w:r>
      <w:r w:rsidR="000B3AE3" w:rsidRPr="00CF6765">
        <w:rPr>
          <w:rFonts w:eastAsia="Calibri"/>
          <w:sz w:val="20"/>
          <w:szCs w:val="20"/>
          <w:lang w:val="en-US"/>
        </w:rPr>
        <w:t>the theater</w:t>
      </w:r>
      <w:r w:rsidR="00E22B60" w:rsidRPr="00CF6765">
        <w:rPr>
          <w:rFonts w:eastAsia="Calibri"/>
          <w:sz w:val="20"/>
          <w:szCs w:val="20"/>
          <w:lang w:val="en-US"/>
        </w:rPr>
        <w:t>”</w:t>
      </w:r>
      <w:r w:rsidR="00EC50FC" w:rsidRPr="00CF6765">
        <w:rPr>
          <w:rFonts w:eastAsia="Calibri"/>
          <w:sz w:val="20"/>
          <w:szCs w:val="20"/>
          <w:lang w:val="en-US"/>
        </w:rPr>
        <w:t xml:space="preserve"> and</w:t>
      </w:r>
      <w:r w:rsidR="000B3AE3" w:rsidRPr="00CF6765">
        <w:rPr>
          <w:rFonts w:eastAsia="Calibri"/>
          <w:sz w:val="20"/>
          <w:szCs w:val="20"/>
          <w:lang w:val="en-US"/>
        </w:rPr>
        <w:t xml:space="preserve">, when he emerged the family could see that he had three large wounds at waist level in which a drainage tube was </w:t>
      </w:r>
      <w:r w:rsidR="000B3AE3" w:rsidRPr="00CF6765">
        <w:rPr>
          <w:rFonts w:eastAsia="Calibri"/>
          <w:sz w:val="20"/>
          <w:szCs w:val="20"/>
          <w:lang w:val="en-US"/>
        </w:rPr>
        <w:lastRenderedPageBreak/>
        <w:t>inserted. They also stated that he was never asked for his authorization to subject him to this surgical procedure</w:t>
      </w:r>
      <w:r w:rsidR="00E22B60" w:rsidRPr="00CF6765">
        <w:rPr>
          <w:rFonts w:eastAsia="Calibri"/>
          <w:sz w:val="20"/>
          <w:szCs w:val="20"/>
          <w:vertAlign w:val="superscript"/>
          <w:lang w:val="en-US"/>
        </w:rPr>
        <w:footnoteReference w:id="37"/>
      </w:r>
      <w:r w:rsidR="00E22B60" w:rsidRPr="00CF6765">
        <w:rPr>
          <w:rFonts w:eastAsia="Calibri"/>
          <w:sz w:val="20"/>
          <w:szCs w:val="20"/>
          <w:lang w:val="en-US"/>
        </w:rPr>
        <w:t xml:space="preserve"> </w:t>
      </w:r>
      <w:r w:rsidR="000B3AE3" w:rsidRPr="00CF6765">
        <w:rPr>
          <w:rFonts w:eastAsia="Calibri"/>
          <w:sz w:val="20"/>
          <w:szCs w:val="20"/>
          <w:lang w:val="en-US"/>
        </w:rPr>
        <w:t>because he was unconscious.</w:t>
      </w:r>
      <w:r w:rsidR="00E22B60" w:rsidRPr="00CF6765">
        <w:rPr>
          <w:rStyle w:val="Refdenotaalpie"/>
          <w:rFonts w:eastAsia="Calibri"/>
          <w:sz w:val="20"/>
          <w:szCs w:val="20"/>
          <w:lang w:val="en-US"/>
        </w:rPr>
        <w:footnoteReference w:id="38"/>
      </w:r>
    </w:p>
    <w:p w14:paraId="27C22AD0" w14:textId="77777777" w:rsidR="00E22B60" w:rsidRPr="00CF6765" w:rsidRDefault="00E22B60" w:rsidP="00450250">
      <w:pPr>
        <w:tabs>
          <w:tab w:val="left" w:pos="630"/>
          <w:tab w:val="left" w:pos="810"/>
          <w:tab w:val="left" w:pos="1530"/>
          <w:tab w:val="left" w:pos="1620"/>
        </w:tabs>
        <w:contextualSpacing/>
        <w:rPr>
          <w:rFonts w:eastAsia="Calibri"/>
          <w:b/>
          <w:i/>
          <w:sz w:val="20"/>
          <w:szCs w:val="20"/>
          <w:lang w:val="en-US"/>
        </w:rPr>
      </w:pPr>
    </w:p>
    <w:p w14:paraId="5EF13844" w14:textId="646FEDA4" w:rsidR="00E22B60" w:rsidRPr="00CF6765" w:rsidRDefault="00B5630E" w:rsidP="00450250">
      <w:pPr>
        <w:numPr>
          <w:ilvl w:val="0"/>
          <w:numId w:val="2"/>
        </w:numPr>
        <w:tabs>
          <w:tab w:val="left" w:pos="567"/>
          <w:tab w:val="left" w:pos="630"/>
          <w:tab w:val="left" w:pos="810"/>
          <w:tab w:val="left" w:pos="1530"/>
          <w:tab w:val="num" w:pos="1569"/>
          <w:tab w:val="left" w:pos="1620"/>
          <w:tab w:val="num" w:pos="12305"/>
        </w:tabs>
        <w:ind w:left="0" w:firstLine="0"/>
        <w:rPr>
          <w:rFonts w:eastAsia="Calibri"/>
          <w:b/>
          <w:i/>
          <w:sz w:val="20"/>
          <w:szCs w:val="20"/>
          <w:lang w:val="en-US"/>
        </w:rPr>
      </w:pPr>
      <w:r w:rsidRPr="00CF6765">
        <w:rPr>
          <w:rFonts w:eastAsia="Calibri"/>
          <w:sz w:val="20"/>
          <w:szCs w:val="20"/>
          <w:lang w:val="en-US"/>
        </w:rPr>
        <w:t>The</w:t>
      </w:r>
      <w:r w:rsidR="000B3AE3" w:rsidRPr="00CF6765">
        <w:rPr>
          <w:rFonts w:eastAsia="Calibri"/>
          <w:sz w:val="20"/>
          <w:szCs w:val="20"/>
          <w:lang w:val="en-US"/>
        </w:rPr>
        <w:t xml:space="preserve"> medical record for</w:t>
      </w:r>
      <w:r w:rsidR="00E22B60" w:rsidRPr="00CF6765">
        <w:rPr>
          <w:rFonts w:eastAsia="Calibri"/>
          <w:sz w:val="20"/>
          <w:szCs w:val="20"/>
          <w:lang w:val="en-US"/>
        </w:rPr>
        <w:t xml:space="preserve"> </w:t>
      </w:r>
      <w:r w:rsidR="00671A8C" w:rsidRPr="00CF6765">
        <w:rPr>
          <w:rFonts w:eastAsia="Calibri"/>
          <w:sz w:val="20"/>
          <w:szCs w:val="20"/>
          <w:lang w:val="en-US"/>
        </w:rPr>
        <w:t>January 26,</w:t>
      </w:r>
      <w:r w:rsidR="00E22B60" w:rsidRPr="00CF6765">
        <w:rPr>
          <w:rFonts w:eastAsia="Calibri"/>
          <w:sz w:val="20"/>
          <w:szCs w:val="20"/>
          <w:lang w:val="en-US"/>
        </w:rPr>
        <w:t xml:space="preserve"> 2001, </w:t>
      </w:r>
      <w:r w:rsidRPr="00CF6765">
        <w:rPr>
          <w:rFonts w:eastAsia="Calibri"/>
          <w:sz w:val="20"/>
          <w:szCs w:val="20"/>
          <w:lang w:val="en-US"/>
        </w:rPr>
        <w:t xml:space="preserve">contains </w:t>
      </w:r>
      <w:r w:rsidR="000B3AE3" w:rsidRPr="00CF6765">
        <w:rPr>
          <w:rFonts w:eastAsia="Calibri"/>
          <w:sz w:val="20"/>
          <w:szCs w:val="20"/>
          <w:lang w:val="en-US"/>
        </w:rPr>
        <w:t>a handwritten annotation signe</w:t>
      </w:r>
      <w:r w:rsidRPr="00CF6765">
        <w:rPr>
          <w:rFonts w:eastAsia="Calibri"/>
          <w:sz w:val="20"/>
          <w:szCs w:val="20"/>
          <w:lang w:val="en-US"/>
        </w:rPr>
        <w:t>d</w:t>
      </w:r>
      <w:r w:rsidR="000B3AE3" w:rsidRPr="00CF6765">
        <w:rPr>
          <w:rFonts w:eastAsia="Calibri"/>
          <w:sz w:val="20"/>
          <w:szCs w:val="20"/>
          <w:lang w:val="en-US"/>
        </w:rPr>
        <w:t xml:space="preserve"> </w:t>
      </w:r>
      <w:r w:rsidR="00E22B60" w:rsidRPr="00CF6765">
        <w:rPr>
          <w:rFonts w:eastAsia="Calibri"/>
          <w:sz w:val="20"/>
          <w:szCs w:val="20"/>
          <w:lang w:val="en-US"/>
        </w:rPr>
        <w:t xml:space="preserve">“Margarita Tapia” </w:t>
      </w:r>
      <w:r w:rsidR="000B3AE3" w:rsidRPr="00CF6765">
        <w:rPr>
          <w:rFonts w:eastAsia="Calibri"/>
          <w:sz w:val="20"/>
          <w:szCs w:val="20"/>
          <w:lang w:val="en-US"/>
        </w:rPr>
        <w:t>stating</w:t>
      </w:r>
      <w:r w:rsidR="00E22B60" w:rsidRPr="00CF6765">
        <w:rPr>
          <w:rFonts w:eastAsia="Calibri"/>
          <w:sz w:val="20"/>
          <w:szCs w:val="20"/>
          <w:lang w:val="en-US"/>
        </w:rPr>
        <w:t xml:space="preserve">: </w:t>
      </w:r>
    </w:p>
    <w:p w14:paraId="67086636" w14:textId="77777777" w:rsidR="00E22B60" w:rsidRPr="00CF6765" w:rsidRDefault="00E22B60" w:rsidP="00450250">
      <w:pPr>
        <w:tabs>
          <w:tab w:val="left" w:pos="630"/>
          <w:tab w:val="left" w:pos="810"/>
          <w:tab w:val="left" w:pos="1530"/>
          <w:tab w:val="left" w:pos="1620"/>
        </w:tabs>
        <w:contextualSpacing/>
        <w:rPr>
          <w:rFonts w:eastAsia="Calibri"/>
          <w:sz w:val="18"/>
          <w:szCs w:val="18"/>
          <w:lang w:val="en-US"/>
        </w:rPr>
      </w:pPr>
    </w:p>
    <w:p w14:paraId="484619D5" w14:textId="34FC940E" w:rsidR="00E22B60" w:rsidRPr="00CF6765" w:rsidRDefault="00E22B60" w:rsidP="00B20F91">
      <w:pPr>
        <w:tabs>
          <w:tab w:val="left" w:pos="630"/>
          <w:tab w:val="left" w:pos="810"/>
          <w:tab w:val="left" w:pos="1530"/>
          <w:tab w:val="left" w:pos="1620"/>
        </w:tabs>
        <w:ind w:left="540" w:right="373"/>
        <w:contextualSpacing/>
        <w:rPr>
          <w:rFonts w:eastAsia="Calibri"/>
          <w:b/>
          <w:i/>
          <w:sz w:val="18"/>
          <w:szCs w:val="18"/>
          <w:lang w:val="en-US"/>
        </w:rPr>
      </w:pPr>
      <w:r w:rsidRPr="00CF6765">
        <w:rPr>
          <w:rFonts w:eastAsia="Calibri"/>
          <w:sz w:val="18"/>
          <w:szCs w:val="18"/>
          <w:lang w:val="en-US"/>
        </w:rPr>
        <w:tab/>
        <w:t xml:space="preserve">“26.0120001 </w:t>
      </w:r>
      <w:r w:rsidR="000B3AE3" w:rsidRPr="00CF6765">
        <w:rPr>
          <w:rFonts w:eastAsia="Calibri"/>
          <w:sz w:val="18"/>
          <w:szCs w:val="18"/>
          <w:lang w:val="en-US"/>
        </w:rPr>
        <w:t>the surgical procedure to be performed on my father has been explained to me and I agree that it be carried out</w:t>
      </w:r>
      <w:r w:rsidR="00090580" w:rsidRPr="00CF6765">
        <w:rPr>
          <w:rFonts w:eastAsia="Calibri"/>
          <w:sz w:val="18"/>
          <w:szCs w:val="18"/>
          <w:lang w:val="en-US"/>
        </w:rPr>
        <w:t xml:space="preserve">; the risks of the operation have been explained to </w:t>
      </w:r>
      <w:r w:rsidR="00B5630E" w:rsidRPr="00CF6765">
        <w:rPr>
          <w:rFonts w:eastAsia="Calibri"/>
          <w:sz w:val="18"/>
          <w:szCs w:val="18"/>
          <w:lang w:val="en-US"/>
        </w:rPr>
        <w:t>m</w:t>
      </w:r>
      <w:r w:rsidR="00090580" w:rsidRPr="00CF6765">
        <w:rPr>
          <w:rFonts w:eastAsia="Calibri"/>
          <w:sz w:val="18"/>
          <w:szCs w:val="18"/>
          <w:lang w:val="en-US"/>
        </w:rPr>
        <w:t>e and I accept them.</w:t>
      </w:r>
      <w:r w:rsidRPr="00CF6765">
        <w:rPr>
          <w:rFonts w:eastAsia="Calibri"/>
          <w:sz w:val="18"/>
          <w:szCs w:val="18"/>
          <w:lang w:val="en-US"/>
        </w:rPr>
        <w:t>”</w:t>
      </w:r>
      <w:r w:rsidRPr="00CF6765">
        <w:rPr>
          <w:rFonts w:eastAsia="Calibri"/>
          <w:sz w:val="18"/>
          <w:szCs w:val="18"/>
          <w:vertAlign w:val="superscript"/>
          <w:lang w:val="en-US"/>
        </w:rPr>
        <w:footnoteReference w:id="39"/>
      </w:r>
      <w:r w:rsidRPr="00CF6765">
        <w:rPr>
          <w:rFonts w:eastAsia="Calibri"/>
          <w:sz w:val="18"/>
          <w:szCs w:val="18"/>
          <w:lang w:val="en-US"/>
        </w:rPr>
        <w:t xml:space="preserve"> </w:t>
      </w:r>
    </w:p>
    <w:p w14:paraId="4459CFA7" w14:textId="77777777" w:rsidR="00E22B60" w:rsidRPr="00CF6765" w:rsidRDefault="00E22B60" w:rsidP="00450250">
      <w:pPr>
        <w:tabs>
          <w:tab w:val="left" w:pos="630"/>
          <w:tab w:val="left" w:pos="810"/>
          <w:tab w:val="left" w:pos="1530"/>
          <w:tab w:val="left" w:pos="1620"/>
        </w:tabs>
        <w:contextualSpacing/>
        <w:rPr>
          <w:rFonts w:eastAsia="Calibri"/>
          <w:sz w:val="20"/>
          <w:szCs w:val="20"/>
          <w:lang w:val="en-US"/>
        </w:rPr>
      </w:pPr>
    </w:p>
    <w:p w14:paraId="44801A40" w14:textId="09E018E9" w:rsidR="00E22B60" w:rsidRPr="00CF6765" w:rsidRDefault="00AD04D4" w:rsidP="00450250">
      <w:pPr>
        <w:numPr>
          <w:ilvl w:val="0"/>
          <w:numId w:val="2"/>
        </w:numPr>
        <w:tabs>
          <w:tab w:val="left" w:pos="567"/>
          <w:tab w:val="left" w:pos="630"/>
          <w:tab w:val="left" w:pos="810"/>
          <w:tab w:val="left" w:pos="1530"/>
          <w:tab w:val="num" w:pos="1569"/>
          <w:tab w:val="left" w:pos="1620"/>
          <w:tab w:val="num" w:pos="12305"/>
        </w:tabs>
        <w:ind w:left="0" w:firstLine="0"/>
        <w:rPr>
          <w:rFonts w:eastAsia="Calibri"/>
          <w:b/>
          <w:i/>
          <w:sz w:val="20"/>
          <w:szCs w:val="20"/>
          <w:lang w:val="en-US"/>
        </w:rPr>
      </w:pPr>
      <w:r w:rsidRPr="00CF6765">
        <w:rPr>
          <w:rFonts w:eastAsia="Calibri"/>
          <w:sz w:val="20"/>
          <w:szCs w:val="20"/>
          <w:lang w:val="en-US"/>
        </w:rPr>
        <w:t>According to the expert handwriting analysis of December 26,</w:t>
      </w:r>
      <w:r w:rsidR="00E22B60" w:rsidRPr="00CF6765">
        <w:rPr>
          <w:rFonts w:eastAsia="Calibri"/>
          <w:sz w:val="20"/>
          <w:szCs w:val="20"/>
          <w:lang w:val="en-US"/>
        </w:rPr>
        <w:t xml:space="preserve"> 2016, </w:t>
      </w:r>
      <w:r w:rsidRPr="00CF6765">
        <w:rPr>
          <w:rFonts w:eastAsia="Calibri"/>
          <w:sz w:val="20"/>
          <w:szCs w:val="20"/>
          <w:lang w:val="en-US"/>
        </w:rPr>
        <w:t>the signatur</w:t>
      </w:r>
      <w:r w:rsidR="00090580" w:rsidRPr="00CF6765">
        <w:rPr>
          <w:rFonts w:eastAsia="Calibri"/>
          <w:sz w:val="20"/>
          <w:szCs w:val="20"/>
          <w:lang w:val="en-US"/>
        </w:rPr>
        <w:t>e</w:t>
      </w:r>
      <w:r w:rsidRPr="00CF6765">
        <w:rPr>
          <w:rFonts w:eastAsia="Calibri"/>
          <w:sz w:val="20"/>
          <w:szCs w:val="20"/>
          <w:lang w:val="en-US"/>
        </w:rPr>
        <w:t xml:space="preserve"> in the medical record did not correspond to </w:t>
      </w:r>
      <w:r w:rsidR="00E22B60" w:rsidRPr="00CF6765">
        <w:rPr>
          <w:rFonts w:eastAsia="Calibri"/>
          <w:sz w:val="20"/>
          <w:szCs w:val="20"/>
          <w:lang w:val="en-US"/>
        </w:rPr>
        <w:t xml:space="preserve">Blanca Margarita Tapia </w:t>
      </w:r>
      <w:proofErr w:type="spellStart"/>
      <w:r w:rsidR="00E22B60" w:rsidRPr="00CF6765">
        <w:rPr>
          <w:rFonts w:eastAsia="Calibri"/>
          <w:sz w:val="20"/>
          <w:szCs w:val="20"/>
          <w:lang w:val="en-US"/>
        </w:rPr>
        <w:t>Encina</w:t>
      </w:r>
      <w:proofErr w:type="spellEnd"/>
      <w:r w:rsidRPr="00CF6765">
        <w:rPr>
          <w:rFonts w:eastAsia="Calibri"/>
          <w:sz w:val="20"/>
          <w:szCs w:val="20"/>
          <w:lang w:val="en-US"/>
        </w:rPr>
        <w:t>,</w:t>
      </w:r>
      <w:r w:rsidR="00E22B60" w:rsidRPr="00CF6765">
        <w:rPr>
          <w:rFonts w:eastAsia="Calibri"/>
          <w:sz w:val="20"/>
          <w:szCs w:val="20"/>
          <w:vertAlign w:val="superscript"/>
          <w:lang w:val="en-US"/>
        </w:rPr>
        <w:footnoteReference w:id="40"/>
      </w:r>
      <w:r w:rsidRPr="00CF6765">
        <w:rPr>
          <w:rFonts w:eastAsia="Calibri"/>
          <w:sz w:val="20"/>
          <w:szCs w:val="20"/>
          <w:lang w:val="en-US"/>
        </w:rPr>
        <w:t xml:space="preserve"> who, in addition, was </w:t>
      </w:r>
      <w:r w:rsidR="00B5630E" w:rsidRPr="00CF6765">
        <w:rPr>
          <w:rFonts w:eastAsia="Calibri"/>
          <w:sz w:val="20"/>
          <w:szCs w:val="20"/>
          <w:lang w:val="en-US"/>
        </w:rPr>
        <w:t xml:space="preserve">Vinicio Poblete </w:t>
      </w:r>
      <w:proofErr w:type="spellStart"/>
      <w:r w:rsidR="00B5630E" w:rsidRPr="00CF6765">
        <w:rPr>
          <w:rFonts w:eastAsia="Calibri"/>
          <w:sz w:val="20"/>
          <w:szCs w:val="20"/>
          <w:lang w:val="en-US"/>
        </w:rPr>
        <w:t>Vilches’s</w:t>
      </w:r>
      <w:proofErr w:type="spellEnd"/>
      <w:r w:rsidRPr="00CF6765">
        <w:rPr>
          <w:rFonts w:eastAsia="Calibri"/>
          <w:sz w:val="20"/>
          <w:szCs w:val="20"/>
          <w:lang w:val="en-US"/>
        </w:rPr>
        <w:t xml:space="preserve"> wife and not his daughter.</w:t>
      </w:r>
      <w:r w:rsidR="00E22B60" w:rsidRPr="00CF6765">
        <w:rPr>
          <w:rFonts w:eastAsia="Calibri"/>
          <w:sz w:val="20"/>
          <w:szCs w:val="20"/>
          <w:vertAlign w:val="superscript"/>
          <w:lang w:val="en-US"/>
        </w:rPr>
        <w:footnoteReference w:id="41"/>
      </w:r>
      <w:r w:rsidR="00E22B60" w:rsidRPr="00CF6765">
        <w:rPr>
          <w:rFonts w:eastAsia="Calibri"/>
          <w:sz w:val="20"/>
          <w:szCs w:val="20"/>
          <w:lang w:val="en-US"/>
        </w:rPr>
        <w:t xml:space="preserve"> </w:t>
      </w:r>
    </w:p>
    <w:p w14:paraId="017BE843" w14:textId="77777777" w:rsidR="00E22B60" w:rsidRPr="00CF6765" w:rsidRDefault="00E22B60" w:rsidP="00450250">
      <w:pPr>
        <w:tabs>
          <w:tab w:val="left" w:pos="630"/>
          <w:tab w:val="left" w:pos="810"/>
          <w:tab w:val="left" w:pos="1530"/>
          <w:tab w:val="left" w:pos="1620"/>
        </w:tabs>
        <w:contextualSpacing/>
        <w:rPr>
          <w:rFonts w:eastAsia="Calibri"/>
          <w:b/>
          <w:i/>
          <w:sz w:val="20"/>
          <w:szCs w:val="20"/>
          <w:lang w:val="en-US"/>
        </w:rPr>
      </w:pPr>
    </w:p>
    <w:p w14:paraId="098A121C" w14:textId="207AA7E6" w:rsidR="00E22B60" w:rsidRPr="00CF6765" w:rsidRDefault="00AD04D4" w:rsidP="00450250">
      <w:pPr>
        <w:numPr>
          <w:ilvl w:val="0"/>
          <w:numId w:val="2"/>
        </w:numPr>
        <w:tabs>
          <w:tab w:val="left" w:pos="567"/>
          <w:tab w:val="left" w:pos="630"/>
          <w:tab w:val="left" w:pos="810"/>
          <w:tab w:val="left" w:pos="1530"/>
          <w:tab w:val="num" w:pos="1569"/>
          <w:tab w:val="left" w:pos="1620"/>
          <w:tab w:val="num" w:pos="12305"/>
        </w:tabs>
        <w:ind w:left="0" w:firstLine="0"/>
        <w:rPr>
          <w:rFonts w:eastAsia="Calibri"/>
          <w:b/>
          <w:i/>
          <w:sz w:val="20"/>
          <w:szCs w:val="20"/>
          <w:lang w:val="en-US"/>
        </w:rPr>
      </w:pPr>
      <w:r w:rsidRPr="00CF6765">
        <w:rPr>
          <w:rFonts w:eastAsia="Calibri"/>
          <w:sz w:val="20"/>
          <w:szCs w:val="20"/>
          <w:lang w:val="en-US"/>
        </w:rPr>
        <w:t>On February 2,</w:t>
      </w:r>
      <w:r w:rsidR="00E22B60" w:rsidRPr="00CF6765">
        <w:rPr>
          <w:rFonts w:eastAsia="Calibri"/>
          <w:sz w:val="20"/>
          <w:szCs w:val="20"/>
          <w:lang w:val="en-US"/>
        </w:rPr>
        <w:t xml:space="preserve"> 2001</w:t>
      </w:r>
      <w:r w:rsidRPr="00CF6765">
        <w:rPr>
          <w:rFonts w:eastAsia="Calibri"/>
          <w:sz w:val="20"/>
          <w:szCs w:val="20"/>
          <w:lang w:val="en-US"/>
        </w:rPr>
        <w:t>,</w:t>
      </w:r>
      <w:r w:rsidR="00E22B60" w:rsidRPr="00CF6765">
        <w:rPr>
          <w:rFonts w:eastAsia="Calibri"/>
          <w:sz w:val="20"/>
          <w:szCs w:val="20"/>
          <w:lang w:val="en-US"/>
        </w:rPr>
        <w:t xml:space="preserve"> </w:t>
      </w:r>
      <w:r w:rsidR="00D2168F" w:rsidRPr="00CF6765">
        <w:rPr>
          <w:rFonts w:eastAsia="Calibri"/>
          <w:sz w:val="20"/>
          <w:szCs w:val="20"/>
          <w:lang w:val="en-US"/>
        </w:rPr>
        <w:t>Vinicio</w:t>
      </w:r>
      <w:r w:rsidR="00E22B60" w:rsidRPr="00CF6765">
        <w:rPr>
          <w:rFonts w:eastAsia="Calibri"/>
          <w:sz w:val="20"/>
          <w:szCs w:val="20"/>
          <w:lang w:val="en-US"/>
        </w:rPr>
        <w:t xml:space="preserve"> Poblete Tapia </w:t>
      </w:r>
      <w:r w:rsidR="00B328D7" w:rsidRPr="00CF6765">
        <w:rPr>
          <w:rFonts w:eastAsia="Calibri"/>
          <w:sz w:val="20"/>
          <w:szCs w:val="20"/>
          <w:lang w:val="en-US"/>
        </w:rPr>
        <w:t>received</w:t>
      </w:r>
      <w:r w:rsidR="00090580" w:rsidRPr="00CF6765">
        <w:rPr>
          <w:rFonts w:eastAsia="Calibri"/>
          <w:sz w:val="20"/>
          <w:szCs w:val="20"/>
          <w:lang w:val="en-US"/>
        </w:rPr>
        <w:t xml:space="preserve"> a call from the hospital advising him that his father was now recovered and should return to his family home. On arriving at the hospital to collect their father, the family noted that he was in a very </w:t>
      </w:r>
      <w:r w:rsidR="00B5630E" w:rsidRPr="00CF6765">
        <w:rPr>
          <w:rFonts w:eastAsia="Calibri"/>
          <w:sz w:val="20"/>
          <w:szCs w:val="20"/>
          <w:lang w:val="en-US"/>
        </w:rPr>
        <w:t>poor state of health</w:t>
      </w:r>
      <w:r w:rsidR="00090580" w:rsidRPr="00CF6765">
        <w:rPr>
          <w:rFonts w:eastAsia="Calibri"/>
          <w:sz w:val="20"/>
          <w:szCs w:val="20"/>
          <w:lang w:val="en-US"/>
        </w:rPr>
        <w:t xml:space="preserve"> and tried to talk to the doctors, but no one</w:t>
      </w:r>
      <w:r w:rsidR="002249D7" w:rsidRPr="00CF6765">
        <w:rPr>
          <w:rFonts w:eastAsia="Calibri"/>
          <w:sz w:val="20"/>
          <w:szCs w:val="20"/>
          <w:lang w:val="en-US"/>
        </w:rPr>
        <w:t xml:space="preserve"> a</w:t>
      </w:r>
      <w:r w:rsidR="00B5630E" w:rsidRPr="00CF6765">
        <w:rPr>
          <w:rFonts w:eastAsia="Calibri"/>
          <w:sz w:val="20"/>
          <w:szCs w:val="20"/>
          <w:lang w:val="en-US"/>
        </w:rPr>
        <w:t>ttended</w:t>
      </w:r>
      <w:r w:rsidR="002249D7" w:rsidRPr="00CF6765">
        <w:rPr>
          <w:rFonts w:eastAsia="Calibri"/>
          <w:sz w:val="20"/>
          <w:szCs w:val="20"/>
          <w:lang w:val="en-US"/>
        </w:rPr>
        <w:t xml:space="preserve"> them.</w:t>
      </w:r>
      <w:r w:rsidR="00E22B60" w:rsidRPr="00CF6765">
        <w:rPr>
          <w:rStyle w:val="Refdenotaalpie"/>
          <w:rFonts w:eastAsia="Calibri"/>
          <w:sz w:val="20"/>
          <w:szCs w:val="20"/>
          <w:lang w:val="en-US"/>
        </w:rPr>
        <w:footnoteReference w:id="42"/>
      </w:r>
    </w:p>
    <w:p w14:paraId="10E55F64" w14:textId="77777777" w:rsidR="00E22B60" w:rsidRPr="00CF6765" w:rsidRDefault="00E22B60" w:rsidP="00450250">
      <w:pPr>
        <w:tabs>
          <w:tab w:val="left" w:pos="630"/>
          <w:tab w:val="left" w:pos="810"/>
          <w:tab w:val="left" w:pos="1530"/>
          <w:tab w:val="left" w:pos="1620"/>
        </w:tabs>
        <w:contextualSpacing/>
        <w:rPr>
          <w:rFonts w:eastAsia="Calibri"/>
          <w:b/>
          <w:i/>
          <w:sz w:val="20"/>
          <w:szCs w:val="20"/>
          <w:lang w:val="en-US"/>
        </w:rPr>
      </w:pPr>
    </w:p>
    <w:p w14:paraId="4A894C8B" w14:textId="422929A5" w:rsidR="00E22B60" w:rsidRPr="00CF6765" w:rsidRDefault="00454FD5" w:rsidP="00450250">
      <w:pPr>
        <w:numPr>
          <w:ilvl w:val="0"/>
          <w:numId w:val="2"/>
        </w:numPr>
        <w:tabs>
          <w:tab w:val="left" w:pos="567"/>
          <w:tab w:val="left" w:pos="630"/>
          <w:tab w:val="left" w:pos="810"/>
          <w:tab w:val="left" w:pos="1530"/>
          <w:tab w:val="num" w:pos="1569"/>
          <w:tab w:val="left" w:pos="1620"/>
          <w:tab w:val="num" w:pos="12305"/>
        </w:tabs>
        <w:ind w:left="0" w:firstLine="0"/>
        <w:rPr>
          <w:rFonts w:eastAsia="Calibri"/>
          <w:b/>
          <w:i/>
          <w:sz w:val="20"/>
          <w:szCs w:val="20"/>
          <w:lang w:val="en-US"/>
        </w:rPr>
      </w:pPr>
      <w:r w:rsidRPr="00CF6765">
        <w:rPr>
          <w:rFonts w:eastAsia="Calibri"/>
          <w:sz w:val="20"/>
          <w:szCs w:val="20"/>
          <w:lang w:val="en-US"/>
        </w:rPr>
        <w:t xml:space="preserve">Owing to the por </w:t>
      </w:r>
      <w:r w:rsidR="00B5630E" w:rsidRPr="00CF6765">
        <w:rPr>
          <w:rFonts w:eastAsia="Calibri"/>
          <w:sz w:val="20"/>
          <w:szCs w:val="20"/>
          <w:lang w:val="en-US"/>
        </w:rPr>
        <w:t>state</w:t>
      </w:r>
      <w:r w:rsidRPr="00CF6765">
        <w:rPr>
          <w:rFonts w:eastAsia="Calibri"/>
          <w:sz w:val="20"/>
          <w:szCs w:val="20"/>
          <w:lang w:val="en-US"/>
        </w:rPr>
        <w:t xml:space="preserve"> of </w:t>
      </w:r>
      <w:r w:rsidR="00D2168F" w:rsidRPr="00CF6765">
        <w:rPr>
          <w:rFonts w:eastAsia="Calibri"/>
          <w:sz w:val="20"/>
          <w:szCs w:val="20"/>
          <w:lang w:val="en-US"/>
        </w:rPr>
        <w:t>Mr. Poblete</w:t>
      </w:r>
      <w:r w:rsidR="00E22B60" w:rsidRPr="00CF6765">
        <w:rPr>
          <w:rFonts w:eastAsia="Calibri"/>
          <w:sz w:val="20"/>
          <w:szCs w:val="20"/>
          <w:lang w:val="en-US"/>
        </w:rPr>
        <w:t xml:space="preserve"> </w:t>
      </w:r>
      <w:proofErr w:type="spellStart"/>
      <w:r w:rsidR="001E55C3" w:rsidRPr="00CF6765">
        <w:rPr>
          <w:rFonts w:eastAsia="Calibri"/>
          <w:sz w:val="20"/>
          <w:szCs w:val="20"/>
          <w:lang w:val="en-US"/>
        </w:rPr>
        <w:t>Vilches’s</w:t>
      </w:r>
      <w:proofErr w:type="spellEnd"/>
      <w:r w:rsidR="001E55C3" w:rsidRPr="00CF6765">
        <w:rPr>
          <w:rFonts w:eastAsia="Calibri"/>
          <w:sz w:val="20"/>
          <w:szCs w:val="20"/>
          <w:lang w:val="en-US"/>
        </w:rPr>
        <w:t xml:space="preserve"> </w:t>
      </w:r>
      <w:r w:rsidRPr="00CF6765">
        <w:rPr>
          <w:rFonts w:eastAsia="Calibri"/>
          <w:sz w:val="20"/>
          <w:szCs w:val="20"/>
          <w:lang w:val="en-US"/>
        </w:rPr>
        <w:t>health, his family decided to hire a private ambulance to t</w:t>
      </w:r>
      <w:r w:rsidR="00B5630E" w:rsidRPr="00CF6765">
        <w:rPr>
          <w:rFonts w:eastAsia="Calibri"/>
          <w:sz w:val="20"/>
          <w:szCs w:val="20"/>
          <w:lang w:val="en-US"/>
        </w:rPr>
        <w:t>ake</w:t>
      </w:r>
      <w:r w:rsidRPr="00CF6765">
        <w:rPr>
          <w:rFonts w:eastAsia="Calibri"/>
          <w:sz w:val="20"/>
          <w:szCs w:val="20"/>
          <w:lang w:val="en-US"/>
        </w:rPr>
        <w:t xml:space="preserve"> him</w:t>
      </w:r>
      <w:r w:rsidR="00B5630E" w:rsidRPr="00CF6765">
        <w:rPr>
          <w:rFonts w:eastAsia="Calibri"/>
          <w:sz w:val="20"/>
          <w:szCs w:val="20"/>
          <w:lang w:val="en-US"/>
        </w:rPr>
        <w:t xml:space="preserve"> home</w:t>
      </w:r>
      <w:r w:rsidRPr="00CF6765">
        <w:rPr>
          <w:rFonts w:eastAsia="Calibri"/>
          <w:sz w:val="20"/>
          <w:szCs w:val="20"/>
          <w:lang w:val="en-US"/>
        </w:rPr>
        <w:t xml:space="preserve"> because, they claimed, none were available at the hospital.</w:t>
      </w:r>
      <w:r w:rsidR="00E22B60" w:rsidRPr="00CF6765">
        <w:rPr>
          <w:rFonts w:eastAsia="Calibri"/>
          <w:sz w:val="20"/>
          <w:szCs w:val="20"/>
          <w:vertAlign w:val="superscript"/>
          <w:lang w:val="en-US"/>
        </w:rPr>
        <w:footnoteReference w:id="43"/>
      </w:r>
      <w:r w:rsidR="00E22B60" w:rsidRPr="00CF6765">
        <w:rPr>
          <w:rFonts w:eastAsia="Calibri"/>
          <w:sz w:val="20"/>
          <w:szCs w:val="20"/>
          <w:lang w:val="en-US"/>
        </w:rPr>
        <w:t xml:space="preserve"> </w:t>
      </w:r>
    </w:p>
    <w:p w14:paraId="104A3E16" w14:textId="77777777" w:rsidR="00E22B60" w:rsidRPr="00CF6765" w:rsidRDefault="00E22B60" w:rsidP="00450250">
      <w:pPr>
        <w:tabs>
          <w:tab w:val="left" w:pos="567"/>
          <w:tab w:val="left" w:pos="630"/>
          <w:tab w:val="left" w:pos="810"/>
          <w:tab w:val="left" w:pos="1530"/>
          <w:tab w:val="left" w:pos="1620"/>
          <w:tab w:val="num" w:pos="12305"/>
        </w:tabs>
        <w:ind w:right="13"/>
        <w:rPr>
          <w:rFonts w:eastAsia="Calibri"/>
          <w:b/>
          <w:i/>
          <w:sz w:val="20"/>
          <w:szCs w:val="20"/>
          <w:lang w:val="en-US"/>
        </w:rPr>
      </w:pPr>
    </w:p>
    <w:p w14:paraId="0B3C9C1A" w14:textId="7FD4EC2E" w:rsidR="00E22B60" w:rsidRPr="00CF6765" w:rsidRDefault="00D2168F"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b/>
          <w:i/>
          <w:sz w:val="20"/>
          <w:szCs w:val="20"/>
          <w:lang w:val="en-US"/>
        </w:rPr>
      </w:pPr>
      <w:r w:rsidRPr="00CF6765">
        <w:rPr>
          <w:rFonts w:eastAsia="Calibri"/>
          <w:sz w:val="20"/>
          <w:szCs w:val="20"/>
          <w:lang w:val="en-US"/>
        </w:rPr>
        <w:t>Mr.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00454FD5" w:rsidRPr="00CF6765">
        <w:rPr>
          <w:rFonts w:eastAsia="Calibri"/>
          <w:sz w:val="20"/>
          <w:szCs w:val="20"/>
          <w:lang w:val="en-US"/>
        </w:rPr>
        <w:t xml:space="preserve">arrived </w:t>
      </w:r>
      <w:r w:rsidR="00B328D7" w:rsidRPr="00CF6765">
        <w:rPr>
          <w:rFonts w:eastAsia="Calibri"/>
          <w:sz w:val="20"/>
          <w:szCs w:val="20"/>
          <w:lang w:val="en-US"/>
        </w:rPr>
        <w:t>home</w:t>
      </w:r>
      <w:r w:rsidR="00454FD5" w:rsidRPr="00CF6765">
        <w:rPr>
          <w:rFonts w:eastAsia="Calibri"/>
          <w:sz w:val="20"/>
          <w:szCs w:val="20"/>
          <w:lang w:val="en-US"/>
        </w:rPr>
        <w:t xml:space="preserve"> the same day, February</w:t>
      </w:r>
      <w:r w:rsidR="00E22B60" w:rsidRPr="00CF6765">
        <w:rPr>
          <w:rFonts w:eastAsia="Calibri"/>
          <w:sz w:val="20"/>
          <w:szCs w:val="20"/>
          <w:lang w:val="en-US"/>
        </w:rPr>
        <w:t xml:space="preserve"> 2</w:t>
      </w:r>
      <w:r w:rsidR="00454FD5" w:rsidRPr="00CF6765">
        <w:rPr>
          <w:rFonts w:eastAsia="Calibri"/>
          <w:sz w:val="20"/>
          <w:szCs w:val="20"/>
          <w:lang w:val="en-US"/>
        </w:rPr>
        <w:t xml:space="preserve">, </w:t>
      </w:r>
      <w:r w:rsidR="00E22B60" w:rsidRPr="00CF6765">
        <w:rPr>
          <w:rFonts w:eastAsia="Calibri"/>
          <w:sz w:val="20"/>
          <w:szCs w:val="20"/>
          <w:lang w:val="en-US"/>
        </w:rPr>
        <w:t>2001</w:t>
      </w:r>
      <w:r w:rsidR="00454FD5" w:rsidRPr="00CF6765">
        <w:rPr>
          <w:rFonts w:eastAsia="Calibri"/>
          <w:sz w:val="20"/>
          <w:szCs w:val="20"/>
          <w:lang w:val="en-US"/>
        </w:rPr>
        <w:t xml:space="preserve">, with a very high </w:t>
      </w:r>
      <w:r w:rsidR="00B328D7" w:rsidRPr="00CF6765">
        <w:rPr>
          <w:rFonts w:eastAsia="Calibri"/>
          <w:sz w:val="20"/>
          <w:szCs w:val="20"/>
          <w:lang w:val="en-US"/>
        </w:rPr>
        <w:t>temperature</w:t>
      </w:r>
      <w:r w:rsidR="00454FD5" w:rsidRPr="00CF6765">
        <w:rPr>
          <w:rFonts w:eastAsia="Calibri"/>
          <w:sz w:val="20"/>
          <w:szCs w:val="20"/>
          <w:lang w:val="en-US"/>
        </w:rPr>
        <w:t>,</w:t>
      </w:r>
      <w:r w:rsidR="00B5630E" w:rsidRPr="00CF6765">
        <w:rPr>
          <w:rFonts w:eastAsia="Calibri"/>
          <w:sz w:val="20"/>
          <w:szCs w:val="20"/>
          <w:lang w:val="en-US"/>
        </w:rPr>
        <w:t xml:space="preserve"> and</w:t>
      </w:r>
      <w:r w:rsidR="00454FD5" w:rsidRPr="00CF6765">
        <w:rPr>
          <w:rFonts w:eastAsia="Calibri"/>
          <w:sz w:val="20"/>
          <w:szCs w:val="20"/>
          <w:lang w:val="en-US"/>
        </w:rPr>
        <w:t xml:space="preserve"> with pus issuing from his wounds, only one of which was sutured.</w:t>
      </w:r>
      <w:r w:rsidR="00E22B60" w:rsidRPr="00CF6765">
        <w:rPr>
          <w:rFonts w:eastAsia="Calibri"/>
          <w:sz w:val="20"/>
          <w:szCs w:val="20"/>
          <w:vertAlign w:val="superscript"/>
          <w:lang w:val="en-US"/>
        </w:rPr>
        <w:footnoteReference w:id="44"/>
      </w:r>
      <w:r w:rsidR="00E22B60" w:rsidRPr="00CF6765">
        <w:rPr>
          <w:rFonts w:eastAsia="Calibri"/>
          <w:sz w:val="20"/>
          <w:szCs w:val="20"/>
          <w:lang w:val="en-US"/>
        </w:rPr>
        <w:t xml:space="preserve"> Conse</w:t>
      </w:r>
      <w:r w:rsidR="00454FD5" w:rsidRPr="00CF6765">
        <w:rPr>
          <w:rFonts w:eastAsia="Calibri"/>
          <w:sz w:val="20"/>
          <w:szCs w:val="20"/>
          <w:lang w:val="en-US"/>
        </w:rPr>
        <w:t xml:space="preserve">quently, on February 5, </w:t>
      </w:r>
      <w:r w:rsidR="00E22B60" w:rsidRPr="00CF6765">
        <w:rPr>
          <w:rFonts w:eastAsia="Calibri"/>
          <w:sz w:val="20"/>
          <w:szCs w:val="20"/>
          <w:lang w:val="en-US"/>
        </w:rPr>
        <w:t>2001</w:t>
      </w:r>
      <w:r w:rsidR="00454FD5" w:rsidRPr="00CF6765">
        <w:rPr>
          <w:rFonts w:eastAsia="Calibri"/>
          <w:sz w:val="20"/>
          <w:szCs w:val="20"/>
          <w:lang w:val="en-US"/>
        </w:rPr>
        <w:t xml:space="preserve">, his family called a private doctor, </w:t>
      </w:r>
      <w:r w:rsidR="00E22B60" w:rsidRPr="00CF6765">
        <w:rPr>
          <w:rFonts w:eastAsia="Calibri"/>
          <w:sz w:val="20"/>
          <w:szCs w:val="20"/>
          <w:lang w:val="en-US"/>
        </w:rPr>
        <w:t>Sandra Castillo</w:t>
      </w:r>
      <w:r w:rsidR="00454FD5" w:rsidRPr="00CF6765">
        <w:rPr>
          <w:rFonts w:eastAsia="Calibri"/>
          <w:sz w:val="20"/>
          <w:szCs w:val="20"/>
          <w:lang w:val="en-US"/>
        </w:rPr>
        <w:t xml:space="preserve"> </w:t>
      </w:r>
      <w:proofErr w:type="spellStart"/>
      <w:r w:rsidR="00E22B60" w:rsidRPr="00CF6765">
        <w:rPr>
          <w:rFonts w:eastAsia="Calibri"/>
          <w:sz w:val="20"/>
          <w:szCs w:val="20"/>
          <w:lang w:val="en-US"/>
        </w:rPr>
        <w:t>Montufar</w:t>
      </w:r>
      <w:proofErr w:type="spellEnd"/>
      <w:r w:rsidR="00E22B60" w:rsidRPr="00CF6765">
        <w:rPr>
          <w:rFonts w:eastAsia="Calibri"/>
          <w:sz w:val="20"/>
          <w:szCs w:val="20"/>
          <w:lang w:val="en-US"/>
        </w:rPr>
        <w:t xml:space="preserve">, </w:t>
      </w:r>
      <w:r w:rsidR="00454FD5" w:rsidRPr="00CF6765">
        <w:rPr>
          <w:rFonts w:eastAsia="Calibri"/>
          <w:sz w:val="20"/>
          <w:szCs w:val="20"/>
          <w:lang w:val="en-US"/>
        </w:rPr>
        <w:t xml:space="preserve">who, after examining him, ordered that he be taken to the hospital </w:t>
      </w:r>
      <w:r w:rsidR="00250769" w:rsidRPr="00CF6765">
        <w:rPr>
          <w:rFonts w:eastAsia="Calibri"/>
          <w:sz w:val="20"/>
          <w:szCs w:val="20"/>
          <w:lang w:val="en-US"/>
        </w:rPr>
        <w:t xml:space="preserve">immediately </w:t>
      </w:r>
      <w:r w:rsidR="00454FD5" w:rsidRPr="00CF6765">
        <w:rPr>
          <w:rFonts w:eastAsia="Calibri"/>
          <w:sz w:val="20"/>
          <w:szCs w:val="20"/>
          <w:lang w:val="en-US"/>
        </w:rPr>
        <w:t xml:space="preserve">because he had a </w:t>
      </w:r>
      <w:r w:rsidR="00B328D7" w:rsidRPr="00CF6765">
        <w:rPr>
          <w:rFonts w:eastAsia="Calibri"/>
          <w:sz w:val="20"/>
          <w:szCs w:val="20"/>
          <w:lang w:val="en-US"/>
        </w:rPr>
        <w:t>complex</w:t>
      </w:r>
      <w:r w:rsidR="00454FD5" w:rsidRPr="00CF6765">
        <w:rPr>
          <w:rFonts w:eastAsia="Calibri"/>
          <w:sz w:val="20"/>
          <w:szCs w:val="20"/>
          <w:lang w:val="en-US"/>
        </w:rPr>
        <w:t xml:space="preserve"> </w:t>
      </w:r>
      <w:r w:rsidR="00454FD5" w:rsidRPr="00CF6765">
        <w:rPr>
          <w:rFonts w:eastAsia="Calibri"/>
          <w:sz w:val="20"/>
          <w:szCs w:val="20"/>
          <w:lang w:val="en-US"/>
        </w:rPr>
        <w:lastRenderedPageBreak/>
        <w:t>febrile condition</w:t>
      </w:r>
      <w:r w:rsidR="00250769" w:rsidRPr="00CF6765">
        <w:rPr>
          <w:rFonts w:eastAsia="Calibri"/>
          <w:sz w:val="20"/>
          <w:szCs w:val="20"/>
          <w:lang w:val="en-US"/>
        </w:rPr>
        <w:t>; she also</w:t>
      </w:r>
      <w:r w:rsidR="00454FD5" w:rsidRPr="00CF6765">
        <w:rPr>
          <w:rFonts w:eastAsia="Calibri"/>
          <w:sz w:val="20"/>
          <w:szCs w:val="20"/>
          <w:lang w:val="en-US"/>
        </w:rPr>
        <w:t xml:space="preserve"> diagnos</w:t>
      </w:r>
      <w:r w:rsidR="00250769" w:rsidRPr="00CF6765">
        <w:rPr>
          <w:rFonts w:eastAsia="Calibri"/>
          <w:sz w:val="20"/>
          <w:szCs w:val="20"/>
          <w:lang w:val="en-US"/>
        </w:rPr>
        <w:t>ed</w:t>
      </w:r>
      <w:r w:rsidR="00454FD5" w:rsidRPr="00CF6765">
        <w:rPr>
          <w:rFonts w:eastAsia="Calibri"/>
          <w:sz w:val="20"/>
          <w:szCs w:val="20"/>
          <w:lang w:val="en-US"/>
        </w:rPr>
        <w:t xml:space="preserve"> “septic shock, bilateral bronchopneumonia, diabetes mellitus 2 [and] pericarditis.</w:t>
      </w:r>
      <w:r w:rsidR="00E22B60" w:rsidRPr="00CF6765">
        <w:rPr>
          <w:rFonts w:eastAsia="Calibri"/>
          <w:sz w:val="20"/>
          <w:szCs w:val="20"/>
          <w:lang w:val="en-US"/>
        </w:rPr>
        <w:t>”</w:t>
      </w:r>
      <w:r w:rsidR="00E22B60" w:rsidRPr="00CF6765">
        <w:rPr>
          <w:rFonts w:eastAsia="Calibri"/>
          <w:sz w:val="20"/>
          <w:szCs w:val="20"/>
          <w:vertAlign w:val="superscript"/>
          <w:lang w:val="en-US"/>
        </w:rPr>
        <w:footnoteReference w:id="45"/>
      </w:r>
    </w:p>
    <w:p w14:paraId="2F3D3736" w14:textId="77777777" w:rsidR="00E22B60" w:rsidRPr="00CF6765" w:rsidRDefault="00E22B60" w:rsidP="00450250">
      <w:pPr>
        <w:tabs>
          <w:tab w:val="left" w:pos="630"/>
          <w:tab w:val="left" w:pos="810"/>
          <w:tab w:val="left" w:pos="1530"/>
          <w:tab w:val="left" w:pos="1620"/>
        </w:tabs>
        <w:ind w:right="13"/>
        <w:contextualSpacing/>
        <w:rPr>
          <w:rFonts w:eastAsia="Calibri"/>
          <w:sz w:val="20"/>
          <w:szCs w:val="20"/>
          <w:lang w:val="en-US"/>
        </w:rPr>
      </w:pPr>
    </w:p>
    <w:p w14:paraId="5A7BDB12" w14:textId="5A7740A2" w:rsidR="00E22B60" w:rsidRPr="00CF6765" w:rsidRDefault="00B969DD" w:rsidP="00450250">
      <w:pPr>
        <w:keepNext/>
        <w:keepLines/>
        <w:numPr>
          <w:ilvl w:val="0"/>
          <w:numId w:val="29"/>
        </w:numPr>
        <w:tabs>
          <w:tab w:val="left" w:pos="630"/>
          <w:tab w:val="left" w:pos="810"/>
          <w:tab w:val="left" w:pos="1530"/>
          <w:tab w:val="left" w:pos="1620"/>
        </w:tabs>
        <w:ind w:left="0" w:right="13" w:firstLine="0"/>
        <w:outlineLvl w:val="1"/>
        <w:rPr>
          <w:rFonts w:eastAsia="MS Mincho"/>
          <w:b/>
          <w:i/>
          <w:snapToGrid w:val="0"/>
          <w:sz w:val="20"/>
          <w:szCs w:val="26"/>
          <w:lang w:val="en-US"/>
        </w:rPr>
      </w:pPr>
      <w:r w:rsidRPr="00CF6765">
        <w:rPr>
          <w:rFonts w:eastAsia="MS Mincho"/>
          <w:b/>
          <w:i/>
          <w:sz w:val="20"/>
          <w:szCs w:val="26"/>
          <w:lang w:val="en-US"/>
        </w:rPr>
        <w:t>Second admission</w:t>
      </w:r>
      <w:r w:rsidR="00E22B60" w:rsidRPr="00CF6765">
        <w:rPr>
          <w:rFonts w:eastAsia="MS Mincho"/>
          <w:b/>
          <w:i/>
          <w:snapToGrid w:val="0"/>
          <w:sz w:val="20"/>
          <w:szCs w:val="26"/>
          <w:lang w:val="en-US"/>
        </w:rPr>
        <w:t xml:space="preserve"> </w:t>
      </w:r>
      <w:r w:rsidR="00D04694" w:rsidRPr="00CF6765">
        <w:rPr>
          <w:rFonts w:eastAsia="MS Mincho"/>
          <w:b/>
          <w:i/>
          <w:snapToGrid w:val="0"/>
          <w:sz w:val="20"/>
          <w:szCs w:val="26"/>
          <w:lang w:val="en-US"/>
        </w:rPr>
        <w:t>of Vinicio</w:t>
      </w:r>
      <w:r w:rsidR="00E22B60" w:rsidRPr="00CF6765">
        <w:rPr>
          <w:rFonts w:eastAsia="MS Mincho"/>
          <w:b/>
          <w:i/>
          <w:snapToGrid w:val="0"/>
          <w:sz w:val="20"/>
          <w:szCs w:val="26"/>
          <w:lang w:val="en-US"/>
        </w:rPr>
        <w:t xml:space="preserve"> Antonio Poblete </w:t>
      </w:r>
      <w:proofErr w:type="spellStart"/>
      <w:r w:rsidR="00E22B60" w:rsidRPr="00CF6765">
        <w:rPr>
          <w:rFonts w:eastAsia="MS Mincho"/>
          <w:b/>
          <w:i/>
          <w:snapToGrid w:val="0"/>
          <w:sz w:val="20"/>
          <w:szCs w:val="26"/>
          <w:lang w:val="en-US"/>
        </w:rPr>
        <w:t>Vilches</w:t>
      </w:r>
      <w:proofErr w:type="spellEnd"/>
      <w:r w:rsidR="00E22B60" w:rsidRPr="00CF6765">
        <w:rPr>
          <w:rFonts w:eastAsia="MS Mincho"/>
          <w:b/>
          <w:i/>
          <w:snapToGrid w:val="0"/>
          <w:sz w:val="20"/>
          <w:szCs w:val="26"/>
          <w:lang w:val="en-US"/>
        </w:rPr>
        <w:t xml:space="preserve"> </w:t>
      </w:r>
      <w:r w:rsidR="00B06735" w:rsidRPr="00CF6765">
        <w:rPr>
          <w:rFonts w:eastAsia="MS Mincho"/>
          <w:b/>
          <w:i/>
          <w:snapToGrid w:val="0"/>
          <w:sz w:val="20"/>
          <w:szCs w:val="26"/>
          <w:lang w:val="en-US"/>
        </w:rPr>
        <w:t xml:space="preserve">to the </w:t>
      </w:r>
      <w:proofErr w:type="spellStart"/>
      <w:r w:rsidR="00B06735" w:rsidRPr="00CF6765">
        <w:rPr>
          <w:rFonts w:eastAsia="MS Mincho"/>
          <w:b/>
          <w:i/>
          <w:snapToGrid w:val="0"/>
          <w:sz w:val="20"/>
          <w:szCs w:val="26"/>
          <w:lang w:val="en-US"/>
        </w:rPr>
        <w:t>Sótero</w:t>
      </w:r>
      <w:proofErr w:type="spellEnd"/>
      <w:r w:rsidR="00B06735" w:rsidRPr="00CF6765">
        <w:rPr>
          <w:rFonts w:eastAsia="MS Mincho"/>
          <w:b/>
          <w:i/>
          <w:snapToGrid w:val="0"/>
          <w:sz w:val="20"/>
          <w:szCs w:val="26"/>
          <w:lang w:val="en-US"/>
        </w:rPr>
        <w:t xml:space="preserve"> del Río Hospital</w:t>
      </w:r>
      <w:r w:rsidR="00E22B60" w:rsidRPr="00CF6765">
        <w:rPr>
          <w:rFonts w:eastAsia="MS Mincho"/>
          <w:b/>
          <w:i/>
          <w:snapToGrid w:val="0"/>
          <w:sz w:val="20"/>
          <w:szCs w:val="26"/>
          <w:lang w:val="en-US"/>
        </w:rPr>
        <w:t>.</w:t>
      </w:r>
    </w:p>
    <w:p w14:paraId="5C90342E" w14:textId="77777777" w:rsidR="00E22B60" w:rsidRPr="00CF6765" w:rsidRDefault="00E22B60" w:rsidP="00450250">
      <w:pPr>
        <w:tabs>
          <w:tab w:val="left" w:pos="630"/>
          <w:tab w:val="left" w:pos="810"/>
          <w:tab w:val="left" w:pos="1530"/>
          <w:tab w:val="left" w:pos="1620"/>
        </w:tabs>
        <w:ind w:right="13"/>
        <w:rPr>
          <w:rFonts w:eastAsia="Calibri"/>
          <w:sz w:val="20"/>
          <w:szCs w:val="20"/>
          <w:lang w:val="en-US"/>
        </w:rPr>
      </w:pPr>
    </w:p>
    <w:p w14:paraId="232E9F1B" w14:textId="0354B149" w:rsidR="00E22B60" w:rsidRPr="00CF6765" w:rsidRDefault="00B969DD"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February 5,</w:t>
      </w:r>
      <w:r w:rsidR="00E22B60" w:rsidRPr="00CF6765">
        <w:rPr>
          <w:rFonts w:eastAsia="Calibri"/>
          <w:sz w:val="20"/>
          <w:szCs w:val="20"/>
          <w:lang w:val="en-US"/>
        </w:rPr>
        <w:t xml:space="preserve"> 2001</w:t>
      </w:r>
      <w:r w:rsidRPr="00CF6765">
        <w:rPr>
          <w:rFonts w:eastAsia="Calibri"/>
          <w:sz w:val="20"/>
          <w:szCs w:val="20"/>
          <w:lang w:val="en-US"/>
        </w:rPr>
        <w:t>,</w:t>
      </w:r>
      <w:r w:rsidR="00E22B60" w:rsidRPr="00CF6765">
        <w:rPr>
          <w:rFonts w:eastAsia="Calibri"/>
          <w:sz w:val="20"/>
          <w:szCs w:val="20"/>
          <w:lang w:val="en-US"/>
        </w:rPr>
        <w:t xml:space="preserve"> </w:t>
      </w:r>
      <w:r w:rsidR="00D2168F" w:rsidRPr="00CF6765">
        <w:rPr>
          <w:rFonts w:eastAsia="Calibri"/>
          <w:sz w:val="20"/>
          <w:szCs w:val="20"/>
          <w:lang w:val="en-US"/>
        </w:rPr>
        <w:t>Mr.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Pr="00CF6765">
        <w:rPr>
          <w:rFonts w:eastAsia="Calibri"/>
          <w:sz w:val="20"/>
          <w:szCs w:val="20"/>
          <w:lang w:val="en-US"/>
        </w:rPr>
        <w:t>was again admitted to the</w:t>
      </w:r>
      <w:r w:rsidR="00B06735" w:rsidRPr="00CF6765">
        <w:rPr>
          <w:rFonts w:eastAsia="Calibri"/>
          <w:sz w:val="20"/>
          <w:szCs w:val="20"/>
          <w:lang w:val="en-US"/>
        </w:rPr>
        <w:t xml:space="preserve"> </w:t>
      </w:r>
      <w:proofErr w:type="spellStart"/>
      <w:r w:rsidR="00B06735" w:rsidRPr="00CF6765">
        <w:rPr>
          <w:rFonts w:eastAsia="Calibri"/>
          <w:sz w:val="20"/>
          <w:szCs w:val="20"/>
          <w:lang w:val="en-US"/>
        </w:rPr>
        <w:t>Sótero</w:t>
      </w:r>
      <w:proofErr w:type="spellEnd"/>
      <w:r w:rsidR="00B06735" w:rsidRPr="00CF6765">
        <w:rPr>
          <w:rFonts w:eastAsia="Calibri"/>
          <w:sz w:val="20"/>
          <w:szCs w:val="20"/>
          <w:lang w:val="en-US"/>
        </w:rPr>
        <w:t xml:space="preserve"> del Río Hospital</w:t>
      </w:r>
      <w:r w:rsidRPr="00CF6765">
        <w:rPr>
          <w:rFonts w:eastAsia="Calibri"/>
          <w:sz w:val="20"/>
          <w:szCs w:val="20"/>
          <w:lang w:val="en-US"/>
        </w:rPr>
        <w:t>, in the Emergency Department, where</w:t>
      </w:r>
      <w:r w:rsidR="00E22B60" w:rsidRPr="00CF6765">
        <w:rPr>
          <w:rFonts w:eastAsia="Calibri"/>
          <w:sz w:val="20"/>
          <w:szCs w:val="20"/>
          <w:lang w:val="en-US"/>
        </w:rPr>
        <w:t xml:space="preserve"> </w:t>
      </w:r>
      <w:r w:rsidRPr="00CF6765">
        <w:rPr>
          <w:rFonts w:eastAsia="Calibri"/>
          <w:sz w:val="20"/>
          <w:szCs w:val="20"/>
          <w:lang w:val="en-US"/>
        </w:rPr>
        <w:t>Dr.</w:t>
      </w:r>
      <w:r w:rsidR="00E22B60" w:rsidRPr="00CF6765">
        <w:rPr>
          <w:rFonts w:eastAsia="Calibri"/>
          <w:sz w:val="20"/>
          <w:szCs w:val="20"/>
          <w:lang w:val="en-US"/>
        </w:rPr>
        <w:t xml:space="preserve"> Luis Carvajal Freire </w:t>
      </w:r>
      <w:r w:rsidRPr="00CF6765">
        <w:rPr>
          <w:rFonts w:eastAsia="Calibri"/>
          <w:sz w:val="20"/>
          <w:szCs w:val="20"/>
          <w:lang w:val="en-US"/>
        </w:rPr>
        <w:t>advised that</w:t>
      </w:r>
      <w:r w:rsidR="00E22B60" w:rsidRPr="00CF6765">
        <w:rPr>
          <w:rFonts w:eastAsia="Calibri"/>
          <w:sz w:val="20"/>
          <w:szCs w:val="20"/>
          <w:lang w:val="en-US"/>
        </w:rPr>
        <w:t xml:space="preserve"> </w:t>
      </w:r>
      <w:r w:rsidR="00D2168F" w:rsidRPr="00CF6765">
        <w:rPr>
          <w:rFonts w:eastAsia="Calibri"/>
          <w:sz w:val="20"/>
          <w:szCs w:val="20"/>
          <w:lang w:val="en-US"/>
        </w:rPr>
        <w:t>Mr.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Pr="00CF6765">
        <w:rPr>
          <w:rFonts w:eastAsia="Calibri"/>
          <w:sz w:val="20"/>
          <w:szCs w:val="20"/>
          <w:lang w:val="en-US"/>
        </w:rPr>
        <w:t>had</w:t>
      </w:r>
      <w:r w:rsidR="00E22B60" w:rsidRPr="00CF6765">
        <w:rPr>
          <w:rFonts w:eastAsia="Calibri"/>
          <w:sz w:val="20"/>
          <w:szCs w:val="20"/>
          <w:lang w:val="en-US"/>
        </w:rPr>
        <w:t xml:space="preserve"> “simple bronc</w:t>
      </w:r>
      <w:r w:rsidR="00454FD5" w:rsidRPr="00CF6765">
        <w:rPr>
          <w:rFonts w:eastAsia="Calibri"/>
          <w:sz w:val="20"/>
          <w:szCs w:val="20"/>
          <w:lang w:val="en-US"/>
        </w:rPr>
        <w:t>h</w:t>
      </w:r>
      <w:r w:rsidR="00E22B60" w:rsidRPr="00CF6765">
        <w:rPr>
          <w:rFonts w:eastAsia="Calibri"/>
          <w:sz w:val="20"/>
          <w:szCs w:val="20"/>
          <w:lang w:val="en-US"/>
        </w:rPr>
        <w:t>o</w:t>
      </w:r>
      <w:r w:rsidR="00454FD5" w:rsidRPr="00CF6765">
        <w:rPr>
          <w:rFonts w:eastAsia="Calibri"/>
          <w:sz w:val="20"/>
          <w:szCs w:val="20"/>
          <w:lang w:val="en-US"/>
        </w:rPr>
        <w:t>p</w:t>
      </w:r>
      <w:r w:rsidR="00E22B60" w:rsidRPr="00CF6765">
        <w:rPr>
          <w:rFonts w:eastAsia="Calibri"/>
          <w:sz w:val="20"/>
          <w:szCs w:val="20"/>
          <w:lang w:val="en-US"/>
        </w:rPr>
        <w:t>neumon</w:t>
      </w:r>
      <w:r w:rsidR="00454FD5" w:rsidRPr="00CF6765">
        <w:rPr>
          <w:rFonts w:eastAsia="Calibri"/>
          <w:sz w:val="20"/>
          <w:szCs w:val="20"/>
          <w:lang w:val="en-US"/>
        </w:rPr>
        <w:t>ia.</w:t>
      </w:r>
      <w:r w:rsidR="00E22B60" w:rsidRPr="00CF6765">
        <w:rPr>
          <w:rFonts w:eastAsia="Calibri"/>
          <w:sz w:val="20"/>
          <w:szCs w:val="20"/>
          <w:lang w:val="en-US"/>
        </w:rPr>
        <w:t>”</w:t>
      </w:r>
      <w:r w:rsidR="00E22B60" w:rsidRPr="00CF6765">
        <w:rPr>
          <w:rFonts w:eastAsia="Calibri"/>
          <w:sz w:val="20"/>
          <w:szCs w:val="20"/>
          <w:vertAlign w:val="superscript"/>
          <w:lang w:val="en-US"/>
        </w:rPr>
        <w:footnoteReference w:id="46"/>
      </w:r>
      <w:r w:rsidR="00E22B60" w:rsidRPr="00CF6765">
        <w:rPr>
          <w:rFonts w:eastAsia="Calibri"/>
          <w:sz w:val="20"/>
          <w:szCs w:val="20"/>
          <w:lang w:val="en-US"/>
        </w:rPr>
        <w:t xml:space="preserve"> </w:t>
      </w:r>
      <w:r w:rsidR="00454FD5" w:rsidRPr="00CF6765">
        <w:rPr>
          <w:rFonts w:eastAsia="Calibri"/>
          <w:sz w:val="20"/>
          <w:szCs w:val="20"/>
          <w:lang w:val="en-US"/>
        </w:rPr>
        <w:t>According to the admission</w:t>
      </w:r>
      <w:r w:rsidR="00E22B60" w:rsidRPr="00CF6765">
        <w:rPr>
          <w:rFonts w:eastAsia="Calibri"/>
          <w:sz w:val="20"/>
          <w:szCs w:val="20"/>
          <w:lang w:val="en-US"/>
        </w:rPr>
        <w:t xml:space="preserve"> </w:t>
      </w:r>
      <w:r w:rsidR="00454FD5" w:rsidRPr="00CF6765">
        <w:rPr>
          <w:rFonts w:eastAsia="Calibri"/>
          <w:sz w:val="20"/>
          <w:szCs w:val="20"/>
          <w:lang w:val="en-US"/>
        </w:rPr>
        <w:t>m</w:t>
      </w:r>
      <w:r w:rsidRPr="00CF6765">
        <w:rPr>
          <w:rFonts w:eastAsia="Calibri"/>
          <w:sz w:val="20"/>
          <w:szCs w:val="20"/>
          <w:lang w:val="en-US"/>
        </w:rPr>
        <w:t>edical record</w:t>
      </w:r>
      <w:r w:rsidR="00454FD5" w:rsidRPr="00CF6765">
        <w:rPr>
          <w:rFonts w:eastAsia="Calibri"/>
          <w:sz w:val="20"/>
          <w:szCs w:val="20"/>
          <w:lang w:val="en-US"/>
        </w:rPr>
        <w:t>,</w:t>
      </w:r>
      <w:r w:rsidR="00E22B60" w:rsidRPr="00CF6765">
        <w:rPr>
          <w:rFonts w:eastAsia="Calibri"/>
          <w:sz w:val="18"/>
          <w:szCs w:val="20"/>
          <w:vertAlign w:val="superscript"/>
          <w:lang w:val="en-US"/>
        </w:rPr>
        <w:footnoteReference w:id="47"/>
      </w:r>
      <w:r w:rsidR="00E22B60" w:rsidRPr="00CF6765">
        <w:rPr>
          <w:rFonts w:eastAsia="Calibri"/>
          <w:sz w:val="20"/>
          <w:szCs w:val="20"/>
          <w:lang w:val="en-US"/>
        </w:rPr>
        <w:t xml:space="preserve"> </w:t>
      </w:r>
      <w:r w:rsidR="00D2168F" w:rsidRPr="00CF6765">
        <w:rPr>
          <w:rFonts w:eastAsia="Calibri"/>
          <w:sz w:val="20"/>
          <w:szCs w:val="20"/>
          <w:lang w:val="en-US"/>
        </w:rPr>
        <w:t>Mr. Poblete</w:t>
      </w:r>
      <w:r w:rsidR="00E22B60" w:rsidRPr="00CF6765">
        <w:rPr>
          <w:rFonts w:eastAsia="Calibri"/>
          <w:sz w:val="20"/>
          <w:szCs w:val="20"/>
          <w:lang w:val="en-US"/>
        </w:rPr>
        <w:t xml:space="preserve"> </w:t>
      </w:r>
      <w:r w:rsidR="00454FD5" w:rsidRPr="00CF6765">
        <w:rPr>
          <w:rFonts w:eastAsia="Calibri"/>
          <w:sz w:val="20"/>
          <w:szCs w:val="20"/>
          <w:lang w:val="en-US"/>
        </w:rPr>
        <w:t xml:space="preserve">needed to be admitted to </w:t>
      </w:r>
      <w:r w:rsidR="002D729E" w:rsidRPr="00CF6765">
        <w:rPr>
          <w:rFonts w:eastAsia="Calibri"/>
          <w:sz w:val="20"/>
          <w:szCs w:val="20"/>
          <w:lang w:val="en-US"/>
        </w:rPr>
        <w:t>the Intensive Care Unit</w:t>
      </w:r>
      <w:r w:rsidR="00EC50FC" w:rsidRPr="00CF6765">
        <w:rPr>
          <w:rFonts w:eastAsia="Calibri"/>
          <w:sz w:val="20"/>
          <w:szCs w:val="20"/>
          <w:lang w:val="en-US"/>
        </w:rPr>
        <w:t xml:space="preserve"> and </w:t>
      </w:r>
      <w:r w:rsidR="00486490" w:rsidRPr="00CF6765">
        <w:rPr>
          <w:rFonts w:eastAsia="Calibri"/>
          <w:sz w:val="20"/>
          <w:szCs w:val="20"/>
          <w:lang w:val="en-US"/>
        </w:rPr>
        <w:t>put on a</w:t>
      </w:r>
      <w:r w:rsidR="00E22B60" w:rsidRPr="00CF6765">
        <w:rPr>
          <w:rFonts w:eastAsia="Calibri"/>
          <w:sz w:val="20"/>
          <w:szCs w:val="20"/>
          <w:lang w:val="en-US"/>
        </w:rPr>
        <w:t xml:space="preserve"> </w:t>
      </w:r>
      <w:r w:rsidR="00B328D7" w:rsidRPr="00CF6765">
        <w:rPr>
          <w:rFonts w:eastAsia="Calibri"/>
          <w:sz w:val="20"/>
          <w:szCs w:val="20"/>
          <w:lang w:val="en-US"/>
        </w:rPr>
        <w:t>ventilator</w:t>
      </w:r>
      <w:r w:rsidR="00486490" w:rsidRPr="00CF6765">
        <w:rPr>
          <w:rFonts w:eastAsia="Calibri"/>
          <w:sz w:val="20"/>
          <w:szCs w:val="20"/>
          <w:lang w:val="en-US"/>
        </w:rPr>
        <w:t>:</w:t>
      </w:r>
    </w:p>
    <w:p w14:paraId="4E9A92D8" w14:textId="77777777" w:rsidR="00E22B60" w:rsidRPr="00CF6765" w:rsidRDefault="00E22B60" w:rsidP="00450250">
      <w:pPr>
        <w:tabs>
          <w:tab w:val="left" w:pos="567"/>
          <w:tab w:val="left" w:pos="630"/>
          <w:tab w:val="left" w:pos="810"/>
          <w:tab w:val="left" w:pos="1530"/>
          <w:tab w:val="left" w:pos="1620"/>
        </w:tabs>
        <w:ind w:right="13"/>
        <w:rPr>
          <w:rFonts w:eastAsia="Calibri"/>
          <w:sz w:val="20"/>
          <w:szCs w:val="20"/>
          <w:lang w:val="en-US"/>
        </w:rPr>
      </w:pPr>
    </w:p>
    <w:p w14:paraId="1B003F9D" w14:textId="7459DBA1" w:rsidR="00E22B60" w:rsidRPr="00CF6765" w:rsidRDefault="00E22B60" w:rsidP="00B20F91">
      <w:pPr>
        <w:tabs>
          <w:tab w:val="left" w:pos="567"/>
          <w:tab w:val="left" w:pos="630"/>
          <w:tab w:val="left" w:pos="810"/>
          <w:tab w:val="left" w:pos="1530"/>
          <w:tab w:val="left" w:pos="1620"/>
        </w:tabs>
        <w:ind w:left="720" w:right="373"/>
        <w:rPr>
          <w:rFonts w:eastAsia="Calibri"/>
          <w:sz w:val="18"/>
          <w:szCs w:val="20"/>
          <w:lang w:val="en-US"/>
        </w:rPr>
      </w:pPr>
      <w:r w:rsidRPr="00CF6765">
        <w:rPr>
          <w:rFonts w:eastAsia="Calibri"/>
          <w:sz w:val="18"/>
          <w:szCs w:val="20"/>
          <w:lang w:val="en-US"/>
        </w:rPr>
        <w:tab/>
        <w:t>“[…] Plan: Pa</w:t>
      </w:r>
      <w:r w:rsidR="007D7158" w:rsidRPr="00CF6765">
        <w:rPr>
          <w:rFonts w:eastAsia="Calibri"/>
          <w:sz w:val="18"/>
          <w:szCs w:val="20"/>
          <w:lang w:val="en-US"/>
        </w:rPr>
        <w:t xml:space="preserve">tient to ICU for ventilatory support. No availability in ICU or </w:t>
      </w:r>
      <w:proofErr w:type="spellStart"/>
      <w:r w:rsidR="007D7158" w:rsidRPr="00CF6765">
        <w:rPr>
          <w:rFonts w:eastAsia="Calibri"/>
          <w:sz w:val="18"/>
          <w:szCs w:val="20"/>
          <w:lang w:val="en-US"/>
        </w:rPr>
        <w:t>Qx</w:t>
      </w:r>
      <w:proofErr w:type="spellEnd"/>
      <w:r w:rsidR="007D7158" w:rsidRPr="00CF6765">
        <w:rPr>
          <w:rFonts w:eastAsia="Calibri"/>
          <w:sz w:val="18"/>
          <w:szCs w:val="20"/>
          <w:lang w:val="en-US"/>
        </w:rPr>
        <w:t>. Will be given intermediate care until an ICU bed becomes available.</w:t>
      </w:r>
    </w:p>
    <w:p w14:paraId="10FC53DB" w14:textId="77777777" w:rsidR="007D7158" w:rsidRPr="00CF6765" w:rsidRDefault="00E22B60" w:rsidP="00450250">
      <w:pPr>
        <w:tabs>
          <w:tab w:val="left" w:pos="567"/>
          <w:tab w:val="left" w:pos="630"/>
          <w:tab w:val="left" w:pos="810"/>
          <w:tab w:val="left" w:pos="1530"/>
          <w:tab w:val="left" w:pos="1620"/>
        </w:tabs>
        <w:ind w:left="720" w:right="13"/>
        <w:rPr>
          <w:rFonts w:eastAsia="Calibri"/>
          <w:sz w:val="18"/>
          <w:szCs w:val="20"/>
          <w:lang w:val="en-US"/>
        </w:rPr>
      </w:pPr>
      <w:r w:rsidRPr="00CF6765">
        <w:rPr>
          <w:rFonts w:eastAsia="Calibri"/>
          <w:sz w:val="18"/>
          <w:szCs w:val="20"/>
          <w:lang w:val="en-US"/>
        </w:rPr>
        <w:tab/>
        <w:t>D</w:t>
      </w:r>
      <w:r w:rsidR="007D7158" w:rsidRPr="00CF6765">
        <w:rPr>
          <w:rFonts w:eastAsia="Calibri"/>
          <w:sz w:val="18"/>
          <w:szCs w:val="20"/>
          <w:lang w:val="en-US"/>
        </w:rPr>
        <w:t>iagnosis:</w:t>
      </w:r>
    </w:p>
    <w:p w14:paraId="73952706" w14:textId="693ACDA8" w:rsidR="00E22B60" w:rsidRPr="00CF6765" w:rsidRDefault="007D7158" w:rsidP="00450250">
      <w:pPr>
        <w:tabs>
          <w:tab w:val="left" w:pos="567"/>
          <w:tab w:val="left" w:pos="630"/>
          <w:tab w:val="left" w:pos="810"/>
          <w:tab w:val="left" w:pos="1170"/>
        </w:tabs>
        <w:ind w:left="720" w:right="13"/>
        <w:rPr>
          <w:rFonts w:eastAsia="Calibri"/>
          <w:sz w:val="18"/>
          <w:szCs w:val="20"/>
          <w:lang w:val="en-US"/>
        </w:rPr>
      </w:pPr>
      <w:r w:rsidRPr="00CF6765">
        <w:rPr>
          <w:rFonts w:eastAsia="Calibri"/>
          <w:sz w:val="18"/>
          <w:szCs w:val="20"/>
          <w:lang w:val="en-US"/>
        </w:rPr>
        <w:t xml:space="preserve">      </w:t>
      </w:r>
      <w:r w:rsidR="00E22B60" w:rsidRPr="00CF6765">
        <w:rPr>
          <w:rFonts w:eastAsia="Calibri"/>
          <w:sz w:val="18"/>
          <w:szCs w:val="20"/>
          <w:lang w:val="en-US"/>
        </w:rPr>
        <w:t xml:space="preserve"> </w:t>
      </w:r>
      <w:r w:rsidRPr="00CF6765">
        <w:rPr>
          <w:rFonts w:eastAsia="Calibri"/>
          <w:sz w:val="18"/>
          <w:szCs w:val="20"/>
          <w:lang w:val="en-US"/>
        </w:rPr>
        <w:tab/>
      </w:r>
      <w:r w:rsidR="00E22B60" w:rsidRPr="00CF6765">
        <w:rPr>
          <w:rFonts w:eastAsia="Calibri"/>
          <w:sz w:val="18"/>
          <w:szCs w:val="20"/>
          <w:lang w:val="en-US"/>
        </w:rPr>
        <w:t xml:space="preserve">1) </w:t>
      </w:r>
      <w:r w:rsidRPr="00CF6765">
        <w:rPr>
          <w:rFonts w:eastAsia="Calibri"/>
          <w:sz w:val="18"/>
          <w:szCs w:val="20"/>
          <w:lang w:val="en-US"/>
        </w:rPr>
        <w:t>Partial acute respiratory failure.</w:t>
      </w:r>
    </w:p>
    <w:p w14:paraId="755DF7EA" w14:textId="4621E2E8" w:rsidR="00E22B60" w:rsidRPr="00CF6765" w:rsidRDefault="00E22B60" w:rsidP="00450250">
      <w:pPr>
        <w:tabs>
          <w:tab w:val="left" w:pos="567"/>
          <w:tab w:val="left" w:pos="630"/>
          <w:tab w:val="left" w:pos="810"/>
          <w:tab w:val="left" w:pos="1170"/>
        </w:tabs>
        <w:ind w:left="720" w:right="13"/>
        <w:rPr>
          <w:rFonts w:eastAsia="Calibri"/>
          <w:sz w:val="18"/>
          <w:szCs w:val="20"/>
          <w:lang w:val="en-US"/>
        </w:rPr>
      </w:pPr>
      <w:r w:rsidRPr="00CF6765">
        <w:rPr>
          <w:rFonts w:eastAsia="Calibri"/>
          <w:sz w:val="18"/>
          <w:szCs w:val="20"/>
          <w:lang w:val="en-US"/>
        </w:rPr>
        <w:t xml:space="preserve">       </w:t>
      </w:r>
      <w:r w:rsidR="007D7158" w:rsidRPr="00CF6765">
        <w:rPr>
          <w:rFonts w:eastAsia="Calibri"/>
          <w:sz w:val="18"/>
          <w:szCs w:val="20"/>
          <w:lang w:val="en-US"/>
        </w:rPr>
        <w:tab/>
      </w:r>
      <w:r w:rsidRPr="00CF6765">
        <w:rPr>
          <w:rFonts w:eastAsia="Calibri"/>
          <w:sz w:val="18"/>
          <w:szCs w:val="20"/>
          <w:lang w:val="en-US"/>
        </w:rPr>
        <w:t>2) Shock</w:t>
      </w:r>
      <w:r w:rsidR="007D7158" w:rsidRPr="00CF6765">
        <w:rPr>
          <w:rFonts w:eastAsia="Calibri"/>
          <w:sz w:val="18"/>
          <w:szCs w:val="20"/>
          <w:lang w:val="en-US"/>
        </w:rPr>
        <w:t>,</w:t>
      </w:r>
      <w:r w:rsidRPr="00CF6765">
        <w:rPr>
          <w:rFonts w:eastAsia="Calibri"/>
          <w:sz w:val="18"/>
          <w:szCs w:val="20"/>
          <w:lang w:val="en-US"/>
        </w:rPr>
        <w:t xml:space="preserve"> probabl</w:t>
      </w:r>
      <w:r w:rsidR="007D7158" w:rsidRPr="00CF6765">
        <w:rPr>
          <w:rFonts w:eastAsia="Calibri"/>
          <w:sz w:val="18"/>
          <w:szCs w:val="20"/>
          <w:lang w:val="en-US"/>
        </w:rPr>
        <w:t>y septic. Focus […] intrahospital pneumonia.</w:t>
      </w:r>
    </w:p>
    <w:p w14:paraId="30FCD0C8" w14:textId="5B260DA1" w:rsidR="00E22B60" w:rsidRPr="00CF6765" w:rsidRDefault="00E22B60" w:rsidP="00450250">
      <w:pPr>
        <w:tabs>
          <w:tab w:val="left" w:pos="567"/>
          <w:tab w:val="left" w:pos="630"/>
          <w:tab w:val="left" w:pos="810"/>
          <w:tab w:val="left" w:pos="1170"/>
        </w:tabs>
        <w:ind w:left="720" w:right="13"/>
        <w:rPr>
          <w:rFonts w:eastAsia="Calibri"/>
          <w:sz w:val="18"/>
          <w:szCs w:val="18"/>
          <w:lang w:val="en-US"/>
        </w:rPr>
      </w:pPr>
      <w:r w:rsidRPr="00CF6765">
        <w:rPr>
          <w:rFonts w:eastAsia="Calibri"/>
          <w:sz w:val="18"/>
          <w:szCs w:val="20"/>
          <w:lang w:val="en-US"/>
        </w:rPr>
        <w:t xml:space="preserve">      </w:t>
      </w:r>
      <w:r w:rsidRPr="00CF6765">
        <w:rPr>
          <w:rFonts w:eastAsia="Calibri"/>
          <w:sz w:val="18"/>
          <w:szCs w:val="20"/>
          <w:lang w:val="en-US"/>
        </w:rPr>
        <w:tab/>
      </w:r>
      <w:r w:rsidRPr="00CF6765">
        <w:rPr>
          <w:rFonts w:eastAsia="Calibri"/>
          <w:sz w:val="18"/>
          <w:szCs w:val="18"/>
          <w:lang w:val="en-US"/>
        </w:rPr>
        <w:t xml:space="preserve">3) DM Tipo II </w:t>
      </w:r>
      <w:r w:rsidR="007D7158" w:rsidRPr="00CF6765">
        <w:rPr>
          <w:rFonts w:eastAsia="Calibri"/>
          <w:sz w:val="18"/>
          <w:szCs w:val="18"/>
          <w:lang w:val="en-US"/>
        </w:rPr>
        <w:t>uncontrolled</w:t>
      </w:r>
    </w:p>
    <w:p w14:paraId="6DE25D66" w14:textId="24B33E83" w:rsidR="00E22B60" w:rsidRPr="00CF6765" w:rsidRDefault="00E22B60" w:rsidP="00450250">
      <w:pPr>
        <w:tabs>
          <w:tab w:val="left" w:pos="567"/>
          <w:tab w:val="left" w:pos="630"/>
          <w:tab w:val="left" w:pos="810"/>
          <w:tab w:val="left" w:pos="1170"/>
        </w:tabs>
        <w:ind w:left="720" w:right="13"/>
        <w:rPr>
          <w:rFonts w:eastAsia="Calibri"/>
          <w:sz w:val="18"/>
          <w:szCs w:val="18"/>
          <w:lang w:val="en-US"/>
        </w:rPr>
      </w:pPr>
      <w:r w:rsidRPr="00CF6765">
        <w:rPr>
          <w:rFonts w:eastAsia="Calibri"/>
          <w:sz w:val="18"/>
          <w:szCs w:val="18"/>
          <w:lang w:val="en-US"/>
        </w:rPr>
        <w:tab/>
      </w:r>
      <w:r w:rsidRPr="00CF6765">
        <w:rPr>
          <w:rFonts w:eastAsia="Calibri"/>
          <w:sz w:val="18"/>
          <w:szCs w:val="18"/>
          <w:lang w:val="en-US"/>
        </w:rPr>
        <w:tab/>
        <w:t xml:space="preserve">4) </w:t>
      </w:r>
      <w:r w:rsidR="007D7158" w:rsidRPr="00CF6765">
        <w:rPr>
          <w:rFonts w:eastAsia="Calibri"/>
          <w:sz w:val="18"/>
          <w:szCs w:val="18"/>
          <w:lang w:val="en-US"/>
        </w:rPr>
        <w:t>Renal failure; acute?</w:t>
      </w:r>
    </w:p>
    <w:p w14:paraId="2025FC9B" w14:textId="6F38BEC8" w:rsidR="00E22B60" w:rsidRPr="00CF6765" w:rsidRDefault="00E22B60" w:rsidP="00450250">
      <w:pPr>
        <w:tabs>
          <w:tab w:val="left" w:pos="810"/>
          <w:tab w:val="left" w:pos="1170"/>
        </w:tabs>
        <w:ind w:right="13"/>
        <w:rPr>
          <w:rFonts w:eastAsia="Calibri"/>
          <w:sz w:val="18"/>
          <w:szCs w:val="18"/>
          <w:lang w:val="en-US"/>
        </w:rPr>
      </w:pPr>
      <w:r w:rsidRPr="00CF6765">
        <w:rPr>
          <w:rFonts w:eastAsia="Calibri"/>
          <w:sz w:val="18"/>
          <w:szCs w:val="18"/>
          <w:lang w:val="en-US"/>
        </w:rPr>
        <w:tab/>
      </w:r>
      <w:r w:rsidRPr="00CF6765">
        <w:rPr>
          <w:rFonts w:eastAsia="Calibri"/>
          <w:sz w:val="18"/>
          <w:szCs w:val="18"/>
          <w:lang w:val="en-US"/>
        </w:rPr>
        <w:tab/>
        <w:t>5) H</w:t>
      </w:r>
      <w:r w:rsidR="007D7158" w:rsidRPr="00CF6765">
        <w:rPr>
          <w:rFonts w:eastAsia="Calibri"/>
          <w:sz w:val="18"/>
          <w:szCs w:val="18"/>
          <w:lang w:val="en-US"/>
        </w:rPr>
        <w:t>ight blood pressure</w:t>
      </w:r>
    </w:p>
    <w:p w14:paraId="6C588505" w14:textId="0BE34430" w:rsidR="00E22B60" w:rsidRPr="00CF6765" w:rsidRDefault="00E22B60" w:rsidP="00450250">
      <w:pPr>
        <w:tabs>
          <w:tab w:val="left" w:pos="810"/>
          <w:tab w:val="left" w:pos="1170"/>
        </w:tabs>
        <w:ind w:right="13"/>
        <w:rPr>
          <w:rFonts w:eastAsia="Calibri"/>
          <w:sz w:val="18"/>
          <w:szCs w:val="18"/>
          <w:lang w:val="en-US"/>
        </w:rPr>
      </w:pPr>
      <w:r w:rsidRPr="00CF6765">
        <w:rPr>
          <w:rFonts w:eastAsia="Calibri"/>
          <w:sz w:val="18"/>
          <w:szCs w:val="18"/>
          <w:lang w:val="en-US"/>
        </w:rPr>
        <w:tab/>
      </w:r>
      <w:r w:rsidRPr="00CF6765">
        <w:rPr>
          <w:rFonts w:eastAsia="Calibri"/>
          <w:sz w:val="18"/>
          <w:szCs w:val="18"/>
          <w:lang w:val="en-US"/>
        </w:rPr>
        <w:tab/>
        <w:t xml:space="preserve">6) </w:t>
      </w:r>
      <w:r w:rsidR="007D7158" w:rsidRPr="00CF6765">
        <w:rPr>
          <w:rFonts w:eastAsia="Calibri"/>
          <w:sz w:val="18"/>
          <w:szCs w:val="18"/>
          <w:lang w:val="en-US"/>
        </w:rPr>
        <w:t>Congestive heart failure</w:t>
      </w:r>
    </w:p>
    <w:p w14:paraId="1AF4124C" w14:textId="42D2B198" w:rsidR="00E22B60" w:rsidRPr="00CF6765" w:rsidRDefault="00E22B60" w:rsidP="00450250">
      <w:pPr>
        <w:tabs>
          <w:tab w:val="left" w:pos="1170"/>
        </w:tabs>
        <w:ind w:right="13"/>
        <w:rPr>
          <w:sz w:val="18"/>
          <w:szCs w:val="18"/>
          <w:lang w:val="en-US"/>
        </w:rPr>
      </w:pPr>
      <w:r w:rsidRPr="00CF6765">
        <w:rPr>
          <w:rFonts w:eastAsia="Calibri"/>
          <w:sz w:val="18"/>
          <w:szCs w:val="18"/>
          <w:lang w:val="en-US"/>
        </w:rPr>
        <w:tab/>
        <w:t xml:space="preserve">7) </w:t>
      </w:r>
      <w:r w:rsidR="007D7158" w:rsidRPr="00CF6765">
        <w:rPr>
          <w:sz w:val="18"/>
          <w:szCs w:val="18"/>
          <w:lang w:val="en-US"/>
        </w:rPr>
        <w:t>Complete arrhythmia caused by atrial fibrillation.</w:t>
      </w:r>
    </w:p>
    <w:p w14:paraId="206E9C4B" w14:textId="65A7D1FD" w:rsidR="00E22B60" w:rsidRPr="00CF6765" w:rsidRDefault="00E22B60" w:rsidP="00450250">
      <w:pPr>
        <w:tabs>
          <w:tab w:val="left" w:pos="810"/>
          <w:tab w:val="left" w:pos="1170"/>
        </w:tabs>
        <w:ind w:right="13"/>
        <w:rPr>
          <w:rFonts w:eastAsia="Calibri"/>
          <w:sz w:val="18"/>
          <w:szCs w:val="18"/>
          <w:lang w:val="en-US"/>
        </w:rPr>
      </w:pPr>
      <w:r w:rsidRPr="00CF6765">
        <w:rPr>
          <w:rFonts w:eastAsia="Calibri"/>
          <w:sz w:val="18"/>
          <w:szCs w:val="18"/>
          <w:lang w:val="en-US"/>
        </w:rPr>
        <w:tab/>
      </w:r>
      <w:r w:rsidRPr="00CF6765">
        <w:rPr>
          <w:rFonts w:eastAsia="Calibri"/>
          <w:sz w:val="18"/>
          <w:szCs w:val="18"/>
          <w:lang w:val="en-US"/>
        </w:rPr>
        <w:tab/>
        <w:t xml:space="preserve">8) </w:t>
      </w:r>
      <w:r w:rsidR="007D7158" w:rsidRPr="00CF6765">
        <w:rPr>
          <w:rFonts w:eastAsia="Calibri"/>
          <w:sz w:val="18"/>
          <w:szCs w:val="18"/>
          <w:lang w:val="en-US"/>
        </w:rPr>
        <w:t>Coronary cardiopathy.</w:t>
      </w:r>
    </w:p>
    <w:p w14:paraId="4E6EA2F1" w14:textId="55D0BD1B" w:rsidR="00E22B60" w:rsidRPr="00CF6765" w:rsidRDefault="00E22B60" w:rsidP="00450250">
      <w:pPr>
        <w:tabs>
          <w:tab w:val="left" w:pos="810"/>
          <w:tab w:val="left" w:pos="1170"/>
        </w:tabs>
        <w:ind w:right="13"/>
        <w:rPr>
          <w:rFonts w:eastAsia="Calibri"/>
          <w:sz w:val="18"/>
          <w:szCs w:val="20"/>
          <w:lang w:val="en-US"/>
        </w:rPr>
      </w:pPr>
      <w:r w:rsidRPr="00CF6765">
        <w:rPr>
          <w:rFonts w:eastAsia="Calibri"/>
          <w:sz w:val="18"/>
          <w:szCs w:val="18"/>
          <w:lang w:val="en-US"/>
        </w:rPr>
        <w:tab/>
      </w:r>
      <w:r w:rsidRPr="00CF6765">
        <w:rPr>
          <w:rFonts w:eastAsia="Calibri"/>
          <w:sz w:val="18"/>
          <w:szCs w:val="18"/>
          <w:lang w:val="en-US"/>
        </w:rPr>
        <w:tab/>
        <w:t>9</w:t>
      </w:r>
      <w:r w:rsidRPr="00CF6765">
        <w:rPr>
          <w:rFonts w:eastAsia="Calibri"/>
          <w:sz w:val="18"/>
          <w:szCs w:val="20"/>
          <w:lang w:val="en-US"/>
        </w:rPr>
        <w:t>) H</w:t>
      </w:r>
      <w:r w:rsidR="007D7158" w:rsidRPr="00CF6765">
        <w:rPr>
          <w:rFonts w:eastAsia="Calibri"/>
          <w:sz w:val="18"/>
          <w:szCs w:val="20"/>
          <w:lang w:val="en-US"/>
        </w:rPr>
        <w:t>yperkalemia</w:t>
      </w:r>
    </w:p>
    <w:p w14:paraId="056DCC26" w14:textId="659CBC5C" w:rsidR="00E22B60" w:rsidRPr="00CF6765" w:rsidRDefault="00E22B60" w:rsidP="00450250">
      <w:pPr>
        <w:tabs>
          <w:tab w:val="left" w:pos="810"/>
          <w:tab w:val="left" w:pos="1170"/>
        </w:tabs>
        <w:ind w:left="720" w:right="13"/>
        <w:rPr>
          <w:rFonts w:eastAsia="Calibri"/>
          <w:sz w:val="18"/>
          <w:szCs w:val="20"/>
          <w:lang w:val="en-US"/>
        </w:rPr>
      </w:pPr>
      <w:r w:rsidRPr="00CF6765">
        <w:rPr>
          <w:rFonts w:eastAsia="Calibri"/>
          <w:sz w:val="18"/>
          <w:szCs w:val="20"/>
          <w:lang w:val="en-US"/>
        </w:rPr>
        <w:tab/>
        <w:t xml:space="preserve">    10) </w:t>
      </w:r>
      <w:r w:rsidR="008765C0" w:rsidRPr="00CF6765">
        <w:rPr>
          <w:rFonts w:eastAsia="Calibri"/>
          <w:sz w:val="18"/>
          <w:szCs w:val="20"/>
          <w:lang w:val="en-US"/>
        </w:rPr>
        <w:t>Loss of consciousness</w:t>
      </w:r>
      <w:r w:rsidRPr="00CF6765">
        <w:rPr>
          <w:rFonts w:eastAsia="Calibri"/>
          <w:sz w:val="18"/>
          <w:szCs w:val="20"/>
          <w:lang w:val="en-US"/>
        </w:rPr>
        <w:t xml:space="preserve"> […]”</w:t>
      </w:r>
    </w:p>
    <w:p w14:paraId="603D840D" w14:textId="77777777" w:rsidR="00E22B60" w:rsidRPr="00CF6765" w:rsidRDefault="00E22B60" w:rsidP="00450250">
      <w:pPr>
        <w:tabs>
          <w:tab w:val="left" w:pos="630"/>
          <w:tab w:val="left" w:pos="810"/>
          <w:tab w:val="left" w:pos="1530"/>
          <w:tab w:val="left" w:pos="1620"/>
        </w:tabs>
        <w:ind w:right="13"/>
        <w:contextualSpacing/>
        <w:rPr>
          <w:rFonts w:eastAsia="Calibri"/>
          <w:sz w:val="20"/>
          <w:szCs w:val="20"/>
          <w:lang w:val="en-US"/>
        </w:rPr>
      </w:pPr>
    </w:p>
    <w:p w14:paraId="32FFD40B" w14:textId="725D8066" w:rsidR="00E22B60" w:rsidRPr="00CF6765" w:rsidRDefault="008765C0"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According to the statements made by the family members</w:t>
      </w:r>
      <w:r w:rsidR="0080462A" w:rsidRPr="00CF6765">
        <w:rPr>
          <w:rFonts w:eastAsia="Calibri"/>
          <w:sz w:val="20"/>
          <w:szCs w:val="20"/>
          <w:lang w:val="en-US"/>
        </w:rPr>
        <w:t>,</w:t>
      </w:r>
      <w:r w:rsidR="00250769" w:rsidRPr="00CF6765">
        <w:rPr>
          <w:rFonts w:eastAsia="Calibri"/>
          <w:sz w:val="20"/>
          <w:szCs w:val="20"/>
          <w:lang w:val="en-US"/>
        </w:rPr>
        <w:t xml:space="preserve"> </w:t>
      </w:r>
      <w:r w:rsidRPr="00CF6765">
        <w:rPr>
          <w:rFonts w:eastAsia="Calibri"/>
          <w:sz w:val="20"/>
          <w:szCs w:val="20"/>
          <w:lang w:val="en-US"/>
        </w:rPr>
        <w:t xml:space="preserve">the following events occurred </w:t>
      </w:r>
      <w:r w:rsidR="00250769" w:rsidRPr="00CF6765">
        <w:rPr>
          <w:rFonts w:eastAsia="Calibri"/>
          <w:sz w:val="20"/>
          <w:szCs w:val="20"/>
          <w:lang w:val="en-US"/>
        </w:rPr>
        <w:t xml:space="preserve">during the second admission </w:t>
      </w:r>
      <w:r w:rsidRPr="00CF6765">
        <w:rPr>
          <w:rFonts w:eastAsia="Calibri"/>
          <w:sz w:val="20"/>
          <w:szCs w:val="20"/>
          <w:lang w:val="en-US"/>
        </w:rPr>
        <w:t>and the State has not contested them:</w:t>
      </w:r>
    </w:p>
    <w:p w14:paraId="1B76845D" w14:textId="77777777" w:rsidR="00E22B60" w:rsidRPr="00CF6765" w:rsidRDefault="00E22B60" w:rsidP="00450250">
      <w:pPr>
        <w:tabs>
          <w:tab w:val="left" w:pos="630"/>
          <w:tab w:val="left" w:pos="810"/>
          <w:tab w:val="left" w:pos="1530"/>
          <w:tab w:val="left" w:pos="1620"/>
        </w:tabs>
        <w:ind w:right="13"/>
        <w:contextualSpacing/>
        <w:rPr>
          <w:rFonts w:eastAsia="Calibri"/>
          <w:sz w:val="20"/>
          <w:szCs w:val="20"/>
          <w:lang w:val="en-US"/>
        </w:rPr>
      </w:pPr>
    </w:p>
    <w:p w14:paraId="2CC09983" w14:textId="4D7B8906" w:rsidR="00E22B60" w:rsidRPr="00CF6765" w:rsidRDefault="00E22B60" w:rsidP="00450250">
      <w:pPr>
        <w:numPr>
          <w:ilvl w:val="0"/>
          <w:numId w:val="8"/>
        </w:numPr>
        <w:tabs>
          <w:tab w:val="left" w:pos="810"/>
          <w:tab w:val="left" w:pos="1530"/>
          <w:tab w:val="left" w:pos="1620"/>
        </w:tabs>
        <w:ind w:right="13"/>
        <w:contextualSpacing/>
        <w:rPr>
          <w:rFonts w:eastAsia="Calibri"/>
          <w:sz w:val="20"/>
          <w:szCs w:val="20"/>
          <w:lang w:val="en-US"/>
        </w:rPr>
      </w:pPr>
      <w:r w:rsidRPr="00CF6765">
        <w:rPr>
          <w:rFonts w:eastAsia="Calibri"/>
          <w:sz w:val="20"/>
          <w:szCs w:val="20"/>
          <w:lang w:val="en-US"/>
        </w:rPr>
        <w:t xml:space="preserve">Vinicio Marco Antonio Poblete Tapia </w:t>
      </w:r>
      <w:r w:rsidR="008765C0" w:rsidRPr="00CF6765">
        <w:rPr>
          <w:rFonts w:eastAsia="Calibri"/>
          <w:sz w:val="20"/>
          <w:szCs w:val="20"/>
          <w:lang w:val="en-US"/>
        </w:rPr>
        <w:t xml:space="preserve">stated that </w:t>
      </w:r>
      <w:r w:rsidR="00674700" w:rsidRPr="00CF6765">
        <w:rPr>
          <w:rFonts w:eastAsia="Calibri"/>
          <w:sz w:val="20"/>
          <w:szCs w:val="20"/>
          <w:lang w:val="en-US"/>
        </w:rPr>
        <w:t>Dr. Gonzales</w:t>
      </w:r>
      <w:r w:rsidRPr="00CF6765">
        <w:rPr>
          <w:rFonts w:eastAsia="Calibri"/>
          <w:sz w:val="20"/>
          <w:szCs w:val="20"/>
          <w:lang w:val="en-US"/>
        </w:rPr>
        <w:t xml:space="preserve"> </w:t>
      </w:r>
      <w:r w:rsidR="008765C0" w:rsidRPr="00CF6765">
        <w:rPr>
          <w:rFonts w:eastAsia="Calibri"/>
          <w:sz w:val="20"/>
          <w:szCs w:val="20"/>
          <w:lang w:val="en-US"/>
        </w:rPr>
        <w:t>informed him that his father required a mechanical ventilator; however, there were none in the Surgical ICU, but one was available in the Medical ICU.</w:t>
      </w:r>
      <w:r w:rsidRPr="00CF6765">
        <w:rPr>
          <w:rFonts w:eastAsia="Calibri"/>
          <w:sz w:val="20"/>
          <w:szCs w:val="20"/>
          <w:vertAlign w:val="superscript"/>
          <w:lang w:val="en-US"/>
        </w:rPr>
        <w:footnoteReference w:id="48"/>
      </w:r>
      <w:r w:rsidRPr="00CF6765">
        <w:rPr>
          <w:rFonts w:eastAsia="Calibri"/>
          <w:sz w:val="20"/>
          <w:szCs w:val="20"/>
          <w:lang w:val="en-US"/>
        </w:rPr>
        <w:t xml:space="preserve"> </w:t>
      </w:r>
    </w:p>
    <w:p w14:paraId="73CDF321" w14:textId="77777777" w:rsidR="00E22B60" w:rsidRPr="00CF6765" w:rsidRDefault="00E22B60" w:rsidP="00450250">
      <w:pPr>
        <w:tabs>
          <w:tab w:val="left" w:pos="810"/>
          <w:tab w:val="left" w:pos="1530"/>
          <w:tab w:val="left" w:pos="1620"/>
        </w:tabs>
        <w:ind w:left="720" w:right="13" w:hanging="360"/>
        <w:contextualSpacing/>
        <w:rPr>
          <w:rFonts w:eastAsia="Calibri"/>
          <w:sz w:val="20"/>
          <w:szCs w:val="20"/>
          <w:lang w:val="en-US"/>
        </w:rPr>
      </w:pPr>
    </w:p>
    <w:p w14:paraId="3EF53033" w14:textId="298606ED" w:rsidR="00E22B60" w:rsidRPr="00CF6765" w:rsidRDefault="00E22B60" w:rsidP="00450250">
      <w:pPr>
        <w:numPr>
          <w:ilvl w:val="0"/>
          <w:numId w:val="8"/>
        </w:numPr>
        <w:tabs>
          <w:tab w:val="left" w:pos="810"/>
          <w:tab w:val="left" w:pos="1530"/>
          <w:tab w:val="left" w:pos="1620"/>
        </w:tabs>
        <w:ind w:right="13"/>
        <w:contextualSpacing/>
        <w:rPr>
          <w:rFonts w:eastAsia="Calibri"/>
          <w:sz w:val="20"/>
          <w:szCs w:val="20"/>
          <w:lang w:val="en-US"/>
        </w:rPr>
      </w:pPr>
      <w:r w:rsidRPr="00CF6765">
        <w:rPr>
          <w:rFonts w:eastAsia="Calibri"/>
          <w:sz w:val="20"/>
          <w:szCs w:val="20"/>
          <w:lang w:val="en-US"/>
        </w:rPr>
        <w:t xml:space="preserve">Vinicio Poblete Tapia </w:t>
      </w:r>
      <w:r w:rsidR="008765C0" w:rsidRPr="00CF6765">
        <w:rPr>
          <w:rFonts w:eastAsia="Calibri"/>
          <w:sz w:val="20"/>
          <w:szCs w:val="20"/>
          <w:lang w:val="en-US"/>
        </w:rPr>
        <w:t>asked the doctor about the availability of a mechanical ventilator, but the doctor replied that “nothing would be gained by providing him with one, because with or without</w:t>
      </w:r>
      <w:r w:rsidR="0080462A" w:rsidRPr="00CF6765">
        <w:rPr>
          <w:rFonts w:eastAsia="Calibri"/>
          <w:sz w:val="20"/>
          <w:szCs w:val="20"/>
          <w:lang w:val="en-US"/>
        </w:rPr>
        <w:t xml:space="preserve"> it,</w:t>
      </w:r>
      <w:r w:rsidR="008765C0" w:rsidRPr="00CF6765">
        <w:rPr>
          <w:rFonts w:eastAsia="Calibri"/>
          <w:sz w:val="20"/>
          <w:szCs w:val="20"/>
          <w:lang w:val="en-US"/>
        </w:rPr>
        <w:t xml:space="preserve"> he would only last about seven more days.</w:t>
      </w:r>
      <w:r w:rsidRPr="00CF6765">
        <w:rPr>
          <w:rFonts w:eastAsia="Calibri"/>
          <w:sz w:val="20"/>
          <w:szCs w:val="20"/>
          <w:lang w:val="en-US"/>
        </w:rPr>
        <w:t>”</w:t>
      </w:r>
      <w:r w:rsidRPr="00CF6765">
        <w:rPr>
          <w:rFonts w:eastAsia="Calibri"/>
          <w:sz w:val="20"/>
          <w:szCs w:val="20"/>
          <w:vertAlign w:val="superscript"/>
          <w:lang w:val="en-US"/>
        </w:rPr>
        <w:footnoteReference w:id="49"/>
      </w:r>
    </w:p>
    <w:p w14:paraId="5F46EE11" w14:textId="77777777" w:rsidR="00E22B60" w:rsidRPr="00CF6765" w:rsidRDefault="00E22B60" w:rsidP="00450250">
      <w:pPr>
        <w:tabs>
          <w:tab w:val="left" w:pos="810"/>
          <w:tab w:val="left" w:pos="1530"/>
          <w:tab w:val="left" w:pos="1620"/>
        </w:tabs>
        <w:ind w:left="720" w:right="13" w:hanging="360"/>
        <w:contextualSpacing/>
        <w:rPr>
          <w:rFonts w:eastAsia="Calibri"/>
          <w:sz w:val="20"/>
          <w:szCs w:val="20"/>
          <w:lang w:val="en-US"/>
        </w:rPr>
      </w:pPr>
    </w:p>
    <w:p w14:paraId="3F27DE57" w14:textId="1E13F8B6" w:rsidR="00E22B60" w:rsidRPr="00CF6765" w:rsidRDefault="00E22B60" w:rsidP="00450250">
      <w:pPr>
        <w:numPr>
          <w:ilvl w:val="0"/>
          <w:numId w:val="8"/>
        </w:numPr>
        <w:tabs>
          <w:tab w:val="left" w:pos="810"/>
          <w:tab w:val="left" w:pos="1530"/>
          <w:tab w:val="left" w:pos="1620"/>
        </w:tabs>
        <w:ind w:right="13"/>
        <w:contextualSpacing/>
        <w:rPr>
          <w:rFonts w:eastAsia="Calibri"/>
          <w:sz w:val="20"/>
          <w:szCs w:val="20"/>
          <w:lang w:val="en-US"/>
        </w:rPr>
      </w:pPr>
      <w:proofErr w:type="spellStart"/>
      <w:r w:rsidRPr="00CF6765">
        <w:rPr>
          <w:rFonts w:eastAsia="Calibri"/>
          <w:sz w:val="20"/>
          <w:szCs w:val="20"/>
          <w:lang w:val="en-US"/>
        </w:rPr>
        <w:t>Cesia</w:t>
      </w:r>
      <w:proofErr w:type="spellEnd"/>
      <w:r w:rsidRPr="00CF6765">
        <w:rPr>
          <w:rFonts w:eastAsia="Calibri"/>
          <w:sz w:val="20"/>
          <w:szCs w:val="20"/>
          <w:lang w:val="en-US"/>
        </w:rPr>
        <w:t xml:space="preserve"> Leila Siria Poblete </w:t>
      </w:r>
      <w:r w:rsidR="008765C0" w:rsidRPr="00CF6765">
        <w:rPr>
          <w:rFonts w:eastAsia="Calibri"/>
          <w:sz w:val="20"/>
          <w:szCs w:val="20"/>
          <w:lang w:val="en-US"/>
        </w:rPr>
        <w:t>stated that he</w:t>
      </w:r>
      <w:r w:rsidR="0080462A" w:rsidRPr="00CF6765">
        <w:rPr>
          <w:rFonts w:eastAsia="Calibri"/>
          <w:sz w:val="20"/>
          <w:szCs w:val="20"/>
          <w:lang w:val="en-US"/>
        </w:rPr>
        <w:t>r</w:t>
      </w:r>
      <w:r w:rsidR="008765C0" w:rsidRPr="00CF6765">
        <w:rPr>
          <w:rFonts w:eastAsia="Calibri"/>
          <w:sz w:val="20"/>
          <w:szCs w:val="20"/>
          <w:lang w:val="en-US"/>
        </w:rPr>
        <w:t xml:space="preserve"> father remained in the Surgical ICU during his </w:t>
      </w:r>
      <w:r w:rsidR="00B969DD" w:rsidRPr="00CF6765">
        <w:rPr>
          <w:rFonts w:eastAsia="Calibri"/>
          <w:sz w:val="20"/>
          <w:szCs w:val="20"/>
          <w:lang w:val="en-US"/>
        </w:rPr>
        <w:t>second admission</w:t>
      </w:r>
      <w:r w:rsidRPr="00CF6765">
        <w:rPr>
          <w:rFonts w:eastAsia="Calibri"/>
          <w:sz w:val="20"/>
          <w:szCs w:val="20"/>
          <w:lang w:val="en-US"/>
        </w:rPr>
        <w:t xml:space="preserve"> </w:t>
      </w:r>
      <w:r w:rsidR="00EC50FC" w:rsidRPr="00CF6765">
        <w:rPr>
          <w:rFonts w:eastAsia="Calibri"/>
          <w:sz w:val="20"/>
          <w:szCs w:val="20"/>
          <w:lang w:val="en-US"/>
        </w:rPr>
        <w:t xml:space="preserve">and </w:t>
      </w:r>
      <w:r w:rsidR="008765C0" w:rsidRPr="00CF6765">
        <w:rPr>
          <w:rFonts w:eastAsia="Calibri"/>
          <w:sz w:val="20"/>
          <w:szCs w:val="20"/>
          <w:lang w:val="en-US"/>
        </w:rPr>
        <w:t xml:space="preserve">a doctor </w:t>
      </w:r>
      <w:r w:rsidR="00B328D7" w:rsidRPr="00CF6765">
        <w:rPr>
          <w:rFonts w:eastAsia="Calibri"/>
          <w:sz w:val="20"/>
          <w:szCs w:val="20"/>
          <w:lang w:val="en-US"/>
        </w:rPr>
        <w:t>informed</w:t>
      </w:r>
      <w:r w:rsidR="008765C0" w:rsidRPr="00CF6765">
        <w:rPr>
          <w:rFonts w:eastAsia="Calibri"/>
          <w:sz w:val="20"/>
          <w:szCs w:val="20"/>
          <w:lang w:val="en-US"/>
        </w:rPr>
        <w:t xml:space="preserve"> her brother, Vinicio, that he needed a</w:t>
      </w:r>
      <w:r w:rsidRPr="00CF6765">
        <w:rPr>
          <w:rFonts w:eastAsia="Calibri"/>
          <w:sz w:val="20"/>
          <w:szCs w:val="20"/>
          <w:lang w:val="en-US"/>
        </w:rPr>
        <w:t xml:space="preserve"> </w:t>
      </w:r>
      <w:r w:rsidR="008765C0" w:rsidRPr="00CF6765">
        <w:rPr>
          <w:rFonts w:eastAsia="Calibri"/>
          <w:sz w:val="20"/>
          <w:szCs w:val="20"/>
          <w:lang w:val="en-US"/>
        </w:rPr>
        <w:t>mechanical ventilator</w:t>
      </w:r>
      <w:r w:rsidRPr="00CF6765">
        <w:rPr>
          <w:rFonts w:eastAsia="Calibri"/>
          <w:sz w:val="20"/>
          <w:szCs w:val="20"/>
          <w:lang w:val="en-US"/>
        </w:rPr>
        <w:t xml:space="preserve">, </w:t>
      </w:r>
      <w:r w:rsidR="0080462A" w:rsidRPr="00CF6765">
        <w:rPr>
          <w:rFonts w:eastAsia="Calibri"/>
          <w:sz w:val="20"/>
          <w:szCs w:val="20"/>
          <w:lang w:val="en-US"/>
        </w:rPr>
        <w:t>and</w:t>
      </w:r>
      <w:r w:rsidR="008765C0" w:rsidRPr="00CF6765">
        <w:rPr>
          <w:rFonts w:eastAsia="Calibri"/>
          <w:sz w:val="20"/>
          <w:szCs w:val="20"/>
          <w:lang w:val="en-US"/>
        </w:rPr>
        <w:t xml:space="preserve"> there were none in that ICU, but one </w:t>
      </w:r>
      <w:r w:rsidR="0080462A" w:rsidRPr="00CF6765">
        <w:rPr>
          <w:rFonts w:eastAsia="Calibri"/>
          <w:sz w:val="20"/>
          <w:szCs w:val="20"/>
          <w:lang w:val="en-US"/>
        </w:rPr>
        <w:t xml:space="preserve">was </w:t>
      </w:r>
      <w:r w:rsidR="008765C0" w:rsidRPr="00CF6765">
        <w:rPr>
          <w:rFonts w:eastAsia="Calibri"/>
          <w:sz w:val="20"/>
          <w:szCs w:val="20"/>
          <w:lang w:val="en-US"/>
        </w:rPr>
        <w:t>available in the Medical ICU.</w:t>
      </w:r>
      <w:r w:rsidRPr="00CF6765">
        <w:rPr>
          <w:rFonts w:eastAsia="Calibri"/>
          <w:sz w:val="20"/>
          <w:szCs w:val="20"/>
          <w:vertAlign w:val="superscript"/>
          <w:lang w:val="en-US"/>
        </w:rPr>
        <w:footnoteReference w:id="50"/>
      </w:r>
      <w:r w:rsidRPr="00CF6765">
        <w:rPr>
          <w:rFonts w:eastAsia="Calibri"/>
          <w:sz w:val="20"/>
          <w:szCs w:val="20"/>
          <w:lang w:val="en-US"/>
        </w:rPr>
        <w:t xml:space="preserve"> </w:t>
      </w:r>
    </w:p>
    <w:p w14:paraId="7789731D" w14:textId="77777777" w:rsidR="00E22B60" w:rsidRPr="00CF6765" w:rsidRDefault="00E22B60" w:rsidP="00E22B60">
      <w:pPr>
        <w:tabs>
          <w:tab w:val="left" w:pos="810"/>
          <w:tab w:val="left" w:pos="1530"/>
          <w:tab w:val="left" w:pos="1620"/>
        </w:tabs>
        <w:ind w:left="720" w:right="-360" w:hanging="360"/>
        <w:contextualSpacing/>
        <w:rPr>
          <w:rFonts w:eastAsia="Calibri"/>
          <w:sz w:val="20"/>
          <w:szCs w:val="20"/>
          <w:lang w:val="en-US"/>
        </w:rPr>
      </w:pPr>
    </w:p>
    <w:p w14:paraId="6F12129F" w14:textId="76D8B76B" w:rsidR="00E22B60" w:rsidRPr="00CF6765" w:rsidRDefault="00E22B60" w:rsidP="00B20F91">
      <w:pPr>
        <w:numPr>
          <w:ilvl w:val="0"/>
          <w:numId w:val="8"/>
        </w:numPr>
        <w:tabs>
          <w:tab w:val="left" w:pos="810"/>
          <w:tab w:val="left" w:pos="1530"/>
          <w:tab w:val="left" w:pos="1620"/>
        </w:tabs>
        <w:ind w:right="13"/>
        <w:rPr>
          <w:rFonts w:eastAsia="Calibri"/>
          <w:sz w:val="20"/>
          <w:szCs w:val="20"/>
          <w:lang w:val="en-US"/>
        </w:rPr>
      </w:pPr>
      <w:proofErr w:type="spellStart"/>
      <w:r w:rsidRPr="00CF6765">
        <w:rPr>
          <w:rFonts w:eastAsia="Calibri"/>
          <w:sz w:val="20"/>
          <w:szCs w:val="20"/>
          <w:lang w:val="en-US"/>
        </w:rPr>
        <w:t>Cesia</w:t>
      </w:r>
      <w:proofErr w:type="spellEnd"/>
      <w:r w:rsidRPr="00CF6765">
        <w:rPr>
          <w:rFonts w:eastAsia="Calibri"/>
          <w:sz w:val="20"/>
          <w:szCs w:val="20"/>
          <w:lang w:val="en-US"/>
        </w:rPr>
        <w:t xml:space="preserve"> Leila Siria Poblete </w:t>
      </w:r>
      <w:r w:rsidR="008765C0" w:rsidRPr="00CF6765">
        <w:rPr>
          <w:rFonts w:eastAsia="Calibri"/>
          <w:sz w:val="20"/>
          <w:szCs w:val="20"/>
          <w:lang w:val="en-US"/>
        </w:rPr>
        <w:t>stated that her brother,</w:t>
      </w:r>
      <w:r w:rsidRPr="00CF6765">
        <w:rPr>
          <w:rFonts w:eastAsia="Calibri"/>
          <w:sz w:val="20"/>
          <w:szCs w:val="20"/>
          <w:lang w:val="en-US"/>
        </w:rPr>
        <w:t xml:space="preserve"> Vinicio Marco</w:t>
      </w:r>
      <w:r w:rsidR="00126F91" w:rsidRPr="00CF6765">
        <w:rPr>
          <w:rFonts w:eastAsia="Calibri"/>
          <w:sz w:val="20"/>
          <w:szCs w:val="20"/>
          <w:lang w:val="en-US"/>
        </w:rPr>
        <w:t xml:space="preserve"> Poblete</w:t>
      </w:r>
      <w:r w:rsidR="008765C0" w:rsidRPr="00CF6765">
        <w:rPr>
          <w:rFonts w:eastAsia="Calibri"/>
          <w:sz w:val="20"/>
          <w:szCs w:val="20"/>
          <w:lang w:val="en-US"/>
        </w:rPr>
        <w:t>, called the hospital and the doctor in charge of her father told him that his father had been taken to the Surgical ICU rather than the Medical ICU because</w:t>
      </w:r>
      <w:r w:rsidR="0080462A" w:rsidRPr="00CF6765">
        <w:rPr>
          <w:rFonts w:eastAsia="Calibri"/>
          <w:sz w:val="20"/>
          <w:szCs w:val="20"/>
          <w:lang w:val="en-US"/>
        </w:rPr>
        <w:t xml:space="preserve"> it was not possible to take an old man to the Medical ICU, because</w:t>
      </w:r>
      <w:r w:rsidR="008765C0" w:rsidRPr="00CF6765">
        <w:rPr>
          <w:rFonts w:eastAsia="Calibri"/>
          <w:sz w:val="20"/>
          <w:szCs w:val="20"/>
          <w:lang w:val="en-US"/>
        </w:rPr>
        <w:t xml:space="preserve"> that possibility</w:t>
      </w:r>
      <w:r w:rsidR="0080462A" w:rsidRPr="00CF6765">
        <w:rPr>
          <w:rFonts w:eastAsia="Calibri"/>
          <w:sz w:val="20"/>
          <w:szCs w:val="20"/>
          <w:lang w:val="en-US"/>
        </w:rPr>
        <w:t xml:space="preserve"> should be given</w:t>
      </w:r>
      <w:r w:rsidR="008765C0" w:rsidRPr="00CF6765">
        <w:rPr>
          <w:rFonts w:eastAsia="Calibri"/>
          <w:sz w:val="20"/>
          <w:szCs w:val="20"/>
          <w:lang w:val="en-US"/>
        </w:rPr>
        <w:t xml:space="preserve"> to a younger person.</w:t>
      </w:r>
      <w:r w:rsidRPr="00CF6765">
        <w:rPr>
          <w:rFonts w:eastAsia="Calibri"/>
          <w:sz w:val="20"/>
          <w:szCs w:val="20"/>
          <w:vertAlign w:val="superscript"/>
          <w:lang w:val="en-US"/>
        </w:rPr>
        <w:footnoteReference w:id="51"/>
      </w:r>
    </w:p>
    <w:p w14:paraId="23615DF7" w14:textId="77777777" w:rsidR="00E22B60" w:rsidRPr="00CF6765" w:rsidRDefault="00E22B60" w:rsidP="00B20F91">
      <w:pPr>
        <w:tabs>
          <w:tab w:val="left" w:pos="810"/>
          <w:tab w:val="left" w:pos="1530"/>
          <w:tab w:val="left" w:pos="1620"/>
        </w:tabs>
        <w:ind w:left="720" w:right="13" w:hanging="360"/>
        <w:rPr>
          <w:rFonts w:eastAsia="Calibri"/>
          <w:sz w:val="20"/>
          <w:szCs w:val="20"/>
          <w:lang w:val="en-US"/>
        </w:rPr>
      </w:pPr>
    </w:p>
    <w:p w14:paraId="695E9E7A" w14:textId="1758370E" w:rsidR="00E22B60" w:rsidRPr="00CF6765" w:rsidRDefault="00E22B60" w:rsidP="00B20F91">
      <w:pPr>
        <w:numPr>
          <w:ilvl w:val="0"/>
          <w:numId w:val="8"/>
        </w:numPr>
        <w:tabs>
          <w:tab w:val="left" w:pos="810"/>
          <w:tab w:val="left" w:pos="1530"/>
          <w:tab w:val="left" w:pos="1620"/>
        </w:tabs>
        <w:ind w:right="13"/>
        <w:rPr>
          <w:rFonts w:eastAsia="Calibri"/>
          <w:sz w:val="20"/>
          <w:szCs w:val="20"/>
          <w:lang w:val="en-US"/>
        </w:rPr>
      </w:pPr>
      <w:proofErr w:type="spellStart"/>
      <w:r w:rsidRPr="00CF6765">
        <w:rPr>
          <w:rFonts w:eastAsia="Calibri"/>
          <w:sz w:val="20"/>
          <w:szCs w:val="20"/>
          <w:lang w:val="en-US"/>
        </w:rPr>
        <w:t>Cesia</w:t>
      </w:r>
      <w:proofErr w:type="spellEnd"/>
      <w:r w:rsidRPr="00CF6765">
        <w:rPr>
          <w:rFonts w:eastAsia="Calibri"/>
          <w:sz w:val="20"/>
          <w:szCs w:val="20"/>
          <w:lang w:val="en-US"/>
        </w:rPr>
        <w:t xml:space="preserve"> Leila Siria Poblete </w:t>
      </w:r>
      <w:r w:rsidR="008765C0" w:rsidRPr="00CF6765">
        <w:rPr>
          <w:rFonts w:eastAsia="Calibri"/>
          <w:sz w:val="20"/>
          <w:szCs w:val="20"/>
          <w:lang w:val="en-US"/>
        </w:rPr>
        <w:t>added that her brother,</w:t>
      </w:r>
      <w:r w:rsidRPr="00CF6765">
        <w:rPr>
          <w:rFonts w:eastAsia="Calibri"/>
          <w:sz w:val="20"/>
          <w:szCs w:val="20"/>
          <w:lang w:val="en-US"/>
        </w:rPr>
        <w:t xml:space="preserve"> Vinicio</w:t>
      </w:r>
      <w:r w:rsidR="00126F91" w:rsidRPr="00CF6765">
        <w:rPr>
          <w:rFonts w:eastAsia="Calibri"/>
          <w:sz w:val="20"/>
          <w:szCs w:val="20"/>
          <w:lang w:val="en-US"/>
        </w:rPr>
        <w:t xml:space="preserve"> Marco Poblete</w:t>
      </w:r>
      <w:r w:rsidR="008765C0" w:rsidRPr="00CF6765">
        <w:rPr>
          <w:rFonts w:eastAsia="Calibri"/>
          <w:sz w:val="20"/>
          <w:szCs w:val="20"/>
          <w:lang w:val="en-US"/>
        </w:rPr>
        <w:t>,</w:t>
      </w:r>
      <w:r w:rsidRPr="00CF6765">
        <w:rPr>
          <w:rFonts w:eastAsia="Calibri"/>
          <w:sz w:val="20"/>
          <w:szCs w:val="20"/>
          <w:lang w:val="en-US"/>
        </w:rPr>
        <w:t xml:space="preserve"> </w:t>
      </w:r>
      <w:r w:rsidR="008765C0" w:rsidRPr="00CF6765">
        <w:rPr>
          <w:rFonts w:eastAsia="Calibri"/>
          <w:sz w:val="20"/>
          <w:szCs w:val="20"/>
          <w:lang w:val="en-US"/>
        </w:rPr>
        <w:t>called the Medical</w:t>
      </w:r>
      <w:r w:rsidRPr="00CF6765">
        <w:rPr>
          <w:rFonts w:eastAsia="Calibri"/>
          <w:sz w:val="20"/>
          <w:szCs w:val="20"/>
          <w:lang w:val="en-US"/>
        </w:rPr>
        <w:t xml:space="preserve"> </w:t>
      </w:r>
      <w:r w:rsidR="00BB16C3" w:rsidRPr="00CF6765">
        <w:rPr>
          <w:rFonts w:eastAsia="Calibri"/>
          <w:sz w:val="20"/>
          <w:szCs w:val="20"/>
          <w:lang w:val="en-US"/>
        </w:rPr>
        <w:t>ICU</w:t>
      </w:r>
      <w:r w:rsidRPr="00CF6765">
        <w:rPr>
          <w:rFonts w:eastAsia="Calibri"/>
          <w:sz w:val="20"/>
          <w:szCs w:val="20"/>
          <w:lang w:val="en-US"/>
        </w:rPr>
        <w:t xml:space="preserve"> </w:t>
      </w:r>
      <w:r w:rsidR="008765C0" w:rsidRPr="00CF6765">
        <w:rPr>
          <w:rFonts w:eastAsia="Calibri"/>
          <w:sz w:val="20"/>
          <w:szCs w:val="20"/>
          <w:lang w:val="en-US"/>
        </w:rPr>
        <w:t xml:space="preserve">and spoke to the assistant director, </w:t>
      </w:r>
      <w:r w:rsidRPr="00CF6765">
        <w:rPr>
          <w:rFonts w:eastAsia="Calibri"/>
          <w:sz w:val="20"/>
          <w:szCs w:val="20"/>
          <w:lang w:val="en-US"/>
        </w:rPr>
        <w:t xml:space="preserve">Dr. Humberto </w:t>
      </w:r>
      <w:proofErr w:type="spellStart"/>
      <w:r w:rsidRPr="00CF6765">
        <w:rPr>
          <w:rFonts w:eastAsia="Calibri"/>
          <w:sz w:val="20"/>
          <w:szCs w:val="20"/>
          <w:lang w:val="en-US"/>
        </w:rPr>
        <w:t>Montecinos</w:t>
      </w:r>
      <w:proofErr w:type="spellEnd"/>
      <w:r w:rsidR="008765C0" w:rsidRPr="00CF6765">
        <w:rPr>
          <w:rFonts w:eastAsia="Calibri"/>
          <w:sz w:val="20"/>
          <w:szCs w:val="20"/>
          <w:lang w:val="en-US"/>
        </w:rPr>
        <w:t>, asking him to help his father by admitting him to the Medical ICU where a ventilator was available, to which the doctor replied “that he had already given him the opportunity to be in the Medical ICU</w:t>
      </w:r>
      <w:r w:rsidRPr="00CF6765">
        <w:rPr>
          <w:rFonts w:eastAsia="Calibri"/>
          <w:sz w:val="20"/>
          <w:szCs w:val="20"/>
          <w:lang w:val="en-US"/>
        </w:rPr>
        <w:t xml:space="preserve"> </w:t>
      </w:r>
      <w:r w:rsidR="008765C0" w:rsidRPr="00CF6765">
        <w:rPr>
          <w:rFonts w:eastAsia="Calibri"/>
          <w:sz w:val="20"/>
          <w:szCs w:val="20"/>
          <w:lang w:val="en-US"/>
        </w:rPr>
        <w:t>the first time he was hospitalized, so he would not give him a second [chance].</w:t>
      </w:r>
      <w:r w:rsidRPr="00CF6765">
        <w:rPr>
          <w:rFonts w:eastAsia="Calibri"/>
          <w:sz w:val="20"/>
          <w:szCs w:val="20"/>
          <w:lang w:val="en-US"/>
        </w:rPr>
        <w:t>”</w:t>
      </w:r>
      <w:r w:rsidRPr="00CF6765">
        <w:rPr>
          <w:rFonts w:eastAsia="Calibri"/>
          <w:sz w:val="20"/>
          <w:szCs w:val="20"/>
          <w:vertAlign w:val="superscript"/>
          <w:lang w:val="en-US"/>
        </w:rPr>
        <w:footnoteReference w:id="52"/>
      </w:r>
    </w:p>
    <w:p w14:paraId="6DF28EAD" w14:textId="77777777" w:rsidR="00E22B60" w:rsidRPr="00CF6765" w:rsidRDefault="00E22B60" w:rsidP="00B20F91">
      <w:pPr>
        <w:tabs>
          <w:tab w:val="left" w:pos="810"/>
          <w:tab w:val="left" w:pos="1530"/>
          <w:tab w:val="left" w:pos="1620"/>
        </w:tabs>
        <w:ind w:left="720" w:right="13" w:hanging="360"/>
        <w:rPr>
          <w:rFonts w:eastAsia="Calibri"/>
          <w:sz w:val="20"/>
          <w:szCs w:val="20"/>
          <w:lang w:val="en-US"/>
        </w:rPr>
      </w:pPr>
    </w:p>
    <w:p w14:paraId="0D587352" w14:textId="0B0F0984" w:rsidR="00E22B60" w:rsidRPr="00CF6765" w:rsidRDefault="00E22B60" w:rsidP="00B20F91">
      <w:pPr>
        <w:numPr>
          <w:ilvl w:val="0"/>
          <w:numId w:val="8"/>
        </w:numPr>
        <w:tabs>
          <w:tab w:val="left" w:pos="810"/>
          <w:tab w:val="left" w:pos="1530"/>
          <w:tab w:val="left" w:pos="1620"/>
        </w:tabs>
        <w:ind w:right="13"/>
        <w:contextualSpacing/>
        <w:rPr>
          <w:rFonts w:eastAsia="Calibri"/>
          <w:sz w:val="20"/>
          <w:szCs w:val="20"/>
          <w:lang w:val="en-US"/>
        </w:rPr>
      </w:pPr>
      <w:proofErr w:type="spellStart"/>
      <w:r w:rsidRPr="00CF6765">
        <w:rPr>
          <w:rFonts w:eastAsia="Calibri"/>
          <w:sz w:val="20"/>
          <w:szCs w:val="20"/>
          <w:lang w:val="en-US"/>
        </w:rPr>
        <w:t>Cesia</w:t>
      </w:r>
      <w:proofErr w:type="spellEnd"/>
      <w:r w:rsidRPr="00CF6765">
        <w:rPr>
          <w:rFonts w:eastAsia="Calibri"/>
          <w:sz w:val="20"/>
          <w:szCs w:val="20"/>
          <w:lang w:val="en-US"/>
        </w:rPr>
        <w:t xml:space="preserve"> Leila Siria Poblete </w:t>
      </w:r>
      <w:r w:rsidR="008765C0" w:rsidRPr="00CF6765">
        <w:rPr>
          <w:rFonts w:eastAsia="Calibri"/>
          <w:sz w:val="20"/>
          <w:szCs w:val="20"/>
          <w:lang w:val="en-US"/>
        </w:rPr>
        <w:t xml:space="preserve">stated that, since they did not have the money to buy a </w:t>
      </w:r>
      <w:r w:rsidR="00B328D7" w:rsidRPr="00CF6765">
        <w:rPr>
          <w:rFonts w:eastAsia="Calibri"/>
          <w:sz w:val="20"/>
          <w:szCs w:val="20"/>
          <w:lang w:val="en-US"/>
        </w:rPr>
        <w:t>ventilator</w:t>
      </w:r>
      <w:r w:rsidR="008765C0" w:rsidRPr="00CF6765">
        <w:rPr>
          <w:rFonts w:eastAsia="Calibri"/>
          <w:sz w:val="20"/>
          <w:szCs w:val="20"/>
          <w:lang w:val="en-US"/>
        </w:rPr>
        <w:t xml:space="preserve"> </w:t>
      </w:r>
      <w:r w:rsidR="00B328D7" w:rsidRPr="00CF6765">
        <w:rPr>
          <w:rFonts w:eastAsia="Calibri"/>
          <w:sz w:val="20"/>
          <w:szCs w:val="20"/>
          <w:lang w:val="en-US"/>
        </w:rPr>
        <w:t>for</w:t>
      </w:r>
      <w:r w:rsidR="008765C0" w:rsidRPr="00CF6765">
        <w:rPr>
          <w:rFonts w:eastAsia="Calibri"/>
          <w:sz w:val="20"/>
          <w:szCs w:val="20"/>
          <w:lang w:val="en-US"/>
        </w:rPr>
        <w:t xml:space="preserve"> their father, her brother, </w:t>
      </w:r>
      <w:r w:rsidRPr="00CF6765">
        <w:rPr>
          <w:rFonts w:eastAsia="Calibri"/>
          <w:sz w:val="20"/>
          <w:szCs w:val="20"/>
          <w:lang w:val="en-US"/>
        </w:rPr>
        <w:t>Vinicio Marco Antonio</w:t>
      </w:r>
      <w:r w:rsidR="008765C0" w:rsidRPr="00CF6765">
        <w:rPr>
          <w:rFonts w:eastAsia="Calibri"/>
          <w:sz w:val="20"/>
          <w:szCs w:val="20"/>
          <w:lang w:val="en-US"/>
        </w:rPr>
        <w:t xml:space="preserve">, called the television channels asking for help to obtain one. Subsequently, a journalist advised them that </w:t>
      </w:r>
      <w:r w:rsidR="0080462A" w:rsidRPr="00CF6765">
        <w:rPr>
          <w:rFonts w:eastAsia="Calibri"/>
          <w:sz w:val="20"/>
          <w:szCs w:val="20"/>
          <w:lang w:val="en-US"/>
        </w:rPr>
        <w:t xml:space="preserve">one had been obtained </w:t>
      </w:r>
      <w:r w:rsidR="008765C0" w:rsidRPr="00CF6765">
        <w:rPr>
          <w:rFonts w:eastAsia="Calibri"/>
          <w:sz w:val="20"/>
          <w:szCs w:val="20"/>
          <w:lang w:val="en-US"/>
        </w:rPr>
        <w:t xml:space="preserve">and that the information had already been passed on to Dr. </w:t>
      </w:r>
      <w:r w:rsidRPr="00CF6765">
        <w:rPr>
          <w:rFonts w:eastAsia="Calibri"/>
          <w:sz w:val="20"/>
          <w:szCs w:val="20"/>
          <w:lang w:val="en-US"/>
        </w:rPr>
        <w:t xml:space="preserve">Humberto </w:t>
      </w:r>
      <w:proofErr w:type="spellStart"/>
      <w:r w:rsidRPr="00CF6765">
        <w:rPr>
          <w:rFonts w:eastAsia="Calibri"/>
          <w:sz w:val="20"/>
          <w:szCs w:val="20"/>
          <w:lang w:val="en-US"/>
        </w:rPr>
        <w:t>Montecinos</w:t>
      </w:r>
      <w:proofErr w:type="spellEnd"/>
      <w:r w:rsidRPr="00CF6765">
        <w:rPr>
          <w:rFonts w:eastAsia="Calibri"/>
          <w:sz w:val="20"/>
          <w:szCs w:val="20"/>
          <w:lang w:val="en-US"/>
        </w:rPr>
        <w:t xml:space="preserve">, </w:t>
      </w:r>
      <w:r w:rsidR="008765C0" w:rsidRPr="00CF6765">
        <w:rPr>
          <w:rFonts w:eastAsia="Calibri"/>
          <w:sz w:val="20"/>
          <w:szCs w:val="20"/>
          <w:lang w:val="en-US"/>
        </w:rPr>
        <w:t>but the family never knew what happened to that mechanical ventilator.</w:t>
      </w:r>
      <w:r w:rsidRPr="00CF6765">
        <w:rPr>
          <w:rFonts w:eastAsia="Calibri"/>
          <w:sz w:val="20"/>
          <w:szCs w:val="20"/>
          <w:vertAlign w:val="superscript"/>
          <w:lang w:val="en-US"/>
        </w:rPr>
        <w:footnoteReference w:id="53"/>
      </w:r>
    </w:p>
    <w:p w14:paraId="154CB6A1" w14:textId="77777777" w:rsidR="00E22B60" w:rsidRPr="00CF6765" w:rsidRDefault="00E22B60" w:rsidP="00B20F91">
      <w:pPr>
        <w:tabs>
          <w:tab w:val="left" w:pos="630"/>
          <w:tab w:val="left" w:pos="810"/>
          <w:tab w:val="left" w:pos="1530"/>
          <w:tab w:val="left" w:pos="1620"/>
        </w:tabs>
        <w:ind w:right="13"/>
        <w:rPr>
          <w:rFonts w:eastAsia="Calibri"/>
          <w:sz w:val="20"/>
          <w:szCs w:val="20"/>
          <w:lang w:val="en-US"/>
        </w:rPr>
      </w:pPr>
    </w:p>
    <w:p w14:paraId="3B070DEA" w14:textId="19A10297" w:rsidR="00E22B60" w:rsidRPr="00CF6765" w:rsidRDefault="00B969DD" w:rsidP="00B20F91">
      <w:pPr>
        <w:numPr>
          <w:ilvl w:val="0"/>
          <w:numId w:val="2"/>
        </w:numPr>
        <w:tabs>
          <w:tab w:val="left" w:pos="567"/>
          <w:tab w:val="left" w:pos="630"/>
          <w:tab w:val="left" w:pos="810"/>
          <w:tab w:val="left" w:pos="1530"/>
          <w:tab w:val="num" w:pos="1569"/>
          <w:tab w:val="left" w:pos="1620"/>
          <w:tab w:val="num" w:pos="12305"/>
        </w:tabs>
        <w:ind w:left="0" w:right="13" w:firstLine="0"/>
        <w:rPr>
          <w:rFonts w:eastAsia="Calibri"/>
          <w:b/>
          <w:i/>
          <w:sz w:val="20"/>
          <w:szCs w:val="20"/>
          <w:lang w:val="en-US"/>
        </w:rPr>
      </w:pPr>
      <w:r w:rsidRPr="00CF6765">
        <w:rPr>
          <w:rFonts w:eastAsia="Calibri"/>
          <w:sz w:val="20"/>
          <w:szCs w:val="20"/>
          <w:lang w:val="en-US"/>
        </w:rPr>
        <w:t>The</w:t>
      </w:r>
      <w:r w:rsidR="00E22B60" w:rsidRPr="00CF6765">
        <w:rPr>
          <w:rFonts w:eastAsia="Calibri"/>
          <w:sz w:val="20"/>
          <w:szCs w:val="20"/>
          <w:lang w:val="en-US"/>
        </w:rPr>
        <w:t xml:space="preserve"> </w:t>
      </w:r>
      <w:r w:rsidRPr="00CF6765">
        <w:rPr>
          <w:rFonts w:eastAsia="Calibri"/>
          <w:sz w:val="20"/>
          <w:szCs w:val="20"/>
          <w:lang w:val="en-US"/>
        </w:rPr>
        <w:t>medical record</w:t>
      </w:r>
      <w:r w:rsidR="00E22B60" w:rsidRPr="00CF6765">
        <w:rPr>
          <w:rFonts w:eastAsia="Calibri"/>
          <w:sz w:val="20"/>
          <w:szCs w:val="20"/>
          <w:lang w:val="en-US"/>
        </w:rPr>
        <w:t xml:space="preserve"> </w:t>
      </w:r>
      <w:r w:rsidRPr="00CF6765">
        <w:rPr>
          <w:rFonts w:eastAsia="Calibri"/>
          <w:sz w:val="20"/>
          <w:szCs w:val="20"/>
          <w:lang w:val="en-US"/>
        </w:rPr>
        <w:t>of</w:t>
      </w:r>
      <w:r w:rsidR="00E22B60" w:rsidRPr="00CF6765">
        <w:rPr>
          <w:rFonts w:eastAsia="Calibri"/>
          <w:sz w:val="20"/>
          <w:szCs w:val="20"/>
          <w:lang w:val="en-US"/>
        </w:rPr>
        <w:t xml:space="preserve"> Vinicio Antonio Poblete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Pr="00CF6765">
        <w:rPr>
          <w:rFonts w:eastAsia="Calibri"/>
          <w:sz w:val="20"/>
          <w:szCs w:val="20"/>
          <w:lang w:val="en-US"/>
        </w:rPr>
        <w:t>at</w:t>
      </w:r>
      <w:r w:rsidR="00E22B60" w:rsidRPr="00CF6765">
        <w:rPr>
          <w:rFonts w:eastAsia="Calibri"/>
          <w:sz w:val="20"/>
          <w:szCs w:val="20"/>
          <w:lang w:val="en-US"/>
        </w:rPr>
        <w:t xml:space="preserve"> 12</w:t>
      </w:r>
      <w:r w:rsidRPr="00CF6765">
        <w:rPr>
          <w:rFonts w:eastAsia="Calibri"/>
          <w:sz w:val="20"/>
          <w:szCs w:val="20"/>
          <w:lang w:val="en-US"/>
        </w:rPr>
        <w:t>.</w:t>
      </w:r>
      <w:r w:rsidR="00E22B60" w:rsidRPr="00CF6765">
        <w:rPr>
          <w:rFonts w:eastAsia="Calibri"/>
          <w:sz w:val="20"/>
          <w:szCs w:val="20"/>
          <w:lang w:val="en-US"/>
        </w:rPr>
        <w:t>10</w:t>
      </w:r>
      <w:r w:rsidRPr="00CF6765">
        <w:rPr>
          <w:rFonts w:eastAsia="Calibri"/>
          <w:sz w:val="20"/>
          <w:szCs w:val="20"/>
          <w:lang w:val="en-US"/>
        </w:rPr>
        <w:t xml:space="preserve"> p.m. on February 7, 2001</w:t>
      </w:r>
      <w:r w:rsidR="00E22B60" w:rsidRPr="00CF6765">
        <w:rPr>
          <w:rFonts w:eastAsia="Calibri"/>
          <w:sz w:val="20"/>
          <w:szCs w:val="20"/>
          <w:lang w:val="en-US"/>
        </w:rPr>
        <w:t xml:space="preserve">, </w:t>
      </w:r>
      <w:r w:rsidR="004C3B57" w:rsidRPr="00CF6765">
        <w:rPr>
          <w:rFonts w:eastAsia="Calibri"/>
          <w:sz w:val="20"/>
          <w:szCs w:val="20"/>
          <w:lang w:val="en-US"/>
        </w:rPr>
        <w:t xml:space="preserve">indicates the time at which the family were given information on the health </w:t>
      </w:r>
      <w:r w:rsidR="0080462A" w:rsidRPr="00CF6765">
        <w:rPr>
          <w:rFonts w:eastAsia="Calibri"/>
          <w:sz w:val="20"/>
          <w:szCs w:val="20"/>
          <w:lang w:val="en-US"/>
        </w:rPr>
        <w:t>status</w:t>
      </w:r>
      <w:r w:rsidR="004C3B57" w:rsidRPr="00CF6765">
        <w:rPr>
          <w:rFonts w:eastAsia="Calibri"/>
          <w:sz w:val="20"/>
          <w:szCs w:val="20"/>
          <w:lang w:val="en-US"/>
        </w:rPr>
        <w:t xml:space="preserve"> </w:t>
      </w:r>
      <w:r w:rsidR="00D04694" w:rsidRPr="00CF6765">
        <w:rPr>
          <w:rFonts w:eastAsia="Calibri"/>
          <w:sz w:val="20"/>
          <w:szCs w:val="20"/>
          <w:lang w:val="en-US"/>
        </w:rPr>
        <w:t>of Mr.</w:t>
      </w:r>
      <w:r w:rsidR="00D2168F" w:rsidRPr="00CF6765">
        <w:rPr>
          <w:rFonts w:eastAsia="Calibri"/>
          <w:sz w:val="20"/>
          <w:szCs w:val="20"/>
          <w:lang w:val="en-US"/>
        </w:rPr>
        <w:t xml:space="preserve">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w:t>
      </w:r>
    </w:p>
    <w:p w14:paraId="18AD922B" w14:textId="77777777" w:rsidR="00E22B60" w:rsidRPr="00CF6765" w:rsidRDefault="00E22B60" w:rsidP="00B20F91">
      <w:pPr>
        <w:tabs>
          <w:tab w:val="left" w:pos="630"/>
          <w:tab w:val="left" w:pos="810"/>
          <w:tab w:val="left" w:pos="1530"/>
          <w:tab w:val="left" w:pos="1620"/>
          <w:tab w:val="left" w:pos="3254"/>
        </w:tabs>
        <w:ind w:right="13"/>
        <w:rPr>
          <w:rFonts w:eastAsia="Calibri"/>
          <w:sz w:val="20"/>
          <w:szCs w:val="20"/>
          <w:lang w:val="en-US"/>
        </w:rPr>
      </w:pPr>
      <w:r w:rsidRPr="00CF6765">
        <w:rPr>
          <w:rFonts w:eastAsia="Calibri"/>
          <w:sz w:val="20"/>
          <w:szCs w:val="20"/>
          <w:lang w:val="en-US"/>
        </w:rPr>
        <w:tab/>
      </w:r>
    </w:p>
    <w:p w14:paraId="55CD2C06" w14:textId="67B12665" w:rsidR="00E22B60" w:rsidRPr="00CF6765" w:rsidRDefault="00E22B60" w:rsidP="00B20F91">
      <w:pPr>
        <w:tabs>
          <w:tab w:val="left" w:pos="630"/>
          <w:tab w:val="left" w:pos="810"/>
          <w:tab w:val="left" w:pos="1530"/>
          <w:tab w:val="left" w:pos="1620"/>
        </w:tabs>
        <w:ind w:left="540" w:right="373"/>
        <w:contextualSpacing/>
        <w:rPr>
          <w:rFonts w:eastAsia="Calibri"/>
          <w:sz w:val="18"/>
          <w:szCs w:val="18"/>
          <w:lang w:val="en-US"/>
        </w:rPr>
      </w:pPr>
      <w:r w:rsidRPr="00CF6765">
        <w:rPr>
          <w:rFonts w:eastAsia="Calibri"/>
          <w:sz w:val="18"/>
          <w:szCs w:val="18"/>
          <w:lang w:val="en-US"/>
        </w:rPr>
        <w:tab/>
        <w:t xml:space="preserve">“[…] </w:t>
      </w:r>
      <w:r w:rsidR="00B129C7" w:rsidRPr="00CF6765">
        <w:rPr>
          <w:rFonts w:eastAsia="Calibri"/>
          <w:sz w:val="18"/>
          <w:szCs w:val="18"/>
          <w:lang w:val="en-US"/>
        </w:rPr>
        <w:t xml:space="preserve">The seriousness of the </w:t>
      </w:r>
      <w:r w:rsidR="00B328D7" w:rsidRPr="00CF6765">
        <w:rPr>
          <w:rFonts w:eastAsia="Calibri"/>
          <w:sz w:val="18"/>
          <w:szCs w:val="18"/>
          <w:lang w:val="en-US"/>
        </w:rPr>
        <w:t>situation</w:t>
      </w:r>
      <w:r w:rsidR="00B129C7" w:rsidRPr="00CF6765">
        <w:rPr>
          <w:rFonts w:eastAsia="Calibri"/>
          <w:sz w:val="18"/>
          <w:szCs w:val="18"/>
          <w:lang w:val="en-US"/>
        </w:rPr>
        <w:t xml:space="preserve"> has been di</w:t>
      </w:r>
      <w:r w:rsidR="00162310" w:rsidRPr="00CF6765">
        <w:rPr>
          <w:rFonts w:eastAsia="Calibri"/>
          <w:sz w:val="18"/>
          <w:szCs w:val="18"/>
          <w:lang w:val="en-US"/>
        </w:rPr>
        <w:t>s</w:t>
      </w:r>
      <w:r w:rsidR="00B129C7" w:rsidRPr="00CF6765">
        <w:rPr>
          <w:rFonts w:eastAsia="Calibri"/>
          <w:sz w:val="18"/>
          <w:szCs w:val="18"/>
          <w:lang w:val="en-US"/>
        </w:rPr>
        <w:t xml:space="preserve">cussed with the family; I have also spoken about the decision to keep him in intermediate care and not in the ICU owing to the patient’s </w:t>
      </w:r>
      <w:r w:rsidR="00B328D7" w:rsidRPr="00CF6765">
        <w:rPr>
          <w:rFonts w:eastAsia="Calibri"/>
          <w:sz w:val="18"/>
          <w:szCs w:val="18"/>
          <w:lang w:val="en-US"/>
        </w:rPr>
        <w:t>condition</w:t>
      </w:r>
      <w:r w:rsidR="00B129C7" w:rsidRPr="00CF6765">
        <w:rPr>
          <w:rFonts w:eastAsia="Calibri"/>
          <w:sz w:val="18"/>
          <w:szCs w:val="18"/>
          <w:lang w:val="en-US"/>
        </w:rPr>
        <w:t xml:space="preserve"> and prognosis, </w:t>
      </w:r>
      <w:r w:rsidR="00162310" w:rsidRPr="00CF6765">
        <w:rPr>
          <w:rFonts w:eastAsia="Calibri"/>
          <w:sz w:val="18"/>
          <w:szCs w:val="18"/>
          <w:lang w:val="en-US"/>
        </w:rPr>
        <w:t>and</w:t>
      </w:r>
      <w:r w:rsidR="00B129C7" w:rsidRPr="00CF6765">
        <w:rPr>
          <w:rFonts w:eastAsia="Calibri"/>
          <w:sz w:val="18"/>
          <w:szCs w:val="18"/>
          <w:lang w:val="en-US"/>
        </w:rPr>
        <w:t xml:space="preserve"> the lack of beds for critical patients. The family indicates their agreement but I doubt they fully understand the prognosis [and] the patient’s current </w:t>
      </w:r>
      <w:r w:rsidR="0080462A" w:rsidRPr="00CF6765">
        <w:rPr>
          <w:rFonts w:eastAsia="Calibri"/>
          <w:sz w:val="18"/>
          <w:szCs w:val="18"/>
          <w:lang w:val="en-US"/>
        </w:rPr>
        <w:t>status</w:t>
      </w:r>
      <w:r w:rsidR="00B129C7" w:rsidRPr="00CF6765">
        <w:rPr>
          <w:rFonts w:eastAsia="Calibri"/>
          <w:sz w:val="18"/>
          <w:szCs w:val="18"/>
          <w:lang w:val="en-US"/>
        </w:rPr>
        <w:t>.</w:t>
      </w:r>
      <w:r w:rsidRPr="00CF6765">
        <w:rPr>
          <w:rFonts w:eastAsia="Calibri"/>
          <w:sz w:val="18"/>
          <w:szCs w:val="18"/>
          <w:lang w:val="en-US"/>
        </w:rPr>
        <w:t>”</w:t>
      </w:r>
      <w:r w:rsidRPr="00CF6765">
        <w:rPr>
          <w:rFonts w:eastAsia="Calibri"/>
          <w:sz w:val="18"/>
          <w:szCs w:val="18"/>
          <w:vertAlign w:val="superscript"/>
          <w:lang w:val="en-US"/>
        </w:rPr>
        <w:footnoteReference w:id="54"/>
      </w:r>
    </w:p>
    <w:p w14:paraId="3B1EC90F" w14:textId="77777777" w:rsidR="00E22B60" w:rsidRPr="00CF6765" w:rsidRDefault="00E22B60" w:rsidP="00B20F91">
      <w:pPr>
        <w:tabs>
          <w:tab w:val="left" w:pos="630"/>
          <w:tab w:val="left" w:pos="810"/>
          <w:tab w:val="left" w:pos="1530"/>
          <w:tab w:val="left" w:pos="1620"/>
        </w:tabs>
        <w:ind w:right="13"/>
        <w:rPr>
          <w:rFonts w:eastAsia="Calibri"/>
          <w:sz w:val="20"/>
          <w:szCs w:val="20"/>
          <w:lang w:val="en-US"/>
        </w:rPr>
      </w:pPr>
    </w:p>
    <w:p w14:paraId="271406FD" w14:textId="78BE7020" w:rsidR="00E22B60" w:rsidRPr="00CF6765" w:rsidRDefault="00B129C7" w:rsidP="00B20F91">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A communication of the</w:t>
      </w:r>
      <w:r w:rsidR="00E22B60" w:rsidRPr="00CF6765">
        <w:rPr>
          <w:rFonts w:eastAsia="Calibri"/>
          <w:sz w:val="20"/>
          <w:szCs w:val="20"/>
          <w:lang w:val="en-US"/>
        </w:rPr>
        <w:t xml:space="preserve"> Director </w:t>
      </w:r>
      <w:r w:rsidRPr="00CF6765">
        <w:rPr>
          <w:rFonts w:eastAsia="Calibri"/>
          <w:sz w:val="20"/>
          <w:szCs w:val="20"/>
          <w:lang w:val="en-US"/>
        </w:rPr>
        <w:t>of the</w:t>
      </w:r>
      <w:r w:rsidR="00E22B60" w:rsidRPr="00CF6765">
        <w:rPr>
          <w:rFonts w:eastAsia="Calibri"/>
          <w:sz w:val="20"/>
          <w:szCs w:val="20"/>
          <w:lang w:val="en-US"/>
        </w:rPr>
        <w:t xml:space="preserve"> </w:t>
      </w:r>
      <w:proofErr w:type="spellStart"/>
      <w:r w:rsidR="00E22B60" w:rsidRPr="00CF6765">
        <w:rPr>
          <w:rFonts w:eastAsia="Calibri"/>
          <w:sz w:val="20"/>
          <w:szCs w:val="20"/>
          <w:lang w:val="en-US"/>
        </w:rPr>
        <w:t>Sótero</w:t>
      </w:r>
      <w:proofErr w:type="spellEnd"/>
      <w:r w:rsidR="00E22B60" w:rsidRPr="00CF6765">
        <w:rPr>
          <w:rFonts w:eastAsia="Calibri"/>
          <w:sz w:val="20"/>
          <w:szCs w:val="20"/>
          <w:lang w:val="en-US"/>
        </w:rPr>
        <w:t xml:space="preserve"> del Rio</w:t>
      </w:r>
      <w:r w:rsidRPr="00CF6765">
        <w:rPr>
          <w:rFonts w:eastAsia="Calibri"/>
          <w:sz w:val="20"/>
          <w:szCs w:val="20"/>
          <w:lang w:val="en-US"/>
        </w:rPr>
        <w:t xml:space="preserve"> Health Complex indicates that </w:t>
      </w:r>
      <w:r w:rsidR="00E22B60" w:rsidRPr="00CF6765">
        <w:rPr>
          <w:sz w:val="20"/>
          <w:szCs w:val="20"/>
          <w:lang w:val="en-US"/>
        </w:rPr>
        <w:t xml:space="preserve">“[…] </w:t>
      </w:r>
      <w:r w:rsidR="004C3B57" w:rsidRPr="00CF6765">
        <w:rPr>
          <w:sz w:val="20"/>
          <w:szCs w:val="20"/>
          <w:lang w:val="en-US"/>
        </w:rPr>
        <w:t>On February 6,</w:t>
      </w:r>
      <w:r w:rsidR="00E22B60" w:rsidRPr="00CF6765">
        <w:rPr>
          <w:sz w:val="20"/>
          <w:szCs w:val="20"/>
          <w:lang w:val="en-US"/>
        </w:rPr>
        <w:t xml:space="preserve"> 2001, </w:t>
      </w:r>
      <w:r w:rsidR="004C3B57" w:rsidRPr="00CF6765">
        <w:rPr>
          <w:sz w:val="20"/>
          <w:szCs w:val="20"/>
          <w:lang w:val="en-US"/>
        </w:rPr>
        <w:t>the patient</w:t>
      </w:r>
      <w:r w:rsidR="00E22B60" w:rsidRPr="00CF6765">
        <w:rPr>
          <w:sz w:val="20"/>
          <w:szCs w:val="20"/>
          <w:lang w:val="en-US"/>
        </w:rPr>
        <w:t xml:space="preserve"> Vinicio Antonio Poblete </w:t>
      </w:r>
      <w:proofErr w:type="spellStart"/>
      <w:r w:rsidR="00E22B60" w:rsidRPr="00CF6765">
        <w:rPr>
          <w:sz w:val="20"/>
          <w:szCs w:val="20"/>
          <w:lang w:val="en-US"/>
        </w:rPr>
        <w:t>Vilches</w:t>
      </w:r>
      <w:proofErr w:type="spellEnd"/>
      <w:r w:rsidR="00E22B60" w:rsidRPr="00CF6765">
        <w:rPr>
          <w:sz w:val="20"/>
          <w:szCs w:val="20"/>
          <w:lang w:val="en-US"/>
        </w:rPr>
        <w:t xml:space="preserve"> </w:t>
      </w:r>
      <w:r w:rsidRPr="00CF6765">
        <w:rPr>
          <w:sz w:val="20"/>
          <w:szCs w:val="20"/>
          <w:lang w:val="en-US"/>
        </w:rPr>
        <w:t xml:space="preserve">was readmitted to the Adult Emergency Unit of this Health Complex, and was hospitalized with a diagnosis of symptoms of pneumonia and renal failure. […] In that Unit, Dr. Humberto </w:t>
      </w:r>
      <w:proofErr w:type="spellStart"/>
      <w:r w:rsidRPr="00CF6765">
        <w:rPr>
          <w:sz w:val="20"/>
          <w:szCs w:val="20"/>
          <w:lang w:val="en-US"/>
        </w:rPr>
        <w:t>Montecinos</w:t>
      </w:r>
      <w:proofErr w:type="spellEnd"/>
      <w:r w:rsidRPr="00CF6765">
        <w:rPr>
          <w:sz w:val="20"/>
          <w:szCs w:val="20"/>
          <w:lang w:val="en-US"/>
        </w:rPr>
        <w:t xml:space="preserve"> </w:t>
      </w:r>
      <w:proofErr w:type="spellStart"/>
      <w:r w:rsidRPr="00CF6765">
        <w:rPr>
          <w:sz w:val="20"/>
          <w:szCs w:val="20"/>
          <w:lang w:val="en-US"/>
        </w:rPr>
        <w:t>Salucci</w:t>
      </w:r>
      <w:proofErr w:type="spellEnd"/>
      <w:r w:rsidRPr="00CF6765">
        <w:rPr>
          <w:sz w:val="20"/>
          <w:szCs w:val="20"/>
          <w:lang w:val="en-US"/>
        </w:rPr>
        <w:t>, together with his medical team, based on the clinical symptoms and the available tests, concluded that the patient had experienced multiorgan failure, and the patient’s family was advised of this situation, as well as the poor prognosis.</w:t>
      </w:r>
      <w:r w:rsidR="003626CB" w:rsidRPr="00CF6765">
        <w:rPr>
          <w:sz w:val="20"/>
          <w:szCs w:val="20"/>
          <w:lang w:val="en-US"/>
        </w:rPr>
        <w:t xml:space="preserve"> As a result of the meeting that the medical team held with the family […] the decision was taken not to connect the patient to a mechanical ventilator, considering it was </w:t>
      </w:r>
      <w:r w:rsidR="00653816" w:rsidRPr="00CF6765">
        <w:rPr>
          <w:sz w:val="20"/>
          <w:szCs w:val="20"/>
          <w:lang w:val="en-US"/>
        </w:rPr>
        <w:t>a limitation of</w:t>
      </w:r>
      <w:r w:rsidR="003626CB" w:rsidRPr="00CF6765">
        <w:rPr>
          <w:sz w:val="20"/>
          <w:szCs w:val="20"/>
          <w:lang w:val="en-US"/>
        </w:rPr>
        <w:t xml:space="preserve"> therapeutic effort</w:t>
      </w:r>
      <w:r w:rsidR="00653816" w:rsidRPr="00CF6765">
        <w:rPr>
          <w:sz w:val="20"/>
          <w:szCs w:val="20"/>
          <w:lang w:val="en-US"/>
        </w:rPr>
        <w:t>s</w:t>
      </w:r>
      <w:r w:rsidR="003626CB" w:rsidRPr="00CF6765">
        <w:rPr>
          <w:sz w:val="20"/>
          <w:szCs w:val="20"/>
          <w:lang w:val="en-US"/>
        </w:rPr>
        <w:t>.</w:t>
      </w:r>
      <w:r w:rsidR="00E22B60" w:rsidRPr="00CF6765">
        <w:rPr>
          <w:sz w:val="20"/>
          <w:szCs w:val="20"/>
          <w:lang w:val="en-US"/>
        </w:rPr>
        <w:t>”</w:t>
      </w:r>
      <w:r w:rsidR="00E22B60" w:rsidRPr="00CF6765">
        <w:rPr>
          <w:sz w:val="20"/>
          <w:szCs w:val="20"/>
          <w:vertAlign w:val="superscript"/>
          <w:lang w:val="en-US"/>
        </w:rPr>
        <w:footnoteReference w:id="55"/>
      </w:r>
      <w:r w:rsidR="00E22B60" w:rsidRPr="00CF6765">
        <w:rPr>
          <w:sz w:val="20"/>
          <w:szCs w:val="20"/>
          <w:lang w:val="en-US"/>
        </w:rPr>
        <w:t xml:space="preserve">  </w:t>
      </w:r>
    </w:p>
    <w:p w14:paraId="465CD6C6" w14:textId="77777777" w:rsidR="00E22B60" w:rsidRPr="00CF6765" w:rsidRDefault="00E22B60" w:rsidP="00B20F91">
      <w:pPr>
        <w:tabs>
          <w:tab w:val="left" w:pos="630"/>
          <w:tab w:val="left" w:pos="810"/>
          <w:tab w:val="left" w:pos="1530"/>
          <w:tab w:val="left" w:pos="1620"/>
        </w:tabs>
        <w:ind w:right="13"/>
        <w:rPr>
          <w:rFonts w:eastAsia="Calibri"/>
          <w:sz w:val="20"/>
          <w:szCs w:val="20"/>
          <w:lang w:val="en-US"/>
        </w:rPr>
      </w:pPr>
    </w:p>
    <w:p w14:paraId="72A852FA" w14:textId="69F8A03F" w:rsidR="00E22B60" w:rsidRPr="00CF6765" w:rsidRDefault="00E22B60" w:rsidP="00E22B60">
      <w:pPr>
        <w:tabs>
          <w:tab w:val="left" w:pos="567"/>
          <w:tab w:val="left" w:pos="630"/>
          <w:tab w:val="left" w:pos="810"/>
          <w:tab w:val="left" w:pos="1530"/>
          <w:tab w:val="left" w:pos="1620"/>
        </w:tabs>
        <w:autoSpaceDE w:val="0"/>
        <w:autoSpaceDN w:val="0"/>
        <w:ind w:left="1440" w:right="-360"/>
        <w:contextualSpacing/>
        <w:outlineLvl w:val="2"/>
        <w:rPr>
          <w:rFonts w:eastAsia="Calibri"/>
          <w:b/>
          <w:spacing w:val="-2"/>
          <w:sz w:val="20"/>
          <w:szCs w:val="20"/>
          <w:lang w:val="en-US" w:eastAsia="x-none"/>
        </w:rPr>
      </w:pPr>
      <w:r w:rsidRPr="00CF6765">
        <w:rPr>
          <w:rFonts w:eastAsia="Calibri"/>
          <w:b/>
          <w:i/>
          <w:spacing w:val="-2"/>
          <w:sz w:val="20"/>
          <w:szCs w:val="20"/>
          <w:lang w:val="en-US" w:eastAsia="x-none"/>
        </w:rPr>
        <w:t xml:space="preserve">1.  </w:t>
      </w:r>
      <w:r w:rsidR="003626CB" w:rsidRPr="00CF6765">
        <w:rPr>
          <w:rFonts w:eastAsia="Calibri"/>
          <w:b/>
          <w:i/>
          <w:spacing w:val="-2"/>
          <w:sz w:val="20"/>
          <w:szCs w:val="20"/>
          <w:lang w:val="en-US" w:eastAsia="x-none"/>
        </w:rPr>
        <w:t>Death</w:t>
      </w:r>
      <w:r w:rsidRPr="00CF6765">
        <w:rPr>
          <w:rFonts w:eastAsia="Calibri"/>
          <w:b/>
          <w:i/>
          <w:spacing w:val="-2"/>
          <w:sz w:val="20"/>
          <w:szCs w:val="20"/>
          <w:lang w:val="en-US" w:eastAsia="x-none"/>
        </w:rPr>
        <w:t xml:space="preserve"> </w:t>
      </w:r>
      <w:r w:rsidR="00D04694" w:rsidRPr="00CF6765">
        <w:rPr>
          <w:rFonts w:eastAsia="Calibri"/>
          <w:b/>
          <w:i/>
          <w:spacing w:val="-2"/>
          <w:sz w:val="20"/>
          <w:szCs w:val="20"/>
          <w:lang w:val="en-US" w:eastAsia="x-none"/>
        </w:rPr>
        <w:t>of Mr.</w:t>
      </w:r>
      <w:r w:rsidR="00D2168F" w:rsidRPr="00CF6765">
        <w:rPr>
          <w:rFonts w:eastAsia="Calibri"/>
          <w:b/>
          <w:i/>
          <w:spacing w:val="-2"/>
          <w:sz w:val="20"/>
          <w:szCs w:val="20"/>
          <w:lang w:val="en-US" w:eastAsia="x-none"/>
        </w:rPr>
        <w:t xml:space="preserve"> Poblete</w:t>
      </w:r>
      <w:r w:rsidRPr="00CF6765">
        <w:rPr>
          <w:rFonts w:eastAsia="Calibri"/>
          <w:b/>
          <w:i/>
          <w:spacing w:val="-2"/>
          <w:sz w:val="20"/>
          <w:szCs w:val="20"/>
          <w:lang w:val="en-US" w:eastAsia="x-none"/>
        </w:rPr>
        <w:t xml:space="preserve"> </w:t>
      </w:r>
      <w:proofErr w:type="spellStart"/>
      <w:r w:rsidRPr="00CF6765">
        <w:rPr>
          <w:rFonts w:eastAsia="Calibri"/>
          <w:b/>
          <w:i/>
          <w:spacing w:val="-2"/>
          <w:sz w:val="20"/>
          <w:szCs w:val="20"/>
          <w:lang w:val="en-US" w:eastAsia="x-none"/>
        </w:rPr>
        <w:t>Vilches</w:t>
      </w:r>
      <w:proofErr w:type="spellEnd"/>
    </w:p>
    <w:p w14:paraId="3E8433FC" w14:textId="77777777" w:rsidR="00E22B60" w:rsidRPr="00CF6765" w:rsidRDefault="00E22B60" w:rsidP="00E22B60">
      <w:pPr>
        <w:tabs>
          <w:tab w:val="left" w:pos="630"/>
          <w:tab w:val="left" w:pos="810"/>
          <w:tab w:val="left" w:pos="1530"/>
          <w:tab w:val="left" w:pos="1620"/>
        </w:tabs>
        <w:ind w:right="-360"/>
        <w:rPr>
          <w:rFonts w:eastAsia="Calibri"/>
          <w:sz w:val="20"/>
          <w:szCs w:val="20"/>
          <w:lang w:val="en-US"/>
        </w:rPr>
      </w:pPr>
    </w:p>
    <w:p w14:paraId="70CB2B6D" w14:textId="170CF50C" w:rsidR="00E22B60" w:rsidRPr="00CF6765" w:rsidRDefault="003626CB"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 xml:space="preserve">The forensic report issued by the </w:t>
      </w:r>
      <w:r w:rsidR="0064057A" w:rsidRPr="00CF6765">
        <w:rPr>
          <w:rFonts w:eastAsia="Calibri"/>
          <w:sz w:val="20"/>
          <w:szCs w:val="20"/>
          <w:lang w:val="en-US"/>
        </w:rPr>
        <w:t xml:space="preserve">Forensic </w:t>
      </w:r>
      <w:r w:rsidR="00C21120" w:rsidRPr="00CF6765">
        <w:rPr>
          <w:rFonts w:eastAsia="Calibri"/>
          <w:sz w:val="20"/>
          <w:szCs w:val="20"/>
          <w:lang w:val="en-US"/>
        </w:rPr>
        <w:t>Medicine</w:t>
      </w:r>
      <w:r w:rsidR="0064057A" w:rsidRPr="00CF6765">
        <w:rPr>
          <w:rFonts w:eastAsia="Calibri"/>
          <w:sz w:val="20"/>
          <w:szCs w:val="20"/>
          <w:lang w:val="en-US"/>
        </w:rPr>
        <w:t xml:space="preserve"> Service</w:t>
      </w:r>
      <w:r w:rsidR="00E22B60" w:rsidRPr="00CF6765">
        <w:rPr>
          <w:rFonts w:eastAsia="Calibri"/>
          <w:sz w:val="20"/>
          <w:szCs w:val="20"/>
          <w:lang w:val="en-US"/>
        </w:rPr>
        <w:t xml:space="preserve"> </w:t>
      </w:r>
      <w:r w:rsidRPr="00CF6765">
        <w:rPr>
          <w:rFonts w:eastAsia="Calibri"/>
          <w:sz w:val="20"/>
          <w:szCs w:val="20"/>
          <w:lang w:val="en-US"/>
        </w:rPr>
        <w:t>of the Government of</w:t>
      </w:r>
      <w:r w:rsidR="00671A8C" w:rsidRPr="00CF6765">
        <w:rPr>
          <w:rFonts w:eastAsia="Calibri"/>
          <w:sz w:val="20"/>
          <w:szCs w:val="20"/>
          <w:lang w:val="en-US"/>
        </w:rPr>
        <w:t xml:space="preserve"> Chile</w:t>
      </w:r>
      <w:r w:rsidR="00E22B60" w:rsidRPr="00CF6765">
        <w:rPr>
          <w:rFonts w:eastAsia="Calibri"/>
          <w:sz w:val="20"/>
          <w:szCs w:val="20"/>
          <w:lang w:val="en-US"/>
        </w:rPr>
        <w:t xml:space="preserve"> </w:t>
      </w:r>
      <w:r w:rsidRPr="00CF6765">
        <w:rPr>
          <w:rFonts w:eastAsia="Calibri"/>
          <w:sz w:val="20"/>
          <w:szCs w:val="20"/>
          <w:lang w:val="en-US"/>
        </w:rPr>
        <w:t>dated June 8,</w:t>
      </w:r>
      <w:r w:rsidR="00E22B60" w:rsidRPr="00CF6765">
        <w:rPr>
          <w:rFonts w:eastAsia="Calibri"/>
          <w:sz w:val="20"/>
          <w:szCs w:val="20"/>
          <w:lang w:val="en-US"/>
        </w:rPr>
        <w:t xml:space="preserve"> 2006</w:t>
      </w:r>
      <w:r w:rsidRPr="00CF6765">
        <w:rPr>
          <w:rFonts w:eastAsia="Calibri"/>
          <w:sz w:val="20"/>
          <w:szCs w:val="20"/>
          <w:lang w:val="en-US"/>
        </w:rPr>
        <w:t>, indicates the following with regard to the final hours</w:t>
      </w:r>
      <w:r w:rsidR="00E22B60" w:rsidRPr="00CF6765">
        <w:rPr>
          <w:rFonts w:eastAsia="Calibri"/>
          <w:sz w:val="20"/>
          <w:szCs w:val="20"/>
          <w:lang w:val="en-US"/>
        </w:rPr>
        <w:t xml:space="preserve"> </w:t>
      </w:r>
      <w:r w:rsidR="00D04694" w:rsidRPr="00CF6765">
        <w:rPr>
          <w:rFonts w:eastAsia="Calibri"/>
          <w:sz w:val="20"/>
          <w:szCs w:val="20"/>
          <w:lang w:val="en-US"/>
        </w:rPr>
        <w:t>of Mr.</w:t>
      </w:r>
      <w:r w:rsidR="00D2168F" w:rsidRPr="00CF6765">
        <w:rPr>
          <w:rFonts w:eastAsia="Calibri"/>
          <w:sz w:val="20"/>
          <w:szCs w:val="20"/>
          <w:lang w:val="en-US"/>
        </w:rPr>
        <w:t xml:space="preserve">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w:t>
      </w:r>
    </w:p>
    <w:p w14:paraId="3D4DEF7B" w14:textId="77777777" w:rsidR="00E22B60" w:rsidRPr="00CF6765" w:rsidRDefault="00E22B60" w:rsidP="00450250">
      <w:pPr>
        <w:tabs>
          <w:tab w:val="left" w:pos="630"/>
          <w:tab w:val="left" w:pos="810"/>
          <w:tab w:val="left" w:pos="1530"/>
          <w:tab w:val="left" w:pos="1620"/>
        </w:tabs>
        <w:ind w:right="13"/>
        <w:contextualSpacing/>
        <w:rPr>
          <w:rFonts w:eastAsia="Calibri"/>
          <w:sz w:val="20"/>
          <w:szCs w:val="20"/>
          <w:lang w:val="en-US"/>
        </w:rPr>
      </w:pPr>
    </w:p>
    <w:p w14:paraId="71E91753" w14:textId="074F4FFB" w:rsidR="00E22B60" w:rsidRPr="00CF6765" w:rsidRDefault="00E22B60" w:rsidP="00B20F91">
      <w:pPr>
        <w:tabs>
          <w:tab w:val="left" w:pos="630"/>
          <w:tab w:val="left" w:pos="810"/>
          <w:tab w:val="left" w:pos="1530"/>
          <w:tab w:val="left" w:pos="1620"/>
        </w:tabs>
        <w:ind w:left="540" w:right="373"/>
        <w:contextualSpacing/>
        <w:rPr>
          <w:rFonts w:eastAsia="Calibri"/>
          <w:sz w:val="18"/>
          <w:szCs w:val="18"/>
          <w:lang w:val="en-US"/>
        </w:rPr>
      </w:pPr>
      <w:r w:rsidRPr="00CF6765">
        <w:rPr>
          <w:rFonts w:eastAsia="Calibri"/>
          <w:sz w:val="18"/>
          <w:szCs w:val="18"/>
          <w:lang w:val="en-US"/>
        </w:rPr>
        <w:t>“</w:t>
      </w:r>
      <w:r w:rsidR="008B75B0" w:rsidRPr="00CF6765">
        <w:rPr>
          <w:rFonts w:eastAsia="Calibri"/>
          <w:sz w:val="18"/>
          <w:szCs w:val="18"/>
          <w:lang w:val="en-US"/>
        </w:rPr>
        <w:t>11.</w:t>
      </w:r>
      <w:r w:rsidRPr="00CF6765">
        <w:rPr>
          <w:rFonts w:eastAsia="Calibri"/>
          <w:sz w:val="18"/>
          <w:szCs w:val="18"/>
          <w:lang w:val="en-US"/>
        </w:rPr>
        <w:t>20</w:t>
      </w:r>
      <w:r w:rsidR="008B75B0" w:rsidRPr="00CF6765">
        <w:rPr>
          <w:rFonts w:eastAsia="Calibri"/>
          <w:sz w:val="18"/>
          <w:szCs w:val="18"/>
          <w:lang w:val="en-US"/>
        </w:rPr>
        <w:t xml:space="preserve"> p.m.</w:t>
      </w:r>
      <w:r w:rsidRPr="00CF6765">
        <w:rPr>
          <w:rFonts w:eastAsia="Calibri"/>
          <w:sz w:val="18"/>
          <w:szCs w:val="18"/>
          <w:lang w:val="en-US"/>
        </w:rPr>
        <w:t xml:space="preserve">: </w:t>
      </w:r>
      <w:r w:rsidR="008B75B0" w:rsidRPr="00CF6765">
        <w:rPr>
          <w:rFonts w:eastAsia="Calibri"/>
          <w:sz w:val="18"/>
          <w:szCs w:val="18"/>
          <w:lang w:val="en-US"/>
        </w:rPr>
        <w:t xml:space="preserve">Patient with multiorgan failure and progressive metabolic acidosis. This, associated with </w:t>
      </w:r>
      <w:r w:rsidR="0040464C" w:rsidRPr="00CF6765">
        <w:rPr>
          <w:rFonts w:eastAsia="Calibri"/>
          <w:sz w:val="18"/>
          <w:szCs w:val="18"/>
          <w:lang w:val="en-US"/>
        </w:rPr>
        <w:t xml:space="preserve">a </w:t>
      </w:r>
      <w:r w:rsidR="008B75B0" w:rsidRPr="00CF6765">
        <w:rPr>
          <w:rFonts w:eastAsia="Calibri"/>
          <w:sz w:val="18"/>
          <w:szCs w:val="18"/>
          <w:lang w:val="en-US"/>
        </w:rPr>
        <w:t xml:space="preserve">prior </w:t>
      </w:r>
      <w:r w:rsidR="0040464C" w:rsidRPr="00CF6765">
        <w:rPr>
          <w:rFonts w:eastAsia="Calibri"/>
          <w:sz w:val="18"/>
          <w:szCs w:val="18"/>
          <w:lang w:val="en-US"/>
        </w:rPr>
        <w:t>medical condition</w:t>
      </w:r>
      <w:r w:rsidR="008B75B0" w:rsidRPr="00CF6765">
        <w:rPr>
          <w:rFonts w:eastAsia="Calibri"/>
          <w:sz w:val="18"/>
          <w:szCs w:val="18"/>
          <w:lang w:val="en-US"/>
        </w:rPr>
        <w:t>, leads to a poor prognosis. Following consultations with team, the ICU doctor notes that the patient has toxic shock syndrome associated with prior brain damage. The seriousness of the patient’s condition is discussed with the family and the need, owing to lack of a bed in the ICU, to continue in the Intermediate Service. Doctor doubts whether the family fully understand the patient’s current situation and prognosis</w:t>
      </w:r>
      <w:r w:rsidRPr="00CF6765">
        <w:rPr>
          <w:rFonts w:eastAsia="Calibri"/>
          <w:sz w:val="18"/>
          <w:szCs w:val="18"/>
          <w:lang w:val="en-US"/>
        </w:rPr>
        <w:t xml:space="preserve">. 5:45 </w:t>
      </w:r>
      <w:r w:rsidR="008B75B0" w:rsidRPr="00CF6765">
        <w:rPr>
          <w:rFonts w:eastAsia="Calibri"/>
          <w:sz w:val="18"/>
          <w:szCs w:val="18"/>
          <w:lang w:val="en-US"/>
        </w:rPr>
        <w:t>a.m. death is verified.</w:t>
      </w:r>
      <w:r w:rsidRPr="00CF6765">
        <w:rPr>
          <w:rFonts w:eastAsia="Calibri"/>
          <w:sz w:val="18"/>
          <w:szCs w:val="18"/>
          <w:lang w:val="en-US"/>
        </w:rPr>
        <w:t xml:space="preserve"> […]”</w:t>
      </w:r>
      <w:r w:rsidR="00653816" w:rsidRPr="00CF6765">
        <w:rPr>
          <w:rFonts w:eastAsia="Calibri"/>
          <w:sz w:val="18"/>
          <w:szCs w:val="18"/>
          <w:lang w:val="en-US"/>
        </w:rPr>
        <w:t>.</w:t>
      </w:r>
      <w:r w:rsidRPr="00CF6765">
        <w:rPr>
          <w:rFonts w:eastAsia="Calibri"/>
          <w:sz w:val="18"/>
          <w:szCs w:val="18"/>
          <w:vertAlign w:val="superscript"/>
          <w:lang w:val="en-US"/>
        </w:rPr>
        <w:footnoteReference w:id="56"/>
      </w:r>
    </w:p>
    <w:p w14:paraId="1630BC99" w14:textId="77777777" w:rsidR="00E22B60" w:rsidRPr="00CF6765" w:rsidRDefault="00E22B60" w:rsidP="00450250">
      <w:pPr>
        <w:tabs>
          <w:tab w:val="left" w:pos="630"/>
          <w:tab w:val="left" w:pos="810"/>
          <w:tab w:val="left" w:pos="1530"/>
          <w:tab w:val="left" w:pos="1620"/>
        </w:tabs>
        <w:ind w:right="13"/>
        <w:contextualSpacing/>
        <w:rPr>
          <w:rFonts w:eastAsia="Calibri"/>
          <w:b/>
          <w:i/>
          <w:sz w:val="18"/>
          <w:szCs w:val="18"/>
          <w:lang w:val="en-US"/>
        </w:rPr>
      </w:pPr>
    </w:p>
    <w:p w14:paraId="66BFED35" w14:textId="5E439761" w:rsidR="00E22B60" w:rsidRPr="00CF6765" w:rsidRDefault="008B75B0"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b/>
          <w:i/>
          <w:sz w:val="20"/>
          <w:szCs w:val="20"/>
          <w:lang w:val="en-US"/>
        </w:rPr>
      </w:pPr>
      <w:r w:rsidRPr="00CF6765">
        <w:rPr>
          <w:rFonts w:eastAsia="Calibri"/>
          <w:sz w:val="20"/>
          <w:szCs w:val="20"/>
          <w:lang w:val="en-US"/>
        </w:rPr>
        <w:lastRenderedPageBreak/>
        <w:t xml:space="preserve">According to the death certificate, </w:t>
      </w:r>
      <w:r w:rsidR="00D2168F" w:rsidRPr="00CF6765">
        <w:rPr>
          <w:rFonts w:eastAsia="Calibri"/>
          <w:sz w:val="20"/>
          <w:szCs w:val="20"/>
          <w:lang w:val="en-US"/>
        </w:rPr>
        <w:t>Vinicio</w:t>
      </w:r>
      <w:r w:rsidR="00E22B60" w:rsidRPr="00CF6765">
        <w:rPr>
          <w:rFonts w:eastAsia="Calibri"/>
          <w:sz w:val="20"/>
          <w:szCs w:val="20"/>
          <w:lang w:val="en-US"/>
        </w:rPr>
        <w:t xml:space="preserve"> Antonio Poblete </w:t>
      </w:r>
      <w:proofErr w:type="spellStart"/>
      <w:r w:rsidR="00E22B60" w:rsidRPr="00CF6765">
        <w:rPr>
          <w:rFonts w:eastAsia="Calibri"/>
          <w:sz w:val="20"/>
          <w:szCs w:val="20"/>
          <w:lang w:val="en-US"/>
        </w:rPr>
        <w:t>Vilches</w:t>
      </w:r>
      <w:proofErr w:type="spellEnd"/>
      <w:r w:rsidRPr="00CF6765">
        <w:rPr>
          <w:rFonts w:eastAsia="Calibri"/>
          <w:sz w:val="20"/>
          <w:szCs w:val="20"/>
          <w:lang w:val="en-US"/>
        </w:rPr>
        <w:t xml:space="preserve"> died of septic shock and bilateral bronchopneumonia at 5.40 a.m. on </w:t>
      </w:r>
      <w:r w:rsidR="00671A8C" w:rsidRPr="00CF6765">
        <w:rPr>
          <w:rFonts w:eastAsia="Calibri"/>
          <w:sz w:val="20"/>
          <w:szCs w:val="20"/>
          <w:lang w:val="en-US"/>
        </w:rPr>
        <w:t>February 7,</w:t>
      </w:r>
      <w:r w:rsidR="00E22B60" w:rsidRPr="00CF6765">
        <w:rPr>
          <w:rFonts w:eastAsia="Calibri"/>
          <w:sz w:val="20"/>
          <w:szCs w:val="20"/>
          <w:lang w:val="en-US"/>
        </w:rPr>
        <w:t xml:space="preserve"> 2001</w:t>
      </w:r>
      <w:r w:rsidRPr="00CF6765">
        <w:rPr>
          <w:rFonts w:eastAsia="Calibri"/>
          <w:sz w:val="20"/>
          <w:szCs w:val="20"/>
          <w:lang w:val="en-US"/>
        </w:rPr>
        <w:t>.</w:t>
      </w:r>
      <w:r w:rsidR="00E22B60" w:rsidRPr="00CF6765">
        <w:rPr>
          <w:rFonts w:eastAsia="Calibri"/>
          <w:sz w:val="18"/>
          <w:szCs w:val="18"/>
          <w:vertAlign w:val="superscript"/>
          <w:lang w:val="en-US"/>
        </w:rPr>
        <w:footnoteReference w:id="57"/>
      </w:r>
      <w:r w:rsidR="00E22B60" w:rsidRPr="00CF6765">
        <w:rPr>
          <w:rFonts w:eastAsia="Calibri"/>
          <w:sz w:val="20"/>
          <w:szCs w:val="20"/>
          <w:lang w:val="en-US"/>
        </w:rPr>
        <w:t xml:space="preserve"> </w:t>
      </w:r>
    </w:p>
    <w:p w14:paraId="6BFBE9DC" w14:textId="77777777" w:rsidR="00E22B60" w:rsidRPr="00CF6765" w:rsidRDefault="00E22B60" w:rsidP="00450250">
      <w:pPr>
        <w:tabs>
          <w:tab w:val="left" w:pos="630"/>
          <w:tab w:val="left" w:pos="810"/>
          <w:tab w:val="left" w:pos="1530"/>
          <w:tab w:val="left" w:pos="1620"/>
        </w:tabs>
        <w:ind w:right="13"/>
        <w:contextualSpacing/>
        <w:rPr>
          <w:rFonts w:eastAsia="Calibri"/>
          <w:b/>
          <w:i/>
          <w:sz w:val="20"/>
          <w:szCs w:val="20"/>
          <w:lang w:val="en-US"/>
        </w:rPr>
      </w:pPr>
    </w:p>
    <w:p w14:paraId="3A47946F" w14:textId="4A1B3478" w:rsidR="00E22B60" w:rsidRPr="00CF6765" w:rsidRDefault="008B75B0"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b/>
          <w:i/>
          <w:sz w:val="20"/>
          <w:szCs w:val="20"/>
          <w:lang w:val="en-US"/>
        </w:rPr>
      </w:pPr>
      <w:r w:rsidRPr="00CF6765">
        <w:rPr>
          <w:rFonts w:eastAsia="Calibri"/>
          <w:sz w:val="20"/>
          <w:szCs w:val="20"/>
          <w:lang w:val="en-US"/>
        </w:rPr>
        <w:t xml:space="preserve">However, the family stated that they received a telephone call informing them that their relative had died </w:t>
      </w:r>
      <w:r w:rsidR="00941167" w:rsidRPr="00CF6765">
        <w:rPr>
          <w:rFonts w:eastAsia="Calibri"/>
          <w:sz w:val="20"/>
          <w:szCs w:val="20"/>
          <w:lang w:val="en-US"/>
        </w:rPr>
        <w:t>from cardiac arrest.</w:t>
      </w:r>
      <w:r w:rsidR="00E22B60" w:rsidRPr="00CF6765">
        <w:rPr>
          <w:rFonts w:eastAsia="Calibri"/>
          <w:sz w:val="18"/>
          <w:szCs w:val="18"/>
          <w:vertAlign w:val="superscript"/>
          <w:lang w:val="en-US"/>
        </w:rPr>
        <w:footnoteReference w:id="58"/>
      </w:r>
      <w:r w:rsidR="00E22B60" w:rsidRPr="00CF6765">
        <w:rPr>
          <w:rFonts w:eastAsia="Calibri"/>
          <w:sz w:val="20"/>
          <w:szCs w:val="20"/>
          <w:lang w:val="en-US"/>
        </w:rPr>
        <w:t xml:space="preserve"> </w:t>
      </w:r>
      <w:r w:rsidR="00B328D7" w:rsidRPr="00CF6765">
        <w:rPr>
          <w:rFonts w:eastAsia="Calibri"/>
          <w:sz w:val="20"/>
          <w:szCs w:val="20"/>
          <w:lang w:val="en-US"/>
        </w:rPr>
        <w:t>Moreover</w:t>
      </w:r>
      <w:r w:rsidR="00E22B60" w:rsidRPr="00CF6765">
        <w:rPr>
          <w:rFonts w:eastAsia="Calibri"/>
          <w:sz w:val="20"/>
          <w:szCs w:val="20"/>
          <w:lang w:val="en-US"/>
        </w:rPr>
        <w:t xml:space="preserve">, </w:t>
      </w:r>
      <w:r w:rsidR="00D2168F" w:rsidRPr="00CF6765">
        <w:rPr>
          <w:rFonts w:eastAsia="Calibri"/>
          <w:sz w:val="20"/>
          <w:szCs w:val="20"/>
          <w:lang w:val="en-US"/>
        </w:rPr>
        <w:t>Mr. Poblete</w:t>
      </w:r>
      <w:r w:rsidR="00E22B60" w:rsidRPr="00CF6765">
        <w:rPr>
          <w:rFonts w:eastAsia="Calibri"/>
          <w:sz w:val="20"/>
          <w:szCs w:val="20"/>
          <w:lang w:val="en-US"/>
        </w:rPr>
        <w:t xml:space="preserve"> Tapia </w:t>
      </w:r>
      <w:r w:rsidR="00941167" w:rsidRPr="00CF6765">
        <w:rPr>
          <w:rFonts w:eastAsia="Calibri"/>
          <w:sz w:val="20"/>
          <w:szCs w:val="20"/>
          <w:lang w:val="en-US"/>
        </w:rPr>
        <w:t>stated that</w:t>
      </w:r>
      <w:r w:rsidR="00653816" w:rsidRPr="00CF6765">
        <w:rPr>
          <w:rFonts w:eastAsia="Calibri"/>
          <w:sz w:val="20"/>
          <w:szCs w:val="20"/>
          <w:lang w:val="en-US"/>
        </w:rPr>
        <w:t>,</w:t>
      </w:r>
      <w:r w:rsidR="00941167" w:rsidRPr="00CF6765">
        <w:rPr>
          <w:rFonts w:eastAsia="Calibri"/>
          <w:sz w:val="20"/>
          <w:szCs w:val="20"/>
          <w:lang w:val="en-US"/>
        </w:rPr>
        <w:t xml:space="preserve"> when he went to the hospital, he was told that his father had died from liver failure.</w:t>
      </w:r>
      <w:r w:rsidR="00E22B60" w:rsidRPr="00CF6765">
        <w:rPr>
          <w:rFonts w:eastAsia="Calibri"/>
          <w:sz w:val="18"/>
          <w:szCs w:val="18"/>
          <w:vertAlign w:val="superscript"/>
          <w:lang w:val="en-US"/>
        </w:rPr>
        <w:footnoteReference w:id="59"/>
      </w:r>
      <w:r w:rsidR="00E22B60" w:rsidRPr="00CF6765">
        <w:rPr>
          <w:rFonts w:eastAsia="Calibri"/>
          <w:sz w:val="20"/>
          <w:szCs w:val="20"/>
          <w:lang w:val="en-US"/>
        </w:rPr>
        <w:t xml:space="preserve"> </w:t>
      </w:r>
      <w:r w:rsidR="00941167" w:rsidRPr="00CF6765">
        <w:rPr>
          <w:rFonts w:eastAsia="Calibri"/>
          <w:sz w:val="20"/>
          <w:szCs w:val="20"/>
          <w:lang w:val="en-US"/>
        </w:rPr>
        <w:t>Subsequently, the family indicated that</w:t>
      </w:r>
      <w:r w:rsidR="00653816" w:rsidRPr="00CF6765">
        <w:rPr>
          <w:rFonts w:eastAsia="Calibri"/>
          <w:sz w:val="20"/>
          <w:szCs w:val="20"/>
          <w:lang w:val="en-US"/>
        </w:rPr>
        <w:t>,</w:t>
      </w:r>
      <w:r w:rsidR="00941167" w:rsidRPr="00CF6765">
        <w:rPr>
          <w:rFonts w:eastAsia="Calibri"/>
          <w:sz w:val="20"/>
          <w:szCs w:val="20"/>
          <w:lang w:val="en-US"/>
        </w:rPr>
        <w:t xml:space="preserve"> when they went to collect his body, they saw that there was a piece of tape on </w:t>
      </w:r>
      <w:r w:rsidR="00D2168F" w:rsidRPr="00CF6765">
        <w:rPr>
          <w:rFonts w:eastAsia="Calibri"/>
          <w:sz w:val="20"/>
          <w:szCs w:val="20"/>
          <w:lang w:val="en-US"/>
        </w:rPr>
        <w:t>Mr. Poblete</w:t>
      </w:r>
      <w:r w:rsidR="00E22B60" w:rsidRPr="00CF6765">
        <w:rPr>
          <w:rFonts w:eastAsia="Calibri"/>
          <w:sz w:val="20"/>
          <w:szCs w:val="20"/>
          <w:lang w:val="en-US"/>
        </w:rPr>
        <w:t xml:space="preserve"> </w:t>
      </w:r>
      <w:proofErr w:type="spellStart"/>
      <w:r w:rsidR="001E55C3" w:rsidRPr="00CF6765">
        <w:rPr>
          <w:rFonts w:eastAsia="Calibri"/>
          <w:sz w:val="20"/>
          <w:szCs w:val="20"/>
          <w:lang w:val="en-US"/>
        </w:rPr>
        <w:t>Vilches’s</w:t>
      </w:r>
      <w:proofErr w:type="spellEnd"/>
      <w:r w:rsidR="001E55C3" w:rsidRPr="00CF6765">
        <w:rPr>
          <w:rFonts w:eastAsia="Calibri"/>
          <w:sz w:val="20"/>
          <w:szCs w:val="20"/>
          <w:lang w:val="en-US"/>
        </w:rPr>
        <w:t xml:space="preserve"> </w:t>
      </w:r>
      <w:r w:rsidR="00941167" w:rsidRPr="00CF6765">
        <w:rPr>
          <w:rFonts w:eastAsia="Calibri"/>
          <w:sz w:val="20"/>
          <w:szCs w:val="20"/>
          <w:lang w:val="en-US"/>
        </w:rPr>
        <w:t>chest that gave the cause of death as “pulmonary edema.</w:t>
      </w:r>
      <w:r w:rsidR="00E22B60" w:rsidRPr="00CF6765">
        <w:rPr>
          <w:rFonts w:eastAsia="Calibri"/>
          <w:sz w:val="20"/>
          <w:szCs w:val="20"/>
          <w:lang w:val="en-US"/>
        </w:rPr>
        <w:t>”</w:t>
      </w:r>
      <w:r w:rsidR="00E22B60" w:rsidRPr="00CF6765">
        <w:rPr>
          <w:rFonts w:eastAsia="Calibri"/>
          <w:sz w:val="18"/>
          <w:szCs w:val="18"/>
          <w:vertAlign w:val="superscript"/>
          <w:lang w:val="en-US"/>
        </w:rPr>
        <w:footnoteReference w:id="60"/>
      </w:r>
      <w:r w:rsidR="00E22B60" w:rsidRPr="00CF6765">
        <w:rPr>
          <w:rFonts w:eastAsia="Calibri"/>
          <w:sz w:val="20"/>
          <w:szCs w:val="20"/>
          <w:lang w:val="en-US"/>
        </w:rPr>
        <w:t xml:space="preserve"> </w:t>
      </w:r>
      <w:r w:rsidRPr="00CF6765">
        <w:rPr>
          <w:rFonts w:eastAsia="Calibri"/>
          <w:sz w:val="20"/>
          <w:szCs w:val="20"/>
          <w:lang w:val="en-US"/>
        </w:rPr>
        <w:t xml:space="preserve"> </w:t>
      </w:r>
    </w:p>
    <w:p w14:paraId="6716355F" w14:textId="77777777" w:rsidR="00E22B60" w:rsidRPr="00CF6765" w:rsidRDefault="00E22B60" w:rsidP="00450250">
      <w:pPr>
        <w:tabs>
          <w:tab w:val="left" w:pos="630"/>
          <w:tab w:val="left" w:pos="810"/>
          <w:tab w:val="left" w:pos="1530"/>
          <w:tab w:val="left" w:pos="1620"/>
        </w:tabs>
        <w:ind w:right="13"/>
        <w:contextualSpacing/>
        <w:rPr>
          <w:rFonts w:eastAsia="Calibri"/>
          <w:sz w:val="20"/>
          <w:szCs w:val="20"/>
          <w:lang w:val="en-US"/>
        </w:rPr>
      </w:pPr>
    </w:p>
    <w:p w14:paraId="5A0A6F8D" w14:textId="653C7894" w:rsidR="00E22B60" w:rsidRPr="00CF6765" w:rsidRDefault="00E22B60"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b/>
          <w:i/>
          <w:sz w:val="20"/>
          <w:szCs w:val="20"/>
          <w:lang w:val="en-US"/>
        </w:rPr>
      </w:pPr>
      <w:r w:rsidRPr="00CF6765">
        <w:rPr>
          <w:rFonts w:eastAsia="Calibri"/>
          <w:sz w:val="20"/>
          <w:szCs w:val="20"/>
          <w:lang w:val="en-US"/>
        </w:rPr>
        <w:t>Conse</w:t>
      </w:r>
      <w:r w:rsidR="00941167" w:rsidRPr="00CF6765">
        <w:rPr>
          <w:rFonts w:eastAsia="Calibri"/>
          <w:sz w:val="20"/>
          <w:szCs w:val="20"/>
          <w:lang w:val="en-US"/>
        </w:rPr>
        <w:t xml:space="preserve">quently, the </w:t>
      </w:r>
      <w:r w:rsidR="00B328D7" w:rsidRPr="00CF6765">
        <w:rPr>
          <w:rFonts w:eastAsia="Calibri"/>
          <w:sz w:val="20"/>
          <w:szCs w:val="20"/>
          <w:lang w:val="en-US"/>
        </w:rPr>
        <w:t>family</w:t>
      </w:r>
      <w:r w:rsidR="00941167" w:rsidRPr="00CF6765">
        <w:rPr>
          <w:rFonts w:eastAsia="Calibri"/>
          <w:sz w:val="20"/>
          <w:szCs w:val="20"/>
          <w:lang w:val="en-US"/>
        </w:rPr>
        <w:t xml:space="preserve"> asked the hospital to perform an autopsy, but the hospital refused to do so.</w:t>
      </w:r>
      <w:r w:rsidRPr="00CF6765">
        <w:rPr>
          <w:rFonts w:eastAsia="Calibri"/>
          <w:sz w:val="20"/>
          <w:szCs w:val="20"/>
          <w:vertAlign w:val="superscript"/>
          <w:lang w:val="en-US"/>
        </w:rPr>
        <w:footnoteReference w:id="61"/>
      </w:r>
    </w:p>
    <w:p w14:paraId="5D665F98" w14:textId="77777777" w:rsidR="00E22B60" w:rsidRPr="00CF6765" w:rsidRDefault="00E22B60" w:rsidP="00450250">
      <w:pPr>
        <w:tabs>
          <w:tab w:val="left" w:pos="630"/>
          <w:tab w:val="left" w:pos="810"/>
          <w:tab w:val="left" w:pos="1530"/>
          <w:tab w:val="left" w:pos="1620"/>
        </w:tabs>
        <w:ind w:right="13"/>
        <w:contextualSpacing/>
        <w:rPr>
          <w:rFonts w:eastAsia="Calibri"/>
          <w:b/>
          <w:i/>
          <w:sz w:val="20"/>
          <w:szCs w:val="20"/>
          <w:lang w:val="en-US"/>
        </w:rPr>
      </w:pPr>
    </w:p>
    <w:p w14:paraId="0D1671DB" w14:textId="1354A055" w:rsidR="00E22B60" w:rsidRPr="00CF6765" w:rsidRDefault="005C42AB" w:rsidP="00450250">
      <w:pPr>
        <w:keepNext/>
        <w:keepLines/>
        <w:numPr>
          <w:ilvl w:val="0"/>
          <w:numId w:val="29"/>
        </w:numPr>
        <w:tabs>
          <w:tab w:val="left" w:pos="630"/>
          <w:tab w:val="left" w:pos="810"/>
          <w:tab w:val="left" w:pos="1530"/>
          <w:tab w:val="left" w:pos="1620"/>
        </w:tabs>
        <w:ind w:left="1080" w:right="13"/>
        <w:outlineLvl w:val="1"/>
        <w:rPr>
          <w:rFonts w:eastAsia="MS Mincho"/>
          <w:b/>
          <w:i/>
          <w:snapToGrid w:val="0"/>
          <w:sz w:val="20"/>
          <w:szCs w:val="26"/>
          <w:lang w:val="en-US"/>
        </w:rPr>
      </w:pPr>
      <w:r w:rsidRPr="00CF6765">
        <w:rPr>
          <w:rFonts w:eastAsia="MS Mincho"/>
          <w:b/>
          <w:i/>
          <w:sz w:val="20"/>
          <w:szCs w:val="26"/>
          <w:lang w:val="en-US"/>
        </w:rPr>
        <w:t xml:space="preserve">Actions taken by the </w:t>
      </w:r>
      <w:r w:rsidR="00941167" w:rsidRPr="00CF6765">
        <w:rPr>
          <w:rFonts w:eastAsia="MS Mincho"/>
          <w:b/>
          <w:i/>
          <w:sz w:val="20"/>
          <w:szCs w:val="26"/>
          <w:lang w:val="en-US"/>
        </w:rPr>
        <w:t xml:space="preserve">family </w:t>
      </w:r>
      <w:r w:rsidR="00B328D7" w:rsidRPr="00CF6765">
        <w:rPr>
          <w:rFonts w:eastAsia="MS Mincho"/>
          <w:b/>
          <w:i/>
          <w:sz w:val="20"/>
          <w:szCs w:val="26"/>
          <w:lang w:val="en-US"/>
        </w:rPr>
        <w:t>with</w:t>
      </w:r>
      <w:r w:rsidR="00941167" w:rsidRPr="00CF6765">
        <w:rPr>
          <w:rFonts w:eastAsia="MS Mincho"/>
          <w:b/>
          <w:i/>
          <w:sz w:val="20"/>
          <w:szCs w:val="26"/>
          <w:lang w:val="en-US"/>
        </w:rPr>
        <w:t xml:space="preserve"> state</w:t>
      </w:r>
      <w:r w:rsidRPr="00CF6765">
        <w:rPr>
          <w:rFonts w:eastAsia="MS Mincho"/>
          <w:b/>
          <w:i/>
          <w:sz w:val="20"/>
          <w:szCs w:val="26"/>
          <w:lang w:val="en-US"/>
        </w:rPr>
        <w:t xml:space="preserve"> organs</w:t>
      </w:r>
    </w:p>
    <w:p w14:paraId="71FA28DD" w14:textId="77777777" w:rsidR="002C6D1C" w:rsidRPr="00CF6765" w:rsidRDefault="002C6D1C" w:rsidP="00450250">
      <w:pPr>
        <w:keepNext/>
        <w:keepLines/>
        <w:tabs>
          <w:tab w:val="left" w:pos="630"/>
          <w:tab w:val="left" w:pos="810"/>
          <w:tab w:val="left" w:pos="1530"/>
          <w:tab w:val="left" w:pos="1620"/>
        </w:tabs>
        <w:ind w:left="1080" w:right="13"/>
        <w:outlineLvl w:val="1"/>
        <w:rPr>
          <w:rFonts w:eastAsia="MS Mincho"/>
          <w:b/>
          <w:i/>
          <w:snapToGrid w:val="0"/>
          <w:sz w:val="20"/>
          <w:szCs w:val="26"/>
          <w:lang w:val="en-US"/>
        </w:rPr>
      </w:pPr>
    </w:p>
    <w:p w14:paraId="311A915C" w14:textId="7529DFDB" w:rsidR="00E22B60" w:rsidRPr="00CF6765" w:rsidRDefault="00E22B60" w:rsidP="00450250">
      <w:pPr>
        <w:tabs>
          <w:tab w:val="left" w:pos="567"/>
          <w:tab w:val="left" w:pos="630"/>
          <w:tab w:val="left" w:pos="810"/>
          <w:tab w:val="left" w:pos="1530"/>
          <w:tab w:val="left" w:pos="1620"/>
        </w:tabs>
        <w:autoSpaceDE w:val="0"/>
        <w:autoSpaceDN w:val="0"/>
        <w:ind w:left="1440" w:right="13"/>
        <w:contextualSpacing/>
        <w:outlineLvl w:val="2"/>
        <w:rPr>
          <w:rFonts w:eastAsia="Calibri"/>
          <w:b/>
          <w:i/>
          <w:spacing w:val="-2"/>
          <w:sz w:val="20"/>
          <w:szCs w:val="20"/>
          <w:lang w:val="en-US" w:eastAsia="x-none"/>
        </w:rPr>
      </w:pPr>
      <w:r w:rsidRPr="00CF6765">
        <w:rPr>
          <w:rFonts w:eastAsia="Calibri"/>
          <w:b/>
          <w:i/>
          <w:spacing w:val="-2"/>
          <w:sz w:val="20"/>
          <w:szCs w:val="20"/>
          <w:lang w:val="en-US" w:eastAsia="x-none"/>
        </w:rPr>
        <w:t xml:space="preserve">1. </w:t>
      </w:r>
      <w:r w:rsidR="00941167" w:rsidRPr="00CF6765">
        <w:rPr>
          <w:rFonts w:eastAsia="Calibri"/>
          <w:b/>
          <w:i/>
          <w:spacing w:val="-2"/>
          <w:sz w:val="20"/>
          <w:szCs w:val="20"/>
          <w:lang w:val="en-US" w:eastAsia="x-none"/>
        </w:rPr>
        <w:t>Criminal complaints</w:t>
      </w:r>
    </w:p>
    <w:p w14:paraId="6347561A" w14:textId="77777777" w:rsidR="00E22B60" w:rsidRPr="00CF6765" w:rsidRDefault="00E22B60" w:rsidP="00450250">
      <w:pPr>
        <w:tabs>
          <w:tab w:val="left" w:pos="630"/>
          <w:tab w:val="left" w:pos="810"/>
          <w:tab w:val="left" w:pos="1530"/>
          <w:tab w:val="left" w:pos="1620"/>
        </w:tabs>
        <w:ind w:right="13"/>
        <w:rPr>
          <w:rFonts w:eastAsia="Calibri"/>
          <w:sz w:val="20"/>
          <w:szCs w:val="20"/>
          <w:lang w:val="en-US"/>
        </w:rPr>
      </w:pPr>
    </w:p>
    <w:p w14:paraId="42BF21ED" w14:textId="4E083748" w:rsidR="00E22B60" w:rsidRPr="00CF6765" w:rsidRDefault="00AD04D4"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b/>
          <w:i/>
          <w:sz w:val="20"/>
          <w:szCs w:val="20"/>
          <w:lang w:val="en-US"/>
        </w:rPr>
      </w:pPr>
      <w:r w:rsidRPr="00CF6765">
        <w:rPr>
          <w:rFonts w:eastAsia="Calibri"/>
          <w:sz w:val="20"/>
          <w:szCs w:val="20"/>
          <w:lang w:val="en-US"/>
        </w:rPr>
        <w:t>On November 12,</w:t>
      </w:r>
      <w:r w:rsidR="00E22B60" w:rsidRPr="00CF6765">
        <w:rPr>
          <w:rFonts w:eastAsia="Calibri"/>
          <w:sz w:val="20"/>
          <w:szCs w:val="20"/>
          <w:lang w:val="en-US"/>
        </w:rPr>
        <w:t xml:space="preserve"> 2001</w:t>
      </w:r>
      <w:r w:rsidR="00941167" w:rsidRPr="00CF6765">
        <w:rPr>
          <w:rFonts w:eastAsia="Calibri"/>
          <w:sz w:val="20"/>
          <w:szCs w:val="20"/>
          <w:lang w:val="en-US"/>
        </w:rPr>
        <w:t>,</w:t>
      </w:r>
      <w:r w:rsidR="00E22B60" w:rsidRPr="00CF6765">
        <w:rPr>
          <w:rFonts w:eastAsia="Calibri"/>
          <w:sz w:val="20"/>
          <w:szCs w:val="20"/>
          <w:lang w:val="en-US"/>
        </w:rPr>
        <w:t xml:space="preserve"> Blanca Margarita Tapia </w:t>
      </w:r>
      <w:proofErr w:type="spellStart"/>
      <w:r w:rsidR="00E22B60" w:rsidRPr="00CF6765">
        <w:rPr>
          <w:rFonts w:eastAsia="Calibri"/>
          <w:sz w:val="20"/>
          <w:szCs w:val="20"/>
          <w:lang w:val="en-US"/>
        </w:rPr>
        <w:t>Encina</w:t>
      </w:r>
      <w:proofErr w:type="spellEnd"/>
      <w:r w:rsidR="00EC50FC" w:rsidRPr="00CF6765">
        <w:rPr>
          <w:rFonts w:eastAsia="Calibri"/>
          <w:sz w:val="20"/>
          <w:szCs w:val="20"/>
          <w:lang w:val="en-US"/>
        </w:rPr>
        <w:t xml:space="preserve"> and </w:t>
      </w:r>
      <w:proofErr w:type="spellStart"/>
      <w:r w:rsidR="00E22B60" w:rsidRPr="00CF6765">
        <w:rPr>
          <w:rFonts w:eastAsia="Calibri"/>
          <w:sz w:val="20"/>
          <w:szCs w:val="20"/>
          <w:lang w:val="en-US"/>
        </w:rPr>
        <w:t>Cesia</w:t>
      </w:r>
      <w:proofErr w:type="spellEnd"/>
      <w:r w:rsidR="00E22B60" w:rsidRPr="00CF6765">
        <w:rPr>
          <w:rFonts w:eastAsia="Calibri"/>
          <w:sz w:val="20"/>
          <w:szCs w:val="20"/>
          <w:lang w:val="en-US"/>
        </w:rPr>
        <w:t xml:space="preserve"> Leila Poblete Tapia </w:t>
      </w:r>
      <w:r w:rsidR="00941167" w:rsidRPr="00CF6765">
        <w:rPr>
          <w:rFonts w:eastAsia="Calibri"/>
          <w:sz w:val="20"/>
          <w:szCs w:val="20"/>
          <w:lang w:val="en-US"/>
        </w:rPr>
        <w:t>filed a</w:t>
      </w:r>
      <w:r w:rsidR="00E22B60" w:rsidRPr="00CF6765">
        <w:rPr>
          <w:rFonts w:eastAsia="Calibri"/>
          <w:sz w:val="20"/>
          <w:szCs w:val="20"/>
          <w:lang w:val="en-US"/>
        </w:rPr>
        <w:t xml:space="preserve"> </w:t>
      </w:r>
      <w:r w:rsidR="00941167" w:rsidRPr="00CF6765">
        <w:rPr>
          <w:rFonts w:eastAsia="Calibri"/>
          <w:sz w:val="20"/>
          <w:szCs w:val="20"/>
          <w:lang w:val="en-US"/>
        </w:rPr>
        <w:t>c</w:t>
      </w:r>
      <w:r w:rsidRPr="00CF6765">
        <w:rPr>
          <w:rFonts w:eastAsia="Calibri"/>
          <w:sz w:val="20"/>
          <w:szCs w:val="20"/>
          <w:lang w:val="en-US"/>
        </w:rPr>
        <w:t>riminal complaint</w:t>
      </w:r>
      <w:r w:rsidR="00E22B60" w:rsidRPr="00CF6765">
        <w:rPr>
          <w:rFonts w:eastAsia="Calibri"/>
          <w:sz w:val="20"/>
          <w:szCs w:val="20"/>
          <w:lang w:val="en-US"/>
        </w:rPr>
        <w:t xml:space="preserve"> </w:t>
      </w:r>
      <w:r w:rsidR="00941167" w:rsidRPr="00CF6765">
        <w:rPr>
          <w:rFonts w:eastAsia="Calibri"/>
          <w:sz w:val="20"/>
          <w:szCs w:val="20"/>
          <w:lang w:val="en-US"/>
        </w:rPr>
        <w:t>for the crime of culpable homicide with the First Civil Court of</w:t>
      </w:r>
      <w:r w:rsidR="00E22B60" w:rsidRPr="00CF6765">
        <w:rPr>
          <w:rFonts w:eastAsia="Calibri"/>
          <w:sz w:val="20"/>
          <w:szCs w:val="20"/>
          <w:lang w:val="en-US"/>
        </w:rPr>
        <w:t xml:space="preserve"> Puente Alto</w:t>
      </w:r>
      <w:r w:rsidR="00E22B60" w:rsidRPr="00CF6765">
        <w:rPr>
          <w:rFonts w:eastAsia="Calibri"/>
          <w:sz w:val="20"/>
          <w:szCs w:val="20"/>
          <w:vertAlign w:val="superscript"/>
          <w:lang w:val="en-US"/>
        </w:rPr>
        <w:footnoteReference w:id="62"/>
      </w:r>
      <w:r w:rsidR="00E22B60" w:rsidRPr="00CF6765">
        <w:rPr>
          <w:rFonts w:eastAsia="Calibri"/>
          <w:sz w:val="20"/>
          <w:szCs w:val="20"/>
          <w:lang w:val="en-US"/>
        </w:rPr>
        <w:t xml:space="preserve"> (</w:t>
      </w:r>
      <w:r w:rsidR="005C731C" w:rsidRPr="00CF6765">
        <w:rPr>
          <w:rFonts w:eastAsia="Calibri"/>
          <w:sz w:val="20"/>
          <w:szCs w:val="20"/>
          <w:lang w:val="en-US"/>
        </w:rPr>
        <w:t>hereinafter</w:t>
      </w:r>
      <w:r w:rsidR="00E22B60" w:rsidRPr="00CF6765">
        <w:rPr>
          <w:rFonts w:eastAsia="Calibri"/>
          <w:sz w:val="20"/>
          <w:szCs w:val="20"/>
          <w:lang w:val="en-US"/>
        </w:rPr>
        <w:t xml:space="preserve"> “</w:t>
      </w:r>
      <w:r w:rsidR="00941167" w:rsidRPr="00CF6765">
        <w:rPr>
          <w:rFonts w:eastAsia="Calibri"/>
          <w:sz w:val="20"/>
          <w:szCs w:val="20"/>
          <w:lang w:val="en-US"/>
        </w:rPr>
        <w:t>the First Civil Court</w:t>
      </w:r>
      <w:r w:rsidR="00E22B60" w:rsidRPr="00CF6765">
        <w:rPr>
          <w:rFonts w:eastAsia="Calibri"/>
          <w:sz w:val="20"/>
          <w:szCs w:val="20"/>
          <w:lang w:val="en-US"/>
        </w:rPr>
        <w:t xml:space="preserve">”) </w:t>
      </w:r>
      <w:r w:rsidR="00941167" w:rsidRPr="00CF6765">
        <w:rPr>
          <w:rFonts w:eastAsia="Calibri"/>
          <w:sz w:val="20"/>
          <w:szCs w:val="20"/>
          <w:lang w:val="en-US"/>
        </w:rPr>
        <w:t xml:space="preserve">against </w:t>
      </w:r>
      <w:r w:rsidR="00E22B60" w:rsidRPr="00CF6765">
        <w:rPr>
          <w:rFonts w:eastAsia="Calibri"/>
          <w:sz w:val="20"/>
          <w:szCs w:val="20"/>
          <w:lang w:val="en-US"/>
        </w:rPr>
        <w:t xml:space="preserve">“María Chacon Fernández, Ximena </w:t>
      </w:r>
      <w:proofErr w:type="spellStart"/>
      <w:r w:rsidR="00E22B60" w:rsidRPr="00CF6765">
        <w:rPr>
          <w:rFonts w:eastAsia="Calibri"/>
          <w:sz w:val="20"/>
          <w:szCs w:val="20"/>
          <w:lang w:val="en-US"/>
        </w:rPr>
        <w:t>Echeverría</w:t>
      </w:r>
      <w:proofErr w:type="spellEnd"/>
      <w:r w:rsidR="00E22B60" w:rsidRPr="00CF6765">
        <w:rPr>
          <w:rFonts w:eastAsia="Calibri"/>
          <w:sz w:val="20"/>
          <w:szCs w:val="20"/>
          <w:lang w:val="en-US"/>
        </w:rPr>
        <w:t xml:space="preserve"> </w:t>
      </w:r>
      <w:proofErr w:type="spellStart"/>
      <w:r w:rsidR="00E22B60" w:rsidRPr="00CF6765">
        <w:rPr>
          <w:rFonts w:eastAsia="Calibri"/>
          <w:sz w:val="20"/>
          <w:szCs w:val="20"/>
          <w:lang w:val="en-US"/>
        </w:rPr>
        <w:t>Pezoa</w:t>
      </w:r>
      <w:proofErr w:type="spellEnd"/>
      <w:r w:rsidR="00E22B60" w:rsidRPr="00CF6765">
        <w:rPr>
          <w:rFonts w:eastAsia="Calibri"/>
          <w:sz w:val="20"/>
          <w:szCs w:val="20"/>
          <w:lang w:val="en-US"/>
        </w:rPr>
        <w:t>, Luis Carvajal Freire, Erick o</w:t>
      </w:r>
      <w:r w:rsidR="00941167" w:rsidRPr="00CF6765">
        <w:rPr>
          <w:rFonts w:eastAsia="Calibri"/>
          <w:sz w:val="20"/>
          <w:szCs w:val="20"/>
          <w:lang w:val="en-US"/>
        </w:rPr>
        <w:t>r</w:t>
      </w:r>
      <w:r w:rsidR="00E22B60" w:rsidRPr="00CF6765">
        <w:rPr>
          <w:rFonts w:eastAsia="Calibri"/>
          <w:sz w:val="20"/>
          <w:szCs w:val="20"/>
          <w:lang w:val="en-US"/>
        </w:rPr>
        <w:t xml:space="preserve"> Marcelo Garrido, </w:t>
      </w:r>
      <w:r w:rsidR="00E535D5" w:rsidRPr="00CF6765">
        <w:rPr>
          <w:rFonts w:eastAsia="Calibri"/>
          <w:sz w:val="20"/>
          <w:szCs w:val="20"/>
          <w:lang w:val="en-US"/>
        </w:rPr>
        <w:t>Mr</w:t>
      </w:r>
      <w:r w:rsidR="00E22B60" w:rsidRPr="00CF6765">
        <w:rPr>
          <w:rFonts w:eastAsia="Calibri"/>
          <w:sz w:val="20"/>
          <w:szCs w:val="20"/>
          <w:lang w:val="en-US"/>
        </w:rPr>
        <w:t xml:space="preserve">. </w:t>
      </w:r>
      <w:proofErr w:type="spellStart"/>
      <w:r w:rsidR="00E22B60" w:rsidRPr="00CF6765">
        <w:rPr>
          <w:rFonts w:eastAsia="Calibri"/>
          <w:sz w:val="20"/>
          <w:szCs w:val="20"/>
          <w:lang w:val="en-US"/>
        </w:rPr>
        <w:t>Anuch</w:t>
      </w:r>
      <w:proofErr w:type="spellEnd"/>
      <w:r w:rsidR="00EC50FC" w:rsidRPr="00CF6765">
        <w:rPr>
          <w:rFonts w:eastAsia="Calibri"/>
          <w:sz w:val="20"/>
          <w:szCs w:val="20"/>
          <w:lang w:val="en-US"/>
        </w:rPr>
        <w:t xml:space="preserve"> and </w:t>
      </w:r>
      <w:r w:rsidR="00E535D5" w:rsidRPr="00CF6765">
        <w:rPr>
          <w:rFonts w:eastAsia="Calibri"/>
          <w:sz w:val="20"/>
          <w:szCs w:val="20"/>
          <w:lang w:val="en-US"/>
        </w:rPr>
        <w:t>M</w:t>
      </w:r>
      <w:r w:rsidR="00E22B60" w:rsidRPr="00CF6765">
        <w:rPr>
          <w:rFonts w:eastAsia="Calibri"/>
          <w:sz w:val="20"/>
          <w:szCs w:val="20"/>
          <w:lang w:val="en-US"/>
        </w:rPr>
        <w:t xml:space="preserve">r. </w:t>
      </w:r>
      <w:proofErr w:type="spellStart"/>
      <w:r w:rsidR="00E22B60" w:rsidRPr="00CF6765">
        <w:rPr>
          <w:rFonts w:eastAsia="Calibri"/>
          <w:sz w:val="20"/>
          <w:szCs w:val="20"/>
          <w:lang w:val="en-US"/>
        </w:rPr>
        <w:t>Monte</w:t>
      </w:r>
      <w:r w:rsidR="00140DF0" w:rsidRPr="00CF6765">
        <w:rPr>
          <w:rFonts w:eastAsia="Calibri"/>
          <w:sz w:val="20"/>
          <w:szCs w:val="20"/>
          <w:lang w:val="en-US"/>
        </w:rPr>
        <w:t>c</w:t>
      </w:r>
      <w:r w:rsidR="00E22B60" w:rsidRPr="00CF6765">
        <w:rPr>
          <w:rFonts w:eastAsia="Calibri"/>
          <w:sz w:val="20"/>
          <w:szCs w:val="20"/>
          <w:lang w:val="en-US"/>
        </w:rPr>
        <w:t>inos</w:t>
      </w:r>
      <w:proofErr w:type="spellEnd"/>
      <w:r w:rsidR="00E535D5" w:rsidRPr="00CF6765">
        <w:rPr>
          <w:rFonts w:eastAsia="Calibri"/>
          <w:sz w:val="20"/>
          <w:szCs w:val="20"/>
          <w:lang w:val="en-US"/>
        </w:rPr>
        <w:t xml:space="preserve">, in their capacity as physicians or interns of the </w:t>
      </w:r>
      <w:proofErr w:type="spellStart"/>
      <w:r w:rsidR="00E22B60" w:rsidRPr="00CF6765">
        <w:rPr>
          <w:rFonts w:eastAsia="Calibri"/>
          <w:sz w:val="20"/>
          <w:szCs w:val="20"/>
          <w:lang w:val="en-US"/>
        </w:rPr>
        <w:t>Sótero</w:t>
      </w:r>
      <w:proofErr w:type="spellEnd"/>
      <w:r w:rsidR="00E22B60" w:rsidRPr="00CF6765">
        <w:rPr>
          <w:rFonts w:eastAsia="Calibri"/>
          <w:sz w:val="20"/>
          <w:szCs w:val="20"/>
          <w:lang w:val="en-US"/>
        </w:rPr>
        <w:t xml:space="preserve"> del Río</w:t>
      </w:r>
      <w:r w:rsidR="00E535D5" w:rsidRPr="00CF6765">
        <w:rPr>
          <w:rFonts w:eastAsia="Calibri"/>
          <w:sz w:val="20"/>
          <w:szCs w:val="20"/>
          <w:lang w:val="en-US"/>
        </w:rPr>
        <w:t xml:space="preserve"> Hospital</w:t>
      </w:r>
      <w:r w:rsidR="00E22B60" w:rsidRPr="00CF6765">
        <w:rPr>
          <w:rFonts w:eastAsia="Calibri"/>
          <w:sz w:val="20"/>
          <w:szCs w:val="20"/>
          <w:lang w:val="en-US"/>
        </w:rPr>
        <w:t xml:space="preserve"> […], </w:t>
      </w:r>
      <w:r w:rsidR="00E535D5" w:rsidRPr="00CF6765">
        <w:rPr>
          <w:rFonts w:eastAsia="Calibri"/>
          <w:sz w:val="20"/>
          <w:szCs w:val="20"/>
          <w:lang w:val="en-US"/>
        </w:rPr>
        <w:t xml:space="preserve">who attended [their] relative, Vinicio Antonio Poblete </w:t>
      </w:r>
      <w:proofErr w:type="spellStart"/>
      <w:r w:rsidR="00E535D5" w:rsidRPr="00CF6765">
        <w:rPr>
          <w:rFonts w:eastAsia="Calibri"/>
          <w:sz w:val="20"/>
          <w:szCs w:val="20"/>
          <w:lang w:val="en-US"/>
        </w:rPr>
        <w:t>Vilches</w:t>
      </w:r>
      <w:proofErr w:type="spellEnd"/>
      <w:r w:rsidR="00E535D5" w:rsidRPr="00CF6765">
        <w:rPr>
          <w:rFonts w:eastAsia="Calibri"/>
          <w:sz w:val="20"/>
          <w:szCs w:val="20"/>
          <w:lang w:val="en-US"/>
        </w:rPr>
        <w:t>, in their professional capacity and who, through their actions, inexplicably and with absolute negligence and culpability, brought about his death</w:t>
      </w:r>
      <w:r w:rsidR="00653816" w:rsidRPr="00CF6765">
        <w:rPr>
          <w:rFonts w:eastAsia="Calibri"/>
          <w:sz w:val="20"/>
          <w:szCs w:val="20"/>
          <w:lang w:val="en-US"/>
        </w:rPr>
        <w:t>.</w:t>
      </w:r>
      <w:r w:rsidR="00E22B60" w:rsidRPr="00CF6765">
        <w:rPr>
          <w:rFonts w:eastAsia="Calibri"/>
          <w:sz w:val="20"/>
          <w:szCs w:val="20"/>
          <w:lang w:val="en-US"/>
        </w:rPr>
        <w:t>”</w:t>
      </w:r>
      <w:r w:rsidR="00E22B60" w:rsidRPr="00CF6765">
        <w:rPr>
          <w:rFonts w:eastAsia="Calibri"/>
          <w:sz w:val="20"/>
          <w:szCs w:val="20"/>
          <w:vertAlign w:val="superscript"/>
          <w:lang w:val="en-US"/>
        </w:rPr>
        <w:footnoteReference w:id="63"/>
      </w:r>
      <w:r w:rsidR="00E535D5" w:rsidRPr="00CF6765">
        <w:rPr>
          <w:rFonts w:eastAsia="Calibri"/>
          <w:sz w:val="20"/>
          <w:szCs w:val="20"/>
          <w:lang w:val="en-US"/>
        </w:rPr>
        <w:t xml:space="preserve"> In this complaint, registered as Case No. </w:t>
      </w:r>
      <w:r w:rsidR="003C0075" w:rsidRPr="00CF6765">
        <w:rPr>
          <w:rFonts w:eastAsia="Calibri"/>
          <w:sz w:val="20"/>
          <w:szCs w:val="20"/>
          <w:lang w:val="en-US"/>
        </w:rPr>
        <w:t>75,821</w:t>
      </w:r>
      <w:r w:rsidR="00E22B60" w:rsidRPr="00CF6765">
        <w:rPr>
          <w:rFonts w:eastAsia="Calibri"/>
          <w:sz w:val="20"/>
          <w:szCs w:val="20"/>
          <w:lang w:val="en-US"/>
        </w:rPr>
        <w:t>-M,</w:t>
      </w:r>
      <w:r w:rsidR="00E535D5" w:rsidRPr="00CF6765">
        <w:rPr>
          <w:rFonts w:eastAsia="Calibri"/>
          <w:sz w:val="20"/>
          <w:szCs w:val="20"/>
          <w:lang w:val="en-US"/>
        </w:rPr>
        <w:t xml:space="preserve"> they requested the following procedures: (</w:t>
      </w:r>
      <w:proofErr w:type="spellStart"/>
      <w:r w:rsidR="00E535D5" w:rsidRPr="00CF6765">
        <w:rPr>
          <w:rFonts w:eastAsia="Calibri"/>
          <w:sz w:val="20"/>
          <w:szCs w:val="20"/>
          <w:lang w:val="en-US"/>
        </w:rPr>
        <w:t>i</w:t>
      </w:r>
      <w:proofErr w:type="spellEnd"/>
      <w:r w:rsidR="00E535D5" w:rsidRPr="00CF6765">
        <w:rPr>
          <w:rFonts w:eastAsia="Calibri"/>
          <w:sz w:val="20"/>
          <w:szCs w:val="20"/>
          <w:lang w:val="en-US"/>
        </w:rPr>
        <w:t>)</w:t>
      </w:r>
      <w:r w:rsidR="00E22B60" w:rsidRPr="00CF6765">
        <w:rPr>
          <w:rFonts w:eastAsia="Calibri"/>
          <w:sz w:val="20"/>
          <w:szCs w:val="20"/>
          <w:lang w:val="en-US"/>
        </w:rPr>
        <w:t xml:space="preserve"> </w:t>
      </w:r>
      <w:r w:rsidR="00E535D5" w:rsidRPr="00CF6765">
        <w:rPr>
          <w:rFonts w:eastAsia="Calibri"/>
          <w:sz w:val="20"/>
          <w:szCs w:val="20"/>
          <w:lang w:val="en-US"/>
        </w:rPr>
        <w:t xml:space="preserve">summon the defendants and others </w:t>
      </w:r>
      <w:r w:rsidR="00653816" w:rsidRPr="00CF6765">
        <w:rPr>
          <w:rFonts w:eastAsia="Calibri"/>
          <w:sz w:val="20"/>
          <w:szCs w:val="20"/>
          <w:lang w:val="en-US"/>
        </w:rPr>
        <w:t>involved in</w:t>
      </w:r>
      <w:r w:rsidR="00E535D5" w:rsidRPr="00CF6765">
        <w:rPr>
          <w:rFonts w:eastAsia="Calibri"/>
          <w:sz w:val="20"/>
          <w:szCs w:val="20"/>
          <w:lang w:val="en-US"/>
        </w:rPr>
        <w:t xml:space="preserve"> the matter to give statements</w:t>
      </w:r>
      <w:r w:rsidR="00E22B60" w:rsidRPr="00CF6765">
        <w:rPr>
          <w:rFonts w:eastAsia="Calibri"/>
          <w:sz w:val="20"/>
          <w:szCs w:val="20"/>
          <w:lang w:val="en-US"/>
        </w:rPr>
        <w:t xml:space="preserve">; </w:t>
      </w:r>
      <w:r w:rsidR="00E535D5" w:rsidRPr="00CF6765">
        <w:rPr>
          <w:rFonts w:eastAsia="Calibri"/>
          <w:sz w:val="20"/>
          <w:szCs w:val="20"/>
          <w:lang w:val="en-US"/>
        </w:rPr>
        <w:t>(</w:t>
      </w:r>
      <w:r w:rsidR="00E22B60" w:rsidRPr="00CF6765">
        <w:rPr>
          <w:rFonts w:eastAsia="Calibri"/>
          <w:sz w:val="20"/>
          <w:szCs w:val="20"/>
          <w:lang w:val="en-US"/>
        </w:rPr>
        <w:t xml:space="preserve">ii) </w:t>
      </w:r>
      <w:r w:rsidR="00E535D5" w:rsidRPr="00CF6765">
        <w:rPr>
          <w:rFonts w:eastAsia="Calibri"/>
          <w:sz w:val="20"/>
          <w:szCs w:val="20"/>
          <w:lang w:val="en-US"/>
        </w:rPr>
        <w:t>request the</w:t>
      </w:r>
      <w:r w:rsidR="00E22B60" w:rsidRPr="00CF6765">
        <w:rPr>
          <w:rFonts w:eastAsia="Calibri"/>
          <w:sz w:val="20"/>
          <w:szCs w:val="20"/>
          <w:lang w:val="en-US"/>
        </w:rPr>
        <w:t xml:space="preserve"> </w:t>
      </w:r>
      <w:r w:rsidR="00E535D5" w:rsidRPr="00CF6765">
        <w:rPr>
          <w:rFonts w:eastAsia="Calibri"/>
          <w:sz w:val="20"/>
          <w:szCs w:val="20"/>
          <w:lang w:val="en-US"/>
        </w:rPr>
        <w:t>m</w:t>
      </w:r>
      <w:r w:rsidR="00B969DD" w:rsidRPr="00CF6765">
        <w:rPr>
          <w:rFonts w:eastAsia="Calibri"/>
          <w:sz w:val="20"/>
          <w:szCs w:val="20"/>
          <w:lang w:val="en-US"/>
        </w:rPr>
        <w:t>edical record of</w:t>
      </w:r>
      <w:r w:rsidR="00D04694" w:rsidRPr="00CF6765">
        <w:rPr>
          <w:rFonts w:eastAsia="Calibri"/>
          <w:sz w:val="20"/>
          <w:szCs w:val="20"/>
          <w:lang w:val="en-US"/>
        </w:rPr>
        <w:t xml:space="preserve"> Mr.</w:t>
      </w:r>
      <w:r w:rsidR="00D2168F" w:rsidRPr="00CF6765">
        <w:rPr>
          <w:rFonts w:eastAsia="Calibri"/>
          <w:sz w:val="20"/>
          <w:szCs w:val="20"/>
          <w:lang w:val="en-US"/>
        </w:rPr>
        <w:t xml:space="preserve">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w:t>
      </w:r>
      <w:r w:rsidR="00EC50FC" w:rsidRPr="00CF6765">
        <w:rPr>
          <w:rFonts w:eastAsia="Calibri"/>
          <w:sz w:val="20"/>
          <w:szCs w:val="20"/>
          <w:lang w:val="en-US"/>
        </w:rPr>
        <w:t xml:space="preserve"> and </w:t>
      </w:r>
      <w:r w:rsidR="00E535D5" w:rsidRPr="00CF6765">
        <w:rPr>
          <w:rFonts w:eastAsia="Calibri"/>
          <w:sz w:val="20"/>
          <w:szCs w:val="20"/>
          <w:lang w:val="en-US"/>
        </w:rPr>
        <w:t>(</w:t>
      </w:r>
      <w:r w:rsidR="00E22B60" w:rsidRPr="00CF6765">
        <w:rPr>
          <w:rFonts w:eastAsia="Calibri"/>
          <w:sz w:val="20"/>
          <w:szCs w:val="20"/>
          <w:lang w:val="en-US"/>
        </w:rPr>
        <w:t xml:space="preserve">iii) </w:t>
      </w:r>
      <w:r w:rsidR="00E535D5" w:rsidRPr="00CF6765">
        <w:rPr>
          <w:rFonts w:eastAsia="Calibri"/>
          <w:sz w:val="20"/>
          <w:szCs w:val="20"/>
          <w:lang w:val="en-US"/>
        </w:rPr>
        <w:t xml:space="preserve">order the exhumation of </w:t>
      </w:r>
      <w:r w:rsidR="00D04694" w:rsidRPr="00CF6765">
        <w:rPr>
          <w:rFonts w:eastAsia="Calibri"/>
          <w:sz w:val="20"/>
          <w:szCs w:val="20"/>
          <w:lang w:val="en-US"/>
        </w:rPr>
        <w:t>Mr.</w:t>
      </w:r>
      <w:r w:rsidR="00D2168F" w:rsidRPr="00CF6765">
        <w:rPr>
          <w:rFonts w:eastAsia="Calibri"/>
          <w:sz w:val="20"/>
          <w:szCs w:val="20"/>
          <w:lang w:val="en-US"/>
        </w:rPr>
        <w:t xml:space="preserve">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00E535D5" w:rsidRPr="00CF6765">
        <w:rPr>
          <w:rFonts w:eastAsia="Calibri"/>
          <w:sz w:val="20"/>
          <w:szCs w:val="20"/>
          <w:lang w:val="en-US"/>
        </w:rPr>
        <w:t>in order to perform an autopsy.</w:t>
      </w:r>
      <w:r w:rsidR="00E22B60" w:rsidRPr="00CF6765">
        <w:rPr>
          <w:rFonts w:eastAsia="Calibri"/>
          <w:sz w:val="20"/>
          <w:szCs w:val="20"/>
          <w:vertAlign w:val="superscript"/>
          <w:lang w:val="en-US"/>
        </w:rPr>
        <w:footnoteReference w:id="64"/>
      </w:r>
    </w:p>
    <w:p w14:paraId="39854BF4" w14:textId="77777777" w:rsidR="00E22B60" w:rsidRPr="00CF6765" w:rsidRDefault="00E22B60" w:rsidP="00450250">
      <w:pPr>
        <w:tabs>
          <w:tab w:val="left" w:pos="630"/>
          <w:tab w:val="left" w:pos="810"/>
          <w:tab w:val="left" w:pos="1530"/>
          <w:tab w:val="left" w:pos="1620"/>
        </w:tabs>
        <w:ind w:right="13"/>
        <w:contextualSpacing/>
        <w:rPr>
          <w:rFonts w:eastAsia="Calibri"/>
          <w:b/>
          <w:i/>
          <w:sz w:val="20"/>
          <w:szCs w:val="20"/>
          <w:lang w:val="en-US"/>
        </w:rPr>
      </w:pPr>
    </w:p>
    <w:p w14:paraId="49BF94B9" w14:textId="35763481" w:rsidR="00E22B60" w:rsidRPr="00CF6765" w:rsidRDefault="007B29AE"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w:t>
      </w:r>
      <w:r w:rsidR="00AD04D4" w:rsidRPr="00CF6765">
        <w:rPr>
          <w:rFonts w:eastAsia="Calibri"/>
          <w:sz w:val="20"/>
          <w:szCs w:val="20"/>
          <w:lang w:val="en-US"/>
        </w:rPr>
        <w:t>n November 12,</w:t>
      </w:r>
      <w:r w:rsidR="00E22B60" w:rsidRPr="00CF6765">
        <w:rPr>
          <w:rFonts w:eastAsia="Calibri"/>
          <w:sz w:val="20"/>
          <w:szCs w:val="20"/>
          <w:lang w:val="en-US"/>
        </w:rPr>
        <w:t xml:space="preserve"> 2001,</w:t>
      </w:r>
      <w:r w:rsidRPr="00CF6765">
        <w:rPr>
          <w:rFonts w:eastAsia="Calibri"/>
          <w:sz w:val="20"/>
          <w:szCs w:val="20"/>
          <w:lang w:val="en-US"/>
        </w:rPr>
        <w:t xml:space="preserve"> the First Civil Court declared that it lacked jurisdiction because “the offense denounced […] began on January 17, 2001, a date when the Third Criminal Court was on duty</w:t>
      </w:r>
      <w:r w:rsidR="00653816" w:rsidRPr="00CF6765">
        <w:rPr>
          <w:rFonts w:eastAsia="Calibri"/>
          <w:sz w:val="20"/>
          <w:szCs w:val="20"/>
          <w:lang w:val="en-US"/>
        </w:rPr>
        <w:t>,</w:t>
      </w:r>
      <w:r w:rsidRPr="00CF6765">
        <w:rPr>
          <w:rFonts w:eastAsia="Calibri"/>
          <w:sz w:val="20"/>
          <w:szCs w:val="20"/>
          <w:lang w:val="en-US"/>
        </w:rPr>
        <w:t>” and</w:t>
      </w:r>
      <w:r w:rsidR="00653816" w:rsidRPr="00CF6765">
        <w:rPr>
          <w:rFonts w:eastAsia="Calibri"/>
          <w:sz w:val="20"/>
          <w:szCs w:val="20"/>
          <w:lang w:val="en-US"/>
        </w:rPr>
        <w:t xml:space="preserve"> </w:t>
      </w:r>
      <w:r w:rsidRPr="00CF6765">
        <w:rPr>
          <w:rFonts w:eastAsia="Calibri"/>
          <w:sz w:val="20"/>
          <w:szCs w:val="20"/>
          <w:lang w:val="en-US"/>
        </w:rPr>
        <w:t>referred the proceedings to that court.</w:t>
      </w:r>
      <w:r w:rsidR="00E22B60" w:rsidRPr="00CF6765">
        <w:rPr>
          <w:rFonts w:eastAsia="Calibri"/>
          <w:sz w:val="20"/>
          <w:szCs w:val="20"/>
          <w:vertAlign w:val="superscript"/>
          <w:lang w:val="en-US"/>
        </w:rPr>
        <w:footnoteReference w:id="65"/>
      </w:r>
      <w:r w:rsidR="00E22B60" w:rsidRPr="00CF6765">
        <w:rPr>
          <w:rFonts w:eastAsia="Calibri"/>
          <w:sz w:val="20"/>
          <w:szCs w:val="20"/>
          <w:lang w:val="en-US"/>
        </w:rPr>
        <w:t xml:space="preserve"> </w:t>
      </w:r>
      <w:r w:rsidRPr="00CF6765">
        <w:rPr>
          <w:rFonts w:eastAsia="Calibri"/>
          <w:sz w:val="20"/>
          <w:szCs w:val="20"/>
          <w:lang w:val="en-US"/>
        </w:rPr>
        <w:t>The Third Criminal Court</w:t>
      </w:r>
      <w:r w:rsidR="00E22B60" w:rsidRPr="00CF6765">
        <w:rPr>
          <w:rFonts w:eastAsia="Calibri"/>
          <w:sz w:val="20"/>
          <w:szCs w:val="20"/>
          <w:lang w:val="en-US"/>
        </w:rPr>
        <w:t xml:space="preserve"> </w:t>
      </w:r>
      <w:r w:rsidRPr="00CF6765">
        <w:rPr>
          <w:rFonts w:eastAsia="Calibri"/>
          <w:sz w:val="20"/>
          <w:szCs w:val="20"/>
          <w:lang w:val="en-US"/>
        </w:rPr>
        <w:t xml:space="preserve">also declined jurisdiction on </w:t>
      </w:r>
      <w:r w:rsidR="00D2168F" w:rsidRPr="00CF6765">
        <w:rPr>
          <w:rFonts w:eastAsia="Calibri"/>
          <w:sz w:val="20"/>
          <w:szCs w:val="20"/>
          <w:lang w:val="en-US"/>
        </w:rPr>
        <w:t>November 23,</w:t>
      </w:r>
      <w:r w:rsidR="00E22B60" w:rsidRPr="00CF6765">
        <w:rPr>
          <w:rFonts w:eastAsia="Calibri"/>
          <w:sz w:val="20"/>
          <w:szCs w:val="20"/>
          <w:lang w:val="en-US"/>
        </w:rPr>
        <w:t xml:space="preserve"> 2001</w:t>
      </w:r>
      <w:r w:rsidRPr="00CF6765">
        <w:rPr>
          <w:rFonts w:eastAsia="Calibri"/>
          <w:sz w:val="20"/>
          <w:szCs w:val="20"/>
          <w:lang w:val="en-US"/>
        </w:rPr>
        <w:t>,</w:t>
      </w:r>
      <w:r w:rsidR="00EC50FC" w:rsidRPr="00CF6765">
        <w:rPr>
          <w:rFonts w:eastAsia="Calibri"/>
          <w:sz w:val="20"/>
          <w:szCs w:val="20"/>
          <w:lang w:val="en-US"/>
        </w:rPr>
        <w:t xml:space="preserve"> and </w:t>
      </w:r>
      <w:r w:rsidR="00D76A23" w:rsidRPr="00CF6765">
        <w:rPr>
          <w:rFonts w:eastAsia="Calibri"/>
          <w:sz w:val="20"/>
          <w:szCs w:val="20"/>
          <w:lang w:val="en-US"/>
        </w:rPr>
        <w:t>returned the case to the First Civil Court.</w:t>
      </w:r>
      <w:r w:rsidR="00E22B60" w:rsidRPr="00CF6765">
        <w:rPr>
          <w:rFonts w:eastAsia="Calibri"/>
          <w:sz w:val="20"/>
          <w:szCs w:val="20"/>
          <w:vertAlign w:val="superscript"/>
          <w:lang w:val="en-US"/>
        </w:rPr>
        <w:footnoteReference w:id="66"/>
      </w:r>
      <w:r w:rsidR="00E22B60" w:rsidRPr="00CF6765">
        <w:rPr>
          <w:rFonts w:eastAsia="Calibri"/>
          <w:sz w:val="20"/>
          <w:szCs w:val="20"/>
          <w:lang w:val="en-US"/>
        </w:rPr>
        <w:t xml:space="preserve"> </w:t>
      </w:r>
      <w:r w:rsidR="002D729E" w:rsidRPr="00CF6765">
        <w:rPr>
          <w:rFonts w:eastAsia="Calibri"/>
          <w:sz w:val="20"/>
          <w:szCs w:val="20"/>
          <w:lang w:val="en-US"/>
        </w:rPr>
        <w:t xml:space="preserve">The First Civil </w:t>
      </w:r>
      <w:r w:rsidR="002D729E" w:rsidRPr="00CF6765">
        <w:rPr>
          <w:rFonts w:eastAsia="Calibri"/>
          <w:sz w:val="20"/>
          <w:szCs w:val="20"/>
          <w:lang w:val="en-US"/>
        </w:rPr>
        <w:lastRenderedPageBreak/>
        <w:t>Court</w:t>
      </w:r>
      <w:r w:rsidR="00E22B60" w:rsidRPr="00CF6765">
        <w:rPr>
          <w:rFonts w:eastAsia="Calibri"/>
          <w:sz w:val="20"/>
          <w:szCs w:val="20"/>
          <w:lang w:val="en-US"/>
        </w:rPr>
        <w:t xml:space="preserve"> </w:t>
      </w:r>
      <w:r w:rsidR="00D76A23" w:rsidRPr="00CF6765">
        <w:rPr>
          <w:rFonts w:eastAsia="Calibri"/>
          <w:sz w:val="20"/>
          <w:szCs w:val="20"/>
          <w:lang w:val="en-US"/>
        </w:rPr>
        <w:t xml:space="preserve">again ruled itself incompetent on December 11, </w:t>
      </w:r>
      <w:r w:rsidR="00E22B60" w:rsidRPr="00CF6765">
        <w:rPr>
          <w:rFonts w:eastAsia="Calibri"/>
          <w:sz w:val="20"/>
          <w:szCs w:val="20"/>
          <w:lang w:val="en-US"/>
        </w:rPr>
        <w:t>2001</w:t>
      </w:r>
      <w:r w:rsidR="00D76A23" w:rsidRPr="00CF6765">
        <w:rPr>
          <w:rFonts w:eastAsia="Calibri"/>
          <w:sz w:val="20"/>
          <w:szCs w:val="20"/>
          <w:lang w:val="en-US"/>
        </w:rPr>
        <w:t>,</w:t>
      </w:r>
      <w:r w:rsidR="00E22B60" w:rsidRPr="00CF6765">
        <w:rPr>
          <w:rFonts w:eastAsia="Calibri"/>
          <w:sz w:val="20"/>
          <w:szCs w:val="20"/>
          <w:vertAlign w:val="superscript"/>
          <w:lang w:val="en-US"/>
        </w:rPr>
        <w:footnoteReference w:id="67"/>
      </w:r>
      <w:r w:rsidR="00E22B60" w:rsidRPr="00CF6765">
        <w:rPr>
          <w:rFonts w:eastAsia="Calibri"/>
          <w:sz w:val="20"/>
          <w:szCs w:val="20"/>
          <w:lang w:val="en-US"/>
        </w:rPr>
        <w:t xml:space="preserve"> </w:t>
      </w:r>
      <w:r w:rsidR="00D76A23" w:rsidRPr="00CF6765">
        <w:rPr>
          <w:rFonts w:eastAsia="Calibri"/>
          <w:sz w:val="20"/>
          <w:szCs w:val="20"/>
          <w:lang w:val="en-US"/>
        </w:rPr>
        <w:t>and referred the proceedings to the</w:t>
      </w:r>
      <w:r w:rsidR="005C731C" w:rsidRPr="00CF6765">
        <w:rPr>
          <w:rFonts w:eastAsia="Calibri"/>
          <w:sz w:val="20"/>
          <w:szCs w:val="20"/>
          <w:lang w:val="en-US"/>
        </w:rPr>
        <w:t xml:space="preserve"> </w:t>
      </w:r>
      <w:r w:rsidR="00653816" w:rsidRPr="00CF6765">
        <w:rPr>
          <w:rFonts w:eastAsia="Calibri"/>
          <w:sz w:val="20"/>
          <w:szCs w:val="20"/>
          <w:lang w:val="en-US"/>
        </w:rPr>
        <w:t xml:space="preserve">San Miguel </w:t>
      </w:r>
      <w:r w:rsidR="005C731C" w:rsidRPr="00CF6765">
        <w:rPr>
          <w:rFonts w:eastAsia="Calibri"/>
          <w:sz w:val="20"/>
          <w:szCs w:val="20"/>
          <w:lang w:val="en-US"/>
        </w:rPr>
        <w:t>Court</w:t>
      </w:r>
      <w:r w:rsidR="00E22B60" w:rsidRPr="00CF6765">
        <w:rPr>
          <w:rFonts w:eastAsia="Calibri"/>
          <w:sz w:val="20"/>
          <w:szCs w:val="20"/>
          <w:lang w:val="en-US"/>
        </w:rPr>
        <w:t xml:space="preserve"> </w:t>
      </w:r>
      <w:r w:rsidR="00D76A23" w:rsidRPr="00CF6765">
        <w:rPr>
          <w:rFonts w:eastAsia="Calibri"/>
          <w:sz w:val="20"/>
          <w:szCs w:val="20"/>
          <w:lang w:val="en-US"/>
        </w:rPr>
        <w:t>of Appeal,</w:t>
      </w:r>
      <w:r w:rsidR="00E22B60" w:rsidRPr="00CF6765">
        <w:rPr>
          <w:rFonts w:eastAsia="Calibri"/>
          <w:sz w:val="20"/>
          <w:szCs w:val="20"/>
          <w:vertAlign w:val="superscript"/>
          <w:lang w:val="en-US"/>
        </w:rPr>
        <w:footnoteReference w:id="68"/>
      </w:r>
      <w:r w:rsidR="00D76A23" w:rsidRPr="00CF6765">
        <w:rPr>
          <w:rFonts w:eastAsia="Calibri"/>
          <w:sz w:val="20"/>
          <w:szCs w:val="20"/>
          <w:lang w:val="en-US"/>
        </w:rPr>
        <w:t xml:space="preserve"> which ruled that </w:t>
      </w:r>
      <w:r w:rsidR="00AD04D4" w:rsidRPr="00CF6765">
        <w:rPr>
          <w:rFonts w:eastAsia="Calibri"/>
          <w:sz w:val="20"/>
          <w:szCs w:val="20"/>
          <w:lang w:val="en-US"/>
        </w:rPr>
        <w:t xml:space="preserve">the </w:t>
      </w:r>
      <w:r w:rsidR="002D729E" w:rsidRPr="00CF6765">
        <w:rPr>
          <w:rFonts w:eastAsia="Calibri"/>
          <w:sz w:val="20"/>
          <w:szCs w:val="20"/>
          <w:lang w:val="en-US"/>
        </w:rPr>
        <w:t>First Civil Court</w:t>
      </w:r>
      <w:r w:rsidR="00E22B60" w:rsidRPr="00CF6765">
        <w:rPr>
          <w:rFonts w:eastAsia="Calibri"/>
          <w:sz w:val="20"/>
          <w:szCs w:val="20"/>
          <w:lang w:val="en-US"/>
        </w:rPr>
        <w:t xml:space="preserve"> </w:t>
      </w:r>
      <w:r w:rsidR="00D76A23" w:rsidRPr="00CF6765">
        <w:rPr>
          <w:rFonts w:eastAsia="Calibri"/>
          <w:sz w:val="20"/>
          <w:szCs w:val="20"/>
          <w:lang w:val="en-US"/>
        </w:rPr>
        <w:t xml:space="preserve">had jurisdiction on February 6, </w:t>
      </w:r>
      <w:r w:rsidR="00E22B60" w:rsidRPr="00CF6765">
        <w:rPr>
          <w:rFonts w:eastAsia="Calibri"/>
          <w:sz w:val="20"/>
          <w:szCs w:val="20"/>
          <w:lang w:val="en-US"/>
        </w:rPr>
        <w:t>2002</w:t>
      </w:r>
      <w:r w:rsidR="00D76A23" w:rsidRPr="00CF6765">
        <w:rPr>
          <w:rFonts w:eastAsia="Calibri"/>
          <w:sz w:val="20"/>
          <w:szCs w:val="20"/>
          <w:lang w:val="en-US"/>
        </w:rPr>
        <w:t>.</w:t>
      </w:r>
      <w:r w:rsidR="00E22B60" w:rsidRPr="00CF6765">
        <w:rPr>
          <w:rFonts w:eastAsia="Calibri"/>
          <w:sz w:val="20"/>
          <w:szCs w:val="20"/>
          <w:vertAlign w:val="superscript"/>
          <w:lang w:val="en-US"/>
        </w:rPr>
        <w:footnoteReference w:id="69"/>
      </w:r>
      <w:r w:rsidR="00D76A23" w:rsidRPr="00CF6765">
        <w:rPr>
          <w:rFonts w:eastAsia="Calibri"/>
          <w:sz w:val="20"/>
          <w:szCs w:val="20"/>
          <w:lang w:val="en-US"/>
        </w:rPr>
        <w:t xml:space="preserve"> That court admitted the complaint and issued an investigation order to the Homicide Brigade under Case No. </w:t>
      </w:r>
      <w:r w:rsidR="003C0075" w:rsidRPr="00CF6765">
        <w:rPr>
          <w:rFonts w:eastAsia="Calibri"/>
          <w:sz w:val="20"/>
          <w:szCs w:val="20"/>
          <w:lang w:val="en-US"/>
        </w:rPr>
        <w:t>75,821</w:t>
      </w:r>
      <w:r w:rsidR="00E22B60" w:rsidRPr="00CF6765">
        <w:rPr>
          <w:rFonts w:eastAsia="Calibri"/>
          <w:sz w:val="20"/>
          <w:szCs w:val="20"/>
          <w:lang w:val="en-US"/>
        </w:rPr>
        <w:t xml:space="preserve">-M </w:t>
      </w:r>
      <w:r w:rsidR="00D76A23" w:rsidRPr="00CF6765">
        <w:rPr>
          <w:rFonts w:eastAsia="Calibri"/>
          <w:sz w:val="20"/>
          <w:szCs w:val="20"/>
          <w:lang w:val="en-US"/>
        </w:rPr>
        <w:t>on February 13,</w:t>
      </w:r>
      <w:r w:rsidR="00E22B60" w:rsidRPr="00CF6765">
        <w:rPr>
          <w:rFonts w:eastAsia="Calibri"/>
          <w:sz w:val="20"/>
          <w:szCs w:val="20"/>
          <w:lang w:val="en-US"/>
        </w:rPr>
        <w:t xml:space="preserve"> 2002</w:t>
      </w:r>
      <w:r w:rsidR="00D76A23" w:rsidRPr="00CF6765">
        <w:rPr>
          <w:rFonts w:eastAsia="Calibri"/>
          <w:sz w:val="20"/>
          <w:szCs w:val="20"/>
          <w:lang w:val="en-US"/>
        </w:rPr>
        <w:t>.</w:t>
      </w:r>
      <w:r w:rsidR="00E22B60" w:rsidRPr="00CF6765">
        <w:rPr>
          <w:rFonts w:eastAsia="Calibri"/>
          <w:sz w:val="20"/>
          <w:szCs w:val="20"/>
          <w:vertAlign w:val="superscript"/>
          <w:lang w:val="en-US"/>
        </w:rPr>
        <w:footnoteReference w:id="70"/>
      </w:r>
      <w:r w:rsidR="00C031E6" w:rsidRPr="00CF6765">
        <w:rPr>
          <w:rFonts w:eastAsia="Calibri"/>
          <w:sz w:val="20"/>
          <w:szCs w:val="20"/>
          <w:lang w:val="en-US"/>
        </w:rPr>
        <w:t xml:space="preserve"> </w:t>
      </w:r>
      <w:r w:rsidR="00C031E6" w:rsidRPr="00CF6765">
        <w:rPr>
          <w:rFonts w:eastAsia="Calibri"/>
          <w:sz w:val="20"/>
          <w:lang w:val="en-US"/>
        </w:rPr>
        <w:t>A</w:t>
      </w:r>
      <w:r w:rsidR="00D76A23" w:rsidRPr="00CF6765">
        <w:rPr>
          <w:rFonts w:eastAsia="Calibri"/>
          <w:sz w:val="20"/>
          <w:lang w:val="en-US"/>
        </w:rPr>
        <w:t>lso</w:t>
      </w:r>
      <w:r w:rsidR="00C031E6" w:rsidRPr="00CF6765">
        <w:rPr>
          <w:rFonts w:eastAsia="Calibri"/>
          <w:sz w:val="20"/>
          <w:lang w:val="en-US"/>
        </w:rPr>
        <w:t xml:space="preserve">, </w:t>
      </w:r>
      <w:r w:rsidR="00D76A23" w:rsidRPr="00CF6765">
        <w:rPr>
          <w:rFonts w:eastAsia="Calibri"/>
          <w:sz w:val="20"/>
          <w:lang w:val="en-US"/>
        </w:rPr>
        <w:t>on February 13,</w:t>
      </w:r>
      <w:r w:rsidR="00C031E6" w:rsidRPr="00CF6765">
        <w:rPr>
          <w:rFonts w:eastAsia="Calibri"/>
          <w:sz w:val="20"/>
          <w:lang w:val="en-US"/>
        </w:rPr>
        <w:t xml:space="preserve"> 2002, </w:t>
      </w:r>
      <w:r w:rsidR="002D729E" w:rsidRPr="00CF6765">
        <w:rPr>
          <w:rFonts w:eastAsia="Calibri"/>
          <w:sz w:val="20"/>
          <w:lang w:val="en-US"/>
        </w:rPr>
        <w:t>the First Civil Court</w:t>
      </w:r>
      <w:r w:rsidR="00C031E6" w:rsidRPr="00CF6765">
        <w:rPr>
          <w:rFonts w:eastAsia="Calibri"/>
          <w:sz w:val="20"/>
          <w:lang w:val="en-US"/>
        </w:rPr>
        <w:t xml:space="preserve"> </w:t>
      </w:r>
      <w:r w:rsidR="00D76A23" w:rsidRPr="00CF6765">
        <w:rPr>
          <w:rFonts w:eastAsia="Calibri"/>
          <w:sz w:val="20"/>
          <w:lang w:val="en-US"/>
        </w:rPr>
        <w:t xml:space="preserve">ordered the exhumation </w:t>
      </w:r>
      <w:r w:rsidR="00D04694" w:rsidRPr="00CF6765">
        <w:rPr>
          <w:rFonts w:eastAsia="Calibri"/>
          <w:sz w:val="20"/>
          <w:lang w:val="en-US"/>
        </w:rPr>
        <w:t>of Mr.</w:t>
      </w:r>
      <w:r w:rsidR="00D2168F" w:rsidRPr="00CF6765">
        <w:rPr>
          <w:rFonts w:eastAsia="Calibri"/>
          <w:sz w:val="20"/>
          <w:lang w:val="en-US"/>
        </w:rPr>
        <w:t xml:space="preserve"> Poblete</w:t>
      </w:r>
      <w:r w:rsidR="00C031E6" w:rsidRPr="00CF6765">
        <w:rPr>
          <w:rFonts w:eastAsia="Calibri"/>
          <w:sz w:val="20"/>
          <w:lang w:val="en-US"/>
        </w:rPr>
        <w:t xml:space="preserve"> </w:t>
      </w:r>
      <w:proofErr w:type="spellStart"/>
      <w:r w:rsidR="00C031E6" w:rsidRPr="00CF6765">
        <w:rPr>
          <w:rFonts w:eastAsia="Calibri"/>
          <w:sz w:val="20"/>
          <w:lang w:val="en-US"/>
        </w:rPr>
        <w:t>Vilches</w:t>
      </w:r>
      <w:proofErr w:type="spellEnd"/>
      <w:r w:rsidR="00C031E6" w:rsidRPr="00CF6765">
        <w:rPr>
          <w:rFonts w:eastAsia="Calibri"/>
          <w:sz w:val="20"/>
          <w:lang w:val="en-US"/>
        </w:rPr>
        <w:t xml:space="preserve"> </w:t>
      </w:r>
      <w:r w:rsidR="00D76A23" w:rsidRPr="00CF6765">
        <w:rPr>
          <w:rFonts w:eastAsia="Calibri"/>
          <w:sz w:val="20"/>
          <w:lang w:val="en-US"/>
        </w:rPr>
        <w:t>to perform the autopsy</w:t>
      </w:r>
      <w:r w:rsidR="00340849" w:rsidRPr="00CF6765">
        <w:rPr>
          <w:rFonts w:eastAsia="Calibri"/>
          <w:sz w:val="20"/>
          <w:lang w:val="en-US"/>
        </w:rPr>
        <w:t>; however, this procedure was never executed.</w:t>
      </w:r>
      <w:r w:rsidR="00C031E6" w:rsidRPr="00CF6765">
        <w:rPr>
          <w:rStyle w:val="Refdenotaalpie"/>
          <w:rFonts w:eastAsia="Calibri"/>
          <w:sz w:val="20"/>
          <w:lang w:val="en-US"/>
        </w:rPr>
        <w:footnoteReference w:id="71"/>
      </w:r>
    </w:p>
    <w:p w14:paraId="55B9692D" w14:textId="77777777" w:rsidR="00E22B60" w:rsidRPr="00CF6765" w:rsidRDefault="00E22B60" w:rsidP="00450250">
      <w:pPr>
        <w:tabs>
          <w:tab w:val="left" w:pos="630"/>
          <w:tab w:val="left" w:pos="810"/>
          <w:tab w:val="left" w:pos="1530"/>
          <w:tab w:val="left" w:pos="1620"/>
        </w:tabs>
        <w:ind w:right="13"/>
        <w:rPr>
          <w:rFonts w:eastAsia="Calibri"/>
          <w:i/>
          <w:sz w:val="20"/>
          <w:lang w:val="en-US"/>
        </w:rPr>
      </w:pPr>
    </w:p>
    <w:p w14:paraId="4504D9BC" w14:textId="4B4DE0F3" w:rsidR="00E22B60" w:rsidRPr="00CF6765" w:rsidRDefault="00340849"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October 16,</w:t>
      </w:r>
      <w:r w:rsidR="00E22B60" w:rsidRPr="00CF6765">
        <w:rPr>
          <w:rFonts w:eastAsia="Calibri"/>
          <w:sz w:val="20"/>
          <w:szCs w:val="20"/>
          <w:lang w:val="en-US"/>
        </w:rPr>
        <w:t xml:space="preserve"> 2002</w:t>
      </w:r>
      <w:r w:rsidR="0054712C" w:rsidRPr="00CF6765">
        <w:rPr>
          <w:rFonts w:eastAsia="Calibri"/>
          <w:sz w:val="20"/>
          <w:szCs w:val="20"/>
          <w:lang w:val="en-US"/>
        </w:rPr>
        <w:t>,</w:t>
      </w:r>
      <w:r w:rsidR="00E22B60" w:rsidRPr="00CF6765">
        <w:rPr>
          <w:rFonts w:eastAsia="Calibri"/>
          <w:sz w:val="20"/>
          <w:szCs w:val="20"/>
          <w:lang w:val="en-US"/>
        </w:rPr>
        <w:t xml:space="preserve"> </w:t>
      </w:r>
      <w:r w:rsidR="002D729E" w:rsidRPr="00CF6765">
        <w:rPr>
          <w:rFonts w:eastAsia="Calibri"/>
          <w:sz w:val="20"/>
          <w:szCs w:val="20"/>
          <w:lang w:val="en-US"/>
        </w:rPr>
        <w:t>the First Civil Court</w:t>
      </w:r>
      <w:r w:rsidR="00E22B60" w:rsidRPr="00CF6765">
        <w:rPr>
          <w:rFonts w:eastAsia="Calibri"/>
          <w:sz w:val="20"/>
          <w:szCs w:val="20"/>
          <w:lang w:val="en-US"/>
        </w:rPr>
        <w:t xml:space="preserve"> </w:t>
      </w:r>
      <w:r w:rsidRPr="00CF6765">
        <w:rPr>
          <w:rFonts w:eastAsia="Calibri"/>
          <w:sz w:val="20"/>
          <w:szCs w:val="20"/>
          <w:lang w:val="en-US"/>
        </w:rPr>
        <w:t>asked</w:t>
      </w:r>
      <w:r w:rsidR="00B06735" w:rsidRPr="00CF6765">
        <w:rPr>
          <w:rFonts w:eastAsia="Calibri"/>
          <w:sz w:val="20"/>
          <w:szCs w:val="20"/>
          <w:lang w:val="en-US"/>
        </w:rPr>
        <w:t xml:space="preserve"> the </w:t>
      </w:r>
      <w:proofErr w:type="spellStart"/>
      <w:r w:rsidR="00B06735" w:rsidRPr="00CF6765">
        <w:rPr>
          <w:rFonts w:eastAsia="Calibri"/>
          <w:sz w:val="20"/>
          <w:szCs w:val="20"/>
          <w:lang w:val="en-US"/>
        </w:rPr>
        <w:t>Sótero</w:t>
      </w:r>
      <w:proofErr w:type="spellEnd"/>
      <w:r w:rsidR="00B06735" w:rsidRPr="00CF6765">
        <w:rPr>
          <w:rFonts w:eastAsia="Calibri"/>
          <w:sz w:val="20"/>
          <w:szCs w:val="20"/>
          <w:lang w:val="en-US"/>
        </w:rPr>
        <w:t xml:space="preserve"> del Río Hospital</w:t>
      </w:r>
      <w:r w:rsidRPr="00CF6765">
        <w:rPr>
          <w:rFonts w:eastAsia="Calibri"/>
          <w:sz w:val="20"/>
          <w:szCs w:val="20"/>
          <w:lang w:val="en-US"/>
        </w:rPr>
        <w:t xml:space="preserve"> to forward the</w:t>
      </w:r>
      <w:r w:rsidR="00E22B60" w:rsidRPr="00CF6765">
        <w:rPr>
          <w:rFonts w:eastAsia="Calibri"/>
          <w:sz w:val="20"/>
          <w:szCs w:val="20"/>
          <w:lang w:val="en-US"/>
        </w:rPr>
        <w:t xml:space="preserve"> </w:t>
      </w:r>
      <w:r w:rsidRPr="00CF6765">
        <w:rPr>
          <w:rFonts w:eastAsia="Calibri"/>
          <w:sz w:val="20"/>
          <w:szCs w:val="20"/>
          <w:lang w:val="en-US"/>
        </w:rPr>
        <w:t>m</w:t>
      </w:r>
      <w:r w:rsidR="00B969DD" w:rsidRPr="00CF6765">
        <w:rPr>
          <w:rFonts w:eastAsia="Calibri"/>
          <w:sz w:val="20"/>
          <w:szCs w:val="20"/>
          <w:lang w:val="en-US"/>
        </w:rPr>
        <w:t>edical record of</w:t>
      </w:r>
      <w:r w:rsidR="00D04694" w:rsidRPr="00CF6765">
        <w:rPr>
          <w:rFonts w:eastAsia="Calibri"/>
          <w:sz w:val="20"/>
          <w:szCs w:val="20"/>
          <w:lang w:val="en-US"/>
        </w:rPr>
        <w:t xml:space="preserve"> Mr.</w:t>
      </w:r>
      <w:r w:rsidR="00D2168F" w:rsidRPr="00CF6765">
        <w:rPr>
          <w:rFonts w:eastAsia="Calibri"/>
          <w:sz w:val="20"/>
          <w:szCs w:val="20"/>
          <w:lang w:val="en-US"/>
        </w:rPr>
        <w:t xml:space="preserve">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Pr="00CF6765">
        <w:rPr>
          <w:rFonts w:eastAsia="Calibri"/>
          <w:sz w:val="20"/>
          <w:szCs w:val="20"/>
          <w:lang w:val="en-US"/>
        </w:rPr>
        <w:t>which was received on November 14,</w:t>
      </w:r>
      <w:r w:rsidR="00E22B60" w:rsidRPr="00CF6765">
        <w:rPr>
          <w:rFonts w:eastAsia="Calibri"/>
          <w:sz w:val="20"/>
          <w:szCs w:val="20"/>
          <w:lang w:val="en-US"/>
        </w:rPr>
        <w:t xml:space="preserve"> 2002</w:t>
      </w:r>
      <w:r w:rsidRPr="00CF6765">
        <w:rPr>
          <w:rFonts w:eastAsia="Calibri"/>
          <w:sz w:val="20"/>
          <w:szCs w:val="20"/>
          <w:lang w:val="en-US"/>
        </w:rPr>
        <w:t>.</w:t>
      </w:r>
      <w:r w:rsidR="00E22B60" w:rsidRPr="00CF6765">
        <w:rPr>
          <w:rFonts w:eastAsia="Calibri"/>
          <w:sz w:val="20"/>
          <w:szCs w:val="20"/>
          <w:vertAlign w:val="superscript"/>
          <w:lang w:val="en-US"/>
        </w:rPr>
        <w:footnoteReference w:id="72"/>
      </w:r>
    </w:p>
    <w:p w14:paraId="6621DAD6" w14:textId="77777777" w:rsidR="00E22B60" w:rsidRPr="00CF6765" w:rsidRDefault="00E22B60" w:rsidP="00450250">
      <w:pPr>
        <w:tabs>
          <w:tab w:val="left" w:pos="567"/>
          <w:tab w:val="left" w:pos="630"/>
          <w:tab w:val="left" w:pos="810"/>
          <w:tab w:val="left" w:pos="1530"/>
          <w:tab w:val="left" w:pos="1620"/>
          <w:tab w:val="num" w:pos="12305"/>
        </w:tabs>
        <w:ind w:right="13"/>
        <w:rPr>
          <w:rFonts w:eastAsia="Calibri"/>
          <w:sz w:val="20"/>
          <w:szCs w:val="20"/>
          <w:lang w:val="en-US"/>
        </w:rPr>
      </w:pPr>
      <w:r w:rsidRPr="00CF6765">
        <w:rPr>
          <w:rFonts w:eastAsia="Calibri"/>
          <w:sz w:val="20"/>
          <w:szCs w:val="20"/>
          <w:lang w:val="en-US"/>
        </w:rPr>
        <w:t xml:space="preserve"> </w:t>
      </w:r>
    </w:p>
    <w:p w14:paraId="3BD51FE8" w14:textId="4BC721B9" w:rsidR="00E22B60" w:rsidRPr="00CF6765" w:rsidRDefault="00340849"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April 12,</w:t>
      </w:r>
      <w:r w:rsidR="00E22B60" w:rsidRPr="00CF6765">
        <w:rPr>
          <w:rFonts w:eastAsia="Calibri"/>
          <w:sz w:val="20"/>
          <w:szCs w:val="20"/>
          <w:lang w:val="en-US"/>
        </w:rPr>
        <w:t xml:space="preserve"> 2003</w:t>
      </w:r>
      <w:r w:rsidR="0054712C" w:rsidRPr="00CF6765">
        <w:rPr>
          <w:rFonts w:eastAsia="Calibri"/>
          <w:sz w:val="20"/>
          <w:szCs w:val="20"/>
          <w:lang w:val="en-US"/>
        </w:rPr>
        <w:t>,</w:t>
      </w:r>
      <w:r w:rsidR="00E22B60" w:rsidRPr="00CF6765">
        <w:rPr>
          <w:rFonts w:eastAsia="Calibri"/>
          <w:sz w:val="20"/>
          <w:szCs w:val="20"/>
          <w:lang w:val="en-US"/>
        </w:rPr>
        <w:t xml:space="preserve"> </w:t>
      </w:r>
      <w:r w:rsidR="002D729E" w:rsidRPr="00CF6765">
        <w:rPr>
          <w:rFonts w:eastAsia="Calibri"/>
          <w:sz w:val="20"/>
          <w:szCs w:val="20"/>
          <w:lang w:val="en-US"/>
        </w:rPr>
        <w:t>the First Civil Court</w:t>
      </w:r>
      <w:r w:rsidR="00E22B60" w:rsidRPr="00CF6765">
        <w:rPr>
          <w:rFonts w:eastAsia="Calibri"/>
          <w:sz w:val="20"/>
          <w:szCs w:val="20"/>
          <w:lang w:val="en-US"/>
        </w:rPr>
        <w:t xml:space="preserve"> rec</w:t>
      </w:r>
      <w:r w:rsidR="008E7DC3" w:rsidRPr="00CF6765">
        <w:rPr>
          <w:rFonts w:eastAsia="Calibri"/>
          <w:sz w:val="20"/>
          <w:szCs w:val="20"/>
          <w:lang w:val="en-US"/>
        </w:rPr>
        <w:t xml:space="preserve">eived the police report from the Metropolitan Homicide Brigade of the Chilean Investigation Police. Attached to this was the </w:t>
      </w:r>
      <w:r w:rsidR="00B328D7" w:rsidRPr="00CF6765">
        <w:rPr>
          <w:rFonts w:eastAsia="Calibri"/>
          <w:sz w:val="20"/>
          <w:szCs w:val="20"/>
          <w:lang w:val="en-US"/>
        </w:rPr>
        <w:t>report</w:t>
      </w:r>
      <w:r w:rsidR="008E7DC3" w:rsidRPr="00CF6765">
        <w:rPr>
          <w:rFonts w:eastAsia="Calibri"/>
          <w:sz w:val="20"/>
          <w:szCs w:val="20"/>
          <w:lang w:val="en-US"/>
        </w:rPr>
        <w:t xml:space="preserve"> of the criminal forensic physician who concluded that “the contents of the medical record indicate that “the patient receive timely and effective medical care and treatment; consequently, a better explanation for his death […] is the seriousness of the complications, which exceeded the medical efforts and available means.</w:t>
      </w:r>
      <w:r w:rsidR="00E22B60" w:rsidRPr="00CF6765">
        <w:rPr>
          <w:rFonts w:eastAsia="Calibri"/>
          <w:sz w:val="20"/>
          <w:szCs w:val="20"/>
          <w:lang w:val="en-US"/>
        </w:rPr>
        <w:t>”</w:t>
      </w:r>
      <w:r w:rsidR="00E22B60" w:rsidRPr="00CF6765">
        <w:rPr>
          <w:rFonts w:eastAsia="Calibri"/>
          <w:sz w:val="20"/>
          <w:szCs w:val="20"/>
          <w:vertAlign w:val="superscript"/>
          <w:lang w:val="en-US"/>
        </w:rPr>
        <w:footnoteReference w:id="73"/>
      </w:r>
    </w:p>
    <w:p w14:paraId="7A35CACA" w14:textId="77777777" w:rsidR="00E22B60" w:rsidRPr="00CF6765" w:rsidRDefault="00E22B60" w:rsidP="00450250">
      <w:pPr>
        <w:tabs>
          <w:tab w:val="left" w:pos="630"/>
          <w:tab w:val="left" w:pos="810"/>
          <w:tab w:val="left" w:pos="1530"/>
          <w:tab w:val="left" w:pos="1620"/>
        </w:tabs>
        <w:ind w:right="13"/>
        <w:rPr>
          <w:rFonts w:eastAsia="Calibri"/>
          <w:sz w:val="20"/>
          <w:szCs w:val="20"/>
          <w:lang w:val="en-US"/>
        </w:rPr>
      </w:pPr>
    </w:p>
    <w:p w14:paraId="7CB19A78" w14:textId="3165A434" w:rsidR="00E22B60" w:rsidRPr="00CF6765" w:rsidRDefault="008E7DC3"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May</w:t>
      </w:r>
      <w:r w:rsidR="00E22B60" w:rsidRPr="00CF6765">
        <w:rPr>
          <w:rFonts w:eastAsia="Calibri"/>
          <w:sz w:val="20"/>
          <w:szCs w:val="20"/>
          <w:lang w:val="en-US"/>
        </w:rPr>
        <w:t xml:space="preserve"> 13</w:t>
      </w:r>
      <w:r w:rsidR="00EC50FC" w:rsidRPr="00CF6765">
        <w:rPr>
          <w:rFonts w:eastAsia="Calibri"/>
          <w:sz w:val="20"/>
          <w:szCs w:val="20"/>
          <w:lang w:val="en-US"/>
        </w:rPr>
        <w:t xml:space="preserve"> and </w:t>
      </w:r>
      <w:r w:rsidR="00E22B60" w:rsidRPr="00CF6765">
        <w:rPr>
          <w:rFonts w:eastAsia="Calibri"/>
          <w:sz w:val="20"/>
          <w:szCs w:val="20"/>
          <w:lang w:val="en-US"/>
        </w:rPr>
        <w:t>20</w:t>
      </w:r>
      <w:r w:rsidR="00653816" w:rsidRPr="00CF6765">
        <w:rPr>
          <w:rFonts w:eastAsia="Calibri"/>
          <w:sz w:val="20"/>
          <w:szCs w:val="20"/>
          <w:lang w:val="en-US"/>
        </w:rPr>
        <w:t>,</w:t>
      </w:r>
      <w:r w:rsidR="00E22B60" w:rsidRPr="00CF6765">
        <w:rPr>
          <w:rFonts w:eastAsia="Calibri"/>
          <w:sz w:val="20"/>
          <w:szCs w:val="20"/>
          <w:lang w:val="en-US"/>
        </w:rPr>
        <w:t xml:space="preserve"> </w:t>
      </w:r>
      <w:r w:rsidR="00EC50FC" w:rsidRPr="00CF6765">
        <w:rPr>
          <w:rFonts w:eastAsia="Calibri"/>
          <w:sz w:val="20"/>
          <w:szCs w:val="20"/>
          <w:lang w:val="en-US"/>
        </w:rPr>
        <w:t xml:space="preserve">and </w:t>
      </w:r>
      <w:r w:rsidRPr="00CF6765">
        <w:rPr>
          <w:rFonts w:eastAsia="Calibri"/>
          <w:sz w:val="20"/>
          <w:szCs w:val="20"/>
          <w:lang w:val="en-US"/>
        </w:rPr>
        <w:t xml:space="preserve">December 3, </w:t>
      </w:r>
      <w:r w:rsidR="00E22B60" w:rsidRPr="00CF6765">
        <w:rPr>
          <w:rFonts w:eastAsia="Calibri"/>
          <w:sz w:val="20"/>
          <w:szCs w:val="20"/>
          <w:lang w:val="en-US"/>
        </w:rPr>
        <w:t>2003</w:t>
      </w:r>
      <w:r w:rsidRPr="00CF6765">
        <w:rPr>
          <w:rFonts w:eastAsia="Calibri"/>
          <w:sz w:val="20"/>
          <w:szCs w:val="20"/>
          <w:lang w:val="en-US"/>
        </w:rPr>
        <w:t>, the doctors</w:t>
      </w:r>
      <w:r w:rsidR="00E22B60" w:rsidRPr="00CF6765">
        <w:rPr>
          <w:rFonts w:eastAsia="Calibri"/>
          <w:sz w:val="20"/>
          <w:szCs w:val="20"/>
          <w:lang w:val="en-US"/>
        </w:rPr>
        <w:t xml:space="preserve"> Ximena del Pilar </w:t>
      </w:r>
      <w:proofErr w:type="spellStart"/>
      <w:r w:rsidR="00E22B60" w:rsidRPr="00CF6765">
        <w:rPr>
          <w:rFonts w:eastAsia="Calibri"/>
          <w:sz w:val="20"/>
          <w:szCs w:val="20"/>
          <w:lang w:val="en-US"/>
        </w:rPr>
        <w:t>Echeverría</w:t>
      </w:r>
      <w:proofErr w:type="spellEnd"/>
      <w:r w:rsidR="00E22B60" w:rsidRPr="00CF6765">
        <w:rPr>
          <w:rFonts w:eastAsia="Calibri"/>
          <w:sz w:val="20"/>
          <w:szCs w:val="20"/>
          <w:lang w:val="en-US"/>
        </w:rPr>
        <w:t xml:space="preserve"> </w:t>
      </w:r>
      <w:proofErr w:type="spellStart"/>
      <w:r w:rsidR="00E22B60" w:rsidRPr="00CF6765">
        <w:rPr>
          <w:rFonts w:eastAsia="Calibri"/>
          <w:sz w:val="20"/>
          <w:szCs w:val="20"/>
          <w:lang w:val="en-US"/>
        </w:rPr>
        <w:t>Pezoa</w:t>
      </w:r>
      <w:proofErr w:type="spellEnd"/>
      <w:r w:rsidRPr="00CF6765">
        <w:rPr>
          <w:rFonts w:eastAsia="Calibri"/>
          <w:sz w:val="20"/>
          <w:szCs w:val="20"/>
          <w:lang w:val="en-US"/>
        </w:rPr>
        <w:t>,</w:t>
      </w:r>
      <w:r w:rsidR="00E22B60" w:rsidRPr="00CF6765">
        <w:rPr>
          <w:rFonts w:eastAsia="Calibri"/>
          <w:sz w:val="20"/>
          <w:szCs w:val="20"/>
          <w:vertAlign w:val="superscript"/>
          <w:lang w:val="en-US"/>
        </w:rPr>
        <w:footnoteReference w:id="74"/>
      </w:r>
      <w:r w:rsidR="00E22B60" w:rsidRPr="00CF6765">
        <w:rPr>
          <w:rFonts w:eastAsia="Calibri"/>
          <w:sz w:val="20"/>
          <w:szCs w:val="20"/>
          <w:lang w:val="en-US"/>
        </w:rPr>
        <w:t xml:space="preserve"> Humberto Reinaldo </w:t>
      </w:r>
      <w:proofErr w:type="spellStart"/>
      <w:r w:rsidR="00E22B60" w:rsidRPr="00CF6765">
        <w:rPr>
          <w:rFonts w:eastAsia="Calibri"/>
          <w:sz w:val="20"/>
          <w:szCs w:val="20"/>
          <w:lang w:val="en-US"/>
        </w:rPr>
        <w:t>Montecinos</w:t>
      </w:r>
      <w:proofErr w:type="spellEnd"/>
      <w:r w:rsidR="00E22B60" w:rsidRPr="00CF6765">
        <w:rPr>
          <w:rFonts w:eastAsia="Calibri"/>
          <w:sz w:val="20"/>
          <w:szCs w:val="20"/>
          <w:lang w:val="en-US"/>
        </w:rPr>
        <w:t xml:space="preserve"> </w:t>
      </w:r>
      <w:proofErr w:type="spellStart"/>
      <w:r w:rsidR="00E22B60" w:rsidRPr="00CF6765">
        <w:rPr>
          <w:rFonts w:eastAsia="Calibri"/>
          <w:sz w:val="20"/>
          <w:szCs w:val="20"/>
          <w:lang w:val="en-US"/>
        </w:rPr>
        <w:t>Salucci</w:t>
      </w:r>
      <w:proofErr w:type="spellEnd"/>
      <w:r w:rsidR="00E22B60" w:rsidRPr="00CF6765">
        <w:rPr>
          <w:rFonts w:eastAsia="Calibri"/>
          <w:sz w:val="20"/>
          <w:szCs w:val="20"/>
          <w:vertAlign w:val="superscript"/>
          <w:lang w:val="en-US"/>
        </w:rPr>
        <w:footnoteReference w:id="75"/>
      </w:r>
      <w:r w:rsidR="00EC50FC" w:rsidRPr="00CF6765">
        <w:rPr>
          <w:rFonts w:eastAsia="Calibri"/>
          <w:sz w:val="20"/>
          <w:szCs w:val="20"/>
          <w:lang w:val="en-US"/>
        </w:rPr>
        <w:t xml:space="preserve"> and </w:t>
      </w:r>
      <w:r w:rsidR="00E22B60" w:rsidRPr="00CF6765">
        <w:rPr>
          <w:rFonts w:eastAsia="Calibri"/>
          <w:sz w:val="20"/>
          <w:szCs w:val="20"/>
          <w:lang w:val="en-US"/>
        </w:rPr>
        <w:t xml:space="preserve">Sandra Zoraida Castillo </w:t>
      </w:r>
      <w:proofErr w:type="spellStart"/>
      <w:r w:rsidR="00E22B60" w:rsidRPr="00CF6765">
        <w:rPr>
          <w:rFonts w:eastAsia="Calibri"/>
          <w:sz w:val="20"/>
          <w:szCs w:val="20"/>
          <w:lang w:val="en-US"/>
        </w:rPr>
        <w:t>Mont</w:t>
      </w:r>
      <w:r w:rsidR="0054712C" w:rsidRPr="00CF6765">
        <w:rPr>
          <w:rFonts w:eastAsia="Calibri" w:cs="Arial"/>
          <w:sz w:val="20"/>
          <w:szCs w:val="20"/>
          <w:lang w:val="en-US"/>
        </w:rPr>
        <w:t>u</w:t>
      </w:r>
      <w:r w:rsidR="00E22B60" w:rsidRPr="00CF6765">
        <w:rPr>
          <w:rFonts w:eastAsia="Calibri"/>
          <w:sz w:val="20"/>
          <w:szCs w:val="20"/>
          <w:lang w:val="en-US"/>
        </w:rPr>
        <w:t>far</w:t>
      </w:r>
      <w:proofErr w:type="spellEnd"/>
      <w:r w:rsidRPr="00CF6765">
        <w:rPr>
          <w:rFonts w:eastAsia="Calibri"/>
          <w:sz w:val="20"/>
          <w:szCs w:val="20"/>
          <w:lang w:val="en-US"/>
        </w:rPr>
        <w:t>,</w:t>
      </w:r>
      <w:r w:rsidR="00E22B60" w:rsidRPr="00CF6765">
        <w:rPr>
          <w:rFonts w:eastAsia="Calibri"/>
          <w:sz w:val="20"/>
          <w:szCs w:val="20"/>
          <w:vertAlign w:val="superscript"/>
          <w:lang w:val="en-US"/>
        </w:rPr>
        <w:footnoteReference w:id="76"/>
      </w:r>
      <w:r w:rsidR="00E22B60" w:rsidRPr="00CF6765">
        <w:rPr>
          <w:rFonts w:eastAsia="Calibri"/>
          <w:sz w:val="20"/>
          <w:szCs w:val="20"/>
          <w:lang w:val="en-US"/>
        </w:rPr>
        <w:t xml:space="preserve"> respectiv</w:t>
      </w:r>
      <w:r w:rsidRPr="00CF6765">
        <w:rPr>
          <w:rFonts w:eastAsia="Calibri"/>
          <w:sz w:val="20"/>
          <w:szCs w:val="20"/>
          <w:lang w:val="en-US"/>
        </w:rPr>
        <w:t>ely, gave their statements before the court.</w:t>
      </w:r>
    </w:p>
    <w:p w14:paraId="447FEDCC" w14:textId="77777777" w:rsidR="00E22B60" w:rsidRPr="00CF6765" w:rsidRDefault="00E22B60" w:rsidP="00450250">
      <w:pPr>
        <w:tabs>
          <w:tab w:val="left" w:pos="630"/>
          <w:tab w:val="left" w:pos="810"/>
          <w:tab w:val="left" w:pos="1530"/>
          <w:tab w:val="left" w:pos="1620"/>
        </w:tabs>
        <w:ind w:right="13"/>
        <w:rPr>
          <w:rFonts w:eastAsia="Calibri"/>
          <w:sz w:val="20"/>
          <w:szCs w:val="20"/>
          <w:lang w:val="en-US"/>
        </w:rPr>
      </w:pPr>
    </w:p>
    <w:p w14:paraId="7AD27CDA" w14:textId="247198BA" w:rsidR="00E22B60" w:rsidRPr="00CF6765" w:rsidRDefault="00672166"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16"/>
          <w:szCs w:val="16"/>
          <w:lang w:val="en-US"/>
        </w:rPr>
      </w:pPr>
      <w:r w:rsidRPr="00CF6765">
        <w:rPr>
          <w:rFonts w:eastAsia="Calibri"/>
          <w:sz w:val="20"/>
          <w:szCs w:val="20"/>
          <w:lang w:val="en-US"/>
        </w:rPr>
        <w:t>On February 28 and December 20,</w:t>
      </w:r>
      <w:r w:rsidR="00E22B60" w:rsidRPr="00CF6765">
        <w:rPr>
          <w:rFonts w:eastAsia="Calibri"/>
          <w:sz w:val="20"/>
          <w:szCs w:val="20"/>
          <w:lang w:val="en-US"/>
        </w:rPr>
        <w:t xml:space="preserve"> 2004</w:t>
      </w:r>
      <w:r w:rsidRPr="00CF6765">
        <w:rPr>
          <w:rFonts w:eastAsia="Calibri"/>
          <w:sz w:val="20"/>
          <w:szCs w:val="20"/>
          <w:lang w:val="en-US"/>
        </w:rPr>
        <w:t>,</w:t>
      </w:r>
      <w:r w:rsidR="00EC50FC" w:rsidRPr="00CF6765">
        <w:rPr>
          <w:rFonts w:eastAsia="Calibri"/>
          <w:sz w:val="20"/>
          <w:szCs w:val="20"/>
          <w:lang w:val="en-US"/>
        </w:rPr>
        <w:t xml:space="preserve"> and </w:t>
      </w:r>
      <w:r w:rsidRPr="00CF6765">
        <w:rPr>
          <w:rFonts w:eastAsia="Calibri"/>
          <w:sz w:val="20"/>
          <w:szCs w:val="20"/>
          <w:lang w:val="en-US"/>
        </w:rPr>
        <w:t>October 31,</w:t>
      </w:r>
      <w:r w:rsidR="00E22B60" w:rsidRPr="00CF6765">
        <w:rPr>
          <w:rFonts w:eastAsia="Calibri"/>
          <w:sz w:val="20"/>
          <w:szCs w:val="20"/>
          <w:lang w:val="en-US"/>
        </w:rPr>
        <w:t xml:space="preserve"> 2005</w:t>
      </w:r>
      <w:r w:rsidRPr="00CF6765">
        <w:rPr>
          <w:rFonts w:eastAsia="Calibri"/>
          <w:sz w:val="20"/>
          <w:szCs w:val="20"/>
          <w:lang w:val="en-US"/>
        </w:rPr>
        <w:t>,</w:t>
      </w:r>
      <w:r w:rsidR="00E22B60" w:rsidRPr="00CF6765">
        <w:rPr>
          <w:rFonts w:eastAsia="Calibri"/>
          <w:sz w:val="20"/>
          <w:szCs w:val="20"/>
          <w:lang w:val="en-US"/>
        </w:rPr>
        <w:t xml:space="preserve"> </w:t>
      </w:r>
      <w:r w:rsidR="002D729E" w:rsidRPr="00CF6765">
        <w:rPr>
          <w:rFonts w:eastAsia="Calibri"/>
          <w:sz w:val="20"/>
          <w:szCs w:val="20"/>
          <w:lang w:val="en-US"/>
        </w:rPr>
        <w:t>the First Civil Court</w:t>
      </w:r>
      <w:r w:rsidR="00E22B60" w:rsidRPr="00CF6765">
        <w:rPr>
          <w:rFonts w:eastAsia="Calibri"/>
          <w:sz w:val="20"/>
          <w:szCs w:val="20"/>
          <w:lang w:val="en-US"/>
        </w:rPr>
        <w:t xml:space="preserve"> </w:t>
      </w:r>
      <w:r w:rsidRPr="00CF6765">
        <w:rPr>
          <w:rFonts w:eastAsia="Calibri"/>
          <w:sz w:val="20"/>
          <w:szCs w:val="20"/>
          <w:lang w:val="en-US"/>
        </w:rPr>
        <w:t xml:space="preserve">issued warrants for the arrest of </w:t>
      </w:r>
      <w:r w:rsidR="00E22B60" w:rsidRPr="00CF6765">
        <w:rPr>
          <w:rFonts w:eastAsia="Calibri"/>
          <w:sz w:val="20"/>
          <w:szCs w:val="20"/>
          <w:lang w:val="en-US"/>
        </w:rPr>
        <w:t>Luis Carvajal Freire</w:t>
      </w:r>
      <w:r w:rsidRPr="00CF6765">
        <w:rPr>
          <w:rFonts w:eastAsia="Calibri"/>
          <w:sz w:val="20"/>
          <w:szCs w:val="20"/>
          <w:lang w:val="en-US"/>
        </w:rPr>
        <w:t>.</w:t>
      </w:r>
      <w:r w:rsidR="00E22B60" w:rsidRPr="00CF6765">
        <w:rPr>
          <w:rFonts w:eastAsia="Calibri"/>
          <w:sz w:val="20"/>
          <w:szCs w:val="20"/>
          <w:vertAlign w:val="superscript"/>
          <w:lang w:val="en-US"/>
        </w:rPr>
        <w:footnoteReference w:id="77"/>
      </w:r>
      <w:r w:rsidR="00E22B60" w:rsidRPr="00CF6765">
        <w:rPr>
          <w:rFonts w:eastAsia="Calibri"/>
          <w:sz w:val="20"/>
          <w:szCs w:val="20"/>
          <w:lang w:val="en-US"/>
        </w:rPr>
        <w:t xml:space="preserve"> </w:t>
      </w:r>
      <w:r w:rsidR="00E535D5" w:rsidRPr="00CF6765">
        <w:rPr>
          <w:rFonts w:eastAsia="Calibri"/>
          <w:sz w:val="20"/>
          <w:szCs w:val="20"/>
          <w:lang w:val="en-US"/>
        </w:rPr>
        <w:t>On April 6,</w:t>
      </w:r>
      <w:r w:rsidR="00E22B60" w:rsidRPr="00CF6765">
        <w:rPr>
          <w:rFonts w:eastAsia="Calibri"/>
          <w:sz w:val="20"/>
          <w:szCs w:val="20"/>
          <w:lang w:val="en-US"/>
        </w:rPr>
        <w:t xml:space="preserve"> 2004</w:t>
      </w:r>
      <w:r w:rsidR="0054712C" w:rsidRPr="00CF6765">
        <w:rPr>
          <w:rFonts w:eastAsia="Calibri"/>
          <w:sz w:val="20"/>
          <w:szCs w:val="20"/>
          <w:lang w:val="en-US"/>
        </w:rPr>
        <w:t>,</w:t>
      </w:r>
      <w:r w:rsidR="00E22B60" w:rsidRPr="00CF6765">
        <w:rPr>
          <w:rFonts w:eastAsia="Calibri"/>
          <w:sz w:val="20"/>
          <w:szCs w:val="20"/>
          <w:lang w:val="en-US"/>
        </w:rPr>
        <w:t xml:space="preserve"> </w:t>
      </w:r>
      <w:r w:rsidRPr="00CF6765">
        <w:rPr>
          <w:rFonts w:eastAsia="Calibri"/>
          <w:sz w:val="20"/>
          <w:szCs w:val="20"/>
          <w:lang w:val="en-US"/>
        </w:rPr>
        <w:t>the Nineteenth Criminal Court</w:t>
      </w:r>
      <w:r w:rsidR="00E22B60" w:rsidRPr="00CF6765">
        <w:rPr>
          <w:rFonts w:eastAsia="Calibri"/>
          <w:sz w:val="20"/>
          <w:szCs w:val="20"/>
          <w:lang w:val="en-US"/>
        </w:rPr>
        <w:t xml:space="preserve"> orde</w:t>
      </w:r>
      <w:r w:rsidRPr="00CF6765">
        <w:rPr>
          <w:rFonts w:eastAsia="Calibri"/>
          <w:sz w:val="20"/>
          <w:szCs w:val="20"/>
          <w:lang w:val="en-US"/>
        </w:rPr>
        <w:t xml:space="preserve">red the arrest of Dr. </w:t>
      </w:r>
      <w:r w:rsidR="00E22B60" w:rsidRPr="00CF6765">
        <w:rPr>
          <w:rFonts w:eastAsia="Calibri"/>
          <w:sz w:val="20"/>
          <w:szCs w:val="20"/>
          <w:lang w:val="en-US"/>
        </w:rPr>
        <w:t xml:space="preserve">Luis Carvajal Freire </w:t>
      </w:r>
      <w:r w:rsidRPr="00CF6765">
        <w:rPr>
          <w:rFonts w:eastAsia="Calibri"/>
          <w:sz w:val="20"/>
          <w:szCs w:val="20"/>
          <w:lang w:val="en-US"/>
        </w:rPr>
        <w:t xml:space="preserve">for the offense of defiance of the orders of </w:t>
      </w:r>
      <w:r w:rsidR="00AD04D4" w:rsidRPr="00CF6765">
        <w:rPr>
          <w:rFonts w:eastAsia="Calibri"/>
          <w:sz w:val="20"/>
          <w:szCs w:val="20"/>
          <w:lang w:val="en-US"/>
        </w:rPr>
        <w:t xml:space="preserve">the </w:t>
      </w:r>
      <w:r w:rsidR="002D729E" w:rsidRPr="00CF6765">
        <w:rPr>
          <w:rFonts w:eastAsia="Calibri"/>
          <w:sz w:val="20"/>
          <w:szCs w:val="20"/>
          <w:lang w:val="en-US"/>
        </w:rPr>
        <w:t>First Civil Court</w:t>
      </w:r>
      <w:r w:rsidR="00E22B60" w:rsidRPr="00CF6765">
        <w:rPr>
          <w:rFonts w:eastAsia="Calibri"/>
          <w:sz w:val="20"/>
          <w:szCs w:val="20"/>
          <w:lang w:val="en-US"/>
        </w:rPr>
        <w:t xml:space="preserve"> </w:t>
      </w:r>
      <w:r w:rsidR="00E535D5" w:rsidRPr="00CF6765">
        <w:rPr>
          <w:rFonts w:eastAsia="Calibri"/>
          <w:sz w:val="20"/>
          <w:szCs w:val="20"/>
          <w:lang w:val="en-US"/>
        </w:rPr>
        <w:t>of Puente Alto</w:t>
      </w:r>
      <w:r w:rsidRPr="00CF6765">
        <w:rPr>
          <w:rFonts w:eastAsia="Calibri"/>
          <w:sz w:val="20"/>
          <w:szCs w:val="20"/>
          <w:lang w:val="en-US"/>
        </w:rPr>
        <w:t>.</w:t>
      </w:r>
      <w:r w:rsidR="00E22B60" w:rsidRPr="00CF6765">
        <w:rPr>
          <w:rFonts w:eastAsia="Calibri"/>
          <w:sz w:val="20"/>
          <w:szCs w:val="20"/>
          <w:vertAlign w:val="superscript"/>
          <w:lang w:val="en-US"/>
        </w:rPr>
        <w:footnoteReference w:id="78"/>
      </w:r>
      <w:r w:rsidR="00E22B60" w:rsidRPr="00CF6765">
        <w:rPr>
          <w:rFonts w:eastAsia="Calibri"/>
          <w:sz w:val="20"/>
          <w:szCs w:val="20"/>
          <w:lang w:val="en-US"/>
        </w:rPr>
        <w:t xml:space="preserve"> </w:t>
      </w:r>
      <w:r w:rsidRPr="00CF6765">
        <w:rPr>
          <w:rFonts w:eastAsia="Calibri"/>
          <w:sz w:val="20"/>
          <w:szCs w:val="20"/>
          <w:lang w:val="en-US"/>
        </w:rPr>
        <w:t>On January 8,</w:t>
      </w:r>
      <w:r w:rsidR="00E22B60" w:rsidRPr="00CF6765">
        <w:rPr>
          <w:rFonts w:eastAsia="Calibri"/>
          <w:sz w:val="20"/>
          <w:szCs w:val="20"/>
          <w:lang w:val="en-US"/>
        </w:rPr>
        <w:t xml:space="preserve"> 2005</w:t>
      </w:r>
      <w:r w:rsidR="0054712C" w:rsidRPr="00CF6765">
        <w:rPr>
          <w:rFonts w:eastAsia="Calibri"/>
          <w:sz w:val="20"/>
          <w:szCs w:val="20"/>
          <w:lang w:val="en-US"/>
        </w:rPr>
        <w:t>,</w:t>
      </w:r>
      <w:r w:rsidR="00E22B60" w:rsidRPr="00CF6765">
        <w:rPr>
          <w:rFonts w:eastAsia="Calibri"/>
          <w:sz w:val="20"/>
          <w:szCs w:val="20"/>
          <w:lang w:val="en-US"/>
        </w:rPr>
        <w:t xml:space="preserve"> </w:t>
      </w:r>
      <w:r w:rsidR="009A7607" w:rsidRPr="00CF6765">
        <w:rPr>
          <w:rFonts w:eastAsia="Calibri"/>
          <w:sz w:val="20"/>
          <w:szCs w:val="20"/>
          <w:lang w:val="en-US"/>
        </w:rPr>
        <w:t xml:space="preserve">the previous court ordered the arrest of Dr. </w:t>
      </w:r>
      <w:r w:rsidR="00E22B60" w:rsidRPr="00CF6765">
        <w:rPr>
          <w:rFonts w:eastAsia="Calibri"/>
          <w:sz w:val="20"/>
          <w:szCs w:val="20"/>
          <w:lang w:val="en-US"/>
        </w:rPr>
        <w:t xml:space="preserve">Luis Carvajal Freire </w:t>
      </w:r>
      <w:r w:rsidR="009A7607" w:rsidRPr="00CF6765">
        <w:rPr>
          <w:rFonts w:eastAsia="Calibri"/>
          <w:sz w:val="20"/>
          <w:szCs w:val="20"/>
          <w:lang w:val="en-US"/>
        </w:rPr>
        <w:t>for the</w:t>
      </w:r>
      <w:r w:rsidR="00E22B60" w:rsidRPr="00CF6765">
        <w:rPr>
          <w:rFonts w:eastAsia="Calibri"/>
          <w:sz w:val="20"/>
          <w:szCs w:val="20"/>
          <w:lang w:val="en-US"/>
        </w:rPr>
        <w:t xml:space="preserve"> </w:t>
      </w:r>
      <w:r w:rsidR="00B20F91" w:rsidRPr="00CF6765">
        <w:rPr>
          <w:rFonts w:eastAsia="Calibri"/>
          <w:sz w:val="20"/>
          <w:szCs w:val="20"/>
          <w:lang w:val="en-US"/>
        </w:rPr>
        <w:t>quasi-delict</w:t>
      </w:r>
      <w:r w:rsidR="00E22B60" w:rsidRPr="00CF6765">
        <w:rPr>
          <w:rFonts w:eastAsia="Calibri"/>
          <w:sz w:val="20"/>
          <w:szCs w:val="20"/>
          <w:lang w:val="en-US"/>
        </w:rPr>
        <w:t xml:space="preserve"> </w:t>
      </w:r>
      <w:r w:rsidR="009A7607" w:rsidRPr="00CF6765">
        <w:rPr>
          <w:rFonts w:eastAsia="Calibri"/>
          <w:sz w:val="20"/>
          <w:szCs w:val="20"/>
          <w:lang w:val="en-US"/>
        </w:rPr>
        <w:t>of homicide.</w:t>
      </w:r>
      <w:r w:rsidR="00E22B60" w:rsidRPr="00CF6765">
        <w:rPr>
          <w:rFonts w:eastAsia="Calibri"/>
          <w:sz w:val="20"/>
          <w:szCs w:val="20"/>
          <w:vertAlign w:val="superscript"/>
          <w:lang w:val="en-US"/>
        </w:rPr>
        <w:footnoteReference w:id="79"/>
      </w:r>
      <w:r w:rsidR="00E22B60" w:rsidRPr="00CF6765">
        <w:rPr>
          <w:rFonts w:eastAsia="Calibri"/>
          <w:sz w:val="20"/>
          <w:szCs w:val="20"/>
          <w:lang w:val="en-US"/>
        </w:rPr>
        <w:t xml:space="preserve"> </w:t>
      </w:r>
      <w:r w:rsidR="009A7607" w:rsidRPr="00CF6765">
        <w:rPr>
          <w:rFonts w:eastAsia="Calibri"/>
          <w:sz w:val="20"/>
          <w:szCs w:val="20"/>
          <w:lang w:val="en-US"/>
        </w:rPr>
        <w:t>On February 6,</w:t>
      </w:r>
      <w:r w:rsidR="00E22B60" w:rsidRPr="00CF6765">
        <w:rPr>
          <w:rFonts w:eastAsia="Calibri"/>
          <w:sz w:val="20"/>
          <w:szCs w:val="20"/>
          <w:lang w:val="en-US"/>
        </w:rPr>
        <w:t xml:space="preserve"> 2006</w:t>
      </w:r>
      <w:r w:rsidR="0054712C" w:rsidRPr="00CF6765">
        <w:rPr>
          <w:rFonts w:eastAsia="Calibri"/>
          <w:sz w:val="20"/>
          <w:szCs w:val="20"/>
          <w:lang w:val="en-US"/>
        </w:rPr>
        <w:t>,</w:t>
      </w:r>
      <w:r w:rsidR="00E22B60" w:rsidRPr="00CF6765">
        <w:rPr>
          <w:rFonts w:eastAsia="Calibri"/>
          <w:sz w:val="20"/>
          <w:szCs w:val="20"/>
          <w:lang w:val="en-US"/>
        </w:rPr>
        <w:t xml:space="preserve"> </w:t>
      </w:r>
      <w:r w:rsidR="002D729E" w:rsidRPr="00CF6765">
        <w:rPr>
          <w:rFonts w:eastAsia="Calibri"/>
          <w:sz w:val="20"/>
          <w:szCs w:val="20"/>
          <w:lang w:val="en-US"/>
        </w:rPr>
        <w:t>the First Civil Court</w:t>
      </w:r>
      <w:r w:rsidR="00E22B60" w:rsidRPr="00CF6765">
        <w:rPr>
          <w:rFonts w:eastAsia="Calibri"/>
          <w:sz w:val="20"/>
          <w:szCs w:val="20"/>
          <w:lang w:val="en-US"/>
        </w:rPr>
        <w:t xml:space="preserve"> </w:t>
      </w:r>
      <w:r w:rsidR="009A7607" w:rsidRPr="00CF6765">
        <w:rPr>
          <w:rFonts w:eastAsia="Calibri"/>
          <w:sz w:val="20"/>
          <w:szCs w:val="20"/>
          <w:lang w:val="en-US"/>
        </w:rPr>
        <w:t xml:space="preserve">ruled </w:t>
      </w:r>
      <w:r w:rsidR="009A7607" w:rsidRPr="00CF6765">
        <w:rPr>
          <w:rFonts w:eastAsia="Calibri"/>
          <w:sz w:val="20"/>
          <w:szCs w:val="20"/>
          <w:lang w:val="en-US"/>
        </w:rPr>
        <w:lastRenderedPageBreak/>
        <w:t>that</w:t>
      </w:r>
      <w:r w:rsidR="00E22B60" w:rsidRPr="00CF6765">
        <w:rPr>
          <w:rFonts w:eastAsia="Calibri"/>
          <w:sz w:val="20"/>
          <w:szCs w:val="20"/>
          <w:lang w:val="en-US"/>
        </w:rPr>
        <w:t xml:space="preserve"> Luis Carvajal Freire</w:t>
      </w:r>
      <w:r w:rsidR="009A7607" w:rsidRPr="00CF6765">
        <w:rPr>
          <w:rFonts w:eastAsia="Calibri"/>
          <w:sz w:val="20"/>
          <w:szCs w:val="20"/>
          <w:lang w:val="en-US"/>
        </w:rPr>
        <w:t xml:space="preserve"> was a fugitive from justice.</w:t>
      </w:r>
      <w:r w:rsidR="00E22B60" w:rsidRPr="00CF6765">
        <w:rPr>
          <w:rFonts w:eastAsia="Calibri"/>
          <w:sz w:val="20"/>
          <w:szCs w:val="20"/>
          <w:vertAlign w:val="superscript"/>
          <w:lang w:val="en-US"/>
        </w:rPr>
        <w:footnoteReference w:id="80"/>
      </w:r>
      <w:r w:rsidR="00E22B60" w:rsidRPr="00CF6765">
        <w:rPr>
          <w:rFonts w:eastAsia="Calibri"/>
          <w:sz w:val="20"/>
          <w:szCs w:val="20"/>
          <w:lang w:val="en-US"/>
        </w:rPr>
        <w:t xml:space="preserve"> </w:t>
      </w:r>
      <w:r w:rsidR="009A7607" w:rsidRPr="00CF6765">
        <w:rPr>
          <w:rFonts w:eastAsia="Calibri"/>
          <w:sz w:val="20"/>
          <w:szCs w:val="20"/>
          <w:lang w:val="en-US"/>
        </w:rPr>
        <w:t>On May 23,</w:t>
      </w:r>
      <w:r w:rsidR="00E22B60" w:rsidRPr="00CF6765">
        <w:rPr>
          <w:rFonts w:eastAsia="Calibri"/>
          <w:sz w:val="20"/>
          <w:szCs w:val="20"/>
          <w:lang w:val="en-US"/>
        </w:rPr>
        <w:t xml:space="preserve"> 2007</w:t>
      </w:r>
      <w:r w:rsidR="0054712C" w:rsidRPr="00CF6765">
        <w:rPr>
          <w:rFonts w:eastAsia="Calibri"/>
          <w:sz w:val="20"/>
          <w:szCs w:val="20"/>
          <w:lang w:val="en-US"/>
        </w:rPr>
        <w:t>,</w:t>
      </w:r>
      <w:r w:rsidR="00E22B60" w:rsidRPr="00CF6765">
        <w:rPr>
          <w:rFonts w:eastAsia="Calibri"/>
          <w:sz w:val="20"/>
          <w:szCs w:val="20"/>
          <w:lang w:val="en-US"/>
        </w:rPr>
        <w:t xml:space="preserve"> </w:t>
      </w:r>
      <w:r w:rsidR="002D729E" w:rsidRPr="00CF6765">
        <w:rPr>
          <w:rFonts w:eastAsia="Calibri"/>
          <w:sz w:val="20"/>
          <w:szCs w:val="20"/>
          <w:lang w:val="en-US"/>
        </w:rPr>
        <w:t>the First Civil Court</w:t>
      </w:r>
      <w:r w:rsidR="00E22B60" w:rsidRPr="00CF6765">
        <w:rPr>
          <w:rFonts w:eastAsia="Calibri"/>
          <w:sz w:val="20"/>
          <w:szCs w:val="20"/>
          <w:lang w:val="en-US"/>
        </w:rPr>
        <w:t xml:space="preserve"> </w:t>
      </w:r>
      <w:r w:rsidR="009A7607" w:rsidRPr="00CF6765">
        <w:rPr>
          <w:rFonts w:eastAsia="Calibri"/>
          <w:sz w:val="20"/>
          <w:szCs w:val="20"/>
          <w:lang w:val="en-US"/>
        </w:rPr>
        <w:t>verified that Dr.</w:t>
      </w:r>
      <w:r w:rsidR="00E22B60" w:rsidRPr="00CF6765">
        <w:rPr>
          <w:rFonts w:eastAsia="Calibri"/>
          <w:sz w:val="20"/>
          <w:szCs w:val="20"/>
          <w:lang w:val="en-US"/>
        </w:rPr>
        <w:t xml:space="preserve"> Luis Carvajal Freire contin</w:t>
      </w:r>
      <w:r w:rsidR="009A7607" w:rsidRPr="00CF6765">
        <w:rPr>
          <w:rFonts w:eastAsia="Calibri"/>
          <w:sz w:val="20"/>
          <w:szCs w:val="20"/>
          <w:lang w:val="en-US"/>
        </w:rPr>
        <w:t xml:space="preserve">ued to work at the </w:t>
      </w:r>
      <w:proofErr w:type="spellStart"/>
      <w:r w:rsidR="00E22B60" w:rsidRPr="00CF6765">
        <w:rPr>
          <w:rFonts w:eastAsia="Calibri"/>
          <w:sz w:val="20"/>
          <w:szCs w:val="20"/>
          <w:lang w:val="en-US"/>
        </w:rPr>
        <w:t>Sótero</w:t>
      </w:r>
      <w:proofErr w:type="spellEnd"/>
      <w:r w:rsidR="00E22B60" w:rsidRPr="00CF6765">
        <w:rPr>
          <w:rFonts w:eastAsia="Calibri"/>
          <w:sz w:val="20"/>
          <w:szCs w:val="20"/>
          <w:lang w:val="en-US"/>
        </w:rPr>
        <w:t xml:space="preserve"> del Río</w:t>
      </w:r>
      <w:r w:rsidR="009A7607" w:rsidRPr="00CF6765">
        <w:rPr>
          <w:rFonts w:eastAsia="Calibri"/>
          <w:sz w:val="20"/>
          <w:szCs w:val="20"/>
          <w:lang w:val="en-US"/>
        </w:rPr>
        <w:t xml:space="preserve"> Hospital.</w:t>
      </w:r>
      <w:r w:rsidR="00E22B60" w:rsidRPr="00CF6765">
        <w:rPr>
          <w:rFonts w:eastAsia="Calibri"/>
          <w:sz w:val="20"/>
          <w:szCs w:val="20"/>
          <w:vertAlign w:val="superscript"/>
          <w:lang w:val="en-US"/>
        </w:rPr>
        <w:footnoteReference w:id="81"/>
      </w:r>
    </w:p>
    <w:p w14:paraId="780CBDEA" w14:textId="77777777" w:rsidR="00E22B60" w:rsidRPr="00CF6765" w:rsidRDefault="00E22B60" w:rsidP="00450250">
      <w:pPr>
        <w:tabs>
          <w:tab w:val="left" w:pos="630"/>
          <w:tab w:val="left" w:pos="810"/>
          <w:tab w:val="left" w:pos="1530"/>
          <w:tab w:val="left" w:pos="1620"/>
        </w:tabs>
        <w:ind w:right="13"/>
        <w:rPr>
          <w:rFonts w:eastAsia="Calibri"/>
          <w:sz w:val="20"/>
          <w:szCs w:val="20"/>
          <w:lang w:val="en-US"/>
        </w:rPr>
      </w:pPr>
    </w:p>
    <w:p w14:paraId="1BDEAA7A" w14:textId="74947C5A" w:rsidR="00E22B60" w:rsidRPr="00CF6765" w:rsidRDefault="009A7607"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16"/>
          <w:lang w:val="en-US"/>
        </w:rPr>
      </w:pPr>
      <w:r w:rsidRPr="00CF6765">
        <w:rPr>
          <w:rFonts w:eastAsia="Calibri"/>
          <w:sz w:val="20"/>
          <w:szCs w:val="20"/>
          <w:lang w:val="en-US"/>
        </w:rPr>
        <w:t>On July 19,</w:t>
      </w:r>
      <w:r w:rsidR="00E22B60" w:rsidRPr="00CF6765">
        <w:rPr>
          <w:rFonts w:eastAsia="Calibri"/>
          <w:sz w:val="20"/>
          <w:szCs w:val="20"/>
          <w:lang w:val="en-US"/>
        </w:rPr>
        <w:t xml:space="preserve"> 2005</w:t>
      </w:r>
      <w:r w:rsidR="0054712C" w:rsidRPr="00CF6765">
        <w:rPr>
          <w:rFonts w:eastAsia="Calibri"/>
          <w:sz w:val="20"/>
          <w:szCs w:val="20"/>
          <w:lang w:val="en-US"/>
        </w:rPr>
        <w:t>,</w:t>
      </w:r>
      <w:r w:rsidR="00E22B60" w:rsidRPr="00CF6765">
        <w:rPr>
          <w:rFonts w:eastAsia="Calibri"/>
          <w:sz w:val="20"/>
          <w:szCs w:val="20"/>
          <w:lang w:val="en-US"/>
        </w:rPr>
        <w:t xml:space="preserve"> </w:t>
      </w:r>
      <w:r w:rsidR="002D729E" w:rsidRPr="00CF6765">
        <w:rPr>
          <w:rFonts w:eastAsia="Calibri"/>
          <w:sz w:val="20"/>
          <w:szCs w:val="20"/>
          <w:lang w:val="en-US"/>
        </w:rPr>
        <w:t>the First Civil Court</w:t>
      </w:r>
      <w:r w:rsidR="00E22B60" w:rsidRPr="00CF6765">
        <w:rPr>
          <w:rFonts w:eastAsia="Calibri"/>
          <w:sz w:val="20"/>
          <w:szCs w:val="20"/>
          <w:lang w:val="en-US"/>
        </w:rPr>
        <w:t xml:space="preserve"> </w:t>
      </w:r>
      <w:r w:rsidRPr="00CF6765">
        <w:rPr>
          <w:rFonts w:eastAsia="Calibri"/>
          <w:sz w:val="20"/>
          <w:szCs w:val="20"/>
          <w:lang w:val="en-US"/>
        </w:rPr>
        <w:t xml:space="preserve">forwarded the proceedings to the </w:t>
      </w:r>
      <w:r w:rsidR="0064057A" w:rsidRPr="00CF6765">
        <w:rPr>
          <w:rFonts w:eastAsia="Calibri"/>
          <w:sz w:val="20"/>
          <w:szCs w:val="20"/>
          <w:lang w:val="en-US"/>
        </w:rPr>
        <w:t xml:space="preserve">Forensic </w:t>
      </w:r>
      <w:r w:rsidR="00C21120" w:rsidRPr="00CF6765">
        <w:rPr>
          <w:rFonts w:eastAsia="Calibri"/>
          <w:sz w:val="20"/>
          <w:szCs w:val="20"/>
          <w:lang w:val="en-US"/>
        </w:rPr>
        <w:t>Medicine</w:t>
      </w:r>
      <w:r w:rsidR="0064057A" w:rsidRPr="00CF6765">
        <w:rPr>
          <w:rFonts w:eastAsia="Calibri"/>
          <w:sz w:val="20"/>
          <w:szCs w:val="20"/>
          <w:lang w:val="en-US"/>
        </w:rPr>
        <w:t xml:space="preserve"> Service</w:t>
      </w:r>
      <w:r w:rsidRPr="00CF6765">
        <w:rPr>
          <w:rFonts w:eastAsia="Calibri"/>
          <w:sz w:val="20"/>
          <w:szCs w:val="20"/>
          <w:lang w:val="en-US"/>
        </w:rPr>
        <w:t xml:space="preserve"> asking it to obtain information “on the medical </w:t>
      </w:r>
      <w:r w:rsidR="00157698" w:rsidRPr="00CF6765">
        <w:rPr>
          <w:rFonts w:eastAsia="Calibri"/>
          <w:sz w:val="20"/>
          <w:szCs w:val="20"/>
          <w:lang w:val="en-US"/>
        </w:rPr>
        <w:t>liability</w:t>
      </w:r>
      <w:r w:rsidRPr="00CF6765">
        <w:rPr>
          <w:rFonts w:eastAsia="Calibri"/>
          <w:sz w:val="20"/>
          <w:szCs w:val="20"/>
          <w:lang w:val="en-US"/>
        </w:rPr>
        <w:t xml:space="preserve"> incurred </w:t>
      </w:r>
      <w:r w:rsidR="00B20F91" w:rsidRPr="00CF6765">
        <w:rPr>
          <w:rFonts w:eastAsia="Calibri"/>
          <w:sz w:val="20"/>
          <w:szCs w:val="20"/>
          <w:lang w:val="en-US"/>
        </w:rPr>
        <w:t>by</w:t>
      </w:r>
      <w:r w:rsidRPr="00CF6765">
        <w:rPr>
          <w:rFonts w:eastAsia="Calibri"/>
          <w:sz w:val="20"/>
          <w:szCs w:val="20"/>
          <w:lang w:val="en-US"/>
        </w:rPr>
        <w:t xml:space="preserve"> the medical staff </w:t>
      </w:r>
      <w:r w:rsidR="00B20F91" w:rsidRPr="00CF6765">
        <w:rPr>
          <w:rFonts w:eastAsia="Calibri"/>
          <w:sz w:val="20"/>
          <w:szCs w:val="20"/>
          <w:lang w:val="en-US"/>
        </w:rPr>
        <w:t>involved</w:t>
      </w:r>
      <w:r w:rsidRPr="00CF6765">
        <w:rPr>
          <w:rFonts w:eastAsia="Calibri"/>
          <w:sz w:val="20"/>
          <w:szCs w:val="20"/>
          <w:lang w:val="en-US"/>
        </w:rPr>
        <w:t>.</w:t>
      </w:r>
      <w:r w:rsidR="00E22B60" w:rsidRPr="00CF6765">
        <w:rPr>
          <w:rFonts w:eastAsia="Calibri"/>
          <w:sz w:val="20"/>
          <w:szCs w:val="20"/>
          <w:lang w:val="en-US"/>
        </w:rPr>
        <w:t>”</w:t>
      </w:r>
      <w:r w:rsidR="00E22B60" w:rsidRPr="00CF6765">
        <w:rPr>
          <w:rFonts w:eastAsia="Calibri"/>
          <w:sz w:val="20"/>
          <w:szCs w:val="20"/>
          <w:vertAlign w:val="superscript"/>
          <w:lang w:val="en-US"/>
        </w:rPr>
        <w:footnoteReference w:id="82"/>
      </w:r>
      <w:r w:rsidRPr="00CF6765">
        <w:rPr>
          <w:rFonts w:eastAsia="Calibri"/>
          <w:sz w:val="20"/>
          <w:szCs w:val="20"/>
          <w:lang w:val="en-US"/>
        </w:rPr>
        <w:t xml:space="preserve"> On September 15, </w:t>
      </w:r>
      <w:r w:rsidR="00E22B60" w:rsidRPr="00CF6765">
        <w:rPr>
          <w:rFonts w:eastAsia="Calibri"/>
          <w:sz w:val="20"/>
          <w:szCs w:val="16"/>
          <w:lang w:val="en-US"/>
        </w:rPr>
        <w:t>2005</w:t>
      </w:r>
      <w:r w:rsidR="0054712C" w:rsidRPr="00CF6765">
        <w:rPr>
          <w:rFonts w:eastAsia="Calibri"/>
          <w:sz w:val="20"/>
          <w:szCs w:val="16"/>
          <w:lang w:val="en-US"/>
        </w:rPr>
        <w:t>,</w:t>
      </w:r>
      <w:r w:rsidR="00E22B60" w:rsidRPr="00CF6765">
        <w:rPr>
          <w:rFonts w:eastAsia="Calibri"/>
          <w:sz w:val="20"/>
          <w:szCs w:val="16"/>
          <w:lang w:val="en-US"/>
        </w:rPr>
        <w:t xml:space="preserve"> </w:t>
      </w:r>
      <w:r w:rsidR="002D729E" w:rsidRPr="00CF6765">
        <w:rPr>
          <w:rFonts w:eastAsia="Calibri"/>
          <w:sz w:val="20"/>
          <w:szCs w:val="16"/>
          <w:lang w:val="en-US"/>
        </w:rPr>
        <w:t>the First Civil Court</w:t>
      </w:r>
      <w:r w:rsidR="00E22B60" w:rsidRPr="00CF6765">
        <w:rPr>
          <w:rFonts w:eastAsia="Calibri"/>
          <w:sz w:val="20"/>
          <w:szCs w:val="20"/>
          <w:lang w:val="en-US"/>
        </w:rPr>
        <w:t xml:space="preserve"> </w:t>
      </w:r>
      <w:r w:rsidRPr="00CF6765">
        <w:rPr>
          <w:rFonts w:eastAsia="Calibri"/>
          <w:sz w:val="20"/>
          <w:szCs w:val="20"/>
          <w:lang w:val="en-US"/>
        </w:rPr>
        <w:t xml:space="preserve">again forwarded the proceedings to the </w:t>
      </w:r>
      <w:r w:rsidR="00157698" w:rsidRPr="00CF6765">
        <w:rPr>
          <w:rFonts w:eastAsia="Calibri"/>
          <w:sz w:val="20"/>
          <w:szCs w:val="16"/>
          <w:lang w:val="en-US"/>
        </w:rPr>
        <w:t xml:space="preserve">San Miguel </w:t>
      </w:r>
      <w:r w:rsidRPr="00CF6765">
        <w:rPr>
          <w:rFonts w:eastAsia="Calibri"/>
          <w:sz w:val="20"/>
          <w:szCs w:val="16"/>
          <w:lang w:val="en-US"/>
        </w:rPr>
        <w:t>Court of Appeal,</w:t>
      </w:r>
      <w:r w:rsidR="00E22B60" w:rsidRPr="00CF6765">
        <w:rPr>
          <w:rFonts w:eastAsia="Calibri"/>
          <w:sz w:val="20"/>
          <w:szCs w:val="16"/>
          <w:vertAlign w:val="superscript"/>
          <w:lang w:val="en-US"/>
        </w:rPr>
        <w:footnoteReference w:id="83"/>
      </w:r>
      <w:r w:rsidRPr="00CF6765">
        <w:rPr>
          <w:rFonts w:eastAsia="Calibri"/>
          <w:sz w:val="20"/>
          <w:szCs w:val="16"/>
          <w:lang w:val="en-US"/>
        </w:rPr>
        <w:t xml:space="preserve"> but </w:t>
      </w:r>
      <w:r w:rsidR="003C0075" w:rsidRPr="00CF6765">
        <w:rPr>
          <w:rFonts w:eastAsia="Calibri"/>
          <w:sz w:val="20"/>
          <w:szCs w:val="16"/>
          <w:lang w:val="en-US"/>
        </w:rPr>
        <w:t xml:space="preserve">that court returned the proceedings to the First Civil Court on November 21, </w:t>
      </w:r>
      <w:r w:rsidR="00E22B60" w:rsidRPr="00CF6765">
        <w:rPr>
          <w:rFonts w:eastAsia="Calibri"/>
          <w:sz w:val="20"/>
          <w:szCs w:val="16"/>
          <w:lang w:val="en-US"/>
        </w:rPr>
        <w:t>2005</w:t>
      </w:r>
      <w:r w:rsidR="003C0075" w:rsidRPr="00CF6765">
        <w:rPr>
          <w:rFonts w:eastAsia="Calibri"/>
          <w:sz w:val="20"/>
          <w:szCs w:val="16"/>
          <w:lang w:val="en-US"/>
        </w:rPr>
        <w:t>,</w:t>
      </w:r>
      <w:r w:rsidR="00EC50FC" w:rsidRPr="00CF6765">
        <w:rPr>
          <w:rFonts w:eastAsia="Calibri"/>
          <w:sz w:val="20"/>
          <w:szCs w:val="16"/>
          <w:lang w:val="en-US"/>
        </w:rPr>
        <w:t xml:space="preserve"> and </w:t>
      </w:r>
      <w:r w:rsidR="00B328D7" w:rsidRPr="00CF6765">
        <w:rPr>
          <w:rFonts w:eastAsia="Calibri"/>
          <w:sz w:val="20"/>
          <w:szCs w:val="16"/>
          <w:lang w:val="en-US"/>
        </w:rPr>
        <w:t>indicated</w:t>
      </w:r>
      <w:r w:rsidR="003C0075" w:rsidRPr="00CF6765">
        <w:rPr>
          <w:rFonts w:eastAsia="Calibri"/>
          <w:sz w:val="20"/>
          <w:szCs w:val="16"/>
          <w:lang w:val="en-US"/>
        </w:rPr>
        <w:t xml:space="preserve"> that</w:t>
      </w:r>
      <w:r w:rsidR="00E22B60" w:rsidRPr="00CF6765">
        <w:rPr>
          <w:rFonts w:eastAsia="Calibri"/>
          <w:sz w:val="20"/>
          <w:szCs w:val="16"/>
          <w:lang w:val="en-US"/>
        </w:rPr>
        <w:t xml:space="preserve"> “</w:t>
      </w:r>
      <w:r w:rsidR="003C0075" w:rsidRPr="00CF6765">
        <w:rPr>
          <w:rFonts w:eastAsia="Calibri"/>
          <w:sz w:val="20"/>
          <w:szCs w:val="16"/>
          <w:lang w:val="en-US"/>
        </w:rPr>
        <w:t>the</w:t>
      </w:r>
      <w:r w:rsidR="00E22B60" w:rsidRPr="00CF6765">
        <w:rPr>
          <w:rFonts w:eastAsia="Calibri"/>
          <w:sz w:val="20"/>
          <w:szCs w:val="16"/>
          <w:lang w:val="en-US"/>
        </w:rPr>
        <w:t xml:space="preserve"> </w:t>
      </w:r>
      <w:r w:rsidR="003C0075" w:rsidRPr="00CF6765">
        <w:rPr>
          <w:rFonts w:eastAsia="Calibri"/>
          <w:sz w:val="20"/>
          <w:szCs w:val="16"/>
          <w:lang w:val="en-US"/>
        </w:rPr>
        <w:t>j</w:t>
      </w:r>
      <w:r w:rsidR="005C731C" w:rsidRPr="00CF6765">
        <w:rPr>
          <w:rFonts w:eastAsia="Calibri"/>
          <w:sz w:val="20"/>
          <w:szCs w:val="16"/>
          <w:lang w:val="en-US"/>
        </w:rPr>
        <w:t>udge</w:t>
      </w:r>
      <w:r w:rsidR="00AD04D4" w:rsidRPr="00CF6765">
        <w:rPr>
          <w:rFonts w:eastAsia="Calibri"/>
          <w:sz w:val="20"/>
          <w:szCs w:val="16"/>
          <w:lang w:val="en-US"/>
        </w:rPr>
        <w:t xml:space="preserve"> of the </w:t>
      </w:r>
      <w:r w:rsidR="002D729E" w:rsidRPr="00CF6765">
        <w:rPr>
          <w:rFonts w:eastAsia="Calibri"/>
          <w:sz w:val="20"/>
          <w:szCs w:val="16"/>
          <w:lang w:val="en-US"/>
        </w:rPr>
        <w:t>First Civil Court</w:t>
      </w:r>
      <w:r w:rsidR="00E22B60" w:rsidRPr="00CF6765">
        <w:rPr>
          <w:rFonts w:eastAsia="Calibri"/>
          <w:sz w:val="20"/>
          <w:szCs w:val="16"/>
          <w:lang w:val="en-US"/>
        </w:rPr>
        <w:t xml:space="preserve"> […] </w:t>
      </w:r>
      <w:r w:rsidR="003C0075" w:rsidRPr="00CF6765">
        <w:rPr>
          <w:rFonts w:eastAsia="Calibri"/>
          <w:sz w:val="20"/>
          <w:szCs w:val="16"/>
          <w:lang w:val="en-US"/>
        </w:rPr>
        <w:t>should give preference to the processing of the said case and, twice a month, report on the progress made to the Court [of Appeal].</w:t>
      </w:r>
      <w:r w:rsidR="00E22B60" w:rsidRPr="00CF6765">
        <w:rPr>
          <w:rFonts w:eastAsia="Calibri"/>
          <w:sz w:val="20"/>
          <w:szCs w:val="16"/>
          <w:lang w:val="en-US"/>
        </w:rPr>
        <w:t>”</w:t>
      </w:r>
      <w:r w:rsidR="00E22B60" w:rsidRPr="00CF6765">
        <w:rPr>
          <w:rFonts w:eastAsia="Calibri"/>
          <w:sz w:val="20"/>
          <w:szCs w:val="16"/>
          <w:vertAlign w:val="superscript"/>
          <w:lang w:val="en-US"/>
        </w:rPr>
        <w:footnoteReference w:id="84"/>
      </w:r>
    </w:p>
    <w:p w14:paraId="483ED686" w14:textId="77777777" w:rsidR="00E22B60" w:rsidRPr="00CF6765" w:rsidRDefault="00E22B60" w:rsidP="00450250">
      <w:pPr>
        <w:tabs>
          <w:tab w:val="left" w:pos="630"/>
          <w:tab w:val="left" w:pos="810"/>
          <w:tab w:val="left" w:pos="1530"/>
          <w:tab w:val="left" w:pos="1620"/>
        </w:tabs>
        <w:ind w:right="13"/>
        <w:rPr>
          <w:rFonts w:eastAsia="Calibri"/>
          <w:sz w:val="20"/>
          <w:szCs w:val="20"/>
          <w:lang w:val="en-US"/>
        </w:rPr>
      </w:pPr>
    </w:p>
    <w:p w14:paraId="2DB8A21B" w14:textId="5EF77F80" w:rsidR="00E22B60" w:rsidRPr="00CF6765" w:rsidRDefault="003C0075"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October 7,</w:t>
      </w:r>
      <w:r w:rsidR="00E22B60" w:rsidRPr="00CF6765">
        <w:rPr>
          <w:rFonts w:eastAsia="Calibri"/>
          <w:sz w:val="20"/>
          <w:szCs w:val="20"/>
          <w:lang w:val="en-US"/>
        </w:rPr>
        <w:t xml:space="preserve"> 2005, </w:t>
      </w:r>
      <w:r w:rsidR="00D2168F" w:rsidRPr="00CF6765">
        <w:rPr>
          <w:rFonts w:eastAsia="Calibri"/>
          <w:sz w:val="20"/>
          <w:szCs w:val="20"/>
          <w:lang w:val="en-US"/>
        </w:rPr>
        <w:t>Vinicio</w:t>
      </w:r>
      <w:r w:rsidR="00E22B60" w:rsidRPr="00CF6765">
        <w:rPr>
          <w:rFonts w:eastAsia="Calibri"/>
          <w:sz w:val="20"/>
          <w:szCs w:val="20"/>
          <w:lang w:val="en-US"/>
        </w:rPr>
        <w:t xml:space="preserve"> Poblete Tapia </w:t>
      </w:r>
      <w:r w:rsidRPr="00CF6765">
        <w:rPr>
          <w:rFonts w:eastAsia="Calibri"/>
          <w:sz w:val="20"/>
          <w:szCs w:val="20"/>
          <w:lang w:val="en-US"/>
        </w:rPr>
        <w:t xml:space="preserve">filed another complaint with </w:t>
      </w:r>
      <w:r w:rsidR="002D729E" w:rsidRPr="00CF6765">
        <w:rPr>
          <w:rFonts w:eastAsia="Calibri"/>
          <w:sz w:val="20"/>
          <w:szCs w:val="20"/>
          <w:lang w:val="en-US"/>
        </w:rPr>
        <w:t>the First Civil Court</w:t>
      </w:r>
      <w:r w:rsidR="00E22B60" w:rsidRPr="00CF6765">
        <w:rPr>
          <w:rFonts w:eastAsia="Calibri"/>
          <w:sz w:val="20"/>
          <w:szCs w:val="20"/>
          <w:lang w:val="en-US"/>
        </w:rPr>
        <w:t xml:space="preserve">, </w:t>
      </w:r>
      <w:r w:rsidRPr="00CF6765">
        <w:rPr>
          <w:rFonts w:eastAsia="Calibri"/>
          <w:sz w:val="20"/>
          <w:szCs w:val="20"/>
          <w:lang w:val="en-US"/>
        </w:rPr>
        <w:t xml:space="preserve">and this was processed as Case No. </w:t>
      </w:r>
      <w:r w:rsidR="00E22B60" w:rsidRPr="00CF6765">
        <w:rPr>
          <w:rFonts w:eastAsia="Calibri"/>
          <w:sz w:val="20"/>
          <w:szCs w:val="20"/>
          <w:lang w:val="en-US"/>
        </w:rPr>
        <w:t>94</w:t>
      </w:r>
      <w:r w:rsidRPr="00CF6765">
        <w:rPr>
          <w:rFonts w:eastAsia="Calibri"/>
          <w:sz w:val="20"/>
          <w:szCs w:val="20"/>
          <w:lang w:val="en-US"/>
        </w:rPr>
        <w:t>,</w:t>
      </w:r>
      <w:r w:rsidR="00E22B60" w:rsidRPr="00CF6765">
        <w:rPr>
          <w:rFonts w:eastAsia="Calibri"/>
          <w:sz w:val="20"/>
          <w:szCs w:val="20"/>
          <w:lang w:val="en-US"/>
        </w:rPr>
        <w:t xml:space="preserve">393-M, </w:t>
      </w:r>
      <w:r w:rsidRPr="00CF6765">
        <w:rPr>
          <w:rFonts w:eastAsia="Calibri"/>
          <w:sz w:val="20"/>
          <w:szCs w:val="20"/>
          <w:lang w:val="en-US"/>
        </w:rPr>
        <w:t xml:space="preserve">against those who might be found </w:t>
      </w:r>
      <w:r w:rsidR="00B328D7" w:rsidRPr="00CF6765">
        <w:rPr>
          <w:rFonts w:eastAsia="Calibri"/>
          <w:sz w:val="20"/>
          <w:szCs w:val="20"/>
          <w:lang w:val="en-US"/>
        </w:rPr>
        <w:t>responsible</w:t>
      </w:r>
      <w:r w:rsidRPr="00CF6765">
        <w:rPr>
          <w:rFonts w:eastAsia="Calibri"/>
          <w:sz w:val="20"/>
          <w:szCs w:val="20"/>
          <w:lang w:val="en-US"/>
        </w:rPr>
        <w:t xml:space="preserve"> for the offense of culpable homicide committed</w:t>
      </w:r>
      <w:r w:rsidR="00E22B60" w:rsidRPr="00CF6765">
        <w:rPr>
          <w:rFonts w:eastAsia="Calibri"/>
          <w:sz w:val="20"/>
          <w:szCs w:val="20"/>
          <w:lang w:val="en-US"/>
        </w:rPr>
        <w:t xml:space="preserve"> </w:t>
      </w:r>
      <w:r w:rsidR="00690D57" w:rsidRPr="00CF6765">
        <w:rPr>
          <w:rFonts w:eastAsia="Calibri"/>
          <w:sz w:val="20"/>
          <w:szCs w:val="20"/>
          <w:lang w:val="en-US"/>
        </w:rPr>
        <w:t xml:space="preserve">to the detriment </w:t>
      </w:r>
      <w:r w:rsidR="009339F5" w:rsidRPr="00CF6765">
        <w:rPr>
          <w:rFonts w:eastAsia="Calibri"/>
          <w:sz w:val="20"/>
          <w:szCs w:val="20"/>
          <w:lang w:val="en-US"/>
        </w:rPr>
        <w:t>of Mr.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C50FC" w:rsidRPr="00CF6765">
        <w:rPr>
          <w:rFonts w:eastAsia="Calibri"/>
          <w:sz w:val="20"/>
          <w:szCs w:val="20"/>
          <w:lang w:val="en-US"/>
        </w:rPr>
        <w:t xml:space="preserve"> and </w:t>
      </w:r>
      <w:r w:rsidRPr="00CF6765">
        <w:rPr>
          <w:rFonts w:eastAsia="Calibri"/>
          <w:sz w:val="20"/>
          <w:szCs w:val="20"/>
          <w:lang w:val="en-US"/>
        </w:rPr>
        <w:t>requested the following, among other, procedures: (</w:t>
      </w:r>
      <w:proofErr w:type="spellStart"/>
      <w:r w:rsidR="00E22B60" w:rsidRPr="00CF6765">
        <w:rPr>
          <w:rFonts w:eastAsia="Calibri"/>
          <w:sz w:val="20"/>
          <w:szCs w:val="20"/>
          <w:lang w:val="en-US"/>
        </w:rPr>
        <w:t>i</w:t>
      </w:r>
      <w:proofErr w:type="spellEnd"/>
      <w:r w:rsidR="00E22B60" w:rsidRPr="00CF6765">
        <w:rPr>
          <w:rFonts w:eastAsia="Calibri"/>
          <w:sz w:val="20"/>
          <w:szCs w:val="20"/>
          <w:lang w:val="en-US"/>
        </w:rPr>
        <w:t xml:space="preserve">) </w:t>
      </w:r>
      <w:r w:rsidR="00157698" w:rsidRPr="00CF6765">
        <w:rPr>
          <w:rFonts w:eastAsia="Calibri"/>
          <w:sz w:val="20"/>
          <w:szCs w:val="20"/>
          <w:lang w:val="en-US"/>
        </w:rPr>
        <w:t>t</w:t>
      </w:r>
      <w:r w:rsidRPr="00CF6765">
        <w:rPr>
          <w:rFonts w:eastAsia="Calibri"/>
          <w:sz w:val="20"/>
          <w:szCs w:val="20"/>
          <w:lang w:val="en-US"/>
        </w:rPr>
        <w:t>hat Drs.</w:t>
      </w:r>
      <w:r w:rsidR="00E22B60" w:rsidRPr="00CF6765">
        <w:rPr>
          <w:rFonts w:eastAsia="Calibri"/>
          <w:sz w:val="20"/>
          <w:szCs w:val="20"/>
          <w:lang w:val="en-US"/>
        </w:rPr>
        <w:t xml:space="preserve"> Garrido [</w:t>
      </w:r>
      <w:r w:rsidR="00E22B60" w:rsidRPr="00CF6765">
        <w:rPr>
          <w:rFonts w:eastAsia="Calibri"/>
          <w:i/>
          <w:sz w:val="20"/>
          <w:szCs w:val="20"/>
          <w:lang w:val="en-US"/>
        </w:rPr>
        <w:t>sic</w:t>
      </w:r>
      <w:r w:rsidR="00E22B60" w:rsidRPr="00CF6765">
        <w:rPr>
          <w:rFonts w:eastAsia="Calibri"/>
          <w:sz w:val="20"/>
          <w:szCs w:val="20"/>
          <w:lang w:val="en-US"/>
        </w:rPr>
        <w:t xml:space="preserve">], Ximena </w:t>
      </w:r>
      <w:proofErr w:type="spellStart"/>
      <w:r w:rsidR="00E22B60" w:rsidRPr="00CF6765">
        <w:rPr>
          <w:rFonts w:eastAsia="Calibri"/>
          <w:sz w:val="20"/>
          <w:szCs w:val="20"/>
          <w:lang w:val="en-US"/>
        </w:rPr>
        <w:t>Echeverría</w:t>
      </w:r>
      <w:proofErr w:type="spellEnd"/>
      <w:r w:rsidR="00E22B60" w:rsidRPr="00CF6765">
        <w:rPr>
          <w:rFonts w:eastAsia="Calibri"/>
          <w:sz w:val="20"/>
          <w:szCs w:val="20"/>
          <w:lang w:val="en-US"/>
        </w:rPr>
        <w:t xml:space="preserve"> </w:t>
      </w:r>
      <w:proofErr w:type="spellStart"/>
      <w:r w:rsidR="00E22B60" w:rsidRPr="00CF6765">
        <w:rPr>
          <w:rFonts w:eastAsia="Calibri"/>
          <w:sz w:val="20"/>
          <w:szCs w:val="20"/>
          <w:lang w:val="en-US"/>
        </w:rPr>
        <w:t>Pezoa</w:t>
      </w:r>
      <w:proofErr w:type="spellEnd"/>
      <w:r w:rsidR="00E22B60" w:rsidRPr="00CF6765">
        <w:rPr>
          <w:rFonts w:eastAsia="Calibri"/>
          <w:sz w:val="20"/>
          <w:szCs w:val="20"/>
          <w:lang w:val="en-US"/>
        </w:rPr>
        <w:t xml:space="preserve">, María </w:t>
      </w:r>
      <w:proofErr w:type="spellStart"/>
      <w:r w:rsidR="00E22B60" w:rsidRPr="00CF6765">
        <w:rPr>
          <w:rFonts w:eastAsia="Calibri"/>
          <w:sz w:val="20"/>
          <w:szCs w:val="20"/>
          <w:lang w:val="en-US"/>
        </w:rPr>
        <w:t>Chacón</w:t>
      </w:r>
      <w:proofErr w:type="spellEnd"/>
      <w:r w:rsidR="00E22B60" w:rsidRPr="00CF6765">
        <w:rPr>
          <w:rFonts w:eastAsia="Calibri"/>
          <w:sz w:val="20"/>
          <w:szCs w:val="20"/>
          <w:lang w:val="en-US"/>
        </w:rPr>
        <w:t xml:space="preserve"> Fernández, </w:t>
      </w:r>
      <w:proofErr w:type="spellStart"/>
      <w:r w:rsidR="00E22B60" w:rsidRPr="00CF6765">
        <w:rPr>
          <w:rFonts w:eastAsia="Calibri"/>
          <w:sz w:val="20"/>
          <w:szCs w:val="20"/>
          <w:lang w:val="en-US"/>
        </w:rPr>
        <w:t>Anuch</w:t>
      </w:r>
      <w:proofErr w:type="spellEnd"/>
      <w:r w:rsidR="00E22B60" w:rsidRPr="00CF6765">
        <w:rPr>
          <w:rFonts w:eastAsia="Calibri"/>
          <w:sz w:val="20"/>
          <w:szCs w:val="20"/>
          <w:lang w:val="en-US"/>
        </w:rPr>
        <w:t xml:space="preserve"> [</w:t>
      </w:r>
      <w:r w:rsidR="00E22B60" w:rsidRPr="00CF6765">
        <w:rPr>
          <w:rFonts w:eastAsia="Calibri"/>
          <w:i/>
          <w:sz w:val="20"/>
          <w:szCs w:val="20"/>
          <w:lang w:val="en-US"/>
        </w:rPr>
        <w:t>sic</w:t>
      </w:r>
      <w:r w:rsidR="00E22B60" w:rsidRPr="00CF6765">
        <w:rPr>
          <w:rFonts w:eastAsia="Calibri"/>
          <w:sz w:val="20"/>
          <w:szCs w:val="20"/>
          <w:lang w:val="en-US"/>
        </w:rPr>
        <w:t xml:space="preserve">], Lorna </w:t>
      </w:r>
      <w:proofErr w:type="spellStart"/>
      <w:r w:rsidR="00E22B60" w:rsidRPr="00CF6765">
        <w:rPr>
          <w:rFonts w:eastAsia="Calibri"/>
          <w:sz w:val="20"/>
          <w:szCs w:val="20"/>
          <w:lang w:val="en-US"/>
        </w:rPr>
        <w:t>Luco</w:t>
      </w:r>
      <w:proofErr w:type="spellEnd"/>
      <w:r w:rsidR="00E22B60" w:rsidRPr="00CF6765">
        <w:rPr>
          <w:rFonts w:eastAsia="Calibri"/>
          <w:sz w:val="20"/>
          <w:szCs w:val="20"/>
          <w:lang w:val="en-US"/>
        </w:rPr>
        <w:t xml:space="preserve">, </w:t>
      </w:r>
      <w:proofErr w:type="spellStart"/>
      <w:r w:rsidR="00E22B60" w:rsidRPr="00CF6765">
        <w:rPr>
          <w:rFonts w:eastAsia="Calibri"/>
          <w:sz w:val="20"/>
          <w:szCs w:val="20"/>
          <w:lang w:val="en-US"/>
        </w:rPr>
        <w:t>Gonzálo</w:t>
      </w:r>
      <w:proofErr w:type="spellEnd"/>
      <w:r w:rsidR="00E22B60" w:rsidRPr="00CF6765">
        <w:rPr>
          <w:rFonts w:eastAsia="Calibri"/>
          <w:sz w:val="20"/>
          <w:szCs w:val="20"/>
          <w:lang w:val="en-US"/>
        </w:rPr>
        <w:t xml:space="preserve"> </w:t>
      </w:r>
      <w:proofErr w:type="spellStart"/>
      <w:r w:rsidR="00E22B60" w:rsidRPr="00CF6765">
        <w:rPr>
          <w:rFonts w:eastAsia="Calibri"/>
          <w:sz w:val="20"/>
          <w:szCs w:val="20"/>
          <w:lang w:val="en-US"/>
        </w:rPr>
        <w:t>Menchaca</w:t>
      </w:r>
      <w:proofErr w:type="spellEnd"/>
      <w:r w:rsidR="00E22B60" w:rsidRPr="00CF6765">
        <w:rPr>
          <w:rFonts w:eastAsia="Calibri"/>
          <w:sz w:val="20"/>
          <w:szCs w:val="20"/>
          <w:lang w:val="en-US"/>
        </w:rPr>
        <w:t>,</w:t>
      </w:r>
      <w:r w:rsidR="00EC50FC" w:rsidRPr="00CF6765">
        <w:rPr>
          <w:rFonts w:eastAsia="Calibri"/>
          <w:sz w:val="20"/>
          <w:szCs w:val="20"/>
          <w:lang w:val="en-US"/>
        </w:rPr>
        <w:t xml:space="preserve"> and </w:t>
      </w:r>
      <w:r w:rsidR="00E22B60" w:rsidRPr="00CF6765">
        <w:rPr>
          <w:rFonts w:eastAsia="Calibri"/>
          <w:sz w:val="20"/>
          <w:szCs w:val="20"/>
          <w:lang w:val="en-US"/>
        </w:rPr>
        <w:t>Luis Carvajal Freire</w:t>
      </w:r>
      <w:r w:rsidRPr="00CF6765">
        <w:rPr>
          <w:rFonts w:eastAsia="Calibri"/>
          <w:sz w:val="20"/>
          <w:szCs w:val="20"/>
          <w:lang w:val="en-US"/>
        </w:rPr>
        <w:t xml:space="preserve"> be summoned to testify</w:t>
      </w:r>
      <w:r w:rsidR="00E22B60" w:rsidRPr="00CF6765">
        <w:rPr>
          <w:rFonts w:eastAsia="Calibri"/>
          <w:sz w:val="20"/>
          <w:szCs w:val="20"/>
          <w:lang w:val="en-US"/>
        </w:rPr>
        <w:t xml:space="preserve">; </w:t>
      </w:r>
      <w:r w:rsidRPr="00CF6765">
        <w:rPr>
          <w:rFonts w:eastAsia="Calibri"/>
          <w:sz w:val="20"/>
          <w:szCs w:val="20"/>
          <w:lang w:val="en-US"/>
        </w:rPr>
        <w:t>(</w:t>
      </w:r>
      <w:r w:rsidR="00E22B60" w:rsidRPr="00CF6765">
        <w:rPr>
          <w:rFonts w:eastAsia="Calibri"/>
          <w:sz w:val="20"/>
          <w:szCs w:val="20"/>
          <w:lang w:val="en-US"/>
        </w:rPr>
        <w:t xml:space="preserve">ii) </w:t>
      </w:r>
      <w:r w:rsidRPr="00CF6765">
        <w:rPr>
          <w:rFonts w:eastAsia="Calibri"/>
          <w:sz w:val="20"/>
          <w:szCs w:val="20"/>
          <w:lang w:val="en-US"/>
        </w:rPr>
        <w:t xml:space="preserve">that the </w:t>
      </w:r>
      <w:proofErr w:type="spellStart"/>
      <w:r w:rsidR="00B06735" w:rsidRPr="00CF6765">
        <w:rPr>
          <w:rFonts w:eastAsia="Calibri"/>
          <w:sz w:val="20"/>
          <w:szCs w:val="20"/>
          <w:lang w:val="en-US"/>
        </w:rPr>
        <w:t>Sótero</w:t>
      </w:r>
      <w:proofErr w:type="spellEnd"/>
      <w:r w:rsidR="00B06735" w:rsidRPr="00CF6765">
        <w:rPr>
          <w:rFonts w:eastAsia="Calibri"/>
          <w:sz w:val="20"/>
          <w:szCs w:val="20"/>
          <w:lang w:val="en-US"/>
        </w:rPr>
        <w:t xml:space="preserve"> del Río Hospital</w:t>
      </w:r>
      <w:r w:rsidRPr="00CF6765">
        <w:rPr>
          <w:rFonts w:eastAsia="Calibri"/>
          <w:sz w:val="20"/>
          <w:szCs w:val="20"/>
          <w:lang w:val="en-US"/>
        </w:rPr>
        <w:t xml:space="preserve"> be ordered to forward the complete medical record of </w:t>
      </w:r>
      <w:r w:rsidR="00E22B60" w:rsidRPr="00CF6765">
        <w:rPr>
          <w:rFonts w:eastAsia="Calibri"/>
          <w:sz w:val="20"/>
          <w:szCs w:val="20"/>
          <w:lang w:val="en-US"/>
        </w:rPr>
        <w:t xml:space="preserve">Vinicio Antonio Poblete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Pr="00CF6765">
        <w:rPr>
          <w:rFonts w:eastAsia="Calibri"/>
          <w:sz w:val="20"/>
          <w:szCs w:val="20"/>
          <w:lang w:val="en-US"/>
        </w:rPr>
        <w:t>(</w:t>
      </w:r>
      <w:r w:rsidR="00E22B60" w:rsidRPr="00CF6765">
        <w:rPr>
          <w:rFonts w:eastAsia="Calibri"/>
          <w:sz w:val="20"/>
          <w:szCs w:val="20"/>
          <w:lang w:val="en-US"/>
        </w:rPr>
        <w:t xml:space="preserve">iii) </w:t>
      </w:r>
      <w:r w:rsidR="00157698" w:rsidRPr="00CF6765">
        <w:rPr>
          <w:rFonts w:eastAsia="Calibri"/>
          <w:sz w:val="20"/>
          <w:szCs w:val="20"/>
          <w:lang w:val="en-US"/>
        </w:rPr>
        <w:t>that</w:t>
      </w:r>
      <w:r w:rsidRPr="00CF6765">
        <w:rPr>
          <w:rFonts w:eastAsia="Calibri"/>
          <w:sz w:val="20"/>
          <w:szCs w:val="20"/>
          <w:lang w:val="en-US"/>
        </w:rPr>
        <w:t xml:space="preserve"> the “exhumation” </w:t>
      </w:r>
      <w:r w:rsidR="00D04694" w:rsidRPr="00CF6765">
        <w:rPr>
          <w:rFonts w:eastAsia="Calibri"/>
          <w:sz w:val="20"/>
          <w:szCs w:val="20"/>
          <w:lang w:val="en-US"/>
        </w:rPr>
        <w:t>of Mr.</w:t>
      </w:r>
      <w:r w:rsidR="00D2168F" w:rsidRPr="00CF6765">
        <w:rPr>
          <w:rFonts w:eastAsia="Calibri"/>
          <w:sz w:val="20"/>
          <w:szCs w:val="20"/>
          <w:lang w:val="en-US"/>
        </w:rPr>
        <w:t xml:space="preserve">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157698" w:rsidRPr="00CF6765">
        <w:rPr>
          <w:rFonts w:eastAsia="Calibri"/>
          <w:sz w:val="20"/>
          <w:szCs w:val="20"/>
          <w:lang w:val="en-US"/>
        </w:rPr>
        <w:t xml:space="preserve"> be ordered</w:t>
      </w:r>
      <w:r w:rsidR="00E22B60" w:rsidRPr="00CF6765">
        <w:rPr>
          <w:rFonts w:eastAsia="Calibri"/>
          <w:sz w:val="20"/>
          <w:szCs w:val="20"/>
          <w:lang w:val="en-US"/>
        </w:rPr>
        <w:t>, “</w:t>
      </w:r>
      <w:r w:rsidRPr="00CF6765">
        <w:rPr>
          <w:rFonts w:eastAsia="Calibri"/>
          <w:sz w:val="20"/>
          <w:szCs w:val="20"/>
          <w:lang w:val="en-US"/>
        </w:rPr>
        <w:t>to perform an autopsy that determines the real cause of his death,” and (</w:t>
      </w:r>
      <w:r w:rsidR="00157698" w:rsidRPr="00CF6765">
        <w:rPr>
          <w:rFonts w:eastAsia="Calibri"/>
          <w:sz w:val="20"/>
          <w:szCs w:val="20"/>
          <w:lang w:val="en-US"/>
        </w:rPr>
        <w:t>i</w:t>
      </w:r>
      <w:r w:rsidRPr="00CF6765">
        <w:rPr>
          <w:rFonts w:eastAsia="Calibri"/>
          <w:sz w:val="20"/>
          <w:szCs w:val="20"/>
          <w:lang w:val="en-US"/>
        </w:rPr>
        <w:t xml:space="preserve">v) that this second complaint be </w:t>
      </w:r>
      <w:proofErr w:type="spellStart"/>
      <w:r w:rsidRPr="00CF6765">
        <w:rPr>
          <w:rFonts w:eastAsia="Calibri"/>
          <w:sz w:val="20"/>
          <w:szCs w:val="20"/>
          <w:lang w:val="en-US"/>
        </w:rPr>
        <w:t>joindered</w:t>
      </w:r>
      <w:proofErr w:type="spellEnd"/>
      <w:r w:rsidRPr="00CF6765">
        <w:rPr>
          <w:rFonts w:eastAsia="Calibri"/>
          <w:sz w:val="20"/>
          <w:szCs w:val="20"/>
          <w:lang w:val="en-US"/>
        </w:rPr>
        <w:t xml:space="preserve"> to the previous complaint; that is, the one processed as Case No. 75,821</w:t>
      </w:r>
      <w:r w:rsidR="00E22B60" w:rsidRPr="00CF6765">
        <w:rPr>
          <w:rFonts w:eastAsia="Calibri"/>
          <w:sz w:val="20"/>
          <w:szCs w:val="20"/>
          <w:lang w:val="en-US"/>
        </w:rPr>
        <w:t>-M,</w:t>
      </w:r>
      <w:r w:rsidR="00EC50FC" w:rsidRPr="00CF6765">
        <w:rPr>
          <w:rFonts w:eastAsia="Calibri"/>
          <w:sz w:val="20"/>
          <w:szCs w:val="20"/>
          <w:lang w:val="en-US"/>
        </w:rPr>
        <w:t xml:space="preserve"> and </w:t>
      </w:r>
      <w:r w:rsidRPr="00CF6765">
        <w:rPr>
          <w:rFonts w:eastAsia="Calibri"/>
          <w:sz w:val="20"/>
          <w:szCs w:val="20"/>
          <w:lang w:val="en-US"/>
        </w:rPr>
        <w:t>the joinder requested by the complainant was granted by an order of the same date</w:t>
      </w:r>
      <w:r w:rsidR="00E22B60" w:rsidRPr="00CF6765">
        <w:rPr>
          <w:rFonts w:eastAsia="Calibri"/>
          <w:sz w:val="20"/>
          <w:szCs w:val="20"/>
          <w:lang w:val="en-US"/>
        </w:rPr>
        <w:t>, “</w:t>
      </w:r>
      <w:r w:rsidR="00EE5F12" w:rsidRPr="00CF6765">
        <w:rPr>
          <w:rFonts w:eastAsia="Calibri"/>
          <w:sz w:val="20"/>
          <w:szCs w:val="20"/>
          <w:lang w:val="en-US"/>
        </w:rPr>
        <w:t xml:space="preserve">as soon as </w:t>
      </w:r>
      <w:r w:rsidR="00EE5F12" w:rsidRPr="00CF6765">
        <w:rPr>
          <w:rFonts w:eastAsia="Calibri"/>
          <w:bCs/>
          <w:sz w:val="20"/>
          <w:szCs w:val="20"/>
          <w:lang w:val="en-US"/>
        </w:rPr>
        <w:t>Case</w:t>
      </w:r>
      <w:r w:rsidR="00E22B60" w:rsidRPr="00CF6765">
        <w:rPr>
          <w:rFonts w:eastAsia="Calibri"/>
          <w:bCs/>
          <w:sz w:val="20"/>
          <w:szCs w:val="20"/>
          <w:lang w:val="en-US"/>
        </w:rPr>
        <w:t xml:space="preserve"> No. </w:t>
      </w:r>
      <w:r w:rsidRPr="00CF6765">
        <w:rPr>
          <w:rFonts w:eastAsia="Calibri"/>
          <w:bCs/>
          <w:sz w:val="20"/>
          <w:szCs w:val="20"/>
          <w:lang w:val="en-US"/>
        </w:rPr>
        <w:t>75,821</w:t>
      </w:r>
      <w:r w:rsidR="00EE5F12" w:rsidRPr="00CF6765">
        <w:rPr>
          <w:rFonts w:eastAsia="Calibri"/>
          <w:bCs/>
          <w:sz w:val="20"/>
          <w:szCs w:val="20"/>
          <w:lang w:val="en-US"/>
        </w:rPr>
        <w:t xml:space="preserve"> is received from the </w:t>
      </w:r>
      <w:r w:rsidR="00157698" w:rsidRPr="00CF6765">
        <w:rPr>
          <w:rFonts w:eastAsia="Calibri"/>
          <w:bCs/>
          <w:sz w:val="20"/>
          <w:szCs w:val="20"/>
          <w:lang w:val="en-US"/>
        </w:rPr>
        <w:t xml:space="preserve">San Miguel </w:t>
      </w:r>
      <w:r w:rsidR="00EE5F12" w:rsidRPr="00CF6765">
        <w:rPr>
          <w:rFonts w:eastAsia="Calibri"/>
          <w:bCs/>
          <w:sz w:val="20"/>
          <w:szCs w:val="20"/>
          <w:lang w:val="en-US"/>
        </w:rPr>
        <w:t>Court of Appeal,</w:t>
      </w:r>
      <w:r w:rsidR="00E22B60" w:rsidRPr="00CF6765">
        <w:rPr>
          <w:rFonts w:eastAsia="Calibri"/>
          <w:bCs/>
          <w:sz w:val="20"/>
          <w:szCs w:val="20"/>
          <w:lang w:val="en-US"/>
        </w:rPr>
        <w:t xml:space="preserve">” </w:t>
      </w:r>
      <w:r w:rsidR="00EE5F12" w:rsidRPr="00CF6765">
        <w:rPr>
          <w:rFonts w:eastAsia="Calibri"/>
          <w:bCs/>
          <w:sz w:val="20"/>
          <w:szCs w:val="20"/>
          <w:lang w:val="en-US"/>
        </w:rPr>
        <w:t>which occurred on</w:t>
      </w:r>
      <w:r w:rsidR="00E22B60" w:rsidRPr="00CF6765">
        <w:rPr>
          <w:rFonts w:eastAsia="Calibri"/>
          <w:bCs/>
          <w:sz w:val="20"/>
          <w:szCs w:val="20"/>
          <w:lang w:val="en-US"/>
        </w:rPr>
        <w:t xml:space="preserve"> </w:t>
      </w:r>
      <w:r w:rsidR="00D2168F" w:rsidRPr="00CF6765">
        <w:rPr>
          <w:rFonts w:eastAsia="Calibri"/>
          <w:bCs/>
          <w:sz w:val="20"/>
          <w:szCs w:val="20"/>
          <w:lang w:val="en-US"/>
        </w:rPr>
        <w:t>December 7,</w:t>
      </w:r>
      <w:r w:rsidR="00E22B60" w:rsidRPr="00CF6765">
        <w:rPr>
          <w:rFonts w:eastAsia="Calibri"/>
          <w:bCs/>
          <w:sz w:val="20"/>
          <w:szCs w:val="20"/>
          <w:lang w:val="en-US"/>
        </w:rPr>
        <w:t xml:space="preserve"> 2005</w:t>
      </w:r>
      <w:r w:rsidR="00EE5F12" w:rsidRPr="00CF6765">
        <w:rPr>
          <w:rFonts w:eastAsia="Calibri"/>
          <w:bCs/>
          <w:sz w:val="20"/>
          <w:szCs w:val="20"/>
          <w:lang w:val="en-US"/>
        </w:rPr>
        <w:t>.</w:t>
      </w:r>
      <w:r w:rsidR="00E22B60" w:rsidRPr="00CF6765">
        <w:rPr>
          <w:rFonts w:eastAsia="Calibri"/>
          <w:sz w:val="20"/>
          <w:szCs w:val="16"/>
          <w:vertAlign w:val="superscript"/>
          <w:lang w:val="en-US"/>
        </w:rPr>
        <w:footnoteReference w:id="85"/>
      </w:r>
    </w:p>
    <w:p w14:paraId="1F2FADF8" w14:textId="77777777" w:rsidR="00E22B60" w:rsidRPr="00CF6765" w:rsidRDefault="00E22B60" w:rsidP="00E22B60">
      <w:pPr>
        <w:tabs>
          <w:tab w:val="left" w:pos="630"/>
          <w:tab w:val="left" w:pos="810"/>
          <w:tab w:val="left" w:pos="1530"/>
          <w:tab w:val="left" w:pos="1620"/>
        </w:tabs>
        <w:ind w:right="-360"/>
        <w:rPr>
          <w:rFonts w:eastAsia="Calibri"/>
          <w:sz w:val="20"/>
          <w:szCs w:val="20"/>
          <w:lang w:val="en-US"/>
        </w:rPr>
      </w:pPr>
    </w:p>
    <w:p w14:paraId="0331B380" w14:textId="7C74C223" w:rsidR="00E22B60" w:rsidRPr="00CF6765" w:rsidRDefault="00EE5F12"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Between March 3,</w:t>
      </w:r>
      <w:r w:rsidR="00E22B60" w:rsidRPr="00CF6765">
        <w:rPr>
          <w:rFonts w:eastAsia="Calibri"/>
          <w:sz w:val="20"/>
          <w:szCs w:val="20"/>
          <w:lang w:val="en-US"/>
        </w:rPr>
        <w:t xml:space="preserve"> 2006</w:t>
      </w:r>
      <w:r w:rsidRPr="00CF6765">
        <w:rPr>
          <w:rFonts w:eastAsia="Calibri"/>
          <w:sz w:val="20"/>
          <w:szCs w:val="20"/>
          <w:lang w:val="en-US"/>
        </w:rPr>
        <w:t xml:space="preserve">, </w:t>
      </w:r>
      <w:r w:rsidR="00EC50FC" w:rsidRPr="00CF6765">
        <w:rPr>
          <w:rFonts w:eastAsia="Calibri"/>
          <w:sz w:val="20"/>
          <w:szCs w:val="20"/>
          <w:lang w:val="en-US"/>
        </w:rPr>
        <w:t>and</w:t>
      </w:r>
      <w:r w:rsidR="002D729E" w:rsidRPr="00CF6765">
        <w:rPr>
          <w:rFonts w:eastAsia="Calibri"/>
          <w:sz w:val="20"/>
          <w:szCs w:val="20"/>
          <w:lang w:val="en-US"/>
        </w:rPr>
        <w:t xml:space="preserve"> June 15,</w:t>
      </w:r>
      <w:r w:rsidR="00E22B60" w:rsidRPr="00CF6765">
        <w:rPr>
          <w:rFonts w:eastAsia="Calibri"/>
          <w:sz w:val="20"/>
          <w:szCs w:val="20"/>
          <w:lang w:val="en-US"/>
        </w:rPr>
        <w:t xml:space="preserve"> 2007, dur</w:t>
      </w:r>
      <w:r w:rsidRPr="00CF6765">
        <w:rPr>
          <w:rFonts w:eastAsia="Calibri"/>
          <w:sz w:val="20"/>
          <w:szCs w:val="20"/>
          <w:lang w:val="en-US"/>
        </w:rPr>
        <w:t xml:space="preserve">ing the processing of the </w:t>
      </w:r>
      <w:proofErr w:type="spellStart"/>
      <w:r w:rsidRPr="00CF6765">
        <w:rPr>
          <w:rFonts w:eastAsia="Calibri"/>
          <w:sz w:val="20"/>
          <w:szCs w:val="20"/>
          <w:lang w:val="en-US"/>
        </w:rPr>
        <w:t>joindered</w:t>
      </w:r>
      <w:proofErr w:type="spellEnd"/>
      <w:r w:rsidRPr="00CF6765">
        <w:rPr>
          <w:rFonts w:eastAsia="Calibri"/>
          <w:sz w:val="20"/>
          <w:szCs w:val="20"/>
          <w:lang w:val="en-US"/>
        </w:rPr>
        <w:t xml:space="preserve"> complaint </w:t>
      </w:r>
      <w:r w:rsidR="002D729E" w:rsidRPr="00CF6765">
        <w:rPr>
          <w:rFonts w:eastAsia="Calibri"/>
          <w:sz w:val="20"/>
          <w:szCs w:val="20"/>
          <w:lang w:val="en-US"/>
        </w:rPr>
        <w:t>before the First Civil Court</w:t>
      </w:r>
      <w:r w:rsidR="00E22B60" w:rsidRPr="00CF6765">
        <w:rPr>
          <w:rFonts w:eastAsia="Calibri"/>
          <w:sz w:val="20"/>
          <w:szCs w:val="20"/>
          <w:lang w:val="en-US"/>
        </w:rPr>
        <w:t xml:space="preserve"> </w:t>
      </w:r>
      <w:r w:rsidR="00E535D5" w:rsidRPr="00CF6765">
        <w:rPr>
          <w:rFonts w:eastAsia="Calibri"/>
          <w:sz w:val="20"/>
          <w:szCs w:val="20"/>
          <w:lang w:val="en-US"/>
        </w:rPr>
        <w:t>of Puente Alto</w:t>
      </w:r>
      <w:r w:rsidR="00E22B60" w:rsidRPr="00CF6765">
        <w:rPr>
          <w:rFonts w:eastAsia="Calibri"/>
          <w:sz w:val="20"/>
          <w:szCs w:val="20"/>
          <w:lang w:val="en-US"/>
        </w:rPr>
        <w:t xml:space="preserve">, </w:t>
      </w:r>
      <w:r w:rsidRPr="00CF6765">
        <w:rPr>
          <w:rFonts w:eastAsia="Calibri"/>
          <w:sz w:val="20"/>
          <w:szCs w:val="20"/>
          <w:lang w:val="en-US"/>
        </w:rPr>
        <w:t xml:space="preserve">the following individual gave their statements </w:t>
      </w:r>
      <w:r w:rsidR="002D729E" w:rsidRPr="00CF6765">
        <w:rPr>
          <w:rFonts w:eastAsia="Calibri"/>
          <w:sz w:val="20"/>
          <w:szCs w:val="20"/>
          <w:lang w:val="en-US"/>
        </w:rPr>
        <w:t>before the First Civil Court</w:t>
      </w:r>
      <w:r w:rsidR="00E22B60" w:rsidRPr="00CF6765">
        <w:rPr>
          <w:rFonts w:eastAsia="Calibri"/>
          <w:sz w:val="20"/>
          <w:szCs w:val="20"/>
          <w:lang w:val="en-US"/>
        </w:rPr>
        <w:t xml:space="preserve"> </w:t>
      </w:r>
      <w:r w:rsidR="00E535D5" w:rsidRPr="00CF6765">
        <w:rPr>
          <w:rFonts w:eastAsia="Calibri"/>
          <w:sz w:val="20"/>
          <w:szCs w:val="20"/>
          <w:lang w:val="en-US"/>
        </w:rPr>
        <w:t>of Puente Alto</w:t>
      </w:r>
      <w:r w:rsidR="00E22B60" w:rsidRPr="00CF6765">
        <w:rPr>
          <w:rFonts w:eastAsia="Calibri"/>
          <w:sz w:val="20"/>
          <w:szCs w:val="20"/>
          <w:lang w:val="en-US"/>
        </w:rPr>
        <w:t xml:space="preserve">: Marcelo </w:t>
      </w:r>
      <w:proofErr w:type="spellStart"/>
      <w:r w:rsidR="00E22B60" w:rsidRPr="00CF6765">
        <w:rPr>
          <w:rFonts w:eastAsia="Calibri"/>
          <w:sz w:val="20"/>
          <w:szCs w:val="20"/>
          <w:lang w:val="en-US"/>
        </w:rPr>
        <w:t>Adán</w:t>
      </w:r>
      <w:proofErr w:type="spellEnd"/>
      <w:r w:rsidR="00E22B60" w:rsidRPr="00CF6765">
        <w:rPr>
          <w:rFonts w:eastAsia="Calibri"/>
          <w:sz w:val="20"/>
          <w:szCs w:val="20"/>
          <w:lang w:val="en-US"/>
        </w:rPr>
        <w:t xml:space="preserve"> Garrido; María Carolina </w:t>
      </w:r>
      <w:proofErr w:type="spellStart"/>
      <w:r w:rsidR="00E22B60" w:rsidRPr="00CF6765">
        <w:rPr>
          <w:rFonts w:eastAsia="Calibri"/>
          <w:sz w:val="20"/>
          <w:szCs w:val="20"/>
          <w:lang w:val="en-US"/>
        </w:rPr>
        <w:t>Chacón</w:t>
      </w:r>
      <w:proofErr w:type="spellEnd"/>
      <w:r w:rsidR="00E22B60" w:rsidRPr="00CF6765">
        <w:rPr>
          <w:rFonts w:eastAsia="Calibri"/>
          <w:sz w:val="20"/>
          <w:szCs w:val="20"/>
          <w:lang w:val="en-US"/>
        </w:rPr>
        <w:t xml:space="preserve"> Fernández; Vinicio Poblete Tapia; </w:t>
      </w:r>
      <w:proofErr w:type="spellStart"/>
      <w:r w:rsidR="00E22B60" w:rsidRPr="00CF6765">
        <w:rPr>
          <w:rFonts w:eastAsia="Calibri"/>
          <w:sz w:val="20"/>
          <w:szCs w:val="20"/>
          <w:lang w:val="en-US"/>
        </w:rPr>
        <w:t>Cesia</w:t>
      </w:r>
      <w:proofErr w:type="spellEnd"/>
      <w:r w:rsidR="00E22B60" w:rsidRPr="00CF6765">
        <w:rPr>
          <w:rFonts w:eastAsia="Calibri"/>
          <w:sz w:val="20"/>
          <w:szCs w:val="20"/>
          <w:lang w:val="en-US"/>
        </w:rPr>
        <w:t xml:space="preserve"> Leila Poblete Tapia; Lili Marlene Rojas Hernández; Jorge Alejandro Fuentes Poblete</w:t>
      </w:r>
      <w:r w:rsidRPr="00CF6765">
        <w:rPr>
          <w:rFonts w:eastAsia="Calibri"/>
          <w:sz w:val="20"/>
          <w:szCs w:val="20"/>
          <w:lang w:val="en-US"/>
        </w:rPr>
        <w:t>,</w:t>
      </w:r>
      <w:r w:rsidR="00EC50FC" w:rsidRPr="00CF6765">
        <w:rPr>
          <w:rFonts w:eastAsia="Calibri"/>
          <w:sz w:val="20"/>
          <w:szCs w:val="20"/>
          <w:lang w:val="en-US"/>
        </w:rPr>
        <w:t xml:space="preserve"> and </w:t>
      </w:r>
      <w:r w:rsidR="00E22B60" w:rsidRPr="00CF6765">
        <w:rPr>
          <w:rFonts w:eastAsia="Calibri"/>
          <w:sz w:val="20"/>
          <w:szCs w:val="20"/>
          <w:lang w:val="en-US"/>
        </w:rPr>
        <w:t>Alejandra Marcela Fuentes Poblete</w:t>
      </w:r>
      <w:r w:rsidRPr="00CF6765">
        <w:rPr>
          <w:rFonts w:eastAsia="Calibri"/>
          <w:sz w:val="20"/>
          <w:szCs w:val="20"/>
          <w:lang w:val="en-US"/>
        </w:rPr>
        <w:t>.</w:t>
      </w:r>
      <w:r w:rsidR="00E22B60" w:rsidRPr="00CF6765">
        <w:rPr>
          <w:rFonts w:eastAsia="Calibri"/>
          <w:sz w:val="20"/>
          <w:szCs w:val="20"/>
          <w:vertAlign w:val="superscript"/>
          <w:lang w:val="en-US"/>
        </w:rPr>
        <w:footnoteReference w:id="86"/>
      </w:r>
      <w:r w:rsidR="00E22B60" w:rsidRPr="00CF6765">
        <w:rPr>
          <w:rFonts w:eastAsia="Calibri"/>
          <w:sz w:val="20"/>
          <w:szCs w:val="20"/>
          <w:lang w:val="en-US"/>
        </w:rPr>
        <w:t xml:space="preserve"> </w:t>
      </w:r>
    </w:p>
    <w:p w14:paraId="24BFF604" w14:textId="77777777" w:rsidR="00E22B60" w:rsidRPr="00CF6765" w:rsidRDefault="00E22B60" w:rsidP="00450250">
      <w:pPr>
        <w:tabs>
          <w:tab w:val="left" w:pos="630"/>
          <w:tab w:val="left" w:pos="810"/>
          <w:tab w:val="left" w:pos="1530"/>
          <w:tab w:val="left" w:pos="1620"/>
        </w:tabs>
        <w:ind w:right="13"/>
        <w:rPr>
          <w:rFonts w:eastAsia="Calibri"/>
          <w:sz w:val="20"/>
          <w:szCs w:val="20"/>
          <w:lang w:val="en-US"/>
        </w:rPr>
      </w:pPr>
    </w:p>
    <w:p w14:paraId="734DB9FD" w14:textId="0965AD82" w:rsidR="00E22B60" w:rsidRPr="00CF6765" w:rsidRDefault="00EE5F12"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March 21,</w:t>
      </w:r>
      <w:r w:rsidR="00E22B60" w:rsidRPr="00CF6765">
        <w:rPr>
          <w:rFonts w:eastAsia="Calibri"/>
          <w:sz w:val="20"/>
          <w:szCs w:val="20"/>
          <w:lang w:val="en-US"/>
        </w:rPr>
        <w:t xml:space="preserve"> 2006</w:t>
      </w:r>
      <w:r w:rsidR="006908F5" w:rsidRPr="00CF6765">
        <w:rPr>
          <w:rFonts w:eastAsia="Calibri"/>
          <w:sz w:val="20"/>
          <w:szCs w:val="20"/>
          <w:lang w:val="en-US"/>
        </w:rPr>
        <w:t>,</w:t>
      </w:r>
      <w:r w:rsidR="00E22B60" w:rsidRPr="00CF6765">
        <w:rPr>
          <w:rFonts w:eastAsia="Calibri"/>
          <w:sz w:val="20"/>
          <w:szCs w:val="20"/>
          <w:lang w:val="en-US"/>
        </w:rPr>
        <w:t xml:space="preserve"> </w:t>
      </w:r>
      <w:r w:rsidRPr="00CF6765">
        <w:rPr>
          <w:rFonts w:eastAsia="Calibri"/>
          <w:sz w:val="20"/>
          <w:szCs w:val="20"/>
          <w:lang w:val="en-US"/>
        </w:rPr>
        <w:t>the representative</w:t>
      </w:r>
      <w:r w:rsidR="00E22B60" w:rsidRPr="00CF6765">
        <w:rPr>
          <w:rFonts w:eastAsia="Calibri"/>
          <w:sz w:val="20"/>
          <w:szCs w:val="20"/>
          <w:lang w:val="en-US"/>
        </w:rPr>
        <w:t xml:space="preserve"> </w:t>
      </w:r>
      <w:r w:rsidR="00D04694" w:rsidRPr="00CF6765">
        <w:rPr>
          <w:rFonts w:eastAsia="Calibri"/>
          <w:sz w:val="20"/>
          <w:szCs w:val="20"/>
          <w:lang w:val="en-US"/>
        </w:rPr>
        <w:t>of Vinicio</w:t>
      </w:r>
      <w:r w:rsidR="00E22B60" w:rsidRPr="00CF6765">
        <w:rPr>
          <w:rFonts w:eastAsia="Calibri"/>
          <w:sz w:val="20"/>
          <w:szCs w:val="20"/>
          <w:lang w:val="en-US"/>
        </w:rPr>
        <w:t xml:space="preserve"> Poblete Tapia </w:t>
      </w:r>
      <w:r w:rsidRPr="00CF6765">
        <w:rPr>
          <w:rFonts w:eastAsia="Calibri"/>
          <w:sz w:val="20"/>
          <w:szCs w:val="20"/>
          <w:lang w:val="en-US"/>
        </w:rPr>
        <w:t>requested the following procedures: (</w:t>
      </w:r>
      <w:r w:rsidR="00E22B60" w:rsidRPr="00CF6765">
        <w:rPr>
          <w:rFonts w:eastAsia="Calibri"/>
          <w:sz w:val="20"/>
          <w:szCs w:val="20"/>
          <w:lang w:val="en-US"/>
        </w:rPr>
        <w:t xml:space="preserve">¡) </w:t>
      </w:r>
      <w:r w:rsidRPr="00CF6765">
        <w:rPr>
          <w:rFonts w:eastAsia="Calibri"/>
          <w:sz w:val="20"/>
          <w:szCs w:val="20"/>
          <w:lang w:val="en-US"/>
        </w:rPr>
        <w:t>the s</w:t>
      </w:r>
      <w:r w:rsidR="008E7DC3" w:rsidRPr="00CF6765">
        <w:rPr>
          <w:rFonts w:eastAsia="Calibri"/>
          <w:sz w:val="20"/>
          <w:szCs w:val="20"/>
          <w:lang w:val="en-US"/>
        </w:rPr>
        <w:t>tatement</w:t>
      </w:r>
      <w:r w:rsidR="00E22B60" w:rsidRPr="00CF6765">
        <w:rPr>
          <w:rFonts w:eastAsia="Calibri"/>
          <w:sz w:val="20"/>
          <w:szCs w:val="20"/>
          <w:lang w:val="en-US"/>
        </w:rPr>
        <w:t xml:space="preserve"> </w:t>
      </w:r>
      <w:r w:rsidRPr="00CF6765">
        <w:rPr>
          <w:rFonts w:eastAsia="Calibri"/>
          <w:sz w:val="20"/>
          <w:szCs w:val="20"/>
          <w:lang w:val="en-US"/>
        </w:rPr>
        <w:t>of the complainant;</w:t>
      </w:r>
      <w:r w:rsidR="00E22B60" w:rsidRPr="00CF6765">
        <w:rPr>
          <w:rFonts w:eastAsia="Calibri"/>
          <w:sz w:val="20"/>
          <w:szCs w:val="20"/>
          <w:lang w:val="en-US"/>
        </w:rPr>
        <w:t xml:space="preserve"> </w:t>
      </w:r>
      <w:r w:rsidRPr="00CF6765">
        <w:rPr>
          <w:rFonts w:eastAsia="Calibri"/>
          <w:sz w:val="20"/>
          <w:szCs w:val="20"/>
          <w:lang w:val="en-US"/>
        </w:rPr>
        <w:t>(</w:t>
      </w:r>
      <w:r w:rsidR="00E22B60" w:rsidRPr="00CF6765">
        <w:rPr>
          <w:rFonts w:eastAsia="Calibri"/>
          <w:sz w:val="20"/>
          <w:szCs w:val="20"/>
          <w:lang w:val="en-US"/>
        </w:rPr>
        <w:t xml:space="preserve">ii) </w:t>
      </w:r>
      <w:r w:rsidRPr="00CF6765">
        <w:rPr>
          <w:rFonts w:eastAsia="Calibri"/>
          <w:sz w:val="20"/>
          <w:szCs w:val="20"/>
          <w:lang w:val="en-US"/>
        </w:rPr>
        <w:t>the st</w:t>
      </w:r>
      <w:r w:rsidR="008E7DC3" w:rsidRPr="00CF6765">
        <w:rPr>
          <w:rFonts w:eastAsia="Calibri"/>
          <w:sz w:val="20"/>
          <w:szCs w:val="20"/>
          <w:lang w:val="en-US"/>
        </w:rPr>
        <w:t>atement</w:t>
      </w:r>
      <w:r w:rsidR="00E22B60" w:rsidRPr="00CF6765">
        <w:rPr>
          <w:rFonts w:eastAsia="Calibri"/>
          <w:sz w:val="20"/>
          <w:szCs w:val="20"/>
          <w:lang w:val="en-US"/>
        </w:rPr>
        <w:t xml:space="preserve"> </w:t>
      </w:r>
      <w:r w:rsidRPr="00CF6765">
        <w:rPr>
          <w:rFonts w:eastAsia="Calibri"/>
          <w:sz w:val="20"/>
          <w:szCs w:val="20"/>
          <w:lang w:val="en-US"/>
        </w:rPr>
        <w:t>of</w:t>
      </w:r>
      <w:r w:rsidR="00E22B60" w:rsidRPr="00CF6765">
        <w:rPr>
          <w:rFonts w:eastAsia="Calibri"/>
          <w:sz w:val="20"/>
          <w:szCs w:val="20"/>
          <w:lang w:val="en-US"/>
        </w:rPr>
        <w:t xml:space="preserve"> </w:t>
      </w:r>
      <w:proofErr w:type="spellStart"/>
      <w:r w:rsidR="00E22B60" w:rsidRPr="00CF6765">
        <w:rPr>
          <w:rFonts w:eastAsia="Calibri"/>
          <w:sz w:val="20"/>
          <w:szCs w:val="20"/>
          <w:lang w:val="en-US"/>
        </w:rPr>
        <w:t>Cesia</w:t>
      </w:r>
      <w:proofErr w:type="spellEnd"/>
      <w:r w:rsidR="00E22B60" w:rsidRPr="00CF6765">
        <w:rPr>
          <w:rFonts w:eastAsia="Calibri"/>
          <w:sz w:val="20"/>
          <w:szCs w:val="20"/>
          <w:lang w:val="en-US"/>
        </w:rPr>
        <w:t xml:space="preserve"> Leila Poblete Tapia, </w:t>
      </w:r>
      <w:r w:rsidRPr="00CF6765">
        <w:rPr>
          <w:rFonts w:eastAsia="Calibri"/>
          <w:sz w:val="20"/>
          <w:szCs w:val="20"/>
          <w:lang w:val="en-US"/>
        </w:rPr>
        <w:lastRenderedPageBreak/>
        <w:t>(</w:t>
      </w:r>
      <w:r w:rsidR="00E22B60" w:rsidRPr="00CF6765">
        <w:rPr>
          <w:rFonts w:eastAsia="Calibri"/>
          <w:sz w:val="20"/>
          <w:szCs w:val="20"/>
          <w:lang w:val="en-US"/>
        </w:rPr>
        <w:t>iii) c</w:t>
      </w:r>
      <w:r w:rsidR="007C196E" w:rsidRPr="00CF6765">
        <w:rPr>
          <w:rFonts w:eastAsia="Calibri"/>
          <w:sz w:val="20"/>
          <w:szCs w:val="20"/>
          <w:lang w:val="en-US"/>
        </w:rPr>
        <w:t xml:space="preserve">onfrontation between those two and Dr. </w:t>
      </w:r>
      <w:r w:rsidR="00E22B60" w:rsidRPr="00CF6765">
        <w:rPr>
          <w:rFonts w:eastAsia="Calibri"/>
          <w:sz w:val="20"/>
          <w:szCs w:val="20"/>
          <w:lang w:val="en-US"/>
        </w:rPr>
        <w:t xml:space="preserve">María Carolina </w:t>
      </w:r>
      <w:proofErr w:type="spellStart"/>
      <w:r w:rsidR="00E22B60" w:rsidRPr="00CF6765">
        <w:rPr>
          <w:rFonts w:eastAsia="Calibri"/>
          <w:sz w:val="20"/>
          <w:szCs w:val="20"/>
          <w:lang w:val="en-US"/>
        </w:rPr>
        <w:t>Chacón</w:t>
      </w:r>
      <w:proofErr w:type="spellEnd"/>
      <w:r w:rsidR="00E22B60" w:rsidRPr="00CF6765">
        <w:rPr>
          <w:rFonts w:eastAsia="Calibri"/>
          <w:sz w:val="20"/>
          <w:szCs w:val="20"/>
          <w:lang w:val="en-US"/>
        </w:rPr>
        <w:t xml:space="preserve"> Fernández. </w:t>
      </w:r>
      <w:r w:rsidR="007C196E" w:rsidRPr="00CF6765">
        <w:rPr>
          <w:rFonts w:eastAsia="Calibri"/>
          <w:sz w:val="20"/>
          <w:szCs w:val="20"/>
          <w:lang w:val="en-US"/>
        </w:rPr>
        <w:t>He also requested that, owing to the deteriorating health</w:t>
      </w:r>
      <w:r w:rsidR="00E22B60" w:rsidRPr="00CF6765">
        <w:rPr>
          <w:rFonts w:eastAsia="Calibri"/>
          <w:sz w:val="20"/>
          <w:szCs w:val="20"/>
          <w:lang w:val="en-US"/>
        </w:rPr>
        <w:t xml:space="preserve"> </w:t>
      </w:r>
      <w:r w:rsidR="00D04694" w:rsidRPr="00CF6765">
        <w:rPr>
          <w:rFonts w:eastAsia="Calibri"/>
          <w:sz w:val="20"/>
          <w:szCs w:val="20"/>
          <w:lang w:val="en-US"/>
        </w:rPr>
        <w:t>of Mr.</w:t>
      </w:r>
      <w:r w:rsidR="00D2168F" w:rsidRPr="00CF6765">
        <w:rPr>
          <w:rFonts w:eastAsia="Calibri"/>
          <w:sz w:val="20"/>
          <w:szCs w:val="20"/>
          <w:lang w:val="en-US"/>
        </w:rPr>
        <w:t xml:space="preserve"> Poblete</w:t>
      </w:r>
      <w:r w:rsidR="00E22B60" w:rsidRPr="00CF6765">
        <w:rPr>
          <w:rFonts w:eastAsia="Calibri"/>
          <w:sz w:val="20"/>
          <w:szCs w:val="20"/>
          <w:lang w:val="en-US"/>
        </w:rPr>
        <w:t xml:space="preserve"> Tapia,</w:t>
      </w:r>
      <w:r w:rsidR="007C196E" w:rsidRPr="00CF6765">
        <w:rPr>
          <w:rFonts w:eastAsia="Calibri"/>
          <w:sz w:val="20"/>
          <w:szCs w:val="20"/>
          <w:lang w:val="en-US"/>
        </w:rPr>
        <w:t xml:space="preserve"> these procedures be “ordered as </w:t>
      </w:r>
      <w:r w:rsidR="00B328D7" w:rsidRPr="00CF6765">
        <w:rPr>
          <w:rFonts w:eastAsia="Calibri"/>
          <w:sz w:val="20"/>
          <w:szCs w:val="20"/>
          <w:lang w:val="en-US"/>
        </w:rPr>
        <w:t>promptly</w:t>
      </w:r>
      <w:r w:rsidR="007C196E" w:rsidRPr="00CF6765">
        <w:rPr>
          <w:rFonts w:eastAsia="Calibri"/>
          <w:sz w:val="20"/>
          <w:szCs w:val="20"/>
          <w:lang w:val="en-US"/>
        </w:rPr>
        <w:t xml:space="preserve"> as possible and on an urgent basis.</w:t>
      </w:r>
      <w:r w:rsidR="00E22B60" w:rsidRPr="00CF6765">
        <w:rPr>
          <w:rFonts w:eastAsia="Calibri"/>
          <w:sz w:val="20"/>
          <w:szCs w:val="20"/>
          <w:lang w:val="en-US"/>
        </w:rPr>
        <w:t>”</w:t>
      </w:r>
      <w:r w:rsidR="00E22B60" w:rsidRPr="00CF6765">
        <w:rPr>
          <w:rFonts w:eastAsia="Calibri"/>
          <w:sz w:val="20"/>
          <w:szCs w:val="16"/>
          <w:vertAlign w:val="superscript"/>
          <w:lang w:val="en-US"/>
        </w:rPr>
        <w:footnoteReference w:id="87"/>
      </w:r>
      <w:r w:rsidR="007C196E" w:rsidRPr="00CF6765">
        <w:rPr>
          <w:rFonts w:eastAsia="Calibri"/>
          <w:sz w:val="20"/>
          <w:szCs w:val="20"/>
          <w:lang w:val="en-US"/>
        </w:rPr>
        <w:t xml:space="preserve"> On April 18,</w:t>
      </w:r>
      <w:r w:rsidR="00E22B60" w:rsidRPr="00CF6765">
        <w:rPr>
          <w:rFonts w:eastAsia="Calibri"/>
          <w:sz w:val="20"/>
          <w:szCs w:val="20"/>
          <w:lang w:val="en-US"/>
        </w:rPr>
        <w:t xml:space="preserve"> 2006</w:t>
      </w:r>
      <w:r w:rsidR="0021178D" w:rsidRPr="00CF6765">
        <w:rPr>
          <w:rFonts w:eastAsia="Calibri"/>
          <w:sz w:val="20"/>
          <w:szCs w:val="20"/>
          <w:lang w:val="en-US"/>
        </w:rPr>
        <w:t>,</w:t>
      </w:r>
      <w:r w:rsidR="00E22B60" w:rsidRPr="00CF6765">
        <w:rPr>
          <w:rFonts w:eastAsia="Calibri"/>
          <w:sz w:val="20"/>
          <w:szCs w:val="20"/>
          <w:lang w:val="en-US"/>
        </w:rPr>
        <w:t xml:space="preserve"> </w:t>
      </w:r>
      <w:r w:rsidR="00D04694" w:rsidRPr="00CF6765">
        <w:rPr>
          <w:rFonts w:eastAsia="Calibri"/>
          <w:sz w:val="20"/>
          <w:szCs w:val="20"/>
          <w:lang w:val="en-US"/>
        </w:rPr>
        <w:t>Mr.</w:t>
      </w:r>
      <w:r w:rsidR="00D2168F" w:rsidRPr="00CF6765">
        <w:rPr>
          <w:rFonts w:eastAsia="Calibri"/>
          <w:sz w:val="20"/>
          <w:szCs w:val="20"/>
          <w:lang w:val="en-US"/>
        </w:rPr>
        <w:t xml:space="preserve"> Poblete</w:t>
      </w:r>
      <w:r w:rsidR="00E22B60" w:rsidRPr="00CF6765">
        <w:rPr>
          <w:rFonts w:eastAsia="Calibri"/>
          <w:sz w:val="20"/>
          <w:szCs w:val="20"/>
          <w:lang w:val="en-US"/>
        </w:rPr>
        <w:t xml:space="preserve"> Tapia</w:t>
      </w:r>
      <w:r w:rsidR="007C196E" w:rsidRPr="00CF6765">
        <w:rPr>
          <w:rFonts w:eastAsia="Calibri"/>
          <w:sz w:val="20"/>
          <w:szCs w:val="20"/>
          <w:lang w:val="en-US"/>
        </w:rPr>
        <w:t>’s representative requested various statements.</w:t>
      </w:r>
      <w:r w:rsidR="00E22B60" w:rsidRPr="00CF6765">
        <w:rPr>
          <w:rFonts w:eastAsia="Calibri"/>
          <w:sz w:val="20"/>
          <w:szCs w:val="20"/>
          <w:vertAlign w:val="superscript"/>
          <w:lang w:val="en-US"/>
        </w:rPr>
        <w:footnoteReference w:id="88"/>
      </w:r>
    </w:p>
    <w:p w14:paraId="07E51B25" w14:textId="6E3AEFCD" w:rsidR="00E22B60" w:rsidRPr="00CF6765" w:rsidRDefault="00E22B60" w:rsidP="00450250">
      <w:pPr>
        <w:tabs>
          <w:tab w:val="left" w:pos="630"/>
          <w:tab w:val="left" w:pos="810"/>
          <w:tab w:val="left" w:pos="1530"/>
          <w:tab w:val="left" w:pos="1620"/>
        </w:tabs>
        <w:ind w:right="13"/>
        <w:contextualSpacing/>
        <w:rPr>
          <w:rFonts w:eastAsia="Calibri"/>
          <w:sz w:val="20"/>
          <w:szCs w:val="20"/>
          <w:lang w:val="en-US"/>
        </w:rPr>
      </w:pPr>
    </w:p>
    <w:p w14:paraId="7B4F140F" w14:textId="37B935B3" w:rsidR="00E22B60" w:rsidRPr="00CF6765" w:rsidRDefault="00E15A35"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June 8,</w:t>
      </w:r>
      <w:r w:rsidR="00E22B60" w:rsidRPr="00CF6765">
        <w:rPr>
          <w:rFonts w:eastAsia="Calibri"/>
          <w:sz w:val="20"/>
          <w:szCs w:val="20"/>
          <w:lang w:val="en-US"/>
        </w:rPr>
        <w:t xml:space="preserve"> 2006</w:t>
      </w:r>
      <w:r w:rsidR="0021178D" w:rsidRPr="00CF6765">
        <w:rPr>
          <w:rFonts w:eastAsia="Calibri"/>
          <w:sz w:val="20"/>
          <w:szCs w:val="20"/>
          <w:lang w:val="en-US"/>
        </w:rPr>
        <w:t>,</w:t>
      </w:r>
      <w:r w:rsidR="00E22B60" w:rsidRPr="00CF6765">
        <w:rPr>
          <w:rFonts w:eastAsia="Calibri"/>
          <w:sz w:val="20"/>
          <w:szCs w:val="20"/>
          <w:lang w:val="en-US"/>
        </w:rPr>
        <w:t xml:space="preserve"> </w:t>
      </w:r>
      <w:r w:rsidR="003626CB" w:rsidRPr="00CF6765">
        <w:rPr>
          <w:rFonts w:eastAsia="Calibri"/>
          <w:sz w:val="20"/>
          <w:szCs w:val="20"/>
          <w:lang w:val="en-US"/>
        </w:rPr>
        <w:t xml:space="preserve">the </w:t>
      </w:r>
      <w:r w:rsidR="0064057A" w:rsidRPr="00CF6765">
        <w:rPr>
          <w:rFonts w:eastAsia="Calibri"/>
          <w:sz w:val="20"/>
          <w:szCs w:val="20"/>
          <w:lang w:val="en-US"/>
        </w:rPr>
        <w:t xml:space="preserve">Forensic </w:t>
      </w:r>
      <w:r w:rsidR="00C21120" w:rsidRPr="00CF6765">
        <w:rPr>
          <w:rFonts w:eastAsia="Calibri"/>
          <w:sz w:val="20"/>
          <w:szCs w:val="20"/>
          <w:lang w:val="en-US"/>
        </w:rPr>
        <w:t>Medicine</w:t>
      </w:r>
      <w:r w:rsidR="0064057A" w:rsidRPr="00CF6765">
        <w:rPr>
          <w:rFonts w:eastAsia="Calibri"/>
          <w:sz w:val="20"/>
          <w:szCs w:val="20"/>
          <w:lang w:val="en-US"/>
        </w:rPr>
        <w:t xml:space="preserve"> Service</w:t>
      </w:r>
      <w:r w:rsidR="00E22B60" w:rsidRPr="00CF6765">
        <w:rPr>
          <w:rFonts w:eastAsia="Calibri"/>
          <w:sz w:val="20"/>
          <w:szCs w:val="20"/>
          <w:lang w:val="en-US"/>
        </w:rPr>
        <w:t xml:space="preserve"> </w:t>
      </w:r>
      <w:r w:rsidR="003626CB" w:rsidRPr="00CF6765">
        <w:rPr>
          <w:rFonts w:eastAsia="Calibri"/>
          <w:sz w:val="20"/>
          <w:szCs w:val="20"/>
          <w:lang w:val="en-US"/>
        </w:rPr>
        <w:t>of the Government of</w:t>
      </w:r>
      <w:r w:rsidR="00671A8C" w:rsidRPr="00CF6765">
        <w:rPr>
          <w:rFonts w:eastAsia="Calibri"/>
          <w:sz w:val="20"/>
          <w:szCs w:val="20"/>
          <w:lang w:val="en-US"/>
        </w:rPr>
        <w:t xml:space="preserve"> Chile</w:t>
      </w:r>
      <w:r w:rsidR="00E22B60" w:rsidRPr="00CF6765">
        <w:rPr>
          <w:rFonts w:eastAsia="Calibri"/>
          <w:sz w:val="20"/>
          <w:szCs w:val="20"/>
          <w:lang w:val="en-US"/>
        </w:rPr>
        <w:t xml:space="preserve"> </w:t>
      </w:r>
      <w:r w:rsidR="00157698" w:rsidRPr="00CF6765">
        <w:rPr>
          <w:rFonts w:eastAsia="Calibri"/>
          <w:sz w:val="20"/>
          <w:szCs w:val="20"/>
          <w:lang w:val="en-US"/>
        </w:rPr>
        <w:t xml:space="preserve">forwarded </w:t>
      </w:r>
      <w:r w:rsidRPr="00CF6765">
        <w:rPr>
          <w:rFonts w:eastAsia="Calibri"/>
          <w:sz w:val="20"/>
          <w:szCs w:val="20"/>
          <w:lang w:val="en-US"/>
        </w:rPr>
        <w:t>Forensic Report No.</w:t>
      </w:r>
      <w:r w:rsidR="00E22B60" w:rsidRPr="00CF6765">
        <w:rPr>
          <w:rFonts w:eastAsia="Calibri"/>
          <w:sz w:val="20"/>
          <w:szCs w:val="20"/>
          <w:lang w:val="en-US"/>
        </w:rPr>
        <w:t xml:space="preserve"> 140-2005, </w:t>
      </w:r>
      <w:r w:rsidRPr="00CF6765">
        <w:rPr>
          <w:rFonts w:eastAsia="Calibri"/>
          <w:sz w:val="20"/>
          <w:szCs w:val="20"/>
          <w:lang w:val="en-US"/>
        </w:rPr>
        <w:t xml:space="preserve">prepared based on the medical record, which concluded that Mr. Poblete </w:t>
      </w:r>
      <w:proofErr w:type="spellStart"/>
      <w:r w:rsidRPr="00CF6765">
        <w:rPr>
          <w:rFonts w:eastAsia="Calibri"/>
          <w:sz w:val="20"/>
          <w:szCs w:val="20"/>
          <w:lang w:val="en-US"/>
        </w:rPr>
        <w:t>Vilches</w:t>
      </w:r>
      <w:proofErr w:type="spellEnd"/>
      <w:r w:rsidRPr="00CF6765">
        <w:rPr>
          <w:rFonts w:eastAsia="Calibri"/>
          <w:sz w:val="20"/>
          <w:szCs w:val="20"/>
          <w:lang w:val="en-US"/>
        </w:rPr>
        <w:t xml:space="preserve">, who suffered from type 2 diabetes, “was hospitalized on two occasions in the space of three weeks for an acute pulmonary edema and high-frequency atrial fibrillation caused by ischemic heart disease and, in addition, an extensive cutaneous infection.” It also indicated that “all these </w:t>
      </w:r>
      <w:r w:rsidR="0040464C" w:rsidRPr="00CF6765">
        <w:rPr>
          <w:rFonts w:eastAsia="Calibri"/>
          <w:sz w:val="20"/>
          <w:szCs w:val="20"/>
          <w:lang w:val="en-US" w:eastAsia="en-US"/>
        </w:rPr>
        <w:t>medical conditions</w:t>
      </w:r>
      <w:r w:rsidR="0040464C" w:rsidRPr="00CF6765">
        <w:rPr>
          <w:rFonts w:eastAsia="Calibri"/>
          <w:sz w:val="20"/>
          <w:szCs w:val="20"/>
          <w:lang w:val="en-US"/>
        </w:rPr>
        <w:t xml:space="preserve"> </w:t>
      </w:r>
      <w:r w:rsidRPr="00CF6765">
        <w:rPr>
          <w:rFonts w:eastAsia="Calibri"/>
          <w:sz w:val="20"/>
          <w:szCs w:val="20"/>
          <w:lang w:val="en-US"/>
        </w:rPr>
        <w:t>were duly diagnosed and, on account of their seriousness, were fully treated, first in the [Surgical] ICU and then in the medical service.” The Forensic Report also noted that the second admission was due to “septic shock and multiorgan failure owing to a hospital-</w:t>
      </w:r>
      <w:r w:rsidR="00B328D7" w:rsidRPr="00CF6765">
        <w:rPr>
          <w:rFonts w:eastAsia="Calibri"/>
          <w:sz w:val="20"/>
          <w:szCs w:val="20"/>
          <w:lang w:val="en-US"/>
        </w:rPr>
        <w:t>acquired</w:t>
      </w:r>
      <w:r w:rsidRPr="00CF6765">
        <w:rPr>
          <w:rFonts w:eastAsia="Calibri"/>
          <w:sz w:val="20"/>
          <w:szCs w:val="20"/>
          <w:lang w:val="en-US"/>
        </w:rPr>
        <w:t xml:space="preserve"> pneumonia, a common situation following a previous hospital stay” and that, “given his advanced age, pre-existing </w:t>
      </w:r>
      <w:r w:rsidR="0040464C" w:rsidRPr="00CF6765">
        <w:rPr>
          <w:rFonts w:eastAsia="Calibri"/>
          <w:sz w:val="20"/>
          <w:szCs w:val="20"/>
          <w:lang w:val="en-US" w:eastAsia="en-US"/>
        </w:rPr>
        <w:t>medical conditions</w:t>
      </w:r>
      <w:r w:rsidRPr="00CF6765">
        <w:rPr>
          <w:rFonts w:eastAsia="Calibri"/>
          <w:sz w:val="20"/>
          <w:szCs w:val="20"/>
          <w:lang w:val="en-US"/>
        </w:rPr>
        <w:t xml:space="preserve"> and multiple risk factors </w:t>
      </w:r>
      <w:r w:rsidR="00157698" w:rsidRPr="00CF6765">
        <w:rPr>
          <w:rFonts w:eastAsia="Calibri"/>
          <w:sz w:val="20"/>
          <w:szCs w:val="20"/>
          <w:lang w:val="en-US"/>
        </w:rPr>
        <w:t>resulted in</w:t>
      </w:r>
      <w:r w:rsidRPr="00CF6765">
        <w:rPr>
          <w:rFonts w:eastAsia="Calibri"/>
          <w:sz w:val="20"/>
          <w:szCs w:val="20"/>
          <w:lang w:val="en-US"/>
        </w:rPr>
        <w:t xml:space="preserve"> his death despite the numerous and appropriate therapeutic measures he was given.” Accordingly, the experts found “that there was no</w:t>
      </w:r>
      <w:r w:rsidR="00B20F91" w:rsidRPr="00CF6765">
        <w:rPr>
          <w:rFonts w:eastAsia="Calibri"/>
          <w:sz w:val="20"/>
          <w:szCs w:val="20"/>
          <w:lang w:val="en-US"/>
        </w:rPr>
        <w:t xml:space="preserve"> violation of the rules of medical practice</w:t>
      </w:r>
      <w:r w:rsidR="00E0457C" w:rsidRPr="00CF6765">
        <w:rPr>
          <w:rFonts w:eastAsia="Calibri"/>
          <w:i/>
          <w:sz w:val="20"/>
          <w:szCs w:val="20"/>
          <w:lang w:val="en-US"/>
        </w:rPr>
        <w:t>.</w:t>
      </w:r>
      <w:r w:rsidR="00713D68" w:rsidRPr="00CF6765">
        <w:rPr>
          <w:rFonts w:eastAsia="Calibri"/>
          <w:sz w:val="20"/>
          <w:szCs w:val="20"/>
          <w:lang w:val="en-US"/>
        </w:rPr>
        <w:t>”</w:t>
      </w:r>
      <w:r w:rsidR="00E22B60" w:rsidRPr="00CF6765">
        <w:rPr>
          <w:rFonts w:eastAsia="Calibri"/>
          <w:sz w:val="20"/>
          <w:szCs w:val="20"/>
          <w:vertAlign w:val="superscript"/>
          <w:lang w:val="en-US"/>
        </w:rPr>
        <w:footnoteReference w:id="89"/>
      </w:r>
    </w:p>
    <w:p w14:paraId="23C17771" w14:textId="77777777" w:rsidR="00E22B60" w:rsidRPr="00CF6765" w:rsidRDefault="00E22B60" w:rsidP="00E22B60">
      <w:pPr>
        <w:tabs>
          <w:tab w:val="left" w:pos="630"/>
          <w:tab w:val="left" w:pos="810"/>
          <w:tab w:val="left" w:pos="1530"/>
          <w:tab w:val="left" w:pos="1620"/>
        </w:tabs>
        <w:ind w:right="-360"/>
        <w:contextualSpacing/>
        <w:rPr>
          <w:rFonts w:eastAsia="Calibri"/>
          <w:sz w:val="20"/>
          <w:szCs w:val="20"/>
          <w:lang w:val="en-US"/>
        </w:rPr>
      </w:pPr>
    </w:p>
    <w:p w14:paraId="500FE46B" w14:textId="422DBCE9" w:rsidR="00E22B60" w:rsidRPr="00CF6765" w:rsidRDefault="00E15A35"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April 5, June 27 and September 5,</w:t>
      </w:r>
      <w:r w:rsidR="00E22B60" w:rsidRPr="00CF6765">
        <w:rPr>
          <w:rFonts w:eastAsia="Calibri"/>
          <w:sz w:val="20"/>
          <w:szCs w:val="20"/>
          <w:lang w:val="en-US"/>
        </w:rPr>
        <w:t xml:space="preserve"> 2006</w:t>
      </w:r>
      <w:r w:rsidRPr="00CF6765">
        <w:rPr>
          <w:rFonts w:eastAsia="Calibri"/>
          <w:sz w:val="20"/>
          <w:szCs w:val="20"/>
          <w:lang w:val="en-US"/>
        </w:rPr>
        <w:t>,</w:t>
      </w:r>
      <w:r w:rsidR="00E22B60" w:rsidRPr="00CF6765">
        <w:rPr>
          <w:rFonts w:eastAsia="Calibri"/>
          <w:sz w:val="20"/>
          <w:szCs w:val="20"/>
          <w:lang w:val="en-US"/>
        </w:rPr>
        <w:t xml:space="preserve"> </w:t>
      </w:r>
      <w:r w:rsidR="00E0457C" w:rsidRPr="00CF6765">
        <w:rPr>
          <w:rFonts w:eastAsia="Calibri"/>
          <w:sz w:val="20"/>
          <w:szCs w:val="20"/>
          <w:lang w:val="en-US"/>
        </w:rPr>
        <w:t>Dr.</w:t>
      </w:r>
      <w:r w:rsidR="00E22B60" w:rsidRPr="00CF6765">
        <w:rPr>
          <w:rFonts w:eastAsia="Calibri"/>
          <w:sz w:val="20"/>
          <w:szCs w:val="20"/>
          <w:lang w:val="en-US"/>
        </w:rPr>
        <w:t xml:space="preserve"> María Carolina </w:t>
      </w:r>
      <w:proofErr w:type="spellStart"/>
      <w:r w:rsidR="00E22B60" w:rsidRPr="00CF6765">
        <w:rPr>
          <w:rFonts w:eastAsia="Calibri"/>
          <w:sz w:val="20"/>
          <w:szCs w:val="20"/>
          <w:lang w:val="en-US"/>
        </w:rPr>
        <w:t>Chacón</w:t>
      </w:r>
      <w:proofErr w:type="spellEnd"/>
      <w:r w:rsidR="00E22B60" w:rsidRPr="00CF6765">
        <w:rPr>
          <w:rFonts w:eastAsia="Calibri"/>
          <w:sz w:val="20"/>
          <w:szCs w:val="20"/>
          <w:lang w:val="en-US"/>
        </w:rPr>
        <w:t xml:space="preserve"> Fernández</w:t>
      </w:r>
      <w:r w:rsidR="00E0457C" w:rsidRPr="00CF6765">
        <w:rPr>
          <w:rFonts w:eastAsia="Calibri"/>
          <w:sz w:val="20"/>
          <w:szCs w:val="20"/>
          <w:lang w:val="en-US"/>
        </w:rPr>
        <w:t xml:space="preserve">’s representative filed motions for dismissal of the case against her </w:t>
      </w:r>
      <w:r w:rsidR="002D729E" w:rsidRPr="00CF6765">
        <w:rPr>
          <w:rFonts w:eastAsia="Calibri"/>
          <w:sz w:val="20"/>
          <w:szCs w:val="20"/>
          <w:lang w:val="en-US"/>
        </w:rPr>
        <w:t>before the First Civil Court</w:t>
      </w:r>
      <w:r w:rsidR="00E22B60" w:rsidRPr="00CF6765">
        <w:rPr>
          <w:rFonts w:eastAsia="Calibri"/>
          <w:sz w:val="20"/>
          <w:szCs w:val="20"/>
          <w:lang w:val="en-US"/>
        </w:rPr>
        <w:t xml:space="preserve"> </w:t>
      </w:r>
      <w:r w:rsidR="00E0457C" w:rsidRPr="00CF6765">
        <w:rPr>
          <w:rFonts w:eastAsia="Calibri"/>
          <w:sz w:val="20"/>
          <w:szCs w:val="20"/>
          <w:lang w:val="en-US"/>
        </w:rPr>
        <w:t xml:space="preserve">owing to the death </w:t>
      </w:r>
      <w:r w:rsidR="00D04694" w:rsidRPr="00CF6765">
        <w:rPr>
          <w:rFonts w:eastAsia="Calibri"/>
          <w:sz w:val="20"/>
          <w:szCs w:val="20"/>
          <w:lang w:val="en-US"/>
        </w:rPr>
        <w:t>of Vinicio</w:t>
      </w:r>
      <w:r w:rsidR="00E22B60" w:rsidRPr="00CF6765">
        <w:rPr>
          <w:rFonts w:eastAsia="Calibri"/>
          <w:sz w:val="20"/>
          <w:szCs w:val="20"/>
          <w:lang w:val="en-US"/>
        </w:rPr>
        <w:t xml:space="preserve"> Poblete </w:t>
      </w:r>
      <w:proofErr w:type="spellStart"/>
      <w:r w:rsidR="00E22B60" w:rsidRPr="00CF6765">
        <w:rPr>
          <w:rFonts w:eastAsia="Calibri"/>
          <w:sz w:val="20"/>
          <w:szCs w:val="20"/>
          <w:lang w:val="en-US"/>
        </w:rPr>
        <w:t>Vilches</w:t>
      </w:r>
      <w:proofErr w:type="spellEnd"/>
      <w:r w:rsidR="00E0457C" w:rsidRPr="00CF6765">
        <w:rPr>
          <w:rFonts w:eastAsia="Calibri"/>
          <w:sz w:val="20"/>
          <w:szCs w:val="20"/>
          <w:lang w:val="en-US"/>
        </w:rPr>
        <w:t>,</w:t>
      </w:r>
      <w:r w:rsidR="00E22B60" w:rsidRPr="00CF6765">
        <w:rPr>
          <w:rStyle w:val="Refdenotaalpie"/>
          <w:rFonts w:eastAsia="Calibri"/>
          <w:sz w:val="20"/>
          <w:szCs w:val="20"/>
          <w:lang w:val="en-US"/>
        </w:rPr>
        <w:footnoteReference w:id="90"/>
      </w:r>
      <w:r w:rsidR="00E0457C" w:rsidRPr="00CF6765">
        <w:rPr>
          <w:rFonts w:eastAsia="Calibri"/>
          <w:sz w:val="20"/>
          <w:szCs w:val="20"/>
          <w:lang w:val="en-US"/>
        </w:rPr>
        <w:t xml:space="preserve"> which were denied.</w:t>
      </w:r>
      <w:r w:rsidR="00E22B60" w:rsidRPr="00CF6765">
        <w:rPr>
          <w:rFonts w:eastAsia="Calibri"/>
          <w:sz w:val="20"/>
          <w:szCs w:val="20"/>
          <w:vertAlign w:val="superscript"/>
          <w:lang w:val="en-US"/>
        </w:rPr>
        <w:footnoteReference w:id="91"/>
      </w:r>
      <w:r w:rsidR="00E22B60" w:rsidRPr="00CF6765">
        <w:rPr>
          <w:rFonts w:eastAsia="Calibri"/>
          <w:sz w:val="20"/>
          <w:szCs w:val="20"/>
          <w:lang w:val="en-US"/>
        </w:rPr>
        <w:t xml:space="preserve"> </w:t>
      </w:r>
      <w:r w:rsidR="00E0457C" w:rsidRPr="00CF6765">
        <w:rPr>
          <w:rFonts w:eastAsia="Calibri"/>
          <w:sz w:val="20"/>
          <w:szCs w:val="20"/>
          <w:lang w:val="en-US"/>
        </w:rPr>
        <w:t>On November 21,</w:t>
      </w:r>
      <w:r w:rsidR="00E22B60" w:rsidRPr="00CF6765">
        <w:rPr>
          <w:rFonts w:eastAsia="Calibri"/>
          <w:sz w:val="20"/>
          <w:szCs w:val="20"/>
          <w:lang w:val="en-US"/>
        </w:rPr>
        <w:t xml:space="preserve"> 2006, </w:t>
      </w:r>
      <w:r w:rsidR="00E0457C" w:rsidRPr="00CF6765">
        <w:rPr>
          <w:rFonts w:eastAsia="Calibri"/>
          <w:sz w:val="20"/>
          <w:szCs w:val="20"/>
          <w:lang w:val="en-US"/>
        </w:rPr>
        <w:t xml:space="preserve">Dr. María Carolina </w:t>
      </w:r>
      <w:proofErr w:type="spellStart"/>
      <w:r w:rsidR="00E0457C" w:rsidRPr="00CF6765">
        <w:rPr>
          <w:rFonts w:eastAsia="Calibri"/>
          <w:sz w:val="20"/>
          <w:szCs w:val="20"/>
          <w:lang w:val="en-US"/>
        </w:rPr>
        <w:t>Chacón</w:t>
      </w:r>
      <w:proofErr w:type="spellEnd"/>
      <w:r w:rsidR="00E0457C" w:rsidRPr="00CF6765">
        <w:rPr>
          <w:rFonts w:eastAsia="Calibri"/>
          <w:sz w:val="20"/>
          <w:szCs w:val="20"/>
          <w:lang w:val="en-US"/>
        </w:rPr>
        <w:t xml:space="preserve"> Fernández’s representative again filed a motion for the dismissal of this case. On November 22, 2006, </w:t>
      </w:r>
      <w:r w:rsidR="002D729E" w:rsidRPr="00CF6765">
        <w:rPr>
          <w:rFonts w:eastAsia="Calibri"/>
          <w:sz w:val="20"/>
          <w:szCs w:val="20"/>
          <w:lang w:val="en-US"/>
        </w:rPr>
        <w:t>the First Civil Court</w:t>
      </w:r>
      <w:r w:rsidR="00E22B60" w:rsidRPr="00CF6765">
        <w:rPr>
          <w:rFonts w:eastAsia="Calibri"/>
          <w:sz w:val="20"/>
          <w:szCs w:val="20"/>
          <w:lang w:val="en-US"/>
        </w:rPr>
        <w:t xml:space="preserve"> </w:t>
      </w:r>
      <w:r w:rsidR="00E535D5" w:rsidRPr="00CF6765">
        <w:rPr>
          <w:rFonts w:eastAsia="Calibri"/>
          <w:sz w:val="20"/>
          <w:szCs w:val="20"/>
          <w:lang w:val="en-US"/>
        </w:rPr>
        <w:t>of Puente Alto</w:t>
      </w:r>
      <w:r w:rsidR="00E22B60" w:rsidRPr="00CF6765">
        <w:rPr>
          <w:rFonts w:eastAsia="Calibri"/>
          <w:sz w:val="20"/>
          <w:szCs w:val="20"/>
          <w:lang w:val="en-US"/>
        </w:rPr>
        <w:t xml:space="preserve"> </w:t>
      </w:r>
      <w:r w:rsidR="00E0457C" w:rsidRPr="00CF6765">
        <w:rPr>
          <w:rFonts w:eastAsia="Calibri"/>
          <w:sz w:val="20"/>
          <w:szCs w:val="20"/>
          <w:lang w:val="en-US"/>
        </w:rPr>
        <w:t>finally declared the said preliminary proceedings closed.</w:t>
      </w:r>
      <w:r w:rsidR="00E22B60" w:rsidRPr="00CF6765">
        <w:rPr>
          <w:rFonts w:eastAsia="Calibri"/>
          <w:sz w:val="20"/>
          <w:szCs w:val="20"/>
          <w:vertAlign w:val="superscript"/>
          <w:lang w:val="en-US"/>
        </w:rPr>
        <w:footnoteReference w:id="92"/>
      </w:r>
      <w:r w:rsidR="00E22B60" w:rsidRPr="00CF6765">
        <w:rPr>
          <w:rFonts w:eastAsia="Calibri"/>
          <w:sz w:val="20"/>
          <w:szCs w:val="20"/>
          <w:lang w:val="en-US"/>
        </w:rPr>
        <w:t xml:space="preserve"> </w:t>
      </w:r>
    </w:p>
    <w:p w14:paraId="0CBAC9D2" w14:textId="77777777" w:rsidR="00E22B60" w:rsidRPr="00CF6765" w:rsidRDefault="00E22B60" w:rsidP="00450250">
      <w:pPr>
        <w:tabs>
          <w:tab w:val="left" w:pos="630"/>
          <w:tab w:val="left" w:pos="810"/>
          <w:tab w:val="left" w:pos="1530"/>
          <w:tab w:val="left" w:pos="1620"/>
        </w:tabs>
        <w:ind w:right="13"/>
        <w:contextualSpacing/>
        <w:rPr>
          <w:rFonts w:eastAsia="Calibri"/>
          <w:sz w:val="20"/>
          <w:szCs w:val="20"/>
          <w:lang w:val="en-US"/>
        </w:rPr>
      </w:pPr>
    </w:p>
    <w:p w14:paraId="74DD34CF" w14:textId="658087F4" w:rsidR="00E22B60" w:rsidRPr="00CF6765" w:rsidRDefault="00E0457C"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w:t>
      </w:r>
      <w:r w:rsidR="00E22B60" w:rsidRPr="00CF6765">
        <w:rPr>
          <w:rFonts w:eastAsia="Calibri"/>
          <w:sz w:val="20"/>
          <w:szCs w:val="20"/>
          <w:lang w:val="en-US"/>
        </w:rPr>
        <w:t xml:space="preserve"> </w:t>
      </w:r>
      <w:r w:rsidR="00D2168F" w:rsidRPr="00CF6765">
        <w:rPr>
          <w:rFonts w:eastAsia="Calibri"/>
          <w:sz w:val="20"/>
          <w:szCs w:val="20"/>
          <w:lang w:val="en-US"/>
        </w:rPr>
        <w:t>December 7,</w:t>
      </w:r>
      <w:r w:rsidR="00E22B60" w:rsidRPr="00CF6765">
        <w:rPr>
          <w:rFonts w:eastAsia="Calibri"/>
          <w:sz w:val="20"/>
          <w:szCs w:val="20"/>
          <w:lang w:val="en-US"/>
        </w:rPr>
        <w:t xml:space="preserve"> 2006, </w:t>
      </w:r>
      <w:r w:rsidRPr="00CF6765">
        <w:rPr>
          <w:rFonts w:eastAsia="Calibri"/>
          <w:sz w:val="20"/>
          <w:szCs w:val="20"/>
          <w:lang w:val="en-US"/>
        </w:rPr>
        <w:t xml:space="preserve">Dr. </w:t>
      </w:r>
      <w:proofErr w:type="spellStart"/>
      <w:r w:rsidRPr="00CF6765">
        <w:rPr>
          <w:rFonts w:eastAsia="Calibri"/>
          <w:sz w:val="20"/>
          <w:szCs w:val="20"/>
          <w:lang w:val="en-US"/>
        </w:rPr>
        <w:t>Chacón</w:t>
      </w:r>
      <w:proofErr w:type="spellEnd"/>
      <w:r w:rsidRPr="00CF6765">
        <w:rPr>
          <w:rFonts w:eastAsia="Calibri"/>
          <w:sz w:val="20"/>
          <w:szCs w:val="20"/>
          <w:lang w:val="en-US"/>
        </w:rPr>
        <w:t xml:space="preserve"> Fernández’s representative asked the First Civil Court of Puente Alto to bring formal charges or to order the temporary or permanent dismissal of the case against her for the</w:t>
      </w:r>
      <w:r w:rsidR="00E22B60" w:rsidRPr="00CF6765">
        <w:rPr>
          <w:rFonts w:eastAsia="Calibri"/>
          <w:sz w:val="20"/>
          <w:szCs w:val="20"/>
          <w:lang w:val="en-US"/>
        </w:rPr>
        <w:t xml:space="preserve"> </w:t>
      </w:r>
      <w:r w:rsidR="00C27684" w:rsidRPr="00CF6765">
        <w:rPr>
          <w:rFonts w:eastAsia="Calibri"/>
          <w:sz w:val="20"/>
          <w:szCs w:val="20"/>
          <w:lang w:val="en-US"/>
        </w:rPr>
        <w:t xml:space="preserve">quasi-delict </w:t>
      </w:r>
      <w:r w:rsidRPr="00CF6765">
        <w:rPr>
          <w:rFonts w:eastAsia="Calibri"/>
          <w:sz w:val="20"/>
          <w:szCs w:val="20"/>
          <w:lang w:val="en-US"/>
        </w:rPr>
        <w:t>of homicide.</w:t>
      </w:r>
      <w:r w:rsidR="00E22B60" w:rsidRPr="00CF6765">
        <w:rPr>
          <w:rFonts w:eastAsia="Calibri"/>
          <w:sz w:val="20"/>
          <w:szCs w:val="20"/>
          <w:vertAlign w:val="superscript"/>
          <w:lang w:val="en-US"/>
        </w:rPr>
        <w:footnoteReference w:id="93"/>
      </w:r>
      <w:r w:rsidR="00E22B60" w:rsidRPr="00CF6765">
        <w:rPr>
          <w:rFonts w:eastAsia="Calibri"/>
          <w:sz w:val="20"/>
          <w:szCs w:val="20"/>
          <w:lang w:val="en-US"/>
        </w:rPr>
        <w:t xml:space="preserve"> </w:t>
      </w:r>
      <w:r w:rsidRPr="00CF6765">
        <w:rPr>
          <w:rFonts w:eastAsia="Calibri"/>
          <w:sz w:val="20"/>
          <w:szCs w:val="20"/>
          <w:lang w:val="en-US"/>
        </w:rPr>
        <w:t xml:space="preserve">In response, on </w:t>
      </w:r>
      <w:r w:rsidR="00B328D7" w:rsidRPr="00CF6765">
        <w:rPr>
          <w:rFonts w:eastAsia="Calibri"/>
          <w:sz w:val="20"/>
          <w:szCs w:val="20"/>
          <w:lang w:val="en-US"/>
        </w:rPr>
        <w:t>December</w:t>
      </w:r>
      <w:r w:rsidRPr="00CF6765">
        <w:rPr>
          <w:rFonts w:eastAsia="Calibri"/>
          <w:sz w:val="20"/>
          <w:szCs w:val="20"/>
          <w:lang w:val="en-US"/>
        </w:rPr>
        <w:t xml:space="preserve"> 11, </w:t>
      </w:r>
      <w:r w:rsidR="00E22B60" w:rsidRPr="00CF6765">
        <w:rPr>
          <w:rFonts w:eastAsia="Calibri"/>
          <w:sz w:val="20"/>
          <w:szCs w:val="20"/>
          <w:lang w:val="en-US"/>
        </w:rPr>
        <w:t>2006</w:t>
      </w:r>
      <w:r w:rsidRPr="00CF6765">
        <w:rPr>
          <w:rFonts w:eastAsia="Calibri"/>
          <w:sz w:val="20"/>
          <w:szCs w:val="20"/>
          <w:lang w:val="en-US"/>
        </w:rPr>
        <w:t xml:space="preserve">, the First Civil </w:t>
      </w:r>
      <w:r w:rsidRPr="00CF6765">
        <w:rPr>
          <w:rFonts w:eastAsia="Calibri"/>
          <w:sz w:val="20"/>
          <w:szCs w:val="20"/>
          <w:lang w:val="en-US"/>
        </w:rPr>
        <w:lastRenderedPageBreak/>
        <w:t>Court decided that “the existence of the alleged offense had not been sufficient</w:t>
      </w:r>
      <w:r w:rsidR="00A5404C" w:rsidRPr="00CF6765">
        <w:rPr>
          <w:rFonts w:eastAsia="Calibri"/>
          <w:sz w:val="20"/>
          <w:szCs w:val="20"/>
          <w:lang w:val="en-US"/>
        </w:rPr>
        <w:t>ly</w:t>
      </w:r>
      <w:r w:rsidRPr="00CF6765">
        <w:rPr>
          <w:rFonts w:eastAsia="Calibri"/>
          <w:sz w:val="20"/>
          <w:szCs w:val="20"/>
          <w:lang w:val="en-US"/>
        </w:rPr>
        <w:t xml:space="preserve"> proved in the proceedings” and declared that “this case is provisionally dismissed until new and better evidence </w:t>
      </w:r>
      <w:r w:rsidR="0064057A" w:rsidRPr="00CF6765">
        <w:rPr>
          <w:rFonts w:eastAsia="Calibri"/>
          <w:sz w:val="20"/>
          <w:szCs w:val="20"/>
          <w:lang w:val="en-US"/>
        </w:rPr>
        <w:t>if collected by the investigation.</w:t>
      </w:r>
      <w:r w:rsidR="00E22B60" w:rsidRPr="00CF6765">
        <w:rPr>
          <w:rFonts w:eastAsia="Calibri"/>
          <w:sz w:val="20"/>
          <w:szCs w:val="20"/>
          <w:lang w:val="en-US"/>
        </w:rPr>
        <w:t>”</w:t>
      </w:r>
      <w:r w:rsidR="00E22B60" w:rsidRPr="00CF6765">
        <w:rPr>
          <w:rFonts w:eastAsia="Calibri"/>
          <w:sz w:val="20"/>
          <w:szCs w:val="20"/>
          <w:vertAlign w:val="superscript"/>
          <w:lang w:val="en-US"/>
        </w:rPr>
        <w:footnoteReference w:id="94"/>
      </w:r>
      <w:r w:rsidR="00E22B60" w:rsidRPr="00CF6765">
        <w:rPr>
          <w:rFonts w:eastAsia="Calibri"/>
          <w:sz w:val="20"/>
          <w:szCs w:val="20"/>
          <w:lang w:val="en-US"/>
        </w:rPr>
        <w:t xml:space="preserve"> </w:t>
      </w:r>
    </w:p>
    <w:p w14:paraId="653FD9E4" w14:textId="77777777" w:rsidR="00E22B60" w:rsidRPr="00CF6765" w:rsidRDefault="00E22B60" w:rsidP="00450250">
      <w:pPr>
        <w:tabs>
          <w:tab w:val="left" w:pos="630"/>
          <w:tab w:val="left" w:pos="810"/>
          <w:tab w:val="left" w:pos="1530"/>
          <w:tab w:val="left" w:pos="1620"/>
        </w:tabs>
        <w:ind w:right="13"/>
        <w:rPr>
          <w:rFonts w:eastAsia="Calibri"/>
          <w:sz w:val="20"/>
          <w:szCs w:val="20"/>
          <w:lang w:val="en-US"/>
        </w:rPr>
      </w:pPr>
    </w:p>
    <w:p w14:paraId="5D96E0DC" w14:textId="2669168F" w:rsidR="00E22B60" w:rsidRPr="00CF6765" w:rsidRDefault="00C21120"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January 29,</w:t>
      </w:r>
      <w:r w:rsidR="00E22B60" w:rsidRPr="00CF6765">
        <w:rPr>
          <w:rFonts w:eastAsia="Calibri"/>
          <w:sz w:val="20"/>
          <w:szCs w:val="20"/>
          <w:lang w:val="en-US"/>
        </w:rPr>
        <w:t xml:space="preserve"> 2007</w:t>
      </w:r>
      <w:r w:rsidR="00A83894" w:rsidRPr="00CF6765">
        <w:rPr>
          <w:rFonts w:eastAsia="Calibri"/>
          <w:sz w:val="20"/>
          <w:szCs w:val="20"/>
          <w:lang w:val="en-US"/>
        </w:rPr>
        <w:t>,</w:t>
      </w:r>
      <w:r w:rsidR="00E22B60" w:rsidRPr="00CF6765">
        <w:rPr>
          <w:rFonts w:eastAsia="Calibri"/>
          <w:sz w:val="20"/>
          <w:szCs w:val="20"/>
          <w:lang w:val="en-US"/>
        </w:rPr>
        <w:t xml:space="preserve"> </w:t>
      </w:r>
      <w:r w:rsidR="00D04694" w:rsidRPr="00CF6765">
        <w:rPr>
          <w:rFonts w:eastAsia="Calibri"/>
          <w:sz w:val="20"/>
          <w:szCs w:val="20"/>
          <w:lang w:val="en-US"/>
        </w:rPr>
        <w:t>Mr.</w:t>
      </w:r>
      <w:r w:rsidR="00D2168F" w:rsidRPr="00CF6765">
        <w:rPr>
          <w:rFonts w:eastAsia="Calibri"/>
          <w:sz w:val="20"/>
          <w:szCs w:val="20"/>
          <w:lang w:val="en-US"/>
        </w:rPr>
        <w:t xml:space="preserve"> Poblete</w:t>
      </w:r>
      <w:r w:rsidR="00E22B60" w:rsidRPr="00CF6765">
        <w:rPr>
          <w:rFonts w:eastAsia="Calibri"/>
          <w:sz w:val="20"/>
          <w:szCs w:val="20"/>
          <w:lang w:val="en-US"/>
        </w:rPr>
        <w:t xml:space="preserve"> Tapia</w:t>
      </w:r>
      <w:r w:rsidRPr="00CF6765">
        <w:rPr>
          <w:rFonts w:eastAsia="Calibri"/>
          <w:sz w:val="20"/>
          <w:szCs w:val="20"/>
          <w:lang w:val="en-US"/>
        </w:rPr>
        <w:t xml:space="preserve">’s representative requested the reopening of the preliminary investigation arguing that “the investigation undertaken previously […] lacked important background details directly related to the case, which had not been taken into consideration because </w:t>
      </w:r>
      <w:r w:rsidR="00A5404C" w:rsidRPr="00CF6765">
        <w:rPr>
          <w:rFonts w:eastAsia="Calibri"/>
          <w:sz w:val="20"/>
          <w:szCs w:val="20"/>
          <w:lang w:val="en-US"/>
        </w:rPr>
        <w:t xml:space="preserve">the court had not obtained them, </w:t>
      </w:r>
      <w:r w:rsidRPr="00CF6765">
        <w:rPr>
          <w:rFonts w:eastAsia="Calibri"/>
          <w:sz w:val="20"/>
          <w:szCs w:val="20"/>
          <w:lang w:val="en-US"/>
        </w:rPr>
        <w:t xml:space="preserve">despite having been requested </w:t>
      </w:r>
      <w:r w:rsidR="00A5404C" w:rsidRPr="00CF6765">
        <w:rPr>
          <w:rFonts w:eastAsia="Calibri"/>
          <w:sz w:val="20"/>
          <w:szCs w:val="20"/>
          <w:lang w:val="en-US"/>
        </w:rPr>
        <w:t xml:space="preserve">to do so </w:t>
      </w:r>
      <w:r w:rsidR="00B328D7" w:rsidRPr="00CF6765">
        <w:rPr>
          <w:rFonts w:eastAsia="Calibri"/>
          <w:sz w:val="20"/>
          <w:szCs w:val="20"/>
          <w:lang w:val="en-US"/>
        </w:rPr>
        <w:t>opportunely</w:t>
      </w:r>
      <w:r w:rsidRPr="00CF6765">
        <w:rPr>
          <w:rFonts w:eastAsia="Calibri"/>
          <w:sz w:val="20"/>
          <w:szCs w:val="20"/>
          <w:lang w:val="en-US"/>
        </w:rPr>
        <w:t xml:space="preserve"> during the proceeding</w:t>
      </w:r>
      <w:r w:rsidR="00A5404C" w:rsidRPr="00CF6765">
        <w:rPr>
          <w:rFonts w:eastAsia="Calibri"/>
          <w:sz w:val="20"/>
          <w:szCs w:val="20"/>
          <w:lang w:val="en-US"/>
        </w:rPr>
        <w:t>s</w:t>
      </w:r>
      <w:r w:rsidRPr="00CF6765">
        <w:rPr>
          <w:rFonts w:eastAsia="Calibri"/>
          <w:sz w:val="20"/>
          <w:szCs w:val="20"/>
          <w:lang w:val="en-US"/>
        </w:rPr>
        <w:t>” and again requested additional procedures</w:t>
      </w:r>
      <w:r w:rsidR="00A5404C" w:rsidRPr="00CF6765">
        <w:rPr>
          <w:rFonts w:eastAsia="Calibri"/>
          <w:sz w:val="20"/>
          <w:szCs w:val="20"/>
          <w:lang w:val="en-US"/>
        </w:rPr>
        <w:t>,</w:t>
      </w:r>
      <w:r w:rsidRPr="00CF6765">
        <w:rPr>
          <w:rFonts w:eastAsia="Calibri"/>
          <w:sz w:val="20"/>
          <w:szCs w:val="20"/>
          <w:lang w:val="en-US"/>
        </w:rPr>
        <w:t xml:space="preserve"> including the exhumation of </w:t>
      </w:r>
      <w:r w:rsidR="00D04694" w:rsidRPr="00CF6765">
        <w:rPr>
          <w:rFonts w:eastAsia="Calibri"/>
          <w:sz w:val="20"/>
          <w:szCs w:val="20"/>
          <w:lang w:val="en-US"/>
        </w:rPr>
        <w:t>Mr.</w:t>
      </w:r>
      <w:r w:rsidR="00D2168F" w:rsidRPr="00CF6765">
        <w:rPr>
          <w:rFonts w:eastAsia="Calibri"/>
          <w:sz w:val="20"/>
          <w:szCs w:val="20"/>
          <w:lang w:val="en-US"/>
        </w:rPr>
        <w:t xml:space="preserve">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A5404C" w:rsidRPr="00CF6765">
        <w:rPr>
          <w:rFonts w:eastAsia="Calibri"/>
          <w:sz w:val="20"/>
          <w:szCs w:val="20"/>
          <w:lang w:val="en-US"/>
        </w:rPr>
        <w:t>,</w:t>
      </w:r>
      <w:r w:rsidR="00E22B60" w:rsidRPr="00CF6765">
        <w:rPr>
          <w:rFonts w:eastAsia="Calibri"/>
          <w:sz w:val="20"/>
          <w:szCs w:val="20"/>
          <w:vertAlign w:val="superscript"/>
          <w:lang w:val="en-US"/>
        </w:rPr>
        <w:t xml:space="preserve"> </w:t>
      </w:r>
      <w:r w:rsidRPr="00CF6765">
        <w:rPr>
          <w:rFonts w:eastAsia="Calibri"/>
          <w:sz w:val="20"/>
          <w:szCs w:val="20"/>
          <w:lang w:val="en-US"/>
        </w:rPr>
        <w:t>in order to clarify the definitive cause of his death.</w:t>
      </w:r>
      <w:r w:rsidR="00E22B60" w:rsidRPr="00CF6765">
        <w:rPr>
          <w:rFonts w:eastAsia="Calibri"/>
          <w:sz w:val="20"/>
          <w:szCs w:val="20"/>
          <w:vertAlign w:val="superscript"/>
          <w:lang w:val="en-US"/>
        </w:rPr>
        <w:footnoteReference w:id="95"/>
      </w:r>
    </w:p>
    <w:p w14:paraId="003D3A62" w14:textId="77777777" w:rsidR="00E22B60" w:rsidRPr="00CF6765" w:rsidRDefault="00E22B60" w:rsidP="00450250">
      <w:pPr>
        <w:tabs>
          <w:tab w:val="left" w:pos="630"/>
          <w:tab w:val="left" w:pos="810"/>
          <w:tab w:val="left" w:pos="1530"/>
          <w:tab w:val="left" w:pos="1620"/>
        </w:tabs>
        <w:ind w:right="13"/>
        <w:contextualSpacing/>
        <w:rPr>
          <w:rFonts w:eastAsia="Calibri"/>
          <w:sz w:val="20"/>
          <w:szCs w:val="20"/>
          <w:lang w:val="en-US"/>
        </w:rPr>
      </w:pPr>
    </w:p>
    <w:p w14:paraId="47F568A4" w14:textId="28933335" w:rsidR="00E22B60" w:rsidRPr="00CF6765" w:rsidRDefault="00E22B60"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 xml:space="preserve"> </w:t>
      </w:r>
      <w:r w:rsidR="00C21120" w:rsidRPr="00CF6765">
        <w:rPr>
          <w:rFonts w:eastAsia="Calibri"/>
          <w:sz w:val="20"/>
          <w:szCs w:val="20"/>
          <w:lang w:val="en-US"/>
        </w:rPr>
        <w:t>On</w:t>
      </w:r>
      <w:r w:rsidRPr="00CF6765">
        <w:rPr>
          <w:rFonts w:eastAsia="Calibri"/>
          <w:sz w:val="20"/>
          <w:szCs w:val="20"/>
          <w:lang w:val="en-US"/>
        </w:rPr>
        <w:t xml:space="preserve"> </w:t>
      </w:r>
      <w:r w:rsidR="00671A8C" w:rsidRPr="00CF6765">
        <w:rPr>
          <w:rFonts w:eastAsia="Calibri"/>
          <w:sz w:val="20"/>
          <w:szCs w:val="20"/>
          <w:lang w:val="en-US"/>
        </w:rPr>
        <w:t xml:space="preserve">February </w:t>
      </w:r>
      <w:r w:rsidR="00C21120" w:rsidRPr="00CF6765">
        <w:rPr>
          <w:rFonts w:eastAsia="Calibri"/>
          <w:sz w:val="20"/>
          <w:szCs w:val="20"/>
          <w:lang w:val="en-US"/>
        </w:rPr>
        <w:t>2</w:t>
      </w:r>
      <w:r w:rsidR="00671A8C" w:rsidRPr="00CF6765">
        <w:rPr>
          <w:rFonts w:eastAsia="Calibri"/>
          <w:sz w:val="20"/>
          <w:szCs w:val="20"/>
          <w:lang w:val="en-US"/>
        </w:rPr>
        <w:t>7,</w:t>
      </w:r>
      <w:r w:rsidRPr="00CF6765">
        <w:rPr>
          <w:rFonts w:eastAsia="Calibri"/>
          <w:sz w:val="20"/>
          <w:szCs w:val="20"/>
          <w:lang w:val="en-US"/>
        </w:rPr>
        <w:t xml:space="preserve"> 2007</w:t>
      </w:r>
      <w:r w:rsidR="00A5404C" w:rsidRPr="00CF6765">
        <w:rPr>
          <w:rFonts w:eastAsia="Calibri"/>
          <w:sz w:val="20"/>
          <w:szCs w:val="20"/>
          <w:lang w:val="en-US"/>
        </w:rPr>
        <w:t>,</w:t>
      </w:r>
      <w:r w:rsidRPr="00CF6765">
        <w:rPr>
          <w:rFonts w:eastAsia="Calibri"/>
          <w:sz w:val="20"/>
          <w:szCs w:val="20"/>
          <w:lang w:val="en-US"/>
        </w:rPr>
        <w:t xml:space="preserve"> </w:t>
      </w:r>
      <w:r w:rsidR="002D729E" w:rsidRPr="00CF6765">
        <w:rPr>
          <w:rFonts w:eastAsia="Calibri"/>
          <w:sz w:val="20"/>
          <w:szCs w:val="20"/>
          <w:lang w:val="en-US"/>
        </w:rPr>
        <w:t>the First Civil Court</w:t>
      </w:r>
      <w:r w:rsidRPr="00CF6765">
        <w:rPr>
          <w:rFonts w:eastAsia="Calibri"/>
          <w:sz w:val="20"/>
          <w:szCs w:val="20"/>
          <w:lang w:val="en-US"/>
        </w:rPr>
        <w:t xml:space="preserve"> </w:t>
      </w:r>
      <w:r w:rsidR="001E55C3" w:rsidRPr="00CF6765">
        <w:rPr>
          <w:rFonts w:eastAsia="Calibri"/>
          <w:sz w:val="20"/>
          <w:szCs w:val="20"/>
          <w:lang w:val="en-US"/>
        </w:rPr>
        <w:t>reopen</w:t>
      </w:r>
      <w:r w:rsidR="00C21120" w:rsidRPr="00CF6765">
        <w:rPr>
          <w:rFonts w:eastAsia="Calibri"/>
          <w:sz w:val="20"/>
          <w:szCs w:val="20"/>
          <w:lang w:val="en-US"/>
        </w:rPr>
        <w:t>ed the case</w:t>
      </w:r>
      <w:r w:rsidR="00EC50FC" w:rsidRPr="00CF6765">
        <w:rPr>
          <w:rFonts w:eastAsia="Calibri"/>
          <w:sz w:val="20"/>
          <w:szCs w:val="20"/>
          <w:lang w:val="en-US"/>
        </w:rPr>
        <w:t xml:space="preserve"> and </w:t>
      </w:r>
      <w:r w:rsidR="00C21120" w:rsidRPr="00CF6765">
        <w:rPr>
          <w:rFonts w:eastAsia="Calibri"/>
          <w:sz w:val="20"/>
          <w:szCs w:val="20"/>
          <w:lang w:val="en-US"/>
        </w:rPr>
        <w:t>on April 17,</w:t>
      </w:r>
      <w:r w:rsidRPr="00CF6765">
        <w:rPr>
          <w:rFonts w:eastAsia="Calibri"/>
          <w:sz w:val="20"/>
          <w:szCs w:val="20"/>
          <w:lang w:val="en-US"/>
        </w:rPr>
        <w:t xml:space="preserve"> 2007</w:t>
      </w:r>
      <w:r w:rsidR="00C21120" w:rsidRPr="00CF6765">
        <w:rPr>
          <w:rFonts w:eastAsia="Calibri"/>
          <w:sz w:val="20"/>
          <w:szCs w:val="20"/>
          <w:lang w:val="en-US"/>
        </w:rPr>
        <w:t>, it was again at the stage of the preliminary investigation.</w:t>
      </w:r>
      <w:r w:rsidRPr="00CF6765">
        <w:rPr>
          <w:rFonts w:eastAsia="Calibri"/>
          <w:sz w:val="20"/>
          <w:szCs w:val="20"/>
          <w:vertAlign w:val="superscript"/>
          <w:lang w:val="en-US"/>
        </w:rPr>
        <w:footnoteReference w:id="96"/>
      </w:r>
      <w:r w:rsidRPr="00CF6765">
        <w:rPr>
          <w:rFonts w:eastAsia="Calibri"/>
          <w:sz w:val="20"/>
          <w:szCs w:val="20"/>
          <w:lang w:val="en-US"/>
        </w:rPr>
        <w:t xml:space="preserve"> </w:t>
      </w:r>
    </w:p>
    <w:p w14:paraId="2CBC2769" w14:textId="77777777" w:rsidR="00E22B60" w:rsidRPr="00CF6765" w:rsidRDefault="00E22B60" w:rsidP="00450250">
      <w:pPr>
        <w:tabs>
          <w:tab w:val="left" w:pos="630"/>
          <w:tab w:val="left" w:pos="810"/>
          <w:tab w:val="left" w:pos="1530"/>
          <w:tab w:val="left" w:pos="1620"/>
        </w:tabs>
        <w:ind w:right="13"/>
        <w:contextualSpacing/>
        <w:rPr>
          <w:rFonts w:eastAsia="Calibri"/>
          <w:sz w:val="20"/>
          <w:szCs w:val="20"/>
          <w:lang w:val="en-US"/>
        </w:rPr>
      </w:pPr>
    </w:p>
    <w:p w14:paraId="4940A21D" w14:textId="6D2C09A7" w:rsidR="00E22B60" w:rsidRPr="00CF6765" w:rsidRDefault="00C21120"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January 21,</w:t>
      </w:r>
      <w:r w:rsidR="00E22B60" w:rsidRPr="00CF6765">
        <w:rPr>
          <w:rFonts w:eastAsia="Calibri"/>
          <w:sz w:val="20"/>
          <w:szCs w:val="20"/>
          <w:lang w:val="en-US"/>
        </w:rPr>
        <w:t xml:space="preserve"> 2008</w:t>
      </w:r>
      <w:r w:rsidR="00A83894" w:rsidRPr="00CF6765">
        <w:rPr>
          <w:rFonts w:eastAsia="Calibri"/>
          <w:sz w:val="20"/>
          <w:szCs w:val="20"/>
          <w:lang w:val="en-US"/>
        </w:rPr>
        <w:t>,</w:t>
      </w:r>
      <w:r w:rsidR="00E22B60" w:rsidRPr="00CF6765">
        <w:rPr>
          <w:rFonts w:eastAsia="Calibri"/>
          <w:sz w:val="20"/>
          <w:szCs w:val="20"/>
          <w:lang w:val="en-US"/>
        </w:rPr>
        <w:t xml:space="preserve"> </w:t>
      </w:r>
      <w:r w:rsidR="002D729E" w:rsidRPr="00CF6765">
        <w:rPr>
          <w:rFonts w:eastAsia="Calibri"/>
          <w:sz w:val="20"/>
          <w:szCs w:val="20"/>
          <w:lang w:val="en-US"/>
        </w:rPr>
        <w:t>the First Civil Court</w:t>
      </w:r>
      <w:r w:rsidR="00E22B60" w:rsidRPr="00CF6765">
        <w:rPr>
          <w:rFonts w:eastAsia="Calibri"/>
          <w:sz w:val="20"/>
          <w:szCs w:val="20"/>
          <w:lang w:val="en-US"/>
        </w:rPr>
        <w:t xml:space="preserve"> orde</w:t>
      </w:r>
      <w:r w:rsidRPr="00CF6765">
        <w:rPr>
          <w:rFonts w:eastAsia="Calibri"/>
          <w:sz w:val="20"/>
          <w:szCs w:val="20"/>
          <w:lang w:val="en-US"/>
        </w:rPr>
        <w:t xml:space="preserve">red a “report on the mental faculties” of </w:t>
      </w:r>
      <w:proofErr w:type="spellStart"/>
      <w:r w:rsidR="00E22B60" w:rsidRPr="00CF6765">
        <w:rPr>
          <w:rFonts w:eastAsia="Calibri"/>
          <w:sz w:val="20"/>
          <w:szCs w:val="20"/>
          <w:lang w:val="en-US"/>
        </w:rPr>
        <w:t>Cesia</w:t>
      </w:r>
      <w:proofErr w:type="spellEnd"/>
      <w:r w:rsidR="00E22B60" w:rsidRPr="00CF6765">
        <w:rPr>
          <w:rFonts w:eastAsia="Calibri"/>
          <w:sz w:val="20"/>
          <w:szCs w:val="20"/>
          <w:lang w:val="en-US"/>
        </w:rPr>
        <w:t xml:space="preserve"> Poblete Tapia</w:t>
      </w:r>
      <w:r w:rsidR="00EC50FC" w:rsidRPr="00CF6765">
        <w:rPr>
          <w:rFonts w:eastAsia="Calibri"/>
          <w:sz w:val="20"/>
          <w:szCs w:val="20"/>
          <w:lang w:val="en-US"/>
        </w:rPr>
        <w:t xml:space="preserve"> and</w:t>
      </w:r>
      <w:r w:rsidR="00E22B60" w:rsidRPr="00CF6765">
        <w:rPr>
          <w:rFonts w:eastAsia="Calibri"/>
          <w:sz w:val="20"/>
          <w:szCs w:val="20"/>
          <w:lang w:val="en-US"/>
        </w:rPr>
        <w:t xml:space="preserve"> Vinicio Poblete Tapia</w:t>
      </w:r>
      <w:r w:rsidRPr="00CF6765">
        <w:rPr>
          <w:rFonts w:eastAsia="Calibri"/>
          <w:sz w:val="20"/>
          <w:szCs w:val="20"/>
          <w:lang w:val="en-US"/>
        </w:rPr>
        <w:t>.</w:t>
      </w:r>
      <w:r w:rsidR="00E22B60" w:rsidRPr="00CF6765">
        <w:rPr>
          <w:rFonts w:eastAsia="Calibri"/>
          <w:sz w:val="20"/>
          <w:szCs w:val="20"/>
          <w:vertAlign w:val="superscript"/>
          <w:lang w:val="en-US"/>
        </w:rPr>
        <w:footnoteReference w:id="97"/>
      </w:r>
      <w:r w:rsidRPr="00CF6765">
        <w:rPr>
          <w:rFonts w:eastAsia="Calibri"/>
          <w:sz w:val="20"/>
          <w:szCs w:val="20"/>
          <w:lang w:val="en-US"/>
        </w:rPr>
        <w:t xml:space="preserve"> However, in a communication of May 30, 2008, </w:t>
      </w:r>
      <w:r w:rsidR="003626CB" w:rsidRPr="00CF6765">
        <w:rPr>
          <w:rFonts w:eastAsia="Calibri"/>
          <w:sz w:val="20"/>
          <w:szCs w:val="20"/>
          <w:lang w:val="en-US"/>
        </w:rPr>
        <w:t xml:space="preserve">the </w:t>
      </w:r>
      <w:r w:rsidR="0064057A" w:rsidRPr="00CF6765">
        <w:rPr>
          <w:rFonts w:eastAsia="Calibri"/>
          <w:sz w:val="20"/>
          <w:szCs w:val="20"/>
          <w:lang w:val="en-US"/>
        </w:rPr>
        <w:t xml:space="preserve">Forensic </w:t>
      </w:r>
      <w:r w:rsidRPr="00CF6765">
        <w:rPr>
          <w:rFonts w:eastAsia="Calibri"/>
          <w:sz w:val="20"/>
          <w:szCs w:val="20"/>
          <w:lang w:val="en-US"/>
        </w:rPr>
        <w:t>Medicine</w:t>
      </w:r>
      <w:r w:rsidR="0064057A" w:rsidRPr="00CF6765">
        <w:rPr>
          <w:rFonts w:eastAsia="Calibri"/>
          <w:sz w:val="20"/>
          <w:szCs w:val="20"/>
          <w:lang w:val="en-US"/>
        </w:rPr>
        <w:t xml:space="preserve"> Service</w:t>
      </w:r>
      <w:r w:rsidR="00E22B60" w:rsidRPr="00CF6765">
        <w:rPr>
          <w:rFonts w:eastAsia="Calibri"/>
          <w:sz w:val="20"/>
          <w:szCs w:val="20"/>
          <w:lang w:val="en-US"/>
        </w:rPr>
        <w:t xml:space="preserve"> </w:t>
      </w:r>
      <w:r w:rsidRPr="00CF6765">
        <w:rPr>
          <w:rFonts w:eastAsia="Calibri"/>
          <w:sz w:val="20"/>
          <w:szCs w:val="20"/>
          <w:lang w:val="en-US"/>
        </w:rPr>
        <w:t>reported that it had not received this request.</w:t>
      </w:r>
      <w:r w:rsidR="00E22B60" w:rsidRPr="00CF6765">
        <w:rPr>
          <w:rFonts w:eastAsia="Calibri"/>
          <w:sz w:val="20"/>
          <w:szCs w:val="20"/>
          <w:vertAlign w:val="superscript"/>
          <w:lang w:val="en-US"/>
        </w:rPr>
        <w:footnoteReference w:id="98"/>
      </w:r>
    </w:p>
    <w:p w14:paraId="4F980A80" w14:textId="77777777" w:rsidR="00E22B60" w:rsidRPr="00CF6765" w:rsidRDefault="00E22B60" w:rsidP="00450250">
      <w:pPr>
        <w:tabs>
          <w:tab w:val="left" w:pos="630"/>
          <w:tab w:val="left" w:pos="810"/>
          <w:tab w:val="left" w:pos="1530"/>
          <w:tab w:val="left" w:pos="1620"/>
        </w:tabs>
        <w:ind w:right="13"/>
        <w:rPr>
          <w:rFonts w:eastAsia="Calibri"/>
          <w:sz w:val="20"/>
          <w:szCs w:val="20"/>
          <w:lang w:val="en-US"/>
        </w:rPr>
      </w:pPr>
    </w:p>
    <w:p w14:paraId="16D7B3C8" w14:textId="4FC0269F" w:rsidR="00E22B60" w:rsidRPr="00CF6765" w:rsidRDefault="00C21120"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May 3,</w:t>
      </w:r>
      <w:r w:rsidR="00E22B60" w:rsidRPr="00CF6765">
        <w:rPr>
          <w:rFonts w:eastAsia="Calibri"/>
          <w:sz w:val="20"/>
          <w:szCs w:val="20"/>
          <w:lang w:val="en-US"/>
        </w:rPr>
        <w:t xml:space="preserve"> 2008</w:t>
      </w:r>
      <w:r w:rsidR="00A83894" w:rsidRPr="00CF6765">
        <w:rPr>
          <w:rFonts w:eastAsia="Calibri"/>
          <w:sz w:val="20"/>
          <w:szCs w:val="20"/>
          <w:lang w:val="en-US"/>
        </w:rPr>
        <w:t>,</w:t>
      </w:r>
      <w:r w:rsidR="00E22B60" w:rsidRPr="00CF6765">
        <w:rPr>
          <w:rFonts w:eastAsia="Calibri"/>
          <w:sz w:val="20"/>
          <w:szCs w:val="20"/>
          <w:lang w:val="en-US"/>
        </w:rPr>
        <w:t xml:space="preserve"> </w:t>
      </w:r>
      <w:r w:rsidRPr="00CF6765">
        <w:rPr>
          <w:rFonts w:eastAsia="Calibri"/>
          <w:sz w:val="20"/>
          <w:szCs w:val="20"/>
          <w:lang w:val="en-US"/>
        </w:rPr>
        <w:t>the file of the case before the</w:t>
      </w:r>
      <w:r w:rsidR="002D729E" w:rsidRPr="00CF6765">
        <w:rPr>
          <w:rFonts w:eastAsia="Calibri"/>
          <w:sz w:val="20"/>
          <w:szCs w:val="20"/>
          <w:lang w:val="en-US"/>
        </w:rPr>
        <w:t xml:space="preserve"> First Civil Court</w:t>
      </w:r>
      <w:r w:rsidR="00E22B60" w:rsidRPr="00CF6765">
        <w:rPr>
          <w:rFonts w:eastAsia="Calibri"/>
          <w:sz w:val="20"/>
          <w:szCs w:val="20"/>
          <w:lang w:val="en-US"/>
        </w:rPr>
        <w:t xml:space="preserve"> </w:t>
      </w:r>
      <w:r w:rsidR="0014496A" w:rsidRPr="00CF6765">
        <w:rPr>
          <w:rFonts w:eastAsia="Calibri"/>
          <w:sz w:val="20"/>
          <w:szCs w:val="20"/>
          <w:lang w:val="en-US"/>
        </w:rPr>
        <w:t>was admitted to the docket of the</w:t>
      </w:r>
      <w:r w:rsidR="005C731C" w:rsidRPr="00CF6765">
        <w:rPr>
          <w:rFonts w:eastAsia="Calibri"/>
          <w:sz w:val="20"/>
          <w:szCs w:val="20"/>
          <w:lang w:val="en-US"/>
        </w:rPr>
        <w:t xml:space="preserve"> </w:t>
      </w:r>
      <w:r w:rsidR="00A5404C" w:rsidRPr="00CF6765">
        <w:rPr>
          <w:rFonts w:eastAsia="Calibri"/>
          <w:sz w:val="20"/>
          <w:szCs w:val="20"/>
          <w:lang w:val="en-US"/>
        </w:rPr>
        <w:t xml:space="preserve">San Miguel </w:t>
      </w:r>
      <w:r w:rsidR="009A7607" w:rsidRPr="00CF6765">
        <w:rPr>
          <w:rFonts w:eastAsia="Calibri"/>
          <w:sz w:val="20"/>
          <w:szCs w:val="20"/>
          <w:lang w:val="en-US"/>
        </w:rPr>
        <w:t xml:space="preserve">Court of Appeal </w:t>
      </w:r>
      <w:r w:rsidR="0014496A" w:rsidRPr="00CF6765">
        <w:rPr>
          <w:rFonts w:eastAsia="Calibri"/>
          <w:sz w:val="20"/>
          <w:szCs w:val="20"/>
          <w:lang w:val="en-US"/>
        </w:rPr>
        <w:t>i</w:t>
      </w:r>
      <w:r w:rsidR="00E22B60" w:rsidRPr="00CF6765">
        <w:rPr>
          <w:rFonts w:eastAsia="Calibri"/>
          <w:sz w:val="20"/>
          <w:szCs w:val="20"/>
          <w:lang w:val="en-US"/>
        </w:rPr>
        <w:t>n Santiago,</w:t>
      </w:r>
      <w:r w:rsidR="00EC50FC" w:rsidRPr="00CF6765">
        <w:rPr>
          <w:rFonts w:eastAsia="Calibri"/>
          <w:sz w:val="20"/>
          <w:szCs w:val="20"/>
          <w:lang w:val="en-US"/>
        </w:rPr>
        <w:t xml:space="preserve"> and </w:t>
      </w:r>
      <w:r w:rsidR="0014496A" w:rsidRPr="00CF6765">
        <w:rPr>
          <w:rFonts w:eastAsia="Calibri"/>
          <w:sz w:val="20"/>
          <w:szCs w:val="20"/>
          <w:lang w:val="en-US"/>
        </w:rPr>
        <w:t xml:space="preserve">returned to the first instance court on May 14, </w:t>
      </w:r>
      <w:r w:rsidR="00E22B60" w:rsidRPr="00CF6765">
        <w:rPr>
          <w:rFonts w:eastAsia="Calibri"/>
          <w:sz w:val="20"/>
          <w:szCs w:val="20"/>
          <w:lang w:val="en-US"/>
        </w:rPr>
        <w:t>2008</w:t>
      </w:r>
      <w:r w:rsidR="0014496A" w:rsidRPr="00CF6765">
        <w:rPr>
          <w:rFonts w:eastAsia="Calibri"/>
          <w:sz w:val="20"/>
          <w:szCs w:val="20"/>
          <w:lang w:val="en-US"/>
        </w:rPr>
        <w:t>.</w:t>
      </w:r>
      <w:r w:rsidR="00E22B60" w:rsidRPr="00CF6765">
        <w:rPr>
          <w:rFonts w:eastAsia="Calibri"/>
          <w:sz w:val="20"/>
          <w:szCs w:val="20"/>
          <w:vertAlign w:val="superscript"/>
          <w:lang w:val="en-US"/>
        </w:rPr>
        <w:footnoteReference w:id="99"/>
      </w:r>
      <w:r w:rsidR="00E22B60" w:rsidRPr="00CF6765">
        <w:rPr>
          <w:rFonts w:eastAsia="Calibri"/>
          <w:sz w:val="20"/>
          <w:szCs w:val="20"/>
          <w:lang w:val="en-US"/>
        </w:rPr>
        <w:t xml:space="preserve"> </w:t>
      </w:r>
    </w:p>
    <w:p w14:paraId="6C18CCFB" w14:textId="77777777" w:rsidR="00E22B60" w:rsidRPr="00CF6765" w:rsidRDefault="00E22B60" w:rsidP="00450250">
      <w:pPr>
        <w:tabs>
          <w:tab w:val="left" w:pos="630"/>
          <w:tab w:val="left" w:pos="810"/>
          <w:tab w:val="left" w:pos="1530"/>
          <w:tab w:val="left" w:pos="1620"/>
        </w:tabs>
        <w:ind w:right="13"/>
        <w:contextualSpacing/>
        <w:rPr>
          <w:rFonts w:eastAsia="Calibri"/>
          <w:sz w:val="20"/>
          <w:szCs w:val="20"/>
          <w:lang w:val="en-US"/>
        </w:rPr>
      </w:pPr>
    </w:p>
    <w:p w14:paraId="0E7CA469" w14:textId="5857B568" w:rsidR="00E22B60" w:rsidRPr="00CF6765" w:rsidRDefault="0014496A"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June 11,</w:t>
      </w:r>
      <w:r w:rsidR="00E22B60" w:rsidRPr="00CF6765">
        <w:rPr>
          <w:rFonts w:eastAsia="Calibri"/>
          <w:sz w:val="20"/>
          <w:szCs w:val="20"/>
          <w:lang w:val="en-US"/>
        </w:rPr>
        <w:t xml:space="preserve"> 2008</w:t>
      </w:r>
      <w:r w:rsidR="00A83894" w:rsidRPr="00CF6765">
        <w:rPr>
          <w:rFonts w:eastAsia="Calibri"/>
          <w:sz w:val="20"/>
          <w:szCs w:val="20"/>
          <w:lang w:val="en-US"/>
        </w:rPr>
        <w:t>,</w:t>
      </w:r>
      <w:r w:rsidR="00E22B60" w:rsidRPr="00CF6765">
        <w:rPr>
          <w:rFonts w:eastAsia="Calibri"/>
          <w:sz w:val="20"/>
          <w:szCs w:val="20"/>
          <w:lang w:val="en-US"/>
        </w:rPr>
        <w:t xml:space="preserve"> </w:t>
      </w:r>
      <w:r w:rsidR="002D729E" w:rsidRPr="00CF6765">
        <w:rPr>
          <w:rFonts w:eastAsia="Calibri"/>
          <w:sz w:val="20"/>
          <w:szCs w:val="20"/>
          <w:lang w:val="en-US"/>
        </w:rPr>
        <w:t>the First Civil Court</w:t>
      </w:r>
      <w:r w:rsidR="00E22B60" w:rsidRPr="00CF6765">
        <w:rPr>
          <w:rFonts w:eastAsia="Calibri"/>
          <w:sz w:val="20"/>
          <w:szCs w:val="20"/>
          <w:lang w:val="en-US"/>
        </w:rPr>
        <w:t xml:space="preserve"> </w:t>
      </w:r>
      <w:r w:rsidRPr="00CF6765">
        <w:rPr>
          <w:rFonts w:eastAsia="Calibri"/>
          <w:sz w:val="20"/>
          <w:szCs w:val="20"/>
          <w:lang w:val="en-US"/>
        </w:rPr>
        <w:t xml:space="preserve">again declared the </w:t>
      </w:r>
      <w:r w:rsidR="00B328D7" w:rsidRPr="00CF6765">
        <w:rPr>
          <w:rFonts w:eastAsia="Calibri"/>
          <w:sz w:val="20"/>
          <w:szCs w:val="20"/>
          <w:lang w:val="en-US"/>
        </w:rPr>
        <w:t>preliminary</w:t>
      </w:r>
      <w:r w:rsidRPr="00CF6765">
        <w:rPr>
          <w:rFonts w:eastAsia="Calibri"/>
          <w:sz w:val="20"/>
          <w:szCs w:val="20"/>
          <w:lang w:val="en-US"/>
        </w:rPr>
        <w:t xml:space="preserve"> investigation closed</w:t>
      </w:r>
      <w:r w:rsidR="00E22B60" w:rsidRPr="00CF6765">
        <w:rPr>
          <w:rFonts w:eastAsia="Calibri"/>
          <w:sz w:val="20"/>
          <w:szCs w:val="20"/>
          <w:vertAlign w:val="superscript"/>
          <w:lang w:val="en-US"/>
        </w:rPr>
        <w:footnoteReference w:id="100"/>
      </w:r>
      <w:r w:rsidR="00EC50FC" w:rsidRPr="00CF6765">
        <w:rPr>
          <w:rFonts w:eastAsia="Calibri"/>
          <w:sz w:val="20"/>
          <w:szCs w:val="20"/>
          <w:lang w:val="en-US"/>
        </w:rPr>
        <w:t xml:space="preserve"> and </w:t>
      </w:r>
      <w:r w:rsidRPr="00CF6765">
        <w:rPr>
          <w:rFonts w:eastAsia="Calibri"/>
          <w:sz w:val="20"/>
          <w:szCs w:val="20"/>
          <w:lang w:val="en-US"/>
        </w:rPr>
        <w:t>on June 30,</w:t>
      </w:r>
      <w:r w:rsidR="00E22B60" w:rsidRPr="00CF6765">
        <w:rPr>
          <w:rFonts w:eastAsia="Calibri"/>
          <w:sz w:val="20"/>
          <w:szCs w:val="20"/>
          <w:lang w:val="en-US"/>
        </w:rPr>
        <w:t xml:space="preserve"> 2008</w:t>
      </w:r>
      <w:r w:rsidRPr="00CF6765">
        <w:rPr>
          <w:rFonts w:eastAsia="Calibri"/>
          <w:sz w:val="20"/>
          <w:szCs w:val="20"/>
          <w:lang w:val="en-US"/>
        </w:rPr>
        <w:t>, once again ordered a temporary dismissal of the case “until new and better evidence is collected by the investigation.</w:t>
      </w:r>
      <w:r w:rsidR="00E22B60" w:rsidRPr="00CF6765">
        <w:rPr>
          <w:rFonts w:eastAsia="Calibri"/>
          <w:sz w:val="20"/>
          <w:szCs w:val="20"/>
          <w:lang w:val="en-US"/>
        </w:rPr>
        <w:t>”</w:t>
      </w:r>
      <w:r w:rsidR="00E22B60" w:rsidRPr="00CF6765">
        <w:rPr>
          <w:rFonts w:eastAsia="Calibri"/>
          <w:sz w:val="20"/>
          <w:szCs w:val="20"/>
          <w:vertAlign w:val="superscript"/>
          <w:lang w:val="en-US"/>
        </w:rPr>
        <w:footnoteReference w:id="101"/>
      </w:r>
      <w:r w:rsidR="00E22B60" w:rsidRPr="00CF6765">
        <w:rPr>
          <w:rFonts w:eastAsia="Calibri"/>
          <w:sz w:val="20"/>
          <w:szCs w:val="20"/>
          <w:lang w:val="en-US"/>
        </w:rPr>
        <w:t xml:space="preserve"> </w:t>
      </w:r>
    </w:p>
    <w:p w14:paraId="5EBC00EC" w14:textId="77777777" w:rsidR="00E22B60" w:rsidRPr="00CF6765" w:rsidRDefault="00E22B60" w:rsidP="00450250">
      <w:pPr>
        <w:tabs>
          <w:tab w:val="left" w:pos="630"/>
          <w:tab w:val="left" w:pos="810"/>
          <w:tab w:val="left" w:pos="1530"/>
          <w:tab w:val="left" w:pos="1620"/>
        </w:tabs>
        <w:ind w:right="13"/>
        <w:contextualSpacing/>
        <w:rPr>
          <w:rFonts w:eastAsia="Calibri"/>
          <w:sz w:val="20"/>
          <w:szCs w:val="20"/>
          <w:lang w:val="en-US"/>
        </w:rPr>
      </w:pPr>
    </w:p>
    <w:p w14:paraId="52D9E3A6" w14:textId="03F03D9A" w:rsidR="00E22B60" w:rsidRPr="00CF6765" w:rsidRDefault="0014496A"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August 4,</w:t>
      </w:r>
      <w:r w:rsidR="00E22B60" w:rsidRPr="00CF6765">
        <w:rPr>
          <w:rFonts w:eastAsia="Calibri"/>
          <w:sz w:val="20"/>
          <w:szCs w:val="20"/>
          <w:lang w:val="en-US"/>
        </w:rPr>
        <w:t xml:space="preserve"> </w:t>
      </w:r>
      <w:r w:rsidRPr="00CF6765">
        <w:rPr>
          <w:rFonts w:eastAsia="Calibri"/>
          <w:sz w:val="20"/>
          <w:szCs w:val="20"/>
          <w:lang w:val="en-US"/>
        </w:rPr>
        <w:t xml:space="preserve">2008, the representative </w:t>
      </w:r>
      <w:r w:rsidR="00D04694" w:rsidRPr="00CF6765">
        <w:rPr>
          <w:rFonts w:eastAsia="Calibri"/>
          <w:sz w:val="20"/>
          <w:szCs w:val="20"/>
          <w:lang w:val="en-US"/>
        </w:rPr>
        <w:t>of Mr.</w:t>
      </w:r>
      <w:r w:rsidR="00D2168F" w:rsidRPr="00CF6765">
        <w:rPr>
          <w:rFonts w:eastAsia="Calibri"/>
          <w:sz w:val="20"/>
          <w:szCs w:val="20"/>
          <w:lang w:val="en-US"/>
        </w:rPr>
        <w:t xml:space="preserve"> Poblete</w:t>
      </w:r>
      <w:r w:rsidR="00E22B60" w:rsidRPr="00CF6765">
        <w:rPr>
          <w:rFonts w:eastAsia="Calibri"/>
          <w:sz w:val="20"/>
          <w:szCs w:val="20"/>
          <w:lang w:val="en-US"/>
        </w:rPr>
        <w:t xml:space="preserve"> </w:t>
      </w:r>
      <w:proofErr w:type="spellStart"/>
      <w:r w:rsidR="00E22B60" w:rsidRPr="00CF6765">
        <w:rPr>
          <w:rFonts w:eastAsia="Calibri"/>
          <w:sz w:val="20"/>
          <w:szCs w:val="20"/>
          <w:lang w:val="en-US"/>
        </w:rPr>
        <w:t>Vilches</w:t>
      </w:r>
      <w:proofErr w:type="spellEnd"/>
      <w:r w:rsidR="00E22B60" w:rsidRPr="00CF6765">
        <w:rPr>
          <w:rFonts w:eastAsia="Calibri"/>
          <w:sz w:val="20"/>
          <w:szCs w:val="20"/>
          <w:lang w:val="en-US"/>
        </w:rPr>
        <w:t xml:space="preserve"> </w:t>
      </w:r>
      <w:r w:rsidRPr="00CF6765">
        <w:rPr>
          <w:rFonts w:eastAsia="Calibri"/>
          <w:sz w:val="20"/>
          <w:szCs w:val="20"/>
          <w:lang w:val="en-US"/>
        </w:rPr>
        <w:t xml:space="preserve">requested the </w:t>
      </w:r>
      <w:r w:rsidR="001E55C3" w:rsidRPr="00CF6765">
        <w:rPr>
          <w:rFonts w:eastAsia="Calibri"/>
          <w:sz w:val="20"/>
          <w:szCs w:val="20"/>
          <w:lang w:val="en-US"/>
        </w:rPr>
        <w:t>reopen</w:t>
      </w:r>
      <w:r w:rsidRPr="00CF6765">
        <w:rPr>
          <w:rFonts w:eastAsia="Calibri"/>
          <w:sz w:val="20"/>
          <w:szCs w:val="20"/>
          <w:lang w:val="en-US"/>
        </w:rPr>
        <w:t>ing of the case</w:t>
      </w:r>
      <w:r w:rsidR="00E22B60" w:rsidRPr="00CF6765">
        <w:rPr>
          <w:rFonts w:eastAsia="Calibri"/>
          <w:sz w:val="20"/>
          <w:szCs w:val="20"/>
          <w:vertAlign w:val="superscript"/>
          <w:lang w:val="en-US"/>
        </w:rPr>
        <w:footnoteReference w:id="102"/>
      </w:r>
      <w:r w:rsidR="00EC50FC" w:rsidRPr="00CF6765">
        <w:rPr>
          <w:rFonts w:eastAsia="Calibri"/>
          <w:sz w:val="20"/>
          <w:szCs w:val="20"/>
          <w:lang w:val="en-US"/>
        </w:rPr>
        <w:t xml:space="preserve"> and</w:t>
      </w:r>
      <w:r w:rsidRPr="00CF6765">
        <w:rPr>
          <w:rFonts w:eastAsia="Calibri"/>
          <w:sz w:val="20"/>
          <w:szCs w:val="20"/>
          <w:lang w:val="en-US"/>
        </w:rPr>
        <w:t>,</w:t>
      </w:r>
      <w:r w:rsidR="00EC50FC" w:rsidRPr="00CF6765">
        <w:rPr>
          <w:rFonts w:eastAsia="Calibri"/>
          <w:sz w:val="20"/>
          <w:szCs w:val="20"/>
          <w:lang w:val="en-US"/>
        </w:rPr>
        <w:t xml:space="preserve"> </w:t>
      </w:r>
      <w:r w:rsidRPr="00CF6765">
        <w:rPr>
          <w:rFonts w:eastAsia="Calibri"/>
          <w:sz w:val="20"/>
          <w:szCs w:val="20"/>
          <w:lang w:val="en-US"/>
        </w:rPr>
        <w:t>on August 5,</w:t>
      </w:r>
      <w:r w:rsidR="00E22B60" w:rsidRPr="00CF6765">
        <w:rPr>
          <w:rFonts w:eastAsia="Calibri"/>
          <w:sz w:val="20"/>
          <w:szCs w:val="20"/>
          <w:lang w:val="en-US"/>
        </w:rPr>
        <w:t xml:space="preserve"> 2008</w:t>
      </w:r>
      <w:r w:rsidRPr="00CF6765">
        <w:rPr>
          <w:rFonts w:eastAsia="Calibri"/>
          <w:sz w:val="20"/>
          <w:szCs w:val="20"/>
          <w:lang w:val="en-US"/>
        </w:rPr>
        <w:t>,</w:t>
      </w:r>
      <w:r w:rsidR="00E22B60" w:rsidRPr="00CF6765">
        <w:rPr>
          <w:rFonts w:eastAsia="Calibri"/>
          <w:sz w:val="20"/>
          <w:szCs w:val="20"/>
          <w:lang w:val="en-US"/>
        </w:rPr>
        <w:t xml:space="preserve"> </w:t>
      </w:r>
      <w:r w:rsidR="002D729E" w:rsidRPr="00CF6765">
        <w:rPr>
          <w:rFonts w:eastAsia="Calibri"/>
          <w:sz w:val="20"/>
          <w:szCs w:val="20"/>
          <w:lang w:val="en-US"/>
        </w:rPr>
        <w:t>the First Civil Court</w:t>
      </w:r>
      <w:r w:rsidR="00E22B60" w:rsidRPr="00CF6765">
        <w:rPr>
          <w:rFonts w:eastAsia="Calibri"/>
          <w:sz w:val="20"/>
          <w:szCs w:val="20"/>
          <w:lang w:val="en-US"/>
        </w:rPr>
        <w:t xml:space="preserve"> </w:t>
      </w:r>
      <w:r w:rsidRPr="00CF6765">
        <w:rPr>
          <w:rFonts w:eastAsia="Calibri"/>
          <w:sz w:val="20"/>
          <w:szCs w:val="20"/>
          <w:lang w:val="en-US"/>
        </w:rPr>
        <w:t xml:space="preserve">ordered the case to be </w:t>
      </w:r>
      <w:r w:rsidR="001E55C3" w:rsidRPr="00CF6765">
        <w:rPr>
          <w:rFonts w:eastAsia="Calibri"/>
          <w:sz w:val="20"/>
          <w:szCs w:val="20"/>
          <w:lang w:val="en-US"/>
        </w:rPr>
        <w:t>reopen</w:t>
      </w:r>
      <w:r w:rsidRPr="00CF6765">
        <w:rPr>
          <w:rFonts w:eastAsia="Calibri"/>
          <w:sz w:val="20"/>
          <w:szCs w:val="20"/>
          <w:lang w:val="en-US"/>
        </w:rPr>
        <w:t>ed.</w:t>
      </w:r>
      <w:r w:rsidR="00E22B60" w:rsidRPr="00CF6765">
        <w:rPr>
          <w:rFonts w:eastAsia="Calibri"/>
          <w:sz w:val="20"/>
          <w:szCs w:val="20"/>
          <w:vertAlign w:val="superscript"/>
          <w:lang w:val="en-US"/>
        </w:rPr>
        <w:footnoteReference w:id="103"/>
      </w:r>
      <w:r w:rsidR="00E22B60" w:rsidRPr="00CF6765">
        <w:rPr>
          <w:rFonts w:eastAsia="Calibri"/>
          <w:sz w:val="20"/>
          <w:szCs w:val="20"/>
          <w:lang w:val="en-US"/>
        </w:rPr>
        <w:t xml:space="preserve"> </w:t>
      </w:r>
    </w:p>
    <w:p w14:paraId="0BFF3E7C" w14:textId="0BE6F31B" w:rsidR="00E22B60" w:rsidRPr="00CF6765" w:rsidRDefault="0014496A"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lastRenderedPageBreak/>
        <w:t>On August 28,</w:t>
      </w:r>
      <w:r w:rsidR="00E22B60" w:rsidRPr="00CF6765">
        <w:rPr>
          <w:rFonts w:eastAsia="Calibri"/>
          <w:sz w:val="20"/>
          <w:szCs w:val="20"/>
          <w:lang w:val="en-US"/>
        </w:rPr>
        <w:t xml:space="preserve"> 2008</w:t>
      </w:r>
      <w:r w:rsidR="0086435F" w:rsidRPr="00CF6765">
        <w:rPr>
          <w:rFonts w:eastAsia="Calibri"/>
          <w:sz w:val="20"/>
          <w:szCs w:val="20"/>
          <w:lang w:val="en-US"/>
        </w:rPr>
        <w:t>,</w:t>
      </w:r>
      <w:r w:rsidR="00E22B60" w:rsidRPr="00CF6765">
        <w:rPr>
          <w:rFonts w:eastAsia="Calibri"/>
          <w:sz w:val="20"/>
          <w:szCs w:val="20"/>
          <w:lang w:val="en-US"/>
        </w:rPr>
        <w:t xml:space="preserve"> </w:t>
      </w:r>
      <w:r w:rsidR="005C731C" w:rsidRPr="00CF6765">
        <w:rPr>
          <w:rFonts w:eastAsia="Calibri"/>
          <w:sz w:val="20"/>
          <w:szCs w:val="20"/>
          <w:lang w:val="en-US"/>
        </w:rPr>
        <w:t xml:space="preserve">the </w:t>
      </w:r>
      <w:r w:rsidRPr="00CF6765">
        <w:rPr>
          <w:rFonts w:eastAsia="Calibri"/>
          <w:sz w:val="20"/>
          <w:szCs w:val="20"/>
          <w:lang w:val="en-US"/>
        </w:rPr>
        <w:t>Supreme Court of Justice</w:t>
      </w:r>
      <w:r w:rsidR="00E22B60" w:rsidRPr="00CF6765">
        <w:rPr>
          <w:rFonts w:eastAsia="Calibri"/>
          <w:sz w:val="20"/>
          <w:szCs w:val="20"/>
          <w:lang w:val="en-US"/>
        </w:rPr>
        <w:t xml:space="preserve"> </w:t>
      </w:r>
      <w:r w:rsidRPr="00CF6765">
        <w:rPr>
          <w:rFonts w:eastAsia="Calibri"/>
          <w:sz w:val="20"/>
          <w:szCs w:val="20"/>
          <w:lang w:val="en-US"/>
        </w:rPr>
        <w:t>asked the</w:t>
      </w:r>
      <w:r w:rsidR="00E22B60" w:rsidRPr="00CF6765">
        <w:rPr>
          <w:rFonts w:eastAsia="Calibri"/>
          <w:sz w:val="20"/>
          <w:szCs w:val="20"/>
          <w:lang w:val="en-US"/>
        </w:rPr>
        <w:t xml:space="preserve"> </w:t>
      </w:r>
      <w:r w:rsidRPr="00CF6765">
        <w:rPr>
          <w:rFonts w:eastAsia="Calibri"/>
          <w:sz w:val="20"/>
          <w:szCs w:val="20"/>
          <w:lang w:val="en-US"/>
        </w:rPr>
        <w:t>First Civil Court</w:t>
      </w:r>
      <w:r w:rsidR="00E22B60" w:rsidRPr="00CF6765">
        <w:rPr>
          <w:rFonts w:eastAsia="Calibri"/>
          <w:sz w:val="20"/>
          <w:szCs w:val="20"/>
          <w:lang w:val="en-US"/>
        </w:rPr>
        <w:t xml:space="preserve"> </w:t>
      </w:r>
      <w:r w:rsidRPr="00CF6765">
        <w:rPr>
          <w:rFonts w:eastAsia="Calibri"/>
          <w:sz w:val="20"/>
          <w:szCs w:val="20"/>
          <w:lang w:val="en-US"/>
        </w:rPr>
        <w:t>to forward a copy of case</w:t>
      </w:r>
      <w:r w:rsidR="00E22B60" w:rsidRPr="00CF6765">
        <w:rPr>
          <w:rFonts w:eastAsia="Calibri"/>
          <w:sz w:val="20"/>
          <w:szCs w:val="20"/>
          <w:lang w:val="en-US"/>
        </w:rPr>
        <w:t xml:space="preserve"> </w:t>
      </w:r>
      <w:r w:rsidR="0086435F" w:rsidRPr="00CF6765">
        <w:rPr>
          <w:rFonts w:eastAsia="Calibri"/>
          <w:sz w:val="20"/>
          <w:szCs w:val="20"/>
          <w:lang w:val="en-US"/>
        </w:rPr>
        <w:t xml:space="preserve">No. </w:t>
      </w:r>
      <w:r w:rsidR="003C0075" w:rsidRPr="00CF6765">
        <w:rPr>
          <w:rFonts w:eastAsia="Calibri"/>
          <w:sz w:val="20"/>
          <w:szCs w:val="20"/>
          <w:lang w:val="en-US"/>
        </w:rPr>
        <w:t>75,821</w:t>
      </w:r>
      <w:r w:rsidRPr="00CF6765">
        <w:rPr>
          <w:rFonts w:eastAsia="Calibri"/>
          <w:sz w:val="20"/>
          <w:szCs w:val="20"/>
          <w:lang w:val="en-US"/>
        </w:rPr>
        <w:t xml:space="preserve"> against </w:t>
      </w:r>
      <w:r w:rsidR="00E22B60" w:rsidRPr="00CF6765">
        <w:rPr>
          <w:rFonts w:eastAsia="Calibri"/>
          <w:sz w:val="20"/>
          <w:szCs w:val="20"/>
          <w:lang w:val="en-US"/>
        </w:rPr>
        <w:t xml:space="preserve">María </w:t>
      </w:r>
      <w:proofErr w:type="spellStart"/>
      <w:r w:rsidR="00E22B60" w:rsidRPr="00CF6765">
        <w:rPr>
          <w:rFonts w:eastAsia="Calibri"/>
          <w:sz w:val="20"/>
          <w:szCs w:val="20"/>
          <w:lang w:val="en-US"/>
        </w:rPr>
        <w:t>Chacón</w:t>
      </w:r>
      <w:proofErr w:type="spellEnd"/>
      <w:r w:rsidR="00E22B60" w:rsidRPr="00CF6765">
        <w:rPr>
          <w:rFonts w:eastAsia="Calibri"/>
          <w:sz w:val="20"/>
          <w:szCs w:val="20"/>
          <w:lang w:val="en-US"/>
        </w:rPr>
        <w:t xml:space="preserve"> Fernández</w:t>
      </w:r>
      <w:r w:rsidR="00EC50FC" w:rsidRPr="00CF6765">
        <w:rPr>
          <w:rFonts w:eastAsia="Calibri"/>
          <w:sz w:val="20"/>
          <w:szCs w:val="20"/>
          <w:lang w:val="en-US"/>
        </w:rPr>
        <w:t xml:space="preserve"> and </w:t>
      </w:r>
      <w:r w:rsidR="00E22B60" w:rsidRPr="00CF6765">
        <w:rPr>
          <w:rFonts w:eastAsia="Calibri"/>
          <w:sz w:val="20"/>
          <w:szCs w:val="20"/>
          <w:lang w:val="en-US"/>
        </w:rPr>
        <w:t>o</w:t>
      </w:r>
      <w:r w:rsidRPr="00CF6765">
        <w:rPr>
          <w:rFonts w:eastAsia="Calibri"/>
          <w:sz w:val="20"/>
          <w:szCs w:val="20"/>
          <w:lang w:val="en-US"/>
        </w:rPr>
        <w:t>thers for the offense of homicide;</w:t>
      </w:r>
      <w:r w:rsidR="00E22B60" w:rsidRPr="00CF6765">
        <w:rPr>
          <w:rFonts w:eastAsia="Calibri"/>
          <w:sz w:val="20"/>
          <w:szCs w:val="20"/>
          <w:vertAlign w:val="superscript"/>
          <w:lang w:val="en-US"/>
        </w:rPr>
        <w:footnoteReference w:id="104"/>
      </w:r>
      <w:r w:rsidRPr="00CF6765">
        <w:rPr>
          <w:rFonts w:eastAsia="Calibri"/>
          <w:sz w:val="20"/>
          <w:szCs w:val="20"/>
          <w:lang w:val="en-US"/>
        </w:rPr>
        <w:t xml:space="preserve"> this was sent to </w:t>
      </w:r>
      <w:r w:rsidR="005C731C" w:rsidRPr="00CF6765">
        <w:rPr>
          <w:rFonts w:eastAsia="Calibri"/>
          <w:sz w:val="20"/>
          <w:szCs w:val="20"/>
          <w:lang w:val="en-US"/>
        </w:rPr>
        <w:t xml:space="preserve">the </w:t>
      </w:r>
      <w:r w:rsidRPr="00CF6765">
        <w:rPr>
          <w:rFonts w:eastAsia="Calibri"/>
          <w:sz w:val="20"/>
          <w:szCs w:val="20"/>
          <w:lang w:val="en-US"/>
        </w:rPr>
        <w:t>Supreme Court of Justice</w:t>
      </w:r>
      <w:r w:rsidR="00E22B60" w:rsidRPr="00CF6765">
        <w:rPr>
          <w:rFonts w:eastAsia="Calibri"/>
          <w:sz w:val="20"/>
          <w:szCs w:val="20"/>
          <w:lang w:val="en-US"/>
        </w:rPr>
        <w:t xml:space="preserve"> </w:t>
      </w:r>
      <w:r w:rsidRPr="00CF6765">
        <w:rPr>
          <w:rFonts w:eastAsia="Calibri"/>
          <w:sz w:val="20"/>
          <w:szCs w:val="20"/>
          <w:lang w:val="en-US"/>
        </w:rPr>
        <w:t>on September 9,</w:t>
      </w:r>
      <w:r w:rsidR="00E22B60" w:rsidRPr="00CF6765">
        <w:rPr>
          <w:rFonts w:eastAsia="Calibri"/>
          <w:sz w:val="20"/>
          <w:szCs w:val="20"/>
          <w:lang w:val="en-US"/>
        </w:rPr>
        <w:t xml:space="preserve"> 2008</w:t>
      </w:r>
      <w:r w:rsidRPr="00CF6765">
        <w:rPr>
          <w:rFonts w:eastAsia="Calibri"/>
          <w:sz w:val="20"/>
          <w:szCs w:val="20"/>
          <w:lang w:val="en-US"/>
        </w:rPr>
        <w:t>.</w:t>
      </w:r>
      <w:r w:rsidR="00E22B60" w:rsidRPr="00CF6765">
        <w:rPr>
          <w:rFonts w:eastAsia="Calibri"/>
          <w:sz w:val="20"/>
          <w:szCs w:val="20"/>
          <w:vertAlign w:val="superscript"/>
          <w:lang w:val="en-US"/>
        </w:rPr>
        <w:footnoteReference w:id="105"/>
      </w:r>
    </w:p>
    <w:p w14:paraId="5A0CD318" w14:textId="77777777" w:rsidR="00E22B60" w:rsidRPr="00CF6765" w:rsidRDefault="00E22B60" w:rsidP="00450250">
      <w:pPr>
        <w:tabs>
          <w:tab w:val="left" w:pos="630"/>
          <w:tab w:val="left" w:pos="810"/>
          <w:tab w:val="left" w:pos="1530"/>
          <w:tab w:val="left" w:pos="1620"/>
        </w:tabs>
        <w:ind w:right="13"/>
        <w:rPr>
          <w:rFonts w:eastAsia="Calibri"/>
          <w:sz w:val="20"/>
          <w:szCs w:val="20"/>
          <w:lang w:val="en-US"/>
        </w:rPr>
      </w:pPr>
    </w:p>
    <w:p w14:paraId="390B1477" w14:textId="567C25A9" w:rsidR="00E22B60" w:rsidRPr="00CF6765" w:rsidRDefault="00D2168F"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Vinicio</w:t>
      </w:r>
      <w:r w:rsidR="00E22B60" w:rsidRPr="00CF6765">
        <w:rPr>
          <w:rFonts w:eastAsia="Calibri"/>
          <w:sz w:val="20"/>
          <w:szCs w:val="20"/>
          <w:lang w:val="en-US"/>
        </w:rPr>
        <w:t xml:space="preserve"> Poblete Tapia </w:t>
      </w:r>
      <w:r w:rsidR="00464D65" w:rsidRPr="00CF6765">
        <w:rPr>
          <w:rFonts w:eastAsia="Calibri"/>
          <w:sz w:val="20"/>
          <w:szCs w:val="20"/>
          <w:lang w:val="en-US"/>
        </w:rPr>
        <w:t xml:space="preserve">filed several requests before the President </w:t>
      </w:r>
      <w:r w:rsidR="005C731C" w:rsidRPr="00CF6765">
        <w:rPr>
          <w:rFonts w:eastAsia="Calibri"/>
          <w:sz w:val="20"/>
          <w:szCs w:val="20"/>
          <w:lang w:val="en-US"/>
        </w:rPr>
        <w:t xml:space="preserve">of the </w:t>
      </w:r>
      <w:r w:rsidR="0014496A" w:rsidRPr="00CF6765">
        <w:rPr>
          <w:rFonts w:eastAsia="Calibri"/>
          <w:sz w:val="20"/>
          <w:szCs w:val="20"/>
          <w:lang w:val="en-US"/>
        </w:rPr>
        <w:t>Supreme Court of Justice</w:t>
      </w:r>
      <w:r w:rsidR="00E22B60" w:rsidRPr="00CF6765">
        <w:rPr>
          <w:rFonts w:eastAsia="Calibri"/>
          <w:sz w:val="20"/>
          <w:szCs w:val="20"/>
          <w:lang w:val="en-US"/>
        </w:rPr>
        <w:t xml:space="preserve"> </w:t>
      </w:r>
      <w:r w:rsidR="00464D65" w:rsidRPr="00CF6765">
        <w:rPr>
          <w:rFonts w:eastAsia="Calibri"/>
          <w:sz w:val="20"/>
          <w:szCs w:val="20"/>
          <w:lang w:val="en-US"/>
        </w:rPr>
        <w:t>between</w:t>
      </w:r>
      <w:r w:rsidR="00E22B60" w:rsidRPr="00CF6765">
        <w:rPr>
          <w:rFonts w:eastAsia="Calibri"/>
          <w:sz w:val="20"/>
          <w:szCs w:val="20"/>
          <w:lang w:val="en-US"/>
        </w:rPr>
        <w:t xml:space="preserve"> 2008</w:t>
      </w:r>
      <w:r w:rsidR="00EC50FC" w:rsidRPr="00CF6765">
        <w:rPr>
          <w:rFonts w:eastAsia="Calibri"/>
          <w:sz w:val="20"/>
          <w:szCs w:val="20"/>
          <w:lang w:val="en-US"/>
        </w:rPr>
        <w:t xml:space="preserve"> and </w:t>
      </w:r>
      <w:r w:rsidR="00E22B60" w:rsidRPr="00CF6765">
        <w:rPr>
          <w:rFonts w:eastAsia="Calibri"/>
          <w:sz w:val="20"/>
          <w:szCs w:val="20"/>
          <w:lang w:val="en-US"/>
        </w:rPr>
        <w:t xml:space="preserve">2015, </w:t>
      </w:r>
      <w:r w:rsidR="00464D65" w:rsidRPr="00CF6765">
        <w:rPr>
          <w:rFonts w:eastAsia="Calibri"/>
          <w:sz w:val="20"/>
          <w:szCs w:val="20"/>
          <w:lang w:val="en-US"/>
        </w:rPr>
        <w:t xml:space="preserve">asking him to intervene in the investigation before </w:t>
      </w:r>
      <w:r w:rsidR="002D729E" w:rsidRPr="00CF6765">
        <w:rPr>
          <w:rFonts w:eastAsia="Calibri"/>
          <w:sz w:val="20"/>
          <w:szCs w:val="20"/>
          <w:lang w:val="en-US"/>
        </w:rPr>
        <w:t>the First Civil Court</w:t>
      </w:r>
      <w:r w:rsidR="00E22B60" w:rsidRPr="00CF6765">
        <w:rPr>
          <w:rFonts w:eastAsia="Calibri"/>
          <w:sz w:val="20"/>
          <w:szCs w:val="20"/>
          <w:lang w:val="en-US"/>
        </w:rPr>
        <w:t xml:space="preserve">. </w:t>
      </w:r>
      <w:r w:rsidR="00464D65" w:rsidRPr="00CF6765">
        <w:rPr>
          <w:rFonts w:eastAsia="Calibri"/>
          <w:sz w:val="20"/>
          <w:szCs w:val="20"/>
          <w:lang w:val="en-US"/>
        </w:rPr>
        <w:t>The</w:t>
      </w:r>
      <w:r w:rsidR="00E22B60" w:rsidRPr="00CF6765">
        <w:rPr>
          <w:rFonts w:eastAsia="Calibri"/>
          <w:sz w:val="20"/>
          <w:szCs w:val="20"/>
          <w:lang w:val="en-US"/>
        </w:rPr>
        <w:t xml:space="preserve"> </w:t>
      </w:r>
      <w:r w:rsidR="005C731C" w:rsidRPr="00CF6765">
        <w:rPr>
          <w:rFonts w:eastAsia="Calibri"/>
          <w:sz w:val="20"/>
          <w:szCs w:val="20"/>
          <w:lang w:val="en-US"/>
        </w:rPr>
        <w:t xml:space="preserve">President of the </w:t>
      </w:r>
      <w:r w:rsidR="0014496A" w:rsidRPr="00CF6765">
        <w:rPr>
          <w:rFonts w:eastAsia="Calibri"/>
          <w:sz w:val="20"/>
          <w:szCs w:val="20"/>
          <w:lang w:val="en-US"/>
        </w:rPr>
        <w:t>Supreme Court of Justice</w:t>
      </w:r>
      <w:r w:rsidR="00E22B60" w:rsidRPr="00CF6765">
        <w:rPr>
          <w:rFonts w:eastAsia="Calibri"/>
          <w:sz w:val="20"/>
          <w:szCs w:val="20"/>
          <w:lang w:val="en-US"/>
        </w:rPr>
        <w:t xml:space="preserve"> r</w:t>
      </w:r>
      <w:r w:rsidR="00464D65" w:rsidRPr="00CF6765">
        <w:rPr>
          <w:rFonts w:eastAsia="Calibri"/>
          <w:sz w:val="20"/>
          <w:szCs w:val="20"/>
          <w:lang w:val="en-US"/>
        </w:rPr>
        <w:t>ejected all these requests,</w:t>
      </w:r>
      <w:r w:rsidR="00E22B60" w:rsidRPr="00CF6765">
        <w:rPr>
          <w:rFonts w:eastAsia="Calibri"/>
          <w:sz w:val="20"/>
          <w:szCs w:val="20"/>
          <w:vertAlign w:val="superscript"/>
          <w:lang w:val="en-US"/>
        </w:rPr>
        <w:footnoteReference w:id="106"/>
      </w:r>
      <w:r w:rsidR="00464D65" w:rsidRPr="00CF6765">
        <w:rPr>
          <w:rFonts w:eastAsia="Calibri"/>
          <w:sz w:val="20"/>
          <w:szCs w:val="20"/>
          <w:lang w:val="en-US"/>
        </w:rPr>
        <w:t xml:space="preserve"> repeatedly stating that “the President […] d[id] not have the authority to intervene in proceedings underway before the other courts of the Republic, indicating […</w:t>
      </w:r>
      <w:r w:rsidR="00A5404C" w:rsidRPr="00CF6765">
        <w:rPr>
          <w:rFonts w:eastAsia="Calibri"/>
          <w:sz w:val="20"/>
          <w:szCs w:val="20"/>
          <w:lang w:val="en-US"/>
        </w:rPr>
        <w:t>]</w:t>
      </w:r>
      <w:r w:rsidR="00464D65" w:rsidRPr="00CF6765">
        <w:rPr>
          <w:rFonts w:eastAsia="Calibri"/>
          <w:sz w:val="20"/>
          <w:szCs w:val="20"/>
          <w:lang w:val="en-US"/>
        </w:rPr>
        <w:t xml:space="preserve"> that the filing of procedural remedies […] constituted the appropriate way to file a complaint against judicial decisions</w:t>
      </w:r>
      <w:r w:rsidR="007161A8" w:rsidRPr="00CF6765">
        <w:rPr>
          <w:rFonts w:eastAsia="Calibri"/>
          <w:sz w:val="20"/>
          <w:szCs w:val="20"/>
          <w:lang w:val="en-US"/>
        </w:rPr>
        <w:t xml:space="preserve"> whose</w:t>
      </w:r>
      <w:r w:rsidR="00464D65" w:rsidRPr="00CF6765">
        <w:rPr>
          <w:rFonts w:eastAsia="Calibri"/>
          <w:sz w:val="20"/>
          <w:szCs w:val="20"/>
          <w:lang w:val="en-US"/>
        </w:rPr>
        <w:t xml:space="preserve"> content the parties consider</w:t>
      </w:r>
      <w:r w:rsidR="007161A8" w:rsidRPr="00CF6765">
        <w:rPr>
          <w:rFonts w:eastAsia="Calibri"/>
          <w:sz w:val="20"/>
          <w:szCs w:val="20"/>
          <w:lang w:val="en-US"/>
        </w:rPr>
        <w:t>ed</w:t>
      </w:r>
      <w:r w:rsidR="00464D65" w:rsidRPr="00CF6765">
        <w:rPr>
          <w:rFonts w:eastAsia="Calibri"/>
          <w:sz w:val="20"/>
          <w:szCs w:val="20"/>
          <w:lang w:val="en-US"/>
        </w:rPr>
        <w:t xml:space="preserve"> unfavorable to their interests” and that “the President […] lack[ed] legal </w:t>
      </w:r>
      <w:r w:rsidR="007161A8" w:rsidRPr="00CF6765">
        <w:rPr>
          <w:rFonts w:eastAsia="Calibri"/>
          <w:sz w:val="20"/>
          <w:szCs w:val="20"/>
          <w:lang w:val="en-US"/>
        </w:rPr>
        <w:t xml:space="preserve">authority </w:t>
      </w:r>
      <w:r w:rsidR="00464D65" w:rsidRPr="00CF6765">
        <w:rPr>
          <w:rFonts w:eastAsia="Calibri"/>
          <w:sz w:val="20"/>
          <w:szCs w:val="20"/>
          <w:lang w:val="en-US"/>
        </w:rPr>
        <w:t xml:space="preserve">to hear the matter […] because he is unable to intervene in judicial proceedings that have been concluded.” On January 8, 2015, the </w:t>
      </w:r>
      <w:r w:rsidR="005C731C" w:rsidRPr="00CF6765">
        <w:rPr>
          <w:rFonts w:eastAsia="Calibri"/>
          <w:sz w:val="20"/>
          <w:szCs w:val="20"/>
          <w:lang w:val="en-US"/>
        </w:rPr>
        <w:t xml:space="preserve">President of the </w:t>
      </w:r>
      <w:r w:rsidR="0014496A" w:rsidRPr="00CF6765">
        <w:rPr>
          <w:rFonts w:eastAsia="Calibri"/>
          <w:sz w:val="20"/>
          <w:szCs w:val="20"/>
          <w:lang w:val="en-US"/>
        </w:rPr>
        <w:t>Supreme Court of Justice</w:t>
      </w:r>
      <w:r w:rsidR="00E22B60" w:rsidRPr="00CF6765">
        <w:rPr>
          <w:rFonts w:eastAsia="Calibri"/>
          <w:sz w:val="20"/>
          <w:szCs w:val="20"/>
          <w:lang w:val="en-US"/>
        </w:rPr>
        <w:t xml:space="preserve"> </w:t>
      </w:r>
      <w:r w:rsidR="00464D65" w:rsidRPr="00CF6765">
        <w:rPr>
          <w:rFonts w:eastAsia="Calibri"/>
          <w:sz w:val="20"/>
          <w:szCs w:val="20"/>
          <w:lang w:val="en-US"/>
        </w:rPr>
        <w:t xml:space="preserve">stated that he “lack[ed] the legal </w:t>
      </w:r>
      <w:r w:rsidR="007161A8" w:rsidRPr="00CF6765">
        <w:rPr>
          <w:rFonts w:eastAsia="Calibri"/>
          <w:sz w:val="20"/>
          <w:szCs w:val="20"/>
          <w:lang w:val="en-US"/>
        </w:rPr>
        <w:t>authority</w:t>
      </w:r>
      <w:r w:rsidR="00464D65" w:rsidRPr="00CF6765">
        <w:rPr>
          <w:rFonts w:eastAsia="Calibri"/>
          <w:sz w:val="20"/>
          <w:szCs w:val="20"/>
          <w:lang w:val="en-US"/>
        </w:rPr>
        <w:t xml:space="preserve"> to hear the matter in question </w:t>
      </w:r>
      <w:r w:rsidR="00B328D7" w:rsidRPr="00CF6765">
        <w:rPr>
          <w:rFonts w:eastAsia="Calibri"/>
          <w:sz w:val="20"/>
          <w:szCs w:val="20"/>
          <w:lang w:val="en-US"/>
        </w:rPr>
        <w:t>because</w:t>
      </w:r>
      <w:r w:rsidR="00464D65" w:rsidRPr="00CF6765">
        <w:rPr>
          <w:rFonts w:eastAsia="Calibri"/>
          <w:sz w:val="20"/>
          <w:szCs w:val="20"/>
          <w:lang w:val="en-US"/>
        </w:rPr>
        <w:t xml:space="preserve"> the claims </w:t>
      </w:r>
      <w:r w:rsidR="007161A8" w:rsidRPr="00CF6765">
        <w:rPr>
          <w:rFonts w:eastAsia="Calibri"/>
          <w:sz w:val="20"/>
          <w:szCs w:val="20"/>
          <w:lang w:val="en-US"/>
        </w:rPr>
        <w:t>made</w:t>
      </w:r>
      <w:r w:rsidR="00464D65" w:rsidRPr="00CF6765">
        <w:rPr>
          <w:rFonts w:eastAsia="Calibri"/>
          <w:sz w:val="20"/>
          <w:szCs w:val="20"/>
          <w:lang w:val="en-US"/>
        </w:rPr>
        <w:t xml:space="preserve"> ha</w:t>
      </w:r>
      <w:r w:rsidR="007161A8" w:rsidRPr="00CF6765">
        <w:rPr>
          <w:rFonts w:eastAsia="Calibri"/>
          <w:sz w:val="20"/>
          <w:szCs w:val="20"/>
          <w:lang w:val="en-US"/>
        </w:rPr>
        <w:t>[d]</w:t>
      </w:r>
      <w:r w:rsidR="00464D65" w:rsidRPr="00CF6765">
        <w:rPr>
          <w:rFonts w:eastAsia="Calibri"/>
          <w:sz w:val="20"/>
          <w:szCs w:val="20"/>
          <w:lang w:val="en-US"/>
        </w:rPr>
        <w:t xml:space="preserve"> been heard and decided by a competent court, specifically the [Supreme Court of Justice] on August 14, </w:t>
      </w:r>
      <w:r w:rsidR="00E22B60" w:rsidRPr="00CF6765">
        <w:rPr>
          <w:rFonts w:eastAsia="Calibri"/>
          <w:sz w:val="20"/>
          <w:szCs w:val="20"/>
          <w:lang w:val="en-US"/>
        </w:rPr>
        <w:t xml:space="preserve">2014, </w:t>
      </w:r>
      <w:r w:rsidR="00464D65" w:rsidRPr="00CF6765">
        <w:rPr>
          <w:rFonts w:eastAsia="Calibri"/>
          <w:sz w:val="20"/>
          <w:szCs w:val="20"/>
          <w:lang w:val="en-US"/>
        </w:rPr>
        <w:t>and the decisions taken therein cannot be modified.</w:t>
      </w:r>
      <w:r w:rsidR="00E22B60" w:rsidRPr="00CF6765">
        <w:rPr>
          <w:rFonts w:eastAsia="Calibri"/>
          <w:sz w:val="20"/>
          <w:szCs w:val="20"/>
          <w:lang w:val="en-US"/>
        </w:rPr>
        <w:t>”</w:t>
      </w:r>
      <w:r w:rsidR="00E22B60" w:rsidRPr="00CF6765">
        <w:rPr>
          <w:rFonts w:eastAsia="Calibri"/>
          <w:sz w:val="20"/>
          <w:szCs w:val="20"/>
          <w:vertAlign w:val="superscript"/>
          <w:lang w:val="en-US"/>
        </w:rPr>
        <w:footnoteReference w:id="107"/>
      </w:r>
    </w:p>
    <w:p w14:paraId="791CDD69" w14:textId="77777777" w:rsidR="00E22B60" w:rsidRPr="00CF6765" w:rsidRDefault="00E22B60" w:rsidP="00450250">
      <w:pPr>
        <w:tabs>
          <w:tab w:val="left" w:pos="630"/>
          <w:tab w:val="left" w:pos="810"/>
          <w:tab w:val="left" w:pos="1530"/>
          <w:tab w:val="left" w:pos="1620"/>
        </w:tabs>
        <w:ind w:right="13"/>
        <w:contextualSpacing/>
        <w:rPr>
          <w:rFonts w:eastAsia="Calibri"/>
          <w:b/>
          <w:sz w:val="20"/>
          <w:szCs w:val="20"/>
          <w:lang w:val="en-US"/>
        </w:rPr>
      </w:pPr>
    </w:p>
    <w:p w14:paraId="63671096" w14:textId="076C139F" w:rsidR="00E22B60" w:rsidRPr="00CF6765" w:rsidRDefault="00E22B60" w:rsidP="00450250">
      <w:pPr>
        <w:tabs>
          <w:tab w:val="left" w:pos="567"/>
          <w:tab w:val="left" w:pos="630"/>
          <w:tab w:val="left" w:pos="810"/>
          <w:tab w:val="left" w:pos="1530"/>
          <w:tab w:val="left" w:pos="1620"/>
        </w:tabs>
        <w:autoSpaceDE w:val="0"/>
        <w:autoSpaceDN w:val="0"/>
        <w:ind w:left="1440" w:right="13"/>
        <w:contextualSpacing/>
        <w:outlineLvl w:val="2"/>
        <w:rPr>
          <w:rFonts w:eastAsia="Calibri"/>
          <w:b/>
          <w:i/>
          <w:spacing w:val="-2"/>
          <w:sz w:val="20"/>
          <w:szCs w:val="20"/>
          <w:lang w:val="en-US" w:eastAsia="x-none"/>
        </w:rPr>
      </w:pPr>
      <w:r w:rsidRPr="00CF6765">
        <w:rPr>
          <w:rFonts w:eastAsia="Calibri"/>
          <w:b/>
          <w:i/>
          <w:spacing w:val="-2"/>
          <w:sz w:val="20"/>
          <w:szCs w:val="20"/>
          <w:lang w:val="en-US" w:eastAsia="x-none"/>
        </w:rPr>
        <w:t xml:space="preserve">2. </w:t>
      </w:r>
      <w:r w:rsidR="00464D65" w:rsidRPr="00CF6765">
        <w:rPr>
          <w:rFonts w:eastAsia="Calibri"/>
          <w:b/>
          <w:i/>
          <w:spacing w:val="-2"/>
          <w:sz w:val="20"/>
          <w:szCs w:val="20"/>
          <w:lang w:val="en-US" w:eastAsia="x-none"/>
        </w:rPr>
        <w:t>Other proceedings</w:t>
      </w:r>
    </w:p>
    <w:p w14:paraId="03F425AF" w14:textId="77777777" w:rsidR="00E22B60" w:rsidRPr="00CF6765" w:rsidRDefault="00E22B60" w:rsidP="00450250">
      <w:pPr>
        <w:tabs>
          <w:tab w:val="left" w:pos="630"/>
          <w:tab w:val="left" w:pos="810"/>
          <w:tab w:val="left" w:pos="1530"/>
          <w:tab w:val="left" w:pos="1620"/>
        </w:tabs>
        <w:ind w:right="13"/>
        <w:rPr>
          <w:rFonts w:eastAsia="Calibri"/>
          <w:sz w:val="20"/>
          <w:szCs w:val="20"/>
          <w:lang w:val="en-US"/>
        </w:rPr>
      </w:pPr>
    </w:p>
    <w:p w14:paraId="48566039" w14:textId="2CD13CA5" w:rsidR="00E22B60" w:rsidRPr="00CF6765" w:rsidRDefault="00E22B60" w:rsidP="00450250">
      <w:pPr>
        <w:tabs>
          <w:tab w:val="left" w:pos="630"/>
          <w:tab w:val="left" w:pos="810"/>
          <w:tab w:val="left" w:pos="1530"/>
          <w:tab w:val="left" w:pos="1620"/>
        </w:tabs>
        <w:ind w:left="720" w:right="13" w:firstLine="720"/>
        <w:rPr>
          <w:rFonts w:eastAsia="Calibri"/>
          <w:i/>
          <w:sz w:val="20"/>
          <w:szCs w:val="20"/>
          <w:lang w:val="en-US"/>
        </w:rPr>
      </w:pPr>
      <w:r w:rsidRPr="00CF6765">
        <w:rPr>
          <w:rFonts w:eastAsia="Calibri"/>
          <w:i/>
          <w:sz w:val="20"/>
          <w:szCs w:val="20"/>
          <w:lang w:val="en-US"/>
        </w:rPr>
        <w:t xml:space="preserve">2.1 </w:t>
      </w:r>
      <w:r w:rsidR="00464D65" w:rsidRPr="00CF6765">
        <w:rPr>
          <w:rFonts w:eastAsia="Calibri"/>
          <w:i/>
          <w:sz w:val="20"/>
          <w:szCs w:val="20"/>
          <w:lang w:val="en-US"/>
        </w:rPr>
        <w:t>Mediation</w:t>
      </w:r>
    </w:p>
    <w:p w14:paraId="34B646A5" w14:textId="77777777" w:rsidR="00E22B60" w:rsidRPr="00CF6765" w:rsidRDefault="00E22B60" w:rsidP="00450250">
      <w:pPr>
        <w:tabs>
          <w:tab w:val="left" w:pos="630"/>
          <w:tab w:val="left" w:pos="810"/>
          <w:tab w:val="left" w:pos="1530"/>
          <w:tab w:val="left" w:pos="1620"/>
        </w:tabs>
        <w:ind w:right="13"/>
        <w:rPr>
          <w:rFonts w:eastAsia="Calibri"/>
          <w:sz w:val="20"/>
          <w:szCs w:val="20"/>
          <w:lang w:val="en-US"/>
        </w:rPr>
      </w:pPr>
    </w:p>
    <w:p w14:paraId="4FC0FCE9" w14:textId="63EC796B" w:rsidR="00E22B60" w:rsidRPr="00CF6765" w:rsidRDefault="002D729E"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b/>
          <w:sz w:val="20"/>
          <w:szCs w:val="20"/>
          <w:lang w:val="en-US"/>
        </w:rPr>
      </w:pPr>
      <w:r w:rsidRPr="00CF6765">
        <w:rPr>
          <w:rFonts w:eastAsia="Calibri"/>
          <w:sz w:val="20"/>
          <w:szCs w:val="20"/>
          <w:lang w:val="en-US"/>
        </w:rPr>
        <w:t>On January 13,</w:t>
      </w:r>
      <w:r w:rsidR="00E22B60" w:rsidRPr="00CF6765">
        <w:rPr>
          <w:rFonts w:eastAsia="Calibri"/>
          <w:sz w:val="20"/>
          <w:szCs w:val="20"/>
          <w:lang w:val="en-US"/>
        </w:rPr>
        <w:t xml:space="preserve"> 2006</w:t>
      </w:r>
      <w:r w:rsidR="0086435F" w:rsidRPr="00CF6765">
        <w:rPr>
          <w:rFonts w:eastAsia="Calibri"/>
          <w:sz w:val="20"/>
          <w:szCs w:val="20"/>
          <w:lang w:val="en-US"/>
        </w:rPr>
        <w:t>,</w:t>
      </w:r>
      <w:r w:rsidR="00E22B60" w:rsidRPr="00CF6765">
        <w:rPr>
          <w:rFonts w:eastAsia="Calibri"/>
          <w:sz w:val="20"/>
          <w:szCs w:val="20"/>
          <w:lang w:val="en-US"/>
        </w:rPr>
        <w:t xml:space="preserve"> </w:t>
      </w:r>
      <w:r w:rsidR="00D2168F" w:rsidRPr="00CF6765">
        <w:rPr>
          <w:rFonts w:eastAsia="Calibri"/>
          <w:sz w:val="20"/>
          <w:szCs w:val="20"/>
          <w:lang w:val="en-US"/>
        </w:rPr>
        <w:t>Vinicio</w:t>
      </w:r>
      <w:r w:rsidR="00E22B60" w:rsidRPr="00CF6765">
        <w:rPr>
          <w:rFonts w:eastAsia="Calibri"/>
          <w:sz w:val="20"/>
          <w:szCs w:val="20"/>
          <w:lang w:val="en-US"/>
        </w:rPr>
        <w:t xml:space="preserve"> Marco Antonio Poblete Tapia </w:t>
      </w:r>
      <w:r w:rsidR="006E6AEE" w:rsidRPr="00CF6765">
        <w:rPr>
          <w:rFonts w:eastAsia="Calibri"/>
          <w:sz w:val="20"/>
          <w:szCs w:val="20"/>
          <w:lang w:val="en-US"/>
        </w:rPr>
        <w:t xml:space="preserve">filed a complaint against the </w:t>
      </w:r>
      <w:proofErr w:type="spellStart"/>
      <w:r w:rsidR="006E6AEE" w:rsidRPr="00CF6765">
        <w:rPr>
          <w:rFonts w:eastAsia="Calibri"/>
          <w:sz w:val="20"/>
          <w:szCs w:val="20"/>
          <w:lang w:val="en-US"/>
        </w:rPr>
        <w:t>Sótero</w:t>
      </w:r>
      <w:proofErr w:type="spellEnd"/>
      <w:r w:rsidR="006E6AEE" w:rsidRPr="00CF6765">
        <w:rPr>
          <w:rFonts w:eastAsia="Calibri"/>
          <w:sz w:val="20"/>
          <w:szCs w:val="20"/>
          <w:lang w:val="en-US"/>
        </w:rPr>
        <w:t xml:space="preserve"> del Río Hospital and its officials with</w:t>
      </w:r>
      <w:r w:rsidR="00E22B60" w:rsidRPr="00CF6765">
        <w:rPr>
          <w:rFonts w:eastAsia="Calibri"/>
          <w:sz w:val="20"/>
          <w:szCs w:val="20"/>
          <w:lang w:val="en-US"/>
        </w:rPr>
        <w:t xml:space="preserve"> </w:t>
      </w:r>
      <w:r w:rsidR="006E6AEE" w:rsidRPr="00CF6765">
        <w:rPr>
          <w:rFonts w:eastAsia="Calibri"/>
          <w:sz w:val="20"/>
          <w:szCs w:val="20"/>
          <w:lang w:val="en-US"/>
        </w:rPr>
        <w:t>the Mediation Unit of the State Defense Council.</w:t>
      </w:r>
      <w:r w:rsidR="00E22B60" w:rsidRPr="00CF6765">
        <w:rPr>
          <w:rFonts w:eastAsia="Calibri"/>
          <w:sz w:val="20"/>
          <w:szCs w:val="20"/>
          <w:vertAlign w:val="superscript"/>
          <w:lang w:val="en-US"/>
        </w:rPr>
        <w:footnoteReference w:id="108"/>
      </w:r>
      <w:r w:rsidR="00E22B60" w:rsidRPr="00CF6765">
        <w:rPr>
          <w:rFonts w:eastAsia="Calibri"/>
          <w:sz w:val="20"/>
          <w:szCs w:val="20"/>
          <w:lang w:val="en-US"/>
        </w:rPr>
        <w:t xml:space="preserve"> </w:t>
      </w:r>
      <w:r w:rsidR="006E6AEE" w:rsidRPr="00CF6765">
        <w:rPr>
          <w:rFonts w:eastAsia="Calibri"/>
          <w:sz w:val="20"/>
          <w:szCs w:val="20"/>
          <w:lang w:val="en-US"/>
        </w:rPr>
        <w:t>The first mediation hearing was held on April 4,</w:t>
      </w:r>
      <w:r w:rsidR="00E22B60" w:rsidRPr="00CF6765">
        <w:rPr>
          <w:rFonts w:eastAsia="Calibri"/>
          <w:sz w:val="20"/>
          <w:szCs w:val="20"/>
          <w:lang w:val="en-US"/>
        </w:rPr>
        <w:t xml:space="preserve"> 2006</w:t>
      </w:r>
      <w:r w:rsidR="006E6AEE" w:rsidRPr="00CF6765">
        <w:rPr>
          <w:rFonts w:eastAsia="Calibri"/>
          <w:sz w:val="20"/>
          <w:szCs w:val="20"/>
          <w:lang w:val="en-US"/>
        </w:rPr>
        <w:t>,</w:t>
      </w:r>
      <w:r w:rsidR="00E22B60" w:rsidRPr="00CF6765">
        <w:rPr>
          <w:rFonts w:eastAsia="Calibri"/>
          <w:sz w:val="20"/>
          <w:szCs w:val="20"/>
          <w:lang w:val="en-US"/>
        </w:rPr>
        <w:t xml:space="preserve"> </w:t>
      </w:r>
      <w:r w:rsidR="000A2B07" w:rsidRPr="00CF6765">
        <w:rPr>
          <w:rFonts w:eastAsia="Calibri"/>
          <w:sz w:val="20"/>
          <w:szCs w:val="20"/>
          <w:lang w:val="en-US"/>
        </w:rPr>
        <w:t>in</w:t>
      </w:r>
      <w:r w:rsidR="006E6AEE" w:rsidRPr="00CF6765">
        <w:rPr>
          <w:rFonts w:eastAsia="Calibri"/>
          <w:sz w:val="20"/>
          <w:szCs w:val="20"/>
          <w:lang w:val="en-US"/>
        </w:rPr>
        <w:t xml:space="preserve"> the presence of</w:t>
      </w:r>
      <w:r w:rsidR="00E22B60" w:rsidRPr="00CF6765">
        <w:rPr>
          <w:rFonts w:eastAsia="Calibri"/>
          <w:sz w:val="20"/>
          <w:szCs w:val="20"/>
          <w:lang w:val="en-US"/>
        </w:rPr>
        <w:t xml:space="preserve"> Vinicio Poblete Tapia, </w:t>
      </w:r>
      <w:proofErr w:type="spellStart"/>
      <w:r w:rsidR="00E22B60" w:rsidRPr="00CF6765">
        <w:rPr>
          <w:rFonts w:eastAsia="Calibri"/>
          <w:sz w:val="20"/>
          <w:szCs w:val="20"/>
          <w:lang w:val="en-US"/>
        </w:rPr>
        <w:t>Cesia</w:t>
      </w:r>
      <w:proofErr w:type="spellEnd"/>
      <w:r w:rsidR="00E22B60" w:rsidRPr="00CF6765">
        <w:rPr>
          <w:rFonts w:eastAsia="Calibri"/>
          <w:sz w:val="20"/>
          <w:szCs w:val="20"/>
          <w:lang w:val="en-US"/>
        </w:rPr>
        <w:t xml:space="preserve"> Leila Poblete Tapia</w:t>
      </w:r>
      <w:r w:rsidR="00EC50FC" w:rsidRPr="00CF6765">
        <w:rPr>
          <w:rFonts w:eastAsia="Calibri"/>
          <w:sz w:val="20"/>
          <w:szCs w:val="20"/>
          <w:lang w:val="en-US"/>
        </w:rPr>
        <w:t xml:space="preserve"> and </w:t>
      </w:r>
      <w:r w:rsidR="00E22B60" w:rsidRPr="00CF6765">
        <w:rPr>
          <w:rFonts w:eastAsia="Calibri"/>
          <w:sz w:val="20"/>
          <w:szCs w:val="20"/>
          <w:lang w:val="en-US"/>
        </w:rPr>
        <w:t xml:space="preserve">Jorge Fuentes Poblete. </w:t>
      </w:r>
      <w:r w:rsidR="006E6AEE" w:rsidRPr="00CF6765">
        <w:rPr>
          <w:rFonts w:eastAsia="Calibri"/>
          <w:sz w:val="20"/>
          <w:szCs w:val="20"/>
          <w:lang w:val="en-US"/>
        </w:rPr>
        <w:t xml:space="preserve">The hospital was represented by the lawyer, </w:t>
      </w:r>
      <w:proofErr w:type="spellStart"/>
      <w:r w:rsidR="00E22B60" w:rsidRPr="00CF6765">
        <w:rPr>
          <w:rFonts w:eastAsia="Calibri"/>
          <w:sz w:val="20"/>
          <w:szCs w:val="20"/>
          <w:lang w:val="en-US"/>
        </w:rPr>
        <w:t>Hernán</w:t>
      </w:r>
      <w:proofErr w:type="spellEnd"/>
      <w:r w:rsidR="00E22B60" w:rsidRPr="00CF6765">
        <w:rPr>
          <w:rFonts w:eastAsia="Calibri"/>
          <w:sz w:val="20"/>
          <w:szCs w:val="20"/>
          <w:lang w:val="en-US"/>
        </w:rPr>
        <w:t xml:space="preserve"> Pardo Roche. </w:t>
      </w:r>
      <w:r w:rsidR="00D2168F" w:rsidRPr="00CF6765">
        <w:rPr>
          <w:rFonts w:eastAsia="Calibri"/>
          <w:sz w:val="20"/>
          <w:szCs w:val="20"/>
          <w:lang w:val="en-US"/>
        </w:rPr>
        <w:t>Mr. Poblete</w:t>
      </w:r>
      <w:r w:rsidR="00E22B60" w:rsidRPr="00CF6765">
        <w:rPr>
          <w:rFonts w:eastAsia="Calibri"/>
          <w:sz w:val="20"/>
          <w:szCs w:val="20"/>
          <w:lang w:val="en-US"/>
        </w:rPr>
        <w:t xml:space="preserve"> Tapia </w:t>
      </w:r>
      <w:r w:rsidR="006E6AEE" w:rsidRPr="00CF6765">
        <w:rPr>
          <w:rFonts w:eastAsia="Calibri"/>
          <w:sz w:val="20"/>
          <w:szCs w:val="20"/>
          <w:lang w:val="en-US"/>
        </w:rPr>
        <w:t>stated that</w:t>
      </w:r>
      <w:r w:rsidR="00E22B60" w:rsidRPr="00CF6765">
        <w:rPr>
          <w:rFonts w:eastAsia="Calibri"/>
          <w:sz w:val="20"/>
          <w:szCs w:val="20"/>
          <w:lang w:val="en-US"/>
        </w:rPr>
        <w:t xml:space="preserve"> “[</w:t>
      </w:r>
      <w:r w:rsidR="006E6AEE" w:rsidRPr="00CF6765">
        <w:rPr>
          <w:rFonts w:eastAsia="Calibri"/>
          <w:sz w:val="20"/>
          <w:szCs w:val="20"/>
          <w:lang w:val="en-US"/>
        </w:rPr>
        <w:t>t</w:t>
      </w:r>
      <w:r w:rsidR="00E22B60" w:rsidRPr="00CF6765">
        <w:rPr>
          <w:rFonts w:eastAsia="Calibri"/>
          <w:sz w:val="20"/>
          <w:szCs w:val="20"/>
          <w:lang w:val="en-US"/>
        </w:rPr>
        <w:t>]</w:t>
      </w:r>
      <w:r w:rsidR="006E6AEE" w:rsidRPr="00CF6765">
        <w:rPr>
          <w:rFonts w:eastAsia="Calibri"/>
          <w:sz w:val="20"/>
          <w:szCs w:val="20"/>
          <w:lang w:val="en-US"/>
        </w:rPr>
        <w:t xml:space="preserve">he </w:t>
      </w:r>
      <w:proofErr w:type="gramStart"/>
      <w:r w:rsidR="006E6AEE" w:rsidRPr="00CF6765">
        <w:rPr>
          <w:rFonts w:eastAsia="Calibri"/>
          <w:sz w:val="20"/>
          <w:szCs w:val="20"/>
          <w:lang w:val="en-US"/>
        </w:rPr>
        <w:t>lack</w:t>
      </w:r>
      <w:proofErr w:type="gramEnd"/>
      <w:r w:rsidR="006E6AEE" w:rsidRPr="00CF6765">
        <w:rPr>
          <w:rFonts w:eastAsia="Calibri"/>
          <w:sz w:val="20"/>
          <w:szCs w:val="20"/>
          <w:lang w:val="en-US"/>
        </w:rPr>
        <w:t xml:space="preserve"> of information was revealed by three facts that he categorized as serious: the </w:t>
      </w:r>
      <w:r w:rsidR="000B641A" w:rsidRPr="00CF6765">
        <w:rPr>
          <w:rFonts w:eastAsia="Calibri"/>
          <w:sz w:val="20"/>
          <w:szCs w:val="20"/>
          <w:lang w:val="en-US"/>
        </w:rPr>
        <w:t>incision</w:t>
      </w:r>
      <w:r w:rsidR="006E6AEE" w:rsidRPr="00CF6765">
        <w:rPr>
          <w:rFonts w:eastAsia="Calibri"/>
          <w:sz w:val="20"/>
          <w:szCs w:val="20"/>
          <w:lang w:val="en-US"/>
        </w:rPr>
        <w:t xml:space="preserve"> was not performed as indicated; discharge in a serious condition, and refusal to perform </w:t>
      </w:r>
      <w:r w:rsidR="000A2B07" w:rsidRPr="00CF6765">
        <w:rPr>
          <w:rFonts w:eastAsia="Calibri"/>
          <w:sz w:val="20"/>
          <w:szCs w:val="20"/>
          <w:lang w:val="en-US"/>
        </w:rPr>
        <w:t>an</w:t>
      </w:r>
      <w:r w:rsidR="006E6AEE" w:rsidRPr="00CF6765">
        <w:rPr>
          <w:rFonts w:eastAsia="Calibri"/>
          <w:sz w:val="20"/>
          <w:szCs w:val="20"/>
          <w:lang w:val="en-US"/>
        </w:rPr>
        <w:t xml:space="preserve"> autopsy.” He added that “Dr. </w:t>
      </w:r>
      <w:proofErr w:type="spellStart"/>
      <w:r w:rsidR="006E6AEE" w:rsidRPr="00CF6765">
        <w:rPr>
          <w:rFonts w:eastAsia="Calibri"/>
          <w:sz w:val="20"/>
          <w:szCs w:val="20"/>
          <w:lang w:val="en-US"/>
        </w:rPr>
        <w:t>Chacón</w:t>
      </w:r>
      <w:proofErr w:type="spellEnd"/>
      <w:r w:rsidR="006E6AEE" w:rsidRPr="00CF6765">
        <w:rPr>
          <w:rFonts w:eastAsia="Calibri"/>
          <w:sz w:val="20"/>
          <w:szCs w:val="20"/>
          <w:lang w:val="en-US"/>
        </w:rPr>
        <w:t xml:space="preserve">, […] treated the family inappropriately, </w:t>
      </w:r>
      <w:r w:rsidR="000A2B07" w:rsidRPr="00CF6765">
        <w:rPr>
          <w:rFonts w:eastAsia="Calibri"/>
          <w:sz w:val="20"/>
          <w:szCs w:val="20"/>
          <w:lang w:val="en-US"/>
        </w:rPr>
        <w:t xml:space="preserve">in a manner [he described as] </w:t>
      </w:r>
      <w:r w:rsidR="00B328D7" w:rsidRPr="00CF6765">
        <w:rPr>
          <w:rFonts w:eastAsia="Calibri"/>
          <w:sz w:val="20"/>
          <w:szCs w:val="20"/>
          <w:lang w:val="en-US"/>
        </w:rPr>
        <w:t>humiliating</w:t>
      </w:r>
      <w:r w:rsidR="000A2B07" w:rsidRPr="00CF6765">
        <w:rPr>
          <w:rFonts w:eastAsia="Calibri"/>
          <w:sz w:val="20"/>
          <w:szCs w:val="20"/>
          <w:lang w:val="en-US"/>
        </w:rPr>
        <w:t>.”</w:t>
      </w:r>
      <w:r w:rsidR="006E6AEE" w:rsidRPr="00CF6765">
        <w:rPr>
          <w:rFonts w:eastAsia="Calibri"/>
          <w:sz w:val="20"/>
          <w:szCs w:val="20"/>
          <w:lang w:val="en-US"/>
        </w:rPr>
        <w:t xml:space="preserve"> </w:t>
      </w:r>
      <w:r w:rsidR="000A2B07" w:rsidRPr="00CF6765">
        <w:rPr>
          <w:rFonts w:eastAsia="Calibri"/>
          <w:sz w:val="20"/>
          <w:szCs w:val="20"/>
          <w:lang w:val="en-US"/>
        </w:rPr>
        <w:t>However, since the doctors concerned were not present it was agreed to hold a second mediation hearing.</w:t>
      </w:r>
      <w:r w:rsidR="00E22B60" w:rsidRPr="00CF6765">
        <w:rPr>
          <w:rFonts w:eastAsia="Calibri"/>
          <w:sz w:val="20"/>
          <w:szCs w:val="20"/>
          <w:vertAlign w:val="superscript"/>
          <w:lang w:val="en-US"/>
        </w:rPr>
        <w:footnoteReference w:id="109"/>
      </w:r>
      <w:r w:rsidR="00E22B60" w:rsidRPr="00CF6765">
        <w:rPr>
          <w:rFonts w:eastAsia="Calibri"/>
          <w:sz w:val="20"/>
          <w:szCs w:val="20"/>
          <w:lang w:val="en-US"/>
        </w:rPr>
        <w:t xml:space="preserve"> </w:t>
      </w:r>
    </w:p>
    <w:p w14:paraId="39B34FBC" w14:textId="77777777" w:rsidR="00E22B60" w:rsidRPr="00CF6765" w:rsidRDefault="00E22B60" w:rsidP="00E22B60">
      <w:pPr>
        <w:tabs>
          <w:tab w:val="left" w:pos="630"/>
          <w:tab w:val="left" w:pos="810"/>
          <w:tab w:val="left" w:pos="1530"/>
          <w:tab w:val="left" w:pos="1620"/>
        </w:tabs>
        <w:ind w:right="-360"/>
        <w:rPr>
          <w:rFonts w:eastAsia="Calibri"/>
          <w:sz w:val="20"/>
          <w:szCs w:val="20"/>
          <w:lang w:val="en-US"/>
        </w:rPr>
      </w:pPr>
    </w:p>
    <w:p w14:paraId="2F06B803" w14:textId="060C1518" w:rsidR="00E22B60" w:rsidRPr="00CF6765" w:rsidRDefault="000A2B07"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On April 27,</w:t>
      </w:r>
      <w:r w:rsidR="00E22B60" w:rsidRPr="00CF6765">
        <w:rPr>
          <w:rFonts w:eastAsia="Calibri"/>
          <w:sz w:val="20"/>
          <w:szCs w:val="20"/>
          <w:lang w:val="en-US"/>
        </w:rPr>
        <w:t xml:space="preserve"> 2006</w:t>
      </w:r>
      <w:r w:rsidRPr="00CF6765">
        <w:rPr>
          <w:rFonts w:eastAsia="Calibri"/>
          <w:sz w:val="20"/>
          <w:szCs w:val="20"/>
          <w:lang w:val="en-US"/>
        </w:rPr>
        <w:t xml:space="preserve">, a second mediation </w:t>
      </w:r>
      <w:r w:rsidR="007161A8" w:rsidRPr="00CF6765">
        <w:rPr>
          <w:rFonts w:eastAsia="Calibri"/>
          <w:sz w:val="20"/>
          <w:szCs w:val="20"/>
          <w:lang w:val="en-US"/>
        </w:rPr>
        <w:t xml:space="preserve">hearing </w:t>
      </w:r>
      <w:r w:rsidRPr="00CF6765">
        <w:rPr>
          <w:rFonts w:eastAsia="Calibri"/>
          <w:sz w:val="20"/>
          <w:szCs w:val="20"/>
          <w:lang w:val="en-US"/>
        </w:rPr>
        <w:t>was held before</w:t>
      </w:r>
      <w:r w:rsidR="00E22B60" w:rsidRPr="00CF6765">
        <w:rPr>
          <w:rFonts w:eastAsia="Calibri"/>
          <w:sz w:val="20"/>
          <w:szCs w:val="20"/>
          <w:lang w:val="en-US"/>
        </w:rPr>
        <w:t xml:space="preserve"> </w:t>
      </w:r>
      <w:r w:rsidR="00527856" w:rsidRPr="00CF6765">
        <w:rPr>
          <w:rFonts w:eastAsia="Calibri"/>
          <w:sz w:val="20"/>
          <w:szCs w:val="20"/>
          <w:lang w:val="en-US"/>
        </w:rPr>
        <w:t>the Mediation Unit</w:t>
      </w:r>
      <w:r w:rsidR="00E22B60" w:rsidRPr="00CF6765">
        <w:rPr>
          <w:rFonts w:eastAsia="Calibri"/>
          <w:sz w:val="20"/>
          <w:szCs w:val="20"/>
          <w:lang w:val="en-US"/>
        </w:rPr>
        <w:t xml:space="preserve"> </w:t>
      </w:r>
      <w:r w:rsidRPr="00CF6765">
        <w:rPr>
          <w:rFonts w:eastAsia="Calibri"/>
          <w:sz w:val="20"/>
          <w:szCs w:val="20"/>
          <w:lang w:val="en-US"/>
        </w:rPr>
        <w:t xml:space="preserve">of </w:t>
      </w:r>
      <w:r w:rsidR="006E6AEE" w:rsidRPr="00CF6765">
        <w:rPr>
          <w:rFonts w:eastAsia="Calibri"/>
          <w:sz w:val="20"/>
          <w:szCs w:val="20"/>
          <w:lang w:val="en-US"/>
        </w:rPr>
        <w:t>the State Defense Council</w:t>
      </w:r>
      <w:r w:rsidR="00E22B60" w:rsidRPr="00CF6765">
        <w:rPr>
          <w:rFonts w:eastAsia="Calibri"/>
          <w:sz w:val="20"/>
          <w:szCs w:val="20"/>
          <w:lang w:val="en-US"/>
        </w:rPr>
        <w:t xml:space="preserve">. </w:t>
      </w:r>
      <w:r w:rsidRPr="00CF6765">
        <w:rPr>
          <w:rFonts w:eastAsia="Calibri"/>
          <w:sz w:val="20"/>
          <w:szCs w:val="20"/>
          <w:lang w:val="en-US"/>
        </w:rPr>
        <w:t xml:space="preserve">This was attended by, on the one hand, </w:t>
      </w:r>
      <w:r w:rsidR="00E22B60" w:rsidRPr="00CF6765">
        <w:rPr>
          <w:rFonts w:eastAsia="Calibri"/>
          <w:sz w:val="20"/>
          <w:szCs w:val="20"/>
          <w:lang w:val="en-US"/>
        </w:rPr>
        <w:t xml:space="preserve">Vinicio Marco Antonio Poblete Tapia, </w:t>
      </w:r>
      <w:proofErr w:type="spellStart"/>
      <w:r w:rsidR="00D95ABC" w:rsidRPr="00CF6765">
        <w:rPr>
          <w:rFonts w:eastAsia="Calibri"/>
          <w:sz w:val="20"/>
          <w:szCs w:val="20"/>
          <w:lang w:val="en-US"/>
        </w:rPr>
        <w:t>Cesia</w:t>
      </w:r>
      <w:proofErr w:type="spellEnd"/>
      <w:r w:rsidR="00D95ABC" w:rsidRPr="00CF6765">
        <w:rPr>
          <w:rFonts w:eastAsia="Calibri"/>
          <w:sz w:val="20"/>
          <w:szCs w:val="20"/>
          <w:lang w:val="en-US"/>
        </w:rPr>
        <w:t xml:space="preserve"> Leila Poblete Tapia</w:t>
      </w:r>
      <w:r w:rsidR="00EC50FC" w:rsidRPr="00CF6765">
        <w:rPr>
          <w:rFonts w:eastAsia="Calibri"/>
          <w:sz w:val="20"/>
          <w:szCs w:val="20"/>
          <w:lang w:val="en-US"/>
        </w:rPr>
        <w:t xml:space="preserve"> and </w:t>
      </w:r>
      <w:r w:rsidR="00E22B60" w:rsidRPr="00CF6765">
        <w:rPr>
          <w:rFonts w:eastAsia="Calibri"/>
          <w:sz w:val="20"/>
          <w:szCs w:val="20"/>
          <w:lang w:val="en-US"/>
        </w:rPr>
        <w:t xml:space="preserve">Jorge Fuentes Poblete, </w:t>
      </w:r>
      <w:r w:rsidRPr="00CF6765">
        <w:rPr>
          <w:rFonts w:eastAsia="Calibri"/>
          <w:sz w:val="20"/>
          <w:szCs w:val="20"/>
          <w:lang w:val="en-US"/>
        </w:rPr>
        <w:t>assisted by the lawyer,</w:t>
      </w:r>
      <w:r w:rsidR="00E22B60" w:rsidRPr="00CF6765">
        <w:rPr>
          <w:rFonts w:eastAsia="Calibri"/>
          <w:sz w:val="20"/>
          <w:szCs w:val="20"/>
          <w:lang w:val="en-US"/>
        </w:rPr>
        <w:t xml:space="preserve"> María Francisca Jiménez</w:t>
      </w:r>
      <w:r w:rsidRPr="00CF6765">
        <w:rPr>
          <w:rFonts w:eastAsia="Calibri"/>
          <w:sz w:val="20"/>
          <w:szCs w:val="20"/>
          <w:lang w:val="en-US"/>
        </w:rPr>
        <w:t>, and, on the other, the lawyer,</w:t>
      </w:r>
      <w:r w:rsidR="00E22B60" w:rsidRPr="00CF6765">
        <w:rPr>
          <w:rFonts w:eastAsia="Calibri"/>
          <w:sz w:val="20"/>
          <w:szCs w:val="20"/>
          <w:lang w:val="en-US"/>
        </w:rPr>
        <w:t xml:space="preserve"> </w:t>
      </w:r>
      <w:proofErr w:type="spellStart"/>
      <w:r w:rsidR="00E22B60" w:rsidRPr="00CF6765">
        <w:rPr>
          <w:rFonts w:eastAsia="Calibri"/>
          <w:sz w:val="20"/>
          <w:szCs w:val="20"/>
          <w:lang w:val="en-US"/>
        </w:rPr>
        <w:t>Hernán</w:t>
      </w:r>
      <w:proofErr w:type="spellEnd"/>
      <w:r w:rsidR="00E22B60" w:rsidRPr="00CF6765">
        <w:rPr>
          <w:rFonts w:eastAsia="Calibri"/>
          <w:sz w:val="20"/>
          <w:szCs w:val="20"/>
          <w:lang w:val="en-US"/>
        </w:rPr>
        <w:t xml:space="preserve"> Pardo Roche</w:t>
      </w:r>
      <w:r w:rsidRPr="00CF6765">
        <w:rPr>
          <w:rFonts w:eastAsia="Calibri"/>
          <w:sz w:val="20"/>
          <w:szCs w:val="20"/>
          <w:lang w:val="en-US"/>
        </w:rPr>
        <w:t>,</w:t>
      </w:r>
      <w:r w:rsidR="00EC50FC" w:rsidRPr="00CF6765">
        <w:rPr>
          <w:rFonts w:eastAsia="Calibri"/>
          <w:sz w:val="20"/>
          <w:szCs w:val="20"/>
          <w:lang w:val="en-US"/>
        </w:rPr>
        <w:t xml:space="preserve"> and </w:t>
      </w:r>
      <w:r w:rsidRPr="00CF6765">
        <w:rPr>
          <w:rFonts w:eastAsia="Calibri"/>
          <w:sz w:val="20"/>
          <w:szCs w:val="20"/>
          <w:lang w:val="en-US"/>
        </w:rPr>
        <w:t>Dr.</w:t>
      </w:r>
      <w:r w:rsidR="00E22B60" w:rsidRPr="00CF6765">
        <w:rPr>
          <w:rFonts w:eastAsia="Calibri"/>
          <w:sz w:val="20"/>
          <w:szCs w:val="20"/>
          <w:lang w:val="en-US"/>
        </w:rPr>
        <w:t xml:space="preserve"> Luis Carvajal Freire. </w:t>
      </w:r>
      <w:r w:rsidRPr="00CF6765">
        <w:rPr>
          <w:rFonts w:eastAsia="Calibri"/>
          <w:sz w:val="20"/>
          <w:szCs w:val="20"/>
          <w:lang w:val="en-US"/>
        </w:rPr>
        <w:t xml:space="preserve">On that occasion, the representative </w:t>
      </w:r>
      <w:r w:rsidR="00E15A35" w:rsidRPr="00CF6765">
        <w:rPr>
          <w:rFonts w:eastAsia="Calibri"/>
          <w:sz w:val="20"/>
          <w:szCs w:val="20"/>
          <w:lang w:val="en-US"/>
        </w:rPr>
        <w:t xml:space="preserve">of the </w:t>
      </w:r>
      <w:proofErr w:type="spellStart"/>
      <w:r w:rsidR="00E15A35" w:rsidRPr="00CF6765">
        <w:rPr>
          <w:rFonts w:eastAsia="Calibri"/>
          <w:sz w:val="20"/>
          <w:szCs w:val="20"/>
          <w:lang w:val="en-US"/>
        </w:rPr>
        <w:t>Sótero</w:t>
      </w:r>
      <w:proofErr w:type="spellEnd"/>
      <w:r w:rsidR="00E15A35" w:rsidRPr="00CF6765">
        <w:rPr>
          <w:rFonts w:eastAsia="Calibri"/>
          <w:sz w:val="20"/>
          <w:szCs w:val="20"/>
          <w:lang w:val="en-US"/>
        </w:rPr>
        <w:t xml:space="preserve"> del Río Hospital</w:t>
      </w:r>
      <w:r w:rsidR="00E22B60" w:rsidRPr="00CF6765">
        <w:rPr>
          <w:rFonts w:eastAsia="Calibri"/>
          <w:sz w:val="20"/>
          <w:szCs w:val="20"/>
          <w:lang w:val="en-US"/>
        </w:rPr>
        <w:t xml:space="preserve"> </w:t>
      </w:r>
      <w:r w:rsidRPr="00CF6765">
        <w:rPr>
          <w:rFonts w:eastAsia="Calibri"/>
          <w:sz w:val="20"/>
          <w:szCs w:val="20"/>
          <w:lang w:val="en-US"/>
        </w:rPr>
        <w:t>handed over a copy of a medical audit</w:t>
      </w:r>
      <w:r w:rsidR="00E22B60" w:rsidRPr="00CF6765">
        <w:rPr>
          <w:rFonts w:eastAsia="Calibri"/>
          <w:sz w:val="20"/>
          <w:szCs w:val="20"/>
          <w:vertAlign w:val="superscript"/>
          <w:lang w:val="en-US"/>
        </w:rPr>
        <w:footnoteReference w:id="110"/>
      </w:r>
      <w:r w:rsidR="00E22B60" w:rsidRPr="00CF6765">
        <w:rPr>
          <w:rFonts w:eastAsia="Calibri"/>
          <w:sz w:val="20"/>
          <w:szCs w:val="20"/>
          <w:lang w:val="en-US"/>
        </w:rPr>
        <w:t xml:space="preserve"> </w:t>
      </w:r>
      <w:r w:rsidRPr="00CF6765">
        <w:rPr>
          <w:rFonts w:eastAsia="Calibri"/>
          <w:sz w:val="20"/>
          <w:szCs w:val="20"/>
          <w:lang w:val="en-US"/>
        </w:rPr>
        <w:t>carried out by</w:t>
      </w:r>
      <w:r w:rsidR="00E22B60" w:rsidRPr="00CF6765">
        <w:rPr>
          <w:rFonts w:eastAsia="Calibri"/>
          <w:sz w:val="20"/>
          <w:szCs w:val="20"/>
          <w:lang w:val="en-US"/>
        </w:rPr>
        <w:t xml:space="preserve"> Sergio Valenzuela </w:t>
      </w:r>
      <w:proofErr w:type="spellStart"/>
      <w:r w:rsidR="00E22B60" w:rsidRPr="00CF6765">
        <w:rPr>
          <w:rFonts w:eastAsia="Calibri"/>
          <w:sz w:val="20"/>
          <w:szCs w:val="20"/>
          <w:lang w:val="en-US"/>
        </w:rPr>
        <w:t>Estévez</w:t>
      </w:r>
      <w:proofErr w:type="spellEnd"/>
      <w:r w:rsidR="00E22B60" w:rsidRPr="00CF6765">
        <w:rPr>
          <w:rFonts w:eastAsia="Calibri"/>
          <w:sz w:val="20"/>
          <w:szCs w:val="20"/>
          <w:lang w:val="en-US"/>
        </w:rPr>
        <w:t xml:space="preserve">, </w:t>
      </w:r>
      <w:r w:rsidRPr="00CF6765">
        <w:rPr>
          <w:rFonts w:eastAsia="Calibri"/>
          <w:sz w:val="20"/>
          <w:szCs w:val="20"/>
          <w:lang w:val="en-US"/>
        </w:rPr>
        <w:t>Head of the Audit Department</w:t>
      </w:r>
      <w:r w:rsidR="00E22B60" w:rsidRPr="00CF6765">
        <w:rPr>
          <w:rFonts w:eastAsia="Calibri"/>
          <w:sz w:val="20"/>
          <w:szCs w:val="20"/>
          <w:lang w:val="en-US"/>
        </w:rPr>
        <w:t xml:space="preserve"> </w:t>
      </w:r>
      <w:r w:rsidRPr="00CF6765">
        <w:rPr>
          <w:rFonts w:eastAsia="Calibri"/>
          <w:sz w:val="20"/>
          <w:szCs w:val="20"/>
          <w:lang w:val="en-US"/>
        </w:rPr>
        <w:t xml:space="preserve">of the </w:t>
      </w:r>
      <w:r w:rsidR="00E22B60" w:rsidRPr="00CF6765">
        <w:rPr>
          <w:rFonts w:eastAsia="Calibri"/>
          <w:sz w:val="20"/>
          <w:szCs w:val="20"/>
          <w:lang w:val="en-US"/>
        </w:rPr>
        <w:t>E</w:t>
      </w:r>
      <w:r w:rsidRPr="00CF6765">
        <w:rPr>
          <w:rFonts w:eastAsia="Calibri"/>
          <w:sz w:val="20"/>
          <w:szCs w:val="20"/>
          <w:lang w:val="en-US"/>
        </w:rPr>
        <w:t>.</w:t>
      </w:r>
      <w:r w:rsidR="00E22B60" w:rsidRPr="00CF6765">
        <w:rPr>
          <w:rFonts w:eastAsia="Calibri"/>
          <w:sz w:val="20"/>
          <w:szCs w:val="20"/>
          <w:lang w:val="en-US"/>
        </w:rPr>
        <w:t xml:space="preserve">S.M.S.O., </w:t>
      </w:r>
      <w:r w:rsidRPr="00CF6765">
        <w:rPr>
          <w:rFonts w:eastAsia="Calibri"/>
          <w:sz w:val="20"/>
          <w:szCs w:val="20"/>
          <w:lang w:val="en-US"/>
        </w:rPr>
        <w:t>dated May 29,</w:t>
      </w:r>
      <w:r w:rsidR="00E22B60" w:rsidRPr="00CF6765">
        <w:rPr>
          <w:rFonts w:eastAsia="Calibri"/>
          <w:sz w:val="20"/>
          <w:szCs w:val="20"/>
          <w:lang w:val="en-US"/>
        </w:rPr>
        <w:t xml:space="preserve"> 2001, </w:t>
      </w:r>
      <w:r w:rsidRPr="00CF6765">
        <w:rPr>
          <w:rFonts w:eastAsia="Calibri"/>
          <w:sz w:val="20"/>
          <w:szCs w:val="20"/>
          <w:lang w:val="en-US"/>
        </w:rPr>
        <w:t>which, based on the medical record, reached the following conclusion:</w:t>
      </w:r>
    </w:p>
    <w:p w14:paraId="2FCE2754" w14:textId="77777777" w:rsidR="00E22B60" w:rsidRPr="00CF6765" w:rsidRDefault="00E22B60" w:rsidP="00E22B60">
      <w:pPr>
        <w:tabs>
          <w:tab w:val="left" w:pos="630"/>
          <w:tab w:val="left" w:pos="810"/>
          <w:tab w:val="left" w:pos="1530"/>
          <w:tab w:val="left" w:pos="1620"/>
        </w:tabs>
        <w:ind w:right="-360"/>
        <w:rPr>
          <w:rFonts w:eastAsia="Calibri"/>
          <w:sz w:val="20"/>
          <w:szCs w:val="20"/>
          <w:lang w:val="en-US"/>
        </w:rPr>
      </w:pPr>
    </w:p>
    <w:p w14:paraId="12C78BFF" w14:textId="1891FBF5" w:rsidR="00E22B60" w:rsidRPr="00CF6765" w:rsidRDefault="00E22B60" w:rsidP="00450250">
      <w:pPr>
        <w:tabs>
          <w:tab w:val="left" w:pos="567"/>
          <w:tab w:val="left" w:pos="630"/>
          <w:tab w:val="left" w:pos="810"/>
          <w:tab w:val="left" w:pos="1530"/>
          <w:tab w:val="left" w:pos="1620"/>
          <w:tab w:val="num" w:pos="12305"/>
        </w:tabs>
        <w:ind w:left="630" w:right="373"/>
        <w:rPr>
          <w:rFonts w:eastAsia="Calibri"/>
          <w:sz w:val="18"/>
          <w:szCs w:val="18"/>
          <w:lang w:val="en-US"/>
        </w:rPr>
      </w:pPr>
      <w:r w:rsidRPr="00CF6765">
        <w:rPr>
          <w:rFonts w:eastAsia="Calibri"/>
          <w:sz w:val="18"/>
          <w:szCs w:val="18"/>
          <w:lang w:val="en-US"/>
        </w:rPr>
        <w:lastRenderedPageBreak/>
        <w:t xml:space="preserve">“[…] </w:t>
      </w:r>
      <w:r w:rsidR="000A2B07" w:rsidRPr="00CF6765">
        <w:rPr>
          <w:rFonts w:eastAsia="Calibri"/>
          <w:sz w:val="18"/>
          <w:szCs w:val="18"/>
          <w:lang w:val="en-US"/>
        </w:rPr>
        <w:t xml:space="preserve">In the </w:t>
      </w:r>
      <w:r w:rsidR="00B328D7" w:rsidRPr="00CF6765">
        <w:rPr>
          <w:rFonts w:eastAsia="Calibri"/>
          <w:sz w:val="18"/>
          <w:szCs w:val="18"/>
          <w:lang w:val="en-US"/>
        </w:rPr>
        <w:t>opinion</w:t>
      </w:r>
      <w:r w:rsidR="000A2B07" w:rsidRPr="00CF6765">
        <w:rPr>
          <w:rFonts w:eastAsia="Calibri"/>
          <w:sz w:val="18"/>
          <w:szCs w:val="18"/>
          <w:lang w:val="en-US"/>
        </w:rPr>
        <w:t xml:space="preserve"> of this auditor, the patient</w:t>
      </w:r>
      <w:r w:rsidR="00162310" w:rsidRPr="00CF6765">
        <w:rPr>
          <w:rFonts w:eastAsia="Calibri"/>
          <w:sz w:val="18"/>
          <w:szCs w:val="18"/>
          <w:lang w:val="en-US"/>
        </w:rPr>
        <w:t xml:space="preserve">, who was in a serious condition, </w:t>
      </w:r>
      <w:r w:rsidR="000A2B07" w:rsidRPr="00CF6765">
        <w:rPr>
          <w:rFonts w:eastAsia="Calibri"/>
          <w:sz w:val="18"/>
          <w:szCs w:val="18"/>
          <w:lang w:val="en-US"/>
        </w:rPr>
        <w:t xml:space="preserve">was treated </w:t>
      </w:r>
      <w:r w:rsidR="00162310" w:rsidRPr="00CF6765">
        <w:rPr>
          <w:rFonts w:eastAsia="Calibri"/>
          <w:sz w:val="18"/>
          <w:szCs w:val="18"/>
          <w:lang w:val="en-US"/>
        </w:rPr>
        <w:t xml:space="preserve">adequately owing to multiorgan failure. The doctor in charge discussed the seriousness of the patient’s condition with his family and the impossibility of moving him to the Medical ICU owing to the patient’s condition and prognosis, and the lack of beds. ‘The family indicates their agreement but I doubt they fully understand the prognosis and the patient’s current condition.’  He died on </w:t>
      </w:r>
      <w:r w:rsidRPr="00CF6765">
        <w:rPr>
          <w:rFonts w:eastAsia="Calibri"/>
          <w:sz w:val="18"/>
          <w:szCs w:val="18"/>
          <w:lang w:val="en-US"/>
        </w:rPr>
        <w:t xml:space="preserve">07-02-2001 </w:t>
      </w:r>
      <w:r w:rsidR="00162310" w:rsidRPr="00CF6765">
        <w:rPr>
          <w:rFonts w:eastAsia="Calibri"/>
          <w:sz w:val="18"/>
          <w:szCs w:val="18"/>
          <w:lang w:val="en-US"/>
        </w:rPr>
        <w:t>at</w:t>
      </w:r>
      <w:r w:rsidRPr="00CF6765">
        <w:rPr>
          <w:rFonts w:eastAsia="Calibri"/>
          <w:sz w:val="18"/>
          <w:szCs w:val="18"/>
          <w:lang w:val="en-US"/>
        </w:rPr>
        <w:t xml:space="preserve"> 5</w:t>
      </w:r>
      <w:r w:rsidR="00162310" w:rsidRPr="00CF6765">
        <w:rPr>
          <w:rFonts w:eastAsia="Calibri"/>
          <w:sz w:val="18"/>
          <w:szCs w:val="18"/>
          <w:lang w:val="en-US"/>
        </w:rPr>
        <w:t>.</w:t>
      </w:r>
      <w:r w:rsidRPr="00CF6765">
        <w:rPr>
          <w:rFonts w:eastAsia="Calibri"/>
          <w:sz w:val="18"/>
          <w:szCs w:val="18"/>
          <w:lang w:val="en-US"/>
        </w:rPr>
        <w:t xml:space="preserve">45 </w:t>
      </w:r>
      <w:r w:rsidR="00162310" w:rsidRPr="00CF6765">
        <w:rPr>
          <w:rFonts w:eastAsia="Calibri"/>
          <w:sz w:val="18"/>
          <w:szCs w:val="18"/>
          <w:lang w:val="en-US"/>
        </w:rPr>
        <w:t>a.m.</w:t>
      </w:r>
      <w:r w:rsidRPr="00CF6765">
        <w:rPr>
          <w:rFonts w:eastAsia="Calibri"/>
          <w:sz w:val="18"/>
          <w:szCs w:val="18"/>
          <w:lang w:val="en-US"/>
        </w:rPr>
        <w:t xml:space="preserve"> […]</w:t>
      </w:r>
      <w:r w:rsidR="00162310" w:rsidRPr="00CF6765">
        <w:rPr>
          <w:rFonts w:eastAsia="Calibri"/>
          <w:sz w:val="18"/>
          <w:szCs w:val="18"/>
          <w:lang w:val="en-US"/>
        </w:rPr>
        <w:t>.</w:t>
      </w:r>
      <w:r w:rsidRPr="00CF6765">
        <w:rPr>
          <w:rFonts w:eastAsia="Calibri"/>
          <w:sz w:val="18"/>
          <w:szCs w:val="18"/>
          <w:lang w:val="en-US"/>
        </w:rPr>
        <w:t>”</w:t>
      </w:r>
      <w:r w:rsidRPr="00CF6765">
        <w:rPr>
          <w:rFonts w:eastAsia="Calibri"/>
          <w:sz w:val="18"/>
          <w:szCs w:val="18"/>
          <w:vertAlign w:val="superscript"/>
          <w:lang w:val="en-US"/>
        </w:rPr>
        <w:footnoteReference w:id="111"/>
      </w:r>
    </w:p>
    <w:p w14:paraId="0C527E3F" w14:textId="77777777" w:rsidR="00E22B60" w:rsidRPr="00CF6765" w:rsidRDefault="00E22B60" w:rsidP="00E22B60">
      <w:pPr>
        <w:tabs>
          <w:tab w:val="left" w:pos="630"/>
          <w:tab w:val="left" w:pos="810"/>
          <w:tab w:val="left" w:pos="1530"/>
          <w:tab w:val="left" w:pos="1620"/>
        </w:tabs>
        <w:ind w:right="-360"/>
        <w:rPr>
          <w:rFonts w:eastAsia="Calibri"/>
          <w:sz w:val="18"/>
          <w:szCs w:val="18"/>
          <w:lang w:val="en-US"/>
        </w:rPr>
      </w:pPr>
    </w:p>
    <w:p w14:paraId="53C1EABC" w14:textId="47C373B1" w:rsidR="00E22B60" w:rsidRPr="00CF6765" w:rsidRDefault="00E22B60" w:rsidP="00450250">
      <w:pPr>
        <w:tabs>
          <w:tab w:val="left" w:pos="630"/>
          <w:tab w:val="left" w:pos="810"/>
          <w:tab w:val="left" w:pos="1530"/>
          <w:tab w:val="left" w:pos="1620"/>
        </w:tabs>
        <w:ind w:left="720" w:right="13" w:firstLine="720"/>
        <w:rPr>
          <w:rFonts w:eastAsia="Calibri"/>
          <w:i/>
          <w:sz w:val="20"/>
          <w:szCs w:val="20"/>
          <w:lang w:val="en-US"/>
        </w:rPr>
      </w:pPr>
      <w:r w:rsidRPr="00CF6765">
        <w:rPr>
          <w:rFonts w:eastAsia="Calibri"/>
          <w:i/>
          <w:sz w:val="20"/>
          <w:szCs w:val="20"/>
          <w:lang w:val="en-US"/>
        </w:rPr>
        <w:t xml:space="preserve">2.2 </w:t>
      </w:r>
      <w:r w:rsidR="00162310" w:rsidRPr="00CF6765">
        <w:rPr>
          <w:rFonts w:eastAsia="Calibri"/>
          <w:i/>
          <w:sz w:val="20"/>
          <w:szCs w:val="20"/>
          <w:lang w:val="en-US"/>
        </w:rPr>
        <w:t>Administrative and other procedures</w:t>
      </w:r>
    </w:p>
    <w:p w14:paraId="515722CF" w14:textId="77777777" w:rsidR="00E22B60" w:rsidRPr="00CF6765" w:rsidRDefault="00E22B60" w:rsidP="00450250">
      <w:pPr>
        <w:tabs>
          <w:tab w:val="left" w:pos="630"/>
          <w:tab w:val="left" w:pos="810"/>
          <w:tab w:val="left" w:pos="1530"/>
          <w:tab w:val="left" w:pos="1620"/>
        </w:tabs>
        <w:ind w:right="13"/>
        <w:rPr>
          <w:rFonts w:eastAsia="Calibri"/>
          <w:sz w:val="20"/>
          <w:szCs w:val="20"/>
          <w:lang w:val="en-US"/>
        </w:rPr>
      </w:pPr>
    </w:p>
    <w:p w14:paraId="16DF4A59" w14:textId="4401E1C3" w:rsidR="00E22B60" w:rsidRPr="00CF6765" w:rsidRDefault="00162310"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sz w:val="20"/>
          <w:szCs w:val="20"/>
          <w:lang w:val="en-US"/>
        </w:rPr>
      </w:pPr>
      <w:r w:rsidRPr="00CF6765">
        <w:rPr>
          <w:rFonts w:eastAsia="Calibri"/>
          <w:sz w:val="20"/>
          <w:szCs w:val="20"/>
          <w:lang w:val="en-US"/>
        </w:rPr>
        <w:t>According to information provided by the parties, a request</w:t>
      </w:r>
      <w:r w:rsidR="001515F6" w:rsidRPr="00CF6765">
        <w:rPr>
          <w:rFonts w:eastAsia="Calibri"/>
          <w:sz w:val="20"/>
          <w:szCs w:val="20"/>
          <w:lang w:val="en-US"/>
        </w:rPr>
        <w:t xml:space="preserve"> made to the </w:t>
      </w:r>
      <w:r w:rsidR="00E7177E" w:rsidRPr="00CF6765">
        <w:rPr>
          <w:rFonts w:eastAsia="Calibri"/>
          <w:sz w:val="20"/>
          <w:szCs w:val="20"/>
          <w:lang w:val="en-US"/>
        </w:rPr>
        <w:t>Department</w:t>
      </w:r>
      <w:r w:rsidR="001515F6" w:rsidRPr="00CF6765">
        <w:rPr>
          <w:rFonts w:eastAsia="Calibri"/>
          <w:sz w:val="20"/>
          <w:szCs w:val="20"/>
          <w:lang w:val="en-US"/>
        </w:rPr>
        <w:t xml:space="preserve"> of Health Service Networks by the Human Rights, Nationality and Citizenship Committee of the Chamber of Deputies</w:t>
      </w:r>
      <w:r w:rsidRPr="00CF6765">
        <w:rPr>
          <w:rFonts w:eastAsia="Calibri"/>
          <w:sz w:val="20"/>
          <w:szCs w:val="20"/>
          <w:lang w:val="en-US"/>
        </w:rPr>
        <w:t xml:space="preserve"> for information</w:t>
      </w:r>
      <w:r w:rsidR="001515F6" w:rsidRPr="00CF6765">
        <w:rPr>
          <w:rFonts w:eastAsia="Calibri"/>
          <w:sz w:val="20"/>
          <w:szCs w:val="20"/>
          <w:lang w:val="en-US"/>
        </w:rPr>
        <w:t xml:space="preserve"> on the administrative proceedings and their results, based on presumed medical negligence in the death of Mr. Poblete </w:t>
      </w:r>
      <w:proofErr w:type="spellStart"/>
      <w:r w:rsidR="001515F6" w:rsidRPr="00CF6765">
        <w:rPr>
          <w:rFonts w:eastAsia="Calibri"/>
          <w:sz w:val="20"/>
          <w:szCs w:val="20"/>
          <w:lang w:val="en-US"/>
        </w:rPr>
        <w:t>Vilches</w:t>
      </w:r>
      <w:proofErr w:type="spellEnd"/>
      <w:r w:rsidR="001515F6" w:rsidRPr="00CF6765">
        <w:rPr>
          <w:rFonts w:eastAsia="Calibri"/>
          <w:sz w:val="20"/>
          <w:szCs w:val="20"/>
          <w:lang w:val="en-US"/>
        </w:rPr>
        <w:t>, revealed that no administrative procedure of any kind</w:t>
      </w:r>
      <w:r w:rsidR="007161A8" w:rsidRPr="00CF6765">
        <w:rPr>
          <w:rFonts w:eastAsia="Calibri"/>
          <w:sz w:val="20"/>
          <w:szCs w:val="20"/>
          <w:lang w:val="en-US"/>
        </w:rPr>
        <w:t xml:space="preserve"> existed in relation</w:t>
      </w:r>
      <w:r w:rsidR="001515F6" w:rsidRPr="00CF6765">
        <w:rPr>
          <w:rFonts w:eastAsia="Calibri"/>
          <w:sz w:val="20"/>
          <w:szCs w:val="20"/>
          <w:lang w:val="en-US"/>
        </w:rPr>
        <w:t xml:space="preserve"> to </w:t>
      </w:r>
      <w:r w:rsidR="00D2168F" w:rsidRPr="00CF6765">
        <w:rPr>
          <w:rFonts w:eastAsia="Calibri"/>
          <w:sz w:val="20"/>
          <w:szCs w:val="20"/>
          <w:lang w:val="en-US"/>
        </w:rPr>
        <w:t>Vinicio</w:t>
      </w:r>
      <w:r w:rsidR="00E22B60" w:rsidRPr="00CF6765">
        <w:rPr>
          <w:rFonts w:eastAsia="Calibri"/>
          <w:sz w:val="20"/>
          <w:szCs w:val="20"/>
          <w:lang w:val="en-US"/>
        </w:rPr>
        <w:t xml:space="preserve"> Poblete </w:t>
      </w:r>
      <w:proofErr w:type="spellStart"/>
      <w:r w:rsidR="00E22B60" w:rsidRPr="00CF6765">
        <w:rPr>
          <w:rFonts w:eastAsia="Calibri"/>
          <w:sz w:val="20"/>
          <w:szCs w:val="20"/>
          <w:lang w:val="en-US"/>
        </w:rPr>
        <w:t>Vilches</w:t>
      </w:r>
      <w:proofErr w:type="spellEnd"/>
      <w:r w:rsidR="007161A8" w:rsidRPr="00CF6765">
        <w:rPr>
          <w:rFonts w:eastAsia="Calibri"/>
          <w:sz w:val="20"/>
          <w:szCs w:val="20"/>
          <w:lang w:val="en-US"/>
        </w:rPr>
        <w:t>.</w:t>
      </w:r>
      <w:r w:rsidR="00E22B60" w:rsidRPr="00CF6765">
        <w:rPr>
          <w:rFonts w:eastAsia="Calibri"/>
          <w:sz w:val="20"/>
          <w:szCs w:val="20"/>
          <w:vertAlign w:val="superscript"/>
          <w:lang w:val="en-US"/>
        </w:rPr>
        <w:footnoteReference w:id="112"/>
      </w:r>
    </w:p>
    <w:p w14:paraId="0F34086F" w14:textId="77777777" w:rsidR="00E22B60" w:rsidRPr="00CF6765" w:rsidRDefault="00E22B60" w:rsidP="00450250">
      <w:pPr>
        <w:tabs>
          <w:tab w:val="left" w:pos="630"/>
          <w:tab w:val="left" w:pos="810"/>
          <w:tab w:val="left" w:pos="1530"/>
          <w:tab w:val="left" w:pos="1620"/>
        </w:tabs>
        <w:ind w:right="13"/>
        <w:contextualSpacing/>
        <w:rPr>
          <w:rFonts w:eastAsia="Calibri"/>
          <w:sz w:val="20"/>
          <w:szCs w:val="20"/>
          <w:lang w:val="en-US"/>
        </w:rPr>
      </w:pPr>
    </w:p>
    <w:p w14:paraId="5A344478" w14:textId="17349134" w:rsidR="00E22B60" w:rsidRPr="00CF6765" w:rsidRDefault="001515F6" w:rsidP="00450250">
      <w:pPr>
        <w:numPr>
          <w:ilvl w:val="0"/>
          <w:numId w:val="2"/>
        </w:numPr>
        <w:tabs>
          <w:tab w:val="left" w:pos="567"/>
          <w:tab w:val="left" w:pos="630"/>
          <w:tab w:val="left" w:pos="810"/>
          <w:tab w:val="left" w:pos="1530"/>
          <w:tab w:val="num" w:pos="1569"/>
          <w:tab w:val="left" w:pos="1620"/>
          <w:tab w:val="num" w:pos="12305"/>
        </w:tabs>
        <w:ind w:left="0" w:right="13" w:firstLine="0"/>
        <w:rPr>
          <w:rFonts w:eastAsia="Calibri"/>
          <w:b/>
          <w:i/>
          <w:sz w:val="20"/>
          <w:szCs w:val="20"/>
          <w:lang w:val="en-US"/>
        </w:rPr>
      </w:pPr>
      <w:r w:rsidRPr="00CF6765">
        <w:rPr>
          <w:rFonts w:eastAsia="Calibri"/>
          <w:sz w:val="20"/>
          <w:szCs w:val="20"/>
          <w:lang w:val="en-US"/>
        </w:rPr>
        <w:t>The case file before</w:t>
      </w:r>
      <w:r w:rsidR="00E22B60" w:rsidRPr="00CF6765">
        <w:rPr>
          <w:rFonts w:eastAsia="Calibri"/>
          <w:sz w:val="20"/>
          <w:szCs w:val="20"/>
          <w:lang w:val="en-US"/>
        </w:rPr>
        <w:t xml:space="preserve"> </w:t>
      </w:r>
      <w:r w:rsidR="005C731C" w:rsidRPr="00CF6765">
        <w:rPr>
          <w:rFonts w:eastAsia="Calibri"/>
          <w:sz w:val="20"/>
          <w:szCs w:val="20"/>
          <w:lang w:val="en-US"/>
        </w:rPr>
        <w:t>the Court</w:t>
      </w:r>
      <w:r w:rsidR="00E22B60" w:rsidRPr="00CF6765">
        <w:rPr>
          <w:rFonts w:eastAsia="Calibri"/>
          <w:sz w:val="20"/>
          <w:szCs w:val="20"/>
          <w:lang w:val="en-US"/>
        </w:rPr>
        <w:t xml:space="preserve"> con</w:t>
      </w:r>
      <w:r w:rsidRPr="00CF6765">
        <w:rPr>
          <w:rFonts w:eastAsia="Calibri"/>
          <w:sz w:val="20"/>
          <w:szCs w:val="20"/>
          <w:lang w:val="en-US"/>
        </w:rPr>
        <w:t xml:space="preserve">tains newspaper articles dated </w:t>
      </w:r>
      <w:r w:rsidR="00E22B60" w:rsidRPr="00CF6765">
        <w:rPr>
          <w:rFonts w:eastAsia="Calibri"/>
          <w:sz w:val="20"/>
          <w:szCs w:val="20"/>
          <w:lang w:val="en-US"/>
        </w:rPr>
        <w:t>2010</w:t>
      </w:r>
      <w:r w:rsidR="00EC50FC" w:rsidRPr="00CF6765">
        <w:rPr>
          <w:rFonts w:eastAsia="Calibri"/>
          <w:sz w:val="20"/>
          <w:szCs w:val="20"/>
          <w:lang w:val="en-US"/>
        </w:rPr>
        <w:t xml:space="preserve"> and </w:t>
      </w:r>
      <w:r w:rsidR="00E22B60" w:rsidRPr="00CF6765">
        <w:rPr>
          <w:rFonts w:eastAsia="Calibri"/>
          <w:sz w:val="20"/>
          <w:szCs w:val="20"/>
          <w:lang w:val="en-US"/>
        </w:rPr>
        <w:t>2012,</w:t>
      </w:r>
      <w:r w:rsidRPr="00CF6765">
        <w:rPr>
          <w:rFonts w:eastAsia="Calibri"/>
          <w:sz w:val="20"/>
          <w:szCs w:val="20"/>
          <w:lang w:val="en-US"/>
        </w:rPr>
        <w:t xml:space="preserve"> showing that situations of medical negligence in the </w:t>
      </w:r>
      <w:proofErr w:type="spellStart"/>
      <w:r w:rsidRPr="00CF6765">
        <w:rPr>
          <w:rFonts w:eastAsia="Calibri"/>
          <w:sz w:val="20"/>
          <w:szCs w:val="20"/>
          <w:lang w:val="en-US"/>
        </w:rPr>
        <w:t>Sótero</w:t>
      </w:r>
      <w:proofErr w:type="spellEnd"/>
      <w:r w:rsidRPr="00CF6765">
        <w:rPr>
          <w:rFonts w:eastAsia="Calibri"/>
          <w:sz w:val="20"/>
          <w:szCs w:val="20"/>
          <w:lang w:val="en-US"/>
        </w:rPr>
        <w:t xml:space="preserve"> del Río Hospital had been reported.</w:t>
      </w:r>
      <w:r w:rsidR="00E22B60" w:rsidRPr="00CF6765">
        <w:rPr>
          <w:rFonts w:eastAsia="Calibri"/>
          <w:sz w:val="20"/>
          <w:szCs w:val="20"/>
          <w:vertAlign w:val="superscript"/>
          <w:lang w:val="en-US"/>
        </w:rPr>
        <w:footnoteReference w:id="113"/>
      </w:r>
      <w:r w:rsidRPr="00CF6765">
        <w:rPr>
          <w:rFonts w:eastAsia="Calibri"/>
          <w:sz w:val="20"/>
          <w:szCs w:val="20"/>
          <w:lang w:val="en-US"/>
        </w:rPr>
        <w:t xml:space="preserve"> In addition, on the webpage </w:t>
      </w:r>
      <w:r w:rsidR="00E22B60" w:rsidRPr="00CF6765">
        <w:rPr>
          <w:rFonts w:eastAsia="Calibri"/>
          <w:sz w:val="20"/>
          <w:szCs w:val="20"/>
          <w:lang w:val="en-US"/>
        </w:rPr>
        <w:t xml:space="preserve">www.reclamos.cl </w:t>
      </w:r>
      <w:r w:rsidRPr="00CF6765">
        <w:rPr>
          <w:rFonts w:eastAsia="Calibri"/>
          <w:sz w:val="20"/>
          <w:szCs w:val="20"/>
          <w:lang w:val="en-US"/>
        </w:rPr>
        <w:t>there is a list of complaints against this hospital relating to both presumed medical negligence and</w:t>
      </w:r>
      <w:r w:rsidR="007161A8" w:rsidRPr="00CF6765">
        <w:rPr>
          <w:rFonts w:eastAsia="Calibri"/>
          <w:sz w:val="20"/>
          <w:szCs w:val="20"/>
          <w:lang w:val="en-US"/>
        </w:rPr>
        <w:t xml:space="preserve"> also</w:t>
      </w:r>
      <w:r w:rsidRPr="00CF6765">
        <w:rPr>
          <w:rFonts w:eastAsia="Calibri"/>
          <w:sz w:val="20"/>
          <w:szCs w:val="20"/>
          <w:lang w:val="en-US"/>
        </w:rPr>
        <w:t xml:space="preserve"> deficient service and p</w:t>
      </w:r>
      <w:r w:rsidR="007161A8" w:rsidRPr="00CF6765">
        <w:rPr>
          <w:rFonts w:eastAsia="Calibri"/>
          <w:sz w:val="20"/>
          <w:szCs w:val="20"/>
          <w:lang w:val="en-US"/>
        </w:rPr>
        <w:t>o</w:t>
      </w:r>
      <w:r w:rsidRPr="00CF6765">
        <w:rPr>
          <w:rFonts w:eastAsia="Calibri"/>
          <w:sz w:val="20"/>
          <w:szCs w:val="20"/>
          <w:lang w:val="en-US"/>
        </w:rPr>
        <w:t>or conditions from 2011 to date.</w:t>
      </w:r>
      <w:r w:rsidR="00E22B60" w:rsidRPr="00CF6765">
        <w:rPr>
          <w:rFonts w:eastAsia="Calibri"/>
          <w:sz w:val="20"/>
          <w:szCs w:val="20"/>
          <w:vertAlign w:val="superscript"/>
          <w:lang w:val="en-US"/>
        </w:rPr>
        <w:footnoteReference w:id="114"/>
      </w:r>
    </w:p>
    <w:p w14:paraId="223387A3" w14:textId="77777777" w:rsidR="00E67349" w:rsidRPr="00CF6765" w:rsidRDefault="00E67349" w:rsidP="00E67349">
      <w:pPr>
        <w:tabs>
          <w:tab w:val="left" w:pos="567"/>
          <w:tab w:val="num" w:pos="12305"/>
        </w:tabs>
        <w:rPr>
          <w:rFonts w:eastAsia="Calibri"/>
          <w:sz w:val="20"/>
          <w:szCs w:val="20"/>
          <w:lang w:val="en-US" w:eastAsia="en-US"/>
        </w:rPr>
      </w:pPr>
    </w:p>
    <w:p w14:paraId="2DE73C1A" w14:textId="77777777" w:rsidR="00A83854" w:rsidRPr="00CF6765" w:rsidRDefault="00A83854" w:rsidP="00F322EC">
      <w:pPr>
        <w:pStyle w:val="Ttulo"/>
      </w:pPr>
      <w:bookmarkStart w:id="57" w:name="_Toc504484527"/>
      <w:bookmarkStart w:id="58" w:name="_Toc506807359"/>
      <w:bookmarkStart w:id="59" w:name="_Toc47864366"/>
      <w:bookmarkStart w:id="60" w:name="_Toc494271561"/>
      <w:r w:rsidRPr="00CF6765">
        <w:t>VI</w:t>
      </w:r>
      <w:r w:rsidR="00024506" w:rsidRPr="00CF6765">
        <w:t>I</w:t>
      </w:r>
      <w:bookmarkEnd w:id="57"/>
      <w:bookmarkEnd w:id="58"/>
      <w:bookmarkEnd w:id="59"/>
      <w:r w:rsidRPr="00CF6765">
        <w:t xml:space="preserve"> </w:t>
      </w:r>
    </w:p>
    <w:p w14:paraId="1AF97AA7" w14:textId="2E433DA5" w:rsidR="00A83854" w:rsidRPr="00CF6765" w:rsidRDefault="009C2DEF" w:rsidP="00F322EC">
      <w:pPr>
        <w:pStyle w:val="Ttulo"/>
      </w:pPr>
      <w:bookmarkStart w:id="61" w:name="_Toc47864367"/>
      <w:r w:rsidRPr="00CF6765">
        <w:t>MERITS</w:t>
      </w:r>
      <w:bookmarkEnd w:id="61"/>
    </w:p>
    <w:p w14:paraId="6FE31DE6" w14:textId="77777777" w:rsidR="00A83854" w:rsidRPr="00CF6765" w:rsidRDefault="00A83854" w:rsidP="00F322EC">
      <w:pPr>
        <w:pStyle w:val="Ttulo"/>
      </w:pPr>
    </w:p>
    <w:p w14:paraId="76FEFA76" w14:textId="1749DA9C" w:rsidR="00A83854" w:rsidRPr="00CF6765" w:rsidRDefault="00FA21D6" w:rsidP="000511AD">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This case relates to the State’s alleged international </w:t>
      </w:r>
      <w:r w:rsidR="0088423A" w:rsidRPr="00CF6765">
        <w:rPr>
          <w:rFonts w:eastAsia="Calibri"/>
          <w:sz w:val="20"/>
          <w:szCs w:val="20"/>
          <w:lang w:val="en-US" w:eastAsia="en-US"/>
        </w:rPr>
        <w:t>responsibility</w:t>
      </w:r>
      <w:r w:rsidR="00EC50FC" w:rsidRPr="00CF6765">
        <w:rPr>
          <w:rFonts w:eastAsia="Calibri"/>
          <w:sz w:val="20"/>
          <w:szCs w:val="20"/>
          <w:lang w:val="en-US" w:eastAsia="en-US"/>
        </w:rPr>
        <w:t xml:space="preserve"> </w:t>
      </w:r>
      <w:r w:rsidRPr="00CF6765">
        <w:rPr>
          <w:rFonts w:eastAsia="Calibri"/>
          <w:sz w:val="20"/>
          <w:szCs w:val="20"/>
          <w:lang w:val="en-US" w:eastAsia="en-US"/>
        </w:rPr>
        <w:t xml:space="preserve">for the </w:t>
      </w:r>
      <w:r w:rsidR="000511AD" w:rsidRPr="00CF6765">
        <w:rPr>
          <w:rFonts w:eastAsia="Calibri"/>
          <w:sz w:val="20"/>
          <w:szCs w:val="20"/>
          <w:lang w:val="en-US" w:eastAsia="en-US"/>
        </w:rPr>
        <w:t>treatment provided to</w:t>
      </w:r>
      <w:r w:rsidR="008016C2" w:rsidRPr="00CF6765">
        <w:rPr>
          <w:rFonts w:eastAsia="Calibri"/>
          <w:sz w:val="20"/>
          <w:szCs w:val="20"/>
          <w:lang w:val="en-US" w:eastAsia="en-US"/>
        </w:rPr>
        <w:t xml:space="preserve"> </w:t>
      </w:r>
      <w:r w:rsidR="009339F5" w:rsidRPr="00CF6765">
        <w:rPr>
          <w:rFonts w:eastAsia="Calibri"/>
          <w:sz w:val="20"/>
          <w:szCs w:val="20"/>
          <w:lang w:val="en-US" w:eastAsia="en-US"/>
        </w:rPr>
        <w:t>Mr. Poblete</w:t>
      </w:r>
      <w:r w:rsidR="00A83854" w:rsidRPr="00CF6765">
        <w:rPr>
          <w:rFonts w:eastAsia="Calibri"/>
          <w:sz w:val="20"/>
          <w:szCs w:val="20"/>
          <w:lang w:val="en-US" w:eastAsia="en-US"/>
        </w:rPr>
        <w:t xml:space="preserve"> </w:t>
      </w:r>
      <w:proofErr w:type="spellStart"/>
      <w:r w:rsidR="00A83854" w:rsidRPr="00CF6765">
        <w:rPr>
          <w:rFonts w:eastAsia="Calibri"/>
          <w:sz w:val="20"/>
          <w:szCs w:val="20"/>
          <w:lang w:val="en-US" w:eastAsia="en-US"/>
        </w:rPr>
        <w:t>Vilches</w:t>
      </w:r>
      <w:proofErr w:type="spellEnd"/>
      <w:r w:rsidR="00A83854" w:rsidRPr="00CF6765">
        <w:rPr>
          <w:rFonts w:eastAsia="Calibri"/>
          <w:sz w:val="20"/>
          <w:szCs w:val="20"/>
          <w:lang w:val="en-US" w:eastAsia="en-US"/>
        </w:rPr>
        <w:t xml:space="preserve">, </w:t>
      </w:r>
      <w:r w:rsidR="000511AD" w:rsidRPr="00CF6765">
        <w:rPr>
          <w:rFonts w:eastAsia="Calibri"/>
          <w:sz w:val="20"/>
          <w:szCs w:val="20"/>
          <w:lang w:val="en-US" w:eastAsia="en-US"/>
        </w:rPr>
        <w:t xml:space="preserve">who was an older person, in the </w:t>
      </w:r>
      <w:proofErr w:type="spellStart"/>
      <w:r w:rsidR="000511AD" w:rsidRPr="00CF6765">
        <w:rPr>
          <w:rFonts w:eastAsia="Calibri"/>
          <w:sz w:val="20"/>
          <w:szCs w:val="20"/>
          <w:lang w:val="en-US" w:eastAsia="en-US"/>
        </w:rPr>
        <w:t>Sótero</w:t>
      </w:r>
      <w:proofErr w:type="spellEnd"/>
      <w:r w:rsidR="000511AD" w:rsidRPr="00CF6765">
        <w:rPr>
          <w:rFonts w:eastAsia="Calibri"/>
          <w:sz w:val="20"/>
          <w:szCs w:val="20"/>
          <w:lang w:val="en-US" w:eastAsia="en-US"/>
        </w:rPr>
        <w:t xml:space="preserve"> del Río hospital, a public institution.</w:t>
      </w:r>
      <w:r w:rsidR="00617BCD" w:rsidRPr="00CF6765">
        <w:rPr>
          <w:rStyle w:val="Refdenotaalpie"/>
          <w:rFonts w:eastAsia="Calibri"/>
          <w:sz w:val="20"/>
          <w:szCs w:val="20"/>
          <w:lang w:val="en-US" w:eastAsia="en-US"/>
        </w:rPr>
        <w:footnoteReference w:id="115"/>
      </w:r>
      <w:r w:rsidR="0034410C" w:rsidRPr="00CF6765">
        <w:rPr>
          <w:rFonts w:eastAsia="Calibri"/>
          <w:sz w:val="20"/>
          <w:szCs w:val="20"/>
          <w:lang w:val="en-US" w:eastAsia="en-US"/>
        </w:rPr>
        <w:t xml:space="preserve"> </w:t>
      </w:r>
      <w:r w:rsidR="004926CE" w:rsidRPr="00CF6765">
        <w:rPr>
          <w:rFonts w:eastAsia="Calibri"/>
          <w:sz w:val="20"/>
          <w:szCs w:val="20"/>
          <w:lang w:val="en-US" w:eastAsia="en-US"/>
        </w:rPr>
        <w:t>Dur</w:t>
      </w:r>
      <w:r w:rsidR="000511AD" w:rsidRPr="00CF6765">
        <w:rPr>
          <w:rFonts w:eastAsia="Calibri"/>
          <w:sz w:val="20"/>
          <w:szCs w:val="20"/>
          <w:lang w:val="en-US" w:eastAsia="en-US"/>
        </w:rPr>
        <w:t>ing his</w:t>
      </w:r>
      <w:r w:rsidR="004926CE" w:rsidRPr="00CF6765">
        <w:rPr>
          <w:rFonts w:eastAsia="Calibri"/>
          <w:sz w:val="20"/>
          <w:szCs w:val="20"/>
          <w:lang w:val="en-US" w:eastAsia="en-US"/>
        </w:rPr>
        <w:t xml:space="preserve"> </w:t>
      </w:r>
      <w:r w:rsidR="000511AD" w:rsidRPr="00CF6765">
        <w:rPr>
          <w:rFonts w:eastAsia="Calibri"/>
          <w:sz w:val="20"/>
          <w:szCs w:val="20"/>
          <w:lang w:val="en-US" w:eastAsia="en-US"/>
        </w:rPr>
        <w:t>f</w:t>
      </w:r>
      <w:r w:rsidR="00B06735" w:rsidRPr="00CF6765">
        <w:rPr>
          <w:rFonts w:eastAsia="Calibri"/>
          <w:sz w:val="20"/>
          <w:szCs w:val="20"/>
          <w:lang w:val="en-US" w:eastAsia="en-US"/>
        </w:rPr>
        <w:t>irst admission</w:t>
      </w:r>
      <w:r w:rsidR="000511AD" w:rsidRPr="00CF6765">
        <w:rPr>
          <w:rFonts w:eastAsia="Calibri"/>
          <w:sz w:val="20"/>
          <w:szCs w:val="20"/>
          <w:lang w:val="en-US" w:eastAsia="en-US"/>
        </w:rPr>
        <w:t>, a procedure was performed on him, presumably when the patient was unconscious, without the consent of the family. It is also alleged that he was discharged too soon and, during his second admission, he was refused the treatment he required, which resulted in his subsequent death in the same hospital. The case also relates to the judicial investigations and actions conducted to clarify his death and, if app</w:t>
      </w:r>
      <w:r w:rsidR="007161A8" w:rsidRPr="00CF6765">
        <w:rPr>
          <w:rFonts w:eastAsia="Calibri"/>
          <w:sz w:val="20"/>
          <w:szCs w:val="20"/>
          <w:lang w:val="en-US" w:eastAsia="en-US"/>
        </w:rPr>
        <w:t>ropriate</w:t>
      </w:r>
      <w:r w:rsidR="000511AD" w:rsidRPr="00CF6765">
        <w:rPr>
          <w:rFonts w:eastAsia="Calibri"/>
          <w:sz w:val="20"/>
          <w:szCs w:val="20"/>
          <w:lang w:val="en-US" w:eastAsia="en-US"/>
        </w:rPr>
        <w:t xml:space="preserve">, identify the corresponding responsibilities, as well as any possible adverse effects suffered by the members of his family. Consequently, and taking into account </w:t>
      </w:r>
      <w:r w:rsidR="0088423A" w:rsidRPr="00CF6765">
        <w:rPr>
          <w:rFonts w:eastAsia="Calibri"/>
          <w:sz w:val="20"/>
          <w:szCs w:val="20"/>
          <w:lang w:val="en-US" w:eastAsia="en-US"/>
        </w:rPr>
        <w:t>the State’s partial acknowledgement of responsibility</w:t>
      </w:r>
      <w:r w:rsidR="004926CE"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4926CE" w:rsidRPr="00CF6765">
        <w:rPr>
          <w:rFonts w:eastAsia="Calibri"/>
          <w:sz w:val="20"/>
          <w:szCs w:val="20"/>
          <w:lang w:val="en-US" w:eastAsia="en-US"/>
        </w:rPr>
        <w:t xml:space="preserve"> </w:t>
      </w:r>
      <w:r w:rsidR="000511AD" w:rsidRPr="00CF6765">
        <w:rPr>
          <w:rFonts w:eastAsia="Calibri"/>
          <w:sz w:val="20"/>
          <w:szCs w:val="20"/>
          <w:lang w:val="en-US" w:eastAsia="en-US"/>
        </w:rPr>
        <w:t xml:space="preserve">must </w:t>
      </w:r>
      <w:r w:rsidR="004926CE" w:rsidRPr="00CF6765">
        <w:rPr>
          <w:rFonts w:eastAsia="Calibri"/>
          <w:sz w:val="20"/>
          <w:szCs w:val="20"/>
          <w:lang w:val="en-US" w:eastAsia="en-US"/>
        </w:rPr>
        <w:t>determin</w:t>
      </w:r>
      <w:r w:rsidR="000511AD" w:rsidRPr="00CF6765">
        <w:rPr>
          <w:rFonts w:eastAsia="Calibri"/>
          <w:sz w:val="20"/>
          <w:szCs w:val="20"/>
          <w:lang w:val="en-US" w:eastAsia="en-US"/>
        </w:rPr>
        <w:t xml:space="preserve">e the scope of the violations that have been proved. To this end, the Court will analyze the arguments presented by the parties </w:t>
      </w:r>
      <w:r w:rsidR="00EC50FC" w:rsidRPr="00CF6765">
        <w:rPr>
          <w:rFonts w:eastAsiaTheme="minorHAnsi" w:cs="Verdana"/>
          <w:color w:val="000000"/>
          <w:sz w:val="20"/>
          <w:szCs w:val="20"/>
          <w:lang w:val="en-US" w:eastAsia="en-US"/>
        </w:rPr>
        <w:t xml:space="preserve">and </w:t>
      </w:r>
      <w:r w:rsidR="005C731C" w:rsidRPr="00CF6765">
        <w:rPr>
          <w:rFonts w:eastAsiaTheme="minorHAnsi" w:cs="Verdana"/>
          <w:color w:val="000000"/>
          <w:sz w:val="20"/>
          <w:szCs w:val="20"/>
          <w:lang w:val="en-US" w:eastAsia="en-US"/>
        </w:rPr>
        <w:t>the Commission</w:t>
      </w:r>
      <w:r w:rsidR="00A83854" w:rsidRPr="00CF6765">
        <w:rPr>
          <w:rFonts w:eastAsiaTheme="minorHAnsi" w:cs="Verdana"/>
          <w:color w:val="000000"/>
          <w:sz w:val="20"/>
          <w:szCs w:val="20"/>
          <w:lang w:val="en-US" w:eastAsia="en-US"/>
        </w:rPr>
        <w:t>,</w:t>
      </w:r>
      <w:r w:rsidR="00EC50FC" w:rsidRPr="00CF6765">
        <w:rPr>
          <w:rFonts w:eastAsiaTheme="minorHAnsi" w:cs="Verdana"/>
          <w:color w:val="000000"/>
          <w:sz w:val="20"/>
          <w:szCs w:val="20"/>
          <w:lang w:val="en-US" w:eastAsia="en-US"/>
        </w:rPr>
        <w:t xml:space="preserve"> and </w:t>
      </w:r>
      <w:r w:rsidR="000511AD" w:rsidRPr="00CF6765">
        <w:rPr>
          <w:rFonts w:eastAsiaTheme="minorHAnsi" w:cs="Verdana"/>
          <w:color w:val="000000"/>
          <w:sz w:val="20"/>
          <w:szCs w:val="20"/>
          <w:lang w:val="en-US" w:eastAsia="en-US"/>
        </w:rPr>
        <w:t xml:space="preserve">will </w:t>
      </w:r>
      <w:r w:rsidR="000511AD" w:rsidRPr="00CF6765">
        <w:rPr>
          <w:rFonts w:eastAsiaTheme="minorHAnsi" w:cs="Verdana"/>
          <w:color w:val="000000"/>
          <w:sz w:val="20"/>
          <w:szCs w:val="20"/>
          <w:lang w:val="en-US" w:eastAsia="en-US"/>
        </w:rPr>
        <w:lastRenderedPageBreak/>
        <w:t xml:space="preserve">develop </w:t>
      </w:r>
      <w:r w:rsidR="005F6F63" w:rsidRPr="00CF6765">
        <w:rPr>
          <w:rFonts w:eastAsiaTheme="minorHAnsi" w:cs="Verdana"/>
          <w:color w:val="000000"/>
          <w:sz w:val="20"/>
          <w:szCs w:val="20"/>
          <w:lang w:val="en-US" w:eastAsia="en-US"/>
        </w:rPr>
        <w:t xml:space="preserve">the </w:t>
      </w:r>
      <w:r w:rsidR="000511AD" w:rsidRPr="00CF6765">
        <w:rPr>
          <w:rFonts w:eastAsiaTheme="minorHAnsi" w:cs="Verdana"/>
          <w:color w:val="000000"/>
          <w:sz w:val="20"/>
          <w:szCs w:val="20"/>
          <w:lang w:val="en-US" w:eastAsia="en-US"/>
        </w:rPr>
        <w:t>relevant consideration</w:t>
      </w:r>
      <w:r w:rsidR="005F6F63" w:rsidRPr="00CF6765">
        <w:rPr>
          <w:rFonts w:eastAsiaTheme="minorHAnsi" w:cs="Verdana"/>
          <w:color w:val="000000"/>
          <w:sz w:val="20"/>
          <w:szCs w:val="20"/>
          <w:lang w:val="en-US" w:eastAsia="en-US"/>
        </w:rPr>
        <w:t xml:space="preserve">s of law related to the right to health </w:t>
      </w:r>
      <w:r w:rsidR="00A83854" w:rsidRPr="00CF6765">
        <w:rPr>
          <w:rFonts w:eastAsiaTheme="minorHAnsi" w:cs="Verdana"/>
          <w:color w:val="000000"/>
          <w:sz w:val="20"/>
          <w:szCs w:val="20"/>
          <w:lang w:val="en-US" w:eastAsia="en-US"/>
        </w:rPr>
        <w:t>(</w:t>
      </w:r>
      <w:r w:rsidR="005C731C" w:rsidRPr="00CF6765">
        <w:rPr>
          <w:rFonts w:eastAsiaTheme="minorHAnsi" w:cs="Verdana"/>
          <w:color w:val="000000"/>
          <w:sz w:val="20"/>
          <w:szCs w:val="20"/>
          <w:lang w:val="en-US" w:eastAsia="en-US"/>
        </w:rPr>
        <w:t>Article</w:t>
      </w:r>
      <w:r w:rsidR="00A83854" w:rsidRPr="00CF6765">
        <w:rPr>
          <w:rFonts w:eastAsiaTheme="minorHAnsi" w:cs="Verdana"/>
          <w:color w:val="000000"/>
          <w:sz w:val="20"/>
          <w:szCs w:val="20"/>
          <w:lang w:val="en-US" w:eastAsia="en-US"/>
        </w:rPr>
        <w:t xml:space="preserve"> 26</w:t>
      </w:r>
      <w:r w:rsidR="00F77DA9" w:rsidRPr="00CF6765">
        <w:rPr>
          <w:rStyle w:val="Refdenotaalpie"/>
          <w:rFonts w:eastAsiaTheme="minorHAnsi" w:cs="Verdana"/>
          <w:color w:val="000000"/>
          <w:sz w:val="20"/>
          <w:szCs w:val="20"/>
          <w:lang w:val="en-US" w:eastAsia="en-US"/>
        </w:rPr>
        <w:footnoteReference w:id="116"/>
      </w:r>
      <w:r w:rsidR="00A83854" w:rsidRPr="00CF6765">
        <w:rPr>
          <w:rFonts w:eastAsiaTheme="minorHAnsi" w:cs="Verdana"/>
          <w:color w:val="000000"/>
          <w:sz w:val="20"/>
          <w:szCs w:val="20"/>
          <w:lang w:val="en-US" w:eastAsia="en-US"/>
        </w:rPr>
        <w:t>)</w:t>
      </w:r>
      <w:r w:rsidR="00F30375" w:rsidRPr="00CF6765">
        <w:rPr>
          <w:rFonts w:eastAsiaTheme="minorHAnsi" w:cs="Verdana"/>
          <w:color w:val="000000"/>
          <w:sz w:val="20"/>
          <w:szCs w:val="20"/>
          <w:lang w:val="en-US" w:eastAsia="en-US"/>
        </w:rPr>
        <w:t>;</w:t>
      </w:r>
      <w:r w:rsidR="00A83854" w:rsidRPr="00CF6765">
        <w:rPr>
          <w:rFonts w:eastAsiaTheme="minorHAnsi" w:cs="Verdana"/>
          <w:color w:val="000000"/>
          <w:sz w:val="20"/>
          <w:szCs w:val="20"/>
          <w:lang w:val="en-US" w:eastAsia="en-US"/>
        </w:rPr>
        <w:t xml:space="preserve"> </w:t>
      </w:r>
      <w:r w:rsidR="005F6F63" w:rsidRPr="00CF6765">
        <w:rPr>
          <w:rFonts w:eastAsiaTheme="minorHAnsi" w:cs="Verdana"/>
          <w:color w:val="000000"/>
          <w:sz w:val="20"/>
          <w:szCs w:val="20"/>
          <w:lang w:val="en-US" w:eastAsia="en-US"/>
        </w:rPr>
        <w:t xml:space="preserve">the rights to life and </w:t>
      </w:r>
      <w:r w:rsidR="007161A8" w:rsidRPr="00CF6765">
        <w:rPr>
          <w:rFonts w:eastAsiaTheme="minorHAnsi" w:cs="Verdana"/>
          <w:color w:val="000000"/>
          <w:sz w:val="20"/>
          <w:szCs w:val="20"/>
          <w:lang w:val="en-US" w:eastAsia="en-US"/>
        </w:rPr>
        <w:t xml:space="preserve">to </w:t>
      </w:r>
      <w:r w:rsidR="005F6F63" w:rsidRPr="00CF6765">
        <w:rPr>
          <w:rFonts w:eastAsiaTheme="minorHAnsi" w:cs="Verdana"/>
          <w:color w:val="000000"/>
          <w:sz w:val="20"/>
          <w:szCs w:val="20"/>
          <w:lang w:val="en-US" w:eastAsia="en-US"/>
        </w:rPr>
        <w:t xml:space="preserve">personal integrity </w:t>
      </w:r>
      <w:r w:rsidR="00A83854" w:rsidRPr="00CF6765">
        <w:rPr>
          <w:rFonts w:eastAsiaTheme="minorHAnsi" w:cs="Verdana"/>
          <w:color w:val="000000"/>
          <w:sz w:val="20"/>
          <w:szCs w:val="20"/>
          <w:lang w:val="en-US" w:eastAsia="en-US"/>
        </w:rPr>
        <w:t>(</w:t>
      </w:r>
      <w:r w:rsidR="005C731C" w:rsidRPr="00CF6765">
        <w:rPr>
          <w:rFonts w:eastAsiaTheme="minorHAnsi" w:cs="Verdana"/>
          <w:color w:val="000000"/>
          <w:sz w:val="20"/>
          <w:szCs w:val="20"/>
          <w:lang w:val="en-US" w:eastAsia="en-US"/>
        </w:rPr>
        <w:t>Articles</w:t>
      </w:r>
      <w:r w:rsidR="00A83854" w:rsidRPr="00CF6765">
        <w:rPr>
          <w:rFonts w:eastAsiaTheme="minorHAnsi" w:cs="Verdana"/>
          <w:color w:val="000000"/>
          <w:sz w:val="20"/>
          <w:szCs w:val="20"/>
          <w:lang w:val="en-US" w:eastAsia="en-US"/>
        </w:rPr>
        <w:t xml:space="preserve"> 4</w:t>
      </w:r>
      <w:r w:rsidR="00F77DA9" w:rsidRPr="00CF6765">
        <w:rPr>
          <w:rStyle w:val="Refdenotaalpie"/>
          <w:rFonts w:eastAsiaTheme="minorHAnsi" w:cs="Verdana"/>
          <w:color w:val="000000"/>
          <w:sz w:val="20"/>
          <w:szCs w:val="20"/>
          <w:lang w:val="en-US" w:eastAsia="en-US"/>
        </w:rPr>
        <w:footnoteReference w:id="117"/>
      </w:r>
      <w:r w:rsidR="00EC50FC" w:rsidRPr="00CF6765">
        <w:rPr>
          <w:rFonts w:eastAsiaTheme="minorHAnsi" w:cs="Verdana"/>
          <w:color w:val="000000"/>
          <w:sz w:val="20"/>
          <w:szCs w:val="20"/>
          <w:lang w:val="en-US" w:eastAsia="en-US"/>
        </w:rPr>
        <w:t xml:space="preserve"> and </w:t>
      </w:r>
      <w:r w:rsidR="00A83854" w:rsidRPr="00CF6765">
        <w:rPr>
          <w:rFonts w:eastAsiaTheme="minorHAnsi" w:cs="Verdana"/>
          <w:color w:val="000000"/>
          <w:sz w:val="20"/>
          <w:szCs w:val="20"/>
          <w:lang w:val="en-US" w:eastAsia="en-US"/>
        </w:rPr>
        <w:t>5</w:t>
      </w:r>
      <w:r w:rsidR="00F77DA9" w:rsidRPr="00CF6765">
        <w:rPr>
          <w:rStyle w:val="Refdenotaalpie"/>
          <w:rFonts w:eastAsiaTheme="minorHAnsi" w:cs="Verdana"/>
          <w:color w:val="000000"/>
          <w:sz w:val="20"/>
          <w:szCs w:val="20"/>
          <w:lang w:val="en-US" w:eastAsia="en-US"/>
        </w:rPr>
        <w:footnoteReference w:id="118"/>
      </w:r>
      <w:r w:rsidR="00A83854" w:rsidRPr="00CF6765">
        <w:rPr>
          <w:rFonts w:eastAsiaTheme="minorHAnsi" w:cs="Verdana"/>
          <w:color w:val="000000"/>
          <w:sz w:val="20"/>
          <w:szCs w:val="20"/>
          <w:lang w:val="en-US" w:eastAsia="en-US"/>
        </w:rPr>
        <w:t>),</w:t>
      </w:r>
      <w:r w:rsidR="00EC50FC" w:rsidRPr="00CF6765">
        <w:rPr>
          <w:rFonts w:eastAsiaTheme="minorHAnsi" w:cs="Verdana"/>
          <w:color w:val="000000"/>
          <w:sz w:val="20"/>
          <w:szCs w:val="20"/>
          <w:lang w:val="en-US" w:eastAsia="en-US"/>
        </w:rPr>
        <w:t xml:space="preserve"> and</w:t>
      </w:r>
      <w:r w:rsidR="005F6F63" w:rsidRPr="00CF6765">
        <w:rPr>
          <w:rFonts w:eastAsiaTheme="minorHAnsi" w:cs="Verdana"/>
          <w:color w:val="000000"/>
          <w:sz w:val="20"/>
          <w:szCs w:val="20"/>
          <w:lang w:val="en-US" w:eastAsia="en-US"/>
        </w:rPr>
        <w:t xml:space="preserve"> the right to informed consent in health matters </w:t>
      </w:r>
      <w:r w:rsidR="00A54B13" w:rsidRPr="00CF6765">
        <w:rPr>
          <w:rFonts w:eastAsiaTheme="minorHAnsi" w:cs="Verdana"/>
          <w:color w:val="000000"/>
          <w:sz w:val="20"/>
          <w:szCs w:val="20"/>
          <w:lang w:val="en-US" w:eastAsia="en-US"/>
        </w:rPr>
        <w:t>(</w:t>
      </w:r>
      <w:r w:rsidR="005C731C" w:rsidRPr="00CF6765">
        <w:rPr>
          <w:rFonts w:eastAsiaTheme="minorHAnsi" w:cs="Verdana"/>
          <w:color w:val="000000"/>
          <w:sz w:val="20"/>
          <w:szCs w:val="20"/>
          <w:lang w:val="en-US" w:eastAsia="en-US"/>
        </w:rPr>
        <w:t>Articles</w:t>
      </w:r>
      <w:r w:rsidR="00A54B13" w:rsidRPr="00CF6765">
        <w:rPr>
          <w:rFonts w:eastAsiaTheme="minorHAnsi" w:cs="Verdana"/>
          <w:color w:val="000000"/>
          <w:sz w:val="20"/>
          <w:szCs w:val="20"/>
          <w:lang w:val="en-US" w:eastAsia="en-US"/>
        </w:rPr>
        <w:t xml:space="preserve"> 26, </w:t>
      </w:r>
      <w:r w:rsidR="00A83854" w:rsidRPr="00CF6765">
        <w:rPr>
          <w:rFonts w:eastAsiaTheme="minorHAnsi" w:cs="Verdana"/>
          <w:color w:val="000000"/>
          <w:sz w:val="20"/>
          <w:szCs w:val="20"/>
          <w:lang w:val="en-US" w:eastAsia="en-US"/>
        </w:rPr>
        <w:t>13</w:t>
      </w:r>
      <w:r w:rsidR="005F6F63" w:rsidRPr="00CF6765">
        <w:rPr>
          <w:rFonts w:eastAsiaTheme="minorHAnsi" w:cs="Verdana"/>
          <w:color w:val="000000"/>
          <w:sz w:val="20"/>
          <w:szCs w:val="20"/>
          <w:lang w:val="en-US" w:eastAsia="en-US"/>
        </w:rPr>
        <w:t>,</w:t>
      </w:r>
      <w:r w:rsidR="00F77DA9" w:rsidRPr="00CF6765">
        <w:rPr>
          <w:rStyle w:val="Refdenotaalpie"/>
          <w:rFonts w:eastAsiaTheme="minorHAnsi" w:cs="Verdana"/>
          <w:color w:val="000000"/>
          <w:sz w:val="20"/>
          <w:szCs w:val="20"/>
          <w:lang w:val="en-US" w:eastAsia="en-US"/>
        </w:rPr>
        <w:footnoteReference w:id="119"/>
      </w:r>
      <w:r w:rsidR="00A54B13" w:rsidRPr="00CF6765">
        <w:rPr>
          <w:rFonts w:eastAsiaTheme="minorHAnsi" w:cs="Verdana"/>
          <w:color w:val="000000"/>
          <w:sz w:val="20"/>
          <w:szCs w:val="20"/>
          <w:lang w:val="en-US" w:eastAsia="en-US"/>
        </w:rPr>
        <w:t xml:space="preserve"> 11</w:t>
      </w:r>
      <w:r w:rsidR="00F77DA9" w:rsidRPr="00CF6765">
        <w:rPr>
          <w:rStyle w:val="Refdenotaalpie"/>
          <w:rFonts w:eastAsiaTheme="minorHAnsi" w:cs="Verdana"/>
          <w:color w:val="000000"/>
          <w:sz w:val="20"/>
          <w:szCs w:val="20"/>
          <w:lang w:val="en-US" w:eastAsia="en-US"/>
        </w:rPr>
        <w:footnoteReference w:id="120"/>
      </w:r>
      <w:r w:rsidR="00EC50FC" w:rsidRPr="00CF6765">
        <w:rPr>
          <w:rFonts w:eastAsiaTheme="minorHAnsi" w:cs="Verdana"/>
          <w:color w:val="000000"/>
          <w:sz w:val="20"/>
          <w:szCs w:val="20"/>
          <w:lang w:val="en-US" w:eastAsia="en-US"/>
        </w:rPr>
        <w:t xml:space="preserve"> and </w:t>
      </w:r>
      <w:r w:rsidR="00A54B13" w:rsidRPr="00CF6765">
        <w:rPr>
          <w:rFonts w:eastAsiaTheme="minorHAnsi" w:cs="Verdana"/>
          <w:color w:val="000000"/>
          <w:sz w:val="20"/>
          <w:szCs w:val="20"/>
          <w:lang w:val="en-US" w:eastAsia="en-US"/>
        </w:rPr>
        <w:t>7</w:t>
      </w:r>
      <w:r w:rsidR="00F77DA9" w:rsidRPr="00CF6765">
        <w:rPr>
          <w:rStyle w:val="Refdenotaalpie"/>
          <w:rFonts w:eastAsiaTheme="minorHAnsi" w:cs="Verdana"/>
          <w:color w:val="000000"/>
          <w:sz w:val="20"/>
          <w:szCs w:val="20"/>
          <w:lang w:val="en-US" w:eastAsia="en-US"/>
        </w:rPr>
        <w:footnoteReference w:id="121"/>
      </w:r>
      <w:r w:rsidR="008016C2" w:rsidRPr="00CF6765">
        <w:rPr>
          <w:rFonts w:eastAsiaTheme="minorHAnsi" w:cs="Verdana"/>
          <w:color w:val="000000"/>
          <w:sz w:val="20"/>
          <w:szCs w:val="20"/>
          <w:lang w:val="en-US" w:eastAsia="en-US"/>
        </w:rPr>
        <w:t xml:space="preserve">). </w:t>
      </w:r>
      <w:r w:rsidR="005F6F63" w:rsidRPr="00CF6765">
        <w:rPr>
          <w:rFonts w:eastAsiaTheme="minorHAnsi" w:cs="Verdana"/>
          <w:color w:val="000000"/>
          <w:sz w:val="20"/>
          <w:szCs w:val="20"/>
          <w:lang w:val="en-US" w:eastAsia="en-US"/>
        </w:rPr>
        <w:t xml:space="preserve">It will also </w:t>
      </w:r>
      <w:r w:rsidR="00B328D7" w:rsidRPr="00CF6765">
        <w:rPr>
          <w:rFonts w:eastAsiaTheme="minorHAnsi" w:cs="Verdana"/>
          <w:color w:val="000000"/>
          <w:sz w:val="20"/>
          <w:szCs w:val="20"/>
          <w:lang w:val="en-US" w:eastAsia="en-US"/>
        </w:rPr>
        <w:t>analyze</w:t>
      </w:r>
      <w:r w:rsidR="005F6F63" w:rsidRPr="00CF6765">
        <w:rPr>
          <w:rFonts w:eastAsiaTheme="minorHAnsi" w:cs="Verdana"/>
          <w:color w:val="000000"/>
          <w:sz w:val="20"/>
          <w:szCs w:val="20"/>
          <w:lang w:val="en-US" w:eastAsia="en-US"/>
        </w:rPr>
        <w:t xml:space="preserve"> </w:t>
      </w:r>
      <w:r w:rsidR="00B328D7" w:rsidRPr="00CF6765">
        <w:rPr>
          <w:rFonts w:eastAsiaTheme="minorHAnsi" w:cs="Verdana"/>
          <w:color w:val="000000"/>
          <w:sz w:val="20"/>
          <w:szCs w:val="20"/>
          <w:lang w:val="en-US" w:eastAsia="en-US"/>
        </w:rPr>
        <w:t>the</w:t>
      </w:r>
      <w:r w:rsidR="005F6F63" w:rsidRPr="00CF6765">
        <w:rPr>
          <w:rFonts w:eastAsiaTheme="minorHAnsi" w:cs="Verdana"/>
          <w:color w:val="000000"/>
          <w:sz w:val="20"/>
          <w:szCs w:val="20"/>
          <w:lang w:val="en-US" w:eastAsia="en-US"/>
        </w:rPr>
        <w:t xml:space="preserve"> right to judicial guarantees</w:t>
      </w:r>
      <w:r w:rsidR="00EC50FC" w:rsidRPr="00CF6765">
        <w:rPr>
          <w:rFonts w:eastAsiaTheme="minorHAnsi" w:cs="Verdana"/>
          <w:color w:val="000000"/>
          <w:sz w:val="20"/>
          <w:szCs w:val="20"/>
          <w:lang w:val="en-US" w:eastAsia="en-US"/>
        </w:rPr>
        <w:t xml:space="preserve"> and </w:t>
      </w:r>
      <w:r w:rsidR="005F6F63" w:rsidRPr="00CF6765">
        <w:rPr>
          <w:rFonts w:eastAsiaTheme="minorHAnsi" w:cs="Verdana"/>
          <w:color w:val="000000"/>
          <w:sz w:val="20"/>
          <w:szCs w:val="20"/>
          <w:lang w:val="en-US" w:eastAsia="en-US"/>
        </w:rPr>
        <w:t>judicial protection</w:t>
      </w:r>
      <w:r w:rsidR="008016C2" w:rsidRPr="00CF6765">
        <w:rPr>
          <w:rFonts w:eastAsiaTheme="minorHAnsi" w:cs="Verdana"/>
          <w:color w:val="000000"/>
          <w:sz w:val="20"/>
          <w:szCs w:val="20"/>
          <w:lang w:val="en-US" w:eastAsia="en-US"/>
        </w:rPr>
        <w:t xml:space="preserve"> (</w:t>
      </w:r>
      <w:r w:rsidR="005C731C" w:rsidRPr="00CF6765">
        <w:rPr>
          <w:rFonts w:eastAsiaTheme="minorHAnsi" w:cs="Verdana"/>
          <w:color w:val="000000"/>
          <w:sz w:val="20"/>
          <w:szCs w:val="20"/>
          <w:lang w:val="en-US" w:eastAsia="en-US"/>
        </w:rPr>
        <w:t>Articles</w:t>
      </w:r>
      <w:r w:rsidR="008016C2" w:rsidRPr="00CF6765">
        <w:rPr>
          <w:rFonts w:eastAsiaTheme="minorHAnsi" w:cs="Verdana"/>
          <w:color w:val="000000"/>
          <w:sz w:val="20"/>
          <w:szCs w:val="20"/>
          <w:lang w:val="en-US" w:eastAsia="en-US"/>
        </w:rPr>
        <w:t xml:space="preserve"> </w:t>
      </w:r>
      <w:r w:rsidR="00A54B13" w:rsidRPr="00CF6765">
        <w:rPr>
          <w:rFonts w:eastAsiaTheme="minorHAnsi" w:cstheme="minorBidi"/>
          <w:sz w:val="20"/>
          <w:szCs w:val="20"/>
          <w:lang w:val="en-US" w:eastAsia="en-US"/>
        </w:rPr>
        <w:t>8</w:t>
      </w:r>
      <w:r w:rsidR="00A54B13" w:rsidRPr="00CF6765">
        <w:rPr>
          <w:rFonts w:eastAsiaTheme="minorHAnsi"/>
          <w:sz w:val="20"/>
          <w:szCs w:val="20"/>
          <w:vertAlign w:val="superscript"/>
          <w:lang w:val="en-US" w:eastAsia="en-US"/>
        </w:rPr>
        <w:footnoteReference w:id="122"/>
      </w:r>
      <w:r w:rsidR="00EC50FC" w:rsidRPr="00CF6765">
        <w:rPr>
          <w:rFonts w:eastAsiaTheme="minorHAnsi" w:cstheme="minorBidi"/>
          <w:sz w:val="20"/>
          <w:szCs w:val="20"/>
          <w:lang w:val="en-US" w:eastAsia="en-US"/>
        </w:rPr>
        <w:t xml:space="preserve"> and </w:t>
      </w:r>
      <w:r w:rsidR="00A54B13" w:rsidRPr="00CF6765">
        <w:rPr>
          <w:rFonts w:eastAsiaTheme="minorHAnsi" w:cstheme="minorBidi"/>
          <w:sz w:val="20"/>
          <w:szCs w:val="20"/>
          <w:lang w:val="en-US" w:eastAsia="en-US"/>
        </w:rPr>
        <w:t>25</w:t>
      </w:r>
      <w:r w:rsidR="00A54B13" w:rsidRPr="00CF6765">
        <w:rPr>
          <w:rFonts w:eastAsiaTheme="minorHAnsi"/>
          <w:sz w:val="20"/>
          <w:szCs w:val="20"/>
          <w:vertAlign w:val="superscript"/>
          <w:lang w:val="en-US" w:eastAsia="en-US"/>
        </w:rPr>
        <w:footnoteReference w:id="123"/>
      </w:r>
      <w:r w:rsidR="008016C2" w:rsidRPr="00CF6765">
        <w:rPr>
          <w:rFonts w:eastAsiaTheme="minorHAnsi" w:cs="Verdana"/>
          <w:color w:val="000000"/>
          <w:sz w:val="20"/>
          <w:szCs w:val="20"/>
          <w:lang w:val="en-US" w:eastAsia="en-US"/>
        </w:rPr>
        <w:t>)</w:t>
      </w:r>
      <w:r w:rsidR="00501509" w:rsidRPr="00CF6765">
        <w:rPr>
          <w:rFonts w:eastAsiaTheme="minorHAnsi" w:cs="Verdana"/>
          <w:color w:val="000000"/>
          <w:sz w:val="20"/>
          <w:szCs w:val="20"/>
          <w:lang w:val="en-US" w:eastAsia="en-US"/>
        </w:rPr>
        <w:t>,</w:t>
      </w:r>
      <w:r w:rsidR="00EC50FC" w:rsidRPr="00CF6765">
        <w:rPr>
          <w:rFonts w:eastAsiaTheme="minorHAnsi" w:cs="Verdana"/>
          <w:color w:val="000000"/>
          <w:sz w:val="20"/>
          <w:szCs w:val="20"/>
          <w:lang w:val="en-US" w:eastAsia="en-US"/>
        </w:rPr>
        <w:t xml:space="preserve"> and </w:t>
      </w:r>
      <w:r w:rsidR="005F6F63" w:rsidRPr="00CF6765">
        <w:rPr>
          <w:rFonts w:eastAsiaTheme="minorHAnsi" w:cs="Verdana"/>
          <w:color w:val="000000"/>
          <w:sz w:val="20"/>
          <w:szCs w:val="20"/>
          <w:lang w:val="en-US" w:eastAsia="en-US"/>
        </w:rPr>
        <w:t xml:space="preserve">the right to personal integrity of the family members </w:t>
      </w:r>
      <w:r w:rsidR="008016C2" w:rsidRPr="00CF6765">
        <w:rPr>
          <w:rFonts w:eastAsiaTheme="minorHAnsi" w:cs="Verdana"/>
          <w:color w:val="000000"/>
          <w:sz w:val="20"/>
          <w:szCs w:val="20"/>
          <w:lang w:val="en-US" w:eastAsia="en-US"/>
        </w:rPr>
        <w:t>(</w:t>
      </w:r>
      <w:r w:rsidR="005C731C" w:rsidRPr="00CF6765">
        <w:rPr>
          <w:rFonts w:eastAsiaTheme="minorHAnsi" w:cs="Verdana"/>
          <w:color w:val="000000"/>
          <w:sz w:val="20"/>
          <w:szCs w:val="20"/>
          <w:lang w:val="en-US" w:eastAsia="en-US"/>
        </w:rPr>
        <w:t>Article</w:t>
      </w:r>
      <w:r w:rsidR="008016C2" w:rsidRPr="00CF6765">
        <w:rPr>
          <w:rFonts w:eastAsiaTheme="minorHAnsi" w:cs="Verdana"/>
          <w:color w:val="000000"/>
          <w:sz w:val="20"/>
          <w:szCs w:val="20"/>
          <w:lang w:val="en-US" w:eastAsia="en-US"/>
        </w:rPr>
        <w:t xml:space="preserve"> 5), </w:t>
      </w:r>
      <w:r w:rsidR="005F6F63" w:rsidRPr="00CF6765">
        <w:rPr>
          <w:rFonts w:eastAsiaTheme="minorHAnsi" w:cs="Verdana"/>
          <w:color w:val="000000"/>
          <w:sz w:val="20"/>
          <w:szCs w:val="20"/>
          <w:lang w:val="en-US" w:eastAsia="en-US"/>
        </w:rPr>
        <w:t xml:space="preserve">all </w:t>
      </w:r>
      <w:r w:rsidR="00690D57" w:rsidRPr="00CF6765">
        <w:rPr>
          <w:rFonts w:eastAsiaTheme="minorHAnsi" w:cs="Verdana"/>
          <w:color w:val="000000"/>
          <w:sz w:val="20"/>
          <w:szCs w:val="20"/>
          <w:lang w:val="en-US" w:eastAsia="en-US"/>
        </w:rPr>
        <w:t>in relation to Article</w:t>
      </w:r>
      <w:r w:rsidR="00EC50FC" w:rsidRPr="00CF6765">
        <w:rPr>
          <w:rFonts w:eastAsiaTheme="minorHAnsi" w:cs="Verdana"/>
          <w:color w:val="000000"/>
          <w:sz w:val="20"/>
          <w:szCs w:val="20"/>
          <w:lang w:val="en-US" w:eastAsia="en-US"/>
        </w:rPr>
        <w:t xml:space="preserve"> 1(1)</w:t>
      </w:r>
      <w:r w:rsidR="00F002D3" w:rsidRPr="00CF6765">
        <w:rPr>
          <w:rStyle w:val="Refdenotaalpie"/>
          <w:rFonts w:eastAsiaTheme="minorHAnsi" w:cs="Verdana"/>
          <w:color w:val="000000"/>
          <w:sz w:val="20"/>
          <w:szCs w:val="20"/>
          <w:lang w:val="en-US" w:eastAsia="en-US"/>
        </w:rPr>
        <w:footnoteReference w:id="124"/>
      </w:r>
      <w:r w:rsidR="005C731C" w:rsidRPr="00CF6765">
        <w:rPr>
          <w:rFonts w:eastAsiaTheme="minorHAnsi" w:cs="Verdana"/>
          <w:color w:val="000000"/>
          <w:sz w:val="20"/>
          <w:szCs w:val="20"/>
          <w:lang w:val="en-US" w:eastAsia="en-US"/>
        </w:rPr>
        <w:t xml:space="preserve"> of the American Convention on Human Rights</w:t>
      </w:r>
      <w:r w:rsidR="008016C2" w:rsidRPr="00CF6765">
        <w:rPr>
          <w:rFonts w:eastAsiaTheme="minorHAnsi" w:cs="Verdana"/>
          <w:color w:val="000000"/>
          <w:sz w:val="20"/>
          <w:szCs w:val="20"/>
          <w:lang w:val="en-US" w:eastAsia="en-US"/>
        </w:rPr>
        <w:t>.</w:t>
      </w:r>
    </w:p>
    <w:p w14:paraId="2EDB6F17" w14:textId="77777777" w:rsidR="00A83854" w:rsidRPr="00CF6765" w:rsidRDefault="00A83854" w:rsidP="00A83854">
      <w:pPr>
        <w:rPr>
          <w:lang w:val="en-US"/>
        </w:rPr>
      </w:pPr>
    </w:p>
    <w:p w14:paraId="33418053" w14:textId="77777777" w:rsidR="002570D1" w:rsidRPr="00CF6765" w:rsidRDefault="002570D1" w:rsidP="00F322EC">
      <w:pPr>
        <w:pStyle w:val="Ttulo"/>
      </w:pPr>
      <w:bookmarkStart w:id="62" w:name="_Toc504484529"/>
      <w:bookmarkStart w:id="63" w:name="_Toc47864368"/>
      <w:r w:rsidRPr="00CF6765">
        <w:t>V</w:t>
      </w:r>
      <w:r w:rsidR="00024506" w:rsidRPr="00CF6765">
        <w:t>I</w:t>
      </w:r>
      <w:r w:rsidRPr="00CF6765">
        <w:t>I-1</w:t>
      </w:r>
      <w:bookmarkEnd w:id="62"/>
      <w:bookmarkEnd w:id="63"/>
    </w:p>
    <w:p w14:paraId="72E4C81E" w14:textId="6E8C5A85" w:rsidR="002570D1" w:rsidRPr="00CF6765" w:rsidRDefault="009C2DEF" w:rsidP="00F322EC">
      <w:pPr>
        <w:pStyle w:val="Ttulo"/>
      </w:pPr>
      <w:bookmarkStart w:id="64" w:name="_Toc47864369"/>
      <w:r w:rsidRPr="00CF6765">
        <w:t xml:space="preserve">RIGHTS TO HEALTH, LIFE, </w:t>
      </w:r>
      <w:r w:rsidR="004A4CC9" w:rsidRPr="00CF6765">
        <w:t>INTEGRITY AND ACCESS</w:t>
      </w:r>
      <w:r w:rsidR="00690D57" w:rsidRPr="00CF6765">
        <w:t xml:space="preserve"> TO INFORMATION</w:t>
      </w:r>
      <w:bookmarkEnd w:id="64"/>
    </w:p>
    <w:p w14:paraId="4DDE0A2E" w14:textId="29FD6C12" w:rsidR="002570D1" w:rsidRPr="00CF6765" w:rsidRDefault="002570D1" w:rsidP="00F322EC">
      <w:pPr>
        <w:pStyle w:val="Ttulo"/>
      </w:pPr>
      <w:bookmarkStart w:id="65" w:name="_Toc47864370"/>
      <w:r w:rsidRPr="00CF6765">
        <w:t>(</w:t>
      </w:r>
      <w:r w:rsidR="005C731C" w:rsidRPr="00CF6765">
        <w:t>ARTICLES</w:t>
      </w:r>
      <w:r w:rsidRPr="00CF6765">
        <w:t xml:space="preserve"> 26,</w:t>
      </w:r>
      <w:r w:rsidR="009C2DEF" w:rsidRPr="00CF6765">
        <w:t xml:space="preserve"> 1(1)</w:t>
      </w:r>
      <w:r w:rsidRPr="00CF6765">
        <w:t>, 4, 5</w:t>
      </w:r>
      <w:r w:rsidR="009536AC" w:rsidRPr="00CF6765">
        <w:t xml:space="preserve">, </w:t>
      </w:r>
      <w:r w:rsidRPr="00CF6765">
        <w:t>13</w:t>
      </w:r>
      <w:r w:rsidR="009536AC" w:rsidRPr="00CF6765">
        <w:t xml:space="preserve">, </w:t>
      </w:r>
      <w:r w:rsidR="004A4CC9" w:rsidRPr="00CF6765">
        <w:t>7 AND 11 OF THE AMERICAN</w:t>
      </w:r>
      <w:r w:rsidR="005C731C" w:rsidRPr="00CF6765">
        <w:t xml:space="preserve"> CONVENTION</w:t>
      </w:r>
      <w:r w:rsidRPr="00CF6765">
        <w:t>)</w:t>
      </w:r>
      <w:bookmarkEnd w:id="65"/>
    </w:p>
    <w:p w14:paraId="5A39541C" w14:textId="77777777" w:rsidR="002570D1" w:rsidRPr="00CF6765" w:rsidRDefault="002570D1" w:rsidP="002570D1">
      <w:pPr>
        <w:rPr>
          <w:rFonts w:eastAsia="Calibri"/>
          <w:sz w:val="20"/>
          <w:szCs w:val="20"/>
          <w:lang w:val="en-US" w:eastAsia="en-US"/>
        </w:rPr>
      </w:pPr>
    </w:p>
    <w:p w14:paraId="645CA85C" w14:textId="1FCD86AB" w:rsidR="002570D1" w:rsidRPr="00CF6765" w:rsidRDefault="009C2DEF" w:rsidP="002726E0">
      <w:pPr>
        <w:pStyle w:val="Ttulo2"/>
        <w:numPr>
          <w:ilvl w:val="0"/>
          <w:numId w:val="18"/>
        </w:numPr>
        <w:rPr>
          <w:lang w:val="en-US"/>
        </w:rPr>
      </w:pPr>
      <w:bookmarkStart w:id="66" w:name="_Toc47864371"/>
      <w:r w:rsidRPr="00CF6765">
        <w:rPr>
          <w:lang w:val="en-US"/>
        </w:rPr>
        <w:t>Arguments of the parties</w:t>
      </w:r>
      <w:r w:rsidR="00EC50FC" w:rsidRPr="00CF6765">
        <w:rPr>
          <w:lang w:val="en-US"/>
        </w:rPr>
        <w:t xml:space="preserve"> and </w:t>
      </w:r>
      <w:r w:rsidR="005C731C" w:rsidRPr="00CF6765">
        <w:rPr>
          <w:lang w:val="en-US"/>
        </w:rPr>
        <w:t>of the Commission</w:t>
      </w:r>
      <w:bookmarkEnd w:id="66"/>
    </w:p>
    <w:p w14:paraId="51B3CABB" w14:textId="77777777" w:rsidR="002570D1" w:rsidRPr="00CF6765" w:rsidRDefault="002570D1" w:rsidP="002570D1">
      <w:pPr>
        <w:ind w:left="1440"/>
        <w:contextualSpacing/>
        <w:rPr>
          <w:rFonts w:eastAsia="Calibri"/>
          <w:b/>
          <w:i/>
          <w:sz w:val="20"/>
          <w:szCs w:val="20"/>
          <w:lang w:val="en-US" w:eastAsia="en-US"/>
        </w:rPr>
      </w:pPr>
    </w:p>
    <w:p w14:paraId="797544B1" w14:textId="69876A3F" w:rsidR="002570D1" w:rsidRPr="00CF6765" w:rsidRDefault="004A4CC9" w:rsidP="00EB31AC">
      <w:pPr>
        <w:pStyle w:val="Ttulo3"/>
        <w:numPr>
          <w:ilvl w:val="0"/>
          <w:numId w:val="19"/>
        </w:numPr>
        <w:rPr>
          <w:b/>
          <w:lang w:val="en-US"/>
        </w:rPr>
      </w:pPr>
      <w:bookmarkStart w:id="67" w:name="_Toc47864372"/>
      <w:r w:rsidRPr="00CF6765">
        <w:rPr>
          <w:b/>
          <w:lang w:val="en-US"/>
        </w:rPr>
        <w:t>On the right to health</w:t>
      </w:r>
      <w:bookmarkEnd w:id="67"/>
    </w:p>
    <w:p w14:paraId="22D9358F" w14:textId="77777777" w:rsidR="002570D1" w:rsidRPr="00CF6765" w:rsidRDefault="002570D1" w:rsidP="002570D1">
      <w:pPr>
        <w:ind w:left="723"/>
        <w:contextualSpacing/>
        <w:rPr>
          <w:rFonts w:eastAsia="Calibri"/>
          <w:i/>
          <w:sz w:val="20"/>
          <w:szCs w:val="20"/>
          <w:lang w:val="en-US" w:eastAsia="en-US"/>
        </w:rPr>
      </w:pPr>
    </w:p>
    <w:p w14:paraId="4FAF4C3F" w14:textId="1C1989D7" w:rsidR="002570D1" w:rsidRPr="00CF6765" w:rsidRDefault="005C731C" w:rsidP="00092D2F">
      <w:pPr>
        <w:numPr>
          <w:ilvl w:val="0"/>
          <w:numId w:val="2"/>
        </w:numPr>
        <w:tabs>
          <w:tab w:val="left" w:pos="567"/>
          <w:tab w:val="num" w:pos="1569"/>
          <w:tab w:val="num" w:pos="12305"/>
        </w:tabs>
        <w:ind w:left="0" w:firstLine="0"/>
        <w:rPr>
          <w:rFonts w:eastAsiaTheme="minorHAnsi" w:cstheme="minorBidi"/>
          <w:b/>
          <w:sz w:val="20"/>
          <w:szCs w:val="20"/>
          <w:lang w:val="en-US" w:eastAsia="en-US"/>
        </w:rPr>
      </w:pPr>
      <w:r w:rsidRPr="00CF6765">
        <w:rPr>
          <w:rFonts w:eastAsiaTheme="minorHAnsi" w:cstheme="minorBidi"/>
          <w:sz w:val="20"/>
          <w:szCs w:val="20"/>
          <w:lang w:val="en-US" w:eastAsia="en-US"/>
        </w:rPr>
        <w:t xml:space="preserve">The </w:t>
      </w:r>
      <w:r w:rsidRPr="00CF6765">
        <w:rPr>
          <w:rFonts w:eastAsiaTheme="minorHAnsi" w:cstheme="minorBidi"/>
          <w:b/>
          <w:bCs/>
          <w:i/>
          <w:iCs/>
          <w:sz w:val="20"/>
          <w:szCs w:val="20"/>
          <w:lang w:val="en-US" w:eastAsia="en-US"/>
        </w:rPr>
        <w:t>Commission</w:t>
      </w:r>
      <w:r w:rsidR="002570D1" w:rsidRPr="00CF6765">
        <w:rPr>
          <w:rFonts w:eastAsiaTheme="minorHAnsi" w:cstheme="minorBidi"/>
          <w:sz w:val="20"/>
          <w:szCs w:val="20"/>
          <w:lang w:val="en-US" w:eastAsia="en-US"/>
        </w:rPr>
        <w:t xml:space="preserve"> </w:t>
      </w:r>
      <w:r w:rsidR="00C27684" w:rsidRPr="00CF6765">
        <w:rPr>
          <w:rFonts w:eastAsiaTheme="minorHAnsi" w:cstheme="minorBidi"/>
          <w:sz w:val="20"/>
          <w:szCs w:val="20"/>
          <w:lang w:val="en-US" w:eastAsia="en-US"/>
        </w:rPr>
        <w:t xml:space="preserve">did not argue an </w:t>
      </w:r>
      <w:r w:rsidR="00B328D7" w:rsidRPr="00CF6765">
        <w:rPr>
          <w:rFonts w:eastAsiaTheme="minorHAnsi" w:cstheme="minorBidi"/>
          <w:sz w:val="20"/>
          <w:szCs w:val="20"/>
          <w:lang w:val="en-US" w:eastAsia="en-US"/>
        </w:rPr>
        <w:t>autonomous</w:t>
      </w:r>
      <w:r w:rsidR="00C27684" w:rsidRPr="00CF6765">
        <w:rPr>
          <w:rFonts w:eastAsiaTheme="minorHAnsi" w:cstheme="minorBidi"/>
          <w:sz w:val="20"/>
          <w:szCs w:val="20"/>
          <w:lang w:val="en-US" w:eastAsia="en-US"/>
        </w:rPr>
        <w:t xml:space="preserve"> violation of the right to health or rule in this regard in its </w:t>
      </w:r>
      <w:r w:rsidR="00EC50FC" w:rsidRPr="00CF6765">
        <w:rPr>
          <w:rFonts w:eastAsiaTheme="minorHAnsi" w:cstheme="minorBidi"/>
          <w:sz w:val="20"/>
          <w:szCs w:val="20"/>
          <w:lang w:val="en-US" w:eastAsia="en-US"/>
        </w:rPr>
        <w:t>Merits Report</w:t>
      </w:r>
      <w:r w:rsidR="002570D1" w:rsidRPr="00CF6765">
        <w:rPr>
          <w:rFonts w:eastAsiaTheme="minorHAnsi" w:cstheme="minorBidi"/>
          <w:sz w:val="20"/>
          <w:szCs w:val="20"/>
          <w:lang w:val="en-US" w:eastAsia="en-US"/>
        </w:rPr>
        <w:t xml:space="preserve">. </w:t>
      </w:r>
      <w:r w:rsidR="00C27684" w:rsidRPr="00CF6765">
        <w:rPr>
          <w:rFonts w:eastAsiaTheme="minorHAnsi" w:cstheme="minorBidi"/>
          <w:sz w:val="20"/>
          <w:szCs w:val="20"/>
          <w:lang w:val="en-US" w:eastAsia="en-US"/>
        </w:rPr>
        <w:t xml:space="preserve">However, in its </w:t>
      </w:r>
      <w:r w:rsidR="00FC495E" w:rsidRPr="00CF6765">
        <w:rPr>
          <w:rFonts w:eastAsiaTheme="minorHAnsi" w:cstheme="minorBidi"/>
          <w:sz w:val="20"/>
          <w:szCs w:val="20"/>
          <w:lang w:val="en-US" w:eastAsia="en-US"/>
        </w:rPr>
        <w:t>final written observations</w:t>
      </w:r>
      <w:r w:rsidR="002570D1" w:rsidRPr="00CF6765">
        <w:rPr>
          <w:rFonts w:eastAsiaTheme="minorHAnsi" w:cstheme="minorBidi"/>
          <w:sz w:val="20"/>
          <w:szCs w:val="20"/>
          <w:lang w:val="en-US" w:eastAsia="en-US"/>
        </w:rPr>
        <w:t xml:space="preserve">, </w:t>
      </w:r>
      <w:r w:rsidR="00C27684" w:rsidRPr="00CF6765">
        <w:rPr>
          <w:rFonts w:eastAsiaTheme="minorHAnsi" w:cstheme="minorBidi"/>
          <w:sz w:val="20"/>
          <w:szCs w:val="20"/>
          <w:lang w:val="en-US" w:eastAsia="en-US"/>
        </w:rPr>
        <w:t>it indicated</w:t>
      </w:r>
      <w:r w:rsidR="002570D1" w:rsidRPr="00CF6765">
        <w:rPr>
          <w:rFonts w:eastAsiaTheme="minorHAnsi" w:cstheme="minorBidi"/>
          <w:sz w:val="20"/>
          <w:szCs w:val="20"/>
          <w:lang w:val="en-US" w:eastAsia="en-US"/>
        </w:rPr>
        <w:t xml:space="preserve"> </w:t>
      </w:r>
      <w:r w:rsidR="00C27684" w:rsidRPr="00CF6765">
        <w:rPr>
          <w:rFonts w:eastAsiaTheme="minorHAnsi" w:cstheme="minorBidi"/>
          <w:sz w:val="20"/>
          <w:szCs w:val="20"/>
          <w:lang w:val="en-US" w:eastAsia="en-US"/>
        </w:rPr>
        <w:t xml:space="preserve">that it </w:t>
      </w:r>
      <w:r w:rsidR="00551907" w:rsidRPr="00CF6765">
        <w:rPr>
          <w:rFonts w:eastAsiaTheme="minorHAnsi" w:cstheme="minorBidi"/>
          <w:sz w:val="20"/>
          <w:szCs w:val="20"/>
          <w:lang w:val="en-US" w:eastAsia="en-US"/>
        </w:rPr>
        <w:t>“</w:t>
      </w:r>
      <w:r w:rsidR="00C27684" w:rsidRPr="00CF6765">
        <w:rPr>
          <w:rFonts w:eastAsiaTheme="minorHAnsi" w:cstheme="minorBidi"/>
          <w:sz w:val="20"/>
          <w:szCs w:val="20"/>
          <w:lang w:val="en-US" w:eastAsia="en-US"/>
        </w:rPr>
        <w:t>considers it important that, notwithstanding the information provided by the State regarding the most recent advance</w:t>
      </w:r>
      <w:r w:rsidR="00551907" w:rsidRPr="00CF6765">
        <w:rPr>
          <w:rFonts w:eastAsiaTheme="minorHAnsi" w:cstheme="minorBidi"/>
          <w:sz w:val="20"/>
          <w:szCs w:val="20"/>
          <w:lang w:val="en-US" w:eastAsia="en-US"/>
        </w:rPr>
        <w:t>s</w:t>
      </w:r>
      <w:r w:rsidR="00C27684" w:rsidRPr="00CF6765">
        <w:rPr>
          <w:rFonts w:eastAsiaTheme="minorHAnsi" w:cstheme="minorBidi"/>
          <w:sz w:val="20"/>
          <w:szCs w:val="20"/>
          <w:lang w:val="en-US" w:eastAsia="en-US"/>
        </w:rPr>
        <w:t xml:space="preserve"> </w:t>
      </w:r>
      <w:r w:rsidR="00551907" w:rsidRPr="00CF6765">
        <w:rPr>
          <w:rFonts w:eastAsiaTheme="minorHAnsi" w:cstheme="minorBidi"/>
          <w:sz w:val="20"/>
          <w:szCs w:val="20"/>
          <w:lang w:val="en-US" w:eastAsia="en-US"/>
        </w:rPr>
        <w:t>concerning</w:t>
      </w:r>
      <w:r w:rsidR="00C27684" w:rsidRPr="00CF6765">
        <w:rPr>
          <w:rFonts w:eastAsiaTheme="minorHAnsi" w:cstheme="minorBidi"/>
          <w:sz w:val="20"/>
          <w:szCs w:val="20"/>
          <w:lang w:val="en-US" w:eastAsia="en-US"/>
        </w:rPr>
        <w:t xml:space="preserve"> the protection of economic, social and cultural rights in Chile, the Court make the appropriate determinations in relation to the moment at which the facts and the specific violations identified in this case took place.” It argued that this was an opportunity to examine presumptions of State responsibility derived from structural deficiencies in public hospitals. The Commission also indicated that the case provided the possibility of analyzing specific situations of vulnerability in access to the right to health and to the public health system, specifically in relation to older persons and also adequate protection o</w:t>
      </w:r>
      <w:r w:rsidR="00551907" w:rsidRPr="00CF6765">
        <w:rPr>
          <w:rFonts w:eastAsiaTheme="minorHAnsi" w:cstheme="minorBidi"/>
          <w:sz w:val="20"/>
          <w:szCs w:val="20"/>
          <w:lang w:val="en-US" w:eastAsia="en-US"/>
        </w:rPr>
        <w:t>f</w:t>
      </w:r>
      <w:r w:rsidR="00C27684" w:rsidRPr="00CF6765">
        <w:rPr>
          <w:rFonts w:eastAsiaTheme="minorHAnsi" w:cstheme="minorBidi"/>
          <w:sz w:val="20"/>
          <w:szCs w:val="20"/>
          <w:lang w:val="en-US" w:eastAsia="en-US"/>
        </w:rPr>
        <w:t xml:space="preserve"> the rights of </w:t>
      </w:r>
      <w:r w:rsidR="00B328D7" w:rsidRPr="00CF6765">
        <w:rPr>
          <w:rFonts w:eastAsiaTheme="minorHAnsi" w:cstheme="minorBidi"/>
          <w:sz w:val="20"/>
          <w:szCs w:val="20"/>
          <w:lang w:val="en-US" w:eastAsia="en-US"/>
        </w:rPr>
        <w:t>impoverished</w:t>
      </w:r>
      <w:r w:rsidR="00C27684" w:rsidRPr="00CF6765">
        <w:rPr>
          <w:rFonts w:eastAsiaTheme="minorHAnsi" w:cstheme="minorBidi"/>
          <w:sz w:val="20"/>
          <w:szCs w:val="20"/>
          <w:lang w:val="en-US" w:eastAsia="en-US"/>
        </w:rPr>
        <w:t xml:space="preserve"> individuals, and application of the principle of equality and non-discrimination.</w:t>
      </w:r>
    </w:p>
    <w:p w14:paraId="5B9CA046" w14:textId="77777777" w:rsidR="00092D2F" w:rsidRPr="00CF6765" w:rsidRDefault="00092D2F" w:rsidP="00092D2F">
      <w:pPr>
        <w:tabs>
          <w:tab w:val="left" w:pos="567"/>
          <w:tab w:val="num" w:pos="12305"/>
        </w:tabs>
        <w:rPr>
          <w:rFonts w:eastAsiaTheme="minorHAnsi" w:cstheme="minorBidi"/>
          <w:b/>
          <w:sz w:val="20"/>
          <w:szCs w:val="20"/>
          <w:lang w:val="en-US" w:eastAsia="en-US"/>
        </w:rPr>
      </w:pPr>
    </w:p>
    <w:p w14:paraId="130CE4A2" w14:textId="1AC9ACEA" w:rsidR="002570D1" w:rsidRPr="00CF6765" w:rsidRDefault="00D2168F" w:rsidP="002570D1">
      <w:pPr>
        <w:numPr>
          <w:ilvl w:val="0"/>
          <w:numId w:val="2"/>
        </w:numPr>
        <w:tabs>
          <w:tab w:val="left" w:pos="567"/>
          <w:tab w:val="num" w:pos="1569"/>
          <w:tab w:val="num" w:pos="12305"/>
        </w:tabs>
        <w:ind w:left="0" w:firstLine="0"/>
        <w:rPr>
          <w:rFonts w:eastAsiaTheme="minorHAnsi" w:cstheme="minorBidi"/>
          <w:b/>
          <w:sz w:val="20"/>
          <w:szCs w:val="20"/>
          <w:lang w:val="en-US" w:eastAsia="en-US"/>
        </w:rPr>
      </w:pPr>
      <w:r w:rsidRPr="00CF6765">
        <w:rPr>
          <w:rFonts w:eastAsiaTheme="minorHAnsi" w:cstheme="minorBidi"/>
          <w:sz w:val="20"/>
          <w:szCs w:val="20"/>
          <w:lang w:val="en-US" w:eastAsia="en-US"/>
        </w:rPr>
        <w:t xml:space="preserve">The </w:t>
      </w:r>
      <w:r w:rsidRPr="00CF6765">
        <w:rPr>
          <w:rFonts w:eastAsiaTheme="minorHAnsi" w:cstheme="minorBidi"/>
          <w:b/>
          <w:bCs/>
          <w:i/>
          <w:iCs/>
          <w:sz w:val="20"/>
          <w:szCs w:val="20"/>
          <w:lang w:val="en-US" w:eastAsia="en-US"/>
        </w:rPr>
        <w:t>representatives</w:t>
      </w:r>
      <w:r w:rsidR="002570D1" w:rsidRPr="00CF6765">
        <w:rPr>
          <w:rFonts w:eastAsiaTheme="minorHAnsi" w:cstheme="minorBidi"/>
          <w:b/>
          <w:sz w:val="20"/>
          <w:szCs w:val="20"/>
          <w:lang w:val="en-US" w:eastAsia="en-US"/>
        </w:rPr>
        <w:t xml:space="preserve"> </w:t>
      </w:r>
      <w:r w:rsidR="002570D1" w:rsidRPr="00CF6765">
        <w:rPr>
          <w:rFonts w:eastAsiaTheme="minorHAnsi" w:cstheme="minorBidi"/>
          <w:sz w:val="20"/>
          <w:szCs w:val="20"/>
          <w:lang w:val="en-US" w:eastAsia="en-US"/>
        </w:rPr>
        <w:t>a</w:t>
      </w:r>
      <w:r w:rsidR="00092D2F" w:rsidRPr="00CF6765">
        <w:rPr>
          <w:rFonts w:eastAsiaTheme="minorHAnsi" w:cstheme="minorBidi"/>
          <w:sz w:val="20"/>
          <w:szCs w:val="20"/>
          <w:lang w:val="en-US" w:eastAsia="en-US"/>
        </w:rPr>
        <w:t xml:space="preserve">rgued that the State had violated the right to health and the right to social security established in </w:t>
      </w:r>
      <w:r w:rsidR="005C731C" w:rsidRPr="00CF6765">
        <w:rPr>
          <w:rFonts w:eastAsiaTheme="minorHAnsi" w:cstheme="minorBidi"/>
          <w:sz w:val="20"/>
          <w:szCs w:val="20"/>
          <w:lang w:val="en-US" w:eastAsia="en-US"/>
        </w:rPr>
        <w:t>Article</w:t>
      </w:r>
      <w:r w:rsidR="002570D1" w:rsidRPr="00CF6765">
        <w:rPr>
          <w:rFonts w:eastAsiaTheme="minorHAnsi" w:cstheme="minorBidi"/>
          <w:sz w:val="20"/>
          <w:szCs w:val="20"/>
          <w:lang w:val="en-US" w:eastAsia="en-US"/>
        </w:rPr>
        <w:t xml:space="preserve"> 26</w:t>
      </w:r>
      <w:r w:rsidR="005C731C" w:rsidRPr="00CF6765">
        <w:rPr>
          <w:rFonts w:eastAsiaTheme="minorHAnsi" w:cstheme="minorBidi"/>
          <w:sz w:val="20"/>
          <w:szCs w:val="20"/>
          <w:lang w:val="en-US" w:eastAsia="en-US"/>
        </w:rPr>
        <w:t xml:space="preserve"> of the Convention</w:t>
      </w:r>
      <w:r w:rsidR="002570D1" w:rsidRPr="00CF6765">
        <w:rPr>
          <w:rFonts w:eastAsiaTheme="minorHAnsi" w:cstheme="minorBidi"/>
          <w:sz w:val="20"/>
          <w:szCs w:val="20"/>
          <w:lang w:val="en-US" w:eastAsia="en-US"/>
        </w:rPr>
        <w:t xml:space="preserve"> </w:t>
      </w:r>
      <w:r w:rsidR="00092D2F" w:rsidRPr="00CF6765">
        <w:rPr>
          <w:rFonts w:eastAsiaTheme="minorHAnsi" w:cstheme="minorBidi"/>
          <w:sz w:val="20"/>
          <w:szCs w:val="20"/>
          <w:lang w:val="en-US" w:eastAsia="en-US"/>
        </w:rPr>
        <w:t>autonomously</w:t>
      </w:r>
      <w:r w:rsidR="002570D1" w:rsidRPr="00CF6765">
        <w:rPr>
          <w:rFonts w:eastAsiaTheme="minorHAnsi" w:cstheme="minorBidi"/>
          <w:sz w:val="20"/>
          <w:szCs w:val="20"/>
          <w:lang w:val="en-US" w:eastAsia="en-US"/>
        </w:rPr>
        <w:t>.</w:t>
      </w:r>
      <w:r w:rsidR="002570D1" w:rsidRPr="00CF6765">
        <w:rPr>
          <w:rFonts w:eastAsiaTheme="minorHAnsi" w:cstheme="minorBidi"/>
          <w:b/>
          <w:sz w:val="20"/>
          <w:szCs w:val="20"/>
          <w:lang w:val="en-US" w:eastAsia="en-US"/>
        </w:rPr>
        <w:t xml:space="preserve"> </w:t>
      </w:r>
      <w:r w:rsidR="00092D2F" w:rsidRPr="00CF6765">
        <w:rPr>
          <w:rFonts w:eastAsiaTheme="minorHAnsi" w:cstheme="minorBidi"/>
          <w:sz w:val="20"/>
          <w:szCs w:val="20"/>
          <w:lang w:val="en-US" w:eastAsia="en-US"/>
        </w:rPr>
        <w:t xml:space="preserve">Regarding the direct justiciability of the </w:t>
      </w:r>
      <w:r w:rsidR="00930431" w:rsidRPr="00CF6765">
        <w:rPr>
          <w:rFonts w:eastAsiaTheme="minorHAnsi" w:cstheme="minorBidi"/>
          <w:sz w:val="20"/>
          <w:szCs w:val="20"/>
          <w:lang w:val="en-US" w:eastAsia="en-US"/>
        </w:rPr>
        <w:t>ESCER</w:t>
      </w:r>
      <w:r w:rsidR="00847ED2" w:rsidRPr="00CF6765">
        <w:rPr>
          <w:rFonts w:eastAsiaTheme="minorHAnsi" w:cstheme="minorBidi"/>
          <w:sz w:val="20"/>
          <w:szCs w:val="20"/>
          <w:lang w:val="en-US" w:eastAsia="en-US"/>
        </w:rPr>
        <w:t>,</w:t>
      </w:r>
      <w:r w:rsidR="002570D1" w:rsidRPr="00CF6765">
        <w:rPr>
          <w:rFonts w:eastAsiaTheme="minorHAnsi" w:cstheme="minorBidi"/>
          <w:sz w:val="20"/>
          <w:szCs w:val="20"/>
          <w:lang w:val="en-US" w:eastAsia="en-US"/>
        </w:rPr>
        <w:t xml:space="preserve"> </w:t>
      </w:r>
      <w:r w:rsidR="00092D2F" w:rsidRPr="00CF6765">
        <w:rPr>
          <w:rFonts w:eastAsiaTheme="minorHAnsi" w:cstheme="minorBidi"/>
          <w:sz w:val="20"/>
          <w:szCs w:val="20"/>
          <w:lang w:val="en-US" w:eastAsia="en-US"/>
        </w:rPr>
        <w:t xml:space="preserve">they referred to the precedent in the case of </w:t>
      </w:r>
      <w:r w:rsidR="002570D1" w:rsidRPr="00CF6765">
        <w:rPr>
          <w:rFonts w:eastAsiaTheme="minorHAnsi" w:cstheme="minorBidi"/>
          <w:i/>
          <w:sz w:val="20"/>
          <w:szCs w:val="20"/>
          <w:lang w:val="en-US" w:eastAsia="en-US"/>
        </w:rPr>
        <w:t xml:space="preserve">Lagos del Campo </w:t>
      </w:r>
      <w:r w:rsidR="00EC50FC" w:rsidRPr="00CF6765">
        <w:rPr>
          <w:rFonts w:eastAsiaTheme="minorHAnsi" w:cstheme="minorBidi"/>
          <w:i/>
          <w:sz w:val="20"/>
          <w:szCs w:val="20"/>
          <w:lang w:val="en-US" w:eastAsia="en-US"/>
        </w:rPr>
        <w:t>v.</w:t>
      </w:r>
      <w:r w:rsidR="002570D1" w:rsidRPr="00CF6765">
        <w:rPr>
          <w:rFonts w:eastAsiaTheme="minorHAnsi" w:cstheme="minorBidi"/>
          <w:i/>
          <w:sz w:val="20"/>
          <w:szCs w:val="20"/>
          <w:lang w:val="en-US" w:eastAsia="en-US"/>
        </w:rPr>
        <w:t xml:space="preserve"> </w:t>
      </w:r>
      <w:r w:rsidR="00930431" w:rsidRPr="00CF6765">
        <w:rPr>
          <w:rFonts w:eastAsiaTheme="minorHAnsi" w:cstheme="minorBidi"/>
          <w:i/>
          <w:sz w:val="20"/>
          <w:szCs w:val="20"/>
          <w:lang w:val="en-US" w:eastAsia="en-US"/>
        </w:rPr>
        <w:t>Peru</w:t>
      </w:r>
      <w:r w:rsidR="002570D1" w:rsidRPr="00CF6765">
        <w:rPr>
          <w:rFonts w:eastAsiaTheme="minorHAnsi" w:cstheme="minorBidi"/>
          <w:sz w:val="20"/>
          <w:szCs w:val="20"/>
          <w:lang w:val="en-US" w:eastAsia="en-US"/>
        </w:rPr>
        <w:t xml:space="preserve">, </w:t>
      </w:r>
      <w:r w:rsidR="00092D2F" w:rsidRPr="00CF6765">
        <w:rPr>
          <w:rFonts w:eastAsiaTheme="minorHAnsi" w:cstheme="minorBidi"/>
          <w:sz w:val="20"/>
          <w:szCs w:val="20"/>
          <w:lang w:val="en-US" w:eastAsia="en-US"/>
        </w:rPr>
        <w:t>in which, for the first time, the Court declared the autonomous violation</w:t>
      </w:r>
      <w:r w:rsidR="002570D1" w:rsidRPr="00CF6765">
        <w:rPr>
          <w:rFonts w:eastAsiaTheme="minorHAnsi" w:cstheme="minorBidi"/>
          <w:sz w:val="20"/>
          <w:szCs w:val="20"/>
          <w:lang w:val="en-US" w:eastAsia="en-US"/>
        </w:rPr>
        <w:t xml:space="preserve"> </w:t>
      </w:r>
      <w:r w:rsidR="0088423A" w:rsidRPr="00CF6765">
        <w:rPr>
          <w:rFonts w:eastAsiaTheme="minorHAnsi" w:cstheme="minorBidi"/>
          <w:sz w:val="20"/>
          <w:szCs w:val="20"/>
          <w:lang w:val="en-US" w:eastAsia="en-US"/>
        </w:rPr>
        <w:t>of Article</w:t>
      </w:r>
      <w:r w:rsidR="002570D1" w:rsidRPr="00CF6765">
        <w:rPr>
          <w:rFonts w:eastAsiaTheme="minorHAnsi" w:cstheme="minorBidi"/>
          <w:sz w:val="20"/>
          <w:szCs w:val="20"/>
          <w:lang w:val="en-US" w:eastAsia="en-US"/>
        </w:rPr>
        <w:t xml:space="preserve"> 26</w:t>
      </w:r>
      <w:r w:rsidR="005C731C" w:rsidRPr="00CF6765">
        <w:rPr>
          <w:rFonts w:eastAsiaTheme="minorHAnsi" w:cstheme="minorBidi"/>
          <w:sz w:val="20"/>
          <w:szCs w:val="20"/>
          <w:lang w:val="en-US" w:eastAsia="en-US"/>
        </w:rPr>
        <w:t xml:space="preserve"> of the American Convention</w:t>
      </w:r>
      <w:r w:rsidR="00092D2F" w:rsidRPr="00CF6765">
        <w:rPr>
          <w:rFonts w:eastAsiaTheme="minorHAnsi" w:cstheme="minorBidi"/>
          <w:sz w:val="20"/>
          <w:szCs w:val="20"/>
          <w:lang w:val="en-US" w:eastAsia="en-US"/>
        </w:rPr>
        <w:t xml:space="preserve">; therefore, they understood that it should also do so in this case. Regarding the State’s obligations, </w:t>
      </w:r>
      <w:r w:rsidRPr="00CF6765">
        <w:rPr>
          <w:rFonts w:eastAsiaTheme="minorHAnsi" w:cstheme="minorBidi"/>
          <w:sz w:val="20"/>
          <w:szCs w:val="20"/>
          <w:lang w:val="en-US" w:eastAsia="en-US"/>
        </w:rPr>
        <w:t>the representatives</w:t>
      </w:r>
      <w:r w:rsidR="002570D1" w:rsidRPr="00CF6765">
        <w:rPr>
          <w:rFonts w:eastAsiaTheme="minorHAnsi" w:cstheme="minorBidi"/>
          <w:sz w:val="20"/>
          <w:szCs w:val="20"/>
          <w:lang w:val="en-US" w:eastAsia="en-US"/>
        </w:rPr>
        <w:t xml:space="preserve"> argu</w:t>
      </w:r>
      <w:r w:rsidR="00092D2F" w:rsidRPr="00CF6765">
        <w:rPr>
          <w:rFonts w:eastAsiaTheme="minorHAnsi" w:cstheme="minorBidi"/>
          <w:sz w:val="20"/>
          <w:szCs w:val="20"/>
          <w:lang w:val="en-US" w:eastAsia="en-US"/>
        </w:rPr>
        <w:t xml:space="preserve">ed that “some aspects should be complied with </w:t>
      </w:r>
      <w:r w:rsidR="00092D2F" w:rsidRPr="00CF6765">
        <w:rPr>
          <w:rFonts w:eastAsiaTheme="minorHAnsi" w:cstheme="minorBidi"/>
          <w:sz w:val="20"/>
          <w:szCs w:val="20"/>
          <w:lang w:val="en-US" w:eastAsia="en-US"/>
        </w:rPr>
        <w:lastRenderedPageBreak/>
        <w:t xml:space="preserve">immediately because they are simple actions that the State can </w:t>
      </w:r>
      <w:r w:rsidR="00E27148" w:rsidRPr="00CF6765">
        <w:rPr>
          <w:rFonts w:eastAsiaTheme="minorHAnsi" w:cstheme="minorBidi"/>
          <w:sz w:val="20"/>
          <w:szCs w:val="20"/>
          <w:lang w:val="en-US" w:eastAsia="en-US"/>
        </w:rPr>
        <w:t>take</w:t>
      </w:r>
      <w:r w:rsidR="00092D2F" w:rsidRPr="00CF6765">
        <w:rPr>
          <w:rFonts w:eastAsiaTheme="minorHAnsi" w:cstheme="minorBidi"/>
          <w:sz w:val="20"/>
          <w:szCs w:val="20"/>
          <w:lang w:val="en-US" w:eastAsia="en-US"/>
        </w:rPr>
        <w:t xml:space="preserve"> that do not require </w:t>
      </w:r>
      <w:r w:rsidR="006F777D" w:rsidRPr="00CF6765">
        <w:rPr>
          <w:rFonts w:eastAsiaTheme="minorHAnsi" w:cstheme="minorBidi"/>
          <w:sz w:val="20"/>
          <w:szCs w:val="20"/>
          <w:lang w:val="en-US" w:eastAsia="en-US"/>
        </w:rPr>
        <w:t>important resources.” They also argued that the progressive nature of the ESCER did not mean that they were “not enforceable or that compliance with them can perpetually be postponed.”</w:t>
      </w:r>
    </w:p>
    <w:p w14:paraId="70ABD9DD" w14:textId="6D3D333D" w:rsidR="002570D1" w:rsidRPr="00CF6765" w:rsidRDefault="002570D1" w:rsidP="002570D1">
      <w:pPr>
        <w:ind w:right="-360"/>
        <w:rPr>
          <w:rFonts w:eastAsiaTheme="minorHAnsi" w:cstheme="minorBidi"/>
          <w:b/>
          <w:sz w:val="20"/>
          <w:szCs w:val="20"/>
          <w:lang w:val="en-US" w:eastAsia="en-US"/>
        </w:rPr>
      </w:pPr>
    </w:p>
    <w:p w14:paraId="08DB57A8" w14:textId="54A30CD1" w:rsidR="006F777D" w:rsidRPr="00CF6765" w:rsidRDefault="00D2168F" w:rsidP="002570D1">
      <w:pPr>
        <w:numPr>
          <w:ilvl w:val="0"/>
          <w:numId w:val="2"/>
        </w:numPr>
        <w:tabs>
          <w:tab w:val="left" w:pos="567"/>
          <w:tab w:val="num" w:pos="1569"/>
          <w:tab w:val="num" w:pos="12305"/>
        </w:tabs>
        <w:ind w:left="0" w:firstLine="0"/>
        <w:rPr>
          <w:rFonts w:eastAsiaTheme="minorHAnsi" w:cstheme="minorBidi"/>
          <w:b/>
          <w:sz w:val="20"/>
          <w:szCs w:val="20"/>
          <w:lang w:val="en-US" w:eastAsia="en-US"/>
        </w:rPr>
      </w:pPr>
      <w:r w:rsidRPr="00CF6765">
        <w:rPr>
          <w:rFonts w:eastAsiaTheme="minorHAnsi" w:cstheme="minorBidi"/>
          <w:sz w:val="20"/>
          <w:szCs w:val="20"/>
          <w:lang w:val="en-US" w:eastAsia="en-US"/>
        </w:rPr>
        <w:t>The representatives</w:t>
      </w:r>
      <w:r w:rsidR="002570D1" w:rsidRPr="00CF6765">
        <w:rPr>
          <w:rFonts w:eastAsiaTheme="minorHAnsi" w:cstheme="minorBidi"/>
          <w:sz w:val="20"/>
          <w:szCs w:val="20"/>
          <w:lang w:val="en-US" w:eastAsia="en-US"/>
        </w:rPr>
        <w:t xml:space="preserve"> </w:t>
      </w:r>
      <w:r w:rsidR="006F777D" w:rsidRPr="00CF6765">
        <w:rPr>
          <w:rFonts w:eastAsiaTheme="minorHAnsi" w:cstheme="minorBidi"/>
          <w:sz w:val="20"/>
          <w:szCs w:val="20"/>
          <w:lang w:val="en-US" w:eastAsia="en-US"/>
        </w:rPr>
        <w:t>stressed that</w:t>
      </w:r>
      <w:r w:rsidR="002570D1"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Mr. Poblete</w:t>
      </w:r>
      <w:r w:rsidR="002570D1" w:rsidRPr="00CF6765">
        <w:rPr>
          <w:rFonts w:eastAsiaTheme="minorHAnsi" w:cstheme="minorBidi"/>
          <w:sz w:val="20"/>
          <w:szCs w:val="20"/>
          <w:lang w:val="en-US" w:eastAsia="en-US"/>
        </w:rPr>
        <w:t xml:space="preserve"> </w:t>
      </w:r>
      <w:proofErr w:type="spellStart"/>
      <w:r w:rsidR="002570D1" w:rsidRPr="00CF6765">
        <w:rPr>
          <w:rFonts w:eastAsiaTheme="minorHAnsi" w:cstheme="minorBidi"/>
          <w:sz w:val="20"/>
          <w:szCs w:val="20"/>
          <w:lang w:val="en-US" w:eastAsia="en-US"/>
        </w:rPr>
        <w:t>Vilches</w:t>
      </w:r>
      <w:proofErr w:type="spellEnd"/>
      <w:r w:rsidR="002570D1" w:rsidRPr="00CF6765">
        <w:rPr>
          <w:rFonts w:eastAsiaTheme="minorHAnsi" w:cstheme="minorBidi"/>
          <w:sz w:val="20"/>
          <w:szCs w:val="20"/>
          <w:lang w:val="en-US" w:eastAsia="en-US"/>
        </w:rPr>
        <w:t xml:space="preserve"> </w:t>
      </w:r>
      <w:r w:rsidR="006F777D" w:rsidRPr="00CF6765">
        <w:rPr>
          <w:rFonts w:eastAsiaTheme="minorHAnsi" w:cstheme="minorBidi"/>
          <w:sz w:val="20"/>
          <w:szCs w:val="20"/>
          <w:lang w:val="en-US" w:eastAsia="en-US"/>
        </w:rPr>
        <w:t>was an older person</w:t>
      </w:r>
      <w:r w:rsidR="002570D1" w:rsidRPr="00CF6765">
        <w:rPr>
          <w:rFonts w:eastAsiaTheme="minorHAnsi" w:cstheme="minorBidi"/>
          <w:sz w:val="20"/>
          <w:szCs w:val="20"/>
          <w:lang w:val="en-US" w:eastAsia="en-US"/>
        </w:rPr>
        <w:t xml:space="preserve"> “</w:t>
      </w:r>
      <w:r w:rsidR="006F777D" w:rsidRPr="00CF6765">
        <w:rPr>
          <w:rFonts w:eastAsiaTheme="minorHAnsi" w:cstheme="minorBidi"/>
          <w:sz w:val="20"/>
          <w:szCs w:val="20"/>
          <w:lang w:val="en-US" w:eastAsia="en-US"/>
        </w:rPr>
        <w:t xml:space="preserve">with several </w:t>
      </w:r>
      <w:r w:rsidR="0040464C" w:rsidRPr="00CF6765">
        <w:rPr>
          <w:rFonts w:eastAsia="Calibri"/>
          <w:sz w:val="20"/>
          <w:szCs w:val="20"/>
          <w:lang w:val="en-US" w:eastAsia="en-US"/>
        </w:rPr>
        <w:t>medical conditions</w:t>
      </w:r>
      <w:r w:rsidR="006F777D" w:rsidRPr="00CF6765">
        <w:rPr>
          <w:rFonts w:eastAsiaTheme="minorHAnsi" w:cstheme="minorBidi"/>
          <w:sz w:val="20"/>
          <w:szCs w:val="20"/>
          <w:lang w:val="en-US" w:eastAsia="en-US"/>
        </w:rPr>
        <w:t xml:space="preserve"> </w:t>
      </w:r>
      <w:r w:rsidR="00551907" w:rsidRPr="00CF6765">
        <w:rPr>
          <w:rFonts w:eastAsiaTheme="minorHAnsi" w:cstheme="minorBidi"/>
          <w:sz w:val="20"/>
          <w:szCs w:val="20"/>
          <w:lang w:val="en-US" w:eastAsia="en-US"/>
        </w:rPr>
        <w:t xml:space="preserve">and this </w:t>
      </w:r>
      <w:r w:rsidR="006F777D" w:rsidRPr="00CF6765">
        <w:rPr>
          <w:rFonts w:eastAsiaTheme="minorHAnsi" w:cstheme="minorBidi"/>
          <w:sz w:val="20"/>
          <w:szCs w:val="20"/>
          <w:lang w:val="en-US" w:eastAsia="en-US"/>
        </w:rPr>
        <w:t xml:space="preserve">meant that his condition required prompt and opportune treatment.” By failing to provide adequate treatment, “the State of Chile failed to provide the minimum health care assistance required </w:t>
      </w:r>
      <w:r w:rsidR="00551907" w:rsidRPr="00CF6765">
        <w:rPr>
          <w:rFonts w:eastAsiaTheme="minorHAnsi" w:cstheme="minorBidi"/>
          <w:sz w:val="20"/>
          <w:szCs w:val="20"/>
          <w:lang w:val="en-US" w:eastAsia="en-US"/>
        </w:rPr>
        <w:t>which</w:t>
      </w:r>
      <w:r w:rsidR="006F777D" w:rsidRPr="00CF6765">
        <w:rPr>
          <w:rFonts w:eastAsiaTheme="minorHAnsi" w:cstheme="minorBidi"/>
          <w:sz w:val="20"/>
          <w:szCs w:val="20"/>
          <w:lang w:val="en-US" w:eastAsia="en-US"/>
        </w:rPr>
        <w:t xml:space="preserve"> was enforceable immediately.” They added that</w:t>
      </w:r>
      <w:r w:rsidR="00551907" w:rsidRPr="00CF6765">
        <w:rPr>
          <w:rFonts w:eastAsiaTheme="minorHAnsi" w:cstheme="minorBidi"/>
          <w:sz w:val="20"/>
          <w:szCs w:val="20"/>
          <w:lang w:val="en-US" w:eastAsia="en-US"/>
        </w:rPr>
        <w:t>,</w:t>
      </w:r>
      <w:r w:rsidR="006F777D" w:rsidRPr="00CF6765">
        <w:rPr>
          <w:rFonts w:eastAsiaTheme="minorHAnsi" w:cstheme="minorBidi"/>
          <w:sz w:val="20"/>
          <w:szCs w:val="20"/>
          <w:lang w:val="en-US" w:eastAsia="en-US"/>
        </w:rPr>
        <w:t xml:space="preserve"> “in this case, it was not possible to discuss the progressive nature of the right to health.” They also underlined that the State had “provided abundant details o</w:t>
      </w:r>
      <w:r w:rsidR="00551907" w:rsidRPr="00CF6765">
        <w:rPr>
          <w:rFonts w:eastAsiaTheme="minorHAnsi" w:cstheme="minorBidi"/>
          <w:sz w:val="20"/>
          <w:szCs w:val="20"/>
          <w:lang w:val="en-US" w:eastAsia="en-US"/>
        </w:rPr>
        <w:t>f</w:t>
      </w:r>
      <w:r w:rsidR="006F777D" w:rsidRPr="00CF6765">
        <w:rPr>
          <w:rFonts w:eastAsiaTheme="minorHAnsi" w:cstheme="minorBidi"/>
          <w:sz w:val="20"/>
          <w:szCs w:val="20"/>
          <w:lang w:val="en-US" w:eastAsia="en-US"/>
        </w:rPr>
        <w:t xml:space="preserve"> the different policies implemented and measures adopted in order to improve its public health system”; however, it had “merely offered a list of political decisions implemented in recent years without proving the real and effective impact that the</w:t>
      </w:r>
      <w:r w:rsidR="00551907" w:rsidRPr="00CF6765">
        <w:rPr>
          <w:rFonts w:eastAsiaTheme="minorHAnsi" w:cstheme="minorBidi"/>
          <w:sz w:val="20"/>
          <w:szCs w:val="20"/>
          <w:lang w:val="en-US" w:eastAsia="en-US"/>
        </w:rPr>
        <w:t xml:space="preserve">y may </w:t>
      </w:r>
      <w:r w:rsidR="006F777D" w:rsidRPr="00CF6765">
        <w:rPr>
          <w:rFonts w:eastAsiaTheme="minorHAnsi" w:cstheme="minorBidi"/>
          <w:sz w:val="20"/>
          <w:szCs w:val="20"/>
          <w:lang w:val="en-US" w:eastAsia="en-US"/>
        </w:rPr>
        <w:t>have had on the most vulnerable sectors of the population.”</w:t>
      </w:r>
    </w:p>
    <w:p w14:paraId="0F1543FE" w14:textId="77777777" w:rsidR="002570D1" w:rsidRPr="00CF6765" w:rsidRDefault="002570D1" w:rsidP="006F777D">
      <w:pPr>
        <w:ind w:right="-360"/>
        <w:contextualSpacing/>
        <w:rPr>
          <w:rFonts w:eastAsiaTheme="minorHAnsi" w:cstheme="minorBidi"/>
          <w:b/>
          <w:sz w:val="20"/>
          <w:szCs w:val="20"/>
          <w:lang w:val="en-US" w:eastAsia="en-US"/>
        </w:rPr>
      </w:pPr>
    </w:p>
    <w:p w14:paraId="3DDE2278" w14:textId="78E7B1E2" w:rsidR="002570D1" w:rsidRPr="00CF6765" w:rsidRDefault="00B328D7" w:rsidP="00925BAC">
      <w:pPr>
        <w:numPr>
          <w:ilvl w:val="0"/>
          <w:numId w:val="2"/>
        </w:numPr>
        <w:tabs>
          <w:tab w:val="left" w:pos="567"/>
          <w:tab w:val="num" w:pos="1569"/>
          <w:tab w:val="num" w:pos="12305"/>
        </w:tabs>
        <w:ind w:left="0" w:firstLine="0"/>
        <w:rPr>
          <w:rFonts w:eastAsiaTheme="minorHAnsi" w:cstheme="minorBidi"/>
          <w:sz w:val="20"/>
          <w:szCs w:val="20"/>
          <w:lang w:val="en-US" w:eastAsia="en-US"/>
        </w:rPr>
      </w:pPr>
      <w:r w:rsidRPr="00CF6765">
        <w:rPr>
          <w:rFonts w:eastAsiaTheme="minorHAnsi" w:cstheme="minorBidi"/>
          <w:sz w:val="20"/>
          <w:szCs w:val="20"/>
          <w:lang w:val="en-US" w:eastAsia="en-US"/>
        </w:rPr>
        <w:t>Meanwhile</w:t>
      </w:r>
      <w:r w:rsidR="006F777D" w:rsidRPr="00CF6765">
        <w:rPr>
          <w:rFonts w:eastAsiaTheme="minorHAnsi" w:cstheme="minorBidi"/>
          <w:sz w:val="20"/>
          <w:szCs w:val="20"/>
          <w:lang w:val="en-US" w:eastAsia="en-US"/>
        </w:rPr>
        <w:t>, although</w:t>
      </w:r>
      <w:r w:rsidR="002570D1" w:rsidRPr="00CF6765">
        <w:rPr>
          <w:rFonts w:eastAsiaTheme="minorHAnsi" w:cstheme="minorBidi"/>
          <w:sz w:val="20"/>
          <w:szCs w:val="20"/>
          <w:lang w:val="en-US" w:eastAsia="en-US"/>
        </w:rPr>
        <w:t xml:space="preserve"> </w:t>
      </w:r>
      <w:r w:rsidR="00EC50FC" w:rsidRPr="00CF6765">
        <w:rPr>
          <w:rFonts w:eastAsiaTheme="minorHAnsi" w:cstheme="minorBidi"/>
          <w:sz w:val="20"/>
          <w:szCs w:val="20"/>
          <w:lang w:val="en-US" w:eastAsia="en-US"/>
        </w:rPr>
        <w:t xml:space="preserve">the </w:t>
      </w:r>
      <w:r w:rsidR="00EC50FC" w:rsidRPr="00CF6765">
        <w:rPr>
          <w:rFonts w:eastAsiaTheme="minorHAnsi" w:cstheme="minorBidi"/>
          <w:b/>
          <w:bCs/>
          <w:i/>
          <w:iCs/>
          <w:sz w:val="20"/>
          <w:szCs w:val="20"/>
          <w:lang w:val="en-US" w:eastAsia="en-US"/>
        </w:rPr>
        <w:t>State</w:t>
      </w:r>
      <w:r w:rsidR="00A20D88" w:rsidRPr="00CF6765">
        <w:rPr>
          <w:rFonts w:eastAsiaTheme="minorHAnsi" w:cstheme="minorBidi"/>
          <w:sz w:val="20"/>
          <w:szCs w:val="20"/>
          <w:lang w:val="en-US" w:eastAsia="en-US"/>
        </w:rPr>
        <w:t xml:space="preserve"> men</w:t>
      </w:r>
      <w:r w:rsidR="006F777D" w:rsidRPr="00CF6765">
        <w:rPr>
          <w:rFonts w:eastAsiaTheme="minorHAnsi" w:cstheme="minorBidi"/>
          <w:sz w:val="20"/>
          <w:szCs w:val="20"/>
          <w:lang w:val="en-US" w:eastAsia="en-US"/>
        </w:rPr>
        <w:t xml:space="preserve">tioned the right to health in its acknowledgement, it considered that </w:t>
      </w:r>
      <w:r w:rsidR="00925BAC" w:rsidRPr="00CF6765">
        <w:rPr>
          <w:rFonts w:eastAsiaTheme="minorHAnsi" w:cstheme="minorBidi"/>
          <w:sz w:val="20"/>
          <w:szCs w:val="20"/>
          <w:lang w:val="en-US" w:eastAsia="en-US"/>
        </w:rPr>
        <w:t>Article 26 of the Convention had not been violated, because it was not possible to prove non-compliance with the obligation to adopt measures for the progressive development of the right to health and the right to social security. In order to prove compliance with its obligations, the State listed different programs, laws and administrative and financial measures that it ha</w:t>
      </w:r>
      <w:r w:rsidR="00551907" w:rsidRPr="00CF6765">
        <w:rPr>
          <w:rFonts w:eastAsiaTheme="minorHAnsi" w:cstheme="minorBidi"/>
          <w:sz w:val="20"/>
          <w:szCs w:val="20"/>
          <w:lang w:val="en-US" w:eastAsia="en-US"/>
        </w:rPr>
        <w:t>d</w:t>
      </w:r>
      <w:r w:rsidR="00925BAC" w:rsidRPr="00CF6765">
        <w:rPr>
          <w:rFonts w:eastAsiaTheme="minorHAnsi" w:cstheme="minorBidi"/>
          <w:sz w:val="20"/>
          <w:szCs w:val="20"/>
          <w:lang w:val="en-US" w:eastAsia="en-US"/>
        </w:rPr>
        <w:t xml:space="preserve"> implemented over the years. Also, in its final arguments, the State indicated that it support</w:t>
      </w:r>
      <w:r w:rsidR="00551907" w:rsidRPr="00CF6765">
        <w:rPr>
          <w:rFonts w:eastAsiaTheme="minorHAnsi" w:cstheme="minorBidi"/>
          <w:sz w:val="20"/>
          <w:szCs w:val="20"/>
          <w:lang w:val="en-US" w:eastAsia="en-US"/>
        </w:rPr>
        <w:t>ed</w:t>
      </w:r>
      <w:r w:rsidR="00925BAC" w:rsidRPr="00CF6765">
        <w:rPr>
          <w:rFonts w:eastAsiaTheme="minorHAnsi" w:cstheme="minorBidi"/>
          <w:sz w:val="20"/>
          <w:szCs w:val="20"/>
          <w:lang w:val="en-US" w:eastAsia="en-US"/>
        </w:rPr>
        <w:t xml:space="preserve"> the justiciability of the ESCR by connectivity with the civil and political rights, but d</w:t>
      </w:r>
      <w:r w:rsidR="00551907" w:rsidRPr="00CF6765">
        <w:rPr>
          <w:rFonts w:eastAsiaTheme="minorHAnsi" w:cstheme="minorBidi"/>
          <w:sz w:val="20"/>
          <w:szCs w:val="20"/>
          <w:lang w:val="en-US" w:eastAsia="en-US"/>
        </w:rPr>
        <w:t>id</w:t>
      </w:r>
      <w:r w:rsidR="00925BAC" w:rsidRPr="00CF6765">
        <w:rPr>
          <w:rFonts w:eastAsiaTheme="minorHAnsi" w:cstheme="minorBidi"/>
          <w:sz w:val="20"/>
          <w:szCs w:val="20"/>
          <w:lang w:val="en-US" w:eastAsia="en-US"/>
        </w:rPr>
        <w:t xml:space="preserve"> not recognize the Court’s competence to declare the violation </w:t>
      </w:r>
      <w:r w:rsidR="0088423A" w:rsidRPr="00CF6765">
        <w:rPr>
          <w:rFonts w:eastAsiaTheme="minorHAnsi" w:cstheme="minorBidi"/>
          <w:sz w:val="20"/>
          <w:szCs w:val="20"/>
          <w:lang w:val="en-US" w:eastAsia="en-US"/>
        </w:rPr>
        <w:t>of Article</w:t>
      </w:r>
      <w:r w:rsidR="002570D1" w:rsidRPr="00CF6765">
        <w:rPr>
          <w:rFonts w:eastAsiaTheme="minorHAnsi" w:cstheme="minorBidi"/>
          <w:sz w:val="20"/>
          <w:szCs w:val="20"/>
          <w:lang w:val="en-US" w:eastAsia="en-US"/>
        </w:rPr>
        <w:t xml:space="preserve"> 26</w:t>
      </w:r>
      <w:r w:rsidR="005C731C" w:rsidRPr="00CF6765">
        <w:rPr>
          <w:rFonts w:eastAsiaTheme="minorHAnsi" w:cstheme="minorBidi"/>
          <w:sz w:val="20"/>
          <w:szCs w:val="20"/>
          <w:lang w:val="en-US" w:eastAsia="en-US"/>
        </w:rPr>
        <w:t xml:space="preserve"> of the Convention</w:t>
      </w:r>
      <w:r w:rsidR="002570D1" w:rsidRPr="00CF6765">
        <w:rPr>
          <w:rFonts w:eastAsiaTheme="minorHAnsi" w:cstheme="minorBidi"/>
          <w:sz w:val="20"/>
          <w:szCs w:val="20"/>
          <w:lang w:val="en-US" w:eastAsia="en-US"/>
        </w:rPr>
        <w:t xml:space="preserve"> </w:t>
      </w:r>
      <w:r w:rsidR="00925BAC" w:rsidRPr="00CF6765">
        <w:rPr>
          <w:rFonts w:eastAsiaTheme="minorHAnsi" w:cstheme="minorBidi"/>
          <w:sz w:val="20"/>
          <w:szCs w:val="20"/>
          <w:lang w:val="en-US" w:eastAsia="en-US"/>
        </w:rPr>
        <w:t xml:space="preserve">directly. The State added that, although the Court may incorporate diverse interpretive criteria in the development of its case law, an international court must respect the jurisdictional limits to its contentious jurisdiction and take into consideration the obligations that the States assumed when ratifying </w:t>
      </w:r>
      <w:r w:rsidR="005C731C" w:rsidRPr="00CF6765">
        <w:rPr>
          <w:rFonts w:eastAsiaTheme="minorHAnsi" w:cstheme="minorBidi"/>
          <w:sz w:val="20"/>
          <w:szCs w:val="20"/>
          <w:lang w:val="en-US" w:eastAsia="en-US"/>
        </w:rPr>
        <w:t>the Convention</w:t>
      </w:r>
      <w:r w:rsidR="002570D1" w:rsidRPr="00CF6765">
        <w:rPr>
          <w:rFonts w:eastAsiaTheme="minorHAnsi" w:cstheme="minorBidi"/>
          <w:sz w:val="20"/>
          <w:szCs w:val="20"/>
          <w:lang w:val="en-US" w:eastAsia="en-US"/>
        </w:rPr>
        <w:t xml:space="preserve">. </w:t>
      </w:r>
    </w:p>
    <w:p w14:paraId="0DDD1C1B" w14:textId="77777777" w:rsidR="002570D1" w:rsidRPr="00CF6765" w:rsidRDefault="002570D1" w:rsidP="002570D1">
      <w:pPr>
        <w:ind w:right="-360"/>
        <w:rPr>
          <w:rFonts w:eastAsia="Calibri"/>
          <w:lang w:val="en-US" w:eastAsia="en-US"/>
        </w:rPr>
      </w:pPr>
    </w:p>
    <w:p w14:paraId="768BE85C" w14:textId="4D5D6BBC" w:rsidR="002570D1" w:rsidRPr="00CF6765" w:rsidRDefault="002570D1" w:rsidP="00EB31AC">
      <w:pPr>
        <w:pStyle w:val="Ttulo3"/>
        <w:numPr>
          <w:ilvl w:val="0"/>
          <w:numId w:val="19"/>
        </w:numPr>
        <w:rPr>
          <w:b/>
          <w:lang w:val="en-US"/>
        </w:rPr>
      </w:pPr>
      <w:r w:rsidRPr="00CF6765">
        <w:rPr>
          <w:b/>
          <w:lang w:val="en-US"/>
        </w:rPr>
        <w:t xml:space="preserve"> </w:t>
      </w:r>
      <w:bookmarkStart w:id="68" w:name="_Toc47864373"/>
      <w:r w:rsidR="00925BAC" w:rsidRPr="00CF6765">
        <w:rPr>
          <w:b/>
          <w:lang w:val="en-US"/>
        </w:rPr>
        <w:t>On the right to life and to personal integrity</w:t>
      </w:r>
      <w:bookmarkEnd w:id="68"/>
    </w:p>
    <w:p w14:paraId="705E063C" w14:textId="77777777" w:rsidR="002570D1" w:rsidRPr="00CF6765" w:rsidRDefault="002570D1" w:rsidP="002570D1">
      <w:pPr>
        <w:ind w:left="723"/>
        <w:contextualSpacing/>
        <w:rPr>
          <w:rFonts w:eastAsia="Calibri"/>
          <w:i/>
          <w:sz w:val="20"/>
          <w:szCs w:val="20"/>
          <w:lang w:val="en-US" w:eastAsia="en-US"/>
        </w:rPr>
      </w:pPr>
    </w:p>
    <w:p w14:paraId="62220C87" w14:textId="483E8305" w:rsidR="002570D1" w:rsidRPr="00CF6765" w:rsidRDefault="005C731C" w:rsidP="00925BAC">
      <w:pPr>
        <w:numPr>
          <w:ilvl w:val="0"/>
          <w:numId w:val="2"/>
        </w:numPr>
        <w:tabs>
          <w:tab w:val="left" w:pos="567"/>
          <w:tab w:val="num" w:pos="1569"/>
          <w:tab w:val="num" w:pos="12305"/>
        </w:tabs>
        <w:ind w:left="0" w:firstLine="0"/>
        <w:rPr>
          <w:rFonts w:eastAsiaTheme="minorHAnsi" w:cstheme="minorBidi"/>
          <w:sz w:val="20"/>
          <w:szCs w:val="20"/>
          <w:lang w:val="en-US" w:eastAsia="en-US"/>
        </w:rPr>
      </w:pPr>
      <w:r w:rsidRPr="00CF6765">
        <w:rPr>
          <w:rFonts w:eastAsiaTheme="minorHAnsi" w:cstheme="minorBidi"/>
          <w:sz w:val="20"/>
          <w:szCs w:val="20"/>
          <w:lang w:val="en-US" w:eastAsia="en-US"/>
        </w:rPr>
        <w:t xml:space="preserve">The </w:t>
      </w:r>
      <w:r w:rsidRPr="00CF6765">
        <w:rPr>
          <w:rFonts w:eastAsiaTheme="minorHAnsi" w:cstheme="minorBidi"/>
          <w:b/>
          <w:bCs/>
          <w:i/>
          <w:iCs/>
          <w:sz w:val="20"/>
          <w:szCs w:val="20"/>
          <w:lang w:val="en-US" w:eastAsia="en-US"/>
        </w:rPr>
        <w:t>Commission</w:t>
      </w:r>
      <w:r w:rsidR="002570D1" w:rsidRPr="00CF6765">
        <w:rPr>
          <w:rFonts w:eastAsiaTheme="minorHAnsi" w:cstheme="minorBidi"/>
          <w:sz w:val="20"/>
          <w:szCs w:val="20"/>
          <w:lang w:val="en-US" w:eastAsia="en-US"/>
        </w:rPr>
        <w:t xml:space="preserve"> determin</w:t>
      </w:r>
      <w:r w:rsidR="00925BAC" w:rsidRPr="00CF6765">
        <w:rPr>
          <w:rFonts w:eastAsiaTheme="minorHAnsi" w:cstheme="minorBidi"/>
          <w:sz w:val="20"/>
          <w:szCs w:val="20"/>
          <w:lang w:val="en-US" w:eastAsia="en-US"/>
        </w:rPr>
        <w:t>ed that</w:t>
      </w:r>
      <w:r w:rsidR="002570D1" w:rsidRPr="00CF6765">
        <w:rPr>
          <w:rFonts w:eastAsiaTheme="minorHAnsi" w:cstheme="minorBidi"/>
          <w:sz w:val="20"/>
          <w:szCs w:val="20"/>
          <w:lang w:val="en-US" w:eastAsia="en-US"/>
        </w:rPr>
        <w:t xml:space="preserve"> </w:t>
      </w:r>
      <w:r w:rsidR="00EC50FC" w:rsidRPr="00CF6765">
        <w:rPr>
          <w:rFonts w:eastAsiaTheme="minorHAnsi" w:cstheme="minorBidi"/>
          <w:sz w:val="20"/>
          <w:szCs w:val="20"/>
          <w:lang w:val="en-US" w:eastAsia="en-US"/>
        </w:rPr>
        <w:t>the State</w:t>
      </w:r>
      <w:r w:rsidR="002570D1" w:rsidRPr="00CF6765">
        <w:rPr>
          <w:rFonts w:eastAsiaTheme="minorHAnsi" w:cstheme="minorBidi"/>
          <w:sz w:val="20"/>
          <w:szCs w:val="20"/>
          <w:lang w:val="en-US" w:eastAsia="en-US"/>
        </w:rPr>
        <w:t xml:space="preserve"> </w:t>
      </w:r>
      <w:r w:rsidR="00925BAC" w:rsidRPr="00CF6765">
        <w:rPr>
          <w:rFonts w:eastAsiaTheme="minorHAnsi" w:cstheme="minorBidi"/>
          <w:sz w:val="20"/>
          <w:szCs w:val="20"/>
          <w:lang w:val="en-US" w:eastAsia="en-US"/>
        </w:rPr>
        <w:t>was responsible for</w:t>
      </w:r>
      <w:r w:rsidR="002570D1" w:rsidRPr="00CF6765">
        <w:rPr>
          <w:rFonts w:eastAsiaTheme="minorHAnsi" w:cstheme="minorBidi"/>
          <w:sz w:val="20"/>
          <w:szCs w:val="20"/>
          <w:lang w:val="en-US" w:eastAsia="en-US"/>
        </w:rPr>
        <w:t xml:space="preserve"> </w:t>
      </w:r>
      <w:r w:rsidR="008F31F2" w:rsidRPr="00CF6765">
        <w:rPr>
          <w:rFonts w:eastAsiaTheme="minorHAnsi" w:cstheme="minorBidi"/>
          <w:sz w:val="20"/>
          <w:szCs w:val="20"/>
          <w:lang w:val="en-US" w:eastAsia="en-US"/>
        </w:rPr>
        <w:t>the violation of</w:t>
      </w:r>
      <w:r w:rsidR="002570D1" w:rsidRPr="00CF6765">
        <w:rPr>
          <w:rFonts w:eastAsiaTheme="minorHAnsi" w:cstheme="minorBidi"/>
          <w:sz w:val="20"/>
          <w:szCs w:val="20"/>
          <w:lang w:val="en-US" w:eastAsia="en-US"/>
        </w:rPr>
        <w:t xml:space="preserve"> </w:t>
      </w:r>
      <w:r w:rsidR="00925BAC" w:rsidRPr="00CF6765">
        <w:rPr>
          <w:rFonts w:eastAsiaTheme="minorHAnsi" w:cstheme="minorBidi"/>
          <w:sz w:val="20"/>
          <w:szCs w:val="20"/>
          <w:lang w:val="en-US" w:eastAsia="en-US"/>
        </w:rPr>
        <w:t>the rights to life, to</w:t>
      </w:r>
      <w:r w:rsidR="002570D1" w:rsidRPr="00CF6765">
        <w:rPr>
          <w:rFonts w:eastAsiaTheme="minorHAnsi" w:cstheme="minorBidi"/>
          <w:sz w:val="20"/>
          <w:szCs w:val="20"/>
          <w:lang w:val="en-US" w:eastAsia="en-US"/>
        </w:rPr>
        <w:t xml:space="preserve"> </w:t>
      </w:r>
      <w:r w:rsidR="00925BAC" w:rsidRPr="00CF6765">
        <w:rPr>
          <w:rFonts w:eastAsiaTheme="minorHAnsi" w:cstheme="minorBidi"/>
          <w:sz w:val="20"/>
          <w:szCs w:val="20"/>
          <w:lang w:val="en-US" w:eastAsia="en-US"/>
        </w:rPr>
        <w:t>personal integrity</w:t>
      </w:r>
      <w:r w:rsidR="00EC50FC" w:rsidRPr="00CF6765">
        <w:rPr>
          <w:rFonts w:eastAsiaTheme="minorHAnsi" w:cstheme="minorBidi"/>
          <w:sz w:val="20"/>
          <w:szCs w:val="20"/>
          <w:lang w:val="en-US" w:eastAsia="en-US"/>
        </w:rPr>
        <w:t xml:space="preserve"> and</w:t>
      </w:r>
      <w:r w:rsidR="00925BAC" w:rsidRPr="00CF6765">
        <w:rPr>
          <w:rFonts w:eastAsiaTheme="minorHAnsi" w:cstheme="minorBidi"/>
          <w:sz w:val="20"/>
          <w:szCs w:val="20"/>
          <w:lang w:val="en-US" w:eastAsia="en-US"/>
        </w:rPr>
        <w:t xml:space="preserve"> to health</w:t>
      </w:r>
      <w:r w:rsidR="002570D1" w:rsidRPr="00CF6765">
        <w:rPr>
          <w:rFonts w:eastAsiaTheme="minorHAnsi" w:cstheme="minorBidi"/>
          <w:sz w:val="20"/>
          <w:szCs w:val="20"/>
          <w:lang w:val="en-US" w:eastAsia="en-US"/>
        </w:rPr>
        <w:t xml:space="preserve"> </w:t>
      </w:r>
      <w:r w:rsidR="00925BAC" w:rsidRPr="00CF6765">
        <w:rPr>
          <w:rFonts w:eastAsiaTheme="minorHAnsi" w:cstheme="minorBidi"/>
          <w:sz w:val="20"/>
          <w:szCs w:val="20"/>
          <w:lang w:val="en-US" w:eastAsia="en-US"/>
        </w:rPr>
        <w:t>established in</w:t>
      </w:r>
      <w:r w:rsidR="002570D1"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Articles</w:t>
      </w:r>
      <w:r w:rsidR="002570D1" w:rsidRPr="00CF6765">
        <w:rPr>
          <w:rFonts w:eastAsiaTheme="minorHAnsi" w:cstheme="minorBidi"/>
          <w:sz w:val="20"/>
          <w:szCs w:val="20"/>
          <w:lang w:val="en-US" w:eastAsia="en-US"/>
        </w:rPr>
        <w:t xml:space="preserve"> 4</w:t>
      </w:r>
      <w:r w:rsidR="00EC50FC" w:rsidRPr="00CF6765">
        <w:rPr>
          <w:rFonts w:eastAsiaTheme="minorHAnsi" w:cstheme="minorBidi"/>
          <w:sz w:val="20"/>
          <w:szCs w:val="20"/>
          <w:lang w:val="en-US" w:eastAsia="en-US"/>
        </w:rPr>
        <w:t xml:space="preserve"> and </w:t>
      </w:r>
      <w:r w:rsidR="002570D1" w:rsidRPr="00CF6765">
        <w:rPr>
          <w:rFonts w:eastAsiaTheme="minorHAnsi" w:cstheme="minorBidi"/>
          <w:sz w:val="20"/>
          <w:szCs w:val="20"/>
          <w:lang w:val="en-US" w:eastAsia="en-US"/>
        </w:rPr>
        <w:t xml:space="preserve">5, </w:t>
      </w:r>
      <w:r w:rsidR="00690D57" w:rsidRPr="00CF6765">
        <w:rPr>
          <w:rFonts w:eastAsiaTheme="minorHAnsi" w:cstheme="minorBidi"/>
          <w:sz w:val="20"/>
          <w:szCs w:val="20"/>
          <w:lang w:val="en-US" w:eastAsia="en-US"/>
        </w:rPr>
        <w:t>in relation to Article</w:t>
      </w:r>
      <w:r w:rsidR="00EC50FC" w:rsidRPr="00CF6765">
        <w:rPr>
          <w:rFonts w:eastAsiaTheme="minorHAnsi" w:cstheme="minorBidi"/>
          <w:sz w:val="20"/>
          <w:szCs w:val="20"/>
          <w:lang w:val="en-US" w:eastAsia="en-US"/>
        </w:rPr>
        <w:t xml:space="preserve"> 1(1)</w:t>
      </w:r>
      <w:r w:rsidRPr="00CF6765">
        <w:rPr>
          <w:rFonts w:eastAsiaTheme="minorHAnsi" w:cstheme="minorBidi"/>
          <w:sz w:val="20"/>
          <w:szCs w:val="20"/>
          <w:lang w:val="en-US" w:eastAsia="en-US"/>
        </w:rPr>
        <w:t xml:space="preserve"> of the Convention</w:t>
      </w:r>
      <w:r w:rsidR="002570D1" w:rsidRPr="00CF6765">
        <w:rPr>
          <w:rFonts w:eastAsiaTheme="minorHAnsi" w:cstheme="minorBidi"/>
          <w:sz w:val="20"/>
          <w:szCs w:val="20"/>
          <w:lang w:val="en-US" w:eastAsia="en-US"/>
        </w:rPr>
        <w:t xml:space="preserve">, </w:t>
      </w:r>
      <w:r w:rsidR="00690D57" w:rsidRPr="00CF6765">
        <w:rPr>
          <w:rFonts w:eastAsiaTheme="minorHAnsi" w:cstheme="minorBidi"/>
          <w:sz w:val="20"/>
          <w:szCs w:val="20"/>
          <w:lang w:val="en-US" w:eastAsia="en-US"/>
        </w:rPr>
        <w:t xml:space="preserve">to the detriment </w:t>
      </w:r>
      <w:r w:rsidR="009339F5" w:rsidRPr="00CF6765">
        <w:rPr>
          <w:rFonts w:eastAsiaTheme="minorHAnsi" w:cstheme="minorBidi"/>
          <w:sz w:val="20"/>
          <w:szCs w:val="20"/>
          <w:lang w:val="en-US" w:eastAsia="en-US"/>
        </w:rPr>
        <w:t>of Mr. Poblete</w:t>
      </w:r>
      <w:r w:rsidR="002570D1" w:rsidRPr="00CF6765">
        <w:rPr>
          <w:rFonts w:eastAsiaTheme="minorHAnsi" w:cstheme="minorBidi"/>
          <w:sz w:val="20"/>
          <w:szCs w:val="20"/>
          <w:lang w:val="en-US" w:eastAsia="en-US"/>
        </w:rPr>
        <w:t xml:space="preserve"> </w:t>
      </w:r>
      <w:proofErr w:type="spellStart"/>
      <w:r w:rsidR="002570D1" w:rsidRPr="00CF6765">
        <w:rPr>
          <w:rFonts w:eastAsiaTheme="minorHAnsi" w:cstheme="minorBidi"/>
          <w:sz w:val="20"/>
          <w:szCs w:val="20"/>
          <w:lang w:val="en-US" w:eastAsia="en-US"/>
        </w:rPr>
        <w:t>Vilches</w:t>
      </w:r>
      <w:proofErr w:type="spellEnd"/>
      <w:r w:rsidR="00731210" w:rsidRPr="00CF6765">
        <w:rPr>
          <w:rFonts w:eastAsiaTheme="minorHAnsi" w:cstheme="minorBidi"/>
          <w:sz w:val="20"/>
          <w:szCs w:val="20"/>
          <w:lang w:val="en-US" w:eastAsia="en-US"/>
        </w:rPr>
        <w:t>,</w:t>
      </w:r>
      <w:r w:rsidR="002570D1" w:rsidRPr="00CF6765">
        <w:rPr>
          <w:rFonts w:eastAsiaTheme="minorHAnsi" w:cstheme="minorBidi"/>
          <w:sz w:val="20"/>
          <w:szCs w:val="20"/>
          <w:lang w:val="en-US" w:eastAsia="en-US"/>
        </w:rPr>
        <w:t xml:space="preserve"> </w:t>
      </w:r>
      <w:r w:rsidR="00925BAC" w:rsidRPr="00CF6765">
        <w:rPr>
          <w:rFonts w:eastAsiaTheme="minorHAnsi" w:cstheme="minorBidi"/>
          <w:sz w:val="20"/>
          <w:szCs w:val="20"/>
          <w:lang w:val="en-US" w:eastAsia="en-US"/>
        </w:rPr>
        <w:t>based on both the decision to discharge him from hospital, and the failure to provide adequate treatment during his</w:t>
      </w:r>
      <w:r w:rsidR="002570D1" w:rsidRPr="00CF6765">
        <w:rPr>
          <w:rFonts w:eastAsiaTheme="minorHAnsi" w:cstheme="minorBidi"/>
          <w:sz w:val="20"/>
          <w:szCs w:val="20"/>
          <w:lang w:val="en-US" w:eastAsia="en-US"/>
        </w:rPr>
        <w:t xml:space="preserve"> </w:t>
      </w:r>
      <w:r w:rsidR="00B969DD" w:rsidRPr="00CF6765">
        <w:rPr>
          <w:rFonts w:eastAsiaTheme="minorHAnsi" w:cstheme="minorBidi"/>
          <w:sz w:val="20"/>
          <w:szCs w:val="20"/>
          <w:lang w:val="en-US" w:eastAsia="en-US"/>
        </w:rPr>
        <w:t>second admission</w:t>
      </w:r>
      <w:r w:rsidR="00353A88" w:rsidRPr="00CF6765">
        <w:rPr>
          <w:rFonts w:eastAsiaTheme="minorHAnsi" w:cstheme="minorBidi"/>
          <w:sz w:val="20"/>
          <w:szCs w:val="20"/>
          <w:lang w:val="en-US" w:eastAsia="en-US"/>
        </w:rPr>
        <w:t>.</w:t>
      </w:r>
      <w:r w:rsidR="002570D1" w:rsidRPr="00CF6765">
        <w:rPr>
          <w:rFonts w:eastAsiaTheme="minorHAnsi" w:cstheme="minorBidi"/>
          <w:sz w:val="20"/>
          <w:szCs w:val="20"/>
          <w:lang w:val="en-US" w:eastAsia="en-US"/>
        </w:rPr>
        <w:t xml:space="preserve"> Conse</w:t>
      </w:r>
      <w:r w:rsidR="00925BAC" w:rsidRPr="00CF6765">
        <w:rPr>
          <w:rFonts w:eastAsiaTheme="minorHAnsi" w:cstheme="minorBidi"/>
          <w:sz w:val="20"/>
          <w:szCs w:val="20"/>
          <w:lang w:val="en-US" w:eastAsia="en-US"/>
        </w:rPr>
        <w:t>quently, it considered that the State had failed to take the available and reasonable measures that it could r</w:t>
      </w:r>
      <w:r w:rsidR="00551907" w:rsidRPr="00CF6765">
        <w:rPr>
          <w:rFonts w:eastAsiaTheme="minorHAnsi" w:cstheme="minorBidi"/>
          <w:sz w:val="20"/>
          <w:szCs w:val="20"/>
          <w:lang w:val="en-US" w:eastAsia="en-US"/>
        </w:rPr>
        <w:t xml:space="preserve">ealistically have </w:t>
      </w:r>
      <w:r w:rsidR="00925BAC" w:rsidRPr="00CF6765">
        <w:rPr>
          <w:rFonts w:eastAsiaTheme="minorHAnsi" w:cstheme="minorBidi"/>
          <w:sz w:val="20"/>
          <w:szCs w:val="20"/>
          <w:lang w:val="en-US" w:eastAsia="en-US"/>
        </w:rPr>
        <w:t xml:space="preserve">adopted to provide adequate treatment </w:t>
      </w:r>
      <w:r w:rsidR="009339F5" w:rsidRPr="00CF6765">
        <w:rPr>
          <w:rFonts w:eastAsiaTheme="minorHAnsi" w:cstheme="minorBidi"/>
          <w:sz w:val="20"/>
          <w:szCs w:val="20"/>
          <w:lang w:val="en-US" w:eastAsia="en-US"/>
        </w:rPr>
        <w:t>to Mr. Poblete</w:t>
      </w:r>
      <w:r w:rsidR="002570D1" w:rsidRPr="00CF6765">
        <w:rPr>
          <w:rFonts w:eastAsiaTheme="minorHAnsi" w:cstheme="minorBidi"/>
          <w:sz w:val="20"/>
          <w:szCs w:val="20"/>
          <w:lang w:val="en-US" w:eastAsia="en-US"/>
        </w:rPr>
        <w:t xml:space="preserve"> </w:t>
      </w:r>
      <w:proofErr w:type="spellStart"/>
      <w:r w:rsidR="002570D1" w:rsidRPr="00CF6765">
        <w:rPr>
          <w:rFonts w:eastAsiaTheme="minorHAnsi" w:cstheme="minorBidi"/>
          <w:sz w:val="20"/>
          <w:szCs w:val="20"/>
          <w:lang w:val="en-US" w:eastAsia="en-US"/>
        </w:rPr>
        <w:t>Vilches</w:t>
      </w:r>
      <w:proofErr w:type="spellEnd"/>
      <w:r w:rsidR="002570D1" w:rsidRPr="00CF6765">
        <w:rPr>
          <w:rFonts w:eastAsiaTheme="minorHAnsi" w:cstheme="minorBidi"/>
          <w:sz w:val="20"/>
          <w:szCs w:val="20"/>
          <w:lang w:val="en-US" w:eastAsia="en-US"/>
        </w:rPr>
        <w:t xml:space="preserve">. </w:t>
      </w:r>
      <w:r w:rsidR="00925BAC" w:rsidRPr="00CF6765">
        <w:rPr>
          <w:rFonts w:eastAsiaTheme="minorHAnsi" w:cstheme="minorBidi"/>
          <w:sz w:val="20"/>
          <w:szCs w:val="20"/>
          <w:lang w:val="en-US" w:eastAsia="en-US"/>
        </w:rPr>
        <w:t>In its</w:t>
      </w:r>
      <w:r w:rsidR="002570D1" w:rsidRPr="00CF6765">
        <w:rPr>
          <w:rFonts w:eastAsiaTheme="minorHAnsi" w:cstheme="minorBidi"/>
          <w:sz w:val="20"/>
          <w:szCs w:val="20"/>
          <w:lang w:val="en-US" w:eastAsia="en-US"/>
        </w:rPr>
        <w:t xml:space="preserve"> </w:t>
      </w:r>
      <w:r w:rsidR="00EC50FC" w:rsidRPr="00CF6765">
        <w:rPr>
          <w:rFonts w:eastAsiaTheme="minorHAnsi" w:cstheme="minorBidi"/>
          <w:sz w:val="20"/>
          <w:szCs w:val="20"/>
          <w:lang w:val="en-US" w:eastAsia="en-US"/>
        </w:rPr>
        <w:t>Merits Report</w:t>
      </w:r>
      <w:r w:rsidR="002570D1" w:rsidRPr="00CF6765">
        <w:rPr>
          <w:rFonts w:eastAsiaTheme="minorHAnsi" w:cstheme="minorBidi"/>
          <w:sz w:val="20"/>
          <w:szCs w:val="20"/>
          <w:lang w:val="en-US" w:eastAsia="en-US"/>
        </w:rPr>
        <w:t xml:space="preserve"> </w:t>
      </w:r>
      <w:r w:rsidR="00925BAC" w:rsidRPr="00CF6765">
        <w:rPr>
          <w:rFonts w:eastAsiaTheme="minorHAnsi" w:cstheme="minorBidi"/>
          <w:sz w:val="20"/>
          <w:szCs w:val="20"/>
          <w:lang w:val="en-US" w:eastAsia="en-US"/>
        </w:rPr>
        <w:t xml:space="preserve">it analyzed </w:t>
      </w:r>
      <w:r w:rsidRPr="00CF6765">
        <w:rPr>
          <w:rFonts w:eastAsiaTheme="minorHAnsi" w:cstheme="minorBidi"/>
          <w:sz w:val="20"/>
          <w:szCs w:val="20"/>
          <w:lang w:val="en-US" w:eastAsia="en-US"/>
        </w:rPr>
        <w:t>Articles</w:t>
      </w:r>
      <w:r w:rsidR="002570D1" w:rsidRPr="00CF6765">
        <w:rPr>
          <w:rFonts w:eastAsiaTheme="minorHAnsi" w:cstheme="minorBidi"/>
          <w:sz w:val="20"/>
          <w:szCs w:val="20"/>
          <w:lang w:val="en-US" w:eastAsia="en-US"/>
        </w:rPr>
        <w:t xml:space="preserve"> 4</w:t>
      </w:r>
      <w:r w:rsidR="00EC50FC" w:rsidRPr="00CF6765">
        <w:rPr>
          <w:rFonts w:eastAsiaTheme="minorHAnsi" w:cstheme="minorBidi"/>
          <w:sz w:val="20"/>
          <w:szCs w:val="20"/>
          <w:lang w:val="en-US" w:eastAsia="en-US"/>
        </w:rPr>
        <w:t xml:space="preserve"> and </w:t>
      </w:r>
      <w:r w:rsidR="002570D1" w:rsidRPr="00CF6765">
        <w:rPr>
          <w:rFonts w:eastAsiaTheme="minorHAnsi" w:cstheme="minorBidi"/>
          <w:sz w:val="20"/>
          <w:szCs w:val="20"/>
          <w:lang w:val="en-US" w:eastAsia="en-US"/>
        </w:rPr>
        <w:t>5</w:t>
      </w:r>
      <w:r w:rsidRPr="00CF6765">
        <w:rPr>
          <w:rFonts w:eastAsiaTheme="minorHAnsi" w:cstheme="minorBidi"/>
          <w:sz w:val="20"/>
          <w:szCs w:val="20"/>
          <w:lang w:val="en-US" w:eastAsia="en-US"/>
        </w:rPr>
        <w:t xml:space="preserve"> of the Convention</w:t>
      </w:r>
      <w:r w:rsidR="00925BAC" w:rsidRPr="00CF6765">
        <w:rPr>
          <w:rFonts w:eastAsiaTheme="minorHAnsi" w:cstheme="minorBidi"/>
          <w:sz w:val="20"/>
          <w:szCs w:val="20"/>
          <w:lang w:val="en-US" w:eastAsia="en-US"/>
        </w:rPr>
        <w:t xml:space="preserve"> together, and reiterated the possible inconsistency</w:t>
      </w:r>
      <w:r w:rsidR="003B2665" w:rsidRPr="00CF6765">
        <w:rPr>
          <w:rFonts w:eastAsiaTheme="minorHAnsi" w:cstheme="minorBidi"/>
          <w:sz w:val="20"/>
          <w:szCs w:val="20"/>
          <w:lang w:val="en-US" w:eastAsia="en-US"/>
        </w:rPr>
        <w:t xml:space="preserve"> </w:t>
      </w:r>
      <w:r w:rsidR="00551907" w:rsidRPr="00CF6765">
        <w:rPr>
          <w:rFonts w:eastAsiaTheme="minorHAnsi" w:cstheme="minorBidi"/>
          <w:sz w:val="20"/>
          <w:szCs w:val="20"/>
          <w:lang w:val="en-US" w:eastAsia="en-US"/>
        </w:rPr>
        <w:t xml:space="preserve">that arose </w:t>
      </w:r>
      <w:r w:rsidR="003B2665" w:rsidRPr="00CF6765">
        <w:rPr>
          <w:rFonts w:eastAsiaTheme="minorHAnsi" w:cstheme="minorBidi"/>
          <w:sz w:val="20"/>
          <w:szCs w:val="20"/>
          <w:lang w:val="en-US" w:eastAsia="en-US"/>
        </w:rPr>
        <w:t xml:space="preserve">from the scope that the State had given to its </w:t>
      </w:r>
      <w:r w:rsidR="0088423A" w:rsidRPr="00CF6765">
        <w:rPr>
          <w:rFonts w:eastAsiaTheme="minorHAnsi" w:cstheme="minorBidi"/>
          <w:sz w:val="20"/>
          <w:szCs w:val="20"/>
          <w:lang w:val="en-US" w:eastAsia="en-US"/>
        </w:rPr>
        <w:t>partial acknowledgement of responsibility</w:t>
      </w:r>
      <w:r w:rsidR="002570D1" w:rsidRPr="00CF6765">
        <w:rPr>
          <w:rFonts w:eastAsiaTheme="minorHAnsi" w:cstheme="minorBidi"/>
          <w:sz w:val="20"/>
          <w:szCs w:val="20"/>
          <w:lang w:val="en-US" w:eastAsia="en-US"/>
        </w:rPr>
        <w:t xml:space="preserve">, </w:t>
      </w:r>
      <w:r w:rsidR="003B2665" w:rsidRPr="00CF6765">
        <w:rPr>
          <w:rFonts w:eastAsiaTheme="minorHAnsi" w:cstheme="minorBidi"/>
          <w:sz w:val="20"/>
          <w:szCs w:val="20"/>
          <w:lang w:val="en-US" w:eastAsia="en-US"/>
        </w:rPr>
        <w:t>in the sense that, for example, it only cover</w:t>
      </w:r>
      <w:r w:rsidR="00E61C06" w:rsidRPr="00CF6765">
        <w:rPr>
          <w:rFonts w:eastAsiaTheme="minorHAnsi" w:cstheme="minorBidi"/>
          <w:sz w:val="20"/>
          <w:szCs w:val="20"/>
          <w:lang w:val="en-US" w:eastAsia="en-US"/>
        </w:rPr>
        <w:t>ed</w:t>
      </w:r>
      <w:r w:rsidR="003B2665" w:rsidRPr="00CF6765">
        <w:rPr>
          <w:rFonts w:eastAsiaTheme="minorHAnsi" w:cstheme="minorBidi"/>
          <w:sz w:val="20"/>
          <w:szCs w:val="20"/>
          <w:lang w:val="en-US" w:eastAsia="en-US"/>
        </w:rPr>
        <w:t xml:space="preserve"> the violation of the right to </w:t>
      </w:r>
      <w:r w:rsidR="00925BAC" w:rsidRPr="00CF6765">
        <w:rPr>
          <w:rFonts w:eastAsiaTheme="minorHAnsi" w:cstheme="minorBidi"/>
          <w:sz w:val="20"/>
          <w:szCs w:val="20"/>
          <w:lang w:val="en-US" w:eastAsia="en-US"/>
        </w:rPr>
        <w:t>personal integrity</w:t>
      </w:r>
      <w:r w:rsidR="002570D1" w:rsidRPr="00CF6765">
        <w:rPr>
          <w:rFonts w:eastAsiaTheme="minorHAnsi" w:cstheme="minorBidi"/>
          <w:sz w:val="20"/>
          <w:szCs w:val="20"/>
          <w:lang w:val="en-US" w:eastAsia="en-US"/>
        </w:rPr>
        <w:t xml:space="preserve"> </w:t>
      </w:r>
      <w:r w:rsidR="00D04694" w:rsidRPr="00CF6765">
        <w:rPr>
          <w:rFonts w:eastAsiaTheme="minorHAnsi" w:cstheme="minorBidi"/>
          <w:sz w:val="20"/>
          <w:szCs w:val="20"/>
          <w:lang w:val="en-US" w:eastAsia="en-US"/>
        </w:rPr>
        <w:t>of Vinicio</w:t>
      </w:r>
      <w:r w:rsidR="002570D1" w:rsidRPr="00CF6765">
        <w:rPr>
          <w:rFonts w:eastAsiaTheme="minorHAnsi" w:cstheme="minorBidi"/>
          <w:sz w:val="20"/>
          <w:szCs w:val="20"/>
          <w:lang w:val="en-US" w:eastAsia="en-US"/>
        </w:rPr>
        <w:t xml:space="preserve"> Poblete </w:t>
      </w:r>
      <w:r w:rsidR="003B2665" w:rsidRPr="00CF6765">
        <w:rPr>
          <w:rFonts w:eastAsiaTheme="minorHAnsi" w:cstheme="minorBidi"/>
          <w:sz w:val="20"/>
          <w:szCs w:val="20"/>
          <w:lang w:val="en-US" w:eastAsia="en-US"/>
        </w:rPr>
        <w:t xml:space="preserve">in relation to facts that </w:t>
      </w:r>
      <w:r w:rsidRPr="00CF6765">
        <w:rPr>
          <w:rFonts w:eastAsiaTheme="minorHAnsi" w:cstheme="minorBidi"/>
          <w:sz w:val="20"/>
          <w:szCs w:val="20"/>
          <w:lang w:val="en-US" w:eastAsia="en-US"/>
        </w:rPr>
        <w:t>the Commission</w:t>
      </w:r>
      <w:r w:rsidR="00D315EA" w:rsidRPr="00CF6765">
        <w:rPr>
          <w:rFonts w:eastAsiaTheme="minorHAnsi" w:cstheme="minorBidi"/>
          <w:sz w:val="20"/>
          <w:szCs w:val="20"/>
          <w:lang w:val="en-US" w:eastAsia="en-US"/>
        </w:rPr>
        <w:t xml:space="preserve"> </w:t>
      </w:r>
      <w:r w:rsidR="003B2665" w:rsidRPr="00CF6765">
        <w:rPr>
          <w:rFonts w:eastAsiaTheme="minorHAnsi" w:cstheme="minorBidi"/>
          <w:sz w:val="20"/>
          <w:szCs w:val="20"/>
          <w:lang w:val="en-US" w:eastAsia="en-US"/>
        </w:rPr>
        <w:t xml:space="preserve">also determined </w:t>
      </w:r>
      <w:r w:rsidR="00E61C06" w:rsidRPr="00CF6765">
        <w:rPr>
          <w:rFonts w:eastAsiaTheme="minorHAnsi" w:cstheme="minorBidi"/>
          <w:sz w:val="20"/>
          <w:szCs w:val="20"/>
          <w:lang w:val="en-US" w:eastAsia="en-US"/>
        </w:rPr>
        <w:t>had violated his</w:t>
      </w:r>
      <w:r w:rsidR="003B2665" w:rsidRPr="00CF6765">
        <w:rPr>
          <w:rFonts w:eastAsiaTheme="minorHAnsi" w:cstheme="minorBidi"/>
          <w:sz w:val="20"/>
          <w:szCs w:val="20"/>
          <w:lang w:val="en-US" w:eastAsia="en-US"/>
        </w:rPr>
        <w:t xml:space="preserve"> right to life.</w:t>
      </w:r>
    </w:p>
    <w:p w14:paraId="4F478410" w14:textId="77777777" w:rsidR="002570D1" w:rsidRPr="00CF6765" w:rsidRDefault="002570D1" w:rsidP="002570D1">
      <w:pPr>
        <w:ind w:left="-90" w:right="-360"/>
        <w:rPr>
          <w:rFonts w:eastAsiaTheme="minorHAnsi" w:cstheme="minorBidi"/>
          <w:sz w:val="20"/>
          <w:szCs w:val="20"/>
          <w:lang w:val="en-US" w:eastAsia="en-US"/>
        </w:rPr>
      </w:pPr>
    </w:p>
    <w:p w14:paraId="40103A66" w14:textId="0FEE72D1" w:rsidR="0077190E" w:rsidRPr="00CF6765" w:rsidRDefault="00D2168F" w:rsidP="002570D1">
      <w:pPr>
        <w:numPr>
          <w:ilvl w:val="0"/>
          <w:numId w:val="2"/>
        </w:numPr>
        <w:tabs>
          <w:tab w:val="left" w:pos="567"/>
          <w:tab w:val="num" w:pos="1569"/>
          <w:tab w:val="num" w:pos="12305"/>
        </w:tabs>
        <w:ind w:left="0" w:firstLine="0"/>
        <w:rPr>
          <w:rFonts w:eastAsiaTheme="minorHAnsi" w:cstheme="minorBidi"/>
          <w:sz w:val="20"/>
          <w:szCs w:val="20"/>
          <w:lang w:val="en-US" w:eastAsia="en-US"/>
        </w:rPr>
      </w:pPr>
      <w:r w:rsidRPr="00CF6765">
        <w:rPr>
          <w:rFonts w:eastAsiaTheme="minorHAnsi" w:cstheme="minorBidi"/>
          <w:sz w:val="20"/>
          <w:szCs w:val="20"/>
          <w:lang w:val="en-US" w:eastAsia="en-US"/>
        </w:rPr>
        <w:t xml:space="preserve">The </w:t>
      </w:r>
      <w:r w:rsidRPr="00CF6765">
        <w:rPr>
          <w:rFonts w:eastAsiaTheme="minorHAnsi" w:cstheme="minorBidi"/>
          <w:b/>
          <w:bCs/>
          <w:i/>
          <w:iCs/>
          <w:sz w:val="20"/>
          <w:szCs w:val="20"/>
          <w:lang w:val="en-US" w:eastAsia="en-US"/>
        </w:rPr>
        <w:t>representatives</w:t>
      </w:r>
      <w:r w:rsidR="002570D1" w:rsidRPr="00CF6765">
        <w:rPr>
          <w:rFonts w:eastAsiaTheme="minorHAnsi" w:cstheme="minorBidi"/>
          <w:sz w:val="20"/>
          <w:szCs w:val="20"/>
          <w:lang w:val="en-US" w:eastAsia="en-US"/>
        </w:rPr>
        <w:t xml:space="preserve"> </w:t>
      </w:r>
      <w:r w:rsidR="0077190E" w:rsidRPr="00CF6765">
        <w:rPr>
          <w:rFonts w:eastAsiaTheme="minorHAnsi" w:cstheme="minorBidi"/>
          <w:sz w:val="20"/>
          <w:szCs w:val="20"/>
          <w:lang w:val="en-US" w:eastAsia="en-US"/>
        </w:rPr>
        <w:t xml:space="preserve">argued, regarding the connection of the right to life and to personal integrity with the right to health, that “the right to life requires States </w:t>
      </w:r>
      <w:r w:rsidR="00E61C06" w:rsidRPr="00CF6765">
        <w:rPr>
          <w:rFonts w:eastAsiaTheme="minorHAnsi" w:cstheme="minorBidi"/>
          <w:sz w:val="20"/>
          <w:szCs w:val="20"/>
          <w:lang w:val="en-US" w:eastAsia="en-US"/>
        </w:rPr>
        <w:t xml:space="preserve">to </w:t>
      </w:r>
      <w:r w:rsidR="0077190E" w:rsidRPr="00CF6765">
        <w:rPr>
          <w:rFonts w:eastAsiaTheme="minorHAnsi" w:cstheme="minorBidi"/>
          <w:sz w:val="20"/>
          <w:szCs w:val="20"/>
          <w:lang w:val="en-US" w:eastAsia="en-US"/>
        </w:rPr>
        <w:t xml:space="preserve">adopt measures of prevention related to </w:t>
      </w:r>
      <w:r w:rsidR="00E61C06" w:rsidRPr="00CF6765">
        <w:rPr>
          <w:rFonts w:eastAsiaTheme="minorHAnsi" w:cstheme="minorBidi"/>
          <w:sz w:val="20"/>
          <w:szCs w:val="20"/>
          <w:lang w:val="en-US" w:eastAsia="en-US"/>
        </w:rPr>
        <w:t>supporting</w:t>
      </w:r>
      <w:r w:rsidR="0077190E" w:rsidRPr="00CF6765">
        <w:rPr>
          <w:rFonts w:eastAsiaTheme="minorHAnsi" w:cstheme="minorBidi"/>
          <w:sz w:val="20"/>
          <w:szCs w:val="20"/>
          <w:lang w:val="en-US" w:eastAsia="en-US"/>
        </w:rPr>
        <w:t xml:space="preserve"> </w:t>
      </w:r>
      <w:r w:rsidR="00E61C06" w:rsidRPr="00CF6765">
        <w:rPr>
          <w:rFonts w:eastAsiaTheme="minorHAnsi" w:cstheme="minorBidi"/>
          <w:sz w:val="20"/>
          <w:szCs w:val="20"/>
          <w:lang w:val="en-US" w:eastAsia="en-US"/>
        </w:rPr>
        <w:t xml:space="preserve">an individual’s life </w:t>
      </w:r>
      <w:r w:rsidR="0077190E" w:rsidRPr="00CF6765">
        <w:rPr>
          <w:rFonts w:eastAsiaTheme="minorHAnsi" w:cstheme="minorBidi"/>
          <w:sz w:val="20"/>
          <w:szCs w:val="20"/>
          <w:lang w:val="en-US" w:eastAsia="en-US"/>
        </w:rPr>
        <w:t xml:space="preserve">by providing economic and social conditions that prevent his death due to lack of medical care.” They argued that there was </w:t>
      </w:r>
      <w:r w:rsidR="00E61C06" w:rsidRPr="00CF6765">
        <w:rPr>
          <w:rFonts w:eastAsiaTheme="minorHAnsi" w:cstheme="minorBidi"/>
          <w:sz w:val="20"/>
          <w:szCs w:val="20"/>
          <w:lang w:val="en-US" w:eastAsia="en-US"/>
        </w:rPr>
        <w:t xml:space="preserve">a </w:t>
      </w:r>
      <w:r w:rsidR="0077190E" w:rsidRPr="00CF6765">
        <w:rPr>
          <w:rFonts w:eastAsiaTheme="minorHAnsi" w:cstheme="minorBidi"/>
          <w:sz w:val="20"/>
          <w:szCs w:val="20"/>
          <w:lang w:val="en-US" w:eastAsia="en-US"/>
        </w:rPr>
        <w:t xml:space="preserve">strong inconsistency between the State’s assertions concerning its responsibility </w:t>
      </w:r>
      <w:r w:rsidR="00E61C06" w:rsidRPr="00CF6765">
        <w:rPr>
          <w:rFonts w:eastAsiaTheme="minorHAnsi" w:cstheme="minorBidi"/>
          <w:sz w:val="20"/>
          <w:szCs w:val="20"/>
          <w:lang w:val="en-US" w:eastAsia="en-US"/>
        </w:rPr>
        <w:t>for</w:t>
      </w:r>
      <w:r w:rsidR="0077190E" w:rsidRPr="00CF6765">
        <w:rPr>
          <w:rFonts w:eastAsiaTheme="minorHAnsi" w:cstheme="minorBidi"/>
          <w:sz w:val="20"/>
          <w:szCs w:val="20"/>
          <w:lang w:val="en-US" w:eastAsia="en-US"/>
        </w:rPr>
        <w:t xml:space="preserve"> the violation of the right to life and its assertion</w:t>
      </w:r>
      <w:r w:rsidR="00E61C06" w:rsidRPr="00CF6765">
        <w:rPr>
          <w:rFonts w:eastAsiaTheme="minorHAnsi" w:cstheme="minorBidi"/>
          <w:sz w:val="20"/>
          <w:szCs w:val="20"/>
          <w:lang w:val="en-US" w:eastAsia="en-US"/>
        </w:rPr>
        <w:t>s</w:t>
      </w:r>
      <w:r w:rsidR="0077190E" w:rsidRPr="00CF6765">
        <w:rPr>
          <w:rFonts w:eastAsiaTheme="minorHAnsi" w:cstheme="minorBidi"/>
          <w:sz w:val="20"/>
          <w:szCs w:val="20"/>
          <w:lang w:val="en-US" w:eastAsia="en-US"/>
        </w:rPr>
        <w:t xml:space="preserve"> in relation to the violation of the right to personal integrity. They </w:t>
      </w:r>
      <w:r w:rsidR="00E61C06" w:rsidRPr="00CF6765">
        <w:rPr>
          <w:rFonts w:eastAsiaTheme="minorHAnsi" w:cstheme="minorBidi"/>
          <w:sz w:val="20"/>
          <w:szCs w:val="20"/>
          <w:lang w:val="en-US" w:eastAsia="en-US"/>
        </w:rPr>
        <w:t xml:space="preserve">argued </w:t>
      </w:r>
      <w:r w:rsidR="0077190E" w:rsidRPr="00CF6765">
        <w:rPr>
          <w:rFonts w:eastAsiaTheme="minorHAnsi" w:cstheme="minorBidi"/>
          <w:sz w:val="20"/>
          <w:szCs w:val="20"/>
          <w:lang w:val="en-US" w:eastAsia="en-US"/>
        </w:rPr>
        <w:t>that the facts relating to Articles 4 and 5 are the same and that,</w:t>
      </w:r>
      <w:r w:rsidR="00E61C06" w:rsidRPr="00CF6765">
        <w:rPr>
          <w:rFonts w:eastAsiaTheme="minorHAnsi" w:cstheme="minorBidi"/>
          <w:sz w:val="20"/>
          <w:szCs w:val="20"/>
          <w:lang w:val="en-US" w:eastAsia="en-US"/>
        </w:rPr>
        <w:t xml:space="preserve"> </w:t>
      </w:r>
      <w:r w:rsidR="0077190E" w:rsidRPr="00CF6765">
        <w:rPr>
          <w:rFonts w:eastAsiaTheme="minorHAnsi" w:cstheme="minorBidi"/>
          <w:sz w:val="20"/>
          <w:szCs w:val="20"/>
          <w:lang w:val="en-US" w:eastAsia="en-US"/>
        </w:rPr>
        <w:t xml:space="preserve">therefore, the acknowledgement of responsibility should apply to both rights. They also indicated that “the absence of </w:t>
      </w:r>
      <w:r w:rsidR="00E61C06" w:rsidRPr="00CF6765">
        <w:rPr>
          <w:rFonts w:eastAsiaTheme="minorHAnsi" w:cstheme="minorBidi"/>
          <w:sz w:val="20"/>
          <w:szCs w:val="20"/>
          <w:lang w:val="en-US" w:eastAsia="en-US"/>
        </w:rPr>
        <w:t xml:space="preserve">the </w:t>
      </w:r>
      <w:r w:rsidR="0077190E" w:rsidRPr="00CF6765">
        <w:rPr>
          <w:rFonts w:eastAsiaTheme="minorHAnsi" w:cstheme="minorBidi"/>
          <w:sz w:val="20"/>
          <w:szCs w:val="20"/>
          <w:lang w:val="en-US" w:eastAsia="en-US"/>
        </w:rPr>
        <w:t>programs, infrastructure and activities necessary for personal well-being” or “the deficient quality of these” may result in a violation of the right to health by the State.</w:t>
      </w:r>
    </w:p>
    <w:p w14:paraId="3C4AEC54" w14:textId="77777777" w:rsidR="002570D1" w:rsidRPr="00CF6765" w:rsidRDefault="002570D1" w:rsidP="002570D1">
      <w:pPr>
        <w:ind w:right="-360"/>
        <w:rPr>
          <w:rFonts w:eastAsiaTheme="minorHAnsi" w:cstheme="minorBidi"/>
          <w:sz w:val="20"/>
          <w:szCs w:val="20"/>
          <w:lang w:val="en-US" w:eastAsia="en-US"/>
        </w:rPr>
      </w:pPr>
    </w:p>
    <w:p w14:paraId="215933ED" w14:textId="09BF9E0D" w:rsidR="002570D1" w:rsidRPr="00CF6765" w:rsidRDefault="002570D1" w:rsidP="00404FD1">
      <w:pPr>
        <w:numPr>
          <w:ilvl w:val="0"/>
          <w:numId w:val="2"/>
        </w:numPr>
        <w:tabs>
          <w:tab w:val="left" w:pos="567"/>
          <w:tab w:val="num" w:pos="1569"/>
          <w:tab w:val="num" w:pos="12305"/>
        </w:tabs>
        <w:ind w:left="0" w:firstLine="0"/>
        <w:rPr>
          <w:sz w:val="20"/>
          <w:szCs w:val="20"/>
          <w:lang w:val="en-US" w:eastAsia="en-US"/>
        </w:rPr>
      </w:pPr>
      <w:r w:rsidRPr="00CF6765">
        <w:rPr>
          <w:sz w:val="20"/>
          <w:szCs w:val="20"/>
          <w:lang w:val="en-US" w:eastAsia="en-US"/>
        </w:rPr>
        <w:t>Re</w:t>
      </w:r>
      <w:r w:rsidR="0077190E" w:rsidRPr="00CF6765">
        <w:rPr>
          <w:sz w:val="20"/>
          <w:szCs w:val="20"/>
          <w:lang w:val="en-US" w:eastAsia="en-US"/>
        </w:rPr>
        <w:t xml:space="preserve">garding </w:t>
      </w:r>
      <w:r w:rsidR="00AD04D4" w:rsidRPr="00CF6765">
        <w:rPr>
          <w:sz w:val="20"/>
          <w:szCs w:val="20"/>
          <w:lang w:val="en-US" w:eastAsia="en-US"/>
        </w:rPr>
        <w:t xml:space="preserve">the </w:t>
      </w:r>
      <w:r w:rsidR="008F31F2" w:rsidRPr="00CF6765">
        <w:rPr>
          <w:sz w:val="20"/>
          <w:szCs w:val="20"/>
          <w:lang w:val="en-US" w:eastAsia="en-US"/>
        </w:rPr>
        <w:t>violation</w:t>
      </w:r>
      <w:r w:rsidR="0077190E" w:rsidRPr="00CF6765">
        <w:rPr>
          <w:sz w:val="20"/>
          <w:szCs w:val="20"/>
          <w:lang w:val="en-US" w:eastAsia="en-US"/>
        </w:rPr>
        <w:t xml:space="preserve"> of the right to life</w:t>
      </w:r>
      <w:r w:rsidRPr="00CF6765">
        <w:rPr>
          <w:sz w:val="20"/>
          <w:szCs w:val="20"/>
          <w:lang w:val="en-US" w:eastAsia="en-US"/>
        </w:rPr>
        <w:t xml:space="preserve">, </w:t>
      </w:r>
      <w:r w:rsidR="00D2168F" w:rsidRPr="00CF6765">
        <w:rPr>
          <w:sz w:val="20"/>
          <w:szCs w:val="20"/>
          <w:lang w:val="en-US" w:eastAsia="en-US"/>
        </w:rPr>
        <w:t>the representatives</w:t>
      </w:r>
      <w:r w:rsidRPr="00CF6765">
        <w:rPr>
          <w:sz w:val="20"/>
          <w:szCs w:val="20"/>
          <w:lang w:val="en-US" w:eastAsia="en-US"/>
        </w:rPr>
        <w:t xml:space="preserve"> a</w:t>
      </w:r>
      <w:r w:rsidR="0077190E" w:rsidRPr="00CF6765">
        <w:rPr>
          <w:sz w:val="20"/>
          <w:szCs w:val="20"/>
          <w:lang w:val="en-US" w:eastAsia="en-US"/>
        </w:rPr>
        <w:t xml:space="preserve">rgued that the State had failed to adopt all the measures available to it to provide </w:t>
      </w:r>
      <w:r w:rsidRPr="00CF6765">
        <w:rPr>
          <w:sz w:val="20"/>
          <w:szCs w:val="20"/>
          <w:lang w:val="en-US" w:eastAsia="en-US"/>
        </w:rPr>
        <w:t xml:space="preserve">Vinicio Poblete </w:t>
      </w:r>
      <w:proofErr w:type="spellStart"/>
      <w:r w:rsidRPr="00CF6765">
        <w:rPr>
          <w:sz w:val="20"/>
          <w:szCs w:val="20"/>
          <w:lang w:val="en-US" w:eastAsia="en-US"/>
        </w:rPr>
        <w:t>Vilches</w:t>
      </w:r>
      <w:proofErr w:type="spellEnd"/>
      <w:r w:rsidRPr="00CF6765">
        <w:rPr>
          <w:sz w:val="20"/>
          <w:szCs w:val="20"/>
          <w:lang w:val="en-US" w:eastAsia="en-US"/>
        </w:rPr>
        <w:t xml:space="preserve"> </w:t>
      </w:r>
      <w:r w:rsidR="0077190E" w:rsidRPr="00CF6765">
        <w:rPr>
          <w:sz w:val="20"/>
          <w:szCs w:val="20"/>
          <w:lang w:val="en-US" w:eastAsia="en-US"/>
        </w:rPr>
        <w:t xml:space="preserve">with adequate health care. </w:t>
      </w:r>
      <w:r w:rsidR="00E61C06" w:rsidRPr="00CF6765">
        <w:rPr>
          <w:sz w:val="20"/>
          <w:szCs w:val="20"/>
          <w:lang w:val="en-US" w:eastAsia="en-US"/>
        </w:rPr>
        <w:t>In relation to</w:t>
      </w:r>
      <w:r w:rsidR="0077190E" w:rsidRPr="00CF6765">
        <w:rPr>
          <w:sz w:val="20"/>
          <w:szCs w:val="20"/>
          <w:lang w:val="en-US" w:eastAsia="en-US"/>
        </w:rPr>
        <w:t xml:space="preserve"> the requirement to demonstrate a causal relationship between the </w:t>
      </w:r>
      <w:r w:rsidR="0077190E" w:rsidRPr="00CF6765">
        <w:rPr>
          <w:sz w:val="20"/>
          <w:szCs w:val="20"/>
          <w:lang w:val="en-US" w:eastAsia="en-US"/>
        </w:rPr>
        <w:lastRenderedPageBreak/>
        <w:t>omission</w:t>
      </w:r>
      <w:r w:rsidR="00E61C06" w:rsidRPr="00CF6765">
        <w:rPr>
          <w:sz w:val="20"/>
          <w:szCs w:val="20"/>
          <w:lang w:val="en-US" w:eastAsia="en-US"/>
        </w:rPr>
        <w:t>s that had been</w:t>
      </w:r>
      <w:r w:rsidR="0077190E" w:rsidRPr="00CF6765">
        <w:rPr>
          <w:sz w:val="20"/>
          <w:szCs w:val="20"/>
          <w:lang w:val="en-US" w:eastAsia="en-US"/>
        </w:rPr>
        <w:t xml:space="preserve"> proved and the result</w:t>
      </w:r>
      <w:r w:rsidR="00E61C06" w:rsidRPr="00CF6765">
        <w:rPr>
          <w:sz w:val="20"/>
          <w:szCs w:val="20"/>
          <w:lang w:val="en-US" w:eastAsia="en-US"/>
        </w:rPr>
        <w:t>ing</w:t>
      </w:r>
      <w:r w:rsidR="0077190E" w:rsidRPr="00CF6765">
        <w:rPr>
          <w:sz w:val="20"/>
          <w:szCs w:val="20"/>
          <w:lang w:val="en-US" w:eastAsia="en-US"/>
        </w:rPr>
        <w:t xml:space="preserve"> death, they understood that the State’s responsibility ar</w:t>
      </w:r>
      <w:r w:rsidR="00E61C06" w:rsidRPr="00CF6765">
        <w:rPr>
          <w:sz w:val="20"/>
          <w:szCs w:val="20"/>
          <w:lang w:val="en-US" w:eastAsia="en-US"/>
        </w:rPr>
        <w:t>ose</w:t>
      </w:r>
      <w:r w:rsidR="0077190E" w:rsidRPr="00CF6765">
        <w:rPr>
          <w:sz w:val="20"/>
          <w:szCs w:val="20"/>
          <w:lang w:val="en-US" w:eastAsia="en-US"/>
        </w:rPr>
        <w:t xml:space="preserve"> when it </w:t>
      </w:r>
      <w:r w:rsidR="00E61C06" w:rsidRPr="00CF6765">
        <w:rPr>
          <w:sz w:val="20"/>
          <w:szCs w:val="20"/>
          <w:lang w:val="en-US" w:eastAsia="en-US"/>
        </w:rPr>
        <w:t>was</w:t>
      </w:r>
      <w:r w:rsidR="0077190E" w:rsidRPr="00CF6765">
        <w:rPr>
          <w:sz w:val="20"/>
          <w:szCs w:val="20"/>
          <w:lang w:val="en-US" w:eastAsia="en-US"/>
        </w:rPr>
        <w:t xml:space="preserve"> proved that its acts or omissions increased the ri</w:t>
      </w:r>
      <w:r w:rsidR="00E61C06" w:rsidRPr="00CF6765">
        <w:rPr>
          <w:sz w:val="20"/>
          <w:szCs w:val="20"/>
          <w:lang w:val="en-US" w:eastAsia="en-US"/>
        </w:rPr>
        <w:t>sk to a person’s</w:t>
      </w:r>
      <w:r w:rsidR="0077190E" w:rsidRPr="00CF6765">
        <w:rPr>
          <w:sz w:val="20"/>
          <w:szCs w:val="20"/>
          <w:lang w:val="en-US" w:eastAsia="en-US"/>
        </w:rPr>
        <w:t xml:space="preserve"> life. They added that the State knew of the existence of a situation </w:t>
      </w:r>
      <w:r w:rsidR="00E61C06" w:rsidRPr="00CF6765">
        <w:rPr>
          <w:sz w:val="20"/>
          <w:szCs w:val="20"/>
          <w:lang w:val="en-US" w:eastAsia="en-US"/>
        </w:rPr>
        <w:t>that placed the</w:t>
      </w:r>
      <w:r w:rsidR="0077190E" w:rsidRPr="00CF6765">
        <w:rPr>
          <w:sz w:val="20"/>
          <w:szCs w:val="20"/>
          <w:lang w:val="en-US" w:eastAsia="en-US"/>
        </w:rPr>
        <w:t xml:space="preserve"> life of Mr. Poblete </w:t>
      </w:r>
      <w:r w:rsidR="00E61C06" w:rsidRPr="00CF6765">
        <w:rPr>
          <w:sz w:val="20"/>
          <w:szCs w:val="20"/>
          <w:lang w:val="en-US" w:eastAsia="en-US"/>
        </w:rPr>
        <w:t xml:space="preserve">at risk </w:t>
      </w:r>
      <w:r w:rsidR="0077190E" w:rsidRPr="00CF6765">
        <w:rPr>
          <w:sz w:val="20"/>
          <w:szCs w:val="20"/>
          <w:lang w:val="en-US" w:eastAsia="en-US"/>
        </w:rPr>
        <w:t xml:space="preserve">and </w:t>
      </w:r>
      <w:r w:rsidR="00E61C06" w:rsidRPr="00CF6765">
        <w:rPr>
          <w:sz w:val="20"/>
          <w:szCs w:val="20"/>
          <w:lang w:val="en-US" w:eastAsia="en-US"/>
        </w:rPr>
        <w:t xml:space="preserve">failed to </w:t>
      </w:r>
      <w:r w:rsidR="0077190E" w:rsidRPr="00CF6765">
        <w:rPr>
          <w:sz w:val="20"/>
          <w:szCs w:val="20"/>
          <w:lang w:val="en-US" w:eastAsia="en-US"/>
        </w:rPr>
        <w:t xml:space="preserve">take the necessary measures to prevent or avoid that risk. They recalled that the expert witness had indicated that, if </w:t>
      </w:r>
      <w:r w:rsidR="0077190E" w:rsidRPr="00CF6765">
        <w:rPr>
          <w:rFonts w:eastAsiaTheme="minorHAnsi" w:cstheme="minorBidi"/>
          <w:sz w:val="20"/>
          <w:szCs w:val="20"/>
          <w:lang w:val="en-US" w:eastAsia="en-US"/>
        </w:rPr>
        <w:t xml:space="preserve">Vinicio Poblete had </w:t>
      </w:r>
      <w:r w:rsidR="00E61C06" w:rsidRPr="00CF6765">
        <w:rPr>
          <w:rFonts w:eastAsiaTheme="minorHAnsi" w:cstheme="minorBidi"/>
          <w:sz w:val="20"/>
          <w:szCs w:val="20"/>
          <w:lang w:val="en-US" w:eastAsia="en-US"/>
        </w:rPr>
        <w:t xml:space="preserve">had </w:t>
      </w:r>
      <w:r w:rsidR="0077190E" w:rsidRPr="00CF6765">
        <w:rPr>
          <w:rFonts w:eastAsiaTheme="minorHAnsi" w:cstheme="minorBidi"/>
          <w:sz w:val="20"/>
          <w:szCs w:val="20"/>
          <w:lang w:val="en-US" w:eastAsia="en-US"/>
        </w:rPr>
        <w:t xml:space="preserve">any possibility of surviving, it was by the adoption of measures as basic as </w:t>
      </w:r>
      <w:r w:rsidR="00404FD1" w:rsidRPr="00CF6765">
        <w:rPr>
          <w:rFonts w:eastAsiaTheme="minorHAnsi" w:cstheme="minorBidi"/>
          <w:sz w:val="20"/>
          <w:szCs w:val="20"/>
          <w:lang w:val="en-US" w:eastAsia="en-US"/>
        </w:rPr>
        <w:t xml:space="preserve">admitting him to a closed intensive care unit, </w:t>
      </w:r>
      <w:r w:rsidR="00E61C06" w:rsidRPr="00CF6765">
        <w:rPr>
          <w:rFonts w:eastAsiaTheme="minorHAnsi" w:cstheme="minorBidi"/>
          <w:sz w:val="20"/>
          <w:szCs w:val="20"/>
          <w:lang w:val="en-US" w:eastAsia="en-US"/>
        </w:rPr>
        <w:t xml:space="preserve">and </w:t>
      </w:r>
      <w:r w:rsidR="00404FD1" w:rsidRPr="00CF6765">
        <w:rPr>
          <w:rFonts w:eastAsiaTheme="minorHAnsi" w:cstheme="minorBidi"/>
          <w:sz w:val="20"/>
          <w:szCs w:val="20"/>
          <w:lang w:val="en-US" w:eastAsia="en-US"/>
        </w:rPr>
        <w:t xml:space="preserve">providing him with mechanical ventilation and </w:t>
      </w:r>
      <w:r w:rsidR="00E61C06" w:rsidRPr="00CF6765">
        <w:rPr>
          <w:rFonts w:eastAsiaTheme="minorHAnsi" w:cstheme="minorBidi"/>
          <w:sz w:val="20"/>
          <w:szCs w:val="20"/>
          <w:lang w:val="en-US" w:eastAsia="en-US"/>
        </w:rPr>
        <w:t>appropriate</w:t>
      </w:r>
      <w:r w:rsidR="00404FD1" w:rsidRPr="00CF6765">
        <w:rPr>
          <w:rFonts w:eastAsiaTheme="minorHAnsi" w:cstheme="minorBidi"/>
          <w:sz w:val="20"/>
          <w:szCs w:val="20"/>
          <w:lang w:val="en-US" w:eastAsia="en-US"/>
        </w:rPr>
        <w:t xml:space="preserve"> antibiotic treatment.</w:t>
      </w:r>
      <w:r w:rsidR="00404FD1" w:rsidRPr="00CF6765">
        <w:rPr>
          <w:sz w:val="20"/>
          <w:szCs w:val="20"/>
          <w:lang w:val="en-US" w:eastAsia="en-US"/>
        </w:rPr>
        <w:t xml:space="preserve"> </w:t>
      </w:r>
      <w:r w:rsidR="00D2168F" w:rsidRPr="00CF6765">
        <w:rPr>
          <w:rFonts w:eastAsiaTheme="minorHAnsi" w:cstheme="minorBidi"/>
          <w:sz w:val="20"/>
          <w:szCs w:val="20"/>
          <w:lang w:val="en-US" w:eastAsia="en-US"/>
        </w:rPr>
        <w:t>The representatives</w:t>
      </w:r>
      <w:r w:rsidRPr="00CF6765">
        <w:rPr>
          <w:rFonts w:eastAsiaTheme="minorHAnsi" w:cstheme="minorBidi"/>
          <w:sz w:val="20"/>
          <w:szCs w:val="20"/>
          <w:lang w:val="en-US" w:eastAsia="en-US"/>
        </w:rPr>
        <w:t xml:space="preserve"> </w:t>
      </w:r>
      <w:r w:rsidR="00404FD1" w:rsidRPr="00CF6765">
        <w:rPr>
          <w:rFonts w:eastAsiaTheme="minorHAnsi" w:cstheme="minorBidi"/>
          <w:sz w:val="20"/>
          <w:szCs w:val="20"/>
          <w:lang w:val="en-US" w:eastAsia="en-US"/>
        </w:rPr>
        <w:t xml:space="preserve">indicated that it </w:t>
      </w:r>
      <w:r w:rsidR="00E61C06" w:rsidRPr="00CF6765">
        <w:rPr>
          <w:rFonts w:eastAsiaTheme="minorHAnsi" w:cstheme="minorBidi"/>
          <w:sz w:val="20"/>
          <w:szCs w:val="20"/>
          <w:lang w:val="en-US" w:eastAsia="en-US"/>
        </w:rPr>
        <w:t>was</w:t>
      </w:r>
      <w:r w:rsidR="00404FD1" w:rsidRPr="00CF6765">
        <w:rPr>
          <w:rFonts w:eastAsiaTheme="minorHAnsi" w:cstheme="minorBidi"/>
          <w:sz w:val="20"/>
          <w:szCs w:val="20"/>
          <w:lang w:val="en-US" w:eastAsia="en-US"/>
        </w:rPr>
        <w:t xml:space="preserve"> not possible to speak about a relationship or causal nexus in these cases and that, it c</w:t>
      </w:r>
      <w:r w:rsidR="00E61C06" w:rsidRPr="00CF6765">
        <w:rPr>
          <w:rFonts w:eastAsiaTheme="minorHAnsi" w:cstheme="minorBidi"/>
          <w:sz w:val="20"/>
          <w:szCs w:val="20"/>
          <w:lang w:val="en-US" w:eastAsia="en-US"/>
        </w:rPr>
        <w:t>ould</w:t>
      </w:r>
      <w:r w:rsidR="00404FD1" w:rsidRPr="00CF6765">
        <w:rPr>
          <w:rFonts w:eastAsiaTheme="minorHAnsi" w:cstheme="minorBidi"/>
          <w:sz w:val="20"/>
          <w:szCs w:val="20"/>
          <w:lang w:val="en-US" w:eastAsia="en-US"/>
        </w:rPr>
        <w:t xml:space="preserve"> never be asserted, either in this case or another, that providing treatment to a patient, whatsoever the treatment, would have avoided his death with absolute certainty. They concluded that the State failed to comply with the special obligations of protection to which vulnerable individuals have a right. Thus, the State was responsible for the violation of</w:t>
      </w:r>
      <w:r w:rsidR="00404FD1" w:rsidRPr="00CF6765">
        <w:rPr>
          <w:sz w:val="20"/>
          <w:szCs w:val="20"/>
          <w:lang w:val="en-US" w:eastAsia="en-US"/>
        </w:rPr>
        <w:t xml:space="preserve"> </w:t>
      </w:r>
      <w:r w:rsidR="005C731C" w:rsidRPr="00CF6765">
        <w:rPr>
          <w:rFonts w:eastAsiaTheme="minorHAnsi" w:cstheme="minorBidi"/>
          <w:sz w:val="20"/>
          <w:szCs w:val="20"/>
          <w:lang w:val="en-US" w:eastAsia="en-US"/>
        </w:rPr>
        <w:t>Articles</w:t>
      </w:r>
      <w:r w:rsidRPr="00CF6765">
        <w:rPr>
          <w:rFonts w:eastAsiaTheme="minorHAnsi" w:cstheme="minorBidi"/>
          <w:sz w:val="20"/>
          <w:szCs w:val="20"/>
          <w:lang w:val="en-US" w:eastAsia="en-US"/>
        </w:rPr>
        <w:t xml:space="preserve"> </w:t>
      </w:r>
      <w:r w:rsidR="00D2168F" w:rsidRPr="00CF6765">
        <w:rPr>
          <w:rFonts w:eastAsiaTheme="minorHAnsi" w:cstheme="minorBidi"/>
          <w:sz w:val="20"/>
          <w:szCs w:val="20"/>
          <w:lang w:val="en-US" w:eastAsia="en-US"/>
        </w:rPr>
        <w:t>4(1)</w:t>
      </w:r>
      <w:r w:rsidR="00EC50FC" w:rsidRPr="00CF6765">
        <w:rPr>
          <w:rFonts w:eastAsiaTheme="minorHAnsi" w:cstheme="minorBidi"/>
          <w:sz w:val="20"/>
          <w:szCs w:val="20"/>
          <w:lang w:val="en-US" w:eastAsia="en-US"/>
        </w:rPr>
        <w:t xml:space="preserve"> and </w:t>
      </w:r>
      <w:r w:rsidR="00D2168F" w:rsidRPr="00CF6765">
        <w:rPr>
          <w:rFonts w:eastAsiaTheme="minorHAnsi" w:cstheme="minorBidi"/>
          <w:sz w:val="20"/>
          <w:szCs w:val="20"/>
          <w:lang w:val="en-US" w:eastAsia="en-US"/>
        </w:rPr>
        <w:t>5(1)</w:t>
      </w:r>
      <w:r w:rsidRPr="00CF6765">
        <w:rPr>
          <w:rFonts w:eastAsiaTheme="minorHAnsi" w:cstheme="minorBidi"/>
          <w:sz w:val="20"/>
          <w:szCs w:val="20"/>
          <w:lang w:val="en-US" w:eastAsia="en-US"/>
        </w:rPr>
        <w:t xml:space="preserve"> </w:t>
      </w:r>
      <w:r w:rsidR="00690D57" w:rsidRPr="00CF6765">
        <w:rPr>
          <w:rFonts w:eastAsiaTheme="minorHAnsi" w:cstheme="minorBidi"/>
          <w:sz w:val="20"/>
          <w:szCs w:val="20"/>
          <w:lang w:val="en-US" w:eastAsia="en-US"/>
        </w:rPr>
        <w:t>in relation to Article</w:t>
      </w:r>
      <w:r w:rsidR="00EC50FC" w:rsidRPr="00CF6765">
        <w:rPr>
          <w:rFonts w:eastAsiaTheme="minorHAnsi" w:cstheme="minorBidi"/>
          <w:sz w:val="20"/>
          <w:szCs w:val="20"/>
          <w:lang w:val="en-US" w:eastAsia="en-US"/>
        </w:rPr>
        <w:t xml:space="preserve">s 1(1) and </w:t>
      </w:r>
      <w:r w:rsidRPr="00CF6765">
        <w:rPr>
          <w:rFonts w:eastAsiaTheme="minorHAnsi" w:cstheme="minorBidi"/>
          <w:sz w:val="20"/>
          <w:szCs w:val="20"/>
          <w:lang w:val="en-US" w:eastAsia="en-US"/>
        </w:rPr>
        <w:t>2</w:t>
      </w:r>
      <w:r w:rsidR="005C731C" w:rsidRPr="00CF6765">
        <w:rPr>
          <w:rFonts w:eastAsiaTheme="minorHAnsi" w:cstheme="minorBidi"/>
          <w:sz w:val="20"/>
          <w:szCs w:val="20"/>
          <w:lang w:val="en-US" w:eastAsia="en-US"/>
        </w:rPr>
        <w:t xml:space="preserve"> of the Convention</w:t>
      </w:r>
      <w:r w:rsidRPr="00CF6765">
        <w:rPr>
          <w:rFonts w:eastAsiaTheme="minorHAnsi" w:cstheme="minorBidi"/>
          <w:sz w:val="20"/>
          <w:szCs w:val="20"/>
          <w:lang w:val="en-US" w:eastAsia="en-US"/>
        </w:rPr>
        <w:t>.</w:t>
      </w:r>
    </w:p>
    <w:p w14:paraId="7629C3AA" w14:textId="77777777" w:rsidR="002570D1" w:rsidRPr="00CF6765" w:rsidRDefault="002570D1" w:rsidP="002570D1">
      <w:pPr>
        <w:ind w:left="-90" w:right="-360"/>
        <w:rPr>
          <w:rFonts w:eastAsiaTheme="minorHAnsi" w:cstheme="minorBidi"/>
          <w:sz w:val="20"/>
          <w:szCs w:val="20"/>
          <w:lang w:val="en-US" w:eastAsia="en-US"/>
        </w:rPr>
      </w:pPr>
    </w:p>
    <w:p w14:paraId="3B445648" w14:textId="6D4FACDF" w:rsidR="002570D1" w:rsidRPr="00CF6765" w:rsidRDefault="002570D1" w:rsidP="002454A1">
      <w:pPr>
        <w:numPr>
          <w:ilvl w:val="0"/>
          <w:numId w:val="2"/>
        </w:numPr>
        <w:tabs>
          <w:tab w:val="left" w:pos="567"/>
          <w:tab w:val="num" w:pos="1569"/>
          <w:tab w:val="num" w:pos="12305"/>
        </w:tabs>
        <w:ind w:left="0" w:firstLine="0"/>
        <w:rPr>
          <w:sz w:val="20"/>
          <w:szCs w:val="20"/>
          <w:lang w:val="en-US" w:eastAsia="en-US"/>
        </w:rPr>
      </w:pPr>
      <w:r w:rsidRPr="00CF6765">
        <w:rPr>
          <w:rFonts w:eastAsiaTheme="minorHAnsi" w:cstheme="minorBidi"/>
          <w:sz w:val="20"/>
          <w:szCs w:val="20"/>
          <w:lang w:val="en-US" w:eastAsia="en-US"/>
        </w:rPr>
        <w:t xml:space="preserve"> </w:t>
      </w:r>
      <w:r w:rsidR="00EC50FC" w:rsidRPr="00CF6765">
        <w:rPr>
          <w:rFonts w:eastAsiaTheme="minorHAnsi" w:cstheme="minorBidi"/>
          <w:sz w:val="20"/>
          <w:szCs w:val="20"/>
          <w:lang w:val="en-US" w:eastAsia="en-US"/>
        </w:rPr>
        <w:t xml:space="preserve">The </w:t>
      </w:r>
      <w:r w:rsidR="00EC50FC" w:rsidRPr="00CF6765">
        <w:rPr>
          <w:rFonts w:eastAsiaTheme="minorHAnsi" w:cstheme="minorBidi"/>
          <w:b/>
          <w:bCs/>
          <w:sz w:val="20"/>
          <w:szCs w:val="20"/>
          <w:lang w:val="en-US" w:eastAsia="en-US"/>
        </w:rPr>
        <w:t>State</w:t>
      </w:r>
      <w:r w:rsidRPr="00CF6765">
        <w:rPr>
          <w:rFonts w:eastAsiaTheme="minorHAnsi" w:cstheme="minorBidi"/>
          <w:b/>
          <w:bCs/>
          <w:i/>
          <w:sz w:val="20"/>
          <w:szCs w:val="20"/>
          <w:lang w:val="en-US" w:eastAsia="en-US"/>
        </w:rPr>
        <w:t xml:space="preserve"> </w:t>
      </w:r>
      <w:r w:rsidR="0012025F" w:rsidRPr="00CF6765">
        <w:rPr>
          <w:rFonts w:eastAsiaTheme="minorHAnsi" w:cstheme="minorBidi"/>
          <w:sz w:val="20"/>
          <w:szCs w:val="20"/>
          <w:lang w:val="en-US" w:eastAsia="en-US"/>
        </w:rPr>
        <w:t>a</w:t>
      </w:r>
      <w:r w:rsidR="002454A1" w:rsidRPr="00CF6765">
        <w:rPr>
          <w:rFonts w:eastAsiaTheme="minorHAnsi" w:cstheme="minorBidi"/>
          <w:sz w:val="20"/>
          <w:szCs w:val="20"/>
          <w:lang w:val="en-US" w:eastAsia="en-US"/>
        </w:rPr>
        <w:t xml:space="preserve">rgued that it was not internationally responsible for the violation of </w:t>
      </w:r>
      <w:r w:rsidR="005C731C" w:rsidRPr="00CF6765">
        <w:rPr>
          <w:sz w:val="20"/>
          <w:szCs w:val="20"/>
          <w:lang w:val="en-US" w:eastAsia="en-US"/>
        </w:rPr>
        <w:t>Article</w:t>
      </w:r>
      <w:r w:rsidRPr="00CF6765">
        <w:rPr>
          <w:sz w:val="20"/>
          <w:szCs w:val="20"/>
          <w:lang w:val="en-US" w:eastAsia="en-US"/>
        </w:rPr>
        <w:t xml:space="preserve"> 4</w:t>
      </w:r>
      <w:r w:rsidR="005C731C" w:rsidRPr="00CF6765">
        <w:rPr>
          <w:sz w:val="20"/>
          <w:szCs w:val="20"/>
          <w:lang w:val="en-US" w:eastAsia="en-US"/>
        </w:rPr>
        <w:t xml:space="preserve"> of the American Convention</w:t>
      </w:r>
      <w:r w:rsidRPr="00CF6765">
        <w:rPr>
          <w:sz w:val="20"/>
          <w:szCs w:val="20"/>
          <w:lang w:val="en-US" w:eastAsia="en-US"/>
        </w:rPr>
        <w:t xml:space="preserve">. </w:t>
      </w:r>
      <w:r w:rsidR="002454A1" w:rsidRPr="00CF6765">
        <w:rPr>
          <w:sz w:val="20"/>
          <w:szCs w:val="20"/>
          <w:lang w:val="en-US" w:eastAsia="en-US"/>
        </w:rPr>
        <w:t xml:space="preserve">It argued that “death in itself is not sufficient to determine a violation of the right to life; it must also be proved that the State, within its powers, did not adopt the necessary measures that could reasonably have </w:t>
      </w:r>
      <w:r w:rsidR="00B328D7" w:rsidRPr="00CF6765">
        <w:rPr>
          <w:sz w:val="20"/>
          <w:szCs w:val="20"/>
          <w:lang w:val="en-US" w:eastAsia="en-US"/>
        </w:rPr>
        <w:t>been</w:t>
      </w:r>
      <w:r w:rsidR="002454A1" w:rsidRPr="00CF6765">
        <w:rPr>
          <w:sz w:val="20"/>
          <w:szCs w:val="20"/>
          <w:lang w:val="en-US" w:eastAsia="en-US"/>
        </w:rPr>
        <w:t xml:space="preserve"> expect to ensure the right, and that the failure to adopt the said measures </w:t>
      </w:r>
      <w:r w:rsidR="00B328D7" w:rsidRPr="00CF6765">
        <w:rPr>
          <w:sz w:val="20"/>
          <w:szCs w:val="20"/>
          <w:lang w:val="en-US" w:eastAsia="en-US"/>
        </w:rPr>
        <w:t>was</w:t>
      </w:r>
      <w:r w:rsidR="002454A1" w:rsidRPr="00CF6765">
        <w:rPr>
          <w:sz w:val="20"/>
          <w:szCs w:val="20"/>
          <w:lang w:val="en-US" w:eastAsia="en-US"/>
        </w:rPr>
        <w:t xml:space="preserve"> the direct </w:t>
      </w:r>
      <w:r w:rsidR="00BB748D" w:rsidRPr="00CF6765">
        <w:rPr>
          <w:sz w:val="20"/>
          <w:szCs w:val="20"/>
          <w:lang w:val="en-US" w:eastAsia="en-US"/>
        </w:rPr>
        <w:t>cause of</w:t>
      </w:r>
      <w:r w:rsidR="002454A1" w:rsidRPr="00CF6765">
        <w:rPr>
          <w:sz w:val="20"/>
          <w:szCs w:val="20"/>
          <w:lang w:val="en-US" w:eastAsia="en-US"/>
        </w:rPr>
        <w:t xml:space="preserve"> death.” The State asserted that it had taken the measures </w:t>
      </w:r>
      <w:r w:rsidR="00BB748D" w:rsidRPr="00CF6765">
        <w:rPr>
          <w:sz w:val="20"/>
          <w:szCs w:val="20"/>
          <w:lang w:val="en-US" w:eastAsia="en-US"/>
        </w:rPr>
        <w:t xml:space="preserve">it had </w:t>
      </w:r>
      <w:r w:rsidR="002454A1" w:rsidRPr="00CF6765">
        <w:rPr>
          <w:sz w:val="20"/>
          <w:szCs w:val="20"/>
          <w:lang w:val="en-US" w:eastAsia="en-US"/>
        </w:rPr>
        <w:t xml:space="preserve">available to safeguard the life of Vinicio Poblete </w:t>
      </w:r>
      <w:proofErr w:type="spellStart"/>
      <w:r w:rsidR="002454A1" w:rsidRPr="00CF6765">
        <w:rPr>
          <w:sz w:val="20"/>
          <w:szCs w:val="20"/>
          <w:lang w:val="en-US" w:eastAsia="en-US"/>
        </w:rPr>
        <w:t>Vilches</w:t>
      </w:r>
      <w:proofErr w:type="spellEnd"/>
      <w:r w:rsidR="002454A1" w:rsidRPr="00CF6765">
        <w:rPr>
          <w:sz w:val="20"/>
          <w:szCs w:val="20"/>
          <w:lang w:val="en-US" w:eastAsia="en-US"/>
        </w:rPr>
        <w:t xml:space="preserve">, taking into consideration his delicate state of health and the clinical devices available. It also argued that there was no way of proving whether, with a different treatment to the one provided, </w:t>
      </w:r>
      <w:r w:rsidR="00D2168F" w:rsidRPr="00CF6765">
        <w:rPr>
          <w:sz w:val="20"/>
          <w:szCs w:val="20"/>
          <w:lang w:val="en-US" w:eastAsia="en-US"/>
        </w:rPr>
        <w:t>Mr. Poblete</w:t>
      </w:r>
      <w:r w:rsidRPr="00CF6765">
        <w:rPr>
          <w:sz w:val="20"/>
          <w:szCs w:val="20"/>
          <w:lang w:val="en-US" w:eastAsia="en-US"/>
        </w:rPr>
        <w:t xml:space="preserve"> </w:t>
      </w:r>
      <w:proofErr w:type="spellStart"/>
      <w:r w:rsidRPr="00CF6765">
        <w:rPr>
          <w:sz w:val="20"/>
          <w:szCs w:val="20"/>
          <w:lang w:val="en-US" w:eastAsia="en-US"/>
        </w:rPr>
        <w:t>Vilches</w:t>
      </w:r>
      <w:proofErr w:type="spellEnd"/>
      <w:r w:rsidRPr="00CF6765">
        <w:rPr>
          <w:sz w:val="20"/>
          <w:szCs w:val="20"/>
          <w:lang w:val="en-US" w:eastAsia="en-US"/>
        </w:rPr>
        <w:t xml:space="preserve"> </w:t>
      </w:r>
      <w:r w:rsidR="002454A1" w:rsidRPr="00CF6765">
        <w:rPr>
          <w:sz w:val="20"/>
          <w:szCs w:val="20"/>
          <w:lang w:val="en-US" w:eastAsia="en-US"/>
        </w:rPr>
        <w:t>would have survived.</w:t>
      </w:r>
    </w:p>
    <w:p w14:paraId="47AED5DB" w14:textId="77777777" w:rsidR="002570D1" w:rsidRPr="00CF6765" w:rsidRDefault="002570D1" w:rsidP="002570D1">
      <w:pPr>
        <w:ind w:left="-90" w:right="-360"/>
        <w:contextualSpacing/>
        <w:rPr>
          <w:sz w:val="20"/>
          <w:szCs w:val="20"/>
          <w:lang w:val="en-US" w:eastAsia="en-US"/>
        </w:rPr>
      </w:pPr>
    </w:p>
    <w:p w14:paraId="194F1A43" w14:textId="38FF6ED5" w:rsidR="002570D1" w:rsidRPr="00CF6765" w:rsidRDefault="00EC50FC" w:rsidP="003C3208">
      <w:pPr>
        <w:numPr>
          <w:ilvl w:val="0"/>
          <w:numId w:val="2"/>
        </w:numPr>
        <w:tabs>
          <w:tab w:val="left" w:pos="567"/>
          <w:tab w:val="num" w:pos="1569"/>
          <w:tab w:val="num" w:pos="12305"/>
        </w:tabs>
        <w:ind w:left="0" w:firstLine="0"/>
        <w:rPr>
          <w:sz w:val="20"/>
          <w:szCs w:val="20"/>
          <w:lang w:val="en-US" w:eastAsia="en-US"/>
        </w:rPr>
      </w:pPr>
      <w:r w:rsidRPr="00CF6765">
        <w:rPr>
          <w:sz w:val="20"/>
          <w:szCs w:val="20"/>
          <w:lang w:val="en-US" w:eastAsia="en-US"/>
        </w:rPr>
        <w:t>The State</w:t>
      </w:r>
      <w:r w:rsidR="002570D1" w:rsidRPr="00CF6765">
        <w:rPr>
          <w:sz w:val="20"/>
          <w:szCs w:val="20"/>
          <w:lang w:val="en-US" w:eastAsia="en-US"/>
        </w:rPr>
        <w:t xml:space="preserve"> co</w:t>
      </w:r>
      <w:r w:rsidR="002454A1" w:rsidRPr="00CF6765">
        <w:rPr>
          <w:sz w:val="20"/>
          <w:szCs w:val="20"/>
          <w:lang w:val="en-US" w:eastAsia="en-US"/>
        </w:rPr>
        <w:t>mpared its position with</w:t>
      </w:r>
      <w:r w:rsidR="00BB748D" w:rsidRPr="00CF6765">
        <w:rPr>
          <w:sz w:val="20"/>
          <w:szCs w:val="20"/>
          <w:lang w:val="en-US" w:eastAsia="en-US"/>
        </w:rPr>
        <w:t xml:space="preserve"> that of</w:t>
      </w:r>
      <w:r w:rsidR="002454A1" w:rsidRPr="00CF6765">
        <w:rPr>
          <w:sz w:val="20"/>
          <w:szCs w:val="20"/>
          <w:lang w:val="en-US" w:eastAsia="en-US"/>
        </w:rPr>
        <w:t xml:space="preserve"> the opinion </w:t>
      </w:r>
      <w:r w:rsidR="00002163" w:rsidRPr="00CF6765">
        <w:rPr>
          <w:sz w:val="20"/>
          <w:szCs w:val="20"/>
          <w:lang w:val="en-US" w:eastAsia="en-US"/>
        </w:rPr>
        <w:t>of expert witness</w:t>
      </w:r>
      <w:r w:rsidR="002570D1" w:rsidRPr="00CF6765">
        <w:rPr>
          <w:sz w:val="20"/>
          <w:szCs w:val="20"/>
          <w:lang w:val="en-US" w:eastAsia="en-US"/>
        </w:rPr>
        <w:t xml:space="preserve"> Santos</w:t>
      </w:r>
      <w:r w:rsidR="00CE2C34" w:rsidRPr="00CF6765">
        <w:rPr>
          <w:sz w:val="20"/>
          <w:szCs w:val="20"/>
          <w:lang w:val="en-US" w:eastAsia="en-US"/>
        </w:rPr>
        <w:t xml:space="preserve">, </w:t>
      </w:r>
      <w:r w:rsidR="002454A1" w:rsidRPr="00CF6765">
        <w:rPr>
          <w:sz w:val="20"/>
          <w:szCs w:val="20"/>
          <w:lang w:val="en-US" w:eastAsia="en-US"/>
        </w:rPr>
        <w:t xml:space="preserve">who </w:t>
      </w:r>
      <w:r w:rsidR="00BB748D" w:rsidRPr="00CF6765">
        <w:rPr>
          <w:sz w:val="20"/>
          <w:szCs w:val="20"/>
          <w:lang w:val="en-US" w:eastAsia="en-US"/>
        </w:rPr>
        <w:t xml:space="preserve">had </w:t>
      </w:r>
      <w:r w:rsidR="002454A1" w:rsidRPr="00CF6765">
        <w:rPr>
          <w:sz w:val="20"/>
          <w:szCs w:val="20"/>
          <w:lang w:val="en-US" w:eastAsia="en-US"/>
        </w:rPr>
        <w:t xml:space="preserve">referred to </w:t>
      </w:r>
      <w:r w:rsidR="00BB748D" w:rsidRPr="00CF6765">
        <w:rPr>
          <w:sz w:val="20"/>
          <w:szCs w:val="20"/>
          <w:lang w:val="en-US" w:eastAsia="en-US"/>
        </w:rPr>
        <w:t xml:space="preserve">his </w:t>
      </w:r>
      <w:r w:rsidR="00B328D7" w:rsidRPr="00CF6765">
        <w:rPr>
          <w:sz w:val="20"/>
          <w:szCs w:val="20"/>
          <w:lang w:val="en-US" w:eastAsia="en-US"/>
        </w:rPr>
        <w:t>discrepanc</w:t>
      </w:r>
      <w:r w:rsidR="00BB748D" w:rsidRPr="00CF6765">
        <w:rPr>
          <w:sz w:val="20"/>
          <w:szCs w:val="20"/>
          <w:lang w:val="en-US" w:eastAsia="en-US"/>
        </w:rPr>
        <w:t>y</w:t>
      </w:r>
      <w:r w:rsidR="002454A1" w:rsidRPr="00CF6765">
        <w:rPr>
          <w:sz w:val="20"/>
          <w:szCs w:val="20"/>
          <w:lang w:val="en-US" w:eastAsia="en-US"/>
        </w:rPr>
        <w:t xml:space="preserve"> </w:t>
      </w:r>
      <w:r w:rsidR="00BB748D" w:rsidRPr="00CF6765">
        <w:rPr>
          <w:sz w:val="20"/>
          <w:szCs w:val="20"/>
          <w:lang w:val="en-US" w:eastAsia="en-US"/>
        </w:rPr>
        <w:t>concerning</w:t>
      </w:r>
      <w:r w:rsidR="002454A1" w:rsidRPr="00CF6765">
        <w:rPr>
          <w:sz w:val="20"/>
          <w:szCs w:val="20"/>
          <w:lang w:val="en-US" w:eastAsia="en-US"/>
        </w:rPr>
        <w:t xml:space="preserve"> matters that were supposedly basic, such as mechanical ventilation or the antibiotic that he considered was appropriate following </w:t>
      </w:r>
      <w:r w:rsidR="00D04694" w:rsidRPr="00CF6765">
        <w:rPr>
          <w:sz w:val="20"/>
          <w:szCs w:val="20"/>
          <w:lang w:val="en-US" w:eastAsia="en-US"/>
        </w:rPr>
        <w:t>Mr.</w:t>
      </w:r>
      <w:r w:rsidR="00D2168F" w:rsidRPr="00CF6765">
        <w:rPr>
          <w:sz w:val="20"/>
          <w:szCs w:val="20"/>
          <w:lang w:val="en-US" w:eastAsia="en-US"/>
        </w:rPr>
        <w:t xml:space="preserve"> Poblete</w:t>
      </w:r>
      <w:r w:rsidR="002570D1" w:rsidRPr="00CF6765">
        <w:rPr>
          <w:sz w:val="20"/>
          <w:szCs w:val="20"/>
          <w:lang w:val="en-US" w:eastAsia="en-US"/>
        </w:rPr>
        <w:t xml:space="preserve"> </w:t>
      </w:r>
      <w:proofErr w:type="spellStart"/>
      <w:r w:rsidR="002570D1" w:rsidRPr="00CF6765">
        <w:rPr>
          <w:sz w:val="20"/>
          <w:szCs w:val="20"/>
          <w:lang w:val="en-US" w:eastAsia="en-US"/>
        </w:rPr>
        <w:t>Vilches</w:t>
      </w:r>
      <w:r w:rsidR="002454A1" w:rsidRPr="00CF6765">
        <w:rPr>
          <w:sz w:val="20"/>
          <w:szCs w:val="20"/>
          <w:lang w:val="en-US" w:eastAsia="en-US"/>
        </w:rPr>
        <w:t>’s</w:t>
      </w:r>
      <w:proofErr w:type="spellEnd"/>
      <w:r w:rsidR="002454A1" w:rsidRPr="00CF6765">
        <w:rPr>
          <w:sz w:val="20"/>
          <w:szCs w:val="20"/>
          <w:lang w:val="en-US" w:eastAsia="en-US"/>
        </w:rPr>
        <w:t xml:space="preserve"> readmission to the hospital; however, this discrepancy was not sufficient to indicate that there had been medical negligence in the case. Thus, “the mere disagreement with the treatment provided during his second admission cannot be transformed into a standard to be established by the Court in its case law.” The State argued that mechanical ventilation was not a basic service. It also pointed out that, </w:t>
      </w:r>
      <w:r w:rsidR="003C3208" w:rsidRPr="00CF6765">
        <w:rPr>
          <w:sz w:val="20"/>
          <w:szCs w:val="20"/>
          <w:lang w:val="en-US" w:eastAsia="en-US"/>
        </w:rPr>
        <w:t xml:space="preserve">in the course of the medical procedure, the </w:t>
      </w:r>
      <w:proofErr w:type="spellStart"/>
      <w:r w:rsidR="003C3208" w:rsidRPr="00CF6765">
        <w:rPr>
          <w:sz w:val="20"/>
          <w:szCs w:val="20"/>
          <w:lang w:val="en-US" w:eastAsia="en-US"/>
        </w:rPr>
        <w:t>S</w:t>
      </w:r>
      <w:r w:rsidR="0090740B" w:rsidRPr="00CF6765">
        <w:rPr>
          <w:sz w:val="20"/>
          <w:szCs w:val="20"/>
          <w:lang w:val="en-US" w:eastAsia="en-US"/>
        </w:rPr>
        <w:t>ó</w:t>
      </w:r>
      <w:r w:rsidR="003C3208" w:rsidRPr="00CF6765">
        <w:rPr>
          <w:sz w:val="20"/>
          <w:szCs w:val="20"/>
          <w:lang w:val="en-US" w:eastAsia="en-US"/>
        </w:rPr>
        <w:t>tero</w:t>
      </w:r>
      <w:proofErr w:type="spellEnd"/>
      <w:r w:rsidR="003C3208" w:rsidRPr="00CF6765">
        <w:rPr>
          <w:sz w:val="20"/>
          <w:szCs w:val="20"/>
          <w:lang w:val="en-US" w:eastAsia="en-US"/>
        </w:rPr>
        <w:t xml:space="preserve"> del Río Hospital acted in keeping with the standard of reasonableness and this was not the reason for the regrettable death of Mr. Poblete </w:t>
      </w:r>
      <w:proofErr w:type="spellStart"/>
      <w:r w:rsidR="003C3208" w:rsidRPr="00CF6765">
        <w:rPr>
          <w:sz w:val="20"/>
          <w:szCs w:val="20"/>
          <w:lang w:val="en-US" w:eastAsia="en-US"/>
        </w:rPr>
        <w:t>Vilches</w:t>
      </w:r>
      <w:proofErr w:type="spellEnd"/>
      <w:r w:rsidR="003C3208" w:rsidRPr="00CF6765">
        <w:rPr>
          <w:sz w:val="20"/>
          <w:szCs w:val="20"/>
          <w:lang w:val="en-US" w:eastAsia="en-US"/>
        </w:rPr>
        <w:t xml:space="preserve"> who,</w:t>
      </w:r>
      <w:r w:rsidR="00BB748D" w:rsidRPr="00CF6765">
        <w:rPr>
          <w:sz w:val="20"/>
          <w:szCs w:val="20"/>
          <w:lang w:val="en-US" w:eastAsia="en-US"/>
        </w:rPr>
        <w:t xml:space="preserve"> added to his age,</w:t>
      </w:r>
      <w:r w:rsidR="003C3208" w:rsidRPr="00CF6765">
        <w:rPr>
          <w:sz w:val="20"/>
          <w:szCs w:val="20"/>
          <w:lang w:val="en-US" w:eastAsia="en-US"/>
        </w:rPr>
        <w:t xml:space="preserve"> </w:t>
      </w:r>
      <w:r w:rsidR="00BB748D" w:rsidRPr="00CF6765">
        <w:rPr>
          <w:sz w:val="20"/>
          <w:szCs w:val="20"/>
          <w:lang w:val="en-US" w:eastAsia="en-US"/>
        </w:rPr>
        <w:t xml:space="preserve">at the time of </w:t>
      </w:r>
      <w:r w:rsidR="003C3208" w:rsidRPr="00CF6765">
        <w:rPr>
          <w:sz w:val="20"/>
          <w:szCs w:val="20"/>
          <w:lang w:val="en-US" w:eastAsia="en-US"/>
        </w:rPr>
        <w:t>his first admission</w:t>
      </w:r>
      <w:r w:rsidR="00BB748D" w:rsidRPr="00CF6765">
        <w:rPr>
          <w:sz w:val="20"/>
          <w:szCs w:val="20"/>
          <w:lang w:val="en-US" w:eastAsia="en-US"/>
        </w:rPr>
        <w:t xml:space="preserve"> was </w:t>
      </w:r>
      <w:r w:rsidR="003C3208" w:rsidRPr="00CF6765">
        <w:rPr>
          <w:sz w:val="20"/>
          <w:szCs w:val="20"/>
          <w:lang w:val="en-US" w:eastAsia="en-US"/>
        </w:rPr>
        <w:t>suffer</w:t>
      </w:r>
      <w:r w:rsidR="00BB748D" w:rsidRPr="00CF6765">
        <w:rPr>
          <w:sz w:val="20"/>
          <w:szCs w:val="20"/>
          <w:lang w:val="en-US" w:eastAsia="en-US"/>
        </w:rPr>
        <w:t>ing</w:t>
      </w:r>
      <w:r w:rsidR="003C3208" w:rsidRPr="00CF6765">
        <w:rPr>
          <w:sz w:val="20"/>
          <w:szCs w:val="20"/>
          <w:lang w:val="en-US" w:eastAsia="en-US"/>
        </w:rPr>
        <w:t xml:space="preserve"> from a chronic medical condition</w:t>
      </w:r>
      <w:r w:rsidR="00BB748D" w:rsidRPr="00CF6765">
        <w:rPr>
          <w:sz w:val="20"/>
          <w:szCs w:val="20"/>
          <w:lang w:val="en-US" w:eastAsia="en-US"/>
        </w:rPr>
        <w:t xml:space="preserve">, </w:t>
      </w:r>
      <w:r w:rsidR="003C3208" w:rsidRPr="00CF6765">
        <w:rPr>
          <w:sz w:val="20"/>
          <w:szCs w:val="20"/>
          <w:lang w:val="en-US" w:eastAsia="en-US"/>
        </w:rPr>
        <w:t xml:space="preserve">which expert witness Santos himself </w:t>
      </w:r>
      <w:r w:rsidR="00BB748D" w:rsidRPr="00CF6765">
        <w:rPr>
          <w:sz w:val="20"/>
          <w:szCs w:val="20"/>
          <w:lang w:val="en-US" w:eastAsia="en-US"/>
        </w:rPr>
        <w:t xml:space="preserve">had </w:t>
      </w:r>
      <w:r w:rsidR="003C3208" w:rsidRPr="00CF6765">
        <w:rPr>
          <w:sz w:val="20"/>
          <w:szCs w:val="20"/>
          <w:lang w:val="en-US" w:eastAsia="en-US"/>
        </w:rPr>
        <w:t>recognized. The State concluded that the facts described constitute</w:t>
      </w:r>
      <w:r w:rsidR="0090740B" w:rsidRPr="00CF6765">
        <w:rPr>
          <w:sz w:val="20"/>
          <w:szCs w:val="20"/>
          <w:lang w:val="en-US" w:eastAsia="en-US"/>
        </w:rPr>
        <w:t>d</w:t>
      </w:r>
      <w:r w:rsidR="003C3208" w:rsidRPr="00CF6765">
        <w:rPr>
          <w:sz w:val="20"/>
          <w:szCs w:val="20"/>
          <w:lang w:val="en-US" w:eastAsia="en-US"/>
        </w:rPr>
        <w:t xml:space="preserve"> a violation </w:t>
      </w:r>
      <w:r w:rsidR="0088423A" w:rsidRPr="00CF6765">
        <w:rPr>
          <w:sz w:val="20"/>
          <w:szCs w:val="20"/>
          <w:lang w:val="en-US" w:eastAsia="en-US"/>
        </w:rPr>
        <w:t>of Article</w:t>
      </w:r>
      <w:r w:rsidR="002570D1" w:rsidRPr="00CF6765">
        <w:rPr>
          <w:sz w:val="20"/>
          <w:szCs w:val="20"/>
          <w:lang w:val="en-US" w:eastAsia="en-US"/>
        </w:rPr>
        <w:t xml:space="preserve"> 5</w:t>
      </w:r>
      <w:r w:rsidR="005C731C" w:rsidRPr="00CF6765">
        <w:rPr>
          <w:sz w:val="20"/>
          <w:szCs w:val="20"/>
          <w:lang w:val="en-US" w:eastAsia="en-US"/>
        </w:rPr>
        <w:t xml:space="preserve"> of the Convention</w:t>
      </w:r>
      <w:r w:rsidR="002570D1" w:rsidRPr="00CF6765">
        <w:rPr>
          <w:sz w:val="20"/>
          <w:szCs w:val="20"/>
          <w:lang w:val="en-US" w:eastAsia="en-US"/>
        </w:rPr>
        <w:t xml:space="preserve">, </w:t>
      </w:r>
      <w:r w:rsidR="003C3208" w:rsidRPr="00CF6765">
        <w:rPr>
          <w:sz w:val="20"/>
          <w:szCs w:val="20"/>
          <w:lang w:val="en-US" w:eastAsia="en-US"/>
        </w:rPr>
        <w:t>but not of the</w:t>
      </w:r>
      <w:r w:rsidR="002570D1" w:rsidRPr="00CF6765">
        <w:rPr>
          <w:sz w:val="20"/>
          <w:szCs w:val="20"/>
          <w:lang w:val="en-US" w:eastAsia="en-US"/>
        </w:rPr>
        <w:t xml:space="preserve"> </w:t>
      </w:r>
      <w:r w:rsidR="0077190E" w:rsidRPr="00CF6765">
        <w:rPr>
          <w:sz w:val="20"/>
          <w:szCs w:val="20"/>
          <w:lang w:val="en-US" w:eastAsia="en-US"/>
        </w:rPr>
        <w:t>right to life</w:t>
      </w:r>
      <w:r w:rsidR="002570D1" w:rsidRPr="00CF6765">
        <w:rPr>
          <w:sz w:val="20"/>
          <w:szCs w:val="20"/>
          <w:lang w:val="en-US" w:eastAsia="en-US"/>
        </w:rPr>
        <w:t xml:space="preserve">, </w:t>
      </w:r>
      <w:r w:rsidR="003C3208" w:rsidRPr="00CF6765">
        <w:rPr>
          <w:sz w:val="20"/>
          <w:szCs w:val="20"/>
          <w:lang w:val="en-US" w:eastAsia="en-US"/>
        </w:rPr>
        <w:t xml:space="preserve">which </w:t>
      </w:r>
      <w:r w:rsidR="00BB748D" w:rsidRPr="00CF6765">
        <w:rPr>
          <w:sz w:val="20"/>
          <w:szCs w:val="20"/>
          <w:lang w:val="en-US" w:eastAsia="en-US"/>
        </w:rPr>
        <w:t>wa</w:t>
      </w:r>
      <w:r w:rsidR="003C3208" w:rsidRPr="00CF6765">
        <w:rPr>
          <w:sz w:val="20"/>
          <w:szCs w:val="20"/>
          <w:lang w:val="en-US" w:eastAsia="en-US"/>
        </w:rPr>
        <w:t xml:space="preserve">s governed by different standards; thus, it </w:t>
      </w:r>
      <w:r w:rsidR="00BB748D" w:rsidRPr="00CF6765">
        <w:rPr>
          <w:sz w:val="20"/>
          <w:szCs w:val="20"/>
          <w:lang w:val="en-US" w:eastAsia="en-US"/>
        </w:rPr>
        <w:t>acknowledged</w:t>
      </w:r>
      <w:r w:rsidR="003C3208" w:rsidRPr="00CF6765">
        <w:rPr>
          <w:sz w:val="20"/>
          <w:szCs w:val="20"/>
          <w:lang w:val="en-US" w:eastAsia="en-US"/>
        </w:rPr>
        <w:t xml:space="preserve"> responsibility with regard to one and not the other.</w:t>
      </w:r>
      <w:r w:rsidR="0090740B" w:rsidRPr="00CF6765">
        <w:rPr>
          <w:sz w:val="20"/>
          <w:szCs w:val="20"/>
          <w:lang w:val="en-US" w:eastAsia="en-US"/>
        </w:rPr>
        <w:t xml:space="preserve"> </w:t>
      </w:r>
      <w:r w:rsidR="002570D1" w:rsidRPr="00CF6765">
        <w:rPr>
          <w:sz w:val="20"/>
          <w:szCs w:val="20"/>
          <w:lang w:val="en-US" w:eastAsia="en-US"/>
        </w:rPr>
        <w:t>Conse</w:t>
      </w:r>
      <w:r w:rsidR="003C3208" w:rsidRPr="00CF6765">
        <w:rPr>
          <w:sz w:val="20"/>
          <w:szCs w:val="20"/>
          <w:lang w:val="en-US" w:eastAsia="en-US"/>
        </w:rPr>
        <w:t>quently, it expressly a</w:t>
      </w:r>
      <w:r w:rsidR="0090740B" w:rsidRPr="00CF6765">
        <w:rPr>
          <w:sz w:val="20"/>
          <w:szCs w:val="20"/>
          <w:lang w:val="en-US" w:eastAsia="en-US"/>
        </w:rPr>
        <w:t>c</w:t>
      </w:r>
      <w:r w:rsidR="003C3208" w:rsidRPr="00CF6765">
        <w:rPr>
          <w:sz w:val="20"/>
          <w:szCs w:val="20"/>
          <w:lang w:val="en-US" w:eastAsia="en-US"/>
        </w:rPr>
        <w:t>knowledged that the decisi</w:t>
      </w:r>
      <w:r w:rsidR="0090740B" w:rsidRPr="00CF6765">
        <w:rPr>
          <w:sz w:val="20"/>
          <w:szCs w:val="20"/>
          <w:lang w:val="en-US" w:eastAsia="en-US"/>
        </w:rPr>
        <w:t>o</w:t>
      </w:r>
      <w:r w:rsidR="003C3208" w:rsidRPr="00CF6765">
        <w:rPr>
          <w:sz w:val="20"/>
          <w:szCs w:val="20"/>
          <w:lang w:val="en-US" w:eastAsia="en-US"/>
        </w:rPr>
        <w:t>n to discharge the victim was not a</w:t>
      </w:r>
      <w:r w:rsidR="00BB748D" w:rsidRPr="00CF6765">
        <w:rPr>
          <w:sz w:val="20"/>
          <w:szCs w:val="20"/>
          <w:lang w:val="en-US" w:eastAsia="en-US"/>
        </w:rPr>
        <w:t>ppropriate</w:t>
      </w:r>
      <w:r w:rsidR="003C3208" w:rsidRPr="00CF6765">
        <w:rPr>
          <w:sz w:val="20"/>
          <w:szCs w:val="20"/>
          <w:lang w:val="en-US" w:eastAsia="en-US"/>
        </w:rPr>
        <w:t xml:space="preserve"> or pertinent and that </w:t>
      </w:r>
      <w:r w:rsidR="00BB748D" w:rsidRPr="00CF6765">
        <w:rPr>
          <w:sz w:val="20"/>
          <w:szCs w:val="20"/>
          <w:lang w:val="en-US" w:eastAsia="en-US"/>
        </w:rPr>
        <w:t>it</w:t>
      </w:r>
      <w:r w:rsidR="003C3208" w:rsidRPr="00CF6765">
        <w:rPr>
          <w:sz w:val="20"/>
          <w:szCs w:val="20"/>
          <w:lang w:val="en-US" w:eastAsia="en-US"/>
        </w:rPr>
        <w:t xml:space="preserve"> “constituted an obstacle to </w:t>
      </w:r>
      <w:r w:rsidR="00BB748D" w:rsidRPr="00CF6765">
        <w:rPr>
          <w:sz w:val="20"/>
          <w:szCs w:val="20"/>
          <w:lang w:val="en-US" w:eastAsia="en-US"/>
        </w:rPr>
        <w:t>a</w:t>
      </w:r>
      <w:r w:rsidR="003C3208" w:rsidRPr="00CF6765">
        <w:rPr>
          <w:sz w:val="20"/>
          <w:szCs w:val="20"/>
          <w:lang w:val="en-US" w:eastAsia="en-US"/>
        </w:rPr>
        <w:t xml:space="preserve">ccess to conditions that would ensure his right to </w:t>
      </w:r>
      <w:r w:rsidR="0088423A" w:rsidRPr="00CF6765">
        <w:rPr>
          <w:rFonts w:eastAsiaTheme="minorHAnsi" w:cstheme="minorBidi"/>
          <w:sz w:val="20"/>
          <w:szCs w:val="20"/>
          <w:lang w:val="en-US" w:eastAsia="en-US"/>
        </w:rPr>
        <w:t>physical integrity</w:t>
      </w:r>
      <w:r w:rsidR="002570D1" w:rsidRPr="00CF6765">
        <w:rPr>
          <w:rFonts w:eastAsiaTheme="minorHAnsi" w:cstheme="minorBidi"/>
          <w:sz w:val="20"/>
          <w:szCs w:val="20"/>
          <w:lang w:val="en-US" w:eastAsia="en-US"/>
        </w:rPr>
        <w:t xml:space="preserve"> </w:t>
      </w:r>
      <w:r w:rsidR="003C3208" w:rsidRPr="00CF6765">
        <w:rPr>
          <w:rFonts w:eastAsiaTheme="minorHAnsi" w:cstheme="minorBidi"/>
          <w:sz w:val="20"/>
          <w:szCs w:val="20"/>
          <w:lang w:val="en-US" w:eastAsia="en-US"/>
        </w:rPr>
        <w:t>and also his health.”</w:t>
      </w:r>
    </w:p>
    <w:p w14:paraId="0AAF3ECE" w14:textId="77777777" w:rsidR="002570D1" w:rsidRPr="00CF6765" w:rsidRDefault="002570D1" w:rsidP="002570D1">
      <w:pPr>
        <w:widowControl w:val="0"/>
        <w:tabs>
          <w:tab w:val="center" w:pos="567"/>
        </w:tabs>
        <w:autoSpaceDE w:val="0"/>
        <w:autoSpaceDN w:val="0"/>
        <w:adjustRightInd w:val="0"/>
        <w:contextualSpacing/>
        <w:rPr>
          <w:rFonts w:eastAsia="Calibri"/>
          <w:sz w:val="20"/>
          <w:szCs w:val="20"/>
          <w:lang w:val="en-US" w:eastAsia="en-US"/>
        </w:rPr>
      </w:pPr>
    </w:p>
    <w:p w14:paraId="00091CBD" w14:textId="72982660" w:rsidR="002570D1" w:rsidRPr="00CF6765" w:rsidRDefault="003C3208" w:rsidP="00EB31AC">
      <w:pPr>
        <w:pStyle w:val="Ttulo3"/>
        <w:numPr>
          <w:ilvl w:val="0"/>
          <w:numId w:val="19"/>
        </w:numPr>
        <w:rPr>
          <w:b/>
          <w:lang w:val="en-US"/>
        </w:rPr>
      </w:pPr>
      <w:bookmarkStart w:id="69" w:name="_Toc47864374"/>
      <w:r w:rsidRPr="00CF6765">
        <w:rPr>
          <w:b/>
          <w:lang w:val="en-US"/>
        </w:rPr>
        <w:t>On informed consent</w:t>
      </w:r>
      <w:bookmarkEnd w:id="69"/>
    </w:p>
    <w:p w14:paraId="78A01F1A" w14:textId="29331C3A" w:rsidR="002570D1" w:rsidRPr="00CF6765" w:rsidRDefault="002570D1" w:rsidP="002570D1">
      <w:pPr>
        <w:widowControl w:val="0"/>
        <w:tabs>
          <w:tab w:val="center" w:pos="567"/>
        </w:tabs>
        <w:autoSpaceDE w:val="0"/>
        <w:autoSpaceDN w:val="0"/>
        <w:adjustRightInd w:val="0"/>
        <w:contextualSpacing/>
        <w:rPr>
          <w:rFonts w:eastAsia="Calibri"/>
          <w:sz w:val="20"/>
          <w:szCs w:val="20"/>
          <w:lang w:val="en-US" w:eastAsia="en-US"/>
        </w:rPr>
      </w:pPr>
    </w:p>
    <w:p w14:paraId="31D61B3D" w14:textId="406CB12B" w:rsidR="002570D1" w:rsidRPr="00CF6765" w:rsidRDefault="005C731C" w:rsidP="00960D43">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s-ES"/>
        </w:rPr>
        <w:t xml:space="preserve">The </w:t>
      </w:r>
      <w:r w:rsidRPr="00CF6765">
        <w:rPr>
          <w:rFonts w:eastAsia="Calibri"/>
          <w:b/>
          <w:bCs/>
          <w:i/>
          <w:iCs/>
          <w:sz w:val="20"/>
          <w:szCs w:val="20"/>
          <w:lang w:val="en-US" w:eastAsia="es-ES"/>
        </w:rPr>
        <w:t>Commission</w:t>
      </w:r>
      <w:r w:rsidR="00960D43" w:rsidRPr="00CF6765">
        <w:rPr>
          <w:rFonts w:eastAsia="Calibri"/>
          <w:b/>
          <w:sz w:val="20"/>
          <w:szCs w:val="20"/>
          <w:lang w:val="en-US" w:eastAsia="es-ES"/>
        </w:rPr>
        <w:t xml:space="preserve"> </w:t>
      </w:r>
      <w:r w:rsidR="00960D43" w:rsidRPr="00CF6765">
        <w:rPr>
          <w:rFonts w:eastAsia="Calibri"/>
          <w:sz w:val="20"/>
          <w:szCs w:val="20"/>
          <w:lang w:val="en-US" w:eastAsia="es-ES"/>
        </w:rPr>
        <w:t xml:space="preserve">argued that the medical record does not contain any indication that would allow it to be understood whether </w:t>
      </w:r>
      <w:r w:rsidR="00960D43" w:rsidRPr="00CF6765">
        <w:rPr>
          <w:rFonts w:eastAsia="Calibri"/>
          <w:sz w:val="20"/>
          <w:szCs w:val="20"/>
          <w:lang w:val="en-US" w:eastAsia="en-US"/>
        </w:rPr>
        <w:t xml:space="preserve">Mr. Poblete </w:t>
      </w:r>
      <w:proofErr w:type="spellStart"/>
      <w:r w:rsidR="00960D43" w:rsidRPr="00CF6765">
        <w:rPr>
          <w:rFonts w:eastAsia="Calibri"/>
          <w:sz w:val="20"/>
          <w:szCs w:val="20"/>
          <w:lang w:val="en-US" w:eastAsia="en-US"/>
        </w:rPr>
        <w:t>Vilches</w:t>
      </w:r>
      <w:proofErr w:type="spellEnd"/>
      <w:r w:rsidR="00960D43" w:rsidRPr="00CF6765">
        <w:rPr>
          <w:rFonts w:eastAsia="Calibri"/>
          <w:sz w:val="20"/>
          <w:szCs w:val="20"/>
          <w:lang w:val="en-US" w:eastAsia="en-US"/>
        </w:rPr>
        <w:t xml:space="preserve"> and the members of his family received specific information in order to give informed consent, or that </w:t>
      </w:r>
      <w:r w:rsidR="00BB748D" w:rsidRPr="00CF6765">
        <w:rPr>
          <w:rFonts w:eastAsia="Calibri"/>
          <w:sz w:val="20"/>
          <w:szCs w:val="20"/>
          <w:lang w:val="en-US" w:eastAsia="en-US"/>
        </w:rPr>
        <w:t>the</w:t>
      </w:r>
      <w:r w:rsidR="00960D43" w:rsidRPr="00CF6765">
        <w:rPr>
          <w:rFonts w:eastAsia="Calibri"/>
          <w:sz w:val="20"/>
          <w:szCs w:val="20"/>
          <w:lang w:val="en-US" w:eastAsia="en-US"/>
        </w:rPr>
        <w:t xml:space="preserve"> three components</w:t>
      </w:r>
      <w:r w:rsidR="00BB748D" w:rsidRPr="00CF6765">
        <w:rPr>
          <w:rFonts w:eastAsia="Calibri"/>
          <w:sz w:val="20"/>
          <w:szCs w:val="20"/>
          <w:lang w:val="en-US" w:eastAsia="en-US"/>
        </w:rPr>
        <w:t xml:space="preserve"> of informed consent</w:t>
      </w:r>
      <w:r w:rsidR="00960D43" w:rsidRPr="00CF6765">
        <w:rPr>
          <w:rFonts w:eastAsia="Calibri"/>
          <w:sz w:val="20"/>
          <w:szCs w:val="20"/>
          <w:lang w:val="en-US" w:eastAsia="en-US"/>
        </w:rPr>
        <w:t xml:space="preserve"> had been complied with</w:t>
      </w:r>
      <w:r w:rsidR="002570D1" w:rsidRPr="00CF6765">
        <w:rPr>
          <w:rFonts w:eastAsia="Calibri"/>
          <w:sz w:val="20"/>
          <w:szCs w:val="20"/>
          <w:lang w:val="en-US" w:eastAsia="en-US"/>
        </w:rPr>
        <w:t xml:space="preserve">. </w:t>
      </w:r>
      <w:r w:rsidRPr="00CF6765">
        <w:rPr>
          <w:rFonts w:eastAsia="Calibri"/>
          <w:sz w:val="20"/>
          <w:szCs w:val="20"/>
          <w:lang w:val="en-US" w:eastAsia="en-US"/>
        </w:rPr>
        <w:t>The Commission</w:t>
      </w:r>
      <w:r w:rsidR="002570D1" w:rsidRPr="00CF6765">
        <w:rPr>
          <w:rFonts w:eastAsia="Calibri"/>
          <w:sz w:val="20"/>
          <w:szCs w:val="20"/>
          <w:lang w:val="en-US" w:eastAsia="en-US"/>
        </w:rPr>
        <w:t xml:space="preserve"> indic</w:t>
      </w:r>
      <w:r w:rsidR="00960D43" w:rsidRPr="00CF6765">
        <w:rPr>
          <w:rFonts w:eastAsia="Calibri"/>
          <w:sz w:val="20"/>
          <w:szCs w:val="20"/>
          <w:lang w:val="en-US" w:eastAsia="en-US"/>
        </w:rPr>
        <w:t>ated that, neither in the context of the procedure performed during the f</w:t>
      </w:r>
      <w:r w:rsidR="00B06735" w:rsidRPr="00CF6765">
        <w:rPr>
          <w:rFonts w:eastAsia="Calibri"/>
          <w:sz w:val="20"/>
          <w:szCs w:val="20"/>
          <w:lang w:val="en-US" w:eastAsia="en-US"/>
        </w:rPr>
        <w:t>irst admission</w:t>
      </w:r>
      <w:r w:rsidR="002570D1" w:rsidRPr="00CF6765">
        <w:rPr>
          <w:rFonts w:eastAsia="Calibri"/>
          <w:sz w:val="20"/>
          <w:szCs w:val="20"/>
          <w:lang w:val="en-US" w:eastAsia="en-US"/>
        </w:rPr>
        <w:t xml:space="preserve"> </w:t>
      </w:r>
      <w:r w:rsidR="00D04694" w:rsidRPr="00CF6765">
        <w:rPr>
          <w:rFonts w:eastAsia="Calibri"/>
          <w:sz w:val="20"/>
          <w:szCs w:val="20"/>
          <w:lang w:val="en-US" w:eastAsia="en-US"/>
        </w:rPr>
        <w:t>of Mr.</w:t>
      </w:r>
      <w:r w:rsidR="00D2168F" w:rsidRPr="00CF6765">
        <w:rPr>
          <w:rFonts w:eastAsia="Calibri"/>
          <w:sz w:val="20"/>
          <w:szCs w:val="20"/>
          <w:lang w:val="en-US" w:eastAsia="en-US"/>
        </w:rPr>
        <w:t xml:space="preserve">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960D43" w:rsidRPr="00CF6765">
        <w:rPr>
          <w:rFonts w:eastAsia="Calibri"/>
          <w:sz w:val="20"/>
          <w:szCs w:val="20"/>
          <w:lang w:val="en-US" w:eastAsia="en-US"/>
        </w:rPr>
        <w:t>,</w:t>
      </w:r>
      <w:r w:rsidR="002570D1" w:rsidRPr="00CF6765">
        <w:rPr>
          <w:rFonts w:eastAsia="Calibri"/>
          <w:sz w:val="20"/>
          <w:szCs w:val="20"/>
          <w:lang w:val="en-US" w:eastAsia="en-US"/>
        </w:rPr>
        <w:t xml:space="preserve"> n</w:t>
      </w:r>
      <w:r w:rsidR="00960D43" w:rsidRPr="00CF6765">
        <w:rPr>
          <w:rFonts w:eastAsia="Calibri"/>
          <w:sz w:val="20"/>
          <w:szCs w:val="20"/>
          <w:lang w:val="en-US" w:eastAsia="en-US"/>
        </w:rPr>
        <w:t>or in the context of the treatment following his</w:t>
      </w:r>
      <w:r w:rsidR="002570D1" w:rsidRPr="00CF6765">
        <w:rPr>
          <w:rFonts w:eastAsia="Calibri"/>
          <w:sz w:val="20"/>
          <w:szCs w:val="20"/>
          <w:lang w:val="en-US" w:eastAsia="en-US"/>
        </w:rPr>
        <w:t xml:space="preserve"> </w:t>
      </w:r>
      <w:r w:rsidR="00B969DD" w:rsidRPr="00CF6765">
        <w:rPr>
          <w:rFonts w:eastAsia="Calibri"/>
          <w:sz w:val="20"/>
          <w:szCs w:val="20"/>
          <w:lang w:val="en-US" w:eastAsia="en-US"/>
        </w:rPr>
        <w:t>second admission</w:t>
      </w:r>
      <w:r w:rsidR="00012B33" w:rsidRPr="00CF6765">
        <w:rPr>
          <w:rFonts w:eastAsia="Calibri"/>
          <w:sz w:val="20"/>
          <w:szCs w:val="20"/>
          <w:lang w:val="en-US" w:eastAsia="en-US"/>
        </w:rPr>
        <w:t>,</w:t>
      </w:r>
      <w:r w:rsidR="002570D1" w:rsidRPr="00CF6765">
        <w:rPr>
          <w:rFonts w:eastAsia="Calibri"/>
          <w:sz w:val="20"/>
          <w:szCs w:val="20"/>
          <w:lang w:val="en-US" w:eastAsia="en-US"/>
        </w:rPr>
        <w:t xml:space="preserve"> </w:t>
      </w:r>
      <w:r w:rsidR="00960D43" w:rsidRPr="00CF6765">
        <w:rPr>
          <w:rFonts w:eastAsia="Calibri"/>
          <w:sz w:val="20"/>
          <w:szCs w:val="20"/>
          <w:lang w:val="en-US" w:eastAsia="en-US"/>
        </w:rPr>
        <w:t xml:space="preserve">had the medical staff fulfilled their obligations </w:t>
      </w:r>
      <w:r w:rsidR="00443691" w:rsidRPr="00CF6765">
        <w:rPr>
          <w:rFonts w:eastAsia="Calibri"/>
          <w:sz w:val="20"/>
          <w:szCs w:val="20"/>
          <w:lang w:val="en-US" w:eastAsia="en-US"/>
        </w:rPr>
        <w:t>in relation to</w:t>
      </w:r>
      <w:r w:rsidR="00960D43" w:rsidRPr="00CF6765">
        <w:rPr>
          <w:rFonts w:eastAsia="Calibri"/>
          <w:sz w:val="20"/>
          <w:szCs w:val="20"/>
          <w:lang w:val="en-US" w:eastAsia="en-US"/>
        </w:rPr>
        <w:t xml:space="preserve"> </w:t>
      </w:r>
      <w:r w:rsidR="003C3208" w:rsidRPr="00CF6765">
        <w:rPr>
          <w:rFonts w:eastAsia="Calibri"/>
          <w:sz w:val="20"/>
          <w:szCs w:val="20"/>
          <w:lang w:val="en-US" w:eastAsia="en-US"/>
        </w:rPr>
        <w:t>informed consent</w:t>
      </w:r>
      <w:r w:rsidR="002570D1" w:rsidRPr="00CF6765">
        <w:rPr>
          <w:rFonts w:eastAsia="Calibri"/>
          <w:sz w:val="20"/>
          <w:szCs w:val="20"/>
          <w:lang w:val="en-US" w:eastAsia="en-US"/>
        </w:rPr>
        <w:t xml:space="preserve">. </w:t>
      </w:r>
      <w:r w:rsidR="00960D43" w:rsidRPr="00CF6765">
        <w:rPr>
          <w:rFonts w:eastAsia="Calibri"/>
          <w:sz w:val="20"/>
          <w:szCs w:val="20"/>
          <w:lang w:val="en-US" w:eastAsia="en-US"/>
        </w:rPr>
        <w:t xml:space="preserve">It also indicated that, since </w:t>
      </w:r>
      <w:r w:rsidR="00E15A35" w:rsidRPr="00CF6765">
        <w:rPr>
          <w:rFonts w:eastAsia="Calibri"/>
          <w:sz w:val="20"/>
          <w:szCs w:val="20"/>
          <w:lang w:val="en-US" w:eastAsia="en-US"/>
        </w:rPr>
        <w:t xml:space="preserve">the </w:t>
      </w:r>
      <w:proofErr w:type="spellStart"/>
      <w:r w:rsidR="00E15A35" w:rsidRPr="00CF6765">
        <w:rPr>
          <w:rFonts w:eastAsia="Calibri"/>
          <w:sz w:val="20"/>
          <w:szCs w:val="20"/>
          <w:lang w:val="en-US" w:eastAsia="en-US"/>
        </w:rPr>
        <w:t>Sótero</w:t>
      </w:r>
      <w:proofErr w:type="spellEnd"/>
      <w:r w:rsidR="00E15A35" w:rsidRPr="00CF6765">
        <w:rPr>
          <w:rFonts w:eastAsia="Calibri"/>
          <w:sz w:val="20"/>
          <w:szCs w:val="20"/>
          <w:lang w:val="en-US" w:eastAsia="en-US"/>
        </w:rPr>
        <w:t xml:space="preserve"> del Río Hospital</w:t>
      </w:r>
      <w:r w:rsidR="002570D1" w:rsidRPr="00CF6765">
        <w:rPr>
          <w:rFonts w:eastAsia="Calibri"/>
          <w:sz w:val="20"/>
          <w:szCs w:val="20"/>
          <w:lang w:val="en-US" w:eastAsia="en-US"/>
        </w:rPr>
        <w:t xml:space="preserve"> </w:t>
      </w:r>
      <w:r w:rsidR="00960D43" w:rsidRPr="00CF6765">
        <w:rPr>
          <w:rFonts w:eastAsia="Calibri"/>
          <w:sz w:val="20"/>
          <w:szCs w:val="20"/>
          <w:lang w:val="en-US" w:eastAsia="en-US"/>
        </w:rPr>
        <w:t>wa</w:t>
      </w:r>
      <w:r w:rsidR="002570D1" w:rsidRPr="00CF6765">
        <w:rPr>
          <w:rFonts w:eastAsia="Calibri"/>
          <w:sz w:val="20"/>
          <w:szCs w:val="20"/>
          <w:lang w:val="en-US" w:eastAsia="en-US"/>
        </w:rPr>
        <w:t xml:space="preserve">s </w:t>
      </w:r>
      <w:r w:rsidR="00671A8C" w:rsidRPr="00CF6765">
        <w:rPr>
          <w:rFonts w:eastAsia="Calibri"/>
          <w:sz w:val="20"/>
          <w:szCs w:val="20"/>
          <w:lang w:val="en-US" w:eastAsia="en-US"/>
        </w:rPr>
        <w:t>a public hospital</w:t>
      </w:r>
      <w:r w:rsidR="002570D1" w:rsidRPr="00CF6765">
        <w:rPr>
          <w:rFonts w:eastAsia="Calibri"/>
          <w:sz w:val="20"/>
          <w:szCs w:val="20"/>
          <w:lang w:val="en-US" w:eastAsia="en-US"/>
        </w:rPr>
        <w:t>,</w:t>
      </w:r>
      <w:r w:rsidR="00960D43" w:rsidRPr="00CF6765">
        <w:rPr>
          <w:rFonts w:eastAsia="Calibri"/>
          <w:sz w:val="20"/>
          <w:szCs w:val="20"/>
          <w:lang w:val="en-US" w:eastAsia="en-US"/>
        </w:rPr>
        <w:t xml:space="preserve"> non-compliance could be directed attributed to the Chilean State. In this regard</w:t>
      </w:r>
      <w:r w:rsidR="002570D1" w:rsidRPr="00CF6765">
        <w:rPr>
          <w:rFonts w:eastAsia="Calibri"/>
          <w:sz w:val="20"/>
          <w:szCs w:val="20"/>
          <w:lang w:val="en-US" w:eastAsia="en-US"/>
        </w:rPr>
        <w:t xml:space="preserve">, </w:t>
      </w:r>
      <w:r w:rsidRPr="00CF6765">
        <w:rPr>
          <w:rFonts w:eastAsia="Calibri"/>
          <w:sz w:val="20"/>
          <w:szCs w:val="20"/>
          <w:lang w:val="en-US" w:eastAsia="en-US"/>
        </w:rPr>
        <w:t>the Commission</w:t>
      </w:r>
      <w:r w:rsidR="002570D1" w:rsidRPr="00CF6765">
        <w:rPr>
          <w:rFonts w:eastAsia="Calibri"/>
          <w:sz w:val="20"/>
          <w:szCs w:val="20"/>
          <w:lang w:val="en-US" w:eastAsia="en-US"/>
        </w:rPr>
        <w:t xml:space="preserve"> consider</w:t>
      </w:r>
      <w:r w:rsidR="00960D43" w:rsidRPr="00CF6765">
        <w:rPr>
          <w:rFonts w:eastAsia="Calibri"/>
          <w:sz w:val="20"/>
          <w:szCs w:val="20"/>
          <w:lang w:val="en-US" w:eastAsia="en-US"/>
        </w:rPr>
        <w:t>ed that</w:t>
      </w:r>
      <w:r w:rsidR="002570D1" w:rsidRPr="00CF6765">
        <w:rPr>
          <w:rFonts w:eastAsia="Calibri"/>
          <w:sz w:val="20"/>
          <w:szCs w:val="20"/>
          <w:lang w:val="en-US" w:eastAsia="en-US"/>
        </w:rPr>
        <w:t xml:space="preserve"> Chile </w:t>
      </w:r>
      <w:r w:rsidR="00960D43" w:rsidRPr="00CF6765">
        <w:rPr>
          <w:rFonts w:eastAsia="Calibri"/>
          <w:sz w:val="20"/>
          <w:szCs w:val="20"/>
          <w:lang w:val="en-US" w:eastAsia="en-US"/>
        </w:rPr>
        <w:t xml:space="preserve">had violated the right of </w:t>
      </w:r>
      <w:r w:rsidR="00690D57" w:rsidRPr="00CF6765">
        <w:rPr>
          <w:rFonts w:eastAsia="Calibri"/>
          <w:sz w:val="20"/>
          <w:szCs w:val="20"/>
          <w:lang w:val="en-US" w:eastAsia="en-US"/>
        </w:rPr>
        <w:t>access to information</w:t>
      </w:r>
      <w:r w:rsidR="002570D1" w:rsidRPr="00CF6765">
        <w:rPr>
          <w:rFonts w:eastAsia="Calibri"/>
          <w:sz w:val="20"/>
          <w:szCs w:val="20"/>
          <w:lang w:val="en-US" w:eastAsia="en-US"/>
        </w:rPr>
        <w:t xml:space="preserve"> </w:t>
      </w:r>
      <w:r w:rsidR="00443691" w:rsidRPr="00CF6765">
        <w:rPr>
          <w:rFonts w:eastAsia="Calibri"/>
          <w:sz w:val="20"/>
          <w:szCs w:val="20"/>
          <w:lang w:val="en-US" w:eastAsia="en-US"/>
        </w:rPr>
        <w:t xml:space="preserve">to choose </w:t>
      </w:r>
      <w:r w:rsidR="00960D43" w:rsidRPr="00CF6765">
        <w:rPr>
          <w:rFonts w:eastAsia="Calibri"/>
          <w:sz w:val="20"/>
          <w:szCs w:val="20"/>
          <w:lang w:val="en-US" w:eastAsia="en-US"/>
        </w:rPr>
        <w:t xml:space="preserve">health </w:t>
      </w:r>
      <w:r w:rsidR="00BB748D" w:rsidRPr="00CF6765">
        <w:rPr>
          <w:rFonts w:eastAsia="Calibri"/>
          <w:sz w:val="20"/>
          <w:szCs w:val="20"/>
          <w:lang w:val="en-US" w:eastAsia="en-US"/>
        </w:rPr>
        <w:t xml:space="preserve">care </w:t>
      </w:r>
      <w:r w:rsidR="00960D43" w:rsidRPr="00CF6765">
        <w:rPr>
          <w:rFonts w:eastAsia="Calibri"/>
          <w:sz w:val="20"/>
          <w:szCs w:val="20"/>
          <w:lang w:val="en-US" w:eastAsia="en-US"/>
        </w:rPr>
        <w:t xml:space="preserve">services, protected by </w:t>
      </w:r>
      <w:r w:rsidRPr="00CF6765">
        <w:rPr>
          <w:rFonts w:eastAsia="Calibri"/>
          <w:sz w:val="20"/>
          <w:szCs w:val="20"/>
          <w:lang w:val="en-US" w:eastAsia="en-US"/>
        </w:rPr>
        <w:t>Article</w:t>
      </w:r>
      <w:r w:rsidR="002570D1" w:rsidRPr="00CF6765">
        <w:rPr>
          <w:rFonts w:eastAsia="Calibri"/>
          <w:sz w:val="20"/>
          <w:szCs w:val="20"/>
          <w:lang w:val="en-US" w:eastAsia="en-US"/>
        </w:rPr>
        <w:t xml:space="preserve"> 13, </w:t>
      </w:r>
      <w:r w:rsidR="00960D43" w:rsidRPr="00CF6765">
        <w:rPr>
          <w:rFonts w:eastAsia="Calibri"/>
          <w:sz w:val="20"/>
          <w:szCs w:val="20"/>
          <w:lang w:val="en-US" w:eastAsia="en-US"/>
        </w:rPr>
        <w:t xml:space="preserve">in relation </w:t>
      </w:r>
      <w:r w:rsidR="00BB748D" w:rsidRPr="00CF6765">
        <w:rPr>
          <w:rFonts w:eastAsia="Calibri"/>
          <w:sz w:val="20"/>
          <w:szCs w:val="20"/>
          <w:lang w:val="en-US" w:eastAsia="en-US"/>
        </w:rPr>
        <w:t>to</w:t>
      </w:r>
      <w:r w:rsidR="00960D43" w:rsidRPr="00CF6765">
        <w:rPr>
          <w:rFonts w:eastAsia="Calibri"/>
          <w:sz w:val="20"/>
          <w:szCs w:val="20"/>
          <w:lang w:val="en-US" w:eastAsia="en-US"/>
        </w:rPr>
        <w:t xml:space="preserve"> the obligations of</w:t>
      </w:r>
      <w:r w:rsidR="002570D1" w:rsidRPr="00CF6765">
        <w:rPr>
          <w:rFonts w:eastAsia="Calibri"/>
          <w:sz w:val="20"/>
          <w:szCs w:val="20"/>
          <w:lang w:val="en-US" w:eastAsia="en-US"/>
        </w:rPr>
        <w:t xml:space="preserve"> </w:t>
      </w:r>
      <w:r w:rsidR="00EC50FC" w:rsidRPr="00CF6765">
        <w:rPr>
          <w:rFonts w:eastAsia="Calibri"/>
          <w:sz w:val="20"/>
          <w:szCs w:val="20"/>
          <w:lang w:val="en-US" w:eastAsia="en-US"/>
        </w:rPr>
        <w:t>Article 1(1)</w:t>
      </w:r>
      <w:r w:rsidR="00012B33" w:rsidRPr="00CF6765">
        <w:rPr>
          <w:rFonts w:eastAsia="Calibri"/>
          <w:sz w:val="20"/>
          <w:szCs w:val="20"/>
          <w:lang w:val="en-US" w:eastAsia="en-US"/>
        </w:rPr>
        <w:t>,</w:t>
      </w:r>
      <w:r w:rsidR="00EC50FC" w:rsidRPr="00CF6765">
        <w:rPr>
          <w:rFonts w:eastAsia="Calibri"/>
          <w:sz w:val="20"/>
          <w:szCs w:val="20"/>
          <w:lang w:val="en-US" w:eastAsia="en-US"/>
        </w:rPr>
        <w:t xml:space="preserve"> and </w:t>
      </w:r>
      <w:r w:rsidR="00960D43" w:rsidRPr="00CF6765">
        <w:rPr>
          <w:rFonts w:eastAsia="Calibri"/>
          <w:sz w:val="20"/>
          <w:szCs w:val="20"/>
          <w:lang w:val="en-US" w:eastAsia="en-US"/>
        </w:rPr>
        <w:t>the rights to life</w:t>
      </w:r>
      <w:r w:rsidR="002570D1" w:rsidRPr="00CF6765">
        <w:rPr>
          <w:rFonts w:eastAsia="Calibri"/>
          <w:sz w:val="20"/>
          <w:szCs w:val="20"/>
          <w:lang w:val="en-US" w:eastAsia="en-US"/>
        </w:rPr>
        <w:t>, integri</w:t>
      </w:r>
      <w:r w:rsidR="0090740B" w:rsidRPr="00CF6765">
        <w:rPr>
          <w:rFonts w:eastAsia="Calibri"/>
          <w:sz w:val="20"/>
          <w:szCs w:val="20"/>
          <w:lang w:val="en-US" w:eastAsia="en-US"/>
        </w:rPr>
        <w:t>ty</w:t>
      </w:r>
      <w:r w:rsidR="00EC50FC" w:rsidRPr="00CF6765">
        <w:rPr>
          <w:rFonts w:eastAsia="Calibri"/>
          <w:sz w:val="20"/>
          <w:szCs w:val="20"/>
          <w:lang w:val="en-US" w:eastAsia="en-US"/>
        </w:rPr>
        <w:t xml:space="preserve"> and </w:t>
      </w:r>
      <w:r w:rsidR="00960D43" w:rsidRPr="00CF6765">
        <w:rPr>
          <w:rFonts w:eastAsia="Calibri"/>
          <w:sz w:val="20"/>
          <w:szCs w:val="20"/>
          <w:lang w:val="en-US" w:eastAsia="en-US"/>
        </w:rPr>
        <w:t>health established in</w:t>
      </w:r>
      <w:r w:rsidR="002570D1" w:rsidRPr="00CF6765">
        <w:rPr>
          <w:rFonts w:eastAsia="Calibri"/>
          <w:sz w:val="20"/>
          <w:szCs w:val="20"/>
          <w:lang w:val="en-US" w:eastAsia="en-US"/>
        </w:rPr>
        <w:t xml:space="preserve"> </w:t>
      </w:r>
      <w:r w:rsidRPr="00CF6765">
        <w:rPr>
          <w:rFonts w:eastAsia="Calibri"/>
          <w:sz w:val="20"/>
          <w:szCs w:val="20"/>
          <w:lang w:val="en-US" w:eastAsia="en-US"/>
        </w:rPr>
        <w:t>Articles</w:t>
      </w:r>
      <w:r w:rsidR="002570D1" w:rsidRPr="00CF6765">
        <w:rPr>
          <w:rFonts w:eastAsia="Calibri"/>
          <w:sz w:val="20"/>
          <w:szCs w:val="20"/>
          <w:lang w:val="en-US" w:eastAsia="en-US"/>
        </w:rPr>
        <w:t xml:space="preserve"> 4</w:t>
      </w:r>
      <w:r w:rsidR="00EC50FC" w:rsidRPr="00CF6765">
        <w:rPr>
          <w:rFonts w:eastAsia="Calibri"/>
          <w:sz w:val="20"/>
          <w:szCs w:val="20"/>
          <w:lang w:val="en-US" w:eastAsia="en-US"/>
        </w:rPr>
        <w:t xml:space="preserve"> and </w:t>
      </w:r>
      <w:r w:rsidR="002570D1" w:rsidRPr="00CF6765">
        <w:rPr>
          <w:rFonts w:eastAsia="Calibri"/>
          <w:sz w:val="20"/>
          <w:szCs w:val="20"/>
          <w:lang w:val="en-US" w:eastAsia="en-US"/>
        </w:rPr>
        <w:t>5</w:t>
      </w:r>
      <w:r w:rsidRPr="00CF6765">
        <w:rPr>
          <w:rFonts w:eastAsia="Calibri"/>
          <w:sz w:val="20"/>
          <w:szCs w:val="20"/>
          <w:lang w:val="en-US" w:eastAsia="en-US"/>
        </w:rPr>
        <w:t xml:space="preserve"> of the Convention</w:t>
      </w:r>
      <w:r w:rsidR="00012B33" w:rsidRPr="00CF6765">
        <w:rPr>
          <w:rFonts w:eastAsia="Calibri"/>
          <w:sz w:val="20"/>
          <w:szCs w:val="20"/>
          <w:lang w:val="en-US" w:eastAsia="en-US"/>
        </w:rPr>
        <w:t>,</w:t>
      </w:r>
      <w:r w:rsidR="002570D1" w:rsidRPr="00CF6765">
        <w:rPr>
          <w:rFonts w:eastAsia="Calibri"/>
          <w:sz w:val="20"/>
          <w:szCs w:val="20"/>
          <w:lang w:val="en-US" w:eastAsia="en-US"/>
        </w:rPr>
        <w:t xml:space="preserve"> </w:t>
      </w:r>
      <w:r w:rsidR="00690D57" w:rsidRPr="00CF6765">
        <w:rPr>
          <w:rFonts w:eastAsia="Calibri"/>
          <w:sz w:val="20"/>
          <w:szCs w:val="20"/>
          <w:lang w:val="en-US" w:eastAsia="en-US"/>
        </w:rPr>
        <w:t xml:space="preserve">to the detriment </w:t>
      </w:r>
      <w:r w:rsidR="009339F5" w:rsidRPr="00CF6765">
        <w:rPr>
          <w:rFonts w:eastAsia="Calibri"/>
          <w:sz w:val="20"/>
          <w:szCs w:val="20"/>
          <w:lang w:val="en-US" w:eastAsia="en-US"/>
        </w:rPr>
        <w:t>of Mr.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EC50FC" w:rsidRPr="00CF6765">
        <w:rPr>
          <w:rFonts w:eastAsia="Calibri"/>
          <w:sz w:val="20"/>
          <w:szCs w:val="20"/>
          <w:lang w:val="en-US" w:eastAsia="en-US"/>
        </w:rPr>
        <w:t xml:space="preserve"> and </w:t>
      </w:r>
      <w:r w:rsidR="008F31F2" w:rsidRPr="00CF6765">
        <w:rPr>
          <w:rFonts w:eastAsia="Calibri"/>
          <w:sz w:val="20"/>
          <w:szCs w:val="20"/>
          <w:lang w:val="en-US" w:eastAsia="en-US"/>
        </w:rPr>
        <w:t>of his family members</w:t>
      </w:r>
      <w:r w:rsidR="002570D1" w:rsidRPr="00CF6765">
        <w:rPr>
          <w:rFonts w:eastAsia="Calibri"/>
          <w:sz w:val="20"/>
          <w:szCs w:val="20"/>
          <w:lang w:val="en-US" w:eastAsia="en-US"/>
        </w:rPr>
        <w:t xml:space="preserve">. </w:t>
      </w:r>
    </w:p>
    <w:p w14:paraId="7DDFBEC2" w14:textId="77777777" w:rsidR="002570D1" w:rsidRPr="00CF6765" w:rsidRDefault="002570D1" w:rsidP="002570D1">
      <w:pPr>
        <w:contextualSpacing/>
        <w:rPr>
          <w:rFonts w:eastAsia="Calibri"/>
          <w:sz w:val="20"/>
          <w:szCs w:val="20"/>
          <w:lang w:val="en-US" w:eastAsia="en-US"/>
        </w:rPr>
      </w:pPr>
    </w:p>
    <w:p w14:paraId="0BA6233F" w14:textId="403361D5" w:rsidR="00957D73" w:rsidRPr="00CF6765" w:rsidRDefault="00D2168F" w:rsidP="00443691">
      <w:pPr>
        <w:numPr>
          <w:ilvl w:val="0"/>
          <w:numId w:val="2"/>
        </w:numPr>
        <w:tabs>
          <w:tab w:val="left" w:pos="567"/>
          <w:tab w:val="num" w:pos="1569"/>
          <w:tab w:val="num" w:pos="12305"/>
        </w:tabs>
        <w:ind w:left="0" w:firstLine="0"/>
        <w:contextualSpacing/>
        <w:rPr>
          <w:rFonts w:eastAsia="Calibri"/>
          <w:sz w:val="20"/>
          <w:szCs w:val="20"/>
          <w:lang w:val="en-US" w:eastAsia="en-US"/>
        </w:rPr>
      </w:pPr>
      <w:r w:rsidRPr="00CF6765">
        <w:rPr>
          <w:rFonts w:eastAsia="Calibri"/>
          <w:sz w:val="20"/>
          <w:szCs w:val="20"/>
          <w:lang w:val="en-US" w:eastAsia="en-US"/>
        </w:rPr>
        <w:t xml:space="preserve">The </w:t>
      </w:r>
      <w:r w:rsidRPr="00CF6765">
        <w:rPr>
          <w:rFonts w:eastAsia="Calibri"/>
          <w:b/>
          <w:bCs/>
          <w:i/>
          <w:iCs/>
          <w:sz w:val="20"/>
          <w:szCs w:val="20"/>
          <w:lang w:val="en-US" w:eastAsia="en-US"/>
        </w:rPr>
        <w:t>representatives</w:t>
      </w:r>
      <w:r w:rsidR="002570D1" w:rsidRPr="00CF6765">
        <w:rPr>
          <w:rFonts w:eastAsia="Calibri"/>
          <w:sz w:val="20"/>
          <w:szCs w:val="20"/>
          <w:lang w:val="en-US" w:eastAsia="en-US"/>
        </w:rPr>
        <w:t xml:space="preserve"> </w:t>
      </w:r>
      <w:r w:rsidR="00443691" w:rsidRPr="00CF6765">
        <w:rPr>
          <w:rFonts w:eastAsia="Calibri"/>
          <w:sz w:val="20"/>
          <w:szCs w:val="20"/>
          <w:lang w:val="en-US" w:eastAsia="en-US"/>
        </w:rPr>
        <w:t xml:space="preserve">argued that </w:t>
      </w:r>
      <w:r w:rsidRPr="00CF6765">
        <w:rPr>
          <w:rFonts w:eastAsia="Calibri"/>
          <w:sz w:val="20"/>
          <w:szCs w:val="20"/>
          <w:lang w:val="en-US" w:eastAsia="en-US"/>
        </w:rPr>
        <w:t>Mr.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2570D1" w:rsidRPr="00CF6765">
        <w:rPr>
          <w:rFonts w:eastAsia="Calibri"/>
          <w:sz w:val="20"/>
          <w:szCs w:val="20"/>
          <w:lang w:val="en-US" w:eastAsia="en-US"/>
        </w:rPr>
        <w:t xml:space="preserve"> </w:t>
      </w:r>
      <w:r w:rsidR="00443691" w:rsidRPr="00CF6765">
        <w:rPr>
          <w:rFonts w:eastAsia="Calibri"/>
          <w:sz w:val="20"/>
          <w:szCs w:val="20"/>
          <w:lang w:val="en-US" w:eastAsia="en-US"/>
        </w:rPr>
        <w:t xml:space="preserve">was unconscious </w:t>
      </w:r>
      <w:r w:rsidR="00BB748D" w:rsidRPr="00CF6765">
        <w:rPr>
          <w:rFonts w:eastAsia="Calibri"/>
          <w:sz w:val="20"/>
          <w:szCs w:val="20"/>
          <w:lang w:val="en-US" w:eastAsia="en-US"/>
        </w:rPr>
        <w:t>when the decision was taken</w:t>
      </w:r>
      <w:r w:rsidR="00443691" w:rsidRPr="00CF6765">
        <w:rPr>
          <w:rFonts w:eastAsia="Calibri"/>
          <w:sz w:val="20"/>
          <w:szCs w:val="20"/>
          <w:lang w:val="en-US" w:eastAsia="en-US"/>
        </w:rPr>
        <w:t xml:space="preserve"> to perform a surgical procedure and, therefore, </w:t>
      </w:r>
      <w:r w:rsidR="00BB748D" w:rsidRPr="00CF6765">
        <w:rPr>
          <w:rFonts w:eastAsia="Calibri"/>
          <w:sz w:val="20"/>
          <w:szCs w:val="20"/>
          <w:lang w:val="en-US" w:eastAsia="en-US"/>
        </w:rPr>
        <w:t xml:space="preserve">he </w:t>
      </w:r>
      <w:r w:rsidR="00443691" w:rsidRPr="00CF6765">
        <w:rPr>
          <w:rFonts w:eastAsia="Calibri"/>
          <w:sz w:val="20"/>
          <w:szCs w:val="20"/>
          <w:lang w:val="en-US" w:eastAsia="en-US"/>
        </w:rPr>
        <w:t xml:space="preserve">was not in </w:t>
      </w:r>
      <w:r w:rsidR="00F91AAC" w:rsidRPr="00CF6765">
        <w:rPr>
          <w:rFonts w:eastAsia="Calibri"/>
          <w:sz w:val="20"/>
          <w:szCs w:val="20"/>
          <w:lang w:val="en-US" w:eastAsia="en-US"/>
        </w:rPr>
        <w:t xml:space="preserve">a </w:t>
      </w:r>
      <w:r w:rsidR="00443691" w:rsidRPr="00CF6765">
        <w:rPr>
          <w:rFonts w:eastAsia="Calibri"/>
          <w:sz w:val="20"/>
          <w:szCs w:val="20"/>
          <w:lang w:val="en-US" w:eastAsia="en-US"/>
        </w:rPr>
        <w:t>condition to consent to any type of procedure. In addition, his family, who knew his history of diabetes,</w:t>
      </w:r>
      <w:r w:rsidR="00F91AAC" w:rsidRPr="00CF6765">
        <w:rPr>
          <w:rFonts w:eastAsia="Calibri"/>
          <w:sz w:val="20"/>
          <w:szCs w:val="20"/>
          <w:lang w:val="en-US" w:eastAsia="en-US"/>
        </w:rPr>
        <w:t xml:space="preserve"> had indicated</w:t>
      </w:r>
      <w:r w:rsidR="00443691" w:rsidRPr="00CF6765">
        <w:rPr>
          <w:rFonts w:eastAsia="Calibri"/>
          <w:sz w:val="20"/>
          <w:szCs w:val="20"/>
          <w:lang w:val="en-US" w:eastAsia="en-US"/>
        </w:rPr>
        <w:t xml:space="preserve"> that they did not authorize any intervention. Thus, the representatives indicated that the record in the medical file authorizing the procedure was falsified. They also indicated that there </w:t>
      </w:r>
      <w:r w:rsidR="00F91AAC" w:rsidRPr="00CF6765">
        <w:rPr>
          <w:rFonts w:eastAsia="Calibri"/>
          <w:sz w:val="20"/>
          <w:szCs w:val="20"/>
          <w:lang w:val="en-US" w:eastAsia="en-US"/>
        </w:rPr>
        <w:t>was</w:t>
      </w:r>
      <w:r w:rsidR="00443691" w:rsidRPr="00CF6765">
        <w:rPr>
          <w:rFonts w:eastAsia="Calibri"/>
          <w:sz w:val="20"/>
          <w:szCs w:val="20"/>
          <w:lang w:val="en-US" w:eastAsia="en-US"/>
        </w:rPr>
        <w:t xml:space="preserve"> no record whatsoever indicating that the presumed victim or his family received complete information on the health status </w:t>
      </w:r>
      <w:r w:rsidR="00D04694" w:rsidRPr="00CF6765">
        <w:rPr>
          <w:rFonts w:eastAsia="Calibri"/>
          <w:sz w:val="20"/>
          <w:szCs w:val="20"/>
          <w:lang w:val="en-US" w:eastAsia="en-US"/>
        </w:rPr>
        <w:t>of Mr.</w:t>
      </w:r>
      <w:r w:rsidRPr="00CF6765">
        <w:rPr>
          <w:rFonts w:eastAsia="Calibri"/>
          <w:sz w:val="20"/>
          <w:szCs w:val="20"/>
          <w:lang w:val="en-US" w:eastAsia="en-US"/>
        </w:rPr>
        <w:t xml:space="preserve">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F91AAC" w:rsidRPr="00CF6765">
        <w:rPr>
          <w:rFonts w:eastAsia="Calibri"/>
          <w:sz w:val="20"/>
          <w:szCs w:val="20"/>
          <w:lang w:val="en-US" w:eastAsia="en-US"/>
        </w:rPr>
        <w:t>,</w:t>
      </w:r>
      <w:r w:rsidR="002570D1" w:rsidRPr="00CF6765">
        <w:rPr>
          <w:rFonts w:eastAsia="Calibri"/>
          <w:sz w:val="20"/>
          <w:szCs w:val="20"/>
          <w:lang w:val="en-US" w:eastAsia="en-US"/>
        </w:rPr>
        <w:t xml:space="preserve"> </w:t>
      </w:r>
      <w:r w:rsidR="00443691" w:rsidRPr="00CF6765">
        <w:rPr>
          <w:rFonts w:eastAsia="Calibri"/>
          <w:sz w:val="20"/>
          <w:szCs w:val="20"/>
          <w:lang w:val="en-US" w:eastAsia="en-US"/>
        </w:rPr>
        <w:t>the nature of the diagnosis</w:t>
      </w:r>
      <w:r w:rsidR="00F91AAC" w:rsidRPr="00CF6765">
        <w:rPr>
          <w:rFonts w:eastAsia="Calibri"/>
          <w:sz w:val="20"/>
          <w:szCs w:val="20"/>
          <w:lang w:val="en-US" w:eastAsia="en-US"/>
        </w:rPr>
        <w:t>,</w:t>
      </w:r>
      <w:r w:rsidR="00443691" w:rsidRPr="00CF6765">
        <w:rPr>
          <w:rFonts w:eastAsia="Calibri"/>
          <w:sz w:val="20"/>
          <w:szCs w:val="20"/>
          <w:lang w:val="en-US" w:eastAsia="en-US"/>
        </w:rPr>
        <w:t xml:space="preserve"> or a detailed description of the nature, risks and consequences of the procedure and alternative treatments. They added that, at the time of the facts, the State had relevant domestic norms on </w:t>
      </w:r>
      <w:r w:rsidR="003C3208" w:rsidRPr="00CF6765">
        <w:rPr>
          <w:rFonts w:eastAsia="Calibri"/>
          <w:sz w:val="20"/>
          <w:szCs w:val="20"/>
          <w:lang w:val="en-US" w:eastAsia="en-US"/>
        </w:rPr>
        <w:t>informed consent</w:t>
      </w:r>
      <w:r w:rsidR="00443691" w:rsidRPr="00CF6765">
        <w:rPr>
          <w:rFonts w:eastAsia="Calibri"/>
          <w:sz w:val="20"/>
          <w:szCs w:val="20"/>
          <w:lang w:val="en-US" w:eastAsia="en-US"/>
        </w:rPr>
        <w:t>.</w:t>
      </w:r>
      <w:r w:rsidR="002729B7" w:rsidRPr="00CF6765">
        <w:rPr>
          <w:rStyle w:val="Refdenotaalpie"/>
          <w:rFonts w:eastAsia="Calibri"/>
          <w:sz w:val="20"/>
          <w:szCs w:val="20"/>
          <w:lang w:val="en-US" w:eastAsia="en-US"/>
        </w:rPr>
        <w:footnoteReference w:id="125"/>
      </w:r>
      <w:r w:rsidR="002570D1" w:rsidRPr="00CF6765">
        <w:rPr>
          <w:rFonts w:eastAsia="Calibri" w:cs="Arial-ItalicMT"/>
          <w:b/>
          <w:iCs/>
          <w:sz w:val="20"/>
          <w:szCs w:val="20"/>
          <w:lang w:val="en-US" w:eastAsia="en-US"/>
        </w:rPr>
        <w:t xml:space="preserve"> </w:t>
      </w:r>
      <w:r w:rsidR="00443691" w:rsidRPr="00CF6765">
        <w:rPr>
          <w:rFonts w:eastAsia="Calibri"/>
          <w:sz w:val="20"/>
          <w:szCs w:val="20"/>
          <w:lang w:val="en-US" w:eastAsia="en-US"/>
        </w:rPr>
        <w:t>Therefore,</w:t>
      </w:r>
      <w:r w:rsidR="002570D1" w:rsidRPr="00CF6765">
        <w:rPr>
          <w:rFonts w:eastAsia="Calibri"/>
          <w:sz w:val="20"/>
          <w:szCs w:val="20"/>
          <w:lang w:val="en-US" w:eastAsia="en-US"/>
        </w:rPr>
        <w:t xml:space="preserve"> </w:t>
      </w:r>
      <w:r w:rsidRPr="00CF6765">
        <w:rPr>
          <w:rFonts w:eastAsia="Calibri"/>
          <w:sz w:val="20"/>
          <w:szCs w:val="20"/>
          <w:lang w:val="en-US" w:eastAsia="en-US"/>
        </w:rPr>
        <w:t>the representatives</w:t>
      </w:r>
      <w:r w:rsidR="002570D1" w:rsidRPr="00CF6765">
        <w:rPr>
          <w:rFonts w:eastAsia="Calibri"/>
          <w:sz w:val="20"/>
          <w:szCs w:val="20"/>
          <w:lang w:val="en-US" w:eastAsia="en-US"/>
        </w:rPr>
        <w:t xml:space="preserve"> </w:t>
      </w:r>
      <w:r w:rsidR="00443691" w:rsidRPr="00CF6765">
        <w:rPr>
          <w:rFonts w:eastAsia="Calibri"/>
          <w:sz w:val="20"/>
          <w:szCs w:val="20"/>
          <w:lang w:val="en-US" w:eastAsia="en-US"/>
        </w:rPr>
        <w:t>concluded that</w:t>
      </w:r>
      <w:r w:rsidR="002570D1" w:rsidRPr="00CF6765">
        <w:rPr>
          <w:rFonts w:eastAsia="Calibri"/>
          <w:sz w:val="20"/>
          <w:szCs w:val="20"/>
          <w:lang w:val="en-US" w:eastAsia="en-US"/>
        </w:rPr>
        <w:t xml:space="preserve"> </w:t>
      </w:r>
      <w:r w:rsidR="00EC50FC" w:rsidRPr="00CF6765">
        <w:rPr>
          <w:rFonts w:eastAsia="Calibri"/>
          <w:sz w:val="20"/>
          <w:szCs w:val="20"/>
          <w:lang w:val="en-US" w:eastAsia="en-US"/>
        </w:rPr>
        <w:t>the State</w:t>
      </w:r>
      <w:r w:rsidR="002570D1" w:rsidRPr="00CF6765">
        <w:rPr>
          <w:rFonts w:eastAsia="Calibri"/>
          <w:sz w:val="20"/>
          <w:szCs w:val="20"/>
          <w:lang w:val="en-US" w:eastAsia="en-US"/>
        </w:rPr>
        <w:t xml:space="preserve"> </w:t>
      </w:r>
      <w:r w:rsidR="00443691" w:rsidRPr="00CF6765">
        <w:rPr>
          <w:rFonts w:eastAsia="Calibri"/>
          <w:sz w:val="20"/>
          <w:szCs w:val="20"/>
          <w:lang w:val="en-US" w:eastAsia="en-US"/>
        </w:rPr>
        <w:t xml:space="preserve">had violated the right to information on health </w:t>
      </w:r>
      <w:r w:rsidR="00F91AAC" w:rsidRPr="00CF6765">
        <w:rPr>
          <w:rFonts w:eastAsia="Calibri"/>
          <w:sz w:val="20"/>
          <w:szCs w:val="20"/>
          <w:lang w:val="en-US" w:eastAsia="en-US"/>
        </w:rPr>
        <w:t xml:space="preserve">matters </w:t>
      </w:r>
      <w:r w:rsidR="00443691" w:rsidRPr="00CF6765">
        <w:rPr>
          <w:rFonts w:eastAsia="Calibri"/>
          <w:sz w:val="20"/>
          <w:szCs w:val="20"/>
          <w:lang w:val="en-US" w:eastAsia="en-US"/>
        </w:rPr>
        <w:t xml:space="preserve">established in </w:t>
      </w:r>
      <w:r w:rsidR="005C731C" w:rsidRPr="00CF6765">
        <w:rPr>
          <w:rFonts w:eastAsia="Calibri"/>
          <w:sz w:val="20"/>
          <w:szCs w:val="20"/>
          <w:lang w:val="en-US" w:eastAsia="en-US"/>
        </w:rPr>
        <w:t>Article</w:t>
      </w:r>
      <w:r w:rsidR="002570D1" w:rsidRPr="00CF6765">
        <w:rPr>
          <w:rFonts w:eastAsia="Calibri"/>
          <w:sz w:val="20"/>
          <w:szCs w:val="20"/>
          <w:lang w:val="en-US" w:eastAsia="en-US"/>
        </w:rPr>
        <w:t xml:space="preserve"> </w:t>
      </w:r>
      <w:r w:rsidRPr="00CF6765">
        <w:rPr>
          <w:rFonts w:eastAsia="Calibri"/>
          <w:sz w:val="20"/>
          <w:szCs w:val="20"/>
          <w:lang w:val="en-US" w:eastAsia="en-US"/>
        </w:rPr>
        <w:t>13(1)</w:t>
      </w:r>
      <w:r w:rsidR="002570D1" w:rsidRPr="00CF6765">
        <w:rPr>
          <w:rFonts w:eastAsia="Calibri"/>
          <w:sz w:val="20"/>
          <w:szCs w:val="20"/>
          <w:lang w:val="en-US" w:eastAsia="en-US"/>
        </w:rPr>
        <w:t xml:space="preserve"> </w:t>
      </w:r>
      <w:r w:rsidR="00443691" w:rsidRPr="00CF6765">
        <w:rPr>
          <w:rFonts w:eastAsia="Calibri"/>
          <w:sz w:val="20"/>
          <w:szCs w:val="20"/>
          <w:lang w:val="en-US" w:eastAsia="en-US"/>
        </w:rPr>
        <w:t>in connection with</w:t>
      </w:r>
      <w:r w:rsidR="002570D1" w:rsidRPr="00CF6765">
        <w:rPr>
          <w:rFonts w:eastAsia="Calibri"/>
          <w:sz w:val="20"/>
          <w:szCs w:val="20"/>
          <w:lang w:val="en-US" w:eastAsia="en-US"/>
        </w:rPr>
        <w:t xml:space="preserve"> </w:t>
      </w:r>
      <w:r w:rsidR="005C731C" w:rsidRPr="00CF6765">
        <w:rPr>
          <w:rFonts w:eastAsia="Calibri"/>
          <w:sz w:val="20"/>
          <w:szCs w:val="20"/>
          <w:lang w:val="en-US" w:eastAsia="en-US"/>
        </w:rPr>
        <w:t>Articles</w:t>
      </w:r>
      <w:r w:rsidR="002570D1" w:rsidRPr="00CF6765">
        <w:rPr>
          <w:rFonts w:eastAsia="Calibri"/>
          <w:sz w:val="20"/>
          <w:szCs w:val="20"/>
          <w:lang w:val="en-US" w:eastAsia="en-US"/>
        </w:rPr>
        <w:t xml:space="preserve"> </w:t>
      </w:r>
      <w:r w:rsidRPr="00CF6765">
        <w:rPr>
          <w:rFonts w:eastAsia="Calibri"/>
          <w:sz w:val="20"/>
          <w:szCs w:val="20"/>
          <w:lang w:val="en-US" w:eastAsia="en-US"/>
        </w:rPr>
        <w:t>4(1)</w:t>
      </w:r>
      <w:r w:rsidR="002570D1" w:rsidRPr="00CF6765">
        <w:rPr>
          <w:rFonts w:eastAsia="Calibri"/>
          <w:sz w:val="20"/>
          <w:szCs w:val="20"/>
          <w:lang w:val="en-US" w:eastAsia="en-US"/>
        </w:rPr>
        <w:t xml:space="preserve">, </w:t>
      </w:r>
      <w:r w:rsidRPr="00CF6765">
        <w:rPr>
          <w:rFonts w:eastAsia="Calibri"/>
          <w:sz w:val="20"/>
          <w:szCs w:val="20"/>
          <w:lang w:val="en-US" w:eastAsia="en-US"/>
        </w:rPr>
        <w:t>5(1)</w:t>
      </w:r>
      <w:r w:rsidR="00EC50FC" w:rsidRPr="00CF6765">
        <w:rPr>
          <w:rFonts w:eastAsia="Calibri"/>
          <w:sz w:val="20"/>
          <w:szCs w:val="20"/>
          <w:lang w:val="en-US" w:eastAsia="en-US"/>
        </w:rPr>
        <w:t xml:space="preserve"> and </w:t>
      </w:r>
      <w:r w:rsidR="002570D1" w:rsidRPr="00CF6765">
        <w:rPr>
          <w:rFonts w:eastAsia="Calibri"/>
          <w:sz w:val="20"/>
          <w:szCs w:val="20"/>
          <w:lang w:val="en-US" w:eastAsia="en-US"/>
        </w:rPr>
        <w:t>26</w:t>
      </w:r>
      <w:r w:rsidR="00EC50FC" w:rsidRPr="00CF6765">
        <w:rPr>
          <w:rFonts w:eastAsia="Calibri"/>
          <w:sz w:val="20"/>
          <w:szCs w:val="20"/>
          <w:lang w:val="en-US" w:eastAsia="en-US"/>
        </w:rPr>
        <w:t xml:space="preserve"> and </w:t>
      </w:r>
      <w:r w:rsidR="00443691" w:rsidRPr="00CF6765">
        <w:rPr>
          <w:rFonts w:eastAsia="Calibri"/>
          <w:sz w:val="20"/>
          <w:szCs w:val="20"/>
          <w:lang w:val="en-US" w:eastAsia="en-US"/>
        </w:rPr>
        <w:t>with the obligations that arise from</w:t>
      </w:r>
      <w:r w:rsidR="002570D1" w:rsidRPr="00CF6765">
        <w:rPr>
          <w:rFonts w:eastAsia="Calibri"/>
          <w:sz w:val="20"/>
          <w:szCs w:val="20"/>
          <w:lang w:val="en-US" w:eastAsia="en-US"/>
        </w:rPr>
        <w:t xml:space="preserve"> </w:t>
      </w:r>
      <w:r w:rsidR="0088423A" w:rsidRPr="00CF6765">
        <w:rPr>
          <w:rFonts w:eastAsia="Calibri"/>
          <w:sz w:val="20"/>
          <w:szCs w:val="20"/>
          <w:lang w:val="en-US" w:eastAsia="en-US"/>
        </w:rPr>
        <w:t>Article</w:t>
      </w:r>
      <w:r w:rsidR="00EC50FC" w:rsidRPr="00CF6765">
        <w:rPr>
          <w:rFonts w:eastAsia="Calibri"/>
          <w:sz w:val="20"/>
          <w:szCs w:val="20"/>
          <w:lang w:val="en-US" w:eastAsia="en-US"/>
        </w:rPr>
        <w:t xml:space="preserve"> 1(1)</w:t>
      </w:r>
      <w:r w:rsidR="005C731C" w:rsidRPr="00CF6765">
        <w:rPr>
          <w:rFonts w:eastAsia="Calibri"/>
          <w:sz w:val="20"/>
          <w:szCs w:val="20"/>
          <w:lang w:val="en-US" w:eastAsia="en-US"/>
        </w:rPr>
        <w:t xml:space="preserve"> of the American Convention</w:t>
      </w:r>
      <w:r w:rsidR="00C20EB7" w:rsidRPr="00CF6765">
        <w:rPr>
          <w:rFonts w:eastAsia="Calibri"/>
          <w:sz w:val="20"/>
          <w:szCs w:val="20"/>
          <w:lang w:val="en-US" w:eastAsia="en-US"/>
        </w:rPr>
        <w:t>,</w:t>
      </w:r>
      <w:r w:rsidR="002570D1" w:rsidRPr="00CF6765">
        <w:rPr>
          <w:rFonts w:eastAsia="Calibri"/>
          <w:sz w:val="20"/>
          <w:szCs w:val="20"/>
          <w:lang w:val="en-US" w:eastAsia="en-US"/>
        </w:rPr>
        <w:t xml:space="preserve"> </w:t>
      </w:r>
      <w:r w:rsidR="00443691" w:rsidRPr="00CF6765">
        <w:rPr>
          <w:rFonts w:eastAsia="Calibri"/>
          <w:sz w:val="20"/>
          <w:szCs w:val="20"/>
          <w:lang w:val="en-US" w:eastAsia="en-US"/>
        </w:rPr>
        <w:t xml:space="preserve">by failing to guarantee to </w:t>
      </w:r>
      <w:r w:rsidR="002570D1" w:rsidRPr="00CF6765">
        <w:rPr>
          <w:rFonts w:eastAsia="Calibri"/>
          <w:sz w:val="20"/>
          <w:szCs w:val="20"/>
          <w:lang w:val="en-US" w:eastAsia="en-US"/>
        </w:rPr>
        <w:t xml:space="preserve">Vinicio Poblete </w:t>
      </w:r>
      <w:r w:rsidR="00443691" w:rsidRPr="00CF6765">
        <w:rPr>
          <w:rFonts w:eastAsia="Calibri"/>
          <w:sz w:val="20"/>
          <w:szCs w:val="20"/>
          <w:lang w:val="en-US" w:eastAsia="en-US"/>
        </w:rPr>
        <w:t>and his direct family the right to give their</w:t>
      </w:r>
      <w:r w:rsidR="002570D1" w:rsidRPr="00CF6765">
        <w:rPr>
          <w:rFonts w:eastAsia="Calibri"/>
          <w:sz w:val="20"/>
          <w:szCs w:val="20"/>
          <w:lang w:val="en-US" w:eastAsia="en-US"/>
        </w:rPr>
        <w:t xml:space="preserve"> </w:t>
      </w:r>
      <w:r w:rsidR="003C3208" w:rsidRPr="00CF6765">
        <w:rPr>
          <w:rFonts w:eastAsia="Calibri"/>
          <w:sz w:val="20"/>
          <w:szCs w:val="20"/>
          <w:lang w:val="en-US" w:eastAsia="en-US"/>
        </w:rPr>
        <w:t>informed consent</w:t>
      </w:r>
      <w:r w:rsidR="002570D1" w:rsidRPr="00CF6765">
        <w:rPr>
          <w:rFonts w:eastAsia="Calibri"/>
          <w:sz w:val="20"/>
          <w:szCs w:val="20"/>
          <w:lang w:val="en-US" w:eastAsia="en-US"/>
        </w:rPr>
        <w:t xml:space="preserve"> </w:t>
      </w:r>
      <w:r w:rsidR="00443691" w:rsidRPr="00CF6765">
        <w:rPr>
          <w:rFonts w:eastAsia="Calibri"/>
          <w:sz w:val="20"/>
          <w:szCs w:val="20"/>
          <w:lang w:val="en-US" w:eastAsia="en-US"/>
        </w:rPr>
        <w:t xml:space="preserve">prior to the execution of a medical </w:t>
      </w:r>
      <w:r w:rsidR="00F91AAC" w:rsidRPr="00CF6765">
        <w:rPr>
          <w:rFonts w:eastAsia="Calibri"/>
          <w:sz w:val="20"/>
          <w:szCs w:val="20"/>
          <w:lang w:val="en-US" w:eastAsia="en-US"/>
        </w:rPr>
        <w:t>intervention</w:t>
      </w:r>
      <w:r w:rsidR="00443691" w:rsidRPr="00CF6765">
        <w:rPr>
          <w:rFonts w:eastAsia="Calibri"/>
          <w:sz w:val="20"/>
          <w:szCs w:val="20"/>
          <w:lang w:val="en-US" w:eastAsia="en-US"/>
        </w:rPr>
        <w:t xml:space="preserve">. Lastly, </w:t>
      </w:r>
      <w:r w:rsidRPr="00CF6765">
        <w:rPr>
          <w:sz w:val="20"/>
          <w:szCs w:val="20"/>
          <w:lang w:val="en-US"/>
        </w:rPr>
        <w:t>the representatives</w:t>
      </w:r>
      <w:r w:rsidR="00183FBB" w:rsidRPr="00CF6765">
        <w:rPr>
          <w:sz w:val="20"/>
          <w:szCs w:val="20"/>
          <w:lang w:val="en-US"/>
        </w:rPr>
        <w:t xml:space="preserve"> conclu</w:t>
      </w:r>
      <w:r w:rsidR="00443691" w:rsidRPr="00CF6765">
        <w:rPr>
          <w:sz w:val="20"/>
          <w:szCs w:val="20"/>
          <w:lang w:val="en-US"/>
        </w:rPr>
        <w:t>ded that the absence of consent before</w:t>
      </w:r>
      <w:r w:rsidR="00012235" w:rsidRPr="00CF6765">
        <w:rPr>
          <w:sz w:val="20"/>
          <w:szCs w:val="20"/>
          <w:lang w:val="en-US"/>
        </w:rPr>
        <w:t xml:space="preserve"> submitting</w:t>
      </w:r>
      <w:r w:rsidR="00443691" w:rsidRPr="00CF6765">
        <w:rPr>
          <w:sz w:val="20"/>
          <w:szCs w:val="20"/>
          <w:lang w:val="en-US"/>
        </w:rPr>
        <w:t xml:space="preserve"> </w:t>
      </w:r>
      <w:r w:rsidR="00D04694" w:rsidRPr="00CF6765">
        <w:rPr>
          <w:sz w:val="20"/>
          <w:szCs w:val="20"/>
          <w:lang w:val="en-US"/>
        </w:rPr>
        <w:t>the presumed victim</w:t>
      </w:r>
      <w:r w:rsidR="00183FBB" w:rsidRPr="00CF6765">
        <w:rPr>
          <w:sz w:val="20"/>
          <w:szCs w:val="20"/>
          <w:lang w:val="en-US"/>
        </w:rPr>
        <w:t xml:space="preserve"> </w:t>
      </w:r>
      <w:r w:rsidR="00012235" w:rsidRPr="00CF6765">
        <w:rPr>
          <w:sz w:val="20"/>
          <w:szCs w:val="20"/>
          <w:lang w:val="en-US"/>
        </w:rPr>
        <w:t xml:space="preserve">to a surgical procedure also violated the right to personal autonomy and to decide freely, established in </w:t>
      </w:r>
      <w:r w:rsidR="005C731C" w:rsidRPr="00CF6765">
        <w:rPr>
          <w:sz w:val="20"/>
          <w:szCs w:val="20"/>
          <w:lang w:val="en-US"/>
        </w:rPr>
        <w:t>Articles</w:t>
      </w:r>
      <w:r w:rsidR="00183FBB" w:rsidRPr="00CF6765">
        <w:rPr>
          <w:sz w:val="20"/>
          <w:szCs w:val="20"/>
          <w:lang w:val="en-US"/>
        </w:rPr>
        <w:t xml:space="preserve"> 11</w:t>
      </w:r>
      <w:r w:rsidR="00EC50FC" w:rsidRPr="00CF6765">
        <w:rPr>
          <w:sz w:val="20"/>
          <w:szCs w:val="20"/>
          <w:lang w:val="en-US"/>
        </w:rPr>
        <w:t xml:space="preserve"> and </w:t>
      </w:r>
      <w:r w:rsidR="00183FBB" w:rsidRPr="00CF6765">
        <w:rPr>
          <w:sz w:val="20"/>
          <w:szCs w:val="20"/>
          <w:lang w:val="en-US"/>
        </w:rPr>
        <w:t>7</w:t>
      </w:r>
      <w:r w:rsidR="005C731C" w:rsidRPr="00CF6765">
        <w:rPr>
          <w:sz w:val="20"/>
          <w:szCs w:val="20"/>
          <w:lang w:val="en-US"/>
        </w:rPr>
        <w:t xml:space="preserve"> of the Convention</w:t>
      </w:r>
      <w:r w:rsidR="00183FBB" w:rsidRPr="00CF6765">
        <w:rPr>
          <w:sz w:val="20"/>
          <w:szCs w:val="20"/>
          <w:lang w:val="en-US"/>
        </w:rPr>
        <w:t xml:space="preserve">, </w:t>
      </w:r>
      <w:r w:rsidR="00690D57" w:rsidRPr="00CF6765">
        <w:rPr>
          <w:sz w:val="20"/>
          <w:szCs w:val="20"/>
          <w:lang w:val="en-US"/>
        </w:rPr>
        <w:t xml:space="preserve">to the detriment </w:t>
      </w:r>
      <w:r w:rsidR="009339F5" w:rsidRPr="00CF6765">
        <w:rPr>
          <w:sz w:val="20"/>
          <w:szCs w:val="20"/>
          <w:lang w:val="en-US"/>
        </w:rPr>
        <w:t>of Mr. Poblete</w:t>
      </w:r>
      <w:r w:rsidR="00183FBB" w:rsidRPr="00CF6765">
        <w:rPr>
          <w:sz w:val="20"/>
          <w:szCs w:val="20"/>
          <w:lang w:val="en-US"/>
        </w:rPr>
        <w:t xml:space="preserve"> </w:t>
      </w:r>
      <w:proofErr w:type="spellStart"/>
      <w:r w:rsidR="00183FBB" w:rsidRPr="00CF6765">
        <w:rPr>
          <w:sz w:val="20"/>
          <w:szCs w:val="20"/>
          <w:lang w:val="en-US"/>
        </w:rPr>
        <w:t>Vilches</w:t>
      </w:r>
      <w:proofErr w:type="spellEnd"/>
      <w:r w:rsidR="00EC50FC" w:rsidRPr="00CF6765">
        <w:rPr>
          <w:sz w:val="20"/>
          <w:szCs w:val="20"/>
          <w:lang w:val="en-US"/>
        </w:rPr>
        <w:t xml:space="preserve"> and </w:t>
      </w:r>
      <w:r w:rsidR="008F31F2" w:rsidRPr="00CF6765">
        <w:rPr>
          <w:sz w:val="20"/>
          <w:szCs w:val="20"/>
          <w:lang w:val="en-US"/>
        </w:rPr>
        <w:t>of his family members</w:t>
      </w:r>
      <w:r w:rsidR="00183FBB" w:rsidRPr="00CF6765">
        <w:rPr>
          <w:sz w:val="20"/>
          <w:szCs w:val="20"/>
          <w:lang w:val="en-US"/>
        </w:rPr>
        <w:t xml:space="preserve">. </w:t>
      </w:r>
    </w:p>
    <w:p w14:paraId="7FA2EAA5" w14:textId="77777777" w:rsidR="002570D1" w:rsidRPr="00CF6765" w:rsidRDefault="002570D1" w:rsidP="005430FF">
      <w:pPr>
        <w:tabs>
          <w:tab w:val="left" w:pos="567"/>
        </w:tabs>
        <w:contextualSpacing/>
        <w:rPr>
          <w:rFonts w:eastAsia="Calibri"/>
          <w:sz w:val="20"/>
          <w:szCs w:val="20"/>
          <w:lang w:val="en-US" w:eastAsia="en-US"/>
        </w:rPr>
      </w:pPr>
    </w:p>
    <w:p w14:paraId="2810B614" w14:textId="488E6555" w:rsidR="002570D1" w:rsidRPr="00CF6765" w:rsidRDefault="00012235" w:rsidP="00024439">
      <w:pPr>
        <w:numPr>
          <w:ilvl w:val="0"/>
          <w:numId w:val="2"/>
        </w:numPr>
        <w:tabs>
          <w:tab w:val="left" w:pos="567"/>
          <w:tab w:val="num" w:pos="1569"/>
          <w:tab w:val="num" w:pos="12305"/>
        </w:tabs>
        <w:ind w:left="0" w:firstLine="0"/>
        <w:rPr>
          <w:rFonts w:eastAsia="Calibri" w:cs="Arial-ItalicMT"/>
          <w:iCs/>
          <w:sz w:val="20"/>
          <w:szCs w:val="20"/>
          <w:lang w:val="en-US" w:eastAsia="en-US"/>
        </w:rPr>
      </w:pPr>
      <w:r w:rsidRPr="00CF6765">
        <w:rPr>
          <w:rFonts w:eastAsia="Calibri" w:cs="Arial-ItalicMT"/>
          <w:iCs/>
          <w:sz w:val="20"/>
          <w:szCs w:val="20"/>
          <w:lang w:val="en-US" w:eastAsia="en-US"/>
        </w:rPr>
        <w:t>Regarding the</w:t>
      </w:r>
      <w:r w:rsidR="002570D1" w:rsidRPr="00CF6765">
        <w:rPr>
          <w:rFonts w:eastAsia="Calibri" w:cs="Arial-ItalicMT"/>
          <w:iCs/>
          <w:sz w:val="20"/>
          <w:szCs w:val="20"/>
          <w:lang w:val="en-US" w:eastAsia="en-US"/>
        </w:rPr>
        <w:t xml:space="preserve"> </w:t>
      </w:r>
      <w:r w:rsidR="0088423A" w:rsidRPr="00CF6765">
        <w:rPr>
          <w:rFonts w:eastAsia="Calibri" w:cs="Arial-ItalicMT"/>
          <w:iCs/>
          <w:sz w:val="20"/>
          <w:szCs w:val="20"/>
          <w:lang w:val="en-US" w:eastAsia="en-US"/>
        </w:rPr>
        <w:t>partial acknowledgement of responsibility</w:t>
      </w:r>
      <w:r w:rsidR="002570D1" w:rsidRPr="00CF6765">
        <w:rPr>
          <w:rFonts w:eastAsia="Calibri" w:cs="Arial-ItalicMT"/>
          <w:iCs/>
          <w:sz w:val="20"/>
          <w:szCs w:val="20"/>
          <w:lang w:val="en-US" w:eastAsia="en-US"/>
        </w:rPr>
        <w:t xml:space="preserve">, </w:t>
      </w:r>
      <w:r w:rsidR="00D2168F" w:rsidRPr="00CF6765">
        <w:rPr>
          <w:rFonts w:eastAsia="Calibri" w:cs="Arial-ItalicMT"/>
          <w:iCs/>
          <w:sz w:val="20"/>
          <w:szCs w:val="20"/>
          <w:lang w:val="en-US" w:eastAsia="en-US"/>
        </w:rPr>
        <w:t>the representatives</w:t>
      </w:r>
      <w:r w:rsidR="002570D1" w:rsidRPr="00CF6765">
        <w:rPr>
          <w:rFonts w:eastAsia="Calibri" w:cs="Arial-ItalicMT"/>
          <w:iCs/>
          <w:sz w:val="20"/>
          <w:szCs w:val="20"/>
          <w:lang w:val="en-US" w:eastAsia="en-US"/>
        </w:rPr>
        <w:t xml:space="preserve"> </w:t>
      </w:r>
      <w:r w:rsidRPr="00CF6765">
        <w:rPr>
          <w:rFonts w:eastAsia="Calibri" w:cs="Arial-ItalicMT"/>
          <w:iCs/>
          <w:sz w:val="20"/>
          <w:szCs w:val="20"/>
          <w:lang w:val="en-US" w:eastAsia="en-US"/>
        </w:rPr>
        <w:t>indicated in their</w:t>
      </w:r>
      <w:r w:rsidR="002570D1" w:rsidRPr="00CF6765">
        <w:rPr>
          <w:rFonts w:eastAsia="Calibri" w:cs="Arial-ItalicMT"/>
          <w:iCs/>
          <w:sz w:val="20"/>
          <w:szCs w:val="20"/>
          <w:lang w:val="en-US" w:eastAsia="en-US"/>
        </w:rPr>
        <w:t xml:space="preserve"> </w:t>
      </w:r>
      <w:r w:rsidR="00FC495E" w:rsidRPr="00CF6765">
        <w:rPr>
          <w:rFonts w:eastAsia="Calibri" w:cs="Arial-ItalicMT"/>
          <w:iCs/>
          <w:sz w:val="20"/>
          <w:szCs w:val="20"/>
          <w:lang w:val="en-US" w:eastAsia="en-US"/>
        </w:rPr>
        <w:t>final written arguments</w:t>
      </w:r>
      <w:r w:rsidR="002570D1" w:rsidRPr="00CF6765">
        <w:rPr>
          <w:rFonts w:eastAsia="Calibri" w:cs="Arial-ItalicMT"/>
          <w:iCs/>
          <w:sz w:val="20"/>
          <w:szCs w:val="20"/>
          <w:lang w:val="en-US" w:eastAsia="en-US"/>
        </w:rPr>
        <w:t xml:space="preserve"> </w:t>
      </w:r>
      <w:r w:rsidRPr="00CF6765">
        <w:rPr>
          <w:rFonts w:eastAsia="Calibri" w:cs="Arial-ItalicMT"/>
          <w:iCs/>
          <w:sz w:val="20"/>
          <w:szCs w:val="20"/>
          <w:lang w:val="en-US" w:eastAsia="en-US"/>
        </w:rPr>
        <w:t>that</w:t>
      </w:r>
      <w:r w:rsidR="002570D1" w:rsidRPr="00CF6765">
        <w:rPr>
          <w:rFonts w:eastAsia="Calibri" w:cs="Arial-ItalicMT"/>
          <w:iCs/>
          <w:sz w:val="20"/>
          <w:szCs w:val="20"/>
          <w:lang w:val="en-US" w:eastAsia="en-US"/>
        </w:rPr>
        <w:t xml:space="preserve"> </w:t>
      </w:r>
      <w:r w:rsidR="00EC50FC" w:rsidRPr="00CF6765">
        <w:rPr>
          <w:rFonts w:eastAsia="Calibri" w:cs="Arial-ItalicMT"/>
          <w:iCs/>
          <w:sz w:val="20"/>
          <w:szCs w:val="20"/>
          <w:lang w:val="en-US" w:eastAsia="en-US"/>
        </w:rPr>
        <w:t>the State</w:t>
      </w:r>
      <w:r w:rsidR="002570D1" w:rsidRPr="00CF6765">
        <w:rPr>
          <w:rFonts w:eastAsia="Calibri" w:cs="Arial-ItalicMT"/>
          <w:iCs/>
          <w:sz w:val="20"/>
          <w:szCs w:val="20"/>
          <w:lang w:val="en-US" w:eastAsia="en-US"/>
        </w:rPr>
        <w:t xml:space="preserve"> </w:t>
      </w:r>
      <w:r w:rsidRPr="00CF6765">
        <w:rPr>
          <w:rFonts w:eastAsia="Calibri" w:cs="Arial-ItalicMT"/>
          <w:iCs/>
          <w:sz w:val="20"/>
          <w:szCs w:val="20"/>
          <w:lang w:val="en-US" w:eastAsia="en-US"/>
        </w:rPr>
        <w:t>had only acknowledged</w:t>
      </w:r>
      <w:r w:rsidR="002570D1" w:rsidRPr="00CF6765">
        <w:rPr>
          <w:rFonts w:eastAsia="Calibri" w:cs="Arial-ItalicMT"/>
          <w:iCs/>
          <w:sz w:val="20"/>
          <w:szCs w:val="20"/>
          <w:lang w:val="en-US" w:eastAsia="en-US"/>
        </w:rPr>
        <w:t xml:space="preserve"> </w:t>
      </w:r>
      <w:r w:rsidR="008F31F2" w:rsidRPr="00CF6765">
        <w:rPr>
          <w:rFonts w:eastAsia="Calibri" w:cs="Arial-ItalicMT"/>
          <w:iCs/>
          <w:sz w:val="20"/>
          <w:szCs w:val="20"/>
          <w:lang w:val="en-US" w:eastAsia="en-US"/>
        </w:rPr>
        <w:t>the violation of</w:t>
      </w:r>
      <w:r w:rsidR="002570D1" w:rsidRPr="00CF6765">
        <w:rPr>
          <w:rFonts w:eastAsia="Calibri" w:cs="Arial-ItalicMT"/>
          <w:iCs/>
          <w:sz w:val="20"/>
          <w:szCs w:val="20"/>
          <w:lang w:val="en-US" w:eastAsia="en-US"/>
        </w:rPr>
        <w:t xml:space="preserve"> </w:t>
      </w:r>
      <w:r w:rsidR="005C731C" w:rsidRPr="00CF6765">
        <w:rPr>
          <w:rFonts w:eastAsia="Calibri" w:cs="Arial-ItalicMT"/>
          <w:iCs/>
          <w:sz w:val="20"/>
          <w:szCs w:val="20"/>
          <w:lang w:val="en-US" w:eastAsia="en-US"/>
        </w:rPr>
        <w:t>Articles</w:t>
      </w:r>
      <w:r w:rsidR="002570D1" w:rsidRPr="00CF6765">
        <w:rPr>
          <w:rFonts w:eastAsia="Calibri" w:cs="Arial-ItalicMT"/>
          <w:iCs/>
          <w:sz w:val="20"/>
          <w:szCs w:val="20"/>
          <w:lang w:val="en-US" w:eastAsia="en-US"/>
        </w:rPr>
        <w:t xml:space="preserve"> 7</w:t>
      </w:r>
      <w:r w:rsidR="00EC50FC" w:rsidRPr="00CF6765">
        <w:rPr>
          <w:rFonts w:eastAsia="Calibri" w:cs="Arial-ItalicMT"/>
          <w:iCs/>
          <w:sz w:val="20"/>
          <w:szCs w:val="20"/>
          <w:lang w:val="en-US" w:eastAsia="en-US"/>
        </w:rPr>
        <w:t xml:space="preserve"> and </w:t>
      </w:r>
      <w:r w:rsidR="002570D1" w:rsidRPr="00CF6765">
        <w:rPr>
          <w:rFonts w:eastAsia="Calibri" w:cs="Arial-ItalicMT"/>
          <w:iCs/>
          <w:sz w:val="20"/>
          <w:szCs w:val="20"/>
          <w:lang w:val="en-US" w:eastAsia="en-US"/>
        </w:rPr>
        <w:t xml:space="preserve">11 </w:t>
      </w:r>
      <w:r w:rsidRPr="00CF6765">
        <w:rPr>
          <w:rFonts w:eastAsia="Calibri" w:cs="Arial-ItalicMT"/>
          <w:iCs/>
          <w:sz w:val="20"/>
          <w:szCs w:val="20"/>
          <w:lang w:val="en-US" w:eastAsia="en-US"/>
        </w:rPr>
        <w:t>with regard to</w:t>
      </w:r>
      <w:r w:rsidR="00D04694" w:rsidRPr="00CF6765">
        <w:rPr>
          <w:rFonts w:eastAsia="Calibri" w:cs="Arial-ItalicMT"/>
          <w:iCs/>
          <w:sz w:val="20"/>
          <w:szCs w:val="20"/>
          <w:lang w:val="en-US" w:eastAsia="en-US"/>
        </w:rPr>
        <w:t xml:space="preserve"> Vinicio</w:t>
      </w:r>
      <w:r w:rsidR="002570D1" w:rsidRPr="00CF6765">
        <w:rPr>
          <w:rFonts w:eastAsia="Calibri" w:cs="Arial-ItalicMT"/>
          <w:iCs/>
          <w:sz w:val="20"/>
          <w:szCs w:val="20"/>
          <w:lang w:val="en-US" w:eastAsia="en-US"/>
        </w:rPr>
        <w:t xml:space="preserve"> Poblete</w:t>
      </w:r>
      <w:r w:rsidR="00F91AAC" w:rsidRPr="00CF6765">
        <w:rPr>
          <w:rFonts w:eastAsia="Calibri" w:cs="Arial-ItalicMT"/>
          <w:iCs/>
          <w:sz w:val="20"/>
          <w:szCs w:val="20"/>
          <w:lang w:val="en-US" w:eastAsia="en-US"/>
        </w:rPr>
        <w:t>, but</w:t>
      </w:r>
      <w:r w:rsidR="00EC50FC" w:rsidRPr="00CF6765">
        <w:rPr>
          <w:rFonts w:eastAsia="Calibri" w:cs="Arial-ItalicMT"/>
          <w:iCs/>
          <w:sz w:val="20"/>
          <w:szCs w:val="20"/>
          <w:lang w:val="en-US" w:eastAsia="en-US"/>
        </w:rPr>
        <w:t xml:space="preserve"> </w:t>
      </w:r>
      <w:r w:rsidR="002570D1" w:rsidRPr="00CF6765">
        <w:rPr>
          <w:rFonts w:eastAsia="Calibri" w:cs="Arial-ItalicMT"/>
          <w:iCs/>
          <w:sz w:val="20"/>
          <w:szCs w:val="20"/>
          <w:lang w:val="en-US" w:eastAsia="en-US"/>
        </w:rPr>
        <w:t>no</w:t>
      </w:r>
      <w:r w:rsidRPr="00CF6765">
        <w:rPr>
          <w:rFonts w:eastAsia="Calibri" w:cs="Arial-ItalicMT"/>
          <w:iCs/>
          <w:sz w:val="20"/>
          <w:szCs w:val="20"/>
          <w:lang w:val="en-US" w:eastAsia="en-US"/>
        </w:rPr>
        <w:t>t</w:t>
      </w:r>
      <w:r w:rsidR="002570D1" w:rsidRPr="00CF6765">
        <w:rPr>
          <w:rFonts w:eastAsia="Calibri" w:cs="Arial-ItalicMT"/>
          <w:iCs/>
          <w:sz w:val="20"/>
          <w:szCs w:val="20"/>
          <w:lang w:val="en-US" w:eastAsia="en-US"/>
        </w:rPr>
        <w:t xml:space="preserve"> </w:t>
      </w:r>
      <w:r w:rsidR="008F31F2" w:rsidRPr="00CF6765">
        <w:rPr>
          <w:rFonts w:eastAsia="Calibri" w:cs="Arial-ItalicMT"/>
          <w:iCs/>
          <w:sz w:val="20"/>
          <w:szCs w:val="20"/>
          <w:lang w:val="en-US" w:eastAsia="en-US"/>
        </w:rPr>
        <w:t>of his family members</w:t>
      </w:r>
      <w:r w:rsidR="002570D1" w:rsidRPr="00CF6765">
        <w:rPr>
          <w:rFonts w:eastAsia="Calibri" w:cs="Arial-ItalicMT"/>
          <w:iCs/>
          <w:sz w:val="20"/>
          <w:szCs w:val="20"/>
          <w:lang w:val="en-US" w:eastAsia="en-US"/>
        </w:rPr>
        <w:t xml:space="preserve">. </w:t>
      </w:r>
      <w:r w:rsidRPr="00CF6765">
        <w:rPr>
          <w:rFonts w:eastAsia="Calibri" w:cs="Arial-ItalicMT"/>
          <w:iCs/>
          <w:sz w:val="20"/>
          <w:szCs w:val="20"/>
          <w:lang w:val="en-US" w:eastAsia="en-US"/>
        </w:rPr>
        <w:t>In this regard, the representatives argued that</w:t>
      </w:r>
      <w:r w:rsidR="007F4C0F" w:rsidRPr="00CF6765">
        <w:rPr>
          <w:rFonts w:eastAsia="Calibri" w:cs="Arial-ItalicMT"/>
          <w:iCs/>
          <w:sz w:val="20"/>
          <w:szCs w:val="20"/>
          <w:lang w:val="en-US" w:eastAsia="en-US"/>
        </w:rPr>
        <w:t>:</w:t>
      </w:r>
      <w:r w:rsidR="002570D1" w:rsidRPr="00CF6765">
        <w:rPr>
          <w:rFonts w:eastAsia="Calibri" w:cs="Arial-ItalicMT"/>
          <w:iCs/>
          <w:sz w:val="20"/>
          <w:szCs w:val="20"/>
          <w:lang w:val="en-US" w:eastAsia="en-US"/>
        </w:rPr>
        <w:t xml:space="preserve"> </w:t>
      </w:r>
      <w:r w:rsidRPr="00CF6765">
        <w:rPr>
          <w:rFonts w:eastAsia="Calibri" w:cs="Arial-ItalicMT"/>
          <w:iCs/>
          <w:sz w:val="20"/>
          <w:szCs w:val="20"/>
          <w:lang w:val="en-US" w:eastAsia="en-US"/>
        </w:rPr>
        <w:t>(</w:t>
      </w:r>
      <w:proofErr w:type="spellStart"/>
      <w:r w:rsidR="002570D1" w:rsidRPr="00CF6765">
        <w:rPr>
          <w:rFonts w:eastAsia="Calibri" w:cs="Arial-ItalicMT"/>
          <w:iCs/>
          <w:sz w:val="20"/>
          <w:szCs w:val="20"/>
          <w:lang w:val="en-US" w:eastAsia="en-US"/>
        </w:rPr>
        <w:t>i</w:t>
      </w:r>
      <w:proofErr w:type="spellEnd"/>
      <w:r w:rsidR="002570D1" w:rsidRPr="00CF6765">
        <w:rPr>
          <w:rFonts w:eastAsia="Calibri" w:cs="Arial-ItalicMT"/>
          <w:iCs/>
          <w:sz w:val="20"/>
          <w:szCs w:val="20"/>
          <w:lang w:val="en-US" w:eastAsia="en-US"/>
        </w:rPr>
        <w:t xml:space="preserve">) </w:t>
      </w:r>
      <w:r w:rsidRPr="00CF6765">
        <w:rPr>
          <w:rFonts w:eastAsia="Calibri" w:cs="Arial-ItalicMT"/>
          <w:iCs/>
          <w:sz w:val="20"/>
          <w:szCs w:val="20"/>
          <w:lang w:val="en-US" w:eastAsia="en-US"/>
        </w:rPr>
        <w:t xml:space="preserve">the entitlement to both the right to autonomy and privacy </w:t>
      </w:r>
      <w:r w:rsidR="00F91AAC" w:rsidRPr="00CF6765">
        <w:rPr>
          <w:rFonts w:eastAsia="Calibri" w:cs="Arial-ItalicMT"/>
          <w:iCs/>
          <w:sz w:val="20"/>
          <w:szCs w:val="20"/>
          <w:lang w:val="en-US" w:eastAsia="en-US"/>
        </w:rPr>
        <w:t>recognized</w:t>
      </w:r>
      <w:r w:rsidRPr="00CF6765">
        <w:rPr>
          <w:rFonts w:eastAsia="Calibri" w:cs="Arial-ItalicMT"/>
          <w:iCs/>
          <w:sz w:val="20"/>
          <w:szCs w:val="20"/>
          <w:lang w:val="en-US" w:eastAsia="en-US"/>
        </w:rPr>
        <w:t xml:space="preserve"> in </w:t>
      </w:r>
      <w:r w:rsidR="005C731C" w:rsidRPr="00CF6765">
        <w:rPr>
          <w:rFonts w:eastAsia="Calibri" w:cs="Arial-ItalicMT"/>
          <w:iCs/>
          <w:sz w:val="20"/>
          <w:szCs w:val="20"/>
          <w:lang w:val="en-US" w:eastAsia="en-US"/>
        </w:rPr>
        <w:t>Article</w:t>
      </w:r>
      <w:r w:rsidR="002570D1" w:rsidRPr="00CF6765">
        <w:rPr>
          <w:rFonts w:eastAsia="Calibri" w:cs="Arial-ItalicMT"/>
          <w:iCs/>
          <w:sz w:val="20"/>
          <w:szCs w:val="20"/>
          <w:lang w:val="en-US" w:eastAsia="en-US"/>
        </w:rPr>
        <w:t xml:space="preserve"> 11,</w:t>
      </w:r>
      <w:r w:rsidRPr="00CF6765">
        <w:rPr>
          <w:rFonts w:eastAsia="Calibri" w:cs="Arial-ItalicMT"/>
          <w:iCs/>
          <w:sz w:val="20"/>
          <w:szCs w:val="20"/>
          <w:lang w:val="en-US" w:eastAsia="en-US"/>
        </w:rPr>
        <w:t xml:space="preserve"> and </w:t>
      </w:r>
      <w:r w:rsidR="00F91AAC" w:rsidRPr="00CF6765">
        <w:rPr>
          <w:rFonts w:eastAsia="Calibri" w:cs="Arial-ItalicMT"/>
          <w:iCs/>
          <w:sz w:val="20"/>
          <w:szCs w:val="20"/>
          <w:lang w:val="en-US" w:eastAsia="en-US"/>
        </w:rPr>
        <w:t xml:space="preserve">the </w:t>
      </w:r>
      <w:r w:rsidRPr="00CF6765">
        <w:rPr>
          <w:rFonts w:eastAsia="Calibri" w:cs="Arial-ItalicMT"/>
          <w:iCs/>
          <w:sz w:val="20"/>
          <w:szCs w:val="20"/>
          <w:lang w:val="en-US" w:eastAsia="en-US"/>
        </w:rPr>
        <w:t>right to take free decisions that arises from</w:t>
      </w:r>
      <w:r w:rsidR="002570D1" w:rsidRPr="00CF6765">
        <w:rPr>
          <w:rFonts w:eastAsia="Calibri" w:cs="Arial-ItalicMT"/>
          <w:iCs/>
          <w:sz w:val="20"/>
          <w:szCs w:val="20"/>
          <w:lang w:val="en-US" w:eastAsia="en-US"/>
        </w:rPr>
        <w:t xml:space="preserve"> </w:t>
      </w:r>
      <w:r w:rsidR="0088423A" w:rsidRPr="00CF6765">
        <w:rPr>
          <w:rFonts w:eastAsia="Calibri" w:cs="Arial-ItalicMT"/>
          <w:iCs/>
          <w:sz w:val="20"/>
          <w:szCs w:val="20"/>
          <w:lang w:val="en-US" w:eastAsia="en-US"/>
        </w:rPr>
        <w:t>Article</w:t>
      </w:r>
      <w:r w:rsidR="002570D1" w:rsidRPr="00CF6765">
        <w:rPr>
          <w:rFonts w:eastAsia="Calibri" w:cs="Arial-ItalicMT"/>
          <w:iCs/>
          <w:sz w:val="20"/>
          <w:szCs w:val="20"/>
          <w:lang w:val="en-US" w:eastAsia="en-US"/>
        </w:rPr>
        <w:t xml:space="preserve"> 7</w:t>
      </w:r>
      <w:r w:rsidR="005C731C" w:rsidRPr="00CF6765">
        <w:rPr>
          <w:rFonts w:eastAsia="Calibri" w:cs="Arial-ItalicMT"/>
          <w:iCs/>
          <w:sz w:val="20"/>
          <w:szCs w:val="20"/>
          <w:lang w:val="en-US" w:eastAsia="en-US"/>
        </w:rPr>
        <w:t xml:space="preserve"> of the Convention</w:t>
      </w:r>
      <w:r w:rsidR="007F4C0F" w:rsidRPr="00CF6765">
        <w:rPr>
          <w:rFonts w:eastAsia="Calibri" w:cs="Arial-ItalicMT"/>
          <w:iCs/>
          <w:sz w:val="20"/>
          <w:szCs w:val="20"/>
          <w:lang w:val="en-US" w:eastAsia="en-US"/>
        </w:rPr>
        <w:t>,</w:t>
      </w:r>
      <w:r w:rsidR="002570D1" w:rsidRPr="00CF6765">
        <w:rPr>
          <w:rFonts w:eastAsia="Calibri" w:cs="Arial-ItalicMT"/>
          <w:iCs/>
          <w:sz w:val="20"/>
          <w:szCs w:val="20"/>
          <w:lang w:val="en-US" w:eastAsia="en-US"/>
        </w:rPr>
        <w:t xml:space="preserve"> </w:t>
      </w:r>
      <w:r w:rsidRPr="00CF6765">
        <w:rPr>
          <w:rFonts w:eastAsia="Calibri" w:cs="Arial-ItalicMT"/>
          <w:iCs/>
          <w:sz w:val="20"/>
          <w:szCs w:val="20"/>
          <w:lang w:val="en-US" w:eastAsia="en-US"/>
        </w:rPr>
        <w:t>cannot be subject to whether or not a formal act expressing the patient’s wish exists; (ii) when a patient is not able to provide informed consent, the family members have the right to do this</w:t>
      </w:r>
      <w:r w:rsidR="00F91AAC" w:rsidRPr="00CF6765">
        <w:rPr>
          <w:rFonts w:eastAsia="Calibri" w:cs="Arial-ItalicMT"/>
          <w:iCs/>
          <w:sz w:val="20"/>
          <w:szCs w:val="20"/>
          <w:lang w:val="en-US" w:eastAsia="en-US"/>
        </w:rPr>
        <w:t xml:space="preserve"> </w:t>
      </w:r>
      <w:r w:rsidRPr="00CF6765">
        <w:rPr>
          <w:rFonts w:eastAsia="Calibri" w:cs="Arial-ItalicMT"/>
          <w:iCs/>
          <w:sz w:val="20"/>
          <w:szCs w:val="20"/>
          <w:lang w:val="en-US" w:eastAsia="en-US"/>
        </w:rPr>
        <w:t>because the right to take free decision</w:t>
      </w:r>
      <w:r w:rsidR="00F91AAC" w:rsidRPr="00CF6765">
        <w:rPr>
          <w:rFonts w:eastAsia="Calibri" w:cs="Arial-ItalicMT"/>
          <w:iCs/>
          <w:sz w:val="20"/>
          <w:szCs w:val="20"/>
          <w:lang w:val="en-US" w:eastAsia="en-US"/>
        </w:rPr>
        <w:t>s</w:t>
      </w:r>
      <w:r w:rsidRPr="00CF6765">
        <w:rPr>
          <w:rFonts w:eastAsia="Calibri" w:cs="Arial-ItalicMT"/>
          <w:iCs/>
          <w:sz w:val="20"/>
          <w:szCs w:val="20"/>
          <w:lang w:val="en-US" w:eastAsia="en-US"/>
        </w:rPr>
        <w:t xml:space="preserve"> comes into effect for the family when the patient is unable to exercise this right himself; (iii) the right of the family to take free decisions is a logical derivation of the right to obtain health-related information; (iv) Article 11 contains a general clause of protection of </w:t>
      </w:r>
      <w:r w:rsidR="00F91AAC" w:rsidRPr="00CF6765">
        <w:rPr>
          <w:rFonts w:eastAsia="Calibri" w:cs="Arial-ItalicMT"/>
          <w:iCs/>
          <w:sz w:val="20"/>
          <w:szCs w:val="20"/>
          <w:lang w:val="en-US" w:eastAsia="en-US"/>
        </w:rPr>
        <w:t xml:space="preserve">the </w:t>
      </w:r>
      <w:r w:rsidRPr="00CF6765">
        <w:rPr>
          <w:rFonts w:eastAsia="Calibri" w:cs="Arial-ItalicMT"/>
          <w:iCs/>
          <w:sz w:val="20"/>
          <w:szCs w:val="20"/>
          <w:lang w:val="en-US" w:eastAsia="en-US"/>
        </w:rPr>
        <w:t>dignity that the patient’s family also possess</w:t>
      </w:r>
      <w:r w:rsidR="00F91AAC" w:rsidRPr="00CF6765">
        <w:rPr>
          <w:rFonts w:eastAsia="Calibri" w:cs="Arial-ItalicMT"/>
          <w:iCs/>
          <w:sz w:val="20"/>
          <w:szCs w:val="20"/>
          <w:lang w:val="en-US" w:eastAsia="en-US"/>
        </w:rPr>
        <w:t>es</w:t>
      </w:r>
      <w:r w:rsidRPr="00CF6765">
        <w:rPr>
          <w:rFonts w:eastAsia="Calibri" w:cs="Arial-ItalicMT"/>
          <w:iCs/>
          <w:sz w:val="20"/>
          <w:szCs w:val="20"/>
          <w:lang w:val="en-US" w:eastAsia="en-US"/>
        </w:rPr>
        <w:t xml:space="preserve"> and this was affected because they were denied the right to obtain health-related information and, thereby, the possibility of exercising their right to take free decision</w:t>
      </w:r>
      <w:r w:rsidR="00F91AAC" w:rsidRPr="00CF6765">
        <w:rPr>
          <w:rFonts w:eastAsia="Calibri" w:cs="Arial-ItalicMT"/>
          <w:iCs/>
          <w:sz w:val="20"/>
          <w:szCs w:val="20"/>
          <w:lang w:val="en-US" w:eastAsia="en-US"/>
        </w:rPr>
        <w:t>s</w:t>
      </w:r>
      <w:r w:rsidRPr="00CF6765">
        <w:rPr>
          <w:rFonts w:eastAsia="Calibri" w:cs="Arial-ItalicMT"/>
          <w:iCs/>
          <w:sz w:val="20"/>
          <w:szCs w:val="20"/>
          <w:lang w:val="en-US" w:eastAsia="en-US"/>
        </w:rPr>
        <w:t xml:space="preserve"> with regard to the health </w:t>
      </w:r>
      <w:r w:rsidR="00D04694" w:rsidRPr="00CF6765">
        <w:rPr>
          <w:rFonts w:eastAsia="Calibri" w:cs="Arial-ItalicMT"/>
          <w:iCs/>
          <w:sz w:val="20"/>
          <w:szCs w:val="20"/>
          <w:lang w:val="en-US" w:eastAsia="en-US"/>
        </w:rPr>
        <w:t>of Mr.</w:t>
      </w:r>
      <w:r w:rsidR="00D2168F" w:rsidRPr="00CF6765">
        <w:rPr>
          <w:rFonts w:eastAsia="Calibri" w:cs="Arial-ItalicMT"/>
          <w:iCs/>
          <w:sz w:val="20"/>
          <w:szCs w:val="20"/>
          <w:lang w:val="en-US" w:eastAsia="en-US"/>
        </w:rPr>
        <w:t xml:space="preserve"> Poblete</w:t>
      </w:r>
      <w:r w:rsidR="002729B7" w:rsidRPr="00CF6765">
        <w:rPr>
          <w:rFonts w:eastAsia="Calibri" w:cs="Arial-ItalicMT"/>
          <w:iCs/>
          <w:sz w:val="20"/>
          <w:szCs w:val="20"/>
          <w:lang w:val="en-US" w:eastAsia="en-US"/>
        </w:rPr>
        <w:t xml:space="preserve"> </w:t>
      </w:r>
      <w:proofErr w:type="spellStart"/>
      <w:r w:rsidR="002729B7" w:rsidRPr="00CF6765">
        <w:rPr>
          <w:rFonts w:eastAsia="Calibri" w:cs="Arial-ItalicMT"/>
          <w:iCs/>
          <w:sz w:val="20"/>
          <w:szCs w:val="20"/>
          <w:lang w:val="en-US" w:eastAsia="en-US"/>
        </w:rPr>
        <w:t>Vilches</w:t>
      </w:r>
      <w:proofErr w:type="spellEnd"/>
      <w:r w:rsidR="002570D1" w:rsidRPr="00CF6765">
        <w:rPr>
          <w:rFonts w:eastAsia="Calibri" w:cs="Arial-ItalicMT"/>
          <w:iCs/>
          <w:sz w:val="20"/>
          <w:szCs w:val="20"/>
          <w:lang w:val="en-US" w:eastAsia="en-US"/>
        </w:rPr>
        <w:t>,</w:t>
      </w:r>
      <w:r w:rsidR="00EC50FC" w:rsidRPr="00CF6765">
        <w:rPr>
          <w:rFonts w:eastAsia="Calibri" w:cs="Arial-ItalicMT"/>
          <w:iCs/>
          <w:sz w:val="20"/>
          <w:szCs w:val="20"/>
          <w:lang w:val="en-US" w:eastAsia="en-US"/>
        </w:rPr>
        <w:t xml:space="preserve"> and </w:t>
      </w:r>
      <w:r w:rsidRPr="00CF6765">
        <w:rPr>
          <w:rFonts w:eastAsia="Calibri" w:cs="Arial-ItalicMT"/>
          <w:iCs/>
          <w:sz w:val="20"/>
          <w:szCs w:val="20"/>
          <w:lang w:val="en-US" w:eastAsia="en-US"/>
        </w:rPr>
        <w:t>(</w:t>
      </w:r>
      <w:r w:rsidR="002570D1" w:rsidRPr="00CF6765">
        <w:rPr>
          <w:rFonts w:eastAsia="Calibri" w:cs="Arial-ItalicMT"/>
          <w:iCs/>
          <w:sz w:val="20"/>
          <w:szCs w:val="20"/>
          <w:lang w:val="en-US" w:eastAsia="en-US"/>
        </w:rPr>
        <w:t xml:space="preserve">v) </w:t>
      </w:r>
      <w:r w:rsidR="005C731C" w:rsidRPr="00CF6765">
        <w:rPr>
          <w:rFonts w:eastAsia="Calibri" w:cs="Arial-ItalicMT"/>
          <w:iCs/>
          <w:sz w:val="20"/>
          <w:szCs w:val="20"/>
          <w:lang w:val="en-US" w:eastAsia="en-US"/>
        </w:rPr>
        <w:t>Article</w:t>
      </w:r>
      <w:r w:rsidR="002570D1" w:rsidRPr="00CF6765">
        <w:rPr>
          <w:rFonts w:eastAsia="Calibri" w:cs="Arial-ItalicMT"/>
          <w:iCs/>
          <w:sz w:val="20"/>
          <w:szCs w:val="20"/>
          <w:lang w:val="en-US" w:eastAsia="en-US"/>
        </w:rPr>
        <w:t xml:space="preserve"> 11 reco</w:t>
      </w:r>
      <w:r w:rsidRPr="00CF6765">
        <w:rPr>
          <w:rFonts w:eastAsia="Calibri" w:cs="Arial-ItalicMT"/>
          <w:iCs/>
          <w:sz w:val="20"/>
          <w:szCs w:val="20"/>
          <w:lang w:val="en-US" w:eastAsia="en-US"/>
        </w:rPr>
        <w:t>gniz</w:t>
      </w:r>
      <w:r w:rsidR="00024439" w:rsidRPr="00CF6765">
        <w:rPr>
          <w:rFonts w:eastAsia="Calibri" w:cs="Arial-ItalicMT"/>
          <w:iCs/>
          <w:sz w:val="20"/>
          <w:szCs w:val="20"/>
          <w:lang w:val="en-US" w:eastAsia="en-US"/>
        </w:rPr>
        <w:t>es the right to privacy, establishing the inviolability of private and family life, which is irremediably harmed by the State’s refusal to provide health-related information that would allow the best decision to be taken freely for the protection of the life of a family member. The representatives also asked the Court to take into consideration a second time when the</w:t>
      </w:r>
      <w:r w:rsidR="00F91AAC" w:rsidRPr="00CF6765">
        <w:rPr>
          <w:rFonts w:eastAsia="Calibri" w:cs="Arial-ItalicMT"/>
          <w:iCs/>
          <w:sz w:val="20"/>
          <w:szCs w:val="20"/>
          <w:lang w:val="en-US" w:eastAsia="en-US"/>
        </w:rPr>
        <w:t xml:space="preserve"> family’s</w:t>
      </w:r>
      <w:r w:rsidR="00024439" w:rsidRPr="00CF6765">
        <w:rPr>
          <w:rFonts w:eastAsia="Calibri" w:cs="Arial-ItalicMT"/>
          <w:iCs/>
          <w:sz w:val="20"/>
          <w:szCs w:val="20"/>
          <w:lang w:val="en-US" w:eastAsia="en-US"/>
        </w:rPr>
        <w:t xml:space="preserve"> consent should have been requested and was not; this related to the fact that Mr. Poblete </w:t>
      </w:r>
      <w:proofErr w:type="spellStart"/>
      <w:r w:rsidR="00024439" w:rsidRPr="00CF6765">
        <w:rPr>
          <w:rFonts w:eastAsia="Calibri" w:cs="Arial-ItalicMT"/>
          <w:iCs/>
          <w:sz w:val="20"/>
          <w:szCs w:val="20"/>
          <w:lang w:val="en-US" w:eastAsia="en-US"/>
        </w:rPr>
        <w:t>Vilches</w:t>
      </w:r>
      <w:proofErr w:type="spellEnd"/>
      <w:r w:rsidR="00024439" w:rsidRPr="00CF6765">
        <w:rPr>
          <w:rFonts w:eastAsia="Calibri" w:cs="Arial-ItalicMT"/>
          <w:iCs/>
          <w:sz w:val="20"/>
          <w:szCs w:val="20"/>
          <w:lang w:val="en-US" w:eastAsia="en-US"/>
        </w:rPr>
        <w:t xml:space="preserve"> was given intermediate care owing to the lack of beds, instead of the care he required, which was treatment in the Medical ICU with a </w:t>
      </w:r>
      <w:r w:rsidR="008765C0" w:rsidRPr="00CF6765">
        <w:rPr>
          <w:rFonts w:eastAsia="Calibri" w:cs="Arial-ItalicMT"/>
          <w:iCs/>
          <w:sz w:val="20"/>
          <w:szCs w:val="20"/>
          <w:lang w:val="en-US" w:eastAsia="en-US"/>
        </w:rPr>
        <w:t>mechanical ventilator</w:t>
      </w:r>
      <w:r w:rsidR="002570D1" w:rsidRPr="00CF6765">
        <w:rPr>
          <w:rFonts w:eastAsia="Calibri" w:cs="Arial-ItalicMT"/>
          <w:iCs/>
          <w:sz w:val="20"/>
          <w:szCs w:val="20"/>
          <w:lang w:val="en-US" w:eastAsia="en-US"/>
        </w:rPr>
        <w:t xml:space="preserve">. </w:t>
      </w:r>
    </w:p>
    <w:p w14:paraId="2425D397" w14:textId="77777777" w:rsidR="002570D1" w:rsidRPr="00CF6765" w:rsidRDefault="002570D1" w:rsidP="002570D1">
      <w:pPr>
        <w:autoSpaceDE w:val="0"/>
        <w:autoSpaceDN w:val="0"/>
        <w:adjustRightInd w:val="0"/>
        <w:rPr>
          <w:rFonts w:eastAsia="Calibri" w:cs="Arial-ItalicMT"/>
          <w:iCs/>
          <w:sz w:val="20"/>
          <w:szCs w:val="20"/>
          <w:lang w:val="en-US" w:eastAsia="en-US"/>
        </w:rPr>
      </w:pPr>
    </w:p>
    <w:p w14:paraId="1BE478B7" w14:textId="14C09634" w:rsidR="00DC5FC2" w:rsidRPr="00CF6765" w:rsidRDefault="00EC50FC" w:rsidP="00024439">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State</w:t>
      </w:r>
      <w:r w:rsidR="002570D1" w:rsidRPr="00CF6765">
        <w:rPr>
          <w:rFonts w:eastAsia="Calibri"/>
          <w:sz w:val="20"/>
          <w:szCs w:val="20"/>
          <w:lang w:val="en-US" w:eastAsia="en-US"/>
        </w:rPr>
        <w:t xml:space="preserve"> </w:t>
      </w:r>
      <w:r w:rsidR="00024439" w:rsidRPr="00CF6765">
        <w:rPr>
          <w:rFonts w:eastAsia="Calibri"/>
          <w:sz w:val="20"/>
          <w:szCs w:val="20"/>
          <w:lang w:val="en-US" w:eastAsia="en-US"/>
        </w:rPr>
        <w:t xml:space="preserve">acknowledged the violation </w:t>
      </w:r>
      <w:r w:rsidR="0088423A" w:rsidRPr="00CF6765">
        <w:rPr>
          <w:rFonts w:eastAsia="Calibri"/>
          <w:sz w:val="20"/>
          <w:szCs w:val="20"/>
          <w:lang w:val="en-US" w:eastAsia="en-US"/>
        </w:rPr>
        <w:t>of Article</w:t>
      </w:r>
      <w:r w:rsidR="002570D1" w:rsidRPr="00CF6765">
        <w:rPr>
          <w:rFonts w:eastAsia="Calibri"/>
          <w:sz w:val="20"/>
          <w:szCs w:val="20"/>
          <w:lang w:val="en-US" w:eastAsia="en-US"/>
        </w:rPr>
        <w:t xml:space="preserve"> 13</w:t>
      </w:r>
      <w:r w:rsidR="005C731C" w:rsidRPr="00CF6765">
        <w:rPr>
          <w:rFonts w:eastAsia="Calibri"/>
          <w:sz w:val="20"/>
          <w:szCs w:val="20"/>
          <w:lang w:val="en-US" w:eastAsia="en-US"/>
        </w:rPr>
        <w:t xml:space="preserve"> of the Convention</w:t>
      </w:r>
      <w:r w:rsidR="002570D1" w:rsidRPr="00CF6765">
        <w:rPr>
          <w:rFonts w:eastAsia="Calibri"/>
          <w:sz w:val="20"/>
          <w:szCs w:val="20"/>
          <w:lang w:val="en-US" w:eastAsia="en-US"/>
        </w:rPr>
        <w:t xml:space="preserve">, </w:t>
      </w:r>
      <w:r w:rsidR="00024439" w:rsidRPr="00CF6765">
        <w:rPr>
          <w:rFonts w:eastAsia="Calibri"/>
          <w:sz w:val="20"/>
          <w:szCs w:val="20"/>
          <w:lang w:val="en-US" w:eastAsia="en-US"/>
        </w:rPr>
        <w:t xml:space="preserve">right of access to health-related information, in connection with </w:t>
      </w:r>
      <w:r w:rsidR="005C731C" w:rsidRPr="00CF6765">
        <w:rPr>
          <w:rFonts w:eastAsia="Calibri"/>
          <w:sz w:val="20"/>
          <w:szCs w:val="20"/>
          <w:lang w:val="en-US" w:eastAsia="en-US"/>
        </w:rPr>
        <w:t>Articles</w:t>
      </w:r>
      <w:r w:rsidR="002570D1" w:rsidRPr="00CF6765">
        <w:rPr>
          <w:rFonts w:eastAsia="Calibri"/>
          <w:sz w:val="20"/>
          <w:szCs w:val="20"/>
          <w:lang w:val="en-US" w:eastAsia="en-US"/>
        </w:rPr>
        <w:t xml:space="preserve"> 4</w:t>
      </w:r>
      <w:r w:rsidRPr="00CF6765">
        <w:rPr>
          <w:rFonts w:eastAsia="Calibri"/>
          <w:sz w:val="20"/>
          <w:szCs w:val="20"/>
          <w:lang w:val="en-US" w:eastAsia="en-US"/>
        </w:rPr>
        <w:t xml:space="preserve"> and </w:t>
      </w:r>
      <w:r w:rsidR="002570D1" w:rsidRPr="00CF6765">
        <w:rPr>
          <w:rFonts w:eastAsia="Calibri"/>
          <w:sz w:val="20"/>
          <w:szCs w:val="20"/>
          <w:lang w:val="en-US" w:eastAsia="en-US"/>
        </w:rPr>
        <w:t>5</w:t>
      </w:r>
      <w:r w:rsidR="008F7034" w:rsidRPr="00CF6765">
        <w:rPr>
          <w:rFonts w:eastAsia="Calibri"/>
          <w:sz w:val="20"/>
          <w:szCs w:val="20"/>
          <w:lang w:val="en-US" w:eastAsia="en-US"/>
        </w:rPr>
        <w:t>,</w:t>
      </w:r>
      <w:r w:rsidRPr="00CF6765">
        <w:rPr>
          <w:rFonts w:eastAsia="Calibri"/>
          <w:sz w:val="20"/>
          <w:szCs w:val="20"/>
          <w:lang w:val="en-US" w:eastAsia="en-US"/>
        </w:rPr>
        <w:t xml:space="preserve"> and </w:t>
      </w:r>
      <w:r w:rsidR="00024439" w:rsidRPr="00CF6765">
        <w:rPr>
          <w:rFonts w:eastAsia="Calibri"/>
          <w:sz w:val="20"/>
          <w:szCs w:val="20"/>
          <w:lang w:val="en-US" w:eastAsia="en-US"/>
        </w:rPr>
        <w:t xml:space="preserve">in relation to the obligations under </w:t>
      </w:r>
      <w:r w:rsidRPr="00CF6765">
        <w:rPr>
          <w:rFonts w:eastAsia="Calibri"/>
          <w:sz w:val="20"/>
          <w:szCs w:val="20"/>
          <w:lang w:val="en-US" w:eastAsia="en-US"/>
        </w:rPr>
        <w:t xml:space="preserve">Articles 1(1) and </w:t>
      </w:r>
      <w:r w:rsidR="002570D1" w:rsidRPr="00CF6765">
        <w:rPr>
          <w:rFonts w:eastAsia="Calibri"/>
          <w:sz w:val="20"/>
          <w:szCs w:val="20"/>
          <w:lang w:val="en-US" w:eastAsia="en-US"/>
        </w:rPr>
        <w:t>2</w:t>
      </w:r>
      <w:r w:rsidR="005C731C" w:rsidRPr="00CF6765">
        <w:rPr>
          <w:rFonts w:eastAsia="Calibri"/>
          <w:sz w:val="20"/>
          <w:szCs w:val="20"/>
          <w:lang w:val="en-US" w:eastAsia="en-US"/>
        </w:rPr>
        <w:t xml:space="preserve"> of the American Convention</w:t>
      </w:r>
      <w:r w:rsidR="002570D1" w:rsidRPr="00CF6765">
        <w:rPr>
          <w:rFonts w:eastAsia="Calibri"/>
          <w:sz w:val="20"/>
          <w:szCs w:val="20"/>
          <w:lang w:val="en-US" w:eastAsia="en-US"/>
        </w:rPr>
        <w:t xml:space="preserve">, </w:t>
      </w:r>
      <w:r w:rsidR="00690D57" w:rsidRPr="00CF6765">
        <w:rPr>
          <w:rFonts w:eastAsia="Calibri"/>
          <w:sz w:val="20"/>
          <w:szCs w:val="20"/>
          <w:lang w:val="en-US" w:eastAsia="en-US"/>
        </w:rPr>
        <w:t xml:space="preserve">to the detriment </w:t>
      </w:r>
      <w:r w:rsidR="009339F5" w:rsidRPr="00CF6765">
        <w:rPr>
          <w:rFonts w:eastAsia="Calibri"/>
          <w:sz w:val="20"/>
          <w:szCs w:val="20"/>
          <w:lang w:val="en-US" w:eastAsia="en-US"/>
        </w:rPr>
        <w:t>of Mr.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Pr="00CF6765">
        <w:rPr>
          <w:rFonts w:eastAsia="Calibri"/>
          <w:sz w:val="20"/>
          <w:szCs w:val="20"/>
          <w:lang w:val="en-US" w:eastAsia="en-US"/>
        </w:rPr>
        <w:t xml:space="preserve"> </w:t>
      </w:r>
      <w:r w:rsidR="00690D57" w:rsidRPr="00CF6765">
        <w:rPr>
          <w:rFonts w:eastAsia="Calibri"/>
          <w:sz w:val="20"/>
          <w:szCs w:val="20"/>
          <w:lang w:val="en-US" w:eastAsia="en-US"/>
        </w:rPr>
        <w:t>and the members of his family</w:t>
      </w:r>
      <w:r w:rsidR="002570D1" w:rsidRPr="00CF6765">
        <w:rPr>
          <w:rFonts w:eastAsia="Calibri"/>
          <w:sz w:val="20"/>
          <w:szCs w:val="20"/>
          <w:lang w:val="en-US" w:eastAsia="en-US"/>
        </w:rPr>
        <w:t xml:space="preserve">. </w:t>
      </w:r>
      <w:r w:rsidR="00024439" w:rsidRPr="00CF6765">
        <w:rPr>
          <w:rFonts w:eastAsia="Calibri"/>
          <w:sz w:val="20"/>
          <w:szCs w:val="20"/>
          <w:lang w:val="en-US" w:eastAsia="en-US"/>
        </w:rPr>
        <w:t>The</w:t>
      </w:r>
      <w:r w:rsidRPr="00CF6765">
        <w:rPr>
          <w:rFonts w:eastAsia="Calibri"/>
          <w:sz w:val="20"/>
          <w:szCs w:val="20"/>
          <w:lang w:val="en-US" w:eastAsia="en-US"/>
        </w:rPr>
        <w:t xml:space="preserve"> State</w:t>
      </w:r>
      <w:r w:rsidR="002570D1" w:rsidRPr="00CF6765">
        <w:rPr>
          <w:rFonts w:eastAsia="Calibri"/>
          <w:sz w:val="20"/>
          <w:szCs w:val="20"/>
          <w:lang w:val="en-US" w:eastAsia="en-US"/>
        </w:rPr>
        <w:t xml:space="preserve"> </w:t>
      </w:r>
      <w:r w:rsidR="00024439" w:rsidRPr="00CF6765">
        <w:rPr>
          <w:rFonts w:eastAsia="Calibri"/>
          <w:sz w:val="20"/>
          <w:szCs w:val="20"/>
          <w:lang w:val="en-US" w:eastAsia="en-US"/>
        </w:rPr>
        <w:t xml:space="preserve">also acknowledged its responsibility for </w:t>
      </w:r>
      <w:r w:rsidR="008F31F2" w:rsidRPr="00CF6765">
        <w:rPr>
          <w:rFonts w:eastAsia="Calibri"/>
          <w:sz w:val="20"/>
          <w:szCs w:val="20"/>
          <w:lang w:val="en-US" w:eastAsia="en-US"/>
        </w:rPr>
        <w:t>the violation of</w:t>
      </w:r>
      <w:r w:rsidR="002570D1" w:rsidRPr="00CF6765">
        <w:rPr>
          <w:rFonts w:eastAsia="Calibri"/>
          <w:sz w:val="20"/>
          <w:szCs w:val="20"/>
          <w:lang w:val="en-US" w:eastAsia="en-US"/>
        </w:rPr>
        <w:t xml:space="preserve"> </w:t>
      </w:r>
      <w:r w:rsidR="005C731C" w:rsidRPr="00CF6765">
        <w:rPr>
          <w:rFonts w:eastAsia="Calibri"/>
          <w:sz w:val="20"/>
          <w:szCs w:val="20"/>
          <w:lang w:val="en-US" w:eastAsia="en-US"/>
        </w:rPr>
        <w:t>Articles</w:t>
      </w:r>
      <w:r w:rsidR="002570D1" w:rsidRPr="00CF6765">
        <w:rPr>
          <w:rFonts w:eastAsia="Calibri"/>
          <w:sz w:val="20"/>
          <w:szCs w:val="20"/>
          <w:lang w:val="en-US" w:eastAsia="en-US"/>
        </w:rPr>
        <w:t xml:space="preserve"> 11</w:t>
      </w:r>
      <w:r w:rsidRPr="00CF6765">
        <w:rPr>
          <w:rFonts w:eastAsia="Calibri"/>
          <w:sz w:val="20"/>
          <w:szCs w:val="20"/>
          <w:lang w:val="en-US" w:eastAsia="en-US"/>
        </w:rPr>
        <w:t xml:space="preserve"> and </w:t>
      </w:r>
      <w:r w:rsidR="002570D1" w:rsidRPr="00CF6765">
        <w:rPr>
          <w:rFonts w:eastAsia="Calibri"/>
          <w:sz w:val="20"/>
          <w:szCs w:val="20"/>
          <w:lang w:val="en-US" w:eastAsia="en-US"/>
        </w:rPr>
        <w:t xml:space="preserve">7 </w:t>
      </w:r>
      <w:r w:rsidR="00690D57" w:rsidRPr="00CF6765">
        <w:rPr>
          <w:rFonts w:eastAsia="Calibri"/>
          <w:sz w:val="20"/>
          <w:szCs w:val="20"/>
          <w:lang w:val="en-US" w:eastAsia="en-US"/>
        </w:rPr>
        <w:t xml:space="preserve">to the detriment </w:t>
      </w:r>
      <w:r w:rsidR="009339F5" w:rsidRPr="00CF6765">
        <w:rPr>
          <w:rFonts w:eastAsia="Calibri"/>
          <w:sz w:val="20"/>
          <w:szCs w:val="20"/>
          <w:lang w:val="en-US" w:eastAsia="en-US"/>
        </w:rPr>
        <w:t>of Mr.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8F7034" w:rsidRPr="00CF6765">
        <w:rPr>
          <w:rFonts w:eastAsia="Calibri"/>
          <w:sz w:val="20"/>
          <w:szCs w:val="20"/>
          <w:lang w:val="en-US" w:eastAsia="en-US"/>
        </w:rPr>
        <w:t>,</w:t>
      </w:r>
      <w:r w:rsidR="002570D1" w:rsidRPr="00CF6765">
        <w:rPr>
          <w:rFonts w:eastAsia="Calibri"/>
          <w:sz w:val="20"/>
          <w:szCs w:val="20"/>
          <w:lang w:val="en-US" w:eastAsia="en-US"/>
        </w:rPr>
        <w:t xml:space="preserve"> </w:t>
      </w:r>
      <w:r w:rsidR="00024439" w:rsidRPr="00CF6765">
        <w:rPr>
          <w:rFonts w:eastAsia="Calibri"/>
          <w:sz w:val="20"/>
          <w:szCs w:val="20"/>
          <w:lang w:val="en-US" w:eastAsia="en-US"/>
        </w:rPr>
        <w:t xml:space="preserve">but not to the supposed detriment of his family. In addition, the State stressed the legal precedents on </w:t>
      </w:r>
      <w:r w:rsidR="003C3208" w:rsidRPr="00CF6765">
        <w:rPr>
          <w:rFonts w:eastAsia="Calibri"/>
          <w:sz w:val="20"/>
          <w:szCs w:val="20"/>
          <w:lang w:val="en-US" w:eastAsia="en-US"/>
        </w:rPr>
        <w:t>informed consent</w:t>
      </w:r>
      <w:r w:rsidR="002570D1" w:rsidRPr="00CF6765">
        <w:rPr>
          <w:rFonts w:eastAsia="Calibri"/>
          <w:sz w:val="20"/>
          <w:szCs w:val="20"/>
          <w:lang w:val="en-US" w:eastAsia="en-US"/>
        </w:rPr>
        <w:t xml:space="preserve">, </w:t>
      </w:r>
      <w:r w:rsidR="00024439" w:rsidRPr="00CF6765">
        <w:rPr>
          <w:rFonts w:eastAsia="Calibri"/>
          <w:sz w:val="20"/>
          <w:szCs w:val="20"/>
          <w:lang w:val="en-US" w:eastAsia="en-US"/>
        </w:rPr>
        <w:t>including Supreme Decree N</w:t>
      </w:r>
      <w:r w:rsidR="00DC5FC2" w:rsidRPr="00CF6765">
        <w:rPr>
          <w:rFonts w:eastAsia="Calibri"/>
          <w:sz w:val="20"/>
          <w:szCs w:val="20"/>
          <w:lang w:val="en-US" w:eastAsia="en-US"/>
        </w:rPr>
        <w:t>o</w:t>
      </w:r>
      <w:r w:rsidR="00024439" w:rsidRPr="00CF6765">
        <w:rPr>
          <w:rFonts w:eastAsia="Calibri"/>
          <w:sz w:val="20"/>
          <w:szCs w:val="20"/>
          <w:lang w:val="en-US" w:eastAsia="en-US"/>
        </w:rPr>
        <w:t>. 42; the document entitled “Medical Ethics Norms and Documents,” prepared by the Physician’s Association; the “Charter of Patient</w:t>
      </w:r>
      <w:r w:rsidR="00F91AAC" w:rsidRPr="00CF6765">
        <w:rPr>
          <w:rFonts w:eastAsia="Calibri"/>
          <w:sz w:val="20"/>
          <w:szCs w:val="20"/>
          <w:lang w:val="en-US" w:eastAsia="en-US"/>
        </w:rPr>
        <w:t>s’</w:t>
      </w:r>
      <w:r w:rsidR="00024439" w:rsidRPr="00CF6765">
        <w:rPr>
          <w:rFonts w:eastAsia="Calibri"/>
          <w:sz w:val="20"/>
          <w:szCs w:val="20"/>
          <w:lang w:val="en-US" w:eastAsia="en-US"/>
        </w:rPr>
        <w:t xml:space="preserve"> Rights” of the National Health F</w:t>
      </w:r>
      <w:r w:rsidR="00F91AAC" w:rsidRPr="00CF6765">
        <w:rPr>
          <w:rFonts w:eastAsia="Calibri"/>
          <w:sz w:val="20"/>
          <w:szCs w:val="20"/>
          <w:lang w:val="en-US" w:eastAsia="en-US"/>
        </w:rPr>
        <w:t>oundation</w:t>
      </w:r>
      <w:r w:rsidR="00024439" w:rsidRPr="00CF6765">
        <w:rPr>
          <w:rFonts w:eastAsia="Calibri"/>
          <w:sz w:val="20"/>
          <w:szCs w:val="20"/>
          <w:lang w:val="en-US" w:eastAsia="en-US"/>
        </w:rPr>
        <w:t xml:space="preserve"> and the Ministry of Health, and recent legal advances such as Law No. 20,584 which regulates the rights and obligations of</w:t>
      </w:r>
      <w:r w:rsidR="00DC5FC2" w:rsidRPr="00CF6765">
        <w:rPr>
          <w:rFonts w:eastAsia="Calibri"/>
          <w:sz w:val="20"/>
          <w:szCs w:val="20"/>
          <w:lang w:val="en-US" w:eastAsia="en-US"/>
        </w:rPr>
        <w:t xml:space="preserve"> the</w:t>
      </w:r>
      <w:r w:rsidR="00024439" w:rsidRPr="00CF6765">
        <w:rPr>
          <w:rFonts w:eastAsia="Calibri"/>
          <w:sz w:val="20"/>
          <w:szCs w:val="20"/>
          <w:lang w:val="en-US" w:eastAsia="en-US"/>
        </w:rPr>
        <w:t xml:space="preserve"> individual </w:t>
      </w:r>
      <w:r w:rsidR="00F91AAC" w:rsidRPr="00CF6765">
        <w:rPr>
          <w:rFonts w:eastAsia="Calibri"/>
          <w:sz w:val="20"/>
          <w:szCs w:val="20"/>
          <w:lang w:val="en-US" w:eastAsia="en-US"/>
        </w:rPr>
        <w:t>with regard to</w:t>
      </w:r>
      <w:r w:rsidR="00024439" w:rsidRPr="00CF6765">
        <w:rPr>
          <w:rFonts w:eastAsia="Calibri"/>
          <w:sz w:val="20"/>
          <w:szCs w:val="20"/>
          <w:lang w:val="en-US" w:eastAsia="en-US"/>
        </w:rPr>
        <w:t xml:space="preserve"> actions relat</w:t>
      </w:r>
      <w:r w:rsidR="00F91AAC" w:rsidRPr="00CF6765">
        <w:rPr>
          <w:rFonts w:eastAsia="Calibri"/>
          <w:sz w:val="20"/>
          <w:szCs w:val="20"/>
          <w:lang w:val="en-US" w:eastAsia="en-US"/>
        </w:rPr>
        <w:t>ing</w:t>
      </w:r>
      <w:r w:rsidR="00024439" w:rsidRPr="00CF6765">
        <w:rPr>
          <w:rFonts w:eastAsia="Calibri"/>
          <w:sz w:val="20"/>
          <w:szCs w:val="20"/>
          <w:lang w:val="en-US" w:eastAsia="en-US"/>
        </w:rPr>
        <w:t xml:space="preserve"> to health care, and Decree No. 31, </w:t>
      </w:r>
      <w:r w:rsidR="00024439" w:rsidRPr="00CF6765">
        <w:rPr>
          <w:rFonts w:eastAsia="Calibri"/>
          <w:sz w:val="20"/>
          <w:szCs w:val="20"/>
          <w:lang w:val="en-US" w:eastAsia="en-US"/>
        </w:rPr>
        <w:lastRenderedPageBreak/>
        <w:t xml:space="preserve">adopting the Regulations on </w:t>
      </w:r>
      <w:r w:rsidR="00F91AAC" w:rsidRPr="00CF6765">
        <w:rPr>
          <w:rFonts w:eastAsia="Calibri"/>
          <w:sz w:val="20"/>
          <w:szCs w:val="20"/>
          <w:lang w:val="en-US" w:eastAsia="en-US"/>
        </w:rPr>
        <w:t xml:space="preserve">the </w:t>
      </w:r>
      <w:r w:rsidR="00024439" w:rsidRPr="00CF6765">
        <w:rPr>
          <w:rFonts w:eastAsia="Calibri"/>
          <w:sz w:val="20"/>
          <w:szCs w:val="20"/>
          <w:lang w:val="en-US" w:eastAsia="en-US"/>
        </w:rPr>
        <w:t xml:space="preserve">delivery of information and </w:t>
      </w:r>
      <w:r w:rsidR="00F91AAC" w:rsidRPr="00CF6765">
        <w:rPr>
          <w:rFonts w:eastAsia="Calibri"/>
          <w:sz w:val="20"/>
          <w:szCs w:val="20"/>
          <w:lang w:val="en-US" w:eastAsia="en-US"/>
        </w:rPr>
        <w:t xml:space="preserve">the </w:t>
      </w:r>
      <w:r w:rsidR="00024439" w:rsidRPr="00CF6765">
        <w:rPr>
          <w:rFonts w:eastAsia="Calibri"/>
          <w:sz w:val="20"/>
          <w:szCs w:val="20"/>
          <w:lang w:val="en-US" w:eastAsia="en-US"/>
        </w:rPr>
        <w:t>expression of informed consent in health care facilities. In its final arguments, the State mentioned the implementation of Law 19,966 of 2004, which include</w:t>
      </w:r>
      <w:r w:rsidR="00F91AAC" w:rsidRPr="00CF6765">
        <w:rPr>
          <w:rFonts w:eastAsia="Calibri"/>
          <w:sz w:val="20"/>
          <w:szCs w:val="20"/>
          <w:lang w:val="en-US" w:eastAsia="en-US"/>
        </w:rPr>
        <w:t>d</w:t>
      </w:r>
      <w:r w:rsidR="00024439" w:rsidRPr="00CF6765">
        <w:rPr>
          <w:rFonts w:eastAsia="Calibri"/>
          <w:sz w:val="20"/>
          <w:szCs w:val="20"/>
          <w:lang w:val="en-US" w:eastAsia="en-US"/>
        </w:rPr>
        <w:t xml:space="preserve"> the rule of </w:t>
      </w:r>
      <w:r w:rsidR="003C3208" w:rsidRPr="00CF6765">
        <w:rPr>
          <w:rFonts w:eastAsia="Calibri"/>
          <w:sz w:val="20"/>
          <w:szCs w:val="20"/>
          <w:lang w:val="en-US" w:eastAsia="en-US"/>
        </w:rPr>
        <w:t>informed consent</w:t>
      </w:r>
      <w:r w:rsidR="002570D1" w:rsidRPr="00CF6765">
        <w:rPr>
          <w:rFonts w:eastAsia="Calibri"/>
          <w:sz w:val="20"/>
          <w:szCs w:val="20"/>
          <w:lang w:val="en-US" w:eastAsia="en-US"/>
        </w:rPr>
        <w:t xml:space="preserve">, </w:t>
      </w:r>
      <w:r w:rsidR="00024439" w:rsidRPr="00CF6765">
        <w:rPr>
          <w:rFonts w:eastAsia="Calibri"/>
          <w:sz w:val="20"/>
          <w:szCs w:val="20"/>
          <w:lang w:val="en-US" w:eastAsia="en-US"/>
        </w:rPr>
        <w:t>and also Law</w:t>
      </w:r>
      <w:r w:rsidR="002570D1" w:rsidRPr="00CF6765">
        <w:rPr>
          <w:rFonts w:eastAsia="Calibri"/>
          <w:sz w:val="20"/>
          <w:szCs w:val="20"/>
          <w:lang w:val="en-US" w:eastAsia="en-US"/>
        </w:rPr>
        <w:t xml:space="preserve"> 20</w:t>
      </w:r>
      <w:r w:rsidR="00024439" w:rsidRPr="00CF6765">
        <w:rPr>
          <w:rFonts w:eastAsia="Calibri"/>
          <w:sz w:val="20"/>
          <w:szCs w:val="20"/>
          <w:lang w:val="en-US" w:eastAsia="en-US"/>
        </w:rPr>
        <w:t>,</w:t>
      </w:r>
      <w:r w:rsidR="002570D1" w:rsidRPr="00CF6765">
        <w:rPr>
          <w:rFonts w:eastAsia="Calibri"/>
          <w:sz w:val="20"/>
          <w:szCs w:val="20"/>
          <w:lang w:val="en-US" w:eastAsia="en-US"/>
        </w:rPr>
        <w:t xml:space="preserve">584 </w:t>
      </w:r>
      <w:r w:rsidR="00024439" w:rsidRPr="00CF6765">
        <w:rPr>
          <w:rFonts w:eastAsia="Calibri"/>
          <w:sz w:val="20"/>
          <w:szCs w:val="20"/>
          <w:lang w:val="en-US" w:eastAsia="en-US"/>
        </w:rPr>
        <w:t>of</w:t>
      </w:r>
      <w:r w:rsidR="002570D1" w:rsidRPr="00CF6765">
        <w:rPr>
          <w:rFonts w:eastAsia="Calibri"/>
          <w:sz w:val="20"/>
          <w:szCs w:val="20"/>
          <w:lang w:val="en-US" w:eastAsia="en-US"/>
        </w:rPr>
        <w:t xml:space="preserve"> 2012, </w:t>
      </w:r>
      <w:r w:rsidR="00024439" w:rsidRPr="00CF6765">
        <w:rPr>
          <w:rFonts w:eastAsia="Calibri"/>
          <w:sz w:val="20"/>
          <w:szCs w:val="20"/>
          <w:lang w:val="en-US" w:eastAsia="en-US"/>
        </w:rPr>
        <w:t>which regulate</w:t>
      </w:r>
      <w:r w:rsidR="00F91AAC" w:rsidRPr="00CF6765">
        <w:rPr>
          <w:rFonts w:eastAsia="Calibri"/>
          <w:sz w:val="20"/>
          <w:szCs w:val="20"/>
          <w:lang w:val="en-US" w:eastAsia="en-US"/>
        </w:rPr>
        <w:t>d</w:t>
      </w:r>
      <w:r w:rsidR="00024439" w:rsidRPr="00CF6765">
        <w:rPr>
          <w:rFonts w:eastAsia="Calibri"/>
          <w:sz w:val="20"/>
          <w:szCs w:val="20"/>
          <w:lang w:val="en-US" w:eastAsia="en-US"/>
        </w:rPr>
        <w:t xml:space="preserve"> the rights and obligations </w:t>
      </w:r>
      <w:r w:rsidR="00DC5FC2" w:rsidRPr="00CF6765">
        <w:rPr>
          <w:rFonts w:eastAsia="Calibri"/>
          <w:sz w:val="20"/>
          <w:szCs w:val="20"/>
          <w:lang w:val="en-US" w:eastAsia="en-US"/>
        </w:rPr>
        <w:t xml:space="preserve">of the individual </w:t>
      </w:r>
      <w:r w:rsidR="00F91AAC" w:rsidRPr="00CF6765">
        <w:rPr>
          <w:rFonts w:eastAsia="Calibri"/>
          <w:sz w:val="20"/>
          <w:szCs w:val="20"/>
          <w:lang w:val="en-US" w:eastAsia="en-US"/>
        </w:rPr>
        <w:t>with regard to</w:t>
      </w:r>
      <w:r w:rsidR="00DC5FC2" w:rsidRPr="00CF6765">
        <w:rPr>
          <w:rFonts w:eastAsia="Calibri"/>
          <w:sz w:val="20"/>
          <w:szCs w:val="20"/>
          <w:lang w:val="en-US" w:eastAsia="en-US"/>
        </w:rPr>
        <w:t xml:space="preserve"> actions relat</w:t>
      </w:r>
      <w:r w:rsidR="00F91AAC" w:rsidRPr="00CF6765">
        <w:rPr>
          <w:rFonts w:eastAsia="Calibri"/>
          <w:sz w:val="20"/>
          <w:szCs w:val="20"/>
          <w:lang w:val="en-US" w:eastAsia="en-US"/>
        </w:rPr>
        <w:t>ing</w:t>
      </w:r>
      <w:r w:rsidR="00DC5FC2" w:rsidRPr="00CF6765">
        <w:rPr>
          <w:rFonts w:eastAsia="Calibri"/>
          <w:sz w:val="20"/>
          <w:szCs w:val="20"/>
          <w:lang w:val="en-US" w:eastAsia="en-US"/>
        </w:rPr>
        <w:t xml:space="preserve"> to health care, including the right to informed consent and health-related information.</w:t>
      </w:r>
    </w:p>
    <w:p w14:paraId="74D76FE5" w14:textId="77777777" w:rsidR="002570D1" w:rsidRPr="00CF6765" w:rsidRDefault="002570D1" w:rsidP="002570D1">
      <w:pPr>
        <w:contextualSpacing/>
        <w:rPr>
          <w:rFonts w:eastAsia="Calibri"/>
          <w:sz w:val="20"/>
          <w:szCs w:val="20"/>
          <w:lang w:val="en-US" w:eastAsia="en-US"/>
        </w:rPr>
      </w:pPr>
    </w:p>
    <w:p w14:paraId="1AA796E0" w14:textId="506992E7" w:rsidR="00796F18" w:rsidRPr="00CF6765" w:rsidRDefault="00DC5FC2" w:rsidP="00DC5FC2">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In addition, it considered that the </w:t>
      </w:r>
      <w:r w:rsidR="008F31F2" w:rsidRPr="00CF6765">
        <w:rPr>
          <w:rFonts w:eastAsia="Calibri"/>
          <w:sz w:val="20"/>
          <w:szCs w:val="20"/>
          <w:lang w:val="en-US" w:eastAsia="en-US"/>
        </w:rPr>
        <w:t>violation of</w:t>
      </w:r>
      <w:r w:rsidR="002570D1" w:rsidRPr="00CF6765">
        <w:rPr>
          <w:rFonts w:eastAsia="Calibri"/>
          <w:sz w:val="20"/>
          <w:szCs w:val="20"/>
          <w:lang w:val="en-US" w:eastAsia="en-US"/>
        </w:rPr>
        <w:t xml:space="preserve"> </w:t>
      </w:r>
      <w:r w:rsidRPr="00CF6765">
        <w:rPr>
          <w:rFonts w:eastAsia="Calibri"/>
          <w:sz w:val="20"/>
          <w:szCs w:val="20"/>
          <w:lang w:val="en-US" w:eastAsia="en-US"/>
        </w:rPr>
        <w:t>the rights established in</w:t>
      </w:r>
      <w:r w:rsidR="002570D1" w:rsidRPr="00CF6765">
        <w:rPr>
          <w:rFonts w:eastAsia="Calibri"/>
          <w:sz w:val="20"/>
          <w:szCs w:val="20"/>
          <w:lang w:val="en-US" w:eastAsia="en-US"/>
        </w:rPr>
        <w:t xml:space="preserve"> </w:t>
      </w:r>
      <w:r w:rsidR="005C731C" w:rsidRPr="00CF6765">
        <w:rPr>
          <w:rFonts w:eastAsia="Calibri"/>
          <w:sz w:val="20"/>
          <w:szCs w:val="20"/>
          <w:lang w:val="en-US" w:eastAsia="en-US"/>
        </w:rPr>
        <w:t>Articles</w:t>
      </w:r>
      <w:r w:rsidR="002570D1" w:rsidRPr="00CF6765">
        <w:rPr>
          <w:rFonts w:eastAsia="Calibri"/>
          <w:sz w:val="20"/>
          <w:szCs w:val="20"/>
          <w:lang w:val="en-US" w:eastAsia="en-US"/>
        </w:rPr>
        <w:t xml:space="preserve"> 11</w:t>
      </w:r>
      <w:r w:rsidR="00EC50FC" w:rsidRPr="00CF6765">
        <w:rPr>
          <w:rFonts w:eastAsia="Calibri"/>
          <w:sz w:val="20"/>
          <w:szCs w:val="20"/>
          <w:lang w:val="en-US" w:eastAsia="en-US"/>
        </w:rPr>
        <w:t xml:space="preserve"> and </w:t>
      </w:r>
      <w:r w:rsidR="002570D1" w:rsidRPr="00CF6765">
        <w:rPr>
          <w:rFonts w:eastAsia="Calibri"/>
          <w:sz w:val="20"/>
          <w:szCs w:val="20"/>
          <w:lang w:val="en-US" w:eastAsia="en-US"/>
        </w:rPr>
        <w:t xml:space="preserve">7 </w:t>
      </w:r>
      <w:r w:rsidRPr="00CF6765">
        <w:rPr>
          <w:rFonts w:eastAsia="Calibri"/>
          <w:sz w:val="20"/>
          <w:szCs w:val="20"/>
          <w:lang w:val="en-US" w:eastAsia="en-US"/>
        </w:rPr>
        <w:t xml:space="preserve">were not </w:t>
      </w:r>
      <w:r w:rsidR="0090740B" w:rsidRPr="00CF6765">
        <w:rPr>
          <w:rFonts w:eastAsia="Calibri"/>
          <w:sz w:val="20"/>
          <w:szCs w:val="20"/>
          <w:lang w:val="en-US" w:eastAsia="en-US"/>
        </w:rPr>
        <w:t>applicable</w:t>
      </w:r>
      <w:r w:rsidRPr="00CF6765">
        <w:rPr>
          <w:rFonts w:eastAsia="Calibri"/>
          <w:sz w:val="20"/>
          <w:szCs w:val="20"/>
          <w:lang w:val="en-US" w:eastAsia="en-US"/>
        </w:rPr>
        <w:t xml:space="preserve"> to the family members “because these […] rights are part of the individual sphere of each person and cannot be passed on to others, even if the desire of the patient</w:t>
      </w:r>
      <w:r w:rsidR="00EF2930" w:rsidRPr="00CF6765">
        <w:rPr>
          <w:rFonts w:eastAsia="Calibri"/>
          <w:sz w:val="20"/>
          <w:szCs w:val="20"/>
          <w:lang w:val="en-US" w:eastAsia="en-US"/>
        </w:rPr>
        <w:t xml:space="preserve"> exists in a convincing and credible manner in order</w:t>
      </w:r>
      <w:r w:rsidRPr="00CF6765">
        <w:rPr>
          <w:rFonts w:eastAsia="Calibri"/>
          <w:sz w:val="20"/>
          <w:szCs w:val="20"/>
          <w:lang w:val="en-US" w:eastAsia="en-US"/>
        </w:rPr>
        <w:t xml:space="preserve"> to adequately protect his rights because he is </w:t>
      </w:r>
      <w:r w:rsidR="00EF2930" w:rsidRPr="00CF6765">
        <w:rPr>
          <w:rFonts w:eastAsia="Calibri"/>
          <w:sz w:val="20"/>
          <w:szCs w:val="20"/>
          <w:lang w:val="en-US" w:eastAsia="en-US"/>
        </w:rPr>
        <w:t xml:space="preserve">unable </w:t>
      </w:r>
      <w:r w:rsidRPr="00CF6765">
        <w:rPr>
          <w:rFonts w:eastAsia="Calibri"/>
          <w:sz w:val="20"/>
          <w:szCs w:val="20"/>
          <w:lang w:val="en-US" w:eastAsia="en-US"/>
        </w:rPr>
        <w:t xml:space="preserve">to exercise them for himself, especially in decisions that are so personal as those that may affect his life.” It added that “transferring this personal autonomy to the family members is unacceptable, because there </w:t>
      </w:r>
      <w:r w:rsidR="00FE4829" w:rsidRPr="00CF6765">
        <w:rPr>
          <w:rFonts w:eastAsia="Calibri"/>
          <w:sz w:val="20"/>
          <w:szCs w:val="20"/>
          <w:lang w:val="en-US" w:eastAsia="en-US"/>
        </w:rPr>
        <w:t>is no record of the existence</w:t>
      </w:r>
      <w:r w:rsidRPr="00CF6765">
        <w:rPr>
          <w:rFonts w:eastAsia="Calibri"/>
          <w:sz w:val="20"/>
          <w:szCs w:val="20"/>
          <w:lang w:val="en-US" w:eastAsia="en-US"/>
        </w:rPr>
        <w:t xml:space="preserve"> of a</w:t>
      </w:r>
      <w:r w:rsidR="00DE6950" w:rsidRPr="00CF6765">
        <w:rPr>
          <w:rFonts w:eastAsia="Calibri"/>
          <w:sz w:val="20"/>
          <w:szCs w:val="20"/>
          <w:lang w:val="en-US" w:eastAsia="en-US"/>
        </w:rPr>
        <w:t xml:space="preserve"> substitute or</w:t>
      </w:r>
      <w:r w:rsidRPr="00CF6765">
        <w:rPr>
          <w:rFonts w:eastAsia="Calibri"/>
          <w:sz w:val="20"/>
          <w:szCs w:val="20"/>
          <w:lang w:val="en-US" w:eastAsia="en-US"/>
        </w:rPr>
        <w:t xml:space="preserve"> </w:t>
      </w:r>
      <w:r w:rsidR="00DE6950" w:rsidRPr="00CF6765">
        <w:rPr>
          <w:rFonts w:eastAsia="Calibri"/>
          <w:sz w:val="20"/>
          <w:szCs w:val="20"/>
          <w:lang w:val="en-US" w:eastAsia="en-US"/>
        </w:rPr>
        <w:t>surrogate decision</w:t>
      </w:r>
      <w:r w:rsidR="00FE4829" w:rsidRPr="00CF6765">
        <w:rPr>
          <w:rFonts w:eastAsia="Calibri"/>
          <w:sz w:val="20"/>
          <w:szCs w:val="20"/>
          <w:lang w:val="en-US" w:eastAsia="en-US"/>
        </w:rPr>
        <w:t xml:space="preserve">, or </w:t>
      </w:r>
      <w:r w:rsidRPr="00CF6765">
        <w:rPr>
          <w:rFonts w:eastAsia="Calibri"/>
          <w:sz w:val="20"/>
          <w:szCs w:val="20"/>
          <w:lang w:val="en-US" w:eastAsia="en-US"/>
        </w:rPr>
        <w:t>the signature of prior instructions</w:t>
      </w:r>
      <w:r w:rsidR="00FE4829" w:rsidRPr="00CF6765">
        <w:rPr>
          <w:rFonts w:eastAsia="Calibri"/>
          <w:sz w:val="20"/>
          <w:szCs w:val="20"/>
          <w:lang w:val="en-US" w:eastAsia="en-US"/>
        </w:rPr>
        <w:t>,</w:t>
      </w:r>
      <w:r w:rsidRPr="00CF6765">
        <w:rPr>
          <w:rFonts w:eastAsia="Calibri"/>
          <w:sz w:val="20"/>
          <w:szCs w:val="20"/>
          <w:lang w:val="en-US" w:eastAsia="en-US"/>
        </w:rPr>
        <w:t xml:space="preserve"> or the existence of a document in which the patient expresses his wish to submit to the decisions </w:t>
      </w:r>
      <w:r w:rsidR="008F31F2" w:rsidRPr="00CF6765">
        <w:rPr>
          <w:rFonts w:eastAsia="Calibri"/>
          <w:sz w:val="20"/>
          <w:szCs w:val="20"/>
          <w:lang w:val="en-US" w:eastAsia="en-US"/>
        </w:rPr>
        <w:t>of his family members</w:t>
      </w:r>
      <w:r w:rsidRPr="00CF6765">
        <w:rPr>
          <w:rFonts w:eastAsia="Calibri"/>
          <w:sz w:val="20"/>
          <w:szCs w:val="20"/>
          <w:lang w:val="en-US" w:eastAsia="en-US"/>
        </w:rPr>
        <w:t>.</w:t>
      </w:r>
      <w:r w:rsidR="002570D1" w:rsidRPr="00CF6765">
        <w:rPr>
          <w:rFonts w:eastAsia="Calibri"/>
          <w:sz w:val="20"/>
          <w:szCs w:val="20"/>
          <w:lang w:val="en-US" w:eastAsia="en-US"/>
        </w:rPr>
        <w:t>”</w:t>
      </w:r>
      <w:r w:rsidRPr="00CF6765">
        <w:rPr>
          <w:rFonts w:eastAsia="Calibri"/>
          <w:sz w:val="20"/>
          <w:szCs w:val="20"/>
          <w:lang w:val="en-US" w:eastAsia="en-US"/>
        </w:rPr>
        <w:t xml:space="preserve"> The State also indicated</w:t>
      </w:r>
      <w:r w:rsidR="00FE4829" w:rsidRPr="00CF6765">
        <w:rPr>
          <w:rFonts w:eastAsia="Calibri"/>
          <w:sz w:val="20"/>
          <w:szCs w:val="20"/>
          <w:lang w:val="en-US" w:eastAsia="en-US"/>
        </w:rPr>
        <w:t xml:space="preserve"> that with</w:t>
      </w:r>
      <w:r w:rsidRPr="00CF6765">
        <w:rPr>
          <w:rFonts w:eastAsia="Calibri"/>
          <w:sz w:val="20"/>
          <w:szCs w:val="20"/>
          <w:lang w:val="en-US" w:eastAsia="en-US"/>
        </w:rPr>
        <w:t xml:space="preserve"> regard</w:t>
      </w:r>
      <w:r w:rsidR="00FE4829" w:rsidRPr="00CF6765">
        <w:rPr>
          <w:rFonts w:eastAsia="Calibri"/>
          <w:sz w:val="20"/>
          <w:szCs w:val="20"/>
          <w:lang w:val="en-US" w:eastAsia="en-US"/>
        </w:rPr>
        <w:t xml:space="preserve"> to considering</w:t>
      </w:r>
      <w:r w:rsidRPr="00CF6765">
        <w:rPr>
          <w:rFonts w:eastAsia="Calibri"/>
          <w:sz w:val="20"/>
          <w:szCs w:val="20"/>
          <w:lang w:val="en-US" w:eastAsia="en-US"/>
        </w:rPr>
        <w:t xml:space="preserve"> this violation to the detriment of the family members in this case, the situation was different from the case of </w:t>
      </w:r>
      <w:r w:rsidR="002570D1" w:rsidRPr="00CF6765">
        <w:rPr>
          <w:rFonts w:eastAsia="Calibri" w:cs="Arial-ItalicMT"/>
          <w:i/>
          <w:iCs/>
          <w:sz w:val="20"/>
          <w:szCs w:val="20"/>
          <w:lang w:val="en-US" w:eastAsia="en-US"/>
        </w:rPr>
        <w:t xml:space="preserve">I.V. </w:t>
      </w:r>
      <w:r w:rsidR="00EC50FC" w:rsidRPr="00CF6765">
        <w:rPr>
          <w:rFonts w:eastAsia="Calibri" w:cs="Arial-ItalicMT"/>
          <w:i/>
          <w:iCs/>
          <w:sz w:val="20"/>
          <w:szCs w:val="20"/>
          <w:lang w:val="en-US" w:eastAsia="en-US"/>
        </w:rPr>
        <w:t>v.</w:t>
      </w:r>
      <w:r w:rsidR="002570D1" w:rsidRPr="00CF6765">
        <w:rPr>
          <w:rFonts w:eastAsia="Calibri" w:cs="Arial-ItalicMT"/>
          <w:i/>
          <w:iCs/>
          <w:sz w:val="20"/>
          <w:szCs w:val="20"/>
          <w:lang w:val="en-US" w:eastAsia="en-US"/>
        </w:rPr>
        <w:t xml:space="preserve"> Bolivia</w:t>
      </w:r>
      <w:r w:rsidR="002570D1" w:rsidRPr="00CF6765">
        <w:rPr>
          <w:rFonts w:eastAsia="Calibri" w:cs="Arial-ItalicMT"/>
          <w:iCs/>
          <w:sz w:val="20"/>
          <w:szCs w:val="20"/>
          <w:lang w:val="en-US" w:eastAsia="en-US"/>
        </w:rPr>
        <w:t xml:space="preserve"> </w:t>
      </w:r>
      <w:r w:rsidRPr="00CF6765">
        <w:rPr>
          <w:rFonts w:eastAsia="Calibri" w:cs="Arial-ItalicMT"/>
          <w:iCs/>
          <w:sz w:val="20"/>
          <w:szCs w:val="20"/>
          <w:lang w:val="en-US" w:eastAsia="en-US"/>
        </w:rPr>
        <w:t>because</w:t>
      </w:r>
      <w:r w:rsidR="00FE4829" w:rsidRPr="00CF6765">
        <w:rPr>
          <w:rFonts w:eastAsia="Calibri" w:cs="Arial-ItalicMT"/>
          <w:iCs/>
          <w:sz w:val="20"/>
          <w:szCs w:val="20"/>
          <w:lang w:val="en-US" w:eastAsia="en-US"/>
        </w:rPr>
        <w:t>,</w:t>
      </w:r>
      <w:r w:rsidRPr="00CF6765">
        <w:rPr>
          <w:rFonts w:eastAsia="Calibri" w:cs="Arial-ItalicMT"/>
          <w:iCs/>
          <w:sz w:val="20"/>
          <w:szCs w:val="20"/>
          <w:lang w:val="en-US" w:eastAsia="en-US"/>
        </w:rPr>
        <w:t xml:space="preserve"> in that case</w:t>
      </w:r>
      <w:r w:rsidR="00FE4829" w:rsidRPr="00CF6765">
        <w:rPr>
          <w:rFonts w:eastAsia="Calibri" w:cs="Arial-ItalicMT"/>
          <w:iCs/>
          <w:sz w:val="20"/>
          <w:szCs w:val="20"/>
          <w:lang w:val="en-US" w:eastAsia="en-US"/>
        </w:rPr>
        <w:t>,</w:t>
      </w:r>
      <w:r w:rsidRPr="00CF6765">
        <w:rPr>
          <w:rFonts w:eastAsia="Calibri" w:cs="Arial-ItalicMT"/>
          <w:iCs/>
          <w:sz w:val="20"/>
          <w:szCs w:val="20"/>
          <w:lang w:val="en-US" w:eastAsia="en-US"/>
        </w:rPr>
        <w:t xml:space="preserve"> </w:t>
      </w:r>
      <w:r w:rsidR="00DE6950" w:rsidRPr="00CF6765">
        <w:rPr>
          <w:rFonts w:eastAsia="Calibri" w:cs="Arial-ItalicMT"/>
          <w:iCs/>
          <w:sz w:val="20"/>
          <w:szCs w:val="20"/>
          <w:lang w:val="en-US" w:eastAsia="en-US"/>
        </w:rPr>
        <w:t>a mechanism</w:t>
      </w:r>
      <w:r w:rsidR="00FE4829" w:rsidRPr="00CF6765">
        <w:rPr>
          <w:rFonts w:eastAsia="Calibri" w:cs="Arial-ItalicMT"/>
          <w:iCs/>
          <w:sz w:val="20"/>
          <w:szCs w:val="20"/>
          <w:lang w:val="en-US" w:eastAsia="en-US"/>
        </w:rPr>
        <w:t xml:space="preserve"> had intervened</w:t>
      </w:r>
      <w:r w:rsidR="00DE6950" w:rsidRPr="00CF6765">
        <w:rPr>
          <w:rFonts w:eastAsia="Calibri" w:cs="Arial-ItalicMT"/>
          <w:iCs/>
          <w:sz w:val="20"/>
          <w:szCs w:val="20"/>
          <w:lang w:val="en-US" w:eastAsia="en-US"/>
        </w:rPr>
        <w:t xml:space="preserve"> that in some legislation</w:t>
      </w:r>
      <w:r w:rsidR="00FE4829" w:rsidRPr="00CF6765">
        <w:rPr>
          <w:rFonts w:eastAsia="Calibri" w:cs="Arial-ItalicMT"/>
          <w:iCs/>
          <w:sz w:val="20"/>
          <w:szCs w:val="20"/>
          <w:lang w:val="en-US" w:eastAsia="en-US"/>
        </w:rPr>
        <w:t>s</w:t>
      </w:r>
      <w:r w:rsidR="00DE6950" w:rsidRPr="00CF6765">
        <w:rPr>
          <w:rFonts w:eastAsia="Calibri" w:cs="Arial-ItalicMT"/>
          <w:iCs/>
          <w:sz w:val="20"/>
          <w:szCs w:val="20"/>
          <w:lang w:val="en-US" w:eastAsia="en-US"/>
        </w:rPr>
        <w:t xml:space="preserve"> is known as</w:t>
      </w:r>
      <w:r w:rsidR="002570D1" w:rsidRPr="00CF6765">
        <w:rPr>
          <w:rFonts w:eastAsia="Calibri" w:cs="Arial-ItalicMT"/>
          <w:iCs/>
          <w:sz w:val="20"/>
          <w:szCs w:val="20"/>
          <w:lang w:val="en-US" w:eastAsia="en-US"/>
        </w:rPr>
        <w:t xml:space="preserve"> </w:t>
      </w:r>
      <w:r w:rsidR="003C3208" w:rsidRPr="00CF6765">
        <w:rPr>
          <w:rFonts w:eastAsia="Calibri" w:cs="Arial-ItalicMT"/>
          <w:iCs/>
          <w:sz w:val="20"/>
          <w:szCs w:val="20"/>
          <w:lang w:val="en-US" w:eastAsia="en-US"/>
        </w:rPr>
        <w:t>informed consent</w:t>
      </w:r>
      <w:r w:rsidR="002570D1" w:rsidRPr="00CF6765">
        <w:rPr>
          <w:rFonts w:eastAsia="Calibri" w:cs="Arial-ItalicMT"/>
          <w:iCs/>
          <w:sz w:val="20"/>
          <w:szCs w:val="20"/>
          <w:lang w:val="en-US" w:eastAsia="en-US"/>
        </w:rPr>
        <w:t xml:space="preserve"> </w:t>
      </w:r>
      <w:r w:rsidR="00DE6950" w:rsidRPr="00CF6765">
        <w:rPr>
          <w:rFonts w:eastAsia="Calibri" w:cs="Arial-ItalicMT"/>
          <w:iCs/>
          <w:sz w:val="20"/>
          <w:szCs w:val="20"/>
          <w:lang w:val="en-US" w:eastAsia="en-US"/>
        </w:rPr>
        <w:t>by representation or substitution. Thus, the State argued that the</w:t>
      </w:r>
      <w:r w:rsidR="00C25B75" w:rsidRPr="00CF6765">
        <w:rPr>
          <w:rFonts w:eastAsia="Calibri" w:cs="Arial-ItalicMT"/>
          <w:iCs/>
          <w:sz w:val="20"/>
          <w:szCs w:val="20"/>
          <w:lang w:val="en-US" w:eastAsia="en-US"/>
        </w:rPr>
        <w:t>ir</w:t>
      </w:r>
      <w:r w:rsidR="00DE6950" w:rsidRPr="00CF6765">
        <w:rPr>
          <w:rFonts w:eastAsia="Calibri" w:cs="Arial-ItalicMT"/>
          <w:iCs/>
          <w:sz w:val="20"/>
          <w:szCs w:val="20"/>
          <w:lang w:val="en-US" w:eastAsia="en-US"/>
        </w:rPr>
        <w:t xml:space="preserve"> participation in the communication</w:t>
      </w:r>
      <w:r w:rsidR="00C25B75" w:rsidRPr="00CF6765">
        <w:rPr>
          <w:rFonts w:eastAsia="Calibri" w:cs="Arial-ItalicMT"/>
          <w:iCs/>
          <w:sz w:val="20"/>
          <w:szCs w:val="20"/>
          <w:lang w:val="en-US" w:eastAsia="en-US"/>
        </w:rPr>
        <w:t>s</w:t>
      </w:r>
      <w:r w:rsidR="00DE6950" w:rsidRPr="00CF6765">
        <w:rPr>
          <w:rFonts w:eastAsia="Calibri" w:cs="Arial-ItalicMT"/>
          <w:iCs/>
          <w:sz w:val="20"/>
          <w:szCs w:val="20"/>
          <w:lang w:val="en-US" w:eastAsia="en-US"/>
        </w:rPr>
        <w:t xml:space="preserve"> process was limited to</w:t>
      </w:r>
      <w:r w:rsidR="00C25B75" w:rsidRPr="00CF6765">
        <w:rPr>
          <w:rFonts w:eastAsia="Calibri" w:cs="Arial-ItalicMT"/>
          <w:iCs/>
          <w:sz w:val="20"/>
          <w:szCs w:val="20"/>
          <w:lang w:val="en-US" w:eastAsia="en-US"/>
        </w:rPr>
        <w:t xml:space="preserve"> merely</w:t>
      </w:r>
      <w:r w:rsidR="00DE6950" w:rsidRPr="00CF6765">
        <w:rPr>
          <w:rFonts w:eastAsia="Calibri" w:cs="Arial-ItalicMT"/>
          <w:iCs/>
          <w:sz w:val="20"/>
          <w:szCs w:val="20"/>
          <w:lang w:val="en-US" w:eastAsia="en-US"/>
        </w:rPr>
        <w:t xml:space="preserve"> </w:t>
      </w:r>
      <w:r w:rsidR="00C25B75" w:rsidRPr="00CF6765">
        <w:rPr>
          <w:rFonts w:eastAsia="Calibri" w:cs="Arial-ItalicMT"/>
          <w:iCs/>
          <w:sz w:val="20"/>
          <w:szCs w:val="20"/>
          <w:lang w:val="en-US" w:eastAsia="en-US"/>
        </w:rPr>
        <w:t>providing an opinion on</w:t>
      </w:r>
      <w:r w:rsidR="00DE6950" w:rsidRPr="00CF6765">
        <w:rPr>
          <w:rFonts w:eastAsia="Calibri" w:cs="Arial-ItalicMT"/>
          <w:iCs/>
          <w:sz w:val="20"/>
          <w:szCs w:val="20"/>
          <w:lang w:val="en-US" w:eastAsia="en-US"/>
        </w:rPr>
        <w:t xml:space="preserve"> what the wi</w:t>
      </w:r>
      <w:r w:rsidR="00C25B75" w:rsidRPr="00CF6765">
        <w:rPr>
          <w:rFonts w:eastAsia="Calibri" w:cs="Arial-ItalicMT"/>
          <w:iCs/>
          <w:sz w:val="20"/>
          <w:szCs w:val="20"/>
          <w:lang w:val="en-US" w:eastAsia="en-US"/>
        </w:rPr>
        <w:t>shes</w:t>
      </w:r>
      <w:r w:rsidR="00DE6950" w:rsidRPr="00CF6765">
        <w:rPr>
          <w:rFonts w:eastAsia="Calibri" w:cs="Arial-ItalicMT"/>
          <w:iCs/>
          <w:sz w:val="20"/>
          <w:szCs w:val="20"/>
          <w:lang w:val="en-US" w:eastAsia="en-US"/>
        </w:rPr>
        <w:t xml:space="preserve"> of the </w:t>
      </w:r>
      <w:r w:rsidR="00E27148" w:rsidRPr="00CF6765">
        <w:rPr>
          <w:rFonts w:eastAsia="Calibri" w:cs="Arial-ItalicMT"/>
          <w:iCs/>
          <w:sz w:val="20"/>
          <w:szCs w:val="20"/>
          <w:lang w:val="en-US" w:eastAsia="en-US"/>
        </w:rPr>
        <w:t>patient</w:t>
      </w:r>
      <w:r w:rsidR="00C25B75" w:rsidRPr="00CF6765">
        <w:rPr>
          <w:rFonts w:eastAsia="Calibri" w:cs="Arial-ItalicMT"/>
          <w:iCs/>
          <w:sz w:val="20"/>
          <w:szCs w:val="20"/>
          <w:lang w:val="en-US" w:eastAsia="en-US"/>
        </w:rPr>
        <w:t xml:space="preserve"> might have been</w:t>
      </w:r>
      <w:r w:rsidR="00E27148" w:rsidRPr="00CF6765">
        <w:rPr>
          <w:rFonts w:eastAsia="Calibri" w:cs="Arial-ItalicMT"/>
          <w:iCs/>
          <w:sz w:val="20"/>
          <w:szCs w:val="20"/>
          <w:lang w:val="en-US" w:eastAsia="en-US"/>
        </w:rPr>
        <w:t xml:space="preserve"> before</w:t>
      </w:r>
      <w:r w:rsidR="00DE6950" w:rsidRPr="00CF6765">
        <w:rPr>
          <w:rFonts w:eastAsia="Calibri" w:cs="Arial-ItalicMT"/>
          <w:iCs/>
          <w:sz w:val="20"/>
          <w:szCs w:val="20"/>
          <w:lang w:val="en-US" w:eastAsia="en-US"/>
        </w:rPr>
        <w:t xml:space="preserve"> he became unconscious</w:t>
      </w:r>
      <w:r w:rsidR="002570D1" w:rsidRPr="00CF6765">
        <w:rPr>
          <w:rFonts w:eastAsia="Calibri" w:cs="Arial-ItalicMT"/>
          <w:iCs/>
          <w:sz w:val="20"/>
          <w:szCs w:val="20"/>
          <w:lang w:val="en-US" w:eastAsia="en-US"/>
        </w:rPr>
        <w:t xml:space="preserve">. </w:t>
      </w:r>
    </w:p>
    <w:p w14:paraId="2A53DDAD" w14:textId="77777777" w:rsidR="00796F18" w:rsidRPr="00CF6765" w:rsidRDefault="00796F18" w:rsidP="002570D1">
      <w:pPr>
        <w:widowControl w:val="0"/>
        <w:tabs>
          <w:tab w:val="center" w:pos="567"/>
        </w:tabs>
        <w:autoSpaceDE w:val="0"/>
        <w:autoSpaceDN w:val="0"/>
        <w:adjustRightInd w:val="0"/>
        <w:contextualSpacing/>
        <w:rPr>
          <w:rFonts w:eastAsia="Calibri"/>
          <w:sz w:val="20"/>
          <w:szCs w:val="20"/>
          <w:lang w:val="en-US" w:eastAsia="en-US"/>
        </w:rPr>
      </w:pPr>
    </w:p>
    <w:p w14:paraId="77FBAB58" w14:textId="5216C360" w:rsidR="002570D1" w:rsidRPr="00CF6765" w:rsidRDefault="009C2DEF" w:rsidP="002726E0">
      <w:pPr>
        <w:pStyle w:val="Ttulo2"/>
        <w:numPr>
          <w:ilvl w:val="0"/>
          <w:numId w:val="18"/>
        </w:numPr>
        <w:rPr>
          <w:lang w:val="en-US"/>
        </w:rPr>
      </w:pPr>
      <w:bookmarkStart w:id="70" w:name="_Toc47864375"/>
      <w:r w:rsidRPr="00CF6765">
        <w:rPr>
          <w:lang w:val="en-US"/>
        </w:rPr>
        <w:t>Considerations</w:t>
      </w:r>
      <w:r w:rsidR="005C731C" w:rsidRPr="00CF6765">
        <w:rPr>
          <w:lang w:val="en-US"/>
        </w:rPr>
        <w:t xml:space="preserve"> of the Court</w:t>
      </w:r>
      <w:bookmarkEnd w:id="70"/>
    </w:p>
    <w:p w14:paraId="0CE950AC" w14:textId="77777777" w:rsidR="002570D1" w:rsidRPr="00CF6765" w:rsidRDefault="002570D1" w:rsidP="002570D1">
      <w:pPr>
        <w:rPr>
          <w:rFonts w:eastAsia="Calibri"/>
          <w:b/>
          <w:sz w:val="20"/>
          <w:szCs w:val="20"/>
          <w:lang w:val="en-US" w:eastAsia="en-US"/>
        </w:rPr>
      </w:pPr>
    </w:p>
    <w:p w14:paraId="6DC89A24" w14:textId="223AD843" w:rsidR="002570D1" w:rsidRPr="00CF6765" w:rsidRDefault="00DE6950" w:rsidP="00DE6950">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Owing to the </w:t>
      </w:r>
      <w:r w:rsidR="0090740B" w:rsidRPr="00CF6765">
        <w:rPr>
          <w:rFonts w:eastAsia="Calibri"/>
          <w:sz w:val="20"/>
          <w:szCs w:val="20"/>
          <w:lang w:val="en-US" w:eastAsia="en-US"/>
        </w:rPr>
        <w:t>discrepancies</w:t>
      </w:r>
      <w:r w:rsidRPr="00CF6765">
        <w:rPr>
          <w:rFonts w:eastAsia="Calibri"/>
          <w:sz w:val="20"/>
          <w:szCs w:val="20"/>
          <w:lang w:val="en-US" w:eastAsia="en-US"/>
        </w:rPr>
        <w:t xml:space="preserve"> </w:t>
      </w:r>
      <w:r w:rsidR="00BC3964" w:rsidRPr="00CF6765">
        <w:rPr>
          <w:rFonts w:eastAsia="Calibri"/>
          <w:sz w:val="20"/>
          <w:szCs w:val="20"/>
          <w:lang w:val="en-US" w:eastAsia="en-US"/>
        </w:rPr>
        <w:t>regarding</w:t>
      </w:r>
      <w:r w:rsidRPr="00CF6765">
        <w:rPr>
          <w:rFonts w:eastAsia="Calibri"/>
          <w:sz w:val="20"/>
          <w:szCs w:val="20"/>
          <w:lang w:val="en-US" w:eastAsia="en-US"/>
        </w:rPr>
        <w:t xml:space="preserve"> the treatment provided by public institutions that allegedly resulted in the death of </w:t>
      </w:r>
      <w:r w:rsidR="00D04694" w:rsidRPr="00CF6765">
        <w:rPr>
          <w:rFonts w:eastAsia="Calibri"/>
          <w:sz w:val="20"/>
          <w:szCs w:val="20"/>
          <w:lang w:val="en-US" w:eastAsia="en-US"/>
        </w:rPr>
        <w:t>Mr.</w:t>
      </w:r>
      <w:r w:rsidR="00D2168F" w:rsidRPr="00CF6765">
        <w:rPr>
          <w:rFonts w:eastAsia="Calibri"/>
          <w:sz w:val="20"/>
          <w:szCs w:val="20"/>
          <w:lang w:val="en-US" w:eastAsia="en-US"/>
        </w:rPr>
        <w:t xml:space="preserve">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2570D1" w:rsidRPr="00CF6765">
        <w:rPr>
          <w:rFonts w:eastAsia="Calibri"/>
          <w:sz w:val="20"/>
          <w:szCs w:val="20"/>
          <w:lang w:val="en-US" w:eastAsia="en-US"/>
        </w:rPr>
        <w:t xml:space="preserve">, </w:t>
      </w:r>
      <w:r w:rsidRPr="00CF6765">
        <w:rPr>
          <w:rFonts w:eastAsia="Calibri"/>
          <w:sz w:val="20"/>
          <w:szCs w:val="20"/>
          <w:lang w:val="en-US" w:eastAsia="en-US"/>
        </w:rPr>
        <w:t xml:space="preserve">the Court must now </w:t>
      </w:r>
      <w:r w:rsidR="0090740B" w:rsidRPr="00CF6765">
        <w:rPr>
          <w:rFonts w:eastAsia="Calibri"/>
          <w:sz w:val="20"/>
          <w:szCs w:val="20"/>
          <w:lang w:val="en-US" w:eastAsia="en-US"/>
        </w:rPr>
        <w:t>r</w:t>
      </w:r>
      <w:r w:rsidR="00BC3964" w:rsidRPr="00CF6765">
        <w:rPr>
          <w:rFonts w:eastAsia="Calibri"/>
          <w:sz w:val="20"/>
          <w:szCs w:val="20"/>
          <w:lang w:val="en-US" w:eastAsia="en-US"/>
        </w:rPr>
        <w:t>u</w:t>
      </w:r>
      <w:r w:rsidR="0090740B" w:rsidRPr="00CF6765">
        <w:rPr>
          <w:rFonts w:eastAsia="Calibri"/>
          <w:sz w:val="20"/>
          <w:szCs w:val="20"/>
          <w:lang w:val="en-US" w:eastAsia="en-US"/>
        </w:rPr>
        <w:t>le</w:t>
      </w:r>
      <w:r w:rsidRPr="00CF6765">
        <w:rPr>
          <w:rFonts w:eastAsia="Calibri"/>
          <w:sz w:val="20"/>
          <w:szCs w:val="20"/>
          <w:lang w:val="en-US" w:eastAsia="en-US"/>
        </w:rPr>
        <w:t xml:space="preserve">, in particular, on the scope and components of the right </w:t>
      </w:r>
      <w:r w:rsidR="00925BAC" w:rsidRPr="00CF6765">
        <w:rPr>
          <w:rFonts w:eastAsia="Calibri"/>
          <w:sz w:val="20"/>
          <w:szCs w:val="20"/>
          <w:lang w:val="en-US" w:eastAsia="en-US"/>
        </w:rPr>
        <w:t>to health</w:t>
      </w:r>
      <w:r w:rsidR="009536AC" w:rsidRPr="00CF6765">
        <w:rPr>
          <w:rFonts w:eastAsia="Calibri"/>
          <w:sz w:val="20"/>
          <w:szCs w:val="20"/>
          <w:lang w:val="en-US" w:eastAsia="en-US"/>
        </w:rPr>
        <w:t xml:space="preserve"> </w:t>
      </w:r>
      <w:r w:rsidRPr="00CF6765">
        <w:rPr>
          <w:rFonts w:eastAsia="Calibri"/>
          <w:sz w:val="20"/>
          <w:szCs w:val="20"/>
          <w:lang w:val="en-US" w:eastAsia="en-US"/>
        </w:rPr>
        <w:t xml:space="preserve">in the following general sections: (1) the right to health protected by the Convention; (2) the rights to life and </w:t>
      </w:r>
      <w:r w:rsidR="00BC3964" w:rsidRPr="00CF6765">
        <w:rPr>
          <w:rFonts w:eastAsia="Calibri"/>
          <w:sz w:val="20"/>
          <w:szCs w:val="20"/>
          <w:lang w:val="en-US" w:eastAsia="en-US"/>
        </w:rPr>
        <w:t xml:space="preserve">to </w:t>
      </w:r>
      <w:r w:rsidRPr="00CF6765">
        <w:rPr>
          <w:rFonts w:eastAsia="Calibri"/>
          <w:sz w:val="20"/>
          <w:szCs w:val="20"/>
          <w:lang w:val="en-US" w:eastAsia="en-US"/>
        </w:rPr>
        <w:t>integrity, and (3)</w:t>
      </w:r>
      <w:r w:rsidR="002570D1" w:rsidRPr="00CF6765">
        <w:rPr>
          <w:rFonts w:eastAsia="Calibri"/>
          <w:sz w:val="20"/>
          <w:szCs w:val="20"/>
          <w:lang w:val="en-US" w:eastAsia="en-US"/>
        </w:rPr>
        <w:t xml:space="preserve"> </w:t>
      </w:r>
      <w:r w:rsidR="003C3208" w:rsidRPr="00CF6765">
        <w:rPr>
          <w:rFonts w:eastAsia="Calibri"/>
          <w:sz w:val="20"/>
          <w:szCs w:val="20"/>
          <w:lang w:val="en-US" w:eastAsia="en-US"/>
        </w:rPr>
        <w:t>informed consent</w:t>
      </w:r>
      <w:r w:rsidR="00EC50FC" w:rsidRPr="00CF6765">
        <w:rPr>
          <w:rFonts w:eastAsia="Calibri"/>
          <w:sz w:val="20"/>
          <w:szCs w:val="20"/>
          <w:lang w:val="en-US" w:eastAsia="en-US"/>
        </w:rPr>
        <w:t xml:space="preserve"> and </w:t>
      </w:r>
      <w:r w:rsidR="00690D57" w:rsidRPr="00CF6765">
        <w:rPr>
          <w:rFonts w:eastAsia="Calibri"/>
          <w:sz w:val="20"/>
          <w:szCs w:val="20"/>
          <w:lang w:val="en-US" w:eastAsia="en-US"/>
        </w:rPr>
        <w:t>access to</w:t>
      </w:r>
      <w:r w:rsidRPr="00CF6765">
        <w:rPr>
          <w:rFonts w:eastAsia="Calibri"/>
          <w:sz w:val="20"/>
          <w:szCs w:val="20"/>
          <w:lang w:val="en-US" w:eastAsia="en-US"/>
        </w:rPr>
        <w:t xml:space="preserve"> health-related</w:t>
      </w:r>
      <w:r w:rsidR="00690D57" w:rsidRPr="00CF6765">
        <w:rPr>
          <w:rFonts w:eastAsia="Calibri"/>
          <w:sz w:val="20"/>
          <w:szCs w:val="20"/>
          <w:lang w:val="en-US" w:eastAsia="en-US"/>
        </w:rPr>
        <w:t xml:space="preserve"> information</w:t>
      </w:r>
      <w:r w:rsidR="009536AC" w:rsidRPr="00CF6765">
        <w:rPr>
          <w:rFonts w:eastAsia="Calibri"/>
          <w:sz w:val="20"/>
          <w:szCs w:val="20"/>
          <w:lang w:val="en-US" w:eastAsia="en-US"/>
        </w:rPr>
        <w:t xml:space="preserve">. </w:t>
      </w:r>
      <w:r w:rsidRPr="00CF6765">
        <w:rPr>
          <w:rFonts w:eastAsia="Calibri"/>
          <w:sz w:val="20"/>
          <w:szCs w:val="20"/>
          <w:lang w:val="en-US" w:eastAsia="en-US"/>
        </w:rPr>
        <w:t xml:space="preserve">For the purposes of this case, the Court finds it unnecessary to refer </w:t>
      </w:r>
      <w:r w:rsidR="00BC3964" w:rsidRPr="00CF6765">
        <w:rPr>
          <w:rFonts w:eastAsia="Calibri"/>
          <w:sz w:val="20"/>
          <w:szCs w:val="20"/>
          <w:lang w:val="en-US" w:eastAsia="en-US"/>
        </w:rPr>
        <w:t xml:space="preserve">also </w:t>
      </w:r>
      <w:r w:rsidRPr="00CF6765">
        <w:rPr>
          <w:rFonts w:eastAsia="Calibri"/>
          <w:sz w:val="20"/>
          <w:szCs w:val="20"/>
          <w:lang w:val="en-US" w:eastAsia="en-US"/>
        </w:rPr>
        <w:t xml:space="preserve">to the right to social security mentioned by </w:t>
      </w:r>
      <w:r w:rsidR="00D2168F" w:rsidRPr="00CF6765">
        <w:rPr>
          <w:rFonts w:eastAsia="Calibri"/>
          <w:sz w:val="20"/>
          <w:szCs w:val="20"/>
          <w:lang w:val="en-US" w:eastAsia="en-US"/>
        </w:rPr>
        <w:t>the representatives</w:t>
      </w:r>
      <w:r w:rsidR="00386E16" w:rsidRPr="00CF6765">
        <w:rPr>
          <w:rFonts w:eastAsia="Calibri"/>
          <w:sz w:val="20"/>
          <w:szCs w:val="20"/>
          <w:lang w:val="en-US" w:eastAsia="en-US"/>
        </w:rPr>
        <w:t xml:space="preserve"> (</w:t>
      </w:r>
      <w:r w:rsidR="00386E16" w:rsidRPr="00CF6765">
        <w:rPr>
          <w:rFonts w:eastAsia="Calibri"/>
          <w:i/>
          <w:sz w:val="20"/>
          <w:szCs w:val="20"/>
          <w:lang w:val="en-US" w:eastAsia="en-US"/>
        </w:rPr>
        <w:t>supra</w:t>
      </w:r>
      <w:r w:rsidR="00386E16" w:rsidRPr="00CF6765">
        <w:rPr>
          <w:rFonts w:eastAsia="Calibri"/>
          <w:sz w:val="20"/>
          <w:szCs w:val="20"/>
          <w:lang w:val="en-US" w:eastAsia="en-US"/>
        </w:rPr>
        <w:t xml:space="preserve"> </w:t>
      </w:r>
      <w:r w:rsidR="00EC50FC" w:rsidRPr="00CF6765">
        <w:rPr>
          <w:rFonts w:eastAsia="Calibri"/>
          <w:sz w:val="20"/>
          <w:szCs w:val="20"/>
          <w:lang w:val="en-US" w:eastAsia="en-US"/>
        </w:rPr>
        <w:t>para.</w:t>
      </w:r>
      <w:r w:rsidR="00386E16" w:rsidRPr="00CF6765">
        <w:rPr>
          <w:rFonts w:eastAsia="Calibri"/>
          <w:sz w:val="20"/>
          <w:szCs w:val="20"/>
          <w:lang w:val="en-US" w:eastAsia="en-US"/>
        </w:rPr>
        <w:t xml:space="preserve"> </w:t>
      </w:r>
      <w:r w:rsidR="002D6C48" w:rsidRPr="00CF6765">
        <w:rPr>
          <w:rFonts w:eastAsia="Calibri"/>
          <w:sz w:val="20"/>
          <w:szCs w:val="20"/>
          <w:lang w:val="en-US" w:eastAsia="en-US"/>
        </w:rPr>
        <w:t>86</w:t>
      </w:r>
      <w:r w:rsidR="00386E16" w:rsidRPr="00CF6765">
        <w:rPr>
          <w:rFonts w:eastAsia="Calibri"/>
          <w:sz w:val="20"/>
          <w:szCs w:val="20"/>
          <w:lang w:val="en-US" w:eastAsia="en-US"/>
        </w:rPr>
        <w:t>)</w:t>
      </w:r>
      <w:r w:rsidR="009536AC" w:rsidRPr="00CF6765">
        <w:rPr>
          <w:rFonts w:eastAsia="Calibri"/>
          <w:sz w:val="20"/>
          <w:szCs w:val="20"/>
          <w:lang w:val="en-US" w:eastAsia="en-US"/>
        </w:rPr>
        <w:t xml:space="preserve">. </w:t>
      </w:r>
    </w:p>
    <w:p w14:paraId="43CE581B" w14:textId="77777777" w:rsidR="002570D1" w:rsidRPr="00CF6765" w:rsidRDefault="002570D1" w:rsidP="002570D1">
      <w:pPr>
        <w:rPr>
          <w:rFonts w:eastAsia="Calibri"/>
          <w:b/>
          <w:sz w:val="20"/>
          <w:szCs w:val="20"/>
          <w:lang w:val="en-US" w:eastAsia="en-US"/>
        </w:rPr>
      </w:pPr>
    </w:p>
    <w:p w14:paraId="5E16D567" w14:textId="58D27DE1" w:rsidR="002570D1" w:rsidRPr="00CF6765" w:rsidRDefault="002570D1" w:rsidP="006E1049">
      <w:pPr>
        <w:pStyle w:val="Ttulo3"/>
        <w:numPr>
          <w:ilvl w:val="0"/>
          <w:numId w:val="20"/>
        </w:numPr>
        <w:rPr>
          <w:b/>
          <w:smallCaps/>
          <w:lang w:val="en-US"/>
        </w:rPr>
      </w:pPr>
      <w:r w:rsidRPr="00CF6765">
        <w:rPr>
          <w:b/>
          <w:smallCaps/>
          <w:lang w:val="en-US"/>
        </w:rPr>
        <w:t xml:space="preserve"> </w:t>
      </w:r>
      <w:bookmarkStart w:id="71" w:name="_Toc47864376"/>
      <w:r w:rsidR="00DE6950" w:rsidRPr="00CF6765">
        <w:rPr>
          <w:b/>
          <w:smallCaps/>
          <w:lang w:val="en-US"/>
        </w:rPr>
        <w:t>The right</w:t>
      </w:r>
      <w:r w:rsidR="00925BAC" w:rsidRPr="00CF6765">
        <w:rPr>
          <w:b/>
          <w:smallCaps/>
          <w:lang w:val="en-US"/>
        </w:rPr>
        <w:t xml:space="preserve"> to health</w:t>
      </w:r>
      <w:bookmarkEnd w:id="71"/>
      <w:r w:rsidR="009536AC" w:rsidRPr="00CF6765">
        <w:rPr>
          <w:b/>
          <w:smallCaps/>
          <w:lang w:val="en-US"/>
        </w:rPr>
        <w:t xml:space="preserve"> </w:t>
      </w:r>
    </w:p>
    <w:p w14:paraId="2D05C934" w14:textId="77777777" w:rsidR="002570D1" w:rsidRPr="00CF6765" w:rsidRDefault="002570D1" w:rsidP="006E1049">
      <w:pPr>
        <w:rPr>
          <w:rFonts w:eastAsia="Calibri"/>
          <w:b/>
          <w:sz w:val="20"/>
          <w:szCs w:val="20"/>
          <w:lang w:val="en-US" w:eastAsia="en-US"/>
        </w:rPr>
      </w:pPr>
    </w:p>
    <w:p w14:paraId="5204A23C" w14:textId="3FADCA47" w:rsidR="002570D1" w:rsidRPr="00CF6765" w:rsidRDefault="002570D1" w:rsidP="005415CD">
      <w:pPr>
        <w:pStyle w:val="Ttulo4"/>
        <w:spacing w:before="0"/>
        <w:ind w:left="2124"/>
        <w:rPr>
          <w:rFonts w:eastAsia="Calibri"/>
          <w:b/>
          <w:szCs w:val="20"/>
          <w:lang w:val="en-US" w:eastAsia="en-US"/>
        </w:rPr>
      </w:pPr>
      <w:bookmarkStart w:id="72" w:name="_Toc47864377"/>
      <w:r w:rsidRPr="00CF6765">
        <w:rPr>
          <w:rFonts w:eastAsia="Calibri"/>
          <w:b/>
          <w:szCs w:val="20"/>
          <w:lang w:val="en-US" w:eastAsia="en-US"/>
        </w:rPr>
        <w:t xml:space="preserve">1.1 </w:t>
      </w:r>
      <w:r w:rsidR="00DE6950" w:rsidRPr="00CF6765">
        <w:rPr>
          <w:rFonts w:eastAsia="Calibri"/>
          <w:b/>
          <w:szCs w:val="20"/>
          <w:lang w:val="en-US" w:eastAsia="en-US"/>
        </w:rPr>
        <w:t>The right</w:t>
      </w:r>
      <w:r w:rsidR="00925BAC" w:rsidRPr="00CF6765">
        <w:rPr>
          <w:rFonts w:eastAsia="Calibri"/>
          <w:b/>
          <w:szCs w:val="20"/>
          <w:lang w:val="en-US" w:eastAsia="en-US"/>
        </w:rPr>
        <w:t xml:space="preserve"> to health</w:t>
      </w:r>
      <w:r w:rsidRPr="00CF6765">
        <w:rPr>
          <w:rFonts w:eastAsia="Calibri"/>
          <w:b/>
          <w:szCs w:val="20"/>
          <w:lang w:val="en-US" w:eastAsia="en-US"/>
        </w:rPr>
        <w:t xml:space="preserve"> </w:t>
      </w:r>
      <w:r w:rsidR="00DE6950" w:rsidRPr="00CF6765">
        <w:rPr>
          <w:rFonts w:eastAsia="Calibri"/>
          <w:b/>
          <w:szCs w:val="20"/>
          <w:lang w:val="en-US" w:eastAsia="en-US"/>
        </w:rPr>
        <w:t>protected by</w:t>
      </w:r>
      <w:r w:rsidRPr="00CF6765">
        <w:rPr>
          <w:rFonts w:eastAsia="Calibri"/>
          <w:b/>
          <w:szCs w:val="20"/>
          <w:lang w:val="en-US" w:eastAsia="en-US"/>
        </w:rPr>
        <w:t xml:space="preserve"> </w:t>
      </w:r>
      <w:r w:rsidR="005C731C" w:rsidRPr="00CF6765">
        <w:rPr>
          <w:rFonts w:eastAsia="Calibri"/>
          <w:b/>
          <w:szCs w:val="20"/>
          <w:lang w:val="en-US" w:eastAsia="en-US"/>
        </w:rPr>
        <w:t>Article</w:t>
      </w:r>
      <w:r w:rsidRPr="00CF6765">
        <w:rPr>
          <w:rFonts w:eastAsia="Calibri"/>
          <w:b/>
          <w:szCs w:val="20"/>
          <w:lang w:val="en-US" w:eastAsia="en-US"/>
        </w:rPr>
        <w:t xml:space="preserve"> 26</w:t>
      </w:r>
      <w:r w:rsidR="005C731C" w:rsidRPr="00CF6765">
        <w:rPr>
          <w:rFonts w:eastAsia="Calibri"/>
          <w:b/>
          <w:szCs w:val="20"/>
          <w:lang w:val="en-US" w:eastAsia="en-US"/>
        </w:rPr>
        <w:t xml:space="preserve"> of the Convention</w:t>
      </w:r>
      <w:bookmarkEnd w:id="72"/>
    </w:p>
    <w:p w14:paraId="16D0C98A" w14:textId="77777777" w:rsidR="002570D1" w:rsidRPr="00CF6765" w:rsidRDefault="002570D1" w:rsidP="006E1049">
      <w:pPr>
        <w:rPr>
          <w:rFonts w:eastAsia="Calibri"/>
          <w:sz w:val="20"/>
          <w:szCs w:val="20"/>
          <w:lang w:val="en-US" w:eastAsia="en-US"/>
        </w:rPr>
      </w:pPr>
    </w:p>
    <w:p w14:paraId="62D082A1" w14:textId="4EA8E48D" w:rsidR="002570D1" w:rsidRPr="00CF6765" w:rsidRDefault="00DE6950" w:rsidP="005430FF">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In the judgment in the case of </w:t>
      </w:r>
      <w:r w:rsidR="002570D1" w:rsidRPr="00CF6765">
        <w:rPr>
          <w:rFonts w:eastAsia="Calibri"/>
          <w:i/>
          <w:sz w:val="20"/>
          <w:szCs w:val="20"/>
          <w:lang w:val="en-US" w:eastAsia="en-US"/>
        </w:rPr>
        <w:t xml:space="preserve">Lagos del Campo </w:t>
      </w:r>
      <w:r w:rsidR="00EC50FC" w:rsidRPr="00CF6765">
        <w:rPr>
          <w:rFonts w:eastAsia="Calibri"/>
          <w:i/>
          <w:sz w:val="20"/>
          <w:szCs w:val="20"/>
          <w:lang w:val="en-US" w:eastAsia="en-US"/>
        </w:rPr>
        <w:t>v.</w:t>
      </w:r>
      <w:r w:rsidR="002570D1" w:rsidRPr="00CF6765">
        <w:rPr>
          <w:rFonts w:eastAsia="Calibri"/>
          <w:i/>
          <w:sz w:val="20"/>
          <w:szCs w:val="20"/>
          <w:lang w:val="en-US" w:eastAsia="en-US"/>
        </w:rPr>
        <w:t xml:space="preserve"> </w:t>
      </w:r>
      <w:r w:rsidR="00930431" w:rsidRPr="00CF6765">
        <w:rPr>
          <w:rFonts w:eastAsia="Calibri"/>
          <w:i/>
          <w:sz w:val="20"/>
          <w:szCs w:val="20"/>
          <w:lang w:val="en-US" w:eastAsia="en-US"/>
        </w:rPr>
        <w:t>Peru</w:t>
      </w:r>
      <w:r w:rsidR="002570D1" w:rsidRPr="00CF6765">
        <w:rPr>
          <w:rFonts w:eastAsia="Calibri"/>
          <w:i/>
          <w:sz w:val="20"/>
          <w:szCs w:val="20"/>
          <w:lang w:val="en-US" w:eastAsia="en-US"/>
        </w:rPr>
        <w:t xml:space="preserve">, </w:t>
      </w:r>
      <w:r w:rsidR="005C731C" w:rsidRPr="00CF6765">
        <w:rPr>
          <w:rFonts w:eastAsia="Calibri"/>
          <w:sz w:val="20"/>
          <w:szCs w:val="20"/>
          <w:lang w:val="en-US" w:eastAsia="en-US"/>
        </w:rPr>
        <w:t>the Court</w:t>
      </w:r>
      <w:r w:rsidR="002570D1" w:rsidRPr="00CF6765">
        <w:rPr>
          <w:rFonts w:eastAsia="Calibri"/>
          <w:sz w:val="20"/>
          <w:szCs w:val="20"/>
          <w:lang w:val="en-US" w:eastAsia="en-US"/>
        </w:rPr>
        <w:t xml:space="preserve"> </w:t>
      </w:r>
      <w:r w:rsidR="00FA0970" w:rsidRPr="00CF6765">
        <w:rPr>
          <w:rFonts w:eastAsia="Calibri"/>
          <w:sz w:val="20"/>
          <w:szCs w:val="20"/>
          <w:lang w:val="en-US" w:eastAsia="en-US"/>
        </w:rPr>
        <w:t>de</w:t>
      </w:r>
      <w:r w:rsidR="00855CAC" w:rsidRPr="00CF6765">
        <w:rPr>
          <w:rFonts w:eastAsia="Calibri"/>
          <w:sz w:val="20"/>
          <w:szCs w:val="20"/>
          <w:lang w:val="en-US" w:eastAsia="en-US"/>
        </w:rPr>
        <w:t>veloped and, for the first time, established a specific and autonomous violation</w:t>
      </w:r>
      <w:r w:rsidR="002570D1" w:rsidRPr="00CF6765">
        <w:rPr>
          <w:rFonts w:eastAsia="Calibri"/>
          <w:sz w:val="20"/>
          <w:szCs w:val="20"/>
          <w:lang w:val="en-US" w:eastAsia="en-US"/>
        </w:rPr>
        <w:t xml:space="preserve"> </w:t>
      </w:r>
      <w:r w:rsidR="0088423A" w:rsidRPr="00CF6765">
        <w:rPr>
          <w:rFonts w:eastAsia="Calibri"/>
          <w:sz w:val="20"/>
          <w:szCs w:val="20"/>
          <w:lang w:val="en-US" w:eastAsia="en-US"/>
        </w:rPr>
        <w:t>of Article</w:t>
      </w:r>
      <w:r w:rsidR="002570D1" w:rsidRPr="00CF6765">
        <w:rPr>
          <w:rFonts w:eastAsia="Calibri"/>
          <w:sz w:val="20"/>
          <w:szCs w:val="20"/>
          <w:lang w:val="en-US" w:eastAsia="en-US"/>
        </w:rPr>
        <w:t xml:space="preserve"> 26</w:t>
      </w:r>
      <w:r w:rsidR="005C731C" w:rsidRPr="00CF6765">
        <w:rPr>
          <w:rFonts w:eastAsia="Calibri"/>
          <w:sz w:val="20"/>
          <w:szCs w:val="20"/>
          <w:lang w:val="en-US" w:eastAsia="en-US"/>
        </w:rPr>
        <w:t xml:space="preserve"> of the American Convention</w:t>
      </w:r>
      <w:r w:rsidR="00855CAC" w:rsidRPr="00CF6765">
        <w:rPr>
          <w:rFonts w:eastAsia="Calibri"/>
          <w:sz w:val="20"/>
          <w:szCs w:val="20"/>
          <w:lang w:val="en-US" w:eastAsia="en-US"/>
        </w:rPr>
        <w:t>,</w:t>
      </w:r>
      <w:r w:rsidR="002570D1" w:rsidRPr="00CF6765">
        <w:rPr>
          <w:rFonts w:eastAsia="Calibri"/>
          <w:sz w:val="20"/>
          <w:szCs w:val="20"/>
          <w:vertAlign w:val="superscript"/>
          <w:lang w:val="en-US" w:eastAsia="en-US"/>
        </w:rPr>
        <w:footnoteReference w:id="126"/>
      </w:r>
      <w:r w:rsidR="002570D1" w:rsidRPr="00CF6765">
        <w:rPr>
          <w:rFonts w:eastAsia="Calibri"/>
          <w:i/>
          <w:sz w:val="20"/>
          <w:szCs w:val="20"/>
          <w:lang w:val="en-US" w:eastAsia="en-US"/>
        </w:rPr>
        <w:t xml:space="preserve"> </w:t>
      </w:r>
      <w:r w:rsidR="00BC3964" w:rsidRPr="00CF6765">
        <w:rPr>
          <w:rFonts w:eastAsia="Calibri" w:cs="Verdana"/>
          <w:sz w:val="20"/>
          <w:szCs w:val="20"/>
          <w:lang w:val="en-US" w:eastAsia="es-MX"/>
        </w:rPr>
        <w:t>included</w:t>
      </w:r>
      <w:r w:rsidR="00855CAC" w:rsidRPr="00CF6765">
        <w:rPr>
          <w:rFonts w:eastAsia="Calibri" w:cs="Verdana"/>
          <w:sz w:val="20"/>
          <w:szCs w:val="20"/>
          <w:lang w:val="en-US" w:eastAsia="es-MX"/>
        </w:rPr>
        <w:t xml:space="preserve"> in</w:t>
      </w:r>
      <w:r w:rsidR="00FA0970" w:rsidRPr="00CF6765">
        <w:rPr>
          <w:rFonts w:eastAsia="Calibri" w:cs="Verdana"/>
          <w:sz w:val="20"/>
          <w:szCs w:val="20"/>
          <w:lang w:val="en-US" w:eastAsia="es-MX"/>
        </w:rPr>
        <w:t xml:space="preserve"> </w:t>
      </w:r>
      <w:r w:rsidR="00D2168F" w:rsidRPr="00CF6765">
        <w:rPr>
          <w:rFonts w:eastAsia="Calibri" w:cs="Verdana"/>
          <w:sz w:val="20"/>
          <w:szCs w:val="20"/>
          <w:lang w:val="en-US" w:eastAsia="es-MX"/>
        </w:rPr>
        <w:t>Chapter</w:t>
      </w:r>
      <w:r w:rsidR="00FA0970" w:rsidRPr="00CF6765">
        <w:rPr>
          <w:rFonts w:eastAsia="Calibri" w:cs="Verdana"/>
          <w:sz w:val="20"/>
          <w:szCs w:val="20"/>
          <w:lang w:val="en-US" w:eastAsia="es-MX"/>
        </w:rPr>
        <w:t xml:space="preserve"> III</w:t>
      </w:r>
      <w:r w:rsidR="00855CAC" w:rsidRPr="00CF6765">
        <w:rPr>
          <w:rFonts w:eastAsia="Calibri" w:cs="Verdana"/>
          <w:sz w:val="20"/>
          <w:szCs w:val="20"/>
          <w:lang w:val="en-US" w:eastAsia="es-MX"/>
        </w:rPr>
        <w:t xml:space="preserve"> of this treat</w:t>
      </w:r>
      <w:r w:rsidR="00BC3964" w:rsidRPr="00CF6765">
        <w:rPr>
          <w:rFonts w:eastAsia="Calibri" w:cs="Verdana"/>
          <w:sz w:val="20"/>
          <w:szCs w:val="20"/>
          <w:lang w:val="en-US" w:eastAsia="es-MX"/>
        </w:rPr>
        <w:t>y</w:t>
      </w:r>
      <w:r w:rsidR="00FA0970" w:rsidRPr="00CF6765">
        <w:rPr>
          <w:rFonts w:eastAsia="Calibri" w:cs="Verdana"/>
          <w:sz w:val="20"/>
          <w:szCs w:val="20"/>
          <w:lang w:val="en-US" w:eastAsia="es-MX"/>
        </w:rPr>
        <w:t xml:space="preserve"> </w:t>
      </w:r>
      <w:r w:rsidR="00855CAC" w:rsidRPr="00CF6765">
        <w:rPr>
          <w:rFonts w:eastAsia="Calibri" w:cs="Verdana"/>
          <w:sz w:val="20"/>
          <w:szCs w:val="20"/>
          <w:lang w:val="en-US" w:eastAsia="es-MX"/>
        </w:rPr>
        <w:t xml:space="preserve">entitled Economic, Social and Cultural Rights. </w:t>
      </w:r>
      <w:r w:rsidR="00BC3964" w:rsidRPr="00CF6765">
        <w:rPr>
          <w:rFonts w:eastAsia="Calibri" w:cs="Verdana"/>
          <w:sz w:val="20"/>
          <w:szCs w:val="20"/>
          <w:lang w:val="en-US" w:eastAsia="es-MX"/>
        </w:rPr>
        <w:t>In that judgment</w:t>
      </w:r>
      <w:r w:rsidR="00855CAC" w:rsidRPr="00CF6765">
        <w:rPr>
          <w:rFonts w:eastAsia="Calibri" w:cs="Verdana"/>
          <w:sz w:val="20"/>
          <w:szCs w:val="20"/>
          <w:lang w:val="en-US" w:eastAsia="es-MX"/>
        </w:rPr>
        <w:t>, the Court reiterated</w:t>
      </w:r>
      <w:r w:rsidR="00FA0970" w:rsidRPr="00CF6765">
        <w:rPr>
          <w:rFonts w:eastAsia="Calibri"/>
          <w:sz w:val="20"/>
          <w:szCs w:val="20"/>
          <w:vertAlign w:val="superscript"/>
          <w:lang w:val="en-US" w:eastAsia="en-US"/>
        </w:rPr>
        <w:footnoteReference w:id="127"/>
      </w:r>
      <w:r w:rsidR="00FA0970" w:rsidRPr="00CF6765">
        <w:rPr>
          <w:rFonts w:eastAsia="Calibri"/>
          <w:bCs/>
          <w:sz w:val="20"/>
          <w:szCs w:val="20"/>
          <w:lang w:val="en-US" w:eastAsia="en-US"/>
        </w:rPr>
        <w:t xml:space="preserve"> </w:t>
      </w:r>
      <w:r w:rsidR="00855CAC" w:rsidRPr="00CF6765">
        <w:rPr>
          <w:rFonts w:eastAsia="Calibri"/>
          <w:bCs/>
          <w:sz w:val="20"/>
          <w:szCs w:val="20"/>
          <w:lang w:val="en-US" w:eastAsia="en-US"/>
        </w:rPr>
        <w:t>its competence to hear and decide disputes relating to</w:t>
      </w:r>
      <w:r w:rsidR="00FA0970" w:rsidRPr="00CF6765">
        <w:rPr>
          <w:rFonts w:eastAsiaTheme="minorHAnsi" w:cs="Verdana"/>
          <w:color w:val="000000"/>
          <w:sz w:val="20"/>
          <w:szCs w:val="20"/>
          <w:lang w:val="en-US" w:eastAsia="en-US"/>
        </w:rPr>
        <w:t xml:space="preserve"> </w:t>
      </w:r>
      <w:r w:rsidR="005C731C" w:rsidRPr="00CF6765">
        <w:rPr>
          <w:rFonts w:eastAsiaTheme="minorHAnsi" w:cs="Verdana"/>
          <w:color w:val="000000"/>
          <w:sz w:val="20"/>
          <w:szCs w:val="20"/>
          <w:lang w:val="en-US" w:eastAsia="en-US"/>
        </w:rPr>
        <w:t>Article</w:t>
      </w:r>
      <w:r w:rsidR="00FA0970" w:rsidRPr="00CF6765">
        <w:rPr>
          <w:rFonts w:eastAsiaTheme="minorHAnsi" w:cs="Verdana"/>
          <w:color w:val="000000"/>
          <w:sz w:val="20"/>
          <w:szCs w:val="20"/>
          <w:lang w:val="en-US" w:eastAsia="en-US"/>
        </w:rPr>
        <w:t xml:space="preserve"> 26</w:t>
      </w:r>
      <w:r w:rsidR="005C731C" w:rsidRPr="00CF6765">
        <w:rPr>
          <w:rFonts w:eastAsiaTheme="minorHAnsi" w:cs="Verdana"/>
          <w:color w:val="000000"/>
          <w:sz w:val="20"/>
          <w:szCs w:val="20"/>
          <w:lang w:val="en-US" w:eastAsia="en-US"/>
        </w:rPr>
        <w:t xml:space="preserve"> of the American Convention</w:t>
      </w:r>
      <w:r w:rsidR="00855CAC" w:rsidRPr="00CF6765">
        <w:rPr>
          <w:rFonts w:eastAsiaTheme="minorHAnsi" w:cs="Verdana"/>
          <w:color w:val="000000"/>
          <w:sz w:val="20"/>
          <w:szCs w:val="20"/>
          <w:lang w:val="en-US" w:eastAsia="en-US"/>
        </w:rPr>
        <w:t xml:space="preserve"> as an integral part of the rights named therein, and regard</w:t>
      </w:r>
      <w:r w:rsidR="00BC3964" w:rsidRPr="00CF6765">
        <w:rPr>
          <w:rFonts w:eastAsiaTheme="minorHAnsi" w:cs="Verdana"/>
          <w:color w:val="000000"/>
          <w:sz w:val="20"/>
          <w:szCs w:val="20"/>
          <w:lang w:val="en-US" w:eastAsia="en-US"/>
        </w:rPr>
        <w:t>ing</w:t>
      </w:r>
      <w:r w:rsidR="00855CAC" w:rsidRPr="00CF6765">
        <w:rPr>
          <w:rFonts w:eastAsiaTheme="minorHAnsi" w:cs="Verdana"/>
          <w:color w:val="000000"/>
          <w:sz w:val="20"/>
          <w:szCs w:val="20"/>
          <w:lang w:val="en-US" w:eastAsia="en-US"/>
        </w:rPr>
        <w:t xml:space="preserve"> which </w:t>
      </w:r>
      <w:r w:rsidR="00EC50FC" w:rsidRPr="00CF6765">
        <w:rPr>
          <w:rFonts w:eastAsiaTheme="minorHAnsi" w:cs="Verdana"/>
          <w:color w:val="000000"/>
          <w:sz w:val="20"/>
          <w:szCs w:val="20"/>
          <w:lang w:val="en-US" w:eastAsia="en-US"/>
        </w:rPr>
        <w:t>Article 1(1)</w:t>
      </w:r>
      <w:r w:rsidR="00FA0970" w:rsidRPr="00CF6765">
        <w:rPr>
          <w:rFonts w:eastAsiaTheme="minorHAnsi" w:cs="Verdana"/>
          <w:color w:val="000000"/>
          <w:sz w:val="20"/>
          <w:szCs w:val="20"/>
          <w:lang w:val="en-US" w:eastAsia="en-US"/>
        </w:rPr>
        <w:t xml:space="preserve"> </w:t>
      </w:r>
      <w:r w:rsidR="00855CAC" w:rsidRPr="00CF6765">
        <w:rPr>
          <w:rFonts w:eastAsiaTheme="minorHAnsi" w:cs="Verdana"/>
          <w:color w:val="000000"/>
          <w:sz w:val="20"/>
          <w:szCs w:val="20"/>
          <w:lang w:val="en-US" w:eastAsia="en-US"/>
        </w:rPr>
        <w:t>establishes general obligations of respect and guarantee for the States.</w:t>
      </w:r>
      <w:r w:rsidR="002570D1" w:rsidRPr="00CF6765">
        <w:rPr>
          <w:rFonts w:eastAsia="Calibri"/>
          <w:bCs/>
          <w:sz w:val="20"/>
          <w:szCs w:val="20"/>
          <w:vertAlign w:val="superscript"/>
          <w:lang w:val="en-US" w:eastAsia="en-US"/>
        </w:rPr>
        <w:footnoteReference w:id="128"/>
      </w:r>
      <w:r w:rsidR="002570D1" w:rsidRPr="00CF6765">
        <w:rPr>
          <w:rFonts w:eastAsia="Calibri" w:cs="Verdana"/>
          <w:sz w:val="20"/>
          <w:szCs w:val="20"/>
          <w:lang w:val="en-US" w:eastAsia="en-US"/>
        </w:rPr>
        <w:t xml:space="preserve"> </w:t>
      </w:r>
      <w:r w:rsidR="00C847D6" w:rsidRPr="00CF6765">
        <w:rPr>
          <w:rFonts w:eastAsia="Calibri" w:cs="Verdana"/>
          <w:sz w:val="20"/>
          <w:szCs w:val="20"/>
          <w:lang w:val="en-US" w:eastAsia="en-US"/>
        </w:rPr>
        <w:t xml:space="preserve">The </w:t>
      </w:r>
      <w:r w:rsidR="00C847D6" w:rsidRPr="00CF6765">
        <w:rPr>
          <w:rFonts w:eastAsia="Calibri" w:cs="Verdana"/>
          <w:sz w:val="20"/>
          <w:szCs w:val="20"/>
          <w:lang w:val="en-US" w:eastAsia="en-US"/>
        </w:rPr>
        <w:lastRenderedPageBreak/>
        <w:t xml:space="preserve">Court also reiterated the interdependence of civil and political rights and economic, social, cultural and environmental rights, because they should be understood integrally </w:t>
      </w:r>
      <w:r w:rsidR="00EC50FC" w:rsidRPr="00CF6765">
        <w:rPr>
          <w:rFonts w:eastAsia="Calibri"/>
          <w:sz w:val="20"/>
          <w:szCs w:val="20"/>
          <w:lang w:val="en-US" w:eastAsia="en-US"/>
        </w:rPr>
        <w:t xml:space="preserve">and </w:t>
      </w:r>
      <w:r w:rsidR="00C847D6" w:rsidRPr="00CF6765">
        <w:rPr>
          <w:rFonts w:eastAsia="Calibri"/>
          <w:sz w:val="20"/>
          <w:szCs w:val="20"/>
          <w:lang w:val="en-US" w:eastAsia="en-US"/>
        </w:rPr>
        <w:t xml:space="preserve">as a whole as human rights, </w:t>
      </w:r>
      <w:r w:rsidR="00C847D6" w:rsidRPr="00CF6765">
        <w:rPr>
          <w:sz w:val="20"/>
          <w:szCs w:val="20"/>
          <w:lang w:val="en-US"/>
        </w:rPr>
        <w:t>without any specific hierarchy, and be enforceable in all cases before the competent authorities</w:t>
      </w:r>
      <w:r w:rsidR="00C847D6" w:rsidRPr="00CF6765">
        <w:rPr>
          <w:rFonts w:eastAsia="Calibri"/>
          <w:sz w:val="20"/>
          <w:szCs w:val="20"/>
          <w:lang w:val="en-US" w:eastAsia="en-US"/>
        </w:rPr>
        <w:t>.</w:t>
      </w:r>
      <w:r w:rsidR="0071485A" w:rsidRPr="00CF6765">
        <w:rPr>
          <w:rFonts w:eastAsia="Calibri"/>
          <w:sz w:val="20"/>
          <w:szCs w:val="20"/>
          <w:vertAlign w:val="superscript"/>
          <w:lang w:val="en-US" w:eastAsia="en-US"/>
        </w:rPr>
        <w:footnoteReference w:id="129"/>
      </w:r>
    </w:p>
    <w:p w14:paraId="74304FF9" w14:textId="77777777" w:rsidR="00D96547" w:rsidRPr="00CF6765" w:rsidRDefault="00D96547" w:rsidP="005430FF">
      <w:pPr>
        <w:tabs>
          <w:tab w:val="left" w:pos="567"/>
        </w:tabs>
        <w:rPr>
          <w:rFonts w:eastAsia="Calibri"/>
          <w:sz w:val="20"/>
          <w:szCs w:val="20"/>
          <w:lang w:val="en-US" w:eastAsia="en-US"/>
        </w:rPr>
      </w:pPr>
    </w:p>
    <w:p w14:paraId="7C78FC76" w14:textId="1F24962C" w:rsidR="00517B6B" w:rsidRPr="00CF6765" w:rsidRDefault="00C847D6" w:rsidP="006B458C">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Also, in the case of</w:t>
      </w:r>
      <w:r w:rsidR="00517B6B" w:rsidRPr="00CF6765">
        <w:rPr>
          <w:rFonts w:eastAsia="Calibri"/>
          <w:sz w:val="20"/>
          <w:szCs w:val="20"/>
          <w:lang w:val="en-US" w:eastAsia="en-US"/>
        </w:rPr>
        <w:t xml:space="preserve"> </w:t>
      </w:r>
      <w:r w:rsidR="00517B6B" w:rsidRPr="00CF6765">
        <w:rPr>
          <w:rFonts w:eastAsia="Calibri"/>
          <w:i/>
          <w:sz w:val="20"/>
          <w:szCs w:val="20"/>
          <w:lang w:val="en-US" w:eastAsia="en-US"/>
        </w:rPr>
        <w:t xml:space="preserve">Acevedo </w:t>
      </w:r>
      <w:proofErr w:type="spellStart"/>
      <w:r w:rsidR="00517B6B" w:rsidRPr="00CF6765">
        <w:rPr>
          <w:rFonts w:eastAsia="Calibri"/>
          <w:i/>
          <w:sz w:val="20"/>
          <w:szCs w:val="20"/>
          <w:lang w:val="en-US" w:eastAsia="en-US"/>
        </w:rPr>
        <w:t>Buendía</w:t>
      </w:r>
      <w:proofErr w:type="spellEnd"/>
      <w:r w:rsidR="00517B6B" w:rsidRPr="00CF6765">
        <w:rPr>
          <w:rFonts w:eastAsia="Calibri"/>
          <w:i/>
          <w:sz w:val="20"/>
          <w:szCs w:val="20"/>
          <w:lang w:val="en-US" w:eastAsia="en-US"/>
        </w:rPr>
        <w:t xml:space="preserve"> </w:t>
      </w:r>
      <w:r w:rsidR="00EC50FC" w:rsidRPr="00CF6765">
        <w:rPr>
          <w:rFonts w:eastAsia="Calibri"/>
          <w:i/>
          <w:sz w:val="20"/>
          <w:szCs w:val="20"/>
          <w:lang w:val="en-US" w:eastAsia="en-US"/>
        </w:rPr>
        <w:t>v.</w:t>
      </w:r>
      <w:r w:rsidR="00517B6B" w:rsidRPr="00CF6765">
        <w:rPr>
          <w:rFonts w:eastAsia="Calibri"/>
          <w:i/>
          <w:sz w:val="20"/>
          <w:szCs w:val="20"/>
          <w:lang w:val="en-US" w:eastAsia="en-US"/>
        </w:rPr>
        <w:t xml:space="preserve"> </w:t>
      </w:r>
      <w:r w:rsidR="00930431" w:rsidRPr="00CF6765">
        <w:rPr>
          <w:rFonts w:eastAsia="Calibri"/>
          <w:i/>
          <w:sz w:val="20"/>
          <w:szCs w:val="20"/>
          <w:lang w:val="en-US" w:eastAsia="en-US"/>
        </w:rPr>
        <w:t>Peru</w:t>
      </w:r>
      <w:r w:rsidR="00517B6B" w:rsidRPr="00CF6765">
        <w:rPr>
          <w:rFonts w:eastAsia="Calibri"/>
          <w:sz w:val="20"/>
          <w:szCs w:val="20"/>
          <w:lang w:val="en-US" w:eastAsia="en-US"/>
        </w:rPr>
        <w:t>,</w:t>
      </w:r>
      <w:r w:rsidR="00517B6B" w:rsidRPr="00CF6765">
        <w:rPr>
          <w:rFonts w:eastAsia="Calibri"/>
          <w:i/>
          <w:sz w:val="20"/>
          <w:szCs w:val="20"/>
          <w:lang w:val="en-US" w:eastAsia="en-US"/>
        </w:rPr>
        <w:t xml:space="preserve"> </w:t>
      </w:r>
      <w:r w:rsidR="005C731C" w:rsidRPr="00CF6765">
        <w:rPr>
          <w:rFonts w:eastAsia="Calibri"/>
          <w:sz w:val="20"/>
          <w:szCs w:val="20"/>
          <w:lang w:val="en-US" w:eastAsia="en-US"/>
        </w:rPr>
        <w:t>the Court</w:t>
      </w:r>
      <w:r w:rsidR="00517B6B" w:rsidRPr="00CF6765">
        <w:rPr>
          <w:rFonts w:eastAsia="Calibri"/>
          <w:sz w:val="20"/>
          <w:szCs w:val="20"/>
          <w:lang w:val="en-US" w:eastAsia="en-US"/>
        </w:rPr>
        <w:t xml:space="preserve"> </w:t>
      </w:r>
      <w:r w:rsidRPr="00CF6765">
        <w:rPr>
          <w:rFonts w:eastAsia="Calibri"/>
          <w:sz w:val="20"/>
          <w:szCs w:val="20"/>
          <w:lang w:val="en-US" w:eastAsia="en-US"/>
        </w:rPr>
        <w:t>ruled on the</w:t>
      </w:r>
      <w:r w:rsidR="00F167FA" w:rsidRPr="00CF6765">
        <w:rPr>
          <w:rFonts w:eastAsia="Calibri"/>
          <w:sz w:val="20"/>
          <w:szCs w:val="20"/>
          <w:lang w:val="en-US" w:eastAsia="en-US"/>
        </w:rPr>
        <w:t xml:space="preserve"> preparatory work of </w:t>
      </w:r>
      <w:r w:rsidR="005C731C" w:rsidRPr="00CF6765">
        <w:rPr>
          <w:rFonts w:eastAsia="Calibri"/>
          <w:sz w:val="20"/>
          <w:szCs w:val="20"/>
          <w:lang w:val="en-US" w:eastAsia="en-US"/>
        </w:rPr>
        <w:t>the Convention</w:t>
      </w:r>
      <w:r w:rsidR="00517B6B" w:rsidRPr="00CF6765">
        <w:rPr>
          <w:rFonts w:eastAsia="Calibri"/>
          <w:sz w:val="20"/>
          <w:szCs w:val="20"/>
          <w:lang w:val="en-US" w:eastAsia="en-US"/>
        </w:rPr>
        <w:t xml:space="preserve"> </w:t>
      </w:r>
      <w:r w:rsidRPr="00CF6765">
        <w:rPr>
          <w:rFonts w:eastAsia="Calibri"/>
          <w:sz w:val="20"/>
          <w:szCs w:val="20"/>
          <w:lang w:val="en-US" w:eastAsia="en-US"/>
        </w:rPr>
        <w:t>with regard to</w:t>
      </w:r>
      <w:r w:rsidR="00517B6B"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517B6B" w:rsidRPr="00CF6765">
        <w:rPr>
          <w:rFonts w:eastAsia="Calibri"/>
          <w:sz w:val="20"/>
          <w:szCs w:val="20"/>
          <w:lang w:val="en-US" w:eastAsia="en-US"/>
        </w:rPr>
        <w:t xml:space="preserve"> 26, </w:t>
      </w:r>
      <w:r w:rsidRPr="00CF6765">
        <w:rPr>
          <w:rFonts w:eastAsia="Calibri"/>
          <w:sz w:val="20"/>
          <w:szCs w:val="20"/>
          <w:lang w:val="en-US" w:eastAsia="en-US"/>
        </w:rPr>
        <w:t xml:space="preserve">even </w:t>
      </w:r>
      <w:r w:rsidR="00F167FA" w:rsidRPr="00CF6765">
        <w:rPr>
          <w:rFonts w:eastAsia="Calibri"/>
          <w:sz w:val="20"/>
          <w:szCs w:val="20"/>
          <w:lang w:val="en-US" w:eastAsia="en-US"/>
        </w:rPr>
        <w:t>underlining</w:t>
      </w:r>
      <w:r w:rsidRPr="00CF6765">
        <w:rPr>
          <w:rFonts w:eastAsia="Calibri"/>
          <w:sz w:val="20"/>
          <w:szCs w:val="20"/>
          <w:lang w:val="en-US" w:eastAsia="en-US"/>
        </w:rPr>
        <w:t xml:space="preserve"> the </w:t>
      </w:r>
      <w:r w:rsidR="00671A8C" w:rsidRPr="00CF6765">
        <w:rPr>
          <w:rFonts w:eastAsia="Calibri"/>
          <w:sz w:val="20"/>
          <w:szCs w:val="20"/>
          <w:lang w:val="en-US" w:eastAsia="en-US"/>
        </w:rPr>
        <w:t>Chilean State</w:t>
      </w:r>
      <w:r w:rsidR="00F167FA" w:rsidRPr="00CF6765">
        <w:rPr>
          <w:rFonts w:eastAsia="Calibri"/>
          <w:sz w:val="20"/>
          <w:szCs w:val="20"/>
          <w:lang w:val="en-US" w:eastAsia="en-US"/>
        </w:rPr>
        <w:t>’s intervention</w:t>
      </w:r>
      <w:r w:rsidR="00517B6B" w:rsidRPr="00CF6765">
        <w:rPr>
          <w:rFonts w:eastAsia="Calibri"/>
          <w:sz w:val="20"/>
          <w:szCs w:val="20"/>
          <w:lang w:val="en-US" w:eastAsia="en-US"/>
        </w:rPr>
        <w:t xml:space="preserve"> </w:t>
      </w:r>
      <w:r w:rsidRPr="00CF6765">
        <w:rPr>
          <w:rFonts w:eastAsia="Calibri"/>
          <w:sz w:val="20"/>
          <w:szCs w:val="20"/>
          <w:lang w:val="en-US" w:eastAsia="en-US"/>
        </w:rPr>
        <w:t>on that occasion</w:t>
      </w:r>
      <w:r w:rsidR="00F167FA" w:rsidRPr="00CF6765">
        <w:rPr>
          <w:rFonts w:eastAsia="Calibri"/>
          <w:sz w:val="20"/>
          <w:szCs w:val="20"/>
          <w:lang w:val="en-US" w:eastAsia="en-US"/>
        </w:rPr>
        <w:t xml:space="preserve"> with</w:t>
      </w:r>
      <w:r w:rsidRPr="00CF6765">
        <w:rPr>
          <w:rFonts w:eastAsia="Calibri"/>
          <w:sz w:val="20"/>
          <w:szCs w:val="20"/>
          <w:lang w:val="en-US" w:eastAsia="en-US"/>
        </w:rPr>
        <w:t xml:space="preserve"> </w:t>
      </w:r>
      <w:r w:rsidR="00F167FA" w:rsidRPr="00CF6765">
        <w:rPr>
          <w:rFonts w:eastAsia="Calibri"/>
          <w:sz w:val="20"/>
          <w:szCs w:val="20"/>
          <w:lang w:val="en-US" w:eastAsia="en-US"/>
        </w:rPr>
        <w:t>regard to</w:t>
      </w:r>
      <w:r w:rsidRPr="00CF6765">
        <w:rPr>
          <w:rFonts w:eastAsia="Calibri"/>
          <w:sz w:val="20"/>
          <w:szCs w:val="20"/>
          <w:lang w:val="en-US" w:eastAsia="en-US"/>
        </w:rPr>
        <w:t xml:space="preserve"> the </w:t>
      </w:r>
      <w:r w:rsidR="00F167FA" w:rsidRPr="00CF6765">
        <w:rPr>
          <w:rFonts w:eastAsia="Calibri"/>
          <w:sz w:val="20"/>
          <w:szCs w:val="20"/>
          <w:lang w:val="en-US" w:eastAsia="en-US"/>
        </w:rPr>
        <w:t>safeguard</w:t>
      </w:r>
      <w:r w:rsidRPr="00CF6765">
        <w:rPr>
          <w:rFonts w:eastAsia="Calibri"/>
          <w:sz w:val="20"/>
          <w:szCs w:val="20"/>
          <w:lang w:val="en-US" w:eastAsia="en-US"/>
        </w:rPr>
        <w:t xml:space="preserve"> of the rights protected by that article</w:t>
      </w:r>
      <w:r w:rsidR="00472103" w:rsidRPr="00CF6765">
        <w:rPr>
          <w:rFonts w:eastAsia="Calibri"/>
          <w:sz w:val="18"/>
          <w:szCs w:val="20"/>
          <w:lang w:val="en-US" w:eastAsia="en-US"/>
        </w:rPr>
        <w:t>.</w:t>
      </w:r>
      <w:r w:rsidR="00517B6B" w:rsidRPr="00CF6765">
        <w:rPr>
          <w:rFonts w:eastAsia="Calibri"/>
          <w:sz w:val="20"/>
          <w:szCs w:val="20"/>
          <w:vertAlign w:val="superscript"/>
          <w:lang w:val="en-US" w:eastAsia="en-US"/>
        </w:rPr>
        <w:footnoteReference w:id="130"/>
      </w:r>
    </w:p>
    <w:p w14:paraId="487A488E" w14:textId="77777777" w:rsidR="002570D1" w:rsidRPr="00CF6765" w:rsidRDefault="002570D1" w:rsidP="0059117C">
      <w:pPr>
        <w:contextualSpacing/>
        <w:rPr>
          <w:rFonts w:eastAsia="Calibri"/>
          <w:sz w:val="20"/>
          <w:szCs w:val="20"/>
          <w:lang w:val="en-US" w:eastAsia="en-US"/>
        </w:rPr>
      </w:pPr>
    </w:p>
    <w:p w14:paraId="163E5C03" w14:textId="5547BBE6" w:rsidR="002570D1" w:rsidRPr="00CF6765" w:rsidRDefault="00335CEB" w:rsidP="0034044A">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In this regard</w:t>
      </w:r>
      <w:r w:rsidR="002570D1"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34044A" w:rsidRPr="00CF6765">
        <w:rPr>
          <w:rFonts w:eastAsia="Calibri"/>
          <w:sz w:val="20"/>
          <w:szCs w:val="20"/>
          <w:lang w:val="en-US" w:eastAsia="en-US"/>
        </w:rPr>
        <w:t xml:space="preserve"> </w:t>
      </w:r>
      <w:r w:rsidRPr="00CF6765">
        <w:rPr>
          <w:rFonts w:eastAsia="Calibri"/>
          <w:sz w:val="20"/>
          <w:szCs w:val="20"/>
          <w:lang w:val="en-US" w:eastAsia="en-US"/>
        </w:rPr>
        <w:t xml:space="preserve">underlines the Preamble to </w:t>
      </w:r>
      <w:r w:rsidR="005C731C" w:rsidRPr="00CF6765">
        <w:rPr>
          <w:rFonts w:eastAsia="Calibri"/>
          <w:sz w:val="20"/>
          <w:szCs w:val="20"/>
          <w:lang w:val="en-US" w:eastAsia="en-US"/>
        </w:rPr>
        <w:t>the American Convention</w:t>
      </w:r>
      <w:r w:rsidR="0034044A" w:rsidRPr="00CF6765">
        <w:rPr>
          <w:rFonts w:eastAsia="Calibri"/>
          <w:sz w:val="20"/>
          <w:szCs w:val="20"/>
          <w:lang w:val="en-US" w:eastAsia="en-US"/>
        </w:rPr>
        <w:t>,</w:t>
      </w:r>
      <w:r w:rsidRPr="00CF6765">
        <w:rPr>
          <w:rFonts w:eastAsia="Calibri"/>
          <w:sz w:val="20"/>
          <w:szCs w:val="20"/>
          <w:lang w:val="en-US" w:eastAsia="en-US"/>
        </w:rPr>
        <w:t xml:space="preserve"> which clearly establishes the interdependence and the protection of the economic and social rights in </w:t>
      </w:r>
      <w:r w:rsidR="005C731C" w:rsidRPr="00CF6765">
        <w:rPr>
          <w:rFonts w:eastAsia="Calibri"/>
          <w:sz w:val="20"/>
          <w:szCs w:val="20"/>
          <w:lang w:val="en-US" w:eastAsia="en-US"/>
        </w:rPr>
        <w:t>the American Convention</w:t>
      </w:r>
      <w:r w:rsidR="002570D1" w:rsidRPr="00CF6765">
        <w:rPr>
          <w:rFonts w:eastAsia="Calibri"/>
          <w:sz w:val="20"/>
          <w:szCs w:val="20"/>
          <w:lang w:val="en-US" w:eastAsia="en-US"/>
        </w:rPr>
        <w:t xml:space="preserve">, </w:t>
      </w:r>
      <w:r w:rsidRPr="00CF6765">
        <w:rPr>
          <w:rFonts w:eastAsia="Calibri"/>
          <w:sz w:val="20"/>
          <w:szCs w:val="20"/>
          <w:lang w:val="en-US" w:eastAsia="en-US"/>
        </w:rPr>
        <w:t>by establishing that</w:t>
      </w:r>
      <w:r w:rsidR="002570D1" w:rsidRPr="00CF6765">
        <w:rPr>
          <w:rFonts w:eastAsia="Calibri"/>
          <w:sz w:val="20"/>
          <w:szCs w:val="20"/>
          <w:lang w:val="en-US" w:eastAsia="en-US"/>
        </w:rPr>
        <w:t>:</w:t>
      </w:r>
    </w:p>
    <w:p w14:paraId="715C8C32" w14:textId="77777777" w:rsidR="002570D1" w:rsidRPr="00CF6765" w:rsidRDefault="002570D1" w:rsidP="002570D1">
      <w:pPr>
        <w:ind w:left="-90" w:right="-360"/>
        <w:contextualSpacing/>
        <w:rPr>
          <w:rFonts w:eastAsia="Calibri" w:cs="Verdana"/>
          <w:sz w:val="20"/>
          <w:szCs w:val="20"/>
          <w:lang w:val="en-US" w:eastAsia="en-US"/>
        </w:rPr>
      </w:pPr>
    </w:p>
    <w:p w14:paraId="067B4158" w14:textId="77777777" w:rsidR="002570D1" w:rsidRPr="00CF6765" w:rsidRDefault="002570D1" w:rsidP="002570D1">
      <w:pPr>
        <w:ind w:left="567" w:right="335"/>
        <w:rPr>
          <w:rFonts w:eastAsia="Calibri"/>
          <w:sz w:val="16"/>
          <w:szCs w:val="16"/>
          <w:lang w:val="en-US" w:eastAsia="en-US"/>
        </w:rPr>
      </w:pPr>
      <w:r w:rsidRPr="00CF6765">
        <w:rPr>
          <w:rFonts w:eastAsia="Calibri"/>
          <w:sz w:val="20"/>
          <w:szCs w:val="20"/>
          <w:lang w:val="en-US" w:eastAsia="en-US"/>
        </w:rPr>
        <w:t xml:space="preserve">[…] </w:t>
      </w:r>
    </w:p>
    <w:p w14:paraId="41868517" w14:textId="542FD58C" w:rsidR="002570D1" w:rsidRPr="00CF6765" w:rsidRDefault="006B7390" w:rsidP="006B7390">
      <w:pPr>
        <w:ind w:left="567" w:right="335"/>
        <w:rPr>
          <w:rFonts w:eastAsia="Calibri"/>
          <w:sz w:val="18"/>
          <w:szCs w:val="18"/>
          <w:lang w:val="en-US" w:eastAsia="en-US"/>
        </w:rPr>
      </w:pPr>
      <w:r w:rsidRPr="00CF6765">
        <w:rPr>
          <w:spacing w:val="-3"/>
          <w:sz w:val="18"/>
          <w:szCs w:val="18"/>
          <w:lang w:val="en-US"/>
        </w:rPr>
        <w:t>The American states signatory to the present Convention,</w:t>
      </w:r>
    </w:p>
    <w:p w14:paraId="175FBFB9" w14:textId="77777777" w:rsidR="000470EB" w:rsidRPr="00CF6765" w:rsidRDefault="000470EB" w:rsidP="006B7390">
      <w:pPr>
        <w:ind w:left="567" w:right="335"/>
        <w:rPr>
          <w:rFonts w:eastAsia="Calibri"/>
          <w:sz w:val="16"/>
          <w:szCs w:val="16"/>
          <w:lang w:val="en-US" w:eastAsia="en-US"/>
        </w:rPr>
      </w:pPr>
    </w:p>
    <w:p w14:paraId="0F3D5025" w14:textId="27165392" w:rsidR="006B7390" w:rsidRPr="00CF6765" w:rsidRDefault="000470EB" w:rsidP="006B7390">
      <w:pPr>
        <w:tabs>
          <w:tab w:val="left" w:pos="-1440"/>
          <w:tab w:val="left" w:pos="-720"/>
          <w:tab w:val="left" w:pos="0"/>
          <w:tab w:val="left" w:pos="720"/>
          <w:tab w:val="left" w:pos="1296"/>
          <w:tab w:val="left" w:pos="2160"/>
        </w:tabs>
        <w:suppressAutoHyphens/>
        <w:ind w:left="567" w:right="335"/>
        <w:rPr>
          <w:spacing w:val="-3"/>
          <w:sz w:val="18"/>
          <w:szCs w:val="18"/>
          <w:lang w:val="en-US"/>
        </w:rPr>
      </w:pPr>
      <w:r w:rsidRPr="00CF6765">
        <w:rPr>
          <w:rFonts w:eastAsia="Calibri"/>
          <w:sz w:val="18"/>
          <w:szCs w:val="18"/>
          <w:lang w:val="en-US" w:eastAsia="en-US"/>
        </w:rPr>
        <w:t xml:space="preserve">[…] </w:t>
      </w:r>
      <w:bookmarkStart w:id="73" w:name="_Hlk28427246"/>
      <w:r w:rsidR="006B7390" w:rsidRPr="00CF6765">
        <w:rPr>
          <w:spacing w:val="-3"/>
          <w:sz w:val="18"/>
          <w:szCs w:val="18"/>
          <w:lang w:val="en-US"/>
        </w:rPr>
        <w:t xml:space="preserve">Reiterating that, in accordance with the Universal Declaration of Human Rights, the ideal of free men enjoying freedom from fear and want can be achieved only if conditions are created whereby </w:t>
      </w:r>
      <w:r w:rsidR="006B7390" w:rsidRPr="00CF6765">
        <w:rPr>
          <w:spacing w:val="-3"/>
          <w:sz w:val="18"/>
          <w:szCs w:val="18"/>
          <w:u w:val="single"/>
          <w:lang w:val="en-US"/>
        </w:rPr>
        <w:t>everyone may enjoy his economic, social, and cultural rights, as well as his civil and political rights;</w:t>
      </w:r>
      <w:r w:rsidR="006B7390" w:rsidRPr="00CF6765">
        <w:rPr>
          <w:spacing w:val="-3"/>
          <w:sz w:val="18"/>
          <w:szCs w:val="18"/>
          <w:lang w:val="en-US"/>
        </w:rPr>
        <w:t xml:space="preserve"> </w:t>
      </w:r>
      <w:bookmarkEnd w:id="73"/>
      <w:r w:rsidR="006B7390" w:rsidRPr="00CF6765">
        <w:rPr>
          <w:spacing w:val="-3"/>
          <w:sz w:val="18"/>
          <w:szCs w:val="18"/>
          <w:lang w:val="en-US"/>
        </w:rPr>
        <w:t>and</w:t>
      </w:r>
    </w:p>
    <w:p w14:paraId="3E3850A4" w14:textId="77777777" w:rsidR="006B7390" w:rsidRPr="00CF6765" w:rsidRDefault="006B7390" w:rsidP="006B7390">
      <w:pPr>
        <w:tabs>
          <w:tab w:val="left" w:pos="-1440"/>
          <w:tab w:val="left" w:pos="-720"/>
          <w:tab w:val="left" w:pos="0"/>
          <w:tab w:val="left" w:pos="720"/>
          <w:tab w:val="left" w:pos="1296"/>
          <w:tab w:val="left" w:pos="2160"/>
        </w:tabs>
        <w:suppressAutoHyphens/>
        <w:ind w:left="567" w:right="335"/>
        <w:rPr>
          <w:spacing w:val="-3"/>
          <w:sz w:val="18"/>
          <w:szCs w:val="18"/>
          <w:lang w:val="en-US"/>
        </w:rPr>
      </w:pPr>
    </w:p>
    <w:p w14:paraId="117A7C12" w14:textId="1E90C45C" w:rsidR="006B7390" w:rsidRPr="00CF6765" w:rsidRDefault="006B7390" w:rsidP="006B7390">
      <w:pPr>
        <w:tabs>
          <w:tab w:val="left" w:pos="-1440"/>
          <w:tab w:val="left" w:pos="-720"/>
          <w:tab w:val="left" w:pos="0"/>
          <w:tab w:val="left" w:pos="720"/>
          <w:tab w:val="left" w:pos="1296"/>
          <w:tab w:val="left" w:pos="2160"/>
        </w:tabs>
        <w:suppressAutoHyphens/>
        <w:ind w:left="567" w:right="335"/>
        <w:rPr>
          <w:spacing w:val="-3"/>
          <w:sz w:val="18"/>
          <w:szCs w:val="18"/>
          <w:lang w:val="en-US"/>
        </w:rPr>
      </w:pPr>
      <w:r w:rsidRPr="00CF6765">
        <w:rPr>
          <w:spacing w:val="-3"/>
          <w:sz w:val="18"/>
          <w:szCs w:val="18"/>
          <w:lang w:val="en-US"/>
        </w:rPr>
        <w:lastRenderedPageBreak/>
        <w:t>Considering that the Third Special Inter</w:t>
      </w:r>
      <w:r w:rsidRPr="00CF6765">
        <w:rPr>
          <w:spacing w:val="-3"/>
          <w:sz w:val="18"/>
          <w:szCs w:val="18"/>
          <w:lang w:val="en-US"/>
        </w:rPr>
        <w:noBreakHyphen/>
        <w:t xml:space="preserve">American Conference (Buenos Aires, 1967) </w:t>
      </w:r>
      <w:r w:rsidRPr="00CF6765">
        <w:rPr>
          <w:spacing w:val="-3"/>
          <w:sz w:val="18"/>
          <w:szCs w:val="18"/>
          <w:u w:val="single"/>
          <w:lang w:val="en-US"/>
        </w:rPr>
        <w:t>approved the incorporation into the Charter of the Organization itself of broader standards with respect to economic, social, and educational rights and resolved that an inter</w:t>
      </w:r>
      <w:r w:rsidRPr="00CF6765">
        <w:rPr>
          <w:spacing w:val="-3"/>
          <w:sz w:val="18"/>
          <w:szCs w:val="18"/>
          <w:u w:val="single"/>
          <w:lang w:val="en-US"/>
        </w:rPr>
        <w:noBreakHyphen/>
        <w:t>American convention on human rights should determine the structure, competence, and procedure of the organs responsible for these matters</w:t>
      </w:r>
      <w:r w:rsidRPr="00CF6765">
        <w:rPr>
          <w:spacing w:val="-3"/>
          <w:sz w:val="18"/>
          <w:szCs w:val="18"/>
          <w:lang w:val="en-US"/>
        </w:rPr>
        <w:t>,</w:t>
      </w:r>
    </w:p>
    <w:p w14:paraId="15518E8B" w14:textId="77777777" w:rsidR="000470EB" w:rsidRPr="00CF6765" w:rsidRDefault="000470EB" w:rsidP="00211D81">
      <w:pPr>
        <w:ind w:right="335"/>
        <w:rPr>
          <w:rFonts w:eastAsia="Calibri"/>
          <w:sz w:val="18"/>
          <w:szCs w:val="20"/>
          <w:lang w:val="en-US" w:eastAsia="en-US"/>
        </w:rPr>
      </w:pPr>
    </w:p>
    <w:p w14:paraId="4F0532A5" w14:textId="7037AA23" w:rsidR="002570D1" w:rsidRPr="00CF6765" w:rsidRDefault="000470EB" w:rsidP="00765E3D">
      <w:pPr>
        <w:ind w:left="567" w:right="335"/>
        <w:rPr>
          <w:rFonts w:eastAsia="Calibri"/>
          <w:sz w:val="18"/>
          <w:szCs w:val="20"/>
          <w:lang w:val="en-US" w:eastAsia="en-US"/>
        </w:rPr>
      </w:pPr>
      <w:r w:rsidRPr="00CF6765">
        <w:rPr>
          <w:rFonts w:eastAsia="Calibri"/>
          <w:sz w:val="18"/>
          <w:szCs w:val="20"/>
          <w:lang w:val="en-US" w:eastAsia="en-US"/>
        </w:rPr>
        <w:t>H</w:t>
      </w:r>
      <w:r w:rsidR="00211D81" w:rsidRPr="00CF6765">
        <w:rPr>
          <w:rFonts w:eastAsia="Calibri"/>
          <w:sz w:val="18"/>
          <w:szCs w:val="20"/>
          <w:lang w:val="en-US" w:eastAsia="en-US"/>
        </w:rPr>
        <w:t>ave agreed upon the following</w:t>
      </w:r>
      <w:r w:rsidRPr="00CF6765">
        <w:rPr>
          <w:rFonts w:eastAsia="Calibri"/>
          <w:sz w:val="18"/>
          <w:szCs w:val="20"/>
          <w:lang w:val="en-US" w:eastAsia="en-US"/>
        </w:rPr>
        <w:t>: […]</w:t>
      </w:r>
      <w:r w:rsidR="00211D81" w:rsidRPr="00CF6765">
        <w:rPr>
          <w:rFonts w:eastAsia="Calibri"/>
          <w:sz w:val="18"/>
          <w:szCs w:val="20"/>
          <w:lang w:val="en-US" w:eastAsia="en-US"/>
        </w:rPr>
        <w:t>.</w:t>
      </w:r>
      <w:r w:rsidR="002A5452" w:rsidRPr="00CF6765">
        <w:rPr>
          <w:rStyle w:val="Refdenotaalpie"/>
          <w:rFonts w:eastAsia="Calibri"/>
          <w:sz w:val="18"/>
          <w:szCs w:val="20"/>
          <w:lang w:val="en-US" w:eastAsia="en-US"/>
        </w:rPr>
        <w:footnoteReference w:id="131"/>
      </w:r>
    </w:p>
    <w:p w14:paraId="1574CABF" w14:textId="77777777" w:rsidR="002570D1" w:rsidRPr="00CF6765" w:rsidRDefault="002570D1" w:rsidP="002570D1">
      <w:pPr>
        <w:rPr>
          <w:rFonts w:eastAsia="Calibri"/>
          <w:b/>
          <w:sz w:val="20"/>
          <w:szCs w:val="20"/>
          <w:lang w:val="en-US" w:eastAsia="en-US"/>
        </w:rPr>
      </w:pPr>
    </w:p>
    <w:p w14:paraId="3C92BCF5" w14:textId="43B182F1" w:rsidR="002570D1" w:rsidRPr="00CF6765" w:rsidRDefault="007A3516"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Thus, it can clearly be interpreted that </w:t>
      </w:r>
      <w:r w:rsidR="005C731C" w:rsidRPr="00CF6765">
        <w:rPr>
          <w:rFonts w:eastAsia="Calibri"/>
          <w:sz w:val="20"/>
          <w:szCs w:val="20"/>
          <w:lang w:val="en-US" w:eastAsia="en-US"/>
        </w:rPr>
        <w:t>the American Convention</w:t>
      </w:r>
      <w:r w:rsidR="002570D1" w:rsidRPr="00CF6765">
        <w:rPr>
          <w:rFonts w:eastAsia="Calibri"/>
          <w:sz w:val="20"/>
          <w:szCs w:val="20"/>
          <w:lang w:val="en-US" w:eastAsia="en-US"/>
        </w:rPr>
        <w:t xml:space="preserve"> incorpor</w:t>
      </w:r>
      <w:r w:rsidRPr="00CF6765">
        <w:rPr>
          <w:rFonts w:eastAsia="Calibri"/>
          <w:sz w:val="20"/>
          <w:szCs w:val="20"/>
          <w:lang w:val="en-US" w:eastAsia="en-US"/>
        </w:rPr>
        <w:t xml:space="preserve">ated into its list of protected rights the so-called </w:t>
      </w:r>
      <w:r w:rsidR="00211D81" w:rsidRPr="00CF6765">
        <w:rPr>
          <w:rFonts w:eastAsia="Calibri"/>
          <w:sz w:val="20"/>
          <w:szCs w:val="20"/>
          <w:lang w:val="en-US" w:eastAsia="en-US"/>
        </w:rPr>
        <w:t>economic, social, cultural and environmental rights</w:t>
      </w:r>
      <w:r w:rsidR="002570D1" w:rsidRPr="00CF6765">
        <w:rPr>
          <w:rFonts w:eastAsia="Calibri"/>
          <w:sz w:val="20"/>
          <w:szCs w:val="20"/>
          <w:lang w:val="en-US" w:eastAsia="en-US"/>
        </w:rPr>
        <w:t xml:space="preserve"> (</w:t>
      </w:r>
      <w:r w:rsidR="00930431" w:rsidRPr="00CF6765">
        <w:rPr>
          <w:rFonts w:eastAsia="Calibri"/>
          <w:sz w:val="20"/>
          <w:szCs w:val="20"/>
          <w:lang w:val="en-US" w:eastAsia="en-US"/>
        </w:rPr>
        <w:t>ESCER</w:t>
      </w:r>
      <w:r w:rsidR="002570D1" w:rsidRPr="00CF6765">
        <w:rPr>
          <w:rFonts w:eastAsia="Calibri"/>
          <w:sz w:val="20"/>
          <w:szCs w:val="20"/>
          <w:lang w:val="en-US" w:eastAsia="en-US"/>
        </w:rPr>
        <w:t>)</w:t>
      </w:r>
      <w:r w:rsidRPr="00CF6765">
        <w:rPr>
          <w:rFonts w:eastAsia="Calibri"/>
          <w:sz w:val="20"/>
          <w:szCs w:val="20"/>
          <w:lang w:val="en-US" w:eastAsia="en-US"/>
        </w:rPr>
        <w:t>,</w:t>
      </w:r>
      <w:r w:rsidR="002570D1" w:rsidRPr="00CF6765">
        <w:rPr>
          <w:rFonts w:eastAsia="Calibri"/>
          <w:sz w:val="20"/>
          <w:szCs w:val="20"/>
          <w:vertAlign w:val="superscript"/>
          <w:lang w:val="en-US" w:eastAsia="en-US"/>
        </w:rPr>
        <w:footnoteReference w:id="132"/>
      </w:r>
      <w:r w:rsidRPr="00CF6765">
        <w:rPr>
          <w:rFonts w:eastAsia="Calibri"/>
          <w:sz w:val="20"/>
          <w:szCs w:val="20"/>
          <w:lang w:val="en-US" w:eastAsia="en-US"/>
        </w:rPr>
        <w:t xml:space="preserve"> by derivation from the norms recognized in the Charter of the Organization of American States</w:t>
      </w:r>
      <w:r w:rsidR="00AC0B60" w:rsidRPr="00CF6765">
        <w:rPr>
          <w:rFonts w:eastAsia="Calibri"/>
          <w:sz w:val="20"/>
          <w:szCs w:val="20"/>
          <w:lang w:val="en-US" w:eastAsia="en-US"/>
        </w:rPr>
        <w:t xml:space="preserve"> (</w:t>
      </w:r>
      <w:r w:rsidRPr="00CF6765">
        <w:rPr>
          <w:rFonts w:eastAsia="Calibri"/>
          <w:sz w:val="20"/>
          <w:szCs w:val="20"/>
          <w:lang w:val="en-US" w:eastAsia="en-US"/>
        </w:rPr>
        <w:t>OAS</w:t>
      </w:r>
      <w:r w:rsidR="00AC0B60" w:rsidRPr="00CF6765">
        <w:rPr>
          <w:rFonts w:eastAsia="Calibri"/>
          <w:sz w:val="20"/>
          <w:szCs w:val="20"/>
          <w:lang w:val="en-US" w:eastAsia="en-US"/>
        </w:rPr>
        <w:t>)</w:t>
      </w:r>
      <w:r w:rsidR="008B0574" w:rsidRPr="00CF6765">
        <w:rPr>
          <w:rFonts w:eastAsia="Calibri"/>
          <w:sz w:val="20"/>
          <w:szCs w:val="20"/>
          <w:lang w:val="en-US" w:eastAsia="en-US"/>
        </w:rPr>
        <w:t xml:space="preserve">, </w:t>
      </w:r>
      <w:r w:rsidR="004E6AF1" w:rsidRPr="00CF6765">
        <w:rPr>
          <w:rFonts w:eastAsia="Calibri"/>
          <w:sz w:val="20"/>
          <w:szCs w:val="20"/>
          <w:lang w:val="en-US" w:eastAsia="en-US"/>
        </w:rPr>
        <w:t>and also</w:t>
      </w:r>
      <w:r w:rsidRPr="00CF6765">
        <w:rPr>
          <w:rFonts w:eastAsia="Calibri"/>
          <w:sz w:val="20"/>
          <w:szCs w:val="20"/>
          <w:lang w:val="en-US" w:eastAsia="en-US"/>
        </w:rPr>
        <w:t xml:space="preserve"> the rules of interpretation established in </w:t>
      </w:r>
      <w:r w:rsidR="005C731C" w:rsidRPr="00CF6765">
        <w:rPr>
          <w:rFonts w:eastAsia="Calibri"/>
          <w:sz w:val="20"/>
          <w:szCs w:val="20"/>
          <w:lang w:val="en-US" w:eastAsia="en-US"/>
        </w:rPr>
        <w:t>Article</w:t>
      </w:r>
      <w:r w:rsidR="002570D1" w:rsidRPr="00CF6765">
        <w:rPr>
          <w:rFonts w:eastAsia="Calibri"/>
          <w:sz w:val="20"/>
          <w:szCs w:val="20"/>
          <w:lang w:val="en-US" w:eastAsia="en-US"/>
        </w:rPr>
        <w:t xml:space="preserve"> 29</w:t>
      </w:r>
      <w:r w:rsidR="005C731C" w:rsidRPr="00CF6765">
        <w:rPr>
          <w:rFonts w:eastAsia="Calibri"/>
          <w:sz w:val="20"/>
          <w:szCs w:val="20"/>
          <w:lang w:val="en-US" w:eastAsia="en-US"/>
        </w:rPr>
        <w:t xml:space="preserve"> of the Convention</w:t>
      </w:r>
      <w:r w:rsidRPr="00CF6765">
        <w:rPr>
          <w:rFonts w:eastAsia="Calibri"/>
          <w:sz w:val="20"/>
          <w:szCs w:val="20"/>
          <w:lang w:val="en-US" w:eastAsia="en-US"/>
        </w:rPr>
        <w:t xml:space="preserve"> itself;</w:t>
      </w:r>
      <w:r w:rsidR="002570D1" w:rsidRPr="00CF6765">
        <w:rPr>
          <w:rFonts w:eastAsia="Calibri"/>
          <w:sz w:val="20"/>
          <w:szCs w:val="20"/>
          <w:vertAlign w:val="superscript"/>
          <w:lang w:val="en-US" w:eastAsia="en-US"/>
        </w:rPr>
        <w:footnoteReference w:id="133"/>
      </w:r>
      <w:r w:rsidR="002570D1" w:rsidRPr="00CF6765">
        <w:rPr>
          <w:rFonts w:eastAsia="Calibri"/>
          <w:sz w:val="20"/>
          <w:szCs w:val="20"/>
          <w:lang w:val="en-US" w:eastAsia="en-US"/>
        </w:rPr>
        <w:t xml:space="preserve"> particular</w:t>
      </w:r>
      <w:r w:rsidRPr="00CF6765">
        <w:rPr>
          <w:rFonts w:eastAsia="Calibri"/>
          <w:sz w:val="20"/>
          <w:szCs w:val="20"/>
          <w:lang w:val="en-US" w:eastAsia="en-US"/>
        </w:rPr>
        <w:t>ly</w:t>
      </w:r>
      <w:r w:rsidR="002570D1" w:rsidRPr="00CF6765">
        <w:rPr>
          <w:rFonts w:eastAsia="Calibri"/>
          <w:sz w:val="20"/>
          <w:szCs w:val="20"/>
          <w:lang w:val="en-US" w:eastAsia="en-US"/>
        </w:rPr>
        <w:t xml:space="preserve">, </w:t>
      </w:r>
      <w:r w:rsidRPr="00CF6765">
        <w:rPr>
          <w:rFonts w:eastAsia="Calibri"/>
          <w:sz w:val="20"/>
          <w:szCs w:val="20"/>
          <w:lang w:val="en-US" w:eastAsia="en-US"/>
        </w:rPr>
        <w:t>insofar as they prevent excluding or limiting the enjoyment of the rights established in</w:t>
      </w:r>
      <w:r w:rsidR="008B0574" w:rsidRPr="00CF6765">
        <w:rPr>
          <w:rFonts w:eastAsia="Calibri"/>
          <w:sz w:val="20"/>
          <w:szCs w:val="20"/>
          <w:lang w:val="en-US" w:eastAsia="en-US"/>
        </w:rPr>
        <w:t xml:space="preserve"> </w:t>
      </w:r>
      <w:r w:rsidRPr="00CF6765">
        <w:rPr>
          <w:rFonts w:eastAsia="Calibri"/>
          <w:sz w:val="20"/>
          <w:szCs w:val="20"/>
          <w:lang w:val="en-US" w:eastAsia="en-US"/>
        </w:rPr>
        <w:t>the American Declaration</w:t>
      </w:r>
      <w:r w:rsidR="002570D1" w:rsidRPr="00CF6765">
        <w:rPr>
          <w:rFonts w:eastAsia="Calibri"/>
          <w:sz w:val="20"/>
          <w:szCs w:val="20"/>
          <w:lang w:val="en-US" w:eastAsia="en-US"/>
        </w:rPr>
        <w:t xml:space="preserve"> </w:t>
      </w:r>
      <w:r w:rsidRPr="00CF6765">
        <w:rPr>
          <w:rFonts w:eastAsia="Calibri"/>
          <w:sz w:val="20"/>
          <w:szCs w:val="20"/>
          <w:lang w:val="en-US" w:eastAsia="en-US"/>
        </w:rPr>
        <w:t xml:space="preserve">and even those recognized by domestic law </w:t>
      </w:r>
      <w:r w:rsidR="00BF56F2" w:rsidRPr="00CF6765">
        <w:rPr>
          <w:rFonts w:eastAsia="Calibri"/>
          <w:sz w:val="20"/>
          <w:szCs w:val="20"/>
          <w:lang w:val="en-US" w:eastAsia="en-US"/>
        </w:rPr>
        <w:t>(</w:t>
      </w:r>
      <w:r w:rsidR="00BF56F2" w:rsidRPr="00CF6765">
        <w:rPr>
          <w:rFonts w:eastAsia="Calibri"/>
          <w:i/>
          <w:sz w:val="20"/>
          <w:szCs w:val="20"/>
          <w:lang w:val="en-US" w:eastAsia="en-US"/>
        </w:rPr>
        <w:t>infra</w:t>
      </w:r>
      <w:r w:rsidR="00BF56F2" w:rsidRPr="00CF6765">
        <w:rPr>
          <w:rFonts w:eastAsia="Calibri"/>
          <w:sz w:val="20"/>
          <w:szCs w:val="20"/>
          <w:lang w:val="en-US" w:eastAsia="en-US"/>
        </w:rPr>
        <w:t xml:space="preserve"> </w:t>
      </w:r>
      <w:r w:rsidR="00EC50FC" w:rsidRPr="00CF6765">
        <w:rPr>
          <w:rFonts w:eastAsia="Calibri"/>
          <w:sz w:val="20"/>
          <w:szCs w:val="20"/>
          <w:lang w:val="en-US" w:eastAsia="en-US"/>
        </w:rPr>
        <w:t>para.</w:t>
      </w:r>
      <w:r w:rsidR="00BF56F2" w:rsidRPr="00CF6765">
        <w:rPr>
          <w:rFonts w:eastAsia="Calibri"/>
          <w:sz w:val="20"/>
          <w:szCs w:val="20"/>
          <w:lang w:val="en-US" w:eastAsia="en-US"/>
        </w:rPr>
        <w:t xml:space="preserve"> </w:t>
      </w:r>
      <w:r w:rsidR="00263E42" w:rsidRPr="00CF6765">
        <w:rPr>
          <w:rFonts w:eastAsia="Calibri"/>
          <w:sz w:val="20"/>
          <w:szCs w:val="20"/>
          <w:lang w:val="en-US" w:eastAsia="en-US"/>
        </w:rPr>
        <w:t xml:space="preserve">108). </w:t>
      </w:r>
      <w:r w:rsidRPr="00CF6765">
        <w:rPr>
          <w:rFonts w:eastAsia="Calibri"/>
          <w:sz w:val="20"/>
          <w:szCs w:val="20"/>
          <w:lang w:val="en-US" w:eastAsia="en-US"/>
        </w:rPr>
        <w:t>Furthermore, based on a systematic, teleological and evolutive interpretation,</w:t>
      </w:r>
      <w:r w:rsidR="002570D1" w:rsidRPr="00CF6765">
        <w:rPr>
          <w:rFonts w:eastAsia="Calibri"/>
          <w:sz w:val="20"/>
          <w:szCs w:val="20"/>
          <w:vertAlign w:val="superscript"/>
          <w:lang w:val="en-US" w:eastAsia="en-US"/>
        </w:rPr>
        <w:footnoteReference w:id="134"/>
      </w:r>
      <w:r w:rsidRPr="00CF6765">
        <w:rPr>
          <w:rFonts w:eastAsia="Calibri"/>
          <w:sz w:val="20"/>
          <w:szCs w:val="20"/>
          <w:lang w:val="en-US" w:eastAsia="en-US"/>
        </w:rPr>
        <w:t xml:space="preserve"> the Court has resorted to the national and international </w:t>
      </w:r>
      <w:r w:rsidR="002570D1" w:rsidRPr="00CF6765">
        <w:rPr>
          <w:rFonts w:eastAsia="Calibri"/>
          <w:i/>
          <w:sz w:val="20"/>
          <w:szCs w:val="20"/>
          <w:lang w:val="en-US" w:eastAsia="en-US"/>
        </w:rPr>
        <w:t xml:space="preserve">corpus </w:t>
      </w:r>
      <w:proofErr w:type="spellStart"/>
      <w:r w:rsidR="002570D1" w:rsidRPr="00CF6765">
        <w:rPr>
          <w:rFonts w:eastAsia="Calibri"/>
          <w:i/>
          <w:sz w:val="20"/>
          <w:szCs w:val="20"/>
          <w:lang w:val="en-US" w:eastAsia="en-US"/>
        </w:rPr>
        <w:t>iuris</w:t>
      </w:r>
      <w:proofErr w:type="spellEnd"/>
      <w:r w:rsidR="002570D1" w:rsidRPr="00CF6765">
        <w:rPr>
          <w:rFonts w:eastAsia="Calibri"/>
          <w:i/>
          <w:sz w:val="20"/>
          <w:szCs w:val="20"/>
          <w:lang w:val="en-US" w:eastAsia="en-US"/>
        </w:rPr>
        <w:t xml:space="preserve"> </w:t>
      </w:r>
      <w:r w:rsidRPr="00CF6765">
        <w:rPr>
          <w:rFonts w:eastAsia="Calibri"/>
          <w:sz w:val="20"/>
          <w:szCs w:val="20"/>
          <w:lang w:val="en-US" w:eastAsia="en-US"/>
        </w:rPr>
        <w:t xml:space="preserve">on the matter to give specific content to the scope of the rights protected by </w:t>
      </w:r>
      <w:r w:rsidR="005C731C" w:rsidRPr="00CF6765">
        <w:rPr>
          <w:rFonts w:eastAsia="Calibri"/>
          <w:sz w:val="20"/>
          <w:szCs w:val="20"/>
          <w:lang w:val="en-US" w:eastAsia="en-US"/>
        </w:rPr>
        <w:t>the Convention</w:t>
      </w:r>
      <w:r w:rsidR="002570D1" w:rsidRPr="00CF6765">
        <w:rPr>
          <w:rFonts w:eastAsia="Calibri"/>
          <w:sz w:val="20"/>
          <w:szCs w:val="20"/>
          <w:vertAlign w:val="superscript"/>
          <w:lang w:val="en-US" w:eastAsia="en-US"/>
        </w:rPr>
        <w:footnoteReference w:id="135"/>
      </w:r>
      <w:r w:rsidR="00FE58B5" w:rsidRPr="00CF6765">
        <w:rPr>
          <w:rFonts w:eastAsia="Calibri"/>
          <w:sz w:val="20"/>
          <w:szCs w:val="20"/>
          <w:lang w:val="en-US" w:eastAsia="en-US"/>
        </w:rPr>
        <w:t xml:space="preserve"> (</w:t>
      </w:r>
      <w:r w:rsidR="00FE58B5" w:rsidRPr="00CF6765">
        <w:rPr>
          <w:rFonts w:eastAsia="Calibri"/>
          <w:i/>
          <w:sz w:val="20"/>
          <w:szCs w:val="20"/>
          <w:lang w:val="en-US" w:eastAsia="en-US"/>
        </w:rPr>
        <w:t>infra</w:t>
      </w:r>
      <w:r w:rsidR="00FE58B5" w:rsidRPr="00CF6765">
        <w:rPr>
          <w:rFonts w:eastAsia="Calibri"/>
          <w:sz w:val="20"/>
          <w:szCs w:val="20"/>
          <w:lang w:val="en-US" w:eastAsia="en-US"/>
        </w:rPr>
        <w:t xml:space="preserve"> </w:t>
      </w:r>
      <w:r w:rsidR="00EC50FC" w:rsidRPr="00CF6765">
        <w:rPr>
          <w:rFonts w:eastAsia="Calibri"/>
          <w:sz w:val="20"/>
          <w:szCs w:val="20"/>
          <w:lang w:val="en-US" w:eastAsia="en-US"/>
        </w:rPr>
        <w:t>para.</w:t>
      </w:r>
      <w:r w:rsidR="00FE58B5" w:rsidRPr="00CF6765">
        <w:rPr>
          <w:rFonts w:eastAsia="Calibri"/>
          <w:sz w:val="20"/>
          <w:szCs w:val="20"/>
          <w:lang w:val="en-US" w:eastAsia="en-US"/>
        </w:rPr>
        <w:t xml:space="preserve"> </w:t>
      </w:r>
      <w:r w:rsidR="000D7067" w:rsidRPr="00CF6765">
        <w:rPr>
          <w:rFonts w:eastAsia="Calibri"/>
          <w:sz w:val="20"/>
          <w:szCs w:val="20"/>
          <w:lang w:val="en-US" w:eastAsia="en-US"/>
        </w:rPr>
        <w:t>11</w:t>
      </w:r>
      <w:r w:rsidR="00765E3D" w:rsidRPr="00CF6765">
        <w:rPr>
          <w:rFonts w:eastAsia="Calibri"/>
          <w:sz w:val="20"/>
          <w:szCs w:val="20"/>
          <w:lang w:val="en-US" w:eastAsia="en-US"/>
        </w:rPr>
        <w:t>4</w:t>
      </w:r>
      <w:r w:rsidR="00FE58B5" w:rsidRPr="00CF6765">
        <w:rPr>
          <w:rFonts w:eastAsia="Calibri"/>
          <w:sz w:val="20"/>
          <w:szCs w:val="20"/>
          <w:lang w:val="en-US" w:eastAsia="en-US"/>
        </w:rPr>
        <w:t>)</w:t>
      </w:r>
      <w:r w:rsidR="00D315EA" w:rsidRPr="00CF6765">
        <w:rPr>
          <w:rFonts w:eastAsia="Calibri"/>
          <w:sz w:val="20"/>
          <w:szCs w:val="20"/>
          <w:lang w:val="en-US" w:eastAsia="en-US"/>
        </w:rPr>
        <w:t xml:space="preserve">, </w:t>
      </w:r>
      <w:r w:rsidRPr="00CF6765">
        <w:rPr>
          <w:rFonts w:eastAsia="Calibri"/>
          <w:sz w:val="20"/>
          <w:szCs w:val="20"/>
          <w:lang w:val="en-US" w:eastAsia="en-US"/>
        </w:rPr>
        <w:t xml:space="preserve">in order to derive the scope of the specific obligations </w:t>
      </w:r>
      <w:r w:rsidR="004E6AF1" w:rsidRPr="00CF6765">
        <w:rPr>
          <w:rFonts w:eastAsia="Calibri"/>
          <w:sz w:val="20"/>
          <w:szCs w:val="20"/>
          <w:lang w:val="en-US" w:eastAsia="en-US"/>
        </w:rPr>
        <w:t>relating</w:t>
      </w:r>
      <w:r w:rsidRPr="00CF6765">
        <w:rPr>
          <w:rFonts w:eastAsia="Calibri"/>
          <w:sz w:val="20"/>
          <w:szCs w:val="20"/>
          <w:lang w:val="en-US" w:eastAsia="en-US"/>
        </w:rPr>
        <w:t xml:space="preserve"> to each right.</w:t>
      </w:r>
    </w:p>
    <w:p w14:paraId="6467C5FD" w14:textId="77777777" w:rsidR="002570D1" w:rsidRPr="00CF6765" w:rsidRDefault="002570D1" w:rsidP="002570D1">
      <w:pPr>
        <w:ind w:right="-360"/>
        <w:contextualSpacing/>
        <w:rPr>
          <w:rFonts w:eastAsia="Calibri"/>
          <w:sz w:val="20"/>
          <w:szCs w:val="20"/>
          <w:lang w:val="en-US" w:eastAsia="en-US"/>
        </w:rPr>
      </w:pPr>
    </w:p>
    <w:p w14:paraId="7C236395" w14:textId="7AA9FCD5" w:rsidR="00A23D78" w:rsidRPr="00CF6765" w:rsidRDefault="007A3516" w:rsidP="007A3516">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The Court also emphasizes that two types of obligations can be inferred from the content of Article 26. On the one hand, the </w:t>
      </w:r>
      <w:r w:rsidRPr="00CF6765">
        <w:rPr>
          <w:rFonts w:eastAsia="Calibri"/>
          <w:i/>
          <w:iCs/>
          <w:sz w:val="20"/>
          <w:szCs w:val="20"/>
          <w:lang w:val="en-US" w:eastAsia="en-US"/>
        </w:rPr>
        <w:t xml:space="preserve">progressive </w:t>
      </w:r>
      <w:r w:rsidRPr="00CF6765">
        <w:rPr>
          <w:rFonts w:eastAsia="Calibri"/>
          <w:sz w:val="20"/>
          <w:szCs w:val="20"/>
          <w:lang w:val="en-US" w:eastAsia="en-US"/>
        </w:rPr>
        <w:t xml:space="preserve">adoption of general measures and, on the other, the adoption of </w:t>
      </w:r>
      <w:r w:rsidRPr="00CF6765">
        <w:rPr>
          <w:rFonts w:eastAsia="Calibri"/>
          <w:i/>
          <w:iCs/>
          <w:sz w:val="20"/>
          <w:szCs w:val="20"/>
          <w:lang w:val="en-US" w:eastAsia="en-US"/>
        </w:rPr>
        <w:t>immediate</w:t>
      </w:r>
      <w:r w:rsidRPr="00CF6765">
        <w:rPr>
          <w:rFonts w:eastAsia="Calibri"/>
          <w:sz w:val="20"/>
          <w:szCs w:val="20"/>
          <w:lang w:val="en-US" w:eastAsia="en-US"/>
        </w:rPr>
        <w:t xml:space="preserve"> measures. Regarding the former, to which the State referred in this case, the progressive realization means that the States Parties </w:t>
      </w:r>
      <w:r w:rsidR="0090740B" w:rsidRPr="00CF6765">
        <w:rPr>
          <w:rFonts w:eastAsia="Calibri"/>
          <w:sz w:val="20"/>
          <w:szCs w:val="20"/>
          <w:lang w:val="en-US" w:eastAsia="en-US"/>
        </w:rPr>
        <w:t>have</w:t>
      </w:r>
      <w:r w:rsidRPr="00CF6765">
        <w:rPr>
          <w:rFonts w:eastAsia="Calibri"/>
          <w:sz w:val="20"/>
          <w:szCs w:val="20"/>
          <w:lang w:val="en-US" w:eastAsia="en-US"/>
        </w:rPr>
        <w:t xml:space="preserve"> the specific and constant obligation to make the most expeditious and effective progress possible towards the full effectiveness of the </w:t>
      </w:r>
      <w:r w:rsidR="00930431" w:rsidRPr="00CF6765">
        <w:rPr>
          <w:rFonts w:eastAsia="Calibri"/>
          <w:sz w:val="20"/>
          <w:szCs w:val="20"/>
          <w:lang w:val="en-US" w:eastAsia="en-US"/>
        </w:rPr>
        <w:lastRenderedPageBreak/>
        <w:t>ESCER</w:t>
      </w:r>
      <w:r w:rsidRPr="00CF6765">
        <w:rPr>
          <w:rFonts w:eastAsia="Calibri"/>
          <w:sz w:val="20"/>
          <w:szCs w:val="20"/>
          <w:lang w:val="en-US" w:eastAsia="en-US"/>
        </w:rPr>
        <w:t>;</w:t>
      </w:r>
      <w:r w:rsidR="002570D1" w:rsidRPr="00CF6765">
        <w:rPr>
          <w:rFonts w:eastAsia="Calibri"/>
          <w:sz w:val="20"/>
          <w:szCs w:val="20"/>
          <w:vertAlign w:val="superscript"/>
          <w:lang w:val="en-US" w:eastAsia="en-US"/>
        </w:rPr>
        <w:footnoteReference w:id="136"/>
      </w:r>
      <w:r w:rsidRPr="00CF6765">
        <w:rPr>
          <w:rFonts w:eastAsia="Calibri"/>
          <w:sz w:val="20"/>
          <w:szCs w:val="20"/>
          <w:lang w:val="en-US" w:eastAsia="en-US"/>
        </w:rPr>
        <w:t xml:space="preserve"> and this should not be interpreted in the sense that, while implementation is underway, these obligations are deprived of specific content</w:t>
      </w:r>
      <w:r w:rsidR="004E6AF1" w:rsidRPr="00CF6765">
        <w:rPr>
          <w:rFonts w:eastAsia="Calibri"/>
          <w:sz w:val="20"/>
          <w:szCs w:val="20"/>
          <w:lang w:val="en-US" w:eastAsia="en-US"/>
        </w:rPr>
        <w:t xml:space="preserve">; moreover, </w:t>
      </w:r>
      <w:r w:rsidRPr="00CF6765">
        <w:rPr>
          <w:rFonts w:eastAsia="Calibri"/>
          <w:sz w:val="20"/>
          <w:szCs w:val="20"/>
          <w:lang w:val="en-US" w:eastAsia="en-US"/>
        </w:rPr>
        <w:t>this does not mean that the States may postpone indefinitely the adoption of measures to give effect to the rights in question, especially nearly forty years after the entry into force of the inter-American treaty. Therefore, there is also an obligation of non-</w:t>
      </w:r>
      <w:proofErr w:type="spellStart"/>
      <w:r w:rsidRPr="00CF6765">
        <w:rPr>
          <w:rFonts w:eastAsia="Calibri"/>
          <w:sz w:val="20"/>
          <w:szCs w:val="20"/>
          <w:lang w:val="en-US" w:eastAsia="en-US"/>
        </w:rPr>
        <w:t>retrogressivity</w:t>
      </w:r>
      <w:proofErr w:type="spellEnd"/>
      <w:r w:rsidRPr="00CF6765">
        <w:rPr>
          <w:rFonts w:eastAsia="Calibri"/>
          <w:sz w:val="20"/>
          <w:szCs w:val="20"/>
          <w:lang w:val="en-US" w:eastAsia="en-US"/>
        </w:rPr>
        <w:t xml:space="preserve"> in relation to rights that have been realized.</w:t>
      </w:r>
      <w:r w:rsidR="002570D1" w:rsidRPr="00CF6765">
        <w:rPr>
          <w:rFonts w:eastAsia="Calibri"/>
          <w:sz w:val="20"/>
          <w:szCs w:val="20"/>
          <w:vertAlign w:val="superscript"/>
          <w:lang w:val="en-US" w:eastAsia="en-US"/>
        </w:rPr>
        <w:footnoteReference w:id="137"/>
      </w:r>
      <w:r w:rsidRPr="00CF6765">
        <w:rPr>
          <w:rFonts w:eastAsia="Calibri"/>
          <w:sz w:val="20"/>
          <w:szCs w:val="20"/>
          <w:lang w:val="en-US" w:eastAsia="en-US"/>
        </w:rPr>
        <w:t xml:space="preserve"> Regarding the obligations of an </w:t>
      </w:r>
      <w:r w:rsidRPr="00CF6765">
        <w:rPr>
          <w:rFonts w:eastAsia="Calibri"/>
          <w:i/>
          <w:iCs/>
          <w:sz w:val="20"/>
          <w:szCs w:val="20"/>
          <w:lang w:val="en-US" w:eastAsia="en-US"/>
        </w:rPr>
        <w:t>immediate</w:t>
      </w:r>
      <w:r w:rsidRPr="00CF6765">
        <w:rPr>
          <w:rFonts w:eastAsia="Calibri"/>
          <w:sz w:val="20"/>
          <w:szCs w:val="20"/>
          <w:lang w:val="en-US" w:eastAsia="en-US"/>
        </w:rPr>
        <w:t xml:space="preserve"> nature, these consist in adopting effective measures in order to guarantee access, without discrimination, to the benefits recognized for each right. Such measures must be adequate, deliberate and specific in order to achieve the full realization of such rights.</w:t>
      </w:r>
      <w:r w:rsidR="00E85806" w:rsidRPr="00CF6765">
        <w:rPr>
          <w:rFonts w:eastAsia="Calibri"/>
          <w:sz w:val="20"/>
          <w:szCs w:val="20"/>
          <w:vertAlign w:val="superscript"/>
          <w:lang w:val="en-US"/>
        </w:rPr>
        <w:footnoteReference w:id="138"/>
      </w:r>
      <w:r w:rsidRPr="00CF6765">
        <w:rPr>
          <w:rFonts w:eastAsia="Calibri"/>
          <w:sz w:val="20"/>
          <w:szCs w:val="20"/>
          <w:lang w:val="en-US"/>
        </w:rPr>
        <w:t xml:space="preserve"> Consequently, the Convention</w:t>
      </w:r>
      <w:r w:rsidR="004E6AF1" w:rsidRPr="00CF6765">
        <w:rPr>
          <w:rFonts w:eastAsia="Calibri"/>
          <w:sz w:val="20"/>
          <w:szCs w:val="20"/>
          <w:lang w:val="en-US"/>
        </w:rPr>
        <w:t>-based</w:t>
      </w:r>
      <w:r w:rsidRPr="00CF6765">
        <w:rPr>
          <w:rFonts w:eastAsia="Calibri"/>
          <w:sz w:val="20"/>
          <w:szCs w:val="20"/>
          <w:lang w:val="en-US"/>
        </w:rPr>
        <w:t xml:space="preserve"> obligations of respect and guarantee, as well as the adoption of domestic legal provisions</w:t>
      </w:r>
      <w:r w:rsidR="00D96547" w:rsidRPr="00CF6765">
        <w:rPr>
          <w:rFonts w:eastAsia="Calibri"/>
          <w:sz w:val="20"/>
          <w:szCs w:val="20"/>
          <w:lang w:val="en-US" w:eastAsia="en-US"/>
        </w:rPr>
        <w:t xml:space="preserve"> </w:t>
      </w:r>
      <w:r w:rsidR="00E22B60" w:rsidRPr="00CF6765">
        <w:rPr>
          <w:rFonts w:eastAsia="Calibri"/>
          <w:sz w:val="20"/>
          <w:szCs w:val="20"/>
          <w:lang w:val="en-US" w:eastAsia="en-US"/>
        </w:rPr>
        <w:t>(</w:t>
      </w:r>
      <w:r w:rsidR="00EC50FC" w:rsidRPr="00CF6765">
        <w:rPr>
          <w:rFonts w:eastAsia="Calibri"/>
          <w:sz w:val="20"/>
          <w:szCs w:val="20"/>
          <w:lang w:val="en-US" w:eastAsia="en-US"/>
        </w:rPr>
        <w:t xml:space="preserve">Articles 1(1) and </w:t>
      </w:r>
      <w:r w:rsidR="00D96547" w:rsidRPr="00CF6765">
        <w:rPr>
          <w:rFonts w:eastAsia="Calibri"/>
          <w:sz w:val="20"/>
          <w:szCs w:val="20"/>
          <w:lang w:val="en-US" w:eastAsia="en-US"/>
        </w:rPr>
        <w:t xml:space="preserve">2), </w:t>
      </w:r>
      <w:r w:rsidRPr="00CF6765">
        <w:rPr>
          <w:rFonts w:eastAsia="Calibri"/>
          <w:sz w:val="20"/>
          <w:szCs w:val="20"/>
          <w:lang w:val="en-US" w:eastAsia="en-US"/>
        </w:rPr>
        <w:t>are fundamental to achieve their effectiveness.</w:t>
      </w:r>
    </w:p>
    <w:p w14:paraId="74B041D0" w14:textId="77777777" w:rsidR="002570D1" w:rsidRPr="00CF6765" w:rsidRDefault="002570D1" w:rsidP="002570D1">
      <w:pPr>
        <w:ind w:left="-90" w:right="-360"/>
        <w:contextualSpacing/>
        <w:rPr>
          <w:rFonts w:eastAsia="Calibri"/>
          <w:sz w:val="20"/>
          <w:szCs w:val="20"/>
          <w:lang w:val="en-US" w:eastAsia="en-US"/>
        </w:rPr>
      </w:pPr>
    </w:p>
    <w:p w14:paraId="28D9BDFA" w14:textId="02B132FE" w:rsidR="002570D1" w:rsidRPr="00CF6765" w:rsidRDefault="007A3516"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Having established the above, and because this Court will rule for the first time on the right to health autonomously, as an integral part of the </w:t>
      </w:r>
      <w:r w:rsidR="00930431" w:rsidRPr="00CF6765">
        <w:rPr>
          <w:rFonts w:eastAsia="Calibri"/>
          <w:sz w:val="20"/>
          <w:szCs w:val="20"/>
          <w:lang w:val="en-US" w:eastAsia="en-US"/>
        </w:rPr>
        <w:t>ESCER</w:t>
      </w:r>
      <w:r w:rsidR="00454BB3"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E00F6E" w:rsidRPr="00CF6765">
        <w:rPr>
          <w:rFonts w:eastAsia="Calibri"/>
          <w:sz w:val="20"/>
          <w:szCs w:val="20"/>
          <w:lang w:val="en-US" w:eastAsia="en-US"/>
        </w:rPr>
        <w:t xml:space="preserve"> </w:t>
      </w:r>
      <w:r w:rsidRPr="00CF6765">
        <w:rPr>
          <w:rFonts w:eastAsia="Calibri"/>
          <w:sz w:val="20"/>
          <w:szCs w:val="20"/>
          <w:lang w:val="en-US" w:eastAsia="en-US"/>
        </w:rPr>
        <w:t xml:space="preserve">will now proceed to verify its consolidation as a right that is justiciable in light </w:t>
      </w:r>
      <w:r w:rsidR="005C731C" w:rsidRPr="00CF6765">
        <w:rPr>
          <w:rFonts w:eastAsia="Calibri"/>
          <w:sz w:val="20"/>
          <w:szCs w:val="20"/>
          <w:lang w:val="en-US" w:eastAsia="en-US"/>
        </w:rPr>
        <w:t>of the Convention</w:t>
      </w:r>
      <w:r w:rsidR="000D7067" w:rsidRPr="00CF6765">
        <w:rPr>
          <w:rFonts w:eastAsia="Calibri"/>
          <w:sz w:val="20"/>
          <w:szCs w:val="20"/>
          <w:lang w:val="en-US" w:eastAsia="en-US"/>
        </w:rPr>
        <w:t>,</w:t>
      </w:r>
      <w:r w:rsidRPr="00CF6765">
        <w:rPr>
          <w:rFonts w:eastAsia="Calibri"/>
          <w:sz w:val="20"/>
          <w:szCs w:val="20"/>
          <w:lang w:val="en-US" w:eastAsia="en-US"/>
        </w:rPr>
        <w:t xml:space="preserve"> by analyzing the following elements.</w:t>
      </w:r>
      <w:r w:rsidR="000D7067" w:rsidRPr="00CF6765">
        <w:rPr>
          <w:rFonts w:eastAsia="Calibri"/>
          <w:sz w:val="20"/>
          <w:szCs w:val="20"/>
          <w:lang w:val="en-US" w:eastAsia="en-US"/>
        </w:rPr>
        <w:t xml:space="preserve"> </w:t>
      </w:r>
    </w:p>
    <w:p w14:paraId="4459EB93" w14:textId="0F75E02A" w:rsidR="002570D1" w:rsidRPr="00CF6765" w:rsidRDefault="002570D1" w:rsidP="002570D1">
      <w:pPr>
        <w:rPr>
          <w:rFonts w:eastAsia="Calibri"/>
          <w:b/>
          <w:i/>
          <w:sz w:val="20"/>
          <w:szCs w:val="20"/>
          <w:lang w:val="en-US" w:eastAsia="en-US"/>
        </w:rPr>
      </w:pPr>
    </w:p>
    <w:p w14:paraId="48AF3261" w14:textId="532B5542" w:rsidR="002570D1" w:rsidRPr="00CF6765" w:rsidRDefault="002570D1" w:rsidP="00EB31AC">
      <w:pPr>
        <w:numPr>
          <w:ilvl w:val="0"/>
          <w:numId w:val="16"/>
        </w:numPr>
        <w:ind w:right="-360"/>
        <w:contextualSpacing/>
        <w:rPr>
          <w:rFonts w:eastAsia="Calibri"/>
          <w:i/>
          <w:sz w:val="20"/>
          <w:szCs w:val="20"/>
          <w:lang w:val="en-US" w:eastAsia="en-US"/>
        </w:rPr>
      </w:pPr>
      <w:r w:rsidRPr="00CF6765">
        <w:rPr>
          <w:rFonts w:eastAsia="Calibri"/>
          <w:i/>
          <w:sz w:val="20"/>
          <w:szCs w:val="20"/>
          <w:lang w:val="en-US" w:eastAsia="en-US"/>
        </w:rPr>
        <w:t>Deriv</w:t>
      </w:r>
      <w:r w:rsidR="009A6727" w:rsidRPr="00CF6765">
        <w:rPr>
          <w:rFonts w:eastAsia="Calibri"/>
          <w:i/>
          <w:sz w:val="20"/>
          <w:szCs w:val="20"/>
          <w:lang w:val="en-US" w:eastAsia="en-US"/>
        </w:rPr>
        <w:t>ation from</w:t>
      </w:r>
      <w:r w:rsidRPr="00CF6765">
        <w:rPr>
          <w:rFonts w:eastAsia="Calibri"/>
          <w:i/>
          <w:sz w:val="20"/>
          <w:szCs w:val="20"/>
          <w:lang w:val="en-US" w:eastAsia="en-US"/>
        </w:rPr>
        <w:t xml:space="preserve"> </w:t>
      </w:r>
      <w:r w:rsidR="009A6727" w:rsidRPr="00CF6765">
        <w:rPr>
          <w:rFonts w:eastAsia="Calibri"/>
          <w:i/>
          <w:sz w:val="20"/>
          <w:szCs w:val="20"/>
          <w:lang w:val="en-US" w:eastAsia="en-US"/>
        </w:rPr>
        <w:t>the OAS Charter</w:t>
      </w:r>
    </w:p>
    <w:p w14:paraId="042C9420" w14:textId="77777777" w:rsidR="002570D1" w:rsidRPr="00CF6765" w:rsidRDefault="002570D1" w:rsidP="002570D1">
      <w:pPr>
        <w:ind w:left="630" w:right="-360"/>
        <w:contextualSpacing/>
        <w:rPr>
          <w:rFonts w:eastAsia="Calibri"/>
          <w:i/>
          <w:sz w:val="20"/>
          <w:szCs w:val="20"/>
          <w:lang w:val="en-US" w:eastAsia="en-US"/>
        </w:rPr>
      </w:pPr>
    </w:p>
    <w:p w14:paraId="5AA2BE22" w14:textId="739A6E2A" w:rsidR="009A6727" w:rsidRPr="00CF6765" w:rsidRDefault="002570D1" w:rsidP="009A6727">
      <w:pPr>
        <w:numPr>
          <w:ilvl w:val="0"/>
          <w:numId w:val="2"/>
        </w:numPr>
        <w:tabs>
          <w:tab w:val="left" w:pos="567"/>
          <w:tab w:val="num" w:pos="1569"/>
          <w:tab w:val="num" w:pos="12305"/>
        </w:tabs>
        <w:ind w:left="0" w:firstLine="0"/>
        <w:rPr>
          <w:rFonts w:eastAsia="Calibri" w:cs="Arial"/>
          <w:sz w:val="20"/>
          <w:szCs w:val="20"/>
          <w:lang w:val="en-US" w:eastAsia="en-US"/>
        </w:rPr>
      </w:pPr>
      <w:r w:rsidRPr="00CF6765">
        <w:rPr>
          <w:rFonts w:eastAsia="Calibri"/>
          <w:sz w:val="20"/>
          <w:szCs w:val="20"/>
          <w:lang w:val="en-US" w:eastAsia="en-US"/>
        </w:rPr>
        <w:t>Re</w:t>
      </w:r>
      <w:r w:rsidR="007A3516" w:rsidRPr="00CF6765">
        <w:rPr>
          <w:rFonts w:eastAsia="Calibri"/>
          <w:sz w:val="20"/>
          <w:szCs w:val="20"/>
          <w:lang w:val="en-US" w:eastAsia="en-US"/>
        </w:rPr>
        <w:t>garding the right to health</w:t>
      </w:r>
      <w:r w:rsidRPr="00CF6765">
        <w:rPr>
          <w:rFonts w:eastAsia="Calibri"/>
          <w:sz w:val="20"/>
          <w:szCs w:val="20"/>
          <w:lang w:val="en-US" w:eastAsia="en-US"/>
        </w:rPr>
        <w:t xml:space="preserve"> </w:t>
      </w:r>
      <w:r w:rsidR="00DE6950" w:rsidRPr="00CF6765">
        <w:rPr>
          <w:rFonts w:eastAsia="Calibri"/>
          <w:sz w:val="20"/>
          <w:szCs w:val="20"/>
          <w:lang w:val="en-US" w:eastAsia="en-US"/>
        </w:rPr>
        <w:t>protected by</w:t>
      </w:r>
      <w:r w:rsidRPr="00CF6765">
        <w:rPr>
          <w:rFonts w:eastAsia="Calibri"/>
          <w:sz w:val="20"/>
          <w:szCs w:val="20"/>
          <w:lang w:val="en-US" w:eastAsia="en-US"/>
        </w:rPr>
        <w:t xml:space="preserve"> </w:t>
      </w:r>
      <w:r w:rsidR="005C731C" w:rsidRPr="00CF6765">
        <w:rPr>
          <w:rFonts w:eastAsia="Calibri"/>
          <w:sz w:val="20"/>
          <w:szCs w:val="20"/>
          <w:lang w:val="en-US" w:eastAsia="en-US"/>
        </w:rPr>
        <w:t>Article</w:t>
      </w:r>
      <w:r w:rsidRPr="00CF6765">
        <w:rPr>
          <w:rFonts w:eastAsia="Calibri"/>
          <w:sz w:val="20"/>
          <w:szCs w:val="20"/>
          <w:lang w:val="en-US" w:eastAsia="en-US"/>
        </w:rPr>
        <w:t xml:space="preserve"> 26</w:t>
      </w:r>
      <w:r w:rsidR="005C731C" w:rsidRPr="00CF6765">
        <w:rPr>
          <w:rFonts w:eastAsia="Calibri"/>
          <w:sz w:val="20"/>
          <w:szCs w:val="20"/>
          <w:lang w:val="en-US" w:eastAsia="en-US"/>
        </w:rPr>
        <w:t xml:space="preserve"> of the American Convention</w:t>
      </w:r>
      <w:r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Pr="00CF6765">
        <w:rPr>
          <w:rFonts w:eastAsia="Calibri"/>
          <w:sz w:val="20"/>
          <w:szCs w:val="20"/>
          <w:lang w:val="en-US" w:eastAsia="en-US"/>
        </w:rPr>
        <w:t xml:space="preserve"> observ</w:t>
      </w:r>
      <w:r w:rsidR="009A6727" w:rsidRPr="00CF6765">
        <w:rPr>
          <w:rFonts w:eastAsia="Calibri"/>
          <w:sz w:val="20"/>
          <w:szCs w:val="20"/>
          <w:lang w:val="en-US" w:eastAsia="en-US"/>
        </w:rPr>
        <w:t>es that the wording indicates that it is a right derived from the economic, social, educational, scientific and cultural standards contained in the OAS Charter</w:t>
      </w:r>
      <w:r w:rsidRPr="00CF6765">
        <w:rPr>
          <w:rFonts w:eastAsia="Calibri"/>
          <w:sz w:val="20"/>
          <w:szCs w:val="20"/>
          <w:lang w:val="en-US" w:eastAsia="en-US"/>
        </w:rPr>
        <w:t xml:space="preserve">. </w:t>
      </w:r>
      <w:r w:rsidR="009A6727" w:rsidRPr="00CF6765">
        <w:rPr>
          <w:rFonts w:eastAsia="Calibri"/>
          <w:sz w:val="20"/>
          <w:szCs w:val="20"/>
          <w:lang w:val="en-US" w:eastAsia="en-US"/>
        </w:rPr>
        <w:t>That said</w:t>
      </w:r>
      <w:r w:rsidRPr="00CF6765">
        <w:rPr>
          <w:rFonts w:eastAsia="Calibri"/>
          <w:sz w:val="20"/>
          <w:szCs w:val="20"/>
          <w:lang w:val="en-US" w:eastAsia="en-US"/>
        </w:rPr>
        <w:t xml:space="preserve">, </w:t>
      </w:r>
      <w:r w:rsidR="005C731C" w:rsidRPr="00CF6765">
        <w:rPr>
          <w:rFonts w:eastAsia="Calibri"/>
          <w:sz w:val="20"/>
          <w:szCs w:val="20"/>
          <w:lang w:val="en-US" w:eastAsia="en-US"/>
        </w:rPr>
        <w:t>Article</w:t>
      </w:r>
      <w:r w:rsidRPr="00CF6765">
        <w:rPr>
          <w:rFonts w:eastAsia="Calibri"/>
          <w:sz w:val="20"/>
          <w:szCs w:val="20"/>
          <w:lang w:val="en-US" w:eastAsia="en-US"/>
        </w:rPr>
        <w:t xml:space="preserve"> 34</w:t>
      </w:r>
      <w:r w:rsidR="009A6727" w:rsidRPr="00CF6765">
        <w:rPr>
          <w:rFonts w:eastAsia="Calibri"/>
          <w:sz w:val="20"/>
          <w:szCs w:val="20"/>
          <w:lang w:val="en-US" w:eastAsia="en-US"/>
        </w:rPr>
        <w:t>(</w:t>
      </w:r>
      <w:proofErr w:type="spellStart"/>
      <w:r w:rsidRPr="00CF6765">
        <w:rPr>
          <w:rFonts w:eastAsia="Calibri"/>
          <w:sz w:val="20"/>
          <w:szCs w:val="20"/>
          <w:lang w:val="en-US" w:eastAsia="en-US"/>
        </w:rPr>
        <w:t>i</w:t>
      </w:r>
      <w:proofErr w:type="spellEnd"/>
      <w:r w:rsidR="009A6727" w:rsidRPr="00CF6765">
        <w:rPr>
          <w:rFonts w:eastAsia="Calibri"/>
          <w:sz w:val="20"/>
          <w:szCs w:val="20"/>
          <w:lang w:val="en-US" w:eastAsia="en-US"/>
        </w:rPr>
        <w:t>)</w:t>
      </w:r>
      <w:r w:rsidR="00EC50FC" w:rsidRPr="00CF6765">
        <w:rPr>
          <w:rFonts w:eastAsia="Calibri"/>
          <w:sz w:val="20"/>
          <w:szCs w:val="20"/>
          <w:lang w:val="en-US" w:eastAsia="en-US"/>
        </w:rPr>
        <w:t xml:space="preserve"> and </w:t>
      </w:r>
      <w:r w:rsidR="002E6860" w:rsidRPr="00CF6765">
        <w:rPr>
          <w:rFonts w:eastAsia="Calibri"/>
          <w:sz w:val="20"/>
          <w:szCs w:val="20"/>
          <w:lang w:val="en-US" w:eastAsia="en-US"/>
        </w:rPr>
        <w:t>34</w:t>
      </w:r>
      <w:r w:rsidR="009A6727" w:rsidRPr="00CF6765">
        <w:rPr>
          <w:rFonts w:eastAsia="Calibri"/>
          <w:sz w:val="20"/>
          <w:szCs w:val="20"/>
          <w:lang w:val="en-US" w:eastAsia="en-US"/>
        </w:rPr>
        <w:t>(</w:t>
      </w:r>
      <w:r w:rsidR="001D5FD5" w:rsidRPr="00CF6765">
        <w:rPr>
          <w:rFonts w:eastAsia="Calibri"/>
          <w:sz w:val="20"/>
          <w:szCs w:val="20"/>
          <w:lang w:val="en-US" w:eastAsia="en-US"/>
        </w:rPr>
        <w:t>l</w:t>
      </w:r>
      <w:r w:rsidR="009A6727" w:rsidRPr="00CF6765">
        <w:rPr>
          <w:rFonts w:eastAsia="Calibri"/>
          <w:sz w:val="20"/>
          <w:szCs w:val="20"/>
          <w:lang w:val="en-US" w:eastAsia="en-US"/>
        </w:rPr>
        <w:t>)</w:t>
      </w:r>
      <w:r w:rsidRPr="00CF6765">
        <w:rPr>
          <w:rFonts w:eastAsia="Calibri"/>
          <w:sz w:val="20"/>
          <w:szCs w:val="20"/>
          <w:vertAlign w:val="superscript"/>
          <w:lang w:val="en-US" w:eastAsia="en-US"/>
        </w:rPr>
        <w:footnoteReference w:id="139"/>
      </w:r>
      <w:r w:rsidRPr="00CF6765">
        <w:rPr>
          <w:rFonts w:eastAsia="Calibri"/>
          <w:sz w:val="20"/>
          <w:szCs w:val="20"/>
          <w:lang w:val="en-US" w:eastAsia="en-US"/>
        </w:rPr>
        <w:t xml:space="preserve"> </w:t>
      </w:r>
      <w:r w:rsidR="009A6727" w:rsidRPr="00CF6765">
        <w:rPr>
          <w:rFonts w:eastAsia="Calibri"/>
          <w:sz w:val="20"/>
          <w:szCs w:val="20"/>
          <w:lang w:val="en-US" w:eastAsia="en-US"/>
        </w:rPr>
        <w:t>of the Charter establish, among the basic goals of integral development, that of the “[p]</w:t>
      </w:r>
      <w:proofErr w:type="spellStart"/>
      <w:r w:rsidR="009A6727" w:rsidRPr="00CF6765">
        <w:rPr>
          <w:sz w:val="20"/>
          <w:szCs w:val="20"/>
          <w:lang w:val="en-US"/>
        </w:rPr>
        <w:t>rotection</w:t>
      </w:r>
      <w:proofErr w:type="spellEnd"/>
      <w:r w:rsidR="009A6727" w:rsidRPr="00CF6765">
        <w:rPr>
          <w:sz w:val="20"/>
          <w:szCs w:val="20"/>
          <w:lang w:val="en-US"/>
        </w:rPr>
        <w:t xml:space="preserve"> of man's potential through the extension and application of modern medical science,” as well as the “conditions that offer the opportunity for a healthful, productive, and full life.” Meanwhile, </w:t>
      </w:r>
      <w:r w:rsidR="005C731C" w:rsidRPr="00CF6765">
        <w:rPr>
          <w:rFonts w:eastAsia="Calibri" w:cs="Arial"/>
          <w:sz w:val="20"/>
          <w:szCs w:val="20"/>
          <w:lang w:val="en-US" w:eastAsia="en-US"/>
        </w:rPr>
        <w:t>Article</w:t>
      </w:r>
      <w:r w:rsidR="00FE58B5" w:rsidRPr="00CF6765">
        <w:rPr>
          <w:rFonts w:eastAsia="Calibri"/>
          <w:sz w:val="20"/>
          <w:szCs w:val="20"/>
          <w:lang w:val="en-US" w:eastAsia="en-US"/>
        </w:rPr>
        <w:t xml:space="preserve"> 45</w:t>
      </w:r>
      <w:r w:rsidR="009A6727" w:rsidRPr="00CF6765">
        <w:rPr>
          <w:rFonts w:eastAsia="Calibri"/>
          <w:sz w:val="20"/>
          <w:szCs w:val="20"/>
          <w:lang w:val="en-US" w:eastAsia="en-US"/>
        </w:rPr>
        <w:t>(</w:t>
      </w:r>
      <w:r w:rsidR="00FE58B5" w:rsidRPr="00CF6765">
        <w:rPr>
          <w:rFonts w:eastAsia="Calibri"/>
          <w:sz w:val="20"/>
          <w:szCs w:val="20"/>
          <w:lang w:val="en-US" w:eastAsia="en-US"/>
        </w:rPr>
        <w:t>h</w:t>
      </w:r>
      <w:r w:rsidR="009A6727" w:rsidRPr="00CF6765">
        <w:rPr>
          <w:rFonts w:eastAsia="Calibri"/>
          <w:sz w:val="20"/>
          <w:szCs w:val="20"/>
          <w:lang w:val="en-US" w:eastAsia="en-US"/>
        </w:rPr>
        <w:t>)</w:t>
      </w:r>
      <w:r w:rsidR="00FE58B5" w:rsidRPr="00CF6765">
        <w:rPr>
          <w:rFonts w:eastAsia="Calibri"/>
          <w:sz w:val="20"/>
          <w:szCs w:val="20"/>
          <w:vertAlign w:val="superscript"/>
          <w:lang w:val="en-US" w:eastAsia="en-US"/>
        </w:rPr>
        <w:footnoteReference w:id="140"/>
      </w:r>
      <w:r w:rsidR="009A6727" w:rsidRPr="00CF6765">
        <w:rPr>
          <w:rFonts w:eastAsia="Calibri"/>
          <w:sz w:val="20"/>
          <w:szCs w:val="20"/>
          <w:lang w:val="en-US" w:eastAsia="en-US"/>
        </w:rPr>
        <w:t xml:space="preserve"> </w:t>
      </w:r>
      <w:r w:rsidR="00537891" w:rsidRPr="00CF6765">
        <w:rPr>
          <w:rFonts w:eastAsia="Calibri"/>
          <w:sz w:val="20"/>
          <w:szCs w:val="20"/>
          <w:lang w:val="en-US" w:eastAsia="en-US"/>
        </w:rPr>
        <w:t xml:space="preserve">stresses that </w:t>
      </w:r>
      <w:r w:rsidR="009A6727" w:rsidRPr="00CF6765">
        <w:rPr>
          <w:rFonts w:eastAsia="Calibri"/>
          <w:sz w:val="20"/>
          <w:szCs w:val="20"/>
          <w:lang w:val="en-US" w:eastAsia="en-US"/>
        </w:rPr>
        <w:t>“</w:t>
      </w:r>
      <w:r w:rsidR="009A6727" w:rsidRPr="00CF6765">
        <w:rPr>
          <w:sz w:val="20"/>
          <w:szCs w:val="20"/>
          <w:lang w:val="en-US"/>
        </w:rPr>
        <w:t>man can only achieve the full realization of his aspirations within a just social order, [by] the application of the following principles and mechanisms,” including: “(h)</w:t>
      </w:r>
      <w:r w:rsidR="00FE31C0" w:rsidRPr="00CF6765">
        <w:rPr>
          <w:sz w:val="20"/>
          <w:szCs w:val="20"/>
          <w:lang w:val="en-US"/>
        </w:rPr>
        <w:t xml:space="preserve"> </w:t>
      </w:r>
      <w:r w:rsidR="00537891" w:rsidRPr="00CF6765">
        <w:rPr>
          <w:sz w:val="20"/>
          <w:szCs w:val="20"/>
          <w:lang w:val="en-US"/>
        </w:rPr>
        <w:t>[d]</w:t>
      </w:r>
      <w:proofErr w:type="spellStart"/>
      <w:r w:rsidR="00FE31C0" w:rsidRPr="00CF6765">
        <w:rPr>
          <w:sz w:val="20"/>
          <w:szCs w:val="20"/>
          <w:lang w:val="en-US"/>
        </w:rPr>
        <w:t>evelopment</w:t>
      </w:r>
      <w:proofErr w:type="spellEnd"/>
      <w:r w:rsidR="00FE31C0" w:rsidRPr="00CF6765">
        <w:rPr>
          <w:sz w:val="20"/>
          <w:szCs w:val="20"/>
          <w:lang w:val="en-US"/>
        </w:rPr>
        <w:t xml:space="preserve"> of an efficient social security policy.”</w:t>
      </w:r>
    </w:p>
    <w:p w14:paraId="24BDF74D" w14:textId="77777777" w:rsidR="002570D1" w:rsidRPr="00CF6765" w:rsidRDefault="002570D1" w:rsidP="0059117C">
      <w:pPr>
        <w:autoSpaceDE w:val="0"/>
        <w:autoSpaceDN w:val="0"/>
        <w:adjustRightInd w:val="0"/>
        <w:ind w:right="390"/>
        <w:rPr>
          <w:rFonts w:eastAsiaTheme="minorHAnsi" w:cs="Verdana"/>
          <w:sz w:val="18"/>
          <w:szCs w:val="20"/>
          <w:lang w:val="en-US" w:eastAsia="en-US"/>
        </w:rPr>
      </w:pPr>
    </w:p>
    <w:p w14:paraId="26C5100D" w14:textId="0AC643B5" w:rsidR="002570D1" w:rsidRPr="00CF6765" w:rsidRDefault="007A3516" w:rsidP="00EB31AC">
      <w:pPr>
        <w:numPr>
          <w:ilvl w:val="0"/>
          <w:numId w:val="16"/>
        </w:numPr>
        <w:autoSpaceDE w:val="0"/>
        <w:autoSpaceDN w:val="0"/>
        <w:adjustRightInd w:val="0"/>
        <w:ind w:right="390"/>
        <w:contextualSpacing/>
        <w:rPr>
          <w:rFonts w:eastAsiaTheme="minorHAnsi" w:cs="Verdana"/>
          <w:sz w:val="20"/>
          <w:szCs w:val="20"/>
          <w:lang w:val="en-US" w:eastAsia="en-US"/>
        </w:rPr>
      </w:pPr>
      <w:r w:rsidRPr="00CF6765">
        <w:rPr>
          <w:rFonts w:eastAsiaTheme="minorHAnsi" w:cs="Verdana"/>
          <w:i/>
          <w:sz w:val="20"/>
          <w:szCs w:val="20"/>
          <w:lang w:val="en-US" w:eastAsia="en-US"/>
        </w:rPr>
        <w:t>The American Declaration</w:t>
      </w:r>
      <w:r w:rsidR="00E22B60" w:rsidRPr="00CF6765">
        <w:rPr>
          <w:rFonts w:eastAsiaTheme="minorHAnsi" w:cs="Verdana"/>
          <w:i/>
          <w:sz w:val="20"/>
          <w:szCs w:val="20"/>
          <w:lang w:val="en-US" w:eastAsia="en-US"/>
        </w:rPr>
        <w:t xml:space="preserve"> </w:t>
      </w:r>
    </w:p>
    <w:p w14:paraId="71059CB5" w14:textId="77777777" w:rsidR="002570D1" w:rsidRPr="00CF6765" w:rsidRDefault="002570D1" w:rsidP="002570D1">
      <w:pPr>
        <w:autoSpaceDE w:val="0"/>
        <w:autoSpaceDN w:val="0"/>
        <w:adjustRightInd w:val="0"/>
        <w:ind w:right="390"/>
        <w:rPr>
          <w:rFonts w:eastAsiaTheme="minorHAnsi" w:cs="Verdana"/>
          <w:sz w:val="18"/>
          <w:szCs w:val="20"/>
          <w:lang w:val="en-US" w:eastAsia="en-US"/>
        </w:rPr>
      </w:pPr>
    </w:p>
    <w:p w14:paraId="7F59D1B9" w14:textId="09B98A2B" w:rsidR="002E6860" w:rsidRPr="00CF6765" w:rsidRDefault="00FE31C0" w:rsidP="002E6860">
      <w:pPr>
        <w:numPr>
          <w:ilvl w:val="0"/>
          <w:numId w:val="2"/>
        </w:numPr>
        <w:tabs>
          <w:tab w:val="left" w:pos="567"/>
          <w:tab w:val="num" w:pos="1569"/>
          <w:tab w:val="num" w:pos="12305"/>
        </w:tabs>
        <w:ind w:left="0" w:firstLine="0"/>
        <w:rPr>
          <w:rFonts w:eastAsia="Calibri" w:cs="Arial"/>
          <w:sz w:val="20"/>
          <w:szCs w:val="20"/>
          <w:lang w:val="en-US" w:eastAsia="en-US"/>
        </w:rPr>
      </w:pPr>
      <w:r w:rsidRPr="00CF6765">
        <w:rPr>
          <w:rFonts w:eastAsia="Calibri"/>
          <w:color w:val="000000"/>
          <w:sz w:val="20"/>
          <w:szCs w:val="20"/>
          <w:lang w:val="en-US" w:eastAsia="en-US"/>
        </w:rPr>
        <w:t>The Court has also reiterated the incorporation of</w:t>
      </w:r>
      <w:r w:rsidR="002E6860" w:rsidRPr="00CF6765">
        <w:rPr>
          <w:rFonts w:eastAsia="Calibri"/>
          <w:color w:val="000000"/>
          <w:sz w:val="20"/>
          <w:szCs w:val="20"/>
          <w:lang w:val="en-US" w:eastAsia="en-US"/>
        </w:rPr>
        <w:t xml:space="preserve"> </w:t>
      </w:r>
      <w:r w:rsidR="007A3516" w:rsidRPr="00CF6765">
        <w:rPr>
          <w:rFonts w:eastAsia="Calibri"/>
          <w:color w:val="000000"/>
          <w:sz w:val="20"/>
          <w:szCs w:val="20"/>
          <w:lang w:val="en-US" w:eastAsia="en-US"/>
        </w:rPr>
        <w:t>the American Declaration</w:t>
      </w:r>
      <w:r w:rsidR="002E6860" w:rsidRPr="00CF6765">
        <w:rPr>
          <w:rFonts w:eastAsia="Calibri"/>
          <w:color w:val="000000"/>
          <w:sz w:val="20"/>
          <w:szCs w:val="20"/>
          <w:lang w:val="en-US" w:eastAsia="en-US"/>
        </w:rPr>
        <w:t xml:space="preserve"> </w:t>
      </w:r>
      <w:r w:rsidRPr="00CF6765">
        <w:rPr>
          <w:rFonts w:eastAsia="Calibri"/>
          <w:color w:val="000000"/>
          <w:sz w:val="20"/>
          <w:szCs w:val="20"/>
          <w:lang w:val="en-US" w:eastAsia="en-US"/>
        </w:rPr>
        <w:t xml:space="preserve">into the interpretation of </w:t>
      </w:r>
      <w:r w:rsidR="009A6727" w:rsidRPr="00CF6765">
        <w:rPr>
          <w:rFonts w:eastAsia="Calibri"/>
          <w:color w:val="000000"/>
          <w:sz w:val="20"/>
          <w:szCs w:val="20"/>
          <w:lang w:val="en-US" w:eastAsia="en-US"/>
        </w:rPr>
        <w:t>the OAS Charter</w:t>
      </w:r>
      <w:r w:rsidR="002E6860" w:rsidRPr="00CF6765">
        <w:rPr>
          <w:rFonts w:eastAsia="Calibri"/>
          <w:color w:val="000000"/>
          <w:sz w:val="20"/>
          <w:szCs w:val="20"/>
          <w:lang w:val="en-US" w:eastAsia="en-US"/>
        </w:rPr>
        <w:t xml:space="preserve">. </w:t>
      </w:r>
      <w:r w:rsidRPr="00CF6765">
        <w:rPr>
          <w:rFonts w:eastAsia="Calibri"/>
          <w:color w:val="000000"/>
          <w:sz w:val="20"/>
          <w:szCs w:val="20"/>
          <w:lang w:val="en-US" w:eastAsia="en-US"/>
        </w:rPr>
        <w:t xml:space="preserve">Thus, its Advisory Opinion </w:t>
      </w:r>
      <w:r w:rsidR="002E6860" w:rsidRPr="00CF6765">
        <w:rPr>
          <w:rFonts w:eastAsia="Calibri" w:cs="Arial"/>
          <w:sz w:val="20"/>
          <w:szCs w:val="20"/>
          <w:lang w:val="en-US" w:eastAsia="en-US"/>
        </w:rPr>
        <w:t xml:space="preserve">OC-10/89, </w:t>
      </w:r>
      <w:r w:rsidR="005C731C" w:rsidRPr="00CF6765">
        <w:rPr>
          <w:rFonts w:eastAsia="Calibri" w:cs="Arial"/>
          <w:sz w:val="20"/>
          <w:szCs w:val="20"/>
          <w:lang w:val="en-US" w:eastAsia="en-US"/>
        </w:rPr>
        <w:t>the Court</w:t>
      </w:r>
      <w:r w:rsidR="002E6860" w:rsidRPr="00CF6765">
        <w:rPr>
          <w:rFonts w:eastAsia="Calibri" w:cs="Arial"/>
          <w:sz w:val="20"/>
          <w:szCs w:val="20"/>
          <w:lang w:val="en-US" w:eastAsia="en-US"/>
        </w:rPr>
        <w:t xml:space="preserve"> </w:t>
      </w:r>
      <w:r w:rsidRPr="00CF6765">
        <w:rPr>
          <w:rFonts w:eastAsia="Calibri" w:cs="Arial"/>
          <w:sz w:val="20"/>
          <w:szCs w:val="20"/>
          <w:lang w:val="en-US" w:eastAsia="en-US"/>
        </w:rPr>
        <w:t>indicated that</w:t>
      </w:r>
      <w:r w:rsidR="002E6860" w:rsidRPr="00CF6765">
        <w:rPr>
          <w:rFonts w:eastAsia="Calibri" w:cs="Arial"/>
          <w:sz w:val="20"/>
          <w:szCs w:val="20"/>
          <w:lang w:val="en-US" w:eastAsia="en-US"/>
        </w:rPr>
        <w:t xml:space="preserve">: </w:t>
      </w:r>
    </w:p>
    <w:p w14:paraId="33CF9DB8" w14:textId="77777777" w:rsidR="002E6860" w:rsidRPr="00CF6765" w:rsidRDefault="002E6860" w:rsidP="00537891">
      <w:pPr>
        <w:tabs>
          <w:tab w:val="left" w:pos="1071"/>
        </w:tabs>
        <w:ind w:right="-360"/>
        <w:contextualSpacing/>
        <w:rPr>
          <w:rFonts w:eastAsia="Calibri" w:cs="Arial"/>
          <w:sz w:val="20"/>
          <w:szCs w:val="20"/>
          <w:lang w:val="en-US" w:eastAsia="en-US"/>
        </w:rPr>
      </w:pPr>
    </w:p>
    <w:p w14:paraId="3EE26AE5" w14:textId="4F30A311" w:rsidR="002E6860" w:rsidRPr="00CF6765" w:rsidRDefault="002E6860" w:rsidP="00FE31C0">
      <w:pPr>
        <w:autoSpaceDE w:val="0"/>
        <w:autoSpaceDN w:val="0"/>
        <w:adjustRightInd w:val="0"/>
        <w:ind w:left="708" w:right="390"/>
        <w:rPr>
          <w:rFonts w:eastAsiaTheme="minorHAnsi" w:cs="Verdana"/>
          <w:sz w:val="18"/>
          <w:szCs w:val="18"/>
          <w:lang w:val="en-US" w:eastAsia="en-US"/>
        </w:rPr>
      </w:pPr>
      <w:r w:rsidRPr="00CF6765">
        <w:rPr>
          <w:rFonts w:eastAsiaTheme="minorHAnsi" w:cs="Verdana"/>
          <w:sz w:val="18"/>
          <w:szCs w:val="18"/>
          <w:lang w:val="en-US" w:eastAsia="en-US"/>
        </w:rPr>
        <w:t xml:space="preserve">[…] </w:t>
      </w:r>
      <w:r w:rsidR="005B681C" w:rsidRPr="00CF6765">
        <w:rPr>
          <w:rFonts w:eastAsiaTheme="minorHAnsi" w:cs="Verdana"/>
          <w:sz w:val="18"/>
          <w:szCs w:val="18"/>
          <w:lang w:val="en-US" w:eastAsia="en-US"/>
        </w:rPr>
        <w:t>[</w:t>
      </w:r>
      <w:r w:rsidR="00FE31C0" w:rsidRPr="00CF6765">
        <w:rPr>
          <w:rFonts w:eastAsiaTheme="minorHAnsi" w:cs="Verdana"/>
          <w:sz w:val="18"/>
          <w:szCs w:val="18"/>
          <w:lang w:val="en-US" w:eastAsia="en-US"/>
        </w:rPr>
        <w:t>T</w:t>
      </w:r>
      <w:r w:rsidR="005B681C" w:rsidRPr="00CF6765">
        <w:rPr>
          <w:rFonts w:eastAsiaTheme="minorHAnsi" w:cs="Verdana"/>
          <w:sz w:val="18"/>
          <w:szCs w:val="18"/>
          <w:lang w:val="en-US" w:eastAsia="en-US"/>
        </w:rPr>
        <w:t>]</w:t>
      </w:r>
      <w:r w:rsidR="00FE31C0" w:rsidRPr="00CF6765">
        <w:rPr>
          <w:rFonts w:cs="Arial"/>
          <w:sz w:val="18"/>
          <w:szCs w:val="18"/>
          <w:lang w:val="en-US"/>
        </w:rPr>
        <w:t xml:space="preserve">he Member States of the Organization have signaled their agreement that the Declaration contains and defines the fundamental human rights referred to in the Charter. </w:t>
      </w:r>
      <w:r w:rsidR="00E27148" w:rsidRPr="00CF6765">
        <w:rPr>
          <w:rFonts w:cs="Arial"/>
          <w:sz w:val="18"/>
          <w:szCs w:val="18"/>
          <w:lang w:val="en-US"/>
        </w:rPr>
        <w:t>Thus,</w:t>
      </w:r>
      <w:r w:rsidR="00FE31C0" w:rsidRPr="00CF6765">
        <w:rPr>
          <w:rFonts w:cs="Arial"/>
          <w:sz w:val="18"/>
          <w:szCs w:val="18"/>
          <w:lang w:val="en-US"/>
        </w:rPr>
        <w:t xml:space="preserve"> the Charter of the Organization cannot be interpreted and applied as far as human rights are concerned without relating its norms, consistent with the practice of the organs of the OAS, to the corresponding provisions of the Declaration.</w:t>
      </w:r>
      <w:r w:rsidRPr="00CF6765">
        <w:rPr>
          <w:rFonts w:eastAsiaTheme="minorHAnsi"/>
          <w:sz w:val="20"/>
          <w:szCs w:val="20"/>
          <w:vertAlign w:val="superscript"/>
          <w:lang w:val="en-US" w:eastAsia="en-US"/>
        </w:rPr>
        <w:footnoteReference w:id="141"/>
      </w:r>
    </w:p>
    <w:p w14:paraId="0F2B9EDF" w14:textId="77777777" w:rsidR="002E6860" w:rsidRPr="00CF6765" w:rsidRDefault="002E6860" w:rsidP="0059117C">
      <w:pPr>
        <w:tabs>
          <w:tab w:val="left" w:pos="567"/>
        </w:tabs>
        <w:rPr>
          <w:rFonts w:eastAsia="Calibri"/>
          <w:sz w:val="20"/>
          <w:szCs w:val="20"/>
          <w:lang w:val="en-US" w:eastAsia="en-US"/>
        </w:rPr>
      </w:pPr>
    </w:p>
    <w:p w14:paraId="177A9606" w14:textId="66023182" w:rsidR="002E6860" w:rsidRPr="00CF6765" w:rsidRDefault="00B64B3F" w:rsidP="0059117C">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Meanwhile</w:t>
      </w:r>
      <w:r w:rsidR="002E6860"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2E6860" w:rsidRPr="00CF6765">
        <w:rPr>
          <w:rFonts w:eastAsia="Calibri"/>
          <w:sz w:val="20"/>
          <w:szCs w:val="20"/>
          <w:lang w:val="en-US" w:eastAsia="en-US"/>
        </w:rPr>
        <w:t xml:space="preserve"> 29</w:t>
      </w:r>
      <w:r w:rsidR="00B65BBE" w:rsidRPr="00CF6765">
        <w:rPr>
          <w:rFonts w:eastAsia="Calibri"/>
          <w:sz w:val="20"/>
          <w:szCs w:val="20"/>
          <w:lang w:val="en-US" w:eastAsia="en-US"/>
        </w:rPr>
        <w:t>(</w:t>
      </w:r>
      <w:r w:rsidR="002E6860" w:rsidRPr="00CF6765">
        <w:rPr>
          <w:rFonts w:eastAsia="Calibri"/>
          <w:sz w:val="20"/>
          <w:szCs w:val="20"/>
          <w:lang w:val="en-US" w:eastAsia="en-US"/>
        </w:rPr>
        <w:t>d</w:t>
      </w:r>
      <w:r w:rsidR="00B65BBE" w:rsidRPr="00CF6765">
        <w:rPr>
          <w:rFonts w:eastAsia="Calibri"/>
          <w:sz w:val="20"/>
          <w:szCs w:val="20"/>
          <w:lang w:val="en-US" w:eastAsia="en-US"/>
        </w:rPr>
        <w:t>)</w:t>
      </w:r>
      <w:r w:rsidR="005C731C" w:rsidRPr="00CF6765">
        <w:rPr>
          <w:rFonts w:eastAsia="Calibri"/>
          <w:sz w:val="20"/>
          <w:szCs w:val="20"/>
          <w:lang w:val="en-US" w:eastAsia="en-US"/>
        </w:rPr>
        <w:t xml:space="preserve"> of the American Convention</w:t>
      </w:r>
      <w:r w:rsidR="002E6860" w:rsidRPr="00CF6765">
        <w:rPr>
          <w:rFonts w:eastAsia="Calibri"/>
          <w:sz w:val="20"/>
          <w:szCs w:val="20"/>
          <w:lang w:val="en-US" w:eastAsia="en-US"/>
        </w:rPr>
        <w:t xml:space="preserve"> </w:t>
      </w:r>
      <w:r w:rsidR="00B65BBE" w:rsidRPr="00CF6765">
        <w:rPr>
          <w:rFonts w:eastAsia="Calibri"/>
          <w:sz w:val="20"/>
          <w:szCs w:val="20"/>
          <w:lang w:val="en-US" w:eastAsia="en-US"/>
        </w:rPr>
        <w:t>expressly establishes that “[n]</w:t>
      </w:r>
      <w:r w:rsidR="00537891" w:rsidRPr="00CF6765">
        <w:rPr>
          <w:rFonts w:eastAsia="Calibri"/>
          <w:sz w:val="20"/>
          <w:szCs w:val="20"/>
          <w:lang w:val="en-US" w:eastAsia="en-US"/>
        </w:rPr>
        <w:t>o</w:t>
      </w:r>
      <w:r w:rsidR="00B65BBE" w:rsidRPr="00CF6765">
        <w:rPr>
          <w:spacing w:val="-3"/>
          <w:sz w:val="20"/>
          <w:szCs w:val="20"/>
          <w:lang w:val="en-US"/>
        </w:rPr>
        <w:t xml:space="preserve"> provision of this Convention shall be interpreted as:</w:t>
      </w:r>
      <w:r w:rsidR="00B65BBE" w:rsidRPr="00CF6765">
        <w:rPr>
          <w:rFonts w:eastAsia="Calibri"/>
          <w:sz w:val="20"/>
          <w:szCs w:val="20"/>
          <w:lang w:val="en-US" w:eastAsia="en-US"/>
        </w:rPr>
        <w:t xml:space="preserve"> </w:t>
      </w:r>
      <w:r w:rsidR="002E6860" w:rsidRPr="00CF6765">
        <w:rPr>
          <w:rFonts w:eastAsia="Calibri"/>
          <w:sz w:val="20"/>
          <w:szCs w:val="20"/>
          <w:lang w:val="en-US" w:eastAsia="en-US"/>
        </w:rPr>
        <w:t xml:space="preserve">[…] </w:t>
      </w:r>
      <w:r w:rsidR="00B65BBE" w:rsidRPr="00CF6765">
        <w:rPr>
          <w:rFonts w:eastAsia="Calibri"/>
          <w:sz w:val="20"/>
          <w:szCs w:val="20"/>
          <w:lang w:val="en-US" w:eastAsia="en-US"/>
        </w:rPr>
        <w:t>(</w:t>
      </w:r>
      <w:r w:rsidR="002E6860" w:rsidRPr="00CF6765">
        <w:rPr>
          <w:rFonts w:eastAsia="Calibri"/>
          <w:sz w:val="20"/>
          <w:szCs w:val="20"/>
          <w:lang w:val="en-US" w:eastAsia="en-US"/>
        </w:rPr>
        <w:t xml:space="preserve">d) </w:t>
      </w:r>
      <w:r w:rsidR="00B65BBE" w:rsidRPr="00CF6765">
        <w:rPr>
          <w:spacing w:val="-3"/>
          <w:sz w:val="20"/>
          <w:szCs w:val="20"/>
          <w:lang w:val="en-US"/>
        </w:rPr>
        <w:t>excluding or limiting the effect that the American Declaration of the Rights and Duties of Man and other international acts of the same nature may have</w:t>
      </w:r>
      <w:r w:rsidR="00B65BBE" w:rsidRPr="00CF6765">
        <w:rPr>
          <w:rFonts w:eastAsia="Calibri"/>
          <w:sz w:val="20"/>
          <w:szCs w:val="20"/>
          <w:lang w:val="en-US" w:eastAsia="en-US"/>
        </w:rPr>
        <w:t>.</w:t>
      </w:r>
      <w:r w:rsidR="002E6860" w:rsidRPr="00CF6765">
        <w:rPr>
          <w:rFonts w:eastAsia="Calibri"/>
          <w:sz w:val="20"/>
          <w:szCs w:val="20"/>
          <w:lang w:val="en-US" w:eastAsia="en-US"/>
        </w:rPr>
        <w:t>”</w:t>
      </w:r>
    </w:p>
    <w:p w14:paraId="54DA22D2" w14:textId="77777777" w:rsidR="002E6860" w:rsidRPr="00CF6765" w:rsidRDefault="002E6860" w:rsidP="0059117C">
      <w:pPr>
        <w:tabs>
          <w:tab w:val="left" w:pos="567"/>
        </w:tabs>
        <w:rPr>
          <w:rFonts w:eastAsia="Calibri"/>
          <w:sz w:val="20"/>
          <w:szCs w:val="20"/>
          <w:lang w:val="en-US" w:eastAsia="en-US"/>
        </w:rPr>
      </w:pPr>
    </w:p>
    <w:p w14:paraId="4F76A66F" w14:textId="7D32444E" w:rsidR="002570D1" w:rsidRPr="00CF6765" w:rsidRDefault="00B65BBE" w:rsidP="00B65BBE">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Also,</w:t>
      </w:r>
      <w:r w:rsidR="002570D1"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2570D1" w:rsidRPr="00CF6765">
        <w:rPr>
          <w:rFonts w:eastAsia="Calibri"/>
          <w:sz w:val="20"/>
          <w:szCs w:val="20"/>
          <w:lang w:val="en-US" w:eastAsia="en-US"/>
        </w:rPr>
        <w:t xml:space="preserve"> XI</w:t>
      </w:r>
      <w:r w:rsidRPr="00CF6765">
        <w:rPr>
          <w:rFonts w:eastAsia="Calibri"/>
          <w:sz w:val="20"/>
          <w:szCs w:val="20"/>
          <w:lang w:val="en-US" w:eastAsia="en-US"/>
        </w:rPr>
        <w:t xml:space="preserve"> of the </w:t>
      </w:r>
      <w:r w:rsidR="007A3516" w:rsidRPr="00CF6765">
        <w:rPr>
          <w:rFonts w:eastAsia="Calibri"/>
          <w:sz w:val="20"/>
          <w:szCs w:val="20"/>
          <w:lang w:val="en-US" w:eastAsia="en-US"/>
        </w:rPr>
        <w:t>American Declaration</w:t>
      </w:r>
      <w:r w:rsidR="002570D1" w:rsidRPr="00CF6765">
        <w:rPr>
          <w:rFonts w:eastAsia="Calibri"/>
          <w:sz w:val="20"/>
          <w:szCs w:val="20"/>
          <w:lang w:val="en-US" w:eastAsia="en-US"/>
        </w:rPr>
        <w:t xml:space="preserve"> </w:t>
      </w:r>
      <w:r w:rsidRPr="00CF6765">
        <w:rPr>
          <w:rFonts w:eastAsia="Calibri"/>
          <w:sz w:val="20"/>
          <w:szCs w:val="20"/>
          <w:lang w:val="en-US" w:eastAsia="en-US"/>
        </w:rPr>
        <w:t>allows</w:t>
      </w:r>
      <w:r w:rsidR="002570D1" w:rsidRPr="00CF6765">
        <w:rPr>
          <w:rFonts w:eastAsia="Calibri"/>
          <w:sz w:val="20"/>
          <w:szCs w:val="20"/>
          <w:lang w:val="en-US" w:eastAsia="en-US"/>
        </w:rPr>
        <w:t xml:space="preserve"> </w:t>
      </w:r>
      <w:r w:rsidR="00DE6950" w:rsidRPr="00CF6765">
        <w:rPr>
          <w:rFonts w:eastAsia="Calibri"/>
          <w:sz w:val="20"/>
          <w:szCs w:val="20"/>
          <w:lang w:val="en-US" w:eastAsia="en-US"/>
        </w:rPr>
        <w:t>the right</w:t>
      </w:r>
      <w:r w:rsidR="00925BAC" w:rsidRPr="00CF6765">
        <w:rPr>
          <w:rFonts w:eastAsia="Calibri"/>
          <w:sz w:val="20"/>
          <w:szCs w:val="20"/>
          <w:lang w:val="en-US" w:eastAsia="en-US"/>
        </w:rPr>
        <w:t xml:space="preserve"> to health</w:t>
      </w:r>
      <w:r w:rsidR="002570D1" w:rsidRPr="00CF6765">
        <w:rPr>
          <w:rFonts w:eastAsia="Calibri"/>
          <w:sz w:val="20"/>
          <w:szCs w:val="20"/>
          <w:lang w:val="en-US" w:eastAsia="en-US"/>
        </w:rPr>
        <w:t xml:space="preserve"> </w:t>
      </w:r>
      <w:r w:rsidRPr="00CF6765">
        <w:rPr>
          <w:rFonts w:eastAsia="Calibri"/>
          <w:sz w:val="20"/>
          <w:szCs w:val="20"/>
          <w:lang w:val="en-US" w:eastAsia="en-US"/>
        </w:rPr>
        <w:t xml:space="preserve">to be identified when indicating that “[e]very </w:t>
      </w:r>
      <w:r w:rsidRPr="00CF6765">
        <w:rPr>
          <w:spacing w:val="-3"/>
          <w:sz w:val="20"/>
          <w:szCs w:val="20"/>
          <w:lang w:val="en-US"/>
        </w:rPr>
        <w:t xml:space="preserve">person has the right to the preservation of his health through sanitary and social measures relating to food, clothing, housing and medical care, to the extent permitted by public and community resources.” This provision is relevant to define the scope </w:t>
      </w:r>
      <w:r w:rsidR="0088423A" w:rsidRPr="00CF6765">
        <w:rPr>
          <w:rFonts w:eastAsia="Calibri"/>
          <w:sz w:val="20"/>
          <w:szCs w:val="20"/>
          <w:lang w:val="en-US" w:eastAsia="en-US"/>
        </w:rPr>
        <w:t>of Article</w:t>
      </w:r>
      <w:r w:rsidR="002570D1" w:rsidRPr="00CF6765">
        <w:rPr>
          <w:rFonts w:eastAsia="Calibri"/>
          <w:sz w:val="20"/>
          <w:szCs w:val="20"/>
          <w:lang w:val="en-US" w:eastAsia="en-US"/>
        </w:rPr>
        <w:t xml:space="preserve"> 26, </w:t>
      </w:r>
      <w:r w:rsidRPr="00CF6765">
        <w:rPr>
          <w:rFonts w:eastAsia="Calibri"/>
          <w:sz w:val="20"/>
          <w:szCs w:val="20"/>
          <w:lang w:val="en-US" w:eastAsia="en-US"/>
        </w:rPr>
        <w:t xml:space="preserve">because </w:t>
      </w:r>
      <w:r w:rsidR="002570D1" w:rsidRPr="00CF6765">
        <w:rPr>
          <w:rFonts w:eastAsia="Calibri"/>
          <w:sz w:val="20"/>
          <w:szCs w:val="20"/>
          <w:lang w:val="en-US" w:eastAsia="en-US"/>
        </w:rPr>
        <w:t>“</w:t>
      </w:r>
      <w:r w:rsidR="007A3516" w:rsidRPr="00CF6765">
        <w:rPr>
          <w:rFonts w:eastAsia="Calibri"/>
          <w:sz w:val="20"/>
          <w:szCs w:val="20"/>
          <w:lang w:val="en-US" w:eastAsia="en-US"/>
        </w:rPr>
        <w:t>the American Declaration</w:t>
      </w:r>
      <w:r w:rsidRPr="00CF6765">
        <w:rPr>
          <w:rFonts w:eastAsia="Calibri"/>
          <w:sz w:val="20"/>
          <w:szCs w:val="20"/>
          <w:lang w:val="en-US" w:eastAsia="en-US"/>
        </w:rPr>
        <w:t xml:space="preserve"> constitutes, as </w:t>
      </w:r>
      <w:r w:rsidR="0090740B" w:rsidRPr="00CF6765">
        <w:rPr>
          <w:rFonts w:eastAsia="Calibri"/>
          <w:sz w:val="20"/>
          <w:szCs w:val="20"/>
          <w:lang w:val="en-US" w:eastAsia="en-US"/>
        </w:rPr>
        <w:t>pertinent</w:t>
      </w:r>
      <w:r w:rsidRPr="00CF6765">
        <w:rPr>
          <w:rFonts w:eastAsia="Calibri"/>
          <w:sz w:val="20"/>
          <w:szCs w:val="20"/>
          <w:lang w:val="en-US" w:eastAsia="en-US"/>
        </w:rPr>
        <w:t xml:space="preserve"> and in relation to the Charter of the Organization, a </w:t>
      </w:r>
      <w:r w:rsidR="0090740B" w:rsidRPr="00CF6765">
        <w:rPr>
          <w:rFonts w:eastAsia="Calibri"/>
          <w:sz w:val="20"/>
          <w:szCs w:val="20"/>
          <w:lang w:val="en-US" w:eastAsia="en-US"/>
        </w:rPr>
        <w:t>source</w:t>
      </w:r>
      <w:r w:rsidRPr="00CF6765">
        <w:rPr>
          <w:rFonts w:eastAsia="Calibri"/>
          <w:sz w:val="20"/>
          <w:szCs w:val="20"/>
          <w:lang w:val="en-US" w:eastAsia="en-US"/>
        </w:rPr>
        <w:t xml:space="preserve"> of international obligations.</w:t>
      </w:r>
      <w:r w:rsidR="002570D1" w:rsidRPr="00CF6765">
        <w:rPr>
          <w:rFonts w:eastAsia="Calibri"/>
          <w:sz w:val="20"/>
          <w:szCs w:val="20"/>
          <w:lang w:val="en-US" w:eastAsia="en-US"/>
        </w:rPr>
        <w:t>”</w:t>
      </w:r>
      <w:r w:rsidR="002570D1" w:rsidRPr="00CF6765">
        <w:rPr>
          <w:rFonts w:eastAsia="Calibri"/>
          <w:sz w:val="20"/>
          <w:szCs w:val="20"/>
          <w:vertAlign w:val="superscript"/>
          <w:lang w:val="en-US" w:eastAsia="en-US"/>
        </w:rPr>
        <w:footnoteReference w:id="142"/>
      </w:r>
      <w:r w:rsidR="002570D1" w:rsidRPr="00CF6765">
        <w:rPr>
          <w:rFonts w:eastAsia="Calibri"/>
          <w:sz w:val="20"/>
          <w:szCs w:val="20"/>
          <w:lang w:val="en-US" w:eastAsia="en-US"/>
        </w:rPr>
        <w:t xml:space="preserve"> </w:t>
      </w:r>
    </w:p>
    <w:p w14:paraId="15DBC97E" w14:textId="77777777" w:rsidR="00BE1C1B" w:rsidRPr="00CF6765" w:rsidRDefault="00BE1C1B" w:rsidP="0059117C">
      <w:pPr>
        <w:tabs>
          <w:tab w:val="left" w:pos="567"/>
        </w:tabs>
        <w:rPr>
          <w:rFonts w:eastAsia="Calibri"/>
          <w:sz w:val="20"/>
          <w:szCs w:val="20"/>
          <w:lang w:val="en-US" w:eastAsia="en-US"/>
        </w:rPr>
      </w:pPr>
    </w:p>
    <w:p w14:paraId="2BCDA018" w14:textId="59D597DB" w:rsidR="00BE1C1B" w:rsidRPr="00CF6765" w:rsidRDefault="00B65BBE"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Based on the above, the Court finds that </w:t>
      </w:r>
      <w:r w:rsidR="00DE6950" w:rsidRPr="00CF6765">
        <w:rPr>
          <w:rFonts w:eastAsia="Calibri"/>
          <w:sz w:val="20"/>
          <w:szCs w:val="20"/>
          <w:lang w:val="en-US" w:eastAsia="en-US"/>
        </w:rPr>
        <w:t>the right</w:t>
      </w:r>
      <w:r w:rsidR="00925BAC" w:rsidRPr="00CF6765">
        <w:rPr>
          <w:rFonts w:eastAsia="Calibri"/>
          <w:sz w:val="20"/>
          <w:szCs w:val="20"/>
          <w:lang w:val="en-US" w:eastAsia="en-US"/>
        </w:rPr>
        <w:t xml:space="preserve"> to health</w:t>
      </w:r>
      <w:r w:rsidR="00BE1C1B" w:rsidRPr="00CF6765">
        <w:rPr>
          <w:rFonts w:eastAsia="Calibri"/>
          <w:sz w:val="20"/>
          <w:szCs w:val="20"/>
          <w:lang w:val="en-US" w:eastAsia="en-US"/>
        </w:rPr>
        <w:t xml:space="preserve"> </w:t>
      </w:r>
      <w:r w:rsidRPr="00CF6765">
        <w:rPr>
          <w:rFonts w:eastAsia="Calibri"/>
          <w:sz w:val="20"/>
          <w:szCs w:val="20"/>
          <w:lang w:val="en-US" w:eastAsia="en-US"/>
        </w:rPr>
        <w:t xml:space="preserve">is a right </w:t>
      </w:r>
      <w:r w:rsidR="00DE6950" w:rsidRPr="00CF6765">
        <w:rPr>
          <w:rFonts w:eastAsia="Calibri"/>
          <w:sz w:val="20"/>
          <w:szCs w:val="20"/>
          <w:lang w:val="en-US" w:eastAsia="en-US"/>
        </w:rPr>
        <w:t>protected by</w:t>
      </w:r>
      <w:r w:rsidR="00BE1C1B"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BE1C1B" w:rsidRPr="00CF6765">
        <w:rPr>
          <w:rFonts w:eastAsia="Calibri"/>
          <w:sz w:val="20"/>
          <w:szCs w:val="20"/>
          <w:lang w:val="en-US" w:eastAsia="en-US"/>
        </w:rPr>
        <w:t xml:space="preserve"> 26</w:t>
      </w:r>
      <w:r w:rsidR="005C731C" w:rsidRPr="00CF6765">
        <w:rPr>
          <w:rFonts w:eastAsia="Calibri"/>
          <w:sz w:val="20"/>
          <w:szCs w:val="20"/>
          <w:lang w:val="en-US" w:eastAsia="en-US"/>
        </w:rPr>
        <w:t xml:space="preserve"> of the Convention</w:t>
      </w:r>
      <w:r w:rsidR="00BE1C1B" w:rsidRPr="00CF6765">
        <w:rPr>
          <w:rFonts w:eastAsia="Calibri"/>
          <w:sz w:val="20"/>
          <w:szCs w:val="20"/>
          <w:lang w:val="en-US" w:eastAsia="en-US"/>
        </w:rPr>
        <w:t xml:space="preserve">. </w:t>
      </w:r>
      <w:r w:rsidRPr="00CF6765">
        <w:rPr>
          <w:rFonts w:eastAsia="Calibri"/>
          <w:sz w:val="20"/>
          <w:szCs w:val="20"/>
          <w:lang w:val="en-US" w:eastAsia="en-US"/>
        </w:rPr>
        <w:t>The Court will now verify the scope and content of this right for the effects of the instant case</w:t>
      </w:r>
      <w:r w:rsidR="00BE1C1B" w:rsidRPr="00CF6765">
        <w:rPr>
          <w:rFonts w:eastAsia="Calibri"/>
          <w:sz w:val="20"/>
          <w:szCs w:val="20"/>
          <w:lang w:val="en-US" w:eastAsia="en-US"/>
        </w:rPr>
        <w:t>.</w:t>
      </w:r>
    </w:p>
    <w:p w14:paraId="0A8390D7" w14:textId="77777777" w:rsidR="002E6860" w:rsidRPr="00CF6765" w:rsidRDefault="002E6860" w:rsidP="0059117C">
      <w:pPr>
        <w:ind w:right="-360"/>
        <w:contextualSpacing/>
        <w:rPr>
          <w:rFonts w:eastAsia="Calibri"/>
          <w:sz w:val="20"/>
          <w:szCs w:val="20"/>
          <w:lang w:val="en-US" w:eastAsia="en-US"/>
        </w:rPr>
      </w:pPr>
    </w:p>
    <w:p w14:paraId="74582C98" w14:textId="771B4FF4" w:rsidR="002570D1" w:rsidRPr="00CF6765" w:rsidRDefault="00B65BBE" w:rsidP="00EB31AC">
      <w:pPr>
        <w:numPr>
          <w:ilvl w:val="0"/>
          <w:numId w:val="16"/>
        </w:numPr>
        <w:ind w:right="-360"/>
        <w:contextualSpacing/>
        <w:rPr>
          <w:rFonts w:eastAsia="Calibri"/>
          <w:i/>
          <w:sz w:val="20"/>
          <w:szCs w:val="20"/>
          <w:lang w:val="en-US" w:eastAsia="en-US"/>
        </w:rPr>
      </w:pPr>
      <w:r w:rsidRPr="00CF6765">
        <w:rPr>
          <w:rFonts w:eastAsia="Calibri"/>
          <w:i/>
          <w:sz w:val="20"/>
          <w:szCs w:val="20"/>
          <w:lang w:val="en-US" w:eastAsia="en-US"/>
        </w:rPr>
        <w:t>Domestic legislation</w:t>
      </w:r>
    </w:p>
    <w:p w14:paraId="75B3AEAA" w14:textId="77777777" w:rsidR="002570D1" w:rsidRPr="00CF6765" w:rsidRDefault="002570D1" w:rsidP="002570D1">
      <w:pPr>
        <w:ind w:left="630" w:right="-360"/>
        <w:contextualSpacing/>
        <w:rPr>
          <w:rFonts w:eastAsia="Calibri"/>
          <w:i/>
          <w:sz w:val="20"/>
          <w:szCs w:val="20"/>
          <w:lang w:val="en-US" w:eastAsia="en-US"/>
        </w:rPr>
      </w:pPr>
    </w:p>
    <w:p w14:paraId="43647BBF" w14:textId="0C735CC0" w:rsidR="00B65BBE" w:rsidRPr="00CF6765" w:rsidRDefault="004C0DAA" w:rsidP="0059117C">
      <w:pPr>
        <w:numPr>
          <w:ilvl w:val="0"/>
          <w:numId w:val="2"/>
        </w:numPr>
        <w:tabs>
          <w:tab w:val="left" w:pos="567"/>
          <w:tab w:val="num" w:pos="1569"/>
          <w:tab w:val="num" w:pos="12305"/>
        </w:tabs>
        <w:ind w:left="0" w:firstLine="0"/>
        <w:rPr>
          <w:rFonts w:eastAsia="Calibri"/>
          <w:sz w:val="20"/>
          <w:szCs w:val="18"/>
          <w:lang w:val="en-US" w:eastAsia="en-US"/>
        </w:rPr>
      </w:pPr>
      <w:r w:rsidRPr="00CF6765">
        <w:rPr>
          <w:rFonts w:eastAsia="Calibri"/>
          <w:sz w:val="20"/>
          <w:szCs w:val="20"/>
          <w:lang w:val="en-US" w:eastAsia="en-US"/>
        </w:rPr>
        <w:t>Article</w:t>
      </w:r>
      <w:r w:rsidR="002570D1" w:rsidRPr="00CF6765">
        <w:rPr>
          <w:rFonts w:eastAsia="Calibri"/>
          <w:sz w:val="20"/>
          <w:szCs w:val="20"/>
          <w:lang w:val="en-US" w:eastAsia="en-US"/>
        </w:rPr>
        <w:t xml:space="preserve"> 29</w:t>
      </w:r>
      <w:r w:rsidR="00B65BBE" w:rsidRPr="00CF6765">
        <w:rPr>
          <w:rFonts w:eastAsia="Calibri"/>
          <w:sz w:val="20"/>
          <w:szCs w:val="20"/>
          <w:lang w:val="en-US" w:eastAsia="en-US"/>
        </w:rPr>
        <w:t>(</w:t>
      </w:r>
      <w:r w:rsidR="002E6860" w:rsidRPr="00CF6765">
        <w:rPr>
          <w:rFonts w:eastAsia="Calibri"/>
          <w:sz w:val="20"/>
          <w:szCs w:val="20"/>
          <w:lang w:val="en-US" w:eastAsia="en-US"/>
        </w:rPr>
        <w:t>b</w:t>
      </w:r>
      <w:r w:rsidR="00B65BBE" w:rsidRPr="00CF6765">
        <w:rPr>
          <w:rFonts w:eastAsia="Calibri"/>
          <w:sz w:val="20"/>
          <w:szCs w:val="20"/>
          <w:lang w:val="en-US" w:eastAsia="en-US"/>
        </w:rPr>
        <w:t>)</w:t>
      </w:r>
      <w:r w:rsidR="005C731C" w:rsidRPr="00CF6765">
        <w:rPr>
          <w:rFonts w:eastAsia="Calibri"/>
          <w:sz w:val="20"/>
          <w:szCs w:val="20"/>
          <w:lang w:val="en-US" w:eastAsia="en-US"/>
        </w:rPr>
        <w:t xml:space="preserve"> of the American Convention</w:t>
      </w:r>
      <w:r w:rsidR="002570D1" w:rsidRPr="00CF6765">
        <w:rPr>
          <w:rFonts w:eastAsia="Calibri"/>
          <w:sz w:val="20"/>
          <w:szCs w:val="20"/>
          <w:lang w:val="en-US" w:eastAsia="en-US"/>
        </w:rPr>
        <w:t xml:space="preserve"> </w:t>
      </w:r>
      <w:r w:rsidR="00B65BBE" w:rsidRPr="00CF6765">
        <w:rPr>
          <w:rFonts w:eastAsia="Calibri"/>
          <w:sz w:val="20"/>
          <w:szCs w:val="20"/>
          <w:lang w:val="en-US" w:eastAsia="en-US"/>
        </w:rPr>
        <w:t>expressly establishes that “[n]</w:t>
      </w:r>
      <w:r w:rsidR="00537891" w:rsidRPr="00CF6765">
        <w:rPr>
          <w:rFonts w:eastAsia="Calibri"/>
          <w:sz w:val="20"/>
          <w:szCs w:val="20"/>
          <w:lang w:val="en-US" w:eastAsia="en-US"/>
        </w:rPr>
        <w:t>o</w:t>
      </w:r>
      <w:r w:rsidR="00B65BBE" w:rsidRPr="00CF6765">
        <w:rPr>
          <w:spacing w:val="-3"/>
          <w:sz w:val="20"/>
          <w:szCs w:val="20"/>
          <w:lang w:val="en-US"/>
        </w:rPr>
        <w:t xml:space="preserve"> provision of this Convention shall be interpreted as:</w:t>
      </w:r>
      <w:r w:rsidR="00B65BBE" w:rsidRPr="00CF6765">
        <w:rPr>
          <w:rFonts w:eastAsia="Calibri"/>
          <w:sz w:val="20"/>
          <w:szCs w:val="20"/>
          <w:lang w:val="en-US" w:eastAsia="en-US"/>
        </w:rPr>
        <w:t xml:space="preserve"> […] (b) </w:t>
      </w:r>
      <w:r w:rsidR="00B65BBE" w:rsidRPr="00CF6765">
        <w:rPr>
          <w:spacing w:val="-3"/>
          <w:sz w:val="20"/>
          <w:szCs w:val="20"/>
          <w:lang w:val="en-US"/>
        </w:rPr>
        <w:t>restricting the enjoyment or exercise of any right or freedom recognized by virtue of the laws of any State Party or by virtue of another convention to which one of the said States is a party.”  […].</w:t>
      </w:r>
    </w:p>
    <w:p w14:paraId="0EA32509" w14:textId="77777777" w:rsidR="00556BEA" w:rsidRPr="00CF6765" w:rsidRDefault="00556BEA" w:rsidP="00B65BBE">
      <w:pPr>
        <w:ind w:right="335"/>
        <w:rPr>
          <w:rFonts w:eastAsia="Calibri"/>
          <w:sz w:val="18"/>
          <w:szCs w:val="18"/>
          <w:lang w:val="en-US" w:eastAsia="en-US"/>
        </w:rPr>
      </w:pPr>
    </w:p>
    <w:p w14:paraId="23D0846A" w14:textId="765D0581" w:rsidR="002570D1" w:rsidRPr="00CF6765" w:rsidRDefault="00B65BBE" w:rsidP="00A44AC1">
      <w:pPr>
        <w:numPr>
          <w:ilvl w:val="0"/>
          <w:numId w:val="2"/>
        </w:numPr>
        <w:tabs>
          <w:tab w:val="left" w:pos="567"/>
          <w:tab w:val="num" w:pos="1569"/>
          <w:tab w:val="num" w:pos="12305"/>
        </w:tabs>
        <w:ind w:left="0" w:firstLine="0"/>
        <w:rPr>
          <w:rFonts w:eastAsia="Calibri"/>
          <w:sz w:val="20"/>
          <w:lang w:val="en-US" w:eastAsia="en-US"/>
        </w:rPr>
      </w:pPr>
      <w:r w:rsidRPr="00CF6765">
        <w:rPr>
          <w:rFonts w:eastAsia="Calibri"/>
          <w:sz w:val="20"/>
          <w:szCs w:val="20"/>
          <w:lang w:val="en-US" w:eastAsia="en-US"/>
        </w:rPr>
        <w:t xml:space="preserve">In this regard, </w:t>
      </w:r>
      <w:r w:rsidR="00A44AC1" w:rsidRPr="00CF6765">
        <w:rPr>
          <w:rFonts w:eastAsia="Calibri"/>
          <w:sz w:val="20"/>
          <w:szCs w:val="20"/>
          <w:lang w:val="en-US" w:eastAsia="en-US"/>
        </w:rPr>
        <w:t>article 19(9) of the Chilean Constitution</w:t>
      </w:r>
      <w:r w:rsidR="00537891" w:rsidRPr="00CF6765">
        <w:rPr>
          <w:rFonts w:eastAsia="Calibri"/>
          <w:sz w:val="20"/>
          <w:szCs w:val="20"/>
          <w:lang w:val="en-US" w:eastAsia="en-US"/>
        </w:rPr>
        <w:t>,</w:t>
      </w:r>
      <w:r w:rsidR="00A44AC1" w:rsidRPr="00CF6765">
        <w:rPr>
          <w:rFonts w:eastAsia="Calibri"/>
          <w:sz w:val="20"/>
          <w:szCs w:val="20"/>
          <w:lang w:val="en-US" w:eastAsia="en-US"/>
        </w:rPr>
        <w:t xml:space="preserve"> in force at the time of the facts and currently</w:t>
      </w:r>
      <w:r w:rsidR="00537891" w:rsidRPr="00CF6765">
        <w:rPr>
          <w:rFonts w:eastAsia="Calibri"/>
          <w:sz w:val="20"/>
          <w:szCs w:val="20"/>
          <w:lang w:val="en-US" w:eastAsia="en-US"/>
        </w:rPr>
        <w:t>,</w:t>
      </w:r>
      <w:r w:rsidR="00556BEA" w:rsidRPr="00CF6765">
        <w:rPr>
          <w:rFonts w:eastAsiaTheme="minorHAnsi"/>
          <w:sz w:val="20"/>
          <w:szCs w:val="20"/>
          <w:vertAlign w:val="superscript"/>
          <w:lang w:val="en-US" w:eastAsia="en-US"/>
        </w:rPr>
        <w:footnoteReference w:id="143"/>
      </w:r>
      <w:r w:rsidR="00A44AC1" w:rsidRPr="00CF6765">
        <w:rPr>
          <w:rFonts w:eastAsia="Calibri"/>
          <w:sz w:val="20"/>
          <w:szCs w:val="20"/>
          <w:lang w:val="en-US" w:eastAsia="en-US"/>
        </w:rPr>
        <w:t xml:space="preserve"> establishes the obligation</w:t>
      </w:r>
      <w:r w:rsidR="00556BEA" w:rsidRPr="00CF6765">
        <w:rPr>
          <w:rFonts w:eastAsia="Calibri"/>
          <w:sz w:val="20"/>
          <w:szCs w:val="20"/>
          <w:lang w:val="en-US" w:eastAsia="en-US"/>
        </w:rPr>
        <w:t xml:space="preserve"> </w:t>
      </w:r>
      <w:r w:rsidR="00A44AC1" w:rsidRPr="00CF6765">
        <w:rPr>
          <w:rFonts w:eastAsia="Calibri"/>
          <w:sz w:val="20"/>
          <w:szCs w:val="20"/>
          <w:lang w:val="en-US" w:eastAsia="en-US"/>
        </w:rPr>
        <w:t>to</w:t>
      </w:r>
      <w:r w:rsidR="00163ADF" w:rsidRPr="00CF6765">
        <w:rPr>
          <w:rFonts w:eastAsia="Calibri"/>
          <w:sz w:val="20"/>
          <w:szCs w:val="20"/>
          <w:lang w:val="en-US" w:eastAsia="en-US"/>
        </w:rPr>
        <w:t xml:space="preserve"> guarantee</w:t>
      </w:r>
      <w:r w:rsidR="00A44AC1" w:rsidRPr="00CF6765">
        <w:rPr>
          <w:rFonts w:eastAsia="Calibri"/>
          <w:sz w:val="20"/>
          <w:szCs w:val="20"/>
          <w:lang w:val="en-US" w:eastAsia="en-US"/>
        </w:rPr>
        <w:t xml:space="preserve"> everyon</w:t>
      </w:r>
      <w:r w:rsidR="00163ADF" w:rsidRPr="00CF6765">
        <w:rPr>
          <w:rFonts w:eastAsia="Calibri"/>
          <w:sz w:val="20"/>
          <w:szCs w:val="20"/>
          <w:lang w:val="en-US" w:eastAsia="en-US"/>
        </w:rPr>
        <w:t>e</w:t>
      </w:r>
      <w:r w:rsidR="00A44AC1" w:rsidRPr="00CF6765">
        <w:rPr>
          <w:rFonts w:eastAsia="Calibri"/>
          <w:sz w:val="20"/>
          <w:szCs w:val="20"/>
          <w:lang w:val="en-US" w:eastAsia="en-US"/>
        </w:rPr>
        <w:t xml:space="preserve"> </w:t>
      </w:r>
      <w:r w:rsidR="00DE6950" w:rsidRPr="00CF6765">
        <w:rPr>
          <w:rFonts w:eastAsia="Calibri"/>
          <w:sz w:val="20"/>
          <w:szCs w:val="20"/>
          <w:lang w:val="en-US" w:eastAsia="en-US"/>
        </w:rPr>
        <w:t>the right</w:t>
      </w:r>
      <w:r w:rsidR="00556BEA" w:rsidRPr="00CF6765">
        <w:rPr>
          <w:rFonts w:eastAsia="Calibri"/>
          <w:sz w:val="20"/>
          <w:szCs w:val="20"/>
          <w:lang w:val="en-US" w:eastAsia="en-US"/>
        </w:rPr>
        <w:t xml:space="preserve"> </w:t>
      </w:r>
      <w:r w:rsidR="00A44AC1" w:rsidRPr="00CF6765">
        <w:rPr>
          <w:rFonts w:eastAsia="Calibri"/>
          <w:sz w:val="20"/>
          <w:szCs w:val="20"/>
          <w:lang w:val="en-US" w:eastAsia="en-US"/>
        </w:rPr>
        <w:t xml:space="preserve">to </w:t>
      </w:r>
      <w:r w:rsidR="00163ADF" w:rsidRPr="00CF6765">
        <w:rPr>
          <w:rFonts w:eastAsia="Calibri"/>
          <w:sz w:val="20"/>
          <w:szCs w:val="20"/>
          <w:lang w:val="en-US" w:eastAsia="en-US"/>
        </w:rPr>
        <w:t xml:space="preserve">the </w:t>
      </w:r>
      <w:r w:rsidR="00A44AC1" w:rsidRPr="00CF6765">
        <w:rPr>
          <w:rFonts w:eastAsia="Calibri"/>
          <w:sz w:val="20"/>
          <w:szCs w:val="20"/>
          <w:lang w:val="en-US" w:eastAsia="en-US"/>
        </w:rPr>
        <w:t xml:space="preserve">protection of health, </w:t>
      </w:r>
      <w:r w:rsidR="00163ADF" w:rsidRPr="00CF6765">
        <w:rPr>
          <w:rFonts w:eastAsia="Calibri"/>
          <w:sz w:val="20"/>
          <w:szCs w:val="20"/>
          <w:lang w:val="en-US" w:eastAsia="en-US"/>
        </w:rPr>
        <w:t>protecting</w:t>
      </w:r>
      <w:r w:rsidR="00A44AC1" w:rsidRPr="00CF6765">
        <w:rPr>
          <w:rFonts w:eastAsia="Calibri"/>
          <w:sz w:val="20"/>
          <w:szCs w:val="20"/>
          <w:lang w:val="en-US" w:eastAsia="en-US"/>
        </w:rPr>
        <w:t xml:space="preserve"> </w:t>
      </w:r>
      <w:r w:rsidR="00931092" w:rsidRPr="00CF6765">
        <w:rPr>
          <w:rFonts w:eastAsia="Calibri"/>
          <w:sz w:val="20"/>
          <w:szCs w:val="20"/>
          <w:lang w:val="en-US" w:eastAsia="en-US"/>
        </w:rPr>
        <w:t>“</w:t>
      </w:r>
      <w:r w:rsidR="00A44AC1" w:rsidRPr="00CF6765">
        <w:rPr>
          <w:rFonts w:eastAsia="Calibri"/>
          <w:sz w:val="20"/>
          <w:szCs w:val="20"/>
          <w:lang w:val="en-US" w:eastAsia="en-US"/>
        </w:rPr>
        <w:t xml:space="preserve">free and equal access to actions for the promotion, protection and recovery of health and </w:t>
      </w:r>
      <w:r w:rsidR="00537891" w:rsidRPr="00CF6765">
        <w:rPr>
          <w:rFonts w:eastAsia="Calibri"/>
          <w:sz w:val="20"/>
          <w:szCs w:val="20"/>
          <w:lang w:val="en-US" w:eastAsia="en-US"/>
        </w:rPr>
        <w:t xml:space="preserve">for the </w:t>
      </w:r>
      <w:r w:rsidR="00A44AC1" w:rsidRPr="00CF6765">
        <w:rPr>
          <w:rFonts w:eastAsia="Calibri"/>
          <w:sz w:val="20"/>
          <w:szCs w:val="20"/>
          <w:lang w:val="en-US" w:eastAsia="en-US"/>
        </w:rPr>
        <w:t>rehabilitation of the individual.” The scope of this right is also developed in domestic regulations.</w:t>
      </w:r>
      <w:r w:rsidR="00795461" w:rsidRPr="00CF6765">
        <w:rPr>
          <w:rStyle w:val="Refdenotaalpie"/>
          <w:rFonts w:eastAsia="Calibri"/>
          <w:sz w:val="20"/>
          <w:szCs w:val="20"/>
          <w:lang w:val="en-US" w:eastAsia="en-US"/>
        </w:rPr>
        <w:footnoteReference w:id="144"/>
      </w:r>
      <w:r w:rsidR="00795461" w:rsidRPr="00CF6765">
        <w:rPr>
          <w:rFonts w:eastAsia="Calibri"/>
          <w:sz w:val="20"/>
          <w:szCs w:val="20"/>
          <w:lang w:val="en-US" w:eastAsia="en-US"/>
        </w:rPr>
        <w:t xml:space="preserve"> </w:t>
      </w:r>
    </w:p>
    <w:p w14:paraId="1174AE8D" w14:textId="77777777" w:rsidR="002570D1" w:rsidRPr="00CF6765" w:rsidRDefault="002570D1" w:rsidP="0059117C">
      <w:pPr>
        <w:ind w:right="-360"/>
        <w:contextualSpacing/>
        <w:rPr>
          <w:rFonts w:eastAsia="Calibri"/>
          <w:sz w:val="20"/>
          <w:szCs w:val="20"/>
          <w:lang w:val="en-US" w:eastAsia="en-US"/>
        </w:rPr>
      </w:pPr>
    </w:p>
    <w:p w14:paraId="44591B1C" w14:textId="7C5CC9CA" w:rsidR="002570D1" w:rsidRPr="00CF6765" w:rsidRDefault="00A44AC1" w:rsidP="0059117C">
      <w:pPr>
        <w:numPr>
          <w:ilvl w:val="0"/>
          <w:numId w:val="2"/>
        </w:numPr>
        <w:tabs>
          <w:tab w:val="left" w:pos="567"/>
          <w:tab w:val="num" w:pos="1569"/>
          <w:tab w:val="num" w:pos="12305"/>
        </w:tabs>
        <w:ind w:left="0" w:right="-360" w:firstLine="0"/>
        <w:contextualSpacing/>
        <w:rPr>
          <w:rFonts w:eastAsiaTheme="minorHAnsi" w:cs="Verdana"/>
          <w:sz w:val="20"/>
          <w:szCs w:val="20"/>
          <w:lang w:val="en-US" w:eastAsia="en-US"/>
        </w:rPr>
      </w:pPr>
      <w:r w:rsidRPr="00CF6765">
        <w:rPr>
          <w:rFonts w:eastAsia="Calibri"/>
          <w:sz w:val="20"/>
          <w:szCs w:val="20"/>
          <w:lang w:val="en-US" w:eastAsia="en-US"/>
        </w:rPr>
        <w:t>The Court also observes a broad regional consensus in the consolidation</w:t>
      </w:r>
      <w:r w:rsidR="00B65BBE" w:rsidRPr="00CF6765">
        <w:rPr>
          <w:rFonts w:eastAsia="Calibri"/>
          <w:sz w:val="20"/>
          <w:szCs w:val="20"/>
          <w:lang w:val="en-US" w:eastAsia="en-US"/>
        </w:rPr>
        <w:t xml:space="preserve"> of the </w:t>
      </w:r>
      <w:r w:rsidR="00DE6950" w:rsidRPr="00CF6765">
        <w:rPr>
          <w:rFonts w:eastAsia="Calibri"/>
          <w:sz w:val="20"/>
          <w:szCs w:val="20"/>
          <w:lang w:val="en-US" w:eastAsia="en-US"/>
        </w:rPr>
        <w:t>right</w:t>
      </w:r>
      <w:r w:rsidR="00925BAC" w:rsidRPr="00CF6765">
        <w:rPr>
          <w:rFonts w:eastAsia="Calibri"/>
          <w:sz w:val="20"/>
          <w:szCs w:val="20"/>
          <w:lang w:val="en-US" w:eastAsia="en-US"/>
        </w:rPr>
        <w:t xml:space="preserve"> to health</w:t>
      </w:r>
      <w:r w:rsidR="00BE1C1B" w:rsidRPr="00CF6765">
        <w:rPr>
          <w:rFonts w:eastAsia="Calibri"/>
          <w:sz w:val="20"/>
          <w:szCs w:val="20"/>
          <w:lang w:val="en-US" w:eastAsia="en-US"/>
        </w:rPr>
        <w:t xml:space="preserve">, </w:t>
      </w:r>
      <w:r w:rsidRPr="00CF6765">
        <w:rPr>
          <w:rFonts w:eastAsia="Calibri"/>
          <w:sz w:val="20"/>
          <w:szCs w:val="20"/>
          <w:lang w:val="en-US" w:eastAsia="en-US"/>
        </w:rPr>
        <w:t xml:space="preserve">which is explicitly recognized in different Constitutions and the domestic laws of the States of the </w:t>
      </w:r>
      <w:r w:rsidR="0090740B" w:rsidRPr="00CF6765">
        <w:rPr>
          <w:rFonts w:eastAsia="Calibri"/>
          <w:sz w:val="20"/>
          <w:szCs w:val="20"/>
          <w:lang w:val="en-US" w:eastAsia="en-US"/>
        </w:rPr>
        <w:t>region</w:t>
      </w:r>
      <w:r w:rsidRPr="00CF6765">
        <w:rPr>
          <w:rFonts w:eastAsia="Calibri"/>
          <w:sz w:val="20"/>
          <w:szCs w:val="20"/>
          <w:lang w:val="en-US" w:eastAsia="en-US"/>
        </w:rPr>
        <w:t>, including: Ar</w:t>
      </w:r>
      <w:r w:rsidR="00FA60EC" w:rsidRPr="00CF6765">
        <w:rPr>
          <w:rFonts w:eastAsia="Calibri"/>
          <w:iCs/>
          <w:sz w:val="20"/>
          <w:szCs w:val="20"/>
          <w:lang w:val="en-US" w:eastAsia="en-US"/>
        </w:rPr>
        <w:t xml:space="preserve">gentina, </w:t>
      </w:r>
      <w:r w:rsidR="00A86D37" w:rsidRPr="00CF6765">
        <w:rPr>
          <w:rFonts w:eastAsia="Calibri"/>
          <w:iCs/>
          <w:sz w:val="20"/>
          <w:szCs w:val="20"/>
          <w:lang w:val="en-US" w:eastAsia="en-US"/>
        </w:rPr>
        <w:t xml:space="preserve">Barbados, </w:t>
      </w:r>
      <w:r w:rsidR="00FA60EC" w:rsidRPr="00CF6765">
        <w:rPr>
          <w:rFonts w:eastAsia="Calibri"/>
          <w:iCs/>
          <w:sz w:val="20"/>
          <w:szCs w:val="20"/>
          <w:lang w:val="en-US" w:eastAsia="en-US"/>
        </w:rPr>
        <w:t xml:space="preserve">Bolivia, </w:t>
      </w:r>
      <w:r w:rsidR="00A86D37" w:rsidRPr="00CF6765">
        <w:rPr>
          <w:rFonts w:eastAsia="Calibri"/>
          <w:iCs/>
          <w:sz w:val="20"/>
          <w:szCs w:val="20"/>
          <w:lang w:val="en-US" w:eastAsia="en-US"/>
        </w:rPr>
        <w:t>Bra</w:t>
      </w:r>
      <w:r w:rsidRPr="00CF6765">
        <w:rPr>
          <w:rFonts w:eastAsia="Calibri"/>
          <w:iCs/>
          <w:sz w:val="20"/>
          <w:szCs w:val="20"/>
          <w:lang w:val="en-US" w:eastAsia="en-US"/>
        </w:rPr>
        <w:t>z</w:t>
      </w:r>
      <w:r w:rsidR="00A86D37" w:rsidRPr="00CF6765">
        <w:rPr>
          <w:rFonts w:eastAsia="Calibri"/>
          <w:iCs/>
          <w:sz w:val="20"/>
          <w:szCs w:val="20"/>
          <w:lang w:val="en-US" w:eastAsia="en-US"/>
        </w:rPr>
        <w:t xml:space="preserve">il, </w:t>
      </w:r>
      <w:r w:rsidR="00FA60EC" w:rsidRPr="00CF6765">
        <w:rPr>
          <w:rFonts w:eastAsia="Calibri"/>
          <w:iCs/>
          <w:sz w:val="20"/>
          <w:szCs w:val="20"/>
          <w:lang w:val="en-US" w:eastAsia="en-US"/>
        </w:rPr>
        <w:t xml:space="preserve">Colombia, Costa Rica, </w:t>
      </w:r>
      <w:r w:rsidRPr="00CF6765">
        <w:rPr>
          <w:rFonts w:eastAsia="Calibri"/>
          <w:iCs/>
          <w:sz w:val="20"/>
          <w:szCs w:val="20"/>
          <w:lang w:val="en-US" w:eastAsia="en-US"/>
        </w:rPr>
        <w:t xml:space="preserve">Dominican Republic, </w:t>
      </w:r>
      <w:r w:rsidR="00FA60EC" w:rsidRPr="00CF6765">
        <w:rPr>
          <w:rFonts w:eastAsia="Calibri"/>
          <w:iCs/>
          <w:sz w:val="20"/>
          <w:szCs w:val="20"/>
          <w:lang w:val="en-US" w:eastAsia="en-US"/>
        </w:rPr>
        <w:t>Ecuador, El Salvador, Guatemala, Hait</w:t>
      </w:r>
      <w:r w:rsidRPr="00CF6765">
        <w:rPr>
          <w:rFonts w:eastAsia="Calibri"/>
          <w:iCs/>
          <w:sz w:val="20"/>
          <w:szCs w:val="20"/>
          <w:lang w:val="en-US" w:eastAsia="en-US"/>
        </w:rPr>
        <w:t>i</w:t>
      </w:r>
      <w:r w:rsidR="00FA60EC" w:rsidRPr="00CF6765">
        <w:rPr>
          <w:rFonts w:eastAsia="Calibri"/>
          <w:iCs/>
          <w:sz w:val="20"/>
          <w:szCs w:val="20"/>
          <w:lang w:val="en-US" w:eastAsia="en-US"/>
        </w:rPr>
        <w:t>, Honduras, M</w:t>
      </w:r>
      <w:r w:rsidRPr="00CF6765">
        <w:rPr>
          <w:rFonts w:eastAsia="Calibri"/>
          <w:iCs/>
          <w:sz w:val="20"/>
          <w:szCs w:val="20"/>
          <w:lang w:val="en-US" w:eastAsia="en-US"/>
        </w:rPr>
        <w:t>e</w:t>
      </w:r>
      <w:r w:rsidR="00FA60EC" w:rsidRPr="00CF6765">
        <w:rPr>
          <w:rFonts w:eastAsia="Calibri"/>
          <w:iCs/>
          <w:sz w:val="20"/>
          <w:szCs w:val="20"/>
          <w:lang w:val="en-US" w:eastAsia="en-US"/>
        </w:rPr>
        <w:t>xico, Nicaragua, Panam</w:t>
      </w:r>
      <w:r w:rsidRPr="00CF6765">
        <w:rPr>
          <w:rFonts w:eastAsia="Calibri"/>
          <w:iCs/>
          <w:sz w:val="20"/>
          <w:szCs w:val="20"/>
          <w:lang w:val="en-US" w:eastAsia="en-US"/>
        </w:rPr>
        <w:t>a</w:t>
      </w:r>
      <w:r w:rsidR="00FA60EC" w:rsidRPr="00CF6765">
        <w:rPr>
          <w:rFonts w:eastAsia="Calibri"/>
          <w:iCs/>
          <w:sz w:val="20"/>
          <w:szCs w:val="20"/>
          <w:lang w:val="en-US" w:eastAsia="en-US"/>
        </w:rPr>
        <w:t xml:space="preserve">, Paraguay, </w:t>
      </w:r>
      <w:r w:rsidR="00930431" w:rsidRPr="00CF6765">
        <w:rPr>
          <w:rFonts w:eastAsia="Calibri"/>
          <w:iCs/>
          <w:sz w:val="20"/>
          <w:szCs w:val="20"/>
          <w:lang w:val="en-US" w:eastAsia="en-US"/>
        </w:rPr>
        <w:t>Peru</w:t>
      </w:r>
      <w:r w:rsidR="00FA60EC" w:rsidRPr="00CF6765">
        <w:rPr>
          <w:rFonts w:eastAsia="Calibri"/>
          <w:iCs/>
          <w:sz w:val="20"/>
          <w:szCs w:val="20"/>
          <w:lang w:val="en-US" w:eastAsia="en-US"/>
        </w:rPr>
        <w:t>, Surinam</w:t>
      </w:r>
      <w:r w:rsidRPr="00CF6765">
        <w:rPr>
          <w:rFonts w:eastAsia="Calibri"/>
          <w:iCs/>
          <w:sz w:val="20"/>
          <w:szCs w:val="20"/>
          <w:lang w:val="en-US" w:eastAsia="en-US"/>
        </w:rPr>
        <w:t>e</w:t>
      </w:r>
      <w:r w:rsidR="00FA60EC" w:rsidRPr="00CF6765">
        <w:rPr>
          <w:rFonts w:eastAsia="Calibri"/>
          <w:iCs/>
          <w:sz w:val="20"/>
          <w:szCs w:val="20"/>
          <w:lang w:val="en-US" w:eastAsia="en-US"/>
        </w:rPr>
        <w:t>, Uruguay</w:t>
      </w:r>
      <w:r w:rsidR="00EC50FC" w:rsidRPr="00CF6765">
        <w:rPr>
          <w:rFonts w:eastAsia="Calibri"/>
          <w:iCs/>
          <w:sz w:val="20"/>
          <w:szCs w:val="20"/>
          <w:lang w:val="en-US" w:eastAsia="en-US"/>
        </w:rPr>
        <w:t xml:space="preserve"> and </w:t>
      </w:r>
      <w:r w:rsidR="00FA60EC" w:rsidRPr="00CF6765">
        <w:rPr>
          <w:rFonts w:eastAsia="Calibri"/>
          <w:iCs/>
          <w:sz w:val="20"/>
          <w:szCs w:val="20"/>
          <w:lang w:val="en-US" w:eastAsia="en-US"/>
        </w:rPr>
        <w:t>Venezuela</w:t>
      </w:r>
      <w:r w:rsidRPr="00CF6765">
        <w:rPr>
          <w:rFonts w:eastAsia="Calibri"/>
          <w:iCs/>
          <w:sz w:val="20"/>
          <w:szCs w:val="20"/>
          <w:lang w:val="en-US" w:eastAsia="en-US"/>
        </w:rPr>
        <w:t>.</w:t>
      </w:r>
      <w:r w:rsidR="00FA60EC" w:rsidRPr="00CF6765">
        <w:rPr>
          <w:rFonts w:eastAsia="Calibri"/>
          <w:iCs/>
          <w:sz w:val="20"/>
          <w:szCs w:val="20"/>
          <w:vertAlign w:val="superscript"/>
          <w:lang w:val="en-US" w:eastAsia="en-US"/>
        </w:rPr>
        <w:footnoteReference w:id="145"/>
      </w:r>
      <w:r w:rsidR="00FA60EC" w:rsidRPr="00CF6765">
        <w:rPr>
          <w:rFonts w:eastAsia="Calibri"/>
          <w:iCs/>
          <w:sz w:val="20"/>
          <w:szCs w:val="20"/>
          <w:lang w:val="en-US" w:eastAsia="en-US"/>
        </w:rPr>
        <w:t xml:space="preserve"> </w:t>
      </w:r>
    </w:p>
    <w:p w14:paraId="6A1421D7" w14:textId="77777777" w:rsidR="003B52C8" w:rsidRPr="00CF6765" w:rsidRDefault="003B52C8" w:rsidP="00AB1E03">
      <w:pPr>
        <w:tabs>
          <w:tab w:val="left" w:pos="567"/>
        </w:tabs>
        <w:ind w:right="-360"/>
        <w:contextualSpacing/>
        <w:rPr>
          <w:rFonts w:eastAsiaTheme="minorHAnsi" w:cs="Verdana"/>
          <w:sz w:val="20"/>
          <w:szCs w:val="20"/>
          <w:lang w:val="en-US" w:eastAsia="en-US"/>
        </w:rPr>
      </w:pPr>
    </w:p>
    <w:p w14:paraId="2971CA61" w14:textId="69F50164" w:rsidR="002570D1" w:rsidRPr="00CF6765" w:rsidRDefault="001C44C4" w:rsidP="00EB31AC">
      <w:pPr>
        <w:numPr>
          <w:ilvl w:val="0"/>
          <w:numId w:val="16"/>
        </w:numPr>
        <w:autoSpaceDE w:val="0"/>
        <w:autoSpaceDN w:val="0"/>
        <w:adjustRightInd w:val="0"/>
        <w:ind w:right="390"/>
        <w:contextualSpacing/>
        <w:rPr>
          <w:rFonts w:eastAsiaTheme="minorHAnsi" w:cs="Verdana"/>
          <w:i/>
          <w:sz w:val="20"/>
          <w:szCs w:val="20"/>
          <w:lang w:val="en-US" w:eastAsia="en-US"/>
        </w:rPr>
      </w:pPr>
      <w:r w:rsidRPr="00CF6765">
        <w:rPr>
          <w:rFonts w:eastAsiaTheme="minorHAnsi" w:cs="Verdana"/>
          <w:i/>
          <w:sz w:val="20"/>
          <w:szCs w:val="20"/>
          <w:lang w:val="en-US" w:eastAsia="en-US"/>
        </w:rPr>
        <w:t>International c</w:t>
      </w:r>
      <w:r w:rsidR="002570D1" w:rsidRPr="00CF6765">
        <w:rPr>
          <w:rFonts w:eastAsiaTheme="minorHAnsi" w:cs="Verdana"/>
          <w:i/>
          <w:sz w:val="20"/>
          <w:szCs w:val="20"/>
          <w:lang w:val="en-US" w:eastAsia="en-US"/>
        </w:rPr>
        <w:t xml:space="preserve">orpus </w:t>
      </w:r>
      <w:proofErr w:type="spellStart"/>
      <w:r w:rsidR="002570D1" w:rsidRPr="00CF6765">
        <w:rPr>
          <w:rFonts w:eastAsiaTheme="minorHAnsi" w:cs="Verdana"/>
          <w:i/>
          <w:sz w:val="20"/>
          <w:szCs w:val="20"/>
          <w:lang w:val="en-US" w:eastAsia="en-US"/>
        </w:rPr>
        <w:t>iuris</w:t>
      </w:r>
      <w:proofErr w:type="spellEnd"/>
      <w:r w:rsidR="002570D1" w:rsidRPr="00CF6765">
        <w:rPr>
          <w:rFonts w:eastAsiaTheme="minorHAnsi" w:cs="Verdana"/>
          <w:i/>
          <w:sz w:val="20"/>
          <w:szCs w:val="20"/>
          <w:lang w:val="en-US" w:eastAsia="en-US"/>
        </w:rPr>
        <w:t xml:space="preserve"> </w:t>
      </w:r>
      <w:r w:rsidRPr="00CF6765">
        <w:rPr>
          <w:rFonts w:eastAsiaTheme="minorHAnsi" w:cs="Verdana"/>
          <w:i/>
          <w:sz w:val="20"/>
          <w:szCs w:val="20"/>
          <w:lang w:val="en-US" w:eastAsia="en-US"/>
        </w:rPr>
        <w:t>on</w:t>
      </w:r>
      <w:r w:rsidR="00A34C6F" w:rsidRPr="00CF6765">
        <w:rPr>
          <w:rFonts w:eastAsiaTheme="minorHAnsi" w:cs="Verdana"/>
          <w:i/>
          <w:sz w:val="20"/>
          <w:szCs w:val="20"/>
          <w:lang w:val="en-US" w:eastAsia="en-US"/>
        </w:rPr>
        <w:t xml:space="preserve"> </w:t>
      </w:r>
      <w:r w:rsidR="00DE6950" w:rsidRPr="00CF6765">
        <w:rPr>
          <w:rFonts w:eastAsiaTheme="minorHAnsi" w:cs="Verdana"/>
          <w:i/>
          <w:sz w:val="20"/>
          <w:szCs w:val="20"/>
          <w:lang w:val="en-US" w:eastAsia="en-US"/>
        </w:rPr>
        <w:t>the right</w:t>
      </w:r>
      <w:r w:rsidR="00925BAC" w:rsidRPr="00CF6765">
        <w:rPr>
          <w:rFonts w:eastAsiaTheme="minorHAnsi" w:cs="Verdana"/>
          <w:i/>
          <w:sz w:val="20"/>
          <w:szCs w:val="20"/>
          <w:lang w:val="en-US" w:eastAsia="en-US"/>
        </w:rPr>
        <w:t xml:space="preserve"> to health</w:t>
      </w:r>
    </w:p>
    <w:p w14:paraId="5B9E7C51" w14:textId="77777777" w:rsidR="003B52C8" w:rsidRPr="00CF6765" w:rsidRDefault="003B52C8" w:rsidP="002570D1">
      <w:pPr>
        <w:autoSpaceDE w:val="0"/>
        <w:autoSpaceDN w:val="0"/>
        <w:adjustRightInd w:val="0"/>
        <w:ind w:left="270" w:right="390"/>
        <w:rPr>
          <w:rFonts w:eastAsiaTheme="minorHAnsi" w:cs="Verdana"/>
          <w:i/>
          <w:sz w:val="20"/>
          <w:szCs w:val="20"/>
          <w:lang w:val="en-US" w:eastAsia="en-US"/>
        </w:rPr>
      </w:pPr>
    </w:p>
    <w:p w14:paraId="4417E581" w14:textId="7E7DE4BA" w:rsidR="002570D1" w:rsidRPr="00CF6765" w:rsidRDefault="001C44C4" w:rsidP="0059117C">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w:t>
      </w:r>
      <w:r w:rsidR="00DE6950" w:rsidRPr="00CF6765">
        <w:rPr>
          <w:rFonts w:eastAsia="Calibri"/>
          <w:sz w:val="20"/>
          <w:szCs w:val="20"/>
          <w:lang w:val="en-US" w:eastAsia="en-US"/>
        </w:rPr>
        <w:t xml:space="preserve"> right</w:t>
      </w:r>
      <w:r w:rsidR="00925BAC" w:rsidRPr="00CF6765">
        <w:rPr>
          <w:rFonts w:eastAsia="Calibri"/>
          <w:sz w:val="20"/>
          <w:szCs w:val="20"/>
          <w:lang w:val="en-US" w:eastAsia="en-US"/>
        </w:rPr>
        <w:t xml:space="preserve"> to health</w:t>
      </w:r>
      <w:r w:rsidR="002570D1" w:rsidRPr="00CF6765">
        <w:rPr>
          <w:rFonts w:eastAsia="Calibri"/>
          <w:sz w:val="20"/>
          <w:szCs w:val="20"/>
          <w:lang w:val="en-US" w:eastAsia="en-US"/>
        </w:rPr>
        <w:t xml:space="preserve"> </w:t>
      </w:r>
      <w:r w:rsidRPr="00CF6765">
        <w:rPr>
          <w:rFonts w:eastAsia="Calibri"/>
          <w:sz w:val="20"/>
          <w:szCs w:val="20"/>
          <w:lang w:val="en-US" w:eastAsia="en-US"/>
        </w:rPr>
        <w:t>is also establish</w:t>
      </w:r>
      <w:r w:rsidR="00931092" w:rsidRPr="00CF6765">
        <w:rPr>
          <w:rFonts w:eastAsia="Calibri"/>
          <w:sz w:val="20"/>
          <w:szCs w:val="20"/>
          <w:lang w:val="en-US" w:eastAsia="en-US"/>
        </w:rPr>
        <w:t>ed</w:t>
      </w:r>
      <w:r w:rsidRPr="00CF6765">
        <w:rPr>
          <w:rFonts w:eastAsia="Calibri"/>
          <w:sz w:val="20"/>
          <w:szCs w:val="20"/>
          <w:lang w:val="en-US" w:eastAsia="en-US"/>
        </w:rPr>
        <w:t xml:space="preserve"> in a vast international </w:t>
      </w:r>
      <w:r w:rsidR="002570D1" w:rsidRPr="00CF6765">
        <w:rPr>
          <w:rFonts w:eastAsia="Calibri"/>
          <w:i/>
          <w:sz w:val="20"/>
          <w:szCs w:val="20"/>
          <w:lang w:val="en-US" w:eastAsia="en-US"/>
        </w:rPr>
        <w:t xml:space="preserve">corpus </w:t>
      </w:r>
      <w:proofErr w:type="spellStart"/>
      <w:r w:rsidR="002570D1" w:rsidRPr="00CF6765">
        <w:rPr>
          <w:rFonts w:eastAsia="Calibri"/>
          <w:i/>
          <w:sz w:val="20"/>
          <w:szCs w:val="20"/>
          <w:lang w:val="en-US" w:eastAsia="en-US"/>
        </w:rPr>
        <w:t>iuris</w:t>
      </w:r>
      <w:proofErr w:type="spellEnd"/>
      <w:r w:rsidR="002570D1" w:rsidRPr="00CF6765">
        <w:rPr>
          <w:rFonts w:eastAsia="Calibri"/>
          <w:sz w:val="20"/>
          <w:szCs w:val="20"/>
          <w:lang w:val="en-US" w:eastAsia="en-US"/>
        </w:rPr>
        <w:t xml:space="preserve">; </w:t>
      </w:r>
      <w:r w:rsidR="002570D1" w:rsidRPr="00CF6765">
        <w:rPr>
          <w:rFonts w:eastAsia="Calibri"/>
          <w:i/>
          <w:sz w:val="20"/>
          <w:szCs w:val="20"/>
          <w:lang w:val="en-US" w:eastAsia="en-US"/>
        </w:rPr>
        <w:t>inter alia</w:t>
      </w:r>
      <w:r w:rsidR="002570D1"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525F0E" w:rsidRPr="00CF6765">
        <w:rPr>
          <w:rFonts w:eastAsia="Calibri"/>
          <w:sz w:val="20"/>
          <w:szCs w:val="20"/>
          <w:lang w:val="en-US" w:eastAsia="en-US"/>
        </w:rPr>
        <w:t xml:space="preserve"> 2</w:t>
      </w:r>
      <w:r w:rsidR="00D2168F" w:rsidRPr="00CF6765">
        <w:rPr>
          <w:rFonts w:eastAsia="Calibri"/>
          <w:sz w:val="20"/>
          <w:szCs w:val="20"/>
          <w:lang w:val="en-US" w:eastAsia="en-US"/>
        </w:rPr>
        <w:t>5(1)</w:t>
      </w:r>
      <w:r w:rsidR="00525F0E" w:rsidRPr="00CF6765">
        <w:rPr>
          <w:rFonts w:eastAsia="Calibri"/>
          <w:sz w:val="20"/>
          <w:szCs w:val="20"/>
          <w:lang w:val="en-US" w:eastAsia="en-US"/>
        </w:rPr>
        <w:t xml:space="preserve"> </w:t>
      </w:r>
      <w:r w:rsidRPr="00CF6765">
        <w:rPr>
          <w:rFonts w:eastAsia="Calibri"/>
          <w:sz w:val="20"/>
          <w:szCs w:val="20"/>
          <w:lang w:val="en-US" w:eastAsia="en-US"/>
        </w:rPr>
        <w:t>of the Universal Declaration of Human Rights;</w:t>
      </w:r>
      <w:r w:rsidR="00525F0E" w:rsidRPr="00CF6765">
        <w:rPr>
          <w:rFonts w:eastAsia="Calibri"/>
          <w:iCs/>
          <w:sz w:val="20"/>
          <w:szCs w:val="20"/>
          <w:vertAlign w:val="superscript"/>
          <w:lang w:val="en-US" w:eastAsia="en-US"/>
        </w:rPr>
        <w:footnoteReference w:id="146"/>
      </w:r>
      <w:r w:rsidR="00525F0E"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2570D1" w:rsidRPr="00CF6765">
        <w:rPr>
          <w:rFonts w:eastAsia="Calibri"/>
          <w:sz w:val="20"/>
          <w:szCs w:val="20"/>
          <w:lang w:val="en-US" w:eastAsia="en-US"/>
        </w:rPr>
        <w:t xml:space="preserve"> 12 </w:t>
      </w:r>
      <w:r w:rsidRPr="00CF6765">
        <w:rPr>
          <w:rFonts w:eastAsia="Calibri"/>
          <w:sz w:val="20"/>
          <w:szCs w:val="20"/>
          <w:lang w:val="en-US" w:eastAsia="en-US"/>
        </w:rPr>
        <w:t>of the</w:t>
      </w:r>
      <w:r w:rsidR="002570D1" w:rsidRPr="00CF6765">
        <w:rPr>
          <w:rFonts w:eastAsia="Calibri"/>
          <w:sz w:val="20"/>
          <w:szCs w:val="20"/>
          <w:lang w:val="en-US" w:eastAsia="en-US"/>
        </w:rPr>
        <w:t xml:space="preserve"> </w:t>
      </w:r>
      <w:r w:rsidRPr="00CF6765">
        <w:rPr>
          <w:sz w:val="20"/>
          <w:szCs w:val="20"/>
          <w:lang w:val="en-US"/>
        </w:rPr>
        <w:t>International Covenant on Economic, Social and Cultural Rights</w:t>
      </w:r>
      <w:r w:rsidRPr="00CF6765">
        <w:rPr>
          <w:rFonts w:eastAsia="Calibri"/>
          <w:sz w:val="20"/>
          <w:szCs w:val="20"/>
          <w:lang w:val="en-US" w:eastAsia="en-US"/>
        </w:rPr>
        <w:t>;</w:t>
      </w:r>
      <w:r w:rsidR="002570D1" w:rsidRPr="00CF6765">
        <w:rPr>
          <w:rFonts w:eastAsia="Calibri"/>
          <w:iCs/>
          <w:sz w:val="20"/>
          <w:szCs w:val="20"/>
          <w:vertAlign w:val="superscript"/>
          <w:lang w:val="en-US" w:eastAsia="en-US"/>
        </w:rPr>
        <w:footnoteReference w:id="147"/>
      </w:r>
      <w:r w:rsidR="002570D1"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2570D1" w:rsidRPr="00CF6765">
        <w:rPr>
          <w:rFonts w:eastAsia="Calibri"/>
          <w:sz w:val="20"/>
          <w:szCs w:val="20"/>
          <w:lang w:val="en-US" w:eastAsia="en-US"/>
        </w:rPr>
        <w:t xml:space="preserve"> 10 </w:t>
      </w:r>
      <w:r w:rsidRPr="00CF6765">
        <w:rPr>
          <w:rFonts w:eastAsia="Calibri"/>
          <w:sz w:val="20"/>
          <w:szCs w:val="20"/>
          <w:lang w:val="en-US" w:eastAsia="en-US"/>
        </w:rPr>
        <w:t>of the Additional Protocol to</w:t>
      </w:r>
      <w:r w:rsidR="002570D1" w:rsidRPr="00CF6765">
        <w:rPr>
          <w:rFonts w:eastAsia="Calibri"/>
          <w:sz w:val="20"/>
          <w:szCs w:val="20"/>
          <w:lang w:val="en-US" w:eastAsia="en-US"/>
        </w:rPr>
        <w:t xml:space="preserve"> </w:t>
      </w:r>
      <w:r w:rsidR="005C731C" w:rsidRPr="00CF6765">
        <w:rPr>
          <w:rFonts w:eastAsia="Calibri"/>
          <w:sz w:val="20"/>
          <w:szCs w:val="20"/>
          <w:lang w:val="en-US" w:eastAsia="en-US"/>
        </w:rPr>
        <w:t>the American Convention</w:t>
      </w:r>
      <w:r w:rsidRPr="00CF6765">
        <w:rPr>
          <w:rFonts w:eastAsia="Calibri"/>
          <w:sz w:val="20"/>
          <w:szCs w:val="20"/>
          <w:lang w:val="en-US" w:eastAsia="en-US"/>
        </w:rPr>
        <w:t xml:space="preserve"> on Human Rights</w:t>
      </w:r>
      <w:r w:rsidR="002570D1" w:rsidRPr="00CF6765">
        <w:rPr>
          <w:rFonts w:eastAsia="Calibri"/>
          <w:sz w:val="20"/>
          <w:szCs w:val="20"/>
          <w:lang w:val="en-US" w:eastAsia="en-US"/>
        </w:rPr>
        <w:t xml:space="preserve"> </w:t>
      </w:r>
      <w:r w:rsidRPr="00CF6765">
        <w:rPr>
          <w:rFonts w:eastAsia="Calibri"/>
          <w:sz w:val="20"/>
          <w:szCs w:val="20"/>
          <w:lang w:val="en-US" w:eastAsia="en-US"/>
        </w:rPr>
        <w:t>in the Area of Economic, Social and Cultural Rights.</w:t>
      </w:r>
      <w:r w:rsidR="002570D1" w:rsidRPr="00CF6765">
        <w:rPr>
          <w:rFonts w:eastAsia="Calibri"/>
          <w:iCs/>
          <w:sz w:val="20"/>
          <w:szCs w:val="20"/>
          <w:vertAlign w:val="superscript"/>
          <w:lang w:val="en-US" w:eastAsia="en-US"/>
        </w:rPr>
        <w:footnoteReference w:id="148"/>
      </w:r>
      <w:r w:rsidR="002570D1" w:rsidRPr="00CF6765">
        <w:rPr>
          <w:rFonts w:eastAsia="Calibri"/>
          <w:sz w:val="20"/>
          <w:szCs w:val="20"/>
          <w:lang w:val="en-US" w:eastAsia="en-US"/>
        </w:rPr>
        <w:t xml:space="preserve"> </w:t>
      </w:r>
      <w:r w:rsidRPr="00CF6765">
        <w:rPr>
          <w:rFonts w:eastAsia="Calibri"/>
          <w:sz w:val="20"/>
          <w:szCs w:val="20"/>
          <w:lang w:val="en-US" w:eastAsia="en-US"/>
        </w:rPr>
        <w:t>In addition, the</w:t>
      </w:r>
      <w:r w:rsidR="00DE6950" w:rsidRPr="00CF6765">
        <w:rPr>
          <w:rFonts w:eastAsia="Calibri"/>
          <w:sz w:val="20"/>
          <w:szCs w:val="20"/>
          <w:lang w:val="en-US" w:eastAsia="en-US"/>
        </w:rPr>
        <w:t xml:space="preserve"> right</w:t>
      </w:r>
      <w:r w:rsidR="00925BAC" w:rsidRPr="00CF6765">
        <w:rPr>
          <w:rFonts w:eastAsia="Calibri"/>
          <w:sz w:val="20"/>
          <w:szCs w:val="20"/>
          <w:lang w:val="en-US" w:eastAsia="en-US"/>
        </w:rPr>
        <w:t xml:space="preserve"> to health</w:t>
      </w:r>
      <w:r w:rsidR="002570D1" w:rsidRPr="00CF6765">
        <w:rPr>
          <w:rFonts w:eastAsia="Calibri"/>
          <w:sz w:val="20"/>
          <w:szCs w:val="20"/>
          <w:lang w:val="en-US" w:eastAsia="en-US"/>
        </w:rPr>
        <w:t xml:space="preserve"> </w:t>
      </w:r>
      <w:r w:rsidRPr="00CF6765">
        <w:rPr>
          <w:rFonts w:eastAsia="Calibri"/>
          <w:sz w:val="20"/>
          <w:szCs w:val="20"/>
          <w:lang w:val="en-US" w:eastAsia="en-US"/>
        </w:rPr>
        <w:t>is recognized in</w:t>
      </w:r>
      <w:r w:rsidR="002570D1" w:rsidRPr="00CF6765">
        <w:rPr>
          <w:rFonts w:eastAsia="Calibri"/>
          <w:sz w:val="20"/>
          <w:szCs w:val="20"/>
          <w:lang w:val="en-US" w:eastAsia="en-US"/>
        </w:rPr>
        <w:t xml:space="preserve"> </w:t>
      </w:r>
      <w:r w:rsidRPr="00CF6765">
        <w:rPr>
          <w:rFonts w:eastAsia="Calibri"/>
          <w:sz w:val="20"/>
          <w:szCs w:val="20"/>
          <w:lang w:val="en-US" w:eastAsia="en-US"/>
        </w:rPr>
        <w:t>A</w:t>
      </w:r>
      <w:r w:rsidR="005C731C" w:rsidRPr="00CF6765">
        <w:rPr>
          <w:rFonts w:eastAsia="Calibri"/>
          <w:sz w:val="20"/>
          <w:szCs w:val="20"/>
          <w:lang w:val="en-US" w:eastAsia="en-US"/>
        </w:rPr>
        <w:t>rticle</w:t>
      </w:r>
      <w:r w:rsidR="000B2169" w:rsidRPr="00CF6765">
        <w:rPr>
          <w:rFonts w:eastAsia="Calibri"/>
          <w:sz w:val="20"/>
          <w:szCs w:val="20"/>
          <w:lang w:val="en-US" w:eastAsia="en-US"/>
        </w:rPr>
        <w:t xml:space="preserve"> 5</w:t>
      </w:r>
      <w:r w:rsidRPr="00CF6765">
        <w:rPr>
          <w:rFonts w:eastAsia="Calibri"/>
          <w:sz w:val="20"/>
          <w:szCs w:val="20"/>
          <w:lang w:val="en-US" w:eastAsia="en-US"/>
        </w:rPr>
        <w:t>(</w:t>
      </w:r>
      <w:r w:rsidR="000B2169" w:rsidRPr="00CF6765">
        <w:rPr>
          <w:rFonts w:eastAsia="Calibri"/>
          <w:sz w:val="20"/>
          <w:szCs w:val="20"/>
          <w:lang w:val="en-US" w:eastAsia="en-US"/>
        </w:rPr>
        <w:t>e</w:t>
      </w:r>
      <w:r w:rsidR="00A86D37" w:rsidRPr="00CF6765">
        <w:rPr>
          <w:rFonts w:eastAsia="Calibri"/>
          <w:sz w:val="20"/>
          <w:szCs w:val="20"/>
          <w:lang w:val="en-US" w:eastAsia="en-US"/>
        </w:rPr>
        <w:t>)</w:t>
      </w:r>
      <w:r w:rsidR="005C731C" w:rsidRPr="00CF6765">
        <w:rPr>
          <w:rFonts w:eastAsia="Calibri"/>
          <w:sz w:val="20"/>
          <w:szCs w:val="20"/>
          <w:lang w:val="en-US" w:eastAsia="en-US"/>
        </w:rPr>
        <w:t xml:space="preserve"> of the </w:t>
      </w:r>
      <w:r w:rsidRPr="00CF6765">
        <w:rPr>
          <w:rFonts w:eastAsia="Calibri"/>
          <w:sz w:val="20"/>
          <w:szCs w:val="20"/>
          <w:lang w:val="en-US" w:eastAsia="en-US"/>
        </w:rPr>
        <w:t xml:space="preserve">International </w:t>
      </w:r>
      <w:r w:rsidR="005C731C" w:rsidRPr="00CF6765">
        <w:rPr>
          <w:rFonts w:eastAsia="Calibri"/>
          <w:sz w:val="20"/>
          <w:szCs w:val="20"/>
          <w:lang w:val="en-US" w:eastAsia="en-US"/>
        </w:rPr>
        <w:t>Convention</w:t>
      </w:r>
      <w:r w:rsidRPr="00CF6765">
        <w:rPr>
          <w:rFonts w:eastAsia="Calibri"/>
          <w:sz w:val="20"/>
          <w:szCs w:val="20"/>
          <w:lang w:val="en-US" w:eastAsia="en-US"/>
        </w:rPr>
        <w:t xml:space="preserve"> on the Elimination of All Forms of Racial Discrimination;</w:t>
      </w:r>
      <w:r w:rsidR="002570D1" w:rsidRPr="00CF6765">
        <w:rPr>
          <w:rFonts w:eastAsia="Calibri"/>
          <w:iCs/>
          <w:sz w:val="20"/>
          <w:szCs w:val="20"/>
          <w:vertAlign w:val="superscript"/>
          <w:lang w:val="en-US" w:eastAsia="en-US"/>
        </w:rPr>
        <w:footnoteReference w:id="149"/>
      </w:r>
      <w:r w:rsidR="002570D1"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0B2169" w:rsidRPr="00CF6765">
        <w:rPr>
          <w:rFonts w:eastAsia="Calibri"/>
          <w:sz w:val="20"/>
          <w:szCs w:val="20"/>
          <w:lang w:val="en-US" w:eastAsia="en-US"/>
        </w:rPr>
        <w:t xml:space="preserve"> 12</w:t>
      </w:r>
      <w:r w:rsidRPr="00CF6765">
        <w:rPr>
          <w:rFonts w:eastAsia="Calibri"/>
          <w:sz w:val="20"/>
          <w:szCs w:val="20"/>
          <w:lang w:val="en-US" w:eastAsia="en-US"/>
        </w:rPr>
        <w:t>(</w:t>
      </w:r>
      <w:r w:rsidR="000B2169" w:rsidRPr="00CF6765">
        <w:rPr>
          <w:rFonts w:eastAsia="Calibri"/>
          <w:sz w:val="20"/>
          <w:szCs w:val="20"/>
          <w:lang w:val="en-US" w:eastAsia="en-US"/>
        </w:rPr>
        <w:t>1</w:t>
      </w:r>
      <w:r w:rsidRPr="00CF6765">
        <w:rPr>
          <w:rFonts w:eastAsia="Calibri"/>
          <w:sz w:val="20"/>
          <w:szCs w:val="20"/>
          <w:lang w:val="en-US" w:eastAsia="en-US"/>
        </w:rPr>
        <w:t>)</w:t>
      </w:r>
      <w:r w:rsidR="005C731C" w:rsidRPr="00CF6765">
        <w:rPr>
          <w:rFonts w:eastAsia="Calibri"/>
          <w:sz w:val="20"/>
          <w:szCs w:val="20"/>
          <w:lang w:val="en-US" w:eastAsia="en-US"/>
        </w:rPr>
        <w:t xml:space="preserve"> of the Convention</w:t>
      </w:r>
      <w:r w:rsidR="002570D1" w:rsidRPr="00CF6765">
        <w:rPr>
          <w:rFonts w:eastAsia="Calibri"/>
          <w:sz w:val="20"/>
          <w:szCs w:val="20"/>
          <w:lang w:val="en-US" w:eastAsia="en-US"/>
        </w:rPr>
        <w:t xml:space="preserve"> </w:t>
      </w:r>
      <w:r w:rsidRPr="00CF6765">
        <w:rPr>
          <w:rFonts w:eastAsia="Calibri"/>
          <w:sz w:val="20"/>
          <w:szCs w:val="20"/>
          <w:lang w:val="en-US" w:eastAsia="en-US"/>
        </w:rPr>
        <w:t>on the Elimination of All Forms of Discrimination against Women;</w:t>
      </w:r>
      <w:r w:rsidR="002570D1" w:rsidRPr="00CF6765">
        <w:rPr>
          <w:rFonts w:eastAsia="Calibri"/>
          <w:iCs/>
          <w:sz w:val="20"/>
          <w:vertAlign w:val="superscript"/>
          <w:lang w:val="en-US" w:eastAsia="en-US"/>
        </w:rPr>
        <w:footnoteReference w:id="150"/>
      </w:r>
      <w:r w:rsidR="002570D1"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0B2169" w:rsidRPr="00CF6765">
        <w:rPr>
          <w:rFonts w:eastAsia="Calibri"/>
          <w:sz w:val="20"/>
          <w:szCs w:val="20"/>
          <w:lang w:val="en-US" w:eastAsia="en-US"/>
        </w:rPr>
        <w:t xml:space="preserve"> 2</w:t>
      </w:r>
      <w:r w:rsidR="00D2168F" w:rsidRPr="00CF6765">
        <w:rPr>
          <w:rFonts w:eastAsia="Calibri"/>
          <w:sz w:val="20"/>
          <w:szCs w:val="20"/>
          <w:lang w:val="en-US" w:eastAsia="en-US"/>
        </w:rPr>
        <w:t>4(1)</w:t>
      </w:r>
      <w:r w:rsidR="005C731C" w:rsidRPr="00CF6765">
        <w:rPr>
          <w:rFonts w:eastAsia="Calibri"/>
          <w:sz w:val="20"/>
          <w:szCs w:val="20"/>
          <w:lang w:val="en-US" w:eastAsia="en-US"/>
        </w:rPr>
        <w:t xml:space="preserve"> of the Convention</w:t>
      </w:r>
      <w:r w:rsidR="002570D1" w:rsidRPr="00CF6765">
        <w:rPr>
          <w:rFonts w:eastAsia="Calibri"/>
          <w:sz w:val="20"/>
          <w:szCs w:val="20"/>
          <w:lang w:val="en-US" w:eastAsia="en-US"/>
        </w:rPr>
        <w:t xml:space="preserve"> </w:t>
      </w:r>
      <w:r w:rsidRPr="00CF6765">
        <w:rPr>
          <w:rFonts w:eastAsia="Calibri"/>
          <w:sz w:val="20"/>
          <w:szCs w:val="20"/>
          <w:lang w:val="en-US" w:eastAsia="en-US"/>
        </w:rPr>
        <w:t>on the Rights of the Child;</w:t>
      </w:r>
      <w:r w:rsidR="002570D1" w:rsidRPr="00CF6765">
        <w:rPr>
          <w:rFonts w:eastAsia="Calibri"/>
          <w:iCs/>
          <w:sz w:val="20"/>
          <w:vertAlign w:val="superscript"/>
          <w:lang w:val="en-US" w:eastAsia="en-US"/>
        </w:rPr>
        <w:footnoteReference w:id="151"/>
      </w:r>
      <w:r w:rsidR="002570D1"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0B2169" w:rsidRPr="00CF6765">
        <w:rPr>
          <w:rFonts w:eastAsia="Calibri"/>
          <w:sz w:val="20"/>
          <w:szCs w:val="20"/>
          <w:lang w:val="en-US" w:eastAsia="en-US"/>
        </w:rPr>
        <w:t xml:space="preserve"> 28</w:t>
      </w:r>
      <w:r w:rsidR="005C731C" w:rsidRPr="00CF6765">
        <w:rPr>
          <w:rFonts w:eastAsia="Calibri"/>
          <w:sz w:val="20"/>
          <w:szCs w:val="20"/>
          <w:lang w:val="en-US" w:eastAsia="en-US"/>
        </w:rPr>
        <w:t xml:space="preserve"> of the </w:t>
      </w:r>
      <w:r w:rsidRPr="00CF6765">
        <w:rPr>
          <w:rFonts w:eastAsia="Calibri"/>
          <w:sz w:val="20"/>
          <w:szCs w:val="20"/>
          <w:lang w:val="en-US" w:eastAsia="en-US"/>
        </w:rPr>
        <w:t xml:space="preserve">International </w:t>
      </w:r>
      <w:r w:rsidR="005C731C" w:rsidRPr="00CF6765">
        <w:rPr>
          <w:rFonts w:eastAsia="Calibri"/>
          <w:sz w:val="20"/>
          <w:szCs w:val="20"/>
          <w:lang w:val="en-US" w:eastAsia="en-US"/>
        </w:rPr>
        <w:t>Convention</w:t>
      </w:r>
      <w:r w:rsidR="002570D1" w:rsidRPr="00CF6765">
        <w:rPr>
          <w:rFonts w:eastAsia="Calibri"/>
          <w:sz w:val="20"/>
          <w:szCs w:val="20"/>
          <w:lang w:val="en-US" w:eastAsia="en-US"/>
        </w:rPr>
        <w:t xml:space="preserve"> </w:t>
      </w:r>
      <w:r w:rsidRPr="00CF6765">
        <w:rPr>
          <w:rFonts w:eastAsia="Calibri"/>
          <w:sz w:val="20"/>
          <w:szCs w:val="20"/>
          <w:lang w:val="en-US" w:eastAsia="en-US"/>
        </w:rPr>
        <w:t xml:space="preserve">on the Protection of the Rights of All Migrant </w:t>
      </w:r>
      <w:r w:rsidRPr="00CF6765">
        <w:rPr>
          <w:rFonts w:eastAsia="Calibri"/>
          <w:sz w:val="20"/>
          <w:szCs w:val="20"/>
          <w:lang w:val="en-US" w:eastAsia="en-US"/>
        </w:rPr>
        <w:lastRenderedPageBreak/>
        <w:t>Workers and Members of their Families,</w:t>
      </w:r>
      <w:r w:rsidR="002570D1" w:rsidRPr="00CF6765">
        <w:rPr>
          <w:rFonts w:eastAsia="Calibri"/>
          <w:iCs/>
          <w:sz w:val="20"/>
          <w:vertAlign w:val="superscript"/>
          <w:lang w:val="en-US" w:eastAsia="en-US"/>
        </w:rPr>
        <w:footnoteReference w:id="152"/>
      </w:r>
      <w:r w:rsidR="00EC50FC" w:rsidRPr="00CF6765">
        <w:rPr>
          <w:rFonts w:eastAsia="Calibri"/>
          <w:sz w:val="20"/>
          <w:szCs w:val="20"/>
          <w:lang w:val="en-US" w:eastAsia="en-US"/>
        </w:rPr>
        <w:t xml:space="preserve"> and </w:t>
      </w:r>
      <w:r w:rsidR="005C731C" w:rsidRPr="00CF6765">
        <w:rPr>
          <w:rFonts w:eastAsia="Calibri"/>
          <w:sz w:val="20"/>
          <w:szCs w:val="20"/>
          <w:lang w:val="en-US" w:eastAsia="en-US"/>
        </w:rPr>
        <w:t>Article</w:t>
      </w:r>
      <w:r w:rsidR="000B2169" w:rsidRPr="00CF6765">
        <w:rPr>
          <w:rFonts w:eastAsia="Calibri"/>
          <w:sz w:val="20"/>
          <w:szCs w:val="20"/>
          <w:lang w:val="en-US" w:eastAsia="en-US"/>
        </w:rPr>
        <w:t xml:space="preserve"> 25</w:t>
      </w:r>
      <w:r w:rsidR="005C731C" w:rsidRPr="00CF6765">
        <w:rPr>
          <w:rFonts w:eastAsia="Calibri"/>
          <w:sz w:val="20"/>
          <w:szCs w:val="20"/>
          <w:lang w:val="en-US" w:eastAsia="en-US"/>
        </w:rPr>
        <w:t xml:space="preserve"> of the Convention</w:t>
      </w:r>
      <w:r w:rsidR="002570D1" w:rsidRPr="00CF6765">
        <w:rPr>
          <w:rFonts w:eastAsia="Calibri"/>
          <w:sz w:val="20"/>
          <w:szCs w:val="20"/>
          <w:lang w:val="en-US" w:eastAsia="en-US"/>
        </w:rPr>
        <w:t xml:space="preserve"> </w:t>
      </w:r>
      <w:r w:rsidRPr="00CF6765">
        <w:rPr>
          <w:rFonts w:eastAsia="Calibri"/>
          <w:sz w:val="20"/>
          <w:szCs w:val="20"/>
          <w:lang w:val="en-US" w:eastAsia="en-US"/>
        </w:rPr>
        <w:t>on the Rights of Persons with Disabilities.</w:t>
      </w:r>
      <w:r w:rsidR="002570D1" w:rsidRPr="00CF6765">
        <w:rPr>
          <w:rFonts w:eastAsia="Calibri"/>
          <w:iCs/>
          <w:sz w:val="20"/>
          <w:vertAlign w:val="superscript"/>
          <w:lang w:val="en-US" w:eastAsia="en-US"/>
        </w:rPr>
        <w:footnoteReference w:id="153"/>
      </w:r>
      <w:r w:rsidR="002570D1" w:rsidRPr="00CF6765">
        <w:rPr>
          <w:rFonts w:eastAsia="Calibri"/>
          <w:sz w:val="20"/>
          <w:szCs w:val="20"/>
          <w:lang w:val="en-US" w:eastAsia="en-US"/>
        </w:rPr>
        <w:t xml:space="preserve"> </w:t>
      </w:r>
      <w:r w:rsidR="00D866E6" w:rsidRPr="00CF6765">
        <w:rPr>
          <w:rFonts w:eastAsia="Calibri"/>
          <w:sz w:val="20"/>
          <w:szCs w:val="20"/>
          <w:lang w:val="en-US" w:eastAsia="en-US"/>
        </w:rPr>
        <w:t>This right is also established in several regional human rights instruments, such as in</w:t>
      </w:r>
      <w:r w:rsidR="000B2169"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0B2169" w:rsidRPr="00CF6765">
        <w:rPr>
          <w:rFonts w:eastAsia="Calibri"/>
          <w:sz w:val="20"/>
          <w:szCs w:val="20"/>
          <w:lang w:val="en-US" w:eastAsia="en-US"/>
        </w:rPr>
        <w:t xml:space="preserve"> 17 </w:t>
      </w:r>
      <w:r w:rsidR="00D866E6" w:rsidRPr="00CF6765">
        <w:rPr>
          <w:rFonts w:eastAsia="Calibri"/>
          <w:sz w:val="20"/>
          <w:szCs w:val="20"/>
          <w:lang w:val="en-US" w:eastAsia="en-US"/>
        </w:rPr>
        <w:t>of the Social Charter of the Americas;</w:t>
      </w:r>
      <w:r w:rsidR="00795461" w:rsidRPr="00CF6765">
        <w:rPr>
          <w:rFonts w:eastAsia="Calibri"/>
          <w:sz w:val="20"/>
          <w:szCs w:val="20"/>
          <w:vertAlign w:val="superscript"/>
          <w:lang w:val="en-US" w:eastAsia="en-US"/>
        </w:rPr>
        <w:footnoteReference w:id="154"/>
      </w:r>
      <w:r w:rsidR="00795461"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0B2169" w:rsidRPr="00CF6765">
        <w:rPr>
          <w:rFonts w:eastAsia="Calibri"/>
          <w:sz w:val="20"/>
          <w:szCs w:val="20"/>
          <w:lang w:val="en-US" w:eastAsia="en-US"/>
        </w:rPr>
        <w:t xml:space="preserve"> 11 </w:t>
      </w:r>
      <w:r w:rsidR="00D866E6" w:rsidRPr="00CF6765">
        <w:rPr>
          <w:rFonts w:eastAsia="Calibri"/>
          <w:sz w:val="20"/>
          <w:szCs w:val="20"/>
          <w:lang w:val="en-US" w:eastAsia="en-US"/>
        </w:rPr>
        <w:t>of the 1961 European Social Charter, as amended;</w:t>
      </w:r>
      <w:r w:rsidR="00B1523A" w:rsidRPr="00CF6765">
        <w:rPr>
          <w:rStyle w:val="Refdenotaalpie"/>
          <w:rFonts w:eastAsia="Calibri"/>
          <w:sz w:val="20"/>
          <w:szCs w:val="20"/>
          <w:lang w:val="en-US" w:eastAsia="en-US"/>
        </w:rPr>
        <w:footnoteReference w:id="155"/>
      </w:r>
      <w:r w:rsidR="00D866E6"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6E74B8" w:rsidRPr="00CF6765">
        <w:rPr>
          <w:rFonts w:eastAsia="Calibri"/>
          <w:sz w:val="20"/>
          <w:szCs w:val="20"/>
          <w:lang w:val="en-US" w:eastAsia="en-US"/>
        </w:rPr>
        <w:t xml:space="preserve"> 16</w:t>
      </w:r>
      <w:r w:rsidR="00D866E6" w:rsidRPr="00CF6765">
        <w:rPr>
          <w:rFonts w:eastAsia="Calibri"/>
          <w:sz w:val="20"/>
          <w:szCs w:val="20"/>
          <w:lang w:val="en-US" w:eastAsia="en-US"/>
        </w:rPr>
        <w:t xml:space="preserve"> of the African Charter on Human and Peoples’ Rights,</w:t>
      </w:r>
      <w:r w:rsidR="002570D1" w:rsidRPr="00CF6765">
        <w:rPr>
          <w:rFonts w:eastAsia="Calibri"/>
          <w:iCs/>
          <w:sz w:val="20"/>
          <w:szCs w:val="20"/>
          <w:vertAlign w:val="superscript"/>
          <w:lang w:val="en-US" w:eastAsia="en-US"/>
        </w:rPr>
        <w:footnoteReference w:id="156"/>
      </w:r>
      <w:r w:rsidR="00D866E6" w:rsidRPr="00CF6765">
        <w:rPr>
          <w:rFonts w:eastAsia="Calibri"/>
          <w:sz w:val="20"/>
          <w:szCs w:val="20"/>
          <w:lang w:val="en-US" w:eastAsia="en-US"/>
        </w:rPr>
        <w:t xml:space="preserve"> and recently in the Inter-American Convention on Protecting </w:t>
      </w:r>
      <w:r w:rsidR="00D866E6" w:rsidRPr="00CF6765">
        <w:rPr>
          <w:sz w:val="20"/>
          <w:szCs w:val="20"/>
          <w:lang w:val="en-US"/>
        </w:rPr>
        <w:t>the Human Rights of Older Persons</w:t>
      </w:r>
      <w:r w:rsidR="00525F0E" w:rsidRPr="00CF6765">
        <w:rPr>
          <w:rFonts w:eastAsia="Calibri"/>
          <w:sz w:val="20"/>
          <w:szCs w:val="20"/>
          <w:vertAlign w:val="superscript"/>
          <w:lang w:val="en-US" w:eastAsia="en-US"/>
        </w:rPr>
        <w:footnoteReference w:id="157"/>
      </w:r>
      <w:r w:rsidR="00577C37" w:rsidRPr="00CF6765">
        <w:rPr>
          <w:rFonts w:eastAsia="Calibri"/>
          <w:sz w:val="20"/>
          <w:szCs w:val="20"/>
          <w:lang w:val="en-US" w:eastAsia="en-US"/>
        </w:rPr>
        <w:t xml:space="preserve"> </w:t>
      </w:r>
      <w:r w:rsidR="00A86D37" w:rsidRPr="00CF6765">
        <w:rPr>
          <w:rFonts w:eastAsia="Calibri"/>
          <w:sz w:val="20"/>
          <w:szCs w:val="20"/>
          <w:lang w:val="en-US" w:eastAsia="en-US"/>
        </w:rPr>
        <w:t>(</w:t>
      </w:r>
      <w:r w:rsidR="00D866E6" w:rsidRPr="00CF6765">
        <w:rPr>
          <w:rFonts w:eastAsia="Calibri"/>
          <w:sz w:val="20"/>
          <w:szCs w:val="20"/>
          <w:lang w:val="en-US" w:eastAsia="en-US"/>
        </w:rPr>
        <w:t xml:space="preserve">although it should be pointed out, that owing to the date </w:t>
      </w:r>
      <w:r w:rsidR="00931092" w:rsidRPr="00CF6765">
        <w:rPr>
          <w:rFonts w:eastAsia="Calibri"/>
          <w:sz w:val="20"/>
          <w:szCs w:val="20"/>
          <w:lang w:val="en-US" w:eastAsia="en-US"/>
        </w:rPr>
        <w:t>this</w:t>
      </w:r>
      <w:r w:rsidR="00D866E6" w:rsidRPr="00CF6765">
        <w:rPr>
          <w:rFonts w:eastAsia="Calibri"/>
          <w:sz w:val="20"/>
          <w:szCs w:val="20"/>
          <w:lang w:val="en-US" w:eastAsia="en-US"/>
        </w:rPr>
        <w:t xml:space="preserve"> came into effect, it is not enforceable in relation to the facts of the instant case). The</w:t>
      </w:r>
      <w:r w:rsidR="00DE6950" w:rsidRPr="00CF6765">
        <w:rPr>
          <w:rFonts w:eastAsia="Calibri"/>
          <w:sz w:val="20"/>
          <w:szCs w:val="20"/>
          <w:lang w:val="en-US" w:eastAsia="en-US"/>
        </w:rPr>
        <w:t xml:space="preserve"> right</w:t>
      </w:r>
      <w:r w:rsidR="00925BAC" w:rsidRPr="00CF6765">
        <w:rPr>
          <w:rFonts w:eastAsia="Calibri"/>
          <w:sz w:val="20"/>
          <w:szCs w:val="20"/>
          <w:lang w:val="en-US" w:eastAsia="en-US"/>
        </w:rPr>
        <w:t xml:space="preserve"> to health</w:t>
      </w:r>
      <w:r w:rsidR="002570D1" w:rsidRPr="00CF6765">
        <w:rPr>
          <w:rFonts w:eastAsia="Calibri"/>
          <w:sz w:val="20"/>
          <w:szCs w:val="20"/>
          <w:lang w:val="en-US" w:eastAsia="en-US"/>
        </w:rPr>
        <w:t xml:space="preserve"> ha</w:t>
      </w:r>
      <w:r w:rsidR="00D866E6" w:rsidRPr="00CF6765">
        <w:rPr>
          <w:rFonts w:eastAsia="Calibri"/>
          <w:sz w:val="20"/>
          <w:szCs w:val="20"/>
          <w:lang w:val="en-US" w:eastAsia="en-US"/>
        </w:rPr>
        <w:t>s also been recognized in Section II,</w:t>
      </w:r>
      <w:r w:rsidR="00DC5AED" w:rsidRPr="00CF6765">
        <w:rPr>
          <w:rFonts w:eastAsia="Calibri"/>
          <w:sz w:val="20"/>
          <w:szCs w:val="20"/>
          <w:lang w:val="en-US" w:eastAsia="en-US"/>
        </w:rPr>
        <w:t xml:space="preserve"> paragraph</w:t>
      </w:r>
      <w:r w:rsidR="00D866E6" w:rsidRPr="00CF6765">
        <w:rPr>
          <w:rFonts w:eastAsia="Calibri"/>
          <w:sz w:val="20"/>
          <w:szCs w:val="20"/>
          <w:lang w:val="en-US" w:eastAsia="en-US"/>
        </w:rPr>
        <w:t xml:space="preserve"> </w:t>
      </w:r>
      <w:r w:rsidR="006E74B8" w:rsidRPr="00CF6765">
        <w:rPr>
          <w:rFonts w:eastAsia="Calibri"/>
          <w:sz w:val="20"/>
          <w:szCs w:val="20"/>
          <w:lang w:val="en-US" w:eastAsia="en-US"/>
        </w:rPr>
        <w:t>41</w:t>
      </w:r>
      <w:r w:rsidR="00685E58" w:rsidRPr="00CF6765">
        <w:rPr>
          <w:rFonts w:eastAsia="Calibri"/>
          <w:sz w:val="20"/>
          <w:szCs w:val="20"/>
          <w:lang w:val="en-US" w:eastAsia="en-US"/>
        </w:rPr>
        <w:t>,</w:t>
      </w:r>
      <w:r w:rsidR="006E74B8" w:rsidRPr="00CF6765">
        <w:rPr>
          <w:rFonts w:eastAsia="Calibri"/>
          <w:sz w:val="20"/>
          <w:szCs w:val="20"/>
          <w:lang w:val="en-US" w:eastAsia="en-US"/>
        </w:rPr>
        <w:t xml:space="preserve"> </w:t>
      </w:r>
      <w:r w:rsidR="00D866E6" w:rsidRPr="00CF6765">
        <w:rPr>
          <w:rFonts w:eastAsia="Calibri"/>
          <w:sz w:val="20"/>
          <w:szCs w:val="20"/>
          <w:lang w:val="en-US" w:eastAsia="en-US"/>
        </w:rPr>
        <w:t xml:space="preserve">of the Vienna Declaration and </w:t>
      </w:r>
      <w:proofErr w:type="spellStart"/>
      <w:r w:rsidR="00D866E6" w:rsidRPr="00CF6765">
        <w:rPr>
          <w:rFonts w:eastAsia="Calibri"/>
          <w:sz w:val="20"/>
          <w:szCs w:val="20"/>
          <w:lang w:val="en-US" w:eastAsia="en-US"/>
        </w:rPr>
        <w:t>Programme</w:t>
      </w:r>
      <w:proofErr w:type="spellEnd"/>
      <w:r w:rsidR="00D866E6" w:rsidRPr="00CF6765">
        <w:rPr>
          <w:rFonts w:eastAsia="Calibri"/>
          <w:sz w:val="20"/>
          <w:szCs w:val="20"/>
          <w:lang w:val="en-US" w:eastAsia="en-US"/>
        </w:rPr>
        <w:t xml:space="preserve"> of Action,</w:t>
      </w:r>
      <w:r w:rsidR="002570D1" w:rsidRPr="00CF6765">
        <w:rPr>
          <w:rFonts w:eastAsia="Calibri"/>
          <w:iCs/>
          <w:sz w:val="20"/>
          <w:vertAlign w:val="superscript"/>
          <w:lang w:val="en-US" w:eastAsia="en-US"/>
        </w:rPr>
        <w:footnoteReference w:id="158"/>
      </w:r>
      <w:r w:rsidR="00D866E6" w:rsidRPr="00CF6765">
        <w:rPr>
          <w:rFonts w:eastAsia="Calibri"/>
          <w:sz w:val="20"/>
          <w:vertAlign w:val="superscript"/>
          <w:lang w:val="en-US" w:eastAsia="en-US"/>
        </w:rPr>
        <w:t xml:space="preserve"> </w:t>
      </w:r>
      <w:r w:rsidR="00D866E6" w:rsidRPr="00CF6765">
        <w:rPr>
          <w:rFonts w:eastAsia="Calibri"/>
          <w:sz w:val="20"/>
          <w:szCs w:val="20"/>
          <w:lang w:val="en-US" w:eastAsia="en-US"/>
        </w:rPr>
        <w:t>and in other international instruments and decisions.</w:t>
      </w:r>
      <w:r w:rsidR="002570D1" w:rsidRPr="00CF6765">
        <w:rPr>
          <w:rFonts w:eastAsia="Calibri"/>
          <w:iCs/>
          <w:sz w:val="20"/>
          <w:vertAlign w:val="superscript"/>
          <w:lang w:val="en-US" w:eastAsia="en-US"/>
        </w:rPr>
        <w:footnoteReference w:id="159"/>
      </w:r>
    </w:p>
    <w:p w14:paraId="63CC4DA5" w14:textId="77777777" w:rsidR="00A23D78" w:rsidRPr="00CF6765" w:rsidRDefault="00A23D78" w:rsidP="0059117C">
      <w:pPr>
        <w:tabs>
          <w:tab w:val="left" w:pos="567"/>
        </w:tabs>
        <w:rPr>
          <w:rFonts w:eastAsia="Calibri"/>
          <w:sz w:val="20"/>
          <w:szCs w:val="20"/>
          <w:lang w:val="en-US" w:eastAsia="en-US"/>
        </w:rPr>
      </w:pPr>
    </w:p>
    <w:p w14:paraId="2FCB8D3B" w14:textId="5AAFBB1B" w:rsidR="002E06CD" w:rsidRPr="00CF6765" w:rsidRDefault="000B40E9" w:rsidP="0059117C">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Meanwhile, the United Nations Committee on Economic, Social and Cultural Rights </w:t>
      </w:r>
      <w:r w:rsidR="00A86D37" w:rsidRPr="00CF6765">
        <w:rPr>
          <w:rFonts w:eastAsia="Calibri"/>
          <w:sz w:val="20"/>
          <w:szCs w:val="20"/>
          <w:lang w:val="en-US" w:eastAsia="en-US"/>
        </w:rPr>
        <w:t>(</w:t>
      </w:r>
      <w:r w:rsidR="005C731C" w:rsidRPr="00CF6765">
        <w:rPr>
          <w:rFonts w:eastAsia="Calibri"/>
          <w:sz w:val="20"/>
          <w:szCs w:val="20"/>
          <w:lang w:val="en-US" w:eastAsia="en-US"/>
        </w:rPr>
        <w:t>hereinafter</w:t>
      </w:r>
      <w:r w:rsidR="00A86D37" w:rsidRPr="00CF6765">
        <w:rPr>
          <w:rFonts w:eastAsia="Calibri"/>
          <w:sz w:val="20"/>
          <w:szCs w:val="20"/>
          <w:lang w:val="en-US" w:eastAsia="en-US"/>
        </w:rPr>
        <w:t xml:space="preserve"> </w:t>
      </w:r>
      <w:r w:rsidRPr="00CF6765">
        <w:rPr>
          <w:rFonts w:eastAsia="Calibri"/>
          <w:sz w:val="20"/>
          <w:szCs w:val="20"/>
          <w:lang w:val="en-US" w:eastAsia="en-US"/>
        </w:rPr>
        <w:t>“the CESCR”</w:t>
      </w:r>
      <w:r w:rsidR="00A86D37" w:rsidRPr="00CF6765">
        <w:rPr>
          <w:rFonts w:eastAsia="Calibri"/>
          <w:sz w:val="20"/>
          <w:szCs w:val="20"/>
          <w:lang w:val="en-US" w:eastAsia="en-US"/>
        </w:rPr>
        <w:t>)</w:t>
      </w:r>
      <w:r w:rsidR="00B37825" w:rsidRPr="00CF6765">
        <w:rPr>
          <w:rFonts w:eastAsia="Calibri"/>
          <w:sz w:val="20"/>
          <w:szCs w:val="20"/>
          <w:lang w:val="en-US" w:eastAsia="en-US"/>
        </w:rPr>
        <w:t xml:space="preserve"> </w:t>
      </w:r>
      <w:r w:rsidRPr="00CF6765">
        <w:rPr>
          <w:rFonts w:eastAsia="Calibri"/>
          <w:sz w:val="20"/>
          <w:szCs w:val="20"/>
          <w:lang w:val="en-US" w:eastAsia="en-US"/>
        </w:rPr>
        <w:t xml:space="preserve">has ruled on the obligations of the States in the field of health, mainly </w:t>
      </w:r>
      <w:r w:rsidRPr="00CF6765">
        <w:rPr>
          <w:rFonts w:eastAsia="Calibri"/>
          <w:sz w:val="20"/>
          <w:szCs w:val="20"/>
          <w:lang w:val="en-US" w:eastAsia="en-US"/>
        </w:rPr>
        <w:lastRenderedPageBreak/>
        <w:t xml:space="preserve">in its </w:t>
      </w:r>
      <w:r w:rsidR="0090740B" w:rsidRPr="00CF6765">
        <w:rPr>
          <w:rFonts w:eastAsia="Calibri"/>
          <w:sz w:val="20"/>
          <w:szCs w:val="20"/>
          <w:lang w:val="en-US" w:eastAsia="en-US"/>
        </w:rPr>
        <w:t>General</w:t>
      </w:r>
      <w:r w:rsidRPr="00CF6765">
        <w:rPr>
          <w:rFonts w:eastAsia="Calibri"/>
          <w:sz w:val="20"/>
          <w:szCs w:val="20"/>
          <w:lang w:val="en-US" w:eastAsia="en-US"/>
        </w:rPr>
        <w:t xml:space="preserve"> Comment No. </w:t>
      </w:r>
      <w:r w:rsidR="00B37825" w:rsidRPr="00CF6765">
        <w:rPr>
          <w:rFonts w:eastAsia="Calibri"/>
          <w:sz w:val="20"/>
          <w:szCs w:val="20"/>
          <w:lang w:val="en-US" w:eastAsia="en-US"/>
        </w:rPr>
        <w:t xml:space="preserve">14 </w:t>
      </w:r>
      <w:r w:rsidRPr="00CF6765">
        <w:rPr>
          <w:rFonts w:eastAsia="Calibri"/>
          <w:sz w:val="20"/>
          <w:szCs w:val="20"/>
          <w:lang w:val="en-US" w:eastAsia="en-US"/>
        </w:rPr>
        <w:t xml:space="preserve">on </w:t>
      </w:r>
      <w:r w:rsidR="00DE6950" w:rsidRPr="00CF6765">
        <w:rPr>
          <w:color w:val="000000"/>
          <w:sz w:val="20"/>
          <w:szCs w:val="16"/>
          <w:lang w:val="en-US"/>
        </w:rPr>
        <w:t>the right</w:t>
      </w:r>
      <w:r w:rsidR="00B37825" w:rsidRPr="00CF6765">
        <w:rPr>
          <w:color w:val="000000"/>
          <w:sz w:val="20"/>
          <w:szCs w:val="16"/>
          <w:lang w:val="en-US"/>
        </w:rPr>
        <w:t xml:space="preserve"> </w:t>
      </w:r>
      <w:r w:rsidRPr="00CF6765">
        <w:rPr>
          <w:color w:val="000000"/>
          <w:sz w:val="20"/>
          <w:szCs w:val="16"/>
          <w:lang w:val="en-US"/>
        </w:rPr>
        <w:t>to the highest attainable standard of health.</w:t>
      </w:r>
      <w:r w:rsidR="00B37825" w:rsidRPr="00CF6765">
        <w:rPr>
          <w:rFonts w:eastAsia="Calibri"/>
          <w:sz w:val="20"/>
          <w:szCs w:val="20"/>
          <w:vertAlign w:val="superscript"/>
          <w:lang w:val="en-US" w:eastAsia="en-US"/>
        </w:rPr>
        <w:footnoteReference w:id="160"/>
      </w:r>
      <w:r w:rsidR="00B37825" w:rsidRPr="00CF6765">
        <w:rPr>
          <w:rFonts w:eastAsia="Calibri"/>
          <w:sz w:val="20"/>
          <w:szCs w:val="20"/>
          <w:lang w:val="en-US" w:eastAsia="en-US"/>
        </w:rPr>
        <w:t xml:space="preserve"> </w:t>
      </w:r>
      <w:r w:rsidRPr="00CF6765">
        <w:rPr>
          <w:rFonts w:eastAsia="Calibri"/>
          <w:sz w:val="20"/>
          <w:szCs w:val="20"/>
          <w:lang w:val="en-US" w:eastAsia="en-US"/>
        </w:rPr>
        <w:t xml:space="preserve">It has also ruled on components </w:t>
      </w:r>
      <w:r w:rsidR="00B65BBE" w:rsidRPr="00CF6765">
        <w:rPr>
          <w:rFonts w:eastAsia="Calibri"/>
          <w:sz w:val="20"/>
          <w:szCs w:val="20"/>
          <w:lang w:val="en-US" w:eastAsia="en-US"/>
        </w:rPr>
        <w:t xml:space="preserve">of the </w:t>
      </w:r>
      <w:r w:rsidR="00DE6950" w:rsidRPr="00CF6765">
        <w:rPr>
          <w:rFonts w:eastAsia="Calibri"/>
          <w:sz w:val="20"/>
          <w:szCs w:val="20"/>
          <w:lang w:val="en-US" w:eastAsia="en-US"/>
        </w:rPr>
        <w:t>right</w:t>
      </w:r>
      <w:r w:rsidR="00925BAC" w:rsidRPr="00CF6765">
        <w:rPr>
          <w:rFonts w:eastAsia="Calibri"/>
          <w:sz w:val="20"/>
          <w:szCs w:val="20"/>
          <w:lang w:val="en-US" w:eastAsia="en-US"/>
        </w:rPr>
        <w:t xml:space="preserve"> to health</w:t>
      </w:r>
      <w:r w:rsidR="00B37825" w:rsidRPr="00CF6765">
        <w:rPr>
          <w:rFonts w:eastAsia="Calibri"/>
          <w:sz w:val="20"/>
          <w:szCs w:val="20"/>
          <w:lang w:val="en-US" w:eastAsia="en-US"/>
        </w:rPr>
        <w:t xml:space="preserve"> </w:t>
      </w:r>
      <w:r w:rsidRPr="00CF6765">
        <w:rPr>
          <w:rFonts w:eastAsia="Calibri"/>
          <w:sz w:val="20"/>
          <w:szCs w:val="20"/>
          <w:lang w:val="en-US" w:eastAsia="en-US"/>
        </w:rPr>
        <w:t>in successive General Comments Nos.</w:t>
      </w:r>
      <w:r w:rsidR="00525F0E" w:rsidRPr="00CF6765">
        <w:rPr>
          <w:rFonts w:eastAsia="Calibri"/>
          <w:sz w:val="20"/>
          <w:szCs w:val="20"/>
          <w:lang w:val="en-US" w:eastAsia="en-US"/>
        </w:rPr>
        <w:t>:</w:t>
      </w:r>
      <w:r w:rsidR="00B37825" w:rsidRPr="00CF6765">
        <w:rPr>
          <w:rFonts w:eastAsia="Calibri"/>
          <w:sz w:val="20"/>
          <w:szCs w:val="20"/>
          <w:lang w:val="en-US" w:eastAsia="en-US"/>
        </w:rPr>
        <w:t xml:space="preserve"> 3</w:t>
      </w:r>
      <w:r w:rsidRPr="00CF6765">
        <w:rPr>
          <w:rFonts w:eastAsia="Calibri"/>
          <w:sz w:val="20"/>
          <w:szCs w:val="20"/>
          <w:lang w:val="en-US" w:eastAsia="en-US"/>
        </w:rPr>
        <w:t>,</w:t>
      </w:r>
      <w:r w:rsidR="00B37825" w:rsidRPr="00CF6765">
        <w:rPr>
          <w:rFonts w:eastAsia="Calibri"/>
          <w:sz w:val="20"/>
          <w:szCs w:val="20"/>
          <w:vertAlign w:val="superscript"/>
          <w:lang w:val="en-US" w:eastAsia="en-US"/>
        </w:rPr>
        <w:footnoteReference w:id="161"/>
      </w:r>
      <w:r w:rsidR="00B37825" w:rsidRPr="00CF6765">
        <w:rPr>
          <w:rFonts w:eastAsia="Calibri"/>
          <w:sz w:val="20"/>
          <w:szCs w:val="20"/>
          <w:lang w:val="en-US" w:eastAsia="en-US"/>
        </w:rPr>
        <w:t xml:space="preserve"> 4</w:t>
      </w:r>
      <w:r w:rsidRPr="00CF6765">
        <w:rPr>
          <w:rFonts w:eastAsia="Calibri"/>
          <w:sz w:val="20"/>
          <w:szCs w:val="20"/>
          <w:lang w:val="en-US" w:eastAsia="en-US"/>
        </w:rPr>
        <w:t>,</w:t>
      </w:r>
      <w:r w:rsidR="00B37825" w:rsidRPr="00CF6765">
        <w:rPr>
          <w:rFonts w:eastAsia="Calibri"/>
          <w:sz w:val="20"/>
          <w:szCs w:val="20"/>
          <w:vertAlign w:val="superscript"/>
          <w:lang w:val="en-US" w:eastAsia="en-US"/>
        </w:rPr>
        <w:footnoteReference w:id="162"/>
      </w:r>
      <w:r w:rsidR="00B37825" w:rsidRPr="00CF6765">
        <w:rPr>
          <w:rFonts w:eastAsia="Calibri"/>
          <w:sz w:val="20"/>
          <w:szCs w:val="20"/>
          <w:lang w:val="en-US" w:eastAsia="en-US"/>
        </w:rPr>
        <w:t xml:space="preserve"> 5</w:t>
      </w:r>
      <w:r w:rsidRPr="00CF6765">
        <w:rPr>
          <w:rFonts w:eastAsia="Calibri"/>
          <w:sz w:val="20"/>
          <w:szCs w:val="20"/>
          <w:lang w:val="en-US" w:eastAsia="en-US"/>
        </w:rPr>
        <w:t>,</w:t>
      </w:r>
      <w:r w:rsidR="00B37825" w:rsidRPr="00CF6765">
        <w:rPr>
          <w:rFonts w:eastAsia="Calibri"/>
          <w:sz w:val="20"/>
          <w:szCs w:val="20"/>
          <w:vertAlign w:val="superscript"/>
          <w:lang w:val="en-US" w:eastAsia="en-US"/>
        </w:rPr>
        <w:footnoteReference w:id="163"/>
      </w:r>
      <w:r w:rsidR="00B37825" w:rsidRPr="00CF6765">
        <w:rPr>
          <w:rFonts w:eastAsia="Calibri"/>
          <w:sz w:val="20"/>
          <w:szCs w:val="20"/>
          <w:lang w:val="en-US" w:eastAsia="en-US"/>
        </w:rPr>
        <w:t xml:space="preserve"> 6</w:t>
      </w:r>
      <w:r w:rsidRPr="00CF6765">
        <w:rPr>
          <w:rFonts w:eastAsia="Calibri"/>
          <w:sz w:val="20"/>
          <w:szCs w:val="20"/>
          <w:lang w:val="en-US" w:eastAsia="en-US"/>
        </w:rPr>
        <w:t>,</w:t>
      </w:r>
      <w:r w:rsidR="00B37825" w:rsidRPr="00CF6765">
        <w:rPr>
          <w:rFonts w:eastAsia="Calibri"/>
          <w:sz w:val="20"/>
          <w:szCs w:val="20"/>
          <w:vertAlign w:val="superscript"/>
          <w:lang w:val="en-US" w:eastAsia="en-US"/>
        </w:rPr>
        <w:footnoteReference w:id="164"/>
      </w:r>
      <w:r w:rsidR="00B37825" w:rsidRPr="00CF6765">
        <w:rPr>
          <w:rFonts w:eastAsia="Calibri"/>
          <w:sz w:val="20"/>
          <w:szCs w:val="20"/>
          <w:lang w:val="en-US" w:eastAsia="en-US"/>
        </w:rPr>
        <w:t xml:space="preserve"> 15</w:t>
      </w:r>
      <w:r w:rsidRPr="00CF6765">
        <w:rPr>
          <w:rFonts w:eastAsia="Calibri"/>
          <w:sz w:val="20"/>
          <w:szCs w:val="20"/>
          <w:lang w:val="en-US" w:eastAsia="en-US"/>
        </w:rPr>
        <w:t>,</w:t>
      </w:r>
      <w:r w:rsidR="00B37825" w:rsidRPr="00CF6765">
        <w:rPr>
          <w:rFonts w:eastAsia="Calibri"/>
          <w:sz w:val="20"/>
          <w:szCs w:val="20"/>
          <w:vertAlign w:val="superscript"/>
          <w:lang w:val="en-US" w:eastAsia="en-US"/>
        </w:rPr>
        <w:footnoteReference w:id="165"/>
      </w:r>
      <w:r w:rsidR="00B37825" w:rsidRPr="00CF6765">
        <w:rPr>
          <w:rFonts w:eastAsia="Calibri"/>
          <w:sz w:val="20"/>
          <w:szCs w:val="20"/>
          <w:lang w:val="en-US" w:eastAsia="en-US"/>
        </w:rPr>
        <w:t xml:space="preserve"> 16</w:t>
      </w:r>
      <w:r w:rsidRPr="00CF6765">
        <w:rPr>
          <w:rFonts w:eastAsia="Calibri"/>
          <w:sz w:val="20"/>
          <w:szCs w:val="20"/>
          <w:lang w:val="en-US" w:eastAsia="en-US"/>
        </w:rPr>
        <w:t>,</w:t>
      </w:r>
      <w:r w:rsidR="00B37825" w:rsidRPr="00CF6765">
        <w:rPr>
          <w:rFonts w:eastAsia="Calibri"/>
          <w:sz w:val="20"/>
          <w:szCs w:val="20"/>
          <w:vertAlign w:val="superscript"/>
          <w:lang w:val="en-US" w:eastAsia="en-US"/>
        </w:rPr>
        <w:footnoteReference w:id="166"/>
      </w:r>
      <w:r w:rsidR="00B37825" w:rsidRPr="00CF6765">
        <w:rPr>
          <w:rFonts w:eastAsia="Calibri"/>
          <w:sz w:val="20"/>
          <w:szCs w:val="20"/>
          <w:lang w:val="en-US" w:eastAsia="en-US"/>
        </w:rPr>
        <w:t xml:space="preserve"> 18</w:t>
      </w:r>
      <w:r w:rsidRPr="00CF6765">
        <w:rPr>
          <w:rFonts w:eastAsia="Calibri"/>
          <w:sz w:val="20"/>
          <w:szCs w:val="20"/>
          <w:lang w:val="en-US" w:eastAsia="en-US"/>
        </w:rPr>
        <w:t>,</w:t>
      </w:r>
      <w:r w:rsidR="00B37825" w:rsidRPr="00CF6765">
        <w:rPr>
          <w:rFonts w:eastAsia="Calibri"/>
          <w:sz w:val="20"/>
          <w:szCs w:val="20"/>
          <w:vertAlign w:val="superscript"/>
          <w:lang w:val="en-US" w:eastAsia="en-US"/>
        </w:rPr>
        <w:footnoteReference w:id="167"/>
      </w:r>
      <w:r w:rsidR="00B37825" w:rsidRPr="00CF6765">
        <w:rPr>
          <w:rFonts w:eastAsia="Calibri"/>
          <w:sz w:val="20"/>
          <w:szCs w:val="20"/>
          <w:lang w:val="en-US" w:eastAsia="en-US"/>
        </w:rPr>
        <w:t xml:space="preserve"> 19</w:t>
      </w:r>
      <w:r w:rsidR="00B37825" w:rsidRPr="00CF6765">
        <w:rPr>
          <w:rFonts w:eastAsia="Calibri"/>
          <w:sz w:val="20"/>
          <w:szCs w:val="20"/>
          <w:vertAlign w:val="superscript"/>
          <w:lang w:val="en-US" w:eastAsia="en-US"/>
        </w:rPr>
        <w:footnoteReference w:id="168"/>
      </w:r>
      <w:r w:rsidR="00EC50FC" w:rsidRPr="00CF6765">
        <w:rPr>
          <w:rFonts w:eastAsia="Calibri"/>
          <w:sz w:val="20"/>
          <w:szCs w:val="20"/>
          <w:lang w:val="en-US" w:eastAsia="en-US"/>
        </w:rPr>
        <w:t xml:space="preserve"> and </w:t>
      </w:r>
      <w:r w:rsidR="00B37825" w:rsidRPr="00CF6765">
        <w:rPr>
          <w:rFonts w:eastAsia="Calibri"/>
          <w:sz w:val="20"/>
          <w:szCs w:val="20"/>
          <w:lang w:val="en-US" w:eastAsia="en-US"/>
        </w:rPr>
        <w:t>20</w:t>
      </w:r>
      <w:r w:rsidRPr="00CF6765">
        <w:rPr>
          <w:rFonts w:eastAsia="Calibri"/>
          <w:sz w:val="20"/>
          <w:szCs w:val="20"/>
          <w:lang w:val="en-US" w:eastAsia="en-US"/>
        </w:rPr>
        <w:t>.</w:t>
      </w:r>
      <w:r w:rsidR="00B37825" w:rsidRPr="00CF6765">
        <w:rPr>
          <w:rFonts w:eastAsia="Calibri"/>
          <w:sz w:val="20"/>
          <w:szCs w:val="20"/>
          <w:vertAlign w:val="superscript"/>
          <w:lang w:val="en-US" w:eastAsia="en-US"/>
        </w:rPr>
        <w:footnoteReference w:id="169"/>
      </w:r>
      <w:r w:rsidRPr="00CF6765">
        <w:rPr>
          <w:rFonts w:eastAsia="Calibri"/>
          <w:sz w:val="20"/>
          <w:szCs w:val="20"/>
          <w:lang w:val="en-US" w:eastAsia="en-US"/>
        </w:rPr>
        <w:t xml:space="preserve"> In the Americas, the OAS Working Group </w:t>
      </w:r>
      <w:r w:rsidRPr="00CF6765">
        <w:rPr>
          <w:sz w:val="20"/>
          <w:szCs w:val="20"/>
          <w:lang w:val="en-US"/>
        </w:rPr>
        <w:t>to</w:t>
      </w:r>
      <w:r w:rsidRPr="00CF6765">
        <w:rPr>
          <w:i/>
          <w:iCs/>
          <w:sz w:val="20"/>
          <w:szCs w:val="20"/>
          <w:lang w:val="en-US"/>
        </w:rPr>
        <w:t xml:space="preserve"> </w:t>
      </w:r>
      <w:r w:rsidR="00A0754B" w:rsidRPr="00CF6765">
        <w:rPr>
          <w:sz w:val="20"/>
          <w:szCs w:val="20"/>
          <w:lang w:val="en-US"/>
        </w:rPr>
        <w:t xml:space="preserve">Examine the Periodic Reports </w:t>
      </w:r>
      <w:r w:rsidRPr="00CF6765">
        <w:rPr>
          <w:sz w:val="20"/>
          <w:szCs w:val="20"/>
          <w:lang w:val="en-US"/>
        </w:rPr>
        <w:t>of the States Parties</w:t>
      </w:r>
      <w:r w:rsidRPr="00CF6765">
        <w:rPr>
          <w:rFonts w:eastAsia="Calibri"/>
          <w:sz w:val="20"/>
          <w:szCs w:val="20"/>
          <w:lang w:val="en-US" w:eastAsia="en-US"/>
        </w:rPr>
        <w:t xml:space="preserve"> </w:t>
      </w:r>
      <w:r w:rsidR="00C615E7" w:rsidRPr="00CF6765">
        <w:rPr>
          <w:rFonts w:eastAsia="Calibri"/>
          <w:sz w:val="20"/>
          <w:szCs w:val="20"/>
          <w:lang w:val="en-US" w:eastAsia="en-US"/>
        </w:rPr>
        <w:t xml:space="preserve">in relation to the progress </w:t>
      </w:r>
      <w:r w:rsidR="0090740B" w:rsidRPr="00CF6765">
        <w:rPr>
          <w:rFonts w:eastAsia="Calibri"/>
          <w:sz w:val="20"/>
          <w:szCs w:val="20"/>
          <w:lang w:val="en-US" w:eastAsia="en-US"/>
        </w:rPr>
        <w:t>indicators</w:t>
      </w:r>
      <w:r w:rsidR="00C615E7" w:rsidRPr="00CF6765">
        <w:rPr>
          <w:rFonts w:eastAsia="Calibri"/>
          <w:sz w:val="20"/>
          <w:szCs w:val="20"/>
          <w:lang w:val="en-US" w:eastAsia="en-US"/>
        </w:rPr>
        <w:t xml:space="preserve"> has also referred to the analysis </w:t>
      </w:r>
      <w:r w:rsidR="00B65BBE" w:rsidRPr="00CF6765">
        <w:rPr>
          <w:rFonts w:eastAsia="Calibri"/>
          <w:sz w:val="20"/>
          <w:szCs w:val="20"/>
          <w:lang w:val="en-US" w:eastAsia="en-US"/>
        </w:rPr>
        <w:t xml:space="preserve">of the </w:t>
      </w:r>
      <w:r w:rsidR="00DE6950" w:rsidRPr="00CF6765">
        <w:rPr>
          <w:rFonts w:eastAsia="Calibri"/>
          <w:sz w:val="20"/>
          <w:szCs w:val="20"/>
          <w:lang w:val="en-US" w:eastAsia="en-US"/>
        </w:rPr>
        <w:t>right</w:t>
      </w:r>
      <w:r w:rsidR="00925BAC" w:rsidRPr="00CF6765">
        <w:rPr>
          <w:rFonts w:eastAsia="Calibri"/>
          <w:sz w:val="20"/>
          <w:szCs w:val="20"/>
          <w:lang w:val="en-US" w:eastAsia="en-US"/>
        </w:rPr>
        <w:t xml:space="preserve"> to health</w:t>
      </w:r>
      <w:r w:rsidR="00C615E7" w:rsidRPr="00CF6765">
        <w:rPr>
          <w:rFonts w:eastAsia="Calibri"/>
          <w:sz w:val="20"/>
          <w:szCs w:val="20"/>
          <w:lang w:val="en-US" w:eastAsia="en-US"/>
        </w:rPr>
        <w:t>.</w:t>
      </w:r>
      <w:r w:rsidR="00B37825" w:rsidRPr="00CF6765">
        <w:rPr>
          <w:rFonts w:eastAsia="Calibri"/>
          <w:sz w:val="20"/>
          <w:szCs w:val="20"/>
          <w:vertAlign w:val="superscript"/>
          <w:lang w:val="en-US" w:eastAsia="en-US"/>
        </w:rPr>
        <w:footnoteReference w:id="170"/>
      </w:r>
    </w:p>
    <w:p w14:paraId="55ED2011" w14:textId="77777777" w:rsidR="00525F0E" w:rsidRPr="00CF6765" w:rsidRDefault="00525F0E" w:rsidP="002A64C9">
      <w:pPr>
        <w:tabs>
          <w:tab w:val="left" w:pos="567"/>
        </w:tabs>
        <w:rPr>
          <w:rFonts w:eastAsia="Calibri"/>
          <w:sz w:val="20"/>
          <w:szCs w:val="20"/>
          <w:lang w:val="en-US" w:eastAsia="en-US"/>
        </w:rPr>
      </w:pPr>
    </w:p>
    <w:p w14:paraId="6B6D80F3" w14:textId="620E3184" w:rsidR="00BF01D8" w:rsidRPr="00CF6765" w:rsidRDefault="00BF01D8" w:rsidP="00A23D78">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Bearing in mind the foregoing, the Court considers that various standards </w:t>
      </w:r>
      <w:r w:rsidR="0090740B" w:rsidRPr="00CF6765">
        <w:rPr>
          <w:rFonts w:eastAsia="Calibri"/>
          <w:sz w:val="20"/>
          <w:szCs w:val="20"/>
          <w:lang w:val="en-US" w:eastAsia="en-US"/>
        </w:rPr>
        <w:t>applicable</w:t>
      </w:r>
      <w:r w:rsidRPr="00CF6765">
        <w:rPr>
          <w:rFonts w:eastAsia="Calibri"/>
          <w:sz w:val="20"/>
          <w:szCs w:val="20"/>
          <w:lang w:val="en-US" w:eastAsia="en-US"/>
        </w:rPr>
        <w:t xml:space="preserve"> to this case can be derived from the consolidation of the right to health in relation to specific basic health care services, particularly </w:t>
      </w:r>
      <w:r w:rsidR="002B7BCD" w:rsidRPr="00CF6765">
        <w:rPr>
          <w:rFonts w:eastAsia="Calibri"/>
          <w:sz w:val="20"/>
          <w:szCs w:val="20"/>
          <w:lang w:val="en-US" w:eastAsia="en-US"/>
        </w:rPr>
        <w:t>to address situations of medical urgency or emergency.</w:t>
      </w:r>
    </w:p>
    <w:p w14:paraId="5DF7F10C" w14:textId="77777777" w:rsidR="009A08AB" w:rsidRPr="00CF6765" w:rsidRDefault="009A08AB" w:rsidP="00016220">
      <w:pPr>
        <w:tabs>
          <w:tab w:val="left" w:pos="567"/>
        </w:tabs>
        <w:rPr>
          <w:rFonts w:eastAsia="Calibri"/>
          <w:sz w:val="20"/>
          <w:szCs w:val="20"/>
          <w:lang w:val="en-US" w:eastAsia="en-US"/>
        </w:rPr>
      </w:pPr>
    </w:p>
    <w:p w14:paraId="2A743940" w14:textId="7DF20D4F" w:rsidR="00C20994" w:rsidRPr="00CF6765" w:rsidRDefault="002B7BCD" w:rsidP="00016220">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Consequently, the Court will now examine the standards for </w:t>
      </w:r>
      <w:r w:rsidR="00DE6950" w:rsidRPr="00CF6765">
        <w:rPr>
          <w:rFonts w:eastAsia="Calibri"/>
          <w:sz w:val="20"/>
          <w:szCs w:val="20"/>
          <w:lang w:val="en-US" w:eastAsia="en-US"/>
        </w:rPr>
        <w:t>the right</w:t>
      </w:r>
      <w:r w:rsidR="00925BAC" w:rsidRPr="00CF6765">
        <w:rPr>
          <w:rFonts w:eastAsia="Calibri"/>
          <w:sz w:val="20"/>
          <w:szCs w:val="20"/>
          <w:lang w:val="en-US" w:eastAsia="en-US"/>
        </w:rPr>
        <w:t xml:space="preserve"> to health</w:t>
      </w:r>
      <w:r w:rsidR="004A1B76" w:rsidRPr="00CF6765">
        <w:rPr>
          <w:rFonts w:eastAsia="Calibri"/>
          <w:sz w:val="20"/>
          <w:szCs w:val="20"/>
          <w:lang w:val="en-US" w:eastAsia="en-US"/>
        </w:rPr>
        <w:t xml:space="preserve"> </w:t>
      </w:r>
      <w:r w:rsidRPr="00CF6765">
        <w:rPr>
          <w:rFonts w:eastAsia="Calibri"/>
          <w:sz w:val="20"/>
          <w:szCs w:val="20"/>
          <w:lang w:val="en-US" w:eastAsia="en-US"/>
        </w:rPr>
        <w:t xml:space="preserve">in situations of medical emergency </w:t>
      </w:r>
      <w:r w:rsidR="004A1B76" w:rsidRPr="00CF6765">
        <w:rPr>
          <w:rFonts w:eastAsia="Calibri"/>
          <w:sz w:val="20"/>
          <w:szCs w:val="20"/>
          <w:lang w:val="en-US" w:eastAsia="en-US"/>
        </w:rPr>
        <w:t>(</w:t>
      </w:r>
      <w:r w:rsidR="00EC50FC" w:rsidRPr="00CF6765">
        <w:rPr>
          <w:rFonts w:eastAsia="Calibri"/>
          <w:sz w:val="20"/>
          <w:szCs w:val="20"/>
          <w:lang w:val="en-US" w:eastAsia="en-US"/>
        </w:rPr>
        <w:t>paras.</w:t>
      </w:r>
      <w:r w:rsidR="004A1B76" w:rsidRPr="00CF6765">
        <w:rPr>
          <w:rFonts w:eastAsia="Calibri"/>
          <w:sz w:val="20"/>
          <w:szCs w:val="20"/>
          <w:lang w:val="en-US" w:eastAsia="en-US"/>
        </w:rPr>
        <w:t xml:space="preserve"> 118 </w:t>
      </w:r>
      <w:r w:rsidRPr="00CF6765">
        <w:rPr>
          <w:rFonts w:eastAsia="Calibri"/>
          <w:sz w:val="20"/>
          <w:szCs w:val="20"/>
          <w:lang w:val="en-US" w:eastAsia="en-US"/>
        </w:rPr>
        <w:t>to</w:t>
      </w:r>
      <w:r w:rsidR="004A1B76" w:rsidRPr="00CF6765">
        <w:rPr>
          <w:rFonts w:eastAsia="Calibri"/>
          <w:sz w:val="20"/>
          <w:szCs w:val="20"/>
          <w:lang w:val="en-US" w:eastAsia="en-US"/>
        </w:rPr>
        <w:t xml:space="preserve"> 124)</w:t>
      </w:r>
      <w:r w:rsidR="009A08AB" w:rsidRPr="00CF6765">
        <w:rPr>
          <w:rFonts w:eastAsia="Calibri"/>
          <w:sz w:val="20"/>
          <w:szCs w:val="20"/>
          <w:lang w:val="en-US" w:eastAsia="en-US"/>
        </w:rPr>
        <w:t>, as</w:t>
      </w:r>
      <w:r w:rsidRPr="00CF6765">
        <w:rPr>
          <w:rFonts w:eastAsia="Calibri"/>
          <w:sz w:val="20"/>
          <w:szCs w:val="20"/>
          <w:lang w:val="en-US" w:eastAsia="en-US"/>
        </w:rPr>
        <w:t xml:space="preserve"> well as with regard to older persons </w:t>
      </w:r>
      <w:r w:rsidR="004A1B76" w:rsidRPr="00CF6765">
        <w:rPr>
          <w:rFonts w:eastAsia="Calibri"/>
          <w:sz w:val="20"/>
          <w:szCs w:val="20"/>
          <w:lang w:val="en-US" w:eastAsia="en-US"/>
        </w:rPr>
        <w:t>(</w:t>
      </w:r>
      <w:r w:rsidR="00EC50FC" w:rsidRPr="00CF6765">
        <w:rPr>
          <w:rFonts w:eastAsia="Calibri"/>
          <w:sz w:val="20"/>
          <w:szCs w:val="20"/>
          <w:lang w:val="en-US" w:eastAsia="en-US"/>
        </w:rPr>
        <w:t>paras.</w:t>
      </w:r>
      <w:r w:rsidR="004A1B76" w:rsidRPr="00CF6765">
        <w:rPr>
          <w:rFonts w:eastAsia="Calibri"/>
          <w:sz w:val="20"/>
          <w:szCs w:val="20"/>
          <w:lang w:val="en-US" w:eastAsia="en-US"/>
        </w:rPr>
        <w:t xml:space="preserve"> 125 </w:t>
      </w:r>
      <w:r w:rsidRPr="00CF6765">
        <w:rPr>
          <w:rFonts w:eastAsia="Calibri"/>
          <w:sz w:val="20"/>
          <w:szCs w:val="20"/>
          <w:lang w:val="en-US" w:eastAsia="en-US"/>
        </w:rPr>
        <w:t>to</w:t>
      </w:r>
      <w:r w:rsidR="004A1B76" w:rsidRPr="00CF6765">
        <w:rPr>
          <w:rFonts w:eastAsia="Calibri"/>
          <w:sz w:val="20"/>
          <w:szCs w:val="20"/>
          <w:lang w:val="en-US" w:eastAsia="en-US"/>
        </w:rPr>
        <w:t xml:space="preserve"> 132)</w:t>
      </w:r>
      <w:r w:rsidR="009A08AB" w:rsidRPr="00CF6765">
        <w:rPr>
          <w:rFonts w:eastAsia="Calibri"/>
          <w:sz w:val="20"/>
          <w:szCs w:val="20"/>
          <w:lang w:val="en-US" w:eastAsia="en-US"/>
        </w:rPr>
        <w:t xml:space="preserve">, </w:t>
      </w:r>
      <w:r w:rsidRPr="00CF6765">
        <w:rPr>
          <w:rFonts w:eastAsia="Calibri"/>
          <w:sz w:val="20"/>
          <w:szCs w:val="20"/>
          <w:lang w:val="en-US" w:eastAsia="en-US"/>
        </w:rPr>
        <w:t xml:space="preserve">and will then make the corresponding assessment </w:t>
      </w:r>
      <w:r w:rsidR="0090740B" w:rsidRPr="00CF6765">
        <w:rPr>
          <w:rFonts w:eastAsia="Calibri"/>
          <w:sz w:val="20"/>
          <w:szCs w:val="20"/>
          <w:lang w:val="en-US" w:eastAsia="en-US"/>
        </w:rPr>
        <w:t>applicable</w:t>
      </w:r>
      <w:r w:rsidRPr="00CF6765">
        <w:rPr>
          <w:rFonts w:eastAsia="Calibri"/>
          <w:sz w:val="20"/>
          <w:szCs w:val="20"/>
          <w:lang w:val="en-US" w:eastAsia="en-US"/>
        </w:rPr>
        <w:t xml:space="preserve"> to this case </w:t>
      </w:r>
      <w:r w:rsidR="004A1B76" w:rsidRPr="00CF6765">
        <w:rPr>
          <w:rFonts w:eastAsia="Calibri"/>
          <w:sz w:val="20"/>
          <w:szCs w:val="20"/>
          <w:lang w:val="en-US" w:eastAsia="en-US"/>
        </w:rPr>
        <w:t>(</w:t>
      </w:r>
      <w:r w:rsidR="00EC50FC" w:rsidRPr="00CF6765">
        <w:rPr>
          <w:rFonts w:eastAsia="Calibri"/>
          <w:sz w:val="20"/>
          <w:szCs w:val="20"/>
          <w:lang w:val="en-US" w:eastAsia="en-US"/>
        </w:rPr>
        <w:t>paras.</w:t>
      </w:r>
      <w:r w:rsidR="004A1B76" w:rsidRPr="00CF6765">
        <w:rPr>
          <w:rFonts w:eastAsia="Calibri"/>
          <w:sz w:val="20"/>
          <w:szCs w:val="20"/>
          <w:lang w:val="en-US" w:eastAsia="en-US"/>
        </w:rPr>
        <w:t xml:space="preserve"> 133 </w:t>
      </w:r>
      <w:r w:rsidRPr="00CF6765">
        <w:rPr>
          <w:rFonts w:eastAsia="Calibri"/>
          <w:sz w:val="20"/>
          <w:szCs w:val="20"/>
          <w:lang w:val="en-US" w:eastAsia="en-US"/>
        </w:rPr>
        <w:t>to</w:t>
      </w:r>
      <w:r w:rsidR="004A1B76" w:rsidRPr="00CF6765">
        <w:rPr>
          <w:rFonts w:eastAsia="Calibri"/>
          <w:sz w:val="20"/>
          <w:szCs w:val="20"/>
          <w:lang w:val="en-US" w:eastAsia="en-US"/>
        </w:rPr>
        <w:t xml:space="preserve"> 143)</w:t>
      </w:r>
      <w:r w:rsidR="009A08AB" w:rsidRPr="00CF6765">
        <w:rPr>
          <w:rFonts w:eastAsia="Calibri"/>
          <w:sz w:val="20"/>
          <w:szCs w:val="20"/>
          <w:lang w:val="en-US" w:eastAsia="en-US"/>
        </w:rPr>
        <w:t xml:space="preserve">. </w:t>
      </w:r>
    </w:p>
    <w:p w14:paraId="275487D6" w14:textId="7AD41821" w:rsidR="002C6D1C" w:rsidRPr="00CF6765" w:rsidRDefault="002C6D1C" w:rsidP="008D1152">
      <w:pPr>
        <w:pStyle w:val="Ttulo4"/>
        <w:ind w:left="2124"/>
        <w:rPr>
          <w:rFonts w:eastAsia="Calibri"/>
          <w:b/>
          <w:lang w:val="en-US" w:eastAsia="en-US"/>
        </w:rPr>
      </w:pPr>
      <w:bookmarkStart w:id="76" w:name="_Toc47864378"/>
      <w:r w:rsidRPr="00CF6765">
        <w:rPr>
          <w:rFonts w:eastAsia="Calibri"/>
          <w:b/>
          <w:lang w:val="en-US" w:eastAsia="en-US"/>
        </w:rPr>
        <w:t xml:space="preserve">1.1.1 </w:t>
      </w:r>
      <w:r w:rsidR="002B7BCD" w:rsidRPr="00CF6765">
        <w:rPr>
          <w:rFonts w:eastAsia="Calibri"/>
          <w:b/>
          <w:lang w:val="en-US" w:eastAsia="en-US"/>
        </w:rPr>
        <w:t>Standards for the right to health applicable to situations of medical emergency</w:t>
      </w:r>
      <w:bookmarkEnd w:id="76"/>
    </w:p>
    <w:p w14:paraId="6FEBC231" w14:textId="77777777" w:rsidR="002570D1" w:rsidRPr="00CF6765" w:rsidRDefault="002570D1" w:rsidP="002570D1">
      <w:pPr>
        <w:ind w:left="-90" w:right="-360"/>
        <w:contextualSpacing/>
        <w:rPr>
          <w:rFonts w:eastAsia="Calibri"/>
          <w:sz w:val="20"/>
          <w:szCs w:val="20"/>
          <w:lang w:val="en-US" w:eastAsia="en-US"/>
        </w:rPr>
      </w:pPr>
    </w:p>
    <w:p w14:paraId="4285BB9A" w14:textId="6A3CFE14" w:rsidR="002570D1" w:rsidRPr="00CF6765" w:rsidRDefault="005C731C" w:rsidP="00642B95">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Court</w:t>
      </w:r>
      <w:r w:rsidR="002B7BCD" w:rsidRPr="00CF6765">
        <w:rPr>
          <w:rFonts w:eastAsia="Calibri"/>
          <w:sz w:val="20"/>
          <w:szCs w:val="20"/>
          <w:lang w:val="en-US" w:eastAsia="en-US"/>
        </w:rPr>
        <w:t xml:space="preserve"> considers that “health is a fundamental human right, indispensable for the exercise of other human rights. Every human being his entitled to enjoy the highest attainable standard of health </w:t>
      </w:r>
      <w:r w:rsidR="0090740B" w:rsidRPr="00CF6765">
        <w:rPr>
          <w:rFonts w:eastAsia="Calibri"/>
          <w:sz w:val="20"/>
          <w:szCs w:val="20"/>
          <w:lang w:val="en-US" w:eastAsia="en-US"/>
        </w:rPr>
        <w:t>conducive</w:t>
      </w:r>
      <w:r w:rsidR="002B7BCD" w:rsidRPr="00CF6765">
        <w:rPr>
          <w:rFonts w:eastAsia="Calibri"/>
          <w:sz w:val="20"/>
          <w:szCs w:val="20"/>
          <w:lang w:val="en-US" w:eastAsia="en-US"/>
        </w:rPr>
        <w:t xml:space="preserve"> to living a life in dignity,”</w:t>
      </w:r>
      <w:r w:rsidR="002570D1" w:rsidRPr="00CF6765">
        <w:rPr>
          <w:rFonts w:eastAsia="Calibri"/>
          <w:sz w:val="20"/>
          <w:szCs w:val="20"/>
          <w:vertAlign w:val="superscript"/>
          <w:lang w:val="en-US" w:eastAsia="en-US"/>
        </w:rPr>
        <w:footnoteReference w:id="171"/>
      </w:r>
      <w:r w:rsidR="002B7BCD" w:rsidRPr="00CF6765">
        <w:rPr>
          <w:rFonts w:eastAsia="Calibri"/>
          <w:sz w:val="20"/>
          <w:szCs w:val="20"/>
          <w:lang w:val="en-US" w:eastAsia="en-US"/>
        </w:rPr>
        <w:t xml:space="preserve"> understanding health</w:t>
      </w:r>
      <w:r w:rsidR="007158CA" w:rsidRPr="00CF6765">
        <w:rPr>
          <w:rStyle w:val="Refdenotaalpie"/>
          <w:rFonts w:eastAsia="Calibri"/>
          <w:sz w:val="20"/>
          <w:szCs w:val="20"/>
          <w:lang w:val="en-US" w:eastAsia="en-US"/>
        </w:rPr>
        <w:footnoteReference w:id="172"/>
      </w:r>
      <w:r w:rsidR="00FE1316" w:rsidRPr="00CF6765">
        <w:rPr>
          <w:rFonts w:eastAsia="Calibri"/>
          <w:sz w:val="20"/>
          <w:szCs w:val="20"/>
          <w:lang w:val="en-US" w:eastAsia="en-US"/>
        </w:rPr>
        <w:t xml:space="preserve"> no</w:t>
      </w:r>
      <w:r w:rsidR="002B7BCD" w:rsidRPr="00CF6765">
        <w:rPr>
          <w:rFonts w:eastAsia="Calibri"/>
          <w:sz w:val="20"/>
          <w:szCs w:val="20"/>
          <w:lang w:val="en-US" w:eastAsia="en-US"/>
        </w:rPr>
        <w:t xml:space="preserve">t </w:t>
      </w:r>
      <w:r w:rsidR="00642B95" w:rsidRPr="00CF6765">
        <w:rPr>
          <w:rFonts w:eastAsia="Calibri"/>
          <w:sz w:val="20"/>
          <w:szCs w:val="20"/>
          <w:lang w:val="en-US" w:eastAsia="en-US"/>
        </w:rPr>
        <w:t xml:space="preserve">merely </w:t>
      </w:r>
      <w:r w:rsidR="002B7BCD" w:rsidRPr="00CF6765">
        <w:rPr>
          <w:rFonts w:eastAsia="Calibri"/>
          <w:sz w:val="20"/>
          <w:szCs w:val="20"/>
          <w:lang w:val="en-US" w:eastAsia="en-US"/>
        </w:rPr>
        <w:t xml:space="preserve">as the absence of </w:t>
      </w:r>
      <w:r w:rsidR="00642B95" w:rsidRPr="00CF6765">
        <w:rPr>
          <w:rFonts w:eastAsia="Calibri"/>
          <w:sz w:val="20"/>
          <w:szCs w:val="20"/>
          <w:lang w:val="en-US" w:eastAsia="en-US"/>
        </w:rPr>
        <w:t>disease or infirmity, but also as a state of complete physical, mental and social well-being derived from a lifestyle that allows the individual to achieve an overall balance.</w:t>
      </w:r>
      <w:r w:rsidR="004C7CBA" w:rsidRPr="00CF6765">
        <w:rPr>
          <w:rFonts w:eastAsia="Calibri"/>
          <w:sz w:val="20"/>
          <w:szCs w:val="20"/>
          <w:lang w:val="en-US" w:eastAsia="en-US"/>
        </w:rPr>
        <w:t xml:space="preserve"> </w:t>
      </w:r>
      <w:r w:rsidRPr="00CF6765">
        <w:rPr>
          <w:rFonts w:eastAsia="Calibri"/>
          <w:sz w:val="20"/>
          <w:szCs w:val="20"/>
          <w:lang w:val="en-US" w:eastAsia="en-US"/>
        </w:rPr>
        <w:t>The Court</w:t>
      </w:r>
      <w:r w:rsidR="002570D1" w:rsidRPr="00CF6765">
        <w:rPr>
          <w:rFonts w:eastAsia="Calibri"/>
          <w:sz w:val="20"/>
          <w:szCs w:val="20"/>
          <w:lang w:val="en-US" w:eastAsia="en-US"/>
        </w:rPr>
        <w:t xml:space="preserve"> ha</w:t>
      </w:r>
      <w:r w:rsidR="00642B95" w:rsidRPr="00CF6765">
        <w:rPr>
          <w:rFonts w:eastAsia="Calibri"/>
          <w:sz w:val="20"/>
          <w:szCs w:val="20"/>
          <w:lang w:val="en-US" w:eastAsia="en-US"/>
        </w:rPr>
        <w:t>s established that the general obligation results in the State’s obligation to ensure that everyone has access to essential health services,</w:t>
      </w:r>
      <w:r w:rsidR="002570D1" w:rsidRPr="00CF6765">
        <w:rPr>
          <w:rFonts w:eastAsia="Calibri"/>
          <w:sz w:val="20"/>
          <w:szCs w:val="20"/>
          <w:vertAlign w:val="superscript"/>
          <w:lang w:val="en-US" w:eastAsia="en-US"/>
        </w:rPr>
        <w:footnoteReference w:id="173"/>
      </w:r>
      <w:r w:rsidR="00642B95" w:rsidRPr="00CF6765">
        <w:rPr>
          <w:rFonts w:eastAsia="Calibri"/>
          <w:sz w:val="20"/>
          <w:szCs w:val="20"/>
          <w:lang w:val="en-US" w:eastAsia="en-US"/>
        </w:rPr>
        <w:t xml:space="preserve"> guaranteeing quality and effective medical services, as well as promoting the improvement of the health conditions of the population.  </w:t>
      </w:r>
    </w:p>
    <w:p w14:paraId="1F7AC8B5" w14:textId="77777777" w:rsidR="002570D1" w:rsidRPr="00CF6765" w:rsidRDefault="002570D1" w:rsidP="002570D1">
      <w:pPr>
        <w:ind w:left="-90" w:right="-360"/>
        <w:contextualSpacing/>
        <w:rPr>
          <w:rFonts w:eastAsia="Calibri"/>
          <w:sz w:val="20"/>
          <w:szCs w:val="20"/>
          <w:lang w:val="en-US" w:eastAsia="en-US"/>
        </w:rPr>
      </w:pPr>
    </w:p>
    <w:p w14:paraId="44727F5A" w14:textId="4DF5CB82" w:rsidR="002570D1" w:rsidRPr="00CF6765" w:rsidRDefault="002570D1"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lastRenderedPageBreak/>
        <w:t xml:space="preserve"> </w:t>
      </w:r>
      <w:r w:rsidR="00642B95" w:rsidRPr="00CF6765">
        <w:rPr>
          <w:rFonts w:eastAsia="Calibri"/>
          <w:sz w:val="20"/>
          <w:szCs w:val="20"/>
          <w:lang w:val="en-US" w:eastAsia="en-US"/>
        </w:rPr>
        <w:t xml:space="preserve">First, the implementation of this obligation begins with the duty of </w:t>
      </w:r>
      <w:r w:rsidR="00A0754B" w:rsidRPr="00CF6765">
        <w:rPr>
          <w:rFonts w:eastAsia="Calibri"/>
          <w:sz w:val="20"/>
          <w:szCs w:val="20"/>
          <w:lang w:val="en-US" w:eastAsia="en-US"/>
        </w:rPr>
        <w:t>regulation; therefore,</w:t>
      </w:r>
      <w:r w:rsidR="00642B95" w:rsidRPr="00CF6765">
        <w:rPr>
          <w:rFonts w:eastAsia="Calibri"/>
          <w:sz w:val="20"/>
          <w:szCs w:val="20"/>
          <w:lang w:val="en-US" w:eastAsia="en-US"/>
        </w:rPr>
        <w:t xml:space="preserve"> the Court has indicated that States are </w:t>
      </w:r>
      <w:r w:rsidR="0090740B" w:rsidRPr="00CF6765">
        <w:rPr>
          <w:rFonts w:eastAsia="Calibri"/>
          <w:sz w:val="20"/>
          <w:szCs w:val="20"/>
          <w:lang w:val="en-US" w:eastAsia="en-US"/>
        </w:rPr>
        <w:t>responsible</w:t>
      </w:r>
      <w:r w:rsidR="00642B95" w:rsidRPr="00CF6765">
        <w:rPr>
          <w:rFonts w:eastAsia="Calibri"/>
          <w:sz w:val="20"/>
          <w:szCs w:val="20"/>
          <w:lang w:val="en-US" w:eastAsia="en-US"/>
        </w:rPr>
        <w:t xml:space="preserve"> for the </w:t>
      </w:r>
      <w:r w:rsidR="0090740B" w:rsidRPr="00CF6765">
        <w:rPr>
          <w:rFonts w:eastAsia="Calibri"/>
          <w:sz w:val="20"/>
          <w:szCs w:val="20"/>
          <w:lang w:val="en-US" w:eastAsia="en-US"/>
        </w:rPr>
        <w:t>permanent</w:t>
      </w:r>
      <w:r w:rsidR="00642B95" w:rsidRPr="00CF6765">
        <w:rPr>
          <w:rFonts w:eastAsia="Calibri"/>
          <w:sz w:val="20"/>
          <w:szCs w:val="20"/>
          <w:lang w:val="en-US" w:eastAsia="en-US"/>
        </w:rPr>
        <w:t xml:space="preserve"> regulation of the provision of health services (both public and private) and the execution of national programs to </w:t>
      </w:r>
      <w:r w:rsidR="00A0754B" w:rsidRPr="00CF6765">
        <w:rPr>
          <w:rFonts w:eastAsia="Calibri"/>
          <w:sz w:val="20"/>
          <w:szCs w:val="20"/>
          <w:lang w:val="en-US" w:eastAsia="en-US"/>
        </w:rPr>
        <w:t>ensure</w:t>
      </w:r>
      <w:r w:rsidR="00642B95" w:rsidRPr="00CF6765">
        <w:rPr>
          <w:rFonts w:eastAsia="Calibri"/>
          <w:sz w:val="20"/>
          <w:szCs w:val="20"/>
          <w:lang w:val="en-US" w:eastAsia="en-US"/>
        </w:rPr>
        <w:t xml:space="preserve"> the provision of quality services.</w:t>
      </w:r>
      <w:r w:rsidRPr="00CF6765">
        <w:rPr>
          <w:rFonts w:eastAsia="Calibri"/>
          <w:sz w:val="20"/>
          <w:szCs w:val="20"/>
          <w:vertAlign w:val="superscript"/>
          <w:lang w:val="en-US" w:eastAsia="en-US"/>
        </w:rPr>
        <w:footnoteReference w:id="174"/>
      </w:r>
      <w:r w:rsidRPr="00CF6765">
        <w:rPr>
          <w:rFonts w:eastAsia="Calibri"/>
          <w:sz w:val="20"/>
          <w:szCs w:val="20"/>
          <w:lang w:val="en-US" w:eastAsia="en-US"/>
        </w:rPr>
        <w:t xml:space="preserve"> </w:t>
      </w:r>
    </w:p>
    <w:p w14:paraId="778C70FD" w14:textId="77777777" w:rsidR="002570D1" w:rsidRPr="00CF6765" w:rsidRDefault="002570D1" w:rsidP="002570D1">
      <w:pPr>
        <w:ind w:right="-360"/>
        <w:contextualSpacing/>
        <w:rPr>
          <w:rFonts w:eastAsia="Calibri"/>
          <w:sz w:val="20"/>
          <w:szCs w:val="20"/>
          <w:lang w:val="en-US" w:eastAsia="en-US"/>
        </w:rPr>
      </w:pPr>
    </w:p>
    <w:p w14:paraId="61D79D2F" w14:textId="10156400" w:rsidR="00911089" w:rsidRPr="00CF6765" w:rsidRDefault="00642B95" w:rsidP="0059117C">
      <w:pPr>
        <w:numPr>
          <w:ilvl w:val="0"/>
          <w:numId w:val="2"/>
        </w:numPr>
        <w:tabs>
          <w:tab w:val="left" w:pos="567"/>
          <w:tab w:val="num" w:pos="1569"/>
          <w:tab w:val="num" w:pos="12305"/>
        </w:tabs>
        <w:ind w:left="0" w:firstLine="0"/>
        <w:rPr>
          <w:rFonts w:eastAsia="Calibri"/>
          <w:sz w:val="20"/>
          <w:szCs w:val="20"/>
          <w:lang w:val="en-US"/>
        </w:rPr>
      </w:pPr>
      <w:r w:rsidRPr="00CF6765">
        <w:rPr>
          <w:rFonts w:eastAsia="Calibri"/>
          <w:sz w:val="20"/>
          <w:szCs w:val="20"/>
          <w:lang w:val="en-US"/>
        </w:rPr>
        <w:t>Second, taking into account CESCR</w:t>
      </w:r>
      <w:r w:rsidR="009455C8" w:rsidRPr="00CF6765">
        <w:rPr>
          <w:rFonts w:eastAsia="Calibri"/>
          <w:sz w:val="20"/>
          <w:szCs w:val="20"/>
          <w:lang w:val="en-US"/>
        </w:rPr>
        <w:t xml:space="preserve"> </w:t>
      </w:r>
      <w:r w:rsidRPr="00CF6765">
        <w:rPr>
          <w:rFonts w:eastAsia="Calibri"/>
          <w:sz w:val="20"/>
          <w:szCs w:val="20"/>
          <w:lang w:val="en-US"/>
        </w:rPr>
        <w:t>General Comment</w:t>
      </w:r>
      <w:r w:rsidR="009455C8" w:rsidRPr="00CF6765">
        <w:rPr>
          <w:rFonts w:eastAsia="Calibri"/>
          <w:sz w:val="20"/>
          <w:szCs w:val="20"/>
          <w:lang w:val="en-US"/>
        </w:rPr>
        <w:t xml:space="preserve"> N</w:t>
      </w:r>
      <w:r w:rsidR="00FF6030" w:rsidRPr="00CF6765">
        <w:rPr>
          <w:rFonts w:eastAsia="Calibri"/>
          <w:sz w:val="20"/>
          <w:szCs w:val="20"/>
          <w:lang w:val="en-US"/>
        </w:rPr>
        <w:t xml:space="preserve">o. </w:t>
      </w:r>
      <w:r w:rsidR="009455C8" w:rsidRPr="00CF6765">
        <w:rPr>
          <w:rFonts w:eastAsia="Calibri"/>
          <w:sz w:val="20"/>
          <w:szCs w:val="20"/>
          <w:lang w:val="en-US"/>
        </w:rPr>
        <w:t>14</w:t>
      </w:r>
      <w:r w:rsidRPr="00CF6765">
        <w:rPr>
          <w:rFonts w:eastAsia="Calibri"/>
          <w:sz w:val="20"/>
          <w:szCs w:val="20"/>
          <w:lang w:val="en-US"/>
        </w:rPr>
        <w:t>,</w:t>
      </w:r>
      <w:r w:rsidR="009455C8" w:rsidRPr="00CF6765">
        <w:rPr>
          <w:rStyle w:val="Refdenotaalpie"/>
          <w:rFonts w:eastAsia="Calibri"/>
          <w:sz w:val="20"/>
          <w:szCs w:val="20"/>
          <w:lang w:val="en-US"/>
        </w:rPr>
        <w:footnoteReference w:id="175"/>
      </w:r>
      <w:r w:rsidRPr="00CF6765">
        <w:rPr>
          <w:rFonts w:eastAsia="Calibri"/>
          <w:sz w:val="20"/>
          <w:szCs w:val="20"/>
          <w:lang w:val="en-US"/>
        </w:rPr>
        <w:t xml:space="preserve"> this Court </w:t>
      </w:r>
      <w:r w:rsidR="0090740B" w:rsidRPr="00CF6765">
        <w:rPr>
          <w:rFonts w:eastAsia="Calibri"/>
          <w:sz w:val="20"/>
          <w:szCs w:val="20"/>
          <w:lang w:val="en-US"/>
        </w:rPr>
        <w:t>has</w:t>
      </w:r>
      <w:r w:rsidRPr="00CF6765">
        <w:rPr>
          <w:rFonts w:eastAsia="Calibri"/>
          <w:sz w:val="20"/>
          <w:szCs w:val="20"/>
          <w:lang w:val="en-US"/>
        </w:rPr>
        <w:t xml:space="preserve"> referred to a series of essential and interrelated elements that must be fulfilled in the </w:t>
      </w:r>
      <w:r w:rsidR="00BF7C39" w:rsidRPr="00CF6765">
        <w:rPr>
          <w:rFonts w:eastAsia="Calibri"/>
          <w:sz w:val="20"/>
          <w:szCs w:val="20"/>
          <w:lang w:val="en-US"/>
        </w:rPr>
        <w:t>a</w:t>
      </w:r>
      <w:r w:rsidRPr="00CF6765">
        <w:rPr>
          <w:rFonts w:eastAsia="Calibri"/>
          <w:sz w:val="20"/>
          <w:szCs w:val="20"/>
          <w:lang w:val="en-US"/>
        </w:rPr>
        <w:t xml:space="preserve">rea of health. These are: </w:t>
      </w:r>
      <w:r w:rsidRPr="00CF6765">
        <w:rPr>
          <w:rFonts w:eastAsia="Calibri"/>
          <w:i/>
          <w:iCs/>
          <w:sz w:val="20"/>
          <w:szCs w:val="20"/>
          <w:lang w:val="en-US"/>
        </w:rPr>
        <w:t>availability, accessibility, acceptability and quality</w:t>
      </w:r>
      <w:r w:rsidRPr="00CF6765">
        <w:rPr>
          <w:rFonts w:eastAsia="Calibri"/>
          <w:sz w:val="20"/>
          <w:szCs w:val="20"/>
          <w:lang w:val="en-US"/>
        </w:rPr>
        <w:t>.</w:t>
      </w:r>
      <w:r w:rsidR="00911089" w:rsidRPr="00CF6765">
        <w:rPr>
          <w:rFonts w:eastAsia="Calibri"/>
          <w:sz w:val="20"/>
          <w:szCs w:val="20"/>
          <w:vertAlign w:val="superscript"/>
          <w:lang w:val="en-US"/>
        </w:rPr>
        <w:footnoteReference w:id="176"/>
      </w:r>
      <w:r w:rsidR="00911089" w:rsidRPr="00CF6765">
        <w:rPr>
          <w:rFonts w:eastAsia="Calibri"/>
          <w:i/>
          <w:sz w:val="20"/>
          <w:szCs w:val="20"/>
          <w:lang w:val="en-US"/>
        </w:rPr>
        <w:t xml:space="preserve"> </w:t>
      </w:r>
    </w:p>
    <w:p w14:paraId="27B5F6E8" w14:textId="77777777" w:rsidR="00911089" w:rsidRPr="00CF6765" w:rsidRDefault="00911089" w:rsidP="0059117C">
      <w:pPr>
        <w:tabs>
          <w:tab w:val="left" w:pos="567"/>
        </w:tabs>
        <w:rPr>
          <w:rFonts w:eastAsia="Calibri"/>
          <w:sz w:val="20"/>
          <w:szCs w:val="20"/>
          <w:lang w:val="en-US"/>
        </w:rPr>
      </w:pPr>
    </w:p>
    <w:p w14:paraId="0ACDEC2A" w14:textId="576ACBC7" w:rsidR="00911089" w:rsidRPr="00CF6765" w:rsidRDefault="00911089" w:rsidP="0059117C">
      <w:pPr>
        <w:numPr>
          <w:ilvl w:val="0"/>
          <w:numId w:val="2"/>
        </w:numPr>
        <w:tabs>
          <w:tab w:val="left" w:pos="567"/>
          <w:tab w:val="num" w:pos="1569"/>
          <w:tab w:val="num" w:pos="12305"/>
        </w:tabs>
        <w:ind w:left="0" w:firstLine="0"/>
        <w:rPr>
          <w:rFonts w:eastAsia="Calibri"/>
          <w:sz w:val="20"/>
          <w:szCs w:val="20"/>
          <w:lang w:val="en-US"/>
        </w:rPr>
      </w:pPr>
      <w:r w:rsidRPr="00CF6765">
        <w:rPr>
          <w:rFonts w:eastAsia="Calibri"/>
          <w:sz w:val="20"/>
          <w:szCs w:val="20"/>
          <w:lang w:val="en-US"/>
        </w:rPr>
        <w:t xml:space="preserve"> </w:t>
      </w:r>
      <w:r w:rsidR="00BF7C39" w:rsidRPr="00CF6765">
        <w:rPr>
          <w:rFonts w:eastAsia="Calibri"/>
          <w:sz w:val="20"/>
          <w:szCs w:val="20"/>
          <w:lang w:val="en-US"/>
        </w:rPr>
        <w:t>Consequently, the Court finds that, in the case of emergency medical services, States must guarantee, at least, the following standards:</w:t>
      </w:r>
    </w:p>
    <w:p w14:paraId="18E9BE7C" w14:textId="77777777" w:rsidR="00911089" w:rsidRPr="00CF6765" w:rsidRDefault="00911089" w:rsidP="00911089">
      <w:pPr>
        <w:ind w:right="-360"/>
        <w:contextualSpacing/>
        <w:rPr>
          <w:rFonts w:eastAsia="Calibri"/>
          <w:sz w:val="20"/>
          <w:szCs w:val="20"/>
          <w:lang w:val="en-US"/>
        </w:rPr>
      </w:pPr>
    </w:p>
    <w:p w14:paraId="5A3D4980" w14:textId="611000EA" w:rsidR="00911089" w:rsidRPr="00CF6765" w:rsidRDefault="00BF7C39" w:rsidP="00911089">
      <w:pPr>
        <w:numPr>
          <w:ilvl w:val="0"/>
          <w:numId w:val="17"/>
        </w:numPr>
        <w:ind w:right="-360"/>
        <w:contextualSpacing/>
        <w:rPr>
          <w:rFonts w:eastAsia="Calibri"/>
          <w:sz w:val="20"/>
          <w:szCs w:val="20"/>
          <w:lang w:val="en-US"/>
        </w:rPr>
      </w:pPr>
      <w:r w:rsidRPr="00CF6765">
        <w:rPr>
          <w:rFonts w:eastAsia="Calibri"/>
          <w:sz w:val="20"/>
          <w:szCs w:val="20"/>
          <w:lang w:val="en-US"/>
        </w:rPr>
        <w:t>Regarding</w:t>
      </w:r>
      <w:r w:rsidR="00911089" w:rsidRPr="00CF6765">
        <w:rPr>
          <w:rFonts w:eastAsia="Calibri"/>
          <w:i/>
          <w:sz w:val="20"/>
          <w:szCs w:val="20"/>
          <w:lang w:val="en-US"/>
        </w:rPr>
        <w:t xml:space="preserve"> </w:t>
      </w:r>
      <w:r w:rsidRPr="00CF6765">
        <w:rPr>
          <w:rFonts w:eastAsia="Calibri"/>
          <w:i/>
          <w:sz w:val="20"/>
          <w:szCs w:val="20"/>
          <w:lang w:val="en-US"/>
        </w:rPr>
        <w:t>quality</w:t>
      </w:r>
      <w:r w:rsidR="00911089" w:rsidRPr="00CF6765">
        <w:rPr>
          <w:rFonts w:eastAsia="Calibri"/>
          <w:sz w:val="20"/>
          <w:szCs w:val="20"/>
          <w:lang w:val="en-US"/>
        </w:rPr>
        <w:t xml:space="preserve">, </w:t>
      </w:r>
      <w:r w:rsidRPr="00CF6765">
        <w:rPr>
          <w:rFonts w:eastAsia="Calibri"/>
          <w:sz w:val="20"/>
          <w:szCs w:val="20"/>
          <w:lang w:val="en-US"/>
        </w:rPr>
        <w:t xml:space="preserve">it is necessary to have the adequate infrastructure required to meet basic and emergency needs. This includes any type of life support </w:t>
      </w:r>
      <w:r w:rsidR="000E210B" w:rsidRPr="00CF6765">
        <w:rPr>
          <w:rFonts w:eastAsia="Calibri"/>
          <w:sz w:val="20"/>
          <w:szCs w:val="20"/>
          <w:lang w:val="en-US"/>
        </w:rPr>
        <w:t xml:space="preserve">device </w:t>
      </w:r>
      <w:r w:rsidRPr="00CF6765">
        <w:rPr>
          <w:rFonts w:eastAsia="Calibri"/>
          <w:sz w:val="20"/>
          <w:szCs w:val="20"/>
          <w:lang w:val="en-US"/>
        </w:rPr>
        <w:t xml:space="preserve">or instrument, as well as the human resources </w:t>
      </w:r>
      <w:r w:rsidR="000E210B" w:rsidRPr="00CF6765">
        <w:rPr>
          <w:rFonts w:eastAsia="Calibri"/>
          <w:sz w:val="20"/>
          <w:szCs w:val="20"/>
          <w:lang w:val="en-US"/>
        </w:rPr>
        <w:t xml:space="preserve">qualified </w:t>
      </w:r>
      <w:r w:rsidRPr="00CF6765">
        <w:rPr>
          <w:rFonts w:eastAsia="Calibri"/>
          <w:sz w:val="20"/>
          <w:szCs w:val="20"/>
          <w:lang w:val="en-US"/>
        </w:rPr>
        <w:t>to respond to medical emergencies</w:t>
      </w:r>
      <w:r w:rsidR="00911089" w:rsidRPr="00CF6765">
        <w:rPr>
          <w:rFonts w:eastAsia="Calibri"/>
          <w:sz w:val="20"/>
          <w:szCs w:val="20"/>
          <w:lang w:val="en-US"/>
        </w:rPr>
        <w:t xml:space="preserve">. </w:t>
      </w:r>
    </w:p>
    <w:p w14:paraId="7C39A503" w14:textId="77777777" w:rsidR="00911089" w:rsidRPr="00CF6765" w:rsidRDefault="00911089" w:rsidP="00911089">
      <w:pPr>
        <w:ind w:right="-360"/>
        <w:contextualSpacing/>
        <w:rPr>
          <w:rFonts w:eastAsia="Calibri"/>
          <w:sz w:val="20"/>
          <w:szCs w:val="20"/>
          <w:lang w:val="en-US"/>
        </w:rPr>
      </w:pPr>
    </w:p>
    <w:p w14:paraId="4A7C6B69" w14:textId="7B36C261" w:rsidR="00911089" w:rsidRPr="00CF6765" w:rsidRDefault="00BF7C39" w:rsidP="00911089">
      <w:pPr>
        <w:numPr>
          <w:ilvl w:val="0"/>
          <w:numId w:val="17"/>
        </w:numPr>
        <w:ind w:right="-360"/>
        <w:contextualSpacing/>
        <w:rPr>
          <w:rFonts w:eastAsia="Calibri"/>
          <w:sz w:val="20"/>
          <w:szCs w:val="20"/>
          <w:lang w:val="en-US"/>
        </w:rPr>
      </w:pPr>
      <w:r w:rsidRPr="00CF6765">
        <w:rPr>
          <w:rFonts w:eastAsia="Calibri"/>
          <w:sz w:val="20"/>
          <w:szCs w:val="20"/>
          <w:lang w:val="en-US"/>
        </w:rPr>
        <w:t>Regarding</w:t>
      </w:r>
      <w:r w:rsidRPr="00CF6765">
        <w:rPr>
          <w:rFonts w:eastAsia="Calibri"/>
          <w:i/>
          <w:sz w:val="20"/>
          <w:szCs w:val="20"/>
          <w:lang w:val="en-US"/>
        </w:rPr>
        <w:t xml:space="preserve"> </w:t>
      </w:r>
      <w:r w:rsidR="00911089" w:rsidRPr="00CF6765">
        <w:rPr>
          <w:rFonts w:eastAsia="Calibri"/>
          <w:i/>
          <w:sz w:val="20"/>
          <w:szCs w:val="20"/>
          <w:lang w:val="en-US"/>
        </w:rPr>
        <w:t>acce</w:t>
      </w:r>
      <w:r w:rsidRPr="00CF6765">
        <w:rPr>
          <w:rFonts w:eastAsia="Calibri"/>
          <w:i/>
          <w:sz w:val="20"/>
          <w:szCs w:val="20"/>
          <w:lang w:val="en-US"/>
        </w:rPr>
        <w:t>s</w:t>
      </w:r>
      <w:r w:rsidR="00911089" w:rsidRPr="00CF6765">
        <w:rPr>
          <w:rFonts w:eastAsia="Calibri"/>
          <w:i/>
          <w:sz w:val="20"/>
          <w:szCs w:val="20"/>
          <w:lang w:val="en-US"/>
        </w:rPr>
        <w:t>sibili</w:t>
      </w:r>
      <w:r w:rsidRPr="00CF6765">
        <w:rPr>
          <w:rFonts w:eastAsia="Calibri"/>
          <w:i/>
          <w:sz w:val="20"/>
          <w:szCs w:val="20"/>
          <w:lang w:val="en-US"/>
        </w:rPr>
        <w:t>ty,</w:t>
      </w:r>
      <w:r w:rsidR="00911089" w:rsidRPr="00CF6765">
        <w:rPr>
          <w:rFonts w:eastAsia="Calibri"/>
          <w:sz w:val="20"/>
          <w:szCs w:val="20"/>
          <w:vertAlign w:val="superscript"/>
          <w:lang w:val="en-US"/>
        </w:rPr>
        <w:footnoteReference w:id="177"/>
      </w:r>
      <w:r w:rsidR="00911089" w:rsidRPr="00CF6765">
        <w:rPr>
          <w:rFonts w:eastAsia="Calibri"/>
          <w:sz w:val="20"/>
          <w:szCs w:val="20"/>
          <w:lang w:val="en-US"/>
        </w:rPr>
        <w:t xml:space="preserve"> </w:t>
      </w:r>
      <w:r w:rsidRPr="00CF6765">
        <w:rPr>
          <w:rFonts w:eastAsia="Calibri"/>
          <w:sz w:val="20"/>
          <w:szCs w:val="20"/>
          <w:lang w:val="en-US"/>
        </w:rPr>
        <w:t xml:space="preserve">emergency health </w:t>
      </w:r>
      <w:r w:rsidR="00075E9A" w:rsidRPr="00CF6765">
        <w:rPr>
          <w:rFonts w:eastAsia="Calibri"/>
          <w:sz w:val="20"/>
          <w:szCs w:val="20"/>
          <w:lang w:val="en-US"/>
        </w:rPr>
        <w:t>facilitie</w:t>
      </w:r>
      <w:r w:rsidRPr="00CF6765">
        <w:rPr>
          <w:rFonts w:eastAsia="Calibri"/>
          <w:sz w:val="20"/>
          <w:szCs w:val="20"/>
          <w:lang w:val="en-US"/>
        </w:rPr>
        <w:t xml:space="preserve">s, goods and services must be accessible to </w:t>
      </w:r>
      <w:r w:rsidR="000E210B" w:rsidRPr="00CF6765">
        <w:rPr>
          <w:rFonts w:eastAsia="Calibri"/>
          <w:sz w:val="20"/>
          <w:szCs w:val="20"/>
          <w:lang w:val="en-US"/>
        </w:rPr>
        <w:t xml:space="preserve">all. </w:t>
      </w:r>
      <w:r w:rsidRPr="00CF6765">
        <w:rPr>
          <w:rFonts w:eastAsia="Calibri"/>
          <w:sz w:val="20"/>
          <w:szCs w:val="20"/>
          <w:lang w:val="en-US"/>
        </w:rPr>
        <w:t xml:space="preserve">Accessibility </w:t>
      </w:r>
      <w:r w:rsidR="000E210B" w:rsidRPr="00CF6765">
        <w:rPr>
          <w:rFonts w:eastAsia="Calibri"/>
          <w:sz w:val="20"/>
          <w:szCs w:val="20"/>
          <w:lang w:val="en-US"/>
        </w:rPr>
        <w:t xml:space="preserve">should be </w:t>
      </w:r>
      <w:r w:rsidRPr="00CF6765">
        <w:rPr>
          <w:rFonts w:eastAsia="Calibri"/>
          <w:sz w:val="20"/>
          <w:szCs w:val="20"/>
          <w:lang w:val="en-US"/>
        </w:rPr>
        <w:t xml:space="preserve">understood </w:t>
      </w:r>
      <w:r w:rsidR="000E210B" w:rsidRPr="00CF6765">
        <w:rPr>
          <w:rFonts w:eastAsia="Calibri"/>
          <w:sz w:val="20"/>
          <w:szCs w:val="20"/>
          <w:lang w:val="en-US"/>
        </w:rPr>
        <w:t>with</w:t>
      </w:r>
      <w:r w:rsidRPr="00CF6765">
        <w:rPr>
          <w:rFonts w:eastAsia="Calibri"/>
          <w:sz w:val="20"/>
          <w:szCs w:val="20"/>
          <w:lang w:val="en-US"/>
        </w:rPr>
        <w:t xml:space="preserve"> the overlapping </w:t>
      </w:r>
      <w:r w:rsidR="000E210B" w:rsidRPr="00CF6765">
        <w:rPr>
          <w:rFonts w:eastAsia="Calibri"/>
          <w:sz w:val="20"/>
          <w:szCs w:val="20"/>
          <w:lang w:val="en-US"/>
        </w:rPr>
        <w:t>dimensions</w:t>
      </w:r>
      <w:r w:rsidRPr="00CF6765">
        <w:rPr>
          <w:rFonts w:eastAsia="Calibri"/>
          <w:sz w:val="20"/>
          <w:szCs w:val="20"/>
          <w:lang w:val="en-US"/>
        </w:rPr>
        <w:t xml:space="preserve"> of non-discrimination, physical accessibility,</w:t>
      </w:r>
      <w:r w:rsidR="000E210B" w:rsidRPr="00CF6765">
        <w:rPr>
          <w:rFonts w:eastAsia="Calibri"/>
          <w:sz w:val="20"/>
          <w:szCs w:val="20"/>
          <w:lang w:val="en-US"/>
        </w:rPr>
        <w:t xml:space="preserve"> economic</w:t>
      </w:r>
      <w:r w:rsidRPr="00CF6765">
        <w:rPr>
          <w:rFonts w:eastAsia="Calibri"/>
          <w:sz w:val="20"/>
          <w:szCs w:val="20"/>
          <w:lang w:val="en-US"/>
        </w:rPr>
        <w:t xml:space="preserve"> accessibility </w:t>
      </w:r>
      <w:r w:rsidR="00EC50FC" w:rsidRPr="00CF6765">
        <w:rPr>
          <w:rFonts w:eastAsia="Calibri"/>
          <w:sz w:val="20"/>
          <w:szCs w:val="20"/>
          <w:lang w:val="en-US"/>
        </w:rPr>
        <w:t xml:space="preserve">and </w:t>
      </w:r>
      <w:r w:rsidR="00690D57" w:rsidRPr="00CF6765">
        <w:rPr>
          <w:rFonts w:eastAsia="Calibri"/>
          <w:sz w:val="20"/>
          <w:szCs w:val="20"/>
          <w:lang w:val="en-US"/>
        </w:rPr>
        <w:t>information</w:t>
      </w:r>
      <w:r w:rsidR="000E210B" w:rsidRPr="00CF6765">
        <w:rPr>
          <w:rFonts w:eastAsia="Calibri"/>
          <w:sz w:val="20"/>
          <w:szCs w:val="20"/>
          <w:lang w:val="en-US"/>
        </w:rPr>
        <w:t xml:space="preserve"> accessibility</w:t>
      </w:r>
      <w:r w:rsidR="004A1B76" w:rsidRPr="00CF6765">
        <w:rPr>
          <w:rFonts w:eastAsia="Calibri"/>
          <w:sz w:val="20"/>
          <w:szCs w:val="20"/>
          <w:lang w:val="en-US"/>
        </w:rPr>
        <w:t xml:space="preserve">. </w:t>
      </w:r>
      <w:r w:rsidR="00E27148" w:rsidRPr="00CF6765">
        <w:rPr>
          <w:rFonts w:eastAsia="Calibri"/>
          <w:sz w:val="20"/>
          <w:szCs w:val="20"/>
          <w:lang w:val="en-US"/>
        </w:rPr>
        <w:t>Thus,</w:t>
      </w:r>
      <w:r w:rsidRPr="00CF6765">
        <w:rPr>
          <w:rFonts w:eastAsia="Calibri"/>
          <w:sz w:val="20"/>
          <w:szCs w:val="20"/>
          <w:lang w:val="en-US"/>
        </w:rPr>
        <w:t xml:space="preserve"> providing an inclusive health </w:t>
      </w:r>
      <w:r w:rsidR="00E27148" w:rsidRPr="00CF6765">
        <w:rPr>
          <w:rFonts w:eastAsia="Calibri"/>
          <w:sz w:val="20"/>
          <w:szCs w:val="20"/>
          <w:lang w:val="en-US"/>
        </w:rPr>
        <w:t>care</w:t>
      </w:r>
      <w:r w:rsidRPr="00CF6765">
        <w:rPr>
          <w:rFonts w:eastAsia="Calibri"/>
          <w:sz w:val="20"/>
          <w:szCs w:val="20"/>
          <w:lang w:val="en-US"/>
        </w:rPr>
        <w:t xml:space="preserve"> system based on human rights.</w:t>
      </w:r>
      <w:r w:rsidR="00911089" w:rsidRPr="00CF6765">
        <w:rPr>
          <w:rFonts w:eastAsia="Calibri"/>
          <w:sz w:val="20"/>
          <w:szCs w:val="20"/>
          <w:vertAlign w:val="superscript"/>
          <w:lang w:val="en-US"/>
        </w:rPr>
        <w:footnoteReference w:id="178"/>
      </w:r>
      <w:r w:rsidR="00911089" w:rsidRPr="00CF6765">
        <w:rPr>
          <w:rFonts w:eastAsia="Calibri"/>
          <w:sz w:val="20"/>
          <w:szCs w:val="20"/>
          <w:lang w:val="en-US"/>
        </w:rPr>
        <w:t xml:space="preserve"> </w:t>
      </w:r>
    </w:p>
    <w:p w14:paraId="223176A2" w14:textId="77777777" w:rsidR="00911089" w:rsidRPr="00CF6765" w:rsidRDefault="00911089" w:rsidP="00911089">
      <w:pPr>
        <w:ind w:right="-360"/>
        <w:contextualSpacing/>
        <w:rPr>
          <w:rFonts w:eastAsia="Calibri"/>
          <w:sz w:val="20"/>
          <w:szCs w:val="20"/>
          <w:lang w:val="en-US"/>
        </w:rPr>
      </w:pPr>
    </w:p>
    <w:p w14:paraId="5EA0F65F" w14:textId="38F7AC96" w:rsidR="00911089" w:rsidRPr="00CF6765" w:rsidRDefault="00BF7C39" w:rsidP="00911089">
      <w:pPr>
        <w:numPr>
          <w:ilvl w:val="0"/>
          <w:numId w:val="17"/>
        </w:numPr>
        <w:ind w:right="-360"/>
        <w:contextualSpacing/>
        <w:rPr>
          <w:rFonts w:eastAsia="Calibri"/>
          <w:sz w:val="20"/>
          <w:szCs w:val="20"/>
          <w:lang w:val="en-US"/>
        </w:rPr>
      </w:pPr>
      <w:r w:rsidRPr="00CF6765">
        <w:rPr>
          <w:rFonts w:eastAsia="Calibri"/>
          <w:sz w:val="20"/>
          <w:szCs w:val="20"/>
          <w:lang w:val="en-US"/>
        </w:rPr>
        <w:t>Regarding</w:t>
      </w:r>
      <w:r w:rsidRPr="00CF6765">
        <w:rPr>
          <w:rFonts w:eastAsia="Calibri"/>
          <w:i/>
          <w:sz w:val="20"/>
          <w:szCs w:val="20"/>
          <w:lang w:val="en-US"/>
        </w:rPr>
        <w:t xml:space="preserve"> availability,</w:t>
      </w:r>
      <w:r w:rsidR="00911089" w:rsidRPr="00CF6765">
        <w:rPr>
          <w:rFonts w:eastAsia="Calibri"/>
          <w:sz w:val="20"/>
          <w:szCs w:val="20"/>
          <w:lang w:val="en-US"/>
        </w:rPr>
        <w:t xml:space="preserve"> </w:t>
      </w:r>
      <w:r w:rsidRPr="00CF6765">
        <w:rPr>
          <w:rFonts w:eastAsia="Calibri"/>
          <w:sz w:val="20"/>
          <w:szCs w:val="20"/>
          <w:lang w:val="en-US"/>
        </w:rPr>
        <w:t xml:space="preserve">public health </w:t>
      </w:r>
      <w:r w:rsidR="00075E9A" w:rsidRPr="00CF6765">
        <w:rPr>
          <w:rFonts w:eastAsia="Calibri"/>
          <w:sz w:val="20"/>
          <w:szCs w:val="20"/>
          <w:lang w:val="en-US"/>
        </w:rPr>
        <w:t>facilities</w:t>
      </w:r>
      <w:r w:rsidRPr="00CF6765">
        <w:rPr>
          <w:rFonts w:eastAsia="Calibri"/>
          <w:sz w:val="20"/>
          <w:szCs w:val="20"/>
          <w:lang w:val="en-US"/>
        </w:rPr>
        <w:t>, go</w:t>
      </w:r>
      <w:r w:rsidR="000E210B" w:rsidRPr="00CF6765">
        <w:rPr>
          <w:rFonts w:eastAsia="Calibri"/>
          <w:sz w:val="20"/>
          <w:szCs w:val="20"/>
          <w:lang w:val="en-US"/>
        </w:rPr>
        <w:t>od</w:t>
      </w:r>
      <w:r w:rsidRPr="00CF6765">
        <w:rPr>
          <w:rFonts w:eastAsia="Calibri"/>
          <w:sz w:val="20"/>
          <w:szCs w:val="20"/>
          <w:lang w:val="en-US"/>
        </w:rPr>
        <w:t>s and services</w:t>
      </w:r>
      <w:r w:rsidR="000E210B" w:rsidRPr="00CF6765">
        <w:rPr>
          <w:rFonts w:eastAsia="Calibri"/>
          <w:sz w:val="20"/>
          <w:szCs w:val="20"/>
          <w:lang w:val="en-US"/>
        </w:rPr>
        <w:t xml:space="preserve"> must be available in sufficient quantity</w:t>
      </w:r>
      <w:r w:rsidRPr="00CF6765">
        <w:rPr>
          <w:rFonts w:eastAsia="Calibri"/>
          <w:sz w:val="20"/>
          <w:szCs w:val="20"/>
          <w:lang w:val="en-US"/>
        </w:rPr>
        <w:t xml:space="preserve">, </w:t>
      </w:r>
      <w:r w:rsidR="000E210B" w:rsidRPr="00CF6765">
        <w:rPr>
          <w:rFonts w:eastAsia="Calibri"/>
          <w:sz w:val="20"/>
          <w:szCs w:val="20"/>
          <w:lang w:val="en-US"/>
        </w:rPr>
        <w:t>and also</w:t>
      </w:r>
      <w:r w:rsidRPr="00CF6765">
        <w:rPr>
          <w:rFonts w:eastAsia="Calibri"/>
          <w:sz w:val="20"/>
          <w:szCs w:val="20"/>
          <w:lang w:val="en-US"/>
        </w:rPr>
        <w:t xml:space="preserve"> comprehensive health programs. Coordination between the system’s establishments is </w:t>
      </w:r>
      <w:r w:rsidR="000E210B" w:rsidRPr="00CF6765">
        <w:rPr>
          <w:rFonts w:eastAsia="Calibri"/>
          <w:sz w:val="20"/>
          <w:szCs w:val="20"/>
          <w:lang w:val="en-US"/>
        </w:rPr>
        <w:t>important in order</w:t>
      </w:r>
      <w:r w:rsidRPr="00CF6765">
        <w:rPr>
          <w:rFonts w:eastAsia="Calibri"/>
          <w:sz w:val="20"/>
          <w:szCs w:val="20"/>
          <w:lang w:val="en-US"/>
        </w:rPr>
        <w:t xml:space="preserve"> to cover the basic needs of the population integrally.</w:t>
      </w:r>
    </w:p>
    <w:p w14:paraId="60188C53" w14:textId="77777777" w:rsidR="00911089" w:rsidRPr="00CF6765" w:rsidRDefault="00911089" w:rsidP="00911089">
      <w:pPr>
        <w:ind w:right="-360"/>
        <w:contextualSpacing/>
        <w:rPr>
          <w:rFonts w:eastAsia="Calibri"/>
          <w:sz w:val="20"/>
          <w:szCs w:val="20"/>
          <w:lang w:val="en-US"/>
        </w:rPr>
      </w:pPr>
    </w:p>
    <w:p w14:paraId="28CC48FC" w14:textId="6CB70F57" w:rsidR="00911089" w:rsidRPr="00CF6765" w:rsidRDefault="00BF7C39" w:rsidP="00911089">
      <w:pPr>
        <w:numPr>
          <w:ilvl w:val="0"/>
          <w:numId w:val="17"/>
        </w:numPr>
        <w:ind w:right="-360"/>
        <w:contextualSpacing/>
        <w:rPr>
          <w:rFonts w:eastAsia="Calibri"/>
          <w:sz w:val="20"/>
          <w:szCs w:val="20"/>
          <w:lang w:val="en-US"/>
        </w:rPr>
      </w:pPr>
      <w:r w:rsidRPr="00CF6765">
        <w:rPr>
          <w:rFonts w:eastAsia="Calibri"/>
          <w:sz w:val="20"/>
          <w:szCs w:val="20"/>
          <w:lang w:val="en-US"/>
        </w:rPr>
        <w:t>Regarding</w:t>
      </w:r>
      <w:r w:rsidRPr="00CF6765">
        <w:rPr>
          <w:rFonts w:eastAsia="Calibri"/>
          <w:i/>
          <w:sz w:val="20"/>
          <w:szCs w:val="20"/>
          <w:lang w:val="en-US"/>
        </w:rPr>
        <w:t xml:space="preserve"> </w:t>
      </w:r>
      <w:r w:rsidR="00911089" w:rsidRPr="00CF6765">
        <w:rPr>
          <w:rFonts w:eastAsia="Calibri"/>
          <w:i/>
          <w:sz w:val="20"/>
          <w:szCs w:val="20"/>
          <w:lang w:val="en-US"/>
        </w:rPr>
        <w:t>ac</w:t>
      </w:r>
      <w:r w:rsidRPr="00CF6765">
        <w:rPr>
          <w:rFonts w:eastAsia="Calibri"/>
          <w:i/>
          <w:sz w:val="20"/>
          <w:szCs w:val="20"/>
          <w:lang w:val="en-US"/>
        </w:rPr>
        <w:t>ceptability</w:t>
      </w:r>
      <w:r w:rsidR="00911089" w:rsidRPr="00CF6765">
        <w:rPr>
          <w:rFonts w:eastAsia="Calibri"/>
          <w:sz w:val="20"/>
          <w:szCs w:val="20"/>
          <w:lang w:val="en-US"/>
        </w:rPr>
        <w:t xml:space="preserve">, </w:t>
      </w:r>
      <w:r w:rsidRPr="00CF6765">
        <w:rPr>
          <w:rFonts w:eastAsia="Calibri"/>
          <w:sz w:val="20"/>
          <w:szCs w:val="20"/>
          <w:lang w:val="en-US"/>
        </w:rPr>
        <w:t>health care</w:t>
      </w:r>
      <w:r w:rsidR="00075E9A" w:rsidRPr="00CF6765">
        <w:rPr>
          <w:rFonts w:eastAsia="Calibri"/>
          <w:sz w:val="20"/>
          <w:szCs w:val="20"/>
          <w:lang w:val="en-US"/>
        </w:rPr>
        <w:t xml:space="preserve"> facilities</w:t>
      </w:r>
      <w:r w:rsidRPr="00CF6765">
        <w:rPr>
          <w:rFonts w:eastAsia="Calibri"/>
          <w:sz w:val="20"/>
          <w:szCs w:val="20"/>
          <w:lang w:val="en-US"/>
        </w:rPr>
        <w:t xml:space="preserve"> and services must respect medical ethics and cultural</w:t>
      </w:r>
      <w:r w:rsidR="00A0754B" w:rsidRPr="00CF6765">
        <w:rPr>
          <w:rFonts w:eastAsia="Calibri"/>
          <w:sz w:val="20"/>
          <w:szCs w:val="20"/>
          <w:lang w:val="en-US"/>
        </w:rPr>
        <w:t>ly</w:t>
      </w:r>
      <w:r w:rsidRPr="00CF6765">
        <w:rPr>
          <w:rFonts w:eastAsia="Calibri"/>
          <w:sz w:val="20"/>
          <w:szCs w:val="20"/>
          <w:lang w:val="en-US"/>
        </w:rPr>
        <w:t xml:space="preserve"> appropriate </w:t>
      </w:r>
      <w:r w:rsidR="0090740B" w:rsidRPr="00CF6765">
        <w:rPr>
          <w:rFonts w:eastAsia="Calibri"/>
          <w:sz w:val="20"/>
          <w:szCs w:val="20"/>
          <w:lang w:val="en-US"/>
        </w:rPr>
        <w:t>criteria</w:t>
      </w:r>
      <w:r w:rsidR="00A0754B" w:rsidRPr="00CF6765">
        <w:rPr>
          <w:rFonts w:eastAsia="Calibri"/>
          <w:sz w:val="20"/>
          <w:szCs w:val="20"/>
          <w:lang w:val="en-US"/>
        </w:rPr>
        <w:t>; t</w:t>
      </w:r>
      <w:r w:rsidRPr="00CF6765">
        <w:rPr>
          <w:rFonts w:eastAsia="Calibri"/>
          <w:sz w:val="20"/>
          <w:szCs w:val="20"/>
          <w:lang w:val="en-US"/>
        </w:rPr>
        <w:t xml:space="preserve">hey must also include a gender perspective, as well as the conditions of the patient’s life cycle. </w:t>
      </w:r>
      <w:r w:rsidR="004C3B57" w:rsidRPr="00CF6765">
        <w:rPr>
          <w:rFonts w:eastAsia="Calibri"/>
          <w:sz w:val="20"/>
          <w:szCs w:val="20"/>
          <w:lang w:val="en-US"/>
        </w:rPr>
        <w:t>The patient</w:t>
      </w:r>
      <w:r w:rsidR="00911089" w:rsidRPr="00CF6765">
        <w:rPr>
          <w:rFonts w:eastAsia="Calibri"/>
          <w:sz w:val="20"/>
          <w:szCs w:val="20"/>
          <w:lang w:val="en-US"/>
        </w:rPr>
        <w:t xml:space="preserve"> </w:t>
      </w:r>
      <w:r w:rsidRPr="00CF6765">
        <w:rPr>
          <w:rFonts w:eastAsia="Calibri"/>
          <w:sz w:val="20"/>
          <w:szCs w:val="20"/>
          <w:lang w:val="en-US"/>
        </w:rPr>
        <w:t xml:space="preserve">must be informed of his diagnosis and </w:t>
      </w:r>
      <w:r w:rsidR="0090740B" w:rsidRPr="00CF6765">
        <w:rPr>
          <w:rFonts w:eastAsia="Calibri"/>
          <w:sz w:val="20"/>
          <w:szCs w:val="20"/>
          <w:lang w:val="en-US"/>
        </w:rPr>
        <w:t>treatment</w:t>
      </w:r>
      <w:r w:rsidRPr="00CF6765">
        <w:rPr>
          <w:rFonts w:eastAsia="Calibri"/>
          <w:sz w:val="20"/>
          <w:szCs w:val="20"/>
          <w:lang w:val="en-US"/>
        </w:rPr>
        <w:t xml:space="preserve"> and, in this regard, his wishes must be respected </w:t>
      </w:r>
      <w:r w:rsidR="004A1B76" w:rsidRPr="00CF6765">
        <w:rPr>
          <w:rFonts w:eastAsia="Calibri"/>
          <w:sz w:val="20"/>
          <w:szCs w:val="20"/>
          <w:lang w:val="en-US"/>
        </w:rPr>
        <w:t>(</w:t>
      </w:r>
      <w:r w:rsidR="004A1B76" w:rsidRPr="00CF6765">
        <w:rPr>
          <w:rFonts w:eastAsia="Calibri"/>
          <w:i/>
          <w:sz w:val="20"/>
          <w:szCs w:val="20"/>
          <w:lang w:val="en-US"/>
        </w:rPr>
        <w:t>infra</w:t>
      </w:r>
      <w:r w:rsidR="004A1B76" w:rsidRPr="00CF6765">
        <w:rPr>
          <w:rFonts w:eastAsia="Calibri"/>
          <w:sz w:val="20"/>
          <w:szCs w:val="20"/>
          <w:lang w:val="en-US"/>
        </w:rPr>
        <w:t xml:space="preserve"> </w:t>
      </w:r>
      <w:r w:rsidR="00EC50FC" w:rsidRPr="00CF6765">
        <w:rPr>
          <w:rFonts w:eastAsia="Calibri"/>
          <w:sz w:val="20"/>
          <w:szCs w:val="20"/>
          <w:lang w:val="en-US"/>
        </w:rPr>
        <w:t>paras.</w:t>
      </w:r>
      <w:r w:rsidR="004A1B76" w:rsidRPr="00CF6765">
        <w:rPr>
          <w:rFonts w:eastAsia="Calibri"/>
          <w:sz w:val="20"/>
          <w:szCs w:val="20"/>
          <w:lang w:val="en-US"/>
        </w:rPr>
        <w:t xml:space="preserve"> 161, 162</w:t>
      </w:r>
      <w:r w:rsidR="00EC50FC" w:rsidRPr="00CF6765">
        <w:rPr>
          <w:rFonts w:eastAsia="Calibri"/>
          <w:sz w:val="20"/>
          <w:szCs w:val="20"/>
          <w:lang w:val="en-US"/>
        </w:rPr>
        <w:t xml:space="preserve"> and </w:t>
      </w:r>
      <w:r w:rsidR="004A1B76" w:rsidRPr="00CF6765">
        <w:rPr>
          <w:rFonts w:eastAsia="Calibri"/>
          <w:sz w:val="20"/>
          <w:szCs w:val="20"/>
          <w:lang w:val="en-US"/>
        </w:rPr>
        <w:t>166)</w:t>
      </w:r>
      <w:r w:rsidR="00911089" w:rsidRPr="00CF6765">
        <w:rPr>
          <w:rFonts w:eastAsia="Calibri"/>
          <w:sz w:val="20"/>
          <w:szCs w:val="20"/>
          <w:lang w:val="en-US"/>
        </w:rPr>
        <w:t>.</w:t>
      </w:r>
    </w:p>
    <w:p w14:paraId="4018B68D" w14:textId="77777777" w:rsidR="002570D1" w:rsidRPr="00CF6765" w:rsidRDefault="002570D1" w:rsidP="0059117C">
      <w:pPr>
        <w:tabs>
          <w:tab w:val="left" w:pos="567"/>
        </w:tabs>
        <w:rPr>
          <w:rFonts w:eastAsia="Calibri"/>
          <w:sz w:val="20"/>
          <w:szCs w:val="20"/>
          <w:lang w:val="en-US" w:eastAsia="en-US"/>
        </w:rPr>
      </w:pPr>
    </w:p>
    <w:p w14:paraId="0F20123F" w14:textId="7B2DBADC" w:rsidR="002570D1" w:rsidRPr="00CF6765" w:rsidRDefault="00075E9A" w:rsidP="003876F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lastRenderedPageBreak/>
        <w:t>Third</w:t>
      </w:r>
      <w:r w:rsidR="002570D1" w:rsidRPr="00CF6765">
        <w:rPr>
          <w:rFonts w:eastAsia="Calibri"/>
          <w:sz w:val="20"/>
          <w:szCs w:val="20"/>
          <w:lang w:val="en-US" w:eastAsia="en-US"/>
        </w:rPr>
        <w:t>,</w:t>
      </w:r>
      <w:r w:rsidR="00EC50FC" w:rsidRPr="00CF6765">
        <w:rPr>
          <w:rFonts w:eastAsia="Calibri"/>
          <w:sz w:val="20"/>
          <w:szCs w:val="20"/>
          <w:lang w:val="en-US" w:eastAsia="en-US"/>
        </w:rPr>
        <w:t xml:space="preserve"> and </w:t>
      </w:r>
      <w:r w:rsidR="000E210B" w:rsidRPr="00CF6765">
        <w:rPr>
          <w:rFonts w:eastAsia="Calibri"/>
          <w:sz w:val="20"/>
          <w:szCs w:val="20"/>
          <w:lang w:val="en-US" w:eastAsia="en-US"/>
        </w:rPr>
        <w:t>as a cross-cutting condition of accessibility,</w:t>
      </w:r>
      <w:r w:rsidR="00EA385D" w:rsidRPr="00CF6765">
        <w:rPr>
          <w:rStyle w:val="Refdenotaalpie"/>
          <w:rFonts w:eastAsia="Calibri"/>
          <w:sz w:val="20"/>
          <w:szCs w:val="20"/>
          <w:lang w:val="en-US" w:eastAsia="en-US"/>
        </w:rPr>
        <w:footnoteReference w:id="179"/>
      </w:r>
      <w:r w:rsidR="009455C8"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2570D1" w:rsidRPr="00CF6765">
        <w:rPr>
          <w:rFonts w:eastAsia="Calibri"/>
          <w:sz w:val="20"/>
          <w:szCs w:val="20"/>
          <w:lang w:val="en-US" w:eastAsia="en-US"/>
        </w:rPr>
        <w:t xml:space="preserve"> </w:t>
      </w:r>
      <w:r w:rsidR="000E210B" w:rsidRPr="00CF6765">
        <w:rPr>
          <w:rFonts w:eastAsia="Calibri"/>
          <w:sz w:val="20"/>
          <w:szCs w:val="20"/>
          <w:lang w:val="en-US" w:eastAsia="en-US"/>
        </w:rPr>
        <w:t>recalls that</w:t>
      </w:r>
      <w:r w:rsidR="002570D1" w:rsidRPr="00CF6765">
        <w:rPr>
          <w:rFonts w:eastAsia="Calibri"/>
          <w:sz w:val="20"/>
          <w:szCs w:val="20"/>
          <w:lang w:val="en-US" w:eastAsia="en-US"/>
        </w:rPr>
        <w:t xml:space="preserve"> </w:t>
      </w:r>
      <w:r w:rsidR="00EC50FC" w:rsidRPr="00CF6765">
        <w:rPr>
          <w:rFonts w:eastAsia="Calibri"/>
          <w:sz w:val="20"/>
          <w:szCs w:val="20"/>
          <w:lang w:val="en-US" w:eastAsia="en-US"/>
        </w:rPr>
        <w:t>the State</w:t>
      </w:r>
      <w:r w:rsidR="002570D1" w:rsidRPr="00CF6765">
        <w:rPr>
          <w:rFonts w:eastAsia="Calibri"/>
          <w:sz w:val="20"/>
          <w:szCs w:val="20"/>
          <w:lang w:val="en-US" w:eastAsia="en-US"/>
        </w:rPr>
        <w:t xml:space="preserve"> </w:t>
      </w:r>
      <w:r w:rsidR="000E210B" w:rsidRPr="00CF6765">
        <w:rPr>
          <w:rFonts w:eastAsia="Calibri"/>
          <w:sz w:val="20"/>
          <w:szCs w:val="20"/>
          <w:lang w:val="en-US" w:eastAsia="en-US"/>
        </w:rPr>
        <w:t xml:space="preserve">is obliged to ensure equal treatment to all those who require health care services; consequently, pursuant to </w:t>
      </w:r>
      <w:r w:rsidR="00EC50FC" w:rsidRPr="00CF6765">
        <w:rPr>
          <w:rFonts w:eastAsia="Calibri"/>
          <w:sz w:val="20"/>
          <w:szCs w:val="20"/>
          <w:lang w:val="en-US"/>
        </w:rPr>
        <w:t>Article 1(1)</w:t>
      </w:r>
      <w:r w:rsidR="005C731C" w:rsidRPr="00CF6765">
        <w:rPr>
          <w:rFonts w:eastAsia="Calibri"/>
          <w:sz w:val="20"/>
          <w:szCs w:val="20"/>
          <w:lang w:val="en-US"/>
        </w:rPr>
        <w:t xml:space="preserve"> of the American Convention</w:t>
      </w:r>
      <w:r w:rsidR="005D383C" w:rsidRPr="00CF6765">
        <w:rPr>
          <w:rFonts w:eastAsia="Calibri"/>
          <w:sz w:val="20"/>
          <w:szCs w:val="20"/>
          <w:lang w:val="en-US"/>
        </w:rPr>
        <w:t xml:space="preserve"> </w:t>
      </w:r>
      <w:r w:rsidR="000E210B" w:rsidRPr="00CF6765">
        <w:rPr>
          <w:rFonts w:eastAsia="Calibri"/>
          <w:sz w:val="20"/>
          <w:szCs w:val="20"/>
          <w:lang w:val="en-US"/>
        </w:rPr>
        <w:t>discriminatory treatment</w:t>
      </w:r>
      <w:r w:rsidR="005D383C" w:rsidRPr="00CF6765">
        <w:rPr>
          <w:rFonts w:eastAsia="Calibri"/>
          <w:sz w:val="20"/>
          <w:vertAlign w:val="superscript"/>
          <w:lang w:val="en-US"/>
        </w:rPr>
        <w:footnoteReference w:id="180"/>
      </w:r>
      <w:r w:rsidR="005D383C" w:rsidRPr="00CF6765">
        <w:rPr>
          <w:rFonts w:eastAsia="Calibri"/>
          <w:sz w:val="20"/>
          <w:szCs w:val="20"/>
          <w:lang w:val="en-US"/>
        </w:rPr>
        <w:t xml:space="preserve"> </w:t>
      </w:r>
      <w:r w:rsidR="00895BF1" w:rsidRPr="00CF6765">
        <w:rPr>
          <w:rFonts w:eastAsia="Calibri"/>
          <w:sz w:val="20"/>
          <w:szCs w:val="20"/>
          <w:lang w:val="en-US"/>
        </w:rPr>
        <w:t>“</w:t>
      </w:r>
      <w:r w:rsidR="000E210B" w:rsidRPr="00CF6765">
        <w:rPr>
          <w:rFonts w:eastAsia="Calibri"/>
          <w:sz w:val="20"/>
          <w:szCs w:val="20"/>
          <w:lang w:val="en-US"/>
        </w:rPr>
        <w:t xml:space="preserve">for reasons of race, color, sex, […] </w:t>
      </w:r>
      <w:r w:rsidR="003876F1" w:rsidRPr="00CF6765">
        <w:rPr>
          <w:rFonts w:eastAsia="Calibri"/>
          <w:sz w:val="20"/>
          <w:szCs w:val="20"/>
          <w:lang w:val="en-US"/>
        </w:rPr>
        <w:t>economic status, birth, or any other social condition</w:t>
      </w:r>
      <w:r w:rsidR="00895BF1" w:rsidRPr="00CF6765">
        <w:rPr>
          <w:rFonts w:eastAsia="Calibri"/>
          <w:sz w:val="20"/>
          <w:szCs w:val="20"/>
          <w:lang w:val="en-US"/>
        </w:rPr>
        <w:t>”</w:t>
      </w:r>
      <w:r w:rsidR="003876F1" w:rsidRPr="00CF6765">
        <w:rPr>
          <w:rFonts w:eastAsia="Calibri"/>
          <w:sz w:val="20"/>
          <w:szCs w:val="20"/>
          <w:lang w:val="en-US"/>
        </w:rPr>
        <w:t xml:space="preserve"> is prohibited.</w:t>
      </w:r>
      <w:r w:rsidR="005D383C" w:rsidRPr="00CF6765">
        <w:rPr>
          <w:rStyle w:val="Refdenotaalpie"/>
          <w:rFonts w:eastAsia="Calibri"/>
          <w:sz w:val="20"/>
          <w:lang w:val="en-US"/>
        </w:rPr>
        <w:footnoteReference w:id="181"/>
      </w:r>
      <w:r w:rsidR="003876F1" w:rsidRPr="00CF6765">
        <w:rPr>
          <w:rFonts w:eastAsia="Calibri"/>
          <w:sz w:val="20"/>
          <w:szCs w:val="20"/>
          <w:lang w:val="en-US"/>
        </w:rPr>
        <w:t xml:space="preserve"> In this regard, the specific criteria based on which discrimination is prohibited according to </w:t>
      </w:r>
      <w:r w:rsidR="00EC50FC" w:rsidRPr="00CF6765">
        <w:rPr>
          <w:sz w:val="20"/>
          <w:szCs w:val="20"/>
          <w:lang w:val="en-US"/>
        </w:rPr>
        <w:t>Article 1(1)</w:t>
      </w:r>
      <w:r w:rsidR="005C731C" w:rsidRPr="00CF6765">
        <w:rPr>
          <w:sz w:val="20"/>
          <w:szCs w:val="20"/>
          <w:lang w:val="en-US"/>
        </w:rPr>
        <w:t xml:space="preserve"> of the American Convention</w:t>
      </w:r>
      <w:r w:rsidR="00895BF1" w:rsidRPr="00CF6765">
        <w:rPr>
          <w:sz w:val="20"/>
          <w:szCs w:val="20"/>
          <w:lang w:val="en-US"/>
        </w:rPr>
        <w:t xml:space="preserve">, </w:t>
      </w:r>
      <w:r w:rsidR="003876F1" w:rsidRPr="00CF6765">
        <w:rPr>
          <w:sz w:val="20"/>
          <w:szCs w:val="20"/>
          <w:lang w:val="en-US"/>
        </w:rPr>
        <w:t>are not restrictive or exclusive, but merely declaratory. To the contrary, the wording of this article leaves the criteria open with the inclusion of the expression “</w:t>
      </w:r>
      <w:r w:rsidR="003876F1" w:rsidRPr="00CF6765">
        <w:rPr>
          <w:rFonts w:eastAsia="Calibri"/>
          <w:sz w:val="20"/>
          <w:szCs w:val="20"/>
          <w:lang w:val="en-US"/>
        </w:rPr>
        <w:t>any other social condition” to incorporate other categories that were not explicitly mentioned.</w:t>
      </w:r>
      <w:r w:rsidR="00895BF1" w:rsidRPr="00CF6765">
        <w:rPr>
          <w:rStyle w:val="Refdenotaalpie"/>
          <w:rFonts w:eastAsia="Calibri"/>
          <w:sz w:val="20"/>
          <w:szCs w:val="20"/>
          <w:lang w:val="en-US"/>
        </w:rPr>
        <w:footnoteReference w:id="182"/>
      </w:r>
      <w:r w:rsidR="00895BF1" w:rsidRPr="00CF6765">
        <w:rPr>
          <w:rFonts w:eastAsia="Calibri"/>
          <w:sz w:val="22"/>
          <w:szCs w:val="20"/>
          <w:lang w:val="en-US" w:eastAsia="en-US"/>
        </w:rPr>
        <w:t xml:space="preserve"> </w:t>
      </w:r>
      <w:r w:rsidR="003876F1" w:rsidRPr="00CF6765">
        <w:rPr>
          <w:rFonts w:eastAsia="Calibri"/>
          <w:sz w:val="20"/>
          <w:szCs w:val="20"/>
          <w:lang w:val="en-US" w:eastAsia="en-US"/>
        </w:rPr>
        <w:t>Thus, the Court has indicated that age is also a category protected by this article.</w:t>
      </w:r>
      <w:r w:rsidR="00E3242A" w:rsidRPr="00CF6765">
        <w:rPr>
          <w:rStyle w:val="Refdenotaalpie"/>
          <w:rFonts w:eastAsia="Calibri"/>
          <w:sz w:val="20"/>
          <w:lang w:val="en-US"/>
        </w:rPr>
        <w:footnoteReference w:id="183"/>
      </w:r>
      <w:r w:rsidR="003876F1" w:rsidRPr="00CF6765">
        <w:rPr>
          <w:rFonts w:eastAsia="Calibri"/>
          <w:sz w:val="20"/>
          <w:szCs w:val="20"/>
          <w:lang w:val="en-US"/>
        </w:rPr>
        <w:t xml:space="preserve"> Accordingly, the prohibition of discrimination related to age, in the case of older persons, is protected by </w:t>
      </w:r>
      <w:r w:rsidR="005C731C" w:rsidRPr="00CF6765">
        <w:rPr>
          <w:rFonts w:eastAsia="Calibri"/>
          <w:sz w:val="20"/>
          <w:szCs w:val="20"/>
          <w:lang w:val="en-US"/>
        </w:rPr>
        <w:t>the American Convention</w:t>
      </w:r>
      <w:r w:rsidR="00E3242A" w:rsidRPr="00CF6765">
        <w:rPr>
          <w:rFonts w:eastAsia="Calibri"/>
          <w:sz w:val="20"/>
          <w:szCs w:val="20"/>
          <w:lang w:val="en-US"/>
        </w:rPr>
        <w:t xml:space="preserve">. </w:t>
      </w:r>
      <w:r w:rsidR="003876F1" w:rsidRPr="00CF6765">
        <w:rPr>
          <w:rFonts w:eastAsia="Calibri"/>
          <w:sz w:val="20"/>
          <w:szCs w:val="20"/>
          <w:lang w:val="en-US"/>
        </w:rPr>
        <w:t xml:space="preserve">This entails, among other matters, the application of inclusive </w:t>
      </w:r>
      <w:r w:rsidR="0090740B" w:rsidRPr="00CF6765">
        <w:rPr>
          <w:rFonts w:eastAsia="Calibri"/>
          <w:sz w:val="20"/>
          <w:szCs w:val="20"/>
          <w:lang w:val="en-US"/>
        </w:rPr>
        <w:t>policies</w:t>
      </w:r>
      <w:r w:rsidR="003876F1" w:rsidRPr="00CF6765">
        <w:rPr>
          <w:rFonts w:eastAsia="Calibri"/>
          <w:sz w:val="20"/>
          <w:szCs w:val="20"/>
          <w:lang w:val="en-US"/>
        </w:rPr>
        <w:t xml:space="preserve"> that cover the whole population and eas</w:t>
      </w:r>
      <w:r w:rsidR="0087005D" w:rsidRPr="00CF6765">
        <w:rPr>
          <w:rFonts w:eastAsia="Calibri"/>
          <w:sz w:val="20"/>
          <w:szCs w:val="20"/>
          <w:lang w:val="en-US"/>
        </w:rPr>
        <w:t>e of</w:t>
      </w:r>
      <w:r w:rsidR="003876F1" w:rsidRPr="00CF6765">
        <w:rPr>
          <w:rFonts w:eastAsia="Calibri"/>
          <w:sz w:val="20"/>
          <w:szCs w:val="20"/>
          <w:lang w:val="en-US"/>
        </w:rPr>
        <w:t xml:space="preserve"> access to public services.</w:t>
      </w:r>
      <w:r w:rsidR="002570D1" w:rsidRPr="00CF6765">
        <w:rPr>
          <w:rFonts w:eastAsia="Calibri"/>
          <w:sz w:val="20"/>
          <w:szCs w:val="20"/>
          <w:vertAlign w:val="superscript"/>
          <w:lang w:val="en-US" w:eastAsia="en-US"/>
        </w:rPr>
        <w:footnoteReference w:id="184"/>
      </w:r>
      <w:r w:rsidR="002570D1" w:rsidRPr="00CF6765">
        <w:rPr>
          <w:rFonts w:eastAsia="Calibri"/>
          <w:sz w:val="20"/>
          <w:szCs w:val="20"/>
          <w:lang w:val="en-US" w:eastAsia="en-US"/>
        </w:rPr>
        <w:t xml:space="preserve"> </w:t>
      </w:r>
    </w:p>
    <w:p w14:paraId="5C68B840" w14:textId="77777777" w:rsidR="002570D1" w:rsidRPr="00CF6765" w:rsidRDefault="002570D1" w:rsidP="007E5CD5">
      <w:pPr>
        <w:contextualSpacing/>
        <w:rPr>
          <w:rFonts w:eastAsia="Calibri"/>
          <w:sz w:val="20"/>
          <w:szCs w:val="20"/>
          <w:lang w:val="en-US" w:eastAsia="en-US"/>
        </w:rPr>
      </w:pPr>
    </w:p>
    <w:p w14:paraId="38716663" w14:textId="5EDE87FE" w:rsidR="002570D1" w:rsidRPr="00CF6765" w:rsidRDefault="003876F1" w:rsidP="003876F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The Court reiterates that </w:t>
      </w:r>
      <w:r w:rsidR="00DE6950" w:rsidRPr="00CF6765">
        <w:rPr>
          <w:rFonts w:eastAsia="Calibri"/>
          <w:sz w:val="20"/>
          <w:szCs w:val="20"/>
          <w:lang w:val="en-US" w:eastAsia="en-US"/>
        </w:rPr>
        <w:t>the right</w:t>
      </w:r>
      <w:r w:rsidR="002570D1" w:rsidRPr="00CF6765">
        <w:rPr>
          <w:rFonts w:eastAsia="Calibri"/>
          <w:sz w:val="20"/>
          <w:szCs w:val="20"/>
          <w:lang w:val="en-US" w:eastAsia="en-US"/>
        </w:rPr>
        <w:t xml:space="preserve"> </w:t>
      </w:r>
      <w:r w:rsidRPr="00CF6765">
        <w:rPr>
          <w:rFonts w:eastAsia="Calibri"/>
          <w:sz w:val="20"/>
          <w:szCs w:val="20"/>
          <w:lang w:val="en-US" w:eastAsia="en-US"/>
        </w:rPr>
        <w:t xml:space="preserve">to equality and non-discrimination encompasses two concepts: a negative concept related to the prohibition of arbitrary differences in treatment, and a positive concept related to the obligation of States to create conditions of real equality for groups that have been historically </w:t>
      </w:r>
      <w:r w:rsidR="0090740B" w:rsidRPr="00CF6765">
        <w:rPr>
          <w:rFonts w:eastAsia="Calibri"/>
          <w:sz w:val="20"/>
          <w:szCs w:val="20"/>
          <w:lang w:val="en-US" w:eastAsia="en-US"/>
        </w:rPr>
        <w:t>excluded</w:t>
      </w:r>
      <w:r w:rsidRPr="00CF6765">
        <w:rPr>
          <w:rFonts w:eastAsia="Calibri"/>
          <w:sz w:val="20"/>
          <w:szCs w:val="20"/>
          <w:lang w:val="en-US" w:eastAsia="en-US"/>
        </w:rPr>
        <w:t xml:space="preserve"> or that are at a greater risk of being discriminated against.</w:t>
      </w:r>
      <w:r w:rsidR="002570D1" w:rsidRPr="00CF6765">
        <w:rPr>
          <w:rFonts w:eastAsia="Calibri"/>
          <w:sz w:val="20"/>
          <w:szCs w:val="20"/>
          <w:vertAlign w:val="superscript"/>
          <w:lang w:val="en-US" w:eastAsia="en-US"/>
        </w:rPr>
        <w:footnoteReference w:id="185"/>
      </w:r>
      <w:r w:rsidRPr="00CF6765">
        <w:rPr>
          <w:rFonts w:eastAsia="Calibri"/>
          <w:sz w:val="20"/>
          <w:szCs w:val="20"/>
          <w:lang w:val="en-US" w:eastAsia="en-US"/>
        </w:rPr>
        <w:t xml:space="preserve"> Therefore, the adoption of positive measures is increased in relation to the protection of individuals who are in a vulnerable situation or at risk, who should be given equal access to medical health care services</w:t>
      </w:r>
      <w:r w:rsidR="002570D1" w:rsidRPr="00CF6765">
        <w:rPr>
          <w:rFonts w:eastAsia="Calibri"/>
          <w:sz w:val="20"/>
          <w:szCs w:val="20"/>
          <w:lang w:val="en-US" w:eastAsia="en-US"/>
        </w:rPr>
        <w:t>.</w:t>
      </w:r>
    </w:p>
    <w:p w14:paraId="4D012055" w14:textId="1097B69D" w:rsidR="00911089" w:rsidRPr="00CF6765" w:rsidRDefault="00911089" w:rsidP="00AB1E03">
      <w:pPr>
        <w:tabs>
          <w:tab w:val="left" w:pos="567"/>
        </w:tabs>
        <w:rPr>
          <w:rFonts w:eastAsia="Calibri"/>
          <w:b/>
          <w:sz w:val="20"/>
          <w:szCs w:val="20"/>
          <w:lang w:val="en-US" w:eastAsia="en-US"/>
        </w:rPr>
      </w:pPr>
    </w:p>
    <w:p w14:paraId="59E0321E" w14:textId="6326DA34" w:rsidR="00832A80" w:rsidRPr="00CF6765" w:rsidRDefault="006862FC" w:rsidP="006862FC">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Fourth, in the</w:t>
      </w:r>
      <w:r w:rsidR="00832A80" w:rsidRPr="00CF6765">
        <w:rPr>
          <w:rFonts w:eastAsia="Calibri"/>
          <w:sz w:val="20"/>
          <w:szCs w:val="20"/>
          <w:lang w:val="en-US" w:eastAsia="en-US"/>
        </w:rPr>
        <w:t xml:space="preserve"> </w:t>
      </w:r>
      <w:r w:rsidR="00832A80" w:rsidRPr="00CF6765">
        <w:rPr>
          <w:rFonts w:eastAsia="Calibri"/>
          <w:i/>
          <w:sz w:val="20"/>
          <w:szCs w:val="20"/>
          <w:lang w:val="en-US" w:eastAsia="en-US"/>
        </w:rPr>
        <w:t>Suárez Peralta</w:t>
      </w:r>
      <w:r w:rsidR="00832A80" w:rsidRPr="00CF6765">
        <w:rPr>
          <w:rFonts w:eastAsia="Calibri"/>
          <w:sz w:val="20"/>
          <w:szCs w:val="20"/>
          <w:lang w:val="en-US" w:eastAsia="en-US"/>
        </w:rPr>
        <w:t xml:space="preserve"> </w:t>
      </w:r>
      <w:r w:rsidRPr="00CF6765">
        <w:rPr>
          <w:rFonts w:eastAsia="Calibri"/>
          <w:sz w:val="20"/>
          <w:szCs w:val="20"/>
          <w:lang w:val="en-US" w:eastAsia="en-US"/>
        </w:rPr>
        <w:t>case, the Court asserted that the State should establish official supervision and monitoring mechanisms for both public and private health care institutions.</w:t>
      </w:r>
      <w:r w:rsidR="00832A80" w:rsidRPr="00CF6765">
        <w:rPr>
          <w:rFonts w:eastAsia="Calibri"/>
          <w:sz w:val="20"/>
          <w:szCs w:val="20"/>
          <w:vertAlign w:val="superscript"/>
          <w:lang w:val="en-US" w:eastAsia="en-US"/>
        </w:rPr>
        <w:footnoteReference w:id="186"/>
      </w:r>
      <w:r w:rsidRPr="00CF6765">
        <w:rPr>
          <w:rFonts w:eastAsia="Calibri"/>
          <w:sz w:val="20"/>
          <w:szCs w:val="20"/>
          <w:lang w:val="en-US" w:eastAsia="en-US"/>
        </w:rPr>
        <w:t xml:space="preserve"> In this regard, the Court has indicated that, in the case of essential competences related to the supervision and monitoring of the provision of services of public interest, such as health services, the attribution of responsibility may arise due to omission in compliance with the duty to supervise </w:t>
      </w:r>
      <w:r w:rsidRPr="00CF6765">
        <w:rPr>
          <w:rFonts w:eastAsia="Calibri"/>
          <w:sz w:val="20"/>
          <w:szCs w:val="20"/>
          <w:lang w:val="en-US" w:eastAsia="en-US"/>
        </w:rPr>
        <w:lastRenderedPageBreak/>
        <w:t xml:space="preserve">the provision of the service </w:t>
      </w:r>
      <w:r w:rsidR="0087005D" w:rsidRPr="00CF6765">
        <w:rPr>
          <w:rFonts w:eastAsia="Calibri"/>
          <w:sz w:val="20"/>
          <w:szCs w:val="20"/>
          <w:lang w:val="en-US" w:eastAsia="en-US"/>
        </w:rPr>
        <w:t>so as to</w:t>
      </w:r>
      <w:r w:rsidRPr="00CF6765">
        <w:rPr>
          <w:rFonts w:eastAsia="Calibri"/>
          <w:sz w:val="20"/>
          <w:szCs w:val="20"/>
          <w:lang w:val="en-US" w:eastAsia="en-US"/>
        </w:rPr>
        <w:t xml:space="preserve"> protect the respective right.</w:t>
      </w:r>
      <w:r w:rsidR="00832A80" w:rsidRPr="00CF6765">
        <w:rPr>
          <w:rFonts w:eastAsia="Calibri"/>
          <w:sz w:val="20"/>
          <w:szCs w:val="20"/>
          <w:vertAlign w:val="superscript"/>
          <w:lang w:val="en-US" w:eastAsia="en-US"/>
        </w:rPr>
        <w:footnoteReference w:id="187"/>
      </w:r>
      <w:r w:rsidR="00832A80"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832A80" w:rsidRPr="00CF6765">
        <w:rPr>
          <w:rFonts w:eastAsia="Calibri"/>
          <w:sz w:val="20"/>
          <w:szCs w:val="20"/>
          <w:lang w:val="en-US" w:eastAsia="en-US"/>
        </w:rPr>
        <w:t xml:space="preserve"> ha</w:t>
      </w:r>
      <w:r w:rsidRPr="00CF6765">
        <w:rPr>
          <w:rFonts w:eastAsia="Calibri"/>
          <w:sz w:val="20"/>
          <w:szCs w:val="20"/>
          <w:lang w:val="en-US" w:eastAsia="en-US"/>
        </w:rPr>
        <w:t>s indicated that “[t]</w:t>
      </w:r>
      <w:r w:rsidRPr="00CF6765">
        <w:rPr>
          <w:rFonts w:cs="Arial"/>
          <w:sz w:val="20"/>
          <w:szCs w:val="20"/>
          <w:lang w:val="en-US"/>
        </w:rPr>
        <w:t>he possible provision of medical care in institutions without the proper authorization, and without the adequate infrastructure or hygiene for the provision of medical services, or by professionals who do not have the appropriate qualifications for such activities, could have a significant impact on the rights to life and to integrity of the patient.</w:t>
      </w:r>
      <w:r w:rsidR="00832A80" w:rsidRPr="00CF6765">
        <w:rPr>
          <w:rFonts w:eastAsia="Calibri"/>
          <w:sz w:val="20"/>
          <w:szCs w:val="20"/>
          <w:lang w:val="en-US" w:eastAsia="en-US"/>
        </w:rPr>
        <w:t>”</w:t>
      </w:r>
      <w:r w:rsidR="00832A80" w:rsidRPr="00CF6765">
        <w:rPr>
          <w:rFonts w:eastAsia="Calibri"/>
          <w:sz w:val="20"/>
          <w:szCs w:val="20"/>
          <w:vertAlign w:val="superscript"/>
          <w:lang w:val="en-US" w:eastAsia="en-US"/>
        </w:rPr>
        <w:footnoteReference w:id="188"/>
      </w:r>
      <w:r w:rsidR="00832A80" w:rsidRPr="00CF6765">
        <w:rPr>
          <w:rFonts w:eastAsia="Calibri"/>
          <w:sz w:val="20"/>
          <w:szCs w:val="20"/>
          <w:lang w:val="en-US" w:eastAsia="en-US"/>
        </w:rPr>
        <w:t xml:space="preserve"> </w:t>
      </w:r>
      <w:r w:rsidRPr="00CF6765">
        <w:rPr>
          <w:rFonts w:eastAsia="Calibri"/>
          <w:sz w:val="20"/>
          <w:szCs w:val="20"/>
          <w:lang w:val="en-US" w:eastAsia="en-US"/>
        </w:rPr>
        <w:t xml:space="preserve">Accordingly, this obligation of </w:t>
      </w:r>
      <w:r w:rsidR="0090740B" w:rsidRPr="00CF6765">
        <w:rPr>
          <w:rFonts w:eastAsia="Calibri"/>
          <w:sz w:val="20"/>
          <w:szCs w:val="20"/>
          <w:lang w:val="en-US" w:eastAsia="en-US"/>
        </w:rPr>
        <w:t>supervision</w:t>
      </w:r>
      <w:r w:rsidRPr="00CF6765">
        <w:rPr>
          <w:rFonts w:eastAsia="Calibri"/>
          <w:sz w:val="20"/>
          <w:szCs w:val="20"/>
          <w:lang w:val="en-US" w:eastAsia="en-US"/>
        </w:rPr>
        <w:t xml:space="preserve"> and monitoring should be</w:t>
      </w:r>
      <w:r w:rsidR="0087005D" w:rsidRPr="00CF6765">
        <w:rPr>
          <w:rFonts w:eastAsia="Calibri"/>
          <w:sz w:val="20"/>
          <w:szCs w:val="20"/>
          <w:lang w:val="en-US" w:eastAsia="en-US"/>
        </w:rPr>
        <w:t xml:space="preserve"> implemented</w:t>
      </w:r>
      <w:r w:rsidRPr="00CF6765">
        <w:rPr>
          <w:rFonts w:eastAsia="Calibri"/>
          <w:sz w:val="20"/>
          <w:szCs w:val="20"/>
          <w:lang w:val="en-US" w:eastAsia="en-US"/>
        </w:rPr>
        <w:t xml:space="preserve"> constantly, particularly in the case of emergency medical services.</w:t>
      </w:r>
      <w:r w:rsidR="00832A80" w:rsidRPr="00CF6765">
        <w:rPr>
          <w:rFonts w:eastAsia="Calibri"/>
          <w:sz w:val="20"/>
          <w:szCs w:val="20"/>
          <w:vertAlign w:val="superscript"/>
          <w:lang w:val="en-US" w:eastAsia="en-US"/>
        </w:rPr>
        <w:footnoteReference w:id="189"/>
      </w:r>
    </w:p>
    <w:p w14:paraId="3F422CC1" w14:textId="648DEA36" w:rsidR="00911089" w:rsidRPr="00CF6765" w:rsidRDefault="002C6D1C" w:rsidP="002C6D1C">
      <w:pPr>
        <w:pStyle w:val="Ttulo4"/>
        <w:ind w:left="2124"/>
        <w:rPr>
          <w:rFonts w:eastAsia="Calibri"/>
          <w:b/>
          <w:lang w:val="en-US" w:eastAsia="en-US"/>
        </w:rPr>
      </w:pPr>
      <w:bookmarkStart w:id="77" w:name="_Toc47864379"/>
      <w:r w:rsidRPr="00CF6765">
        <w:rPr>
          <w:rFonts w:eastAsia="Calibri"/>
          <w:b/>
          <w:lang w:val="en-US" w:eastAsia="en-US"/>
        </w:rPr>
        <w:t>1.1.2</w:t>
      </w:r>
      <w:r w:rsidR="00911089" w:rsidRPr="00CF6765">
        <w:rPr>
          <w:rFonts w:eastAsia="Calibri"/>
          <w:b/>
          <w:lang w:val="en-US" w:eastAsia="en-US"/>
        </w:rPr>
        <w:t xml:space="preserve"> </w:t>
      </w:r>
      <w:r w:rsidR="00436C13" w:rsidRPr="00CF6765">
        <w:rPr>
          <w:rFonts w:eastAsia="Calibri"/>
          <w:b/>
          <w:lang w:val="en-US" w:eastAsia="en-US"/>
        </w:rPr>
        <w:t>O</w:t>
      </w:r>
      <w:r w:rsidR="00323A17" w:rsidRPr="00CF6765">
        <w:rPr>
          <w:rFonts w:eastAsia="Calibri"/>
          <w:b/>
          <w:lang w:val="en-US" w:eastAsia="en-US"/>
        </w:rPr>
        <w:t>lder persons</w:t>
      </w:r>
      <w:r w:rsidR="00D80DE7" w:rsidRPr="00CF6765">
        <w:rPr>
          <w:rStyle w:val="Refdenotaalpie"/>
          <w:rFonts w:eastAsia="Calibri"/>
          <w:i w:val="0"/>
          <w:szCs w:val="20"/>
          <w:lang w:val="en-US" w:eastAsia="en-US"/>
        </w:rPr>
        <w:footnoteReference w:id="190"/>
      </w:r>
      <w:r w:rsidR="00D80DE7" w:rsidRPr="00CF6765">
        <w:rPr>
          <w:rFonts w:eastAsia="Calibri"/>
          <w:szCs w:val="20"/>
          <w:lang w:val="en-US" w:eastAsia="en-US"/>
        </w:rPr>
        <w:t xml:space="preserve"> </w:t>
      </w:r>
      <w:r w:rsidR="00436C13" w:rsidRPr="00CF6765">
        <w:rPr>
          <w:rFonts w:eastAsia="Calibri"/>
          <w:b/>
          <w:lang w:val="en-US" w:eastAsia="en-US"/>
        </w:rPr>
        <w:t>and</w:t>
      </w:r>
      <w:r w:rsidR="004C7CBA" w:rsidRPr="00CF6765">
        <w:rPr>
          <w:rFonts w:eastAsia="Calibri"/>
          <w:b/>
          <w:lang w:val="en-US" w:eastAsia="en-US"/>
        </w:rPr>
        <w:t xml:space="preserve"> health-related matters</w:t>
      </w:r>
      <w:bookmarkEnd w:id="77"/>
    </w:p>
    <w:p w14:paraId="68BBB3B7" w14:textId="77777777" w:rsidR="00911089" w:rsidRPr="00CF6765" w:rsidRDefault="00911089" w:rsidP="0059117C">
      <w:pPr>
        <w:ind w:right="-360"/>
        <w:contextualSpacing/>
        <w:rPr>
          <w:rFonts w:eastAsia="Calibri"/>
          <w:sz w:val="20"/>
          <w:szCs w:val="20"/>
          <w:lang w:val="en-US" w:eastAsia="en-US"/>
        </w:rPr>
      </w:pPr>
    </w:p>
    <w:p w14:paraId="03EA57E3" w14:textId="1A37C3FD" w:rsidR="00366709" w:rsidRPr="00CF6765" w:rsidRDefault="005C731C" w:rsidP="0027467C">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Court</w:t>
      </w:r>
      <w:r w:rsidR="009455C8" w:rsidRPr="00CF6765">
        <w:rPr>
          <w:rFonts w:eastAsia="Calibri"/>
          <w:sz w:val="20"/>
          <w:szCs w:val="20"/>
          <w:lang w:val="en-US" w:eastAsia="en-US"/>
        </w:rPr>
        <w:t xml:space="preserve"> </w:t>
      </w:r>
      <w:r w:rsidR="004C7CBA" w:rsidRPr="00CF6765">
        <w:rPr>
          <w:rFonts w:eastAsia="Calibri"/>
          <w:sz w:val="20"/>
          <w:szCs w:val="20"/>
          <w:lang w:val="en-US" w:eastAsia="en-US"/>
        </w:rPr>
        <w:t>underlines th</w:t>
      </w:r>
      <w:r w:rsidR="0087005D" w:rsidRPr="00CF6765">
        <w:rPr>
          <w:rFonts w:eastAsia="Calibri"/>
          <w:sz w:val="20"/>
          <w:szCs w:val="20"/>
          <w:lang w:val="en-US" w:eastAsia="en-US"/>
        </w:rPr>
        <w:t>is</w:t>
      </w:r>
      <w:r w:rsidR="004C7CBA" w:rsidRPr="00CF6765">
        <w:rPr>
          <w:rFonts w:eastAsia="Calibri"/>
          <w:sz w:val="20"/>
          <w:szCs w:val="20"/>
          <w:lang w:val="en-US" w:eastAsia="en-US"/>
        </w:rPr>
        <w:t xml:space="preserve"> opportunity </w:t>
      </w:r>
      <w:r w:rsidR="0087005D" w:rsidRPr="00CF6765">
        <w:rPr>
          <w:rFonts w:eastAsia="Calibri"/>
          <w:sz w:val="20"/>
          <w:szCs w:val="20"/>
          <w:lang w:val="en-US" w:eastAsia="en-US"/>
        </w:rPr>
        <w:t>of</w:t>
      </w:r>
      <w:r w:rsidR="004C7CBA" w:rsidRPr="00CF6765">
        <w:rPr>
          <w:rFonts w:eastAsia="Calibri"/>
          <w:sz w:val="20"/>
          <w:szCs w:val="20"/>
          <w:lang w:val="en-US" w:eastAsia="en-US"/>
        </w:rPr>
        <w:t xml:space="preserve"> rul</w:t>
      </w:r>
      <w:r w:rsidR="0087005D" w:rsidRPr="00CF6765">
        <w:rPr>
          <w:rFonts w:eastAsia="Calibri"/>
          <w:sz w:val="20"/>
          <w:szCs w:val="20"/>
          <w:lang w:val="en-US" w:eastAsia="en-US"/>
        </w:rPr>
        <w:t>ing</w:t>
      </w:r>
      <w:r w:rsidR="004C7CBA" w:rsidRPr="00CF6765">
        <w:rPr>
          <w:rFonts w:eastAsia="Calibri"/>
          <w:sz w:val="20"/>
          <w:szCs w:val="20"/>
          <w:lang w:val="en-US" w:eastAsia="en-US"/>
        </w:rPr>
        <w:t xml:space="preserve"> for the first time, specifically, on the rights of </w:t>
      </w:r>
      <w:r w:rsidR="00323A17" w:rsidRPr="00CF6765">
        <w:rPr>
          <w:rFonts w:eastAsia="Calibri"/>
          <w:sz w:val="20"/>
          <w:szCs w:val="20"/>
          <w:lang w:val="en-US" w:eastAsia="en-US"/>
        </w:rPr>
        <w:t>older persons</w:t>
      </w:r>
      <w:r w:rsidR="00D80DE7" w:rsidRPr="00CF6765">
        <w:rPr>
          <w:rFonts w:eastAsia="Calibri"/>
          <w:sz w:val="20"/>
          <w:szCs w:val="20"/>
          <w:lang w:val="en-US" w:eastAsia="en-US"/>
        </w:rPr>
        <w:t xml:space="preserve"> </w:t>
      </w:r>
      <w:r w:rsidR="004C7CBA" w:rsidRPr="00CF6765">
        <w:rPr>
          <w:rFonts w:eastAsia="Calibri"/>
          <w:sz w:val="20"/>
          <w:szCs w:val="20"/>
          <w:lang w:val="en-US" w:eastAsia="en-US"/>
        </w:rPr>
        <w:t>in health-related matters.</w:t>
      </w:r>
      <w:r w:rsidR="00EE6B63" w:rsidRPr="00CF6765">
        <w:rPr>
          <w:rStyle w:val="Refdenotaalpie"/>
          <w:rFonts w:eastAsia="Calibri"/>
          <w:sz w:val="20"/>
          <w:szCs w:val="20"/>
          <w:lang w:val="en-US" w:eastAsia="en-US"/>
        </w:rPr>
        <w:footnoteReference w:id="191"/>
      </w:r>
    </w:p>
    <w:p w14:paraId="503A623A" w14:textId="77777777" w:rsidR="00366709" w:rsidRPr="00CF6765" w:rsidRDefault="00366709" w:rsidP="0059117C">
      <w:pPr>
        <w:tabs>
          <w:tab w:val="left" w:pos="567"/>
        </w:tabs>
        <w:rPr>
          <w:rFonts w:eastAsia="Calibri"/>
          <w:sz w:val="20"/>
          <w:szCs w:val="20"/>
          <w:lang w:val="en-US" w:eastAsia="en-US"/>
        </w:rPr>
      </w:pPr>
    </w:p>
    <w:p w14:paraId="6AD71ED6" w14:textId="3CC7D129" w:rsidR="00911089" w:rsidRPr="00CF6765" w:rsidRDefault="004C7CBA" w:rsidP="004C7CBA">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Court has verified the important development and consolidation of</w:t>
      </w:r>
      <w:r w:rsidR="00ED7D19" w:rsidRPr="00CF6765">
        <w:rPr>
          <w:rFonts w:eastAsia="Calibri"/>
          <w:sz w:val="20"/>
          <w:szCs w:val="20"/>
          <w:lang w:val="en-US" w:eastAsia="en-US"/>
        </w:rPr>
        <w:t xml:space="preserve"> the relevant</w:t>
      </w:r>
      <w:r w:rsidRPr="00CF6765">
        <w:rPr>
          <w:rFonts w:eastAsia="Calibri"/>
          <w:sz w:val="20"/>
          <w:szCs w:val="20"/>
          <w:lang w:val="en-US" w:eastAsia="en-US"/>
        </w:rPr>
        <w:t xml:space="preserve"> international standards. </w:t>
      </w:r>
      <w:r w:rsidR="00ED7D19" w:rsidRPr="00CF6765">
        <w:rPr>
          <w:rFonts w:eastAsia="Calibri"/>
          <w:sz w:val="20"/>
          <w:szCs w:val="20"/>
          <w:lang w:val="en-US" w:eastAsia="en-US"/>
        </w:rPr>
        <w:t xml:space="preserve">For example, </w:t>
      </w:r>
      <w:r w:rsidRPr="00CF6765">
        <w:rPr>
          <w:rFonts w:eastAsia="Calibri"/>
          <w:sz w:val="20"/>
          <w:szCs w:val="20"/>
          <w:lang w:val="en-US" w:eastAsia="en-US"/>
        </w:rPr>
        <w:t>Article 17 of the Protocol of San Salvador</w:t>
      </w:r>
      <w:r w:rsidR="00ED7D19" w:rsidRPr="00CF6765">
        <w:rPr>
          <w:rFonts w:eastAsia="Calibri"/>
          <w:sz w:val="20"/>
          <w:szCs w:val="20"/>
          <w:lang w:val="en-US" w:eastAsia="en-US"/>
        </w:rPr>
        <w:t>, which</w:t>
      </w:r>
      <w:r w:rsidRPr="00CF6765">
        <w:rPr>
          <w:rFonts w:eastAsia="Calibri"/>
          <w:sz w:val="20"/>
          <w:szCs w:val="20"/>
          <w:lang w:val="en-US" w:eastAsia="en-US"/>
        </w:rPr>
        <w:t xml:space="preserve"> establishes the right to health of </w:t>
      </w:r>
      <w:r w:rsidR="00323A17" w:rsidRPr="00CF6765">
        <w:rPr>
          <w:rFonts w:eastAsia="Calibri"/>
          <w:sz w:val="20"/>
          <w:szCs w:val="20"/>
          <w:lang w:val="en-US" w:eastAsia="en-US"/>
        </w:rPr>
        <w:t>older persons</w:t>
      </w:r>
      <w:r w:rsidRPr="00CF6765">
        <w:rPr>
          <w:rFonts w:eastAsia="Calibri"/>
          <w:sz w:val="20"/>
          <w:szCs w:val="20"/>
          <w:lang w:val="en-US" w:eastAsia="en-US"/>
        </w:rPr>
        <w:t>;</w:t>
      </w:r>
      <w:r w:rsidR="00911089" w:rsidRPr="00CF6765">
        <w:rPr>
          <w:rStyle w:val="Refdenotaalpie"/>
          <w:rFonts w:eastAsia="Calibri"/>
          <w:sz w:val="20"/>
          <w:szCs w:val="20"/>
          <w:lang w:val="en-US" w:eastAsia="en-US"/>
        </w:rPr>
        <w:footnoteReference w:id="192"/>
      </w:r>
      <w:r w:rsidR="0027467C" w:rsidRPr="00CF6765">
        <w:rPr>
          <w:rFonts w:eastAsia="Calibri"/>
          <w:sz w:val="20"/>
          <w:szCs w:val="20"/>
          <w:lang w:val="en-US" w:eastAsia="en-US"/>
        </w:rPr>
        <w:t xml:space="preserve"> </w:t>
      </w:r>
      <w:r w:rsidRPr="00CF6765">
        <w:rPr>
          <w:rFonts w:eastAsia="Calibri"/>
          <w:sz w:val="20"/>
          <w:szCs w:val="20"/>
          <w:lang w:val="en-US" w:eastAsia="en-US"/>
        </w:rPr>
        <w:t>the Protocol to the African Charter of Human and Peoples’ Rights on the Rights of Older Persons in Africa,</w:t>
      </w:r>
      <w:r w:rsidR="0027467C" w:rsidRPr="00CF6765">
        <w:rPr>
          <w:rFonts w:eastAsia="Calibri"/>
          <w:sz w:val="20"/>
          <w:szCs w:val="20"/>
          <w:vertAlign w:val="superscript"/>
          <w:lang w:val="en-US" w:eastAsia="en-US"/>
        </w:rPr>
        <w:footnoteReference w:id="193"/>
      </w:r>
      <w:r w:rsidR="00EC50FC" w:rsidRPr="00CF6765">
        <w:rPr>
          <w:rFonts w:eastAsia="Calibri"/>
          <w:sz w:val="20"/>
          <w:szCs w:val="20"/>
          <w:lang w:val="en-US" w:eastAsia="en-US"/>
        </w:rPr>
        <w:t xml:space="preserve"> and </w:t>
      </w:r>
      <w:r w:rsidR="00ED7D19" w:rsidRPr="00CF6765">
        <w:rPr>
          <w:rFonts w:eastAsia="Calibri"/>
          <w:sz w:val="20"/>
          <w:szCs w:val="20"/>
          <w:lang w:val="en-US"/>
        </w:rPr>
        <w:t>the European Social Charter.</w:t>
      </w:r>
      <w:r w:rsidR="005D383C" w:rsidRPr="00CF6765">
        <w:rPr>
          <w:rStyle w:val="Refdenotaalpie"/>
          <w:rFonts w:eastAsia="Calibri"/>
          <w:sz w:val="20"/>
          <w:szCs w:val="20"/>
          <w:lang w:val="en-US"/>
        </w:rPr>
        <w:footnoteReference w:id="194"/>
      </w:r>
      <w:r w:rsidR="005D383C" w:rsidRPr="00CF6765">
        <w:rPr>
          <w:rFonts w:eastAsia="Calibri"/>
          <w:sz w:val="20"/>
          <w:szCs w:val="20"/>
          <w:lang w:val="en-US"/>
        </w:rPr>
        <w:t xml:space="preserve"> </w:t>
      </w:r>
      <w:r w:rsidR="00ED7D19" w:rsidRPr="00CF6765">
        <w:rPr>
          <w:rFonts w:eastAsia="Calibri"/>
          <w:sz w:val="20"/>
          <w:szCs w:val="20"/>
          <w:lang w:val="en-US" w:eastAsia="en-US"/>
        </w:rPr>
        <w:t>The recent adoption</w:t>
      </w:r>
      <w:r w:rsidR="005C731C" w:rsidRPr="00CF6765">
        <w:rPr>
          <w:rFonts w:eastAsia="Calibri"/>
          <w:sz w:val="20"/>
          <w:szCs w:val="20"/>
          <w:lang w:val="en-US" w:eastAsia="en-US"/>
        </w:rPr>
        <w:t xml:space="preserve"> of the </w:t>
      </w:r>
      <w:r w:rsidR="006862FC" w:rsidRPr="00CF6765">
        <w:rPr>
          <w:rFonts w:eastAsia="Calibri"/>
          <w:sz w:val="20"/>
          <w:szCs w:val="20"/>
          <w:lang w:val="en-US" w:eastAsia="en-US"/>
        </w:rPr>
        <w:t>I</w:t>
      </w:r>
      <w:r w:rsidR="006862FC" w:rsidRPr="00CF6765">
        <w:rPr>
          <w:sz w:val="20"/>
          <w:szCs w:val="20"/>
          <w:lang w:val="en-US"/>
        </w:rPr>
        <w:t>nter-American Convention on Protecting the Human Rights of Older Persons</w:t>
      </w:r>
      <w:r w:rsidR="001218A0" w:rsidRPr="00CF6765">
        <w:rPr>
          <w:rFonts w:eastAsia="Calibri"/>
          <w:sz w:val="20"/>
          <w:szCs w:val="20"/>
          <w:vertAlign w:val="superscript"/>
          <w:lang w:val="en-US" w:eastAsia="en-US"/>
        </w:rPr>
        <w:footnoteReference w:id="195"/>
      </w:r>
      <w:r w:rsidR="00ED7D19" w:rsidRPr="00CF6765">
        <w:rPr>
          <w:sz w:val="20"/>
          <w:szCs w:val="20"/>
          <w:lang w:val="en-US"/>
        </w:rPr>
        <w:t xml:space="preserve"> merits special attention; among other matters, it recognizes that the older person has a right to both physical and mental health, without any discrimination.</w:t>
      </w:r>
      <w:r w:rsidR="001218A0" w:rsidRPr="00CF6765">
        <w:rPr>
          <w:rStyle w:val="Refdenotaalpie"/>
          <w:rFonts w:eastAsia="Calibri"/>
          <w:sz w:val="20"/>
          <w:szCs w:val="20"/>
          <w:lang w:val="en-US" w:eastAsia="en-US"/>
        </w:rPr>
        <w:footnoteReference w:id="196"/>
      </w:r>
      <w:r w:rsidR="00ED7D19" w:rsidRPr="00CF6765">
        <w:rPr>
          <w:rFonts w:eastAsia="Calibri"/>
          <w:sz w:val="20"/>
          <w:szCs w:val="20"/>
          <w:lang w:val="en-US" w:eastAsia="en-US"/>
        </w:rPr>
        <w:t xml:space="preserve"> The Court also notes other developments in the </w:t>
      </w:r>
      <w:r w:rsidR="00E63A75" w:rsidRPr="00CF6765">
        <w:rPr>
          <w:rFonts w:eastAsia="Calibri"/>
          <w:sz w:val="20"/>
          <w:szCs w:val="20"/>
          <w:lang w:val="en-US" w:eastAsia="en-US"/>
        </w:rPr>
        <w:t>a</w:t>
      </w:r>
      <w:r w:rsidR="00ED7D19" w:rsidRPr="00CF6765">
        <w:rPr>
          <w:rFonts w:eastAsia="Calibri"/>
          <w:sz w:val="20"/>
          <w:szCs w:val="20"/>
          <w:lang w:val="en-US" w:eastAsia="en-US"/>
        </w:rPr>
        <w:t>rea, such as: the United Nations Principles for the Older Person,</w:t>
      </w:r>
      <w:r w:rsidR="00823A66" w:rsidRPr="00CF6765">
        <w:rPr>
          <w:rFonts w:eastAsia="Calibri"/>
          <w:sz w:val="20"/>
          <w:szCs w:val="20"/>
          <w:vertAlign w:val="superscript"/>
          <w:lang w:val="en-US" w:eastAsia="en-US"/>
        </w:rPr>
        <w:footnoteReference w:id="197"/>
      </w:r>
      <w:r w:rsidR="00ED7D19" w:rsidRPr="00CF6765">
        <w:rPr>
          <w:rFonts w:eastAsia="Calibri"/>
          <w:sz w:val="20"/>
          <w:szCs w:val="20"/>
          <w:lang w:val="en-US" w:eastAsia="en-US"/>
        </w:rPr>
        <w:t xml:space="preserve"> </w:t>
      </w:r>
      <w:r w:rsidR="00E63A75" w:rsidRPr="00CF6765">
        <w:rPr>
          <w:rFonts w:eastAsia="Calibri"/>
          <w:sz w:val="20"/>
          <w:szCs w:val="20"/>
          <w:lang w:val="en-US" w:eastAsia="en-US"/>
        </w:rPr>
        <w:t xml:space="preserve">the Vienna </w:t>
      </w:r>
      <w:r w:rsidR="00E63A75" w:rsidRPr="00CF6765">
        <w:rPr>
          <w:rFonts w:eastAsia="Calibri"/>
          <w:sz w:val="20"/>
          <w:szCs w:val="20"/>
          <w:lang w:val="en-US" w:eastAsia="en-US"/>
        </w:rPr>
        <w:lastRenderedPageBreak/>
        <w:t>International Plan of Action on Ageing,</w:t>
      </w:r>
      <w:r w:rsidR="00911089" w:rsidRPr="00CF6765">
        <w:rPr>
          <w:rStyle w:val="Refdenotaalpie"/>
          <w:rFonts w:eastAsia="Calibri"/>
          <w:sz w:val="20"/>
          <w:szCs w:val="20"/>
          <w:lang w:val="en-US" w:eastAsia="en-US"/>
        </w:rPr>
        <w:footnoteReference w:id="198"/>
      </w:r>
      <w:r w:rsidR="00911089" w:rsidRPr="00CF6765">
        <w:rPr>
          <w:rFonts w:eastAsia="Calibri"/>
          <w:sz w:val="20"/>
          <w:szCs w:val="20"/>
          <w:lang w:val="en-US" w:eastAsia="en-US"/>
        </w:rPr>
        <w:t xml:space="preserve"> </w:t>
      </w:r>
      <w:r w:rsidR="00E63A75" w:rsidRPr="00CF6765">
        <w:rPr>
          <w:rFonts w:eastAsia="Calibri"/>
          <w:sz w:val="20"/>
          <w:szCs w:val="20"/>
          <w:lang w:val="en-US" w:eastAsia="en-US"/>
        </w:rPr>
        <w:t>the Proclamation on Ageing</w:t>
      </w:r>
      <w:r w:rsidR="00F40D2B" w:rsidRPr="00CF6765">
        <w:rPr>
          <w:rFonts w:eastAsia="Calibri"/>
          <w:sz w:val="20"/>
          <w:szCs w:val="20"/>
          <w:lang w:val="en-US" w:eastAsia="en-US"/>
        </w:rPr>
        <w:t>,</w:t>
      </w:r>
      <w:r w:rsidR="00911089" w:rsidRPr="00CF6765">
        <w:rPr>
          <w:rFonts w:eastAsia="Calibri"/>
          <w:sz w:val="20"/>
          <w:szCs w:val="20"/>
          <w:vertAlign w:val="superscript"/>
          <w:lang w:val="en-US" w:eastAsia="en-US"/>
        </w:rPr>
        <w:footnoteReference w:id="199"/>
      </w:r>
      <w:r w:rsidR="00911089" w:rsidRPr="00CF6765">
        <w:rPr>
          <w:rFonts w:eastAsia="Calibri"/>
          <w:sz w:val="20"/>
          <w:szCs w:val="20"/>
          <w:lang w:val="en-US" w:eastAsia="en-US"/>
        </w:rPr>
        <w:t xml:space="preserve"> </w:t>
      </w:r>
      <w:r w:rsidR="00E63A75" w:rsidRPr="00CF6765">
        <w:rPr>
          <w:rFonts w:eastAsia="Calibri"/>
          <w:sz w:val="20"/>
          <w:szCs w:val="20"/>
          <w:lang w:val="en-US" w:eastAsia="en-US"/>
        </w:rPr>
        <w:t xml:space="preserve">the </w:t>
      </w:r>
      <w:r w:rsidR="00CD12A3" w:rsidRPr="00CF6765">
        <w:rPr>
          <w:rFonts w:eastAsia="Calibri"/>
          <w:sz w:val="20"/>
          <w:szCs w:val="20"/>
          <w:lang w:val="en-US" w:eastAsia="en-US"/>
        </w:rPr>
        <w:t>Political</w:t>
      </w:r>
      <w:r w:rsidR="00E63A75" w:rsidRPr="00CF6765">
        <w:rPr>
          <w:rFonts w:eastAsia="Calibri"/>
          <w:sz w:val="20"/>
          <w:szCs w:val="20"/>
          <w:lang w:val="en-US" w:eastAsia="en-US"/>
        </w:rPr>
        <w:t xml:space="preserve"> Statement and</w:t>
      </w:r>
      <w:r w:rsidR="00CD12A3" w:rsidRPr="00CF6765">
        <w:rPr>
          <w:rFonts w:eastAsia="Calibri"/>
          <w:sz w:val="20"/>
          <w:szCs w:val="20"/>
          <w:lang w:val="en-US" w:eastAsia="en-US"/>
        </w:rPr>
        <w:t xml:space="preserve"> Madrid </w:t>
      </w:r>
      <w:r w:rsidR="00E63A75" w:rsidRPr="00CF6765">
        <w:rPr>
          <w:rFonts w:eastAsia="Calibri"/>
          <w:sz w:val="20"/>
          <w:szCs w:val="20"/>
          <w:lang w:val="en-US" w:eastAsia="en-US"/>
        </w:rPr>
        <w:t xml:space="preserve">International Plan of Action </w:t>
      </w:r>
      <w:r w:rsidR="00CD12A3" w:rsidRPr="00CF6765">
        <w:rPr>
          <w:rFonts w:eastAsia="Calibri"/>
          <w:sz w:val="20"/>
          <w:szCs w:val="20"/>
          <w:lang w:val="en-US" w:eastAsia="en-US"/>
        </w:rPr>
        <w:t>on</w:t>
      </w:r>
      <w:r w:rsidR="00E63A75" w:rsidRPr="00CF6765">
        <w:rPr>
          <w:rFonts w:eastAsia="Calibri"/>
          <w:sz w:val="20"/>
          <w:szCs w:val="20"/>
          <w:lang w:val="en-US" w:eastAsia="en-US"/>
        </w:rPr>
        <w:t xml:space="preserve"> Ageing,</w:t>
      </w:r>
      <w:r w:rsidR="00911089" w:rsidRPr="00CF6765">
        <w:rPr>
          <w:rFonts w:eastAsia="Calibri"/>
          <w:sz w:val="20"/>
          <w:szCs w:val="20"/>
          <w:vertAlign w:val="superscript"/>
          <w:lang w:val="en-US" w:eastAsia="en-US"/>
        </w:rPr>
        <w:footnoteReference w:id="200"/>
      </w:r>
      <w:r w:rsidR="00E63A75" w:rsidRPr="00CF6765">
        <w:rPr>
          <w:rFonts w:eastAsia="Calibri"/>
          <w:sz w:val="20"/>
          <w:szCs w:val="20"/>
          <w:lang w:val="en-US" w:eastAsia="en-US"/>
        </w:rPr>
        <w:t xml:space="preserve"> as well as others of a regional nature, such as: the Regional</w:t>
      </w:r>
      <w:r w:rsidR="00CD12A3" w:rsidRPr="00CF6765">
        <w:rPr>
          <w:rFonts w:eastAsia="Calibri"/>
          <w:sz w:val="20"/>
          <w:szCs w:val="20"/>
          <w:lang w:val="en-US" w:eastAsia="en-US"/>
        </w:rPr>
        <w:t xml:space="preserve"> strategy for the</w:t>
      </w:r>
      <w:r w:rsidR="00E63A75" w:rsidRPr="00CF6765">
        <w:rPr>
          <w:rFonts w:eastAsia="Calibri"/>
          <w:sz w:val="20"/>
          <w:szCs w:val="20"/>
          <w:lang w:val="en-US" w:eastAsia="en-US"/>
        </w:rPr>
        <w:t xml:space="preserve"> </w:t>
      </w:r>
      <w:r w:rsidR="00CD12A3" w:rsidRPr="00CF6765">
        <w:rPr>
          <w:rFonts w:eastAsia="Calibri"/>
          <w:sz w:val="20"/>
          <w:szCs w:val="20"/>
          <w:lang w:val="en-US" w:eastAsia="en-US"/>
        </w:rPr>
        <w:t>i</w:t>
      </w:r>
      <w:r w:rsidR="00E63A75" w:rsidRPr="00CF6765">
        <w:rPr>
          <w:rFonts w:eastAsia="Calibri"/>
          <w:sz w:val="20"/>
          <w:szCs w:val="20"/>
          <w:lang w:val="en-US" w:eastAsia="en-US"/>
        </w:rPr>
        <w:t xml:space="preserve">mplementation </w:t>
      </w:r>
      <w:r w:rsidR="00CD12A3" w:rsidRPr="00CF6765">
        <w:rPr>
          <w:rFonts w:eastAsia="Calibri"/>
          <w:sz w:val="20"/>
          <w:szCs w:val="20"/>
          <w:lang w:val="en-US" w:eastAsia="en-US"/>
        </w:rPr>
        <w:t>in</w:t>
      </w:r>
      <w:r w:rsidR="00E63A75" w:rsidRPr="00CF6765">
        <w:rPr>
          <w:rFonts w:eastAsia="Calibri"/>
          <w:sz w:val="20"/>
          <w:szCs w:val="20"/>
          <w:lang w:val="en-US" w:eastAsia="en-US"/>
        </w:rPr>
        <w:t xml:space="preserve"> Latin America and the Caribbean</w:t>
      </w:r>
      <w:r w:rsidR="00CD12A3" w:rsidRPr="00CF6765">
        <w:rPr>
          <w:rFonts w:eastAsia="Calibri"/>
          <w:sz w:val="20"/>
          <w:szCs w:val="20"/>
          <w:lang w:val="en-US" w:eastAsia="en-US"/>
        </w:rPr>
        <w:t xml:space="preserve"> of the Madrid International Plan of Action on Ageing</w:t>
      </w:r>
      <w:r w:rsidR="00E63A75" w:rsidRPr="00CF6765">
        <w:rPr>
          <w:rFonts w:eastAsia="Calibri"/>
          <w:sz w:val="20"/>
          <w:szCs w:val="20"/>
          <w:lang w:val="en-US" w:eastAsia="en-US"/>
        </w:rPr>
        <w:t>,</w:t>
      </w:r>
      <w:r w:rsidR="00911089" w:rsidRPr="00CF6765">
        <w:rPr>
          <w:rFonts w:eastAsia="Calibri"/>
          <w:sz w:val="20"/>
          <w:szCs w:val="20"/>
          <w:vertAlign w:val="superscript"/>
          <w:lang w:val="en-US" w:eastAsia="en-US"/>
        </w:rPr>
        <w:footnoteReference w:id="201"/>
      </w:r>
      <w:r w:rsidR="00E63A75" w:rsidRPr="00CF6765">
        <w:rPr>
          <w:rFonts w:eastAsia="Calibri"/>
          <w:sz w:val="20"/>
          <w:szCs w:val="20"/>
          <w:lang w:val="en-US" w:eastAsia="en-US"/>
        </w:rPr>
        <w:t xml:space="preserve"> the Brasilia Declaration,</w:t>
      </w:r>
      <w:r w:rsidR="00911089" w:rsidRPr="00CF6765">
        <w:rPr>
          <w:rFonts w:eastAsia="Calibri"/>
          <w:sz w:val="20"/>
          <w:szCs w:val="20"/>
          <w:vertAlign w:val="superscript"/>
          <w:lang w:val="en-US" w:eastAsia="en-US"/>
        </w:rPr>
        <w:footnoteReference w:id="202"/>
      </w:r>
      <w:r w:rsidR="00E63A75" w:rsidRPr="00CF6765">
        <w:rPr>
          <w:rFonts w:eastAsia="Calibri"/>
          <w:sz w:val="20"/>
          <w:szCs w:val="20"/>
          <w:lang w:val="en-US" w:eastAsia="en-US"/>
        </w:rPr>
        <w:t xml:space="preserve"> the Pan-American Health Organization </w:t>
      </w:r>
      <w:r w:rsidR="00CD12A3" w:rsidRPr="00CF6765">
        <w:rPr>
          <w:rFonts w:eastAsia="Calibri"/>
          <w:sz w:val="20"/>
          <w:szCs w:val="20"/>
          <w:lang w:val="en-US" w:eastAsia="en-US"/>
        </w:rPr>
        <w:t xml:space="preserve">Plan of Action </w:t>
      </w:r>
      <w:r w:rsidR="00E63A75" w:rsidRPr="00CF6765">
        <w:rPr>
          <w:rFonts w:eastAsia="Calibri"/>
          <w:sz w:val="20"/>
          <w:szCs w:val="20"/>
          <w:lang w:val="en-US" w:eastAsia="en-US"/>
        </w:rPr>
        <w:t xml:space="preserve">on the </w:t>
      </w:r>
      <w:r w:rsidR="00CD12A3" w:rsidRPr="00CF6765">
        <w:rPr>
          <w:rFonts w:eastAsia="Calibri"/>
          <w:sz w:val="20"/>
          <w:szCs w:val="20"/>
          <w:lang w:val="en-US" w:eastAsia="en-US"/>
        </w:rPr>
        <w:t>H</w:t>
      </w:r>
      <w:r w:rsidR="00E63A75" w:rsidRPr="00CF6765">
        <w:rPr>
          <w:rFonts w:eastAsia="Calibri"/>
          <w:sz w:val="20"/>
          <w:szCs w:val="20"/>
          <w:lang w:val="en-US" w:eastAsia="en-US"/>
        </w:rPr>
        <w:t xml:space="preserve">ealth of </w:t>
      </w:r>
      <w:r w:rsidR="00E365E0" w:rsidRPr="00CF6765">
        <w:rPr>
          <w:rFonts w:eastAsia="Calibri"/>
          <w:sz w:val="20"/>
          <w:szCs w:val="20"/>
          <w:lang w:val="en-US" w:eastAsia="en-US"/>
        </w:rPr>
        <w:t>Older Persons</w:t>
      </w:r>
      <w:r w:rsidR="00E63A75" w:rsidRPr="00CF6765">
        <w:rPr>
          <w:rFonts w:eastAsia="Calibri"/>
          <w:sz w:val="20"/>
          <w:szCs w:val="20"/>
          <w:lang w:val="en-US" w:eastAsia="en-US"/>
        </w:rPr>
        <w:t xml:space="preserve">, including </w:t>
      </w:r>
      <w:r w:rsidR="00E365E0" w:rsidRPr="00CF6765">
        <w:rPr>
          <w:rFonts w:eastAsia="Calibri"/>
          <w:sz w:val="20"/>
          <w:szCs w:val="20"/>
          <w:lang w:val="en-US" w:eastAsia="en-US"/>
        </w:rPr>
        <w:t>Active and Healthy Aging</w:t>
      </w:r>
      <w:r w:rsidR="00E63A75" w:rsidRPr="00CF6765">
        <w:rPr>
          <w:rFonts w:eastAsia="Calibri"/>
          <w:sz w:val="20"/>
          <w:szCs w:val="20"/>
          <w:lang w:val="en-US" w:eastAsia="en-US"/>
        </w:rPr>
        <w:t>,</w:t>
      </w:r>
      <w:r w:rsidR="00911089" w:rsidRPr="00CF6765">
        <w:rPr>
          <w:rFonts w:eastAsia="Calibri"/>
          <w:sz w:val="20"/>
          <w:szCs w:val="20"/>
          <w:vertAlign w:val="superscript"/>
          <w:lang w:val="en-US" w:eastAsia="en-US"/>
        </w:rPr>
        <w:footnoteReference w:id="203"/>
      </w:r>
      <w:r w:rsidR="00E63A75" w:rsidRPr="00CF6765">
        <w:rPr>
          <w:rFonts w:eastAsia="Calibri"/>
          <w:sz w:val="20"/>
          <w:szCs w:val="20"/>
          <w:lang w:val="en-US" w:eastAsia="en-US"/>
        </w:rPr>
        <w:t xml:space="preserve"> the </w:t>
      </w:r>
      <w:r w:rsidR="00E365E0" w:rsidRPr="00CF6765">
        <w:rPr>
          <w:rFonts w:eastAsia="Calibri"/>
          <w:sz w:val="20"/>
          <w:szCs w:val="20"/>
          <w:lang w:val="en-US" w:eastAsia="en-US"/>
        </w:rPr>
        <w:t xml:space="preserve">Declaration of Commitment of </w:t>
      </w:r>
      <w:r w:rsidR="00E63A75" w:rsidRPr="00CF6765">
        <w:rPr>
          <w:rFonts w:eastAsia="Calibri"/>
          <w:sz w:val="20"/>
          <w:szCs w:val="20"/>
          <w:lang w:val="en-US" w:eastAsia="en-US"/>
        </w:rPr>
        <w:t>Port-of-Spain,</w:t>
      </w:r>
      <w:r w:rsidR="00911089" w:rsidRPr="00CF6765">
        <w:rPr>
          <w:rFonts w:eastAsia="Calibri"/>
          <w:sz w:val="20"/>
          <w:szCs w:val="20"/>
          <w:vertAlign w:val="superscript"/>
          <w:lang w:val="en-US" w:eastAsia="en-US"/>
        </w:rPr>
        <w:footnoteReference w:id="204"/>
      </w:r>
      <w:r w:rsidR="00E63A75" w:rsidRPr="00CF6765">
        <w:rPr>
          <w:rFonts w:eastAsia="Calibri"/>
          <w:sz w:val="20"/>
          <w:szCs w:val="20"/>
          <w:lang w:val="en-US" w:eastAsia="en-US"/>
        </w:rPr>
        <w:t xml:space="preserve"> the San José Charter on the Rights of the Older Person of Latin American and the Caribbean.</w:t>
      </w:r>
      <w:r w:rsidR="00911089" w:rsidRPr="00CF6765">
        <w:rPr>
          <w:rFonts w:eastAsia="Calibri"/>
          <w:sz w:val="20"/>
          <w:szCs w:val="20"/>
          <w:vertAlign w:val="superscript"/>
          <w:lang w:val="en-US" w:eastAsia="en-US"/>
        </w:rPr>
        <w:footnoteReference w:id="205"/>
      </w:r>
    </w:p>
    <w:p w14:paraId="59C6FACA" w14:textId="77777777" w:rsidR="00911089" w:rsidRPr="00CF6765" w:rsidRDefault="00911089" w:rsidP="00911089">
      <w:pPr>
        <w:tabs>
          <w:tab w:val="left" w:pos="567"/>
        </w:tabs>
        <w:rPr>
          <w:rFonts w:eastAsia="Calibri"/>
          <w:sz w:val="20"/>
          <w:szCs w:val="20"/>
          <w:lang w:val="en-US" w:eastAsia="en-US"/>
        </w:rPr>
      </w:pPr>
    </w:p>
    <w:p w14:paraId="41900BBF" w14:textId="306E1419" w:rsidR="00911089" w:rsidRPr="00CF6765" w:rsidRDefault="0027467C" w:rsidP="005B4AC8">
      <w:pPr>
        <w:numPr>
          <w:ilvl w:val="0"/>
          <w:numId w:val="2"/>
        </w:numPr>
        <w:tabs>
          <w:tab w:val="left" w:pos="567"/>
          <w:tab w:val="num" w:pos="1569"/>
          <w:tab w:val="num" w:pos="12305"/>
        </w:tabs>
        <w:ind w:left="0" w:firstLine="0"/>
        <w:rPr>
          <w:rFonts w:eastAsia="Calibri"/>
          <w:sz w:val="20"/>
          <w:szCs w:val="20"/>
          <w:lang w:val="en-US" w:eastAsia="en-US"/>
        </w:rPr>
      </w:pPr>
      <w:proofErr w:type="gramStart"/>
      <w:r w:rsidRPr="00CF6765">
        <w:rPr>
          <w:rFonts w:eastAsia="Calibri"/>
          <w:sz w:val="20"/>
          <w:szCs w:val="20"/>
          <w:lang w:val="en-US" w:eastAsia="en-US"/>
        </w:rPr>
        <w:t>T</w:t>
      </w:r>
      <w:r w:rsidR="00E365E0" w:rsidRPr="00CF6765">
        <w:rPr>
          <w:rFonts w:eastAsia="Calibri"/>
          <w:sz w:val="20"/>
          <w:szCs w:val="20"/>
          <w:lang w:val="en-US" w:eastAsia="en-US"/>
        </w:rPr>
        <w:t>hese international instrument</w:t>
      </w:r>
      <w:proofErr w:type="gramEnd"/>
      <w:r w:rsidR="00E365E0" w:rsidRPr="00CF6765">
        <w:rPr>
          <w:rFonts w:eastAsia="Calibri"/>
          <w:sz w:val="20"/>
          <w:szCs w:val="20"/>
          <w:lang w:val="en-US" w:eastAsia="en-US"/>
        </w:rPr>
        <w:t xml:space="preserve"> establish a </w:t>
      </w:r>
      <w:r w:rsidR="0090740B" w:rsidRPr="00CF6765">
        <w:rPr>
          <w:rFonts w:eastAsia="Calibri"/>
          <w:sz w:val="20"/>
          <w:szCs w:val="20"/>
          <w:lang w:val="en-US" w:eastAsia="en-US"/>
        </w:rPr>
        <w:t>minimum</w:t>
      </w:r>
      <w:r w:rsidR="00E365E0" w:rsidRPr="00CF6765">
        <w:rPr>
          <w:rFonts w:eastAsia="Calibri"/>
          <w:sz w:val="20"/>
          <w:szCs w:val="20"/>
          <w:lang w:val="en-US" w:eastAsia="en-US"/>
        </w:rPr>
        <w:t xml:space="preserve"> list of human rights,</w:t>
      </w:r>
      <w:r w:rsidR="00911089" w:rsidRPr="00CF6765">
        <w:rPr>
          <w:rFonts w:eastAsia="Calibri"/>
          <w:sz w:val="20"/>
          <w:szCs w:val="20"/>
          <w:vertAlign w:val="superscript"/>
          <w:lang w:val="en-US" w:eastAsia="en-US"/>
        </w:rPr>
        <w:footnoteReference w:id="206"/>
      </w:r>
      <w:r w:rsidR="00E365E0" w:rsidRPr="00CF6765">
        <w:rPr>
          <w:rFonts w:eastAsia="Calibri"/>
          <w:sz w:val="20"/>
          <w:szCs w:val="20"/>
          <w:lang w:val="en-US" w:eastAsia="en-US"/>
        </w:rPr>
        <w:t xml:space="preserve"> respect for which is essential </w:t>
      </w:r>
      <w:r w:rsidR="00F40D2B" w:rsidRPr="00CF6765">
        <w:rPr>
          <w:rFonts w:eastAsia="Calibri"/>
          <w:sz w:val="20"/>
          <w:szCs w:val="20"/>
          <w:lang w:val="en-US" w:eastAsia="en-US"/>
        </w:rPr>
        <w:t>to ensure</w:t>
      </w:r>
      <w:r w:rsidR="00E365E0" w:rsidRPr="00CF6765">
        <w:rPr>
          <w:rFonts w:eastAsia="Calibri"/>
          <w:sz w:val="20"/>
          <w:szCs w:val="20"/>
          <w:lang w:val="en-US" w:eastAsia="en-US"/>
        </w:rPr>
        <w:t xml:space="preserve"> the </w:t>
      </w:r>
      <w:r w:rsidR="00F40D2B" w:rsidRPr="00CF6765">
        <w:rPr>
          <w:rFonts w:eastAsia="Calibri"/>
          <w:sz w:val="20"/>
          <w:szCs w:val="20"/>
          <w:lang w:val="en-US" w:eastAsia="en-US"/>
        </w:rPr>
        <w:t xml:space="preserve">highest level of </w:t>
      </w:r>
      <w:r w:rsidR="00E365E0" w:rsidRPr="00CF6765">
        <w:rPr>
          <w:rFonts w:eastAsia="Calibri"/>
          <w:sz w:val="20"/>
          <w:szCs w:val="20"/>
          <w:lang w:val="en-US" w:eastAsia="en-US"/>
        </w:rPr>
        <w:t>development f</w:t>
      </w:r>
      <w:r w:rsidR="00F40D2B" w:rsidRPr="00CF6765">
        <w:rPr>
          <w:rFonts w:eastAsia="Calibri"/>
          <w:sz w:val="20"/>
          <w:szCs w:val="20"/>
          <w:lang w:val="en-US" w:eastAsia="en-US"/>
        </w:rPr>
        <w:t>or</w:t>
      </w:r>
      <w:r w:rsidR="00E365E0" w:rsidRPr="00CF6765">
        <w:rPr>
          <w:rFonts w:eastAsia="Calibri"/>
          <w:sz w:val="20"/>
          <w:szCs w:val="20"/>
          <w:lang w:val="en-US" w:eastAsia="en-US"/>
        </w:rPr>
        <w:t xml:space="preserve"> older persons in all aspects of their life and in the best possible conditions, with particular emphasis on </w:t>
      </w:r>
      <w:r w:rsidR="00DE6950" w:rsidRPr="00CF6765">
        <w:rPr>
          <w:rFonts w:eastAsia="Calibri"/>
          <w:sz w:val="20"/>
          <w:szCs w:val="20"/>
          <w:lang w:val="en-US" w:eastAsia="en-US"/>
        </w:rPr>
        <w:t>the right</w:t>
      </w:r>
      <w:r w:rsidR="00925BAC" w:rsidRPr="00CF6765">
        <w:rPr>
          <w:rFonts w:eastAsia="Calibri"/>
          <w:sz w:val="20"/>
          <w:szCs w:val="20"/>
          <w:lang w:val="en-US" w:eastAsia="en-US"/>
        </w:rPr>
        <w:t xml:space="preserve"> to health</w:t>
      </w:r>
      <w:r w:rsidR="00911089" w:rsidRPr="00CF6765">
        <w:rPr>
          <w:rFonts w:eastAsia="Calibri"/>
          <w:sz w:val="20"/>
          <w:szCs w:val="20"/>
          <w:lang w:val="en-US" w:eastAsia="en-US"/>
        </w:rPr>
        <w:t xml:space="preserve">. </w:t>
      </w:r>
      <w:r w:rsidR="00E365E0" w:rsidRPr="00CF6765">
        <w:rPr>
          <w:rFonts w:eastAsia="Calibri"/>
          <w:sz w:val="20"/>
          <w:szCs w:val="20"/>
          <w:lang w:val="en-US" w:eastAsia="en-US"/>
        </w:rPr>
        <w:t>In addition,</w:t>
      </w:r>
      <w:r w:rsidR="00911089" w:rsidRPr="00CF6765">
        <w:rPr>
          <w:rFonts w:eastAsia="Calibri"/>
          <w:sz w:val="20"/>
          <w:szCs w:val="20"/>
          <w:lang w:val="en-US" w:eastAsia="en-US"/>
        </w:rPr>
        <w:t xml:space="preserve"> </w:t>
      </w:r>
      <w:r w:rsidR="00323A17" w:rsidRPr="00CF6765">
        <w:rPr>
          <w:rFonts w:eastAsia="Calibri"/>
          <w:sz w:val="20"/>
          <w:szCs w:val="20"/>
          <w:lang w:val="en-US" w:eastAsia="en-US"/>
        </w:rPr>
        <w:t>older persons</w:t>
      </w:r>
      <w:r w:rsidR="00E365E0" w:rsidRPr="00CF6765">
        <w:rPr>
          <w:rFonts w:eastAsia="Calibri"/>
          <w:sz w:val="20"/>
          <w:szCs w:val="20"/>
          <w:lang w:val="en-US" w:eastAsia="en-US"/>
        </w:rPr>
        <w:t xml:space="preserve"> have the right to increased protection and, consequently, this requires the adoption of differentiated measures.</w:t>
      </w:r>
      <w:r w:rsidR="00911089" w:rsidRPr="00CF6765">
        <w:rPr>
          <w:rFonts w:eastAsia="Calibri"/>
          <w:sz w:val="20"/>
          <w:szCs w:val="20"/>
          <w:vertAlign w:val="superscript"/>
          <w:lang w:val="en-US" w:eastAsia="en-US"/>
        </w:rPr>
        <w:footnoteReference w:id="207"/>
      </w:r>
      <w:r w:rsidR="00911089" w:rsidRPr="00CF6765">
        <w:rPr>
          <w:rFonts w:eastAsia="Calibri"/>
          <w:sz w:val="20"/>
          <w:szCs w:val="20"/>
          <w:lang w:val="en-US" w:eastAsia="en-US"/>
        </w:rPr>
        <w:t xml:space="preserve"> </w:t>
      </w:r>
      <w:r w:rsidR="00E365E0" w:rsidRPr="00CF6765">
        <w:rPr>
          <w:rFonts w:eastAsia="Calibri"/>
          <w:sz w:val="20"/>
          <w:szCs w:val="20"/>
          <w:lang w:val="en-US" w:eastAsia="en-US"/>
        </w:rPr>
        <w:t>Regarding</w:t>
      </w:r>
      <w:r w:rsidR="007A3516" w:rsidRPr="00CF6765">
        <w:rPr>
          <w:rFonts w:eastAsia="Calibri"/>
          <w:sz w:val="20"/>
          <w:szCs w:val="20"/>
          <w:lang w:val="en-US" w:eastAsia="en-US"/>
        </w:rPr>
        <w:t xml:space="preserve"> the right to health</w:t>
      </w:r>
      <w:r w:rsidR="002C6D1C" w:rsidRPr="00CF6765">
        <w:rPr>
          <w:rFonts w:eastAsia="Calibri"/>
          <w:sz w:val="20"/>
          <w:szCs w:val="20"/>
          <w:lang w:val="en-US" w:eastAsia="en-US"/>
        </w:rPr>
        <w:t>,</w:t>
      </w:r>
      <w:r w:rsidR="00911089" w:rsidRPr="00CF6765">
        <w:rPr>
          <w:rFonts w:eastAsia="Calibri"/>
          <w:sz w:val="20"/>
          <w:szCs w:val="20"/>
          <w:lang w:val="en-US" w:eastAsia="en-US"/>
        </w:rPr>
        <w:t xml:space="preserve"> </w:t>
      </w:r>
      <w:r w:rsidR="00E365E0" w:rsidRPr="00CF6765">
        <w:rPr>
          <w:rFonts w:eastAsia="Calibri"/>
          <w:sz w:val="20"/>
          <w:szCs w:val="20"/>
          <w:lang w:val="en-US" w:eastAsia="en-US"/>
        </w:rPr>
        <w:t xml:space="preserve">in </w:t>
      </w:r>
      <w:r w:rsidR="005B4AC8" w:rsidRPr="00CF6765">
        <w:rPr>
          <w:rFonts w:eastAsia="Calibri"/>
          <w:sz w:val="20"/>
          <w:szCs w:val="20"/>
          <w:lang w:val="en-US" w:eastAsia="en-US"/>
        </w:rPr>
        <w:t>both</w:t>
      </w:r>
      <w:r w:rsidR="00E365E0" w:rsidRPr="00CF6765">
        <w:rPr>
          <w:rFonts w:eastAsia="Calibri"/>
          <w:sz w:val="20"/>
          <w:szCs w:val="20"/>
          <w:lang w:val="en-US" w:eastAsia="en-US"/>
        </w:rPr>
        <w:t xml:space="preserve"> the public </w:t>
      </w:r>
      <w:r w:rsidR="00F40D2B" w:rsidRPr="00CF6765">
        <w:rPr>
          <w:rFonts w:eastAsia="Calibri"/>
          <w:sz w:val="20"/>
          <w:szCs w:val="20"/>
          <w:lang w:val="en-US" w:eastAsia="en-US"/>
        </w:rPr>
        <w:t>and</w:t>
      </w:r>
      <w:r w:rsidR="00E365E0" w:rsidRPr="00CF6765">
        <w:rPr>
          <w:rFonts w:eastAsia="Calibri"/>
          <w:sz w:val="20"/>
          <w:szCs w:val="20"/>
          <w:lang w:val="en-US" w:eastAsia="en-US"/>
        </w:rPr>
        <w:t xml:space="preserve"> the private sphere, the State has the obligation to ensure all the necessary measures available to it in order to </w:t>
      </w:r>
      <w:r w:rsidR="00F40D2B" w:rsidRPr="00CF6765">
        <w:rPr>
          <w:rFonts w:eastAsia="Calibri"/>
          <w:sz w:val="20"/>
          <w:szCs w:val="20"/>
          <w:lang w:val="en-US" w:eastAsia="en-US"/>
        </w:rPr>
        <w:t>guarantee</w:t>
      </w:r>
      <w:r w:rsidR="00E365E0" w:rsidRPr="00CF6765">
        <w:rPr>
          <w:rFonts w:eastAsia="Calibri"/>
          <w:sz w:val="20"/>
          <w:szCs w:val="20"/>
          <w:lang w:val="en-US" w:eastAsia="en-US"/>
        </w:rPr>
        <w:t xml:space="preserve"> the </w:t>
      </w:r>
      <w:r w:rsidR="00F40D2B" w:rsidRPr="00CF6765">
        <w:rPr>
          <w:rFonts w:eastAsia="Calibri"/>
          <w:sz w:val="20"/>
          <w:szCs w:val="20"/>
          <w:lang w:val="en-US" w:eastAsia="en-US"/>
        </w:rPr>
        <w:t>highest</w:t>
      </w:r>
      <w:r w:rsidR="00E365E0" w:rsidRPr="00CF6765">
        <w:rPr>
          <w:rFonts w:eastAsia="Calibri"/>
          <w:sz w:val="20"/>
          <w:szCs w:val="20"/>
          <w:lang w:val="en-US" w:eastAsia="en-US"/>
        </w:rPr>
        <w:t xml:space="preserve"> </w:t>
      </w:r>
      <w:r w:rsidR="00F40D2B" w:rsidRPr="00CF6765">
        <w:rPr>
          <w:rFonts w:eastAsia="Calibri"/>
          <w:sz w:val="20"/>
          <w:szCs w:val="20"/>
          <w:lang w:val="en-US" w:eastAsia="en-US"/>
        </w:rPr>
        <w:t>attainable</w:t>
      </w:r>
      <w:r w:rsidR="00E365E0" w:rsidRPr="00CF6765">
        <w:rPr>
          <w:rFonts w:eastAsia="Calibri"/>
          <w:sz w:val="20"/>
          <w:szCs w:val="20"/>
          <w:lang w:val="en-US" w:eastAsia="en-US"/>
        </w:rPr>
        <w:t xml:space="preserve"> </w:t>
      </w:r>
      <w:r w:rsidR="00F40D2B" w:rsidRPr="00CF6765">
        <w:rPr>
          <w:rFonts w:eastAsia="Calibri"/>
          <w:sz w:val="20"/>
          <w:szCs w:val="20"/>
          <w:lang w:val="en-US" w:eastAsia="en-US"/>
        </w:rPr>
        <w:t>standard</w:t>
      </w:r>
      <w:r w:rsidR="00E365E0" w:rsidRPr="00CF6765">
        <w:rPr>
          <w:rFonts w:eastAsia="Calibri"/>
          <w:sz w:val="20"/>
          <w:szCs w:val="20"/>
          <w:lang w:val="en-US" w:eastAsia="en-US"/>
        </w:rPr>
        <w:t xml:space="preserve"> of health, without discrimination. </w:t>
      </w:r>
      <w:r w:rsidR="005B4AC8" w:rsidRPr="00CF6765">
        <w:rPr>
          <w:rFonts w:eastAsia="Calibri"/>
          <w:sz w:val="20"/>
          <w:szCs w:val="20"/>
          <w:lang w:val="en-US" w:eastAsia="en-US"/>
        </w:rPr>
        <w:t xml:space="preserve">The said instruments also reveal progress in the international standards concerning the rights of </w:t>
      </w:r>
      <w:r w:rsidR="00323A17" w:rsidRPr="00CF6765">
        <w:rPr>
          <w:rFonts w:eastAsia="Calibri"/>
          <w:sz w:val="20"/>
          <w:szCs w:val="20"/>
          <w:lang w:val="en-US" w:eastAsia="en-US"/>
        </w:rPr>
        <w:t>older persons</w:t>
      </w:r>
      <w:r w:rsidR="005B4AC8" w:rsidRPr="00CF6765">
        <w:rPr>
          <w:rFonts w:eastAsia="Calibri"/>
          <w:sz w:val="20"/>
          <w:szCs w:val="20"/>
          <w:lang w:val="en-US" w:eastAsia="en-US"/>
        </w:rPr>
        <w:t>,</w:t>
      </w:r>
      <w:r w:rsidRPr="00CF6765">
        <w:rPr>
          <w:rFonts w:eastAsia="Calibri"/>
          <w:sz w:val="20"/>
          <w:szCs w:val="20"/>
          <w:vertAlign w:val="superscript"/>
          <w:lang w:val="en-US" w:eastAsia="en-US"/>
        </w:rPr>
        <w:footnoteReference w:id="208"/>
      </w:r>
      <w:r w:rsidR="005B4AC8" w:rsidRPr="00CF6765">
        <w:rPr>
          <w:rFonts w:eastAsia="Calibri"/>
          <w:sz w:val="20"/>
          <w:szCs w:val="20"/>
          <w:lang w:val="en-US" w:eastAsia="en-US"/>
        </w:rPr>
        <w:t xml:space="preserve"> by understanding and recognizing the right to a dignified old age and consequently the measures required to this end.</w:t>
      </w:r>
      <w:r w:rsidR="00911089" w:rsidRPr="00CF6765">
        <w:rPr>
          <w:rFonts w:eastAsia="Calibri"/>
          <w:sz w:val="20"/>
          <w:szCs w:val="20"/>
          <w:vertAlign w:val="superscript"/>
          <w:lang w:val="en-US" w:eastAsia="en-US"/>
        </w:rPr>
        <w:footnoteReference w:id="209"/>
      </w:r>
      <w:r w:rsidR="00911089" w:rsidRPr="00CF6765">
        <w:rPr>
          <w:rFonts w:eastAsia="Calibri"/>
          <w:sz w:val="20"/>
          <w:szCs w:val="20"/>
          <w:lang w:val="en-US" w:eastAsia="en-US"/>
        </w:rPr>
        <w:t xml:space="preserve"> </w:t>
      </w:r>
      <w:r w:rsidR="005B4AC8" w:rsidRPr="00CF6765">
        <w:rPr>
          <w:rFonts w:eastAsia="Calibri"/>
          <w:sz w:val="20"/>
          <w:szCs w:val="20"/>
          <w:lang w:val="en-US" w:eastAsia="en-US"/>
        </w:rPr>
        <w:t>In this regard, various agendas can be noted that give greater prominence to the older person in public policies</w:t>
      </w:r>
      <w:r w:rsidR="00911089" w:rsidRPr="00CF6765">
        <w:rPr>
          <w:rFonts w:eastAsia="Calibri"/>
          <w:sz w:val="20"/>
          <w:szCs w:val="20"/>
          <w:vertAlign w:val="superscript"/>
          <w:lang w:val="en-US" w:eastAsia="en-US"/>
        </w:rPr>
        <w:footnoteReference w:id="210"/>
      </w:r>
      <w:r w:rsidR="005B4AC8" w:rsidRPr="00CF6765">
        <w:rPr>
          <w:rFonts w:eastAsia="Calibri"/>
          <w:sz w:val="20"/>
          <w:szCs w:val="20"/>
          <w:lang w:val="en-US" w:eastAsia="en-US"/>
        </w:rPr>
        <w:t xml:space="preserve"> through programs to raise awareness and enhance </w:t>
      </w:r>
      <w:r w:rsidR="005B4AC8" w:rsidRPr="00CF6765">
        <w:rPr>
          <w:rFonts w:eastAsia="Calibri"/>
          <w:sz w:val="20"/>
          <w:szCs w:val="20"/>
          <w:lang w:val="en-US" w:eastAsia="en-US"/>
        </w:rPr>
        <w:lastRenderedPageBreak/>
        <w:t xml:space="preserve">appreciation of the older person in society, the </w:t>
      </w:r>
      <w:r w:rsidR="0090740B" w:rsidRPr="00CF6765">
        <w:rPr>
          <w:rFonts w:eastAsia="Calibri"/>
          <w:sz w:val="20"/>
          <w:szCs w:val="20"/>
          <w:lang w:val="en-US" w:eastAsia="en-US"/>
        </w:rPr>
        <w:t>creation</w:t>
      </w:r>
      <w:r w:rsidR="005B4AC8" w:rsidRPr="00CF6765">
        <w:rPr>
          <w:rFonts w:eastAsia="Calibri"/>
          <w:sz w:val="20"/>
          <w:szCs w:val="20"/>
          <w:lang w:val="en-US" w:eastAsia="en-US"/>
        </w:rPr>
        <w:t xml:space="preserve"> of national plans to address the issue of ageing and the associated needs integrally, the promulgation of laws, and the facilitation of access to social security systems.</w:t>
      </w:r>
    </w:p>
    <w:p w14:paraId="4E1F7B99" w14:textId="77777777" w:rsidR="0027467C" w:rsidRPr="00CF6765" w:rsidRDefault="0027467C" w:rsidP="0059117C">
      <w:pPr>
        <w:ind w:right="-360"/>
        <w:contextualSpacing/>
        <w:rPr>
          <w:rFonts w:eastAsia="Calibri"/>
          <w:sz w:val="20"/>
          <w:szCs w:val="20"/>
          <w:lang w:val="en-US" w:eastAsia="en-US"/>
        </w:rPr>
      </w:pPr>
    </w:p>
    <w:p w14:paraId="28D574ED" w14:textId="4975EB8F" w:rsidR="00911089" w:rsidRPr="00CF6765" w:rsidRDefault="005B4AC8" w:rsidP="0059117C">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CESCR General Comment No. 6</w:t>
      </w:r>
      <w:r w:rsidR="00F412D6" w:rsidRPr="00CF6765">
        <w:rPr>
          <w:rFonts w:eastAsia="Calibri"/>
          <w:sz w:val="20"/>
          <w:szCs w:val="20"/>
          <w:vertAlign w:val="superscript"/>
          <w:lang w:val="en-US" w:eastAsia="en-US"/>
        </w:rPr>
        <w:footnoteReference w:id="211"/>
      </w:r>
      <w:r w:rsidRPr="00CF6765">
        <w:rPr>
          <w:rFonts w:eastAsia="Calibri"/>
          <w:sz w:val="20"/>
          <w:szCs w:val="20"/>
          <w:lang w:val="en-US" w:eastAsia="en-US"/>
        </w:rPr>
        <w:t xml:space="preserve"> emphasizes the obligation of the States Parties to the Covenant (ICESCR) to </w:t>
      </w:r>
      <w:r w:rsidR="00F412D6" w:rsidRPr="00CF6765">
        <w:rPr>
          <w:rFonts w:eastAsia="Calibri"/>
          <w:sz w:val="20"/>
          <w:szCs w:val="20"/>
          <w:lang w:val="en-US" w:eastAsia="en-US"/>
        </w:rPr>
        <w:t xml:space="preserve">bear in mind that prevention, through regular checks suited to the needs of older women and men, plays a decisive role, as does rehabilitation, by maintaining the functional capacities of </w:t>
      </w:r>
      <w:r w:rsidR="00323A17" w:rsidRPr="00CF6765">
        <w:rPr>
          <w:rFonts w:eastAsia="Calibri"/>
          <w:sz w:val="20"/>
          <w:szCs w:val="20"/>
          <w:lang w:val="en-US" w:eastAsia="en-US"/>
        </w:rPr>
        <w:t>older persons</w:t>
      </w:r>
      <w:r w:rsidR="00911089" w:rsidRPr="00CF6765">
        <w:rPr>
          <w:rFonts w:eastAsia="Calibri"/>
          <w:sz w:val="20"/>
          <w:szCs w:val="20"/>
          <w:lang w:val="en-US" w:eastAsia="en-US"/>
        </w:rPr>
        <w:t xml:space="preserve">, </w:t>
      </w:r>
      <w:r w:rsidR="00F412D6" w:rsidRPr="00CF6765">
        <w:rPr>
          <w:rFonts w:eastAsia="Calibri"/>
          <w:sz w:val="20"/>
          <w:szCs w:val="20"/>
          <w:lang w:val="en-US" w:eastAsia="en-US"/>
        </w:rPr>
        <w:t>with a resulting decrease in the cost of investments in health care and social services.</w:t>
      </w:r>
      <w:r w:rsidR="00911089" w:rsidRPr="00CF6765">
        <w:rPr>
          <w:rFonts w:eastAsia="Calibri"/>
          <w:sz w:val="20"/>
          <w:szCs w:val="20"/>
          <w:vertAlign w:val="superscript"/>
          <w:lang w:val="en-US" w:eastAsia="en-US"/>
        </w:rPr>
        <w:footnoteReference w:id="212"/>
      </w:r>
      <w:r w:rsidR="00911089" w:rsidRPr="00CF6765">
        <w:rPr>
          <w:rFonts w:eastAsia="Calibri"/>
          <w:sz w:val="20"/>
          <w:szCs w:val="20"/>
          <w:lang w:val="en-US" w:eastAsia="en-US"/>
        </w:rPr>
        <w:t xml:space="preserve"> </w:t>
      </w:r>
      <w:r w:rsidR="00F412D6" w:rsidRPr="00CF6765">
        <w:rPr>
          <w:rFonts w:eastAsia="Calibri"/>
          <w:sz w:val="20"/>
          <w:szCs w:val="20"/>
          <w:lang w:val="en-US" w:eastAsia="en-US"/>
        </w:rPr>
        <w:t xml:space="preserve">In this regard, CESCR General Comment No. 14 </w:t>
      </w:r>
      <w:r w:rsidR="00DF33CC" w:rsidRPr="00CF6765">
        <w:rPr>
          <w:rFonts w:eastAsia="Calibri"/>
          <w:sz w:val="20"/>
          <w:szCs w:val="20"/>
          <w:lang w:val="en-US" w:eastAsia="en-US"/>
        </w:rPr>
        <w:t>identifies</w:t>
      </w:r>
      <w:r w:rsidR="00F412D6" w:rsidRPr="00CF6765">
        <w:rPr>
          <w:rFonts w:eastAsia="Calibri"/>
          <w:sz w:val="20"/>
          <w:szCs w:val="20"/>
          <w:lang w:val="en-US" w:eastAsia="en-US"/>
        </w:rPr>
        <w:t xml:space="preserve"> </w:t>
      </w:r>
      <w:r w:rsidR="005371E4" w:rsidRPr="00CF6765">
        <w:rPr>
          <w:rFonts w:eastAsia="Calibri"/>
          <w:sz w:val="20"/>
          <w:szCs w:val="20"/>
          <w:lang w:val="en-US" w:eastAsia="en-US"/>
        </w:rPr>
        <w:t xml:space="preserve">the substantive issues derived from the implementation </w:t>
      </w:r>
      <w:r w:rsidR="00B65BBE" w:rsidRPr="00CF6765">
        <w:rPr>
          <w:rFonts w:eastAsia="Calibri"/>
          <w:sz w:val="20"/>
          <w:szCs w:val="20"/>
          <w:lang w:val="en-US" w:eastAsia="en-US"/>
        </w:rPr>
        <w:t xml:space="preserve">of the </w:t>
      </w:r>
      <w:r w:rsidR="00DE6950" w:rsidRPr="00CF6765">
        <w:rPr>
          <w:rFonts w:eastAsia="Calibri"/>
          <w:sz w:val="20"/>
          <w:szCs w:val="20"/>
          <w:lang w:val="en-US" w:eastAsia="en-US"/>
        </w:rPr>
        <w:t>right</w:t>
      </w:r>
      <w:r w:rsidR="00925BAC" w:rsidRPr="00CF6765">
        <w:rPr>
          <w:rFonts w:eastAsia="Calibri"/>
          <w:sz w:val="20"/>
          <w:szCs w:val="20"/>
          <w:lang w:val="en-US" w:eastAsia="en-US"/>
        </w:rPr>
        <w:t xml:space="preserve"> to health</w:t>
      </w:r>
      <w:r w:rsidR="00EC50FC" w:rsidRPr="00CF6765">
        <w:rPr>
          <w:rFonts w:eastAsia="Calibri"/>
          <w:sz w:val="20"/>
          <w:szCs w:val="20"/>
          <w:lang w:val="en-US" w:eastAsia="en-US"/>
        </w:rPr>
        <w:t xml:space="preserve"> and</w:t>
      </w:r>
      <w:r w:rsidR="005371E4" w:rsidRPr="00CF6765">
        <w:rPr>
          <w:rFonts w:eastAsia="Calibri"/>
          <w:sz w:val="20"/>
          <w:szCs w:val="20"/>
          <w:lang w:val="en-US" w:eastAsia="en-US"/>
        </w:rPr>
        <w:t xml:space="preserve"> specific issues relat</w:t>
      </w:r>
      <w:r w:rsidR="00DF33CC" w:rsidRPr="00CF6765">
        <w:rPr>
          <w:rFonts w:eastAsia="Calibri"/>
          <w:sz w:val="20"/>
          <w:szCs w:val="20"/>
          <w:lang w:val="en-US" w:eastAsia="en-US"/>
        </w:rPr>
        <w:t>ing</w:t>
      </w:r>
      <w:r w:rsidR="005371E4" w:rsidRPr="00CF6765">
        <w:rPr>
          <w:rFonts w:eastAsia="Calibri"/>
          <w:sz w:val="20"/>
          <w:szCs w:val="20"/>
          <w:lang w:val="en-US" w:eastAsia="en-US"/>
        </w:rPr>
        <w:t xml:space="preserve"> to</w:t>
      </w:r>
      <w:r w:rsidR="00EC50FC" w:rsidRPr="00CF6765">
        <w:rPr>
          <w:rFonts w:eastAsia="Calibri"/>
          <w:sz w:val="20"/>
          <w:szCs w:val="20"/>
          <w:lang w:val="en-US" w:eastAsia="en-US"/>
        </w:rPr>
        <w:t xml:space="preserve"> </w:t>
      </w:r>
      <w:r w:rsidR="00323A17" w:rsidRPr="00CF6765">
        <w:rPr>
          <w:rFonts w:eastAsia="Calibri"/>
          <w:sz w:val="20"/>
          <w:szCs w:val="20"/>
          <w:lang w:val="en-US" w:eastAsia="en-US"/>
        </w:rPr>
        <w:t>older persons</w:t>
      </w:r>
      <w:r w:rsidR="004A1B76" w:rsidRPr="00CF6765">
        <w:rPr>
          <w:rFonts w:eastAsia="Calibri"/>
          <w:sz w:val="20"/>
          <w:szCs w:val="20"/>
          <w:lang w:val="en-US" w:eastAsia="en-US"/>
        </w:rPr>
        <w:t>, inclu</w:t>
      </w:r>
      <w:r w:rsidR="005371E4" w:rsidRPr="00CF6765">
        <w:rPr>
          <w:rFonts w:eastAsia="Calibri"/>
          <w:sz w:val="20"/>
          <w:szCs w:val="20"/>
          <w:lang w:val="en-US" w:eastAsia="en-US"/>
        </w:rPr>
        <w:t>ding</w:t>
      </w:r>
      <w:r w:rsidR="004A1B76" w:rsidRPr="00CF6765">
        <w:rPr>
          <w:rFonts w:eastAsia="Calibri"/>
          <w:sz w:val="20"/>
          <w:szCs w:val="20"/>
          <w:lang w:val="en-US" w:eastAsia="en-US"/>
        </w:rPr>
        <w:t xml:space="preserve"> “</w:t>
      </w:r>
      <w:r w:rsidR="005371E4" w:rsidRPr="00CF6765">
        <w:rPr>
          <w:sz w:val="20"/>
          <w:szCs w:val="20"/>
          <w:lang w:val="en-US"/>
        </w:rPr>
        <w:t xml:space="preserve">preventive, curative and rehabilitative elements […] aimed at maintaining the functionality and </w:t>
      </w:r>
      <w:r w:rsidR="005371E4" w:rsidRPr="00CF6765">
        <w:rPr>
          <w:rStyle w:val="highlight"/>
          <w:rFonts w:eastAsia="Calibri"/>
          <w:sz w:val="20"/>
          <w:szCs w:val="20"/>
          <w:lang w:val="en-US"/>
        </w:rPr>
        <w:t>autonomy</w:t>
      </w:r>
      <w:r w:rsidR="005371E4" w:rsidRPr="00CF6765">
        <w:rPr>
          <w:sz w:val="20"/>
          <w:szCs w:val="20"/>
          <w:lang w:val="en-US"/>
        </w:rPr>
        <w:t xml:space="preserve"> of older persons; and attention and care for chronically and terminally ill persons, sparing them avoidable pain and enabling them to die with dignity.</w:t>
      </w:r>
      <w:r w:rsidR="004A1B76" w:rsidRPr="00CF6765">
        <w:rPr>
          <w:rFonts w:eastAsia="Calibri"/>
          <w:sz w:val="20"/>
          <w:szCs w:val="20"/>
          <w:lang w:val="en-US" w:eastAsia="en-US"/>
        </w:rPr>
        <w:t>”</w:t>
      </w:r>
      <w:r w:rsidR="00911089" w:rsidRPr="00CF6765">
        <w:rPr>
          <w:rStyle w:val="Refdenotaalpie"/>
          <w:rFonts w:eastAsia="Calibri"/>
          <w:sz w:val="20"/>
          <w:szCs w:val="20"/>
          <w:lang w:val="en-US" w:eastAsia="en-US"/>
        </w:rPr>
        <w:footnoteReference w:id="213"/>
      </w:r>
      <w:r w:rsidR="00911089" w:rsidRPr="00CF6765">
        <w:rPr>
          <w:rFonts w:eastAsia="Calibri"/>
          <w:sz w:val="20"/>
          <w:szCs w:val="20"/>
          <w:lang w:val="en-US" w:eastAsia="en-US"/>
        </w:rPr>
        <w:t xml:space="preserve"> </w:t>
      </w:r>
      <w:r w:rsidR="00DF33CC" w:rsidRPr="00CF6765">
        <w:rPr>
          <w:rFonts w:eastAsia="Calibri"/>
          <w:sz w:val="20"/>
          <w:szCs w:val="20"/>
          <w:lang w:val="en-US" w:eastAsia="en-US"/>
        </w:rPr>
        <w:t>The</w:t>
      </w:r>
      <w:r w:rsidR="005371E4" w:rsidRPr="00CF6765">
        <w:rPr>
          <w:rFonts w:eastAsia="Calibri"/>
          <w:sz w:val="20"/>
          <w:szCs w:val="20"/>
          <w:lang w:val="en-US" w:eastAsia="en-US"/>
        </w:rPr>
        <w:t xml:space="preserve"> European Court of Human Rights </w:t>
      </w:r>
      <w:r w:rsidR="008E3E41" w:rsidRPr="00CF6765">
        <w:rPr>
          <w:rFonts w:eastAsia="Calibri"/>
          <w:sz w:val="20"/>
          <w:szCs w:val="20"/>
          <w:lang w:val="en-US" w:eastAsia="en-US"/>
        </w:rPr>
        <w:t>(</w:t>
      </w:r>
      <w:r w:rsidR="005C731C" w:rsidRPr="00CF6765">
        <w:rPr>
          <w:rFonts w:eastAsia="Calibri"/>
          <w:sz w:val="20"/>
          <w:szCs w:val="20"/>
          <w:lang w:val="en-US" w:eastAsia="en-US"/>
        </w:rPr>
        <w:t>hereinafter</w:t>
      </w:r>
      <w:r w:rsidR="008E3E41" w:rsidRPr="00CF6765">
        <w:rPr>
          <w:rFonts w:eastAsia="Calibri"/>
          <w:sz w:val="20"/>
          <w:szCs w:val="20"/>
          <w:lang w:val="en-US" w:eastAsia="en-US"/>
        </w:rPr>
        <w:t xml:space="preserve"> </w:t>
      </w:r>
      <w:r w:rsidR="005371E4" w:rsidRPr="00CF6765">
        <w:rPr>
          <w:rFonts w:eastAsia="Calibri"/>
          <w:sz w:val="20"/>
          <w:szCs w:val="20"/>
          <w:lang w:val="en-US" w:eastAsia="en-US"/>
        </w:rPr>
        <w:t>“ECHR”</w:t>
      </w:r>
      <w:r w:rsidR="008E3E41" w:rsidRPr="00CF6765">
        <w:rPr>
          <w:rFonts w:eastAsia="Calibri"/>
          <w:sz w:val="20"/>
          <w:szCs w:val="20"/>
          <w:lang w:val="en-US" w:eastAsia="en-US"/>
        </w:rPr>
        <w:t>)</w:t>
      </w:r>
      <w:r w:rsidR="00911089" w:rsidRPr="00CF6765">
        <w:rPr>
          <w:rFonts w:eastAsia="Calibri"/>
          <w:sz w:val="20"/>
          <w:szCs w:val="20"/>
          <w:lang w:val="en-US" w:eastAsia="en-US"/>
        </w:rPr>
        <w:t xml:space="preserve"> </w:t>
      </w:r>
      <w:r w:rsidR="005371E4" w:rsidRPr="00CF6765">
        <w:rPr>
          <w:rFonts w:eastAsia="Calibri"/>
          <w:sz w:val="20"/>
          <w:szCs w:val="20"/>
          <w:lang w:val="en-US" w:eastAsia="en-US"/>
        </w:rPr>
        <w:t xml:space="preserve">has also referred to the protection of the rights of </w:t>
      </w:r>
      <w:r w:rsidR="00323A17" w:rsidRPr="00CF6765">
        <w:rPr>
          <w:rFonts w:eastAsia="Calibri"/>
          <w:sz w:val="20"/>
          <w:szCs w:val="20"/>
          <w:lang w:val="en-US" w:eastAsia="en-US"/>
        </w:rPr>
        <w:t>older persons</w:t>
      </w:r>
      <w:r w:rsidR="005371E4" w:rsidRPr="00CF6765">
        <w:rPr>
          <w:rFonts w:eastAsia="Calibri"/>
          <w:sz w:val="20"/>
          <w:szCs w:val="20"/>
          <w:lang w:val="en-US" w:eastAsia="en-US"/>
        </w:rPr>
        <w:t>.</w:t>
      </w:r>
      <w:r w:rsidR="00911089" w:rsidRPr="00CF6765">
        <w:rPr>
          <w:rFonts w:eastAsia="Calibri"/>
          <w:sz w:val="20"/>
          <w:szCs w:val="20"/>
          <w:vertAlign w:val="superscript"/>
          <w:lang w:val="en-US" w:eastAsia="en-US"/>
        </w:rPr>
        <w:footnoteReference w:id="214"/>
      </w:r>
    </w:p>
    <w:p w14:paraId="1FF3617F" w14:textId="77777777" w:rsidR="00911089" w:rsidRPr="00CF6765" w:rsidRDefault="00911089" w:rsidP="00911089">
      <w:pPr>
        <w:ind w:left="-90" w:right="-360"/>
        <w:contextualSpacing/>
        <w:rPr>
          <w:rFonts w:eastAsia="Calibri"/>
          <w:sz w:val="20"/>
          <w:szCs w:val="20"/>
          <w:lang w:val="en-US" w:eastAsia="en-US"/>
        </w:rPr>
      </w:pPr>
    </w:p>
    <w:p w14:paraId="56EFFDDB" w14:textId="4BDA9E52" w:rsidR="00911089" w:rsidRPr="00CF6765" w:rsidRDefault="005371E4" w:rsidP="00911089">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With regard to the regional </w:t>
      </w:r>
      <w:r w:rsidR="00BB086D" w:rsidRPr="00CF6765">
        <w:rPr>
          <w:rFonts w:eastAsia="Calibri"/>
          <w:sz w:val="20"/>
          <w:szCs w:val="20"/>
          <w:lang w:val="en-US" w:eastAsia="en-US"/>
        </w:rPr>
        <w:t>case law</w:t>
      </w:r>
      <w:r w:rsidRPr="00CF6765">
        <w:rPr>
          <w:rFonts w:eastAsia="Calibri"/>
          <w:sz w:val="20"/>
          <w:szCs w:val="20"/>
          <w:lang w:val="en-US" w:eastAsia="en-US"/>
        </w:rPr>
        <w:t xml:space="preserve"> on </w:t>
      </w:r>
      <w:r w:rsidR="00DE6950" w:rsidRPr="00CF6765">
        <w:rPr>
          <w:rFonts w:eastAsia="Calibri"/>
          <w:sz w:val="20"/>
          <w:szCs w:val="20"/>
          <w:lang w:val="en-US" w:eastAsia="en-US"/>
        </w:rPr>
        <w:t>the right</w:t>
      </w:r>
      <w:r w:rsidR="00925BAC" w:rsidRPr="00CF6765">
        <w:rPr>
          <w:rFonts w:eastAsia="Calibri"/>
          <w:sz w:val="20"/>
          <w:szCs w:val="20"/>
          <w:lang w:val="en-US" w:eastAsia="en-US"/>
        </w:rPr>
        <w:t xml:space="preserve"> to health</w:t>
      </w:r>
      <w:r w:rsidR="00911089" w:rsidRPr="00CF6765">
        <w:rPr>
          <w:rFonts w:eastAsia="Calibri"/>
          <w:sz w:val="20"/>
          <w:szCs w:val="20"/>
          <w:lang w:val="en-US" w:eastAsia="en-US"/>
        </w:rPr>
        <w:t xml:space="preserve"> </w:t>
      </w:r>
      <w:r w:rsidRPr="00CF6765">
        <w:rPr>
          <w:rFonts w:eastAsia="Calibri"/>
          <w:sz w:val="20"/>
          <w:szCs w:val="20"/>
          <w:lang w:val="en-US" w:eastAsia="en-US"/>
        </w:rPr>
        <w:t>of</w:t>
      </w:r>
      <w:r w:rsidR="00911089" w:rsidRPr="00CF6765">
        <w:rPr>
          <w:rFonts w:eastAsia="Calibri"/>
          <w:sz w:val="20"/>
          <w:szCs w:val="20"/>
          <w:lang w:val="en-US" w:eastAsia="en-US"/>
        </w:rPr>
        <w:t xml:space="preserve"> </w:t>
      </w:r>
      <w:r w:rsidR="00323A17" w:rsidRPr="00CF6765">
        <w:rPr>
          <w:rFonts w:eastAsia="Calibri"/>
          <w:sz w:val="20"/>
          <w:szCs w:val="20"/>
          <w:lang w:val="en-US" w:eastAsia="en-US"/>
        </w:rPr>
        <w:t>older persons</w:t>
      </w:r>
      <w:r w:rsidR="00911089" w:rsidRPr="00CF6765">
        <w:rPr>
          <w:rFonts w:eastAsia="Calibri"/>
          <w:sz w:val="20"/>
          <w:szCs w:val="20"/>
          <w:lang w:val="en-US" w:eastAsia="en-US"/>
        </w:rPr>
        <w:t xml:space="preserve">, </w:t>
      </w:r>
      <w:r w:rsidR="00BB086D" w:rsidRPr="00CF6765">
        <w:rPr>
          <w:rFonts w:eastAsia="Calibri"/>
          <w:sz w:val="20"/>
          <w:szCs w:val="20"/>
          <w:lang w:val="en-US" w:eastAsia="en-US"/>
        </w:rPr>
        <w:t>the decisions of high courts of some State</w:t>
      </w:r>
      <w:r w:rsidR="00DF33CC" w:rsidRPr="00CF6765">
        <w:rPr>
          <w:rFonts w:eastAsia="Calibri"/>
          <w:sz w:val="20"/>
          <w:szCs w:val="20"/>
          <w:lang w:val="en-US" w:eastAsia="en-US"/>
        </w:rPr>
        <w:t>s</w:t>
      </w:r>
      <w:r w:rsidR="00BB086D" w:rsidRPr="00CF6765">
        <w:rPr>
          <w:rFonts w:eastAsia="Calibri"/>
          <w:sz w:val="20"/>
          <w:szCs w:val="20"/>
          <w:lang w:val="en-US" w:eastAsia="en-US"/>
        </w:rPr>
        <w:t xml:space="preserve"> in the </w:t>
      </w:r>
      <w:r w:rsidR="0090740B" w:rsidRPr="00CF6765">
        <w:rPr>
          <w:rFonts w:eastAsia="Calibri"/>
          <w:sz w:val="20"/>
          <w:szCs w:val="20"/>
          <w:lang w:val="en-US" w:eastAsia="en-US"/>
        </w:rPr>
        <w:t>region</w:t>
      </w:r>
      <w:r w:rsidR="00BB086D" w:rsidRPr="00CF6765">
        <w:rPr>
          <w:rFonts w:eastAsia="Calibri"/>
          <w:sz w:val="20"/>
          <w:szCs w:val="20"/>
          <w:lang w:val="en-US" w:eastAsia="en-US"/>
        </w:rPr>
        <w:t xml:space="preserve"> have developed the protection of the rights of </w:t>
      </w:r>
      <w:r w:rsidR="00323A17" w:rsidRPr="00CF6765">
        <w:rPr>
          <w:rFonts w:eastAsia="Calibri"/>
          <w:sz w:val="20"/>
          <w:szCs w:val="20"/>
          <w:lang w:val="en-US" w:eastAsia="en-US"/>
        </w:rPr>
        <w:t>older persons</w:t>
      </w:r>
      <w:r w:rsidR="00296777" w:rsidRPr="00CF6765">
        <w:rPr>
          <w:rFonts w:eastAsia="Calibri"/>
          <w:sz w:val="20"/>
          <w:szCs w:val="20"/>
          <w:lang w:val="en-US" w:eastAsia="en-US"/>
        </w:rPr>
        <w:t xml:space="preserve"> </w:t>
      </w:r>
      <w:r w:rsidR="00BB086D" w:rsidRPr="00CF6765">
        <w:rPr>
          <w:rFonts w:eastAsia="Calibri"/>
          <w:sz w:val="20"/>
          <w:szCs w:val="20"/>
          <w:lang w:val="en-US" w:eastAsia="en-US"/>
        </w:rPr>
        <w:t>at the domestic level,</w:t>
      </w:r>
      <w:r w:rsidR="00296777" w:rsidRPr="00CF6765">
        <w:rPr>
          <w:rFonts w:eastAsia="Calibri"/>
          <w:sz w:val="20"/>
          <w:szCs w:val="20"/>
          <w:vertAlign w:val="superscript"/>
          <w:lang w:val="en-US" w:eastAsia="en-US"/>
        </w:rPr>
        <w:footnoteReference w:id="215"/>
      </w:r>
      <w:r w:rsidR="00BB086D" w:rsidRPr="00CF6765">
        <w:rPr>
          <w:rFonts w:eastAsia="Calibri"/>
          <w:sz w:val="20"/>
          <w:szCs w:val="20"/>
          <w:lang w:val="en-US" w:eastAsia="en-US"/>
        </w:rPr>
        <w:t xml:space="preserve"> underscoring the need to provide special protection to the older person.</w:t>
      </w:r>
    </w:p>
    <w:p w14:paraId="4FEAA7A7" w14:textId="77777777" w:rsidR="00911089" w:rsidRPr="00CF6765" w:rsidRDefault="00911089" w:rsidP="00911089">
      <w:pPr>
        <w:tabs>
          <w:tab w:val="left" w:pos="567"/>
        </w:tabs>
        <w:rPr>
          <w:sz w:val="20"/>
          <w:szCs w:val="20"/>
          <w:lang w:val="en-US"/>
        </w:rPr>
      </w:pPr>
    </w:p>
    <w:p w14:paraId="782E9D7D" w14:textId="6F387523" w:rsidR="00911089" w:rsidRPr="00CF6765" w:rsidRDefault="00BB086D" w:rsidP="00BB086D">
      <w:pPr>
        <w:numPr>
          <w:ilvl w:val="0"/>
          <w:numId w:val="2"/>
        </w:numPr>
        <w:tabs>
          <w:tab w:val="left" w:pos="567"/>
          <w:tab w:val="num" w:pos="1569"/>
          <w:tab w:val="num" w:pos="12305"/>
        </w:tabs>
        <w:ind w:left="0" w:firstLine="0"/>
        <w:rPr>
          <w:i/>
          <w:iCs/>
          <w:sz w:val="20"/>
          <w:szCs w:val="20"/>
          <w:lang w:val="en-US"/>
        </w:rPr>
      </w:pPr>
      <w:r w:rsidRPr="00CF6765">
        <w:rPr>
          <w:sz w:val="20"/>
          <w:szCs w:val="20"/>
          <w:lang w:val="en-US"/>
        </w:rPr>
        <w:lastRenderedPageBreak/>
        <w:t>In this regard, this Court emphasizes that it is an unescapable fact that the population is ageing</w:t>
      </w:r>
      <w:r w:rsidR="00911089" w:rsidRPr="00CF6765">
        <w:rPr>
          <w:sz w:val="20"/>
          <w:szCs w:val="20"/>
          <w:vertAlign w:val="superscript"/>
          <w:lang w:val="en-US"/>
        </w:rPr>
        <w:footnoteReference w:id="216"/>
      </w:r>
      <w:r w:rsidR="00911089" w:rsidRPr="00CF6765">
        <w:rPr>
          <w:sz w:val="20"/>
          <w:szCs w:val="20"/>
          <w:lang w:val="en-US"/>
        </w:rPr>
        <w:t xml:space="preserve"> </w:t>
      </w:r>
      <w:r w:rsidRPr="00CF6765">
        <w:rPr>
          <w:sz w:val="20"/>
          <w:szCs w:val="20"/>
          <w:lang w:val="en-US"/>
        </w:rPr>
        <w:t>constantly and considerably.</w:t>
      </w:r>
      <w:r w:rsidR="00911089" w:rsidRPr="00CF6765">
        <w:rPr>
          <w:sz w:val="20"/>
          <w:szCs w:val="20"/>
          <w:vertAlign w:val="superscript"/>
          <w:lang w:val="en-US"/>
        </w:rPr>
        <w:footnoteReference w:id="217"/>
      </w:r>
      <w:r w:rsidR="00911089" w:rsidRPr="00CF6765">
        <w:rPr>
          <w:sz w:val="20"/>
          <w:szCs w:val="20"/>
          <w:lang w:val="en-US"/>
        </w:rPr>
        <w:t xml:space="preserve"> </w:t>
      </w:r>
      <w:r w:rsidRPr="00CF6765">
        <w:rPr>
          <w:sz w:val="20"/>
          <w:szCs w:val="20"/>
          <w:lang w:val="en-US"/>
        </w:rPr>
        <w:t>The vertiginous change in demographics in the countries of the region</w:t>
      </w:r>
      <w:r w:rsidR="00911089" w:rsidRPr="00CF6765">
        <w:rPr>
          <w:sz w:val="20"/>
          <w:szCs w:val="20"/>
          <w:vertAlign w:val="superscript"/>
          <w:lang w:val="en-US"/>
        </w:rPr>
        <w:footnoteReference w:id="218"/>
      </w:r>
      <w:r w:rsidR="00911089" w:rsidRPr="00CF6765">
        <w:rPr>
          <w:sz w:val="20"/>
          <w:szCs w:val="20"/>
          <w:lang w:val="en-US"/>
        </w:rPr>
        <w:t xml:space="preserve"> present</w:t>
      </w:r>
      <w:r w:rsidRPr="00CF6765">
        <w:rPr>
          <w:sz w:val="20"/>
          <w:szCs w:val="20"/>
          <w:lang w:val="en-US"/>
        </w:rPr>
        <w:t>s challenges and the impact</w:t>
      </w:r>
      <w:r w:rsidR="00643F52" w:rsidRPr="00CF6765">
        <w:rPr>
          <w:sz w:val="20"/>
          <w:szCs w:val="20"/>
          <w:lang w:val="en-US"/>
        </w:rPr>
        <w:t xml:space="preserve"> </w:t>
      </w:r>
      <w:r w:rsidRPr="00CF6765">
        <w:rPr>
          <w:sz w:val="20"/>
          <w:szCs w:val="20"/>
          <w:lang w:val="en-US"/>
        </w:rPr>
        <w:t xml:space="preserve">on human rights requires States to get involved to provide a comprehensive response, so that </w:t>
      </w:r>
      <w:r w:rsidR="00323A17" w:rsidRPr="00CF6765">
        <w:rPr>
          <w:sz w:val="20"/>
          <w:szCs w:val="20"/>
          <w:lang w:val="en-US"/>
        </w:rPr>
        <w:t>older persons</w:t>
      </w:r>
      <w:r w:rsidR="00296777" w:rsidRPr="00CF6765">
        <w:rPr>
          <w:sz w:val="20"/>
          <w:szCs w:val="20"/>
          <w:lang w:val="en-US"/>
        </w:rPr>
        <w:t xml:space="preserve"> </w:t>
      </w:r>
      <w:r w:rsidRPr="00CF6765">
        <w:rPr>
          <w:sz w:val="20"/>
          <w:szCs w:val="20"/>
          <w:lang w:val="en-US"/>
        </w:rPr>
        <w:t>are recognized as special subject</w:t>
      </w:r>
      <w:r w:rsidR="00D710F4" w:rsidRPr="00CF6765">
        <w:rPr>
          <w:sz w:val="20"/>
          <w:szCs w:val="20"/>
          <w:lang w:val="en-US"/>
        </w:rPr>
        <w:t>s</w:t>
      </w:r>
      <w:r w:rsidRPr="00CF6765">
        <w:rPr>
          <w:sz w:val="20"/>
          <w:szCs w:val="20"/>
          <w:lang w:val="en-US"/>
        </w:rPr>
        <w:t xml:space="preserve"> of law as regards </w:t>
      </w:r>
      <w:r w:rsidR="00D710F4" w:rsidRPr="00CF6765">
        <w:rPr>
          <w:sz w:val="20"/>
          <w:szCs w:val="20"/>
          <w:lang w:val="en-US"/>
        </w:rPr>
        <w:t xml:space="preserve">measures of </w:t>
      </w:r>
      <w:r w:rsidRPr="00CF6765">
        <w:rPr>
          <w:sz w:val="20"/>
          <w:szCs w:val="20"/>
          <w:lang w:val="en-US"/>
        </w:rPr>
        <w:t>promotion and preventi</w:t>
      </w:r>
      <w:r w:rsidR="00D710F4" w:rsidRPr="00CF6765">
        <w:rPr>
          <w:sz w:val="20"/>
          <w:szCs w:val="20"/>
          <w:lang w:val="en-US"/>
        </w:rPr>
        <w:t>on</w:t>
      </w:r>
      <w:r w:rsidRPr="00CF6765">
        <w:rPr>
          <w:sz w:val="20"/>
          <w:szCs w:val="20"/>
          <w:lang w:val="en-US"/>
        </w:rPr>
        <w:t xml:space="preserve"> in the area of health. To this end, society must also be involved in order to provide older persons with an acceptable quality of life</w:t>
      </w:r>
      <w:r w:rsidR="00D710F4" w:rsidRPr="00CF6765">
        <w:rPr>
          <w:sz w:val="20"/>
          <w:szCs w:val="20"/>
          <w:lang w:val="en-US"/>
        </w:rPr>
        <w:t>. D</w:t>
      </w:r>
      <w:r w:rsidRPr="00CF6765">
        <w:rPr>
          <w:sz w:val="20"/>
          <w:szCs w:val="20"/>
          <w:lang w:val="en-US"/>
        </w:rPr>
        <w:t>uring the hearing, expert w</w:t>
      </w:r>
      <w:r w:rsidR="00002163" w:rsidRPr="00CF6765">
        <w:rPr>
          <w:sz w:val="20"/>
          <w:szCs w:val="20"/>
          <w:lang w:val="en-US"/>
        </w:rPr>
        <w:t>itness</w:t>
      </w:r>
      <w:r w:rsidR="00911089" w:rsidRPr="00CF6765">
        <w:rPr>
          <w:sz w:val="20"/>
          <w:szCs w:val="20"/>
          <w:lang w:val="en-US"/>
        </w:rPr>
        <w:t xml:space="preserve"> Dr. Javier Santos, </w:t>
      </w:r>
      <w:r w:rsidRPr="00CF6765">
        <w:rPr>
          <w:sz w:val="20"/>
          <w:szCs w:val="20"/>
          <w:lang w:val="en-US"/>
        </w:rPr>
        <w:t>stated that</w:t>
      </w:r>
      <w:r w:rsidR="00911089" w:rsidRPr="00CF6765">
        <w:rPr>
          <w:sz w:val="20"/>
          <w:szCs w:val="20"/>
          <w:lang w:val="en-US"/>
        </w:rPr>
        <w:t xml:space="preserve">:  </w:t>
      </w:r>
    </w:p>
    <w:p w14:paraId="2F5CACDD" w14:textId="77777777" w:rsidR="00911089" w:rsidRPr="00CF6765" w:rsidRDefault="00911089" w:rsidP="00911089">
      <w:pPr>
        <w:tabs>
          <w:tab w:val="left" w:pos="567"/>
        </w:tabs>
        <w:rPr>
          <w:sz w:val="20"/>
          <w:szCs w:val="20"/>
          <w:lang w:val="en-US"/>
        </w:rPr>
      </w:pPr>
    </w:p>
    <w:p w14:paraId="116055B5" w14:textId="6F2B6394" w:rsidR="00911089" w:rsidRPr="00CF6765" w:rsidRDefault="00911089" w:rsidP="00435F46">
      <w:pPr>
        <w:tabs>
          <w:tab w:val="left" w:pos="567"/>
        </w:tabs>
        <w:ind w:left="567" w:right="390"/>
        <w:rPr>
          <w:sz w:val="18"/>
          <w:szCs w:val="20"/>
          <w:lang w:val="en-US"/>
        </w:rPr>
      </w:pPr>
      <w:r w:rsidRPr="00CF6765">
        <w:rPr>
          <w:sz w:val="18"/>
          <w:szCs w:val="20"/>
          <w:lang w:val="en-US"/>
        </w:rPr>
        <w:t>“</w:t>
      </w:r>
      <w:r w:rsidR="00D710F4" w:rsidRPr="00CF6765">
        <w:rPr>
          <w:sz w:val="18"/>
          <w:szCs w:val="20"/>
          <w:lang w:val="en-US"/>
        </w:rPr>
        <w:t>O</w:t>
      </w:r>
      <w:r w:rsidR="00435F46" w:rsidRPr="00CF6765">
        <w:rPr>
          <w:sz w:val="18"/>
          <w:szCs w:val="20"/>
          <w:lang w:val="en-US"/>
        </w:rPr>
        <w:t>lder person</w:t>
      </w:r>
      <w:r w:rsidR="00D710F4" w:rsidRPr="00CF6765">
        <w:rPr>
          <w:sz w:val="18"/>
          <w:szCs w:val="20"/>
          <w:lang w:val="en-US"/>
        </w:rPr>
        <w:t>s are</w:t>
      </w:r>
      <w:r w:rsidR="00435F46" w:rsidRPr="00CF6765">
        <w:rPr>
          <w:sz w:val="18"/>
          <w:szCs w:val="20"/>
          <w:lang w:val="en-US"/>
        </w:rPr>
        <w:t xml:space="preserve"> generally vulnerable patient</w:t>
      </w:r>
      <w:r w:rsidR="00D710F4" w:rsidRPr="00CF6765">
        <w:rPr>
          <w:sz w:val="18"/>
          <w:szCs w:val="20"/>
          <w:lang w:val="en-US"/>
        </w:rPr>
        <w:t>s</w:t>
      </w:r>
      <w:r w:rsidR="00435F46" w:rsidRPr="00CF6765">
        <w:rPr>
          <w:sz w:val="18"/>
          <w:szCs w:val="20"/>
          <w:lang w:val="en-US"/>
        </w:rPr>
        <w:t xml:space="preserve">; </w:t>
      </w:r>
      <w:r w:rsidR="00D710F4" w:rsidRPr="00CF6765">
        <w:rPr>
          <w:sz w:val="18"/>
          <w:szCs w:val="20"/>
          <w:lang w:val="en-US"/>
        </w:rPr>
        <w:t>they are</w:t>
      </w:r>
      <w:r w:rsidR="00435F46" w:rsidRPr="00CF6765">
        <w:rPr>
          <w:sz w:val="18"/>
          <w:szCs w:val="20"/>
          <w:lang w:val="en-US"/>
        </w:rPr>
        <w:t xml:space="preserve"> patient</w:t>
      </w:r>
      <w:r w:rsidR="00D710F4" w:rsidRPr="00CF6765">
        <w:rPr>
          <w:sz w:val="18"/>
          <w:szCs w:val="20"/>
          <w:lang w:val="en-US"/>
        </w:rPr>
        <w:t>s</w:t>
      </w:r>
      <w:r w:rsidR="00435F46" w:rsidRPr="00CF6765">
        <w:rPr>
          <w:sz w:val="18"/>
          <w:szCs w:val="20"/>
          <w:lang w:val="en-US"/>
        </w:rPr>
        <w:t xml:space="preserve"> that will need not only the doctor but also society </w:t>
      </w:r>
      <w:r w:rsidR="00D710F4" w:rsidRPr="00CF6765">
        <w:rPr>
          <w:sz w:val="18"/>
          <w:szCs w:val="20"/>
          <w:lang w:val="en-US"/>
        </w:rPr>
        <w:t xml:space="preserve">in order </w:t>
      </w:r>
      <w:r w:rsidR="00435F46" w:rsidRPr="00CF6765">
        <w:rPr>
          <w:sz w:val="18"/>
          <w:szCs w:val="20"/>
          <w:lang w:val="en-US"/>
        </w:rPr>
        <w:t xml:space="preserve">to live </w:t>
      </w:r>
      <w:r w:rsidR="00D710F4" w:rsidRPr="00CF6765">
        <w:rPr>
          <w:sz w:val="18"/>
          <w:szCs w:val="20"/>
          <w:lang w:val="en-US"/>
        </w:rPr>
        <w:t>their lives</w:t>
      </w:r>
      <w:r w:rsidR="00435F46" w:rsidRPr="00CF6765">
        <w:rPr>
          <w:sz w:val="18"/>
          <w:szCs w:val="18"/>
          <w:lang w:val="en-US"/>
        </w:rPr>
        <w:t xml:space="preserve">. We no longer talk about life expectancy […] but rather </w:t>
      </w:r>
      <w:r w:rsidR="00D710F4" w:rsidRPr="00CF6765">
        <w:rPr>
          <w:sz w:val="18"/>
          <w:szCs w:val="18"/>
          <w:lang w:val="en-US"/>
        </w:rPr>
        <w:t>about</w:t>
      </w:r>
      <w:r w:rsidR="00435F46" w:rsidRPr="00CF6765">
        <w:rPr>
          <w:sz w:val="18"/>
          <w:szCs w:val="18"/>
          <w:lang w:val="en-US"/>
        </w:rPr>
        <w:t xml:space="preserve"> years of life free of illnesses […]; that is why </w:t>
      </w:r>
      <w:r w:rsidR="00D710F4" w:rsidRPr="00CF6765">
        <w:rPr>
          <w:sz w:val="18"/>
          <w:szCs w:val="18"/>
          <w:lang w:val="en-US"/>
        </w:rPr>
        <w:t xml:space="preserve">they </w:t>
      </w:r>
      <w:r w:rsidR="00435F46" w:rsidRPr="00CF6765">
        <w:rPr>
          <w:sz w:val="18"/>
          <w:szCs w:val="18"/>
          <w:lang w:val="en-US"/>
        </w:rPr>
        <w:t>need t</w:t>
      </w:r>
      <w:r w:rsidR="00D710F4" w:rsidRPr="00CF6765">
        <w:rPr>
          <w:sz w:val="18"/>
          <w:szCs w:val="18"/>
          <w:lang w:val="en-US"/>
        </w:rPr>
        <w:t>he</w:t>
      </w:r>
      <w:r w:rsidR="00435F46" w:rsidRPr="00CF6765">
        <w:rPr>
          <w:sz w:val="18"/>
          <w:szCs w:val="18"/>
          <w:lang w:val="en-US"/>
        </w:rPr>
        <w:t xml:space="preserve"> support of the whole State. We must all get involved to ensure that we have the most possible years of [quality] life</w:t>
      </w:r>
      <w:r w:rsidRPr="00CF6765">
        <w:rPr>
          <w:sz w:val="18"/>
          <w:szCs w:val="18"/>
          <w:lang w:val="en-US"/>
        </w:rPr>
        <w:t>]</w:t>
      </w:r>
      <w:r w:rsidR="00435F46" w:rsidRPr="00CF6765">
        <w:rPr>
          <w:sz w:val="18"/>
          <w:szCs w:val="18"/>
          <w:lang w:val="en-US"/>
        </w:rPr>
        <w:t>.</w:t>
      </w:r>
      <w:r w:rsidRPr="00CF6765">
        <w:rPr>
          <w:rStyle w:val="Refdenotaalpie"/>
          <w:sz w:val="18"/>
          <w:szCs w:val="18"/>
          <w:lang w:val="en-US"/>
        </w:rPr>
        <w:footnoteReference w:id="219"/>
      </w:r>
      <w:r w:rsidRPr="00CF6765">
        <w:rPr>
          <w:sz w:val="18"/>
          <w:szCs w:val="18"/>
          <w:lang w:val="en-US"/>
        </w:rPr>
        <w:t xml:space="preserve"> […] </w:t>
      </w:r>
      <w:r w:rsidR="00435F46" w:rsidRPr="00CF6765">
        <w:rPr>
          <w:sz w:val="18"/>
          <w:szCs w:val="18"/>
          <w:lang w:val="en-US"/>
        </w:rPr>
        <w:t>We are all going to grow old if we are lucky</w:t>
      </w:r>
      <w:r w:rsidRPr="00CF6765">
        <w:rPr>
          <w:sz w:val="18"/>
          <w:szCs w:val="18"/>
          <w:lang w:val="en-US"/>
        </w:rPr>
        <w:t xml:space="preserve"> […]. </w:t>
      </w:r>
      <w:r w:rsidR="00435F46" w:rsidRPr="00CF6765">
        <w:rPr>
          <w:sz w:val="18"/>
          <w:szCs w:val="18"/>
          <w:lang w:val="en-US"/>
        </w:rPr>
        <w:t>What we must do is train people and shape the environment, society, to ensure that we have a place where we will be treated properly.</w:t>
      </w:r>
      <w:r w:rsidRPr="00CF6765">
        <w:rPr>
          <w:sz w:val="18"/>
          <w:szCs w:val="18"/>
          <w:lang w:val="en-US"/>
        </w:rPr>
        <w:t>”</w:t>
      </w:r>
      <w:r w:rsidRPr="00CF6765">
        <w:rPr>
          <w:sz w:val="18"/>
          <w:szCs w:val="18"/>
          <w:vertAlign w:val="superscript"/>
          <w:lang w:val="en-US"/>
        </w:rPr>
        <w:footnoteReference w:id="220"/>
      </w:r>
    </w:p>
    <w:p w14:paraId="0480DA9F" w14:textId="77777777" w:rsidR="002570D1" w:rsidRPr="00CF6765" w:rsidRDefault="002570D1" w:rsidP="007E5CD5">
      <w:pPr>
        <w:ind w:right="-360"/>
        <w:contextualSpacing/>
        <w:rPr>
          <w:rFonts w:eastAsia="Calibri"/>
          <w:sz w:val="20"/>
          <w:szCs w:val="20"/>
          <w:lang w:val="en-US" w:eastAsia="en-US"/>
        </w:rPr>
      </w:pPr>
    </w:p>
    <w:p w14:paraId="5E4FB7AA" w14:textId="211F850F" w:rsidR="002570D1" w:rsidRPr="00CF6765" w:rsidRDefault="005C731C" w:rsidP="0065099B">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Court</w:t>
      </w:r>
      <w:r w:rsidR="002570D1" w:rsidRPr="00CF6765">
        <w:rPr>
          <w:rFonts w:eastAsia="Calibri"/>
          <w:sz w:val="20"/>
          <w:szCs w:val="20"/>
          <w:lang w:val="en-US" w:eastAsia="en-US"/>
        </w:rPr>
        <w:t xml:space="preserve"> not</w:t>
      </w:r>
      <w:r w:rsidR="00435F46" w:rsidRPr="00CF6765">
        <w:rPr>
          <w:rFonts w:eastAsia="Calibri"/>
          <w:sz w:val="20"/>
          <w:szCs w:val="20"/>
          <w:lang w:val="en-US" w:eastAsia="en-US"/>
        </w:rPr>
        <w:t xml:space="preserve">es that, in many situations, </w:t>
      </w:r>
      <w:r w:rsidR="0065099B" w:rsidRPr="00CF6765">
        <w:rPr>
          <w:rFonts w:eastAsia="Calibri"/>
          <w:sz w:val="20"/>
          <w:szCs w:val="20"/>
          <w:lang w:val="en-US" w:eastAsia="en-US"/>
        </w:rPr>
        <w:t>older persons are particularly vulnerable as regards access to health and underlines the existence of different factors such as physical limitations, and limited mobility, economic status, and the severity of an illness and possibilities of recovery. Also, in certain situations, this vulnerability is increased owing to the imbalance of power in the doctor–patient relationship,</w:t>
      </w:r>
      <w:r w:rsidR="002570D1" w:rsidRPr="00CF6765">
        <w:rPr>
          <w:rFonts w:eastAsia="Calibri"/>
          <w:sz w:val="20"/>
          <w:szCs w:val="20"/>
          <w:vertAlign w:val="superscript"/>
          <w:lang w:val="en-US" w:eastAsia="en-US"/>
        </w:rPr>
        <w:footnoteReference w:id="221"/>
      </w:r>
      <w:r w:rsidR="0065099B" w:rsidRPr="00CF6765">
        <w:rPr>
          <w:rFonts w:eastAsia="Calibri"/>
          <w:sz w:val="20"/>
          <w:szCs w:val="20"/>
          <w:lang w:val="en-US" w:eastAsia="en-US"/>
        </w:rPr>
        <w:t xml:space="preserve"> so that it is essential that patient</w:t>
      </w:r>
      <w:r w:rsidR="00D710F4" w:rsidRPr="00CF6765">
        <w:rPr>
          <w:rFonts w:eastAsia="Calibri"/>
          <w:sz w:val="20"/>
          <w:szCs w:val="20"/>
          <w:lang w:val="en-US" w:eastAsia="en-US"/>
        </w:rPr>
        <w:t>s are</w:t>
      </w:r>
      <w:r w:rsidR="0065099B" w:rsidRPr="00CF6765">
        <w:rPr>
          <w:rFonts w:eastAsia="Calibri"/>
          <w:sz w:val="20"/>
          <w:szCs w:val="20"/>
          <w:lang w:val="en-US" w:eastAsia="en-US"/>
        </w:rPr>
        <w:t xml:space="preserve"> guaranteed, in a clear and accessible way, the necessary information to understand </w:t>
      </w:r>
      <w:r w:rsidR="00D710F4" w:rsidRPr="00CF6765">
        <w:rPr>
          <w:rFonts w:eastAsia="Calibri"/>
          <w:sz w:val="20"/>
          <w:szCs w:val="20"/>
          <w:lang w:val="en-US" w:eastAsia="en-US"/>
        </w:rPr>
        <w:t>their</w:t>
      </w:r>
      <w:r w:rsidR="0065099B" w:rsidRPr="00CF6765">
        <w:rPr>
          <w:rFonts w:eastAsia="Calibri"/>
          <w:sz w:val="20"/>
          <w:szCs w:val="20"/>
          <w:lang w:val="en-US" w:eastAsia="en-US"/>
        </w:rPr>
        <w:t xml:space="preserve"> diagnosis or particular situation, as well as the measures or treatment to address the situation </w:t>
      </w:r>
      <w:r w:rsidR="002570D1" w:rsidRPr="00CF6765">
        <w:rPr>
          <w:rFonts w:eastAsia="Calibri"/>
          <w:sz w:val="20"/>
          <w:szCs w:val="20"/>
          <w:lang w:val="en-US" w:eastAsia="en-US"/>
        </w:rPr>
        <w:t>(</w:t>
      </w:r>
      <w:r w:rsidR="002570D1" w:rsidRPr="00CF6765">
        <w:rPr>
          <w:rFonts w:eastAsia="Calibri"/>
          <w:i/>
          <w:sz w:val="20"/>
          <w:szCs w:val="20"/>
          <w:lang w:val="en-US" w:eastAsia="en-US"/>
        </w:rPr>
        <w:t xml:space="preserve">infra </w:t>
      </w:r>
      <w:r w:rsidR="00EC50FC" w:rsidRPr="00CF6765">
        <w:rPr>
          <w:rFonts w:eastAsia="Calibri"/>
          <w:sz w:val="20"/>
          <w:szCs w:val="20"/>
          <w:lang w:val="en-US" w:eastAsia="en-US"/>
        </w:rPr>
        <w:t>para.</w:t>
      </w:r>
      <w:r w:rsidR="00D0629F" w:rsidRPr="00CF6765">
        <w:rPr>
          <w:rFonts w:eastAsia="Calibri"/>
          <w:i/>
          <w:sz w:val="20"/>
          <w:szCs w:val="20"/>
          <w:lang w:val="en-US" w:eastAsia="en-US"/>
        </w:rPr>
        <w:t xml:space="preserve"> </w:t>
      </w:r>
      <w:r w:rsidR="004368CD" w:rsidRPr="00CF6765">
        <w:rPr>
          <w:rFonts w:eastAsia="Calibri"/>
          <w:sz w:val="20"/>
          <w:szCs w:val="20"/>
          <w:lang w:val="en-US" w:eastAsia="en-US"/>
        </w:rPr>
        <w:t>1</w:t>
      </w:r>
      <w:r w:rsidR="00827A1E" w:rsidRPr="00CF6765">
        <w:rPr>
          <w:rFonts w:eastAsia="Calibri"/>
          <w:sz w:val="20"/>
          <w:szCs w:val="20"/>
          <w:lang w:val="en-US" w:eastAsia="en-US"/>
        </w:rPr>
        <w:t>62</w:t>
      </w:r>
      <w:r w:rsidR="004368CD" w:rsidRPr="00CF6765">
        <w:rPr>
          <w:rFonts w:eastAsia="Calibri"/>
          <w:sz w:val="20"/>
          <w:szCs w:val="20"/>
          <w:lang w:val="en-US" w:eastAsia="en-US"/>
        </w:rPr>
        <w:t xml:space="preserve">). </w:t>
      </w:r>
    </w:p>
    <w:p w14:paraId="3345CD8D" w14:textId="77777777" w:rsidR="002570D1" w:rsidRPr="00CF6765" w:rsidRDefault="002570D1" w:rsidP="002570D1">
      <w:pPr>
        <w:ind w:left="-90" w:right="-360"/>
        <w:contextualSpacing/>
        <w:rPr>
          <w:rFonts w:eastAsia="Calibri"/>
          <w:sz w:val="20"/>
          <w:szCs w:val="20"/>
          <w:lang w:val="en-US" w:eastAsia="en-US"/>
        </w:rPr>
      </w:pPr>
    </w:p>
    <w:p w14:paraId="42432888" w14:textId="4EAB0CBF" w:rsidR="0065099B" w:rsidRPr="00CF6765" w:rsidRDefault="0065099B" w:rsidP="0065099B">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Consequently, the Court emphasizes the importance of </w:t>
      </w:r>
      <w:r w:rsidR="00D710F4" w:rsidRPr="00CF6765">
        <w:rPr>
          <w:rFonts w:eastAsia="Calibri"/>
          <w:sz w:val="20"/>
          <w:szCs w:val="20"/>
          <w:lang w:val="en-US" w:eastAsia="en-US"/>
        </w:rPr>
        <w:t>giving prominence to</w:t>
      </w:r>
      <w:r w:rsidRPr="00CF6765">
        <w:rPr>
          <w:rFonts w:eastAsia="Calibri"/>
          <w:sz w:val="20"/>
          <w:szCs w:val="20"/>
          <w:lang w:val="en-US" w:eastAsia="en-US"/>
        </w:rPr>
        <w:t xml:space="preserve"> older persons as subjects of rights with special protection and, consequently, of comprehensive care, respecting their autonomy and independence.</w:t>
      </w:r>
      <w:r w:rsidR="00D24D12" w:rsidRPr="00CF6765">
        <w:rPr>
          <w:rFonts w:eastAsia="Calibri"/>
          <w:sz w:val="20"/>
          <w:szCs w:val="20"/>
          <w:vertAlign w:val="superscript"/>
          <w:lang w:val="en-US" w:eastAsia="en-US"/>
        </w:rPr>
        <w:footnoteReference w:id="222"/>
      </w:r>
      <w:r w:rsidR="00D24D12"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D24D12" w:rsidRPr="00CF6765">
        <w:rPr>
          <w:rFonts w:eastAsia="Calibri"/>
          <w:sz w:val="20"/>
          <w:szCs w:val="20"/>
          <w:lang w:val="en-US" w:eastAsia="en-US"/>
        </w:rPr>
        <w:t xml:space="preserve"> ha</w:t>
      </w:r>
      <w:r w:rsidRPr="00CF6765">
        <w:rPr>
          <w:rFonts w:eastAsia="Calibri"/>
          <w:sz w:val="20"/>
          <w:szCs w:val="20"/>
          <w:lang w:val="en-US" w:eastAsia="en-US"/>
        </w:rPr>
        <w:t>s asserted that, at the very least, “their health should be protected in case of chronic or terminal illnesses.</w:t>
      </w:r>
      <w:r w:rsidR="006D14B8" w:rsidRPr="00CF6765">
        <w:rPr>
          <w:rFonts w:eastAsia="Calibri"/>
          <w:sz w:val="20"/>
          <w:szCs w:val="20"/>
          <w:lang w:val="en-US" w:eastAsia="en-US"/>
        </w:rPr>
        <w:t>”</w:t>
      </w:r>
      <w:r w:rsidR="00D24D12" w:rsidRPr="00CF6765">
        <w:rPr>
          <w:rFonts w:eastAsia="Calibri"/>
          <w:sz w:val="20"/>
          <w:szCs w:val="20"/>
          <w:vertAlign w:val="superscript"/>
          <w:lang w:val="en-US" w:eastAsia="en-US"/>
        </w:rPr>
        <w:footnoteReference w:id="223"/>
      </w:r>
      <w:r w:rsidRPr="00CF6765">
        <w:rPr>
          <w:rFonts w:eastAsia="Calibri"/>
          <w:sz w:val="20"/>
          <w:szCs w:val="20"/>
          <w:lang w:val="en-US" w:eastAsia="en-US"/>
        </w:rPr>
        <w:t xml:space="preserve"> Therefore, the Court considers that, in the case of older persons, as a </w:t>
      </w:r>
      <w:r w:rsidR="00D710F4" w:rsidRPr="00CF6765">
        <w:rPr>
          <w:rFonts w:eastAsia="Calibri"/>
          <w:sz w:val="20"/>
          <w:szCs w:val="20"/>
          <w:lang w:val="en-US" w:eastAsia="en-US"/>
        </w:rPr>
        <w:t xml:space="preserve">vulnerable </w:t>
      </w:r>
      <w:r w:rsidRPr="00CF6765">
        <w:rPr>
          <w:rFonts w:eastAsia="Calibri"/>
          <w:sz w:val="20"/>
          <w:szCs w:val="20"/>
          <w:lang w:val="en-US" w:eastAsia="en-US"/>
        </w:rPr>
        <w:t>group, there is an increased obligation to respect and to ensure their</w:t>
      </w:r>
      <w:r w:rsidR="00D24D12" w:rsidRPr="00CF6765">
        <w:rPr>
          <w:rFonts w:eastAsia="Calibri"/>
          <w:sz w:val="20"/>
          <w:szCs w:val="20"/>
          <w:lang w:val="en-US" w:eastAsia="en-US"/>
        </w:rPr>
        <w:t xml:space="preserve"> </w:t>
      </w:r>
      <w:r w:rsidR="007A3516" w:rsidRPr="00CF6765">
        <w:rPr>
          <w:rFonts w:eastAsia="Calibri"/>
          <w:sz w:val="20"/>
          <w:szCs w:val="20"/>
          <w:lang w:val="en-US" w:eastAsia="en-US"/>
        </w:rPr>
        <w:t>right to health</w:t>
      </w:r>
      <w:r w:rsidRPr="00CF6765">
        <w:rPr>
          <w:rFonts w:eastAsia="Calibri"/>
          <w:sz w:val="20"/>
          <w:szCs w:val="20"/>
          <w:lang w:val="en-US" w:eastAsia="en-US"/>
        </w:rPr>
        <w:t>.</w:t>
      </w:r>
      <w:r w:rsidR="00D24D12" w:rsidRPr="00CF6765">
        <w:rPr>
          <w:rFonts w:eastAsia="Calibri"/>
          <w:sz w:val="20"/>
          <w:szCs w:val="20"/>
          <w:vertAlign w:val="superscript"/>
          <w:lang w:val="en-US" w:eastAsia="en-US"/>
        </w:rPr>
        <w:footnoteReference w:id="224"/>
      </w:r>
      <w:r w:rsidRPr="00CF6765">
        <w:rPr>
          <w:rFonts w:eastAsia="Calibri"/>
          <w:sz w:val="20"/>
          <w:szCs w:val="20"/>
          <w:lang w:val="en-US" w:eastAsia="en-US"/>
        </w:rPr>
        <w:t xml:space="preserve"> This results in the obligation to provide them with the necessary health services efficiently and continuously. Consequently, non-compliance with this obligation </w:t>
      </w:r>
      <w:r w:rsidRPr="00CF6765">
        <w:rPr>
          <w:rFonts w:eastAsia="Calibri"/>
          <w:sz w:val="20"/>
          <w:szCs w:val="20"/>
          <w:lang w:val="en-US" w:eastAsia="en-US"/>
        </w:rPr>
        <w:lastRenderedPageBreak/>
        <w:t xml:space="preserve">arises when </w:t>
      </w:r>
      <w:r w:rsidR="00C662A6" w:rsidRPr="00CF6765">
        <w:rPr>
          <w:rFonts w:eastAsia="Calibri"/>
          <w:sz w:val="20"/>
          <w:szCs w:val="20"/>
          <w:lang w:val="en-US" w:eastAsia="en-US"/>
        </w:rPr>
        <w:t>they are denied access to health care or their protection is not ensured, and this may also result in a violation of other rights.</w:t>
      </w:r>
    </w:p>
    <w:p w14:paraId="25E069C0" w14:textId="59BB4DFF" w:rsidR="002570D1" w:rsidRPr="00CF6765" w:rsidRDefault="00F914DD" w:rsidP="00F914DD">
      <w:pPr>
        <w:pStyle w:val="Ttulo4"/>
        <w:ind w:left="2124"/>
        <w:rPr>
          <w:rFonts w:eastAsia="Calibri"/>
          <w:b/>
          <w:lang w:val="en-US" w:eastAsia="en-US"/>
        </w:rPr>
      </w:pPr>
      <w:bookmarkStart w:id="78" w:name="_Toc47864380"/>
      <w:r w:rsidRPr="00CF6765">
        <w:rPr>
          <w:rFonts w:eastAsia="Calibri"/>
          <w:b/>
          <w:lang w:val="en-US" w:eastAsia="en-US"/>
        </w:rPr>
        <w:t xml:space="preserve">1.1.3 </w:t>
      </w:r>
      <w:r w:rsidR="00C662A6" w:rsidRPr="00CF6765">
        <w:rPr>
          <w:rFonts w:eastAsia="Calibri"/>
          <w:b/>
          <w:lang w:val="en-US" w:eastAsia="en-US"/>
        </w:rPr>
        <w:t>Analysis of this case</w:t>
      </w:r>
      <w:bookmarkEnd w:id="78"/>
    </w:p>
    <w:p w14:paraId="2D45C172" w14:textId="77777777" w:rsidR="002570D1" w:rsidRPr="00CF6765" w:rsidRDefault="002570D1" w:rsidP="002570D1">
      <w:pPr>
        <w:ind w:right="-360"/>
        <w:contextualSpacing/>
        <w:rPr>
          <w:rFonts w:eastAsia="Calibri"/>
          <w:b/>
          <w:sz w:val="20"/>
          <w:szCs w:val="20"/>
          <w:lang w:val="en-US" w:eastAsia="en-US"/>
        </w:rPr>
      </w:pPr>
    </w:p>
    <w:p w14:paraId="681AEBF5" w14:textId="19BF9169" w:rsidR="002570D1" w:rsidRPr="00CF6765" w:rsidRDefault="005C731C"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Court</w:t>
      </w:r>
      <w:r w:rsidR="002570D1" w:rsidRPr="00CF6765">
        <w:rPr>
          <w:rFonts w:eastAsia="Calibri"/>
          <w:sz w:val="20"/>
          <w:szCs w:val="20"/>
          <w:lang w:val="en-US" w:eastAsia="en-US"/>
        </w:rPr>
        <w:t xml:space="preserve"> rec</w:t>
      </w:r>
      <w:r w:rsidR="00EB7C9B" w:rsidRPr="00CF6765">
        <w:rPr>
          <w:rFonts w:eastAsia="Calibri"/>
          <w:sz w:val="20"/>
          <w:szCs w:val="20"/>
          <w:lang w:val="en-US" w:eastAsia="en-US"/>
        </w:rPr>
        <w:t xml:space="preserve">alls that, in the instant case, the presumed victim was admitted to the </w:t>
      </w:r>
      <w:proofErr w:type="spellStart"/>
      <w:r w:rsidR="00262E5D" w:rsidRPr="00CF6765">
        <w:rPr>
          <w:rFonts w:eastAsia="Calibri"/>
          <w:sz w:val="20"/>
          <w:szCs w:val="20"/>
          <w:lang w:val="en-US" w:eastAsia="en-US"/>
        </w:rPr>
        <w:t>Sótero</w:t>
      </w:r>
      <w:proofErr w:type="spellEnd"/>
      <w:r w:rsidR="00262E5D" w:rsidRPr="00CF6765">
        <w:rPr>
          <w:rFonts w:eastAsia="Calibri"/>
          <w:sz w:val="20"/>
          <w:szCs w:val="20"/>
          <w:lang w:val="en-US" w:eastAsia="en-US"/>
        </w:rPr>
        <w:t xml:space="preserve"> del Río</w:t>
      </w:r>
      <w:r w:rsidR="00EB7C9B" w:rsidRPr="00CF6765">
        <w:rPr>
          <w:rFonts w:eastAsia="Calibri"/>
          <w:sz w:val="20"/>
          <w:szCs w:val="20"/>
          <w:lang w:val="en-US" w:eastAsia="en-US"/>
        </w:rPr>
        <w:t xml:space="preserve"> public hospital on two occasions.</w:t>
      </w:r>
      <w:r w:rsidR="00262E5D" w:rsidRPr="00CF6765">
        <w:rPr>
          <w:rFonts w:eastAsia="Calibri"/>
          <w:sz w:val="20"/>
          <w:szCs w:val="20"/>
          <w:lang w:val="en-US" w:eastAsia="en-US"/>
        </w:rPr>
        <w:t xml:space="preserve"> </w:t>
      </w:r>
      <w:r w:rsidR="00EB7C9B" w:rsidRPr="00CF6765">
        <w:rPr>
          <w:rFonts w:eastAsia="Calibri"/>
          <w:sz w:val="20"/>
          <w:szCs w:val="20"/>
          <w:lang w:val="en-US" w:eastAsia="en-US"/>
        </w:rPr>
        <w:t>The first time</w:t>
      </w:r>
      <w:r w:rsidR="00262E5D" w:rsidRPr="00CF6765">
        <w:rPr>
          <w:rFonts w:eastAsia="Calibri"/>
          <w:sz w:val="20"/>
          <w:szCs w:val="20"/>
          <w:lang w:val="en-US" w:eastAsia="en-US"/>
        </w:rPr>
        <w:t xml:space="preserve">, </w:t>
      </w:r>
      <w:r w:rsidR="00D2168F" w:rsidRPr="00CF6765">
        <w:rPr>
          <w:rFonts w:eastAsia="Calibri"/>
          <w:sz w:val="20"/>
          <w:szCs w:val="20"/>
          <w:lang w:val="en-US" w:eastAsia="en-US"/>
        </w:rPr>
        <w:t>Mr.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2570D1" w:rsidRPr="00CF6765">
        <w:rPr>
          <w:rFonts w:eastAsia="Calibri"/>
          <w:sz w:val="20"/>
          <w:szCs w:val="20"/>
          <w:lang w:val="en-US" w:eastAsia="en-US"/>
        </w:rPr>
        <w:t xml:space="preserve"> </w:t>
      </w:r>
      <w:r w:rsidR="00EB7C9B" w:rsidRPr="00CF6765">
        <w:rPr>
          <w:rFonts w:eastAsia="Calibri"/>
          <w:sz w:val="20"/>
          <w:szCs w:val="20"/>
          <w:lang w:val="en-US" w:eastAsia="en-US"/>
        </w:rPr>
        <w:t>was admitted to the hospital on</w:t>
      </w:r>
      <w:r w:rsidR="00146F77" w:rsidRPr="00CF6765">
        <w:rPr>
          <w:rFonts w:eastAsia="Calibri"/>
          <w:sz w:val="20"/>
          <w:szCs w:val="20"/>
          <w:lang w:val="en-US" w:eastAsia="en-US"/>
        </w:rPr>
        <w:t xml:space="preserve"> </w:t>
      </w:r>
      <w:r w:rsidR="00671A8C" w:rsidRPr="00CF6765">
        <w:rPr>
          <w:rFonts w:eastAsia="Calibri"/>
          <w:sz w:val="20"/>
          <w:szCs w:val="20"/>
          <w:lang w:val="en-US" w:eastAsia="en-US"/>
        </w:rPr>
        <w:t>January 17,</w:t>
      </w:r>
      <w:r w:rsidR="009E38AD" w:rsidRPr="00CF6765">
        <w:rPr>
          <w:rFonts w:eastAsia="Calibri"/>
          <w:sz w:val="20"/>
          <w:szCs w:val="20"/>
          <w:lang w:val="en-US" w:eastAsia="en-US"/>
        </w:rPr>
        <w:t xml:space="preserve"> 2001</w:t>
      </w:r>
      <w:r w:rsidR="00EB7C9B" w:rsidRPr="00CF6765">
        <w:rPr>
          <w:rFonts w:eastAsia="Calibri"/>
          <w:sz w:val="20"/>
          <w:szCs w:val="20"/>
          <w:lang w:val="en-US" w:eastAsia="en-US"/>
        </w:rPr>
        <w:t xml:space="preserve">, due to severe respiratory failure. He remained hospitalized in the Medical Intensive Care Unit for four days. On January 22, 2001, he entered the Surgical Intensive Care Unit </w:t>
      </w:r>
      <w:r w:rsidR="004F53BF" w:rsidRPr="00CF6765">
        <w:rPr>
          <w:rFonts w:eastAsia="Calibri"/>
          <w:sz w:val="20"/>
          <w:szCs w:val="20"/>
          <w:lang w:val="en-US"/>
        </w:rPr>
        <w:t>(</w:t>
      </w:r>
      <w:r w:rsidR="004F53BF" w:rsidRPr="00CF6765">
        <w:rPr>
          <w:rFonts w:eastAsia="Calibri"/>
          <w:i/>
          <w:sz w:val="20"/>
          <w:szCs w:val="20"/>
          <w:lang w:val="en-US"/>
        </w:rPr>
        <w:t>supra</w:t>
      </w:r>
      <w:r w:rsidR="004F53BF" w:rsidRPr="00CF6765">
        <w:rPr>
          <w:rFonts w:eastAsia="Calibri"/>
          <w:sz w:val="20"/>
          <w:szCs w:val="20"/>
          <w:lang w:val="en-US"/>
        </w:rPr>
        <w:t xml:space="preserve"> </w:t>
      </w:r>
      <w:r w:rsidR="00EC50FC" w:rsidRPr="00CF6765">
        <w:rPr>
          <w:rFonts w:eastAsia="Calibri"/>
          <w:sz w:val="20"/>
          <w:szCs w:val="20"/>
          <w:lang w:val="en-US"/>
        </w:rPr>
        <w:t>para.</w:t>
      </w:r>
      <w:r w:rsidR="004F53BF" w:rsidRPr="00CF6765">
        <w:rPr>
          <w:rFonts w:eastAsia="Calibri"/>
          <w:sz w:val="20"/>
          <w:szCs w:val="20"/>
          <w:lang w:val="en-US"/>
        </w:rPr>
        <w:t xml:space="preserve"> </w:t>
      </w:r>
      <w:r w:rsidR="00A3172B" w:rsidRPr="00CF6765">
        <w:rPr>
          <w:rFonts w:eastAsia="Calibri"/>
          <w:sz w:val="20"/>
          <w:szCs w:val="20"/>
          <w:lang w:val="en-US"/>
        </w:rPr>
        <w:t>43</w:t>
      </w:r>
      <w:r w:rsidR="004F53BF" w:rsidRPr="00CF6765">
        <w:rPr>
          <w:rFonts w:eastAsia="Calibri"/>
          <w:sz w:val="20"/>
          <w:szCs w:val="20"/>
          <w:lang w:val="en-US"/>
        </w:rPr>
        <w:t>)</w:t>
      </w:r>
      <w:r w:rsidR="002570D1" w:rsidRPr="00CF6765">
        <w:rPr>
          <w:rFonts w:eastAsia="Calibri"/>
          <w:sz w:val="20"/>
          <w:szCs w:val="20"/>
          <w:lang w:val="en-US" w:eastAsia="en-US"/>
        </w:rPr>
        <w:t xml:space="preserve">. </w:t>
      </w:r>
      <w:r w:rsidR="00EB7C9B" w:rsidRPr="00CF6765">
        <w:rPr>
          <w:rFonts w:eastAsia="Calibri"/>
          <w:sz w:val="20"/>
          <w:szCs w:val="20"/>
          <w:lang w:val="en-US" w:eastAsia="en-US"/>
        </w:rPr>
        <w:t>On February 2,</w:t>
      </w:r>
      <w:r w:rsidR="002570D1" w:rsidRPr="00CF6765">
        <w:rPr>
          <w:rFonts w:eastAsia="Calibri"/>
          <w:sz w:val="20"/>
          <w:szCs w:val="20"/>
          <w:lang w:val="en-US" w:eastAsia="en-US"/>
        </w:rPr>
        <w:t xml:space="preserve"> 2001</w:t>
      </w:r>
      <w:r w:rsidR="00EB7C9B" w:rsidRPr="00CF6765">
        <w:rPr>
          <w:rFonts w:eastAsia="Calibri"/>
          <w:sz w:val="20"/>
          <w:szCs w:val="20"/>
          <w:lang w:val="en-US" w:eastAsia="en-US"/>
        </w:rPr>
        <w:t xml:space="preserve">, he was discharged </w:t>
      </w:r>
      <w:r w:rsidR="00690D57" w:rsidRPr="00CF6765">
        <w:rPr>
          <w:rFonts w:eastAsia="Calibri"/>
          <w:sz w:val="20"/>
          <w:szCs w:val="20"/>
          <w:lang w:val="en-US" w:eastAsia="en-US"/>
        </w:rPr>
        <w:t>and the members of his family</w:t>
      </w:r>
      <w:r w:rsidR="002570D1" w:rsidRPr="00CF6765">
        <w:rPr>
          <w:rFonts w:eastAsia="Calibri"/>
          <w:sz w:val="20"/>
          <w:szCs w:val="20"/>
          <w:lang w:val="en-US" w:eastAsia="en-US"/>
        </w:rPr>
        <w:t xml:space="preserve"> </w:t>
      </w:r>
      <w:r w:rsidR="00EB7C9B" w:rsidRPr="00CF6765">
        <w:rPr>
          <w:rFonts w:eastAsia="Calibri"/>
          <w:sz w:val="20"/>
          <w:szCs w:val="20"/>
          <w:lang w:val="en-US" w:eastAsia="en-US"/>
        </w:rPr>
        <w:t xml:space="preserve">had to hire a private ambulance to take him home, </w:t>
      </w:r>
      <w:r w:rsidR="0090740B" w:rsidRPr="00CF6765">
        <w:rPr>
          <w:rFonts w:eastAsia="Calibri"/>
          <w:sz w:val="20"/>
          <w:szCs w:val="20"/>
          <w:lang w:val="en-US" w:eastAsia="en-US"/>
        </w:rPr>
        <w:t>because</w:t>
      </w:r>
      <w:r w:rsidR="00EB7C9B" w:rsidRPr="00CF6765">
        <w:rPr>
          <w:rFonts w:eastAsia="Calibri"/>
          <w:sz w:val="20"/>
          <w:szCs w:val="20"/>
          <w:lang w:val="en-US" w:eastAsia="en-US"/>
        </w:rPr>
        <w:t xml:space="preserve"> the hospital did not have any ambulances available </w:t>
      </w:r>
      <w:r w:rsidR="004F53BF" w:rsidRPr="00CF6765">
        <w:rPr>
          <w:rFonts w:eastAsia="Calibri"/>
          <w:sz w:val="20"/>
          <w:szCs w:val="20"/>
          <w:lang w:val="en-US"/>
        </w:rPr>
        <w:t>(</w:t>
      </w:r>
      <w:r w:rsidR="004F53BF" w:rsidRPr="00CF6765">
        <w:rPr>
          <w:rFonts w:eastAsia="Calibri"/>
          <w:i/>
          <w:sz w:val="20"/>
          <w:szCs w:val="20"/>
          <w:lang w:val="en-US"/>
        </w:rPr>
        <w:t>supra</w:t>
      </w:r>
      <w:r w:rsidR="004F53BF" w:rsidRPr="00CF6765">
        <w:rPr>
          <w:rFonts w:eastAsia="Calibri"/>
          <w:sz w:val="20"/>
          <w:szCs w:val="20"/>
          <w:lang w:val="en-US"/>
        </w:rPr>
        <w:t xml:space="preserve"> </w:t>
      </w:r>
      <w:r w:rsidR="00EC50FC" w:rsidRPr="00CF6765">
        <w:rPr>
          <w:rFonts w:eastAsia="Calibri"/>
          <w:sz w:val="20"/>
          <w:szCs w:val="20"/>
          <w:lang w:val="en-US"/>
        </w:rPr>
        <w:t>para.</w:t>
      </w:r>
      <w:r w:rsidR="004F53BF" w:rsidRPr="00CF6765">
        <w:rPr>
          <w:rFonts w:eastAsia="Calibri"/>
          <w:sz w:val="20"/>
          <w:szCs w:val="20"/>
          <w:lang w:val="en-US"/>
        </w:rPr>
        <w:t xml:space="preserve"> </w:t>
      </w:r>
      <w:r w:rsidR="00A3172B" w:rsidRPr="00CF6765">
        <w:rPr>
          <w:rFonts w:eastAsia="Calibri"/>
          <w:sz w:val="20"/>
          <w:szCs w:val="20"/>
          <w:lang w:val="en-US"/>
        </w:rPr>
        <w:t>49</w:t>
      </w:r>
      <w:r w:rsidR="004F53BF" w:rsidRPr="00CF6765">
        <w:rPr>
          <w:rFonts w:eastAsia="Calibri"/>
          <w:sz w:val="20"/>
          <w:szCs w:val="20"/>
          <w:lang w:val="en-US"/>
        </w:rPr>
        <w:t>)</w:t>
      </w:r>
      <w:r w:rsidR="002570D1" w:rsidRPr="00CF6765">
        <w:rPr>
          <w:rFonts w:eastAsia="Calibri"/>
          <w:sz w:val="20"/>
          <w:szCs w:val="20"/>
          <w:lang w:val="en-US" w:eastAsia="en-US"/>
        </w:rPr>
        <w:t xml:space="preserve">. </w:t>
      </w:r>
      <w:r w:rsidR="00EB7C9B" w:rsidRPr="00CF6765">
        <w:rPr>
          <w:rFonts w:eastAsia="Calibri"/>
          <w:sz w:val="20"/>
          <w:szCs w:val="20"/>
          <w:lang w:val="en-US" w:eastAsia="en-US"/>
        </w:rPr>
        <w:t>In the case of the</w:t>
      </w:r>
      <w:r w:rsidR="00262E5D" w:rsidRPr="00CF6765">
        <w:rPr>
          <w:rFonts w:eastAsia="Calibri"/>
          <w:sz w:val="20"/>
          <w:szCs w:val="20"/>
          <w:lang w:val="en-US" w:eastAsia="en-US"/>
        </w:rPr>
        <w:t xml:space="preserve"> </w:t>
      </w:r>
      <w:r w:rsidR="00B969DD" w:rsidRPr="00CF6765">
        <w:rPr>
          <w:rFonts w:eastAsia="Calibri"/>
          <w:sz w:val="20"/>
          <w:szCs w:val="20"/>
          <w:lang w:val="en-US" w:eastAsia="en-US"/>
        </w:rPr>
        <w:t>second admission</w:t>
      </w:r>
      <w:r w:rsidR="00262E5D" w:rsidRPr="00CF6765">
        <w:rPr>
          <w:rFonts w:eastAsia="Calibri"/>
          <w:sz w:val="20"/>
          <w:szCs w:val="20"/>
          <w:lang w:val="en-US" w:eastAsia="en-US"/>
        </w:rPr>
        <w:t xml:space="preserve">, </w:t>
      </w:r>
      <w:r w:rsidR="00EB7C9B" w:rsidRPr="00CF6765">
        <w:rPr>
          <w:rFonts w:eastAsia="Calibri"/>
          <w:sz w:val="20"/>
          <w:szCs w:val="20"/>
          <w:lang w:val="en-US" w:eastAsia="en-US"/>
        </w:rPr>
        <w:t xml:space="preserve">on February 5 he was again admitted to the </w:t>
      </w:r>
      <w:proofErr w:type="spellStart"/>
      <w:r w:rsidR="00496573" w:rsidRPr="00CF6765">
        <w:rPr>
          <w:rFonts w:eastAsia="Calibri"/>
          <w:sz w:val="20"/>
          <w:szCs w:val="20"/>
          <w:lang w:val="en-US" w:eastAsia="en-US"/>
        </w:rPr>
        <w:t>Só</w:t>
      </w:r>
      <w:r w:rsidR="0090740B" w:rsidRPr="00CF6765">
        <w:rPr>
          <w:rFonts w:eastAsia="Calibri"/>
          <w:sz w:val="20"/>
          <w:szCs w:val="20"/>
          <w:lang w:val="en-US" w:eastAsia="en-US"/>
        </w:rPr>
        <w:t>tero</w:t>
      </w:r>
      <w:proofErr w:type="spellEnd"/>
      <w:r w:rsidR="002570D1" w:rsidRPr="00CF6765">
        <w:rPr>
          <w:rFonts w:eastAsia="Calibri"/>
          <w:sz w:val="20"/>
          <w:szCs w:val="20"/>
          <w:lang w:val="en-US" w:eastAsia="en-US"/>
        </w:rPr>
        <w:t xml:space="preserve"> del Río</w:t>
      </w:r>
      <w:r w:rsidR="00EB7C9B" w:rsidRPr="00CF6765">
        <w:rPr>
          <w:rFonts w:eastAsia="Calibri"/>
          <w:sz w:val="20"/>
          <w:szCs w:val="20"/>
          <w:lang w:val="en-US" w:eastAsia="en-US"/>
        </w:rPr>
        <w:t xml:space="preserve"> Hospital where he remained in an intermediate care unit; however, his medical record stipulated that he </w:t>
      </w:r>
      <w:r w:rsidR="00496573" w:rsidRPr="00CF6765">
        <w:rPr>
          <w:rFonts w:eastAsia="Calibri"/>
          <w:sz w:val="20"/>
          <w:szCs w:val="20"/>
          <w:lang w:val="en-US" w:eastAsia="en-US"/>
        </w:rPr>
        <w:t>need to be</w:t>
      </w:r>
      <w:r w:rsidR="00EB7C9B" w:rsidRPr="00CF6765">
        <w:rPr>
          <w:rFonts w:eastAsia="Calibri"/>
          <w:sz w:val="20"/>
          <w:szCs w:val="20"/>
          <w:lang w:val="en-US" w:eastAsia="en-US"/>
        </w:rPr>
        <w:t xml:space="preserve"> admitted to an intensive care </w:t>
      </w:r>
      <w:r w:rsidR="00E27148" w:rsidRPr="00CF6765">
        <w:rPr>
          <w:rFonts w:eastAsia="Calibri"/>
          <w:sz w:val="20"/>
          <w:szCs w:val="20"/>
          <w:lang w:val="en-US" w:eastAsia="en-US"/>
        </w:rPr>
        <w:t>ward (</w:t>
      </w:r>
      <w:r w:rsidR="00062586" w:rsidRPr="00CF6765">
        <w:rPr>
          <w:rFonts w:eastAsia="Calibri"/>
          <w:i/>
          <w:sz w:val="20"/>
          <w:szCs w:val="20"/>
          <w:lang w:val="en-US" w:eastAsia="en-US"/>
        </w:rPr>
        <w:t>supra</w:t>
      </w:r>
      <w:r w:rsidR="003F0801" w:rsidRPr="00CF6765">
        <w:rPr>
          <w:rFonts w:eastAsia="Calibri"/>
          <w:sz w:val="20"/>
          <w:szCs w:val="20"/>
          <w:lang w:val="en-US" w:eastAsia="en-US"/>
        </w:rPr>
        <w:t xml:space="preserve"> </w:t>
      </w:r>
      <w:r w:rsidR="00EC50FC" w:rsidRPr="00CF6765">
        <w:rPr>
          <w:rFonts w:eastAsia="Calibri"/>
          <w:sz w:val="20"/>
          <w:szCs w:val="20"/>
          <w:lang w:val="en-US" w:eastAsia="en-US"/>
        </w:rPr>
        <w:t>para.</w:t>
      </w:r>
      <w:r w:rsidR="003F0801" w:rsidRPr="00CF6765">
        <w:rPr>
          <w:rFonts w:eastAsia="Calibri"/>
          <w:sz w:val="20"/>
          <w:szCs w:val="20"/>
          <w:lang w:val="en-US" w:eastAsia="en-US"/>
        </w:rPr>
        <w:t xml:space="preserve"> </w:t>
      </w:r>
      <w:r w:rsidR="00AA4F53" w:rsidRPr="00CF6765">
        <w:rPr>
          <w:rFonts w:eastAsia="Calibri"/>
          <w:sz w:val="20"/>
          <w:szCs w:val="20"/>
          <w:lang w:val="en-US" w:eastAsia="en-US"/>
        </w:rPr>
        <w:t>51</w:t>
      </w:r>
      <w:r w:rsidR="003F0801" w:rsidRPr="00CF6765">
        <w:rPr>
          <w:rFonts w:eastAsia="Calibri"/>
          <w:sz w:val="20"/>
          <w:szCs w:val="20"/>
          <w:lang w:val="en-US" w:eastAsia="en-US"/>
        </w:rPr>
        <w:t>)</w:t>
      </w:r>
      <w:r w:rsidR="002570D1" w:rsidRPr="00CF6765">
        <w:rPr>
          <w:rFonts w:eastAsia="Calibri"/>
          <w:sz w:val="20"/>
          <w:szCs w:val="20"/>
          <w:lang w:val="en-US" w:eastAsia="en-US"/>
        </w:rPr>
        <w:t xml:space="preserve">. </w:t>
      </w:r>
      <w:r w:rsidR="00D2168F" w:rsidRPr="00CF6765">
        <w:rPr>
          <w:rFonts w:eastAsia="Calibri"/>
          <w:sz w:val="20"/>
          <w:szCs w:val="20"/>
          <w:lang w:val="en-US" w:eastAsia="en-US"/>
        </w:rPr>
        <w:t>Mr.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2570D1" w:rsidRPr="00CF6765">
        <w:rPr>
          <w:rFonts w:eastAsia="Calibri"/>
          <w:sz w:val="20"/>
          <w:szCs w:val="20"/>
          <w:lang w:val="en-US" w:eastAsia="en-US"/>
        </w:rPr>
        <w:t xml:space="preserve"> </w:t>
      </w:r>
      <w:r w:rsidR="00EB7C9B" w:rsidRPr="00CF6765">
        <w:rPr>
          <w:rFonts w:eastAsia="Calibri"/>
          <w:sz w:val="20"/>
          <w:szCs w:val="20"/>
          <w:lang w:val="en-US" w:eastAsia="en-US"/>
        </w:rPr>
        <w:t>required a</w:t>
      </w:r>
      <w:r w:rsidR="002570D1" w:rsidRPr="00CF6765">
        <w:rPr>
          <w:rFonts w:eastAsia="Calibri"/>
          <w:sz w:val="20"/>
          <w:szCs w:val="20"/>
          <w:lang w:val="en-US" w:eastAsia="en-US"/>
        </w:rPr>
        <w:t xml:space="preserve"> </w:t>
      </w:r>
      <w:r w:rsidR="008765C0" w:rsidRPr="00CF6765">
        <w:rPr>
          <w:rFonts w:eastAsia="Calibri"/>
          <w:sz w:val="20"/>
          <w:szCs w:val="20"/>
          <w:lang w:val="en-US" w:eastAsia="en-US"/>
        </w:rPr>
        <w:t>mechanical ventilator</w:t>
      </w:r>
      <w:r w:rsidR="002570D1" w:rsidRPr="00CF6765">
        <w:rPr>
          <w:rFonts w:eastAsia="Calibri"/>
          <w:sz w:val="20"/>
          <w:szCs w:val="20"/>
          <w:lang w:val="en-US" w:eastAsia="en-US"/>
        </w:rPr>
        <w:t xml:space="preserve">, </w:t>
      </w:r>
      <w:r w:rsidR="00EB7C9B" w:rsidRPr="00CF6765">
        <w:rPr>
          <w:rFonts w:eastAsia="Calibri"/>
          <w:sz w:val="20"/>
          <w:szCs w:val="20"/>
          <w:lang w:val="en-US" w:eastAsia="en-US"/>
        </w:rPr>
        <w:t xml:space="preserve">but he was not provided with this device. </w:t>
      </w:r>
      <w:r w:rsidR="00D2168F" w:rsidRPr="00CF6765">
        <w:rPr>
          <w:rFonts w:eastAsia="Calibri"/>
          <w:sz w:val="20"/>
          <w:szCs w:val="20"/>
          <w:lang w:val="en-US" w:eastAsia="en-US"/>
        </w:rPr>
        <w:t>Mr.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2570D1" w:rsidRPr="00CF6765">
        <w:rPr>
          <w:rFonts w:eastAsia="Calibri"/>
          <w:sz w:val="20"/>
          <w:szCs w:val="20"/>
          <w:lang w:val="en-US" w:eastAsia="en-US"/>
        </w:rPr>
        <w:t xml:space="preserve"> </w:t>
      </w:r>
      <w:r w:rsidR="00EB7C9B" w:rsidRPr="00CF6765">
        <w:rPr>
          <w:rFonts w:eastAsia="Calibri"/>
          <w:sz w:val="20"/>
          <w:szCs w:val="20"/>
          <w:lang w:val="en-US" w:eastAsia="en-US"/>
        </w:rPr>
        <w:t>died on</w:t>
      </w:r>
      <w:r w:rsidR="002570D1" w:rsidRPr="00CF6765">
        <w:rPr>
          <w:rFonts w:eastAsia="Calibri"/>
          <w:sz w:val="20"/>
          <w:szCs w:val="20"/>
          <w:lang w:val="en-US" w:eastAsia="en-US"/>
        </w:rPr>
        <w:t xml:space="preserve"> </w:t>
      </w:r>
      <w:r w:rsidR="00671A8C" w:rsidRPr="00CF6765">
        <w:rPr>
          <w:rFonts w:eastAsia="Calibri"/>
          <w:sz w:val="20"/>
          <w:szCs w:val="20"/>
          <w:lang w:val="en-US" w:eastAsia="en-US"/>
        </w:rPr>
        <w:t>February 7,</w:t>
      </w:r>
      <w:r w:rsidR="002570D1" w:rsidRPr="00CF6765">
        <w:rPr>
          <w:rFonts w:eastAsia="Calibri"/>
          <w:sz w:val="20"/>
          <w:szCs w:val="20"/>
          <w:lang w:val="en-US" w:eastAsia="en-US"/>
        </w:rPr>
        <w:t xml:space="preserve"> 2001</w:t>
      </w:r>
      <w:r w:rsidR="004F53BF" w:rsidRPr="00CF6765">
        <w:rPr>
          <w:rFonts w:eastAsia="Calibri"/>
          <w:sz w:val="20"/>
          <w:szCs w:val="20"/>
          <w:lang w:val="en-US" w:eastAsia="en-US"/>
        </w:rPr>
        <w:t xml:space="preserve"> </w:t>
      </w:r>
      <w:r w:rsidR="004F53BF" w:rsidRPr="00CF6765">
        <w:rPr>
          <w:rFonts w:eastAsia="Calibri"/>
          <w:sz w:val="20"/>
          <w:szCs w:val="20"/>
          <w:lang w:val="en-US"/>
        </w:rPr>
        <w:t>(</w:t>
      </w:r>
      <w:r w:rsidR="004F53BF" w:rsidRPr="00CF6765">
        <w:rPr>
          <w:rFonts w:eastAsia="Calibri"/>
          <w:i/>
          <w:sz w:val="20"/>
          <w:szCs w:val="20"/>
          <w:lang w:val="en-US"/>
        </w:rPr>
        <w:t>supra</w:t>
      </w:r>
      <w:r w:rsidR="004F53BF" w:rsidRPr="00CF6765">
        <w:rPr>
          <w:rFonts w:eastAsia="Calibri"/>
          <w:sz w:val="20"/>
          <w:szCs w:val="20"/>
          <w:lang w:val="en-US"/>
        </w:rPr>
        <w:t xml:space="preserve"> </w:t>
      </w:r>
      <w:r w:rsidR="00EC50FC" w:rsidRPr="00CF6765">
        <w:rPr>
          <w:rFonts w:eastAsia="Calibri"/>
          <w:sz w:val="20"/>
          <w:szCs w:val="20"/>
          <w:lang w:val="en-US"/>
        </w:rPr>
        <w:t>para.</w:t>
      </w:r>
      <w:r w:rsidR="004F53BF" w:rsidRPr="00CF6765">
        <w:rPr>
          <w:rFonts w:eastAsia="Calibri"/>
          <w:sz w:val="20"/>
          <w:szCs w:val="20"/>
          <w:lang w:val="en-US"/>
        </w:rPr>
        <w:t xml:space="preserve"> </w:t>
      </w:r>
      <w:r w:rsidR="00AA4F53" w:rsidRPr="00CF6765">
        <w:rPr>
          <w:rFonts w:eastAsia="Calibri"/>
          <w:sz w:val="20"/>
          <w:szCs w:val="20"/>
          <w:lang w:val="en-US"/>
        </w:rPr>
        <w:t>56</w:t>
      </w:r>
      <w:r w:rsidR="004F53BF" w:rsidRPr="00CF6765">
        <w:rPr>
          <w:rFonts w:eastAsia="Calibri"/>
          <w:sz w:val="20"/>
          <w:szCs w:val="20"/>
          <w:lang w:val="en-US"/>
        </w:rPr>
        <w:t>)</w:t>
      </w:r>
      <w:r w:rsidR="002570D1" w:rsidRPr="00CF6765">
        <w:rPr>
          <w:rFonts w:eastAsia="Calibri"/>
          <w:sz w:val="20"/>
          <w:szCs w:val="20"/>
          <w:lang w:val="en-US" w:eastAsia="en-US"/>
        </w:rPr>
        <w:t>.</w:t>
      </w:r>
    </w:p>
    <w:p w14:paraId="28C0107E" w14:textId="77777777" w:rsidR="005D383C" w:rsidRPr="00CF6765" w:rsidRDefault="005D383C" w:rsidP="00AB1E03">
      <w:pPr>
        <w:tabs>
          <w:tab w:val="left" w:pos="567"/>
        </w:tabs>
        <w:rPr>
          <w:rFonts w:eastAsia="Calibri"/>
          <w:b/>
          <w:sz w:val="20"/>
          <w:szCs w:val="20"/>
          <w:u w:val="single"/>
          <w:lang w:val="en-US"/>
        </w:rPr>
      </w:pPr>
    </w:p>
    <w:p w14:paraId="27A26125" w14:textId="653A1A4C" w:rsidR="00AA65C5" w:rsidRPr="00CF6765" w:rsidRDefault="00EB7C9B" w:rsidP="00EB7C9B">
      <w:pPr>
        <w:numPr>
          <w:ilvl w:val="0"/>
          <w:numId w:val="2"/>
        </w:numPr>
        <w:tabs>
          <w:tab w:val="left" w:pos="567"/>
          <w:tab w:val="num" w:pos="1569"/>
          <w:tab w:val="num" w:pos="12305"/>
        </w:tabs>
        <w:ind w:left="0" w:firstLine="0"/>
        <w:rPr>
          <w:sz w:val="20"/>
          <w:lang w:val="en-US"/>
        </w:rPr>
      </w:pPr>
      <w:r w:rsidRPr="00CF6765">
        <w:rPr>
          <w:sz w:val="20"/>
          <w:lang w:val="en-US"/>
        </w:rPr>
        <w:t xml:space="preserve">In the instant case, the Court does not find that </w:t>
      </w:r>
      <w:r w:rsidR="004B3DE8" w:rsidRPr="00CF6765">
        <w:rPr>
          <w:sz w:val="20"/>
          <w:lang w:val="en-US"/>
        </w:rPr>
        <w:t>it</w:t>
      </w:r>
      <w:r w:rsidRPr="00CF6765">
        <w:rPr>
          <w:sz w:val="20"/>
          <w:lang w:val="en-US"/>
        </w:rPr>
        <w:t xml:space="preserve"> is the progressive aspect of the State’s</w:t>
      </w:r>
      <w:r w:rsidR="004B3DE8" w:rsidRPr="00CF6765">
        <w:rPr>
          <w:sz w:val="20"/>
          <w:lang w:val="en-US"/>
        </w:rPr>
        <w:t xml:space="preserve"> </w:t>
      </w:r>
      <w:r w:rsidRPr="00CF6765">
        <w:rPr>
          <w:sz w:val="20"/>
          <w:lang w:val="en-US"/>
        </w:rPr>
        <w:t xml:space="preserve">obligations </w:t>
      </w:r>
      <w:r w:rsidR="004B3DE8" w:rsidRPr="00CF6765">
        <w:rPr>
          <w:sz w:val="20"/>
          <w:lang w:val="en-US"/>
        </w:rPr>
        <w:t>with regard to the right to health that is in dispute (</w:t>
      </w:r>
      <w:r w:rsidR="004B3DE8" w:rsidRPr="00CF6765">
        <w:rPr>
          <w:i/>
          <w:sz w:val="20"/>
          <w:lang w:val="en-US"/>
        </w:rPr>
        <w:t>supra</w:t>
      </w:r>
      <w:r w:rsidR="004B3DE8" w:rsidRPr="00CF6765">
        <w:rPr>
          <w:sz w:val="20"/>
          <w:lang w:val="en-US"/>
        </w:rPr>
        <w:t xml:space="preserve"> para. 88), and this was not alleged by </w:t>
      </w:r>
      <w:r w:rsidR="00D2168F" w:rsidRPr="00CF6765">
        <w:rPr>
          <w:sz w:val="20"/>
          <w:lang w:val="en-US"/>
        </w:rPr>
        <w:t>the representatives</w:t>
      </w:r>
      <w:r w:rsidR="00FB4975" w:rsidRPr="00CF6765">
        <w:rPr>
          <w:sz w:val="20"/>
          <w:lang w:val="en-US"/>
        </w:rPr>
        <w:t xml:space="preserve"> (</w:t>
      </w:r>
      <w:r w:rsidR="00FB4975" w:rsidRPr="00CF6765">
        <w:rPr>
          <w:i/>
          <w:sz w:val="20"/>
          <w:lang w:val="en-US"/>
        </w:rPr>
        <w:t>supra</w:t>
      </w:r>
      <w:r w:rsidR="00FB4975" w:rsidRPr="00CF6765">
        <w:rPr>
          <w:sz w:val="20"/>
          <w:lang w:val="en-US"/>
        </w:rPr>
        <w:t xml:space="preserve"> </w:t>
      </w:r>
      <w:r w:rsidR="00EC50FC" w:rsidRPr="00CF6765">
        <w:rPr>
          <w:sz w:val="20"/>
          <w:lang w:val="en-US"/>
        </w:rPr>
        <w:t>para.</w:t>
      </w:r>
      <w:r w:rsidR="00FB4975" w:rsidRPr="00CF6765">
        <w:rPr>
          <w:sz w:val="20"/>
          <w:lang w:val="en-US"/>
        </w:rPr>
        <w:t xml:space="preserve"> </w:t>
      </w:r>
      <w:r w:rsidR="00610C08" w:rsidRPr="00CF6765">
        <w:rPr>
          <w:sz w:val="20"/>
          <w:lang w:val="en-US"/>
        </w:rPr>
        <w:t xml:space="preserve">87). </w:t>
      </w:r>
      <w:r w:rsidR="004B3DE8" w:rsidRPr="00CF6765">
        <w:rPr>
          <w:sz w:val="20"/>
          <w:lang w:val="en-US"/>
        </w:rPr>
        <w:t>The</w:t>
      </w:r>
      <w:r w:rsidR="005C731C" w:rsidRPr="00CF6765">
        <w:rPr>
          <w:sz w:val="20"/>
          <w:lang w:val="en-US"/>
        </w:rPr>
        <w:t xml:space="preserve"> Court</w:t>
      </w:r>
      <w:r w:rsidR="003E2F69" w:rsidRPr="00CF6765">
        <w:rPr>
          <w:sz w:val="20"/>
          <w:lang w:val="en-US"/>
        </w:rPr>
        <w:t xml:space="preserve"> </w:t>
      </w:r>
      <w:r w:rsidR="004B3DE8" w:rsidRPr="00CF6765">
        <w:rPr>
          <w:sz w:val="20"/>
          <w:lang w:val="en-US"/>
        </w:rPr>
        <w:t xml:space="preserve">must assess the alleged acts and omissions of the State in relation to the provision of immediate and basic measures </w:t>
      </w:r>
      <w:r w:rsidR="003E2F69" w:rsidRPr="00CF6765">
        <w:rPr>
          <w:sz w:val="20"/>
          <w:lang w:val="en-US"/>
        </w:rPr>
        <w:t>(</w:t>
      </w:r>
      <w:r w:rsidR="003E2F69" w:rsidRPr="00CF6765">
        <w:rPr>
          <w:i/>
          <w:sz w:val="20"/>
          <w:lang w:val="en-US"/>
        </w:rPr>
        <w:t>supra</w:t>
      </w:r>
      <w:r w:rsidR="003E2F69" w:rsidRPr="00CF6765">
        <w:rPr>
          <w:sz w:val="20"/>
          <w:lang w:val="en-US"/>
        </w:rPr>
        <w:t xml:space="preserve"> </w:t>
      </w:r>
      <w:r w:rsidR="00EC50FC" w:rsidRPr="00CF6765">
        <w:rPr>
          <w:sz w:val="20"/>
          <w:lang w:val="en-US"/>
        </w:rPr>
        <w:t>para.</w:t>
      </w:r>
      <w:r w:rsidR="003E2F69" w:rsidRPr="00CF6765">
        <w:rPr>
          <w:sz w:val="20"/>
          <w:lang w:val="en-US"/>
        </w:rPr>
        <w:t xml:space="preserve"> 104)</w:t>
      </w:r>
      <w:r w:rsidR="004B3DE8" w:rsidRPr="00CF6765">
        <w:rPr>
          <w:sz w:val="20"/>
          <w:lang w:val="en-US"/>
        </w:rPr>
        <w:t xml:space="preserve"> to protect the health</w:t>
      </w:r>
      <w:r w:rsidR="003E2F69" w:rsidRPr="00CF6765">
        <w:rPr>
          <w:sz w:val="20"/>
          <w:lang w:val="en-US"/>
        </w:rPr>
        <w:t xml:space="preserve"> </w:t>
      </w:r>
      <w:r w:rsidR="00D04694" w:rsidRPr="00CF6765">
        <w:rPr>
          <w:sz w:val="20"/>
          <w:lang w:val="en-US"/>
        </w:rPr>
        <w:t>of Mr.</w:t>
      </w:r>
      <w:r w:rsidR="00D2168F" w:rsidRPr="00CF6765">
        <w:rPr>
          <w:sz w:val="20"/>
          <w:lang w:val="en-US"/>
        </w:rPr>
        <w:t xml:space="preserve"> Poblete</w:t>
      </w:r>
      <w:r w:rsidR="003E2F69" w:rsidRPr="00CF6765">
        <w:rPr>
          <w:sz w:val="20"/>
          <w:lang w:val="en-US"/>
        </w:rPr>
        <w:t xml:space="preserve"> </w:t>
      </w:r>
      <w:proofErr w:type="spellStart"/>
      <w:r w:rsidR="003E2F69" w:rsidRPr="00CF6765">
        <w:rPr>
          <w:sz w:val="20"/>
          <w:lang w:val="en-US"/>
        </w:rPr>
        <w:t>Vilches</w:t>
      </w:r>
      <w:proofErr w:type="spellEnd"/>
      <w:r w:rsidR="00FB4975" w:rsidRPr="00CF6765">
        <w:rPr>
          <w:sz w:val="20"/>
          <w:lang w:val="en-US"/>
        </w:rPr>
        <w:t xml:space="preserve">, </w:t>
      </w:r>
      <w:r w:rsidR="004B3DE8" w:rsidRPr="00CF6765">
        <w:rPr>
          <w:sz w:val="20"/>
          <w:lang w:val="en-US"/>
        </w:rPr>
        <w:t xml:space="preserve">and it will therefore limit its </w:t>
      </w:r>
      <w:r w:rsidR="0090740B" w:rsidRPr="00CF6765">
        <w:rPr>
          <w:sz w:val="20"/>
          <w:lang w:val="en-US"/>
        </w:rPr>
        <w:t>analysis</w:t>
      </w:r>
      <w:r w:rsidR="004B3DE8" w:rsidRPr="00CF6765">
        <w:rPr>
          <w:sz w:val="20"/>
          <w:lang w:val="en-US"/>
        </w:rPr>
        <w:t xml:space="preserve"> to the scope of this obligation in the specific case and in light of the obligations recognized in </w:t>
      </w:r>
      <w:r w:rsidR="00EC50FC" w:rsidRPr="00CF6765">
        <w:rPr>
          <w:sz w:val="20"/>
          <w:lang w:val="en-US"/>
        </w:rPr>
        <w:t xml:space="preserve">Articles 1(1) and </w:t>
      </w:r>
      <w:r w:rsidR="003E2F69" w:rsidRPr="00CF6765">
        <w:rPr>
          <w:sz w:val="20"/>
          <w:lang w:val="en-US"/>
        </w:rPr>
        <w:t>2</w:t>
      </w:r>
      <w:r w:rsidR="005C731C" w:rsidRPr="00CF6765">
        <w:rPr>
          <w:sz w:val="20"/>
          <w:lang w:val="en-US"/>
        </w:rPr>
        <w:t xml:space="preserve"> of the Convention</w:t>
      </w:r>
      <w:r w:rsidR="00D0629F" w:rsidRPr="00CF6765">
        <w:rPr>
          <w:sz w:val="20"/>
          <w:lang w:val="en-US"/>
        </w:rPr>
        <w:t>.</w:t>
      </w:r>
    </w:p>
    <w:p w14:paraId="07895061" w14:textId="202E9F84" w:rsidR="005D383C" w:rsidRPr="00CF6765" w:rsidRDefault="005D383C" w:rsidP="007E5CD5">
      <w:pPr>
        <w:tabs>
          <w:tab w:val="left" w:pos="567"/>
        </w:tabs>
        <w:rPr>
          <w:b/>
          <w:sz w:val="20"/>
          <w:lang w:val="en-US"/>
        </w:rPr>
      </w:pPr>
    </w:p>
    <w:p w14:paraId="4C0FE208" w14:textId="02182066" w:rsidR="00E63E9D" w:rsidRPr="00CF6765" w:rsidRDefault="004B3DE8" w:rsidP="004B3DE8">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Regarding standards for </w:t>
      </w:r>
      <w:r w:rsidR="004C7CBA" w:rsidRPr="00CF6765">
        <w:rPr>
          <w:rFonts w:eastAsia="Calibri"/>
          <w:sz w:val="20"/>
          <w:szCs w:val="20"/>
          <w:lang w:val="en-US" w:eastAsia="en-US"/>
        </w:rPr>
        <w:t>health-related matters</w:t>
      </w:r>
      <w:r w:rsidR="0034078E" w:rsidRPr="00CF6765">
        <w:rPr>
          <w:rFonts w:eastAsia="Calibri"/>
          <w:sz w:val="20"/>
          <w:szCs w:val="20"/>
          <w:lang w:val="en-US" w:eastAsia="en-US"/>
        </w:rPr>
        <w:t xml:space="preserve">, </w:t>
      </w:r>
      <w:r w:rsidRPr="00CF6765">
        <w:rPr>
          <w:rFonts w:eastAsia="Calibri"/>
          <w:sz w:val="20"/>
          <w:szCs w:val="20"/>
          <w:lang w:val="en-US" w:eastAsia="en-US"/>
        </w:rPr>
        <w:t>first, the Court notes that, at the time of the facts, adequate regulations existed in relation to the right to health that guaranteed this right to everyone without distinction</w:t>
      </w:r>
      <w:r w:rsidR="00E63E9D" w:rsidRPr="00CF6765">
        <w:rPr>
          <w:rFonts w:eastAsia="Calibri"/>
          <w:sz w:val="20"/>
          <w:szCs w:val="20"/>
          <w:lang w:val="en-US" w:eastAsia="en-US"/>
        </w:rPr>
        <w:t xml:space="preserve"> (</w:t>
      </w:r>
      <w:r w:rsidR="00062586" w:rsidRPr="00CF6765">
        <w:rPr>
          <w:rFonts w:eastAsia="Calibri"/>
          <w:i/>
          <w:sz w:val="20"/>
          <w:szCs w:val="20"/>
          <w:lang w:val="en-US" w:eastAsia="en-US"/>
        </w:rPr>
        <w:t>supra</w:t>
      </w:r>
      <w:r w:rsidR="00E63E9D" w:rsidRPr="00CF6765">
        <w:rPr>
          <w:rFonts w:eastAsia="Calibri"/>
          <w:sz w:val="20"/>
          <w:szCs w:val="20"/>
          <w:lang w:val="en-US" w:eastAsia="en-US"/>
        </w:rPr>
        <w:t xml:space="preserve"> </w:t>
      </w:r>
      <w:r w:rsidR="00EC50FC" w:rsidRPr="00CF6765">
        <w:rPr>
          <w:rFonts w:eastAsia="Calibri"/>
          <w:sz w:val="20"/>
          <w:szCs w:val="20"/>
          <w:lang w:val="en-US" w:eastAsia="en-US"/>
        </w:rPr>
        <w:t>para.</w:t>
      </w:r>
      <w:r w:rsidR="00E63E9D" w:rsidRPr="00CF6765">
        <w:rPr>
          <w:rFonts w:eastAsia="Calibri"/>
          <w:sz w:val="20"/>
          <w:szCs w:val="20"/>
          <w:lang w:val="en-US" w:eastAsia="en-US"/>
        </w:rPr>
        <w:t xml:space="preserve"> </w:t>
      </w:r>
      <w:r w:rsidR="00EB7DFC" w:rsidRPr="00CF6765">
        <w:rPr>
          <w:rFonts w:eastAsia="Calibri"/>
          <w:sz w:val="20"/>
          <w:szCs w:val="20"/>
          <w:lang w:val="en-US" w:eastAsia="en-US"/>
        </w:rPr>
        <w:t>112</w:t>
      </w:r>
      <w:r w:rsidR="00E63E9D" w:rsidRPr="00CF6765">
        <w:rPr>
          <w:rFonts w:eastAsia="Calibri"/>
          <w:sz w:val="20"/>
          <w:szCs w:val="20"/>
          <w:lang w:val="en-US" w:eastAsia="en-US"/>
        </w:rPr>
        <w:t>)</w:t>
      </w:r>
      <w:r w:rsidR="00204724" w:rsidRPr="00CF6765">
        <w:rPr>
          <w:rFonts w:eastAsia="Calibri"/>
          <w:sz w:val="20"/>
          <w:szCs w:val="20"/>
          <w:lang w:val="en-US" w:eastAsia="en-US"/>
        </w:rPr>
        <w:t xml:space="preserve">, </w:t>
      </w:r>
      <w:r w:rsidRPr="00CF6765">
        <w:rPr>
          <w:rFonts w:eastAsia="Calibri"/>
          <w:sz w:val="20"/>
          <w:szCs w:val="20"/>
          <w:lang w:val="en-US" w:eastAsia="en-US"/>
        </w:rPr>
        <w:t xml:space="preserve">so that the obligation to regulate was in keeping with </w:t>
      </w:r>
      <w:r w:rsidR="005C731C" w:rsidRPr="00CF6765">
        <w:rPr>
          <w:rFonts w:eastAsia="Calibri"/>
          <w:sz w:val="20"/>
          <w:szCs w:val="20"/>
          <w:lang w:val="en-US" w:eastAsia="en-US"/>
        </w:rPr>
        <w:t>the Convention</w:t>
      </w:r>
      <w:r w:rsidR="00EB7DFC" w:rsidRPr="00CF6765">
        <w:rPr>
          <w:rFonts w:eastAsia="Calibri"/>
          <w:sz w:val="20"/>
          <w:szCs w:val="20"/>
          <w:lang w:val="en-US" w:eastAsia="en-US"/>
        </w:rPr>
        <w:t xml:space="preserve"> (</w:t>
      </w:r>
      <w:r w:rsidR="00EB7DFC" w:rsidRPr="00CF6765">
        <w:rPr>
          <w:rFonts w:eastAsia="Calibri"/>
          <w:i/>
          <w:sz w:val="20"/>
          <w:szCs w:val="20"/>
          <w:lang w:val="en-US" w:eastAsia="en-US"/>
        </w:rPr>
        <w:t>supra</w:t>
      </w:r>
      <w:r w:rsidR="00EB7DFC" w:rsidRPr="00CF6765">
        <w:rPr>
          <w:rFonts w:eastAsia="Calibri"/>
          <w:sz w:val="20"/>
          <w:szCs w:val="20"/>
          <w:lang w:val="en-US" w:eastAsia="en-US"/>
        </w:rPr>
        <w:t xml:space="preserve"> </w:t>
      </w:r>
      <w:r w:rsidR="00EC50FC" w:rsidRPr="00CF6765">
        <w:rPr>
          <w:rFonts w:eastAsia="Calibri"/>
          <w:sz w:val="20"/>
          <w:szCs w:val="20"/>
          <w:lang w:val="en-US" w:eastAsia="en-US"/>
        </w:rPr>
        <w:t>para.</w:t>
      </w:r>
      <w:r w:rsidRPr="00CF6765">
        <w:rPr>
          <w:rFonts w:eastAsia="Calibri"/>
          <w:sz w:val="20"/>
          <w:szCs w:val="20"/>
          <w:lang w:val="en-US" w:eastAsia="en-US"/>
        </w:rPr>
        <w:t xml:space="preserve"> </w:t>
      </w:r>
      <w:r w:rsidR="00457162" w:rsidRPr="00CF6765">
        <w:rPr>
          <w:rFonts w:eastAsia="Calibri"/>
          <w:sz w:val="20"/>
          <w:szCs w:val="20"/>
          <w:lang w:val="en-US" w:eastAsia="en-US"/>
        </w:rPr>
        <w:t>119</w:t>
      </w:r>
      <w:r w:rsidR="00EB7DFC" w:rsidRPr="00CF6765">
        <w:rPr>
          <w:rFonts w:eastAsia="Calibri"/>
          <w:sz w:val="20"/>
          <w:szCs w:val="20"/>
          <w:lang w:val="en-US" w:eastAsia="en-US"/>
        </w:rPr>
        <w:t>).</w:t>
      </w:r>
    </w:p>
    <w:p w14:paraId="185F397B" w14:textId="61B5119E" w:rsidR="00EF55E3" w:rsidRPr="00CF6765" w:rsidRDefault="00EF55E3" w:rsidP="005430FF">
      <w:pPr>
        <w:tabs>
          <w:tab w:val="left" w:pos="567"/>
        </w:tabs>
        <w:rPr>
          <w:rFonts w:eastAsia="Calibri"/>
          <w:sz w:val="20"/>
          <w:szCs w:val="20"/>
          <w:lang w:val="en-US" w:eastAsia="en-US"/>
        </w:rPr>
      </w:pPr>
    </w:p>
    <w:p w14:paraId="182CDEBB" w14:textId="52BBDED4" w:rsidR="00EF55E3" w:rsidRPr="00CF6765" w:rsidRDefault="004B3DE8" w:rsidP="006B5B69">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With regard to the acts and omissions that have been </w:t>
      </w:r>
      <w:r w:rsidR="00496573" w:rsidRPr="00CF6765">
        <w:rPr>
          <w:rFonts w:eastAsia="Calibri"/>
          <w:sz w:val="20"/>
          <w:szCs w:val="20"/>
          <w:lang w:val="en-US" w:eastAsia="en-US"/>
        </w:rPr>
        <w:t>proved</w:t>
      </w:r>
      <w:r w:rsidRPr="00CF6765">
        <w:rPr>
          <w:rFonts w:eastAsia="Calibri"/>
          <w:sz w:val="20"/>
          <w:szCs w:val="20"/>
          <w:lang w:val="en-US" w:eastAsia="en-US"/>
        </w:rPr>
        <w:t xml:space="preserve">, the evidence reveals that, during the </w:t>
      </w:r>
      <w:r w:rsidR="006B5B69" w:rsidRPr="00CF6765">
        <w:rPr>
          <w:rFonts w:eastAsia="Calibri"/>
          <w:i/>
          <w:sz w:val="20"/>
          <w:szCs w:val="20"/>
          <w:lang w:val="en-US" w:eastAsia="en-US"/>
        </w:rPr>
        <w:t>f</w:t>
      </w:r>
      <w:r w:rsidR="00B06735" w:rsidRPr="00CF6765">
        <w:rPr>
          <w:rFonts w:eastAsia="Calibri"/>
          <w:i/>
          <w:sz w:val="20"/>
          <w:szCs w:val="20"/>
          <w:lang w:val="en-US" w:eastAsia="en-US"/>
        </w:rPr>
        <w:t>irst admission</w:t>
      </w:r>
      <w:r w:rsidR="00EF55E3" w:rsidRPr="00CF6765">
        <w:rPr>
          <w:rFonts w:eastAsia="Calibri"/>
          <w:sz w:val="20"/>
          <w:szCs w:val="20"/>
          <w:lang w:val="en-US" w:eastAsia="en-US"/>
        </w:rPr>
        <w:t xml:space="preserve"> </w:t>
      </w:r>
      <w:r w:rsidR="00D04694" w:rsidRPr="00CF6765">
        <w:rPr>
          <w:rFonts w:eastAsia="Calibri"/>
          <w:sz w:val="20"/>
          <w:szCs w:val="20"/>
          <w:lang w:val="en-US" w:eastAsia="en-US"/>
        </w:rPr>
        <w:t>of Mr.</w:t>
      </w:r>
      <w:r w:rsidR="00D2168F" w:rsidRPr="00CF6765">
        <w:rPr>
          <w:rFonts w:eastAsia="Calibri"/>
          <w:sz w:val="20"/>
          <w:szCs w:val="20"/>
          <w:lang w:val="en-US" w:eastAsia="en-US"/>
        </w:rPr>
        <w:t xml:space="preserve"> Poblete</w:t>
      </w:r>
      <w:r w:rsidR="00EF55E3" w:rsidRPr="00CF6765">
        <w:rPr>
          <w:rFonts w:eastAsia="Calibri"/>
          <w:sz w:val="20"/>
          <w:szCs w:val="20"/>
          <w:lang w:val="en-US" w:eastAsia="en-US"/>
        </w:rPr>
        <w:t xml:space="preserve"> </w:t>
      </w:r>
      <w:proofErr w:type="spellStart"/>
      <w:r w:rsidR="00EF55E3" w:rsidRPr="00CF6765">
        <w:rPr>
          <w:rFonts w:eastAsia="Calibri"/>
          <w:sz w:val="20"/>
          <w:szCs w:val="20"/>
          <w:lang w:val="en-US" w:eastAsia="en-US"/>
        </w:rPr>
        <w:t>Vilches</w:t>
      </w:r>
      <w:proofErr w:type="spellEnd"/>
      <w:r w:rsidR="00EF55E3" w:rsidRPr="00CF6765">
        <w:rPr>
          <w:rFonts w:eastAsia="Calibri"/>
          <w:sz w:val="20"/>
          <w:szCs w:val="20"/>
          <w:lang w:val="en-US" w:eastAsia="en-US"/>
        </w:rPr>
        <w:t xml:space="preserve"> </w:t>
      </w:r>
      <w:r w:rsidR="006B5B69" w:rsidRPr="00CF6765">
        <w:rPr>
          <w:rFonts w:eastAsia="Calibri"/>
          <w:sz w:val="20"/>
          <w:szCs w:val="20"/>
          <w:lang w:val="en-US" w:eastAsia="en-US"/>
        </w:rPr>
        <w:t>to the</w:t>
      </w:r>
      <w:r w:rsidR="00EF55E3" w:rsidRPr="00CF6765">
        <w:rPr>
          <w:rFonts w:eastAsia="Calibri"/>
          <w:sz w:val="20"/>
          <w:szCs w:val="20"/>
          <w:lang w:val="en-US" w:eastAsia="en-US"/>
        </w:rPr>
        <w:t xml:space="preserve"> </w:t>
      </w:r>
      <w:proofErr w:type="spellStart"/>
      <w:r w:rsidR="006B5B69" w:rsidRPr="00CF6765">
        <w:rPr>
          <w:rFonts w:eastAsia="Calibri"/>
          <w:sz w:val="20"/>
          <w:szCs w:val="20"/>
          <w:lang w:val="en-US" w:eastAsia="en-US"/>
        </w:rPr>
        <w:t>S</w:t>
      </w:r>
      <w:r w:rsidR="006A73DF" w:rsidRPr="00CF6765">
        <w:rPr>
          <w:rFonts w:eastAsia="Calibri"/>
          <w:sz w:val="20"/>
          <w:szCs w:val="20"/>
          <w:lang w:val="en-US" w:eastAsia="en-US"/>
        </w:rPr>
        <w:t>ó</w:t>
      </w:r>
      <w:r w:rsidR="006B5B69" w:rsidRPr="00CF6765">
        <w:rPr>
          <w:rFonts w:eastAsia="Calibri"/>
          <w:sz w:val="20"/>
          <w:szCs w:val="20"/>
          <w:lang w:val="en-US" w:eastAsia="en-US"/>
        </w:rPr>
        <w:t>t</w:t>
      </w:r>
      <w:r w:rsidR="006A73DF" w:rsidRPr="00CF6765">
        <w:rPr>
          <w:rFonts w:eastAsia="Calibri"/>
          <w:sz w:val="20"/>
          <w:szCs w:val="20"/>
          <w:lang w:val="en-US" w:eastAsia="en-US"/>
        </w:rPr>
        <w:t>e</w:t>
      </w:r>
      <w:r w:rsidR="006B5B69" w:rsidRPr="00CF6765">
        <w:rPr>
          <w:rFonts w:eastAsia="Calibri"/>
          <w:sz w:val="20"/>
          <w:szCs w:val="20"/>
          <w:lang w:val="en-US" w:eastAsia="en-US"/>
        </w:rPr>
        <w:t>ro</w:t>
      </w:r>
      <w:proofErr w:type="spellEnd"/>
      <w:r w:rsidR="006B5B69" w:rsidRPr="00CF6765">
        <w:rPr>
          <w:rFonts w:eastAsia="Calibri"/>
          <w:sz w:val="20"/>
          <w:szCs w:val="20"/>
          <w:lang w:val="en-US" w:eastAsia="en-US"/>
        </w:rPr>
        <w:t xml:space="preserve"> del Río Hospital</w:t>
      </w:r>
      <w:r w:rsidR="00EF55E3" w:rsidRPr="00CF6765">
        <w:rPr>
          <w:rFonts w:eastAsia="Calibri"/>
          <w:sz w:val="20"/>
          <w:szCs w:val="20"/>
          <w:lang w:val="en-US" w:eastAsia="en-US"/>
        </w:rPr>
        <w:t xml:space="preserve">, </w:t>
      </w:r>
      <w:r w:rsidR="006B5B69" w:rsidRPr="00CF6765">
        <w:rPr>
          <w:rFonts w:eastAsia="Calibri"/>
          <w:sz w:val="20"/>
          <w:szCs w:val="20"/>
          <w:lang w:val="en-US" w:eastAsia="en-US"/>
        </w:rPr>
        <w:t>there are indications that the decision to give him an early discharge,</w:t>
      </w:r>
      <w:r w:rsidR="00EF55E3" w:rsidRPr="00CF6765">
        <w:rPr>
          <w:rFonts w:eastAsia="Calibri"/>
          <w:sz w:val="20"/>
          <w:szCs w:val="20"/>
          <w:vertAlign w:val="superscript"/>
          <w:lang w:val="en-US" w:eastAsia="en-US"/>
        </w:rPr>
        <w:footnoteReference w:id="225"/>
      </w:r>
      <w:r w:rsidR="006B5B69" w:rsidRPr="00CF6765">
        <w:rPr>
          <w:rFonts w:eastAsia="Calibri"/>
          <w:sz w:val="20"/>
          <w:szCs w:val="20"/>
          <w:lang w:val="en-US" w:eastAsia="en-US"/>
        </w:rPr>
        <w:t xml:space="preserve"> was not</w:t>
      </w:r>
      <w:r w:rsidR="00496573" w:rsidRPr="00CF6765">
        <w:rPr>
          <w:rFonts w:eastAsia="Calibri"/>
          <w:sz w:val="20"/>
          <w:szCs w:val="20"/>
          <w:lang w:val="en-US" w:eastAsia="en-US"/>
        </w:rPr>
        <w:t xml:space="preserve"> appropriate,</w:t>
      </w:r>
      <w:r w:rsidR="006B5B69" w:rsidRPr="00CF6765">
        <w:rPr>
          <w:rFonts w:eastAsia="Calibri"/>
          <w:sz w:val="20"/>
          <w:szCs w:val="20"/>
          <w:lang w:val="en-US" w:eastAsia="en-US"/>
        </w:rPr>
        <w:t xml:space="preserve"> and the State of Chile has </w:t>
      </w:r>
      <w:r w:rsidR="0088423A" w:rsidRPr="00CF6765">
        <w:rPr>
          <w:rFonts w:eastAsia="Calibri"/>
          <w:sz w:val="20"/>
          <w:szCs w:val="20"/>
          <w:lang w:val="en-US" w:eastAsia="en-US"/>
        </w:rPr>
        <w:t>recognized its</w:t>
      </w:r>
      <w:r w:rsidR="00EF55E3" w:rsidRPr="00CF6765">
        <w:rPr>
          <w:rFonts w:eastAsia="Calibri"/>
          <w:sz w:val="20"/>
          <w:szCs w:val="20"/>
          <w:lang w:val="en-US" w:eastAsia="en-US"/>
        </w:rPr>
        <w:t xml:space="preserve"> </w:t>
      </w:r>
      <w:r w:rsidR="0088423A" w:rsidRPr="00CF6765">
        <w:rPr>
          <w:rFonts w:eastAsia="Calibri"/>
          <w:sz w:val="20"/>
          <w:szCs w:val="20"/>
          <w:lang w:val="en-US" w:eastAsia="en-US"/>
        </w:rPr>
        <w:t>international responsibility</w:t>
      </w:r>
      <w:r w:rsidR="006B5B69" w:rsidRPr="00CF6765">
        <w:rPr>
          <w:rFonts w:eastAsia="Calibri"/>
          <w:sz w:val="20"/>
          <w:szCs w:val="20"/>
          <w:lang w:val="en-US" w:eastAsia="en-US"/>
        </w:rPr>
        <w:t xml:space="preserve"> for this</w:t>
      </w:r>
      <w:r w:rsidR="00496573" w:rsidRPr="00CF6765">
        <w:rPr>
          <w:rFonts w:eastAsia="Calibri"/>
          <w:sz w:val="20"/>
          <w:szCs w:val="20"/>
          <w:lang w:val="en-US" w:eastAsia="en-US"/>
        </w:rPr>
        <w:t xml:space="preserve"> fact</w:t>
      </w:r>
      <w:r w:rsidR="00EF55E3" w:rsidRPr="00CF6765">
        <w:rPr>
          <w:rFonts w:eastAsia="Calibri"/>
          <w:sz w:val="20"/>
          <w:szCs w:val="20"/>
          <w:lang w:val="en-US" w:eastAsia="en-US"/>
        </w:rPr>
        <w:t xml:space="preserve"> (</w:t>
      </w:r>
      <w:r w:rsidR="00062586" w:rsidRPr="00CF6765">
        <w:rPr>
          <w:rFonts w:eastAsia="Calibri"/>
          <w:i/>
          <w:sz w:val="20"/>
          <w:szCs w:val="20"/>
          <w:lang w:val="en-US" w:eastAsia="en-US"/>
        </w:rPr>
        <w:t>supra</w:t>
      </w:r>
      <w:r w:rsidR="00062586" w:rsidRPr="00CF6765">
        <w:rPr>
          <w:rFonts w:eastAsia="Calibri"/>
          <w:sz w:val="20"/>
          <w:szCs w:val="20"/>
          <w:lang w:val="en-US" w:eastAsia="en-US"/>
        </w:rPr>
        <w:t xml:space="preserve"> </w:t>
      </w:r>
      <w:r w:rsidR="00EC50FC" w:rsidRPr="00CF6765">
        <w:rPr>
          <w:rFonts w:eastAsia="Calibri"/>
          <w:sz w:val="20"/>
          <w:szCs w:val="20"/>
          <w:lang w:val="en-US" w:eastAsia="en-US"/>
        </w:rPr>
        <w:t>para.</w:t>
      </w:r>
      <w:r w:rsidR="00EF55E3" w:rsidRPr="00CF6765">
        <w:rPr>
          <w:rFonts w:eastAsia="Calibri"/>
          <w:sz w:val="20"/>
          <w:szCs w:val="20"/>
          <w:lang w:val="en-US" w:eastAsia="en-US"/>
        </w:rPr>
        <w:t xml:space="preserve"> </w:t>
      </w:r>
      <w:r w:rsidR="00E60DB4" w:rsidRPr="00CF6765">
        <w:rPr>
          <w:rFonts w:eastAsia="Calibri"/>
          <w:sz w:val="20"/>
          <w:szCs w:val="20"/>
          <w:lang w:val="en-US" w:eastAsia="en-US"/>
        </w:rPr>
        <w:t xml:space="preserve">17). </w:t>
      </w:r>
      <w:r w:rsidR="006B5B69" w:rsidRPr="00CF6765">
        <w:rPr>
          <w:rFonts w:eastAsia="Calibri"/>
          <w:sz w:val="20"/>
          <w:szCs w:val="20"/>
          <w:lang w:val="en-US" w:eastAsia="en-US"/>
        </w:rPr>
        <w:t xml:space="preserve">The foregoing constituted a medical action that was </w:t>
      </w:r>
      <w:r w:rsidR="0090740B" w:rsidRPr="00CF6765">
        <w:rPr>
          <w:rFonts w:eastAsia="Calibri"/>
          <w:sz w:val="20"/>
          <w:szCs w:val="20"/>
          <w:lang w:val="en-US" w:eastAsia="en-US"/>
        </w:rPr>
        <w:t>irresponsible</w:t>
      </w:r>
      <w:r w:rsidR="006B5B69" w:rsidRPr="00CF6765">
        <w:rPr>
          <w:rFonts w:eastAsia="Calibri"/>
          <w:sz w:val="20"/>
          <w:szCs w:val="20"/>
          <w:lang w:val="en-US" w:eastAsia="en-US"/>
        </w:rPr>
        <w:t xml:space="preserve"> at the very least, because the evidence shows that Mr. Poblete </w:t>
      </w:r>
      <w:proofErr w:type="spellStart"/>
      <w:r w:rsidR="006B5B69" w:rsidRPr="00CF6765">
        <w:rPr>
          <w:rFonts w:eastAsia="Calibri"/>
          <w:sz w:val="20"/>
          <w:szCs w:val="20"/>
          <w:lang w:val="en-US" w:eastAsia="en-US"/>
        </w:rPr>
        <w:t>Vilches</w:t>
      </w:r>
      <w:proofErr w:type="spellEnd"/>
      <w:r w:rsidR="006B5B69" w:rsidRPr="00CF6765">
        <w:rPr>
          <w:rFonts w:eastAsia="Calibri"/>
          <w:sz w:val="20"/>
          <w:szCs w:val="20"/>
          <w:lang w:val="en-US" w:eastAsia="en-US"/>
        </w:rPr>
        <w:t xml:space="preserve"> was not in an </w:t>
      </w:r>
      <w:r w:rsidR="00496573" w:rsidRPr="00CF6765">
        <w:rPr>
          <w:rFonts w:eastAsia="Calibri"/>
          <w:sz w:val="20"/>
          <w:szCs w:val="20"/>
          <w:lang w:val="en-US" w:eastAsia="en-US"/>
        </w:rPr>
        <w:t>acceptable</w:t>
      </w:r>
      <w:r w:rsidR="006B5B69" w:rsidRPr="00CF6765">
        <w:rPr>
          <w:rFonts w:eastAsia="Calibri"/>
          <w:sz w:val="20"/>
          <w:szCs w:val="20"/>
          <w:lang w:val="en-US" w:eastAsia="en-US"/>
        </w:rPr>
        <w:t xml:space="preserve"> medical condition to be given an early discharge, especially considering the possibility that he had contracted an in-hospital infection.</w:t>
      </w:r>
      <w:r w:rsidR="006B5B69" w:rsidRPr="00CF6765">
        <w:rPr>
          <w:rFonts w:eastAsia="Calibri"/>
          <w:sz w:val="20"/>
          <w:szCs w:val="20"/>
          <w:vertAlign w:val="superscript"/>
          <w:lang w:val="en-US" w:eastAsia="en-US"/>
        </w:rPr>
        <w:footnoteReference w:id="226"/>
      </w:r>
      <w:r w:rsidR="006B5B69" w:rsidRPr="00CF6765">
        <w:rPr>
          <w:rFonts w:eastAsia="Calibri"/>
          <w:sz w:val="20"/>
          <w:szCs w:val="20"/>
          <w:lang w:val="en-US" w:eastAsia="en-US"/>
        </w:rPr>
        <w:t xml:space="preserve"> Thus, the patient was discharged with fever and with pus seeping from his wounds. Moreover, the family were not given any indication of how to care for the patient at home, or told what could be </w:t>
      </w:r>
      <w:r w:rsidR="00CF40BA" w:rsidRPr="00CF6765">
        <w:rPr>
          <w:rFonts w:eastAsia="Calibri"/>
          <w:sz w:val="20"/>
          <w:szCs w:val="20"/>
          <w:lang w:val="en-US" w:eastAsia="en-US"/>
        </w:rPr>
        <w:t>warning</w:t>
      </w:r>
      <w:r w:rsidR="006B5B69" w:rsidRPr="00CF6765">
        <w:rPr>
          <w:rFonts w:eastAsia="Calibri"/>
          <w:sz w:val="20"/>
          <w:szCs w:val="20"/>
          <w:lang w:val="en-US" w:eastAsia="en-US"/>
        </w:rPr>
        <w:t xml:space="preserve"> signs. Therefore, it is evident for this Court that the authorities were aware of his critical condition</w:t>
      </w:r>
      <w:r w:rsidR="00496573" w:rsidRPr="00CF6765">
        <w:rPr>
          <w:rFonts w:eastAsia="Calibri"/>
          <w:sz w:val="20"/>
          <w:szCs w:val="20"/>
          <w:lang w:val="en-US" w:eastAsia="en-US"/>
        </w:rPr>
        <w:t>.</w:t>
      </w:r>
      <w:r w:rsidR="006B5B69" w:rsidRPr="00CF6765">
        <w:rPr>
          <w:rFonts w:eastAsia="Calibri"/>
          <w:sz w:val="20"/>
          <w:szCs w:val="20"/>
          <w:lang w:val="en-US" w:eastAsia="en-US"/>
        </w:rPr>
        <w:t xml:space="preserve"> </w:t>
      </w:r>
      <w:r w:rsidR="00496573" w:rsidRPr="00CF6765">
        <w:rPr>
          <w:rFonts w:eastAsia="Calibri"/>
          <w:sz w:val="20"/>
          <w:szCs w:val="20"/>
          <w:lang w:val="en-US" w:eastAsia="en-US"/>
        </w:rPr>
        <w:t>T</w:t>
      </w:r>
      <w:r w:rsidR="006B5B69" w:rsidRPr="00CF6765">
        <w:rPr>
          <w:rFonts w:eastAsia="Calibri"/>
          <w:sz w:val="20"/>
          <w:szCs w:val="20"/>
          <w:lang w:val="en-US" w:eastAsia="en-US"/>
        </w:rPr>
        <w:t xml:space="preserve">hus, the early discharge had a significant impact, at least, on the rapid deterioration that he suffered immediately after this early discharge from </w:t>
      </w:r>
      <w:r w:rsidR="00E15A35" w:rsidRPr="00CF6765">
        <w:rPr>
          <w:rFonts w:eastAsia="Calibri"/>
          <w:sz w:val="20"/>
          <w:szCs w:val="20"/>
          <w:lang w:val="en-US" w:eastAsia="en-US"/>
        </w:rPr>
        <w:t xml:space="preserve">the </w:t>
      </w:r>
      <w:proofErr w:type="spellStart"/>
      <w:r w:rsidR="00E15A35" w:rsidRPr="00CF6765">
        <w:rPr>
          <w:rFonts w:eastAsia="Calibri"/>
          <w:sz w:val="20"/>
          <w:szCs w:val="20"/>
          <w:lang w:val="en-US" w:eastAsia="en-US"/>
        </w:rPr>
        <w:t>Sótero</w:t>
      </w:r>
      <w:proofErr w:type="spellEnd"/>
      <w:r w:rsidR="00E15A35" w:rsidRPr="00CF6765">
        <w:rPr>
          <w:rFonts w:eastAsia="Calibri"/>
          <w:sz w:val="20"/>
          <w:szCs w:val="20"/>
          <w:lang w:val="en-US" w:eastAsia="en-US"/>
        </w:rPr>
        <w:t xml:space="preserve"> del Río Hospital</w:t>
      </w:r>
      <w:r w:rsidR="00031DB1" w:rsidRPr="00CF6765">
        <w:rPr>
          <w:rFonts w:eastAsia="Calibri"/>
          <w:sz w:val="20"/>
          <w:szCs w:val="20"/>
          <w:lang w:val="en-US" w:eastAsia="en-US"/>
        </w:rPr>
        <w:t xml:space="preserve">, </w:t>
      </w:r>
      <w:r w:rsidR="006B5B69" w:rsidRPr="00CF6765">
        <w:rPr>
          <w:rFonts w:eastAsia="Calibri"/>
          <w:sz w:val="20"/>
          <w:szCs w:val="20"/>
          <w:lang w:val="en-US" w:eastAsia="en-US"/>
        </w:rPr>
        <w:t>which represented medical negligence.</w:t>
      </w:r>
      <w:r w:rsidR="00031DB1" w:rsidRPr="00CF6765">
        <w:rPr>
          <w:rStyle w:val="Refdenotaalpie"/>
          <w:rFonts w:eastAsia="Calibri"/>
          <w:sz w:val="20"/>
          <w:szCs w:val="20"/>
          <w:lang w:val="en-US" w:eastAsia="en-US"/>
        </w:rPr>
        <w:footnoteReference w:id="227"/>
      </w:r>
    </w:p>
    <w:p w14:paraId="0C696482" w14:textId="77777777" w:rsidR="00EF55E3" w:rsidRPr="00CF6765" w:rsidRDefault="00EF55E3" w:rsidP="00EF55E3">
      <w:pPr>
        <w:ind w:left="720"/>
        <w:contextualSpacing/>
        <w:rPr>
          <w:rFonts w:eastAsia="Calibri"/>
          <w:sz w:val="20"/>
          <w:szCs w:val="20"/>
          <w:lang w:val="en-US" w:eastAsia="en-US"/>
        </w:rPr>
      </w:pPr>
    </w:p>
    <w:p w14:paraId="42418806" w14:textId="3E77411B" w:rsidR="00EF55E3" w:rsidRPr="00CF6765" w:rsidRDefault="006B5B69" w:rsidP="00EF55E3">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lastRenderedPageBreak/>
        <w:t>Regarding the</w:t>
      </w:r>
      <w:r w:rsidR="00EF55E3" w:rsidRPr="00CF6765">
        <w:rPr>
          <w:rFonts w:eastAsia="Calibri"/>
          <w:sz w:val="20"/>
          <w:szCs w:val="20"/>
          <w:lang w:val="en-US" w:eastAsia="en-US"/>
        </w:rPr>
        <w:t xml:space="preserve"> </w:t>
      </w:r>
      <w:r w:rsidR="00B969DD" w:rsidRPr="00CF6765">
        <w:rPr>
          <w:rFonts w:eastAsia="Calibri"/>
          <w:i/>
          <w:sz w:val="20"/>
          <w:szCs w:val="20"/>
          <w:lang w:val="en-US" w:eastAsia="en-US"/>
        </w:rPr>
        <w:t>second admission</w:t>
      </w:r>
      <w:r w:rsidR="00EF55E3" w:rsidRPr="00CF6765">
        <w:rPr>
          <w:rFonts w:eastAsia="Calibri"/>
          <w:sz w:val="20"/>
          <w:szCs w:val="20"/>
          <w:lang w:val="en-US" w:eastAsia="en-US"/>
        </w:rPr>
        <w:t xml:space="preserve"> </w:t>
      </w:r>
      <w:r w:rsidR="00D04694" w:rsidRPr="00CF6765">
        <w:rPr>
          <w:rFonts w:eastAsia="Calibri"/>
          <w:sz w:val="20"/>
          <w:szCs w:val="20"/>
          <w:lang w:val="en-US" w:eastAsia="en-US"/>
        </w:rPr>
        <w:t>of Mr.</w:t>
      </w:r>
      <w:r w:rsidR="00D2168F" w:rsidRPr="00CF6765">
        <w:rPr>
          <w:rFonts w:eastAsia="Calibri"/>
          <w:sz w:val="20"/>
          <w:szCs w:val="20"/>
          <w:lang w:val="en-US" w:eastAsia="en-US"/>
        </w:rPr>
        <w:t xml:space="preserve"> Poblete</w:t>
      </w:r>
      <w:r w:rsidR="00EF55E3" w:rsidRPr="00CF6765">
        <w:rPr>
          <w:rFonts w:eastAsia="Calibri"/>
          <w:sz w:val="20"/>
          <w:szCs w:val="20"/>
          <w:lang w:val="en-US" w:eastAsia="en-US"/>
        </w:rPr>
        <w:t xml:space="preserve"> </w:t>
      </w:r>
      <w:proofErr w:type="spellStart"/>
      <w:r w:rsidR="00EF55E3" w:rsidRPr="00CF6765">
        <w:rPr>
          <w:rFonts w:eastAsia="Calibri"/>
          <w:sz w:val="20"/>
          <w:szCs w:val="20"/>
          <w:lang w:val="en-US" w:eastAsia="en-US"/>
        </w:rPr>
        <w:t>Vilches</w:t>
      </w:r>
      <w:proofErr w:type="spellEnd"/>
      <w:r w:rsidR="00EF55E3" w:rsidRPr="00CF6765">
        <w:rPr>
          <w:rFonts w:eastAsia="Calibri"/>
          <w:sz w:val="20"/>
          <w:szCs w:val="20"/>
          <w:lang w:val="en-US" w:eastAsia="en-US"/>
        </w:rPr>
        <w:t xml:space="preserve"> </w:t>
      </w:r>
      <w:r w:rsidR="00B06735" w:rsidRPr="00CF6765">
        <w:rPr>
          <w:rFonts w:eastAsia="Calibri"/>
          <w:sz w:val="20"/>
          <w:szCs w:val="20"/>
          <w:lang w:val="en-US" w:eastAsia="en-US"/>
        </w:rPr>
        <w:t xml:space="preserve">to the </w:t>
      </w:r>
      <w:proofErr w:type="spellStart"/>
      <w:r w:rsidR="00B06735" w:rsidRPr="00CF6765">
        <w:rPr>
          <w:rFonts w:eastAsia="Calibri"/>
          <w:sz w:val="20"/>
          <w:szCs w:val="20"/>
          <w:lang w:val="en-US" w:eastAsia="en-US"/>
        </w:rPr>
        <w:t>Sótero</w:t>
      </w:r>
      <w:proofErr w:type="spellEnd"/>
      <w:r w:rsidR="00B06735" w:rsidRPr="00CF6765">
        <w:rPr>
          <w:rFonts w:eastAsia="Calibri"/>
          <w:sz w:val="20"/>
          <w:szCs w:val="20"/>
          <w:lang w:val="en-US" w:eastAsia="en-US"/>
        </w:rPr>
        <w:t xml:space="preserve"> del Río Hospital</w:t>
      </w:r>
      <w:r w:rsidR="00EF55E3" w:rsidRPr="00CF6765">
        <w:rPr>
          <w:rFonts w:eastAsia="Calibri"/>
          <w:sz w:val="20"/>
          <w:szCs w:val="20"/>
          <w:lang w:val="en-US" w:eastAsia="en-US"/>
        </w:rPr>
        <w:t xml:space="preserve">, </w:t>
      </w:r>
      <w:r w:rsidRPr="00CF6765">
        <w:rPr>
          <w:rFonts w:eastAsia="Calibri"/>
          <w:sz w:val="20"/>
          <w:szCs w:val="20"/>
          <w:lang w:val="en-US" w:eastAsia="en-US"/>
        </w:rPr>
        <w:t xml:space="preserve">during the hearing, </w:t>
      </w:r>
      <w:r w:rsidR="00002163" w:rsidRPr="00CF6765">
        <w:rPr>
          <w:rFonts w:eastAsia="Calibri"/>
          <w:sz w:val="20"/>
          <w:szCs w:val="20"/>
          <w:lang w:val="en-US" w:eastAsia="en-US"/>
        </w:rPr>
        <w:t>expert witness</w:t>
      </w:r>
      <w:r w:rsidR="00EF55E3" w:rsidRPr="00CF6765">
        <w:rPr>
          <w:rFonts w:eastAsia="Calibri"/>
          <w:sz w:val="20"/>
          <w:szCs w:val="20"/>
          <w:lang w:val="en-US" w:eastAsia="en-US"/>
        </w:rPr>
        <w:t xml:space="preserve"> Santos </w:t>
      </w:r>
      <w:r w:rsidRPr="00CF6765">
        <w:rPr>
          <w:rFonts w:eastAsia="Calibri"/>
          <w:sz w:val="20"/>
          <w:szCs w:val="20"/>
          <w:lang w:val="en-US" w:eastAsia="en-US"/>
        </w:rPr>
        <w:t xml:space="preserve">described the patient’s condition, underlining that it was very serious, </w:t>
      </w:r>
      <w:r w:rsidR="00496573" w:rsidRPr="00CF6765">
        <w:rPr>
          <w:rFonts w:eastAsia="Calibri"/>
          <w:sz w:val="20"/>
          <w:szCs w:val="20"/>
          <w:lang w:val="en-US" w:eastAsia="en-US"/>
        </w:rPr>
        <w:t>and that it called for rapid action</w:t>
      </w:r>
      <w:r w:rsidRPr="00CF6765">
        <w:rPr>
          <w:rFonts w:eastAsia="Calibri"/>
          <w:sz w:val="20"/>
          <w:szCs w:val="20"/>
          <w:lang w:val="en-US" w:eastAsia="en-US"/>
        </w:rPr>
        <w:t xml:space="preserve"> because the older person is a very vulnerable patient. It should also be emphasized that</w:t>
      </w:r>
      <w:r w:rsidR="000F30E7" w:rsidRPr="00CF6765">
        <w:rPr>
          <w:rFonts w:eastAsia="Calibri"/>
          <w:sz w:val="20"/>
          <w:szCs w:val="20"/>
          <w:lang w:val="en-US" w:eastAsia="en-US"/>
        </w:rPr>
        <w:t>, according to</w:t>
      </w:r>
      <w:r w:rsidR="00496573" w:rsidRPr="00CF6765">
        <w:rPr>
          <w:rFonts w:eastAsia="Calibri"/>
          <w:sz w:val="20"/>
          <w:szCs w:val="20"/>
          <w:lang w:val="en-US" w:eastAsia="en-US"/>
        </w:rPr>
        <w:t xml:space="preserve"> </w:t>
      </w:r>
      <w:r w:rsidRPr="00CF6765">
        <w:rPr>
          <w:rFonts w:eastAsia="Calibri"/>
          <w:sz w:val="20"/>
          <w:szCs w:val="20"/>
          <w:lang w:val="en-US" w:eastAsia="en-US"/>
        </w:rPr>
        <w:t>th</w:t>
      </w:r>
      <w:r w:rsidR="000F30E7" w:rsidRPr="00CF6765">
        <w:rPr>
          <w:rFonts w:eastAsia="Calibri"/>
          <w:sz w:val="20"/>
          <w:szCs w:val="20"/>
          <w:lang w:val="en-US" w:eastAsia="en-US"/>
        </w:rPr>
        <w:t>is</w:t>
      </w:r>
      <w:r w:rsidRPr="00CF6765">
        <w:rPr>
          <w:rFonts w:eastAsia="Calibri"/>
          <w:sz w:val="20"/>
          <w:szCs w:val="20"/>
          <w:lang w:val="en-US" w:eastAsia="en-US"/>
        </w:rPr>
        <w:t xml:space="preserve"> </w:t>
      </w:r>
      <w:r w:rsidR="00002163" w:rsidRPr="00CF6765">
        <w:rPr>
          <w:rFonts w:eastAsia="Calibri"/>
          <w:sz w:val="20"/>
          <w:szCs w:val="20"/>
          <w:lang w:val="en-US" w:eastAsia="en-US"/>
        </w:rPr>
        <w:t>expert witness</w:t>
      </w:r>
      <w:r w:rsidR="000F30E7" w:rsidRPr="00CF6765">
        <w:rPr>
          <w:rFonts w:eastAsia="Calibri"/>
          <w:sz w:val="20"/>
          <w:szCs w:val="20"/>
          <w:lang w:val="en-US" w:eastAsia="en-US"/>
        </w:rPr>
        <w:t xml:space="preserve">, </w:t>
      </w:r>
      <w:r w:rsidRPr="00CF6765">
        <w:rPr>
          <w:rFonts w:eastAsia="Calibri"/>
          <w:sz w:val="20"/>
          <w:szCs w:val="20"/>
          <w:lang w:val="en-US" w:eastAsia="en-US"/>
        </w:rPr>
        <w:t>the antibiotic treatment was not appropriate.</w:t>
      </w:r>
      <w:r w:rsidR="00EF55E3" w:rsidRPr="00CF6765">
        <w:rPr>
          <w:rFonts w:eastAsia="Calibri"/>
          <w:sz w:val="20"/>
          <w:szCs w:val="20"/>
          <w:vertAlign w:val="superscript"/>
          <w:lang w:val="en-US" w:eastAsia="en-US"/>
        </w:rPr>
        <w:footnoteReference w:id="228"/>
      </w:r>
      <w:r w:rsidR="00EF55E3" w:rsidRPr="00CF6765">
        <w:rPr>
          <w:rFonts w:eastAsia="Calibri"/>
          <w:sz w:val="20"/>
          <w:szCs w:val="20"/>
          <w:lang w:val="en-US" w:eastAsia="en-US"/>
        </w:rPr>
        <w:t xml:space="preserve"> </w:t>
      </w:r>
      <w:r w:rsidRPr="00CF6765">
        <w:rPr>
          <w:rFonts w:eastAsia="Calibri"/>
          <w:sz w:val="20"/>
          <w:szCs w:val="20"/>
          <w:lang w:val="en-US" w:eastAsia="en-US"/>
        </w:rPr>
        <w:t>In addition</w:t>
      </w:r>
      <w:r w:rsidR="00EF55E3" w:rsidRPr="00CF6765">
        <w:rPr>
          <w:rFonts w:eastAsia="Calibri"/>
          <w:sz w:val="20"/>
          <w:szCs w:val="20"/>
          <w:lang w:val="en-US" w:eastAsia="en-US"/>
        </w:rPr>
        <w:t>,</w:t>
      </w:r>
      <w:r w:rsidRPr="00CF6765">
        <w:rPr>
          <w:rFonts w:eastAsia="Calibri"/>
          <w:sz w:val="20"/>
          <w:szCs w:val="20"/>
          <w:lang w:val="en-US" w:eastAsia="en-US"/>
        </w:rPr>
        <w:t xml:space="preserve"> </w:t>
      </w:r>
      <w:r w:rsidR="000F30E7" w:rsidRPr="00CF6765">
        <w:rPr>
          <w:rFonts w:eastAsia="Calibri"/>
          <w:sz w:val="20"/>
          <w:szCs w:val="20"/>
          <w:lang w:val="en-US" w:eastAsia="en-US"/>
        </w:rPr>
        <w:t>he</w:t>
      </w:r>
      <w:r w:rsidR="00EF55E3" w:rsidRPr="00CF6765">
        <w:rPr>
          <w:rFonts w:eastAsia="Calibri"/>
          <w:sz w:val="20"/>
          <w:szCs w:val="20"/>
          <w:lang w:val="en-US" w:eastAsia="en-US"/>
        </w:rPr>
        <w:t xml:space="preserve"> </w:t>
      </w:r>
      <w:r w:rsidRPr="00CF6765">
        <w:rPr>
          <w:rFonts w:eastAsia="Calibri"/>
          <w:sz w:val="20"/>
          <w:szCs w:val="20"/>
          <w:lang w:val="en-US" w:eastAsia="en-US"/>
        </w:rPr>
        <w:t xml:space="preserve">stressed that </w:t>
      </w:r>
      <w:r w:rsidR="002D729E" w:rsidRPr="00CF6765">
        <w:rPr>
          <w:rFonts w:eastAsia="Calibri"/>
          <w:sz w:val="20"/>
          <w:szCs w:val="20"/>
          <w:lang w:val="en-US" w:eastAsia="en-US"/>
        </w:rPr>
        <w:t>the Intensive Care Unit</w:t>
      </w:r>
      <w:r w:rsidR="00EF55E3" w:rsidRPr="00CF6765">
        <w:rPr>
          <w:rFonts w:eastAsia="Calibri"/>
          <w:sz w:val="20"/>
          <w:szCs w:val="20"/>
          <w:lang w:val="en-US" w:eastAsia="en-US"/>
        </w:rPr>
        <w:t xml:space="preserve"> </w:t>
      </w:r>
      <w:r w:rsidRPr="00CF6765">
        <w:rPr>
          <w:rFonts w:eastAsia="Calibri"/>
          <w:sz w:val="20"/>
          <w:szCs w:val="20"/>
          <w:lang w:val="en-US" w:eastAsia="en-US"/>
        </w:rPr>
        <w:t>would have been crucial,</w:t>
      </w:r>
      <w:r w:rsidR="001E145A" w:rsidRPr="00CF6765">
        <w:rPr>
          <w:rStyle w:val="Refdenotaalpie"/>
          <w:rFonts w:eastAsia="Calibri"/>
          <w:sz w:val="20"/>
          <w:szCs w:val="20"/>
          <w:lang w:val="en-US" w:eastAsia="en-US"/>
        </w:rPr>
        <w:footnoteReference w:id="229"/>
      </w:r>
      <w:r w:rsidRPr="00CF6765">
        <w:rPr>
          <w:rFonts w:eastAsia="Calibri"/>
          <w:sz w:val="20"/>
          <w:szCs w:val="20"/>
          <w:lang w:val="en-US" w:eastAsia="en-US"/>
        </w:rPr>
        <w:t xml:space="preserve"> and also the mechanical ventilator</w:t>
      </w:r>
      <w:r w:rsidR="00EF55E3" w:rsidRPr="00CF6765">
        <w:rPr>
          <w:rFonts w:eastAsia="Calibri"/>
          <w:sz w:val="20"/>
          <w:szCs w:val="20"/>
          <w:vertAlign w:val="superscript"/>
          <w:lang w:val="en-US" w:eastAsia="en-US"/>
        </w:rPr>
        <w:footnoteReference w:id="230"/>
      </w:r>
      <w:r w:rsidR="00EF55E3" w:rsidRPr="00CF6765">
        <w:rPr>
          <w:rFonts w:eastAsia="Calibri"/>
          <w:sz w:val="20"/>
          <w:szCs w:val="20"/>
          <w:lang w:val="en-US" w:eastAsia="en-US"/>
        </w:rPr>
        <w:t xml:space="preserve"> </w:t>
      </w:r>
      <w:r w:rsidR="00EC50FC" w:rsidRPr="00CF6765">
        <w:rPr>
          <w:rFonts w:eastAsia="Calibri"/>
          <w:sz w:val="20"/>
          <w:szCs w:val="20"/>
          <w:lang w:val="en-US" w:eastAsia="en-US"/>
        </w:rPr>
        <w:t xml:space="preserve">and </w:t>
      </w:r>
      <w:r w:rsidRPr="00CF6765">
        <w:rPr>
          <w:rFonts w:eastAsia="Calibri"/>
          <w:sz w:val="20"/>
          <w:szCs w:val="20"/>
          <w:lang w:val="en-US" w:eastAsia="en-US"/>
        </w:rPr>
        <w:t>that</w:t>
      </w:r>
      <w:r w:rsidR="00835CE9" w:rsidRPr="00CF6765">
        <w:rPr>
          <w:rFonts w:eastAsia="Calibri"/>
          <w:sz w:val="20"/>
          <w:szCs w:val="20"/>
          <w:lang w:val="en-US" w:eastAsia="en-US"/>
        </w:rPr>
        <w:t>,</w:t>
      </w:r>
      <w:r w:rsidRPr="00CF6765">
        <w:rPr>
          <w:rFonts w:eastAsia="Calibri"/>
          <w:sz w:val="20"/>
          <w:szCs w:val="20"/>
          <w:lang w:val="en-US" w:eastAsia="en-US"/>
        </w:rPr>
        <w:t xml:space="preserve"> without it</w:t>
      </w:r>
      <w:r w:rsidR="00835CE9" w:rsidRPr="00CF6765">
        <w:rPr>
          <w:rFonts w:eastAsia="Calibri"/>
          <w:sz w:val="20"/>
          <w:szCs w:val="20"/>
          <w:lang w:val="en-US" w:eastAsia="en-US"/>
        </w:rPr>
        <w:t xml:space="preserve">, </w:t>
      </w:r>
      <w:r w:rsidRPr="00CF6765">
        <w:rPr>
          <w:rFonts w:eastAsia="Calibri"/>
          <w:sz w:val="20"/>
          <w:szCs w:val="20"/>
          <w:lang w:val="en-US" w:eastAsia="en-US"/>
        </w:rPr>
        <w:t xml:space="preserve">it was impossible that the patient could have </w:t>
      </w:r>
      <w:r w:rsidR="0090740B" w:rsidRPr="00CF6765">
        <w:rPr>
          <w:rFonts w:eastAsia="Calibri"/>
          <w:sz w:val="20"/>
          <w:szCs w:val="20"/>
          <w:lang w:val="en-US" w:eastAsia="en-US"/>
        </w:rPr>
        <w:t>survived</w:t>
      </w:r>
      <w:r w:rsidRPr="00CF6765">
        <w:rPr>
          <w:rFonts w:eastAsia="Calibri"/>
          <w:sz w:val="20"/>
          <w:szCs w:val="20"/>
          <w:lang w:val="en-US" w:eastAsia="en-US"/>
        </w:rPr>
        <w:t>. He also stressed that these were basic services. The ex</w:t>
      </w:r>
      <w:r w:rsidR="00002163" w:rsidRPr="00CF6765">
        <w:rPr>
          <w:rFonts w:eastAsia="Calibri"/>
          <w:sz w:val="20"/>
          <w:szCs w:val="20"/>
          <w:lang w:val="en-US" w:eastAsia="en-US"/>
        </w:rPr>
        <w:t>pert witness</w:t>
      </w:r>
      <w:r w:rsidR="00EF55E3" w:rsidRPr="00CF6765">
        <w:rPr>
          <w:rFonts w:eastAsia="Calibri"/>
          <w:sz w:val="20"/>
          <w:szCs w:val="20"/>
          <w:lang w:val="en-US" w:eastAsia="en-US"/>
        </w:rPr>
        <w:t xml:space="preserve"> </w:t>
      </w:r>
      <w:r w:rsidRPr="00CF6765">
        <w:rPr>
          <w:rFonts w:eastAsia="Calibri"/>
          <w:sz w:val="20"/>
          <w:szCs w:val="20"/>
          <w:lang w:val="en-US" w:eastAsia="en-US"/>
        </w:rPr>
        <w:t xml:space="preserve">also underlined that, in his </w:t>
      </w:r>
      <w:r w:rsidR="0090740B" w:rsidRPr="00CF6765">
        <w:rPr>
          <w:rFonts w:eastAsia="Calibri"/>
          <w:sz w:val="20"/>
          <w:szCs w:val="20"/>
          <w:lang w:val="en-US" w:eastAsia="en-US"/>
        </w:rPr>
        <w:t>opinion</w:t>
      </w:r>
      <w:r w:rsidRPr="00CF6765">
        <w:rPr>
          <w:rFonts w:eastAsia="Calibri"/>
          <w:sz w:val="20"/>
          <w:szCs w:val="20"/>
          <w:lang w:val="en-US" w:eastAsia="en-US"/>
        </w:rPr>
        <w:t xml:space="preserve">, the most serious error was not to have </w:t>
      </w:r>
      <w:r w:rsidR="000F30E7" w:rsidRPr="00CF6765">
        <w:rPr>
          <w:rFonts w:eastAsia="Calibri"/>
          <w:sz w:val="20"/>
          <w:szCs w:val="20"/>
          <w:lang w:val="en-US" w:eastAsia="en-US"/>
        </w:rPr>
        <w:t>referred the patient to</w:t>
      </w:r>
      <w:r w:rsidRPr="00CF6765">
        <w:rPr>
          <w:rFonts w:eastAsia="Calibri"/>
          <w:sz w:val="20"/>
          <w:szCs w:val="20"/>
          <w:lang w:val="en-US" w:eastAsia="en-US"/>
        </w:rPr>
        <w:t xml:space="preserve"> another center with the capacity to provide him with the care he needed, so that two days after this second admission, </w:t>
      </w:r>
      <w:r w:rsidR="00D2168F" w:rsidRPr="00CF6765">
        <w:rPr>
          <w:rFonts w:eastAsia="Calibri"/>
          <w:sz w:val="20"/>
          <w:szCs w:val="20"/>
          <w:lang w:val="en-US" w:eastAsia="en-US"/>
        </w:rPr>
        <w:t>Mr. Poblete</w:t>
      </w:r>
      <w:r w:rsidR="00EF55E3" w:rsidRPr="00CF6765">
        <w:rPr>
          <w:rFonts w:eastAsia="Calibri"/>
          <w:sz w:val="20"/>
          <w:szCs w:val="20"/>
          <w:lang w:val="en-US" w:eastAsia="en-US"/>
        </w:rPr>
        <w:t xml:space="preserve"> </w:t>
      </w:r>
      <w:proofErr w:type="spellStart"/>
      <w:r w:rsidR="00EF55E3" w:rsidRPr="00CF6765">
        <w:rPr>
          <w:rFonts w:eastAsia="Calibri"/>
          <w:sz w:val="20"/>
          <w:szCs w:val="20"/>
          <w:lang w:val="en-US" w:eastAsia="en-US"/>
        </w:rPr>
        <w:t>Vilches</w:t>
      </w:r>
      <w:proofErr w:type="spellEnd"/>
      <w:r w:rsidR="00EF55E3" w:rsidRPr="00CF6765">
        <w:rPr>
          <w:rFonts w:eastAsia="Calibri"/>
          <w:sz w:val="20"/>
          <w:szCs w:val="20"/>
          <w:lang w:val="en-US" w:eastAsia="en-US"/>
        </w:rPr>
        <w:t xml:space="preserve"> </w:t>
      </w:r>
      <w:r w:rsidRPr="00CF6765">
        <w:rPr>
          <w:rFonts w:eastAsia="Calibri"/>
          <w:sz w:val="20"/>
          <w:szCs w:val="20"/>
          <w:lang w:val="en-US" w:eastAsia="en-US"/>
        </w:rPr>
        <w:t>died without having been provided with adequate treatment to preserve his health.</w:t>
      </w:r>
      <w:r w:rsidR="00EF55E3" w:rsidRPr="00CF6765">
        <w:rPr>
          <w:rStyle w:val="Refdenotaalpie"/>
          <w:rFonts w:eastAsia="Calibri"/>
          <w:sz w:val="20"/>
          <w:szCs w:val="20"/>
          <w:lang w:val="en-US" w:eastAsia="en-US"/>
        </w:rPr>
        <w:footnoteReference w:id="231"/>
      </w:r>
    </w:p>
    <w:p w14:paraId="670C1BE1" w14:textId="5BC516D7" w:rsidR="00EF55E3" w:rsidRPr="00CF6765" w:rsidRDefault="00EF55E3" w:rsidP="005430FF">
      <w:pPr>
        <w:tabs>
          <w:tab w:val="left" w:pos="567"/>
        </w:tabs>
        <w:rPr>
          <w:rFonts w:eastAsia="Calibri"/>
          <w:sz w:val="20"/>
          <w:szCs w:val="20"/>
          <w:lang w:val="en-US" w:eastAsia="en-US"/>
        </w:rPr>
      </w:pPr>
    </w:p>
    <w:p w14:paraId="56966E70" w14:textId="274B6C9F" w:rsidR="006F6F8F" w:rsidRPr="00CF6765" w:rsidRDefault="00835CE9" w:rsidP="00835CE9">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Accordingly, based on the elements of </w:t>
      </w:r>
      <w:r w:rsidRPr="00CF6765">
        <w:rPr>
          <w:rFonts w:eastAsia="Calibri"/>
          <w:i/>
          <w:sz w:val="20"/>
          <w:szCs w:val="20"/>
          <w:lang w:val="en-US" w:eastAsia="en-US"/>
        </w:rPr>
        <w:t>quality</w:t>
      </w:r>
      <w:r w:rsidRPr="00CF6765">
        <w:rPr>
          <w:rFonts w:eastAsia="Calibri"/>
          <w:iCs/>
          <w:sz w:val="20"/>
          <w:szCs w:val="20"/>
          <w:lang w:val="en-US" w:eastAsia="en-US"/>
        </w:rPr>
        <w:t xml:space="preserve"> and</w:t>
      </w:r>
      <w:r w:rsidRPr="00CF6765">
        <w:rPr>
          <w:rFonts w:eastAsia="Calibri"/>
          <w:i/>
          <w:sz w:val="20"/>
          <w:szCs w:val="20"/>
          <w:lang w:val="en-US" w:eastAsia="en-US"/>
        </w:rPr>
        <w:t xml:space="preserve"> availability </w:t>
      </w:r>
      <w:r w:rsidR="00A6246E" w:rsidRPr="00CF6765">
        <w:rPr>
          <w:rFonts w:eastAsia="Calibri"/>
          <w:sz w:val="20"/>
          <w:szCs w:val="20"/>
          <w:lang w:val="en-US" w:eastAsia="en-US"/>
        </w:rPr>
        <w:t>(</w:t>
      </w:r>
      <w:r w:rsidR="00062586" w:rsidRPr="00CF6765">
        <w:rPr>
          <w:rFonts w:eastAsia="Calibri"/>
          <w:i/>
          <w:sz w:val="20"/>
          <w:szCs w:val="20"/>
          <w:lang w:val="en-US" w:eastAsia="en-US"/>
        </w:rPr>
        <w:t>supra</w:t>
      </w:r>
      <w:r w:rsidR="00A6246E" w:rsidRPr="00CF6765">
        <w:rPr>
          <w:rFonts w:eastAsia="Calibri"/>
          <w:sz w:val="20"/>
          <w:szCs w:val="20"/>
          <w:lang w:val="en-US" w:eastAsia="en-US"/>
        </w:rPr>
        <w:t xml:space="preserve"> </w:t>
      </w:r>
      <w:r w:rsidR="00EC50FC" w:rsidRPr="00CF6765">
        <w:rPr>
          <w:rFonts w:eastAsia="Calibri"/>
          <w:sz w:val="20"/>
          <w:szCs w:val="20"/>
          <w:lang w:val="en-US" w:eastAsia="en-US"/>
        </w:rPr>
        <w:t>para.</w:t>
      </w:r>
      <w:r w:rsidR="00E60DB4" w:rsidRPr="00CF6765">
        <w:rPr>
          <w:rFonts w:eastAsia="Calibri"/>
          <w:sz w:val="20"/>
          <w:szCs w:val="20"/>
          <w:lang w:val="en-US" w:eastAsia="en-US"/>
        </w:rPr>
        <w:t xml:space="preserve"> 121</w:t>
      </w:r>
      <w:r w:rsidR="00A6246E" w:rsidRPr="00CF6765">
        <w:rPr>
          <w:rFonts w:eastAsia="Calibri"/>
          <w:sz w:val="20"/>
          <w:szCs w:val="20"/>
          <w:lang w:val="en-US" w:eastAsia="en-US"/>
        </w:rPr>
        <w:t>)</w:t>
      </w:r>
      <w:r w:rsidR="00651FFD" w:rsidRPr="00CF6765">
        <w:rPr>
          <w:rFonts w:eastAsia="Calibri"/>
          <w:sz w:val="20"/>
          <w:szCs w:val="20"/>
          <w:lang w:val="en-US" w:eastAsia="en-US"/>
        </w:rPr>
        <w:t>,</w:t>
      </w:r>
      <w:r w:rsidR="002570D1" w:rsidRPr="00CF6765">
        <w:rPr>
          <w:rFonts w:eastAsia="Calibri"/>
          <w:sz w:val="20"/>
          <w:szCs w:val="20"/>
          <w:lang w:val="en-US" w:eastAsia="en-US"/>
        </w:rPr>
        <w:t xml:space="preserve"> </w:t>
      </w:r>
      <w:r w:rsidRPr="00CF6765">
        <w:rPr>
          <w:rFonts w:eastAsia="Calibri"/>
          <w:sz w:val="20"/>
          <w:szCs w:val="20"/>
          <w:lang w:val="en-US" w:eastAsia="en-US"/>
        </w:rPr>
        <w:t>during the</w:t>
      </w:r>
      <w:r w:rsidR="002570D1" w:rsidRPr="00CF6765">
        <w:rPr>
          <w:rFonts w:eastAsia="Calibri"/>
          <w:sz w:val="20"/>
          <w:szCs w:val="20"/>
          <w:lang w:val="en-US" w:eastAsia="en-US"/>
        </w:rPr>
        <w:t xml:space="preserve"> </w:t>
      </w:r>
      <w:r w:rsidR="00B969DD" w:rsidRPr="00CF6765">
        <w:rPr>
          <w:rFonts w:eastAsia="Calibri"/>
          <w:sz w:val="20"/>
          <w:szCs w:val="20"/>
          <w:lang w:val="en-US" w:eastAsia="en-US"/>
        </w:rPr>
        <w:t>second admission</w:t>
      </w:r>
      <w:r w:rsidR="002570D1" w:rsidRPr="00CF6765">
        <w:rPr>
          <w:rFonts w:eastAsia="Calibri"/>
          <w:sz w:val="20"/>
          <w:szCs w:val="20"/>
          <w:lang w:val="en-US" w:eastAsia="en-US"/>
        </w:rPr>
        <w:t xml:space="preserve">, </w:t>
      </w:r>
      <w:r w:rsidRPr="00CF6765">
        <w:rPr>
          <w:rFonts w:eastAsia="Calibri"/>
          <w:sz w:val="20"/>
          <w:szCs w:val="20"/>
          <w:lang w:val="en-US" w:eastAsia="en-US"/>
        </w:rPr>
        <w:t>the failure to provide the intensive care that was required in the Medical ICU, owing to the unavailability of beds in that unit, the lack of assistance with a mechanical ventilator, and the failure to transfer the patient to another medical center with the necessary facilities ha</w:t>
      </w:r>
      <w:r w:rsidR="000F30E7" w:rsidRPr="00CF6765">
        <w:rPr>
          <w:rFonts w:eastAsia="Calibri"/>
          <w:sz w:val="20"/>
          <w:szCs w:val="20"/>
          <w:lang w:val="en-US" w:eastAsia="en-US"/>
        </w:rPr>
        <w:t>ve</w:t>
      </w:r>
      <w:r w:rsidRPr="00CF6765">
        <w:rPr>
          <w:rFonts w:eastAsia="Calibri"/>
          <w:sz w:val="20"/>
          <w:szCs w:val="20"/>
          <w:lang w:val="en-US" w:eastAsia="en-US"/>
        </w:rPr>
        <w:t xml:space="preserve"> been proved.</w:t>
      </w:r>
      <w:r w:rsidR="00EF55E3" w:rsidRPr="00CF6765">
        <w:rPr>
          <w:rFonts w:eastAsia="Calibri"/>
          <w:sz w:val="20"/>
          <w:szCs w:val="20"/>
          <w:vertAlign w:val="superscript"/>
          <w:lang w:val="en-US" w:eastAsia="en-US"/>
        </w:rPr>
        <w:footnoteReference w:id="232"/>
      </w:r>
      <w:r w:rsidRPr="00CF6765">
        <w:rPr>
          <w:rFonts w:eastAsia="Calibri"/>
          <w:sz w:val="20"/>
          <w:szCs w:val="20"/>
          <w:lang w:val="en-US" w:eastAsia="en-US"/>
        </w:rPr>
        <w:t xml:space="preserve"> These services were basic for treating emergencies </w:t>
      </w:r>
      <w:r w:rsidR="004F53BF" w:rsidRPr="00CF6765">
        <w:rPr>
          <w:rFonts w:eastAsia="Calibri"/>
          <w:sz w:val="20"/>
          <w:szCs w:val="20"/>
          <w:lang w:val="en-US"/>
        </w:rPr>
        <w:t>(</w:t>
      </w:r>
      <w:r w:rsidR="004F53BF" w:rsidRPr="00CF6765">
        <w:rPr>
          <w:rFonts w:eastAsia="Calibri"/>
          <w:i/>
          <w:sz w:val="20"/>
          <w:szCs w:val="20"/>
          <w:lang w:val="en-US"/>
        </w:rPr>
        <w:t>supra</w:t>
      </w:r>
      <w:r w:rsidR="004F53BF" w:rsidRPr="00CF6765">
        <w:rPr>
          <w:rFonts w:eastAsia="Calibri"/>
          <w:sz w:val="20"/>
          <w:szCs w:val="20"/>
          <w:lang w:val="en-US"/>
        </w:rPr>
        <w:t xml:space="preserve"> </w:t>
      </w:r>
      <w:r w:rsidR="00EC50FC" w:rsidRPr="00CF6765">
        <w:rPr>
          <w:rFonts w:eastAsia="Calibri"/>
          <w:sz w:val="20"/>
          <w:szCs w:val="20"/>
          <w:lang w:val="en-US"/>
        </w:rPr>
        <w:t>paras.</w:t>
      </w:r>
      <w:r w:rsidR="004F53BF" w:rsidRPr="00CF6765">
        <w:rPr>
          <w:rFonts w:eastAsia="Calibri"/>
          <w:sz w:val="20"/>
          <w:szCs w:val="20"/>
          <w:lang w:val="en-US"/>
        </w:rPr>
        <w:t xml:space="preserve"> </w:t>
      </w:r>
      <w:r w:rsidR="002A78EE" w:rsidRPr="00CF6765">
        <w:rPr>
          <w:rFonts w:eastAsia="Calibri"/>
          <w:sz w:val="20"/>
          <w:szCs w:val="20"/>
          <w:lang w:val="en-US"/>
        </w:rPr>
        <w:t>121</w:t>
      </w:r>
      <w:r w:rsidR="00EC50FC" w:rsidRPr="00CF6765">
        <w:rPr>
          <w:rFonts w:eastAsia="Calibri"/>
          <w:sz w:val="20"/>
          <w:szCs w:val="20"/>
          <w:lang w:val="en-US"/>
        </w:rPr>
        <w:t xml:space="preserve"> and </w:t>
      </w:r>
      <w:r w:rsidR="00847C4A" w:rsidRPr="00CF6765">
        <w:rPr>
          <w:rFonts w:eastAsia="Calibri"/>
          <w:sz w:val="20"/>
          <w:szCs w:val="20"/>
          <w:lang w:val="en-US"/>
        </w:rPr>
        <w:t>137</w:t>
      </w:r>
      <w:r w:rsidR="004F53BF" w:rsidRPr="00CF6765">
        <w:rPr>
          <w:rFonts w:eastAsia="Calibri"/>
          <w:sz w:val="20"/>
          <w:szCs w:val="20"/>
          <w:lang w:val="en-US"/>
        </w:rPr>
        <w:t>)</w:t>
      </w:r>
      <w:r w:rsidR="007D6301" w:rsidRPr="00CF6765">
        <w:rPr>
          <w:rFonts w:eastAsia="Calibri"/>
          <w:sz w:val="20"/>
          <w:szCs w:val="20"/>
          <w:lang w:val="en-US" w:eastAsia="en-US"/>
        </w:rPr>
        <w:t xml:space="preserve">. </w:t>
      </w:r>
      <w:r w:rsidRPr="00CF6765">
        <w:rPr>
          <w:rFonts w:eastAsia="Calibri"/>
          <w:sz w:val="20"/>
          <w:szCs w:val="20"/>
          <w:lang w:val="en-US" w:eastAsia="en-US"/>
        </w:rPr>
        <w:t xml:space="preserve">In addition, the precipitate </w:t>
      </w:r>
      <w:r w:rsidR="0090740B" w:rsidRPr="00CF6765">
        <w:rPr>
          <w:rFonts w:eastAsia="Calibri"/>
          <w:sz w:val="20"/>
          <w:szCs w:val="20"/>
          <w:lang w:val="en-US" w:eastAsia="en-US"/>
        </w:rPr>
        <w:t>decision</w:t>
      </w:r>
      <w:r w:rsidRPr="00CF6765">
        <w:rPr>
          <w:rFonts w:eastAsia="Calibri"/>
          <w:sz w:val="20"/>
          <w:szCs w:val="20"/>
          <w:lang w:val="en-US" w:eastAsia="en-US"/>
        </w:rPr>
        <w:t xml:space="preserve"> to discharge the patient during his </w:t>
      </w:r>
      <w:r w:rsidR="00E27148" w:rsidRPr="00CF6765">
        <w:rPr>
          <w:rFonts w:eastAsia="Calibri"/>
          <w:sz w:val="20"/>
          <w:szCs w:val="20"/>
          <w:lang w:val="en-US" w:eastAsia="en-US"/>
        </w:rPr>
        <w:t>first admission</w:t>
      </w:r>
      <w:r w:rsidRPr="00CF6765">
        <w:rPr>
          <w:rFonts w:eastAsia="Calibri"/>
          <w:sz w:val="20"/>
          <w:szCs w:val="20"/>
          <w:lang w:val="en-US" w:eastAsia="en-US"/>
        </w:rPr>
        <w:t xml:space="preserve"> was significant. Consequently, based on the unavailability of certain basic elements, the health care that the patient received lacked even the minimum quality</w:t>
      </w:r>
      <w:r w:rsidR="00D0629F" w:rsidRPr="00CF6765">
        <w:rPr>
          <w:rFonts w:eastAsia="Calibri"/>
          <w:sz w:val="20"/>
          <w:szCs w:val="20"/>
          <w:lang w:val="en-US" w:eastAsia="en-US"/>
        </w:rPr>
        <w:t>.</w:t>
      </w:r>
      <w:r w:rsidR="001925E9" w:rsidRPr="00CF6765">
        <w:rPr>
          <w:rFonts w:eastAsia="Calibri"/>
          <w:sz w:val="20"/>
          <w:szCs w:val="20"/>
          <w:lang w:val="en-US" w:eastAsia="en-US"/>
        </w:rPr>
        <w:t xml:space="preserve"> </w:t>
      </w:r>
    </w:p>
    <w:p w14:paraId="6417A783" w14:textId="77777777" w:rsidR="00B138CE" w:rsidRPr="00CF6765" w:rsidRDefault="00B138CE" w:rsidP="00383565">
      <w:pPr>
        <w:tabs>
          <w:tab w:val="left" w:pos="567"/>
        </w:tabs>
        <w:rPr>
          <w:rFonts w:eastAsia="Calibri"/>
          <w:sz w:val="20"/>
          <w:szCs w:val="20"/>
          <w:lang w:val="en-US" w:eastAsia="en-US"/>
        </w:rPr>
      </w:pPr>
    </w:p>
    <w:p w14:paraId="7A822AD9" w14:textId="225D3EBB" w:rsidR="00E23408" w:rsidRPr="00CF6765" w:rsidRDefault="00E63E9D" w:rsidP="000136CD">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R</w:t>
      </w:r>
      <w:r w:rsidR="002570D1" w:rsidRPr="00CF6765">
        <w:rPr>
          <w:rFonts w:eastAsia="Calibri"/>
          <w:sz w:val="20"/>
          <w:szCs w:val="20"/>
          <w:lang w:val="en-US" w:eastAsia="en-US"/>
        </w:rPr>
        <w:t>e</w:t>
      </w:r>
      <w:r w:rsidR="00835CE9" w:rsidRPr="00CF6765">
        <w:rPr>
          <w:rFonts w:eastAsia="Calibri"/>
          <w:sz w:val="20"/>
          <w:szCs w:val="20"/>
          <w:lang w:val="en-US" w:eastAsia="en-US"/>
        </w:rPr>
        <w:t xml:space="preserve">garding the elements of </w:t>
      </w:r>
      <w:r w:rsidR="002570D1" w:rsidRPr="00CF6765">
        <w:rPr>
          <w:rFonts w:eastAsia="Calibri"/>
          <w:i/>
          <w:sz w:val="20"/>
          <w:szCs w:val="20"/>
          <w:lang w:val="en-US" w:eastAsia="en-US"/>
        </w:rPr>
        <w:t>acces</w:t>
      </w:r>
      <w:r w:rsidR="00835CE9" w:rsidRPr="00CF6765">
        <w:rPr>
          <w:rFonts w:eastAsia="Calibri"/>
          <w:i/>
          <w:sz w:val="20"/>
          <w:szCs w:val="20"/>
          <w:lang w:val="en-US" w:eastAsia="en-US"/>
        </w:rPr>
        <w:t>sibility</w:t>
      </w:r>
      <w:r w:rsidR="00EC50FC" w:rsidRPr="00CF6765">
        <w:rPr>
          <w:rFonts w:eastAsia="Calibri"/>
          <w:i/>
          <w:sz w:val="20"/>
          <w:szCs w:val="20"/>
          <w:lang w:val="en-US" w:eastAsia="en-US"/>
        </w:rPr>
        <w:t xml:space="preserve"> and </w:t>
      </w:r>
      <w:r w:rsidR="00EF55E3" w:rsidRPr="00CF6765">
        <w:rPr>
          <w:rFonts w:eastAsia="Calibri"/>
          <w:i/>
          <w:sz w:val="20"/>
          <w:szCs w:val="20"/>
          <w:lang w:val="en-US" w:eastAsia="en-US"/>
        </w:rPr>
        <w:t>ac</w:t>
      </w:r>
      <w:r w:rsidR="00835CE9" w:rsidRPr="00CF6765">
        <w:rPr>
          <w:rFonts w:eastAsia="Calibri"/>
          <w:i/>
          <w:sz w:val="20"/>
          <w:szCs w:val="20"/>
          <w:lang w:val="en-US" w:eastAsia="en-US"/>
        </w:rPr>
        <w:t>ceptability</w:t>
      </w:r>
      <w:r w:rsidR="00A6246E" w:rsidRPr="00CF6765">
        <w:rPr>
          <w:rFonts w:eastAsia="Calibri"/>
          <w:i/>
          <w:sz w:val="20"/>
          <w:szCs w:val="20"/>
          <w:lang w:val="en-US" w:eastAsia="en-US"/>
        </w:rPr>
        <w:t xml:space="preserve"> </w:t>
      </w:r>
      <w:r w:rsidR="00A6246E" w:rsidRPr="00CF6765">
        <w:rPr>
          <w:rFonts w:eastAsia="Calibri"/>
          <w:sz w:val="20"/>
          <w:szCs w:val="20"/>
          <w:lang w:val="en-US" w:eastAsia="en-US"/>
        </w:rPr>
        <w:t>(</w:t>
      </w:r>
      <w:r w:rsidR="00062586" w:rsidRPr="00CF6765">
        <w:rPr>
          <w:rFonts w:eastAsia="Calibri"/>
          <w:i/>
          <w:sz w:val="20"/>
          <w:szCs w:val="20"/>
          <w:lang w:val="en-US" w:eastAsia="en-US"/>
        </w:rPr>
        <w:t>supra</w:t>
      </w:r>
      <w:r w:rsidR="00A6246E" w:rsidRPr="00CF6765">
        <w:rPr>
          <w:rFonts w:eastAsia="Calibri"/>
          <w:sz w:val="20"/>
          <w:szCs w:val="20"/>
          <w:lang w:val="en-US" w:eastAsia="en-US"/>
        </w:rPr>
        <w:t xml:space="preserve"> </w:t>
      </w:r>
      <w:r w:rsidR="00EC50FC" w:rsidRPr="00CF6765">
        <w:rPr>
          <w:rFonts w:eastAsia="Calibri"/>
          <w:sz w:val="20"/>
          <w:szCs w:val="20"/>
          <w:lang w:val="en-US" w:eastAsia="en-US"/>
        </w:rPr>
        <w:t>paras.</w:t>
      </w:r>
      <w:r w:rsidR="00A6246E" w:rsidRPr="00CF6765">
        <w:rPr>
          <w:rFonts w:eastAsia="Calibri"/>
          <w:sz w:val="20"/>
          <w:szCs w:val="20"/>
          <w:lang w:val="en-US" w:eastAsia="en-US"/>
        </w:rPr>
        <w:t xml:space="preserve"> </w:t>
      </w:r>
      <w:r w:rsidR="002A78EE" w:rsidRPr="00CF6765">
        <w:rPr>
          <w:rFonts w:eastAsia="Calibri"/>
          <w:sz w:val="20"/>
          <w:szCs w:val="20"/>
          <w:lang w:val="en-US" w:eastAsia="en-US"/>
        </w:rPr>
        <w:t xml:space="preserve">121), </w:t>
      </w:r>
      <w:r w:rsidR="005C731C" w:rsidRPr="00CF6765">
        <w:rPr>
          <w:rFonts w:eastAsia="Calibri"/>
          <w:sz w:val="20"/>
          <w:szCs w:val="20"/>
          <w:lang w:val="en-US" w:eastAsia="en-US"/>
        </w:rPr>
        <w:t>the Court</w:t>
      </w:r>
      <w:r w:rsidR="00E23408" w:rsidRPr="00CF6765">
        <w:rPr>
          <w:rFonts w:eastAsia="Calibri"/>
          <w:sz w:val="20"/>
          <w:szCs w:val="20"/>
          <w:lang w:val="en-US" w:eastAsia="en-US"/>
        </w:rPr>
        <w:t xml:space="preserve"> </w:t>
      </w:r>
      <w:r w:rsidR="00835CE9" w:rsidRPr="00CF6765">
        <w:rPr>
          <w:rFonts w:eastAsia="Calibri"/>
          <w:sz w:val="20"/>
          <w:szCs w:val="20"/>
          <w:lang w:val="en-US" w:eastAsia="en-US"/>
        </w:rPr>
        <w:t xml:space="preserve">underlines that </w:t>
      </w:r>
      <w:r w:rsidR="00D04694" w:rsidRPr="00CF6765">
        <w:rPr>
          <w:rFonts w:eastAsia="Calibri"/>
          <w:sz w:val="20"/>
          <w:szCs w:val="20"/>
          <w:lang w:val="en-US" w:eastAsia="en-US"/>
        </w:rPr>
        <w:t>Mr.</w:t>
      </w:r>
      <w:r w:rsidR="00D2168F" w:rsidRPr="00CF6765">
        <w:rPr>
          <w:rFonts w:eastAsia="Calibri"/>
          <w:sz w:val="20"/>
          <w:szCs w:val="20"/>
          <w:lang w:val="en-US" w:eastAsia="en-US"/>
        </w:rPr>
        <w:t xml:space="preserve"> Poblete</w:t>
      </w:r>
      <w:r w:rsidR="00E23408" w:rsidRPr="00CF6765">
        <w:rPr>
          <w:rFonts w:eastAsia="Calibri"/>
          <w:sz w:val="20"/>
          <w:szCs w:val="20"/>
          <w:lang w:val="en-US" w:eastAsia="en-US"/>
        </w:rPr>
        <w:t xml:space="preserve"> </w:t>
      </w:r>
      <w:proofErr w:type="spellStart"/>
      <w:r w:rsidR="001E55C3" w:rsidRPr="00CF6765">
        <w:rPr>
          <w:rFonts w:eastAsia="Calibri"/>
          <w:sz w:val="20"/>
          <w:szCs w:val="20"/>
          <w:lang w:val="en-US" w:eastAsia="en-US"/>
        </w:rPr>
        <w:t>Vilches’s</w:t>
      </w:r>
      <w:proofErr w:type="spellEnd"/>
      <w:r w:rsidR="001E55C3" w:rsidRPr="00CF6765">
        <w:rPr>
          <w:rFonts w:eastAsia="Calibri"/>
          <w:sz w:val="20"/>
          <w:szCs w:val="20"/>
          <w:lang w:val="en-US" w:eastAsia="en-US"/>
        </w:rPr>
        <w:t xml:space="preserve"> </w:t>
      </w:r>
      <w:r w:rsidR="00835CE9" w:rsidRPr="00CF6765">
        <w:rPr>
          <w:rFonts w:eastAsia="Calibri"/>
          <w:sz w:val="20"/>
          <w:szCs w:val="20"/>
          <w:lang w:val="en-US" w:eastAsia="en-US"/>
        </w:rPr>
        <w:t xml:space="preserve">age proved to be a factor that </w:t>
      </w:r>
      <w:r w:rsidR="000136CD" w:rsidRPr="00CF6765">
        <w:rPr>
          <w:rFonts w:eastAsia="Calibri"/>
          <w:sz w:val="20"/>
          <w:szCs w:val="20"/>
          <w:lang w:val="en-US" w:eastAsia="en-US"/>
        </w:rPr>
        <w:t xml:space="preserve">limited his access to opportune medical care, because the facts of the case reveal that he was not provided with the appropriate medical treatment partly due to his condition as an older person </w:t>
      </w:r>
      <w:r w:rsidR="00D0629F" w:rsidRPr="00CF6765">
        <w:rPr>
          <w:rFonts w:eastAsia="Calibri"/>
          <w:sz w:val="20"/>
          <w:szCs w:val="20"/>
          <w:lang w:val="en-US" w:eastAsia="en-US"/>
        </w:rPr>
        <w:t>(</w:t>
      </w:r>
      <w:r w:rsidR="00D0629F" w:rsidRPr="00CF6765">
        <w:rPr>
          <w:rFonts w:eastAsia="Calibri"/>
          <w:i/>
          <w:sz w:val="20"/>
          <w:szCs w:val="20"/>
          <w:lang w:val="en-US" w:eastAsia="en-US"/>
        </w:rPr>
        <w:t>supra</w:t>
      </w:r>
      <w:r w:rsidR="00D0629F" w:rsidRPr="00CF6765">
        <w:rPr>
          <w:rFonts w:eastAsia="Calibri"/>
          <w:sz w:val="20"/>
          <w:szCs w:val="20"/>
          <w:lang w:val="en-US" w:eastAsia="en-US"/>
        </w:rPr>
        <w:t xml:space="preserve"> </w:t>
      </w:r>
      <w:r w:rsidR="00EC50FC" w:rsidRPr="00CF6765">
        <w:rPr>
          <w:rFonts w:eastAsia="Calibri"/>
          <w:sz w:val="20"/>
          <w:szCs w:val="20"/>
          <w:lang w:val="en-US" w:eastAsia="en-US"/>
        </w:rPr>
        <w:t>paras.</w:t>
      </w:r>
      <w:r w:rsidR="00D0629F" w:rsidRPr="00CF6765">
        <w:rPr>
          <w:rFonts w:eastAsia="Calibri"/>
          <w:sz w:val="20"/>
          <w:szCs w:val="20"/>
          <w:lang w:val="en-US" w:eastAsia="en-US"/>
        </w:rPr>
        <w:t xml:space="preserve"> 47</w:t>
      </w:r>
      <w:r w:rsidR="00EC50FC" w:rsidRPr="00CF6765">
        <w:rPr>
          <w:rFonts w:eastAsia="Calibri"/>
          <w:sz w:val="20"/>
          <w:szCs w:val="20"/>
          <w:lang w:val="en-US" w:eastAsia="en-US"/>
        </w:rPr>
        <w:t xml:space="preserve"> and </w:t>
      </w:r>
      <w:r w:rsidR="00D0629F" w:rsidRPr="00CF6765">
        <w:rPr>
          <w:rFonts w:eastAsia="Calibri"/>
          <w:sz w:val="20"/>
          <w:szCs w:val="20"/>
          <w:lang w:val="en-US" w:eastAsia="en-US"/>
        </w:rPr>
        <w:t>53)</w:t>
      </w:r>
      <w:r w:rsidR="000136CD" w:rsidRPr="00CF6765">
        <w:rPr>
          <w:rFonts w:eastAsia="Calibri"/>
          <w:sz w:val="20"/>
          <w:szCs w:val="20"/>
          <w:lang w:val="en-US" w:eastAsia="en-US"/>
        </w:rPr>
        <w:t xml:space="preserve">. This was the reason why his medical care was not given priority despite his critical </w:t>
      </w:r>
      <w:r w:rsidR="0090740B" w:rsidRPr="00CF6765">
        <w:rPr>
          <w:rFonts w:eastAsia="Calibri"/>
          <w:sz w:val="20"/>
          <w:szCs w:val="20"/>
          <w:lang w:val="en-US" w:eastAsia="en-US"/>
        </w:rPr>
        <w:t>condition</w:t>
      </w:r>
      <w:r w:rsidR="000136CD" w:rsidRPr="00CF6765">
        <w:rPr>
          <w:rFonts w:eastAsia="Calibri"/>
          <w:sz w:val="20"/>
          <w:szCs w:val="20"/>
          <w:lang w:val="en-US" w:eastAsia="en-US"/>
        </w:rPr>
        <w:t xml:space="preserve"> and his advanced age</w:t>
      </w:r>
      <w:r w:rsidR="00AB57AC" w:rsidRPr="00CF6765">
        <w:rPr>
          <w:rFonts w:eastAsia="Calibri"/>
          <w:sz w:val="20"/>
          <w:szCs w:val="20"/>
          <w:lang w:val="en-US" w:eastAsia="en-US"/>
        </w:rPr>
        <w:t xml:space="preserve"> (</w:t>
      </w:r>
      <w:r w:rsidR="00062586" w:rsidRPr="00CF6765">
        <w:rPr>
          <w:rFonts w:eastAsia="Calibri"/>
          <w:i/>
          <w:sz w:val="20"/>
          <w:szCs w:val="20"/>
          <w:lang w:val="en-US" w:eastAsia="en-US"/>
        </w:rPr>
        <w:t>supra</w:t>
      </w:r>
      <w:r w:rsidR="00AB57AC" w:rsidRPr="00CF6765">
        <w:rPr>
          <w:rFonts w:eastAsia="Calibri"/>
          <w:sz w:val="20"/>
          <w:szCs w:val="20"/>
          <w:lang w:val="en-US" w:eastAsia="en-US"/>
        </w:rPr>
        <w:t xml:space="preserve"> </w:t>
      </w:r>
      <w:r w:rsidR="00EC50FC" w:rsidRPr="00CF6765">
        <w:rPr>
          <w:rFonts w:eastAsia="Calibri"/>
          <w:sz w:val="20"/>
          <w:szCs w:val="20"/>
          <w:lang w:val="en-US" w:eastAsia="en-US"/>
        </w:rPr>
        <w:t>para.</w:t>
      </w:r>
      <w:r w:rsidR="00AB57AC" w:rsidRPr="00CF6765">
        <w:rPr>
          <w:rFonts w:eastAsia="Calibri"/>
          <w:sz w:val="20"/>
          <w:szCs w:val="20"/>
          <w:lang w:val="en-US" w:eastAsia="en-US"/>
        </w:rPr>
        <w:t xml:space="preserve"> </w:t>
      </w:r>
      <w:r w:rsidR="002A78EE" w:rsidRPr="00CF6765">
        <w:rPr>
          <w:rFonts w:eastAsia="Calibri"/>
          <w:sz w:val="20"/>
          <w:szCs w:val="20"/>
          <w:lang w:val="en-US" w:eastAsia="en-US"/>
        </w:rPr>
        <w:t>52)</w:t>
      </w:r>
      <w:r w:rsidR="000136CD" w:rsidRPr="00CF6765">
        <w:rPr>
          <w:rFonts w:eastAsia="Calibri"/>
          <w:sz w:val="20"/>
          <w:szCs w:val="20"/>
          <w:lang w:val="en-US" w:eastAsia="en-US"/>
        </w:rPr>
        <w:t>.</w:t>
      </w:r>
      <w:r w:rsidR="002A78EE" w:rsidRPr="00CF6765">
        <w:rPr>
          <w:rStyle w:val="Refdenotaalpie"/>
          <w:rFonts w:eastAsia="Calibri"/>
          <w:sz w:val="20"/>
          <w:szCs w:val="20"/>
          <w:lang w:val="en-US" w:eastAsia="en-US"/>
        </w:rPr>
        <w:footnoteReference w:id="233"/>
      </w:r>
      <w:r w:rsidR="000136CD" w:rsidRPr="00CF6765">
        <w:rPr>
          <w:rFonts w:eastAsia="Calibri"/>
          <w:sz w:val="20"/>
          <w:szCs w:val="20"/>
          <w:lang w:val="en-US" w:eastAsia="en-US"/>
        </w:rPr>
        <w:t xml:space="preserve"> In addition, the falsification of the family’s consent and the lack </w:t>
      </w:r>
      <w:r w:rsidR="000136CD" w:rsidRPr="00CF6765">
        <w:rPr>
          <w:rFonts w:eastAsia="Calibri"/>
          <w:sz w:val="20"/>
          <w:szCs w:val="20"/>
          <w:lang w:val="en-US" w:eastAsia="en-US"/>
        </w:rPr>
        <w:lastRenderedPageBreak/>
        <w:t>of clear and accessible information on the patient’s condition is also unacceptable</w:t>
      </w:r>
      <w:r w:rsidR="00641553" w:rsidRPr="00CF6765">
        <w:rPr>
          <w:rFonts w:eastAsia="Calibri"/>
          <w:sz w:val="20"/>
          <w:szCs w:val="20"/>
          <w:lang w:val="en-US" w:eastAsia="en-US"/>
        </w:rPr>
        <w:t xml:space="preserve"> (</w:t>
      </w:r>
      <w:r w:rsidR="00847C4A" w:rsidRPr="00CF6765">
        <w:rPr>
          <w:rFonts w:eastAsia="Calibri"/>
          <w:i/>
          <w:sz w:val="20"/>
          <w:szCs w:val="20"/>
          <w:lang w:val="en-US" w:eastAsia="en-US"/>
        </w:rPr>
        <w:t>supra</w:t>
      </w:r>
      <w:r w:rsidR="00847C4A" w:rsidRPr="00CF6765">
        <w:rPr>
          <w:rFonts w:eastAsia="Calibri"/>
          <w:sz w:val="20"/>
          <w:szCs w:val="20"/>
          <w:lang w:val="en-US" w:eastAsia="en-US"/>
        </w:rPr>
        <w:t xml:space="preserve"> </w:t>
      </w:r>
      <w:r w:rsidR="00EC50FC" w:rsidRPr="00CF6765">
        <w:rPr>
          <w:rFonts w:eastAsia="Calibri"/>
          <w:sz w:val="20"/>
          <w:szCs w:val="20"/>
          <w:lang w:val="en-US" w:eastAsia="en-US"/>
        </w:rPr>
        <w:t>para.</w:t>
      </w:r>
      <w:r w:rsidR="00847C4A" w:rsidRPr="00CF6765">
        <w:rPr>
          <w:rFonts w:eastAsia="Calibri"/>
          <w:sz w:val="20"/>
          <w:szCs w:val="20"/>
          <w:lang w:val="en-US" w:eastAsia="en-US"/>
        </w:rPr>
        <w:t xml:space="preserve"> 46 </w:t>
      </w:r>
      <w:r w:rsidR="000136CD" w:rsidRPr="00CF6765">
        <w:rPr>
          <w:rFonts w:eastAsia="Calibri"/>
          <w:sz w:val="20"/>
          <w:szCs w:val="20"/>
          <w:lang w:val="en-US" w:eastAsia="en-US"/>
        </w:rPr>
        <w:t>and</w:t>
      </w:r>
      <w:r w:rsidR="00847C4A" w:rsidRPr="00CF6765">
        <w:rPr>
          <w:rFonts w:eastAsia="Calibri"/>
          <w:sz w:val="20"/>
          <w:szCs w:val="20"/>
          <w:lang w:val="en-US" w:eastAsia="en-US"/>
        </w:rPr>
        <w:t xml:space="preserve"> </w:t>
      </w:r>
      <w:r w:rsidR="00641553" w:rsidRPr="00CF6765">
        <w:rPr>
          <w:rFonts w:eastAsia="Calibri"/>
          <w:i/>
          <w:sz w:val="20"/>
          <w:szCs w:val="20"/>
          <w:lang w:val="en-US" w:eastAsia="en-US"/>
        </w:rPr>
        <w:t>infra</w:t>
      </w:r>
      <w:r w:rsidR="00641553" w:rsidRPr="00CF6765">
        <w:rPr>
          <w:rFonts w:eastAsia="Calibri"/>
          <w:sz w:val="20"/>
          <w:szCs w:val="20"/>
          <w:lang w:val="en-US" w:eastAsia="en-US"/>
        </w:rPr>
        <w:t xml:space="preserve"> </w:t>
      </w:r>
      <w:r w:rsidR="00EC50FC" w:rsidRPr="00CF6765">
        <w:rPr>
          <w:rFonts w:eastAsia="Calibri"/>
          <w:sz w:val="20"/>
          <w:szCs w:val="20"/>
          <w:lang w:val="en-US" w:eastAsia="en-US"/>
        </w:rPr>
        <w:t>para.</w:t>
      </w:r>
      <w:r w:rsidR="00F914DD" w:rsidRPr="00CF6765">
        <w:rPr>
          <w:rFonts w:eastAsia="Calibri"/>
          <w:sz w:val="20"/>
          <w:szCs w:val="20"/>
          <w:lang w:val="en-US" w:eastAsia="en-US"/>
        </w:rPr>
        <w:t xml:space="preserve"> </w:t>
      </w:r>
      <w:r w:rsidR="00D40864" w:rsidRPr="00CF6765">
        <w:rPr>
          <w:rFonts w:eastAsia="Calibri"/>
          <w:sz w:val="20"/>
          <w:szCs w:val="20"/>
          <w:lang w:val="en-US" w:eastAsia="en-US"/>
        </w:rPr>
        <w:t>173).</w:t>
      </w:r>
    </w:p>
    <w:p w14:paraId="6EB2B400" w14:textId="77777777" w:rsidR="002570D1" w:rsidRPr="00CF6765" w:rsidRDefault="002570D1" w:rsidP="00383565">
      <w:pPr>
        <w:tabs>
          <w:tab w:val="left" w:pos="567"/>
        </w:tabs>
        <w:ind w:left="-90" w:right="-360"/>
        <w:contextualSpacing/>
        <w:rPr>
          <w:rFonts w:eastAsia="Calibri"/>
          <w:sz w:val="20"/>
          <w:szCs w:val="20"/>
          <w:lang w:val="en-US" w:eastAsia="en-US"/>
        </w:rPr>
      </w:pPr>
    </w:p>
    <w:p w14:paraId="58B056DD" w14:textId="7E4B1C11" w:rsidR="001E145A" w:rsidRPr="00CF6765" w:rsidRDefault="000136CD" w:rsidP="00383565">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On this basis, the Court affirms that a person’s age should not represent an obstacle to his human development </w:t>
      </w:r>
      <w:r w:rsidR="00EC50FC" w:rsidRPr="00CF6765">
        <w:rPr>
          <w:rFonts w:eastAsia="Calibri"/>
          <w:sz w:val="20"/>
          <w:szCs w:val="20"/>
          <w:lang w:val="en-US" w:eastAsia="en-US"/>
        </w:rPr>
        <w:t>and</w:t>
      </w:r>
      <w:r w:rsidRPr="00CF6765">
        <w:rPr>
          <w:rFonts w:eastAsia="Calibri"/>
          <w:sz w:val="20"/>
          <w:szCs w:val="20"/>
          <w:lang w:val="en-US" w:eastAsia="en-US"/>
        </w:rPr>
        <w:t>, thus, to access to the protection of his health.</w:t>
      </w:r>
      <w:r w:rsidR="00EC50FC" w:rsidRPr="00CF6765">
        <w:rPr>
          <w:rFonts w:eastAsia="Calibri"/>
          <w:sz w:val="20"/>
          <w:szCs w:val="20"/>
          <w:lang w:val="en-US" w:eastAsia="en-US"/>
        </w:rPr>
        <w:t xml:space="preserve"> </w:t>
      </w:r>
      <w:r w:rsidRPr="00CF6765">
        <w:rPr>
          <w:rFonts w:eastAsia="Calibri"/>
          <w:sz w:val="20"/>
          <w:szCs w:val="20"/>
          <w:lang w:val="en-US" w:eastAsia="en-US"/>
        </w:rPr>
        <w:t>In this regard,</w:t>
      </w:r>
      <w:r w:rsidR="001E145A"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1E145A" w:rsidRPr="00CF6765">
        <w:rPr>
          <w:rFonts w:eastAsia="Calibri"/>
          <w:sz w:val="20"/>
          <w:szCs w:val="20"/>
          <w:lang w:val="en-US" w:eastAsia="en-US"/>
        </w:rPr>
        <w:t xml:space="preserve"> reitera</w:t>
      </w:r>
      <w:r w:rsidRPr="00CF6765">
        <w:rPr>
          <w:rFonts w:eastAsia="Calibri"/>
          <w:sz w:val="20"/>
          <w:szCs w:val="20"/>
          <w:lang w:val="en-US" w:eastAsia="en-US"/>
        </w:rPr>
        <w:t>tes that</w:t>
      </w:r>
      <w:r w:rsidR="0001661C" w:rsidRPr="00CF6765">
        <w:rPr>
          <w:rFonts w:eastAsia="Calibri"/>
          <w:sz w:val="20"/>
          <w:szCs w:val="20"/>
          <w:lang w:val="en-US" w:eastAsia="en-US"/>
        </w:rPr>
        <w:t xml:space="preserve"> </w:t>
      </w:r>
      <w:r w:rsidR="00323A17" w:rsidRPr="00CF6765">
        <w:rPr>
          <w:rFonts w:eastAsia="Calibri"/>
          <w:sz w:val="20"/>
          <w:szCs w:val="20"/>
          <w:lang w:val="en-US" w:eastAsia="en-US"/>
        </w:rPr>
        <w:t>older persons</w:t>
      </w:r>
      <w:r w:rsidR="001E145A" w:rsidRPr="00CF6765">
        <w:rPr>
          <w:rFonts w:eastAsia="Calibri"/>
          <w:sz w:val="20"/>
          <w:szCs w:val="20"/>
          <w:lang w:val="en-US" w:eastAsia="en-US"/>
        </w:rPr>
        <w:t xml:space="preserve"> </w:t>
      </w:r>
      <w:r w:rsidRPr="00CF6765">
        <w:rPr>
          <w:rFonts w:eastAsia="Calibri"/>
          <w:sz w:val="20"/>
          <w:szCs w:val="20"/>
          <w:lang w:val="en-US" w:eastAsia="en-US"/>
        </w:rPr>
        <w:t>are subject to protection owing to their situation of vulnerability and the State has increased obligations in relation to the protection and guarantee of their</w:t>
      </w:r>
      <w:r w:rsidR="001E145A" w:rsidRPr="00CF6765">
        <w:rPr>
          <w:rFonts w:eastAsia="Calibri"/>
          <w:sz w:val="20"/>
          <w:szCs w:val="20"/>
          <w:lang w:val="en-US" w:eastAsia="en-US"/>
        </w:rPr>
        <w:t xml:space="preserve"> </w:t>
      </w:r>
      <w:r w:rsidR="007A3516" w:rsidRPr="00CF6765">
        <w:rPr>
          <w:rFonts w:eastAsia="Calibri"/>
          <w:sz w:val="20"/>
          <w:szCs w:val="20"/>
          <w:lang w:val="en-US" w:eastAsia="en-US"/>
        </w:rPr>
        <w:t>right to health</w:t>
      </w:r>
      <w:r w:rsidR="001E145A" w:rsidRPr="00CF6765">
        <w:rPr>
          <w:rFonts w:eastAsia="Calibri"/>
          <w:sz w:val="20"/>
          <w:szCs w:val="20"/>
          <w:lang w:val="en-US" w:eastAsia="en-US"/>
        </w:rPr>
        <w:t>.</w:t>
      </w:r>
    </w:p>
    <w:p w14:paraId="000147A9" w14:textId="77777777" w:rsidR="001E145A" w:rsidRPr="00CF6765" w:rsidRDefault="001E145A" w:rsidP="001E145A">
      <w:pPr>
        <w:tabs>
          <w:tab w:val="left" w:pos="567"/>
        </w:tabs>
        <w:rPr>
          <w:rFonts w:eastAsia="Calibri"/>
          <w:sz w:val="20"/>
          <w:szCs w:val="20"/>
          <w:lang w:val="en-US" w:eastAsia="en-US"/>
        </w:rPr>
      </w:pPr>
    </w:p>
    <w:p w14:paraId="09FA766B" w14:textId="50D1FC0C" w:rsidR="00630070" w:rsidRPr="00CF6765" w:rsidRDefault="0040464C" w:rsidP="001D19C7">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During the hearing, e</w:t>
      </w:r>
      <w:r w:rsidR="00002163" w:rsidRPr="00CF6765">
        <w:rPr>
          <w:rFonts w:eastAsia="Calibri"/>
          <w:sz w:val="20"/>
          <w:szCs w:val="20"/>
          <w:lang w:val="en-US" w:eastAsia="en-US"/>
        </w:rPr>
        <w:t>xpert witness</w:t>
      </w:r>
      <w:r w:rsidR="002570D1" w:rsidRPr="00CF6765">
        <w:rPr>
          <w:rFonts w:eastAsia="Calibri"/>
          <w:sz w:val="20"/>
          <w:szCs w:val="20"/>
          <w:lang w:val="en-US" w:eastAsia="en-US"/>
        </w:rPr>
        <w:t xml:space="preserve"> Santos </w:t>
      </w:r>
      <w:r w:rsidRPr="00CF6765">
        <w:rPr>
          <w:rFonts w:eastAsia="Calibri"/>
          <w:sz w:val="20"/>
          <w:szCs w:val="20"/>
          <w:lang w:val="en-US" w:eastAsia="en-US"/>
        </w:rPr>
        <w:t>underscored the lack of capacity of the human resources as regard</w:t>
      </w:r>
      <w:r w:rsidR="00140DF0" w:rsidRPr="00CF6765">
        <w:rPr>
          <w:rFonts w:eastAsia="Calibri"/>
          <w:sz w:val="20"/>
          <w:szCs w:val="20"/>
          <w:lang w:val="en-US" w:eastAsia="en-US"/>
        </w:rPr>
        <w:t>s</w:t>
      </w:r>
      <w:r w:rsidRPr="00CF6765">
        <w:rPr>
          <w:rFonts w:eastAsia="Calibri"/>
          <w:sz w:val="20"/>
          <w:szCs w:val="20"/>
          <w:lang w:val="en-US" w:eastAsia="en-US"/>
        </w:rPr>
        <w:t xml:space="preserve"> knowing how to treat an older person </w:t>
      </w:r>
      <w:r w:rsidR="00140DF0" w:rsidRPr="00CF6765">
        <w:rPr>
          <w:rFonts w:eastAsia="Calibri"/>
          <w:sz w:val="20"/>
          <w:szCs w:val="20"/>
          <w:lang w:val="en-US" w:eastAsia="en-US"/>
        </w:rPr>
        <w:t>based on</w:t>
      </w:r>
      <w:r w:rsidRPr="00CF6765">
        <w:rPr>
          <w:rFonts w:eastAsia="Calibri"/>
          <w:sz w:val="20"/>
          <w:szCs w:val="20"/>
          <w:lang w:val="en-US" w:eastAsia="en-US"/>
        </w:rPr>
        <w:t xml:space="preserve"> the latter’s vulnerability</w:t>
      </w:r>
      <w:r w:rsidR="00140DF0" w:rsidRPr="00CF6765">
        <w:rPr>
          <w:rFonts w:eastAsia="Calibri"/>
          <w:sz w:val="20"/>
          <w:szCs w:val="20"/>
          <w:lang w:val="en-US" w:eastAsia="en-US"/>
        </w:rPr>
        <w:t>,</w:t>
      </w:r>
      <w:r w:rsidRPr="00CF6765">
        <w:rPr>
          <w:rFonts w:eastAsia="Calibri"/>
          <w:sz w:val="20"/>
          <w:szCs w:val="20"/>
          <w:lang w:val="en-US" w:eastAsia="en-US"/>
        </w:rPr>
        <w:t xml:space="preserve"> and the infrastructure deficiencies</w:t>
      </w:r>
      <w:r w:rsidR="002570D1" w:rsidRPr="00CF6765">
        <w:rPr>
          <w:rFonts w:eastAsia="Calibri"/>
          <w:sz w:val="20"/>
          <w:szCs w:val="20"/>
          <w:vertAlign w:val="superscript"/>
          <w:lang w:val="en-US" w:eastAsia="en-US"/>
        </w:rPr>
        <w:footnoteReference w:id="234"/>
      </w:r>
      <w:r w:rsidRPr="00CF6765">
        <w:rPr>
          <w:rFonts w:eastAsia="Calibri"/>
          <w:sz w:val="20"/>
          <w:szCs w:val="20"/>
          <w:lang w:val="en-US" w:eastAsia="en-US"/>
        </w:rPr>
        <w:t xml:space="preserve"> eviden</w:t>
      </w:r>
      <w:r w:rsidR="00140DF0" w:rsidRPr="00CF6765">
        <w:rPr>
          <w:rFonts w:eastAsia="Calibri"/>
          <w:sz w:val="20"/>
          <w:szCs w:val="20"/>
          <w:lang w:val="en-US" w:eastAsia="en-US"/>
        </w:rPr>
        <w:t>t</w:t>
      </w:r>
      <w:r w:rsidRPr="00CF6765">
        <w:rPr>
          <w:rFonts w:eastAsia="Calibri"/>
          <w:sz w:val="20"/>
          <w:szCs w:val="20"/>
          <w:lang w:val="en-US" w:eastAsia="en-US"/>
        </w:rPr>
        <w:t xml:space="preserve"> in that hospital. In particular, he stated that:</w:t>
      </w:r>
    </w:p>
    <w:p w14:paraId="6598232F" w14:textId="77777777" w:rsidR="0040464C" w:rsidRPr="00CF6765" w:rsidRDefault="0040464C" w:rsidP="0040464C">
      <w:pPr>
        <w:tabs>
          <w:tab w:val="left" w:pos="567"/>
          <w:tab w:val="num" w:pos="12305"/>
        </w:tabs>
        <w:rPr>
          <w:rFonts w:eastAsia="Calibri"/>
          <w:sz w:val="20"/>
          <w:szCs w:val="20"/>
          <w:lang w:val="en-US" w:eastAsia="en-US"/>
        </w:rPr>
      </w:pPr>
    </w:p>
    <w:p w14:paraId="42C7F13B" w14:textId="1D1AD303" w:rsidR="0040464C" w:rsidRPr="00CF6765" w:rsidRDefault="00630070" w:rsidP="00383565">
      <w:pPr>
        <w:pStyle w:val="Textonotapie"/>
        <w:ind w:left="708" w:right="532"/>
        <w:rPr>
          <w:rFonts w:eastAsia="Calibri"/>
          <w:sz w:val="18"/>
          <w:szCs w:val="18"/>
          <w:lang w:val="en-US" w:eastAsia="en-US"/>
        </w:rPr>
      </w:pPr>
      <w:r w:rsidRPr="00CF6765">
        <w:rPr>
          <w:rFonts w:eastAsia="Calibri"/>
          <w:sz w:val="18"/>
          <w:szCs w:val="18"/>
          <w:lang w:val="en-US" w:eastAsia="en-US"/>
        </w:rPr>
        <w:t>“</w:t>
      </w:r>
      <w:r w:rsidR="0040464C" w:rsidRPr="00CF6765">
        <w:rPr>
          <w:rFonts w:eastAsia="Calibri"/>
          <w:sz w:val="18"/>
          <w:szCs w:val="18"/>
          <w:lang w:val="en-US" w:eastAsia="en-US"/>
        </w:rPr>
        <w:t xml:space="preserve">[The measures that should have been taken were basic] for a medium-level hospital; it did not even have to be a high-level hospital. […] It was basic. Now, in 2001, even in the 1990s and in the 1980s also; [thus,] if the patient </w:t>
      </w:r>
      <w:r w:rsidR="00140DF0" w:rsidRPr="00CF6765">
        <w:rPr>
          <w:rFonts w:eastAsia="Calibri"/>
          <w:sz w:val="18"/>
          <w:szCs w:val="18"/>
          <w:lang w:val="en-US" w:eastAsia="en-US"/>
        </w:rPr>
        <w:t>c</w:t>
      </w:r>
      <w:r w:rsidR="0040464C" w:rsidRPr="00CF6765">
        <w:rPr>
          <w:rFonts w:eastAsia="Calibri"/>
          <w:sz w:val="18"/>
          <w:szCs w:val="18"/>
          <w:lang w:val="en-US" w:eastAsia="en-US"/>
        </w:rPr>
        <w:t xml:space="preserve">ould have had the possibility of responding, it was with the assistance of a mechanical ventilator and with </w:t>
      </w:r>
      <w:r w:rsidR="0040464C" w:rsidRPr="00CF6765">
        <w:rPr>
          <w:sz w:val="18"/>
          <w:szCs w:val="18"/>
          <w:lang w:val="en-US"/>
        </w:rPr>
        <w:t>hemodynamic monitoring in a closed unit […].”</w:t>
      </w:r>
    </w:p>
    <w:p w14:paraId="0331033F" w14:textId="77777777" w:rsidR="002570D1" w:rsidRPr="00CF6765" w:rsidRDefault="002570D1" w:rsidP="002570D1">
      <w:pPr>
        <w:ind w:right="-360"/>
        <w:rPr>
          <w:rFonts w:eastAsia="Calibri"/>
          <w:sz w:val="20"/>
          <w:szCs w:val="20"/>
          <w:lang w:val="en-US" w:eastAsia="en-US"/>
        </w:rPr>
      </w:pPr>
    </w:p>
    <w:p w14:paraId="14A95439" w14:textId="1E4278C2" w:rsidR="00F81DEB" w:rsidRPr="00CF6765" w:rsidRDefault="00D2168F"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Mr.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2570D1" w:rsidRPr="00CF6765">
        <w:rPr>
          <w:rFonts w:eastAsia="Calibri"/>
          <w:sz w:val="20"/>
          <w:szCs w:val="20"/>
          <w:lang w:val="en-US" w:eastAsia="en-US"/>
        </w:rPr>
        <w:t xml:space="preserve"> </w:t>
      </w:r>
      <w:r w:rsidR="0040464C" w:rsidRPr="00CF6765">
        <w:rPr>
          <w:rFonts w:eastAsia="Calibri"/>
          <w:sz w:val="20"/>
          <w:szCs w:val="20"/>
          <w:lang w:val="en-US" w:eastAsia="en-US"/>
        </w:rPr>
        <w:t>was an older person with additional medical conditions</w:t>
      </w:r>
      <w:r w:rsidR="00F81DEB" w:rsidRPr="00CF6765">
        <w:rPr>
          <w:rFonts w:eastAsia="Calibri"/>
          <w:sz w:val="20"/>
          <w:szCs w:val="20"/>
          <w:lang w:val="en-US" w:eastAsia="en-US"/>
        </w:rPr>
        <w:t>;</w:t>
      </w:r>
      <w:r w:rsidR="009A27E4" w:rsidRPr="00CF6765">
        <w:rPr>
          <w:rStyle w:val="Refdenotaalpie"/>
          <w:rFonts w:eastAsia="Calibri"/>
          <w:sz w:val="20"/>
          <w:szCs w:val="20"/>
          <w:lang w:val="en-US" w:eastAsia="en-US"/>
        </w:rPr>
        <w:footnoteReference w:id="235"/>
      </w:r>
      <w:r w:rsidR="00F81DEB" w:rsidRPr="00CF6765">
        <w:rPr>
          <w:rFonts w:eastAsia="Calibri"/>
          <w:sz w:val="20"/>
          <w:szCs w:val="20"/>
          <w:lang w:val="en-US" w:eastAsia="en-US"/>
        </w:rPr>
        <w:t xml:space="preserve"> this meant that his situation converted him into a patient who was even more vulnerable.</w:t>
      </w:r>
      <w:r w:rsidR="002570D1" w:rsidRPr="00CF6765">
        <w:rPr>
          <w:rFonts w:eastAsia="Calibri"/>
          <w:sz w:val="20"/>
          <w:szCs w:val="20"/>
          <w:lang w:val="en-US" w:eastAsia="en-US"/>
        </w:rPr>
        <w:t xml:space="preserve"> </w:t>
      </w:r>
      <w:r w:rsidR="00F81DEB" w:rsidRPr="00CF6765">
        <w:rPr>
          <w:rFonts w:eastAsia="Calibri"/>
          <w:sz w:val="20"/>
          <w:szCs w:val="20"/>
          <w:lang w:val="en-US" w:eastAsia="en-US"/>
        </w:rPr>
        <w:t>Nevertheless, it has been shown that he did not receive adequate treatment based on his specific condition. The factual framework reveals that, during his second admission, he required urgent health care services and their immediate provision was vital. In sum, the patient required urgent, good quality medical care, which the public health system failed to provide, so that the situation resulted in discrimination owing to his condition as an older person.</w:t>
      </w:r>
    </w:p>
    <w:p w14:paraId="29A8EB08" w14:textId="77777777" w:rsidR="00E63E9D" w:rsidRPr="00CF6765" w:rsidRDefault="00E63E9D" w:rsidP="005430FF">
      <w:pPr>
        <w:tabs>
          <w:tab w:val="left" w:pos="567"/>
        </w:tabs>
        <w:rPr>
          <w:rFonts w:eastAsia="Calibri"/>
          <w:sz w:val="20"/>
          <w:szCs w:val="20"/>
          <w:lang w:val="en-US" w:eastAsia="en-US"/>
        </w:rPr>
      </w:pPr>
    </w:p>
    <w:p w14:paraId="3FDB5141" w14:textId="1B646DC6" w:rsidR="00201341" w:rsidRPr="00CF6765" w:rsidRDefault="00F81DEB" w:rsidP="00F81DEB">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Based on the above, </w:t>
      </w:r>
      <w:r w:rsidR="005C731C" w:rsidRPr="00CF6765">
        <w:rPr>
          <w:rFonts w:eastAsia="Calibri"/>
          <w:sz w:val="20"/>
          <w:szCs w:val="20"/>
          <w:lang w:val="en-US" w:eastAsia="en-US"/>
        </w:rPr>
        <w:t>the Court</w:t>
      </w:r>
      <w:r w:rsidR="002570D1" w:rsidRPr="00CF6765">
        <w:rPr>
          <w:rFonts w:eastAsia="Calibri"/>
          <w:sz w:val="20"/>
          <w:szCs w:val="20"/>
          <w:lang w:val="en-US" w:eastAsia="en-US"/>
        </w:rPr>
        <w:t xml:space="preserve"> conclu</w:t>
      </w:r>
      <w:r w:rsidRPr="00CF6765">
        <w:rPr>
          <w:rFonts w:eastAsia="Calibri"/>
          <w:sz w:val="20"/>
          <w:szCs w:val="20"/>
          <w:lang w:val="en-US" w:eastAsia="en-US"/>
        </w:rPr>
        <w:t xml:space="preserve">des that </w:t>
      </w:r>
      <w:r w:rsidR="00EC50FC" w:rsidRPr="00CF6765">
        <w:rPr>
          <w:rFonts w:eastAsia="Calibri"/>
          <w:sz w:val="20"/>
          <w:szCs w:val="20"/>
          <w:lang w:val="en-US" w:eastAsia="en-US"/>
        </w:rPr>
        <w:t xml:space="preserve">the </w:t>
      </w:r>
      <w:r w:rsidR="00671A8C" w:rsidRPr="00CF6765">
        <w:rPr>
          <w:rFonts w:eastAsia="Calibri"/>
          <w:sz w:val="20"/>
          <w:szCs w:val="20"/>
          <w:lang w:val="en-US" w:eastAsia="en-US"/>
        </w:rPr>
        <w:t>Chilean State</w:t>
      </w:r>
      <w:r w:rsidR="002570D1" w:rsidRPr="00CF6765">
        <w:rPr>
          <w:rFonts w:eastAsia="Calibri"/>
          <w:sz w:val="20"/>
          <w:szCs w:val="20"/>
          <w:lang w:val="en-US" w:eastAsia="en-US"/>
        </w:rPr>
        <w:t xml:space="preserve"> </w:t>
      </w:r>
      <w:r w:rsidRPr="00CF6765">
        <w:rPr>
          <w:rFonts w:eastAsia="Calibri"/>
          <w:sz w:val="20"/>
          <w:szCs w:val="20"/>
          <w:lang w:val="en-US" w:eastAsia="en-US"/>
        </w:rPr>
        <w:t>did not ensure</w:t>
      </w:r>
      <w:r w:rsidR="009339F5" w:rsidRPr="00CF6765">
        <w:rPr>
          <w:rFonts w:eastAsia="Calibri"/>
          <w:sz w:val="20"/>
          <w:szCs w:val="20"/>
          <w:lang w:val="en-US" w:eastAsia="en-US"/>
        </w:rPr>
        <w:t xml:space="preserve"> Mr. Poblete</w:t>
      </w:r>
      <w:r w:rsidR="002570D1" w:rsidRPr="00CF6765">
        <w:rPr>
          <w:rFonts w:eastAsia="Calibri"/>
          <w:sz w:val="20"/>
          <w:szCs w:val="20"/>
          <w:lang w:val="en-US" w:eastAsia="en-US"/>
        </w:rPr>
        <w:t xml:space="preserve"> </w:t>
      </w:r>
      <w:proofErr w:type="spellStart"/>
      <w:r w:rsidR="001E55C3" w:rsidRPr="00CF6765">
        <w:rPr>
          <w:rFonts w:eastAsia="Calibri"/>
          <w:sz w:val="20"/>
          <w:szCs w:val="20"/>
          <w:lang w:val="en-US" w:eastAsia="en-US"/>
        </w:rPr>
        <w:t>Vilches’s</w:t>
      </w:r>
      <w:proofErr w:type="spellEnd"/>
      <w:r w:rsidR="001E55C3" w:rsidRPr="00CF6765">
        <w:rPr>
          <w:rFonts w:eastAsia="Calibri"/>
          <w:sz w:val="20"/>
          <w:szCs w:val="20"/>
          <w:lang w:val="en-US" w:eastAsia="en-US"/>
        </w:rPr>
        <w:t xml:space="preserve"> </w:t>
      </w:r>
      <w:r w:rsidRPr="00CF6765">
        <w:rPr>
          <w:rFonts w:eastAsia="Calibri"/>
          <w:sz w:val="20"/>
          <w:szCs w:val="20"/>
          <w:lang w:val="en-US" w:eastAsia="en-US"/>
        </w:rPr>
        <w:t xml:space="preserve">right to health without discrimination, by providing the necessary and urgent services required by his special situation of vulnerability as an older person. Therefore, the State violated the right to health, </w:t>
      </w:r>
      <w:r w:rsidR="00C8154C" w:rsidRPr="00CF6765">
        <w:rPr>
          <w:rFonts w:eastAsia="Calibri"/>
          <w:sz w:val="20"/>
          <w:szCs w:val="20"/>
          <w:lang w:val="en-US" w:eastAsia="en-US"/>
        </w:rPr>
        <w:t>pursuant to</w:t>
      </w:r>
      <w:r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2570D1" w:rsidRPr="00CF6765">
        <w:rPr>
          <w:rFonts w:eastAsia="Calibri"/>
          <w:sz w:val="20"/>
          <w:szCs w:val="20"/>
          <w:lang w:val="en-US" w:eastAsia="en-US"/>
        </w:rPr>
        <w:t xml:space="preserve"> 26</w:t>
      </w:r>
      <w:r w:rsidR="005C731C" w:rsidRPr="00CF6765">
        <w:rPr>
          <w:rFonts w:eastAsia="Calibri"/>
          <w:sz w:val="20"/>
          <w:szCs w:val="20"/>
          <w:lang w:val="en-US" w:eastAsia="en-US"/>
        </w:rPr>
        <w:t xml:space="preserve"> of the American Convention</w:t>
      </w:r>
      <w:r w:rsidR="002570D1" w:rsidRPr="00CF6765">
        <w:rPr>
          <w:rFonts w:eastAsia="Calibri"/>
          <w:sz w:val="20"/>
          <w:szCs w:val="20"/>
          <w:lang w:val="en-US" w:eastAsia="en-US"/>
        </w:rPr>
        <w:t xml:space="preserve">, </w:t>
      </w:r>
      <w:r w:rsidR="00690D57" w:rsidRPr="00CF6765">
        <w:rPr>
          <w:rFonts w:eastAsia="Calibri"/>
          <w:sz w:val="20"/>
          <w:szCs w:val="20"/>
          <w:lang w:val="en-US" w:eastAsia="en-US"/>
        </w:rPr>
        <w:t>in relation to Article</w:t>
      </w:r>
      <w:r w:rsidR="00EC50FC" w:rsidRPr="00CF6765">
        <w:rPr>
          <w:rFonts w:eastAsia="Calibri"/>
          <w:sz w:val="20"/>
          <w:szCs w:val="20"/>
          <w:lang w:val="en-US" w:eastAsia="en-US"/>
        </w:rPr>
        <w:t xml:space="preserve"> 1(1)</w:t>
      </w:r>
      <w:r w:rsidR="002570D1" w:rsidRPr="00CF6765">
        <w:rPr>
          <w:rFonts w:eastAsia="Calibri"/>
          <w:sz w:val="20"/>
          <w:szCs w:val="20"/>
          <w:lang w:val="en-US" w:eastAsia="en-US"/>
        </w:rPr>
        <w:t xml:space="preserve"> </w:t>
      </w:r>
      <w:r w:rsidRPr="00CF6765">
        <w:rPr>
          <w:rFonts w:eastAsia="Calibri"/>
          <w:sz w:val="20"/>
          <w:szCs w:val="20"/>
          <w:lang w:val="en-US" w:eastAsia="en-US"/>
        </w:rPr>
        <w:t xml:space="preserve">of this instrument, </w:t>
      </w:r>
      <w:r w:rsidR="00690D57" w:rsidRPr="00CF6765">
        <w:rPr>
          <w:rFonts w:eastAsia="Calibri"/>
          <w:sz w:val="20"/>
          <w:szCs w:val="20"/>
          <w:lang w:val="en-US" w:eastAsia="en-US"/>
        </w:rPr>
        <w:t xml:space="preserve">to the detriment </w:t>
      </w:r>
      <w:r w:rsidR="009339F5" w:rsidRPr="00CF6765">
        <w:rPr>
          <w:rFonts w:eastAsia="Calibri"/>
          <w:sz w:val="20"/>
          <w:szCs w:val="20"/>
          <w:lang w:val="en-US" w:eastAsia="en-US"/>
        </w:rPr>
        <w:t>of Mr.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2570D1" w:rsidRPr="00CF6765">
        <w:rPr>
          <w:rFonts w:eastAsia="Calibri"/>
          <w:sz w:val="20"/>
          <w:szCs w:val="20"/>
          <w:lang w:val="en-US" w:eastAsia="en-US"/>
        </w:rPr>
        <w:t>.</w:t>
      </w:r>
    </w:p>
    <w:p w14:paraId="4BAB1191" w14:textId="5BA38AC0" w:rsidR="007A74DF" w:rsidRPr="00CF6765" w:rsidRDefault="00164C05" w:rsidP="00840E52">
      <w:pPr>
        <w:pStyle w:val="Ttulo4"/>
        <w:ind w:left="2124"/>
        <w:rPr>
          <w:rFonts w:eastAsia="Calibri"/>
          <w:lang w:val="en-US" w:eastAsia="en-US"/>
        </w:rPr>
      </w:pPr>
      <w:bookmarkStart w:id="79" w:name="_Toc47864381"/>
      <w:r w:rsidRPr="00CF6765">
        <w:rPr>
          <w:rFonts w:eastAsia="Calibri"/>
          <w:b/>
          <w:lang w:val="en-US" w:eastAsia="en-US"/>
        </w:rPr>
        <w:t xml:space="preserve">1.2 </w:t>
      </w:r>
      <w:r w:rsidR="001A7D7F" w:rsidRPr="00CF6765">
        <w:rPr>
          <w:rFonts w:eastAsia="Calibri"/>
          <w:b/>
          <w:lang w:val="en-US" w:eastAsia="en-US"/>
        </w:rPr>
        <w:t xml:space="preserve">Rights to life and </w:t>
      </w:r>
      <w:r w:rsidR="00140DF0" w:rsidRPr="00CF6765">
        <w:rPr>
          <w:rFonts w:eastAsia="Calibri"/>
          <w:b/>
          <w:lang w:val="en-US" w:eastAsia="en-US"/>
        </w:rPr>
        <w:t xml:space="preserve">to </w:t>
      </w:r>
      <w:r w:rsidR="001A7D7F" w:rsidRPr="00CF6765">
        <w:rPr>
          <w:rFonts w:eastAsia="Calibri"/>
          <w:b/>
          <w:lang w:val="en-US" w:eastAsia="en-US"/>
        </w:rPr>
        <w:t>personal integrity</w:t>
      </w:r>
      <w:bookmarkEnd w:id="79"/>
    </w:p>
    <w:p w14:paraId="7CCDD525" w14:textId="2F5C1818" w:rsidR="00840E52" w:rsidRPr="00CF6765" w:rsidRDefault="00840E52" w:rsidP="002570D1">
      <w:pPr>
        <w:rPr>
          <w:rFonts w:eastAsia="Calibri"/>
          <w:lang w:val="en-US" w:eastAsia="en-US"/>
        </w:rPr>
      </w:pPr>
    </w:p>
    <w:p w14:paraId="7889380F" w14:textId="1C4FD6C4" w:rsidR="00967ED8" w:rsidRPr="00CF6765" w:rsidRDefault="00967ED8" w:rsidP="00AB1E03">
      <w:pPr>
        <w:ind w:left="708" w:firstLine="708"/>
        <w:rPr>
          <w:rFonts w:eastAsia="Calibri"/>
          <w:b/>
          <w:i/>
          <w:sz w:val="20"/>
          <w:szCs w:val="20"/>
          <w:lang w:val="en-US" w:eastAsia="en-US"/>
        </w:rPr>
      </w:pPr>
      <w:r w:rsidRPr="00CF6765">
        <w:rPr>
          <w:rFonts w:eastAsia="Calibri"/>
          <w:b/>
          <w:i/>
          <w:sz w:val="20"/>
          <w:szCs w:val="20"/>
          <w:lang w:val="en-US" w:eastAsia="en-US"/>
        </w:rPr>
        <w:t xml:space="preserve">1.2.1 </w:t>
      </w:r>
      <w:r w:rsidR="001A7D7F" w:rsidRPr="00CF6765">
        <w:rPr>
          <w:rFonts w:eastAsia="Calibri"/>
          <w:b/>
          <w:i/>
          <w:sz w:val="20"/>
          <w:szCs w:val="20"/>
          <w:lang w:val="en-US" w:eastAsia="en-US"/>
        </w:rPr>
        <w:t>Regarding the right</w:t>
      </w:r>
      <w:r w:rsidR="0077190E" w:rsidRPr="00CF6765">
        <w:rPr>
          <w:rFonts w:eastAsia="Calibri"/>
          <w:b/>
          <w:i/>
          <w:sz w:val="20"/>
          <w:szCs w:val="20"/>
          <w:lang w:val="en-US" w:eastAsia="en-US"/>
        </w:rPr>
        <w:t xml:space="preserve"> to life</w:t>
      </w:r>
    </w:p>
    <w:p w14:paraId="1442E58B" w14:textId="77777777" w:rsidR="00967ED8" w:rsidRPr="00CF6765" w:rsidRDefault="00967ED8" w:rsidP="002570D1">
      <w:pPr>
        <w:rPr>
          <w:rFonts w:eastAsia="Calibri"/>
          <w:lang w:val="en-US" w:eastAsia="en-US"/>
        </w:rPr>
      </w:pPr>
    </w:p>
    <w:p w14:paraId="7F76D4BD" w14:textId="5F6CDF18" w:rsidR="002570D1" w:rsidRPr="00CF6765" w:rsidRDefault="00EC50FC"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State</w:t>
      </w:r>
      <w:r w:rsidR="002570D1" w:rsidRPr="00CF6765">
        <w:rPr>
          <w:rFonts w:eastAsia="Calibri"/>
          <w:sz w:val="20"/>
          <w:szCs w:val="20"/>
          <w:lang w:val="en-US" w:eastAsia="en-US"/>
        </w:rPr>
        <w:t xml:space="preserve"> </w:t>
      </w:r>
      <w:r w:rsidR="00F81DEB" w:rsidRPr="00CF6765">
        <w:rPr>
          <w:rFonts w:eastAsia="Calibri"/>
          <w:sz w:val="20"/>
          <w:szCs w:val="20"/>
          <w:lang w:val="en-US" w:eastAsia="en-US"/>
        </w:rPr>
        <w:t xml:space="preserve">did not </w:t>
      </w:r>
      <w:r w:rsidR="0090740B" w:rsidRPr="00CF6765">
        <w:rPr>
          <w:rFonts w:eastAsia="Calibri"/>
          <w:sz w:val="20"/>
          <w:szCs w:val="20"/>
          <w:lang w:val="en-US" w:eastAsia="en-US"/>
        </w:rPr>
        <w:t>acknowledge</w:t>
      </w:r>
      <w:r w:rsidR="00F81DEB" w:rsidRPr="00CF6765">
        <w:rPr>
          <w:rFonts w:eastAsia="Calibri"/>
          <w:sz w:val="20"/>
          <w:szCs w:val="20"/>
          <w:lang w:val="en-US" w:eastAsia="en-US"/>
        </w:rPr>
        <w:t xml:space="preserve"> its responsibility for the violation </w:t>
      </w:r>
      <w:r w:rsidR="0088423A" w:rsidRPr="00CF6765">
        <w:rPr>
          <w:rFonts w:eastAsia="Calibri"/>
          <w:sz w:val="20"/>
          <w:szCs w:val="20"/>
          <w:lang w:val="en-US" w:eastAsia="en-US"/>
        </w:rPr>
        <w:t>of Article</w:t>
      </w:r>
      <w:r w:rsidR="002570D1" w:rsidRPr="00CF6765">
        <w:rPr>
          <w:rFonts w:eastAsia="Calibri"/>
          <w:sz w:val="20"/>
          <w:szCs w:val="20"/>
          <w:lang w:val="en-US" w:eastAsia="en-US"/>
        </w:rPr>
        <w:t xml:space="preserve"> 4</w:t>
      </w:r>
      <w:r w:rsidR="005C731C" w:rsidRPr="00CF6765">
        <w:rPr>
          <w:rFonts w:eastAsia="Calibri"/>
          <w:sz w:val="20"/>
          <w:szCs w:val="20"/>
          <w:lang w:val="en-US" w:eastAsia="en-US"/>
        </w:rPr>
        <w:t xml:space="preserve"> of the American Convention</w:t>
      </w:r>
      <w:r w:rsidR="002570D1" w:rsidRPr="00CF6765">
        <w:rPr>
          <w:rFonts w:eastAsia="Calibri"/>
          <w:sz w:val="20"/>
          <w:szCs w:val="20"/>
          <w:lang w:val="en-US" w:eastAsia="en-US"/>
        </w:rPr>
        <w:t xml:space="preserve">, </w:t>
      </w:r>
      <w:r w:rsidR="00F81DEB" w:rsidRPr="00CF6765">
        <w:rPr>
          <w:rFonts w:eastAsia="Calibri"/>
          <w:sz w:val="20"/>
          <w:szCs w:val="20"/>
          <w:lang w:val="en-US" w:eastAsia="en-US"/>
        </w:rPr>
        <w:t xml:space="preserve">considering that the facts that occurred lacked a causal nexus to the death </w:t>
      </w:r>
      <w:r w:rsidR="00D04694" w:rsidRPr="00CF6765">
        <w:rPr>
          <w:rFonts w:eastAsia="Calibri"/>
          <w:sz w:val="20"/>
          <w:szCs w:val="20"/>
          <w:lang w:val="en-US" w:eastAsia="en-US"/>
        </w:rPr>
        <w:t>of Mr.</w:t>
      </w:r>
      <w:r w:rsidR="00D2168F" w:rsidRPr="00CF6765">
        <w:rPr>
          <w:rFonts w:eastAsia="Calibri"/>
          <w:sz w:val="20"/>
          <w:szCs w:val="20"/>
          <w:lang w:val="en-US" w:eastAsia="en-US"/>
        </w:rPr>
        <w:t xml:space="preserve">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874307" w:rsidRPr="00CF6765">
        <w:rPr>
          <w:rFonts w:eastAsia="Calibri"/>
          <w:sz w:val="20"/>
          <w:szCs w:val="20"/>
          <w:lang w:val="en-US" w:eastAsia="en-US"/>
        </w:rPr>
        <w:t xml:space="preserve"> (</w:t>
      </w:r>
      <w:r w:rsidR="00874307" w:rsidRPr="00CF6765">
        <w:rPr>
          <w:rFonts w:eastAsia="Calibri"/>
          <w:i/>
          <w:sz w:val="20"/>
          <w:szCs w:val="20"/>
          <w:lang w:val="en-US" w:eastAsia="en-US"/>
        </w:rPr>
        <w:t>supra</w:t>
      </w:r>
      <w:r w:rsidR="00874307" w:rsidRPr="00CF6765">
        <w:rPr>
          <w:rFonts w:eastAsia="Calibri"/>
          <w:sz w:val="20"/>
          <w:szCs w:val="20"/>
          <w:lang w:val="en-US" w:eastAsia="en-US"/>
        </w:rPr>
        <w:t xml:space="preserve"> </w:t>
      </w:r>
      <w:r w:rsidRPr="00CF6765">
        <w:rPr>
          <w:rFonts w:eastAsia="Calibri"/>
          <w:sz w:val="20"/>
          <w:szCs w:val="20"/>
          <w:lang w:val="en-US" w:eastAsia="en-US"/>
        </w:rPr>
        <w:t>para.</w:t>
      </w:r>
      <w:r w:rsidR="00874307" w:rsidRPr="00CF6765">
        <w:rPr>
          <w:rFonts w:eastAsia="Calibri"/>
          <w:sz w:val="20"/>
          <w:szCs w:val="20"/>
          <w:lang w:val="en-US" w:eastAsia="en-US"/>
        </w:rPr>
        <w:t xml:space="preserve"> 20)</w:t>
      </w:r>
      <w:r w:rsidR="002570D1" w:rsidRPr="00CF6765">
        <w:rPr>
          <w:rFonts w:eastAsia="Calibri"/>
          <w:sz w:val="20"/>
          <w:szCs w:val="20"/>
          <w:lang w:val="en-US" w:eastAsia="en-US"/>
        </w:rPr>
        <w:t>.</w:t>
      </w:r>
      <w:r w:rsidR="00F81DEB" w:rsidRPr="00CF6765">
        <w:rPr>
          <w:rFonts w:eastAsia="Calibri"/>
          <w:sz w:val="20"/>
          <w:szCs w:val="20"/>
          <w:lang w:val="en-US" w:eastAsia="en-US"/>
        </w:rPr>
        <w:t xml:space="preserve"> The Court must therefore determine whether there is evidence that proves that the </w:t>
      </w:r>
      <w:r w:rsidR="00A7751F" w:rsidRPr="00CF6765">
        <w:rPr>
          <w:rFonts w:eastAsia="Calibri"/>
          <w:sz w:val="20"/>
          <w:szCs w:val="20"/>
          <w:lang w:val="en-US" w:eastAsia="en-US"/>
        </w:rPr>
        <w:t xml:space="preserve">State’s </w:t>
      </w:r>
      <w:r w:rsidR="00F81DEB" w:rsidRPr="00CF6765">
        <w:rPr>
          <w:rFonts w:eastAsia="Calibri"/>
          <w:sz w:val="20"/>
          <w:szCs w:val="20"/>
          <w:lang w:val="en-US" w:eastAsia="en-US"/>
        </w:rPr>
        <w:t>acts or omissions resulted in the death</w:t>
      </w:r>
      <w:r w:rsidR="002570D1" w:rsidRPr="00CF6765">
        <w:rPr>
          <w:rFonts w:eastAsia="Calibri"/>
          <w:sz w:val="20"/>
          <w:szCs w:val="20"/>
          <w:lang w:val="en-US" w:eastAsia="en-US"/>
        </w:rPr>
        <w:t xml:space="preserve"> </w:t>
      </w:r>
      <w:r w:rsidR="00E15A35" w:rsidRPr="00CF6765">
        <w:rPr>
          <w:rFonts w:eastAsia="Calibri"/>
          <w:sz w:val="20"/>
          <w:szCs w:val="20"/>
          <w:lang w:val="en-US" w:eastAsia="en-US"/>
        </w:rPr>
        <w:t xml:space="preserve">of the </w:t>
      </w:r>
      <w:r w:rsidR="004C3B57" w:rsidRPr="00CF6765">
        <w:rPr>
          <w:rFonts w:eastAsia="Calibri"/>
          <w:sz w:val="20"/>
          <w:szCs w:val="20"/>
          <w:lang w:val="en-US" w:eastAsia="en-US"/>
        </w:rPr>
        <w:t>patient</w:t>
      </w:r>
      <w:r w:rsidR="002570D1" w:rsidRPr="00CF6765">
        <w:rPr>
          <w:rFonts w:eastAsia="Calibri"/>
          <w:sz w:val="20"/>
          <w:szCs w:val="20"/>
          <w:lang w:val="en-US" w:eastAsia="en-US"/>
        </w:rPr>
        <w:t xml:space="preserve">. </w:t>
      </w:r>
    </w:p>
    <w:p w14:paraId="0CCC50DF" w14:textId="77777777" w:rsidR="002570D1" w:rsidRPr="00CF6765" w:rsidRDefault="002570D1" w:rsidP="002570D1">
      <w:pPr>
        <w:rPr>
          <w:rFonts w:eastAsia="Calibri"/>
          <w:sz w:val="20"/>
          <w:szCs w:val="20"/>
          <w:lang w:val="en-US" w:eastAsia="en-US"/>
        </w:rPr>
      </w:pPr>
    </w:p>
    <w:p w14:paraId="15473862" w14:textId="556B3008" w:rsidR="002570D1" w:rsidRPr="00CF6765" w:rsidRDefault="005C731C" w:rsidP="00F81DEB">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Court</w:t>
      </w:r>
      <w:r w:rsidR="002570D1" w:rsidRPr="00CF6765">
        <w:rPr>
          <w:rFonts w:eastAsia="Calibri"/>
          <w:sz w:val="20"/>
          <w:szCs w:val="20"/>
          <w:lang w:val="en-US" w:eastAsia="en-US"/>
        </w:rPr>
        <w:t xml:space="preserve"> ha</w:t>
      </w:r>
      <w:r w:rsidR="00F81DEB" w:rsidRPr="00CF6765">
        <w:rPr>
          <w:rFonts w:eastAsia="Calibri"/>
          <w:sz w:val="20"/>
          <w:szCs w:val="20"/>
          <w:lang w:val="en-US" w:eastAsia="en-US"/>
        </w:rPr>
        <w:t>s indicated that</w:t>
      </w:r>
      <w:r w:rsidR="002570D1" w:rsidRPr="00CF6765">
        <w:rPr>
          <w:rFonts w:eastAsia="Calibri"/>
          <w:sz w:val="20"/>
          <w:szCs w:val="20"/>
          <w:lang w:val="en-US" w:eastAsia="en-US"/>
        </w:rPr>
        <w:t xml:space="preserve"> </w:t>
      </w:r>
      <w:r w:rsidR="00F81DEB" w:rsidRPr="00CF6765">
        <w:rPr>
          <w:rFonts w:eastAsia="Calibri"/>
          <w:sz w:val="20"/>
          <w:szCs w:val="20"/>
          <w:lang w:val="en-US" w:eastAsia="en-US"/>
        </w:rPr>
        <w:t>the</w:t>
      </w:r>
      <w:r w:rsidR="002570D1" w:rsidRPr="00CF6765">
        <w:rPr>
          <w:rFonts w:eastAsia="Calibri"/>
          <w:sz w:val="20"/>
          <w:szCs w:val="20"/>
          <w:lang w:val="en-US" w:eastAsia="en-US"/>
        </w:rPr>
        <w:t xml:space="preserve"> </w:t>
      </w:r>
      <w:r w:rsidR="0077190E" w:rsidRPr="00CF6765">
        <w:rPr>
          <w:rFonts w:eastAsia="Calibri"/>
          <w:sz w:val="20"/>
          <w:szCs w:val="20"/>
          <w:lang w:val="en-US" w:eastAsia="en-US"/>
        </w:rPr>
        <w:t>right to life</w:t>
      </w:r>
      <w:r w:rsidR="002570D1" w:rsidRPr="00CF6765">
        <w:rPr>
          <w:rFonts w:eastAsia="Calibri"/>
          <w:sz w:val="20"/>
          <w:szCs w:val="20"/>
          <w:lang w:val="en-US" w:eastAsia="en-US"/>
        </w:rPr>
        <w:t xml:space="preserve"> </w:t>
      </w:r>
      <w:r w:rsidR="00F81DEB" w:rsidRPr="00CF6765">
        <w:rPr>
          <w:rFonts w:eastAsia="Calibri"/>
          <w:sz w:val="20"/>
          <w:szCs w:val="20"/>
          <w:lang w:val="en-US" w:eastAsia="en-US"/>
        </w:rPr>
        <w:t>is a fundamental human right, and its full enjoyment is a requi</w:t>
      </w:r>
      <w:r w:rsidR="00A7751F" w:rsidRPr="00CF6765">
        <w:rPr>
          <w:rFonts w:eastAsia="Calibri"/>
          <w:sz w:val="20"/>
          <w:szCs w:val="20"/>
          <w:lang w:val="en-US" w:eastAsia="en-US"/>
        </w:rPr>
        <w:t>rement</w:t>
      </w:r>
      <w:r w:rsidR="00F81DEB" w:rsidRPr="00CF6765">
        <w:rPr>
          <w:rFonts w:eastAsia="Calibri"/>
          <w:sz w:val="20"/>
          <w:szCs w:val="20"/>
          <w:lang w:val="en-US" w:eastAsia="en-US"/>
        </w:rPr>
        <w:t xml:space="preserve"> for the enjoyment of all the other human rights. Owing to th</w:t>
      </w:r>
      <w:r w:rsidR="00A7751F" w:rsidRPr="00CF6765">
        <w:rPr>
          <w:rFonts w:eastAsia="Calibri"/>
          <w:sz w:val="20"/>
          <w:szCs w:val="20"/>
          <w:lang w:val="en-US" w:eastAsia="en-US"/>
        </w:rPr>
        <w:t>e</w:t>
      </w:r>
      <w:r w:rsidR="00F81DEB" w:rsidRPr="00CF6765">
        <w:rPr>
          <w:rFonts w:eastAsia="Calibri"/>
          <w:sz w:val="20"/>
          <w:szCs w:val="20"/>
          <w:lang w:val="en-US" w:eastAsia="en-US"/>
        </w:rPr>
        <w:t xml:space="preserve"> </w:t>
      </w:r>
      <w:r w:rsidR="00F81DEB" w:rsidRPr="00CF6765">
        <w:rPr>
          <w:rFonts w:eastAsia="Calibri"/>
          <w:sz w:val="20"/>
          <w:szCs w:val="20"/>
          <w:lang w:val="en-US" w:eastAsia="en-US"/>
        </w:rPr>
        <w:lastRenderedPageBreak/>
        <w:t>fundamental role assigned to it in the Convention, States have the obligation to create the conditions required to ensure that this right is not violated.</w:t>
      </w:r>
      <w:r w:rsidR="002570D1" w:rsidRPr="00CF6765">
        <w:rPr>
          <w:rFonts w:eastAsia="Calibri"/>
          <w:sz w:val="20"/>
          <w:szCs w:val="20"/>
          <w:vertAlign w:val="superscript"/>
          <w:lang w:val="en-US" w:eastAsia="en-US"/>
        </w:rPr>
        <w:footnoteReference w:id="236"/>
      </w:r>
      <w:r w:rsidR="002570D1" w:rsidRPr="00CF6765">
        <w:rPr>
          <w:rFonts w:eastAsia="Calibri"/>
          <w:sz w:val="20"/>
          <w:szCs w:val="20"/>
          <w:lang w:val="en-US" w:eastAsia="en-US"/>
        </w:rPr>
        <w:t xml:space="preserve"> </w:t>
      </w:r>
    </w:p>
    <w:p w14:paraId="684AB202" w14:textId="77777777" w:rsidR="002570D1" w:rsidRPr="00CF6765" w:rsidRDefault="002570D1" w:rsidP="00F81DEB">
      <w:pPr>
        <w:ind w:right="-360"/>
        <w:rPr>
          <w:rFonts w:eastAsia="Calibri"/>
          <w:sz w:val="20"/>
          <w:szCs w:val="20"/>
          <w:lang w:val="en-US" w:eastAsia="en-US"/>
        </w:rPr>
      </w:pPr>
    </w:p>
    <w:p w14:paraId="149BEF97" w14:textId="3AE9BEB1" w:rsidR="002570D1" w:rsidRPr="00CF6765" w:rsidRDefault="00F81DEB"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Court has affirmed that State</w:t>
      </w:r>
      <w:r w:rsidR="005C6133" w:rsidRPr="00CF6765">
        <w:rPr>
          <w:rFonts w:eastAsia="Calibri"/>
          <w:sz w:val="20"/>
          <w:szCs w:val="20"/>
          <w:lang w:val="en-US" w:eastAsia="en-US"/>
        </w:rPr>
        <w:t>s</w:t>
      </w:r>
      <w:r w:rsidRPr="00CF6765">
        <w:rPr>
          <w:rFonts w:eastAsia="Calibri"/>
          <w:sz w:val="20"/>
          <w:szCs w:val="20"/>
          <w:lang w:val="en-US" w:eastAsia="en-US"/>
        </w:rPr>
        <w:t xml:space="preserve"> must implement positive measures to protect the life of the persons </w:t>
      </w:r>
      <w:r w:rsidR="003731BA" w:rsidRPr="00CF6765">
        <w:rPr>
          <w:rFonts w:eastAsia="Calibri"/>
          <w:sz w:val="20"/>
          <w:szCs w:val="20"/>
          <w:lang w:val="en-US" w:eastAsia="en-US"/>
        </w:rPr>
        <w:t>under</w:t>
      </w:r>
      <w:r w:rsidRPr="00CF6765">
        <w:rPr>
          <w:rFonts w:eastAsia="Calibri"/>
          <w:sz w:val="20"/>
          <w:szCs w:val="20"/>
          <w:lang w:val="en-US" w:eastAsia="en-US"/>
        </w:rPr>
        <w:t xml:space="preserve"> </w:t>
      </w:r>
      <w:r w:rsidR="005C6133" w:rsidRPr="00CF6765">
        <w:rPr>
          <w:rFonts w:eastAsia="Calibri"/>
          <w:sz w:val="20"/>
          <w:szCs w:val="20"/>
          <w:lang w:val="en-US" w:eastAsia="en-US"/>
        </w:rPr>
        <w:t>their</w:t>
      </w:r>
      <w:r w:rsidRPr="00CF6765">
        <w:rPr>
          <w:rFonts w:eastAsia="Calibri"/>
          <w:sz w:val="20"/>
          <w:szCs w:val="20"/>
          <w:lang w:val="en-US" w:eastAsia="en-US"/>
        </w:rPr>
        <w:t xml:space="preserve"> jurisdiction</w:t>
      </w:r>
      <w:r w:rsidR="00DA157F" w:rsidRPr="00CF6765">
        <w:rPr>
          <w:rFonts w:eastAsia="Calibri"/>
          <w:sz w:val="20"/>
          <w:szCs w:val="20"/>
          <w:lang w:val="en-US" w:eastAsia="en-US"/>
        </w:rPr>
        <w:t xml:space="preserve">. Moreover, </w:t>
      </w:r>
      <w:r w:rsidR="005C6133" w:rsidRPr="00CF6765">
        <w:rPr>
          <w:rFonts w:eastAsia="Calibri"/>
          <w:sz w:val="20"/>
          <w:szCs w:val="20"/>
          <w:lang w:val="en-US" w:eastAsia="en-US"/>
        </w:rPr>
        <w:t>they</w:t>
      </w:r>
      <w:r w:rsidR="00DA157F" w:rsidRPr="00CF6765">
        <w:rPr>
          <w:rFonts w:eastAsia="Calibri"/>
          <w:sz w:val="20"/>
          <w:szCs w:val="20"/>
          <w:lang w:val="en-US" w:eastAsia="en-US"/>
        </w:rPr>
        <w:t xml:space="preserve"> must</w:t>
      </w:r>
      <w:r w:rsidRPr="00CF6765">
        <w:rPr>
          <w:rFonts w:eastAsia="Calibri"/>
          <w:sz w:val="20"/>
          <w:szCs w:val="20"/>
          <w:lang w:val="en-US" w:eastAsia="en-US"/>
        </w:rPr>
        <w:t xml:space="preserve"> ensure the quality of health services </w:t>
      </w:r>
      <w:r w:rsidR="00EC50FC" w:rsidRPr="00CF6765">
        <w:rPr>
          <w:rFonts w:eastAsia="Calibri"/>
          <w:sz w:val="20"/>
          <w:szCs w:val="20"/>
          <w:lang w:val="en-US" w:eastAsia="en-US"/>
        </w:rPr>
        <w:t xml:space="preserve">and </w:t>
      </w:r>
      <w:r w:rsidR="00DA157F" w:rsidRPr="00CF6765">
        <w:rPr>
          <w:rFonts w:eastAsia="Calibri"/>
          <w:sz w:val="20"/>
          <w:szCs w:val="20"/>
          <w:lang w:val="en-US" w:eastAsia="en-US"/>
        </w:rPr>
        <w:t>that health care professionals meet the necessary requirements for the exercise of their profession in order to protect the life of their patients.</w:t>
      </w:r>
      <w:r w:rsidR="00DA1A27" w:rsidRPr="00CF6765">
        <w:rPr>
          <w:rFonts w:eastAsia="Calibri"/>
          <w:sz w:val="20"/>
          <w:szCs w:val="20"/>
          <w:vertAlign w:val="superscript"/>
          <w:lang w:val="en-US" w:eastAsia="en-US"/>
        </w:rPr>
        <w:footnoteReference w:id="237"/>
      </w:r>
      <w:r w:rsidR="00DA157F" w:rsidRPr="00CF6765">
        <w:rPr>
          <w:rFonts w:eastAsia="Calibri"/>
          <w:sz w:val="20"/>
          <w:szCs w:val="20"/>
          <w:lang w:val="en-US" w:eastAsia="en-US"/>
        </w:rPr>
        <w:t xml:space="preserve"> The CESCR</w:t>
      </w:r>
      <w:r w:rsidR="00DA157F" w:rsidRPr="00CF6765">
        <w:rPr>
          <w:rFonts w:eastAsia="Calibri"/>
          <w:sz w:val="20"/>
          <w:szCs w:val="20"/>
          <w:vertAlign w:val="superscript"/>
          <w:lang w:val="en-US" w:eastAsia="en-US"/>
        </w:rPr>
        <w:footnoteReference w:id="238"/>
      </w:r>
      <w:r w:rsidR="00DA157F" w:rsidRPr="00CF6765">
        <w:rPr>
          <w:rFonts w:eastAsia="Calibri"/>
          <w:sz w:val="20"/>
          <w:szCs w:val="20"/>
          <w:lang w:val="en-US" w:eastAsia="en-US"/>
        </w:rPr>
        <w:t xml:space="preserve"> and the European Court of Human Rights</w:t>
      </w:r>
      <w:r w:rsidR="00DA157F" w:rsidRPr="00CF6765">
        <w:rPr>
          <w:rFonts w:eastAsia="Calibri"/>
          <w:sz w:val="20"/>
          <w:szCs w:val="20"/>
          <w:vertAlign w:val="superscript"/>
          <w:lang w:val="en-US" w:eastAsia="en-US"/>
        </w:rPr>
        <w:footnoteReference w:id="239"/>
      </w:r>
      <w:r w:rsidR="00DA157F" w:rsidRPr="00CF6765">
        <w:rPr>
          <w:rFonts w:eastAsia="Calibri"/>
          <w:sz w:val="20"/>
          <w:szCs w:val="20"/>
          <w:lang w:val="en-US" w:eastAsia="en-US"/>
        </w:rPr>
        <w:t xml:space="preserve"> have ruled similarly.</w:t>
      </w:r>
    </w:p>
    <w:p w14:paraId="3D4326CF" w14:textId="77777777" w:rsidR="002570D1" w:rsidRPr="00CF6765" w:rsidRDefault="002570D1" w:rsidP="002570D1">
      <w:pPr>
        <w:ind w:right="-360"/>
        <w:rPr>
          <w:rFonts w:eastAsia="Calibri"/>
          <w:sz w:val="20"/>
          <w:szCs w:val="20"/>
          <w:lang w:val="en-US" w:eastAsia="en-US"/>
        </w:rPr>
      </w:pPr>
    </w:p>
    <w:p w14:paraId="54349A75" w14:textId="2AE8BB7A" w:rsidR="00636C77" w:rsidRPr="00CF6765" w:rsidRDefault="005C6133" w:rsidP="00636C77">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In this regard, the Court finds that</w:t>
      </w:r>
      <w:r w:rsidR="002570D1" w:rsidRPr="00CF6765">
        <w:rPr>
          <w:rFonts w:eastAsia="Calibri"/>
          <w:sz w:val="20"/>
          <w:szCs w:val="20"/>
          <w:lang w:val="en-US" w:eastAsia="en-US"/>
        </w:rPr>
        <w:t xml:space="preserve">, </w:t>
      </w:r>
      <w:r w:rsidR="004C7CBA" w:rsidRPr="00CF6765">
        <w:rPr>
          <w:rFonts w:eastAsia="Calibri"/>
          <w:sz w:val="20"/>
          <w:szCs w:val="20"/>
          <w:lang w:val="en-US" w:eastAsia="en-US"/>
        </w:rPr>
        <w:t>in health-related matters</w:t>
      </w:r>
      <w:r w:rsidR="002570D1" w:rsidRPr="00CF6765">
        <w:rPr>
          <w:rFonts w:eastAsia="Calibri"/>
          <w:sz w:val="20"/>
          <w:szCs w:val="20"/>
          <w:lang w:val="en-US" w:eastAsia="en-US"/>
        </w:rPr>
        <w:t>,</w:t>
      </w:r>
      <w:r w:rsidRPr="00CF6765">
        <w:rPr>
          <w:rFonts w:eastAsia="Calibri"/>
          <w:sz w:val="20"/>
          <w:szCs w:val="20"/>
          <w:lang w:val="en-US" w:eastAsia="en-US"/>
        </w:rPr>
        <w:t xml:space="preserve"> not every death that occurs due to medical negligence should be attributed to the State in the international sphere.</w:t>
      </w:r>
      <w:r w:rsidR="00636C77" w:rsidRPr="00CF6765">
        <w:rPr>
          <w:rFonts w:eastAsia="Calibri"/>
          <w:sz w:val="20"/>
          <w:szCs w:val="20"/>
          <w:vertAlign w:val="superscript"/>
          <w:lang w:val="en-US" w:eastAsia="en-US"/>
        </w:rPr>
        <w:footnoteReference w:id="240"/>
      </w:r>
      <w:r w:rsidRPr="00CF6765">
        <w:rPr>
          <w:rFonts w:eastAsia="Calibri"/>
          <w:sz w:val="20"/>
          <w:szCs w:val="20"/>
          <w:lang w:val="en-US" w:eastAsia="en-US"/>
        </w:rPr>
        <w:t xml:space="preserve"> T</w:t>
      </w:r>
      <w:r w:rsidR="00A7751F" w:rsidRPr="00CF6765">
        <w:rPr>
          <w:rFonts w:eastAsia="Calibri"/>
          <w:sz w:val="20"/>
          <w:szCs w:val="20"/>
          <w:lang w:val="en-US" w:eastAsia="en-US"/>
        </w:rPr>
        <w:t>herefore</w:t>
      </w:r>
      <w:r w:rsidRPr="00CF6765">
        <w:rPr>
          <w:rFonts w:eastAsia="Calibri"/>
          <w:sz w:val="20"/>
          <w:szCs w:val="20"/>
          <w:lang w:val="en-US" w:eastAsia="en-US"/>
        </w:rPr>
        <w:t>, the particular circumstances of the case</w:t>
      </w:r>
      <w:r w:rsidR="00A7751F" w:rsidRPr="00CF6765">
        <w:rPr>
          <w:rFonts w:eastAsia="Calibri"/>
          <w:sz w:val="20"/>
          <w:szCs w:val="20"/>
          <w:lang w:val="en-US" w:eastAsia="en-US"/>
        </w:rPr>
        <w:t xml:space="preserve"> must be examined</w:t>
      </w:r>
      <w:r w:rsidRPr="00CF6765">
        <w:rPr>
          <w:rFonts w:eastAsia="Calibri"/>
          <w:sz w:val="20"/>
          <w:szCs w:val="20"/>
          <w:lang w:val="en-US" w:eastAsia="en-US"/>
        </w:rPr>
        <w:t>.</w:t>
      </w:r>
    </w:p>
    <w:p w14:paraId="01164A62" w14:textId="77777777" w:rsidR="001C02D8" w:rsidRPr="00CF6765" w:rsidRDefault="001C02D8" w:rsidP="0059117C">
      <w:pPr>
        <w:tabs>
          <w:tab w:val="left" w:pos="567"/>
        </w:tabs>
        <w:rPr>
          <w:rFonts w:eastAsia="Calibri"/>
          <w:sz w:val="20"/>
          <w:szCs w:val="20"/>
          <w:lang w:val="en-US" w:eastAsia="en-US"/>
        </w:rPr>
      </w:pPr>
    </w:p>
    <w:p w14:paraId="4F3036D7" w14:textId="2C66EFA6" w:rsidR="002570D1" w:rsidRPr="00CF6765" w:rsidRDefault="00A7751F" w:rsidP="001D19C7">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To</w:t>
      </w:r>
      <w:r w:rsidR="005C6133" w:rsidRPr="00CF6765">
        <w:rPr>
          <w:rFonts w:eastAsia="Calibri"/>
          <w:sz w:val="20"/>
          <w:szCs w:val="20"/>
          <w:lang w:val="en-US" w:eastAsia="en-US"/>
        </w:rPr>
        <w:t xml:space="preserve"> determine the</w:t>
      </w:r>
      <w:r w:rsidR="00636C77" w:rsidRPr="00CF6765">
        <w:rPr>
          <w:rFonts w:eastAsia="Calibri"/>
          <w:sz w:val="20"/>
          <w:szCs w:val="20"/>
          <w:lang w:val="en-US" w:eastAsia="en-US"/>
        </w:rPr>
        <w:t xml:space="preserve"> </w:t>
      </w:r>
      <w:r w:rsidR="0088423A" w:rsidRPr="00CF6765">
        <w:rPr>
          <w:rFonts w:eastAsia="Calibri"/>
          <w:sz w:val="20"/>
          <w:szCs w:val="20"/>
          <w:lang w:val="en-US" w:eastAsia="en-US"/>
        </w:rPr>
        <w:t>international responsibility</w:t>
      </w:r>
      <w:r w:rsidR="00EC50FC" w:rsidRPr="00CF6765">
        <w:rPr>
          <w:rFonts w:eastAsia="Calibri"/>
          <w:sz w:val="20"/>
          <w:szCs w:val="20"/>
          <w:lang w:val="en-US" w:eastAsia="en-US"/>
        </w:rPr>
        <w:t xml:space="preserve"> of the State</w:t>
      </w:r>
      <w:r w:rsidR="00636C77" w:rsidRPr="00CF6765">
        <w:rPr>
          <w:rFonts w:eastAsia="Calibri"/>
          <w:sz w:val="20"/>
          <w:szCs w:val="20"/>
          <w:lang w:val="en-US" w:eastAsia="en-US"/>
        </w:rPr>
        <w:t xml:space="preserve"> </w:t>
      </w:r>
      <w:r w:rsidR="005C6133" w:rsidRPr="00CF6765">
        <w:rPr>
          <w:rFonts w:eastAsia="Calibri"/>
          <w:sz w:val="20"/>
          <w:szCs w:val="20"/>
          <w:lang w:val="en-US" w:eastAsia="en-US"/>
        </w:rPr>
        <w:t xml:space="preserve">in cases of death in a medical context, it is necessary to prove the following: (a) </w:t>
      </w:r>
      <w:r w:rsidR="000C1CA9" w:rsidRPr="00CF6765">
        <w:rPr>
          <w:rFonts w:eastAsia="Calibri"/>
          <w:sz w:val="20"/>
          <w:szCs w:val="20"/>
          <w:lang w:val="en-US" w:eastAsia="en-US"/>
        </w:rPr>
        <w:t xml:space="preserve">that, by act or omission, a patient is denied access to health in situations of medical emergency or </w:t>
      </w:r>
      <w:r w:rsidR="003731BA" w:rsidRPr="00CF6765">
        <w:rPr>
          <w:rFonts w:eastAsia="Calibri"/>
          <w:sz w:val="20"/>
          <w:szCs w:val="20"/>
          <w:lang w:val="en-US" w:eastAsia="en-US"/>
        </w:rPr>
        <w:t xml:space="preserve">the need for </w:t>
      </w:r>
      <w:r w:rsidR="000C1CA9" w:rsidRPr="00CF6765">
        <w:rPr>
          <w:rFonts w:eastAsia="Calibri"/>
          <w:sz w:val="20"/>
          <w:szCs w:val="20"/>
          <w:lang w:val="en-US" w:eastAsia="en-US"/>
        </w:rPr>
        <w:t>essential medical treatments, despite the risk that this denial signifies for the patient’s life, or (b) serious medical malpractice is proved,</w:t>
      </w:r>
      <w:r w:rsidR="00963653" w:rsidRPr="00CF6765">
        <w:rPr>
          <w:rStyle w:val="Refdenotaalpie"/>
          <w:rFonts w:eastAsia="Calibri"/>
          <w:sz w:val="20"/>
          <w:szCs w:val="18"/>
          <w:lang w:val="en-US" w:eastAsia="en-US"/>
        </w:rPr>
        <w:footnoteReference w:id="241"/>
      </w:r>
      <w:r w:rsidR="00EC50FC" w:rsidRPr="00CF6765">
        <w:rPr>
          <w:rFonts w:eastAsia="Calibri"/>
          <w:sz w:val="20"/>
          <w:szCs w:val="18"/>
          <w:lang w:val="en-US" w:eastAsia="en-US"/>
        </w:rPr>
        <w:t xml:space="preserve"> and </w:t>
      </w:r>
      <w:r w:rsidR="000C1CA9" w:rsidRPr="00CF6765">
        <w:rPr>
          <w:rFonts w:eastAsia="Calibri"/>
          <w:sz w:val="20"/>
          <w:szCs w:val="18"/>
          <w:lang w:val="en-US" w:eastAsia="en-US"/>
        </w:rPr>
        <w:t>(</w:t>
      </w:r>
      <w:r w:rsidR="001C02D8" w:rsidRPr="00CF6765">
        <w:rPr>
          <w:rFonts w:eastAsia="Calibri"/>
          <w:sz w:val="20"/>
          <w:szCs w:val="18"/>
          <w:lang w:val="en-US" w:eastAsia="en-US"/>
        </w:rPr>
        <w:t>c</w:t>
      </w:r>
      <w:r w:rsidR="00636C77" w:rsidRPr="00CF6765">
        <w:rPr>
          <w:rFonts w:eastAsia="Calibri"/>
          <w:sz w:val="20"/>
          <w:szCs w:val="18"/>
          <w:lang w:val="en-US" w:eastAsia="en-US"/>
        </w:rPr>
        <w:t xml:space="preserve">) </w:t>
      </w:r>
      <w:r w:rsidR="001D19C7" w:rsidRPr="00CF6765">
        <w:rPr>
          <w:rFonts w:eastAsia="Calibri"/>
          <w:sz w:val="20"/>
          <w:szCs w:val="18"/>
          <w:lang w:val="en-US" w:eastAsia="en-US"/>
        </w:rPr>
        <w:t>that there is a causal nexus between the act that has been proved and the harm suffered by the patient.</w:t>
      </w:r>
      <w:r w:rsidR="00636C77" w:rsidRPr="00CF6765">
        <w:rPr>
          <w:rStyle w:val="Refdenotaalpie"/>
          <w:rFonts w:eastAsia="Calibri"/>
          <w:sz w:val="20"/>
          <w:szCs w:val="20"/>
          <w:lang w:val="en-US" w:eastAsia="en-US"/>
        </w:rPr>
        <w:footnoteReference w:id="242"/>
      </w:r>
      <w:r w:rsidR="001D19C7" w:rsidRPr="00CF6765">
        <w:rPr>
          <w:rFonts w:eastAsia="Calibri"/>
          <w:sz w:val="20"/>
          <w:szCs w:val="18"/>
          <w:lang w:val="en-US" w:eastAsia="en-US"/>
        </w:rPr>
        <w:t xml:space="preserve"> When responsibility can be attributed to an omission, it is necessary to verify the probability that the omitted conduct would have interrupted the causal process that led to the harmful result. This </w:t>
      </w:r>
      <w:r w:rsidR="00E27148" w:rsidRPr="00CF6765">
        <w:rPr>
          <w:rFonts w:eastAsia="Calibri"/>
          <w:sz w:val="20"/>
          <w:szCs w:val="18"/>
          <w:lang w:val="en-US" w:eastAsia="en-US"/>
        </w:rPr>
        <w:t>verification must</w:t>
      </w:r>
      <w:r w:rsidR="001D19C7" w:rsidRPr="00CF6765">
        <w:rPr>
          <w:rFonts w:eastAsia="Calibri"/>
          <w:sz w:val="20"/>
          <w:szCs w:val="18"/>
          <w:lang w:val="en-US" w:eastAsia="en-US"/>
        </w:rPr>
        <w:t xml:space="preserve"> take into consideration the possible situation of special vulnerability of the person concerned</w:t>
      </w:r>
      <w:r w:rsidR="003354BF" w:rsidRPr="00CF6765">
        <w:rPr>
          <w:rFonts w:eastAsia="Calibri"/>
          <w:sz w:val="20"/>
          <w:szCs w:val="20"/>
          <w:vertAlign w:val="superscript"/>
          <w:lang w:val="en-US" w:eastAsia="en-US"/>
        </w:rPr>
        <w:footnoteReference w:id="243"/>
      </w:r>
      <w:r w:rsidR="00EC50FC" w:rsidRPr="00CF6765">
        <w:rPr>
          <w:rFonts w:eastAsia="Calibri"/>
          <w:sz w:val="20"/>
          <w:szCs w:val="20"/>
          <w:lang w:val="en-US" w:eastAsia="en-US"/>
        </w:rPr>
        <w:t xml:space="preserve"> and</w:t>
      </w:r>
      <w:r w:rsidR="001D19C7" w:rsidRPr="00CF6765">
        <w:rPr>
          <w:rFonts w:eastAsia="Calibri"/>
          <w:sz w:val="20"/>
          <w:szCs w:val="20"/>
          <w:lang w:val="en-US" w:eastAsia="en-US"/>
        </w:rPr>
        <w:t>, if this is applicable, the measures taken to protect th</w:t>
      </w:r>
      <w:r w:rsidR="003731BA" w:rsidRPr="00CF6765">
        <w:rPr>
          <w:rFonts w:eastAsia="Calibri"/>
          <w:sz w:val="20"/>
          <w:szCs w:val="20"/>
          <w:lang w:val="en-US" w:eastAsia="en-US"/>
        </w:rPr>
        <w:t>at</w:t>
      </w:r>
      <w:r w:rsidR="001D19C7" w:rsidRPr="00CF6765">
        <w:rPr>
          <w:rFonts w:eastAsia="Calibri"/>
          <w:sz w:val="20"/>
          <w:szCs w:val="20"/>
          <w:lang w:val="en-US" w:eastAsia="en-US"/>
        </w:rPr>
        <w:t xml:space="preserve"> situation.</w:t>
      </w:r>
      <w:r w:rsidR="001C02D8" w:rsidRPr="00CF6765">
        <w:rPr>
          <w:rStyle w:val="Refdenotaalpie"/>
          <w:rFonts w:eastAsia="Calibri"/>
          <w:sz w:val="20"/>
          <w:szCs w:val="20"/>
          <w:lang w:val="en-US" w:eastAsia="en-US"/>
        </w:rPr>
        <w:footnoteReference w:id="244"/>
      </w:r>
    </w:p>
    <w:p w14:paraId="07B4BA84" w14:textId="77777777" w:rsidR="002570D1" w:rsidRPr="00CF6765" w:rsidRDefault="002570D1" w:rsidP="0059117C">
      <w:pPr>
        <w:tabs>
          <w:tab w:val="left" w:pos="567"/>
        </w:tabs>
        <w:rPr>
          <w:rFonts w:eastAsia="Calibri"/>
          <w:sz w:val="20"/>
          <w:szCs w:val="20"/>
          <w:lang w:val="en-US" w:eastAsia="en-US"/>
        </w:rPr>
      </w:pPr>
    </w:p>
    <w:p w14:paraId="3B6401D1" w14:textId="2B45F0D3" w:rsidR="00963653" w:rsidRPr="00CF6765" w:rsidRDefault="001D19C7"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In the case</w:t>
      </w:r>
      <w:r w:rsidR="00A6246E" w:rsidRPr="00CF6765">
        <w:rPr>
          <w:rFonts w:eastAsia="Calibri"/>
          <w:sz w:val="20"/>
          <w:szCs w:val="20"/>
          <w:lang w:val="en-US" w:eastAsia="en-US"/>
        </w:rPr>
        <w:t xml:space="preserve"> </w:t>
      </w:r>
      <w:r w:rsidR="00A6246E" w:rsidRPr="00CF6765">
        <w:rPr>
          <w:rFonts w:eastAsia="Calibri"/>
          <w:i/>
          <w:sz w:val="20"/>
          <w:szCs w:val="20"/>
          <w:lang w:val="en-US" w:eastAsia="en-US"/>
        </w:rPr>
        <w:t>sub judice</w:t>
      </w:r>
      <w:r w:rsidR="00A6246E" w:rsidRPr="00CF6765">
        <w:rPr>
          <w:rFonts w:eastAsia="Calibri"/>
          <w:sz w:val="20"/>
          <w:szCs w:val="20"/>
          <w:lang w:val="en-US" w:eastAsia="en-US"/>
        </w:rPr>
        <w:t xml:space="preserve">, </w:t>
      </w:r>
      <w:r w:rsidRPr="00CF6765">
        <w:rPr>
          <w:rFonts w:eastAsia="Calibri"/>
          <w:sz w:val="20"/>
          <w:szCs w:val="20"/>
          <w:lang w:val="en-US" w:eastAsia="en-US"/>
        </w:rPr>
        <w:t>this Court has verified a series of omissions in basic health services,</w:t>
      </w:r>
      <w:r w:rsidR="000262AD" w:rsidRPr="00CF6765">
        <w:rPr>
          <w:rStyle w:val="Refdenotaalpie"/>
          <w:rFonts w:eastAsia="Calibri"/>
          <w:sz w:val="20"/>
          <w:szCs w:val="20"/>
          <w:lang w:val="en-US" w:eastAsia="en-US"/>
        </w:rPr>
        <w:footnoteReference w:id="245"/>
      </w:r>
      <w:r w:rsidRPr="00CF6765">
        <w:rPr>
          <w:rFonts w:eastAsia="Calibri"/>
          <w:sz w:val="20"/>
          <w:szCs w:val="20"/>
          <w:lang w:val="en-US" w:eastAsia="en-US"/>
        </w:rPr>
        <w:t xml:space="preserve"> several of which have even been acknowledged by the </w:t>
      </w:r>
      <w:r w:rsidR="00EC50FC" w:rsidRPr="00CF6765">
        <w:rPr>
          <w:rFonts w:eastAsia="Calibri"/>
          <w:sz w:val="20"/>
          <w:szCs w:val="20"/>
          <w:lang w:val="en-US" w:eastAsia="en-US"/>
        </w:rPr>
        <w:t>State</w:t>
      </w:r>
      <w:r w:rsidR="00963653" w:rsidRPr="00CF6765">
        <w:rPr>
          <w:rFonts w:eastAsia="Calibri"/>
          <w:sz w:val="20"/>
          <w:szCs w:val="20"/>
          <w:lang w:val="en-US" w:eastAsia="en-US"/>
        </w:rPr>
        <w:t xml:space="preserve"> (</w:t>
      </w:r>
      <w:r w:rsidR="00062586" w:rsidRPr="00CF6765">
        <w:rPr>
          <w:rFonts w:eastAsia="Calibri"/>
          <w:i/>
          <w:sz w:val="20"/>
          <w:szCs w:val="20"/>
          <w:lang w:val="en-US" w:eastAsia="en-US"/>
        </w:rPr>
        <w:t>supra</w:t>
      </w:r>
      <w:r w:rsidR="00963653" w:rsidRPr="00CF6765">
        <w:rPr>
          <w:rFonts w:eastAsia="Calibri"/>
          <w:sz w:val="20"/>
          <w:szCs w:val="20"/>
          <w:lang w:val="en-US" w:eastAsia="en-US"/>
        </w:rPr>
        <w:t xml:space="preserve"> </w:t>
      </w:r>
      <w:r w:rsidR="00EC50FC" w:rsidRPr="00CF6765">
        <w:rPr>
          <w:rFonts w:eastAsia="Calibri"/>
          <w:sz w:val="20"/>
          <w:szCs w:val="20"/>
          <w:lang w:val="en-US" w:eastAsia="en-US"/>
        </w:rPr>
        <w:t>paras.</w:t>
      </w:r>
      <w:r w:rsidR="001A5114" w:rsidRPr="00CF6765">
        <w:rPr>
          <w:rFonts w:eastAsia="Calibri"/>
          <w:sz w:val="20"/>
          <w:szCs w:val="20"/>
          <w:lang w:val="en-US" w:eastAsia="en-US"/>
        </w:rPr>
        <w:t xml:space="preserve"> 17</w:t>
      </w:r>
      <w:r w:rsidR="00EC50FC" w:rsidRPr="00CF6765">
        <w:rPr>
          <w:rFonts w:eastAsia="Calibri"/>
          <w:sz w:val="20"/>
          <w:szCs w:val="20"/>
          <w:lang w:val="en-US" w:eastAsia="en-US"/>
        </w:rPr>
        <w:t xml:space="preserve"> and </w:t>
      </w:r>
      <w:r w:rsidR="001A5114" w:rsidRPr="00CF6765">
        <w:rPr>
          <w:rFonts w:eastAsia="Calibri"/>
          <w:sz w:val="20"/>
          <w:szCs w:val="20"/>
          <w:lang w:val="en-US" w:eastAsia="en-US"/>
        </w:rPr>
        <w:t>18</w:t>
      </w:r>
      <w:r w:rsidR="00963653" w:rsidRPr="00CF6765">
        <w:rPr>
          <w:rFonts w:eastAsia="Calibri"/>
          <w:sz w:val="20"/>
          <w:szCs w:val="20"/>
          <w:lang w:val="en-US" w:eastAsia="en-US"/>
        </w:rPr>
        <w:t>)</w:t>
      </w:r>
      <w:r w:rsidR="0056695D" w:rsidRPr="00CF6765">
        <w:rPr>
          <w:rFonts w:eastAsia="Calibri"/>
          <w:sz w:val="20"/>
          <w:szCs w:val="20"/>
          <w:lang w:val="en-US" w:eastAsia="en-US"/>
        </w:rPr>
        <w:t>.</w:t>
      </w:r>
      <w:r w:rsidR="00963653" w:rsidRPr="00CF6765">
        <w:rPr>
          <w:rFonts w:eastAsia="Calibri"/>
          <w:sz w:val="20"/>
          <w:szCs w:val="20"/>
          <w:lang w:val="en-US" w:eastAsia="en-US"/>
        </w:rPr>
        <w:t xml:space="preserve"> </w:t>
      </w:r>
      <w:r w:rsidRPr="00CF6765">
        <w:rPr>
          <w:rFonts w:eastAsia="Calibri"/>
          <w:sz w:val="20"/>
          <w:szCs w:val="20"/>
          <w:lang w:val="en-US" w:eastAsia="en-US"/>
        </w:rPr>
        <w:t xml:space="preserve">In particular, </w:t>
      </w:r>
      <w:r w:rsidRPr="00CF6765">
        <w:rPr>
          <w:rFonts w:eastAsia="Calibri"/>
          <w:sz w:val="20"/>
          <w:szCs w:val="20"/>
          <w:lang w:val="en-US" w:eastAsia="en-US"/>
        </w:rPr>
        <w:lastRenderedPageBreak/>
        <w:t xml:space="preserve">during his </w:t>
      </w:r>
      <w:r w:rsidR="00B969DD" w:rsidRPr="00CF6765">
        <w:rPr>
          <w:rFonts w:eastAsia="Calibri"/>
          <w:sz w:val="20"/>
          <w:szCs w:val="20"/>
          <w:lang w:val="en-US" w:eastAsia="en-US"/>
        </w:rPr>
        <w:t>second admission</w:t>
      </w:r>
      <w:r w:rsidRPr="00CF6765">
        <w:rPr>
          <w:rFonts w:eastAsia="Calibri"/>
          <w:sz w:val="20"/>
          <w:szCs w:val="20"/>
          <w:lang w:val="en-US" w:eastAsia="en-US"/>
        </w:rPr>
        <w:t xml:space="preserve">, it was verified that the State was aware of the intensive treatment that </w:t>
      </w:r>
      <w:r w:rsidR="00D2168F" w:rsidRPr="00CF6765">
        <w:rPr>
          <w:rFonts w:eastAsia="Calibri"/>
          <w:sz w:val="20"/>
          <w:szCs w:val="20"/>
          <w:lang w:val="en-US" w:eastAsia="en-US"/>
        </w:rPr>
        <w:t>Mr. Poblete</w:t>
      </w:r>
      <w:r w:rsidR="00963653" w:rsidRPr="00CF6765">
        <w:rPr>
          <w:rFonts w:eastAsia="Calibri"/>
          <w:sz w:val="20"/>
          <w:szCs w:val="20"/>
          <w:lang w:val="en-US" w:eastAsia="en-US"/>
        </w:rPr>
        <w:t xml:space="preserve"> </w:t>
      </w:r>
      <w:proofErr w:type="spellStart"/>
      <w:r w:rsidR="00963653" w:rsidRPr="00CF6765">
        <w:rPr>
          <w:rFonts w:eastAsia="Calibri"/>
          <w:sz w:val="20"/>
          <w:szCs w:val="20"/>
          <w:lang w:val="en-US" w:eastAsia="en-US"/>
        </w:rPr>
        <w:t>Vilches</w:t>
      </w:r>
      <w:proofErr w:type="spellEnd"/>
      <w:r w:rsidRPr="00CF6765">
        <w:rPr>
          <w:rFonts w:eastAsia="Calibri"/>
          <w:sz w:val="20"/>
          <w:szCs w:val="20"/>
          <w:lang w:val="en-US" w:eastAsia="en-US"/>
        </w:rPr>
        <w:t xml:space="preserve"> required </w:t>
      </w:r>
      <w:r w:rsidR="003731BA" w:rsidRPr="00CF6765">
        <w:rPr>
          <w:rFonts w:eastAsia="Calibri"/>
          <w:sz w:val="20"/>
          <w:szCs w:val="20"/>
          <w:lang w:val="en-US" w:eastAsia="en-US"/>
        </w:rPr>
        <w:t xml:space="preserve">(ordered in his medical record) </w:t>
      </w:r>
      <w:r w:rsidRPr="00CF6765">
        <w:rPr>
          <w:rFonts w:eastAsia="Calibri"/>
          <w:sz w:val="20"/>
          <w:szCs w:val="20"/>
          <w:lang w:val="en-US" w:eastAsia="en-US"/>
        </w:rPr>
        <w:t>and which he did not receive.</w:t>
      </w:r>
    </w:p>
    <w:p w14:paraId="06A67AAF" w14:textId="77777777" w:rsidR="00963653" w:rsidRPr="00CF6765" w:rsidRDefault="00963653" w:rsidP="0059117C">
      <w:pPr>
        <w:tabs>
          <w:tab w:val="left" w:pos="567"/>
        </w:tabs>
        <w:rPr>
          <w:rFonts w:eastAsia="Calibri"/>
          <w:sz w:val="20"/>
          <w:szCs w:val="20"/>
          <w:lang w:val="en-US" w:eastAsia="en-US"/>
        </w:rPr>
      </w:pPr>
    </w:p>
    <w:p w14:paraId="6414DF51" w14:textId="65049CEB" w:rsidR="002570D1" w:rsidRPr="00CF6765" w:rsidRDefault="005C731C" w:rsidP="0075448B">
      <w:pPr>
        <w:numPr>
          <w:ilvl w:val="0"/>
          <w:numId w:val="2"/>
        </w:numPr>
        <w:tabs>
          <w:tab w:val="left" w:pos="567"/>
          <w:tab w:val="num" w:pos="1569"/>
          <w:tab w:val="num" w:pos="12305"/>
        </w:tabs>
        <w:ind w:left="0" w:right="13" w:firstLine="0"/>
        <w:rPr>
          <w:rFonts w:eastAsia="Calibri"/>
          <w:sz w:val="20"/>
          <w:szCs w:val="20"/>
          <w:lang w:val="en-US" w:eastAsia="en-US"/>
        </w:rPr>
      </w:pPr>
      <w:r w:rsidRPr="00CF6765">
        <w:rPr>
          <w:rFonts w:eastAsia="Calibri"/>
          <w:sz w:val="20"/>
          <w:szCs w:val="20"/>
          <w:lang w:val="en-US" w:eastAsia="en-US"/>
        </w:rPr>
        <w:t>The Court</w:t>
      </w:r>
      <w:r w:rsidR="000262AD" w:rsidRPr="00CF6765">
        <w:rPr>
          <w:rFonts w:eastAsia="Calibri"/>
          <w:sz w:val="20"/>
          <w:szCs w:val="20"/>
          <w:lang w:val="en-US" w:eastAsia="en-US"/>
        </w:rPr>
        <w:t xml:space="preserve"> </w:t>
      </w:r>
      <w:r w:rsidR="001D19C7" w:rsidRPr="00CF6765">
        <w:rPr>
          <w:rFonts w:eastAsia="Calibri"/>
          <w:sz w:val="20"/>
          <w:szCs w:val="20"/>
          <w:lang w:val="en-US" w:eastAsia="en-US"/>
        </w:rPr>
        <w:t>considers that</w:t>
      </w:r>
      <w:r w:rsidR="000262AD" w:rsidRPr="00CF6765">
        <w:rPr>
          <w:rFonts w:eastAsia="Calibri"/>
          <w:sz w:val="20"/>
          <w:szCs w:val="20"/>
          <w:lang w:val="en-US" w:eastAsia="en-US"/>
        </w:rPr>
        <w:t xml:space="preserve"> </w:t>
      </w:r>
      <w:r w:rsidR="00EC50FC" w:rsidRPr="00CF6765">
        <w:rPr>
          <w:rFonts w:eastAsia="Calibri"/>
          <w:sz w:val="20"/>
          <w:szCs w:val="20"/>
          <w:lang w:val="en-US" w:eastAsia="en-US"/>
        </w:rPr>
        <w:t>the State</w:t>
      </w:r>
      <w:r w:rsidR="000262AD" w:rsidRPr="00CF6765">
        <w:rPr>
          <w:rFonts w:eastAsia="Calibri"/>
          <w:sz w:val="20"/>
          <w:szCs w:val="20"/>
          <w:lang w:val="en-US" w:eastAsia="en-US"/>
        </w:rPr>
        <w:t xml:space="preserve"> </w:t>
      </w:r>
      <w:r w:rsidR="001D19C7" w:rsidRPr="00CF6765">
        <w:rPr>
          <w:rFonts w:eastAsia="Calibri"/>
          <w:sz w:val="20"/>
          <w:szCs w:val="20"/>
          <w:lang w:val="en-US" w:eastAsia="en-US"/>
        </w:rPr>
        <w:t>denied</w:t>
      </w:r>
      <w:r w:rsidR="009339F5" w:rsidRPr="00CF6765">
        <w:rPr>
          <w:rFonts w:eastAsia="Calibri"/>
          <w:sz w:val="20"/>
          <w:szCs w:val="20"/>
          <w:lang w:val="en-US" w:eastAsia="en-US"/>
        </w:rPr>
        <w:t xml:space="preserve"> Mr. Poblete</w:t>
      </w:r>
      <w:r w:rsidR="000262AD" w:rsidRPr="00CF6765">
        <w:rPr>
          <w:rFonts w:eastAsia="Calibri"/>
          <w:sz w:val="20"/>
          <w:szCs w:val="20"/>
          <w:lang w:val="en-US" w:eastAsia="en-US"/>
        </w:rPr>
        <w:t xml:space="preserve"> </w:t>
      </w:r>
      <w:proofErr w:type="spellStart"/>
      <w:r w:rsidR="000262AD" w:rsidRPr="00CF6765">
        <w:rPr>
          <w:rFonts w:eastAsia="Calibri"/>
          <w:sz w:val="20"/>
          <w:szCs w:val="20"/>
          <w:lang w:val="en-US" w:eastAsia="en-US"/>
        </w:rPr>
        <w:t>Vilches</w:t>
      </w:r>
      <w:proofErr w:type="spellEnd"/>
      <w:r w:rsidR="000262AD" w:rsidRPr="00CF6765">
        <w:rPr>
          <w:rFonts w:eastAsia="Calibri"/>
          <w:sz w:val="20"/>
          <w:szCs w:val="20"/>
          <w:lang w:val="en-US" w:eastAsia="en-US"/>
        </w:rPr>
        <w:t xml:space="preserve"> </w:t>
      </w:r>
      <w:r w:rsidR="001D19C7" w:rsidRPr="00CF6765">
        <w:rPr>
          <w:rFonts w:eastAsia="Calibri"/>
          <w:sz w:val="20"/>
          <w:szCs w:val="20"/>
          <w:lang w:val="en-US" w:eastAsia="en-US"/>
        </w:rPr>
        <w:t xml:space="preserve">urgent medical treatment, despite the medical staff being aware that his life was in danger if he was not </w:t>
      </w:r>
      <w:r w:rsidR="00DD4BDB" w:rsidRPr="00CF6765">
        <w:rPr>
          <w:rFonts w:eastAsia="Calibri"/>
          <w:sz w:val="20"/>
          <w:szCs w:val="20"/>
          <w:lang w:val="en-US" w:eastAsia="en-US"/>
        </w:rPr>
        <w:t>given</w:t>
      </w:r>
      <w:r w:rsidR="001D19C7" w:rsidRPr="00CF6765">
        <w:rPr>
          <w:rFonts w:eastAsia="Calibri"/>
          <w:sz w:val="20"/>
          <w:szCs w:val="20"/>
          <w:lang w:val="en-US" w:eastAsia="en-US"/>
        </w:rPr>
        <w:t xml:space="preserve"> the required life support and, especially, considering his condition as an older person</w:t>
      </w:r>
      <w:r w:rsidR="006D5706" w:rsidRPr="00CF6765">
        <w:rPr>
          <w:rFonts w:eastAsia="Calibri"/>
          <w:sz w:val="20"/>
          <w:szCs w:val="20"/>
          <w:lang w:val="en-US" w:eastAsia="en-US"/>
        </w:rPr>
        <w:t xml:space="preserve"> (</w:t>
      </w:r>
      <w:r w:rsidR="006D5706" w:rsidRPr="00CF6765">
        <w:rPr>
          <w:rFonts w:eastAsia="Calibri"/>
          <w:i/>
          <w:sz w:val="20"/>
          <w:szCs w:val="20"/>
          <w:lang w:val="en-US" w:eastAsia="en-US"/>
        </w:rPr>
        <w:t>supra</w:t>
      </w:r>
      <w:r w:rsidR="006D5706" w:rsidRPr="00CF6765">
        <w:rPr>
          <w:rFonts w:eastAsia="Calibri"/>
          <w:sz w:val="20"/>
          <w:szCs w:val="20"/>
          <w:lang w:val="en-US" w:eastAsia="en-US"/>
        </w:rPr>
        <w:t xml:space="preserve"> </w:t>
      </w:r>
      <w:r w:rsidR="00EC50FC" w:rsidRPr="00CF6765">
        <w:rPr>
          <w:rFonts w:eastAsia="Calibri"/>
          <w:sz w:val="20"/>
          <w:szCs w:val="20"/>
          <w:lang w:val="en-US" w:eastAsia="en-US"/>
        </w:rPr>
        <w:t>para.</w:t>
      </w:r>
      <w:r w:rsidR="006D5706" w:rsidRPr="00CF6765">
        <w:rPr>
          <w:rFonts w:eastAsia="Calibri"/>
          <w:sz w:val="20"/>
          <w:szCs w:val="20"/>
          <w:lang w:val="en-US" w:eastAsia="en-US"/>
        </w:rPr>
        <w:t xml:space="preserve"> </w:t>
      </w:r>
      <w:r w:rsidR="001A5114" w:rsidRPr="00CF6765">
        <w:rPr>
          <w:rFonts w:eastAsia="Calibri"/>
          <w:sz w:val="20"/>
          <w:szCs w:val="20"/>
          <w:lang w:val="en-US" w:eastAsia="en-US"/>
        </w:rPr>
        <w:t>137</w:t>
      </w:r>
      <w:r w:rsidR="006D5706" w:rsidRPr="00CF6765">
        <w:rPr>
          <w:rFonts w:eastAsia="Calibri"/>
          <w:sz w:val="20"/>
          <w:szCs w:val="20"/>
          <w:lang w:val="en-US" w:eastAsia="en-US"/>
        </w:rPr>
        <w:t>)</w:t>
      </w:r>
      <w:r w:rsidR="00F914DD" w:rsidRPr="00CF6765">
        <w:rPr>
          <w:rFonts w:eastAsia="Calibri"/>
          <w:sz w:val="20"/>
          <w:szCs w:val="20"/>
          <w:lang w:val="en-US" w:eastAsia="en-US"/>
        </w:rPr>
        <w:t>.</w:t>
      </w:r>
      <w:r w:rsidR="000262AD" w:rsidRPr="00CF6765">
        <w:rPr>
          <w:rFonts w:eastAsia="Calibri"/>
          <w:sz w:val="20"/>
          <w:szCs w:val="20"/>
          <w:lang w:val="en-US" w:eastAsia="en-US"/>
        </w:rPr>
        <w:t xml:space="preserve"> </w:t>
      </w:r>
      <w:r w:rsidR="001D19C7" w:rsidRPr="00CF6765">
        <w:rPr>
          <w:rFonts w:eastAsia="Calibri"/>
          <w:sz w:val="20"/>
          <w:szCs w:val="20"/>
          <w:lang w:val="en-US" w:eastAsia="en-US"/>
        </w:rPr>
        <w:t xml:space="preserve">Therefore, the State did not take the necessary basic and urgent measures that could reasonably </w:t>
      </w:r>
      <w:r w:rsidR="0090740B" w:rsidRPr="00CF6765">
        <w:rPr>
          <w:rFonts w:eastAsia="Calibri"/>
          <w:sz w:val="20"/>
          <w:szCs w:val="20"/>
          <w:lang w:val="en-US" w:eastAsia="en-US"/>
        </w:rPr>
        <w:t>have</w:t>
      </w:r>
      <w:r w:rsidR="001D19C7" w:rsidRPr="00CF6765">
        <w:rPr>
          <w:rFonts w:eastAsia="Calibri"/>
          <w:sz w:val="20"/>
          <w:szCs w:val="20"/>
          <w:lang w:val="en-US" w:eastAsia="en-US"/>
        </w:rPr>
        <w:t xml:space="preserve"> been taken to ensure his</w:t>
      </w:r>
      <w:r w:rsidR="002570D1" w:rsidRPr="00CF6765">
        <w:rPr>
          <w:rFonts w:eastAsia="Calibri"/>
          <w:sz w:val="20"/>
          <w:szCs w:val="20"/>
          <w:lang w:val="en-US" w:eastAsia="en-US"/>
        </w:rPr>
        <w:t xml:space="preserve"> </w:t>
      </w:r>
      <w:r w:rsidR="0077190E" w:rsidRPr="00CF6765">
        <w:rPr>
          <w:rFonts w:eastAsia="Calibri"/>
          <w:sz w:val="20"/>
          <w:szCs w:val="20"/>
          <w:lang w:val="en-US" w:eastAsia="en-US"/>
        </w:rPr>
        <w:t>right to life</w:t>
      </w:r>
      <w:r w:rsidR="002570D1" w:rsidRPr="00CF6765">
        <w:rPr>
          <w:rFonts w:eastAsia="Calibri"/>
          <w:sz w:val="20"/>
          <w:szCs w:val="20"/>
          <w:lang w:val="en-US" w:eastAsia="en-US"/>
        </w:rPr>
        <w:t xml:space="preserve"> </w:t>
      </w:r>
      <w:r w:rsidR="003354BF" w:rsidRPr="00CF6765">
        <w:rPr>
          <w:rFonts w:eastAsia="Calibri"/>
          <w:sz w:val="20"/>
          <w:szCs w:val="20"/>
          <w:lang w:val="en-US" w:eastAsia="en-US"/>
        </w:rPr>
        <w:t>(</w:t>
      </w:r>
      <w:r w:rsidR="00062586" w:rsidRPr="00CF6765">
        <w:rPr>
          <w:rFonts w:eastAsia="Calibri"/>
          <w:i/>
          <w:sz w:val="20"/>
          <w:szCs w:val="20"/>
          <w:lang w:val="en-US" w:eastAsia="en-US"/>
        </w:rPr>
        <w:t>supra</w:t>
      </w:r>
      <w:r w:rsidR="003354BF" w:rsidRPr="00CF6765">
        <w:rPr>
          <w:rFonts w:eastAsia="Calibri"/>
          <w:sz w:val="20"/>
          <w:szCs w:val="20"/>
          <w:lang w:val="en-US" w:eastAsia="en-US"/>
        </w:rPr>
        <w:t xml:space="preserve"> </w:t>
      </w:r>
      <w:r w:rsidR="00EC50FC" w:rsidRPr="00CF6765">
        <w:rPr>
          <w:rFonts w:eastAsia="Calibri"/>
          <w:sz w:val="20"/>
          <w:szCs w:val="20"/>
          <w:lang w:val="en-US" w:eastAsia="en-US"/>
        </w:rPr>
        <w:t>paras.</w:t>
      </w:r>
      <w:r w:rsidR="003354BF" w:rsidRPr="00CF6765">
        <w:rPr>
          <w:rFonts w:eastAsia="Calibri"/>
          <w:sz w:val="20"/>
          <w:szCs w:val="20"/>
          <w:lang w:val="en-US" w:eastAsia="en-US"/>
        </w:rPr>
        <w:t xml:space="preserve"> </w:t>
      </w:r>
      <w:r w:rsidR="001A5114" w:rsidRPr="00CF6765">
        <w:rPr>
          <w:rFonts w:eastAsia="Calibri"/>
          <w:sz w:val="20"/>
          <w:szCs w:val="20"/>
          <w:lang w:val="en-US" w:eastAsia="en-US"/>
        </w:rPr>
        <w:t>141</w:t>
      </w:r>
      <w:r w:rsidR="00EC50FC" w:rsidRPr="00CF6765">
        <w:rPr>
          <w:rFonts w:eastAsia="Calibri"/>
          <w:sz w:val="20"/>
          <w:szCs w:val="20"/>
          <w:lang w:val="en-US" w:eastAsia="en-US"/>
        </w:rPr>
        <w:t xml:space="preserve"> and </w:t>
      </w:r>
      <w:r w:rsidR="001A5114" w:rsidRPr="00CF6765">
        <w:rPr>
          <w:rFonts w:eastAsia="Calibri"/>
          <w:sz w:val="20"/>
          <w:szCs w:val="20"/>
          <w:lang w:val="en-US" w:eastAsia="en-US"/>
        </w:rPr>
        <w:t>142</w:t>
      </w:r>
      <w:r w:rsidR="003354BF" w:rsidRPr="00CF6765">
        <w:rPr>
          <w:rFonts w:eastAsia="Calibri"/>
          <w:sz w:val="20"/>
          <w:szCs w:val="20"/>
          <w:lang w:val="en-US" w:eastAsia="en-US"/>
        </w:rPr>
        <w:t>)</w:t>
      </w:r>
      <w:r w:rsidR="002570D1" w:rsidRPr="00CF6765">
        <w:rPr>
          <w:rFonts w:eastAsia="Calibri"/>
          <w:sz w:val="20"/>
          <w:szCs w:val="20"/>
          <w:lang w:val="en-US" w:eastAsia="en-US"/>
        </w:rPr>
        <w:t xml:space="preserve">. </w:t>
      </w:r>
      <w:r w:rsidR="001D19C7" w:rsidRPr="00CF6765">
        <w:rPr>
          <w:rFonts w:eastAsia="Calibri"/>
          <w:sz w:val="20"/>
          <w:szCs w:val="20"/>
          <w:lang w:val="en-US" w:eastAsia="en-US"/>
        </w:rPr>
        <w:t>Furthermore</w:t>
      </w:r>
      <w:r w:rsidR="004669FF" w:rsidRPr="00CF6765">
        <w:rPr>
          <w:rFonts w:eastAsia="Calibri"/>
          <w:sz w:val="20"/>
          <w:szCs w:val="20"/>
          <w:lang w:val="en-US" w:eastAsia="en-US"/>
        </w:rPr>
        <w:t xml:space="preserve">, </w:t>
      </w:r>
      <w:r w:rsidR="00EC50FC" w:rsidRPr="00CF6765">
        <w:rPr>
          <w:rFonts w:eastAsia="Calibri"/>
          <w:sz w:val="20"/>
          <w:szCs w:val="20"/>
          <w:lang w:val="en-US" w:eastAsia="en-US"/>
        </w:rPr>
        <w:t>the State</w:t>
      </w:r>
      <w:r w:rsidR="004669FF" w:rsidRPr="00CF6765">
        <w:rPr>
          <w:rFonts w:eastAsia="Calibri"/>
          <w:sz w:val="20"/>
          <w:szCs w:val="20"/>
          <w:lang w:val="en-US" w:eastAsia="en-US"/>
        </w:rPr>
        <w:t xml:space="preserve"> </w:t>
      </w:r>
      <w:r w:rsidR="001D19C7" w:rsidRPr="00CF6765">
        <w:rPr>
          <w:rFonts w:eastAsia="Calibri"/>
          <w:sz w:val="20"/>
          <w:szCs w:val="20"/>
          <w:lang w:val="en-US" w:eastAsia="en-US"/>
        </w:rPr>
        <w:t>did not provide a valid justification for having denied basic emergency services.</w:t>
      </w:r>
    </w:p>
    <w:p w14:paraId="4D77DC43" w14:textId="77777777" w:rsidR="001D19C7" w:rsidRPr="00CF6765" w:rsidRDefault="001D19C7" w:rsidP="001D19C7">
      <w:pPr>
        <w:tabs>
          <w:tab w:val="left" w:pos="567"/>
          <w:tab w:val="num" w:pos="12305"/>
        </w:tabs>
        <w:ind w:right="-360"/>
        <w:rPr>
          <w:rFonts w:eastAsia="Calibri"/>
          <w:sz w:val="20"/>
          <w:szCs w:val="20"/>
          <w:lang w:val="en-US" w:eastAsia="en-US"/>
        </w:rPr>
      </w:pPr>
    </w:p>
    <w:p w14:paraId="0FC82150" w14:textId="3B4A4ECE" w:rsidR="002570D1" w:rsidRPr="00CF6765" w:rsidRDefault="001D19C7" w:rsidP="001D19C7">
      <w:pPr>
        <w:numPr>
          <w:ilvl w:val="0"/>
          <w:numId w:val="2"/>
        </w:numPr>
        <w:tabs>
          <w:tab w:val="left" w:pos="567"/>
          <w:tab w:val="num" w:pos="1569"/>
          <w:tab w:val="num" w:pos="12305"/>
        </w:tabs>
        <w:ind w:left="0" w:firstLine="0"/>
        <w:rPr>
          <w:rFonts w:eastAsia="Calibri"/>
          <w:b/>
          <w:sz w:val="20"/>
          <w:szCs w:val="20"/>
          <w:lang w:val="en-US" w:eastAsia="en-US"/>
        </w:rPr>
      </w:pPr>
      <w:r w:rsidRPr="00CF6765">
        <w:rPr>
          <w:rFonts w:eastAsia="Calibri"/>
          <w:sz w:val="20"/>
          <w:szCs w:val="20"/>
          <w:lang w:val="en-US" w:eastAsia="en-US"/>
        </w:rPr>
        <w:t>Regarding the causal nexus, the Court considers that the cause of the harmful result cannot been attributed to the lack of health care, because this is an omission, and it is evident that omission</w:t>
      </w:r>
      <w:r w:rsidR="00DD4BDB" w:rsidRPr="00CF6765">
        <w:rPr>
          <w:rFonts w:eastAsia="Calibri"/>
          <w:sz w:val="20"/>
          <w:szCs w:val="20"/>
          <w:lang w:val="en-US" w:eastAsia="en-US"/>
        </w:rPr>
        <w:t>s</w:t>
      </w:r>
      <w:r w:rsidRPr="00CF6765">
        <w:rPr>
          <w:rFonts w:eastAsia="Calibri"/>
          <w:sz w:val="20"/>
          <w:szCs w:val="20"/>
          <w:lang w:val="en-US" w:eastAsia="en-US"/>
        </w:rPr>
        <w:t xml:space="preserve"> cannot “cause” anything</w:t>
      </w:r>
      <w:r w:rsidR="0075448B" w:rsidRPr="00CF6765">
        <w:rPr>
          <w:rFonts w:eastAsia="Calibri"/>
          <w:sz w:val="20"/>
          <w:szCs w:val="20"/>
          <w:lang w:val="en-US" w:eastAsia="en-US"/>
        </w:rPr>
        <w:t>; rather, they allow a causation</w:t>
      </w:r>
      <w:r w:rsidR="00DD4BDB" w:rsidRPr="00CF6765">
        <w:rPr>
          <w:rFonts w:eastAsia="Calibri"/>
          <w:sz w:val="20"/>
          <w:szCs w:val="20"/>
          <w:lang w:val="en-US" w:eastAsia="en-US"/>
        </w:rPr>
        <w:t xml:space="preserve"> to continue</w:t>
      </w:r>
      <w:r w:rsidR="0075448B" w:rsidRPr="00CF6765">
        <w:rPr>
          <w:rFonts w:eastAsia="Calibri"/>
          <w:sz w:val="20"/>
          <w:szCs w:val="20"/>
          <w:lang w:val="en-US" w:eastAsia="en-US"/>
        </w:rPr>
        <w:t xml:space="preserve"> that “should have” been interrupted by the conducted ordered by law. Consequently, </w:t>
      </w:r>
      <w:r w:rsidR="00DD4BDB" w:rsidRPr="00CF6765">
        <w:rPr>
          <w:rFonts w:eastAsia="Calibri"/>
          <w:sz w:val="20"/>
          <w:szCs w:val="20"/>
          <w:lang w:val="en-US" w:eastAsia="en-US"/>
        </w:rPr>
        <w:t>the</w:t>
      </w:r>
      <w:r w:rsidR="0075448B" w:rsidRPr="00CF6765">
        <w:rPr>
          <w:rFonts w:eastAsia="Calibri"/>
          <w:sz w:val="20"/>
          <w:szCs w:val="20"/>
          <w:lang w:val="en-US" w:eastAsia="en-US"/>
        </w:rPr>
        <w:t xml:space="preserve"> probable outcome of the interruption of a causation that was not interrupted</w:t>
      </w:r>
      <w:r w:rsidR="00DD4BDB" w:rsidRPr="00CF6765">
        <w:rPr>
          <w:rFonts w:eastAsia="Calibri"/>
          <w:sz w:val="20"/>
          <w:szCs w:val="20"/>
          <w:lang w:val="en-US" w:eastAsia="en-US"/>
        </w:rPr>
        <w:t xml:space="preserve"> must always be assessed</w:t>
      </w:r>
      <w:r w:rsidR="0075448B" w:rsidRPr="00CF6765">
        <w:rPr>
          <w:rFonts w:eastAsia="Calibri"/>
          <w:sz w:val="20"/>
          <w:szCs w:val="20"/>
          <w:lang w:val="en-US" w:eastAsia="en-US"/>
        </w:rPr>
        <w:t xml:space="preserve">. Therefore, it has been proved in this case that there </w:t>
      </w:r>
      <w:r w:rsidR="00DD4BDB" w:rsidRPr="00CF6765">
        <w:rPr>
          <w:rFonts w:eastAsia="Calibri"/>
          <w:sz w:val="20"/>
          <w:szCs w:val="20"/>
          <w:lang w:val="en-US" w:eastAsia="en-US"/>
        </w:rPr>
        <w:t>i</w:t>
      </w:r>
      <w:r w:rsidR="0075448B" w:rsidRPr="00CF6765">
        <w:rPr>
          <w:rFonts w:eastAsia="Calibri"/>
          <w:sz w:val="20"/>
          <w:szCs w:val="20"/>
          <w:lang w:val="en-US" w:eastAsia="en-US"/>
        </w:rPr>
        <w:t xml:space="preserve">s a high probability that adequate health care assistance would, at least, have </w:t>
      </w:r>
      <w:r w:rsidR="0090740B" w:rsidRPr="00CF6765">
        <w:rPr>
          <w:rFonts w:eastAsia="Calibri"/>
          <w:sz w:val="20"/>
          <w:szCs w:val="20"/>
          <w:lang w:val="en-US" w:eastAsia="en-US"/>
        </w:rPr>
        <w:t>prolonged</w:t>
      </w:r>
      <w:r w:rsidR="0075448B" w:rsidRPr="00CF6765">
        <w:rPr>
          <w:rFonts w:eastAsia="Calibri"/>
          <w:sz w:val="20"/>
          <w:szCs w:val="20"/>
          <w:lang w:val="en-US" w:eastAsia="en-US"/>
        </w:rPr>
        <w:t xml:space="preserve"> the life </w:t>
      </w:r>
      <w:r w:rsidR="00D04694" w:rsidRPr="00CF6765">
        <w:rPr>
          <w:rFonts w:eastAsia="Calibri"/>
          <w:sz w:val="20"/>
          <w:szCs w:val="20"/>
          <w:lang w:val="en-US" w:eastAsia="en-US"/>
        </w:rPr>
        <w:t>of Mr.</w:t>
      </w:r>
      <w:r w:rsidR="00D2168F" w:rsidRPr="00CF6765">
        <w:rPr>
          <w:rFonts w:eastAsia="Calibri"/>
          <w:sz w:val="20"/>
          <w:szCs w:val="20"/>
          <w:lang w:val="en-US" w:eastAsia="en-US"/>
        </w:rPr>
        <w:t xml:space="preserve"> Poblete</w:t>
      </w:r>
      <w:r w:rsidR="00847C4A" w:rsidRPr="00CF6765">
        <w:rPr>
          <w:rFonts w:eastAsia="Calibri"/>
          <w:sz w:val="20"/>
          <w:szCs w:val="20"/>
          <w:lang w:val="en-US" w:eastAsia="en-US"/>
        </w:rPr>
        <w:t xml:space="preserve"> </w:t>
      </w:r>
      <w:proofErr w:type="spellStart"/>
      <w:r w:rsidR="00382384" w:rsidRPr="00CF6765">
        <w:rPr>
          <w:rFonts w:eastAsia="Calibri"/>
          <w:sz w:val="20"/>
          <w:szCs w:val="20"/>
          <w:lang w:val="en-US" w:eastAsia="en-US"/>
        </w:rPr>
        <w:t>Vilches</w:t>
      </w:r>
      <w:proofErr w:type="spellEnd"/>
      <w:r w:rsidR="00DD4BDB" w:rsidRPr="00CF6765">
        <w:rPr>
          <w:rFonts w:eastAsia="Calibri"/>
          <w:sz w:val="20"/>
          <w:szCs w:val="20"/>
          <w:lang w:val="en-US" w:eastAsia="en-US"/>
        </w:rPr>
        <w:t xml:space="preserve">; thus, </w:t>
      </w:r>
      <w:r w:rsidR="0075448B" w:rsidRPr="00CF6765">
        <w:rPr>
          <w:rFonts w:eastAsia="Calibri"/>
          <w:sz w:val="20"/>
          <w:szCs w:val="20"/>
          <w:lang w:val="en-US" w:eastAsia="en-US"/>
        </w:rPr>
        <w:t xml:space="preserve">it must be concluded that the omission to provide basic health care services violated his </w:t>
      </w:r>
      <w:r w:rsidR="0077190E" w:rsidRPr="00CF6765">
        <w:rPr>
          <w:rFonts w:eastAsia="Calibri"/>
          <w:sz w:val="20"/>
          <w:szCs w:val="20"/>
          <w:lang w:val="en-US" w:eastAsia="en-US"/>
        </w:rPr>
        <w:t>right to life</w:t>
      </w:r>
      <w:r w:rsidR="00847C4A"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847C4A" w:rsidRPr="00CF6765">
        <w:rPr>
          <w:rFonts w:eastAsia="Calibri"/>
          <w:sz w:val="20"/>
          <w:szCs w:val="20"/>
          <w:lang w:val="en-US" w:eastAsia="en-US"/>
        </w:rPr>
        <w:t xml:space="preserve"> 4</w:t>
      </w:r>
      <w:r w:rsidR="005C731C" w:rsidRPr="00CF6765">
        <w:rPr>
          <w:rFonts w:eastAsia="Calibri"/>
          <w:sz w:val="20"/>
          <w:szCs w:val="20"/>
          <w:lang w:val="en-US" w:eastAsia="en-US"/>
        </w:rPr>
        <w:t xml:space="preserve"> of the Convention</w:t>
      </w:r>
      <w:r w:rsidR="00847C4A" w:rsidRPr="00CF6765">
        <w:rPr>
          <w:rFonts w:eastAsia="Calibri"/>
          <w:sz w:val="20"/>
          <w:szCs w:val="20"/>
          <w:lang w:val="en-US" w:eastAsia="en-US"/>
        </w:rPr>
        <w:t>)</w:t>
      </w:r>
      <w:r w:rsidR="00382384" w:rsidRPr="00CF6765">
        <w:rPr>
          <w:rFonts w:eastAsia="Calibri"/>
          <w:sz w:val="20"/>
          <w:szCs w:val="20"/>
          <w:lang w:val="en-US" w:eastAsia="en-US"/>
        </w:rPr>
        <w:t>.</w:t>
      </w:r>
      <w:r w:rsidR="00382384" w:rsidRPr="00CF6765">
        <w:rPr>
          <w:rFonts w:eastAsia="Calibri"/>
          <w:b/>
          <w:sz w:val="20"/>
          <w:szCs w:val="20"/>
          <w:lang w:val="en-US" w:eastAsia="en-US"/>
        </w:rPr>
        <w:t xml:space="preserve"> </w:t>
      </w:r>
    </w:p>
    <w:p w14:paraId="0BB2A959" w14:textId="77777777" w:rsidR="00630070" w:rsidRPr="00CF6765" w:rsidRDefault="00630070" w:rsidP="002570D1">
      <w:pPr>
        <w:rPr>
          <w:rFonts w:eastAsia="Calibri"/>
          <w:sz w:val="18"/>
          <w:szCs w:val="20"/>
          <w:lang w:val="en-US" w:eastAsia="en-US"/>
        </w:rPr>
      </w:pPr>
    </w:p>
    <w:p w14:paraId="71E07150" w14:textId="0CE01650" w:rsidR="00967ED8" w:rsidRPr="00CF6765" w:rsidRDefault="00967ED8" w:rsidP="00967ED8">
      <w:pPr>
        <w:ind w:left="708" w:firstLine="708"/>
        <w:rPr>
          <w:rFonts w:eastAsia="Calibri"/>
          <w:b/>
          <w:i/>
          <w:sz w:val="20"/>
          <w:szCs w:val="20"/>
          <w:lang w:val="en-US" w:eastAsia="en-US"/>
        </w:rPr>
      </w:pPr>
      <w:r w:rsidRPr="00CF6765">
        <w:rPr>
          <w:rFonts w:eastAsia="Calibri"/>
          <w:b/>
          <w:i/>
          <w:sz w:val="20"/>
          <w:szCs w:val="20"/>
          <w:lang w:val="en-US" w:eastAsia="en-US"/>
        </w:rPr>
        <w:t>1.2.</w:t>
      </w:r>
      <w:r w:rsidR="001A5114" w:rsidRPr="00CF6765">
        <w:rPr>
          <w:rFonts w:eastAsia="Calibri"/>
          <w:b/>
          <w:i/>
          <w:sz w:val="20"/>
          <w:szCs w:val="20"/>
          <w:lang w:val="en-US" w:eastAsia="en-US"/>
        </w:rPr>
        <w:t>2</w:t>
      </w:r>
      <w:r w:rsidRPr="00CF6765">
        <w:rPr>
          <w:rFonts w:eastAsia="Calibri"/>
          <w:b/>
          <w:i/>
          <w:sz w:val="20"/>
          <w:szCs w:val="20"/>
          <w:lang w:val="en-US" w:eastAsia="en-US"/>
        </w:rPr>
        <w:t xml:space="preserve"> </w:t>
      </w:r>
      <w:r w:rsidR="0075448B" w:rsidRPr="00CF6765">
        <w:rPr>
          <w:rFonts w:eastAsia="Calibri"/>
          <w:b/>
          <w:i/>
          <w:sz w:val="20"/>
          <w:szCs w:val="20"/>
          <w:lang w:val="en-US" w:eastAsia="en-US"/>
        </w:rPr>
        <w:t>Regarding the right to personal</w:t>
      </w:r>
      <w:r w:rsidR="00925BAC" w:rsidRPr="00CF6765">
        <w:rPr>
          <w:rFonts w:eastAsia="Calibri"/>
          <w:b/>
          <w:i/>
          <w:sz w:val="20"/>
          <w:szCs w:val="20"/>
          <w:lang w:val="en-US" w:eastAsia="en-US"/>
        </w:rPr>
        <w:t xml:space="preserve"> integrity</w:t>
      </w:r>
    </w:p>
    <w:p w14:paraId="1A4BAAB7" w14:textId="77777777" w:rsidR="00967ED8" w:rsidRPr="00CF6765" w:rsidRDefault="00967ED8" w:rsidP="002570D1">
      <w:pPr>
        <w:rPr>
          <w:rFonts w:eastAsia="Calibri"/>
          <w:sz w:val="20"/>
          <w:szCs w:val="20"/>
          <w:lang w:val="en-US" w:eastAsia="en-US"/>
        </w:rPr>
      </w:pPr>
    </w:p>
    <w:p w14:paraId="6F9280AB" w14:textId="76DAF5A2" w:rsidR="00967ED8" w:rsidRPr="00CF6765" w:rsidRDefault="00690D57" w:rsidP="007E5CD5">
      <w:pPr>
        <w:numPr>
          <w:ilvl w:val="0"/>
          <w:numId w:val="2"/>
        </w:numPr>
        <w:tabs>
          <w:tab w:val="left" w:pos="567"/>
          <w:tab w:val="num" w:pos="1569"/>
          <w:tab w:val="num" w:pos="12305"/>
        </w:tabs>
        <w:ind w:left="0" w:firstLine="0"/>
        <w:rPr>
          <w:sz w:val="20"/>
          <w:szCs w:val="20"/>
          <w:lang w:val="en-US" w:eastAsia="x-none"/>
        </w:rPr>
      </w:pPr>
      <w:r w:rsidRPr="00CF6765">
        <w:rPr>
          <w:sz w:val="20"/>
          <w:szCs w:val="20"/>
          <w:lang w:val="en-US" w:eastAsia="x-none"/>
        </w:rPr>
        <w:t>In relation to Article</w:t>
      </w:r>
      <w:r w:rsidR="00967ED8" w:rsidRPr="00CF6765">
        <w:rPr>
          <w:sz w:val="20"/>
          <w:szCs w:val="20"/>
          <w:lang w:val="en-US" w:eastAsia="x-none"/>
        </w:rPr>
        <w:t xml:space="preserve"> </w:t>
      </w:r>
      <w:r w:rsidR="00D2168F" w:rsidRPr="00CF6765">
        <w:rPr>
          <w:sz w:val="20"/>
          <w:szCs w:val="20"/>
          <w:lang w:val="en-US" w:eastAsia="x-none"/>
        </w:rPr>
        <w:t>5(1)</w:t>
      </w:r>
      <w:r w:rsidR="005C731C" w:rsidRPr="00CF6765">
        <w:rPr>
          <w:sz w:val="20"/>
          <w:szCs w:val="20"/>
          <w:lang w:val="en-US" w:eastAsia="x-none"/>
        </w:rPr>
        <w:t xml:space="preserve"> of the Convention</w:t>
      </w:r>
      <w:r w:rsidR="00967ED8" w:rsidRPr="00CF6765">
        <w:rPr>
          <w:sz w:val="20"/>
          <w:szCs w:val="20"/>
          <w:lang w:val="en-US" w:eastAsia="x-none"/>
        </w:rPr>
        <w:t xml:space="preserve">, </w:t>
      </w:r>
      <w:r w:rsidR="005C731C" w:rsidRPr="00CF6765">
        <w:rPr>
          <w:sz w:val="20"/>
          <w:szCs w:val="20"/>
          <w:lang w:val="en-US" w:eastAsia="x-none"/>
        </w:rPr>
        <w:t>the Court</w:t>
      </w:r>
      <w:r w:rsidR="00967ED8" w:rsidRPr="00CF6765">
        <w:rPr>
          <w:sz w:val="20"/>
          <w:szCs w:val="20"/>
          <w:lang w:val="en-US" w:eastAsia="x-none"/>
        </w:rPr>
        <w:t xml:space="preserve"> ha</w:t>
      </w:r>
      <w:r w:rsidR="0075448B" w:rsidRPr="00CF6765">
        <w:rPr>
          <w:sz w:val="20"/>
          <w:szCs w:val="20"/>
          <w:lang w:val="en-US" w:eastAsia="x-none"/>
        </w:rPr>
        <w:t xml:space="preserve">s established that </w:t>
      </w:r>
      <w:r w:rsidR="00925BAC" w:rsidRPr="00CF6765">
        <w:rPr>
          <w:sz w:val="20"/>
          <w:szCs w:val="20"/>
          <w:lang w:val="en-US" w:eastAsia="x-none"/>
        </w:rPr>
        <w:t>personal integrity</w:t>
      </w:r>
      <w:r w:rsidR="00967ED8" w:rsidRPr="00CF6765">
        <w:rPr>
          <w:sz w:val="20"/>
          <w:szCs w:val="20"/>
          <w:lang w:val="en-US" w:eastAsia="x-none"/>
        </w:rPr>
        <w:t xml:space="preserve"> </w:t>
      </w:r>
      <w:r w:rsidR="0075448B" w:rsidRPr="00CF6765">
        <w:rPr>
          <w:sz w:val="20"/>
          <w:szCs w:val="20"/>
          <w:lang w:val="en-US" w:eastAsia="x-none"/>
        </w:rPr>
        <w:t>is directly and immediately connected to health care,</w:t>
      </w:r>
      <w:r w:rsidR="00967ED8" w:rsidRPr="00CF6765">
        <w:rPr>
          <w:sz w:val="20"/>
          <w:szCs w:val="20"/>
          <w:vertAlign w:val="superscript"/>
          <w:lang w:val="en-US" w:eastAsia="x-none"/>
        </w:rPr>
        <w:footnoteReference w:id="246"/>
      </w:r>
      <w:r w:rsidR="00EC50FC" w:rsidRPr="00CF6765">
        <w:rPr>
          <w:sz w:val="20"/>
          <w:szCs w:val="20"/>
          <w:lang w:val="en-US" w:eastAsia="x-none"/>
        </w:rPr>
        <w:t xml:space="preserve"> and </w:t>
      </w:r>
      <w:r w:rsidR="0075448B" w:rsidRPr="00CF6765">
        <w:rPr>
          <w:sz w:val="20"/>
          <w:szCs w:val="20"/>
          <w:lang w:val="en-US" w:eastAsia="x-none"/>
        </w:rPr>
        <w:t>the lack of adequate medical care may lead to the violation</w:t>
      </w:r>
      <w:r w:rsidR="00967ED8" w:rsidRPr="00CF6765">
        <w:rPr>
          <w:sz w:val="20"/>
          <w:szCs w:val="20"/>
          <w:lang w:val="en-US" w:eastAsia="x-none"/>
        </w:rPr>
        <w:t xml:space="preserve"> </w:t>
      </w:r>
      <w:r w:rsidR="0088423A" w:rsidRPr="00CF6765">
        <w:rPr>
          <w:sz w:val="20"/>
          <w:szCs w:val="20"/>
          <w:lang w:val="en-US" w:eastAsia="x-none"/>
        </w:rPr>
        <w:t>of Article</w:t>
      </w:r>
      <w:r w:rsidR="00967ED8" w:rsidRPr="00CF6765">
        <w:rPr>
          <w:sz w:val="20"/>
          <w:szCs w:val="20"/>
          <w:lang w:val="en-US" w:eastAsia="x-none"/>
        </w:rPr>
        <w:t xml:space="preserve"> </w:t>
      </w:r>
      <w:r w:rsidR="00D2168F" w:rsidRPr="00CF6765">
        <w:rPr>
          <w:sz w:val="20"/>
          <w:szCs w:val="20"/>
          <w:lang w:val="en-US" w:eastAsia="x-none"/>
        </w:rPr>
        <w:t>5(1)</w:t>
      </w:r>
      <w:r w:rsidR="005C731C" w:rsidRPr="00CF6765">
        <w:rPr>
          <w:sz w:val="20"/>
          <w:szCs w:val="20"/>
          <w:lang w:val="en-US" w:eastAsia="x-none"/>
        </w:rPr>
        <w:t xml:space="preserve"> of the Convention</w:t>
      </w:r>
      <w:r w:rsidR="0075448B" w:rsidRPr="00CF6765">
        <w:rPr>
          <w:sz w:val="20"/>
          <w:szCs w:val="20"/>
          <w:lang w:val="en-US" w:eastAsia="x-none"/>
        </w:rPr>
        <w:t>.</w:t>
      </w:r>
      <w:r w:rsidR="00967ED8" w:rsidRPr="00CF6765">
        <w:rPr>
          <w:rFonts w:cs="Verdana"/>
          <w:sz w:val="20"/>
          <w:szCs w:val="20"/>
          <w:vertAlign w:val="superscript"/>
          <w:lang w:val="en-US" w:eastAsia="x-none"/>
        </w:rPr>
        <w:footnoteReference w:id="247"/>
      </w:r>
      <w:r w:rsidR="0075448B" w:rsidRPr="00CF6765">
        <w:rPr>
          <w:sz w:val="20"/>
          <w:szCs w:val="20"/>
          <w:lang w:val="en-US" w:eastAsia="x-none"/>
        </w:rPr>
        <w:t xml:space="preserve"> In this regard, the Court has affirmed that the protection </w:t>
      </w:r>
      <w:r w:rsidR="00B65BBE" w:rsidRPr="00CF6765">
        <w:rPr>
          <w:sz w:val="20"/>
          <w:szCs w:val="20"/>
          <w:lang w:val="en-US" w:eastAsia="x-none"/>
        </w:rPr>
        <w:t xml:space="preserve">of the </w:t>
      </w:r>
      <w:r w:rsidR="0075448B" w:rsidRPr="00CF6765">
        <w:rPr>
          <w:sz w:val="20"/>
          <w:szCs w:val="20"/>
          <w:lang w:val="en-US" w:eastAsia="x-none"/>
        </w:rPr>
        <w:t>right to personal</w:t>
      </w:r>
      <w:r w:rsidR="00925BAC" w:rsidRPr="00CF6765">
        <w:rPr>
          <w:sz w:val="20"/>
          <w:szCs w:val="20"/>
          <w:lang w:val="en-US" w:eastAsia="x-none"/>
        </w:rPr>
        <w:t xml:space="preserve"> integrity</w:t>
      </w:r>
      <w:r w:rsidR="00967ED8" w:rsidRPr="00CF6765">
        <w:rPr>
          <w:sz w:val="20"/>
          <w:szCs w:val="20"/>
          <w:lang w:val="en-US" w:eastAsia="x-none"/>
        </w:rPr>
        <w:t xml:space="preserve"> sup</w:t>
      </w:r>
      <w:r w:rsidR="0075448B" w:rsidRPr="00CF6765">
        <w:rPr>
          <w:sz w:val="20"/>
          <w:szCs w:val="20"/>
          <w:lang w:val="en-US" w:eastAsia="x-none"/>
        </w:rPr>
        <w:t>poses the regulation of the health services in the domestic sphere, as well as the implementation of a series of mechanisms to protect the effectiveness of this regulation</w:t>
      </w:r>
      <w:r w:rsidR="00967ED8" w:rsidRPr="00CF6765">
        <w:rPr>
          <w:sz w:val="20"/>
          <w:szCs w:val="20"/>
          <w:vertAlign w:val="superscript"/>
          <w:lang w:val="en-US" w:eastAsia="x-none"/>
        </w:rPr>
        <w:footnoteReference w:id="248"/>
      </w:r>
      <w:r w:rsidR="007F108A" w:rsidRPr="00CF6765">
        <w:rPr>
          <w:sz w:val="20"/>
          <w:szCs w:val="20"/>
          <w:lang w:val="en-US" w:eastAsia="x-none"/>
        </w:rPr>
        <w:t xml:space="preserve"> (</w:t>
      </w:r>
      <w:r w:rsidR="007F108A" w:rsidRPr="00CF6765">
        <w:rPr>
          <w:i/>
          <w:sz w:val="20"/>
          <w:szCs w:val="20"/>
          <w:lang w:val="en-US" w:eastAsia="x-none"/>
        </w:rPr>
        <w:t>supra</w:t>
      </w:r>
      <w:r w:rsidR="007F108A" w:rsidRPr="00CF6765">
        <w:rPr>
          <w:sz w:val="20"/>
          <w:szCs w:val="20"/>
          <w:lang w:val="en-US" w:eastAsia="x-none"/>
        </w:rPr>
        <w:t xml:space="preserve"> </w:t>
      </w:r>
      <w:r w:rsidR="00EC50FC" w:rsidRPr="00CF6765">
        <w:rPr>
          <w:sz w:val="20"/>
          <w:szCs w:val="20"/>
          <w:lang w:val="en-US" w:eastAsia="x-none"/>
        </w:rPr>
        <w:t>para.</w:t>
      </w:r>
      <w:r w:rsidR="0075448B" w:rsidRPr="00CF6765">
        <w:rPr>
          <w:sz w:val="20"/>
          <w:szCs w:val="20"/>
          <w:lang w:val="en-US" w:eastAsia="x-none"/>
        </w:rPr>
        <w:t xml:space="preserve"> </w:t>
      </w:r>
      <w:r w:rsidR="007F108A" w:rsidRPr="00CF6765">
        <w:rPr>
          <w:sz w:val="20"/>
          <w:szCs w:val="20"/>
          <w:lang w:val="en-US" w:eastAsia="x-none"/>
        </w:rPr>
        <w:t>124)</w:t>
      </w:r>
      <w:r w:rsidR="00967ED8" w:rsidRPr="00CF6765">
        <w:rPr>
          <w:sz w:val="20"/>
          <w:szCs w:val="20"/>
          <w:lang w:val="en-US" w:eastAsia="x-none"/>
        </w:rPr>
        <w:t xml:space="preserve">. </w:t>
      </w:r>
      <w:r w:rsidR="0075448B" w:rsidRPr="00CF6765">
        <w:rPr>
          <w:sz w:val="20"/>
          <w:szCs w:val="20"/>
          <w:lang w:val="en-US" w:eastAsia="x-none"/>
        </w:rPr>
        <w:t xml:space="preserve">Therefore, the Court has indicated that, in order to comply with the obligation to ensure </w:t>
      </w:r>
      <w:r w:rsidR="00DE6950" w:rsidRPr="00CF6765">
        <w:rPr>
          <w:sz w:val="20"/>
          <w:szCs w:val="20"/>
          <w:lang w:val="en-US"/>
        </w:rPr>
        <w:t xml:space="preserve">the </w:t>
      </w:r>
      <w:r w:rsidR="0075448B" w:rsidRPr="00CF6765">
        <w:rPr>
          <w:sz w:val="20"/>
          <w:szCs w:val="20"/>
          <w:lang w:val="en-US"/>
        </w:rPr>
        <w:t>right to personal</w:t>
      </w:r>
      <w:r w:rsidR="00925BAC" w:rsidRPr="00CF6765">
        <w:rPr>
          <w:sz w:val="20"/>
          <w:szCs w:val="20"/>
          <w:lang w:val="en-US"/>
        </w:rPr>
        <w:t xml:space="preserve"> integrity</w:t>
      </w:r>
      <w:r w:rsidR="0075448B" w:rsidRPr="00CF6765">
        <w:rPr>
          <w:sz w:val="20"/>
          <w:szCs w:val="20"/>
          <w:lang w:val="en-US"/>
        </w:rPr>
        <w:t>,</w:t>
      </w:r>
      <w:r w:rsidR="00EC50FC" w:rsidRPr="00CF6765">
        <w:rPr>
          <w:sz w:val="20"/>
          <w:szCs w:val="20"/>
          <w:lang w:val="en-US"/>
        </w:rPr>
        <w:t xml:space="preserve"> and </w:t>
      </w:r>
      <w:r w:rsidR="0075448B" w:rsidRPr="00CF6765">
        <w:rPr>
          <w:sz w:val="20"/>
          <w:szCs w:val="20"/>
          <w:lang w:val="en-US"/>
        </w:rPr>
        <w:t>in the context of health, States must establish an adequate legal framework that regulates the provision of health services, establishing standards of quality for both public and private institutions that prevent any possible violation of personal integrity in those services.</w:t>
      </w:r>
      <w:r w:rsidR="00967ED8" w:rsidRPr="00CF6765">
        <w:rPr>
          <w:rStyle w:val="Refdenotaalpie"/>
          <w:sz w:val="20"/>
          <w:szCs w:val="20"/>
          <w:lang w:val="en-US"/>
        </w:rPr>
        <w:footnoteReference w:id="249"/>
      </w:r>
    </w:p>
    <w:p w14:paraId="41F31C88" w14:textId="77777777" w:rsidR="00967ED8" w:rsidRPr="00CF6765" w:rsidRDefault="00967ED8" w:rsidP="002570D1">
      <w:pPr>
        <w:rPr>
          <w:rFonts w:eastAsia="Calibri"/>
          <w:sz w:val="18"/>
          <w:szCs w:val="20"/>
          <w:lang w:val="en-US" w:eastAsia="en-US"/>
        </w:rPr>
      </w:pPr>
    </w:p>
    <w:p w14:paraId="7490208D" w14:textId="18E4EDD0" w:rsidR="00F42440" w:rsidRPr="00CF6765" w:rsidRDefault="005C731C" w:rsidP="007E5CD5">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Court</w:t>
      </w:r>
      <w:r w:rsidR="00F42440" w:rsidRPr="00CF6765">
        <w:rPr>
          <w:rFonts w:eastAsia="Calibri"/>
          <w:sz w:val="20"/>
          <w:szCs w:val="20"/>
          <w:lang w:val="en-US" w:eastAsia="en-US"/>
        </w:rPr>
        <w:t xml:space="preserve"> not</w:t>
      </w:r>
      <w:r w:rsidR="0075448B" w:rsidRPr="00CF6765">
        <w:rPr>
          <w:rFonts w:eastAsia="Calibri"/>
          <w:sz w:val="20"/>
          <w:szCs w:val="20"/>
          <w:lang w:val="en-US" w:eastAsia="en-US"/>
        </w:rPr>
        <w:t xml:space="preserve">es that in her statement before this Court, </w:t>
      </w:r>
      <w:r w:rsidR="005F3EE7" w:rsidRPr="00CF6765">
        <w:rPr>
          <w:rFonts w:eastAsia="Calibri"/>
          <w:sz w:val="20"/>
          <w:szCs w:val="20"/>
          <w:lang w:val="en-US" w:eastAsia="en-US"/>
        </w:rPr>
        <w:t>Dr.</w:t>
      </w:r>
      <w:r w:rsidR="00F42440" w:rsidRPr="00CF6765">
        <w:rPr>
          <w:rFonts w:eastAsia="Calibri"/>
          <w:sz w:val="20"/>
          <w:szCs w:val="20"/>
          <w:lang w:val="en-US" w:eastAsia="en-US"/>
        </w:rPr>
        <w:t xml:space="preserve"> Sandra Castillo </w:t>
      </w:r>
      <w:proofErr w:type="spellStart"/>
      <w:r w:rsidR="00DD4BDB" w:rsidRPr="00CF6765">
        <w:rPr>
          <w:rFonts w:eastAsia="Calibri"/>
          <w:sz w:val="20"/>
          <w:szCs w:val="20"/>
          <w:lang w:val="en-US" w:eastAsia="en-US"/>
        </w:rPr>
        <w:t>Montufar</w:t>
      </w:r>
      <w:proofErr w:type="spellEnd"/>
      <w:r w:rsidR="00F42440" w:rsidRPr="00CF6765">
        <w:rPr>
          <w:rFonts w:eastAsia="Calibri"/>
          <w:sz w:val="20"/>
          <w:szCs w:val="20"/>
          <w:lang w:val="en-US" w:eastAsia="en-US"/>
        </w:rPr>
        <w:t xml:space="preserve"> </w:t>
      </w:r>
      <w:r w:rsidR="0075448B" w:rsidRPr="00CF6765">
        <w:rPr>
          <w:rFonts w:eastAsia="Calibri"/>
          <w:sz w:val="20"/>
          <w:szCs w:val="20"/>
          <w:lang w:val="en-US" w:eastAsia="en-US"/>
        </w:rPr>
        <w:t>stated that</w:t>
      </w:r>
      <w:r w:rsidR="00F42440" w:rsidRPr="00CF6765">
        <w:rPr>
          <w:rFonts w:eastAsia="Calibri"/>
          <w:sz w:val="20"/>
          <w:szCs w:val="20"/>
          <w:lang w:val="en-US" w:eastAsia="en-US"/>
        </w:rPr>
        <w:t xml:space="preserve">: </w:t>
      </w:r>
    </w:p>
    <w:p w14:paraId="61EB2802" w14:textId="77777777" w:rsidR="00F42440" w:rsidRPr="00CF6765" w:rsidRDefault="00F42440" w:rsidP="002570D1">
      <w:pPr>
        <w:rPr>
          <w:rFonts w:eastAsia="Calibri"/>
          <w:sz w:val="18"/>
          <w:szCs w:val="20"/>
          <w:lang w:val="en-US" w:eastAsia="en-US"/>
        </w:rPr>
      </w:pPr>
    </w:p>
    <w:p w14:paraId="14C7F1AB" w14:textId="1B232C4D" w:rsidR="00F42440" w:rsidRPr="00CF6765" w:rsidRDefault="00F42440" w:rsidP="0075448B">
      <w:pPr>
        <w:ind w:left="708" w:right="373"/>
        <w:rPr>
          <w:rFonts w:eastAsia="Calibri"/>
          <w:sz w:val="18"/>
          <w:szCs w:val="20"/>
          <w:lang w:val="en-US" w:eastAsia="en-US"/>
        </w:rPr>
      </w:pPr>
      <w:r w:rsidRPr="00CF6765">
        <w:rPr>
          <w:rFonts w:eastAsia="Calibri"/>
          <w:sz w:val="18"/>
          <w:szCs w:val="20"/>
          <w:lang w:val="en-US" w:eastAsia="en-US"/>
        </w:rPr>
        <w:t>“</w:t>
      </w:r>
      <w:r w:rsidR="0075448B" w:rsidRPr="00CF6765">
        <w:rPr>
          <w:rFonts w:eastAsia="Calibri"/>
          <w:sz w:val="18"/>
          <w:szCs w:val="20"/>
          <w:lang w:val="en-US" w:eastAsia="en-US"/>
        </w:rPr>
        <w:t xml:space="preserve">Following the surgical procedure in question, on February 5, </w:t>
      </w:r>
      <w:r w:rsidRPr="00CF6765">
        <w:rPr>
          <w:rFonts w:eastAsia="Calibri"/>
          <w:sz w:val="18"/>
          <w:szCs w:val="20"/>
          <w:lang w:val="en-US" w:eastAsia="en-US"/>
        </w:rPr>
        <w:t>2001</w:t>
      </w:r>
      <w:r w:rsidR="0075448B" w:rsidRPr="00CF6765">
        <w:rPr>
          <w:rFonts w:eastAsia="Calibri"/>
          <w:sz w:val="18"/>
          <w:szCs w:val="20"/>
          <w:lang w:val="en-US" w:eastAsia="en-US"/>
        </w:rPr>
        <w:t xml:space="preserve">, </w:t>
      </w:r>
      <w:r w:rsidRPr="00CF6765">
        <w:rPr>
          <w:rFonts w:eastAsia="Calibri"/>
          <w:sz w:val="18"/>
          <w:szCs w:val="20"/>
          <w:lang w:val="en-US" w:eastAsia="en-US"/>
        </w:rPr>
        <w:t>[…] [</w:t>
      </w:r>
      <w:r w:rsidR="0075448B" w:rsidRPr="00CF6765">
        <w:rPr>
          <w:rFonts w:eastAsia="Calibri"/>
          <w:sz w:val="18"/>
          <w:szCs w:val="20"/>
          <w:lang w:val="en-US" w:eastAsia="en-US"/>
        </w:rPr>
        <w:t>o</w:t>
      </w:r>
      <w:r w:rsidRPr="00CF6765">
        <w:rPr>
          <w:rFonts w:eastAsia="Calibri"/>
          <w:sz w:val="18"/>
          <w:szCs w:val="20"/>
          <w:lang w:val="en-US" w:eastAsia="en-US"/>
        </w:rPr>
        <w:t>]</w:t>
      </w:r>
      <w:r w:rsidR="0075448B" w:rsidRPr="00CF6765">
        <w:rPr>
          <w:rFonts w:eastAsia="Calibri"/>
          <w:sz w:val="18"/>
          <w:szCs w:val="20"/>
          <w:lang w:val="en-US" w:eastAsia="en-US"/>
        </w:rPr>
        <w:t xml:space="preserve">n arriving at the home of </w:t>
      </w:r>
      <w:r w:rsidRPr="00CF6765">
        <w:rPr>
          <w:rFonts w:eastAsia="Calibri"/>
          <w:sz w:val="18"/>
          <w:szCs w:val="20"/>
          <w:lang w:val="en-US" w:eastAsia="en-US"/>
        </w:rPr>
        <w:t xml:space="preserve">Vinicio Poblete </w:t>
      </w:r>
      <w:proofErr w:type="spellStart"/>
      <w:r w:rsidRPr="00CF6765">
        <w:rPr>
          <w:rFonts w:eastAsia="Calibri"/>
          <w:sz w:val="18"/>
          <w:szCs w:val="20"/>
          <w:lang w:val="en-US" w:eastAsia="en-US"/>
        </w:rPr>
        <w:t>Vilches</w:t>
      </w:r>
      <w:proofErr w:type="spellEnd"/>
      <w:r w:rsidR="00B5183E" w:rsidRPr="00CF6765">
        <w:rPr>
          <w:rFonts w:eastAsia="Calibri"/>
          <w:sz w:val="18"/>
          <w:szCs w:val="20"/>
          <w:lang w:val="en-US" w:eastAsia="en-US"/>
        </w:rPr>
        <w:t>,</w:t>
      </w:r>
      <w:r w:rsidRPr="00CF6765">
        <w:rPr>
          <w:rFonts w:eastAsia="Calibri"/>
          <w:sz w:val="18"/>
          <w:szCs w:val="20"/>
          <w:lang w:val="en-US" w:eastAsia="en-US"/>
        </w:rPr>
        <w:t xml:space="preserve"> [</w:t>
      </w:r>
      <w:r w:rsidR="0075448B" w:rsidRPr="00CF6765">
        <w:rPr>
          <w:rFonts w:eastAsia="Calibri"/>
          <w:sz w:val="18"/>
          <w:szCs w:val="20"/>
          <w:lang w:val="en-US" w:eastAsia="en-US"/>
        </w:rPr>
        <w:t>she found</w:t>
      </w:r>
      <w:r w:rsidRPr="00CF6765">
        <w:rPr>
          <w:rFonts w:eastAsia="Calibri"/>
          <w:sz w:val="18"/>
          <w:szCs w:val="20"/>
          <w:lang w:val="en-US" w:eastAsia="en-US"/>
        </w:rPr>
        <w:t xml:space="preserve">] </w:t>
      </w:r>
      <w:r w:rsidR="0075448B" w:rsidRPr="00CF6765">
        <w:rPr>
          <w:rFonts w:eastAsia="Calibri"/>
          <w:sz w:val="18"/>
          <w:szCs w:val="20"/>
          <w:lang w:val="en-US" w:eastAsia="en-US"/>
        </w:rPr>
        <w:t>a patient with serious physical and mental deterioration, feverish</w:t>
      </w:r>
      <w:r w:rsidR="00B5183E" w:rsidRPr="00CF6765">
        <w:rPr>
          <w:rFonts w:eastAsia="Calibri"/>
          <w:sz w:val="18"/>
          <w:szCs w:val="20"/>
          <w:lang w:val="en-US" w:eastAsia="en-US"/>
        </w:rPr>
        <w:t>,</w:t>
      </w:r>
      <w:r w:rsidR="0075448B" w:rsidRPr="00CF6765">
        <w:rPr>
          <w:rFonts w:eastAsia="Calibri"/>
          <w:sz w:val="18"/>
          <w:szCs w:val="20"/>
          <w:lang w:val="en-US" w:eastAsia="en-US"/>
        </w:rPr>
        <w:t xml:space="preserve"> </w:t>
      </w:r>
      <w:proofErr w:type="spellStart"/>
      <w:r w:rsidR="00E27148" w:rsidRPr="00CF6765">
        <w:rPr>
          <w:rFonts w:eastAsia="Calibri"/>
          <w:sz w:val="18"/>
          <w:szCs w:val="20"/>
          <w:lang w:val="en-US" w:eastAsia="en-US"/>
        </w:rPr>
        <w:t>stuperous</w:t>
      </w:r>
      <w:proofErr w:type="spellEnd"/>
      <w:r w:rsidR="00E27148" w:rsidRPr="00CF6765">
        <w:rPr>
          <w:rFonts w:eastAsia="Calibri"/>
          <w:sz w:val="18"/>
          <w:szCs w:val="20"/>
          <w:lang w:val="en-US" w:eastAsia="en-US"/>
        </w:rPr>
        <w:t>,</w:t>
      </w:r>
      <w:r w:rsidR="0075448B" w:rsidRPr="00CF6765">
        <w:rPr>
          <w:rFonts w:eastAsia="Calibri"/>
          <w:sz w:val="18"/>
          <w:szCs w:val="20"/>
          <w:lang w:val="en-US" w:eastAsia="en-US"/>
        </w:rPr>
        <w:t xml:space="preserve"> and in a coma […]. The patient was severely ill with </w:t>
      </w:r>
      <w:r w:rsidR="00E27148" w:rsidRPr="00CF6765">
        <w:rPr>
          <w:rFonts w:eastAsia="Calibri"/>
          <w:sz w:val="18"/>
          <w:szCs w:val="20"/>
          <w:lang w:val="en-US" w:eastAsia="en-US"/>
        </w:rPr>
        <w:t>sepsis</w:t>
      </w:r>
      <w:r w:rsidR="0075448B" w:rsidRPr="00CF6765">
        <w:rPr>
          <w:rFonts w:eastAsia="Calibri"/>
          <w:sz w:val="18"/>
          <w:szCs w:val="20"/>
          <w:lang w:val="en-US" w:eastAsia="en-US"/>
        </w:rPr>
        <w:t xml:space="preserve">; </w:t>
      </w:r>
      <w:r w:rsidR="00B5183E" w:rsidRPr="00CF6765">
        <w:rPr>
          <w:rFonts w:eastAsia="Calibri"/>
          <w:sz w:val="18"/>
          <w:szCs w:val="20"/>
          <w:lang w:val="en-US" w:eastAsia="en-US"/>
        </w:rPr>
        <w:t xml:space="preserve">unresponsive to stimuli, light or sound. </w:t>
      </w:r>
      <w:r w:rsidR="0075448B" w:rsidRPr="00CF6765">
        <w:rPr>
          <w:rFonts w:eastAsia="Calibri"/>
          <w:sz w:val="18"/>
          <w:szCs w:val="20"/>
          <w:lang w:val="en-US" w:eastAsia="en-US"/>
        </w:rPr>
        <w:t xml:space="preserve">He was unconscious </w:t>
      </w:r>
      <w:r w:rsidR="00B5183E" w:rsidRPr="00CF6765">
        <w:rPr>
          <w:rFonts w:eastAsia="Calibri"/>
          <w:sz w:val="18"/>
          <w:szCs w:val="20"/>
          <w:lang w:val="en-US" w:eastAsia="en-US"/>
        </w:rPr>
        <w:t>and</w:t>
      </w:r>
      <w:r w:rsidR="0075448B" w:rsidRPr="00CF6765">
        <w:rPr>
          <w:rFonts w:eastAsia="Calibri"/>
          <w:sz w:val="18"/>
          <w:szCs w:val="20"/>
          <w:lang w:val="en-US" w:eastAsia="en-US"/>
        </w:rPr>
        <w:t xml:space="preserve"> </w:t>
      </w:r>
      <w:r w:rsidR="00B5183E" w:rsidRPr="00CF6765">
        <w:rPr>
          <w:rFonts w:eastAsia="Calibri"/>
          <w:sz w:val="18"/>
          <w:szCs w:val="20"/>
          <w:lang w:val="en-US" w:eastAsia="en-US"/>
        </w:rPr>
        <w:t>needed to be</w:t>
      </w:r>
      <w:r w:rsidR="0075448B" w:rsidRPr="00CF6765">
        <w:rPr>
          <w:rFonts w:eastAsia="Calibri"/>
          <w:sz w:val="18"/>
          <w:szCs w:val="20"/>
          <w:lang w:val="en-US" w:eastAsia="en-US"/>
        </w:rPr>
        <w:t xml:space="preserve"> transferred to hospital urgently </w:t>
      </w:r>
      <w:r w:rsidRPr="00CF6765">
        <w:rPr>
          <w:rFonts w:eastAsia="Calibri"/>
          <w:sz w:val="18"/>
          <w:szCs w:val="20"/>
          <w:lang w:val="en-US" w:eastAsia="en-US"/>
        </w:rPr>
        <w:t>[…]</w:t>
      </w:r>
      <w:r w:rsidR="00B5183E" w:rsidRPr="00CF6765">
        <w:rPr>
          <w:rFonts w:eastAsia="Calibri"/>
          <w:sz w:val="18"/>
          <w:szCs w:val="20"/>
          <w:lang w:val="en-US" w:eastAsia="en-US"/>
        </w:rPr>
        <w:t>.</w:t>
      </w:r>
      <w:r w:rsidRPr="00CF6765">
        <w:rPr>
          <w:rFonts w:eastAsia="Calibri"/>
          <w:sz w:val="18"/>
          <w:szCs w:val="20"/>
          <w:lang w:val="en-US" w:eastAsia="en-US"/>
        </w:rPr>
        <w:t>”</w:t>
      </w:r>
      <w:r w:rsidRPr="00CF6765">
        <w:rPr>
          <w:rStyle w:val="Refdenotaalpie"/>
          <w:rFonts w:eastAsia="Calibri"/>
          <w:sz w:val="18"/>
          <w:szCs w:val="20"/>
          <w:lang w:val="en-US" w:eastAsia="en-US"/>
        </w:rPr>
        <w:footnoteReference w:id="250"/>
      </w:r>
      <w:r w:rsidRPr="00CF6765">
        <w:rPr>
          <w:rFonts w:eastAsia="Calibri"/>
          <w:sz w:val="18"/>
          <w:szCs w:val="20"/>
          <w:lang w:val="en-US" w:eastAsia="en-US"/>
        </w:rPr>
        <w:t xml:space="preserve"> </w:t>
      </w:r>
    </w:p>
    <w:p w14:paraId="6B4A7D9B" w14:textId="77777777" w:rsidR="00F42440" w:rsidRPr="00CF6765" w:rsidRDefault="00F42440" w:rsidP="002570D1">
      <w:pPr>
        <w:rPr>
          <w:rFonts w:eastAsia="Calibri"/>
          <w:sz w:val="18"/>
          <w:szCs w:val="20"/>
          <w:lang w:val="en-US" w:eastAsia="en-US"/>
        </w:rPr>
      </w:pPr>
    </w:p>
    <w:p w14:paraId="016493BE" w14:textId="6B8C29A1" w:rsidR="00F42440" w:rsidRPr="00CF6765" w:rsidRDefault="0075448B" w:rsidP="007E5CD5">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lastRenderedPageBreak/>
        <w:t>Regarding the</w:t>
      </w:r>
      <w:r w:rsidR="007F108A" w:rsidRPr="00CF6765">
        <w:rPr>
          <w:rFonts w:eastAsia="Calibri"/>
          <w:sz w:val="20"/>
          <w:szCs w:val="20"/>
          <w:lang w:val="en-US" w:eastAsia="en-US"/>
        </w:rPr>
        <w:t xml:space="preserve"> </w:t>
      </w:r>
      <w:r w:rsidR="00B969DD" w:rsidRPr="00CF6765">
        <w:rPr>
          <w:rFonts w:eastAsia="Calibri"/>
          <w:sz w:val="20"/>
          <w:szCs w:val="20"/>
          <w:lang w:val="en-US" w:eastAsia="en-US"/>
        </w:rPr>
        <w:t>second admission</w:t>
      </w:r>
      <w:r w:rsidR="00F42440" w:rsidRPr="00CF6765">
        <w:rPr>
          <w:rFonts w:eastAsia="Calibri"/>
          <w:sz w:val="20"/>
          <w:szCs w:val="20"/>
          <w:lang w:val="en-US" w:eastAsia="en-US"/>
        </w:rPr>
        <w:t xml:space="preserve">, </w:t>
      </w:r>
      <w:r w:rsidRPr="00CF6765">
        <w:rPr>
          <w:rFonts w:eastAsia="Calibri"/>
          <w:sz w:val="20"/>
          <w:szCs w:val="20"/>
          <w:lang w:val="en-US" w:eastAsia="en-US"/>
        </w:rPr>
        <w:t>and in relation to Mr. Poblete’s condition, the family indicated that:</w:t>
      </w:r>
    </w:p>
    <w:p w14:paraId="5C2CA215" w14:textId="77777777" w:rsidR="00F42440" w:rsidRPr="00CF6765" w:rsidRDefault="00F42440" w:rsidP="002570D1">
      <w:pPr>
        <w:rPr>
          <w:rFonts w:eastAsia="Calibri"/>
          <w:sz w:val="20"/>
          <w:lang w:val="en-US" w:eastAsia="en-US"/>
        </w:rPr>
      </w:pPr>
    </w:p>
    <w:p w14:paraId="3942BD1B" w14:textId="24350D98" w:rsidR="00FC10FD" w:rsidRPr="00CF6765" w:rsidRDefault="00FC10FD" w:rsidP="0075448B">
      <w:pPr>
        <w:ind w:left="708" w:right="373"/>
        <w:rPr>
          <w:rFonts w:eastAsia="Calibri"/>
          <w:sz w:val="18"/>
          <w:szCs w:val="20"/>
          <w:lang w:val="en-US" w:eastAsia="en-US"/>
        </w:rPr>
      </w:pPr>
      <w:r w:rsidRPr="00CF6765">
        <w:rPr>
          <w:rFonts w:eastAsia="Calibri"/>
          <w:sz w:val="18"/>
          <w:szCs w:val="20"/>
          <w:lang w:val="en-US" w:eastAsia="en-US"/>
        </w:rPr>
        <w:t>“</w:t>
      </w:r>
      <w:r w:rsidR="0075448B" w:rsidRPr="00CF6765">
        <w:rPr>
          <w:rFonts w:eastAsia="Calibri"/>
          <w:sz w:val="18"/>
          <w:szCs w:val="20"/>
          <w:lang w:val="en-US" w:eastAsia="en-US"/>
        </w:rPr>
        <w:t xml:space="preserve">They left him hospitalized, in a </w:t>
      </w:r>
      <w:r w:rsidR="00B5183E" w:rsidRPr="00CF6765">
        <w:rPr>
          <w:rFonts w:eastAsia="Calibri"/>
          <w:sz w:val="18"/>
          <w:szCs w:val="20"/>
          <w:lang w:val="en-US" w:eastAsia="en-US"/>
        </w:rPr>
        <w:t>hall</w:t>
      </w:r>
      <w:r w:rsidR="0075448B" w:rsidRPr="00CF6765">
        <w:rPr>
          <w:rFonts w:eastAsia="Calibri"/>
          <w:sz w:val="18"/>
          <w:szCs w:val="20"/>
          <w:lang w:val="en-US" w:eastAsia="en-US"/>
        </w:rPr>
        <w:t>way, naked, with just a sheet over him, tied down and without any medical supervision</w:t>
      </w:r>
      <w:r w:rsidRPr="00CF6765">
        <w:rPr>
          <w:rFonts w:eastAsia="Calibri"/>
          <w:sz w:val="18"/>
          <w:szCs w:val="20"/>
          <w:lang w:val="en-US" w:eastAsia="en-US"/>
        </w:rPr>
        <w:t xml:space="preserve"> </w:t>
      </w:r>
      <w:r w:rsidR="0075448B" w:rsidRPr="00CF6765">
        <w:rPr>
          <w:rFonts w:eastAsia="Calibri"/>
          <w:sz w:val="18"/>
          <w:szCs w:val="20"/>
          <w:lang w:val="en-US" w:eastAsia="en-US"/>
        </w:rPr>
        <w:t>[for[ two days; […] on February 6, his condition</w:t>
      </w:r>
      <w:r w:rsidRPr="00CF6765">
        <w:rPr>
          <w:rFonts w:eastAsia="Calibri"/>
          <w:sz w:val="18"/>
          <w:szCs w:val="20"/>
          <w:lang w:val="en-US" w:eastAsia="en-US"/>
        </w:rPr>
        <w:t xml:space="preserve"> </w:t>
      </w:r>
      <w:r w:rsidR="0075448B" w:rsidRPr="00CF6765">
        <w:rPr>
          <w:rFonts w:eastAsia="Calibri"/>
          <w:sz w:val="18"/>
          <w:szCs w:val="20"/>
          <w:lang w:val="en-US" w:eastAsia="en-US"/>
        </w:rPr>
        <w:t xml:space="preserve">was even worse and he </w:t>
      </w:r>
      <w:r w:rsidR="0090740B" w:rsidRPr="00CF6765">
        <w:rPr>
          <w:rFonts w:eastAsia="Calibri"/>
          <w:sz w:val="18"/>
          <w:szCs w:val="20"/>
          <w:lang w:val="en-US" w:eastAsia="en-US"/>
        </w:rPr>
        <w:t>was</w:t>
      </w:r>
      <w:r w:rsidR="0075448B" w:rsidRPr="00CF6765">
        <w:rPr>
          <w:rFonts w:eastAsia="Calibri"/>
          <w:sz w:val="18"/>
          <w:szCs w:val="20"/>
          <w:lang w:val="en-US" w:eastAsia="en-US"/>
        </w:rPr>
        <w:t xml:space="preserve"> still on a stretcher in a </w:t>
      </w:r>
      <w:r w:rsidR="00B5183E" w:rsidRPr="00CF6765">
        <w:rPr>
          <w:rFonts w:eastAsia="Calibri"/>
          <w:sz w:val="18"/>
          <w:szCs w:val="20"/>
          <w:lang w:val="en-US" w:eastAsia="en-US"/>
        </w:rPr>
        <w:t>hall</w:t>
      </w:r>
      <w:r w:rsidR="0075448B" w:rsidRPr="00CF6765">
        <w:rPr>
          <w:rFonts w:eastAsia="Calibri"/>
          <w:sz w:val="18"/>
          <w:szCs w:val="20"/>
          <w:lang w:val="en-US" w:eastAsia="en-US"/>
        </w:rPr>
        <w:t xml:space="preserve">way [and] they had still not admitted him to the ICU,” and </w:t>
      </w:r>
      <w:r w:rsidR="00B5183E" w:rsidRPr="00CF6765">
        <w:rPr>
          <w:rFonts w:eastAsia="Calibri"/>
          <w:sz w:val="18"/>
          <w:szCs w:val="20"/>
          <w:lang w:val="en-US" w:eastAsia="en-US"/>
        </w:rPr>
        <w:t xml:space="preserve">that </w:t>
      </w:r>
      <w:r w:rsidR="0075448B" w:rsidRPr="00CF6765">
        <w:rPr>
          <w:rFonts w:eastAsia="Calibri"/>
          <w:sz w:val="18"/>
          <w:szCs w:val="20"/>
          <w:lang w:val="en-US" w:eastAsia="en-US"/>
        </w:rPr>
        <w:t>the following day “at 5.45 a.m. and following a long agony […] he died.</w:t>
      </w:r>
      <w:r w:rsidRPr="00CF6765">
        <w:rPr>
          <w:rFonts w:eastAsia="Calibri"/>
          <w:sz w:val="18"/>
          <w:szCs w:val="20"/>
          <w:lang w:val="en-US" w:eastAsia="en-US"/>
        </w:rPr>
        <w:t>”</w:t>
      </w:r>
      <w:r w:rsidRPr="00CF6765">
        <w:rPr>
          <w:rStyle w:val="Refdenotaalpie"/>
          <w:rFonts w:eastAsia="Calibri"/>
          <w:sz w:val="18"/>
          <w:szCs w:val="20"/>
          <w:lang w:val="en-US" w:eastAsia="en-US"/>
        </w:rPr>
        <w:footnoteReference w:id="251"/>
      </w:r>
    </w:p>
    <w:p w14:paraId="305DCDFA" w14:textId="77777777" w:rsidR="00FC10FD" w:rsidRPr="00CF6765" w:rsidRDefault="00FC10FD" w:rsidP="002570D1">
      <w:pPr>
        <w:rPr>
          <w:rFonts w:eastAsia="Calibri"/>
          <w:sz w:val="18"/>
          <w:szCs w:val="20"/>
          <w:lang w:val="en-US" w:eastAsia="en-US"/>
        </w:rPr>
      </w:pPr>
    </w:p>
    <w:p w14:paraId="6A5AF74C" w14:textId="1FBF2AAD" w:rsidR="00967ED8" w:rsidRPr="00CF6765" w:rsidRDefault="00C74C0D" w:rsidP="00DE5BA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In </w:t>
      </w:r>
      <w:r w:rsidR="00CF40BA" w:rsidRPr="00CF6765">
        <w:rPr>
          <w:rFonts w:eastAsia="Calibri"/>
          <w:sz w:val="20"/>
          <w:szCs w:val="20"/>
          <w:lang w:val="en-US" w:eastAsia="en-US"/>
        </w:rPr>
        <w:t>the instant</w:t>
      </w:r>
      <w:r w:rsidRPr="00CF6765">
        <w:rPr>
          <w:rFonts w:eastAsia="Calibri"/>
          <w:sz w:val="20"/>
          <w:szCs w:val="20"/>
          <w:lang w:val="en-US" w:eastAsia="en-US"/>
        </w:rPr>
        <w:t xml:space="preserve"> case,</w:t>
      </w:r>
      <w:r w:rsidR="00967ED8"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967ED8" w:rsidRPr="00CF6765">
        <w:rPr>
          <w:rFonts w:eastAsia="Calibri"/>
          <w:sz w:val="20"/>
          <w:szCs w:val="20"/>
          <w:lang w:val="en-US" w:eastAsia="en-US"/>
        </w:rPr>
        <w:t xml:space="preserve"> </w:t>
      </w:r>
      <w:r w:rsidR="00DE5BA1" w:rsidRPr="00CF6765">
        <w:rPr>
          <w:rFonts w:eastAsia="Calibri"/>
          <w:sz w:val="20"/>
          <w:szCs w:val="20"/>
          <w:lang w:val="en-US" w:eastAsia="en-US"/>
        </w:rPr>
        <w:t xml:space="preserve">has verified various omissions in the care provided </w:t>
      </w:r>
      <w:r w:rsidR="0090740B" w:rsidRPr="00CF6765">
        <w:rPr>
          <w:rFonts w:eastAsia="Calibri"/>
          <w:sz w:val="20"/>
          <w:szCs w:val="20"/>
          <w:lang w:val="en-US" w:eastAsia="en-US"/>
        </w:rPr>
        <w:t>that</w:t>
      </w:r>
      <w:r w:rsidR="00DE5BA1" w:rsidRPr="00CF6765">
        <w:rPr>
          <w:rFonts w:eastAsia="Calibri"/>
          <w:sz w:val="20"/>
          <w:szCs w:val="20"/>
          <w:lang w:val="en-US" w:eastAsia="en-US"/>
        </w:rPr>
        <w:t xml:space="preserve"> contributed to the deterioration </w:t>
      </w:r>
      <w:r w:rsidR="00D04694" w:rsidRPr="00CF6765">
        <w:rPr>
          <w:rFonts w:eastAsia="Calibri"/>
          <w:sz w:val="20"/>
          <w:szCs w:val="20"/>
          <w:lang w:val="en-US" w:eastAsia="en-US"/>
        </w:rPr>
        <w:t>of Mr.</w:t>
      </w:r>
      <w:r w:rsidR="00D2168F" w:rsidRPr="00CF6765">
        <w:rPr>
          <w:rFonts w:eastAsia="Calibri"/>
          <w:sz w:val="20"/>
          <w:szCs w:val="20"/>
          <w:lang w:val="en-US" w:eastAsia="en-US"/>
        </w:rPr>
        <w:t xml:space="preserve"> Poblete</w:t>
      </w:r>
      <w:r w:rsidR="00967ED8" w:rsidRPr="00CF6765">
        <w:rPr>
          <w:rFonts w:eastAsia="Calibri"/>
          <w:sz w:val="20"/>
          <w:szCs w:val="20"/>
          <w:lang w:val="en-US" w:eastAsia="en-US"/>
        </w:rPr>
        <w:t xml:space="preserve"> </w:t>
      </w:r>
      <w:proofErr w:type="spellStart"/>
      <w:r w:rsidR="00967ED8" w:rsidRPr="00CF6765">
        <w:rPr>
          <w:rFonts w:eastAsia="Calibri"/>
          <w:sz w:val="20"/>
          <w:szCs w:val="20"/>
          <w:lang w:val="en-US" w:eastAsia="en-US"/>
        </w:rPr>
        <w:t>Vilches</w:t>
      </w:r>
      <w:r w:rsidR="00CF40BA" w:rsidRPr="00CF6765">
        <w:rPr>
          <w:rFonts w:eastAsia="Calibri"/>
          <w:sz w:val="20"/>
          <w:szCs w:val="20"/>
          <w:lang w:val="en-US" w:eastAsia="en-US"/>
        </w:rPr>
        <w:t>’s</w:t>
      </w:r>
      <w:proofErr w:type="spellEnd"/>
      <w:r w:rsidR="00CF40BA" w:rsidRPr="00CF6765">
        <w:rPr>
          <w:rFonts w:eastAsia="Calibri"/>
          <w:sz w:val="20"/>
          <w:szCs w:val="20"/>
          <w:lang w:val="en-US" w:eastAsia="en-US"/>
        </w:rPr>
        <w:t xml:space="preserve"> health</w:t>
      </w:r>
      <w:r w:rsidR="00967ED8" w:rsidRPr="00CF6765">
        <w:rPr>
          <w:rFonts w:eastAsia="Calibri"/>
          <w:sz w:val="20"/>
          <w:szCs w:val="20"/>
          <w:lang w:val="en-US" w:eastAsia="en-US"/>
        </w:rPr>
        <w:t xml:space="preserve"> (</w:t>
      </w:r>
      <w:r w:rsidR="00967ED8" w:rsidRPr="00CF6765">
        <w:rPr>
          <w:rFonts w:eastAsia="Calibri"/>
          <w:i/>
          <w:sz w:val="20"/>
          <w:szCs w:val="20"/>
          <w:lang w:val="en-US" w:eastAsia="en-US"/>
        </w:rPr>
        <w:t>supra</w:t>
      </w:r>
      <w:r w:rsidR="00967ED8" w:rsidRPr="00CF6765">
        <w:rPr>
          <w:rFonts w:eastAsia="Calibri"/>
          <w:sz w:val="20"/>
          <w:szCs w:val="20"/>
          <w:lang w:val="en-US" w:eastAsia="en-US"/>
        </w:rPr>
        <w:t xml:space="preserve"> </w:t>
      </w:r>
      <w:r w:rsidR="00EC50FC" w:rsidRPr="00CF6765">
        <w:rPr>
          <w:rFonts w:eastAsia="Calibri"/>
          <w:sz w:val="20"/>
          <w:szCs w:val="20"/>
          <w:lang w:val="en-US" w:eastAsia="en-US"/>
        </w:rPr>
        <w:t>paras.</w:t>
      </w:r>
      <w:r w:rsidR="00967ED8" w:rsidRPr="00CF6765">
        <w:rPr>
          <w:rFonts w:eastAsia="Calibri"/>
          <w:sz w:val="20"/>
          <w:szCs w:val="20"/>
          <w:lang w:val="en-US" w:eastAsia="en-US"/>
        </w:rPr>
        <w:t xml:space="preserve"> </w:t>
      </w:r>
      <w:r w:rsidR="007F108A" w:rsidRPr="00CF6765">
        <w:rPr>
          <w:rFonts w:eastAsia="Calibri"/>
          <w:sz w:val="20"/>
          <w:szCs w:val="20"/>
          <w:lang w:val="en-US" w:eastAsia="en-US"/>
        </w:rPr>
        <w:t xml:space="preserve">133 </w:t>
      </w:r>
      <w:r w:rsidR="00DE5BA1" w:rsidRPr="00CF6765">
        <w:rPr>
          <w:rFonts w:eastAsia="Calibri"/>
          <w:sz w:val="20"/>
          <w:szCs w:val="20"/>
          <w:lang w:val="en-US" w:eastAsia="en-US"/>
        </w:rPr>
        <w:t>to</w:t>
      </w:r>
      <w:r w:rsidR="007F108A" w:rsidRPr="00CF6765">
        <w:rPr>
          <w:rFonts w:eastAsia="Calibri"/>
          <w:sz w:val="20"/>
          <w:szCs w:val="20"/>
          <w:lang w:val="en-US" w:eastAsia="en-US"/>
        </w:rPr>
        <w:t xml:space="preserve"> 143</w:t>
      </w:r>
      <w:r w:rsidR="00967ED8" w:rsidRPr="00CF6765">
        <w:rPr>
          <w:rFonts w:eastAsia="Calibri"/>
          <w:sz w:val="20"/>
          <w:szCs w:val="20"/>
          <w:lang w:val="en-US" w:eastAsia="en-US"/>
        </w:rPr>
        <w:t xml:space="preserve">). </w:t>
      </w:r>
      <w:r w:rsidR="00DE5BA1" w:rsidRPr="00CF6765">
        <w:rPr>
          <w:rFonts w:eastAsia="Calibri"/>
          <w:sz w:val="20"/>
          <w:szCs w:val="20"/>
          <w:lang w:val="en-US" w:eastAsia="en-US"/>
        </w:rPr>
        <w:t>These omissions, several of them acknowledged by the State itself</w:t>
      </w:r>
      <w:r w:rsidR="00CF40BA" w:rsidRPr="00CF6765">
        <w:rPr>
          <w:rFonts w:eastAsia="Calibri"/>
          <w:sz w:val="20"/>
          <w:szCs w:val="20"/>
          <w:lang w:val="en-US" w:eastAsia="en-US"/>
        </w:rPr>
        <w:t>,</w:t>
      </w:r>
      <w:r w:rsidR="00DE5BA1" w:rsidRPr="00CF6765">
        <w:rPr>
          <w:rFonts w:eastAsia="Calibri"/>
          <w:sz w:val="20"/>
          <w:szCs w:val="20"/>
          <w:lang w:val="en-US" w:eastAsia="en-US"/>
        </w:rPr>
        <w:t xml:space="preserve"> occurred</w:t>
      </w:r>
      <w:r w:rsidR="00CF40BA" w:rsidRPr="00CF6765">
        <w:rPr>
          <w:rFonts w:eastAsia="Calibri"/>
          <w:sz w:val="20"/>
          <w:szCs w:val="20"/>
          <w:lang w:val="en-US" w:eastAsia="en-US"/>
        </w:rPr>
        <w:t>, in particular,</w:t>
      </w:r>
      <w:r w:rsidR="00DE5BA1" w:rsidRPr="00CF6765">
        <w:rPr>
          <w:rFonts w:eastAsia="Calibri"/>
          <w:sz w:val="20"/>
          <w:szCs w:val="20"/>
          <w:lang w:val="en-US" w:eastAsia="en-US"/>
        </w:rPr>
        <w:t xml:space="preserve"> during both the first admission, with the early discharge and the lack of information to the family about the patient’s condition and care so that they could appreciate the </w:t>
      </w:r>
      <w:r w:rsidR="00CF40BA" w:rsidRPr="00CF6765">
        <w:rPr>
          <w:rFonts w:eastAsia="Calibri"/>
          <w:sz w:val="20"/>
          <w:szCs w:val="20"/>
          <w:lang w:val="en-US" w:eastAsia="en-US"/>
        </w:rPr>
        <w:t>warning</w:t>
      </w:r>
      <w:r w:rsidR="00DE5BA1" w:rsidRPr="00CF6765">
        <w:rPr>
          <w:rFonts w:eastAsia="Calibri"/>
          <w:sz w:val="20"/>
          <w:szCs w:val="20"/>
          <w:lang w:val="en-US" w:eastAsia="en-US"/>
        </w:rPr>
        <w:t xml:space="preserve"> signs and know how to respond, and during the second admission</w:t>
      </w:r>
      <w:r w:rsidR="00CF40BA" w:rsidRPr="00CF6765">
        <w:rPr>
          <w:rFonts w:eastAsia="Calibri"/>
          <w:sz w:val="20"/>
          <w:szCs w:val="20"/>
          <w:lang w:val="en-US" w:eastAsia="en-US"/>
        </w:rPr>
        <w:t>,</w:t>
      </w:r>
      <w:r w:rsidR="00DE5BA1" w:rsidRPr="00CF6765">
        <w:rPr>
          <w:rFonts w:eastAsia="Calibri"/>
          <w:sz w:val="20"/>
          <w:szCs w:val="20"/>
          <w:lang w:val="en-US" w:eastAsia="en-US"/>
        </w:rPr>
        <w:t xml:space="preserve"> with the denial of the basic services he required and the failure to transfer him to another center with available facilities. In particular, as a result of these situations, for at least five days </w:t>
      </w:r>
      <w:r w:rsidR="00DE5BA1" w:rsidRPr="00CF6765">
        <w:rPr>
          <w:rFonts w:eastAsia="Calibri"/>
          <w:color w:val="000000" w:themeColor="text1"/>
          <w:sz w:val="20"/>
          <w:szCs w:val="20"/>
          <w:lang w:val="en-US" w:eastAsia="en-US"/>
        </w:rPr>
        <w:t xml:space="preserve">Mr. Poblete </w:t>
      </w:r>
      <w:proofErr w:type="spellStart"/>
      <w:r w:rsidR="00DE5BA1" w:rsidRPr="00CF6765">
        <w:rPr>
          <w:rFonts w:eastAsia="Calibri"/>
          <w:color w:val="000000" w:themeColor="text1"/>
          <w:sz w:val="20"/>
          <w:szCs w:val="20"/>
          <w:lang w:val="en-US" w:eastAsia="en-US"/>
        </w:rPr>
        <w:t>Vilches</w:t>
      </w:r>
      <w:proofErr w:type="spellEnd"/>
      <w:r w:rsidR="00DE5BA1" w:rsidRPr="00CF6765">
        <w:rPr>
          <w:rFonts w:eastAsia="Calibri"/>
          <w:color w:val="000000" w:themeColor="text1"/>
          <w:sz w:val="20"/>
          <w:szCs w:val="20"/>
          <w:lang w:val="en-US" w:eastAsia="en-US"/>
        </w:rPr>
        <w:t xml:space="preserve"> suffered in different ways due to the failure to treat his specific health problems</w:t>
      </w:r>
      <w:r w:rsidR="00291E55" w:rsidRPr="00CF6765">
        <w:rPr>
          <w:rFonts w:eastAsia="Calibri"/>
          <w:color w:val="000000" w:themeColor="text1"/>
          <w:sz w:val="20"/>
          <w:szCs w:val="20"/>
          <w:lang w:val="en-US" w:eastAsia="en-US"/>
        </w:rPr>
        <w:t xml:space="preserve"> </w:t>
      </w:r>
      <w:r w:rsidR="00291E55" w:rsidRPr="00CF6765">
        <w:rPr>
          <w:rFonts w:eastAsia="Calibri"/>
          <w:sz w:val="20"/>
          <w:szCs w:val="20"/>
          <w:lang w:val="en-US" w:eastAsia="en-US"/>
        </w:rPr>
        <w:t>(</w:t>
      </w:r>
      <w:r w:rsidR="007D42DC" w:rsidRPr="00CF6765">
        <w:rPr>
          <w:rFonts w:eastAsia="Calibri"/>
          <w:i/>
          <w:sz w:val="20"/>
          <w:szCs w:val="20"/>
          <w:lang w:val="en-US" w:eastAsia="en-US"/>
        </w:rPr>
        <w:t>supra</w:t>
      </w:r>
      <w:r w:rsidR="00291E55" w:rsidRPr="00CF6765">
        <w:rPr>
          <w:rFonts w:eastAsia="Calibri"/>
          <w:sz w:val="20"/>
          <w:szCs w:val="20"/>
          <w:lang w:val="en-US" w:eastAsia="en-US"/>
        </w:rPr>
        <w:t xml:space="preserve"> </w:t>
      </w:r>
      <w:r w:rsidR="00EC50FC" w:rsidRPr="00CF6765">
        <w:rPr>
          <w:rFonts w:eastAsia="Calibri"/>
          <w:sz w:val="20"/>
          <w:szCs w:val="20"/>
          <w:lang w:val="en-US" w:eastAsia="en-US"/>
        </w:rPr>
        <w:t>paras.</w:t>
      </w:r>
      <w:r w:rsidR="00291E55" w:rsidRPr="00CF6765">
        <w:rPr>
          <w:rFonts w:eastAsia="Calibri"/>
          <w:sz w:val="20"/>
          <w:szCs w:val="20"/>
          <w:lang w:val="en-US" w:eastAsia="en-US"/>
        </w:rPr>
        <w:t xml:space="preserve"> 153</w:t>
      </w:r>
      <w:r w:rsidR="00EC50FC" w:rsidRPr="00CF6765">
        <w:rPr>
          <w:rFonts w:eastAsia="Calibri"/>
          <w:sz w:val="20"/>
          <w:szCs w:val="20"/>
          <w:lang w:val="en-US" w:eastAsia="en-US"/>
        </w:rPr>
        <w:t xml:space="preserve"> and </w:t>
      </w:r>
      <w:r w:rsidR="00291E55" w:rsidRPr="00CF6765">
        <w:rPr>
          <w:rFonts w:eastAsia="Calibri"/>
          <w:sz w:val="20"/>
          <w:szCs w:val="20"/>
          <w:lang w:val="en-US" w:eastAsia="en-US"/>
        </w:rPr>
        <w:t>154)</w:t>
      </w:r>
      <w:r w:rsidR="005644EC" w:rsidRPr="00CF6765">
        <w:rPr>
          <w:rFonts w:eastAsia="Calibri"/>
          <w:sz w:val="20"/>
          <w:szCs w:val="20"/>
          <w:lang w:val="en-US" w:eastAsia="en-US"/>
        </w:rPr>
        <w:t xml:space="preserve">. </w:t>
      </w:r>
      <w:r w:rsidR="00DE5BA1" w:rsidRPr="00CF6765">
        <w:rPr>
          <w:rFonts w:eastAsia="Calibri"/>
          <w:sz w:val="20"/>
          <w:szCs w:val="20"/>
          <w:lang w:val="en-US" w:eastAsia="en-US"/>
        </w:rPr>
        <w:t>In this regard, the Court finds that the foregoing facts constituted a violation of his right to personal integrity, as acknowledged by the State itself</w:t>
      </w:r>
      <w:r w:rsidR="005644EC" w:rsidRPr="00CF6765">
        <w:rPr>
          <w:rFonts w:eastAsia="Calibri"/>
          <w:sz w:val="20"/>
          <w:szCs w:val="20"/>
          <w:lang w:val="en-US" w:eastAsia="en-US"/>
        </w:rPr>
        <w:t xml:space="preserve">. </w:t>
      </w:r>
    </w:p>
    <w:p w14:paraId="264FCC0D" w14:textId="77777777" w:rsidR="00967ED8" w:rsidRPr="00CF6765" w:rsidRDefault="00967ED8" w:rsidP="002570D1">
      <w:pPr>
        <w:rPr>
          <w:rFonts w:eastAsia="Calibri"/>
          <w:sz w:val="18"/>
          <w:szCs w:val="20"/>
          <w:lang w:val="en-US" w:eastAsia="en-US"/>
        </w:rPr>
      </w:pPr>
    </w:p>
    <w:p w14:paraId="7BCC8658" w14:textId="1449D9D2" w:rsidR="002570D1" w:rsidRPr="00CF6765" w:rsidRDefault="00DE5BA1" w:rsidP="00AB1E03">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Consequently, the Court </w:t>
      </w:r>
      <w:r w:rsidR="00855D08" w:rsidRPr="00CF6765">
        <w:rPr>
          <w:rFonts w:eastAsia="Calibri"/>
          <w:sz w:val="20"/>
          <w:szCs w:val="20"/>
          <w:lang w:val="en-US" w:eastAsia="en-US"/>
        </w:rPr>
        <w:t>finds</w:t>
      </w:r>
      <w:r w:rsidRPr="00CF6765">
        <w:rPr>
          <w:rFonts w:eastAsia="Calibri"/>
          <w:sz w:val="20"/>
          <w:szCs w:val="20"/>
          <w:lang w:val="en-US" w:eastAsia="en-US"/>
        </w:rPr>
        <w:t xml:space="preserve"> that the State is</w:t>
      </w:r>
      <w:r w:rsidR="00855D08" w:rsidRPr="00CF6765">
        <w:rPr>
          <w:rFonts w:eastAsia="Calibri"/>
          <w:sz w:val="20"/>
          <w:szCs w:val="20"/>
          <w:lang w:val="en-US" w:eastAsia="en-US"/>
        </w:rPr>
        <w:t xml:space="preserve"> responsible for</w:t>
      </w:r>
      <w:r w:rsidR="002570D1" w:rsidRPr="00CF6765">
        <w:rPr>
          <w:rFonts w:eastAsia="Calibri"/>
          <w:sz w:val="20"/>
          <w:szCs w:val="20"/>
          <w:lang w:val="en-US" w:eastAsia="en-US"/>
        </w:rPr>
        <w:t xml:space="preserve"> </w:t>
      </w:r>
      <w:r w:rsidR="008F31F2" w:rsidRPr="00CF6765">
        <w:rPr>
          <w:rFonts w:eastAsia="Calibri"/>
          <w:sz w:val="20"/>
          <w:szCs w:val="20"/>
          <w:lang w:val="en-US" w:eastAsia="en-US"/>
        </w:rPr>
        <w:t>the violation</w:t>
      </w:r>
      <w:r w:rsidR="0077190E" w:rsidRPr="00CF6765">
        <w:rPr>
          <w:rFonts w:eastAsia="Calibri"/>
          <w:sz w:val="20"/>
          <w:szCs w:val="20"/>
          <w:lang w:val="en-US" w:eastAsia="en-US"/>
        </w:rPr>
        <w:t xml:space="preserve"> of the </w:t>
      </w:r>
      <w:r w:rsidR="00855D08" w:rsidRPr="00CF6765">
        <w:rPr>
          <w:rFonts w:eastAsia="Calibri"/>
          <w:sz w:val="20"/>
          <w:szCs w:val="20"/>
          <w:lang w:val="en-US" w:eastAsia="en-US"/>
        </w:rPr>
        <w:t>obligation to ensure the r</w:t>
      </w:r>
      <w:r w:rsidR="001A7D7F" w:rsidRPr="00CF6765">
        <w:rPr>
          <w:rFonts w:eastAsia="Calibri"/>
          <w:sz w:val="20"/>
          <w:szCs w:val="20"/>
          <w:lang w:val="en-US" w:eastAsia="en-US"/>
        </w:rPr>
        <w:t>ights to life and personal integrity</w:t>
      </w:r>
      <w:r w:rsidR="002570D1" w:rsidRPr="00CF6765">
        <w:rPr>
          <w:rFonts w:eastAsia="Calibri"/>
          <w:sz w:val="20"/>
          <w:szCs w:val="20"/>
          <w:lang w:val="en-US" w:eastAsia="en-US"/>
        </w:rPr>
        <w:t xml:space="preserve">, </w:t>
      </w:r>
      <w:r w:rsidR="00855D08" w:rsidRPr="00CF6765">
        <w:rPr>
          <w:rFonts w:eastAsia="Calibri"/>
          <w:sz w:val="20"/>
          <w:szCs w:val="20"/>
          <w:lang w:val="en-US" w:eastAsia="en-US"/>
        </w:rPr>
        <w:t>recognized in</w:t>
      </w:r>
      <w:r w:rsidR="000262AD" w:rsidRPr="00CF6765">
        <w:rPr>
          <w:rFonts w:eastAsia="Calibri"/>
          <w:sz w:val="20"/>
          <w:szCs w:val="20"/>
          <w:lang w:val="en-US" w:eastAsia="en-US"/>
        </w:rPr>
        <w:t xml:space="preserve"> </w:t>
      </w:r>
      <w:r w:rsidR="005C731C" w:rsidRPr="00CF6765">
        <w:rPr>
          <w:rFonts w:eastAsia="Calibri"/>
          <w:sz w:val="20"/>
          <w:szCs w:val="20"/>
          <w:lang w:val="en-US" w:eastAsia="en-US"/>
        </w:rPr>
        <w:t>Articles</w:t>
      </w:r>
      <w:r w:rsidR="000262AD" w:rsidRPr="00CF6765">
        <w:rPr>
          <w:rFonts w:eastAsia="Calibri"/>
          <w:sz w:val="20"/>
          <w:szCs w:val="20"/>
          <w:lang w:val="en-US" w:eastAsia="en-US"/>
        </w:rPr>
        <w:t xml:space="preserve"> 4</w:t>
      </w:r>
      <w:r w:rsidR="00EC50FC" w:rsidRPr="00CF6765">
        <w:rPr>
          <w:rFonts w:eastAsia="Calibri"/>
          <w:sz w:val="20"/>
          <w:szCs w:val="20"/>
          <w:lang w:val="en-US" w:eastAsia="en-US"/>
        </w:rPr>
        <w:t xml:space="preserve"> and </w:t>
      </w:r>
      <w:r w:rsidR="005644EC" w:rsidRPr="00CF6765">
        <w:rPr>
          <w:rFonts w:eastAsia="Calibri"/>
          <w:sz w:val="20"/>
          <w:szCs w:val="20"/>
          <w:lang w:val="en-US" w:eastAsia="en-US"/>
        </w:rPr>
        <w:t>5</w:t>
      </w:r>
      <w:r w:rsidR="005C731C" w:rsidRPr="00CF6765">
        <w:rPr>
          <w:rFonts w:eastAsia="Calibri"/>
          <w:sz w:val="20"/>
          <w:szCs w:val="20"/>
          <w:lang w:val="en-US" w:eastAsia="en-US"/>
        </w:rPr>
        <w:t xml:space="preserve"> of the American Convention</w:t>
      </w:r>
      <w:r w:rsidR="000262AD" w:rsidRPr="00CF6765">
        <w:rPr>
          <w:rFonts w:eastAsia="Calibri"/>
          <w:sz w:val="20"/>
          <w:szCs w:val="20"/>
          <w:lang w:val="en-US" w:eastAsia="en-US"/>
        </w:rPr>
        <w:t xml:space="preserve">, </w:t>
      </w:r>
      <w:r w:rsidR="00855D08" w:rsidRPr="00CF6765">
        <w:rPr>
          <w:rFonts w:eastAsia="Calibri"/>
          <w:sz w:val="20"/>
          <w:szCs w:val="20"/>
          <w:lang w:val="en-US" w:eastAsia="en-US"/>
        </w:rPr>
        <w:t xml:space="preserve">in relation to the rights to health and non-discrimination pursuant to </w:t>
      </w:r>
      <w:r w:rsidR="005C731C" w:rsidRPr="00CF6765">
        <w:rPr>
          <w:rFonts w:eastAsia="Calibri"/>
          <w:sz w:val="20"/>
          <w:szCs w:val="20"/>
          <w:lang w:val="en-US" w:eastAsia="en-US"/>
        </w:rPr>
        <w:t>Articles</w:t>
      </w:r>
      <w:r w:rsidR="001E299B" w:rsidRPr="00CF6765">
        <w:rPr>
          <w:rFonts w:eastAsia="Calibri"/>
          <w:sz w:val="20"/>
          <w:szCs w:val="20"/>
          <w:lang w:val="en-US" w:eastAsia="en-US"/>
        </w:rPr>
        <w:t xml:space="preserve"> </w:t>
      </w:r>
      <w:r w:rsidR="002570D1" w:rsidRPr="00CF6765">
        <w:rPr>
          <w:rFonts w:eastAsia="Calibri"/>
          <w:sz w:val="20"/>
          <w:szCs w:val="20"/>
          <w:lang w:val="en-US" w:eastAsia="en-US"/>
        </w:rPr>
        <w:t>26</w:t>
      </w:r>
      <w:r w:rsidR="00EC50FC" w:rsidRPr="00CF6765">
        <w:rPr>
          <w:rFonts w:eastAsia="Calibri"/>
          <w:sz w:val="20"/>
          <w:szCs w:val="20"/>
          <w:lang w:val="en-US" w:eastAsia="en-US"/>
        </w:rPr>
        <w:t xml:space="preserve"> and</w:t>
      </w:r>
      <w:r w:rsidR="009C2DEF" w:rsidRPr="00CF6765">
        <w:rPr>
          <w:rFonts w:eastAsia="Calibri"/>
          <w:sz w:val="20"/>
          <w:szCs w:val="20"/>
          <w:lang w:val="en-US" w:eastAsia="en-US"/>
        </w:rPr>
        <w:t xml:space="preserve"> 1(1)</w:t>
      </w:r>
      <w:r w:rsidR="002570D1" w:rsidRPr="00CF6765">
        <w:rPr>
          <w:rFonts w:eastAsia="Calibri"/>
          <w:sz w:val="20"/>
          <w:szCs w:val="20"/>
          <w:lang w:val="en-US" w:eastAsia="en-US"/>
        </w:rPr>
        <w:t xml:space="preserve"> </w:t>
      </w:r>
      <w:r w:rsidR="00855D08" w:rsidRPr="00CF6765">
        <w:rPr>
          <w:rFonts w:eastAsia="Calibri"/>
          <w:sz w:val="20"/>
          <w:szCs w:val="20"/>
          <w:lang w:val="en-US" w:eastAsia="en-US"/>
        </w:rPr>
        <w:t>of this instrument</w:t>
      </w:r>
      <w:r w:rsidR="002570D1" w:rsidRPr="00CF6765">
        <w:rPr>
          <w:rFonts w:eastAsia="Calibri"/>
          <w:sz w:val="20"/>
          <w:szCs w:val="20"/>
          <w:lang w:val="en-US" w:eastAsia="en-US"/>
        </w:rPr>
        <w:t xml:space="preserve">, </w:t>
      </w:r>
      <w:r w:rsidR="00690D57" w:rsidRPr="00CF6765">
        <w:rPr>
          <w:rFonts w:eastAsia="Calibri"/>
          <w:sz w:val="20"/>
          <w:szCs w:val="20"/>
          <w:lang w:val="en-US" w:eastAsia="en-US"/>
        </w:rPr>
        <w:t xml:space="preserve">to the detriment </w:t>
      </w:r>
      <w:r w:rsidR="009339F5" w:rsidRPr="00CF6765">
        <w:rPr>
          <w:rFonts w:eastAsia="Calibri"/>
          <w:sz w:val="20"/>
          <w:szCs w:val="20"/>
          <w:lang w:val="en-US" w:eastAsia="en-US"/>
        </w:rPr>
        <w:t>of Mr.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2570D1" w:rsidRPr="00CF6765">
        <w:rPr>
          <w:rFonts w:eastAsia="Calibri"/>
          <w:sz w:val="20"/>
          <w:szCs w:val="20"/>
          <w:lang w:val="en-US" w:eastAsia="en-US"/>
        </w:rPr>
        <w:t xml:space="preserve">. </w:t>
      </w:r>
    </w:p>
    <w:p w14:paraId="704AE3F0" w14:textId="684BC8A7" w:rsidR="002570D1" w:rsidRPr="00CF6765" w:rsidRDefault="00164C05" w:rsidP="009F4015">
      <w:pPr>
        <w:pStyle w:val="Ttulo4"/>
        <w:ind w:left="1276"/>
        <w:rPr>
          <w:rFonts w:eastAsia="Calibri"/>
          <w:b/>
          <w:lang w:val="en-US" w:eastAsia="x-none"/>
        </w:rPr>
      </w:pPr>
      <w:bookmarkStart w:id="81" w:name="_Toc47864382"/>
      <w:r w:rsidRPr="00CF6765">
        <w:rPr>
          <w:rFonts w:eastAsia="Calibri"/>
          <w:b/>
          <w:lang w:val="en-US" w:eastAsia="en-US"/>
        </w:rPr>
        <w:t xml:space="preserve">1.3 </w:t>
      </w:r>
      <w:r w:rsidR="00855D08" w:rsidRPr="00CF6765">
        <w:rPr>
          <w:rFonts w:eastAsia="Calibri"/>
          <w:b/>
          <w:lang w:val="en-US" w:eastAsia="en-US"/>
        </w:rPr>
        <w:t>Right to informed</w:t>
      </w:r>
      <w:r w:rsidR="003C3208" w:rsidRPr="00CF6765">
        <w:rPr>
          <w:rFonts w:eastAsia="Calibri"/>
          <w:b/>
          <w:lang w:val="en-US" w:eastAsia="en-US"/>
        </w:rPr>
        <w:t xml:space="preserve"> consent</w:t>
      </w:r>
      <w:r w:rsidR="002570D1" w:rsidRPr="00CF6765">
        <w:rPr>
          <w:rFonts w:eastAsia="Calibri"/>
          <w:b/>
          <w:lang w:val="en-US" w:eastAsia="en-US"/>
        </w:rPr>
        <w:t xml:space="preserve"> </w:t>
      </w:r>
      <w:r w:rsidR="004C7CBA" w:rsidRPr="00CF6765">
        <w:rPr>
          <w:rFonts w:eastAsia="Calibri"/>
          <w:b/>
          <w:lang w:val="en-US" w:eastAsia="en-US"/>
        </w:rPr>
        <w:t>in health-related matters</w:t>
      </w:r>
      <w:r w:rsidR="00EC50FC" w:rsidRPr="00CF6765">
        <w:rPr>
          <w:rFonts w:eastAsia="Calibri"/>
          <w:b/>
          <w:lang w:val="en-US" w:eastAsia="en-US"/>
        </w:rPr>
        <w:t xml:space="preserve"> </w:t>
      </w:r>
      <w:r w:rsidR="00E27148" w:rsidRPr="00CF6765">
        <w:rPr>
          <w:rFonts w:eastAsia="Calibri"/>
          <w:b/>
          <w:lang w:val="en-US" w:eastAsia="en-US"/>
        </w:rPr>
        <w:t>and access</w:t>
      </w:r>
      <w:r w:rsidR="00690D57" w:rsidRPr="00CF6765">
        <w:rPr>
          <w:rFonts w:eastAsia="Calibri"/>
          <w:b/>
          <w:lang w:val="en-US" w:eastAsia="en-US"/>
        </w:rPr>
        <w:t xml:space="preserve"> to information</w:t>
      </w:r>
      <w:bookmarkEnd w:id="81"/>
    </w:p>
    <w:p w14:paraId="041765B4" w14:textId="77777777" w:rsidR="002570D1" w:rsidRPr="00CF6765" w:rsidRDefault="002570D1" w:rsidP="002570D1">
      <w:pPr>
        <w:ind w:right="-360"/>
        <w:rPr>
          <w:rFonts w:eastAsia="Calibri"/>
          <w:sz w:val="20"/>
          <w:szCs w:val="20"/>
          <w:lang w:val="en-US" w:eastAsia="en-US"/>
        </w:rPr>
      </w:pPr>
    </w:p>
    <w:p w14:paraId="67D02B37" w14:textId="0E07E579" w:rsidR="00BC5B4D" w:rsidRPr="00CF6765" w:rsidRDefault="00BC5B4D" w:rsidP="009F4015">
      <w:pPr>
        <w:pStyle w:val="Ttulo4"/>
        <w:spacing w:before="0"/>
        <w:ind w:left="2124"/>
        <w:rPr>
          <w:rFonts w:eastAsia="Calibri"/>
          <w:b/>
          <w:lang w:val="en-US" w:eastAsia="en-US"/>
        </w:rPr>
      </w:pPr>
      <w:bookmarkStart w:id="82" w:name="_Toc47864383"/>
      <w:r w:rsidRPr="00CF6765">
        <w:rPr>
          <w:rFonts w:eastAsia="Calibri"/>
          <w:b/>
          <w:lang w:val="en-US" w:eastAsia="en-US"/>
        </w:rPr>
        <w:t xml:space="preserve">1.3.1. </w:t>
      </w:r>
      <w:r w:rsidR="00855D08" w:rsidRPr="00CF6765">
        <w:rPr>
          <w:rFonts w:eastAsia="Calibri"/>
          <w:b/>
          <w:lang w:val="en-US" w:eastAsia="en-US"/>
        </w:rPr>
        <w:t>Vinicio Poblete and the</w:t>
      </w:r>
      <w:r w:rsidR="0088423A" w:rsidRPr="00CF6765">
        <w:rPr>
          <w:rFonts w:eastAsia="Calibri"/>
          <w:b/>
          <w:lang w:val="en-US" w:eastAsia="en-US"/>
        </w:rPr>
        <w:t xml:space="preserve"> State’s partial acknowledgement of responsibility</w:t>
      </w:r>
      <w:bookmarkEnd w:id="82"/>
    </w:p>
    <w:p w14:paraId="255D5EEC" w14:textId="77777777" w:rsidR="00BC5B4D" w:rsidRPr="00CF6765" w:rsidRDefault="00BC5B4D" w:rsidP="002570D1">
      <w:pPr>
        <w:ind w:right="-360"/>
        <w:rPr>
          <w:rFonts w:eastAsia="Calibri"/>
          <w:sz w:val="20"/>
          <w:szCs w:val="20"/>
          <w:lang w:val="en-US" w:eastAsia="en-US"/>
        </w:rPr>
      </w:pPr>
    </w:p>
    <w:p w14:paraId="10A55314" w14:textId="426C3B3D" w:rsidR="002570D1" w:rsidRPr="00CF6765" w:rsidRDefault="00855D08" w:rsidP="00855D08">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In the instant case, the Court notes that there is no dispute about the violations of the Convention that have been alleged to the detriment of Mr. Poblete </w:t>
      </w:r>
      <w:proofErr w:type="spellStart"/>
      <w:r w:rsidRPr="00CF6765">
        <w:rPr>
          <w:rFonts w:eastAsia="Calibri"/>
          <w:sz w:val="20"/>
          <w:szCs w:val="20"/>
          <w:lang w:val="en-US" w:eastAsia="en-US"/>
        </w:rPr>
        <w:t>Vilches</w:t>
      </w:r>
      <w:proofErr w:type="spellEnd"/>
      <w:r w:rsidRPr="00CF6765">
        <w:rPr>
          <w:rFonts w:eastAsia="Calibri"/>
          <w:sz w:val="20"/>
          <w:szCs w:val="20"/>
          <w:lang w:val="en-US" w:eastAsia="en-US"/>
        </w:rPr>
        <w:t xml:space="preserve">, because the State acknowledged its </w:t>
      </w:r>
      <w:r w:rsidR="0088423A" w:rsidRPr="00CF6765">
        <w:rPr>
          <w:rFonts w:eastAsia="Calibri"/>
          <w:sz w:val="20"/>
          <w:szCs w:val="20"/>
          <w:lang w:val="en-US" w:eastAsia="en-US"/>
        </w:rPr>
        <w:t>international responsibility</w:t>
      </w:r>
      <w:r w:rsidR="002570D1" w:rsidRPr="00CF6765">
        <w:rPr>
          <w:rFonts w:eastAsia="Calibri"/>
          <w:sz w:val="20"/>
          <w:szCs w:val="20"/>
          <w:lang w:val="en-US" w:eastAsia="en-US"/>
        </w:rPr>
        <w:t xml:space="preserve"> </w:t>
      </w:r>
      <w:r w:rsidRPr="00CF6765">
        <w:rPr>
          <w:rFonts w:eastAsia="Calibri"/>
          <w:sz w:val="20"/>
          <w:szCs w:val="20"/>
          <w:lang w:val="en-US" w:eastAsia="en-US"/>
        </w:rPr>
        <w:t>f</w:t>
      </w:r>
      <w:r w:rsidR="002570D1" w:rsidRPr="00CF6765">
        <w:rPr>
          <w:rFonts w:eastAsia="Calibri"/>
          <w:sz w:val="20"/>
          <w:szCs w:val="20"/>
          <w:lang w:val="en-US" w:eastAsia="en-US"/>
        </w:rPr>
        <w:t xml:space="preserve">or </w:t>
      </w:r>
      <w:r w:rsidR="008F31F2" w:rsidRPr="00CF6765">
        <w:rPr>
          <w:rFonts w:eastAsia="Calibri"/>
          <w:sz w:val="20"/>
          <w:szCs w:val="20"/>
          <w:lang w:val="en-US" w:eastAsia="en-US"/>
        </w:rPr>
        <w:t>the violation of</w:t>
      </w:r>
      <w:r w:rsidR="002570D1" w:rsidRPr="00CF6765">
        <w:rPr>
          <w:rFonts w:eastAsia="Calibri"/>
          <w:sz w:val="20"/>
          <w:szCs w:val="20"/>
          <w:lang w:val="en-US" w:eastAsia="en-US"/>
        </w:rPr>
        <w:t xml:space="preserve"> </w:t>
      </w:r>
      <w:r w:rsidRPr="00CF6765">
        <w:rPr>
          <w:rFonts w:eastAsia="Calibri"/>
          <w:sz w:val="20"/>
          <w:szCs w:val="20"/>
          <w:lang w:val="en-US" w:eastAsia="en-US"/>
        </w:rPr>
        <w:t xml:space="preserve">the rights of </w:t>
      </w:r>
      <w:r w:rsidR="00690D57" w:rsidRPr="00CF6765">
        <w:rPr>
          <w:rFonts w:eastAsia="Calibri"/>
          <w:sz w:val="20"/>
          <w:szCs w:val="20"/>
          <w:lang w:val="en-US" w:eastAsia="en-US"/>
        </w:rPr>
        <w:t>access to information</w:t>
      </w:r>
      <w:r w:rsidR="00BC5B4D"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BC5B4D" w:rsidRPr="00CF6765">
        <w:rPr>
          <w:rFonts w:eastAsia="Calibri"/>
          <w:sz w:val="20"/>
          <w:szCs w:val="20"/>
          <w:lang w:val="en-US" w:eastAsia="en-US"/>
        </w:rPr>
        <w:t xml:space="preserve"> 13)</w:t>
      </w:r>
      <w:r w:rsidR="002570D1" w:rsidRPr="00CF6765">
        <w:rPr>
          <w:rFonts w:eastAsia="Calibri"/>
          <w:sz w:val="20"/>
          <w:szCs w:val="20"/>
          <w:lang w:val="en-US" w:eastAsia="en-US"/>
        </w:rPr>
        <w:t xml:space="preserve">, </w:t>
      </w:r>
      <w:r w:rsidR="00CF40BA" w:rsidRPr="00CF6765">
        <w:rPr>
          <w:rFonts w:eastAsia="Calibri"/>
          <w:sz w:val="20"/>
          <w:szCs w:val="20"/>
          <w:lang w:val="en-US" w:eastAsia="en-US"/>
        </w:rPr>
        <w:t xml:space="preserve">and to </w:t>
      </w:r>
      <w:r w:rsidRPr="00CF6765">
        <w:rPr>
          <w:rFonts w:eastAsia="Calibri"/>
          <w:sz w:val="20"/>
          <w:szCs w:val="20"/>
          <w:lang w:val="en-US" w:eastAsia="en-US"/>
        </w:rPr>
        <w:t>dignity</w:t>
      </w:r>
      <w:r w:rsidR="002570D1" w:rsidRPr="00CF6765">
        <w:rPr>
          <w:rFonts w:eastAsia="Calibri"/>
          <w:sz w:val="20"/>
          <w:szCs w:val="20"/>
          <w:lang w:val="en-US" w:eastAsia="en-US"/>
        </w:rPr>
        <w:t xml:space="preserve"> </w:t>
      </w:r>
      <w:r w:rsidR="00BC5B4D" w:rsidRPr="00CF6765">
        <w:rPr>
          <w:rFonts w:eastAsia="Calibri"/>
          <w:sz w:val="20"/>
          <w:szCs w:val="20"/>
          <w:lang w:val="en-US" w:eastAsia="en-US"/>
        </w:rPr>
        <w:t>(</w:t>
      </w:r>
      <w:r w:rsidR="005C731C" w:rsidRPr="00CF6765">
        <w:rPr>
          <w:rFonts w:eastAsia="Calibri"/>
          <w:sz w:val="20"/>
          <w:szCs w:val="20"/>
          <w:lang w:val="en-US" w:eastAsia="en-US"/>
        </w:rPr>
        <w:t>Article</w:t>
      </w:r>
      <w:r w:rsidR="00BC5B4D" w:rsidRPr="00CF6765">
        <w:rPr>
          <w:rFonts w:eastAsia="Calibri"/>
          <w:sz w:val="20"/>
          <w:szCs w:val="20"/>
          <w:lang w:val="en-US" w:eastAsia="en-US"/>
        </w:rPr>
        <w:t xml:space="preserve"> 11)</w:t>
      </w:r>
      <w:r w:rsidR="00EC50FC" w:rsidRPr="00CF6765">
        <w:rPr>
          <w:rFonts w:eastAsia="Calibri"/>
          <w:sz w:val="20"/>
          <w:szCs w:val="20"/>
          <w:lang w:val="en-US" w:eastAsia="en-US"/>
        </w:rPr>
        <w:t xml:space="preserve"> and </w:t>
      </w:r>
      <w:r w:rsidR="002570D1" w:rsidRPr="00CF6765">
        <w:rPr>
          <w:rFonts w:eastAsia="Calibri"/>
          <w:sz w:val="20"/>
          <w:szCs w:val="20"/>
          <w:lang w:val="en-US" w:eastAsia="en-US"/>
        </w:rPr>
        <w:t>personal</w:t>
      </w:r>
      <w:r w:rsidRPr="00CF6765">
        <w:rPr>
          <w:rFonts w:eastAsia="Calibri"/>
          <w:sz w:val="20"/>
          <w:szCs w:val="20"/>
          <w:lang w:val="en-US" w:eastAsia="en-US"/>
        </w:rPr>
        <w:t xml:space="preserve"> liberty</w:t>
      </w:r>
      <w:r w:rsidR="002570D1" w:rsidRPr="00CF6765">
        <w:rPr>
          <w:rFonts w:eastAsia="Calibri"/>
          <w:sz w:val="20"/>
          <w:szCs w:val="20"/>
          <w:lang w:val="en-US" w:eastAsia="en-US"/>
        </w:rPr>
        <w:t xml:space="preserve"> </w:t>
      </w:r>
      <w:r w:rsidR="00BC5B4D" w:rsidRPr="00CF6765">
        <w:rPr>
          <w:rFonts w:eastAsia="Calibri"/>
          <w:sz w:val="20"/>
          <w:szCs w:val="20"/>
          <w:lang w:val="en-US" w:eastAsia="en-US"/>
        </w:rPr>
        <w:t>(</w:t>
      </w:r>
      <w:r w:rsidR="005C731C" w:rsidRPr="00CF6765">
        <w:rPr>
          <w:rFonts w:eastAsia="Calibri"/>
          <w:sz w:val="20"/>
          <w:szCs w:val="20"/>
          <w:lang w:val="en-US" w:eastAsia="en-US"/>
        </w:rPr>
        <w:t>Article</w:t>
      </w:r>
      <w:r w:rsidR="00BC5B4D" w:rsidRPr="00CF6765">
        <w:rPr>
          <w:rFonts w:eastAsia="Calibri"/>
          <w:sz w:val="20"/>
          <w:szCs w:val="20"/>
          <w:lang w:val="en-US" w:eastAsia="en-US"/>
        </w:rPr>
        <w:t xml:space="preserve"> 7) </w:t>
      </w:r>
      <w:r w:rsidR="002570D1" w:rsidRPr="00CF6765">
        <w:rPr>
          <w:rFonts w:eastAsia="Calibri"/>
          <w:sz w:val="20"/>
          <w:szCs w:val="20"/>
          <w:lang w:val="en-US" w:eastAsia="en-US"/>
        </w:rPr>
        <w:t>(</w:t>
      </w:r>
      <w:r w:rsidR="00062586" w:rsidRPr="00CF6765">
        <w:rPr>
          <w:rFonts w:eastAsia="Calibri"/>
          <w:i/>
          <w:sz w:val="20"/>
          <w:szCs w:val="20"/>
          <w:lang w:val="en-US" w:eastAsia="en-US"/>
        </w:rPr>
        <w:t>supra</w:t>
      </w:r>
      <w:r w:rsidR="002570D1" w:rsidRPr="00CF6765">
        <w:rPr>
          <w:rFonts w:eastAsia="Calibri"/>
          <w:sz w:val="20"/>
          <w:szCs w:val="20"/>
          <w:lang w:val="en-US" w:eastAsia="en-US"/>
        </w:rPr>
        <w:t xml:space="preserve"> </w:t>
      </w:r>
      <w:r w:rsidR="00EC50FC" w:rsidRPr="00CF6765">
        <w:rPr>
          <w:rFonts w:eastAsia="Calibri"/>
          <w:sz w:val="20"/>
          <w:szCs w:val="20"/>
          <w:lang w:val="en-US" w:eastAsia="en-US"/>
        </w:rPr>
        <w:t>para.</w:t>
      </w:r>
      <w:r w:rsidR="00DB1744" w:rsidRPr="00CF6765">
        <w:rPr>
          <w:rFonts w:eastAsia="Calibri"/>
          <w:sz w:val="20"/>
          <w:szCs w:val="20"/>
          <w:lang w:val="en-US" w:eastAsia="en-US"/>
        </w:rPr>
        <w:t xml:space="preserve"> 16</w:t>
      </w:r>
      <w:r w:rsidR="002570D1" w:rsidRPr="00CF6765">
        <w:rPr>
          <w:rFonts w:eastAsia="Calibri"/>
          <w:sz w:val="20"/>
          <w:szCs w:val="20"/>
          <w:lang w:val="en-US" w:eastAsia="en-US"/>
        </w:rPr>
        <w:t>)</w:t>
      </w:r>
      <w:r w:rsidR="008867EC" w:rsidRPr="00CF6765">
        <w:rPr>
          <w:rFonts w:eastAsia="Calibri"/>
          <w:sz w:val="20"/>
          <w:szCs w:val="20"/>
          <w:lang w:val="en-US" w:eastAsia="en-US"/>
        </w:rPr>
        <w:t>.</w:t>
      </w:r>
      <w:r w:rsidRPr="00CF6765">
        <w:rPr>
          <w:rFonts w:eastAsia="Calibri"/>
          <w:sz w:val="20"/>
          <w:szCs w:val="20"/>
          <w:lang w:val="en-US" w:eastAsia="en-US"/>
        </w:rPr>
        <w:t xml:space="preserve"> The Court admits the scope of this acknowledgement </w:t>
      </w:r>
      <w:r w:rsidR="00690D57" w:rsidRPr="00CF6765">
        <w:rPr>
          <w:rFonts w:eastAsia="Calibri"/>
          <w:sz w:val="20"/>
          <w:szCs w:val="20"/>
          <w:lang w:val="en-US" w:eastAsia="en-US"/>
        </w:rPr>
        <w:t xml:space="preserve">to the detriment </w:t>
      </w:r>
      <w:r w:rsidR="009339F5" w:rsidRPr="00CF6765">
        <w:rPr>
          <w:rFonts w:eastAsia="Calibri"/>
          <w:sz w:val="20"/>
          <w:szCs w:val="20"/>
          <w:lang w:val="en-US" w:eastAsia="en-US"/>
        </w:rPr>
        <w:t>of Mr. Poblete</w:t>
      </w:r>
      <w:r w:rsidR="00BC5B4D" w:rsidRPr="00CF6765">
        <w:rPr>
          <w:rFonts w:eastAsia="Calibri"/>
          <w:sz w:val="20"/>
          <w:szCs w:val="20"/>
          <w:lang w:val="en-US" w:eastAsia="en-US"/>
        </w:rPr>
        <w:t xml:space="preserve"> </w:t>
      </w:r>
      <w:proofErr w:type="spellStart"/>
      <w:r w:rsidR="00BC5B4D" w:rsidRPr="00CF6765">
        <w:rPr>
          <w:rFonts w:eastAsia="Calibri"/>
          <w:sz w:val="20"/>
          <w:szCs w:val="20"/>
          <w:lang w:val="en-US" w:eastAsia="en-US"/>
        </w:rPr>
        <w:t>Vilches</w:t>
      </w:r>
      <w:proofErr w:type="spellEnd"/>
      <w:r w:rsidR="00762119" w:rsidRPr="00CF6765">
        <w:rPr>
          <w:rFonts w:eastAsia="Calibri"/>
          <w:sz w:val="20"/>
          <w:szCs w:val="20"/>
          <w:lang w:val="en-US" w:eastAsia="en-US"/>
        </w:rPr>
        <w:t>.</w:t>
      </w:r>
    </w:p>
    <w:p w14:paraId="3170F1F2" w14:textId="77777777" w:rsidR="00853F33" w:rsidRPr="00CF6765" w:rsidRDefault="00853F33" w:rsidP="0059117C">
      <w:pPr>
        <w:tabs>
          <w:tab w:val="left" w:pos="567"/>
        </w:tabs>
        <w:rPr>
          <w:rFonts w:eastAsia="Calibri"/>
          <w:sz w:val="20"/>
          <w:szCs w:val="20"/>
          <w:lang w:val="en-US" w:eastAsia="en-US"/>
        </w:rPr>
      </w:pPr>
    </w:p>
    <w:p w14:paraId="54FE95EC" w14:textId="55A2674D" w:rsidR="00853F33" w:rsidRPr="00CF6765" w:rsidRDefault="00855D08" w:rsidP="00855D08">
      <w:pPr>
        <w:numPr>
          <w:ilvl w:val="0"/>
          <w:numId w:val="2"/>
        </w:numPr>
        <w:tabs>
          <w:tab w:val="left" w:pos="567"/>
          <w:tab w:val="num" w:pos="1569"/>
          <w:tab w:val="num" w:pos="12305"/>
        </w:tabs>
        <w:ind w:left="0" w:firstLine="0"/>
        <w:rPr>
          <w:rFonts w:eastAsia="Calibri"/>
          <w:sz w:val="20"/>
          <w:szCs w:val="20"/>
          <w:lang w:val="en-US" w:eastAsia="en-US"/>
        </w:rPr>
      </w:pPr>
      <w:r w:rsidRPr="00CF6765">
        <w:rPr>
          <w:sz w:val="20"/>
          <w:szCs w:val="20"/>
          <w:lang w:val="en-US"/>
        </w:rPr>
        <w:t>In this regard,</w:t>
      </w:r>
      <w:r w:rsidR="00853F33" w:rsidRPr="00CF6765">
        <w:rPr>
          <w:sz w:val="20"/>
          <w:szCs w:val="20"/>
          <w:lang w:val="en-US"/>
        </w:rPr>
        <w:t xml:space="preserve"> </w:t>
      </w:r>
      <w:r w:rsidR="00EC50FC" w:rsidRPr="00CF6765">
        <w:rPr>
          <w:sz w:val="20"/>
          <w:szCs w:val="20"/>
          <w:lang w:val="en-US"/>
        </w:rPr>
        <w:t>the State</w:t>
      </w:r>
      <w:r w:rsidR="00853F33" w:rsidRPr="00CF6765">
        <w:rPr>
          <w:sz w:val="20"/>
          <w:szCs w:val="20"/>
          <w:lang w:val="en-US"/>
        </w:rPr>
        <w:t xml:space="preserve"> </w:t>
      </w:r>
      <w:r w:rsidRPr="00CF6765">
        <w:rPr>
          <w:sz w:val="20"/>
          <w:szCs w:val="20"/>
          <w:lang w:val="en-US"/>
        </w:rPr>
        <w:t>acknowledged the following facts</w:t>
      </w:r>
      <w:r w:rsidR="00853F33" w:rsidRPr="00CF6765">
        <w:rPr>
          <w:sz w:val="20"/>
          <w:szCs w:val="20"/>
          <w:lang w:val="en-US"/>
        </w:rPr>
        <w:t xml:space="preserve">: </w:t>
      </w:r>
      <w:r w:rsidRPr="00CF6765">
        <w:rPr>
          <w:sz w:val="20"/>
          <w:szCs w:val="20"/>
          <w:lang w:val="en-US"/>
        </w:rPr>
        <w:t>(</w:t>
      </w:r>
      <w:proofErr w:type="spellStart"/>
      <w:r w:rsidR="00853F33" w:rsidRPr="00CF6765">
        <w:rPr>
          <w:sz w:val="20"/>
          <w:szCs w:val="20"/>
          <w:lang w:val="en-US"/>
        </w:rPr>
        <w:t>i</w:t>
      </w:r>
      <w:proofErr w:type="spellEnd"/>
      <w:r w:rsidR="00853F33" w:rsidRPr="00CF6765">
        <w:rPr>
          <w:sz w:val="20"/>
          <w:szCs w:val="20"/>
          <w:lang w:val="en-US"/>
        </w:rPr>
        <w:t xml:space="preserve">) </w:t>
      </w:r>
      <w:r w:rsidR="00D04694" w:rsidRPr="00CF6765">
        <w:rPr>
          <w:sz w:val="20"/>
          <w:szCs w:val="20"/>
          <w:lang w:val="en-US"/>
        </w:rPr>
        <w:t>the presumed victim</w:t>
      </w:r>
      <w:r w:rsidR="00853F33" w:rsidRPr="00CF6765">
        <w:rPr>
          <w:sz w:val="20"/>
          <w:szCs w:val="20"/>
          <w:lang w:val="en-US"/>
        </w:rPr>
        <w:t xml:space="preserve"> </w:t>
      </w:r>
      <w:r w:rsidRPr="00CF6765">
        <w:rPr>
          <w:sz w:val="20"/>
          <w:szCs w:val="20"/>
          <w:lang w:val="en-US"/>
        </w:rPr>
        <w:t xml:space="preserve">was unconscious </w:t>
      </w:r>
      <w:r w:rsidR="00B85D56" w:rsidRPr="00CF6765">
        <w:rPr>
          <w:rFonts w:eastAsia="Batang"/>
          <w:sz w:val="20"/>
          <w:szCs w:val="20"/>
          <w:lang w:val="en-US" w:eastAsia="en-US"/>
        </w:rPr>
        <w:t xml:space="preserve">when the decision was taken to operate on him </w:t>
      </w:r>
      <w:r w:rsidRPr="00CF6765">
        <w:rPr>
          <w:sz w:val="20"/>
          <w:szCs w:val="20"/>
          <w:lang w:val="en-US"/>
        </w:rPr>
        <w:t xml:space="preserve">and, therefore, </w:t>
      </w:r>
      <w:r w:rsidR="00B85D56" w:rsidRPr="00CF6765">
        <w:rPr>
          <w:sz w:val="20"/>
          <w:szCs w:val="20"/>
          <w:lang w:val="en-US"/>
        </w:rPr>
        <w:t xml:space="preserve">he </w:t>
      </w:r>
      <w:r w:rsidRPr="00CF6765">
        <w:rPr>
          <w:sz w:val="20"/>
          <w:szCs w:val="20"/>
          <w:lang w:val="en-US"/>
        </w:rPr>
        <w:t xml:space="preserve">was not in a condition to consent to any type of procedure; (ii) the family were not adequately informed of the procedure that would be performed on the presumed victim; (iii) the only reference to the existence of a supposed consent by the family was in the medical record, and </w:t>
      </w:r>
      <w:r w:rsidR="00B85D56" w:rsidRPr="00CF6765">
        <w:rPr>
          <w:sz w:val="20"/>
          <w:szCs w:val="20"/>
          <w:lang w:val="en-US"/>
        </w:rPr>
        <w:t>it</w:t>
      </w:r>
      <w:r w:rsidRPr="00CF6765">
        <w:rPr>
          <w:sz w:val="20"/>
          <w:szCs w:val="20"/>
          <w:lang w:val="en-US"/>
        </w:rPr>
        <w:t xml:space="preserve"> raise</w:t>
      </w:r>
      <w:r w:rsidR="00B85D56" w:rsidRPr="00CF6765">
        <w:rPr>
          <w:sz w:val="20"/>
          <w:szCs w:val="20"/>
          <w:lang w:val="en-US"/>
        </w:rPr>
        <w:t>s doubts about the way in which</w:t>
      </w:r>
      <w:r w:rsidRPr="00CF6765">
        <w:rPr>
          <w:sz w:val="20"/>
          <w:szCs w:val="20"/>
          <w:lang w:val="en-US"/>
        </w:rPr>
        <w:t xml:space="preserve"> it was obtained and its authenticity; (iv) the medical record contains no information or note that would allow it to be understood that the supposed informed consent was provided in keeping with the requirements established </w:t>
      </w:r>
      <w:r w:rsidR="00B85D56" w:rsidRPr="00CF6765">
        <w:rPr>
          <w:sz w:val="20"/>
          <w:szCs w:val="20"/>
          <w:lang w:val="en-US"/>
        </w:rPr>
        <w:t>by</w:t>
      </w:r>
      <w:r w:rsidRPr="00CF6765">
        <w:rPr>
          <w:sz w:val="20"/>
          <w:szCs w:val="20"/>
          <w:lang w:val="en-US"/>
        </w:rPr>
        <w:t xml:space="preserve"> international law, and (v) the medical record reveals that doubts existed as to whether the family understood </w:t>
      </w:r>
      <w:r w:rsidR="00D04694" w:rsidRPr="00CF6765">
        <w:rPr>
          <w:sz w:val="20"/>
          <w:szCs w:val="20"/>
          <w:lang w:val="en-US"/>
        </w:rPr>
        <w:t>the presumed victim</w:t>
      </w:r>
      <w:r w:rsidR="00B85D56" w:rsidRPr="00CF6765">
        <w:rPr>
          <w:sz w:val="20"/>
          <w:szCs w:val="20"/>
          <w:lang w:val="en-US"/>
        </w:rPr>
        <w:t>’s condition</w:t>
      </w:r>
      <w:r w:rsidR="00853F33" w:rsidRPr="00CF6765">
        <w:rPr>
          <w:sz w:val="20"/>
          <w:szCs w:val="20"/>
          <w:lang w:val="en-US"/>
        </w:rPr>
        <w:t xml:space="preserve"> (</w:t>
      </w:r>
      <w:r w:rsidR="00DB1744" w:rsidRPr="00CF6765">
        <w:rPr>
          <w:i/>
          <w:sz w:val="20"/>
          <w:szCs w:val="20"/>
          <w:lang w:val="en-US"/>
        </w:rPr>
        <w:t>supra</w:t>
      </w:r>
      <w:r w:rsidR="00DB1744" w:rsidRPr="00CF6765">
        <w:rPr>
          <w:sz w:val="20"/>
          <w:szCs w:val="20"/>
          <w:lang w:val="en-US"/>
        </w:rPr>
        <w:t xml:space="preserve"> </w:t>
      </w:r>
      <w:r w:rsidR="00EC50FC" w:rsidRPr="00CF6765">
        <w:rPr>
          <w:sz w:val="20"/>
          <w:szCs w:val="20"/>
          <w:lang w:val="en-US"/>
        </w:rPr>
        <w:t>para.</w:t>
      </w:r>
      <w:r w:rsidR="00DB1744" w:rsidRPr="00CF6765">
        <w:rPr>
          <w:sz w:val="20"/>
          <w:szCs w:val="20"/>
          <w:lang w:val="en-US"/>
        </w:rPr>
        <w:t xml:space="preserve"> 18</w:t>
      </w:r>
      <w:r w:rsidR="00853F33" w:rsidRPr="00CF6765">
        <w:rPr>
          <w:sz w:val="20"/>
          <w:szCs w:val="20"/>
          <w:lang w:val="en-US"/>
        </w:rPr>
        <w:t>)</w:t>
      </w:r>
      <w:r w:rsidRPr="00CF6765">
        <w:rPr>
          <w:sz w:val="20"/>
          <w:szCs w:val="20"/>
          <w:lang w:val="en-US"/>
        </w:rPr>
        <w:t>.</w:t>
      </w:r>
    </w:p>
    <w:p w14:paraId="45CA63BD" w14:textId="77777777" w:rsidR="002570D1" w:rsidRPr="00CF6765" w:rsidRDefault="002570D1" w:rsidP="002570D1">
      <w:pPr>
        <w:ind w:left="-90" w:right="-360"/>
        <w:rPr>
          <w:rFonts w:eastAsia="Calibri"/>
          <w:sz w:val="20"/>
          <w:szCs w:val="20"/>
          <w:lang w:val="en-US" w:eastAsia="en-US"/>
        </w:rPr>
      </w:pPr>
    </w:p>
    <w:p w14:paraId="00611DCF" w14:textId="3C3B4779" w:rsidR="00853F33" w:rsidRPr="00CF6765" w:rsidRDefault="00154FE3" w:rsidP="005430FF">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Regarding the members of</w:t>
      </w:r>
      <w:r w:rsidR="00D04694" w:rsidRPr="00CF6765">
        <w:rPr>
          <w:rFonts w:eastAsia="Calibri"/>
          <w:sz w:val="20"/>
          <w:szCs w:val="20"/>
          <w:lang w:val="en-US" w:eastAsia="en-US"/>
        </w:rPr>
        <w:t xml:space="preserve"> Mr.</w:t>
      </w:r>
      <w:r w:rsidR="00D2168F" w:rsidRPr="00CF6765">
        <w:rPr>
          <w:rFonts w:eastAsia="Calibri"/>
          <w:sz w:val="20"/>
          <w:szCs w:val="20"/>
          <w:lang w:val="en-US" w:eastAsia="en-US"/>
        </w:rPr>
        <w:t xml:space="preserve"> Poblete</w:t>
      </w:r>
      <w:r w:rsidR="00853F33" w:rsidRPr="00CF6765">
        <w:rPr>
          <w:rFonts w:eastAsia="Calibri"/>
          <w:sz w:val="20"/>
          <w:szCs w:val="20"/>
          <w:lang w:val="en-US" w:eastAsia="en-US"/>
        </w:rPr>
        <w:t xml:space="preserve"> </w:t>
      </w:r>
      <w:proofErr w:type="spellStart"/>
      <w:r w:rsidR="001E55C3" w:rsidRPr="00CF6765">
        <w:rPr>
          <w:rFonts w:eastAsia="Calibri"/>
          <w:sz w:val="20"/>
          <w:szCs w:val="20"/>
          <w:lang w:val="en-US" w:eastAsia="en-US"/>
        </w:rPr>
        <w:t>Vilches’s</w:t>
      </w:r>
      <w:proofErr w:type="spellEnd"/>
      <w:r w:rsidR="001E55C3" w:rsidRPr="00CF6765">
        <w:rPr>
          <w:rFonts w:eastAsia="Calibri"/>
          <w:sz w:val="20"/>
          <w:szCs w:val="20"/>
          <w:lang w:val="en-US" w:eastAsia="en-US"/>
        </w:rPr>
        <w:t xml:space="preserve"> </w:t>
      </w:r>
      <w:r w:rsidRPr="00CF6765">
        <w:rPr>
          <w:rFonts w:eastAsia="Calibri"/>
          <w:sz w:val="20"/>
          <w:szCs w:val="20"/>
          <w:lang w:val="en-US" w:eastAsia="en-US"/>
        </w:rPr>
        <w:t>family</w:t>
      </w:r>
      <w:r w:rsidR="00853F33"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3354BF" w:rsidRPr="00CF6765">
        <w:rPr>
          <w:rFonts w:eastAsia="Calibri"/>
          <w:sz w:val="20"/>
          <w:szCs w:val="20"/>
          <w:lang w:val="en-US" w:eastAsia="en-US"/>
        </w:rPr>
        <w:t xml:space="preserve"> not</w:t>
      </w:r>
      <w:r w:rsidRPr="00CF6765">
        <w:rPr>
          <w:rFonts w:eastAsia="Calibri"/>
          <w:sz w:val="20"/>
          <w:szCs w:val="20"/>
          <w:lang w:val="en-US" w:eastAsia="en-US"/>
        </w:rPr>
        <w:t>es that</w:t>
      </w:r>
      <w:r w:rsidR="003354BF" w:rsidRPr="00CF6765">
        <w:rPr>
          <w:rFonts w:eastAsia="Calibri"/>
          <w:sz w:val="20"/>
          <w:szCs w:val="20"/>
          <w:lang w:val="en-US" w:eastAsia="en-US"/>
        </w:rPr>
        <w:t xml:space="preserve"> </w:t>
      </w:r>
      <w:r w:rsidR="00EC50FC" w:rsidRPr="00CF6765">
        <w:rPr>
          <w:rFonts w:eastAsia="Calibri"/>
          <w:sz w:val="20"/>
          <w:szCs w:val="20"/>
          <w:lang w:val="en-US" w:eastAsia="en-US"/>
        </w:rPr>
        <w:t>the State</w:t>
      </w:r>
      <w:r w:rsidR="003354BF" w:rsidRPr="00CF6765">
        <w:rPr>
          <w:rFonts w:eastAsia="Calibri"/>
          <w:sz w:val="20"/>
          <w:szCs w:val="20"/>
          <w:lang w:val="en-US" w:eastAsia="en-US"/>
        </w:rPr>
        <w:t xml:space="preserve"> </w:t>
      </w:r>
      <w:r w:rsidRPr="00CF6765">
        <w:rPr>
          <w:rFonts w:eastAsia="Calibri"/>
          <w:sz w:val="20"/>
          <w:szCs w:val="20"/>
          <w:lang w:val="en-US" w:eastAsia="en-US"/>
        </w:rPr>
        <w:t xml:space="preserve">acknowledged that, in this case, there had been no prior, free, full and informed consent pursuant to </w:t>
      </w:r>
      <w:r w:rsidR="005C731C" w:rsidRPr="00CF6765">
        <w:rPr>
          <w:rFonts w:eastAsia="Calibri"/>
          <w:sz w:val="20"/>
          <w:szCs w:val="20"/>
          <w:lang w:val="en-US" w:eastAsia="en-US"/>
        </w:rPr>
        <w:t>Article</w:t>
      </w:r>
      <w:r w:rsidR="00E82480" w:rsidRPr="00CF6765">
        <w:rPr>
          <w:rFonts w:eastAsia="Calibri"/>
          <w:sz w:val="20"/>
          <w:szCs w:val="20"/>
          <w:lang w:val="en-US" w:eastAsia="en-US"/>
        </w:rPr>
        <w:t xml:space="preserve"> 13 </w:t>
      </w:r>
      <w:r w:rsidRPr="00CF6765">
        <w:rPr>
          <w:rFonts w:eastAsia="Calibri"/>
          <w:sz w:val="20"/>
          <w:szCs w:val="20"/>
          <w:lang w:val="en-US" w:eastAsia="en-US"/>
        </w:rPr>
        <w:t>of the Convention. However, it did not acknowledge</w:t>
      </w:r>
      <w:r w:rsidR="00853F33" w:rsidRPr="00CF6765">
        <w:rPr>
          <w:rFonts w:eastAsia="Calibri"/>
          <w:sz w:val="20"/>
          <w:szCs w:val="20"/>
          <w:lang w:val="en-US" w:eastAsia="en-US"/>
        </w:rPr>
        <w:t xml:space="preserve"> </w:t>
      </w:r>
      <w:r w:rsidRPr="00CF6765">
        <w:rPr>
          <w:rFonts w:eastAsia="Calibri"/>
          <w:sz w:val="20"/>
          <w:szCs w:val="20"/>
          <w:lang w:val="en-US" w:eastAsia="en-US"/>
        </w:rPr>
        <w:t>its</w:t>
      </w:r>
      <w:r w:rsidR="00853F33" w:rsidRPr="00CF6765">
        <w:rPr>
          <w:rFonts w:eastAsia="Calibri"/>
          <w:sz w:val="20"/>
          <w:szCs w:val="20"/>
          <w:lang w:val="en-US" w:eastAsia="en-US"/>
        </w:rPr>
        <w:t xml:space="preserve"> </w:t>
      </w:r>
      <w:r w:rsidR="0088423A" w:rsidRPr="00CF6765">
        <w:rPr>
          <w:rFonts w:eastAsia="Calibri"/>
          <w:sz w:val="20"/>
          <w:szCs w:val="20"/>
          <w:lang w:val="en-US" w:eastAsia="en-US"/>
        </w:rPr>
        <w:t>international responsibility</w:t>
      </w:r>
      <w:r w:rsidR="00853F33" w:rsidRPr="00CF6765">
        <w:rPr>
          <w:rFonts w:eastAsia="Calibri"/>
          <w:sz w:val="20"/>
          <w:szCs w:val="20"/>
          <w:lang w:val="en-US" w:eastAsia="en-US"/>
        </w:rPr>
        <w:t xml:space="preserve"> </w:t>
      </w:r>
      <w:r w:rsidRPr="00CF6765">
        <w:rPr>
          <w:rFonts w:eastAsia="Calibri"/>
          <w:sz w:val="20"/>
          <w:szCs w:val="20"/>
          <w:lang w:val="en-US" w:eastAsia="en-US"/>
        </w:rPr>
        <w:t>for the alleged violation</w:t>
      </w:r>
      <w:r w:rsidR="00853F33" w:rsidRPr="00CF6765">
        <w:rPr>
          <w:rFonts w:eastAsia="Calibri"/>
          <w:sz w:val="20"/>
          <w:szCs w:val="20"/>
          <w:lang w:val="en-US" w:eastAsia="en-US"/>
        </w:rPr>
        <w:t xml:space="preserve"> </w:t>
      </w:r>
      <w:r w:rsidR="0088423A" w:rsidRPr="00CF6765">
        <w:rPr>
          <w:rFonts w:eastAsia="Calibri"/>
          <w:sz w:val="20"/>
          <w:szCs w:val="20"/>
          <w:lang w:val="en-US" w:eastAsia="en-US"/>
        </w:rPr>
        <w:t>of Article</w:t>
      </w:r>
      <w:r w:rsidR="00853F33" w:rsidRPr="00CF6765">
        <w:rPr>
          <w:rFonts w:eastAsia="Calibri"/>
          <w:sz w:val="20"/>
          <w:szCs w:val="20"/>
          <w:lang w:val="en-US" w:eastAsia="en-US"/>
        </w:rPr>
        <w:t xml:space="preserve"> 7</w:t>
      </w:r>
      <w:r w:rsidR="00EC50FC" w:rsidRPr="00CF6765">
        <w:rPr>
          <w:rFonts w:eastAsia="Calibri"/>
          <w:sz w:val="20"/>
          <w:szCs w:val="20"/>
          <w:lang w:val="en-US" w:eastAsia="en-US"/>
        </w:rPr>
        <w:t xml:space="preserve"> and </w:t>
      </w:r>
      <w:r w:rsidR="00853F33" w:rsidRPr="00CF6765">
        <w:rPr>
          <w:rFonts w:eastAsia="Calibri"/>
          <w:sz w:val="20"/>
          <w:szCs w:val="20"/>
          <w:lang w:val="en-US" w:eastAsia="en-US"/>
        </w:rPr>
        <w:t xml:space="preserve">11 </w:t>
      </w:r>
      <w:r w:rsidR="00690D57" w:rsidRPr="00CF6765">
        <w:rPr>
          <w:rFonts w:eastAsia="Calibri"/>
          <w:sz w:val="20"/>
          <w:szCs w:val="20"/>
          <w:lang w:val="en-US" w:eastAsia="en-US"/>
        </w:rPr>
        <w:t>to the</w:t>
      </w:r>
      <w:r w:rsidRPr="00CF6765">
        <w:rPr>
          <w:rFonts w:eastAsia="Calibri"/>
          <w:sz w:val="20"/>
          <w:szCs w:val="20"/>
          <w:lang w:val="en-US" w:eastAsia="en-US"/>
        </w:rPr>
        <w:t>ir</w:t>
      </w:r>
      <w:r w:rsidR="00690D57" w:rsidRPr="00CF6765">
        <w:rPr>
          <w:rFonts w:eastAsia="Calibri"/>
          <w:sz w:val="20"/>
          <w:szCs w:val="20"/>
          <w:lang w:val="en-US" w:eastAsia="en-US"/>
        </w:rPr>
        <w:t xml:space="preserve"> detriment </w:t>
      </w:r>
      <w:r w:rsidR="00762119" w:rsidRPr="00CF6765">
        <w:rPr>
          <w:rFonts w:eastAsia="Calibri"/>
          <w:sz w:val="20"/>
          <w:szCs w:val="20"/>
          <w:lang w:val="en-US" w:eastAsia="en-US"/>
        </w:rPr>
        <w:t>(</w:t>
      </w:r>
      <w:r w:rsidR="00762119" w:rsidRPr="00CF6765">
        <w:rPr>
          <w:rFonts w:eastAsia="Calibri"/>
          <w:i/>
          <w:sz w:val="20"/>
          <w:szCs w:val="20"/>
          <w:lang w:val="en-US" w:eastAsia="en-US"/>
        </w:rPr>
        <w:t>supra</w:t>
      </w:r>
      <w:r w:rsidR="00762119" w:rsidRPr="00CF6765">
        <w:rPr>
          <w:rFonts w:eastAsia="Calibri"/>
          <w:sz w:val="20"/>
          <w:szCs w:val="20"/>
          <w:lang w:val="en-US" w:eastAsia="en-US"/>
        </w:rPr>
        <w:t xml:space="preserve"> </w:t>
      </w:r>
      <w:r w:rsidR="00EC50FC" w:rsidRPr="00CF6765">
        <w:rPr>
          <w:rFonts w:eastAsia="Calibri"/>
          <w:sz w:val="20"/>
          <w:szCs w:val="20"/>
          <w:lang w:val="en-US" w:eastAsia="en-US"/>
        </w:rPr>
        <w:t>paras.</w:t>
      </w:r>
      <w:r w:rsidR="00762119" w:rsidRPr="00CF6765">
        <w:rPr>
          <w:rFonts w:eastAsia="Calibri"/>
          <w:sz w:val="20"/>
          <w:szCs w:val="20"/>
          <w:lang w:val="en-US" w:eastAsia="en-US"/>
        </w:rPr>
        <w:t xml:space="preserve"> 30</w:t>
      </w:r>
      <w:r w:rsidR="00EC50FC" w:rsidRPr="00CF6765">
        <w:rPr>
          <w:rFonts w:eastAsia="Calibri"/>
          <w:sz w:val="20"/>
          <w:szCs w:val="20"/>
          <w:lang w:val="en-US" w:eastAsia="en-US"/>
        </w:rPr>
        <w:t xml:space="preserve"> and </w:t>
      </w:r>
      <w:r w:rsidR="00762119" w:rsidRPr="00CF6765">
        <w:rPr>
          <w:rFonts w:eastAsia="Calibri"/>
          <w:sz w:val="20"/>
          <w:szCs w:val="20"/>
          <w:lang w:val="en-US" w:eastAsia="en-US"/>
        </w:rPr>
        <w:t>98)</w:t>
      </w:r>
      <w:r w:rsidR="003354BF" w:rsidRPr="00CF6765">
        <w:rPr>
          <w:rFonts w:eastAsia="Calibri"/>
          <w:sz w:val="20"/>
          <w:szCs w:val="20"/>
          <w:lang w:val="en-US" w:eastAsia="en-US"/>
        </w:rPr>
        <w:t xml:space="preserve"> </w:t>
      </w:r>
    </w:p>
    <w:p w14:paraId="28C14101" w14:textId="77777777" w:rsidR="00853F33" w:rsidRPr="00CF6765" w:rsidRDefault="00853F33" w:rsidP="0059117C">
      <w:pPr>
        <w:tabs>
          <w:tab w:val="left" w:pos="567"/>
        </w:tabs>
        <w:rPr>
          <w:rFonts w:eastAsia="Calibri"/>
          <w:sz w:val="20"/>
          <w:szCs w:val="20"/>
          <w:lang w:val="en-US" w:eastAsia="en-US"/>
        </w:rPr>
      </w:pPr>
    </w:p>
    <w:p w14:paraId="7DA7D0A0" w14:textId="52BDACA9" w:rsidR="006D0C07" w:rsidRPr="00CF6765" w:rsidRDefault="00154FE3" w:rsidP="00F33B48">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In </w:t>
      </w:r>
      <w:r w:rsidR="00CF40BA" w:rsidRPr="00CF6765">
        <w:rPr>
          <w:rFonts w:eastAsia="Calibri"/>
          <w:sz w:val="20"/>
          <w:szCs w:val="20"/>
          <w:lang w:val="en-US" w:eastAsia="en-US"/>
        </w:rPr>
        <w:t>this</w:t>
      </w:r>
      <w:r w:rsidRPr="00CF6765">
        <w:rPr>
          <w:rFonts w:eastAsia="Calibri"/>
          <w:sz w:val="20"/>
          <w:szCs w:val="20"/>
          <w:lang w:val="en-US" w:eastAsia="en-US"/>
        </w:rPr>
        <w:t xml:space="preserve"> case, the Court understands that </w:t>
      </w:r>
      <w:r w:rsidR="003C3208" w:rsidRPr="00CF6765">
        <w:rPr>
          <w:rFonts w:eastAsia="Calibri"/>
          <w:sz w:val="20"/>
          <w:szCs w:val="20"/>
          <w:lang w:val="en-US"/>
        </w:rPr>
        <w:t>informed consent</w:t>
      </w:r>
      <w:r w:rsidR="006D0C07" w:rsidRPr="00CF6765">
        <w:rPr>
          <w:rFonts w:eastAsia="Calibri"/>
          <w:sz w:val="20"/>
          <w:szCs w:val="20"/>
          <w:lang w:val="en-US"/>
        </w:rPr>
        <w:t xml:space="preserve"> </w:t>
      </w:r>
      <w:r w:rsidRPr="00CF6765">
        <w:rPr>
          <w:rFonts w:eastAsia="Calibri"/>
          <w:sz w:val="20"/>
          <w:szCs w:val="20"/>
          <w:lang w:val="en-US"/>
        </w:rPr>
        <w:t xml:space="preserve">forms part of the accessibility of information </w:t>
      </w:r>
      <w:r w:rsidR="006D0C07" w:rsidRPr="00CF6765">
        <w:rPr>
          <w:rFonts w:eastAsia="Calibri"/>
          <w:sz w:val="20"/>
          <w:szCs w:val="20"/>
          <w:lang w:val="en-US"/>
        </w:rPr>
        <w:t>(</w:t>
      </w:r>
      <w:r w:rsidR="006D0C07" w:rsidRPr="00CF6765">
        <w:rPr>
          <w:rFonts w:eastAsia="Calibri"/>
          <w:i/>
          <w:sz w:val="20"/>
          <w:szCs w:val="20"/>
          <w:lang w:val="en-US"/>
        </w:rPr>
        <w:t>supra</w:t>
      </w:r>
      <w:r w:rsidR="006D0C07" w:rsidRPr="00CF6765">
        <w:rPr>
          <w:rFonts w:eastAsia="Calibri"/>
          <w:sz w:val="20"/>
          <w:szCs w:val="20"/>
          <w:lang w:val="en-US"/>
        </w:rPr>
        <w:t xml:space="preserve"> </w:t>
      </w:r>
      <w:r w:rsidR="00EC50FC" w:rsidRPr="00CF6765">
        <w:rPr>
          <w:rFonts w:eastAsia="Calibri"/>
          <w:sz w:val="20"/>
          <w:szCs w:val="20"/>
          <w:lang w:val="en-US"/>
        </w:rPr>
        <w:t>para.</w:t>
      </w:r>
      <w:r w:rsidR="006D0C07" w:rsidRPr="00CF6765">
        <w:rPr>
          <w:rFonts w:eastAsia="Calibri"/>
          <w:sz w:val="20"/>
          <w:szCs w:val="20"/>
          <w:lang w:val="en-US"/>
        </w:rPr>
        <w:t xml:space="preserve"> </w:t>
      </w:r>
      <w:r w:rsidR="00DB1744" w:rsidRPr="00CF6765">
        <w:rPr>
          <w:rFonts w:eastAsia="Calibri"/>
          <w:sz w:val="20"/>
          <w:szCs w:val="20"/>
          <w:lang w:val="en-US"/>
        </w:rPr>
        <w:t>121</w:t>
      </w:r>
      <w:r w:rsidR="006D0C07" w:rsidRPr="00CF6765">
        <w:rPr>
          <w:rFonts w:eastAsia="Calibri"/>
          <w:sz w:val="20"/>
          <w:szCs w:val="20"/>
          <w:lang w:val="en-US"/>
        </w:rPr>
        <w:t>)</w:t>
      </w:r>
      <w:r w:rsidR="00EC50FC" w:rsidRPr="00CF6765">
        <w:rPr>
          <w:rFonts w:eastAsia="Calibri"/>
          <w:sz w:val="20"/>
          <w:szCs w:val="20"/>
          <w:lang w:val="en-US"/>
        </w:rPr>
        <w:t xml:space="preserve"> and</w:t>
      </w:r>
      <w:r w:rsidRPr="00CF6765">
        <w:rPr>
          <w:rFonts w:eastAsia="Calibri"/>
          <w:sz w:val="20"/>
          <w:szCs w:val="20"/>
          <w:lang w:val="en-US"/>
        </w:rPr>
        <w:t xml:space="preserve">, therefore, </w:t>
      </w:r>
      <w:r w:rsidR="00B65BBE" w:rsidRPr="00CF6765">
        <w:rPr>
          <w:rFonts w:eastAsia="Calibri"/>
          <w:sz w:val="20"/>
          <w:szCs w:val="20"/>
          <w:lang w:val="en-US"/>
        </w:rPr>
        <w:t xml:space="preserve">of the </w:t>
      </w:r>
      <w:r w:rsidR="00DE6950" w:rsidRPr="00CF6765">
        <w:rPr>
          <w:rFonts w:eastAsia="Calibri"/>
          <w:sz w:val="20"/>
          <w:szCs w:val="20"/>
          <w:lang w:val="en-US"/>
        </w:rPr>
        <w:t>right</w:t>
      </w:r>
      <w:r w:rsidR="00925BAC" w:rsidRPr="00CF6765">
        <w:rPr>
          <w:rFonts w:eastAsia="Calibri"/>
          <w:sz w:val="20"/>
          <w:szCs w:val="20"/>
          <w:lang w:val="en-US"/>
        </w:rPr>
        <w:t xml:space="preserve"> </w:t>
      </w:r>
      <w:r w:rsidRPr="00CF6765">
        <w:rPr>
          <w:rFonts w:eastAsia="Calibri"/>
          <w:sz w:val="20"/>
          <w:szCs w:val="20"/>
          <w:lang w:val="en-US"/>
        </w:rPr>
        <w:t>to</w:t>
      </w:r>
      <w:r w:rsidR="00925BAC" w:rsidRPr="00CF6765">
        <w:rPr>
          <w:rFonts w:eastAsia="Calibri"/>
          <w:sz w:val="20"/>
          <w:szCs w:val="20"/>
          <w:lang w:val="en-US"/>
        </w:rPr>
        <w:t xml:space="preserve"> health</w:t>
      </w:r>
      <w:r w:rsidR="006D0C07" w:rsidRPr="00CF6765">
        <w:rPr>
          <w:rFonts w:eastAsia="Calibri"/>
          <w:sz w:val="20"/>
          <w:szCs w:val="20"/>
          <w:lang w:val="en-US"/>
        </w:rPr>
        <w:t xml:space="preserve"> (</w:t>
      </w:r>
      <w:r w:rsidR="005C731C" w:rsidRPr="00CF6765">
        <w:rPr>
          <w:rFonts w:eastAsia="Calibri"/>
          <w:sz w:val="20"/>
          <w:szCs w:val="20"/>
          <w:lang w:val="en-US"/>
        </w:rPr>
        <w:t>Article</w:t>
      </w:r>
      <w:r w:rsidR="006D0C07" w:rsidRPr="00CF6765">
        <w:rPr>
          <w:rFonts w:eastAsia="Calibri"/>
          <w:sz w:val="20"/>
          <w:szCs w:val="20"/>
          <w:lang w:val="en-US"/>
        </w:rPr>
        <w:t xml:space="preserve"> 26). </w:t>
      </w:r>
      <w:r w:rsidRPr="00CF6765">
        <w:rPr>
          <w:rFonts w:eastAsia="Calibri"/>
          <w:sz w:val="20"/>
          <w:szCs w:val="20"/>
          <w:lang w:val="en-US"/>
        </w:rPr>
        <w:t xml:space="preserve">Accordingly, </w:t>
      </w:r>
      <w:r w:rsidR="00690D57" w:rsidRPr="00CF6765">
        <w:rPr>
          <w:rFonts w:eastAsia="Calibri"/>
          <w:sz w:val="20"/>
          <w:szCs w:val="20"/>
          <w:lang w:val="en-US"/>
        </w:rPr>
        <w:t>access to information</w:t>
      </w:r>
      <w:r w:rsidR="006D0C07" w:rsidRPr="00CF6765">
        <w:rPr>
          <w:rFonts w:eastAsia="Calibri"/>
          <w:sz w:val="20"/>
          <w:szCs w:val="20"/>
          <w:lang w:val="en-US"/>
        </w:rPr>
        <w:t xml:space="preserve"> –</w:t>
      </w:r>
      <w:r w:rsidR="00F33B48" w:rsidRPr="00CF6765">
        <w:rPr>
          <w:rFonts w:eastAsia="Calibri"/>
          <w:sz w:val="20"/>
          <w:szCs w:val="20"/>
          <w:lang w:val="en-US"/>
        </w:rPr>
        <w:t xml:space="preserve"> established in </w:t>
      </w:r>
      <w:r w:rsidR="005C731C" w:rsidRPr="00CF6765">
        <w:rPr>
          <w:rFonts w:eastAsia="Calibri"/>
          <w:sz w:val="20"/>
          <w:szCs w:val="20"/>
          <w:lang w:val="en-US"/>
        </w:rPr>
        <w:t>Article</w:t>
      </w:r>
      <w:r w:rsidR="006D0C07" w:rsidRPr="00CF6765">
        <w:rPr>
          <w:rFonts w:eastAsia="Calibri"/>
          <w:sz w:val="20"/>
          <w:szCs w:val="20"/>
          <w:lang w:val="en-US"/>
        </w:rPr>
        <w:t xml:space="preserve"> 13 </w:t>
      </w:r>
      <w:r w:rsidR="00F33B48" w:rsidRPr="00CF6765">
        <w:rPr>
          <w:rFonts w:eastAsia="Calibri"/>
          <w:sz w:val="20"/>
          <w:szCs w:val="20"/>
          <w:lang w:val="en-US"/>
        </w:rPr>
        <w:t>of the Convention – acquires an instrumental nature</w:t>
      </w:r>
      <w:r w:rsidR="00DB1744" w:rsidRPr="00CF6765">
        <w:rPr>
          <w:rStyle w:val="Refdenotaalpie"/>
          <w:rFonts w:eastAsia="Calibri"/>
          <w:sz w:val="20"/>
          <w:szCs w:val="20"/>
          <w:lang w:val="en-US"/>
        </w:rPr>
        <w:footnoteReference w:id="252"/>
      </w:r>
      <w:r w:rsidR="00762119" w:rsidRPr="00CF6765">
        <w:rPr>
          <w:rFonts w:eastAsia="Calibri"/>
          <w:sz w:val="20"/>
          <w:szCs w:val="20"/>
          <w:lang w:val="en-US"/>
        </w:rPr>
        <w:t xml:space="preserve"> </w:t>
      </w:r>
      <w:r w:rsidR="00F33B48" w:rsidRPr="00CF6765">
        <w:rPr>
          <w:rFonts w:eastAsia="Calibri"/>
          <w:sz w:val="20"/>
          <w:szCs w:val="20"/>
          <w:lang w:val="en-US"/>
        </w:rPr>
        <w:t xml:space="preserve">to ensure and to respect </w:t>
      </w:r>
      <w:r w:rsidR="00DE6950" w:rsidRPr="00CF6765">
        <w:rPr>
          <w:rFonts w:eastAsia="Calibri"/>
          <w:sz w:val="20"/>
          <w:szCs w:val="20"/>
          <w:lang w:val="en-US"/>
        </w:rPr>
        <w:t>the right</w:t>
      </w:r>
      <w:r w:rsidR="00925BAC" w:rsidRPr="00CF6765">
        <w:rPr>
          <w:rFonts w:eastAsia="Calibri"/>
          <w:sz w:val="20"/>
          <w:szCs w:val="20"/>
          <w:lang w:val="en-US"/>
        </w:rPr>
        <w:t xml:space="preserve"> to health</w:t>
      </w:r>
      <w:r w:rsidR="006D0C07" w:rsidRPr="00CF6765">
        <w:rPr>
          <w:rFonts w:eastAsia="Calibri"/>
          <w:sz w:val="20"/>
          <w:szCs w:val="20"/>
          <w:lang w:val="en-US"/>
        </w:rPr>
        <w:t xml:space="preserve">. </w:t>
      </w:r>
      <w:r w:rsidR="00F33B48" w:rsidRPr="00CF6765">
        <w:rPr>
          <w:rFonts w:eastAsia="Calibri"/>
          <w:sz w:val="20"/>
          <w:szCs w:val="20"/>
          <w:lang w:val="en-US"/>
        </w:rPr>
        <w:t>Thus,</w:t>
      </w:r>
      <w:r w:rsidR="006D0C07" w:rsidRPr="00CF6765">
        <w:rPr>
          <w:rFonts w:eastAsia="Calibri"/>
          <w:sz w:val="20"/>
          <w:szCs w:val="20"/>
          <w:lang w:val="en-US"/>
        </w:rPr>
        <w:t xml:space="preserve"> </w:t>
      </w:r>
      <w:r w:rsidR="00DE6950" w:rsidRPr="00CF6765">
        <w:rPr>
          <w:rFonts w:eastAsia="Calibri"/>
          <w:sz w:val="20"/>
          <w:szCs w:val="20"/>
          <w:lang w:val="en-US"/>
        </w:rPr>
        <w:t>the right</w:t>
      </w:r>
      <w:r w:rsidR="006D0C07" w:rsidRPr="00CF6765">
        <w:rPr>
          <w:rFonts w:eastAsia="Calibri"/>
          <w:sz w:val="20"/>
          <w:szCs w:val="20"/>
          <w:lang w:val="en-US"/>
        </w:rPr>
        <w:t xml:space="preserve"> </w:t>
      </w:r>
      <w:r w:rsidR="00F33B48" w:rsidRPr="00CF6765">
        <w:rPr>
          <w:rFonts w:eastAsia="Calibri"/>
          <w:sz w:val="20"/>
          <w:szCs w:val="20"/>
          <w:lang w:val="en-US"/>
        </w:rPr>
        <w:t xml:space="preserve">of </w:t>
      </w:r>
      <w:r w:rsidR="00690D57" w:rsidRPr="00CF6765">
        <w:rPr>
          <w:rFonts w:eastAsia="Calibri"/>
          <w:sz w:val="20"/>
          <w:szCs w:val="20"/>
          <w:lang w:val="en-US"/>
        </w:rPr>
        <w:t>access to information</w:t>
      </w:r>
      <w:r w:rsidR="006D0C07" w:rsidRPr="00CF6765">
        <w:rPr>
          <w:rFonts w:eastAsia="Calibri"/>
          <w:sz w:val="20"/>
          <w:szCs w:val="20"/>
          <w:lang w:val="en-US"/>
        </w:rPr>
        <w:t xml:space="preserve"> </w:t>
      </w:r>
      <w:r w:rsidR="00F33B48" w:rsidRPr="00CF6765">
        <w:rPr>
          <w:rFonts w:eastAsia="Calibri"/>
          <w:sz w:val="20"/>
          <w:szCs w:val="20"/>
          <w:lang w:val="en-US"/>
        </w:rPr>
        <w:t xml:space="preserve">is a guarantee in order to make the derivation of the right contemplated in </w:t>
      </w:r>
      <w:r w:rsidR="005C731C" w:rsidRPr="00CF6765">
        <w:rPr>
          <w:rFonts w:eastAsia="Calibri"/>
          <w:sz w:val="20"/>
          <w:szCs w:val="20"/>
          <w:lang w:val="en-US"/>
        </w:rPr>
        <w:t>Article</w:t>
      </w:r>
      <w:r w:rsidR="006D0C07" w:rsidRPr="00CF6765">
        <w:rPr>
          <w:rFonts w:eastAsia="Calibri"/>
          <w:sz w:val="20"/>
          <w:szCs w:val="20"/>
          <w:lang w:val="en-US"/>
        </w:rPr>
        <w:t xml:space="preserve"> 26 </w:t>
      </w:r>
      <w:r w:rsidR="00F33B48" w:rsidRPr="00CF6765">
        <w:rPr>
          <w:rFonts w:eastAsia="Calibri"/>
          <w:sz w:val="20"/>
          <w:szCs w:val="20"/>
          <w:lang w:val="en-US"/>
        </w:rPr>
        <w:t>of the Convention, with the possibility of accrediting other related rights, according to the particularities of the specific case. Consequently, and because the dispute persists in relation to specific aspects of the consent in favor of the family, the Court will now rule on: (</w:t>
      </w:r>
      <w:proofErr w:type="spellStart"/>
      <w:r w:rsidR="00F33B48" w:rsidRPr="00CF6765">
        <w:rPr>
          <w:rFonts w:eastAsia="Calibri"/>
          <w:sz w:val="20"/>
          <w:szCs w:val="20"/>
          <w:lang w:val="en-US"/>
        </w:rPr>
        <w:t>i</w:t>
      </w:r>
      <w:proofErr w:type="spellEnd"/>
      <w:r w:rsidR="00F33B48" w:rsidRPr="00CF6765">
        <w:rPr>
          <w:rFonts w:eastAsia="Calibri"/>
          <w:sz w:val="20"/>
          <w:szCs w:val="20"/>
          <w:lang w:val="en-US"/>
        </w:rPr>
        <w:t>) consent by representation or substitution, and (ii) the alleged violation</w:t>
      </w:r>
      <w:r w:rsidR="00F33B48" w:rsidRPr="00CF6765">
        <w:rPr>
          <w:rFonts w:eastAsia="Calibri"/>
          <w:sz w:val="20"/>
          <w:szCs w:val="20"/>
          <w:lang w:val="en-US" w:eastAsia="en-US"/>
        </w:rPr>
        <w:t xml:space="preserve"> </w:t>
      </w:r>
      <w:r w:rsidR="0088423A" w:rsidRPr="00CF6765">
        <w:rPr>
          <w:rFonts w:eastAsia="Calibri"/>
          <w:sz w:val="20"/>
          <w:szCs w:val="20"/>
          <w:lang w:val="en-US"/>
        </w:rPr>
        <w:t>of Article</w:t>
      </w:r>
      <w:r w:rsidR="00F33B48" w:rsidRPr="00CF6765">
        <w:rPr>
          <w:rFonts w:eastAsia="Calibri"/>
          <w:sz w:val="20"/>
          <w:szCs w:val="20"/>
          <w:lang w:val="en-US"/>
        </w:rPr>
        <w:t>s</w:t>
      </w:r>
      <w:r w:rsidR="006D0C07" w:rsidRPr="00CF6765">
        <w:rPr>
          <w:rFonts w:eastAsia="Calibri"/>
          <w:sz w:val="20"/>
          <w:szCs w:val="20"/>
          <w:lang w:val="en-US"/>
        </w:rPr>
        <w:t xml:space="preserve"> 11</w:t>
      </w:r>
      <w:r w:rsidR="00EC50FC" w:rsidRPr="00CF6765">
        <w:rPr>
          <w:rFonts w:eastAsia="Calibri"/>
          <w:sz w:val="20"/>
          <w:szCs w:val="20"/>
          <w:lang w:val="en-US"/>
        </w:rPr>
        <w:t xml:space="preserve"> and </w:t>
      </w:r>
      <w:r w:rsidR="006D0C07" w:rsidRPr="00CF6765">
        <w:rPr>
          <w:rFonts w:eastAsia="Calibri"/>
          <w:sz w:val="20"/>
          <w:szCs w:val="20"/>
          <w:lang w:val="en-US"/>
        </w:rPr>
        <w:t xml:space="preserve">7 </w:t>
      </w:r>
      <w:r w:rsidR="00690D57" w:rsidRPr="00CF6765">
        <w:rPr>
          <w:rFonts w:eastAsia="Calibri"/>
          <w:sz w:val="20"/>
          <w:szCs w:val="20"/>
          <w:lang w:val="en-US"/>
        </w:rPr>
        <w:t>to the detriment of</w:t>
      </w:r>
      <w:r w:rsidR="006D0C07" w:rsidRPr="00CF6765">
        <w:rPr>
          <w:rFonts w:eastAsia="Calibri"/>
          <w:sz w:val="20"/>
          <w:szCs w:val="20"/>
          <w:lang w:val="en-US"/>
        </w:rPr>
        <w:t xml:space="preserve"> </w:t>
      </w:r>
      <w:r w:rsidR="00F33B48" w:rsidRPr="00CF6765">
        <w:rPr>
          <w:rFonts w:eastAsia="Calibri"/>
          <w:sz w:val="20"/>
          <w:szCs w:val="20"/>
          <w:lang w:val="en-US"/>
        </w:rPr>
        <w:t>the family members.</w:t>
      </w:r>
    </w:p>
    <w:p w14:paraId="7DF6A12C" w14:textId="630A7E86" w:rsidR="006D0C07" w:rsidRPr="00CF6765" w:rsidRDefault="006D0C07" w:rsidP="00920D09">
      <w:pPr>
        <w:ind w:right="-360"/>
        <w:rPr>
          <w:rFonts w:eastAsia="Calibri"/>
          <w:sz w:val="20"/>
          <w:szCs w:val="20"/>
          <w:lang w:val="en-US" w:eastAsia="en-US"/>
        </w:rPr>
      </w:pPr>
    </w:p>
    <w:p w14:paraId="3F52C153" w14:textId="33C28A9E" w:rsidR="002570D1" w:rsidRPr="00CF6765" w:rsidRDefault="00164C05" w:rsidP="002A64C9">
      <w:pPr>
        <w:pStyle w:val="Ttulo4"/>
        <w:spacing w:before="0"/>
        <w:ind w:left="2124"/>
        <w:rPr>
          <w:rFonts w:eastAsia="Calibri"/>
          <w:b/>
          <w:lang w:val="en-US" w:eastAsia="en-US"/>
        </w:rPr>
      </w:pPr>
      <w:bookmarkStart w:id="83" w:name="_Toc47864384"/>
      <w:r w:rsidRPr="00CF6765">
        <w:rPr>
          <w:rFonts w:eastAsia="Calibri"/>
          <w:b/>
          <w:lang w:val="en-US" w:eastAsia="en-US"/>
        </w:rPr>
        <w:t>1.3.</w:t>
      </w:r>
      <w:r w:rsidR="00CE7971" w:rsidRPr="00CF6765">
        <w:rPr>
          <w:rFonts w:eastAsia="Calibri"/>
          <w:b/>
          <w:lang w:val="en-US" w:eastAsia="en-US"/>
        </w:rPr>
        <w:t>2</w:t>
      </w:r>
      <w:r w:rsidR="002570D1" w:rsidRPr="00CF6765">
        <w:rPr>
          <w:rFonts w:eastAsia="Calibri"/>
          <w:b/>
          <w:lang w:val="en-US" w:eastAsia="en-US"/>
        </w:rPr>
        <w:t xml:space="preserve"> </w:t>
      </w:r>
      <w:r w:rsidR="00F33B48" w:rsidRPr="00CF6765">
        <w:rPr>
          <w:rFonts w:eastAsia="Calibri"/>
          <w:b/>
          <w:lang w:val="en-US" w:eastAsia="en-US"/>
        </w:rPr>
        <w:t>Consent by substitution</w:t>
      </w:r>
      <w:r w:rsidR="00EC50FC" w:rsidRPr="00CF6765">
        <w:rPr>
          <w:rFonts w:eastAsia="Calibri"/>
          <w:b/>
          <w:lang w:val="en-US" w:eastAsia="en-US"/>
        </w:rPr>
        <w:t xml:space="preserve"> and </w:t>
      </w:r>
      <w:r w:rsidR="00690D57" w:rsidRPr="00CF6765">
        <w:rPr>
          <w:rFonts w:eastAsia="Calibri"/>
          <w:b/>
          <w:lang w:val="en-US" w:eastAsia="en-US"/>
        </w:rPr>
        <w:t xml:space="preserve">access to </w:t>
      </w:r>
      <w:r w:rsidR="00F33B48" w:rsidRPr="00CF6765">
        <w:rPr>
          <w:rFonts w:eastAsia="Calibri"/>
          <w:b/>
          <w:lang w:val="en-US" w:eastAsia="en-US"/>
        </w:rPr>
        <w:t>information on health-related matters by the family</w:t>
      </w:r>
      <w:bookmarkEnd w:id="83"/>
    </w:p>
    <w:p w14:paraId="530867CA" w14:textId="77777777" w:rsidR="00BC5B4D" w:rsidRPr="00CF6765" w:rsidRDefault="00BC5B4D" w:rsidP="00BC5B4D">
      <w:pPr>
        <w:ind w:right="-360"/>
        <w:rPr>
          <w:rFonts w:eastAsia="Calibri"/>
          <w:i/>
          <w:sz w:val="20"/>
          <w:szCs w:val="20"/>
          <w:lang w:val="en-US" w:eastAsia="en-US"/>
        </w:rPr>
      </w:pPr>
    </w:p>
    <w:p w14:paraId="02BA9AF1" w14:textId="44C5A6D4" w:rsidR="002570D1" w:rsidRPr="00CF6765" w:rsidRDefault="0075448B" w:rsidP="00535808">
      <w:pPr>
        <w:numPr>
          <w:ilvl w:val="0"/>
          <w:numId w:val="2"/>
        </w:numPr>
        <w:tabs>
          <w:tab w:val="left" w:pos="567"/>
          <w:tab w:val="num" w:pos="1569"/>
          <w:tab w:val="num" w:pos="12305"/>
        </w:tabs>
        <w:ind w:left="0" w:firstLine="0"/>
        <w:rPr>
          <w:rFonts w:eastAsia="Calibri"/>
          <w:b/>
          <w:i/>
          <w:lang w:val="en-US" w:eastAsia="en-US"/>
        </w:rPr>
      </w:pPr>
      <w:r w:rsidRPr="00CF6765">
        <w:rPr>
          <w:rFonts w:eastAsia="Calibri"/>
          <w:sz w:val="20"/>
          <w:szCs w:val="20"/>
          <w:lang w:val="en-US" w:eastAsia="en-US"/>
        </w:rPr>
        <w:t>Regarding the right</w:t>
      </w:r>
      <w:r w:rsidR="002570D1" w:rsidRPr="00CF6765">
        <w:rPr>
          <w:rFonts w:eastAsia="Calibri"/>
          <w:sz w:val="20"/>
          <w:szCs w:val="20"/>
          <w:lang w:val="en-US" w:eastAsia="en-US"/>
        </w:rPr>
        <w:t xml:space="preserve"> </w:t>
      </w:r>
      <w:r w:rsidR="00F33B48" w:rsidRPr="00CF6765">
        <w:rPr>
          <w:rFonts w:eastAsia="Calibri"/>
          <w:sz w:val="20"/>
          <w:szCs w:val="20"/>
          <w:lang w:val="en-US" w:eastAsia="en-US"/>
        </w:rPr>
        <w:t>to obtain</w:t>
      </w:r>
      <w:r w:rsidR="002570D1" w:rsidRPr="00CF6765">
        <w:rPr>
          <w:rFonts w:eastAsia="Calibri"/>
          <w:sz w:val="20"/>
          <w:szCs w:val="20"/>
          <w:lang w:val="en-US" w:eastAsia="en-US"/>
        </w:rPr>
        <w:t xml:space="preserve"> </w:t>
      </w:r>
      <w:r w:rsidR="003C3208" w:rsidRPr="00CF6765">
        <w:rPr>
          <w:rFonts w:eastAsia="Calibri"/>
          <w:sz w:val="20"/>
          <w:szCs w:val="20"/>
          <w:lang w:val="en-US" w:eastAsia="en-US"/>
        </w:rPr>
        <w:t>informed consent</w:t>
      </w:r>
      <w:r w:rsidR="002570D1"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2570D1" w:rsidRPr="00CF6765">
        <w:rPr>
          <w:rFonts w:eastAsia="Calibri"/>
          <w:sz w:val="20"/>
          <w:szCs w:val="20"/>
          <w:lang w:val="en-US" w:eastAsia="en-US"/>
        </w:rPr>
        <w:t xml:space="preserve"> </w:t>
      </w:r>
      <w:r w:rsidR="00756AA2" w:rsidRPr="00CF6765">
        <w:rPr>
          <w:rFonts w:eastAsia="Calibri"/>
          <w:sz w:val="20"/>
          <w:szCs w:val="20"/>
          <w:lang w:val="en-US" w:eastAsia="en-US"/>
        </w:rPr>
        <w:t>ha</w:t>
      </w:r>
      <w:r w:rsidR="00F33B48" w:rsidRPr="00CF6765">
        <w:rPr>
          <w:rFonts w:eastAsia="Calibri"/>
          <w:sz w:val="20"/>
          <w:szCs w:val="20"/>
          <w:lang w:val="en-US" w:eastAsia="en-US"/>
        </w:rPr>
        <w:t>s</w:t>
      </w:r>
      <w:r w:rsidR="00756AA2" w:rsidRPr="00CF6765">
        <w:rPr>
          <w:rFonts w:eastAsia="Calibri"/>
          <w:sz w:val="20"/>
          <w:szCs w:val="20"/>
          <w:lang w:val="en-US" w:eastAsia="en-US"/>
        </w:rPr>
        <w:t xml:space="preserve"> </w:t>
      </w:r>
      <w:r w:rsidR="00F33B48" w:rsidRPr="00CF6765">
        <w:rPr>
          <w:rFonts w:eastAsia="Calibri"/>
          <w:sz w:val="20"/>
          <w:szCs w:val="20"/>
          <w:lang w:val="en-US" w:eastAsia="en-US"/>
        </w:rPr>
        <w:t>recognized that</w:t>
      </w:r>
      <w:r w:rsidR="002570D1"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2570D1" w:rsidRPr="00CF6765">
        <w:rPr>
          <w:rFonts w:eastAsia="Calibri"/>
          <w:sz w:val="20"/>
          <w:szCs w:val="20"/>
          <w:lang w:val="en-US" w:eastAsia="en-US"/>
        </w:rPr>
        <w:t xml:space="preserve"> 13</w:t>
      </w:r>
      <w:r w:rsidR="005C731C" w:rsidRPr="00CF6765">
        <w:rPr>
          <w:rFonts w:eastAsia="Calibri"/>
          <w:sz w:val="20"/>
          <w:szCs w:val="20"/>
          <w:lang w:val="en-US" w:eastAsia="en-US"/>
        </w:rPr>
        <w:t xml:space="preserve"> of the American Convention</w:t>
      </w:r>
      <w:r w:rsidR="002570D1" w:rsidRPr="00CF6765">
        <w:rPr>
          <w:rFonts w:eastAsia="Calibri"/>
          <w:sz w:val="20"/>
          <w:szCs w:val="20"/>
          <w:lang w:val="en-US" w:eastAsia="en-US"/>
        </w:rPr>
        <w:t xml:space="preserve"> inclu</w:t>
      </w:r>
      <w:r w:rsidR="00F33B48" w:rsidRPr="00CF6765">
        <w:rPr>
          <w:rFonts w:eastAsia="Calibri"/>
          <w:sz w:val="20"/>
          <w:szCs w:val="20"/>
          <w:lang w:val="en-US" w:eastAsia="en-US"/>
        </w:rPr>
        <w:t>des the f</w:t>
      </w:r>
      <w:r w:rsidR="00F33B48" w:rsidRPr="00CF6765">
        <w:rPr>
          <w:spacing w:val="-3"/>
          <w:sz w:val="20"/>
          <w:szCs w:val="20"/>
          <w:lang w:val="en-US"/>
        </w:rPr>
        <w:t>reedom to seek, receive, and impart information and ideas of all kinds,</w:t>
      </w:r>
      <w:r w:rsidR="002570D1" w:rsidRPr="00CF6765">
        <w:rPr>
          <w:rFonts w:eastAsia="Calibri"/>
          <w:sz w:val="20"/>
          <w:szCs w:val="20"/>
          <w:vertAlign w:val="superscript"/>
          <w:lang w:val="en-US" w:eastAsia="en-US"/>
        </w:rPr>
        <w:footnoteReference w:id="253"/>
      </w:r>
      <w:r w:rsidR="00F33B48" w:rsidRPr="00CF6765">
        <w:rPr>
          <w:rFonts w:eastAsia="Calibri"/>
          <w:sz w:val="20"/>
          <w:szCs w:val="20"/>
          <w:lang w:val="en-US" w:eastAsia="en-US"/>
        </w:rPr>
        <w:t xml:space="preserve"> and this protects</w:t>
      </w:r>
      <w:r w:rsidR="002570D1" w:rsidRPr="00CF6765">
        <w:rPr>
          <w:rFonts w:eastAsia="Calibri"/>
          <w:sz w:val="20"/>
          <w:szCs w:val="20"/>
          <w:lang w:val="en-US" w:eastAsia="en-US"/>
        </w:rPr>
        <w:t xml:space="preserve"> </w:t>
      </w:r>
      <w:r w:rsidR="00DE6950" w:rsidRPr="00CF6765">
        <w:rPr>
          <w:rFonts w:eastAsia="Calibri"/>
          <w:sz w:val="20"/>
          <w:szCs w:val="20"/>
          <w:lang w:val="en-US" w:eastAsia="en-US"/>
        </w:rPr>
        <w:t>the right</w:t>
      </w:r>
      <w:r w:rsidR="002570D1" w:rsidRPr="00CF6765">
        <w:rPr>
          <w:rFonts w:eastAsia="Calibri"/>
          <w:sz w:val="20"/>
          <w:szCs w:val="20"/>
          <w:lang w:val="en-US" w:eastAsia="en-US"/>
        </w:rPr>
        <w:t xml:space="preserve"> </w:t>
      </w:r>
      <w:r w:rsidR="00F33B48" w:rsidRPr="00CF6765">
        <w:rPr>
          <w:rFonts w:eastAsia="Calibri"/>
          <w:sz w:val="20"/>
          <w:szCs w:val="20"/>
          <w:lang w:val="en-US" w:eastAsia="en-US"/>
        </w:rPr>
        <w:t>of</w:t>
      </w:r>
      <w:r w:rsidR="002570D1" w:rsidRPr="00CF6765">
        <w:rPr>
          <w:rFonts w:eastAsia="Calibri"/>
          <w:sz w:val="20"/>
          <w:szCs w:val="20"/>
          <w:lang w:val="en-US" w:eastAsia="en-US"/>
        </w:rPr>
        <w:t xml:space="preserve"> </w:t>
      </w:r>
      <w:r w:rsidR="00690D57" w:rsidRPr="00CF6765">
        <w:rPr>
          <w:rFonts w:eastAsia="Calibri"/>
          <w:sz w:val="20"/>
          <w:szCs w:val="20"/>
          <w:lang w:val="en-US" w:eastAsia="en-US"/>
        </w:rPr>
        <w:t>access to information</w:t>
      </w:r>
      <w:r w:rsidR="002570D1" w:rsidRPr="00CF6765">
        <w:rPr>
          <w:rFonts w:eastAsia="Calibri"/>
          <w:sz w:val="20"/>
          <w:szCs w:val="20"/>
          <w:lang w:val="en-US" w:eastAsia="en-US"/>
        </w:rPr>
        <w:t>, inclu</w:t>
      </w:r>
      <w:r w:rsidR="00F33B48" w:rsidRPr="00CF6765">
        <w:rPr>
          <w:rFonts w:eastAsia="Calibri"/>
          <w:sz w:val="20"/>
          <w:szCs w:val="20"/>
          <w:lang w:val="en-US" w:eastAsia="en-US"/>
        </w:rPr>
        <w:t>ding information on the health of an individual.</w:t>
      </w:r>
      <w:r w:rsidR="002570D1" w:rsidRPr="00CF6765">
        <w:rPr>
          <w:rFonts w:eastAsia="Calibri"/>
          <w:sz w:val="20"/>
          <w:szCs w:val="20"/>
          <w:vertAlign w:val="superscript"/>
          <w:lang w:val="en-US" w:eastAsia="en-US"/>
        </w:rPr>
        <w:footnoteReference w:id="254"/>
      </w:r>
      <w:r w:rsidR="002570D1" w:rsidRPr="00CF6765">
        <w:rPr>
          <w:rFonts w:eastAsia="Calibri"/>
          <w:sz w:val="20"/>
          <w:szCs w:val="20"/>
          <w:lang w:val="en-US" w:eastAsia="en-US"/>
        </w:rPr>
        <w:t xml:space="preserve"> </w:t>
      </w:r>
      <w:r w:rsidR="0069615D" w:rsidRPr="00CF6765">
        <w:rPr>
          <w:rFonts w:eastAsia="Calibri"/>
          <w:sz w:val="20"/>
          <w:szCs w:val="20"/>
          <w:lang w:val="en-US" w:eastAsia="en-US"/>
        </w:rPr>
        <w:t>It has established that</w:t>
      </w:r>
      <w:r w:rsidR="002570D1" w:rsidRPr="00CF6765">
        <w:rPr>
          <w:rFonts w:eastAsia="Calibri"/>
          <w:sz w:val="20"/>
          <w:szCs w:val="20"/>
          <w:lang w:val="en-US" w:eastAsia="en-US"/>
        </w:rPr>
        <w:t xml:space="preserve"> </w:t>
      </w:r>
      <w:r w:rsidR="003C3208" w:rsidRPr="00CF6765">
        <w:rPr>
          <w:rFonts w:eastAsia="Calibri"/>
          <w:sz w:val="20"/>
          <w:szCs w:val="20"/>
          <w:lang w:val="en-US" w:eastAsia="en-US"/>
        </w:rPr>
        <w:t>informed consent</w:t>
      </w:r>
      <w:r w:rsidR="002570D1" w:rsidRPr="00CF6765">
        <w:rPr>
          <w:rFonts w:eastAsia="Calibri"/>
          <w:sz w:val="20"/>
          <w:szCs w:val="20"/>
          <w:lang w:val="en-US" w:eastAsia="en-US"/>
        </w:rPr>
        <w:t xml:space="preserve"> consist</w:t>
      </w:r>
      <w:r w:rsidR="0069615D" w:rsidRPr="00CF6765">
        <w:rPr>
          <w:rFonts w:eastAsia="Calibri"/>
          <w:sz w:val="20"/>
          <w:szCs w:val="20"/>
          <w:lang w:val="en-US" w:eastAsia="en-US"/>
        </w:rPr>
        <w:t>s</w:t>
      </w:r>
      <w:r w:rsidR="000B641A" w:rsidRPr="00CF6765">
        <w:rPr>
          <w:rFonts w:eastAsia="Calibri"/>
          <w:sz w:val="20"/>
          <w:szCs w:val="20"/>
          <w:lang w:val="en-US" w:eastAsia="en-US"/>
        </w:rPr>
        <w:t xml:space="preserve"> of</w:t>
      </w:r>
      <w:r w:rsidR="002570D1" w:rsidRPr="00CF6765">
        <w:rPr>
          <w:rFonts w:eastAsia="Calibri"/>
          <w:sz w:val="20"/>
          <w:szCs w:val="20"/>
          <w:lang w:val="en-US" w:eastAsia="en-US"/>
        </w:rPr>
        <w:t xml:space="preserve"> “</w:t>
      </w:r>
      <w:r w:rsidR="00535808" w:rsidRPr="00CF6765">
        <w:rPr>
          <w:rFonts w:cs="Arial"/>
          <w:sz w:val="20"/>
          <w:szCs w:val="20"/>
          <w:lang w:val="en-US"/>
        </w:rPr>
        <w:t>a prior decision to accept or to submit to a medical act in the broadest sense, which has been freely obtained – in other words, without threats or coercion, improper induction or incentives –</w:t>
      </w:r>
      <w:r w:rsidR="000B641A" w:rsidRPr="00CF6765">
        <w:rPr>
          <w:rFonts w:cs="Arial"/>
          <w:sz w:val="20"/>
          <w:szCs w:val="20"/>
          <w:lang w:val="en-US"/>
        </w:rPr>
        <w:t xml:space="preserve"> </w:t>
      </w:r>
      <w:r w:rsidR="00535808" w:rsidRPr="00CF6765">
        <w:rPr>
          <w:rFonts w:cs="Arial"/>
          <w:sz w:val="20"/>
          <w:szCs w:val="20"/>
          <w:lang w:val="en-US"/>
        </w:rPr>
        <w:t>and given after obtaining adequate, complete, reliable, comprehensible and accessible information, provided that this information has really been understood, which would allow the individual to give their full consent.” This rule consists not only in an act of acceptance, but also in “the result</w:t>
      </w:r>
      <w:r w:rsidR="000B641A" w:rsidRPr="00CF6765">
        <w:rPr>
          <w:rFonts w:cs="Arial"/>
          <w:sz w:val="20"/>
          <w:szCs w:val="20"/>
          <w:lang w:val="en-US"/>
        </w:rPr>
        <w:t xml:space="preserve">ing </w:t>
      </w:r>
      <w:r w:rsidR="00535808" w:rsidRPr="00CF6765">
        <w:rPr>
          <w:rFonts w:cs="Arial"/>
          <w:sz w:val="20"/>
          <w:szCs w:val="20"/>
          <w:lang w:val="en-US"/>
        </w:rPr>
        <w:t xml:space="preserve">process in which the following </w:t>
      </w:r>
      <w:r w:rsidR="0090740B" w:rsidRPr="00CF6765">
        <w:rPr>
          <w:rFonts w:cs="Arial"/>
          <w:sz w:val="20"/>
          <w:szCs w:val="20"/>
          <w:lang w:val="en-US"/>
        </w:rPr>
        <w:t>elements must</w:t>
      </w:r>
      <w:r w:rsidR="00535808" w:rsidRPr="00CF6765">
        <w:rPr>
          <w:rFonts w:cs="Arial"/>
          <w:sz w:val="20"/>
          <w:szCs w:val="20"/>
          <w:lang w:val="en-US"/>
        </w:rPr>
        <w:t xml:space="preserve"> be present for it to be considered valid: the consent must be prior, free, full and informed.”</w:t>
      </w:r>
      <w:r w:rsidR="002570D1" w:rsidRPr="00CF6765">
        <w:rPr>
          <w:rFonts w:eastAsia="Calibri"/>
          <w:sz w:val="20"/>
          <w:szCs w:val="20"/>
          <w:vertAlign w:val="superscript"/>
          <w:lang w:val="en-US" w:eastAsia="en-US"/>
        </w:rPr>
        <w:footnoteReference w:id="255"/>
      </w:r>
      <w:r w:rsidR="00535808" w:rsidRPr="00CF6765">
        <w:rPr>
          <w:rFonts w:eastAsia="Calibri"/>
          <w:sz w:val="20"/>
          <w:szCs w:val="20"/>
          <w:lang w:val="en-US" w:eastAsia="en-US"/>
        </w:rPr>
        <w:t xml:space="preserve"> In this regard, as a general rule, consent is personal, because it should be provided by the person who will undergo the procedure.</w:t>
      </w:r>
      <w:r w:rsidR="006B4745" w:rsidRPr="00CF6765">
        <w:rPr>
          <w:rStyle w:val="Refdenotaalpie"/>
          <w:rFonts w:eastAsia="Calibri"/>
          <w:sz w:val="20"/>
          <w:szCs w:val="20"/>
          <w:lang w:val="en-US"/>
        </w:rPr>
        <w:footnoteReference w:id="256"/>
      </w:r>
      <w:r w:rsidR="00E03C26" w:rsidRPr="00CF6765">
        <w:rPr>
          <w:rFonts w:eastAsia="Calibri"/>
          <w:sz w:val="20"/>
          <w:szCs w:val="20"/>
          <w:lang w:val="en-US"/>
        </w:rPr>
        <w:t xml:space="preserve">  </w:t>
      </w:r>
    </w:p>
    <w:p w14:paraId="4BD6C799" w14:textId="77777777" w:rsidR="00756AA2" w:rsidRPr="00CF6765" w:rsidRDefault="00756AA2" w:rsidP="0059117C">
      <w:pPr>
        <w:tabs>
          <w:tab w:val="left" w:pos="567"/>
        </w:tabs>
        <w:rPr>
          <w:rFonts w:eastAsia="Calibri"/>
          <w:b/>
          <w:i/>
          <w:lang w:val="en-US" w:eastAsia="en-US"/>
        </w:rPr>
      </w:pPr>
    </w:p>
    <w:p w14:paraId="5B702AB4" w14:textId="2167FEAB" w:rsidR="002570D1" w:rsidRPr="00CF6765" w:rsidRDefault="005C731C"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Court</w:t>
      </w:r>
      <w:r w:rsidR="002570D1" w:rsidRPr="00CF6765">
        <w:rPr>
          <w:rFonts w:eastAsia="Calibri"/>
          <w:sz w:val="20"/>
          <w:szCs w:val="20"/>
          <w:lang w:val="en-US" w:eastAsia="en-US"/>
        </w:rPr>
        <w:t xml:space="preserve"> </w:t>
      </w:r>
      <w:r w:rsidR="004A6FC7" w:rsidRPr="00CF6765">
        <w:rPr>
          <w:rFonts w:eastAsia="Calibri"/>
          <w:sz w:val="20"/>
          <w:szCs w:val="20"/>
          <w:lang w:val="en-US" w:eastAsia="en-US"/>
        </w:rPr>
        <w:t>ha</w:t>
      </w:r>
      <w:r w:rsidR="00757422" w:rsidRPr="00CF6765">
        <w:rPr>
          <w:rFonts w:eastAsia="Calibri"/>
          <w:sz w:val="20"/>
          <w:szCs w:val="20"/>
          <w:lang w:val="en-US" w:eastAsia="en-US"/>
        </w:rPr>
        <w:t>s also</w:t>
      </w:r>
      <w:r w:rsidR="004A6FC7" w:rsidRPr="00CF6765">
        <w:rPr>
          <w:rFonts w:eastAsia="Calibri"/>
          <w:sz w:val="20"/>
          <w:szCs w:val="20"/>
          <w:lang w:val="en-US" w:eastAsia="en-US"/>
        </w:rPr>
        <w:t xml:space="preserve"> </w:t>
      </w:r>
      <w:r w:rsidR="00757422" w:rsidRPr="00CF6765">
        <w:rPr>
          <w:rFonts w:eastAsia="Calibri"/>
          <w:sz w:val="20"/>
          <w:szCs w:val="20"/>
          <w:lang w:val="en-US" w:eastAsia="en-US"/>
        </w:rPr>
        <w:t>established that,</w:t>
      </w:r>
      <w:r w:rsidR="00757422" w:rsidRPr="00CF6765">
        <w:rPr>
          <w:rFonts w:cs="Arial"/>
          <w:sz w:val="20"/>
          <w:szCs w:val="20"/>
          <w:lang w:val="en-US"/>
        </w:rPr>
        <w:t xml:space="preserve"> at the very least, health</w:t>
      </w:r>
      <w:r w:rsidR="00307EF1" w:rsidRPr="00CF6765">
        <w:rPr>
          <w:rFonts w:cs="Arial"/>
          <w:sz w:val="20"/>
          <w:szCs w:val="20"/>
          <w:lang w:val="en-US"/>
        </w:rPr>
        <w:t>-</w:t>
      </w:r>
      <w:r w:rsidR="00757422" w:rsidRPr="00CF6765">
        <w:rPr>
          <w:rFonts w:cs="Arial"/>
          <w:sz w:val="20"/>
          <w:szCs w:val="20"/>
          <w:lang w:val="en-US"/>
        </w:rPr>
        <w:t>care providers should offer the following information: (</w:t>
      </w:r>
      <w:proofErr w:type="spellStart"/>
      <w:r w:rsidR="00757422" w:rsidRPr="00CF6765">
        <w:rPr>
          <w:rFonts w:cs="Arial"/>
          <w:sz w:val="20"/>
          <w:szCs w:val="20"/>
          <w:lang w:val="en-US"/>
        </w:rPr>
        <w:t>i</w:t>
      </w:r>
      <w:proofErr w:type="spellEnd"/>
      <w:r w:rsidR="00757422" w:rsidRPr="00CF6765">
        <w:rPr>
          <w:rFonts w:cs="Arial"/>
          <w:sz w:val="20"/>
          <w:szCs w:val="20"/>
          <w:lang w:val="en-US"/>
        </w:rPr>
        <w:t>) an evaluation of the diagnosis; (ii) the purpose, method, probable duration, and expected benefits and risks of the proposed treatment; (iii) the possible adverse effects of the proposed treatment; (iv) treatment alternatives, including those that are less invasive, together with the possible pain or discomfort, risks, benefits and secondary effects of the alternative treatments proposed; (v) the consequences of the treatment, and (vi) what may occur before, during and after the treatme</w:t>
      </w:r>
      <w:r w:rsidR="00757422" w:rsidRPr="00CF6765">
        <w:rPr>
          <w:rFonts w:eastAsia="Calibri"/>
          <w:sz w:val="20"/>
          <w:szCs w:val="20"/>
          <w:lang w:val="en-US" w:eastAsia="en-US"/>
        </w:rPr>
        <w:t>nt.</w:t>
      </w:r>
      <w:r w:rsidR="002570D1" w:rsidRPr="00CF6765">
        <w:rPr>
          <w:rFonts w:eastAsia="Calibri"/>
          <w:sz w:val="20"/>
          <w:szCs w:val="20"/>
          <w:vertAlign w:val="superscript"/>
          <w:lang w:val="en-US" w:eastAsia="en-US"/>
        </w:rPr>
        <w:footnoteReference w:id="257"/>
      </w:r>
      <w:r w:rsidR="002570D1" w:rsidRPr="00CF6765">
        <w:rPr>
          <w:rFonts w:eastAsia="Calibri"/>
          <w:sz w:val="20"/>
          <w:szCs w:val="20"/>
          <w:lang w:val="en-US" w:eastAsia="en-US"/>
        </w:rPr>
        <w:t xml:space="preserve"> </w:t>
      </w:r>
    </w:p>
    <w:p w14:paraId="6BA3280A" w14:textId="77777777" w:rsidR="00757422" w:rsidRPr="00CF6765" w:rsidRDefault="00757422" w:rsidP="00757422">
      <w:pPr>
        <w:tabs>
          <w:tab w:val="left" w:pos="567"/>
          <w:tab w:val="num" w:pos="12305"/>
        </w:tabs>
        <w:rPr>
          <w:rFonts w:eastAsia="Calibri"/>
          <w:sz w:val="20"/>
          <w:szCs w:val="20"/>
          <w:lang w:val="en-US" w:eastAsia="en-US"/>
        </w:rPr>
      </w:pPr>
    </w:p>
    <w:p w14:paraId="79231766" w14:textId="55344951" w:rsidR="006D78F3" w:rsidRPr="00CF6765" w:rsidRDefault="00757422" w:rsidP="0059117C">
      <w:pPr>
        <w:numPr>
          <w:ilvl w:val="0"/>
          <w:numId w:val="2"/>
        </w:numPr>
        <w:tabs>
          <w:tab w:val="left" w:pos="567"/>
          <w:tab w:val="num" w:pos="1569"/>
          <w:tab w:val="num" w:pos="12305"/>
        </w:tabs>
        <w:ind w:left="0" w:firstLine="0"/>
        <w:rPr>
          <w:rFonts w:eastAsiaTheme="minorHAnsi"/>
          <w:sz w:val="20"/>
          <w:szCs w:val="20"/>
          <w:lang w:val="en-US" w:eastAsia="en-US"/>
        </w:rPr>
      </w:pPr>
      <w:r w:rsidRPr="00CF6765">
        <w:rPr>
          <w:rFonts w:eastAsia="MS Mincho"/>
          <w:sz w:val="20"/>
          <w:szCs w:val="20"/>
          <w:lang w:val="en-US" w:eastAsia="en-US" w:bidi="en-US"/>
        </w:rPr>
        <w:t>In this case</w:t>
      </w:r>
      <w:r w:rsidR="002570D1" w:rsidRPr="00CF6765">
        <w:rPr>
          <w:rFonts w:eastAsia="MS Mincho"/>
          <w:sz w:val="20"/>
          <w:szCs w:val="20"/>
          <w:lang w:val="en-US" w:eastAsia="en-US" w:bidi="en-US"/>
        </w:rPr>
        <w:t xml:space="preserve">, </w:t>
      </w:r>
      <w:r w:rsidR="005C731C" w:rsidRPr="00CF6765">
        <w:rPr>
          <w:rFonts w:eastAsia="MS Mincho"/>
          <w:sz w:val="20"/>
          <w:szCs w:val="20"/>
          <w:lang w:val="en-US" w:eastAsia="en-US" w:bidi="en-US"/>
        </w:rPr>
        <w:t>the Court</w:t>
      </w:r>
      <w:r w:rsidR="002570D1" w:rsidRPr="00CF6765">
        <w:rPr>
          <w:rFonts w:eastAsia="MS Mincho"/>
          <w:sz w:val="20"/>
          <w:szCs w:val="20"/>
          <w:lang w:val="en-US" w:eastAsia="en-US" w:bidi="en-US"/>
        </w:rPr>
        <w:t xml:space="preserve"> rec</w:t>
      </w:r>
      <w:r w:rsidRPr="00CF6765">
        <w:rPr>
          <w:rFonts w:eastAsia="MS Mincho"/>
          <w:sz w:val="20"/>
          <w:szCs w:val="20"/>
          <w:lang w:val="en-US" w:eastAsia="en-US" w:bidi="en-US"/>
        </w:rPr>
        <w:t>alls that the facts that relate to the lack of informed consent by the family are those that occurred in relation to the surgical procedure performed on</w:t>
      </w:r>
      <w:r w:rsidR="009339F5" w:rsidRPr="00CF6765">
        <w:rPr>
          <w:rFonts w:eastAsia="MS Mincho"/>
          <w:sz w:val="20"/>
          <w:szCs w:val="20"/>
          <w:lang w:val="en-US" w:eastAsia="en-US" w:bidi="en-US"/>
        </w:rPr>
        <w:t xml:space="preserve"> Mr. Poblete</w:t>
      </w:r>
      <w:r w:rsidR="002570D1" w:rsidRPr="00CF6765">
        <w:rPr>
          <w:rFonts w:eastAsia="MS Mincho"/>
          <w:sz w:val="20"/>
          <w:szCs w:val="20"/>
          <w:lang w:val="en-US" w:eastAsia="en-US" w:bidi="en-US"/>
        </w:rPr>
        <w:t xml:space="preserve"> </w:t>
      </w:r>
      <w:proofErr w:type="spellStart"/>
      <w:r w:rsidR="002570D1" w:rsidRPr="00CF6765">
        <w:rPr>
          <w:rFonts w:eastAsia="MS Mincho"/>
          <w:sz w:val="20"/>
          <w:szCs w:val="20"/>
          <w:lang w:val="en-US" w:eastAsia="en-US" w:bidi="en-US"/>
        </w:rPr>
        <w:t>Vilches</w:t>
      </w:r>
      <w:proofErr w:type="spellEnd"/>
      <w:r w:rsidR="002570D1" w:rsidRPr="00CF6765">
        <w:rPr>
          <w:rFonts w:eastAsia="MS Mincho"/>
          <w:sz w:val="20"/>
          <w:szCs w:val="20"/>
          <w:lang w:val="en-US" w:eastAsia="en-US" w:bidi="en-US"/>
        </w:rPr>
        <w:t xml:space="preserve"> </w:t>
      </w:r>
      <w:r w:rsidRPr="00CF6765">
        <w:rPr>
          <w:rFonts w:eastAsia="MS Mincho"/>
          <w:sz w:val="20"/>
          <w:szCs w:val="20"/>
          <w:lang w:val="en-US" w:eastAsia="en-US" w:bidi="en-US"/>
        </w:rPr>
        <w:lastRenderedPageBreak/>
        <w:t>during his</w:t>
      </w:r>
      <w:r w:rsidR="008A2242" w:rsidRPr="00CF6765">
        <w:rPr>
          <w:rFonts w:eastAsia="MS Mincho"/>
          <w:sz w:val="20"/>
          <w:szCs w:val="20"/>
          <w:lang w:val="en-US" w:eastAsia="en-US" w:bidi="en-US"/>
        </w:rPr>
        <w:t xml:space="preserve"> </w:t>
      </w:r>
      <w:r w:rsidRPr="00CF6765">
        <w:rPr>
          <w:rFonts w:eastAsia="MS Mincho"/>
          <w:sz w:val="20"/>
          <w:szCs w:val="20"/>
          <w:lang w:val="en-US" w:eastAsia="en-US" w:bidi="en-US"/>
        </w:rPr>
        <w:t>f</w:t>
      </w:r>
      <w:r w:rsidR="00B06735" w:rsidRPr="00CF6765">
        <w:rPr>
          <w:rFonts w:eastAsia="MS Mincho"/>
          <w:sz w:val="20"/>
          <w:szCs w:val="20"/>
          <w:lang w:val="en-US" w:eastAsia="en-US" w:bidi="en-US"/>
        </w:rPr>
        <w:t>irst admission</w:t>
      </w:r>
      <w:r w:rsidR="004A6FC7" w:rsidRPr="00CF6765">
        <w:rPr>
          <w:rFonts w:eastAsia="MS Mincho"/>
          <w:sz w:val="20"/>
          <w:szCs w:val="20"/>
          <w:lang w:val="en-US" w:eastAsia="en-US" w:bidi="en-US"/>
        </w:rPr>
        <w:t xml:space="preserve">. </w:t>
      </w:r>
      <w:r w:rsidRPr="00CF6765">
        <w:rPr>
          <w:rFonts w:eastAsia="MS Mincho"/>
          <w:sz w:val="20"/>
          <w:szCs w:val="20"/>
          <w:lang w:val="en-US" w:eastAsia="en-US" w:bidi="en-US"/>
        </w:rPr>
        <w:t xml:space="preserve">However, with regard to the </w:t>
      </w:r>
      <w:r w:rsidR="00B969DD" w:rsidRPr="00CF6765">
        <w:rPr>
          <w:rFonts w:eastAsia="MS Mincho"/>
          <w:sz w:val="20"/>
          <w:szCs w:val="20"/>
          <w:lang w:val="en-US" w:eastAsia="en-US" w:bidi="en-US"/>
        </w:rPr>
        <w:t>second admission</w:t>
      </w:r>
      <w:r w:rsidR="006B4745" w:rsidRPr="00CF6765">
        <w:rPr>
          <w:rFonts w:eastAsia="MS Mincho"/>
          <w:sz w:val="20"/>
          <w:szCs w:val="20"/>
          <w:lang w:val="en-US" w:eastAsia="en-US" w:bidi="en-US"/>
        </w:rPr>
        <w:t>,</w:t>
      </w:r>
      <w:r w:rsidRPr="00CF6765">
        <w:rPr>
          <w:rFonts w:eastAsia="MS Mincho"/>
          <w:sz w:val="20"/>
          <w:szCs w:val="20"/>
          <w:lang w:val="en-US" w:eastAsia="en-US" w:bidi="en-US"/>
        </w:rPr>
        <w:t xml:space="preserve"> the facts relate to aspects of access </w:t>
      </w:r>
      <w:r w:rsidR="00690D57" w:rsidRPr="00CF6765">
        <w:rPr>
          <w:rFonts w:eastAsia="MS Mincho"/>
          <w:sz w:val="20"/>
          <w:szCs w:val="20"/>
          <w:lang w:val="en-US" w:eastAsia="en-US" w:bidi="en-US"/>
        </w:rPr>
        <w:t>to information</w:t>
      </w:r>
      <w:r w:rsidR="006B4745" w:rsidRPr="00CF6765">
        <w:rPr>
          <w:rFonts w:eastAsia="MS Mincho"/>
          <w:sz w:val="20"/>
          <w:szCs w:val="20"/>
          <w:lang w:val="en-US" w:eastAsia="en-US" w:bidi="en-US"/>
        </w:rPr>
        <w:t xml:space="preserve"> </w:t>
      </w:r>
      <w:r w:rsidRPr="00CF6765">
        <w:rPr>
          <w:rFonts w:eastAsia="MS Mincho"/>
          <w:sz w:val="20"/>
          <w:szCs w:val="20"/>
          <w:lang w:val="en-US" w:eastAsia="en-US" w:bidi="en-US"/>
        </w:rPr>
        <w:t>by the family</w:t>
      </w:r>
      <w:r w:rsidR="006B4745" w:rsidRPr="00CF6765">
        <w:rPr>
          <w:rFonts w:eastAsia="MS Mincho"/>
          <w:sz w:val="20"/>
          <w:szCs w:val="20"/>
          <w:lang w:val="en-US" w:eastAsia="en-US" w:bidi="en-US"/>
        </w:rPr>
        <w:t xml:space="preserve"> </w:t>
      </w:r>
      <w:r w:rsidR="004A6FC7" w:rsidRPr="00CF6765">
        <w:rPr>
          <w:rFonts w:eastAsia="MS Mincho"/>
          <w:sz w:val="20"/>
          <w:szCs w:val="20"/>
          <w:lang w:val="en-US" w:eastAsia="en-US" w:bidi="en-US"/>
        </w:rPr>
        <w:t>(</w:t>
      </w:r>
      <w:r w:rsidR="003B52C8" w:rsidRPr="00CF6765">
        <w:rPr>
          <w:rFonts w:eastAsia="MS Mincho"/>
          <w:i/>
          <w:sz w:val="20"/>
          <w:szCs w:val="20"/>
          <w:lang w:val="en-US" w:eastAsia="en-US" w:bidi="en-US"/>
        </w:rPr>
        <w:t>infra</w:t>
      </w:r>
      <w:r w:rsidR="004A6FC7" w:rsidRPr="00CF6765">
        <w:rPr>
          <w:rFonts w:eastAsia="MS Mincho"/>
          <w:i/>
          <w:sz w:val="20"/>
          <w:szCs w:val="20"/>
          <w:lang w:val="en-US" w:eastAsia="en-US" w:bidi="en-US"/>
        </w:rPr>
        <w:t xml:space="preserve"> </w:t>
      </w:r>
      <w:r w:rsidR="00EC50FC" w:rsidRPr="00CF6765">
        <w:rPr>
          <w:rFonts w:eastAsia="MS Mincho"/>
          <w:sz w:val="20"/>
          <w:szCs w:val="20"/>
          <w:lang w:val="en-US" w:eastAsia="en-US" w:bidi="en-US"/>
        </w:rPr>
        <w:t>para.</w:t>
      </w:r>
      <w:r w:rsidR="004A6FC7" w:rsidRPr="00CF6765">
        <w:rPr>
          <w:rFonts w:eastAsia="MS Mincho"/>
          <w:sz w:val="20"/>
          <w:szCs w:val="20"/>
          <w:lang w:val="en-US" w:eastAsia="en-US" w:bidi="en-US"/>
        </w:rPr>
        <w:t xml:space="preserve"> </w:t>
      </w:r>
      <w:r w:rsidR="006B4745" w:rsidRPr="00CF6765">
        <w:rPr>
          <w:rFonts w:eastAsia="MS Mincho"/>
          <w:sz w:val="20"/>
          <w:szCs w:val="20"/>
          <w:lang w:val="en-US" w:eastAsia="en-US" w:bidi="en-US"/>
        </w:rPr>
        <w:t>173</w:t>
      </w:r>
      <w:r w:rsidR="004A6FC7" w:rsidRPr="00CF6765">
        <w:rPr>
          <w:rFonts w:eastAsia="MS Mincho"/>
          <w:sz w:val="20"/>
          <w:szCs w:val="20"/>
          <w:lang w:val="en-US" w:eastAsia="en-US" w:bidi="en-US"/>
        </w:rPr>
        <w:t>)</w:t>
      </w:r>
      <w:r w:rsidR="002570D1" w:rsidRPr="00CF6765">
        <w:rPr>
          <w:rFonts w:eastAsia="MS Mincho"/>
          <w:sz w:val="20"/>
          <w:szCs w:val="20"/>
          <w:lang w:val="en-US" w:eastAsia="en-US" w:bidi="en-US"/>
        </w:rPr>
        <w:t xml:space="preserve">. </w:t>
      </w:r>
    </w:p>
    <w:p w14:paraId="5245A65B" w14:textId="77777777" w:rsidR="006D78F3" w:rsidRPr="00CF6765" w:rsidRDefault="006D78F3" w:rsidP="0059117C">
      <w:pPr>
        <w:tabs>
          <w:tab w:val="left" w:pos="567"/>
        </w:tabs>
        <w:rPr>
          <w:rFonts w:eastAsiaTheme="minorHAnsi"/>
          <w:sz w:val="20"/>
          <w:szCs w:val="20"/>
          <w:lang w:val="en-US" w:eastAsia="en-US"/>
        </w:rPr>
      </w:pPr>
    </w:p>
    <w:p w14:paraId="550BC61A" w14:textId="64D58D49" w:rsidR="002570D1" w:rsidRPr="00CF6765" w:rsidRDefault="00757422" w:rsidP="00757422">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Theme="minorHAnsi"/>
          <w:sz w:val="20"/>
          <w:szCs w:val="20"/>
          <w:lang w:val="en-US" w:eastAsia="en-US"/>
        </w:rPr>
        <w:t>During his</w:t>
      </w:r>
      <w:r w:rsidR="002570D1" w:rsidRPr="00CF6765">
        <w:rPr>
          <w:rFonts w:eastAsia="MS Mincho"/>
          <w:sz w:val="20"/>
          <w:szCs w:val="20"/>
          <w:lang w:val="en-US" w:eastAsia="en-US" w:bidi="en-US"/>
        </w:rPr>
        <w:t xml:space="preserve"> </w:t>
      </w:r>
      <w:r w:rsidRPr="00CF6765">
        <w:rPr>
          <w:rFonts w:eastAsia="MS Mincho"/>
          <w:sz w:val="20"/>
          <w:szCs w:val="20"/>
          <w:lang w:val="en-US" w:eastAsia="en-US" w:bidi="en-US"/>
        </w:rPr>
        <w:t>f</w:t>
      </w:r>
      <w:r w:rsidR="00B06735" w:rsidRPr="00CF6765">
        <w:rPr>
          <w:rFonts w:eastAsia="MS Mincho"/>
          <w:sz w:val="20"/>
          <w:szCs w:val="20"/>
          <w:lang w:val="en-US" w:eastAsia="en-US" w:bidi="en-US"/>
        </w:rPr>
        <w:t>irst admission</w:t>
      </w:r>
      <w:r w:rsidR="002570D1" w:rsidRPr="00CF6765">
        <w:rPr>
          <w:rFonts w:eastAsia="MS Mincho"/>
          <w:sz w:val="20"/>
          <w:szCs w:val="20"/>
          <w:lang w:val="en-US" w:eastAsia="en-US" w:bidi="en-US"/>
        </w:rPr>
        <w:t xml:space="preserve">, </w:t>
      </w:r>
      <w:r w:rsidR="00D2168F" w:rsidRPr="00CF6765">
        <w:rPr>
          <w:rFonts w:eastAsia="MS Mincho"/>
          <w:sz w:val="20"/>
          <w:szCs w:val="20"/>
          <w:lang w:val="en-US" w:eastAsia="en-US" w:bidi="en-US"/>
        </w:rPr>
        <w:t>Mr. Poblete</w:t>
      </w:r>
      <w:r w:rsidR="002570D1" w:rsidRPr="00CF6765">
        <w:rPr>
          <w:rFonts w:eastAsia="MS Mincho"/>
          <w:sz w:val="20"/>
          <w:szCs w:val="20"/>
          <w:lang w:val="en-US" w:eastAsia="en-US" w:bidi="en-US"/>
        </w:rPr>
        <w:t xml:space="preserve"> </w:t>
      </w:r>
      <w:proofErr w:type="spellStart"/>
      <w:r w:rsidR="002570D1" w:rsidRPr="00CF6765">
        <w:rPr>
          <w:rFonts w:eastAsia="MS Mincho"/>
          <w:sz w:val="20"/>
          <w:szCs w:val="20"/>
          <w:lang w:val="en-US" w:eastAsia="en-US" w:bidi="en-US"/>
        </w:rPr>
        <w:t>Vilches</w:t>
      </w:r>
      <w:proofErr w:type="spellEnd"/>
      <w:r w:rsidR="002570D1" w:rsidRPr="00CF6765">
        <w:rPr>
          <w:rFonts w:eastAsia="MS Mincho"/>
          <w:sz w:val="20"/>
          <w:szCs w:val="20"/>
          <w:lang w:val="en-US" w:eastAsia="en-US" w:bidi="en-US"/>
        </w:rPr>
        <w:t xml:space="preserve"> </w:t>
      </w:r>
      <w:r w:rsidRPr="00CF6765">
        <w:rPr>
          <w:rFonts w:eastAsia="MS Mincho"/>
          <w:sz w:val="20"/>
          <w:szCs w:val="20"/>
          <w:lang w:val="en-US" w:eastAsia="en-US" w:bidi="en-US"/>
        </w:rPr>
        <w:t xml:space="preserve">was transferred to the “theater” to make an </w:t>
      </w:r>
      <w:r w:rsidR="0090740B" w:rsidRPr="00CF6765">
        <w:rPr>
          <w:rFonts w:eastAsia="MS Mincho"/>
          <w:sz w:val="20"/>
          <w:szCs w:val="20"/>
          <w:lang w:val="en-US" w:eastAsia="en-US" w:bidi="en-US"/>
        </w:rPr>
        <w:t>incision</w:t>
      </w:r>
      <w:r w:rsidRPr="00CF6765">
        <w:rPr>
          <w:rFonts w:eastAsia="MS Mincho"/>
          <w:sz w:val="20"/>
          <w:szCs w:val="20"/>
          <w:lang w:val="en-US" w:eastAsia="en-US" w:bidi="en-US"/>
        </w:rPr>
        <w:t xml:space="preserve"> in order to verify whether he had fluid in the heart, even though his family members informed the medical staff that he could not undergo a surgical procedure because he was diabetic. Following the surgical procedure, Mr. Poblete had three wounds at waist-level </w:t>
      </w:r>
      <w:r w:rsidR="00143DF2" w:rsidRPr="00CF6765">
        <w:rPr>
          <w:rFonts w:eastAsia="MS Mincho"/>
          <w:sz w:val="20"/>
          <w:szCs w:val="20"/>
          <w:lang w:val="en-US" w:eastAsia="en-US" w:bidi="en-US"/>
        </w:rPr>
        <w:t xml:space="preserve">in which a drainage tube was inserted. In this case, the representatives alleged that </w:t>
      </w:r>
      <w:r w:rsidR="00143DF2" w:rsidRPr="00CF6765">
        <w:rPr>
          <w:rFonts w:eastAsia="Calibri"/>
          <w:sz w:val="20"/>
          <w:szCs w:val="20"/>
          <w:lang w:val="en-US" w:eastAsia="en-US"/>
        </w:rPr>
        <w:t xml:space="preserve">Mr. Poblete </w:t>
      </w:r>
      <w:proofErr w:type="spellStart"/>
      <w:r w:rsidR="001E55C3" w:rsidRPr="00CF6765">
        <w:rPr>
          <w:rFonts w:eastAsia="Calibri"/>
          <w:sz w:val="20"/>
          <w:szCs w:val="20"/>
          <w:lang w:val="en-US" w:eastAsia="en-US"/>
        </w:rPr>
        <w:t>Vilches’s</w:t>
      </w:r>
      <w:proofErr w:type="spellEnd"/>
      <w:r w:rsidR="001E55C3" w:rsidRPr="00CF6765">
        <w:rPr>
          <w:rFonts w:eastAsia="Calibri"/>
          <w:sz w:val="20"/>
          <w:szCs w:val="20"/>
          <w:lang w:val="en-US" w:eastAsia="en-US"/>
        </w:rPr>
        <w:t xml:space="preserve"> </w:t>
      </w:r>
      <w:r w:rsidR="00143DF2" w:rsidRPr="00CF6765">
        <w:rPr>
          <w:rFonts w:eastAsia="Calibri"/>
          <w:sz w:val="20"/>
          <w:szCs w:val="20"/>
          <w:lang w:val="en-US" w:eastAsia="en-US"/>
        </w:rPr>
        <w:t xml:space="preserve">family were never provided with information either before or after the surgical procedure performed on </w:t>
      </w:r>
      <w:r w:rsidR="00143DF2" w:rsidRPr="00CF6765">
        <w:rPr>
          <w:rFonts w:eastAsia="MS Mincho"/>
          <w:sz w:val="20"/>
          <w:szCs w:val="20"/>
          <w:lang w:val="en-US" w:eastAsia="en-US" w:bidi="en-US"/>
        </w:rPr>
        <w:t xml:space="preserve">Mr. Poblete </w:t>
      </w:r>
      <w:proofErr w:type="spellStart"/>
      <w:r w:rsidR="00143DF2" w:rsidRPr="00CF6765">
        <w:rPr>
          <w:rFonts w:eastAsia="MS Mincho"/>
          <w:sz w:val="20"/>
          <w:szCs w:val="20"/>
          <w:lang w:val="en-US" w:eastAsia="en-US" w:bidi="en-US"/>
        </w:rPr>
        <w:t>Vilches</w:t>
      </w:r>
      <w:proofErr w:type="spellEnd"/>
      <w:r w:rsidR="00143DF2" w:rsidRPr="00CF6765">
        <w:rPr>
          <w:rFonts w:eastAsia="MS Mincho"/>
          <w:sz w:val="20"/>
          <w:szCs w:val="20"/>
          <w:lang w:val="en-US" w:eastAsia="en-US" w:bidi="en-US"/>
        </w:rPr>
        <w:t xml:space="preserve"> during his first admission to the </w:t>
      </w:r>
      <w:proofErr w:type="spellStart"/>
      <w:r w:rsidR="006A73DF" w:rsidRPr="00CF6765">
        <w:rPr>
          <w:rFonts w:eastAsia="Calibri"/>
          <w:sz w:val="20"/>
          <w:szCs w:val="20"/>
          <w:lang w:val="en-US" w:eastAsia="en-US"/>
        </w:rPr>
        <w:t>Sótero</w:t>
      </w:r>
      <w:proofErr w:type="spellEnd"/>
      <w:r w:rsidR="00143DF2" w:rsidRPr="00CF6765">
        <w:rPr>
          <w:rFonts w:eastAsia="Calibri"/>
          <w:sz w:val="20"/>
          <w:szCs w:val="20"/>
          <w:lang w:val="en-US" w:eastAsia="en-US"/>
        </w:rPr>
        <w:t xml:space="preserve"> del Río Hospital.</w:t>
      </w:r>
      <w:r w:rsidR="00C82C41" w:rsidRPr="00CF6765">
        <w:rPr>
          <w:rStyle w:val="Refdenotaalpie"/>
          <w:rFonts w:eastAsia="Calibri"/>
          <w:sz w:val="20"/>
          <w:szCs w:val="20"/>
          <w:lang w:val="en-US" w:eastAsia="en-US"/>
        </w:rPr>
        <w:footnoteReference w:id="258"/>
      </w:r>
      <w:r w:rsidR="002570D1" w:rsidRPr="00CF6765">
        <w:rPr>
          <w:rFonts w:eastAsia="Calibri"/>
          <w:sz w:val="20"/>
          <w:szCs w:val="20"/>
          <w:lang w:val="en-US" w:eastAsia="en-US"/>
        </w:rPr>
        <w:t xml:space="preserve"> </w:t>
      </w:r>
      <w:r w:rsidR="00143DF2" w:rsidRPr="00CF6765">
        <w:rPr>
          <w:rFonts w:eastAsia="Calibri"/>
          <w:sz w:val="20"/>
          <w:szCs w:val="20"/>
          <w:lang w:val="en-US" w:eastAsia="en-US"/>
        </w:rPr>
        <w:t xml:space="preserve">They also indicated that the family never authorized this procedure and the authorization in the medical file </w:t>
      </w:r>
      <w:r w:rsidR="000B641A" w:rsidRPr="00CF6765">
        <w:rPr>
          <w:rFonts w:eastAsia="Calibri"/>
          <w:sz w:val="20"/>
          <w:szCs w:val="20"/>
          <w:lang w:val="en-US" w:eastAsia="en-US"/>
        </w:rPr>
        <w:t>was</w:t>
      </w:r>
      <w:r w:rsidR="00143DF2" w:rsidRPr="00CF6765">
        <w:rPr>
          <w:rFonts w:eastAsia="Calibri"/>
          <w:sz w:val="20"/>
          <w:szCs w:val="20"/>
          <w:lang w:val="en-US" w:eastAsia="en-US"/>
        </w:rPr>
        <w:t xml:space="preserve"> fals</w:t>
      </w:r>
      <w:r w:rsidR="000B641A" w:rsidRPr="00CF6765">
        <w:rPr>
          <w:rFonts w:eastAsia="Calibri"/>
          <w:sz w:val="20"/>
          <w:szCs w:val="20"/>
          <w:lang w:val="en-US" w:eastAsia="en-US"/>
        </w:rPr>
        <w:t>ified</w:t>
      </w:r>
      <w:r w:rsidR="00143DF2" w:rsidRPr="00CF6765">
        <w:rPr>
          <w:rFonts w:eastAsia="Calibri"/>
          <w:sz w:val="20"/>
          <w:szCs w:val="20"/>
          <w:lang w:val="en-US" w:eastAsia="en-US"/>
        </w:rPr>
        <w:t xml:space="preserve"> </w:t>
      </w:r>
      <w:r w:rsidR="002570D1" w:rsidRPr="00CF6765">
        <w:rPr>
          <w:rFonts w:eastAsia="Calibri"/>
          <w:sz w:val="20"/>
          <w:szCs w:val="20"/>
          <w:lang w:val="en-US" w:eastAsia="en-US"/>
        </w:rPr>
        <w:t>(</w:t>
      </w:r>
      <w:r w:rsidR="00062586" w:rsidRPr="00CF6765">
        <w:rPr>
          <w:rFonts w:eastAsia="Calibri"/>
          <w:i/>
          <w:sz w:val="20"/>
          <w:szCs w:val="20"/>
          <w:lang w:val="en-US" w:eastAsia="en-US"/>
        </w:rPr>
        <w:t>supra</w:t>
      </w:r>
      <w:r w:rsidR="002570D1" w:rsidRPr="00CF6765">
        <w:rPr>
          <w:rFonts w:eastAsia="Calibri"/>
          <w:sz w:val="20"/>
          <w:szCs w:val="20"/>
          <w:lang w:val="en-US" w:eastAsia="en-US"/>
        </w:rPr>
        <w:t xml:space="preserve"> </w:t>
      </w:r>
      <w:r w:rsidR="00EC50FC" w:rsidRPr="00CF6765">
        <w:rPr>
          <w:rFonts w:eastAsia="Calibri"/>
          <w:sz w:val="20"/>
          <w:szCs w:val="20"/>
          <w:lang w:val="en-US" w:eastAsia="en-US"/>
        </w:rPr>
        <w:t>paras.</w:t>
      </w:r>
      <w:r w:rsidR="002570D1" w:rsidRPr="00CF6765">
        <w:rPr>
          <w:rFonts w:eastAsia="Calibri"/>
          <w:sz w:val="20"/>
          <w:szCs w:val="20"/>
          <w:lang w:val="en-US" w:eastAsia="en-US"/>
        </w:rPr>
        <w:t xml:space="preserve"> </w:t>
      </w:r>
      <w:r w:rsidR="00C82C41" w:rsidRPr="00CF6765">
        <w:rPr>
          <w:rFonts w:eastAsia="Calibri"/>
          <w:sz w:val="20"/>
          <w:szCs w:val="20"/>
          <w:lang w:val="en-US" w:eastAsia="en-US"/>
        </w:rPr>
        <w:t xml:space="preserve">45 </w:t>
      </w:r>
      <w:r w:rsidR="00143DF2" w:rsidRPr="00CF6765">
        <w:rPr>
          <w:rFonts w:eastAsia="Calibri"/>
          <w:sz w:val="20"/>
          <w:szCs w:val="20"/>
          <w:lang w:val="en-US" w:eastAsia="en-US"/>
        </w:rPr>
        <w:t>to</w:t>
      </w:r>
      <w:r w:rsidR="00C82C41" w:rsidRPr="00CF6765">
        <w:rPr>
          <w:rFonts w:eastAsia="Calibri"/>
          <w:sz w:val="20"/>
          <w:szCs w:val="20"/>
          <w:lang w:val="en-US" w:eastAsia="en-US"/>
        </w:rPr>
        <w:t xml:space="preserve"> 47</w:t>
      </w:r>
      <w:r w:rsidR="002570D1" w:rsidRPr="00CF6765">
        <w:rPr>
          <w:rFonts w:eastAsia="Calibri"/>
          <w:sz w:val="20"/>
          <w:szCs w:val="20"/>
          <w:lang w:val="en-US" w:eastAsia="en-US"/>
        </w:rPr>
        <w:t xml:space="preserve">). </w:t>
      </w:r>
    </w:p>
    <w:p w14:paraId="3FBBB381" w14:textId="77777777" w:rsidR="00E6413F" w:rsidRPr="00CF6765" w:rsidRDefault="00E6413F" w:rsidP="002570D1">
      <w:pPr>
        <w:tabs>
          <w:tab w:val="left" w:pos="567"/>
        </w:tabs>
        <w:rPr>
          <w:rFonts w:eastAsia="Calibri"/>
          <w:sz w:val="20"/>
          <w:szCs w:val="20"/>
          <w:lang w:val="en-US" w:eastAsia="en-US"/>
        </w:rPr>
      </w:pPr>
    </w:p>
    <w:p w14:paraId="1EE23076" w14:textId="4B07BEF9" w:rsidR="00A90C28" w:rsidRPr="00CF6765" w:rsidRDefault="005C731C"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Court</w:t>
      </w:r>
      <w:r w:rsidR="008A2242" w:rsidRPr="00CF6765">
        <w:rPr>
          <w:rFonts w:eastAsia="Calibri"/>
          <w:sz w:val="20"/>
          <w:szCs w:val="20"/>
          <w:lang w:val="en-US" w:eastAsia="en-US"/>
        </w:rPr>
        <w:t xml:space="preserve"> t</w:t>
      </w:r>
      <w:r w:rsidR="00000220" w:rsidRPr="00CF6765">
        <w:rPr>
          <w:rFonts w:eastAsia="Calibri"/>
          <w:sz w:val="20"/>
          <w:szCs w:val="20"/>
          <w:lang w:val="en-US" w:eastAsia="en-US"/>
        </w:rPr>
        <w:t xml:space="preserve">akes note of the domestic norms that existed at the time of the facts, particularly with regard to the consent required in order to perform procedures such as those that this case refers to, namely: </w:t>
      </w:r>
    </w:p>
    <w:p w14:paraId="6669D51D" w14:textId="77777777" w:rsidR="008A2242" w:rsidRPr="00CF6765" w:rsidRDefault="008A2242" w:rsidP="00743CE3">
      <w:pPr>
        <w:tabs>
          <w:tab w:val="left" w:pos="567"/>
        </w:tabs>
        <w:ind w:right="373"/>
        <w:rPr>
          <w:rFonts w:eastAsia="Calibri"/>
          <w:sz w:val="20"/>
          <w:szCs w:val="20"/>
          <w:lang w:val="en-US" w:eastAsia="en-US"/>
        </w:rPr>
      </w:pPr>
    </w:p>
    <w:p w14:paraId="371ADD65" w14:textId="1ED109BE" w:rsidR="00000220" w:rsidRPr="00CF6765" w:rsidRDefault="00A90C28" w:rsidP="00743CE3">
      <w:pPr>
        <w:tabs>
          <w:tab w:val="left" w:pos="567"/>
        </w:tabs>
        <w:ind w:left="567" w:right="373"/>
        <w:rPr>
          <w:rFonts w:eastAsia="Calibri"/>
          <w:sz w:val="18"/>
          <w:szCs w:val="20"/>
          <w:lang w:val="en-US" w:eastAsia="en-US"/>
        </w:rPr>
      </w:pPr>
      <w:r w:rsidRPr="00CF6765">
        <w:rPr>
          <w:rFonts w:eastAsia="Calibri"/>
          <w:sz w:val="18"/>
          <w:szCs w:val="20"/>
          <w:lang w:val="en-US" w:eastAsia="en-US"/>
        </w:rPr>
        <w:t xml:space="preserve">a) </w:t>
      </w:r>
      <w:r w:rsidR="007F5A87" w:rsidRPr="00CF6765">
        <w:rPr>
          <w:rFonts w:eastAsia="Calibri"/>
          <w:sz w:val="18"/>
          <w:szCs w:val="20"/>
          <w:lang w:val="en-US" w:eastAsia="en-US"/>
        </w:rPr>
        <w:t>Supreme Decree</w:t>
      </w:r>
      <w:r w:rsidR="002570D1" w:rsidRPr="00CF6765">
        <w:rPr>
          <w:rFonts w:eastAsia="Calibri"/>
          <w:sz w:val="18"/>
          <w:szCs w:val="20"/>
          <w:lang w:val="en-US" w:eastAsia="en-US"/>
        </w:rPr>
        <w:t xml:space="preserve"> N</w:t>
      </w:r>
      <w:r w:rsidR="00000220" w:rsidRPr="00CF6765">
        <w:rPr>
          <w:rFonts w:eastAsia="Calibri"/>
          <w:sz w:val="18"/>
          <w:szCs w:val="20"/>
          <w:lang w:val="en-US" w:eastAsia="en-US"/>
        </w:rPr>
        <w:t>o.</w:t>
      </w:r>
      <w:r w:rsidR="002570D1" w:rsidRPr="00CF6765">
        <w:rPr>
          <w:rFonts w:eastAsia="Calibri"/>
          <w:sz w:val="18"/>
          <w:szCs w:val="20"/>
          <w:lang w:val="en-US" w:eastAsia="en-US"/>
        </w:rPr>
        <w:t xml:space="preserve"> 42 </w:t>
      </w:r>
      <w:r w:rsidR="00000220" w:rsidRPr="00CF6765">
        <w:rPr>
          <w:rFonts w:eastAsia="Calibri"/>
          <w:sz w:val="18"/>
          <w:szCs w:val="20"/>
          <w:lang w:val="en-US" w:eastAsia="en-US"/>
        </w:rPr>
        <w:t>of</w:t>
      </w:r>
      <w:r w:rsidR="002570D1" w:rsidRPr="00CF6765">
        <w:rPr>
          <w:rFonts w:eastAsia="Calibri"/>
          <w:sz w:val="18"/>
          <w:szCs w:val="20"/>
          <w:lang w:val="en-US" w:eastAsia="en-US"/>
        </w:rPr>
        <w:t xml:space="preserve"> 1986, </w:t>
      </w:r>
      <w:r w:rsidR="00000220" w:rsidRPr="00CF6765">
        <w:rPr>
          <w:rFonts w:eastAsia="Calibri"/>
          <w:sz w:val="18"/>
          <w:szCs w:val="20"/>
          <w:lang w:val="en-US" w:eastAsia="en-US"/>
        </w:rPr>
        <w:t>which adopted the Organic Health Services</w:t>
      </w:r>
      <w:r w:rsidR="000B641A" w:rsidRPr="00CF6765">
        <w:rPr>
          <w:rFonts w:eastAsia="Calibri"/>
          <w:sz w:val="18"/>
          <w:szCs w:val="20"/>
          <w:lang w:val="en-US" w:eastAsia="en-US"/>
        </w:rPr>
        <w:t xml:space="preserve"> Regulations</w:t>
      </w:r>
      <w:r w:rsidR="00000220" w:rsidRPr="00CF6765">
        <w:rPr>
          <w:rFonts w:eastAsia="Calibri"/>
          <w:sz w:val="18"/>
          <w:szCs w:val="20"/>
          <w:lang w:val="en-US" w:eastAsia="en-US"/>
        </w:rPr>
        <w:t>, established in its a</w:t>
      </w:r>
      <w:r w:rsidR="005C731C" w:rsidRPr="00CF6765">
        <w:rPr>
          <w:rFonts w:eastAsia="Calibri"/>
          <w:sz w:val="18"/>
          <w:szCs w:val="20"/>
          <w:lang w:val="en-US" w:eastAsia="en-US"/>
        </w:rPr>
        <w:t>rticle</w:t>
      </w:r>
      <w:r w:rsidR="002570D1" w:rsidRPr="00CF6765">
        <w:rPr>
          <w:rFonts w:eastAsia="Calibri"/>
          <w:sz w:val="18"/>
          <w:szCs w:val="20"/>
          <w:lang w:val="en-US" w:eastAsia="en-US"/>
        </w:rPr>
        <w:t xml:space="preserve"> 105 </w:t>
      </w:r>
      <w:r w:rsidR="00000220" w:rsidRPr="00CF6765">
        <w:rPr>
          <w:rFonts w:eastAsia="Calibri"/>
          <w:sz w:val="18"/>
          <w:szCs w:val="20"/>
          <w:lang w:val="en-US" w:eastAsia="en-US"/>
        </w:rPr>
        <w:t>that</w:t>
      </w:r>
      <w:r w:rsidR="002570D1" w:rsidRPr="00CF6765">
        <w:rPr>
          <w:rFonts w:eastAsia="Calibri"/>
          <w:sz w:val="18"/>
          <w:szCs w:val="20"/>
          <w:lang w:val="en-US" w:eastAsia="en-US"/>
        </w:rPr>
        <w:t xml:space="preserve"> “</w:t>
      </w:r>
      <w:r w:rsidR="00000220" w:rsidRPr="00CF6765">
        <w:rPr>
          <w:rFonts w:eastAsia="Calibri"/>
          <w:sz w:val="18"/>
          <w:szCs w:val="20"/>
          <w:lang w:val="en-US" w:eastAsia="en-US"/>
        </w:rPr>
        <w:t xml:space="preserve">medical professionals shall inform patients, their legal representatives or their family </w:t>
      </w:r>
      <w:r w:rsidR="0090740B" w:rsidRPr="00CF6765">
        <w:rPr>
          <w:rFonts w:eastAsia="Calibri"/>
          <w:sz w:val="18"/>
          <w:szCs w:val="20"/>
          <w:lang w:val="en-US" w:eastAsia="en-US"/>
        </w:rPr>
        <w:t>members</w:t>
      </w:r>
      <w:r w:rsidR="00000220" w:rsidRPr="00CF6765">
        <w:rPr>
          <w:rFonts w:eastAsia="Calibri"/>
          <w:sz w:val="18"/>
          <w:szCs w:val="20"/>
          <w:lang w:val="en-US" w:eastAsia="en-US"/>
        </w:rPr>
        <w:t>, when possible and when appropriate, of the diagnosis and the probable prognosis of their illness, the therapeutic or medical-surgical measures that will be applied and the risks that the</w:t>
      </w:r>
      <w:r w:rsidR="000B641A" w:rsidRPr="00CF6765">
        <w:rPr>
          <w:rFonts w:eastAsia="Calibri"/>
          <w:sz w:val="18"/>
          <w:szCs w:val="20"/>
          <w:lang w:val="en-US" w:eastAsia="en-US"/>
        </w:rPr>
        <w:t>se</w:t>
      </w:r>
      <w:r w:rsidR="00000220" w:rsidRPr="00CF6765">
        <w:rPr>
          <w:rFonts w:eastAsia="Calibri"/>
          <w:sz w:val="18"/>
          <w:szCs w:val="20"/>
          <w:lang w:val="en-US" w:eastAsia="en-US"/>
        </w:rPr>
        <w:t xml:space="preserve"> – or their omission – involve, in order to allow their informed decision, and also the preventive measures that the patient or his family should take.”</w:t>
      </w:r>
    </w:p>
    <w:p w14:paraId="770AF9EB" w14:textId="77777777" w:rsidR="00A90C28" w:rsidRPr="00CF6765" w:rsidRDefault="00A90C28" w:rsidP="00743CE3">
      <w:pPr>
        <w:tabs>
          <w:tab w:val="left" w:pos="567"/>
        </w:tabs>
        <w:ind w:left="567" w:right="373"/>
        <w:rPr>
          <w:rFonts w:eastAsia="Calibri"/>
          <w:sz w:val="18"/>
          <w:szCs w:val="20"/>
          <w:lang w:val="en-US" w:eastAsia="en-US"/>
        </w:rPr>
      </w:pPr>
    </w:p>
    <w:p w14:paraId="4563EFFB" w14:textId="49C653A9" w:rsidR="00E03C26" w:rsidRPr="00CF6765" w:rsidRDefault="00A90C28" w:rsidP="00743CE3">
      <w:pPr>
        <w:tabs>
          <w:tab w:val="left" w:pos="567"/>
          <w:tab w:val="num" w:pos="12305"/>
        </w:tabs>
        <w:ind w:left="567" w:right="373"/>
        <w:rPr>
          <w:rFonts w:eastAsia="Calibri"/>
          <w:sz w:val="18"/>
          <w:szCs w:val="20"/>
          <w:lang w:val="en-US" w:eastAsia="en-US"/>
        </w:rPr>
      </w:pPr>
      <w:r w:rsidRPr="00CF6765">
        <w:rPr>
          <w:rFonts w:eastAsia="Calibri"/>
          <w:sz w:val="18"/>
          <w:szCs w:val="20"/>
          <w:lang w:val="en-US" w:eastAsia="en-US"/>
        </w:rPr>
        <w:t xml:space="preserve">b) </w:t>
      </w:r>
      <w:r w:rsidR="00000220" w:rsidRPr="00CF6765">
        <w:rPr>
          <w:rFonts w:eastAsia="Calibri"/>
          <w:sz w:val="18"/>
          <w:szCs w:val="20"/>
          <w:lang w:val="en-US" w:eastAsia="en-US"/>
        </w:rPr>
        <w:t xml:space="preserve">The 1986 </w:t>
      </w:r>
      <w:r w:rsidR="002570D1" w:rsidRPr="00CF6765">
        <w:rPr>
          <w:rFonts w:eastAsia="Calibri"/>
          <w:sz w:val="18"/>
          <w:szCs w:val="20"/>
          <w:lang w:val="en-US" w:eastAsia="en-US"/>
        </w:rPr>
        <w:t>“</w:t>
      </w:r>
      <w:r w:rsidR="00000220" w:rsidRPr="00CF6765">
        <w:rPr>
          <w:rFonts w:eastAsia="Calibri"/>
          <w:sz w:val="18"/>
          <w:szCs w:val="20"/>
          <w:lang w:val="en-US" w:eastAsia="en-US"/>
        </w:rPr>
        <w:t xml:space="preserve">Medical Ethics Norms and Documents” prepared by the Chilean Medical Association, established in its article 15 that “in cases in which it might be therapeutically necessary to resort to treatments that involve certain risks or severe </w:t>
      </w:r>
      <w:r w:rsidR="0090740B" w:rsidRPr="00CF6765">
        <w:rPr>
          <w:rFonts w:eastAsia="Calibri"/>
          <w:sz w:val="18"/>
          <w:szCs w:val="20"/>
          <w:lang w:val="en-US" w:eastAsia="en-US"/>
        </w:rPr>
        <w:t>mutilation</w:t>
      </w:r>
      <w:r w:rsidR="00000220" w:rsidRPr="00CF6765">
        <w:rPr>
          <w:rFonts w:eastAsia="Calibri"/>
          <w:sz w:val="18"/>
          <w:szCs w:val="20"/>
          <w:lang w:val="en-US" w:eastAsia="en-US"/>
        </w:rPr>
        <w:t xml:space="preserve"> for the patient, the doctor must have the express consent, provided by a fully informed decision, by the patient, or the responsible family members when the patient is a minor or is unable to </w:t>
      </w:r>
      <w:r w:rsidR="00085A2F" w:rsidRPr="00CF6765">
        <w:rPr>
          <w:rFonts w:eastAsia="Calibri"/>
          <w:sz w:val="18"/>
          <w:szCs w:val="20"/>
          <w:lang w:val="en-US" w:eastAsia="en-US"/>
        </w:rPr>
        <w:t>take a decision. In situations of medical emergency or absence of responsible family members, when it is not possible to communicate with them or if they do not exist, the doctor may prescind of the authorization established in the preceding paragraph, without prejudice to trying to obtain a colleague’s favorable opinion of the treatment.</w:t>
      </w:r>
      <w:r w:rsidR="00E03C26" w:rsidRPr="00CF6765">
        <w:rPr>
          <w:rFonts w:eastAsia="Calibri"/>
          <w:sz w:val="18"/>
          <w:szCs w:val="20"/>
          <w:lang w:val="en-US"/>
        </w:rPr>
        <w:t>"</w:t>
      </w:r>
      <w:r w:rsidR="00E03C26" w:rsidRPr="00CF6765">
        <w:rPr>
          <w:rStyle w:val="Refdenotaalpie"/>
          <w:rFonts w:eastAsia="Calibri"/>
          <w:sz w:val="18"/>
          <w:lang w:val="en-US"/>
        </w:rPr>
        <w:footnoteReference w:id="259"/>
      </w:r>
      <w:r w:rsidR="00E03C26" w:rsidRPr="00CF6765">
        <w:rPr>
          <w:rFonts w:eastAsia="Calibri"/>
          <w:b/>
          <w:sz w:val="18"/>
          <w:szCs w:val="20"/>
          <w:lang w:val="en-US"/>
        </w:rPr>
        <w:t xml:space="preserve"> </w:t>
      </w:r>
    </w:p>
    <w:p w14:paraId="7C999144" w14:textId="77777777" w:rsidR="00A90C28" w:rsidRPr="00CF6765" w:rsidRDefault="00A90C28" w:rsidP="00AB1E03">
      <w:pPr>
        <w:tabs>
          <w:tab w:val="left" w:pos="567"/>
        </w:tabs>
        <w:rPr>
          <w:rFonts w:eastAsia="Calibri"/>
          <w:sz w:val="18"/>
          <w:szCs w:val="20"/>
          <w:lang w:val="en-US" w:eastAsia="en-US"/>
        </w:rPr>
      </w:pPr>
    </w:p>
    <w:p w14:paraId="2A66DBF5" w14:textId="7469E158" w:rsidR="002570D1" w:rsidRPr="00CF6765" w:rsidRDefault="00A90C28" w:rsidP="00743CE3">
      <w:pPr>
        <w:tabs>
          <w:tab w:val="left" w:pos="567"/>
        </w:tabs>
        <w:ind w:left="567" w:right="373"/>
        <w:rPr>
          <w:rFonts w:eastAsia="Calibri"/>
          <w:sz w:val="18"/>
          <w:szCs w:val="20"/>
          <w:lang w:val="en-US" w:eastAsia="en-US"/>
        </w:rPr>
      </w:pPr>
      <w:r w:rsidRPr="00CF6765">
        <w:rPr>
          <w:rFonts w:eastAsia="Calibri"/>
          <w:sz w:val="18"/>
          <w:szCs w:val="20"/>
          <w:lang w:val="en-US" w:eastAsia="en-US"/>
        </w:rPr>
        <w:t xml:space="preserve">c) </w:t>
      </w:r>
      <w:r w:rsidR="00085A2F" w:rsidRPr="00CF6765">
        <w:rPr>
          <w:rFonts w:eastAsia="Calibri"/>
          <w:sz w:val="18"/>
          <w:szCs w:val="20"/>
          <w:lang w:val="en-US" w:eastAsia="en-US"/>
        </w:rPr>
        <w:t>I</w:t>
      </w:r>
      <w:r w:rsidR="002570D1" w:rsidRPr="00CF6765">
        <w:rPr>
          <w:rFonts w:eastAsia="Calibri"/>
          <w:sz w:val="18"/>
          <w:szCs w:val="20"/>
          <w:lang w:val="en-US" w:eastAsia="en-US"/>
        </w:rPr>
        <w:t xml:space="preserve">n 1999, </w:t>
      </w:r>
      <w:r w:rsidR="00D2168F" w:rsidRPr="00CF6765">
        <w:rPr>
          <w:rFonts w:eastAsia="Calibri"/>
          <w:sz w:val="18"/>
          <w:szCs w:val="20"/>
          <w:lang w:val="en-US" w:eastAsia="en-US"/>
        </w:rPr>
        <w:t xml:space="preserve">the </w:t>
      </w:r>
      <w:r w:rsidR="00085A2F" w:rsidRPr="00CF6765">
        <w:rPr>
          <w:rFonts w:eastAsia="Calibri"/>
          <w:sz w:val="18"/>
          <w:szCs w:val="20"/>
          <w:lang w:val="en-US" w:eastAsia="en-US"/>
        </w:rPr>
        <w:t>National Health Foundation, together with the Chilean Ministry of Health prepared the “Charter of Patients’ Rights” which established the steps to follow to obtain a patient’s informed consent, and also the cases in which there are exceptions: minors, legal incapacity, understanding impairment – even in adults who do not have the ability to decide on a procedure. In the latter case, it is necessary to obtain the informed consent of the next of kin or the closest relatives who are legally entitled to represent the patient.</w:t>
      </w:r>
      <w:r w:rsidR="008A187A" w:rsidRPr="00CF6765">
        <w:rPr>
          <w:rStyle w:val="Refdenotaalpie"/>
          <w:rFonts w:eastAsia="Calibri"/>
          <w:sz w:val="18"/>
          <w:szCs w:val="20"/>
          <w:lang w:val="en-US" w:eastAsia="en-US"/>
        </w:rPr>
        <w:footnoteReference w:id="260"/>
      </w:r>
    </w:p>
    <w:p w14:paraId="47112264" w14:textId="77777777" w:rsidR="00F32DA7" w:rsidRPr="00CF6765" w:rsidRDefault="00F32DA7" w:rsidP="005430FF">
      <w:pPr>
        <w:tabs>
          <w:tab w:val="left" w:pos="567"/>
        </w:tabs>
        <w:rPr>
          <w:rFonts w:eastAsia="Calibri"/>
          <w:sz w:val="20"/>
          <w:szCs w:val="20"/>
          <w:lang w:val="en-US" w:eastAsia="en-US"/>
        </w:rPr>
      </w:pPr>
    </w:p>
    <w:p w14:paraId="77612EBE" w14:textId="1F8B3D13" w:rsidR="00E6413F" w:rsidRPr="00CF6765" w:rsidRDefault="00085A2F" w:rsidP="00345FF2">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Based on the foregoing</w:t>
      </w:r>
      <w:r w:rsidR="00E6413F"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E6413F" w:rsidRPr="00CF6765">
        <w:rPr>
          <w:rFonts w:eastAsia="Calibri"/>
          <w:sz w:val="20"/>
          <w:szCs w:val="20"/>
          <w:lang w:val="en-US" w:eastAsia="en-US"/>
        </w:rPr>
        <w:t xml:space="preserve"> </w:t>
      </w:r>
      <w:r w:rsidR="00345FF2" w:rsidRPr="00CF6765">
        <w:rPr>
          <w:rFonts w:eastAsia="Calibri"/>
          <w:sz w:val="20"/>
          <w:szCs w:val="20"/>
          <w:lang w:val="en-US" w:eastAsia="en-US"/>
        </w:rPr>
        <w:t xml:space="preserve">understand that consent by representation or substitution comes into play when it is verified that the patient, owing to his particular condition, is not able to take a decision on his health, so that this power is granted to his representative, </w:t>
      </w:r>
      <w:r w:rsidR="00011112" w:rsidRPr="00CF6765">
        <w:rPr>
          <w:rFonts w:eastAsia="Calibri"/>
          <w:sz w:val="20"/>
          <w:szCs w:val="20"/>
          <w:lang w:val="en-US" w:eastAsia="en-US"/>
        </w:rPr>
        <w:t xml:space="preserve">the </w:t>
      </w:r>
      <w:r w:rsidR="00345FF2" w:rsidRPr="00CF6765">
        <w:rPr>
          <w:rFonts w:eastAsia="Calibri"/>
          <w:sz w:val="20"/>
          <w:szCs w:val="20"/>
          <w:lang w:val="en-US" w:eastAsia="en-US"/>
        </w:rPr>
        <w:t>authority, person, family member or institution designated by law. However, any limitation on decision-making must take into account the evolution of the patient and his actual condition to be able to provide consent.</w:t>
      </w:r>
      <w:r w:rsidR="00E6413F" w:rsidRPr="00CF6765">
        <w:rPr>
          <w:rFonts w:eastAsia="Calibri"/>
          <w:sz w:val="20"/>
          <w:szCs w:val="20"/>
          <w:vertAlign w:val="superscript"/>
          <w:lang w:val="en-US" w:eastAsia="en-US"/>
        </w:rPr>
        <w:footnoteReference w:id="261"/>
      </w:r>
      <w:r w:rsidR="00345FF2" w:rsidRPr="00CF6765">
        <w:rPr>
          <w:rFonts w:eastAsia="Calibri"/>
          <w:sz w:val="20"/>
          <w:szCs w:val="20"/>
          <w:lang w:val="en-US" w:eastAsia="en-US"/>
        </w:rPr>
        <w:t xml:space="preserve"> The Court considers that among the elements required for the family to be able to give informed consent is that this must also be prior, free, full and informed,</w:t>
      </w:r>
      <w:r w:rsidR="00345FF2" w:rsidRPr="00CF6765">
        <w:rPr>
          <w:rFonts w:eastAsia="Calibri"/>
          <w:sz w:val="20"/>
          <w:szCs w:val="20"/>
          <w:vertAlign w:val="superscript"/>
          <w:lang w:val="en-US" w:eastAsia="en-US"/>
        </w:rPr>
        <w:footnoteReference w:id="262"/>
      </w:r>
      <w:r w:rsidR="00345FF2" w:rsidRPr="00CF6765">
        <w:rPr>
          <w:rFonts w:eastAsia="Calibri"/>
          <w:sz w:val="20"/>
          <w:szCs w:val="20"/>
          <w:lang w:val="en-US" w:eastAsia="en-US"/>
        </w:rPr>
        <w:t xml:space="preserve"> unless </w:t>
      </w:r>
      <w:r w:rsidR="00011112" w:rsidRPr="00CF6765">
        <w:rPr>
          <w:rFonts w:eastAsia="Calibri"/>
          <w:sz w:val="20"/>
          <w:szCs w:val="20"/>
          <w:lang w:val="en-US" w:eastAsia="en-US"/>
        </w:rPr>
        <w:t>an</w:t>
      </w:r>
      <w:r w:rsidR="00345FF2" w:rsidRPr="00CF6765">
        <w:rPr>
          <w:rFonts w:eastAsia="Calibri"/>
          <w:sz w:val="20"/>
          <w:szCs w:val="20"/>
          <w:lang w:val="en-US" w:eastAsia="en-US"/>
        </w:rPr>
        <w:t xml:space="preserve"> emergency situation</w:t>
      </w:r>
      <w:r w:rsidR="00011112" w:rsidRPr="00CF6765">
        <w:rPr>
          <w:rFonts w:eastAsia="Calibri"/>
          <w:sz w:val="20"/>
          <w:szCs w:val="20"/>
          <w:lang w:val="en-US" w:eastAsia="en-US"/>
        </w:rPr>
        <w:t xml:space="preserve"> exists, in which case</w:t>
      </w:r>
      <w:r w:rsidR="00345FF2" w:rsidRPr="00CF6765">
        <w:rPr>
          <w:rFonts w:eastAsia="Calibri"/>
          <w:sz w:val="20"/>
          <w:szCs w:val="20"/>
          <w:lang w:val="en-US" w:eastAsia="en-US"/>
        </w:rPr>
        <w:t xml:space="preserve"> the Court has already recognized that </w:t>
      </w:r>
      <w:r w:rsidR="00011112" w:rsidRPr="00CF6765">
        <w:rPr>
          <w:rFonts w:eastAsia="Calibri"/>
          <w:sz w:val="20"/>
          <w:szCs w:val="20"/>
          <w:lang w:val="en-US" w:eastAsia="en-US"/>
        </w:rPr>
        <w:t xml:space="preserve">there are </w:t>
      </w:r>
      <w:r w:rsidR="00345FF2" w:rsidRPr="00CF6765">
        <w:rPr>
          <w:rFonts w:eastAsia="Calibri"/>
          <w:sz w:val="20"/>
          <w:szCs w:val="20"/>
          <w:lang w:val="en-US" w:eastAsia="en-US"/>
        </w:rPr>
        <w:t>exceptions</w:t>
      </w:r>
      <w:r w:rsidR="00011112" w:rsidRPr="00CF6765">
        <w:rPr>
          <w:rFonts w:eastAsia="Calibri"/>
          <w:sz w:val="20"/>
          <w:szCs w:val="20"/>
          <w:lang w:val="en-US" w:eastAsia="en-US"/>
        </w:rPr>
        <w:t xml:space="preserve"> and</w:t>
      </w:r>
      <w:r w:rsidR="00345FF2" w:rsidRPr="00CF6765">
        <w:rPr>
          <w:rFonts w:eastAsia="Calibri"/>
          <w:sz w:val="20"/>
          <w:szCs w:val="20"/>
          <w:lang w:val="en-US" w:eastAsia="en-US"/>
        </w:rPr>
        <w:t xml:space="preserve"> health-care providers </w:t>
      </w:r>
      <w:r w:rsidR="00011112" w:rsidRPr="00CF6765">
        <w:rPr>
          <w:rFonts w:eastAsia="Calibri"/>
          <w:sz w:val="20"/>
          <w:szCs w:val="20"/>
          <w:lang w:val="en-US" w:eastAsia="en-US"/>
        </w:rPr>
        <w:t xml:space="preserve">may </w:t>
      </w:r>
      <w:r w:rsidR="00345FF2" w:rsidRPr="00CF6765">
        <w:rPr>
          <w:rFonts w:eastAsia="Calibri"/>
          <w:sz w:val="20"/>
          <w:szCs w:val="20"/>
          <w:lang w:val="en-US" w:eastAsia="en-US"/>
        </w:rPr>
        <w:t>act without the requirement of consent</w:t>
      </w:r>
      <w:r w:rsidR="00011112" w:rsidRPr="00CF6765">
        <w:rPr>
          <w:rFonts w:eastAsia="Calibri"/>
          <w:sz w:val="20"/>
          <w:szCs w:val="20"/>
          <w:lang w:val="en-US" w:eastAsia="en-US"/>
        </w:rPr>
        <w:t xml:space="preserve"> when </w:t>
      </w:r>
      <w:r w:rsidR="00345FF2" w:rsidRPr="00CF6765">
        <w:rPr>
          <w:rFonts w:eastAsia="Calibri"/>
          <w:sz w:val="20"/>
          <w:szCs w:val="20"/>
          <w:lang w:val="en-US" w:eastAsia="en-US"/>
        </w:rPr>
        <w:t>this cannot be provided by the person concerned and an immediate, urgent or emergency medical or surgical procedure is required,</w:t>
      </w:r>
      <w:r w:rsidR="00011112" w:rsidRPr="00CF6765">
        <w:rPr>
          <w:rFonts w:eastAsia="Calibri"/>
          <w:sz w:val="20"/>
          <w:szCs w:val="20"/>
          <w:lang w:val="en-US" w:eastAsia="en-US"/>
        </w:rPr>
        <w:t xml:space="preserve"> in light of</w:t>
      </w:r>
      <w:r w:rsidR="00345FF2" w:rsidRPr="00CF6765">
        <w:rPr>
          <w:rFonts w:eastAsia="Calibri"/>
          <w:sz w:val="20"/>
          <w:szCs w:val="20"/>
          <w:lang w:val="en-US" w:eastAsia="en-US"/>
        </w:rPr>
        <w:t xml:space="preserve"> a serious risk to the life or health </w:t>
      </w:r>
      <w:r w:rsidR="00E15A35" w:rsidRPr="00CF6765">
        <w:rPr>
          <w:rFonts w:eastAsia="Calibri"/>
          <w:sz w:val="20"/>
          <w:szCs w:val="20"/>
          <w:lang w:val="en-US" w:eastAsia="en-US"/>
        </w:rPr>
        <w:t xml:space="preserve">of the </w:t>
      </w:r>
      <w:r w:rsidR="004C3B57" w:rsidRPr="00CF6765">
        <w:rPr>
          <w:rFonts w:eastAsia="Calibri"/>
          <w:sz w:val="20"/>
          <w:szCs w:val="20"/>
          <w:lang w:val="en-US" w:eastAsia="en-US"/>
        </w:rPr>
        <w:t>patient</w:t>
      </w:r>
      <w:r w:rsidR="00345FF2" w:rsidRPr="00CF6765">
        <w:rPr>
          <w:rFonts w:eastAsia="Calibri"/>
          <w:sz w:val="20"/>
          <w:szCs w:val="20"/>
          <w:lang w:val="en-US" w:eastAsia="en-US"/>
        </w:rPr>
        <w:t>.</w:t>
      </w:r>
      <w:r w:rsidR="00E6413F" w:rsidRPr="00CF6765">
        <w:rPr>
          <w:rFonts w:eastAsia="Calibri"/>
          <w:sz w:val="20"/>
          <w:szCs w:val="20"/>
          <w:vertAlign w:val="superscript"/>
          <w:lang w:val="en-US" w:eastAsia="en-US"/>
        </w:rPr>
        <w:footnoteReference w:id="263"/>
      </w:r>
      <w:r w:rsidR="00E6413F" w:rsidRPr="00CF6765">
        <w:rPr>
          <w:rFonts w:eastAsia="Calibri"/>
          <w:sz w:val="20"/>
          <w:szCs w:val="20"/>
          <w:lang w:val="en-US" w:eastAsia="en-US"/>
        </w:rPr>
        <w:t xml:space="preserve"> </w:t>
      </w:r>
    </w:p>
    <w:p w14:paraId="664B15C0" w14:textId="77777777" w:rsidR="00E6413F" w:rsidRPr="00CF6765" w:rsidRDefault="00E6413F" w:rsidP="005430FF">
      <w:pPr>
        <w:tabs>
          <w:tab w:val="left" w:pos="567"/>
        </w:tabs>
        <w:rPr>
          <w:rFonts w:eastAsia="Calibri"/>
          <w:sz w:val="20"/>
          <w:szCs w:val="20"/>
          <w:lang w:val="en-US" w:eastAsia="en-US"/>
        </w:rPr>
      </w:pPr>
    </w:p>
    <w:p w14:paraId="698E41C9" w14:textId="430E3366" w:rsidR="00A90C28" w:rsidRPr="00CF6765" w:rsidRDefault="00345FF2" w:rsidP="002D6AC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In this regard, neither </w:t>
      </w:r>
      <w:r w:rsidR="00D2168F" w:rsidRPr="00CF6765">
        <w:rPr>
          <w:rFonts w:eastAsia="Calibri"/>
          <w:sz w:val="20"/>
          <w:szCs w:val="20"/>
          <w:lang w:val="en-US" w:eastAsia="en-US"/>
        </w:rPr>
        <w:t>the representatives</w:t>
      </w:r>
      <w:r w:rsidR="004738DD" w:rsidRPr="00CF6765">
        <w:rPr>
          <w:rFonts w:eastAsia="Calibri"/>
          <w:sz w:val="20"/>
          <w:szCs w:val="20"/>
          <w:lang w:val="en-US" w:eastAsia="en-US"/>
        </w:rPr>
        <w:t xml:space="preserve"> n</w:t>
      </w:r>
      <w:r w:rsidRPr="00CF6765">
        <w:rPr>
          <w:rFonts w:eastAsia="Calibri"/>
          <w:sz w:val="20"/>
          <w:szCs w:val="20"/>
          <w:lang w:val="en-US" w:eastAsia="en-US"/>
        </w:rPr>
        <w:t>or</w:t>
      </w:r>
      <w:r w:rsidR="004738DD" w:rsidRPr="00CF6765">
        <w:rPr>
          <w:rFonts w:eastAsia="Calibri"/>
          <w:sz w:val="20"/>
          <w:szCs w:val="20"/>
          <w:lang w:val="en-US" w:eastAsia="en-US"/>
        </w:rPr>
        <w:t xml:space="preserve"> </w:t>
      </w:r>
      <w:r w:rsidR="00EC50FC" w:rsidRPr="00CF6765">
        <w:rPr>
          <w:rFonts w:eastAsia="Calibri"/>
          <w:sz w:val="20"/>
          <w:szCs w:val="20"/>
          <w:lang w:val="en-US" w:eastAsia="en-US"/>
        </w:rPr>
        <w:t>the State</w:t>
      </w:r>
      <w:r w:rsidR="004738DD" w:rsidRPr="00CF6765">
        <w:rPr>
          <w:rFonts w:eastAsia="Calibri"/>
          <w:sz w:val="20"/>
          <w:szCs w:val="20"/>
          <w:lang w:val="en-US" w:eastAsia="en-US"/>
        </w:rPr>
        <w:t xml:space="preserve"> </w:t>
      </w:r>
      <w:r w:rsidR="00011112" w:rsidRPr="00CF6765">
        <w:rPr>
          <w:rFonts w:eastAsia="Calibri"/>
          <w:sz w:val="20"/>
          <w:szCs w:val="20"/>
          <w:lang w:val="en-US" w:eastAsia="en-US"/>
        </w:rPr>
        <w:t>have argued</w:t>
      </w:r>
      <w:r w:rsidR="002D6AC1" w:rsidRPr="00CF6765">
        <w:rPr>
          <w:rFonts w:eastAsia="Calibri"/>
          <w:sz w:val="20"/>
          <w:szCs w:val="20"/>
          <w:lang w:val="en-US" w:eastAsia="en-US"/>
        </w:rPr>
        <w:t xml:space="preserve"> that the surgical procedure performed on</w:t>
      </w:r>
      <w:r w:rsidR="009339F5" w:rsidRPr="00CF6765">
        <w:rPr>
          <w:rFonts w:eastAsia="Calibri"/>
          <w:sz w:val="20"/>
          <w:szCs w:val="20"/>
          <w:lang w:val="en-US" w:eastAsia="en-US"/>
        </w:rPr>
        <w:t xml:space="preserve"> Mr. Poblete</w:t>
      </w:r>
      <w:r w:rsidR="004738DD" w:rsidRPr="00CF6765">
        <w:rPr>
          <w:rFonts w:eastAsia="Calibri"/>
          <w:sz w:val="20"/>
          <w:szCs w:val="20"/>
          <w:lang w:val="en-US" w:eastAsia="en-US"/>
        </w:rPr>
        <w:t xml:space="preserve"> </w:t>
      </w:r>
      <w:proofErr w:type="spellStart"/>
      <w:r w:rsidR="004738DD" w:rsidRPr="00CF6765">
        <w:rPr>
          <w:rFonts w:eastAsia="Calibri"/>
          <w:sz w:val="20"/>
          <w:szCs w:val="20"/>
          <w:lang w:val="en-US" w:eastAsia="en-US"/>
        </w:rPr>
        <w:t>Vilches</w:t>
      </w:r>
      <w:proofErr w:type="spellEnd"/>
      <w:r w:rsidR="004738DD" w:rsidRPr="00CF6765">
        <w:rPr>
          <w:rFonts w:eastAsia="Calibri"/>
          <w:sz w:val="20"/>
          <w:szCs w:val="20"/>
          <w:lang w:val="en-US" w:eastAsia="en-US"/>
        </w:rPr>
        <w:t xml:space="preserve"> (</w:t>
      </w:r>
      <w:r w:rsidR="002D6AC1" w:rsidRPr="00CF6765">
        <w:rPr>
          <w:rFonts w:eastAsia="Calibri"/>
          <w:sz w:val="20"/>
          <w:szCs w:val="20"/>
          <w:lang w:val="en-US" w:eastAsia="en-US"/>
        </w:rPr>
        <w:t>during his first</w:t>
      </w:r>
      <w:r w:rsidR="00B06735" w:rsidRPr="00CF6765">
        <w:rPr>
          <w:rFonts w:eastAsia="Calibri"/>
          <w:sz w:val="20"/>
          <w:szCs w:val="20"/>
          <w:lang w:val="en-US" w:eastAsia="en-US"/>
        </w:rPr>
        <w:t xml:space="preserve"> admission</w:t>
      </w:r>
      <w:r w:rsidR="004738DD" w:rsidRPr="00CF6765">
        <w:rPr>
          <w:rFonts w:eastAsia="Calibri"/>
          <w:sz w:val="20"/>
          <w:szCs w:val="20"/>
          <w:lang w:val="en-US" w:eastAsia="en-US"/>
        </w:rPr>
        <w:t>)</w:t>
      </w:r>
      <w:r w:rsidR="002D6AC1" w:rsidRPr="00CF6765">
        <w:rPr>
          <w:rFonts w:eastAsia="Calibri"/>
          <w:sz w:val="20"/>
          <w:szCs w:val="20"/>
          <w:lang w:val="en-US" w:eastAsia="en-US"/>
        </w:rPr>
        <w:t xml:space="preserve"> was an emergency procedure. Moreover, there is no evidence </w:t>
      </w:r>
      <w:r w:rsidR="00011112" w:rsidRPr="00CF6765">
        <w:rPr>
          <w:rFonts w:eastAsia="Calibri"/>
          <w:sz w:val="20"/>
          <w:szCs w:val="20"/>
          <w:lang w:val="en-US" w:eastAsia="en-US"/>
        </w:rPr>
        <w:t>that it was</w:t>
      </w:r>
      <w:r w:rsidR="002D6AC1" w:rsidRPr="00CF6765">
        <w:rPr>
          <w:rFonts w:eastAsia="Calibri"/>
          <w:sz w:val="20"/>
          <w:szCs w:val="20"/>
          <w:lang w:val="en-US" w:eastAsia="en-US"/>
        </w:rPr>
        <w:t xml:space="preserve">. Consequently, the Court finds that this </w:t>
      </w:r>
      <w:r w:rsidR="00011112" w:rsidRPr="00CF6765">
        <w:rPr>
          <w:rFonts w:eastAsia="Calibri"/>
          <w:sz w:val="20"/>
          <w:szCs w:val="20"/>
          <w:lang w:val="en-US" w:eastAsia="en-US"/>
        </w:rPr>
        <w:t xml:space="preserve">incision </w:t>
      </w:r>
      <w:r w:rsidR="002D6AC1" w:rsidRPr="00CF6765">
        <w:rPr>
          <w:rFonts w:eastAsia="Calibri"/>
          <w:sz w:val="20"/>
          <w:szCs w:val="20"/>
          <w:lang w:val="en-US" w:eastAsia="en-US"/>
        </w:rPr>
        <w:t>procedure was not an emergency procedure</w:t>
      </w:r>
      <w:r w:rsidR="00011112" w:rsidRPr="00CF6765">
        <w:rPr>
          <w:rFonts w:eastAsia="Calibri"/>
          <w:sz w:val="20"/>
          <w:szCs w:val="20"/>
          <w:lang w:val="en-US" w:eastAsia="en-US"/>
        </w:rPr>
        <w:t>; therefore,</w:t>
      </w:r>
      <w:r w:rsidR="002D6AC1" w:rsidRPr="00CF6765">
        <w:rPr>
          <w:rFonts w:eastAsia="Calibri"/>
          <w:sz w:val="20"/>
          <w:szCs w:val="20"/>
          <w:lang w:val="en-US" w:eastAsia="en-US"/>
        </w:rPr>
        <w:t xml:space="preserve"> based on the domestic norms</w:t>
      </w:r>
      <w:r w:rsidR="007626CD" w:rsidRPr="00CF6765">
        <w:rPr>
          <w:rFonts w:eastAsia="Calibri"/>
          <w:sz w:val="20"/>
          <w:szCs w:val="20"/>
          <w:lang w:val="en-US" w:eastAsia="en-US"/>
        </w:rPr>
        <w:t xml:space="preserve"> (</w:t>
      </w:r>
      <w:r w:rsidR="007626CD" w:rsidRPr="00CF6765">
        <w:rPr>
          <w:rFonts w:eastAsia="Calibri"/>
          <w:i/>
          <w:sz w:val="20"/>
          <w:szCs w:val="20"/>
          <w:lang w:val="en-US" w:eastAsia="en-US"/>
        </w:rPr>
        <w:t xml:space="preserve">supra </w:t>
      </w:r>
      <w:r w:rsidR="00EC50FC" w:rsidRPr="00CF6765">
        <w:rPr>
          <w:rFonts w:eastAsia="Calibri"/>
          <w:sz w:val="20"/>
          <w:szCs w:val="20"/>
          <w:lang w:val="en-US" w:eastAsia="en-US"/>
        </w:rPr>
        <w:t>para.</w:t>
      </w:r>
      <w:r w:rsidR="006B0DAE" w:rsidRPr="00CF6765">
        <w:rPr>
          <w:rFonts w:eastAsia="Calibri"/>
          <w:sz w:val="20"/>
          <w:szCs w:val="20"/>
          <w:lang w:val="en-US" w:eastAsia="en-US"/>
        </w:rPr>
        <w:t xml:space="preserve"> 165</w:t>
      </w:r>
      <w:r w:rsidR="007626CD" w:rsidRPr="00CF6765">
        <w:rPr>
          <w:rFonts w:eastAsia="Calibri"/>
          <w:sz w:val="20"/>
          <w:szCs w:val="20"/>
          <w:lang w:val="en-US" w:eastAsia="en-US"/>
        </w:rPr>
        <w:t>)</w:t>
      </w:r>
      <w:r w:rsidR="00A90C28" w:rsidRPr="00CF6765">
        <w:rPr>
          <w:rFonts w:eastAsia="Calibri"/>
          <w:sz w:val="20"/>
          <w:szCs w:val="20"/>
          <w:lang w:val="en-US" w:eastAsia="en-US"/>
        </w:rPr>
        <w:t>,</w:t>
      </w:r>
      <w:r w:rsidR="002D6AC1" w:rsidRPr="00CF6765">
        <w:rPr>
          <w:rFonts w:eastAsia="Calibri"/>
          <w:sz w:val="20"/>
          <w:szCs w:val="20"/>
          <w:lang w:val="en-US" w:eastAsia="en-US"/>
        </w:rPr>
        <w:t xml:space="preserve"> it was necessary to obtain the consent of the family members, and that did not happen in this specific case.</w:t>
      </w:r>
      <w:r w:rsidR="00AA65C5" w:rsidRPr="00CF6765">
        <w:rPr>
          <w:rStyle w:val="Refdenotaalpie"/>
          <w:rFonts w:eastAsia="Calibri"/>
          <w:sz w:val="20"/>
          <w:lang w:val="en-US"/>
        </w:rPr>
        <w:footnoteReference w:id="264"/>
      </w:r>
    </w:p>
    <w:p w14:paraId="1CFFB7BD" w14:textId="77777777" w:rsidR="001B222D" w:rsidRPr="00CF6765" w:rsidRDefault="001B222D" w:rsidP="00E03C26">
      <w:pPr>
        <w:ind w:right="-360"/>
        <w:rPr>
          <w:rFonts w:eastAsia="Calibri"/>
          <w:b/>
          <w:sz w:val="20"/>
          <w:szCs w:val="20"/>
          <w:lang w:val="en-US" w:eastAsia="en-US"/>
        </w:rPr>
      </w:pPr>
    </w:p>
    <w:p w14:paraId="4FC818A8" w14:textId="63E09F30" w:rsidR="001B222D" w:rsidRPr="00CF6765" w:rsidRDefault="002D6AC1" w:rsidP="00AB1E03">
      <w:pPr>
        <w:widowControl w:val="0"/>
        <w:numPr>
          <w:ilvl w:val="0"/>
          <w:numId w:val="2"/>
        </w:numPr>
        <w:tabs>
          <w:tab w:val="left" w:pos="567"/>
          <w:tab w:val="num" w:pos="1247"/>
          <w:tab w:val="num" w:pos="12305"/>
        </w:tabs>
        <w:adjustRightInd w:val="0"/>
        <w:ind w:left="0" w:firstLine="0"/>
        <w:textAlignment w:val="baseline"/>
        <w:rPr>
          <w:sz w:val="20"/>
          <w:szCs w:val="20"/>
          <w:lang w:val="en-US"/>
        </w:rPr>
      </w:pPr>
      <w:r w:rsidRPr="00CF6765">
        <w:rPr>
          <w:rFonts w:eastAsia="Calibri"/>
          <w:sz w:val="20"/>
          <w:szCs w:val="20"/>
          <w:lang w:val="en-US" w:eastAsia="en-US"/>
        </w:rPr>
        <w:t>Regarding the right to dignity recognized in</w:t>
      </w:r>
      <w:r w:rsidR="001B222D"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1B222D" w:rsidRPr="00CF6765">
        <w:rPr>
          <w:rFonts w:eastAsia="Calibri"/>
          <w:sz w:val="20"/>
          <w:szCs w:val="20"/>
          <w:lang w:val="en-US" w:eastAsia="en-US"/>
        </w:rPr>
        <w:t xml:space="preserve"> 11</w:t>
      </w:r>
      <w:r w:rsidR="005C731C" w:rsidRPr="00CF6765">
        <w:rPr>
          <w:rFonts w:eastAsia="Calibri"/>
          <w:sz w:val="20"/>
          <w:szCs w:val="20"/>
          <w:lang w:val="en-US" w:eastAsia="en-US"/>
        </w:rPr>
        <w:t xml:space="preserve"> of the American Convention</w:t>
      </w:r>
      <w:r w:rsidR="001B222D"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1B222D" w:rsidRPr="00CF6765">
        <w:rPr>
          <w:rFonts w:eastAsia="Calibri"/>
          <w:sz w:val="20"/>
          <w:szCs w:val="20"/>
          <w:lang w:val="en-US" w:eastAsia="en-US"/>
        </w:rPr>
        <w:t xml:space="preserve"> ha</w:t>
      </w:r>
      <w:r w:rsidRPr="00CF6765">
        <w:rPr>
          <w:rFonts w:eastAsia="Calibri"/>
          <w:sz w:val="20"/>
          <w:szCs w:val="20"/>
          <w:lang w:val="en-US" w:eastAsia="en-US"/>
        </w:rPr>
        <w:t xml:space="preserve">s </w:t>
      </w:r>
      <w:r w:rsidR="00011112" w:rsidRPr="00CF6765">
        <w:rPr>
          <w:rFonts w:eastAsia="Calibri"/>
          <w:sz w:val="20"/>
          <w:szCs w:val="20"/>
          <w:lang w:val="en-US" w:eastAsia="en-US"/>
        </w:rPr>
        <w:t>indicated</w:t>
      </w:r>
      <w:r w:rsidRPr="00CF6765">
        <w:rPr>
          <w:rFonts w:eastAsia="Calibri"/>
          <w:sz w:val="20"/>
          <w:szCs w:val="20"/>
          <w:lang w:val="en-US" w:eastAsia="en-US"/>
        </w:rPr>
        <w:t xml:space="preserve"> that a central </w:t>
      </w:r>
      <w:r w:rsidR="0090740B" w:rsidRPr="00CF6765">
        <w:rPr>
          <w:rFonts w:eastAsia="Calibri"/>
          <w:sz w:val="20"/>
          <w:szCs w:val="20"/>
          <w:lang w:val="en-US" w:eastAsia="en-US"/>
        </w:rPr>
        <w:t>aspect</w:t>
      </w:r>
      <w:r w:rsidRPr="00CF6765">
        <w:rPr>
          <w:rFonts w:eastAsia="Calibri"/>
          <w:sz w:val="20"/>
          <w:szCs w:val="20"/>
          <w:lang w:val="en-US" w:eastAsia="en-US"/>
        </w:rPr>
        <w:t xml:space="preserve"> of </w:t>
      </w:r>
      <w:r w:rsidR="00011112" w:rsidRPr="00CF6765">
        <w:rPr>
          <w:rFonts w:eastAsia="Calibri"/>
          <w:sz w:val="20"/>
          <w:szCs w:val="20"/>
          <w:lang w:val="en-US" w:eastAsia="en-US"/>
        </w:rPr>
        <w:t xml:space="preserve">the </w:t>
      </w:r>
      <w:r w:rsidRPr="00CF6765">
        <w:rPr>
          <w:rFonts w:eastAsia="Calibri"/>
          <w:sz w:val="20"/>
          <w:szCs w:val="20"/>
          <w:lang w:val="en-US" w:eastAsia="en-US"/>
        </w:rPr>
        <w:t xml:space="preserve">recognition of dignity is constituted by the possibility of </w:t>
      </w:r>
      <w:r w:rsidR="00011112" w:rsidRPr="00CF6765">
        <w:rPr>
          <w:rFonts w:eastAsia="Calibri"/>
          <w:sz w:val="20"/>
          <w:szCs w:val="20"/>
          <w:lang w:val="en-US" w:eastAsia="en-US"/>
        </w:rPr>
        <w:t>all</w:t>
      </w:r>
      <w:r w:rsidRPr="00CF6765">
        <w:rPr>
          <w:rFonts w:eastAsia="Calibri"/>
          <w:sz w:val="20"/>
          <w:szCs w:val="20"/>
          <w:lang w:val="en-US" w:eastAsia="en-US"/>
        </w:rPr>
        <w:t xml:space="preserve"> human being</w:t>
      </w:r>
      <w:r w:rsidR="00011112" w:rsidRPr="00CF6765">
        <w:rPr>
          <w:rFonts w:eastAsia="Calibri"/>
          <w:sz w:val="20"/>
          <w:szCs w:val="20"/>
          <w:lang w:val="en-US" w:eastAsia="en-US"/>
        </w:rPr>
        <w:t>s</w:t>
      </w:r>
      <w:r w:rsidRPr="00CF6765">
        <w:rPr>
          <w:rFonts w:eastAsia="Calibri"/>
          <w:sz w:val="20"/>
          <w:szCs w:val="20"/>
          <w:lang w:val="en-US" w:eastAsia="en-US"/>
        </w:rPr>
        <w:t xml:space="preserve"> for self-determination and to freely choose the options and circumstances that give a meaning to their existence, based on their own choices and convictions.</w:t>
      </w:r>
      <w:r w:rsidR="001B222D" w:rsidRPr="00CF6765">
        <w:rPr>
          <w:rFonts w:eastAsia="Calibri"/>
          <w:sz w:val="20"/>
          <w:szCs w:val="20"/>
          <w:vertAlign w:val="superscript"/>
          <w:lang w:val="en-US" w:eastAsia="en-US"/>
        </w:rPr>
        <w:footnoteReference w:id="265"/>
      </w:r>
      <w:r w:rsidRPr="00CF6765">
        <w:rPr>
          <w:rFonts w:eastAsia="Calibri"/>
          <w:sz w:val="20"/>
          <w:szCs w:val="20"/>
          <w:lang w:val="en-US" w:eastAsia="en-US"/>
        </w:rPr>
        <w:t xml:space="preserve"> Furthermore, the second paragraph of this article establishes the inviolability of private and family life, </w:t>
      </w:r>
      <w:r w:rsidR="008E5FEC" w:rsidRPr="00CF6765">
        <w:rPr>
          <w:sz w:val="20"/>
          <w:szCs w:val="20"/>
          <w:lang w:val="en-US"/>
        </w:rPr>
        <w:t>among other protected areas</w:t>
      </w:r>
      <w:r w:rsidR="001B222D" w:rsidRPr="00CF6765">
        <w:rPr>
          <w:sz w:val="20"/>
          <w:szCs w:val="20"/>
          <w:lang w:val="en-US"/>
        </w:rPr>
        <w:t xml:space="preserve">. </w:t>
      </w:r>
      <w:r w:rsidR="008E5FEC" w:rsidRPr="00CF6765">
        <w:rPr>
          <w:sz w:val="20"/>
          <w:szCs w:val="20"/>
          <w:lang w:val="en-US"/>
        </w:rPr>
        <w:t>In this regard</w:t>
      </w:r>
      <w:r w:rsidR="001B222D" w:rsidRPr="00CF6765">
        <w:rPr>
          <w:sz w:val="20"/>
          <w:szCs w:val="20"/>
          <w:lang w:val="en-US"/>
        </w:rPr>
        <w:t xml:space="preserve">, </w:t>
      </w:r>
      <w:r w:rsidR="005C731C" w:rsidRPr="00CF6765">
        <w:rPr>
          <w:sz w:val="20"/>
          <w:szCs w:val="20"/>
          <w:lang w:val="en-US"/>
        </w:rPr>
        <w:t>the Court</w:t>
      </w:r>
      <w:r w:rsidR="001B222D" w:rsidRPr="00CF6765">
        <w:rPr>
          <w:sz w:val="20"/>
          <w:szCs w:val="20"/>
          <w:lang w:val="en-US"/>
        </w:rPr>
        <w:t xml:space="preserve"> reitera</w:t>
      </w:r>
      <w:r w:rsidR="008E5FEC" w:rsidRPr="00CF6765">
        <w:rPr>
          <w:sz w:val="20"/>
          <w:szCs w:val="20"/>
          <w:lang w:val="en-US"/>
        </w:rPr>
        <w:t>tes that</w:t>
      </w:r>
      <w:r w:rsidR="001B222D" w:rsidRPr="00CF6765">
        <w:rPr>
          <w:sz w:val="20"/>
          <w:szCs w:val="20"/>
          <w:lang w:val="en-US"/>
        </w:rPr>
        <w:t xml:space="preserve"> </w:t>
      </w:r>
      <w:r w:rsidR="005C731C" w:rsidRPr="00CF6765">
        <w:rPr>
          <w:sz w:val="20"/>
          <w:szCs w:val="20"/>
          <w:lang w:val="en-US"/>
        </w:rPr>
        <w:t>Article</w:t>
      </w:r>
      <w:r w:rsidR="001B222D" w:rsidRPr="00CF6765">
        <w:rPr>
          <w:sz w:val="20"/>
          <w:szCs w:val="20"/>
          <w:lang w:val="en-US"/>
        </w:rPr>
        <w:t xml:space="preserve"> 11</w:t>
      </w:r>
      <w:r w:rsidR="008E5FEC" w:rsidRPr="00CF6765">
        <w:rPr>
          <w:sz w:val="20"/>
          <w:szCs w:val="20"/>
          <w:lang w:val="en-US"/>
        </w:rPr>
        <w:t>(</w:t>
      </w:r>
      <w:r w:rsidR="001B222D" w:rsidRPr="00CF6765">
        <w:rPr>
          <w:sz w:val="20"/>
          <w:szCs w:val="20"/>
          <w:lang w:val="en-US"/>
        </w:rPr>
        <w:t>2</w:t>
      </w:r>
      <w:r w:rsidR="008E5FEC" w:rsidRPr="00CF6765">
        <w:rPr>
          <w:sz w:val="20"/>
          <w:szCs w:val="20"/>
          <w:lang w:val="en-US"/>
        </w:rPr>
        <w:t>)</w:t>
      </w:r>
      <w:r w:rsidR="005C731C" w:rsidRPr="00CF6765">
        <w:rPr>
          <w:sz w:val="20"/>
          <w:szCs w:val="20"/>
          <w:lang w:val="en-US"/>
        </w:rPr>
        <w:t xml:space="preserve"> of the American Convention</w:t>
      </w:r>
      <w:r w:rsidR="001B222D" w:rsidRPr="00CF6765">
        <w:rPr>
          <w:sz w:val="20"/>
          <w:szCs w:val="20"/>
          <w:lang w:val="en-US"/>
        </w:rPr>
        <w:t xml:space="preserve"> </w:t>
      </w:r>
      <w:r w:rsidR="008E5FEC" w:rsidRPr="00CF6765">
        <w:rPr>
          <w:sz w:val="20"/>
          <w:szCs w:val="20"/>
          <w:lang w:val="en-US"/>
        </w:rPr>
        <w:t xml:space="preserve">is closely related to </w:t>
      </w:r>
      <w:r w:rsidR="00DE6950" w:rsidRPr="00CF6765">
        <w:rPr>
          <w:sz w:val="20"/>
          <w:szCs w:val="20"/>
          <w:lang w:val="en-US"/>
        </w:rPr>
        <w:t>the right</w:t>
      </w:r>
      <w:r w:rsidR="001B222D" w:rsidRPr="00CF6765">
        <w:rPr>
          <w:sz w:val="20"/>
          <w:szCs w:val="20"/>
          <w:lang w:val="en-US"/>
        </w:rPr>
        <w:t xml:space="preserve"> </w:t>
      </w:r>
      <w:r w:rsidRPr="00CF6765">
        <w:rPr>
          <w:sz w:val="20"/>
          <w:szCs w:val="20"/>
          <w:lang w:val="en-US"/>
        </w:rPr>
        <w:t>contemplated</w:t>
      </w:r>
      <w:r w:rsidR="008E5FEC" w:rsidRPr="00CF6765">
        <w:rPr>
          <w:sz w:val="20"/>
          <w:szCs w:val="20"/>
          <w:lang w:val="en-US"/>
        </w:rPr>
        <w:t xml:space="preserve"> in</w:t>
      </w:r>
      <w:r w:rsidR="001B222D" w:rsidRPr="00CF6765">
        <w:rPr>
          <w:sz w:val="20"/>
          <w:szCs w:val="20"/>
          <w:lang w:val="en-US"/>
        </w:rPr>
        <w:t xml:space="preserve"> </w:t>
      </w:r>
      <w:r w:rsidR="005C731C" w:rsidRPr="00CF6765">
        <w:rPr>
          <w:sz w:val="20"/>
          <w:szCs w:val="20"/>
          <w:lang w:val="en-US"/>
        </w:rPr>
        <w:t>Article</w:t>
      </w:r>
      <w:r w:rsidR="001B222D" w:rsidRPr="00CF6765">
        <w:rPr>
          <w:sz w:val="20"/>
          <w:szCs w:val="20"/>
          <w:lang w:val="en-US"/>
        </w:rPr>
        <w:t xml:space="preserve"> 17 </w:t>
      </w:r>
      <w:r w:rsidR="008E5FEC" w:rsidRPr="00CF6765">
        <w:rPr>
          <w:sz w:val="20"/>
          <w:szCs w:val="20"/>
          <w:lang w:val="en-US"/>
        </w:rPr>
        <w:t>of this instrument,</w:t>
      </w:r>
      <w:r w:rsidR="001B222D" w:rsidRPr="00CF6765">
        <w:rPr>
          <w:sz w:val="20"/>
          <w:szCs w:val="20"/>
          <w:vertAlign w:val="superscript"/>
          <w:lang w:val="en-US"/>
        </w:rPr>
        <w:footnoteReference w:id="266"/>
      </w:r>
      <w:r w:rsidR="008E5FEC" w:rsidRPr="00CF6765">
        <w:rPr>
          <w:sz w:val="20"/>
          <w:szCs w:val="20"/>
          <w:lang w:val="en-US"/>
        </w:rPr>
        <w:t xml:space="preserve"> which recognizes the </w:t>
      </w:r>
      <w:r w:rsidR="008E5FEC" w:rsidRPr="00CF6765">
        <w:rPr>
          <w:sz w:val="20"/>
          <w:szCs w:val="20"/>
          <w:lang w:val="en-US"/>
        </w:rPr>
        <w:lastRenderedPageBreak/>
        <w:t xml:space="preserve">central role of the family and family life in the existence of an individual and in society in </w:t>
      </w:r>
      <w:r w:rsidR="001B222D" w:rsidRPr="00CF6765">
        <w:rPr>
          <w:sz w:val="20"/>
          <w:szCs w:val="20"/>
          <w:lang w:val="en-US"/>
        </w:rPr>
        <w:t>general</w:t>
      </w:r>
      <w:r w:rsidR="008E5FEC" w:rsidRPr="00CF6765">
        <w:rPr>
          <w:sz w:val="20"/>
          <w:szCs w:val="20"/>
          <w:lang w:val="en-US"/>
        </w:rPr>
        <w:t>.</w:t>
      </w:r>
      <w:r w:rsidR="001B222D" w:rsidRPr="00CF6765">
        <w:rPr>
          <w:rStyle w:val="Refdenotaalpie"/>
          <w:sz w:val="20"/>
          <w:szCs w:val="20"/>
          <w:lang w:val="en-US"/>
        </w:rPr>
        <w:footnoteReference w:id="267"/>
      </w:r>
      <w:r w:rsidR="001B222D" w:rsidRPr="00CF6765">
        <w:rPr>
          <w:sz w:val="20"/>
          <w:szCs w:val="20"/>
          <w:lang w:val="en-US"/>
        </w:rPr>
        <w:t xml:space="preserve"> </w:t>
      </w:r>
    </w:p>
    <w:p w14:paraId="579385B2" w14:textId="77777777" w:rsidR="001B222D" w:rsidRPr="00CF6765" w:rsidRDefault="001B222D" w:rsidP="00AB1E03">
      <w:pPr>
        <w:widowControl w:val="0"/>
        <w:tabs>
          <w:tab w:val="left" w:pos="567"/>
        </w:tabs>
        <w:adjustRightInd w:val="0"/>
        <w:textAlignment w:val="baseline"/>
        <w:rPr>
          <w:b/>
          <w:sz w:val="20"/>
          <w:szCs w:val="20"/>
          <w:lang w:val="en-US"/>
        </w:rPr>
      </w:pPr>
    </w:p>
    <w:p w14:paraId="1D2E47EC" w14:textId="365902CE" w:rsidR="001B222D" w:rsidRPr="00CF6765" w:rsidRDefault="008E5FEC" w:rsidP="008E5FEC">
      <w:pPr>
        <w:widowControl w:val="0"/>
        <w:numPr>
          <w:ilvl w:val="0"/>
          <w:numId w:val="2"/>
        </w:numPr>
        <w:tabs>
          <w:tab w:val="left" w:pos="567"/>
          <w:tab w:val="num" w:pos="1247"/>
          <w:tab w:val="num" w:pos="12305"/>
        </w:tabs>
        <w:adjustRightInd w:val="0"/>
        <w:ind w:left="0" w:firstLine="0"/>
        <w:textAlignment w:val="baseline"/>
        <w:rPr>
          <w:b/>
          <w:sz w:val="20"/>
          <w:szCs w:val="20"/>
          <w:lang w:val="en-US"/>
        </w:rPr>
      </w:pPr>
      <w:r w:rsidRPr="00CF6765">
        <w:rPr>
          <w:rFonts w:eastAsia="Calibri"/>
          <w:sz w:val="20"/>
          <w:szCs w:val="20"/>
          <w:lang w:val="en-US" w:eastAsia="en-US"/>
        </w:rPr>
        <w:t xml:space="preserve">This Court has also provided a broad interpretation to the concept of liberty recognized in Article 7 of the Convention, defining it as the capacity to do or not do everything that is legally allowed, permitting everyone to organize their individual and social life, pursuant to the law, based on their own </w:t>
      </w:r>
      <w:r w:rsidR="003220CE" w:rsidRPr="00CF6765">
        <w:rPr>
          <w:rFonts w:eastAsia="Calibri"/>
          <w:sz w:val="20"/>
          <w:szCs w:val="20"/>
          <w:lang w:val="en-US" w:eastAsia="en-US"/>
        </w:rPr>
        <w:t>choices</w:t>
      </w:r>
      <w:r w:rsidRPr="00CF6765">
        <w:rPr>
          <w:rFonts w:eastAsia="Calibri"/>
          <w:sz w:val="20"/>
          <w:szCs w:val="20"/>
          <w:lang w:val="en-US" w:eastAsia="en-US"/>
        </w:rPr>
        <w:t xml:space="preserve"> and convictions. The Court reiterates that this right is related to the </w:t>
      </w:r>
      <w:r w:rsidR="003220CE" w:rsidRPr="00CF6765">
        <w:rPr>
          <w:rFonts w:eastAsia="Calibri"/>
          <w:sz w:val="20"/>
          <w:szCs w:val="20"/>
          <w:lang w:val="en-US" w:eastAsia="en-US"/>
        </w:rPr>
        <w:t>freedom</w:t>
      </w:r>
      <w:r w:rsidRPr="00CF6765">
        <w:rPr>
          <w:rFonts w:eastAsia="Calibri"/>
          <w:sz w:val="20"/>
          <w:szCs w:val="20"/>
          <w:lang w:val="en-US" w:eastAsia="en-US"/>
        </w:rPr>
        <w:t xml:space="preserve"> to take</w:t>
      </w:r>
      <w:r w:rsidRPr="00CF6765">
        <w:rPr>
          <w:b/>
          <w:sz w:val="20"/>
          <w:szCs w:val="20"/>
          <w:lang w:val="en-US"/>
        </w:rPr>
        <w:t xml:space="preserve"> </w:t>
      </w:r>
      <w:r w:rsidR="00FA1F4E" w:rsidRPr="00CF6765">
        <w:rPr>
          <w:rFonts w:eastAsia="Calibri"/>
          <w:sz w:val="20"/>
          <w:szCs w:val="20"/>
          <w:lang w:val="en-US" w:eastAsia="en-US"/>
        </w:rPr>
        <w:t xml:space="preserve">decisions </w:t>
      </w:r>
      <w:r w:rsidR="004C7CBA" w:rsidRPr="00CF6765">
        <w:rPr>
          <w:rFonts w:eastAsia="Calibri"/>
          <w:sz w:val="20"/>
          <w:szCs w:val="20"/>
          <w:lang w:val="en-US" w:eastAsia="en-US"/>
        </w:rPr>
        <w:t xml:space="preserve">in </w:t>
      </w:r>
      <w:r w:rsidRPr="00CF6765">
        <w:rPr>
          <w:rFonts w:eastAsia="Calibri"/>
          <w:sz w:val="20"/>
          <w:szCs w:val="20"/>
          <w:lang w:val="en-US" w:eastAsia="en-US"/>
        </w:rPr>
        <w:t xml:space="preserve">matters relating to </w:t>
      </w:r>
      <w:r w:rsidR="004C7CBA" w:rsidRPr="00CF6765">
        <w:rPr>
          <w:rFonts w:eastAsia="Calibri"/>
          <w:sz w:val="20"/>
          <w:szCs w:val="20"/>
          <w:lang w:val="en-US" w:eastAsia="en-US"/>
        </w:rPr>
        <w:t>health</w:t>
      </w:r>
      <w:r w:rsidRPr="00CF6765">
        <w:rPr>
          <w:rFonts w:eastAsia="Calibri"/>
          <w:sz w:val="20"/>
          <w:szCs w:val="20"/>
          <w:lang w:val="en-US" w:eastAsia="en-US"/>
        </w:rPr>
        <w:t>.</w:t>
      </w:r>
      <w:r w:rsidR="00FA1F4E" w:rsidRPr="00CF6765">
        <w:rPr>
          <w:rStyle w:val="Refdenotaalpie"/>
          <w:rFonts w:eastAsia="Calibri"/>
          <w:sz w:val="20"/>
          <w:szCs w:val="20"/>
          <w:lang w:val="en-US" w:eastAsia="en-US"/>
        </w:rPr>
        <w:footnoteReference w:id="268"/>
      </w:r>
      <w:r w:rsidR="00FA1F4E" w:rsidRPr="00CF6765">
        <w:rPr>
          <w:rFonts w:eastAsia="Calibri"/>
          <w:b/>
          <w:sz w:val="20"/>
          <w:szCs w:val="20"/>
          <w:lang w:val="en-US" w:eastAsia="en-US"/>
        </w:rPr>
        <w:t xml:space="preserve"> </w:t>
      </w:r>
    </w:p>
    <w:p w14:paraId="587D77AB" w14:textId="77777777" w:rsidR="001B222D" w:rsidRPr="00CF6765" w:rsidRDefault="001B222D" w:rsidP="00AB1E03">
      <w:pPr>
        <w:tabs>
          <w:tab w:val="left" w:pos="567"/>
        </w:tabs>
        <w:rPr>
          <w:rFonts w:eastAsia="Calibri"/>
          <w:b/>
          <w:sz w:val="20"/>
          <w:szCs w:val="20"/>
          <w:lang w:val="en-US" w:eastAsia="en-US"/>
        </w:rPr>
      </w:pPr>
    </w:p>
    <w:p w14:paraId="33B4FDFA" w14:textId="1EE208F6" w:rsidR="00DB67A0" w:rsidRPr="00CF6765" w:rsidRDefault="002D6AC1" w:rsidP="007959D8">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In this regard</w:t>
      </w:r>
      <w:r w:rsidR="00FA1F4E"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1B222D" w:rsidRPr="00CF6765">
        <w:rPr>
          <w:rFonts w:eastAsia="Calibri"/>
          <w:sz w:val="20"/>
          <w:szCs w:val="20"/>
          <w:lang w:val="en-US" w:eastAsia="en-US"/>
        </w:rPr>
        <w:t xml:space="preserve"> ha</w:t>
      </w:r>
      <w:r w:rsidR="007959D8" w:rsidRPr="00CF6765">
        <w:rPr>
          <w:rFonts w:eastAsia="Calibri"/>
          <w:sz w:val="20"/>
          <w:szCs w:val="20"/>
          <w:lang w:val="en-US" w:eastAsia="en-US"/>
        </w:rPr>
        <w:t xml:space="preserve">s recognized the relationship that exists between obtaining informed consent before performing any medical act, and the autonomy and self-determination of the individual, as part of the respect and guarantee of the dignity of every human being, as well as </w:t>
      </w:r>
      <w:r w:rsidR="003220CE" w:rsidRPr="00CF6765">
        <w:rPr>
          <w:rFonts w:eastAsia="Calibri"/>
          <w:sz w:val="20"/>
          <w:szCs w:val="20"/>
          <w:lang w:val="en-US" w:eastAsia="en-US"/>
        </w:rPr>
        <w:t>the</w:t>
      </w:r>
      <w:r w:rsidR="007959D8" w:rsidRPr="00CF6765">
        <w:rPr>
          <w:rFonts w:eastAsia="Calibri"/>
          <w:sz w:val="20"/>
          <w:szCs w:val="20"/>
          <w:lang w:val="en-US" w:eastAsia="en-US"/>
        </w:rPr>
        <w:t xml:space="preserve"> right to liberty. Therefore the Court understands that the need to obtain informed consent protects not only the right of patients to decide freely whether or not they </w:t>
      </w:r>
      <w:r w:rsidR="0090740B" w:rsidRPr="00CF6765">
        <w:rPr>
          <w:rFonts w:eastAsia="Calibri"/>
          <w:sz w:val="20"/>
          <w:szCs w:val="20"/>
          <w:lang w:val="en-US" w:eastAsia="en-US"/>
        </w:rPr>
        <w:t>wish</w:t>
      </w:r>
      <w:r w:rsidR="007959D8" w:rsidRPr="00CF6765">
        <w:rPr>
          <w:rFonts w:eastAsia="Calibri"/>
          <w:sz w:val="20"/>
          <w:szCs w:val="20"/>
          <w:lang w:val="en-US" w:eastAsia="en-US"/>
        </w:rPr>
        <w:t xml:space="preserve"> to undergo a medical act, but is also a fundamental mechanism to achieve the respect and guarantee of different human rights recognized by</w:t>
      </w:r>
      <w:r w:rsidR="007959D8" w:rsidRPr="00CF6765">
        <w:rPr>
          <w:rFonts w:eastAsia="MS Mincho"/>
          <w:sz w:val="20"/>
          <w:szCs w:val="20"/>
          <w:lang w:val="en-US" w:eastAsia="en-US" w:bidi="en-US"/>
        </w:rPr>
        <w:t xml:space="preserve"> the American Convention, such as dignity, personal liberty, personal integrity, including health care, and private and family life.</w:t>
      </w:r>
      <w:r w:rsidR="001B222D" w:rsidRPr="00CF6765">
        <w:rPr>
          <w:rStyle w:val="Refdenotaalpie"/>
          <w:rFonts w:eastAsia="MS Mincho"/>
          <w:sz w:val="20"/>
          <w:szCs w:val="20"/>
          <w:lang w:val="en-US" w:eastAsia="en-US" w:bidi="en-US"/>
        </w:rPr>
        <w:footnoteReference w:id="269"/>
      </w:r>
      <w:r w:rsidR="007959D8" w:rsidRPr="00CF6765">
        <w:rPr>
          <w:rFonts w:eastAsia="MS Mincho"/>
          <w:sz w:val="20"/>
          <w:szCs w:val="20"/>
          <w:lang w:val="en-US" w:eastAsia="en-US" w:bidi="en-US"/>
        </w:rPr>
        <w:t xml:space="preserve"> Thus, the existence of a connection between </w:t>
      </w:r>
      <w:r w:rsidR="00FA1F4E" w:rsidRPr="00CF6765">
        <w:rPr>
          <w:rFonts w:eastAsia="Calibri"/>
          <w:sz w:val="20"/>
          <w:szCs w:val="20"/>
          <w:lang w:val="en-US" w:eastAsia="en-US"/>
        </w:rPr>
        <w:t xml:space="preserve"> </w:t>
      </w:r>
      <w:r w:rsidR="003C3208" w:rsidRPr="00CF6765">
        <w:rPr>
          <w:sz w:val="20"/>
          <w:szCs w:val="20"/>
          <w:lang w:val="en-US"/>
        </w:rPr>
        <w:t>informed consent</w:t>
      </w:r>
      <w:r w:rsidR="00FA1F4E" w:rsidRPr="00CF6765">
        <w:rPr>
          <w:bCs/>
          <w:sz w:val="20"/>
          <w:szCs w:val="20"/>
          <w:lang w:val="en-US"/>
        </w:rPr>
        <w:t xml:space="preserve"> </w:t>
      </w:r>
      <w:r w:rsidR="007959D8" w:rsidRPr="00CF6765">
        <w:rPr>
          <w:bCs/>
          <w:sz w:val="20"/>
          <w:szCs w:val="20"/>
          <w:lang w:val="en-US"/>
        </w:rPr>
        <w:t xml:space="preserve">and the personal liberty and autonomy to take decisions regarding one’s </w:t>
      </w:r>
      <w:r w:rsidR="0090740B" w:rsidRPr="00CF6765">
        <w:rPr>
          <w:bCs/>
          <w:sz w:val="20"/>
          <w:szCs w:val="20"/>
          <w:lang w:val="en-US"/>
        </w:rPr>
        <w:t>own</w:t>
      </w:r>
      <w:r w:rsidR="007959D8" w:rsidRPr="00CF6765">
        <w:rPr>
          <w:bCs/>
          <w:sz w:val="20"/>
          <w:szCs w:val="20"/>
          <w:lang w:val="en-US"/>
        </w:rPr>
        <w:t xml:space="preserve"> body and health requires, on the one hand, that the State ensure and respect the decisions and choices made freely and responsibly and, on the other</w:t>
      </w:r>
      <w:r w:rsidR="003220CE" w:rsidRPr="00CF6765">
        <w:rPr>
          <w:bCs/>
          <w:sz w:val="20"/>
          <w:szCs w:val="20"/>
          <w:lang w:val="en-US"/>
        </w:rPr>
        <w:t xml:space="preserve"> hand</w:t>
      </w:r>
      <w:r w:rsidR="007959D8" w:rsidRPr="00CF6765">
        <w:rPr>
          <w:bCs/>
          <w:sz w:val="20"/>
          <w:szCs w:val="20"/>
          <w:lang w:val="en-US"/>
        </w:rPr>
        <w:t>, that it ensure access to relevant information so that the individual is able to take informed decisions on the course of action to follow with regard to his body and health in accordance with his personal life plan.</w:t>
      </w:r>
      <w:r w:rsidR="00FA1F4E" w:rsidRPr="00CF6765">
        <w:rPr>
          <w:sz w:val="20"/>
          <w:szCs w:val="20"/>
          <w:vertAlign w:val="superscript"/>
          <w:lang w:val="en-US"/>
        </w:rPr>
        <w:footnoteReference w:id="270"/>
      </w:r>
    </w:p>
    <w:p w14:paraId="075C05C9" w14:textId="77777777" w:rsidR="00FA1F4E" w:rsidRPr="00CF6765" w:rsidRDefault="00FA1F4E" w:rsidP="00AB1E03">
      <w:pPr>
        <w:tabs>
          <w:tab w:val="left" w:pos="567"/>
        </w:tabs>
        <w:rPr>
          <w:rFonts w:eastAsia="Calibri"/>
          <w:b/>
          <w:sz w:val="20"/>
          <w:szCs w:val="20"/>
          <w:lang w:val="en-US" w:eastAsia="en-US"/>
        </w:rPr>
      </w:pPr>
    </w:p>
    <w:p w14:paraId="66FF2718" w14:textId="7EAE763E" w:rsidR="00DB67A0" w:rsidRPr="00CF6765" w:rsidRDefault="005C731C" w:rsidP="00AB1E03">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 Court</w:t>
      </w:r>
      <w:r w:rsidR="00FA1F4E" w:rsidRPr="00CF6765">
        <w:rPr>
          <w:rFonts w:eastAsia="Calibri"/>
          <w:sz w:val="20"/>
          <w:szCs w:val="20"/>
          <w:lang w:val="en-US" w:eastAsia="en-US"/>
        </w:rPr>
        <w:t xml:space="preserve"> observ</w:t>
      </w:r>
      <w:r w:rsidR="007959D8" w:rsidRPr="00CF6765">
        <w:rPr>
          <w:rFonts w:eastAsia="Calibri"/>
          <w:sz w:val="20"/>
          <w:szCs w:val="20"/>
          <w:lang w:val="en-US" w:eastAsia="en-US"/>
        </w:rPr>
        <w:t>es that the</w:t>
      </w:r>
      <w:r w:rsidR="00DE6950" w:rsidRPr="00CF6765">
        <w:rPr>
          <w:rFonts w:eastAsia="Calibri"/>
          <w:sz w:val="20"/>
          <w:szCs w:val="20"/>
          <w:lang w:val="en-US" w:eastAsia="en-US"/>
        </w:rPr>
        <w:t xml:space="preserve"> right</w:t>
      </w:r>
      <w:r w:rsidR="00FA1F4E" w:rsidRPr="00CF6765">
        <w:rPr>
          <w:rFonts w:eastAsia="Calibri"/>
          <w:sz w:val="20"/>
          <w:szCs w:val="20"/>
          <w:lang w:val="en-US" w:eastAsia="en-US"/>
        </w:rPr>
        <w:t xml:space="preserve"> </w:t>
      </w:r>
      <w:r w:rsidR="007959D8" w:rsidRPr="00CF6765">
        <w:rPr>
          <w:rFonts w:eastAsia="Calibri"/>
          <w:sz w:val="20"/>
          <w:szCs w:val="20"/>
          <w:lang w:val="en-US" w:eastAsia="en-US"/>
        </w:rPr>
        <w:t>to the</w:t>
      </w:r>
      <w:r w:rsidR="00FA1F4E" w:rsidRPr="00CF6765">
        <w:rPr>
          <w:rFonts w:eastAsia="Calibri"/>
          <w:sz w:val="20"/>
          <w:szCs w:val="20"/>
          <w:lang w:val="en-US" w:eastAsia="en-US"/>
        </w:rPr>
        <w:t xml:space="preserve"> </w:t>
      </w:r>
      <w:r w:rsidR="003C3208" w:rsidRPr="00CF6765">
        <w:rPr>
          <w:rFonts w:eastAsia="Calibri"/>
          <w:sz w:val="20"/>
          <w:szCs w:val="20"/>
          <w:lang w:val="en-US" w:eastAsia="en-US"/>
        </w:rPr>
        <w:t>informed consent</w:t>
      </w:r>
      <w:r w:rsidR="00FA1F4E" w:rsidRPr="00CF6765">
        <w:rPr>
          <w:rFonts w:eastAsia="Calibri"/>
          <w:sz w:val="20"/>
          <w:szCs w:val="20"/>
          <w:lang w:val="en-US" w:eastAsia="en-US"/>
        </w:rPr>
        <w:t xml:space="preserve"> </w:t>
      </w:r>
      <w:r w:rsidR="007959D8" w:rsidRPr="00CF6765">
        <w:rPr>
          <w:rFonts w:eastAsia="Calibri"/>
          <w:sz w:val="20"/>
          <w:szCs w:val="20"/>
          <w:lang w:val="en-US" w:eastAsia="en-US"/>
        </w:rPr>
        <w:t xml:space="preserve">of the family members being obtained has been acknowledged by </w:t>
      </w:r>
      <w:r w:rsidR="00EC50FC" w:rsidRPr="00CF6765">
        <w:rPr>
          <w:rFonts w:eastAsia="Calibri"/>
          <w:sz w:val="20"/>
          <w:szCs w:val="20"/>
          <w:lang w:val="en-US" w:eastAsia="en-US"/>
        </w:rPr>
        <w:t>the State</w:t>
      </w:r>
      <w:r w:rsidR="00FA1F4E" w:rsidRPr="00CF6765">
        <w:rPr>
          <w:rFonts w:eastAsia="Calibri"/>
          <w:sz w:val="20"/>
          <w:szCs w:val="20"/>
          <w:lang w:val="en-US" w:eastAsia="en-US"/>
        </w:rPr>
        <w:t xml:space="preserve"> (</w:t>
      </w:r>
      <w:r w:rsidR="00FA1F4E" w:rsidRPr="00CF6765">
        <w:rPr>
          <w:rFonts w:eastAsia="Calibri"/>
          <w:i/>
          <w:sz w:val="20"/>
          <w:szCs w:val="20"/>
          <w:lang w:val="en-US" w:eastAsia="en-US"/>
        </w:rPr>
        <w:t>supra</w:t>
      </w:r>
      <w:r w:rsidR="001137DA" w:rsidRPr="00CF6765">
        <w:rPr>
          <w:rFonts w:eastAsia="Calibri"/>
          <w:sz w:val="20"/>
          <w:szCs w:val="20"/>
          <w:lang w:val="en-US" w:eastAsia="en-US"/>
        </w:rPr>
        <w:t xml:space="preserve"> </w:t>
      </w:r>
      <w:r w:rsidR="00EC50FC" w:rsidRPr="00CF6765">
        <w:rPr>
          <w:rFonts w:eastAsia="Calibri"/>
          <w:sz w:val="20"/>
          <w:szCs w:val="20"/>
          <w:lang w:val="en-US" w:eastAsia="en-US"/>
        </w:rPr>
        <w:t>para.</w:t>
      </w:r>
      <w:r w:rsidR="001137DA" w:rsidRPr="00CF6765">
        <w:rPr>
          <w:rFonts w:eastAsia="Calibri"/>
          <w:sz w:val="20"/>
          <w:szCs w:val="20"/>
          <w:lang w:val="en-US" w:eastAsia="en-US"/>
        </w:rPr>
        <w:t xml:space="preserve"> 1</w:t>
      </w:r>
      <w:r w:rsidR="000E37CE" w:rsidRPr="00CF6765">
        <w:rPr>
          <w:rFonts w:eastAsia="Calibri"/>
          <w:sz w:val="20"/>
          <w:szCs w:val="20"/>
          <w:lang w:val="en-US" w:eastAsia="en-US"/>
        </w:rPr>
        <w:t>6</w:t>
      </w:r>
      <w:r w:rsidR="00FA1F4E" w:rsidRPr="00CF6765">
        <w:rPr>
          <w:rFonts w:eastAsia="Calibri"/>
          <w:sz w:val="20"/>
          <w:szCs w:val="20"/>
          <w:lang w:val="en-US" w:eastAsia="en-US"/>
        </w:rPr>
        <w:t>)</w:t>
      </w:r>
      <w:r w:rsidR="000E37CE" w:rsidRPr="00CF6765">
        <w:rPr>
          <w:rFonts w:eastAsia="Calibri"/>
          <w:sz w:val="20"/>
          <w:szCs w:val="20"/>
          <w:lang w:val="en-US" w:eastAsia="en-US"/>
        </w:rPr>
        <w:t xml:space="preserve">. </w:t>
      </w:r>
      <w:r w:rsidR="007959D8" w:rsidRPr="00CF6765">
        <w:rPr>
          <w:rFonts w:eastAsia="Calibri"/>
          <w:sz w:val="20"/>
          <w:szCs w:val="20"/>
          <w:lang w:val="en-US" w:eastAsia="en-US"/>
        </w:rPr>
        <w:t xml:space="preserve">Bearing in mind the provisions of domestic law and since </w:t>
      </w:r>
      <w:r w:rsidR="00D2168F" w:rsidRPr="00CF6765">
        <w:rPr>
          <w:rFonts w:eastAsia="Calibri"/>
          <w:sz w:val="20"/>
          <w:szCs w:val="20"/>
          <w:lang w:val="en-US" w:eastAsia="en-US"/>
        </w:rPr>
        <w:t>Mr. Poblete</w:t>
      </w:r>
      <w:r w:rsidR="002730F1" w:rsidRPr="00CF6765">
        <w:rPr>
          <w:rFonts w:eastAsia="Calibri"/>
          <w:sz w:val="20"/>
          <w:szCs w:val="20"/>
          <w:lang w:val="en-US" w:eastAsia="en-US"/>
        </w:rPr>
        <w:t xml:space="preserve"> </w:t>
      </w:r>
      <w:proofErr w:type="spellStart"/>
      <w:r w:rsidR="002730F1" w:rsidRPr="00CF6765">
        <w:rPr>
          <w:rFonts w:eastAsia="Calibri"/>
          <w:sz w:val="20"/>
          <w:szCs w:val="20"/>
          <w:lang w:val="en-US" w:eastAsia="en-US"/>
        </w:rPr>
        <w:t>Vilches</w:t>
      </w:r>
      <w:proofErr w:type="spellEnd"/>
      <w:r w:rsidR="002730F1" w:rsidRPr="00CF6765">
        <w:rPr>
          <w:rFonts w:eastAsia="Calibri"/>
          <w:sz w:val="20"/>
          <w:szCs w:val="20"/>
          <w:lang w:val="en-US" w:eastAsia="en-US"/>
        </w:rPr>
        <w:t xml:space="preserve"> </w:t>
      </w:r>
      <w:r w:rsidR="007959D8" w:rsidRPr="00CF6765">
        <w:rPr>
          <w:rFonts w:eastAsia="Calibri"/>
          <w:sz w:val="20"/>
          <w:szCs w:val="20"/>
          <w:lang w:val="en-US" w:eastAsia="en-US"/>
        </w:rPr>
        <w:t xml:space="preserve">was unable to take a </w:t>
      </w:r>
      <w:r w:rsidR="0090740B" w:rsidRPr="00CF6765">
        <w:rPr>
          <w:rFonts w:eastAsia="Calibri"/>
          <w:sz w:val="20"/>
          <w:szCs w:val="20"/>
          <w:lang w:val="en-US" w:eastAsia="en-US"/>
        </w:rPr>
        <w:t>decision</w:t>
      </w:r>
      <w:r w:rsidR="007959D8" w:rsidRPr="00CF6765">
        <w:rPr>
          <w:rFonts w:eastAsia="Calibri"/>
          <w:sz w:val="20"/>
          <w:szCs w:val="20"/>
          <w:lang w:val="en-US" w:eastAsia="en-US"/>
        </w:rPr>
        <w:t xml:space="preserve"> with regard to his health, this </w:t>
      </w:r>
      <w:r w:rsidR="004B6A6E" w:rsidRPr="00CF6765">
        <w:rPr>
          <w:rFonts w:eastAsia="Calibri"/>
          <w:sz w:val="20"/>
          <w:szCs w:val="20"/>
          <w:lang w:val="en-US" w:eastAsia="en-US"/>
        </w:rPr>
        <w:t>power should have been accorded</w:t>
      </w:r>
      <w:r w:rsidR="007959D8" w:rsidRPr="00CF6765">
        <w:rPr>
          <w:rFonts w:eastAsia="Calibri"/>
          <w:sz w:val="20"/>
          <w:szCs w:val="20"/>
          <w:lang w:val="en-US" w:eastAsia="en-US"/>
        </w:rPr>
        <w:t xml:space="preserve"> to his family members</w:t>
      </w:r>
      <w:r w:rsidR="002730F1" w:rsidRPr="00CF6765">
        <w:rPr>
          <w:rFonts w:eastAsia="Calibri"/>
          <w:sz w:val="20"/>
          <w:szCs w:val="20"/>
          <w:lang w:val="en-US" w:eastAsia="en-US"/>
        </w:rPr>
        <w:t xml:space="preserve">. </w:t>
      </w:r>
    </w:p>
    <w:p w14:paraId="7A8F59F3" w14:textId="77777777" w:rsidR="002730F1" w:rsidRPr="00CF6765" w:rsidRDefault="002730F1" w:rsidP="00AB1E03">
      <w:pPr>
        <w:tabs>
          <w:tab w:val="left" w:pos="567"/>
        </w:tabs>
        <w:rPr>
          <w:rFonts w:eastAsia="Calibri"/>
          <w:b/>
          <w:sz w:val="20"/>
          <w:szCs w:val="20"/>
          <w:lang w:val="en-US" w:eastAsia="en-US"/>
        </w:rPr>
      </w:pPr>
    </w:p>
    <w:p w14:paraId="69E2636E" w14:textId="74965EEB" w:rsidR="002730F1" w:rsidRPr="00CF6765" w:rsidRDefault="004B6A6E" w:rsidP="00AB1E03">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Accordingly, taking into considering the relationship between </w:t>
      </w:r>
      <w:r w:rsidR="003C3208" w:rsidRPr="00CF6765">
        <w:rPr>
          <w:rFonts w:eastAsia="Calibri"/>
          <w:sz w:val="20"/>
          <w:szCs w:val="20"/>
          <w:lang w:val="en-US" w:eastAsia="en-US"/>
        </w:rPr>
        <w:t>informed consent</w:t>
      </w:r>
      <w:r w:rsidR="002730F1" w:rsidRPr="00CF6765">
        <w:rPr>
          <w:rFonts w:eastAsia="Calibri"/>
          <w:sz w:val="20"/>
          <w:szCs w:val="20"/>
          <w:lang w:val="en-US" w:eastAsia="en-US"/>
        </w:rPr>
        <w:t xml:space="preserve"> </w:t>
      </w:r>
      <w:r w:rsidR="004C7CBA" w:rsidRPr="00CF6765">
        <w:rPr>
          <w:rFonts w:eastAsia="Calibri"/>
          <w:sz w:val="20"/>
          <w:szCs w:val="20"/>
          <w:lang w:val="en-US" w:eastAsia="en-US"/>
        </w:rPr>
        <w:t>in health-related matters</w:t>
      </w:r>
      <w:r w:rsidR="00847C4A" w:rsidRPr="00CF6765">
        <w:rPr>
          <w:rFonts w:eastAsia="Calibri"/>
          <w:sz w:val="20"/>
          <w:szCs w:val="20"/>
          <w:lang w:val="en-US" w:eastAsia="en-US"/>
        </w:rPr>
        <w:t xml:space="preserve"> </w:t>
      </w:r>
      <w:r w:rsidR="00F46F85" w:rsidRPr="00CF6765">
        <w:rPr>
          <w:rFonts w:eastAsia="Calibri"/>
          <w:sz w:val="20"/>
          <w:szCs w:val="20"/>
          <w:lang w:val="en-US" w:eastAsia="en-US"/>
        </w:rPr>
        <w:t>(</w:t>
      </w:r>
      <w:r w:rsidR="005C731C" w:rsidRPr="00CF6765">
        <w:rPr>
          <w:rFonts w:eastAsia="Calibri"/>
          <w:sz w:val="20"/>
          <w:szCs w:val="20"/>
          <w:lang w:val="en-US" w:eastAsia="en-US"/>
        </w:rPr>
        <w:t>Articles</w:t>
      </w:r>
      <w:r w:rsidR="00F46F85" w:rsidRPr="00CF6765">
        <w:rPr>
          <w:rFonts w:eastAsia="Calibri"/>
          <w:sz w:val="20"/>
          <w:szCs w:val="20"/>
          <w:lang w:val="en-US" w:eastAsia="en-US"/>
        </w:rPr>
        <w:t xml:space="preserve"> 26</w:t>
      </w:r>
      <w:r w:rsidR="00EC50FC" w:rsidRPr="00CF6765">
        <w:rPr>
          <w:rFonts w:eastAsia="Calibri"/>
          <w:sz w:val="20"/>
          <w:szCs w:val="20"/>
          <w:lang w:val="en-US" w:eastAsia="en-US"/>
        </w:rPr>
        <w:t xml:space="preserve"> and </w:t>
      </w:r>
      <w:r w:rsidR="00F46F85" w:rsidRPr="00CF6765">
        <w:rPr>
          <w:rFonts w:eastAsia="Calibri"/>
          <w:sz w:val="20"/>
          <w:szCs w:val="20"/>
          <w:lang w:val="en-US" w:eastAsia="en-US"/>
        </w:rPr>
        <w:t>13)</w:t>
      </w:r>
      <w:r w:rsidR="00EC50FC" w:rsidRPr="00CF6765">
        <w:rPr>
          <w:rFonts w:eastAsia="Calibri"/>
          <w:sz w:val="20"/>
          <w:szCs w:val="20"/>
          <w:lang w:val="en-US" w:eastAsia="en-US"/>
        </w:rPr>
        <w:t xml:space="preserve"> and </w:t>
      </w:r>
      <w:r w:rsidR="005C731C" w:rsidRPr="00CF6765">
        <w:rPr>
          <w:rFonts w:eastAsia="Calibri"/>
          <w:sz w:val="20"/>
          <w:szCs w:val="20"/>
          <w:lang w:val="en-US" w:eastAsia="en-US"/>
        </w:rPr>
        <w:t>A</w:t>
      </w:r>
      <w:r w:rsidR="007959D8" w:rsidRPr="00CF6765">
        <w:rPr>
          <w:rFonts w:eastAsia="Calibri"/>
          <w:sz w:val="20"/>
          <w:szCs w:val="20"/>
          <w:lang w:val="en-US" w:eastAsia="en-US"/>
        </w:rPr>
        <w:t>r</w:t>
      </w:r>
      <w:r w:rsidR="005C731C" w:rsidRPr="00CF6765">
        <w:rPr>
          <w:rFonts w:eastAsia="Calibri"/>
          <w:sz w:val="20"/>
          <w:szCs w:val="20"/>
          <w:lang w:val="en-US" w:eastAsia="en-US"/>
        </w:rPr>
        <w:t>ticles</w:t>
      </w:r>
      <w:r w:rsidR="002730F1" w:rsidRPr="00CF6765">
        <w:rPr>
          <w:rFonts w:eastAsia="Calibri"/>
          <w:sz w:val="20"/>
          <w:szCs w:val="20"/>
          <w:lang w:val="en-US" w:eastAsia="en-US"/>
        </w:rPr>
        <w:t xml:space="preserve"> 7</w:t>
      </w:r>
      <w:r w:rsidR="00EC50FC" w:rsidRPr="00CF6765">
        <w:rPr>
          <w:rFonts w:eastAsia="Calibri"/>
          <w:sz w:val="20"/>
          <w:szCs w:val="20"/>
          <w:lang w:val="en-US" w:eastAsia="en-US"/>
        </w:rPr>
        <w:t xml:space="preserve"> and </w:t>
      </w:r>
      <w:r w:rsidR="002730F1" w:rsidRPr="00CF6765">
        <w:rPr>
          <w:rFonts w:eastAsia="Calibri"/>
          <w:sz w:val="20"/>
          <w:szCs w:val="20"/>
          <w:lang w:val="en-US" w:eastAsia="en-US"/>
        </w:rPr>
        <w:t>11</w:t>
      </w:r>
      <w:r w:rsidR="005C731C" w:rsidRPr="00CF6765">
        <w:rPr>
          <w:rFonts w:eastAsia="Calibri"/>
          <w:sz w:val="20"/>
          <w:szCs w:val="20"/>
          <w:lang w:val="en-US" w:eastAsia="en-US"/>
        </w:rPr>
        <w:t xml:space="preserve"> of the American Convention</w:t>
      </w:r>
      <w:r w:rsidR="002730F1"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002730F1" w:rsidRPr="00CF6765">
        <w:rPr>
          <w:rFonts w:eastAsia="Calibri"/>
          <w:sz w:val="20"/>
          <w:szCs w:val="20"/>
          <w:lang w:val="en-US" w:eastAsia="en-US"/>
        </w:rPr>
        <w:t xml:space="preserve"> </w:t>
      </w:r>
      <w:r w:rsidRPr="00CF6765">
        <w:rPr>
          <w:rFonts w:eastAsia="Calibri"/>
          <w:sz w:val="20"/>
          <w:szCs w:val="20"/>
          <w:lang w:val="en-US" w:eastAsia="en-US"/>
        </w:rPr>
        <w:t xml:space="preserve">finds that, in the instant case, </w:t>
      </w:r>
      <w:r w:rsidR="00DE6950" w:rsidRPr="00CF6765">
        <w:rPr>
          <w:rFonts w:eastAsia="Calibri"/>
          <w:sz w:val="20"/>
          <w:szCs w:val="20"/>
          <w:lang w:val="en-US" w:eastAsia="en-US"/>
        </w:rPr>
        <w:t>the right</w:t>
      </w:r>
      <w:r w:rsidR="002730F1" w:rsidRPr="00CF6765">
        <w:rPr>
          <w:rFonts w:eastAsia="Calibri"/>
          <w:sz w:val="20"/>
          <w:szCs w:val="20"/>
          <w:lang w:val="en-US" w:eastAsia="en-US"/>
        </w:rPr>
        <w:t xml:space="preserve"> </w:t>
      </w:r>
      <w:r w:rsidRPr="00CF6765">
        <w:rPr>
          <w:rFonts w:eastAsia="Calibri"/>
          <w:sz w:val="20"/>
          <w:szCs w:val="20"/>
          <w:lang w:val="en-US" w:eastAsia="en-US"/>
        </w:rPr>
        <w:t>of the family members to take free decision</w:t>
      </w:r>
      <w:r w:rsidR="003220CE" w:rsidRPr="00CF6765">
        <w:rPr>
          <w:rFonts w:eastAsia="Calibri"/>
          <w:sz w:val="20"/>
          <w:szCs w:val="20"/>
          <w:lang w:val="en-US" w:eastAsia="en-US"/>
        </w:rPr>
        <w:t>s</w:t>
      </w:r>
      <w:r w:rsidRPr="00CF6765">
        <w:rPr>
          <w:rFonts w:eastAsia="Calibri"/>
          <w:sz w:val="20"/>
          <w:szCs w:val="20"/>
          <w:lang w:val="en-US" w:eastAsia="en-US"/>
        </w:rPr>
        <w:t xml:space="preserve"> in matters relating to health and their right to have the necessary information to take these decision, as well as their right to dignity, based on the elements of private and family life, were violated by not </w:t>
      </w:r>
      <w:r w:rsidR="003974CE" w:rsidRPr="00CF6765">
        <w:rPr>
          <w:rFonts w:eastAsia="Calibri"/>
          <w:sz w:val="20"/>
          <w:szCs w:val="20"/>
          <w:lang w:val="en-US" w:eastAsia="en-US"/>
        </w:rPr>
        <w:t>being accorded the possibility of giving</w:t>
      </w:r>
      <w:r w:rsidRPr="00CF6765">
        <w:rPr>
          <w:rFonts w:eastAsia="Calibri"/>
          <w:sz w:val="20"/>
          <w:szCs w:val="20"/>
          <w:lang w:val="en-US" w:eastAsia="en-US"/>
        </w:rPr>
        <w:t xml:space="preserve"> their </w:t>
      </w:r>
      <w:r w:rsidR="003C3208" w:rsidRPr="00CF6765">
        <w:rPr>
          <w:rFonts w:eastAsia="Calibri"/>
          <w:sz w:val="20"/>
          <w:szCs w:val="20"/>
          <w:lang w:val="en-US" w:eastAsia="en-US"/>
        </w:rPr>
        <w:t>informed consent</w:t>
      </w:r>
      <w:r w:rsidR="002A605E" w:rsidRPr="00CF6765">
        <w:rPr>
          <w:rFonts w:eastAsia="Calibri"/>
          <w:sz w:val="20"/>
          <w:szCs w:val="20"/>
          <w:lang w:val="en-US" w:eastAsia="en-US"/>
        </w:rPr>
        <w:t>.</w:t>
      </w:r>
    </w:p>
    <w:p w14:paraId="33E29F55" w14:textId="77777777" w:rsidR="00C426E9" w:rsidRPr="00CF6765" w:rsidRDefault="00C426E9" w:rsidP="00AB1E03">
      <w:pPr>
        <w:tabs>
          <w:tab w:val="left" w:pos="567"/>
        </w:tabs>
        <w:rPr>
          <w:rFonts w:eastAsia="Calibri"/>
          <w:sz w:val="20"/>
          <w:szCs w:val="20"/>
          <w:lang w:val="en-US" w:eastAsia="en-US"/>
        </w:rPr>
      </w:pPr>
    </w:p>
    <w:p w14:paraId="757E7D17" w14:textId="38BC3BA3" w:rsidR="001A65F9" w:rsidRPr="00CF6765" w:rsidRDefault="001A65F9" w:rsidP="004B6A6E">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 xml:space="preserve"> </w:t>
      </w:r>
      <w:r w:rsidR="004B6A6E" w:rsidRPr="00CF6765">
        <w:rPr>
          <w:rFonts w:eastAsia="Calibri"/>
          <w:sz w:val="20"/>
          <w:szCs w:val="20"/>
          <w:lang w:val="en-US" w:eastAsia="en-US"/>
        </w:rPr>
        <w:t xml:space="preserve">On this basis, the Court concludes that the State failed to comply with its international obligation to obtain, through its health personnel, the informed consent of the family of Mr. Poblete </w:t>
      </w:r>
      <w:proofErr w:type="spellStart"/>
      <w:r w:rsidR="004B6A6E" w:rsidRPr="00CF6765">
        <w:rPr>
          <w:rFonts w:eastAsia="Calibri"/>
          <w:sz w:val="20"/>
          <w:szCs w:val="20"/>
          <w:lang w:val="en-US" w:eastAsia="en-US"/>
        </w:rPr>
        <w:t>Vilches</w:t>
      </w:r>
      <w:proofErr w:type="spellEnd"/>
      <w:r w:rsidR="004B6A6E" w:rsidRPr="00CF6765">
        <w:rPr>
          <w:rFonts w:eastAsia="Calibri"/>
          <w:sz w:val="20"/>
          <w:szCs w:val="20"/>
          <w:lang w:val="en-US" w:eastAsia="en-US"/>
        </w:rPr>
        <w:t xml:space="preserve"> for the medical acts performed during his first admission to the </w:t>
      </w:r>
      <w:proofErr w:type="spellStart"/>
      <w:r w:rsidR="004B6A6E" w:rsidRPr="00CF6765">
        <w:rPr>
          <w:rFonts w:eastAsia="Calibri"/>
          <w:sz w:val="20"/>
          <w:szCs w:val="20"/>
          <w:lang w:val="en-US" w:eastAsia="en-US"/>
        </w:rPr>
        <w:t>Sótero</w:t>
      </w:r>
      <w:proofErr w:type="spellEnd"/>
      <w:r w:rsidR="004B6A6E" w:rsidRPr="00CF6765">
        <w:rPr>
          <w:rFonts w:eastAsia="Calibri"/>
          <w:sz w:val="20"/>
          <w:szCs w:val="20"/>
          <w:lang w:val="en-US" w:eastAsia="en-US"/>
        </w:rPr>
        <w:t xml:space="preserve"> del Río Hospital. In addition, the State violated the family’s right of access to information because it failed to provide them with clear and precise information </w:t>
      </w:r>
      <w:r w:rsidR="003974CE" w:rsidRPr="00CF6765">
        <w:rPr>
          <w:rFonts w:eastAsia="Calibri"/>
          <w:sz w:val="20"/>
          <w:szCs w:val="20"/>
          <w:lang w:val="en-US" w:eastAsia="en-US"/>
        </w:rPr>
        <w:t xml:space="preserve">when the patient was </w:t>
      </w:r>
      <w:r w:rsidR="004B6A6E" w:rsidRPr="00CF6765">
        <w:rPr>
          <w:rFonts w:eastAsia="Calibri"/>
          <w:sz w:val="20"/>
          <w:szCs w:val="20"/>
          <w:lang w:val="en-US" w:eastAsia="en-US"/>
        </w:rPr>
        <w:t>discharge</w:t>
      </w:r>
      <w:r w:rsidR="003974CE" w:rsidRPr="00CF6765">
        <w:rPr>
          <w:rFonts w:eastAsia="Calibri"/>
          <w:sz w:val="20"/>
          <w:szCs w:val="20"/>
          <w:lang w:val="en-US" w:eastAsia="en-US"/>
        </w:rPr>
        <w:t>d on</w:t>
      </w:r>
      <w:r w:rsidR="004B6A6E" w:rsidRPr="00CF6765">
        <w:rPr>
          <w:rFonts w:eastAsia="Calibri"/>
          <w:sz w:val="20"/>
          <w:szCs w:val="20"/>
          <w:lang w:val="en-US" w:eastAsia="en-US"/>
        </w:rPr>
        <w:t xml:space="preserve"> the care he needed. In addition, it violated this right because, during the second admission, it did not provide clear and accessible information on the diagnosis and medical care provided to </w:t>
      </w:r>
      <w:r w:rsidR="009339F5" w:rsidRPr="00CF6765">
        <w:rPr>
          <w:rFonts w:eastAsia="Calibri"/>
          <w:sz w:val="20"/>
          <w:szCs w:val="20"/>
          <w:lang w:val="en-US" w:eastAsia="en-US"/>
        </w:rPr>
        <w:t>Mr. Poblete</w:t>
      </w:r>
      <w:r w:rsidR="000D627F" w:rsidRPr="00CF6765">
        <w:rPr>
          <w:rFonts w:eastAsia="Calibri"/>
          <w:sz w:val="20"/>
          <w:szCs w:val="20"/>
          <w:lang w:val="en-US" w:eastAsia="en-US"/>
        </w:rPr>
        <w:t xml:space="preserve"> </w:t>
      </w:r>
      <w:proofErr w:type="spellStart"/>
      <w:r w:rsidR="000D627F" w:rsidRPr="00CF6765">
        <w:rPr>
          <w:rFonts w:eastAsia="Calibri"/>
          <w:sz w:val="20"/>
          <w:szCs w:val="20"/>
          <w:lang w:val="en-US" w:eastAsia="en-US"/>
        </w:rPr>
        <w:t>Vilches</w:t>
      </w:r>
      <w:proofErr w:type="spellEnd"/>
      <w:r w:rsidRPr="00CF6765">
        <w:rPr>
          <w:rFonts w:eastAsia="Calibri"/>
          <w:sz w:val="20"/>
          <w:szCs w:val="20"/>
          <w:lang w:val="en-US" w:eastAsia="en-US"/>
        </w:rPr>
        <w:t xml:space="preserve">. </w:t>
      </w:r>
      <w:r w:rsidR="004B6A6E" w:rsidRPr="00CF6765">
        <w:rPr>
          <w:rFonts w:eastAsia="Calibri"/>
          <w:sz w:val="20"/>
          <w:szCs w:val="20"/>
          <w:lang w:val="en-US" w:eastAsia="en-US"/>
        </w:rPr>
        <w:t>Consequently</w:t>
      </w:r>
      <w:r w:rsidRPr="00CF6765">
        <w:rPr>
          <w:rFonts w:eastAsia="Calibri"/>
          <w:sz w:val="20"/>
          <w:szCs w:val="20"/>
          <w:lang w:val="en-US" w:eastAsia="en-US"/>
        </w:rPr>
        <w:t xml:space="preserve">, </w:t>
      </w:r>
      <w:r w:rsidR="005C731C" w:rsidRPr="00CF6765">
        <w:rPr>
          <w:rFonts w:eastAsia="Calibri"/>
          <w:sz w:val="20"/>
          <w:szCs w:val="20"/>
          <w:lang w:val="en-US" w:eastAsia="en-US"/>
        </w:rPr>
        <w:t>the Court</w:t>
      </w:r>
      <w:r w:rsidRPr="00CF6765">
        <w:rPr>
          <w:rFonts w:eastAsia="Calibri"/>
          <w:sz w:val="20"/>
          <w:szCs w:val="20"/>
          <w:lang w:val="en-US" w:eastAsia="en-US"/>
        </w:rPr>
        <w:t xml:space="preserve"> </w:t>
      </w:r>
      <w:r w:rsidR="004B6A6E" w:rsidRPr="00CF6765">
        <w:rPr>
          <w:rFonts w:eastAsia="Calibri"/>
          <w:sz w:val="20"/>
          <w:szCs w:val="20"/>
          <w:lang w:val="en-US" w:eastAsia="en-US"/>
        </w:rPr>
        <w:t>considers that the State violated</w:t>
      </w:r>
      <w:r w:rsidRPr="00CF6765">
        <w:rPr>
          <w:rFonts w:eastAsia="Calibri"/>
          <w:sz w:val="20"/>
          <w:szCs w:val="20"/>
          <w:lang w:val="en-US" w:eastAsia="en-US"/>
        </w:rPr>
        <w:t xml:space="preserve"> </w:t>
      </w:r>
      <w:r w:rsidR="00DE6950" w:rsidRPr="00CF6765">
        <w:rPr>
          <w:rFonts w:eastAsia="Calibri"/>
          <w:sz w:val="20"/>
          <w:szCs w:val="20"/>
          <w:lang w:val="en-US" w:eastAsia="en-US"/>
        </w:rPr>
        <w:t>the right</w:t>
      </w:r>
      <w:r w:rsidRPr="00CF6765">
        <w:rPr>
          <w:rFonts w:eastAsia="Calibri"/>
          <w:sz w:val="20"/>
          <w:szCs w:val="20"/>
          <w:lang w:val="en-US" w:eastAsia="en-US"/>
        </w:rPr>
        <w:t xml:space="preserve"> </w:t>
      </w:r>
      <w:r w:rsidR="004B6A6E" w:rsidRPr="00CF6765">
        <w:rPr>
          <w:rFonts w:eastAsia="Calibri"/>
          <w:sz w:val="20"/>
          <w:szCs w:val="20"/>
          <w:lang w:val="en-US" w:eastAsia="en-US"/>
        </w:rPr>
        <w:t xml:space="preserve">to obtain </w:t>
      </w:r>
      <w:r w:rsidR="003C3208" w:rsidRPr="00CF6765">
        <w:rPr>
          <w:rFonts w:eastAsia="Calibri"/>
          <w:sz w:val="20"/>
          <w:szCs w:val="20"/>
          <w:lang w:val="en-US" w:eastAsia="en-US"/>
        </w:rPr>
        <w:t>informed consent</w:t>
      </w:r>
      <w:r w:rsidR="00EC50FC" w:rsidRPr="00CF6765">
        <w:rPr>
          <w:rFonts w:eastAsia="Calibri"/>
          <w:sz w:val="20"/>
          <w:szCs w:val="20"/>
          <w:lang w:val="en-US" w:eastAsia="en-US"/>
        </w:rPr>
        <w:t xml:space="preserve"> and </w:t>
      </w:r>
      <w:r w:rsidR="004B6A6E" w:rsidRPr="00CF6765">
        <w:rPr>
          <w:rFonts w:eastAsia="Calibri"/>
          <w:sz w:val="20"/>
          <w:szCs w:val="20"/>
          <w:lang w:val="en-US" w:eastAsia="en-US"/>
        </w:rPr>
        <w:t xml:space="preserve">of </w:t>
      </w:r>
      <w:r w:rsidR="00690D57" w:rsidRPr="00CF6765">
        <w:rPr>
          <w:rFonts w:eastAsia="Calibri"/>
          <w:sz w:val="20"/>
          <w:szCs w:val="20"/>
          <w:lang w:val="en-US" w:eastAsia="en-US"/>
        </w:rPr>
        <w:t>access to information</w:t>
      </w:r>
      <w:r w:rsidRPr="00CF6765">
        <w:rPr>
          <w:rFonts w:eastAsia="Calibri"/>
          <w:sz w:val="20"/>
          <w:szCs w:val="20"/>
          <w:lang w:val="en-US" w:eastAsia="en-US"/>
        </w:rPr>
        <w:t xml:space="preserve"> </w:t>
      </w:r>
      <w:r w:rsidR="00E600F5" w:rsidRPr="00CF6765">
        <w:rPr>
          <w:rFonts w:eastAsia="Calibri"/>
          <w:sz w:val="20"/>
          <w:szCs w:val="20"/>
          <w:lang w:val="en-US" w:eastAsia="en-US"/>
        </w:rPr>
        <w:t>o</w:t>
      </w:r>
      <w:r w:rsidR="004C7CBA" w:rsidRPr="00CF6765">
        <w:rPr>
          <w:rFonts w:eastAsia="Calibri"/>
          <w:sz w:val="20"/>
          <w:szCs w:val="20"/>
          <w:lang w:val="en-US" w:eastAsia="en-US"/>
        </w:rPr>
        <w:t>n health-related matters</w:t>
      </w:r>
      <w:r w:rsidRPr="00CF6765">
        <w:rPr>
          <w:rFonts w:eastAsia="Calibri"/>
          <w:sz w:val="20"/>
          <w:szCs w:val="20"/>
          <w:lang w:val="en-US" w:eastAsia="en-US"/>
        </w:rPr>
        <w:t xml:space="preserve">, </w:t>
      </w:r>
      <w:r w:rsidR="004B6A6E" w:rsidRPr="00CF6765">
        <w:rPr>
          <w:rFonts w:eastAsia="Calibri"/>
          <w:sz w:val="20"/>
          <w:szCs w:val="20"/>
          <w:lang w:val="en-US" w:eastAsia="en-US"/>
        </w:rPr>
        <w:t>pursuant to</w:t>
      </w:r>
      <w:r w:rsidRPr="00CF6765">
        <w:rPr>
          <w:rFonts w:eastAsia="Calibri"/>
          <w:sz w:val="20"/>
          <w:szCs w:val="20"/>
          <w:lang w:val="en-US" w:eastAsia="en-US"/>
        </w:rPr>
        <w:t xml:space="preserve"> </w:t>
      </w:r>
      <w:r w:rsidR="005C731C" w:rsidRPr="00CF6765">
        <w:rPr>
          <w:rFonts w:eastAsia="Calibri"/>
          <w:sz w:val="20"/>
          <w:szCs w:val="20"/>
          <w:lang w:val="en-US" w:eastAsia="en-US"/>
        </w:rPr>
        <w:t>Articles</w:t>
      </w:r>
      <w:r w:rsidRPr="00CF6765">
        <w:rPr>
          <w:rFonts w:eastAsia="Calibri"/>
          <w:sz w:val="20"/>
          <w:szCs w:val="20"/>
          <w:lang w:val="en-US" w:eastAsia="en-US"/>
        </w:rPr>
        <w:t xml:space="preserve"> 26, 13, 11</w:t>
      </w:r>
      <w:r w:rsidR="00EC50FC" w:rsidRPr="00CF6765">
        <w:rPr>
          <w:rFonts w:eastAsia="Calibri"/>
          <w:sz w:val="20"/>
          <w:szCs w:val="20"/>
          <w:lang w:val="en-US" w:eastAsia="en-US"/>
        </w:rPr>
        <w:t xml:space="preserve"> and </w:t>
      </w:r>
      <w:r w:rsidRPr="00CF6765">
        <w:rPr>
          <w:rFonts w:eastAsia="Calibri"/>
          <w:sz w:val="20"/>
          <w:szCs w:val="20"/>
          <w:lang w:val="en-US" w:eastAsia="en-US"/>
        </w:rPr>
        <w:t>7</w:t>
      </w:r>
      <w:r w:rsidR="005C731C" w:rsidRPr="00CF6765">
        <w:rPr>
          <w:rFonts w:eastAsia="Calibri"/>
          <w:sz w:val="20"/>
          <w:szCs w:val="20"/>
          <w:lang w:val="en-US" w:eastAsia="en-US"/>
        </w:rPr>
        <w:t xml:space="preserve"> of the American Convention</w:t>
      </w:r>
      <w:r w:rsidRPr="00CF6765">
        <w:rPr>
          <w:rFonts w:eastAsia="Calibri"/>
          <w:sz w:val="20"/>
          <w:szCs w:val="20"/>
          <w:lang w:val="en-US" w:eastAsia="en-US"/>
        </w:rPr>
        <w:t xml:space="preserve">, </w:t>
      </w:r>
      <w:r w:rsidR="00690D57" w:rsidRPr="00CF6765">
        <w:rPr>
          <w:rFonts w:eastAsia="Calibri"/>
          <w:sz w:val="20"/>
          <w:szCs w:val="20"/>
          <w:lang w:val="en-US" w:eastAsia="en-US"/>
        </w:rPr>
        <w:t>in relation to Article</w:t>
      </w:r>
      <w:r w:rsidR="00EC50FC" w:rsidRPr="00CF6765">
        <w:rPr>
          <w:rFonts w:eastAsia="Calibri"/>
          <w:sz w:val="20"/>
          <w:szCs w:val="20"/>
          <w:lang w:val="en-US" w:eastAsia="en-US"/>
        </w:rPr>
        <w:t xml:space="preserve"> 1(1)</w:t>
      </w:r>
      <w:r w:rsidRPr="00CF6765">
        <w:rPr>
          <w:rFonts w:eastAsia="Calibri"/>
          <w:sz w:val="20"/>
          <w:szCs w:val="20"/>
          <w:lang w:val="en-US" w:eastAsia="en-US"/>
        </w:rPr>
        <w:t xml:space="preserve"> </w:t>
      </w:r>
      <w:r w:rsidR="00690D57" w:rsidRPr="00CF6765">
        <w:rPr>
          <w:rFonts w:eastAsia="Calibri"/>
          <w:sz w:val="20"/>
          <w:szCs w:val="20"/>
          <w:lang w:val="en-US" w:eastAsia="en-US"/>
        </w:rPr>
        <w:t>of this instrument</w:t>
      </w:r>
      <w:r w:rsidRPr="00CF6765">
        <w:rPr>
          <w:rFonts w:eastAsia="Calibri"/>
          <w:sz w:val="20"/>
          <w:szCs w:val="20"/>
          <w:lang w:val="en-US" w:eastAsia="en-US"/>
        </w:rPr>
        <w:t xml:space="preserve">, </w:t>
      </w:r>
      <w:r w:rsidR="00690D57" w:rsidRPr="00CF6765">
        <w:rPr>
          <w:rFonts w:eastAsia="Calibri"/>
          <w:sz w:val="20"/>
          <w:szCs w:val="20"/>
          <w:lang w:val="en-US" w:eastAsia="en-US"/>
        </w:rPr>
        <w:t xml:space="preserve">to the detriment </w:t>
      </w:r>
      <w:r w:rsidR="009339F5" w:rsidRPr="00CF6765">
        <w:rPr>
          <w:rFonts w:eastAsia="Calibri"/>
          <w:sz w:val="20"/>
          <w:szCs w:val="20"/>
          <w:lang w:val="en-US" w:eastAsia="en-US"/>
        </w:rPr>
        <w:t>of Mr. Poblete</w:t>
      </w:r>
      <w:r w:rsidRPr="00CF6765">
        <w:rPr>
          <w:rFonts w:eastAsia="Calibri"/>
          <w:sz w:val="20"/>
          <w:szCs w:val="20"/>
          <w:lang w:val="en-US" w:eastAsia="en-US"/>
        </w:rPr>
        <w:t xml:space="preserve"> </w:t>
      </w:r>
      <w:proofErr w:type="spellStart"/>
      <w:r w:rsidRPr="00CF6765">
        <w:rPr>
          <w:rFonts w:eastAsia="Calibri"/>
          <w:sz w:val="20"/>
          <w:szCs w:val="20"/>
          <w:lang w:val="en-US" w:eastAsia="en-US"/>
        </w:rPr>
        <w:t>Vilches</w:t>
      </w:r>
      <w:proofErr w:type="spellEnd"/>
      <w:r w:rsidR="00EC50FC" w:rsidRPr="00CF6765">
        <w:rPr>
          <w:rFonts w:eastAsia="Calibri"/>
          <w:sz w:val="20"/>
          <w:szCs w:val="20"/>
          <w:lang w:val="en-US" w:eastAsia="en-US"/>
        </w:rPr>
        <w:t xml:space="preserve"> </w:t>
      </w:r>
      <w:r w:rsidR="00690D57" w:rsidRPr="00CF6765">
        <w:rPr>
          <w:rFonts w:eastAsia="Calibri"/>
          <w:sz w:val="20"/>
          <w:szCs w:val="20"/>
          <w:lang w:val="en-US" w:eastAsia="en-US"/>
        </w:rPr>
        <w:t>and the members of his family</w:t>
      </w:r>
      <w:r w:rsidRPr="00CF6765">
        <w:rPr>
          <w:rFonts w:eastAsia="Calibri"/>
          <w:sz w:val="20"/>
          <w:szCs w:val="20"/>
          <w:lang w:val="en-US" w:eastAsia="en-US"/>
        </w:rPr>
        <w:t>.</w:t>
      </w:r>
    </w:p>
    <w:p w14:paraId="1ECAC81C" w14:textId="77777777" w:rsidR="001A65F9" w:rsidRPr="00CF6765" w:rsidRDefault="001A65F9" w:rsidP="003B52C8">
      <w:pPr>
        <w:tabs>
          <w:tab w:val="left" w:pos="567"/>
        </w:tabs>
        <w:rPr>
          <w:rFonts w:eastAsia="Calibri"/>
          <w:sz w:val="20"/>
          <w:szCs w:val="20"/>
          <w:lang w:val="en-US" w:eastAsia="en-US"/>
        </w:rPr>
      </w:pPr>
    </w:p>
    <w:p w14:paraId="6F8ECB59" w14:textId="0414C703" w:rsidR="002570D1" w:rsidRPr="00CF6765" w:rsidRDefault="00164C05" w:rsidP="003B52C8">
      <w:pPr>
        <w:pStyle w:val="Ttulo4"/>
        <w:spacing w:before="0"/>
        <w:ind w:left="2124"/>
        <w:rPr>
          <w:rFonts w:eastAsia="Calibri"/>
          <w:b/>
          <w:lang w:val="en-US" w:eastAsia="en-US"/>
        </w:rPr>
      </w:pPr>
      <w:bookmarkStart w:id="84" w:name="_Toc47864385"/>
      <w:r w:rsidRPr="00CF6765">
        <w:rPr>
          <w:rFonts w:eastAsia="Calibri"/>
          <w:b/>
          <w:lang w:val="en-US" w:eastAsia="en-US"/>
        </w:rPr>
        <w:lastRenderedPageBreak/>
        <w:t xml:space="preserve">1.4 </w:t>
      </w:r>
      <w:r w:rsidR="008E5FEC" w:rsidRPr="00CF6765">
        <w:rPr>
          <w:rFonts w:eastAsia="Calibri"/>
          <w:b/>
          <w:lang w:val="en-US" w:eastAsia="en-US"/>
        </w:rPr>
        <w:t>General conclusion on</w:t>
      </w:r>
      <w:r w:rsidR="000055DC" w:rsidRPr="00CF6765">
        <w:rPr>
          <w:rFonts w:eastAsia="Calibri"/>
          <w:b/>
          <w:lang w:val="en-US" w:eastAsia="en-US"/>
        </w:rPr>
        <w:t xml:space="preserve"> </w:t>
      </w:r>
      <w:r w:rsidR="00DE6950" w:rsidRPr="00CF6765">
        <w:rPr>
          <w:rFonts w:eastAsia="Calibri"/>
          <w:b/>
          <w:lang w:val="en-US" w:eastAsia="en-US"/>
        </w:rPr>
        <w:t>the right</w:t>
      </w:r>
      <w:r w:rsidR="00925BAC" w:rsidRPr="00CF6765">
        <w:rPr>
          <w:rFonts w:eastAsia="Calibri"/>
          <w:b/>
          <w:lang w:val="en-US" w:eastAsia="en-US"/>
        </w:rPr>
        <w:t xml:space="preserve"> to health</w:t>
      </w:r>
      <w:bookmarkEnd w:id="84"/>
    </w:p>
    <w:p w14:paraId="541C0A12" w14:textId="77777777" w:rsidR="002570D1" w:rsidRPr="00CF6765" w:rsidRDefault="002570D1" w:rsidP="003B52C8">
      <w:pPr>
        <w:ind w:left="-90" w:right="-360"/>
        <w:contextualSpacing/>
        <w:rPr>
          <w:rFonts w:eastAsia="Calibri"/>
          <w:sz w:val="20"/>
          <w:szCs w:val="20"/>
          <w:lang w:val="en-US" w:eastAsia="en-US"/>
        </w:rPr>
      </w:pPr>
    </w:p>
    <w:p w14:paraId="2EA8F186" w14:textId="2176E290" w:rsidR="004B6A6E" w:rsidRPr="00CF6765" w:rsidRDefault="00E017B9"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w:t>
      </w:r>
      <w:r w:rsidR="004B6A6E" w:rsidRPr="00CF6765">
        <w:rPr>
          <w:rFonts w:eastAsia="Calibri"/>
          <w:sz w:val="20"/>
          <w:szCs w:val="20"/>
          <w:lang w:val="en-US" w:eastAsia="en-US"/>
        </w:rPr>
        <w:t>aking the foregoing considerations into account, the Court has verified that: (</w:t>
      </w:r>
      <w:proofErr w:type="spellStart"/>
      <w:r w:rsidR="004B6A6E" w:rsidRPr="00CF6765">
        <w:rPr>
          <w:rFonts w:eastAsia="Calibri"/>
          <w:sz w:val="20"/>
          <w:szCs w:val="20"/>
          <w:lang w:val="en-US" w:eastAsia="en-US"/>
        </w:rPr>
        <w:t>i</w:t>
      </w:r>
      <w:proofErr w:type="spellEnd"/>
      <w:r w:rsidR="004B6A6E" w:rsidRPr="00CF6765">
        <w:rPr>
          <w:rFonts w:eastAsia="Calibri"/>
          <w:sz w:val="20"/>
          <w:szCs w:val="20"/>
          <w:lang w:val="en-US" w:eastAsia="en-US"/>
        </w:rPr>
        <w:t xml:space="preserve">) </w:t>
      </w:r>
      <w:r w:rsidR="00DE6950" w:rsidRPr="00CF6765">
        <w:rPr>
          <w:rFonts w:eastAsia="Calibri"/>
          <w:sz w:val="20"/>
          <w:szCs w:val="20"/>
          <w:lang w:val="en-US" w:eastAsia="en-US"/>
        </w:rPr>
        <w:t>the right</w:t>
      </w:r>
      <w:r w:rsidR="00925BAC" w:rsidRPr="00CF6765">
        <w:rPr>
          <w:rFonts w:eastAsia="Calibri"/>
          <w:sz w:val="20"/>
          <w:szCs w:val="20"/>
          <w:lang w:val="en-US" w:eastAsia="en-US"/>
        </w:rPr>
        <w:t xml:space="preserve"> to health</w:t>
      </w:r>
      <w:r w:rsidRPr="00CF6765">
        <w:rPr>
          <w:rFonts w:eastAsia="Calibri"/>
          <w:sz w:val="20"/>
          <w:szCs w:val="20"/>
          <w:lang w:val="en-US" w:eastAsia="en-US"/>
        </w:rPr>
        <w:t xml:space="preserve"> </w:t>
      </w:r>
      <w:r w:rsidR="004B6A6E" w:rsidRPr="00CF6765">
        <w:rPr>
          <w:rFonts w:eastAsia="Calibri"/>
          <w:sz w:val="20"/>
          <w:szCs w:val="20"/>
          <w:lang w:val="en-US" w:eastAsia="en-US"/>
        </w:rPr>
        <w:t>is an autonomous right</w:t>
      </w:r>
      <w:r w:rsidRPr="00CF6765">
        <w:rPr>
          <w:rFonts w:eastAsia="Calibri"/>
          <w:sz w:val="20"/>
          <w:szCs w:val="20"/>
          <w:lang w:val="en-US" w:eastAsia="en-US"/>
        </w:rPr>
        <w:t xml:space="preserve"> </w:t>
      </w:r>
      <w:r w:rsidR="00DE6950" w:rsidRPr="00CF6765">
        <w:rPr>
          <w:rFonts w:eastAsia="Calibri"/>
          <w:sz w:val="20"/>
          <w:szCs w:val="20"/>
          <w:lang w:val="en-US" w:eastAsia="en-US"/>
        </w:rPr>
        <w:t>protected by</w:t>
      </w:r>
      <w:r w:rsidR="000055DC" w:rsidRPr="00CF6765">
        <w:rPr>
          <w:rFonts w:eastAsia="Calibri"/>
          <w:sz w:val="20"/>
          <w:szCs w:val="20"/>
          <w:lang w:val="en-US" w:eastAsia="en-US"/>
        </w:rPr>
        <w:t xml:space="preserve"> </w:t>
      </w:r>
      <w:r w:rsidR="005C731C" w:rsidRPr="00CF6765">
        <w:rPr>
          <w:rFonts w:eastAsia="Calibri"/>
          <w:sz w:val="20"/>
          <w:szCs w:val="20"/>
          <w:lang w:val="en-US" w:eastAsia="en-US"/>
        </w:rPr>
        <w:t>Article</w:t>
      </w:r>
      <w:r w:rsidR="006656A6" w:rsidRPr="00CF6765">
        <w:rPr>
          <w:rFonts w:eastAsia="Calibri"/>
          <w:sz w:val="20"/>
          <w:szCs w:val="20"/>
          <w:lang w:val="en-US" w:eastAsia="en-US"/>
        </w:rPr>
        <w:t xml:space="preserve"> 26</w:t>
      </w:r>
      <w:r w:rsidR="005C731C" w:rsidRPr="00CF6765">
        <w:rPr>
          <w:rFonts w:eastAsia="Calibri"/>
          <w:sz w:val="20"/>
          <w:szCs w:val="20"/>
          <w:lang w:val="en-US" w:eastAsia="en-US"/>
        </w:rPr>
        <w:t xml:space="preserve"> of the American Convention</w:t>
      </w:r>
      <w:r w:rsidR="000055DC" w:rsidRPr="00CF6765">
        <w:rPr>
          <w:rFonts w:eastAsia="Calibri"/>
          <w:sz w:val="20"/>
          <w:szCs w:val="20"/>
          <w:lang w:val="en-US" w:eastAsia="en-US"/>
        </w:rPr>
        <w:t xml:space="preserve">; </w:t>
      </w:r>
      <w:r w:rsidR="004B6A6E" w:rsidRPr="00CF6765">
        <w:rPr>
          <w:rFonts w:eastAsia="Calibri"/>
          <w:sz w:val="20"/>
          <w:szCs w:val="20"/>
          <w:lang w:val="en-US" w:eastAsia="en-US"/>
        </w:rPr>
        <w:t>(</w:t>
      </w:r>
      <w:r w:rsidR="000055DC" w:rsidRPr="00CF6765">
        <w:rPr>
          <w:rFonts w:eastAsia="Calibri"/>
          <w:sz w:val="20"/>
          <w:szCs w:val="20"/>
          <w:lang w:val="en-US" w:eastAsia="en-US"/>
        </w:rPr>
        <w:t xml:space="preserve">ii) </w:t>
      </w:r>
      <w:r w:rsidR="004B6A6E" w:rsidRPr="00CF6765">
        <w:rPr>
          <w:rFonts w:eastAsia="Calibri"/>
          <w:sz w:val="20"/>
          <w:szCs w:val="20"/>
          <w:lang w:val="en-US" w:eastAsia="en-US"/>
        </w:rPr>
        <w:t xml:space="preserve">in emergency situations, this right requires the States to ensure adequate regulation of the health care services, providing the necessary services based on the elements of availability, accessibility, quality and acceptability, in equal conditions and without discrimination, but also ensuring positive measures for </w:t>
      </w:r>
      <w:r w:rsidR="00CD4459" w:rsidRPr="00CF6765">
        <w:rPr>
          <w:rFonts w:eastAsia="Calibri"/>
          <w:sz w:val="20"/>
          <w:szCs w:val="20"/>
          <w:lang w:val="en-US" w:eastAsia="en-US"/>
        </w:rPr>
        <w:t xml:space="preserve">groups in a situation of vulnerability; (iii) older persons enjoy an increased level of protection in relation to preventive and emergency health care services; (iv) in order to attribute responsibility to the State for medical deaths it is necessary to prove the denial of an essential service or treatment despite the predictability of the risk faced by the patient, or serious medical malpractice, and that a causal nexus is corroborated between the action and the harm. In the case of an omission, it is necessary to verify the probability that the omitted conduct would have interrupted the causal process that led to the harmful result; (v) the </w:t>
      </w:r>
      <w:r w:rsidR="0090740B" w:rsidRPr="00CF6765">
        <w:rPr>
          <w:rFonts w:eastAsia="Calibri"/>
          <w:sz w:val="20"/>
          <w:szCs w:val="20"/>
          <w:lang w:val="en-US" w:eastAsia="en-US"/>
        </w:rPr>
        <w:t>lack</w:t>
      </w:r>
      <w:r w:rsidR="00CD4459" w:rsidRPr="00CF6765">
        <w:rPr>
          <w:rFonts w:eastAsia="Calibri"/>
          <w:sz w:val="20"/>
          <w:szCs w:val="20"/>
          <w:lang w:val="en-US" w:eastAsia="en-US"/>
        </w:rPr>
        <w:t xml:space="preserve"> of adequate medical care may entail the violation of personal integrity, and (vi) obtaining informed consent is an obligation under the responsibility of health institutions; older persons are entitled to this right; however, it may be transferred in certain circumstances to their family members or representatives. In addition, the obligation remains to inform patients or, when appropriate, their representatives about the procedures and the patient’s condition.</w:t>
      </w:r>
    </w:p>
    <w:p w14:paraId="71E9512B" w14:textId="77777777" w:rsidR="008D03CA" w:rsidRPr="00CF6765" w:rsidRDefault="008D03CA" w:rsidP="00383565">
      <w:pPr>
        <w:tabs>
          <w:tab w:val="left" w:pos="567"/>
        </w:tabs>
        <w:rPr>
          <w:rFonts w:eastAsia="Calibri"/>
          <w:sz w:val="20"/>
          <w:szCs w:val="20"/>
          <w:lang w:val="en-US" w:eastAsia="en-US"/>
        </w:rPr>
      </w:pPr>
    </w:p>
    <w:p w14:paraId="0B684D43" w14:textId="285751CE" w:rsidR="00244799" w:rsidRPr="00CF6765" w:rsidRDefault="00244799"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In this specific case, the Court considers that</w:t>
      </w:r>
      <w:r w:rsidR="008D03CA" w:rsidRPr="00CF6765">
        <w:rPr>
          <w:rFonts w:eastAsia="Calibri"/>
          <w:sz w:val="20"/>
          <w:szCs w:val="20"/>
          <w:lang w:val="en-US" w:eastAsia="en-US"/>
        </w:rPr>
        <w:t xml:space="preserve"> </w:t>
      </w:r>
      <w:r w:rsidR="00EC50FC" w:rsidRPr="00CF6765">
        <w:rPr>
          <w:rFonts w:eastAsia="Calibri"/>
          <w:sz w:val="20"/>
          <w:szCs w:val="20"/>
          <w:lang w:val="en-US" w:eastAsia="en-US"/>
        </w:rPr>
        <w:t>the State</w:t>
      </w:r>
      <w:r w:rsidR="008D03CA" w:rsidRPr="00CF6765">
        <w:rPr>
          <w:rFonts w:eastAsia="Calibri"/>
          <w:sz w:val="20"/>
          <w:szCs w:val="20"/>
          <w:lang w:val="en-US" w:eastAsia="en-US"/>
        </w:rPr>
        <w:t xml:space="preserve"> </w:t>
      </w:r>
      <w:r w:rsidR="00671A8C" w:rsidRPr="00CF6765">
        <w:rPr>
          <w:rFonts w:eastAsia="Calibri"/>
          <w:sz w:val="20"/>
          <w:szCs w:val="20"/>
          <w:lang w:val="en-US" w:eastAsia="en-US"/>
        </w:rPr>
        <w:t>of Chile</w:t>
      </w:r>
      <w:r w:rsidR="008D03CA" w:rsidRPr="00CF6765">
        <w:rPr>
          <w:rFonts w:eastAsia="Calibri"/>
          <w:sz w:val="20"/>
          <w:szCs w:val="20"/>
          <w:lang w:val="en-US" w:eastAsia="en-US"/>
        </w:rPr>
        <w:t xml:space="preserve"> </w:t>
      </w:r>
      <w:r w:rsidRPr="00CF6765">
        <w:rPr>
          <w:rFonts w:eastAsia="Calibri"/>
          <w:sz w:val="20"/>
          <w:szCs w:val="20"/>
          <w:lang w:val="en-US" w:eastAsia="en-US"/>
        </w:rPr>
        <w:t xml:space="preserve">did not guarantee that the health care service provided </w:t>
      </w:r>
      <w:r w:rsidR="009339F5" w:rsidRPr="00CF6765">
        <w:rPr>
          <w:rFonts w:eastAsia="Calibri"/>
          <w:sz w:val="20"/>
          <w:szCs w:val="20"/>
          <w:lang w:val="en-US" w:eastAsia="en-US"/>
        </w:rPr>
        <w:t>to Mr. Poblete</w:t>
      </w:r>
      <w:r w:rsidR="008D03CA" w:rsidRPr="00CF6765">
        <w:rPr>
          <w:rFonts w:eastAsia="Calibri"/>
          <w:sz w:val="20"/>
          <w:szCs w:val="20"/>
          <w:lang w:val="en-US" w:eastAsia="en-US"/>
        </w:rPr>
        <w:t xml:space="preserve"> </w:t>
      </w:r>
      <w:proofErr w:type="spellStart"/>
      <w:r w:rsidR="008D03CA" w:rsidRPr="00CF6765">
        <w:rPr>
          <w:rFonts w:eastAsia="Calibri"/>
          <w:sz w:val="20"/>
          <w:szCs w:val="20"/>
          <w:lang w:val="en-US" w:eastAsia="en-US"/>
        </w:rPr>
        <w:t>Vilches</w:t>
      </w:r>
      <w:proofErr w:type="spellEnd"/>
      <w:r w:rsidR="008D03CA" w:rsidRPr="00CF6765">
        <w:rPr>
          <w:rFonts w:eastAsia="Calibri"/>
          <w:sz w:val="20"/>
          <w:szCs w:val="20"/>
          <w:lang w:val="en-US" w:eastAsia="en-US"/>
        </w:rPr>
        <w:t xml:space="preserve"> </w:t>
      </w:r>
      <w:r w:rsidR="0090740B" w:rsidRPr="00CF6765">
        <w:rPr>
          <w:rFonts w:eastAsia="Calibri"/>
          <w:sz w:val="20"/>
          <w:szCs w:val="20"/>
          <w:lang w:val="en-US" w:eastAsia="en-US"/>
        </w:rPr>
        <w:t>complied</w:t>
      </w:r>
      <w:r w:rsidRPr="00CF6765">
        <w:rPr>
          <w:rFonts w:eastAsia="Calibri"/>
          <w:sz w:val="20"/>
          <w:szCs w:val="20"/>
          <w:lang w:val="en-US" w:eastAsia="en-US"/>
        </w:rPr>
        <w:t xml:space="preserve"> with the said standards, so that it failed to comply with the provision of basic measures; in other words, with its obligations of an immediate nature related to the right to health in emergency situations. In addition, the State failed to comply with its obligation to obtain the informed consent by substitution of the family members for the surgical procedure that was performed, and to provide the family with clear and accessible information on the procedure performed on the patient and his treatment. The negligence verified in the second admission, particularly denying him a ventilator, and the possibility of admittance to the required care unit, and </w:t>
      </w:r>
      <w:r w:rsidR="003974CE" w:rsidRPr="00CF6765">
        <w:rPr>
          <w:rFonts w:eastAsia="Calibri"/>
          <w:sz w:val="20"/>
          <w:szCs w:val="20"/>
          <w:lang w:val="en-US" w:eastAsia="en-US"/>
        </w:rPr>
        <w:t>failing to</w:t>
      </w:r>
      <w:r w:rsidRPr="00CF6765">
        <w:rPr>
          <w:rFonts w:eastAsia="Calibri"/>
          <w:sz w:val="20"/>
          <w:szCs w:val="20"/>
          <w:lang w:val="en-US" w:eastAsia="en-US"/>
        </w:rPr>
        <w:t xml:space="preserve"> transfer</w:t>
      </w:r>
      <w:r w:rsidR="003974CE" w:rsidRPr="00CF6765">
        <w:rPr>
          <w:rFonts w:eastAsia="Calibri"/>
          <w:sz w:val="20"/>
          <w:szCs w:val="20"/>
          <w:lang w:val="en-US" w:eastAsia="en-US"/>
        </w:rPr>
        <w:t xml:space="preserve"> him</w:t>
      </w:r>
      <w:r w:rsidRPr="00CF6765">
        <w:rPr>
          <w:rFonts w:eastAsia="Calibri"/>
          <w:sz w:val="20"/>
          <w:szCs w:val="20"/>
          <w:lang w:val="en-US" w:eastAsia="en-US"/>
        </w:rPr>
        <w:t xml:space="preserve"> to another center that could have provided him with these measures, partly owing to his condition as an older person, considerably reduced the patient’s possibilities of recovery and survival, so that his death can be attributed to the State. Furthermore, the Court has </w:t>
      </w:r>
      <w:r w:rsidR="003974CE" w:rsidRPr="00CF6765">
        <w:rPr>
          <w:rFonts w:eastAsia="Calibri"/>
          <w:sz w:val="20"/>
          <w:szCs w:val="20"/>
          <w:lang w:val="en-US" w:eastAsia="en-US"/>
        </w:rPr>
        <w:t>indicated</w:t>
      </w:r>
      <w:r w:rsidRPr="00CF6765">
        <w:rPr>
          <w:rFonts w:eastAsia="Calibri"/>
          <w:sz w:val="20"/>
          <w:szCs w:val="20"/>
          <w:lang w:val="en-US" w:eastAsia="en-US"/>
        </w:rPr>
        <w:t xml:space="preserve"> that </w:t>
      </w:r>
      <w:r w:rsidRPr="00CF6765">
        <w:rPr>
          <w:rFonts w:eastAsia="Calibri"/>
          <w:sz w:val="20"/>
          <w:szCs w:val="20"/>
          <w:lang w:val="en-US"/>
        </w:rPr>
        <w:t xml:space="preserve">Mr. Poblete </w:t>
      </w:r>
      <w:proofErr w:type="spellStart"/>
      <w:r w:rsidRPr="00CF6765">
        <w:rPr>
          <w:rFonts w:eastAsia="Calibri"/>
          <w:sz w:val="20"/>
          <w:szCs w:val="20"/>
          <w:lang w:val="en-US"/>
        </w:rPr>
        <w:t>Vilches</w:t>
      </w:r>
      <w:r w:rsidR="003974CE" w:rsidRPr="00CF6765">
        <w:rPr>
          <w:rFonts w:eastAsia="Calibri"/>
          <w:sz w:val="20"/>
          <w:szCs w:val="20"/>
          <w:lang w:val="en-US"/>
        </w:rPr>
        <w:t>’s</w:t>
      </w:r>
      <w:proofErr w:type="spellEnd"/>
      <w:r w:rsidR="003974CE" w:rsidRPr="00CF6765">
        <w:rPr>
          <w:rFonts w:eastAsia="Calibri"/>
          <w:sz w:val="20"/>
          <w:szCs w:val="20"/>
          <w:lang w:val="en-US"/>
        </w:rPr>
        <w:t xml:space="preserve"> age</w:t>
      </w:r>
      <w:r w:rsidRPr="00CF6765">
        <w:rPr>
          <w:rFonts w:eastAsia="Calibri"/>
          <w:sz w:val="20"/>
          <w:szCs w:val="20"/>
          <w:lang w:val="en-US"/>
        </w:rPr>
        <w:t>, as a category protected against discrimination, contributed to reducing his possibility of obtaining the required medical care.</w:t>
      </w:r>
    </w:p>
    <w:p w14:paraId="6F6B4B29" w14:textId="77777777" w:rsidR="008D03CA" w:rsidRPr="00CF6765" w:rsidRDefault="008D03CA" w:rsidP="00383565">
      <w:pPr>
        <w:tabs>
          <w:tab w:val="left" w:pos="567"/>
        </w:tabs>
        <w:rPr>
          <w:rFonts w:eastAsia="Calibri"/>
          <w:sz w:val="20"/>
          <w:szCs w:val="20"/>
          <w:lang w:val="en-US" w:eastAsia="en-US"/>
        </w:rPr>
      </w:pPr>
    </w:p>
    <w:p w14:paraId="022F6407" w14:textId="715059A6" w:rsidR="002570D1" w:rsidRPr="00CF6765" w:rsidRDefault="00AC6F62" w:rsidP="002570D1">
      <w:pPr>
        <w:numPr>
          <w:ilvl w:val="0"/>
          <w:numId w:val="2"/>
        </w:numPr>
        <w:tabs>
          <w:tab w:val="left" w:pos="567"/>
          <w:tab w:val="num" w:pos="1569"/>
          <w:tab w:val="num" w:pos="12305"/>
        </w:tabs>
        <w:ind w:left="0" w:firstLine="0"/>
        <w:rPr>
          <w:rFonts w:eastAsia="Calibri"/>
          <w:sz w:val="20"/>
          <w:szCs w:val="20"/>
          <w:lang w:val="en-US" w:eastAsia="en-US"/>
        </w:rPr>
      </w:pPr>
      <w:r w:rsidRPr="00CF6765">
        <w:rPr>
          <w:rFonts w:eastAsia="Calibri"/>
          <w:sz w:val="20"/>
          <w:szCs w:val="20"/>
          <w:lang w:val="en-US" w:eastAsia="en-US"/>
        </w:rPr>
        <w:t>Therefore, th</w:t>
      </w:r>
      <w:r w:rsidR="00244799" w:rsidRPr="00CF6765">
        <w:rPr>
          <w:rFonts w:eastAsia="Calibri"/>
          <w:sz w:val="20"/>
          <w:szCs w:val="20"/>
          <w:lang w:val="en-US" w:eastAsia="en-US"/>
        </w:rPr>
        <w:t>e</w:t>
      </w:r>
      <w:r w:rsidRPr="00CF6765">
        <w:rPr>
          <w:rFonts w:eastAsia="Calibri"/>
          <w:sz w:val="20"/>
          <w:szCs w:val="20"/>
          <w:lang w:val="en-US" w:eastAsia="en-US"/>
        </w:rPr>
        <w:t xml:space="preserve"> Court finds that</w:t>
      </w:r>
      <w:r w:rsidR="002570D1" w:rsidRPr="00CF6765">
        <w:rPr>
          <w:rFonts w:eastAsia="Calibri"/>
          <w:sz w:val="20"/>
          <w:szCs w:val="20"/>
          <w:lang w:val="en-US" w:eastAsia="en-US"/>
        </w:rPr>
        <w:t xml:space="preserve"> </w:t>
      </w:r>
      <w:r w:rsidR="00EC50FC" w:rsidRPr="00CF6765">
        <w:rPr>
          <w:rFonts w:eastAsia="Calibri"/>
          <w:sz w:val="20"/>
          <w:szCs w:val="20"/>
          <w:lang w:val="en-US" w:eastAsia="en-US"/>
        </w:rPr>
        <w:t xml:space="preserve">the </w:t>
      </w:r>
      <w:r w:rsidR="00671A8C" w:rsidRPr="00CF6765">
        <w:rPr>
          <w:rFonts w:eastAsia="Calibri"/>
          <w:sz w:val="20"/>
          <w:szCs w:val="20"/>
          <w:lang w:val="en-US" w:eastAsia="en-US"/>
        </w:rPr>
        <w:t>Chilean State</w:t>
      </w:r>
      <w:r w:rsidR="00F02FA7" w:rsidRPr="00CF6765">
        <w:rPr>
          <w:rFonts w:eastAsia="Calibri"/>
          <w:sz w:val="20"/>
          <w:szCs w:val="20"/>
          <w:lang w:val="en-US" w:eastAsia="en-US"/>
        </w:rPr>
        <w:t xml:space="preserve"> </w:t>
      </w:r>
      <w:r w:rsidRPr="00CF6765">
        <w:rPr>
          <w:rFonts w:eastAsia="Calibri"/>
          <w:sz w:val="20"/>
          <w:szCs w:val="20"/>
          <w:lang w:val="en-US" w:eastAsia="en-US"/>
        </w:rPr>
        <w:t xml:space="preserve">is internationally </w:t>
      </w:r>
      <w:r w:rsidR="0090740B" w:rsidRPr="00CF6765">
        <w:rPr>
          <w:rFonts w:eastAsia="Calibri"/>
          <w:sz w:val="20"/>
          <w:szCs w:val="20"/>
          <w:lang w:val="en-US" w:eastAsia="en-US"/>
        </w:rPr>
        <w:t>responsible</w:t>
      </w:r>
      <w:r w:rsidRPr="00CF6765">
        <w:rPr>
          <w:rFonts w:eastAsia="Calibri"/>
          <w:sz w:val="20"/>
          <w:szCs w:val="20"/>
          <w:lang w:val="en-US" w:eastAsia="en-US"/>
        </w:rPr>
        <w:t xml:space="preserve"> for the failure to ensure the right to health, life, personal integrity, liberty, dignity and </w:t>
      </w:r>
      <w:r w:rsidR="00690D57" w:rsidRPr="00CF6765">
        <w:rPr>
          <w:rFonts w:eastAsia="Calibri"/>
          <w:sz w:val="20"/>
          <w:szCs w:val="20"/>
          <w:lang w:val="en-US" w:eastAsia="en-US"/>
        </w:rPr>
        <w:t>access to information</w:t>
      </w:r>
      <w:r w:rsidR="000055DC" w:rsidRPr="00CF6765">
        <w:rPr>
          <w:rFonts w:eastAsia="Calibri"/>
          <w:sz w:val="20"/>
          <w:szCs w:val="20"/>
          <w:lang w:val="en-US" w:eastAsia="en-US"/>
        </w:rPr>
        <w:t xml:space="preserve"> </w:t>
      </w:r>
      <w:r w:rsidRPr="00CF6765">
        <w:rPr>
          <w:rFonts w:eastAsia="Calibri"/>
          <w:sz w:val="20"/>
          <w:szCs w:val="20"/>
          <w:lang w:val="en-US" w:eastAsia="en-US"/>
        </w:rPr>
        <w:t>pursuant to</w:t>
      </w:r>
      <w:r w:rsidR="000055DC" w:rsidRPr="00CF6765">
        <w:rPr>
          <w:rFonts w:eastAsia="Calibri"/>
          <w:sz w:val="20"/>
          <w:szCs w:val="20"/>
          <w:lang w:val="en-US" w:eastAsia="en-US"/>
        </w:rPr>
        <w:t xml:space="preserve"> </w:t>
      </w:r>
      <w:r w:rsidR="005C731C" w:rsidRPr="00CF6765">
        <w:rPr>
          <w:rFonts w:eastAsia="Calibri"/>
          <w:sz w:val="20"/>
          <w:szCs w:val="20"/>
          <w:lang w:val="en-US" w:eastAsia="en-US"/>
        </w:rPr>
        <w:t>Articles</w:t>
      </w:r>
      <w:r w:rsidR="002570D1" w:rsidRPr="00CF6765">
        <w:rPr>
          <w:rFonts w:eastAsia="Calibri"/>
          <w:sz w:val="20"/>
          <w:szCs w:val="20"/>
          <w:lang w:val="en-US" w:eastAsia="en-US"/>
        </w:rPr>
        <w:t xml:space="preserve"> 26, 4</w:t>
      </w:r>
      <w:r w:rsidR="001D21F5" w:rsidRPr="00CF6765">
        <w:rPr>
          <w:rFonts w:eastAsia="Calibri"/>
          <w:sz w:val="20"/>
          <w:szCs w:val="20"/>
          <w:lang w:val="en-US" w:eastAsia="en-US"/>
        </w:rPr>
        <w:t>, 5</w:t>
      </w:r>
      <w:r w:rsidR="00E83EA1" w:rsidRPr="00CF6765">
        <w:rPr>
          <w:rFonts w:eastAsia="Calibri"/>
          <w:sz w:val="20"/>
          <w:szCs w:val="20"/>
          <w:lang w:val="en-US" w:eastAsia="en-US"/>
        </w:rPr>
        <w:t xml:space="preserve">, </w:t>
      </w:r>
      <w:r w:rsidR="00F46F85" w:rsidRPr="00CF6765">
        <w:rPr>
          <w:rFonts w:eastAsia="Calibri"/>
          <w:sz w:val="20"/>
          <w:szCs w:val="20"/>
          <w:lang w:val="en-US" w:eastAsia="en-US"/>
        </w:rPr>
        <w:t xml:space="preserve">13, </w:t>
      </w:r>
      <w:r w:rsidR="00E83EA1" w:rsidRPr="00CF6765">
        <w:rPr>
          <w:rFonts w:eastAsia="Calibri"/>
          <w:sz w:val="20"/>
          <w:szCs w:val="20"/>
          <w:lang w:val="en-US" w:eastAsia="en-US"/>
        </w:rPr>
        <w:t>7</w:t>
      </w:r>
      <w:r w:rsidR="00EC50FC" w:rsidRPr="00CF6765">
        <w:rPr>
          <w:rFonts w:eastAsia="Calibri"/>
          <w:sz w:val="20"/>
          <w:szCs w:val="20"/>
          <w:lang w:val="en-US" w:eastAsia="en-US"/>
        </w:rPr>
        <w:t xml:space="preserve"> and </w:t>
      </w:r>
      <w:r w:rsidR="00E83EA1" w:rsidRPr="00CF6765">
        <w:rPr>
          <w:rFonts w:eastAsia="Calibri"/>
          <w:sz w:val="20"/>
          <w:szCs w:val="20"/>
          <w:lang w:val="en-US" w:eastAsia="en-US"/>
        </w:rPr>
        <w:t>11</w:t>
      </w:r>
      <w:r w:rsidR="005C731C" w:rsidRPr="00CF6765">
        <w:rPr>
          <w:rFonts w:eastAsia="Calibri"/>
          <w:sz w:val="20"/>
          <w:szCs w:val="20"/>
          <w:lang w:val="en-US" w:eastAsia="en-US"/>
        </w:rPr>
        <w:t xml:space="preserve"> of the American Convention</w:t>
      </w:r>
      <w:r w:rsidR="002570D1" w:rsidRPr="00CF6765">
        <w:rPr>
          <w:rFonts w:eastAsia="Calibri"/>
          <w:sz w:val="20"/>
          <w:szCs w:val="20"/>
          <w:lang w:val="en-US" w:eastAsia="en-US"/>
        </w:rPr>
        <w:t xml:space="preserve">, </w:t>
      </w:r>
      <w:r w:rsidR="008E5FEC" w:rsidRPr="00CF6765">
        <w:rPr>
          <w:rFonts w:eastAsia="Calibri"/>
          <w:sz w:val="20"/>
          <w:szCs w:val="20"/>
          <w:lang w:val="en-US" w:eastAsia="en-US"/>
        </w:rPr>
        <w:t xml:space="preserve">in relation to the obligation of non-discrimination </w:t>
      </w:r>
      <w:r w:rsidR="0088423A" w:rsidRPr="00CF6765">
        <w:rPr>
          <w:rFonts w:eastAsia="Calibri"/>
          <w:sz w:val="20"/>
          <w:szCs w:val="20"/>
          <w:lang w:val="en-US" w:eastAsia="en-US"/>
        </w:rPr>
        <w:t>of Article</w:t>
      </w:r>
      <w:r w:rsidR="00EC50FC" w:rsidRPr="00CF6765">
        <w:rPr>
          <w:rFonts w:eastAsia="Calibri"/>
          <w:sz w:val="20"/>
          <w:szCs w:val="20"/>
          <w:lang w:val="en-US" w:eastAsia="en-US"/>
        </w:rPr>
        <w:t xml:space="preserve"> 1(1)</w:t>
      </w:r>
      <w:r w:rsidR="000055DC" w:rsidRPr="00CF6765">
        <w:rPr>
          <w:rFonts w:eastAsia="Calibri"/>
          <w:sz w:val="20"/>
          <w:szCs w:val="20"/>
          <w:lang w:val="en-US" w:eastAsia="en-US"/>
        </w:rPr>
        <w:t xml:space="preserve"> </w:t>
      </w:r>
      <w:r w:rsidR="00690D57" w:rsidRPr="00CF6765">
        <w:rPr>
          <w:rFonts w:eastAsia="Calibri"/>
          <w:sz w:val="20"/>
          <w:szCs w:val="20"/>
          <w:lang w:val="en-US" w:eastAsia="en-US"/>
        </w:rPr>
        <w:t>of this instrument</w:t>
      </w:r>
      <w:r w:rsidR="000055DC" w:rsidRPr="00CF6765">
        <w:rPr>
          <w:rFonts w:eastAsia="Calibri"/>
          <w:sz w:val="20"/>
          <w:szCs w:val="20"/>
          <w:lang w:val="en-US" w:eastAsia="en-US"/>
        </w:rPr>
        <w:t xml:space="preserve">, </w:t>
      </w:r>
      <w:r w:rsidR="00690D57" w:rsidRPr="00CF6765">
        <w:rPr>
          <w:rFonts w:eastAsia="Calibri"/>
          <w:sz w:val="20"/>
          <w:szCs w:val="20"/>
          <w:lang w:val="en-US" w:eastAsia="en-US"/>
        </w:rPr>
        <w:t xml:space="preserve">to the detriment </w:t>
      </w:r>
      <w:r w:rsidR="009339F5" w:rsidRPr="00CF6765">
        <w:rPr>
          <w:rFonts w:eastAsia="Calibri"/>
          <w:sz w:val="20"/>
          <w:szCs w:val="20"/>
          <w:lang w:val="en-US" w:eastAsia="en-US"/>
        </w:rPr>
        <w:t>of Mr. Poblete</w:t>
      </w:r>
      <w:r w:rsidR="002570D1" w:rsidRPr="00CF6765">
        <w:rPr>
          <w:rFonts w:eastAsia="Calibri"/>
          <w:sz w:val="20"/>
          <w:szCs w:val="20"/>
          <w:lang w:val="en-US" w:eastAsia="en-US"/>
        </w:rPr>
        <w:t xml:space="preserve"> </w:t>
      </w:r>
      <w:proofErr w:type="spellStart"/>
      <w:r w:rsidR="002570D1" w:rsidRPr="00CF6765">
        <w:rPr>
          <w:rFonts w:eastAsia="Calibri"/>
          <w:sz w:val="20"/>
          <w:szCs w:val="20"/>
          <w:lang w:val="en-US" w:eastAsia="en-US"/>
        </w:rPr>
        <w:t>Vilches</w:t>
      </w:r>
      <w:proofErr w:type="spellEnd"/>
      <w:r w:rsidR="002570D1" w:rsidRPr="00CF6765">
        <w:rPr>
          <w:rFonts w:eastAsia="Calibri"/>
          <w:sz w:val="20"/>
          <w:szCs w:val="20"/>
          <w:lang w:val="en-US" w:eastAsia="en-US"/>
        </w:rPr>
        <w:t xml:space="preserve">. </w:t>
      </w:r>
      <w:r w:rsidR="008E5FEC" w:rsidRPr="00CF6765">
        <w:rPr>
          <w:rFonts w:eastAsia="Calibri"/>
          <w:sz w:val="20"/>
          <w:szCs w:val="20"/>
          <w:lang w:val="en-US" w:eastAsia="en-US"/>
        </w:rPr>
        <w:t>The</w:t>
      </w:r>
      <w:r w:rsidR="00EC50FC" w:rsidRPr="00CF6765">
        <w:rPr>
          <w:rFonts w:eastAsia="Calibri"/>
          <w:sz w:val="20"/>
          <w:szCs w:val="20"/>
          <w:lang w:val="en-US" w:eastAsia="en-US"/>
        </w:rPr>
        <w:t xml:space="preserve"> State</w:t>
      </w:r>
      <w:r w:rsidR="000055DC" w:rsidRPr="00CF6765">
        <w:rPr>
          <w:rFonts w:eastAsia="Calibri"/>
          <w:sz w:val="20"/>
          <w:szCs w:val="20"/>
          <w:lang w:val="en-US" w:eastAsia="en-US"/>
        </w:rPr>
        <w:t xml:space="preserve"> </w:t>
      </w:r>
      <w:r w:rsidR="008E5FEC" w:rsidRPr="00CF6765">
        <w:rPr>
          <w:rFonts w:eastAsia="Calibri"/>
          <w:sz w:val="20"/>
          <w:szCs w:val="20"/>
          <w:lang w:val="en-US" w:eastAsia="en-US"/>
        </w:rPr>
        <w:t xml:space="preserve">is also responsible for </w:t>
      </w:r>
      <w:r w:rsidR="00AD04D4" w:rsidRPr="00CF6765">
        <w:rPr>
          <w:rFonts w:eastAsia="Calibri"/>
          <w:sz w:val="20"/>
          <w:szCs w:val="20"/>
          <w:lang w:val="en-US" w:eastAsia="en-US"/>
        </w:rPr>
        <w:t xml:space="preserve">the </w:t>
      </w:r>
      <w:r w:rsidR="00244799" w:rsidRPr="00CF6765">
        <w:rPr>
          <w:rFonts w:eastAsia="Calibri"/>
          <w:sz w:val="20"/>
          <w:szCs w:val="20"/>
          <w:lang w:val="en-US" w:eastAsia="en-US"/>
        </w:rPr>
        <w:t>violation</w:t>
      </w:r>
      <w:r w:rsidR="008F31F2" w:rsidRPr="00CF6765">
        <w:rPr>
          <w:rFonts w:eastAsia="Calibri"/>
          <w:sz w:val="20"/>
          <w:szCs w:val="20"/>
          <w:lang w:val="en-US" w:eastAsia="en-US"/>
        </w:rPr>
        <w:t xml:space="preserve"> of</w:t>
      </w:r>
      <w:r w:rsidR="000055DC" w:rsidRPr="00CF6765">
        <w:rPr>
          <w:rFonts w:eastAsia="Calibri"/>
          <w:sz w:val="20"/>
          <w:szCs w:val="20"/>
          <w:lang w:val="en-US" w:eastAsia="en-US"/>
        </w:rPr>
        <w:t xml:space="preserve"> </w:t>
      </w:r>
      <w:r w:rsidR="005C731C" w:rsidRPr="00CF6765">
        <w:rPr>
          <w:rFonts w:eastAsia="Calibri"/>
          <w:sz w:val="20"/>
          <w:szCs w:val="20"/>
          <w:lang w:val="en-US" w:eastAsia="en-US"/>
        </w:rPr>
        <w:t>Articles</w:t>
      </w:r>
      <w:r w:rsidR="002570D1" w:rsidRPr="00CF6765">
        <w:rPr>
          <w:rFonts w:eastAsia="Calibri"/>
          <w:sz w:val="20"/>
          <w:szCs w:val="20"/>
          <w:lang w:val="en-US" w:eastAsia="en-US"/>
        </w:rPr>
        <w:t xml:space="preserve"> </w:t>
      </w:r>
      <w:r w:rsidR="00E83EA1" w:rsidRPr="00CF6765">
        <w:rPr>
          <w:rFonts w:eastAsia="Calibri"/>
          <w:sz w:val="20"/>
          <w:szCs w:val="20"/>
          <w:lang w:val="en-US" w:eastAsia="en-US"/>
        </w:rPr>
        <w:t>26</w:t>
      </w:r>
      <w:r w:rsidR="00F46F85" w:rsidRPr="00CF6765">
        <w:rPr>
          <w:rFonts w:eastAsia="Calibri"/>
          <w:sz w:val="20"/>
          <w:szCs w:val="20"/>
          <w:lang w:val="en-US" w:eastAsia="en-US"/>
        </w:rPr>
        <w:t>, 13, 7</w:t>
      </w:r>
      <w:r w:rsidR="00EC50FC" w:rsidRPr="00CF6765">
        <w:rPr>
          <w:rFonts w:eastAsia="Calibri"/>
          <w:sz w:val="20"/>
          <w:szCs w:val="20"/>
          <w:lang w:val="en-US" w:eastAsia="en-US"/>
        </w:rPr>
        <w:t xml:space="preserve"> and </w:t>
      </w:r>
      <w:r w:rsidR="00F46F85" w:rsidRPr="00CF6765">
        <w:rPr>
          <w:rFonts w:eastAsia="Calibri"/>
          <w:sz w:val="20"/>
          <w:szCs w:val="20"/>
          <w:lang w:val="en-US" w:eastAsia="en-US"/>
        </w:rPr>
        <w:t xml:space="preserve">11, </w:t>
      </w:r>
      <w:r w:rsidR="00690D57" w:rsidRPr="00CF6765">
        <w:rPr>
          <w:rFonts w:eastAsia="Calibri"/>
          <w:sz w:val="20"/>
          <w:szCs w:val="20"/>
          <w:lang w:val="en-US" w:eastAsia="en-US"/>
        </w:rPr>
        <w:t>to the detriment o</w:t>
      </w:r>
      <w:r w:rsidR="008E5FEC" w:rsidRPr="00CF6765">
        <w:rPr>
          <w:rFonts w:eastAsia="Calibri"/>
          <w:sz w:val="20"/>
          <w:szCs w:val="20"/>
          <w:lang w:val="en-US" w:eastAsia="en-US"/>
        </w:rPr>
        <w:t>f the members of his family.</w:t>
      </w:r>
      <w:r w:rsidR="002570D1" w:rsidRPr="00CF6765">
        <w:rPr>
          <w:rFonts w:eastAsia="Calibri"/>
          <w:sz w:val="20"/>
          <w:szCs w:val="20"/>
          <w:lang w:val="en-US" w:eastAsia="en-US"/>
        </w:rPr>
        <w:t xml:space="preserve"> </w:t>
      </w:r>
    </w:p>
    <w:p w14:paraId="6F1D04E1" w14:textId="77777777" w:rsidR="00D34E7C" w:rsidRPr="00CF6765" w:rsidRDefault="00D34E7C" w:rsidP="00A83854">
      <w:pPr>
        <w:rPr>
          <w:sz w:val="20"/>
          <w:szCs w:val="20"/>
          <w:lang w:val="en-US"/>
        </w:rPr>
      </w:pPr>
    </w:p>
    <w:p w14:paraId="47512F9D" w14:textId="77777777" w:rsidR="00E67349" w:rsidRPr="00CF6765" w:rsidRDefault="00E67349" w:rsidP="00F322EC">
      <w:pPr>
        <w:pStyle w:val="Ttulo"/>
      </w:pPr>
      <w:bookmarkStart w:id="85" w:name="_Toc504131610"/>
      <w:bookmarkStart w:id="86" w:name="_Toc504484544"/>
      <w:bookmarkStart w:id="87" w:name="_Toc47864386"/>
      <w:r w:rsidRPr="00CF6765">
        <w:t>VI</w:t>
      </w:r>
      <w:r w:rsidR="00A83854" w:rsidRPr="00CF6765">
        <w:t>I-2</w:t>
      </w:r>
      <w:bookmarkEnd w:id="85"/>
      <w:bookmarkEnd w:id="86"/>
      <w:bookmarkEnd w:id="87"/>
    </w:p>
    <w:p w14:paraId="109C7ED1" w14:textId="016094B2" w:rsidR="00E67349" w:rsidRPr="00CF6765" w:rsidRDefault="009C2DEF" w:rsidP="00F322EC">
      <w:pPr>
        <w:pStyle w:val="Ttulo"/>
      </w:pPr>
      <w:bookmarkStart w:id="88" w:name="_Toc47864387"/>
      <w:r w:rsidRPr="00CF6765">
        <w:t>RIGHTS TO JUDICIAL GUARANTEES AND JUDICIAL PROTECTION</w:t>
      </w:r>
      <w:r w:rsidR="00E67349" w:rsidRPr="00CF6765">
        <w:t xml:space="preserve"> </w:t>
      </w:r>
      <w:bookmarkEnd w:id="60"/>
      <w:r w:rsidR="00E67349" w:rsidRPr="00CF6765">
        <w:t>(</w:t>
      </w:r>
      <w:r w:rsidR="005C731C" w:rsidRPr="00CF6765">
        <w:t>ARTICLES</w:t>
      </w:r>
      <w:r w:rsidR="00E67349" w:rsidRPr="00CF6765">
        <w:t xml:space="preserve"> 8</w:t>
      </w:r>
      <w:r w:rsidR="00EC50FC" w:rsidRPr="00CF6765">
        <w:t xml:space="preserve"> </w:t>
      </w:r>
      <w:r w:rsidR="00244799" w:rsidRPr="00CF6765">
        <w:t>AND</w:t>
      </w:r>
      <w:r w:rsidR="00EC50FC" w:rsidRPr="00CF6765">
        <w:t xml:space="preserve"> </w:t>
      </w:r>
      <w:r w:rsidR="006A08E5" w:rsidRPr="00CF6765">
        <w:t>25</w:t>
      </w:r>
      <w:r w:rsidR="005C731C" w:rsidRPr="00CF6765">
        <w:t xml:space="preserve"> </w:t>
      </w:r>
      <w:r w:rsidR="00AC6F62" w:rsidRPr="00CF6765">
        <w:t>OF THE AMERICAN</w:t>
      </w:r>
      <w:r w:rsidR="005C731C" w:rsidRPr="00CF6765">
        <w:t xml:space="preserve"> CONVENTION</w:t>
      </w:r>
      <w:r w:rsidR="00E67349" w:rsidRPr="00CF6765">
        <w:t>)</w:t>
      </w:r>
      <w:bookmarkEnd w:id="88"/>
    </w:p>
    <w:p w14:paraId="5EB9D72A" w14:textId="77777777" w:rsidR="000D4A1F" w:rsidRPr="00CF6765" w:rsidRDefault="000D4A1F" w:rsidP="000D4A1F">
      <w:pPr>
        <w:rPr>
          <w:rFonts w:eastAsiaTheme="minorHAnsi"/>
          <w:sz w:val="20"/>
          <w:szCs w:val="20"/>
          <w:lang w:val="en-US"/>
        </w:rPr>
      </w:pPr>
    </w:p>
    <w:p w14:paraId="1A804BCA" w14:textId="750DD9B3" w:rsidR="00E67349" w:rsidRPr="00CF6765" w:rsidRDefault="009C2DEF" w:rsidP="002726E0">
      <w:pPr>
        <w:pStyle w:val="Ttulo2"/>
        <w:numPr>
          <w:ilvl w:val="0"/>
          <w:numId w:val="11"/>
        </w:numPr>
        <w:rPr>
          <w:lang w:val="en-US"/>
        </w:rPr>
      </w:pPr>
      <w:bookmarkStart w:id="89" w:name="_Toc47864388"/>
      <w:r w:rsidRPr="00CF6765">
        <w:rPr>
          <w:lang w:val="en-US"/>
        </w:rPr>
        <w:t>Arguments of the parties</w:t>
      </w:r>
      <w:r w:rsidR="00EC50FC" w:rsidRPr="00CF6765">
        <w:rPr>
          <w:lang w:val="en-US"/>
        </w:rPr>
        <w:t xml:space="preserve"> and </w:t>
      </w:r>
      <w:r w:rsidR="005C731C" w:rsidRPr="00CF6765">
        <w:rPr>
          <w:lang w:val="en-US"/>
        </w:rPr>
        <w:t>of the Commission</w:t>
      </w:r>
      <w:bookmarkEnd w:id="89"/>
    </w:p>
    <w:p w14:paraId="46E83C94" w14:textId="77777777" w:rsidR="000D4A1F" w:rsidRPr="00CF6765" w:rsidRDefault="000D4A1F" w:rsidP="000D4A1F">
      <w:pPr>
        <w:rPr>
          <w:rFonts w:eastAsiaTheme="minorHAnsi" w:cstheme="minorBidi"/>
          <w:b/>
          <w:sz w:val="20"/>
          <w:szCs w:val="20"/>
          <w:lang w:val="en-US" w:eastAsia="en-US"/>
        </w:rPr>
      </w:pPr>
    </w:p>
    <w:p w14:paraId="28F6125B" w14:textId="1BBE5C56" w:rsidR="00012D32" w:rsidRPr="00CF6765" w:rsidRDefault="005C731C" w:rsidP="001526DB">
      <w:pPr>
        <w:numPr>
          <w:ilvl w:val="0"/>
          <w:numId w:val="2"/>
        </w:numPr>
        <w:tabs>
          <w:tab w:val="left" w:pos="567"/>
          <w:tab w:val="num" w:pos="1569"/>
          <w:tab w:val="num" w:pos="12305"/>
        </w:tabs>
        <w:ind w:left="0" w:firstLine="0"/>
        <w:contextualSpacing/>
        <w:rPr>
          <w:rFonts w:eastAsiaTheme="minorHAnsi" w:cstheme="minorBidi"/>
          <w:sz w:val="20"/>
          <w:szCs w:val="20"/>
          <w:lang w:val="en-US" w:eastAsia="en-US"/>
        </w:rPr>
      </w:pPr>
      <w:r w:rsidRPr="00CF6765">
        <w:rPr>
          <w:rFonts w:eastAsiaTheme="minorHAnsi" w:cstheme="minorBidi"/>
          <w:sz w:val="20"/>
          <w:szCs w:val="20"/>
          <w:lang w:val="en-US" w:eastAsia="en-US"/>
        </w:rPr>
        <w:t xml:space="preserve">The </w:t>
      </w:r>
      <w:r w:rsidRPr="00CF6765">
        <w:rPr>
          <w:rFonts w:eastAsiaTheme="minorHAnsi" w:cstheme="minorBidi"/>
          <w:b/>
          <w:bCs/>
          <w:i/>
          <w:iCs/>
          <w:sz w:val="20"/>
          <w:szCs w:val="20"/>
          <w:lang w:val="en-US" w:eastAsia="en-US"/>
        </w:rPr>
        <w:t>Commission</w:t>
      </w:r>
      <w:r w:rsidR="00E67349"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argued that</w:t>
      </w:r>
      <w:r w:rsidR="00E67349" w:rsidRPr="00CF6765">
        <w:rPr>
          <w:rFonts w:eastAsiaTheme="minorHAnsi" w:cstheme="minorBidi"/>
          <w:sz w:val="20"/>
          <w:szCs w:val="20"/>
          <w:lang w:val="en-US" w:eastAsia="en-US"/>
        </w:rPr>
        <w:t xml:space="preserve"> </w:t>
      </w:r>
      <w:r w:rsidR="00EC50FC" w:rsidRPr="00CF6765">
        <w:rPr>
          <w:rFonts w:eastAsiaTheme="minorHAnsi" w:cstheme="minorBidi"/>
          <w:sz w:val="20"/>
          <w:szCs w:val="20"/>
          <w:lang w:val="en-US" w:eastAsia="en-US"/>
        </w:rPr>
        <w:t>the State</w:t>
      </w:r>
      <w:r w:rsidR="00E67349"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had violated</w:t>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Articles</w:t>
      </w:r>
      <w:r w:rsidR="00E67349" w:rsidRPr="00CF6765">
        <w:rPr>
          <w:rFonts w:eastAsiaTheme="minorHAnsi" w:cstheme="minorBidi"/>
          <w:sz w:val="20"/>
          <w:szCs w:val="20"/>
          <w:lang w:val="en-US" w:eastAsia="en-US"/>
        </w:rPr>
        <w:t xml:space="preserve"> 8</w:t>
      </w:r>
      <w:r w:rsidR="00EC50FC" w:rsidRPr="00CF6765">
        <w:rPr>
          <w:rFonts w:eastAsiaTheme="minorHAnsi" w:cstheme="minorBidi"/>
          <w:sz w:val="20"/>
          <w:szCs w:val="20"/>
          <w:lang w:val="en-US" w:eastAsia="en-US"/>
        </w:rPr>
        <w:t xml:space="preserve"> and </w:t>
      </w:r>
      <w:r w:rsidR="00E67349" w:rsidRPr="00CF6765">
        <w:rPr>
          <w:rFonts w:eastAsiaTheme="minorHAnsi" w:cstheme="minorBidi"/>
          <w:sz w:val="20"/>
          <w:szCs w:val="20"/>
          <w:lang w:val="en-US" w:eastAsia="en-US"/>
        </w:rPr>
        <w:t>25</w:t>
      </w:r>
      <w:r w:rsidRPr="00CF6765">
        <w:rPr>
          <w:rFonts w:eastAsiaTheme="minorHAnsi" w:cstheme="minorBidi"/>
          <w:sz w:val="20"/>
          <w:szCs w:val="20"/>
          <w:lang w:val="en-US" w:eastAsia="en-US"/>
        </w:rPr>
        <w:t xml:space="preserve"> of the American Convention</w:t>
      </w:r>
      <w:r w:rsidR="00E67349" w:rsidRPr="00CF6765">
        <w:rPr>
          <w:rFonts w:eastAsiaTheme="minorHAnsi" w:cstheme="minorBidi"/>
          <w:sz w:val="20"/>
          <w:szCs w:val="20"/>
          <w:lang w:val="en-US" w:eastAsia="en-US"/>
        </w:rPr>
        <w:t xml:space="preserve">, </w:t>
      </w:r>
      <w:r w:rsidR="00690D57" w:rsidRPr="00CF6765">
        <w:rPr>
          <w:rFonts w:eastAsiaTheme="minorHAnsi" w:cstheme="minorBidi"/>
          <w:sz w:val="20"/>
          <w:szCs w:val="20"/>
          <w:lang w:val="en-US" w:eastAsia="en-US"/>
        </w:rPr>
        <w:t>in relation to Article</w:t>
      </w:r>
      <w:r w:rsidR="00EC50FC" w:rsidRPr="00CF6765">
        <w:rPr>
          <w:rFonts w:eastAsiaTheme="minorHAnsi" w:cstheme="minorBidi"/>
          <w:sz w:val="20"/>
          <w:szCs w:val="20"/>
          <w:lang w:val="en-US" w:eastAsia="en-US"/>
        </w:rPr>
        <w:t xml:space="preserve"> 1(1)</w:t>
      </w:r>
      <w:r w:rsidR="00E67349" w:rsidRPr="00CF6765">
        <w:rPr>
          <w:rFonts w:eastAsiaTheme="minorHAnsi" w:cstheme="minorBidi"/>
          <w:sz w:val="20"/>
          <w:szCs w:val="20"/>
          <w:lang w:val="en-US" w:eastAsia="en-US"/>
        </w:rPr>
        <w:t xml:space="preserve"> </w:t>
      </w:r>
      <w:r w:rsidR="00690D57" w:rsidRPr="00CF6765">
        <w:rPr>
          <w:rFonts w:eastAsiaTheme="minorHAnsi" w:cstheme="minorBidi"/>
          <w:sz w:val="20"/>
          <w:szCs w:val="20"/>
          <w:lang w:val="en-US" w:eastAsia="en-US"/>
        </w:rPr>
        <w:t>of this instrument</w:t>
      </w:r>
      <w:r w:rsidR="00E67349"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 xml:space="preserve">in relation to the obligation to investigate the facts of this case with </w:t>
      </w:r>
      <w:r w:rsidR="00497BFB" w:rsidRPr="00CF6765">
        <w:rPr>
          <w:rFonts w:eastAsiaTheme="minorHAnsi" w:cstheme="minorBidi"/>
          <w:sz w:val="20"/>
          <w:szCs w:val="20"/>
          <w:lang w:val="en-US" w:eastAsia="en-US"/>
        </w:rPr>
        <w:t>due diligence</w:t>
      </w:r>
      <w:r w:rsidR="00EC50FC" w:rsidRPr="00CF6765">
        <w:rPr>
          <w:rFonts w:eastAsiaTheme="minorHAnsi" w:cstheme="minorBidi"/>
          <w:sz w:val="20"/>
          <w:szCs w:val="20"/>
          <w:lang w:val="en-US" w:eastAsia="en-US"/>
        </w:rPr>
        <w:t xml:space="preserve"> and </w:t>
      </w:r>
      <w:r w:rsidR="00AC6F62" w:rsidRPr="00CF6765">
        <w:rPr>
          <w:rFonts w:eastAsiaTheme="minorHAnsi" w:cstheme="minorBidi"/>
          <w:sz w:val="20"/>
          <w:szCs w:val="20"/>
          <w:lang w:val="en-US" w:eastAsia="en-US"/>
        </w:rPr>
        <w:t>in a reasonable time</w:t>
      </w:r>
      <w:r w:rsidR="00E67349" w:rsidRPr="00CF6765">
        <w:rPr>
          <w:rFonts w:eastAsiaTheme="minorHAnsi" w:cstheme="minorBidi"/>
          <w:sz w:val="20"/>
          <w:szCs w:val="20"/>
          <w:lang w:val="en-US" w:eastAsia="en-US"/>
        </w:rPr>
        <w:t xml:space="preserve">, </w:t>
      </w:r>
      <w:r w:rsidR="00690D57" w:rsidRPr="00CF6765">
        <w:rPr>
          <w:rFonts w:eastAsiaTheme="minorHAnsi" w:cstheme="minorBidi"/>
          <w:sz w:val="20"/>
          <w:szCs w:val="20"/>
          <w:lang w:val="en-US" w:eastAsia="en-US"/>
        </w:rPr>
        <w:t>to the detriment of</w:t>
      </w:r>
      <w:r w:rsidR="00E67349"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the members of</w:t>
      </w:r>
      <w:r w:rsidR="00D04694" w:rsidRPr="00CF6765">
        <w:rPr>
          <w:rFonts w:eastAsiaTheme="minorHAnsi" w:cstheme="minorBidi"/>
          <w:sz w:val="20"/>
          <w:szCs w:val="20"/>
          <w:lang w:val="en-US" w:eastAsia="en-US"/>
        </w:rPr>
        <w:t xml:space="preserve"> Mr.</w:t>
      </w:r>
      <w:r w:rsidR="00D2168F" w:rsidRPr="00CF6765">
        <w:rPr>
          <w:rFonts w:eastAsiaTheme="minorHAnsi" w:cstheme="minorBidi"/>
          <w:sz w:val="20"/>
          <w:szCs w:val="20"/>
          <w:lang w:val="en-US" w:eastAsia="en-US"/>
        </w:rPr>
        <w:t xml:space="preserve"> Poblete</w:t>
      </w:r>
      <w:r w:rsidR="00E67349" w:rsidRPr="00CF6765">
        <w:rPr>
          <w:rFonts w:eastAsiaTheme="minorHAnsi" w:cstheme="minorBidi"/>
          <w:sz w:val="20"/>
          <w:szCs w:val="20"/>
          <w:lang w:val="en-US" w:eastAsia="en-US"/>
        </w:rPr>
        <w:t xml:space="preserve"> </w:t>
      </w:r>
      <w:proofErr w:type="spellStart"/>
      <w:r w:rsidR="001E55C3" w:rsidRPr="00CF6765">
        <w:rPr>
          <w:rFonts w:eastAsiaTheme="minorHAnsi" w:cstheme="minorBidi"/>
          <w:sz w:val="20"/>
          <w:szCs w:val="20"/>
          <w:lang w:val="en-US" w:eastAsia="en-US"/>
        </w:rPr>
        <w:t>Vilches’s</w:t>
      </w:r>
      <w:proofErr w:type="spellEnd"/>
      <w:r w:rsidR="001E55C3"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family</w:t>
      </w:r>
      <w:r w:rsidR="00E67349" w:rsidRPr="00CF6765">
        <w:rPr>
          <w:rFonts w:eastAsiaTheme="minorHAnsi" w:cstheme="minorBidi"/>
          <w:sz w:val="20"/>
          <w:szCs w:val="20"/>
          <w:lang w:val="en-US" w:eastAsia="en-US"/>
        </w:rPr>
        <w:t xml:space="preserve">. </w:t>
      </w:r>
      <w:r w:rsidR="003F15C8" w:rsidRPr="00CF6765">
        <w:rPr>
          <w:rFonts w:eastAsiaTheme="minorHAnsi" w:cstheme="minorBidi"/>
          <w:sz w:val="20"/>
          <w:szCs w:val="20"/>
          <w:lang w:val="en-US" w:eastAsia="en-US"/>
        </w:rPr>
        <w:t>Regarding</w:t>
      </w:r>
      <w:r w:rsidR="00E67349" w:rsidRPr="00CF6765">
        <w:rPr>
          <w:rFonts w:eastAsiaTheme="minorHAnsi" w:cstheme="minorBidi"/>
          <w:sz w:val="20"/>
          <w:szCs w:val="20"/>
          <w:lang w:val="en-US" w:eastAsia="en-US"/>
        </w:rPr>
        <w:t xml:space="preserve"> </w:t>
      </w:r>
      <w:r w:rsidR="00497BFB" w:rsidRPr="00CF6765">
        <w:rPr>
          <w:rFonts w:eastAsiaTheme="minorHAnsi" w:cstheme="minorBidi"/>
          <w:sz w:val="20"/>
          <w:szCs w:val="20"/>
          <w:lang w:val="en-US" w:eastAsia="en-US"/>
        </w:rPr>
        <w:t>due diligence</w:t>
      </w:r>
      <w:r w:rsidR="00E67349" w:rsidRPr="00CF6765">
        <w:rPr>
          <w:rFonts w:eastAsiaTheme="minorHAnsi" w:cstheme="minorBidi"/>
          <w:sz w:val="20"/>
          <w:szCs w:val="20"/>
          <w:lang w:val="en-US" w:eastAsia="en-US"/>
        </w:rPr>
        <w:t xml:space="preserve">, </w:t>
      </w:r>
      <w:r w:rsidR="003F15C8" w:rsidRPr="00CF6765">
        <w:rPr>
          <w:rFonts w:eastAsiaTheme="minorHAnsi" w:cstheme="minorBidi"/>
          <w:sz w:val="20"/>
          <w:szCs w:val="20"/>
          <w:lang w:val="en-US" w:eastAsia="en-US"/>
        </w:rPr>
        <w:t>it observed that the first c</w:t>
      </w:r>
      <w:r w:rsidR="00AD04D4" w:rsidRPr="00CF6765">
        <w:rPr>
          <w:rFonts w:eastAsiaTheme="minorHAnsi" w:cstheme="minorBidi"/>
          <w:sz w:val="20"/>
          <w:szCs w:val="20"/>
          <w:lang w:val="en-US" w:eastAsia="en-US"/>
        </w:rPr>
        <w:t>riminal complaint</w:t>
      </w:r>
      <w:r w:rsidR="00E67349" w:rsidRPr="00CF6765">
        <w:rPr>
          <w:rFonts w:eastAsiaTheme="minorHAnsi" w:cstheme="minorBidi"/>
          <w:sz w:val="20"/>
          <w:szCs w:val="20"/>
          <w:lang w:val="en-US" w:eastAsia="en-US"/>
        </w:rPr>
        <w:t xml:space="preserve"> </w:t>
      </w:r>
      <w:r w:rsidR="003F15C8" w:rsidRPr="00CF6765">
        <w:rPr>
          <w:rFonts w:eastAsiaTheme="minorHAnsi" w:cstheme="minorBidi"/>
          <w:sz w:val="20"/>
          <w:szCs w:val="20"/>
          <w:lang w:val="en-US" w:eastAsia="en-US"/>
        </w:rPr>
        <w:t xml:space="preserve">was filed by </w:t>
      </w:r>
      <w:r w:rsidR="00D04694" w:rsidRPr="00CF6765">
        <w:rPr>
          <w:rFonts w:eastAsiaTheme="minorHAnsi" w:cstheme="minorBidi"/>
          <w:sz w:val="20"/>
          <w:szCs w:val="20"/>
          <w:lang w:val="en-US" w:eastAsia="en-US"/>
        </w:rPr>
        <w:t>Mr.</w:t>
      </w:r>
      <w:r w:rsidR="00D2168F" w:rsidRPr="00CF6765">
        <w:rPr>
          <w:rFonts w:eastAsiaTheme="minorHAnsi" w:cstheme="minorBidi"/>
          <w:sz w:val="20"/>
          <w:szCs w:val="20"/>
          <w:lang w:val="en-US" w:eastAsia="en-US"/>
        </w:rPr>
        <w:t xml:space="preserve"> Poblete</w:t>
      </w:r>
      <w:r w:rsidR="00E67349" w:rsidRPr="00CF6765">
        <w:rPr>
          <w:rFonts w:eastAsiaTheme="minorHAnsi" w:cstheme="minorBidi"/>
          <w:sz w:val="20"/>
          <w:szCs w:val="20"/>
          <w:lang w:val="en-US" w:eastAsia="en-US"/>
        </w:rPr>
        <w:t xml:space="preserve"> </w:t>
      </w:r>
      <w:proofErr w:type="spellStart"/>
      <w:r w:rsidR="00E67349" w:rsidRPr="00CF6765">
        <w:rPr>
          <w:rFonts w:eastAsiaTheme="minorHAnsi" w:cstheme="minorBidi"/>
          <w:sz w:val="20"/>
          <w:szCs w:val="20"/>
          <w:lang w:val="en-US" w:eastAsia="en-US"/>
        </w:rPr>
        <w:t>Vilches</w:t>
      </w:r>
      <w:r w:rsidR="00F322EC" w:rsidRPr="00CF6765">
        <w:rPr>
          <w:rFonts w:eastAsiaTheme="minorHAnsi" w:cstheme="minorBidi"/>
          <w:sz w:val="20"/>
          <w:szCs w:val="20"/>
          <w:lang w:val="en-US" w:eastAsia="en-US"/>
        </w:rPr>
        <w:t>’s</w:t>
      </w:r>
      <w:proofErr w:type="spellEnd"/>
      <w:r w:rsidR="00F322EC" w:rsidRPr="00CF6765">
        <w:rPr>
          <w:rFonts w:eastAsiaTheme="minorHAnsi" w:cstheme="minorBidi"/>
          <w:sz w:val="20"/>
          <w:szCs w:val="20"/>
          <w:lang w:val="en-US" w:eastAsia="en-US"/>
        </w:rPr>
        <w:t xml:space="preserve"> family</w:t>
      </w:r>
      <w:r w:rsidR="00E67349" w:rsidRPr="00CF6765">
        <w:rPr>
          <w:rFonts w:eastAsiaTheme="minorHAnsi" w:cstheme="minorBidi"/>
          <w:sz w:val="20"/>
          <w:szCs w:val="20"/>
          <w:lang w:val="en-US" w:eastAsia="en-US"/>
        </w:rPr>
        <w:t xml:space="preserve"> </w:t>
      </w:r>
      <w:r w:rsidR="003F15C8" w:rsidRPr="00CF6765">
        <w:rPr>
          <w:rFonts w:eastAsiaTheme="minorHAnsi" w:cstheme="minorBidi"/>
          <w:sz w:val="20"/>
          <w:szCs w:val="20"/>
          <w:lang w:val="en-US" w:eastAsia="en-US"/>
        </w:rPr>
        <w:t>in November</w:t>
      </w:r>
      <w:r w:rsidR="00E67349" w:rsidRPr="00CF6765">
        <w:rPr>
          <w:rFonts w:eastAsiaTheme="minorHAnsi" w:cstheme="minorBidi"/>
          <w:sz w:val="20"/>
          <w:szCs w:val="20"/>
          <w:lang w:val="en-US" w:eastAsia="en-US"/>
        </w:rPr>
        <w:t xml:space="preserve"> 2001</w:t>
      </w:r>
      <w:r w:rsidR="00EC50FC" w:rsidRPr="00CF6765">
        <w:rPr>
          <w:rFonts w:eastAsiaTheme="minorHAnsi" w:cstheme="minorBidi"/>
          <w:sz w:val="20"/>
          <w:szCs w:val="20"/>
          <w:lang w:val="en-US" w:eastAsia="en-US"/>
        </w:rPr>
        <w:t xml:space="preserve"> and </w:t>
      </w:r>
      <w:r w:rsidR="003F15C8" w:rsidRPr="00CF6765">
        <w:rPr>
          <w:rFonts w:eastAsiaTheme="minorHAnsi" w:cstheme="minorBidi"/>
          <w:sz w:val="20"/>
          <w:szCs w:val="20"/>
          <w:lang w:val="en-US" w:eastAsia="en-US"/>
        </w:rPr>
        <w:t>that</w:t>
      </w:r>
      <w:r w:rsidR="00F322EC" w:rsidRPr="00CF6765">
        <w:rPr>
          <w:rFonts w:eastAsiaTheme="minorHAnsi" w:cstheme="minorBidi"/>
          <w:sz w:val="20"/>
          <w:szCs w:val="20"/>
          <w:lang w:val="en-US" w:eastAsia="en-US"/>
        </w:rPr>
        <w:t>,</w:t>
      </w:r>
      <w:r w:rsidR="003F15C8" w:rsidRPr="00CF6765">
        <w:rPr>
          <w:rFonts w:eastAsiaTheme="minorHAnsi" w:cstheme="minorBidi"/>
          <w:sz w:val="20"/>
          <w:szCs w:val="20"/>
          <w:lang w:val="en-US" w:eastAsia="en-US"/>
        </w:rPr>
        <w:t xml:space="preserve"> due to several courts declaring themselves without jurisdiction, it was only in February 2002 that a decision was made as to which judicial authority had jurisdiction to hear the</w:t>
      </w:r>
      <w:r w:rsidR="00F322EC" w:rsidRPr="00CF6765">
        <w:rPr>
          <w:rFonts w:eastAsiaTheme="minorHAnsi" w:cstheme="minorBidi"/>
          <w:sz w:val="20"/>
          <w:szCs w:val="20"/>
          <w:lang w:val="en-US" w:eastAsia="en-US"/>
        </w:rPr>
        <w:t>ir</w:t>
      </w:r>
      <w:r w:rsidR="003F15C8" w:rsidRPr="00CF6765">
        <w:rPr>
          <w:rFonts w:eastAsiaTheme="minorHAnsi" w:cstheme="minorBidi"/>
          <w:sz w:val="20"/>
          <w:szCs w:val="20"/>
          <w:lang w:val="en-US" w:eastAsia="en-US"/>
        </w:rPr>
        <w:t xml:space="preserve"> complaint. The Commission stressed that no steps </w:t>
      </w:r>
      <w:r w:rsidR="003F15C8" w:rsidRPr="00CF6765">
        <w:rPr>
          <w:rFonts w:eastAsiaTheme="minorHAnsi" w:cstheme="minorBidi"/>
          <w:sz w:val="20"/>
          <w:szCs w:val="20"/>
          <w:lang w:val="en-US" w:eastAsia="en-US"/>
        </w:rPr>
        <w:lastRenderedPageBreak/>
        <w:t xml:space="preserve">were taken in the proceedings </w:t>
      </w:r>
      <w:r w:rsidR="00AC6F62" w:rsidRPr="00CF6765">
        <w:rPr>
          <w:rFonts w:eastAsiaTheme="minorHAnsi" w:cstheme="minorBidi"/>
          <w:sz w:val="20"/>
          <w:szCs w:val="20"/>
          <w:lang w:val="en-US" w:eastAsia="en-US"/>
        </w:rPr>
        <w:t>until October</w:t>
      </w:r>
      <w:r w:rsidR="00E67349" w:rsidRPr="00CF6765">
        <w:rPr>
          <w:rFonts w:eastAsiaTheme="minorHAnsi" w:cstheme="minorBidi"/>
          <w:sz w:val="20"/>
          <w:szCs w:val="20"/>
          <w:lang w:val="en-US" w:eastAsia="en-US"/>
        </w:rPr>
        <w:t xml:space="preserve"> 2002, </w:t>
      </w:r>
      <w:r w:rsidR="00AC6F62" w:rsidRPr="00CF6765">
        <w:rPr>
          <w:rFonts w:eastAsiaTheme="minorHAnsi" w:cstheme="minorBidi"/>
          <w:sz w:val="20"/>
          <w:szCs w:val="20"/>
          <w:lang w:val="en-US" w:eastAsia="en-US"/>
        </w:rPr>
        <w:t>eight months later</w:t>
      </w:r>
      <w:r w:rsidR="00E67349" w:rsidRPr="00CF6765">
        <w:rPr>
          <w:rFonts w:eastAsiaTheme="minorHAnsi" w:cstheme="minorBidi"/>
          <w:sz w:val="20"/>
          <w:szCs w:val="20"/>
          <w:lang w:val="en-US" w:eastAsia="en-US"/>
        </w:rPr>
        <w:t xml:space="preserve">, </w:t>
      </w:r>
      <w:r w:rsidR="003F15C8" w:rsidRPr="00CF6765">
        <w:rPr>
          <w:rFonts w:eastAsiaTheme="minorHAnsi" w:cstheme="minorBidi"/>
          <w:sz w:val="20"/>
          <w:szCs w:val="20"/>
          <w:lang w:val="en-US" w:eastAsia="en-US"/>
        </w:rPr>
        <w:t xml:space="preserve">when the </w:t>
      </w:r>
      <w:proofErr w:type="spellStart"/>
      <w:r w:rsidR="00B06735" w:rsidRPr="00CF6765">
        <w:rPr>
          <w:rFonts w:eastAsiaTheme="minorHAnsi" w:cstheme="minorBidi"/>
          <w:sz w:val="20"/>
          <w:szCs w:val="20"/>
          <w:lang w:val="en-US" w:eastAsia="en-US"/>
        </w:rPr>
        <w:t>Sótero</w:t>
      </w:r>
      <w:proofErr w:type="spellEnd"/>
      <w:r w:rsidR="00B06735" w:rsidRPr="00CF6765">
        <w:rPr>
          <w:rFonts w:eastAsiaTheme="minorHAnsi" w:cstheme="minorBidi"/>
          <w:sz w:val="20"/>
          <w:szCs w:val="20"/>
          <w:lang w:val="en-US" w:eastAsia="en-US"/>
        </w:rPr>
        <w:t xml:space="preserve"> del Río Hospital</w:t>
      </w:r>
      <w:r w:rsidR="00E67349" w:rsidRPr="00CF6765">
        <w:rPr>
          <w:rFonts w:eastAsiaTheme="minorHAnsi" w:cstheme="minorBidi"/>
          <w:sz w:val="20"/>
          <w:szCs w:val="20"/>
          <w:lang w:val="en-US" w:eastAsia="en-US"/>
        </w:rPr>
        <w:t xml:space="preserve"> </w:t>
      </w:r>
      <w:r w:rsidR="003F15C8" w:rsidRPr="00CF6765">
        <w:rPr>
          <w:rFonts w:eastAsiaTheme="minorHAnsi" w:cstheme="minorBidi"/>
          <w:sz w:val="20"/>
          <w:szCs w:val="20"/>
          <w:lang w:val="en-US" w:eastAsia="en-US"/>
        </w:rPr>
        <w:t xml:space="preserve">was asked for </w:t>
      </w:r>
      <w:r w:rsidR="00D04694" w:rsidRPr="00CF6765">
        <w:rPr>
          <w:rFonts w:eastAsiaTheme="minorHAnsi" w:cstheme="minorBidi"/>
          <w:sz w:val="20"/>
          <w:szCs w:val="20"/>
          <w:lang w:val="en-US" w:eastAsia="en-US"/>
        </w:rPr>
        <w:t>Mr.</w:t>
      </w:r>
      <w:r w:rsidR="00D2168F" w:rsidRPr="00CF6765">
        <w:rPr>
          <w:rFonts w:eastAsiaTheme="minorHAnsi" w:cstheme="minorBidi"/>
          <w:sz w:val="20"/>
          <w:szCs w:val="20"/>
          <w:lang w:val="en-US" w:eastAsia="en-US"/>
        </w:rPr>
        <w:t xml:space="preserve"> Poblete</w:t>
      </w:r>
      <w:r w:rsidR="00E67349" w:rsidRPr="00CF6765">
        <w:rPr>
          <w:rFonts w:eastAsiaTheme="minorHAnsi" w:cstheme="minorBidi"/>
          <w:sz w:val="20"/>
          <w:szCs w:val="20"/>
          <w:lang w:val="en-US" w:eastAsia="en-US"/>
        </w:rPr>
        <w:t xml:space="preserve"> </w:t>
      </w:r>
      <w:proofErr w:type="spellStart"/>
      <w:r w:rsidR="001E55C3" w:rsidRPr="00CF6765">
        <w:rPr>
          <w:rFonts w:eastAsiaTheme="minorHAnsi" w:cstheme="minorBidi"/>
          <w:sz w:val="20"/>
          <w:szCs w:val="20"/>
          <w:lang w:val="en-US" w:eastAsia="en-US"/>
        </w:rPr>
        <w:t>Vilches’s</w:t>
      </w:r>
      <w:proofErr w:type="spellEnd"/>
      <w:r w:rsidR="001E55C3" w:rsidRPr="00CF6765">
        <w:rPr>
          <w:rFonts w:eastAsiaTheme="minorHAnsi" w:cstheme="minorBidi"/>
          <w:sz w:val="20"/>
          <w:szCs w:val="20"/>
          <w:lang w:val="en-US" w:eastAsia="en-US"/>
        </w:rPr>
        <w:t xml:space="preserve"> </w:t>
      </w:r>
      <w:r w:rsidR="003F15C8" w:rsidRPr="00CF6765">
        <w:rPr>
          <w:rFonts w:eastAsiaTheme="minorHAnsi" w:cstheme="minorBidi"/>
          <w:sz w:val="20"/>
          <w:szCs w:val="20"/>
          <w:lang w:val="en-US" w:eastAsia="en-US"/>
        </w:rPr>
        <w:t>medical record</w:t>
      </w:r>
      <w:r w:rsidR="00E67349" w:rsidRPr="00CF6765">
        <w:rPr>
          <w:rFonts w:eastAsiaTheme="minorHAnsi" w:cstheme="minorBidi"/>
          <w:sz w:val="20"/>
          <w:szCs w:val="20"/>
          <w:lang w:val="en-US" w:eastAsia="en-US"/>
        </w:rPr>
        <w:t xml:space="preserve">. </w:t>
      </w:r>
      <w:r w:rsidR="003E3DD0" w:rsidRPr="00CF6765">
        <w:rPr>
          <w:rFonts w:eastAsiaTheme="minorHAnsi" w:cstheme="minorBidi"/>
          <w:sz w:val="20"/>
          <w:szCs w:val="20"/>
          <w:lang w:val="en-US" w:eastAsia="en-US"/>
        </w:rPr>
        <w:t>It also</w:t>
      </w:r>
      <w:r w:rsidR="003F15C8" w:rsidRPr="00CF6765">
        <w:rPr>
          <w:rFonts w:eastAsiaTheme="minorHAnsi" w:cstheme="minorBidi"/>
          <w:sz w:val="20"/>
          <w:szCs w:val="20"/>
          <w:lang w:val="en-US" w:eastAsia="en-US"/>
        </w:rPr>
        <w:t xml:space="preserve"> noted that more </w:t>
      </w:r>
      <w:r w:rsidR="00E27148" w:rsidRPr="00CF6765">
        <w:rPr>
          <w:rFonts w:eastAsiaTheme="minorHAnsi" w:cstheme="minorBidi"/>
          <w:sz w:val="20"/>
          <w:szCs w:val="20"/>
          <w:lang w:val="en-US" w:eastAsia="en-US"/>
        </w:rPr>
        <w:t>than</w:t>
      </w:r>
      <w:r w:rsidR="003F15C8" w:rsidRPr="00CF6765">
        <w:rPr>
          <w:rFonts w:eastAsiaTheme="minorHAnsi" w:cstheme="minorBidi"/>
          <w:sz w:val="20"/>
          <w:szCs w:val="20"/>
          <w:lang w:val="en-US" w:eastAsia="en-US"/>
        </w:rPr>
        <w:t xml:space="preserve"> 18 months passed between the filing of the complaint and</w:t>
      </w:r>
      <w:r w:rsidR="00F322EC" w:rsidRPr="00CF6765">
        <w:rPr>
          <w:rFonts w:eastAsiaTheme="minorHAnsi" w:cstheme="minorBidi"/>
          <w:sz w:val="20"/>
          <w:szCs w:val="20"/>
          <w:lang w:val="en-US" w:eastAsia="en-US"/>
        </w:rPr>
        <w:t xml:space="preserve"> the moment when</w:t>
      </w:r>
      <w:r w:rsidR="003F15C8" w:rsidRPr="00CF6765">
        <w:rPr>
          <w:rFonts w:eastAsiaTheme="minorHAnsi" w:cstheme="minorBidi"/>
          <w:sz w:val="20"/>
          <w:szCs w:val="20"/>
          <w:lang w:val="en-US" w:eastAsia="en-US"/>
        </w:rPr>
        <w:t xml:space="preserve"> the first deponents were called to testify. </w:t>
      </w:r>
      <w:r w:rsidR="00AC6F62" w:rsidRPr="00CF6765">
        <w:rPr>
          <w:rFonts w:eastAsiaTheme="minorHAnsi" w:cstheme="minorBidi"/>
          <w:sz w:val="20"/>
          <w:szCs w:val="20"/>
          <w:lang w:val="en-US" w:eastAsia="en-US"/>
        </w:rPr>
        <w:t xml:space="preserve">It mentioned that, over a five-year period, </w:t>
      </w:r>
      <w:r w:rsidR="00E67349" w:rsidRPr="00CF6765">
        <w:rPr>
          <w:rFonts w:eastAsiaTheme="minorHAnsi" w:cstheme="minorBidi"/>
          <w:sz w:val="20"/>
          <w:szCs w:val="20"/>
          <w:lang w:val="en-US" w:eastAsia="en-US"/>
        </w:rPr>
        <w:t xml:space="preserve">2003 </w:t>
      </w:r>
      <w:r w:rsidR="00AC6F62" w:rsidRPr="00CF6765">
        <w:rPr>
          <w:rFonts w:eastAsiaTheme="minorHAnsi" w:cstheme="minorBidi"/>
          <w:sz w:val="20"/>
          <w:szCs w:val="20"/>
          <w:lang w:val="en-US" w:eastAsia="en-US"/>
        </w:rPr>
        <w:t>to</w:t>
      </w:r>
      <w:r w:rsidR="00E67349" w:rsidRPr="00CF6765">
        <w:rPr>
          <w:rFonts w:eastAsiaTheme="minorHAnsi" w:cstheme="minorBidi"/>
          <w:sz w:val="20"/>
          <w:szCs w:val="20"/>
          <w:lang w:val="en-US" w:eastAsia="en-US"/>
        </w:rPr>
        <w:t xml:space="preserve"> 2008, </w:t>
      </w:r>
      <w:r w:rsidR="003F15C8" w:rsidRPr="00CF6765">
        <w:rPr>
          <w:rFonts w:eastAsiaTheme="minorHAnsi" w:cstheme="minorBidi"/>
          <w:sz w:val="20"/>
          <w:szCs w:val="20"/>
          <w:lang w:val="en-US" w:eastAsia="en-US"/>
        </w:rPr>
        <w:t xml:space="preserve">only </w:t>
      </w:r>
      <w:r w:rsidR="001526DB" w:rsidRPr="00CF6765">
        <w:rPr>
          <w:rFonts w:eastAsiaTheme="minorHAnsi" w:cstheme="minorBidi"/>
          <w:sz w:val="20"/>
          <w:szCs w:val="20"/>
          <w:lang w:val="en-US" w:eastAsia="en-US"/>
        </w:rPr>
        <w:t>one medical opinion was requested</w:t>
      </w:r>
      <w:r w:rsidR="003E3DD0" w:rsidRPr="00CF6765">
        <w:rPr>
          <w:rFonts w:eastAsiaTheme="minorHAnsi" w:cstheme="minorBidi"/>
          <w:sz w:val="20"/>
          <w:szCs w:val="20"/>
          <w:lang w:val="en-US" w:eastAsia="en-US"/>
        </w:rPr>
        <w:t xml:space="preserve"> and</w:t>
      </w:r>
      <w:r w:rsidR="001526DB" w:rsidRPr="00CF6765">
        <w:rPr>
          <w:rFonts w:eastAsiaTheme="minorHAnsi" w:cstheme="minorBidi"/>
          <w:sz w:val="20"/>
          <w:szCs w:val="20"/>
          <w:lang w:val="en-US" w:eastAsia="en-US"/>
        </w:rPr>
        <w:t xml:space="preserve"> added that, to date, Mr. Poblete </w:t>
      </w:r>
      <w:proofErr w:type="spellStart"/>
      <w:r w:rsidR="001E55C3" w:rsidRPr="00CF6765">
        <w:rPr>
          <w:rFonts w:eastAsiaTheme="minorHAnsi" w:cstheme="minorBidi"/>
          <w:sz w:val="20"/>
          <w:szCs w:val="20"/>
          <w:lang w:val="en-US" w:eastAsia="en-US"/>
        </w:rPr>
        <w:t>Vilches’s</w:t>
      </w:r>
      <w:proofErr w:type="spellEnd"/>
      <w:r w:rsidR="001E55C3" w:rsidRPr="00CF6765">
        <w:rPr>
          <w:rFonts w:eastAsiaTheme="minorHAnsi" w:cstheme="minorBidi"/>
          <w:sz w:val="20"/>
          <w:szCs w:val="20"/>
          <w:lang w:val="en-US" w:eastAsia="en-US"/>
        </w:rPr>
        <w:t xml:space="preserve"> </w:t>
      </w:r>
      <w:r w:rsidR="001526DB" w:rsidRPr="00CF6765">
        <w:rPr>
          <w:rFonts w:eastAsiaTheme="minorHAnsi" w:cstheme="minorBidi"/>
          <w:sz w:val="20"/>
          <w:szCs w:val="20"/>
          <w:lang w:val="en-US" w:eastAsia="en-US"/>
        </w:rPr>
        <w:t>body ha</w:t>
      </w:r>
      <w:r w:rsidR="00F322EC" w:rsidRPr="00CF6765">
        <w:rPr>
          <w:rFonts w:eastAsiaTheme="minorHAnsi" w:cstheme="minorBidi"/>
          <w:sz w:val="20"/>
          <w:szCs w:val="20"/>
          <w:lang w:val="en-US" w:eastAsia="en-US"/>
        </w:rPr>
        <w:t>d</w:t>
      </w:r>
      <w:r w:rsidR="001526DB" w:rsidRPr="00CF6765">
        <w:rPr>
          <w:rFonts w:eastAsiaTheme="minorHAnsi" w:cstheme="minorBidi"/>
          <w:sz w:val="20"/>
          <w:szCs w:val="20"/>
          <w:lang w:val="en-US" w:eastAsia="en-US"/>
        </w:rPr>
        <w:t xml:space="preserve"> not been exhumed in order to perform the autopsy that the representatives ha</w:t>
      </w:r>
      <w:r w:rsidR="00F322EC" w:rsidRPr="00CF6765">
        <w:rPr>
          <w:rFonts w:eastAsiaTheme="minorHAnsi" w:cstheme="minorBidi"/>
          <w:sz w:val="20"/>
          <w:szCs w:val="20"/>
          <w:lang w:val="en-US" w:eastAsia="en-US"/>
        </w:rPr>
        <w:t>d</w:t>
      </w:r>
      <w:r w:rsidR="001526DB" w:rsidRPr="00CF6765">
        <w:rPr>
          <w:rFonts w:eastAsiaTheme="minorHAnsi" w:cstheme="minorBidi"/>
          <w:sz w:val="20"/>
          <w:szCs w:val="20"/>
          <w:lang w:val="en-US" w:eastAsia="en-US"/>
        </w:rPr>
        <w:t xml:space="preserve"> requested on numerous occasions</w:t>
      </w:r>
      <w:r w:rsidR="00F322EC" w:rsidRPr="00CF6765">
        <w:rPr>
          <w:rFonts w:eastAsiaTheme="minorHAnsi" w:cstheme="minorBidi"/>
          <w:sz w:val="20"/>
          <w:szCs w:val="20"/>
          <w:lang w:val="en-US" w:eastAsia="en-US"/>
        </w:rPr>
        <w:t>,</w:t>
      </w:r>
      <w:r w:rsidR="001526DB" w:rsidRPr="00CF6765">
        <w:rPr>
          <w:rFonts w:eastAsiaTheme="minorHAnsi" w:cstheme="minorBidi"/>
          <w:sz w:val="20"/>
          <w:szCs w:val="20"/>
          <w:lang w:val="en-US" w:eastAsia="en-US"/>
        </w:rPr>
        <w:t xml:space="preserve"> and emphasized that the State ha</w:t>
      </w:r>
      <w:r w:rsidR="00F322EC" w:rsidRPr="00CF6765">
        <w:rPr>
          <w:rFonts w:eastAsiaTheme="minorHAnsi" w:cstheme="minorBidi"/>
          <w:sz w:val="20"/>
          <w:szCs w:val="20"/>
          <w:lang w:val="en-US" w:eastAsia="en-US"/>
        </w:rPr>
        <w:t>d</w:t>
      </w:r>
      <w:r w:rsidR="001526DB" w:rsidRPr="00CF6765">
        <w:rPr>
          <w:rFonts w:eastAsiaTheme="minorHAnsi" w:cstheme="minorBidi"/>
          <w:sz w:val="20"/>
          <w:szCs w:val="20"/>
          <w:lang w:val="en-US" w:eastAsia="en-US"/>
        </w:rPr>
        <w:t xml:space="preserve"> not justified why this ha</w:t>
      </w:r>
      <w:r w:rsidR="00F322EC" w:rsidRPr="00CF6765">
        <w:rPr>
          <w:rFonts w:eastAsiaTheme="minorHAnsi" w:cstheme="minorBidi"/>
          <w:sz w:val="20"/>
          <w:szCs w:val="20"/>
          <w:lang w:val="en-US" w:eastAsia="en-US"/>
        </w:rPr>
        <w:t>d</w:t>
      </w:r>
      <w:r w:rsidR="001526DB" w:rsidRPr="00CF6765">
        <w:rPr>
          <w:rFonts w:eastAsiaTheme="minorHAnsi" w:cstheme="minorBidi"/>
          <w:sz w:val="20"/>
          <w:szCs w:val="20"/>
          <w:lang w:val="en-US" w:eastAsia="en-US"/>
        </w:rPr>
        <w:t xml:space="preserve"> not been done. Moreover, it underlined that it ha</w:t>
      </w:r>
      <w:r w:rsidR="00F322EC" w:rsidRPr="00CF6765">
        <w:rPr>
          <w:rFonts w:eastAsiaTheme="minorHAnsi" w:cstheme="minorBidi"/>
          <w:sz w:val="20"/>
          <w:szCs w:val="20"/>
          <w:lang w:val="en-US" w:eastAsia="en-US"/>
        </w:rPr>
        <w:t>d</w:t>
      </w:r>
      <w:r w:rsidR="001526DB" w:rsidRPr="00CF6765">
        <w:rPr>
          <w:rFonts w:eastAsiaTheme="minorHAnsi" w:cstheme="minorBidi"/>
          <w:sz w:val="20"/>
          <w:szCs w:val="20"/>
          <w:lang w:val="en-US" w:eastAsia="en-US"/>
        </w:rPr>
        <w:t xml:space="preserve"> no information on the adoption of measures to obtain an expert opinion that clarifie</w:t>
      </w:r>
      <w:r w:rsidR="00F322EC" w:rsidRPr="00CF6765">
        <w:rPr>
          <w:rFonts w:eastAsiaTheme="minorHAnsi" w:cstheme="minorBidi"/>
          <w:sz w:val="20"/>
          <w:szCs w:val="20"/>
          <w:lang w:val="en-US" w:eastAsia="en-US"/>
        </w:rPr>
        <w:t>d</w:t>
      </w:r>
      <w:r w:rsidR="001526DB" w:rsidRPr="00CF6765">
        <w:rPr>
          <w:rFonts w:eastAsiaTheme="minorHAnsi" w:cstheme="minorBidi"/>
          <w:sz w:val="20"/>
          <w:szCs w:val="20"/>
          <w:lang w:val="en-US" w:eastAsia="en-US"/>
        </w:rPr>
        <w:t xml:space="preserve"> essential </w:t>
      </w:r>
      <w:r w:rsidR="00F322EC" w:rsidRPr="00CF6765">
        <w:rPr>
          <w:rFonts w:eastAsiaTheme="minorHAnsi" w:cstheme="minorBidi"/>
          <w:sz w:val="20"/>
          <w:szCs w:val="20"/>
          <w:lang w:val="en-US" w:eastAsia="en-US"/>
        </w:rPr>
        <w:t>issues</w:t>
      </w:r>
      <w:r w:rsidR="001526DB" w:rsidRPr="00CF6765">
        <w:rPr>
          <w:rFonts w:eastAsiaTheme="minorHAnsi" w:cstheme="minorBidi"/>
          <w:sz w:val="20"/>
          <w:szCs w:val="20"/>
          <w:lang w:val="en-US" w:eastAsia="en-US"/>
        </w:rPr>
        <w:t xml:space="preserve"> in order to determine possible responsibilities </w:t>
      </w:r>
      <w:r w:rsidR="00F322EC" w:rsidRPr="00CF6765">
        <w:rPr>
          <w:rFonts w:eastAsiaTheme="minorHAnsi" w:cstheme="minorBidi"/>
          <w:sz w:val="20"/>
          <w:szCs w:val="20"/>
          <w:lang w:val="en-US" w:eastAsia="en-US"/>
        </w:rPr>
        <w:t>in</w:t>
      </w:r>
      <w:r w:rsidR="001526DB" w:rsidRPr="00CF6765">
        <w:rPr>
          <w:rFonts w:eastAsiaTheme="minorHAnsi" w:cstheme="minorBidi"/>
          <w:sz w:val="20"/>
          <w:szCs w:val="20"/>
          <w:lang w:val="en-US" w:eastAsia="en-US"/>
        </w:rPr>
        <w:t xml:space="preserve"> the death </w:t>
      </w:r>
      <w:r w:rsidR="00D04694" w:rsidRPr="00CF6765">
        <w:rPr>
          <w:rFonts w:eastAsiaTheme="minorHAnsi" w:cstheme="minorBidi"/>
          <w:sz w:val="20"/>
          <w:szCs w:val="20"/>
          <w:lang w:val="en-US" w:eastAsia="en-US"/>
        </w:rPr>
        <w:t>of Mr.</w:t>
      </w:r>
      <w:r w:rsidR="00D2168F" w:rsidRPr="00CF6765">
        <w:rPr>
          <w:rFonts w:eastAsiaTheme="minorHAnsi" w:cstheme="minorBidi"/>
          <w:sz w:val="20"/>
          <w:szCs w:val="20"/>
          <w:lang w:val="en-US" w:eastAsia="en-US"/>
        </w:rPr>
        <w:t xml:space="preserve"> Poblete</w:t>
      </w:r>
      <w:r w:rsidR="00E67349" w:rsidRPr="00CF6765">
        <w:rPr>
          <w:rFonts w:eastAsiaTheme="minorHAnsi" w:cstheme="minorBidi"/>
          <w:sz w:val="20"/>
          <w:szCs w:val="20"/>
          <w:lang w:val="en-US" w:eastAsia="en-US"/>
        </w:rPr>
        <w:t xml:space="preserve"> </w:t>
      </w:r>
      <w:proofErr w:type="spellStart"/>
      <w:r w:rsidR="00E67349" w:rsidRPr="00CF6765">
        <w:rPr>
          <w:rFonts w:eastAsiaTheme="minorHAnsi" w:cstheme="minorBidi"/>
          <w:sz w:val="20"/>
          <w:szCs w:val="20"/>
          <w:lang w:val="en-US" w:eastAsia="en-US"/>
        </w:rPr>
        <w:t>Vilches</w:t>
      </w:r>
      <w:proofErr w:type="spellEnd"/>
      <w:r w:rsidR="00E67349" w:rsidRPr="00CF6765">
        <w:rPr>
          <w:rFonts w:eastAsiaTheme="minorHAnsi" w:cstheme="minorBidi"/>
          <w:sz w:val="20"/>
          <w:szCs w:val="20"/>
          <w:lang w:val="en-US" w:eastAsia="en-US"/>
        </w:rPr>
        <w:t>.</w:t>
      </w:r>
      <w:r w:rsidR="00E67349" w:rsidRPr="00CF6765">
        <w:rPr>
          <w:rFonts w:eastAsiaTheme="minorHAnsi" w:cstheme="minorBidi"/>
          <w:b/>
          <w:sz w:val="20"/>
          <w:szCs w:val="20"/>
          <w:lang w:val="en-US" w:eastAsia="en-US"/>
        </w:rPr>
        <w:t xml:space="preserve"> </w:t>
      </w:r>
    </w:p>
    <w:p w14:paraId="0FDDE3B9" w14:textId="77777777" w:rsidR="00E67349" w:rsidRPr="00CF6765" w:rsidRDefault="00E67349" w:rsidP="00B1523A">
      <w:pPr>
        <w:tabs>
          <w:tab w:val="left" w:pos="567"/>
        </w:tabs>
        <w:contextualSpacing/>
        <w:rPr>
          <w:rFonts w:eastAsiaTheme="minorHAnsi" w:cstheme="minorBidi"/>
          <w:sz w:val="20"/>
          <w:szCs w:val="20"/>
          <w:lang w:val="en-US" w:eastAsia="en-US"/>
        </w:rPr>
      </w:pPr>
    </w:p>
    <w:p w14:paraId="45D60A33" w14:textId="053E6652" w:rsidR="001526DB" w:rsidRPr="00CF6765" w:rsidRDefault="001526DB" w:rsidP="00BC39AD">
      <w:pPr>
        <w:numPr>
          <w:ilvl w:val="0"/>
          <w:numId w:val="2"/>
        </w:numPr>
        <w:tabs>
          <w:tab w:val="left" w:pos="567"/>
          <w:tab w:val="num" w:pos="1569"/>
          <w:tab w:val="num" w:pos="12305"/>
        </w:tabs>
        <w:ind w:left="0" w:firstLine="0"/>
        <w:rPr>
          <w:rFonts w:eastAsiaTheme="minorHAnsi" w:cstheme="minorBidi"/>
          <w:sz w:val="20"/>
          <w:szCs w:val="20"/>
          <w:lang w:val="en-US" w:eastAsia="en-US"/>
        </w:rPr>
      </w:pPr>
      <w:r w:rsidRPr="00CF6765">
        <w:rPr>
          <w:rFonts w:eastAsiaTheme="minorHAnsi" w:cstheme="minorBidi"/>
          <w:sz w:val="20"/>
          <w:szCs w:val="20"/>
          <w:lang w:val="en-US" w:eastAsia="en-US"/>
        </w:rPr>
        <w:t>T</w:t>
      </w:r>
      <w:r w:rsidR="005C731C" w:rsidRPr="00CF6765">
        <w:rPr>
          <w:rFonts w:eastAsiaTheme="minorHAnsi" w:cstheme="minorBidi"/>
          <w:sz w:val="20"/>
          <w:szCs w:val="20"/>
          <w:lang w:val="en-US" w:eastAsia="en-US"/>
        </w:rPr>
        <w:t>he Commission</w:t>
      </w:r>
      <w:r w:rsidR="00E67349" w:rsidRPr="00CF6765">
        <w:rPr>
          <w:rFonts w:eastAsiaTheme="minorHAnsi" w:cstheme="minorBidi"/>
          <w:b/>
          <w:i/>
          <w:sz w:val="20"/>
          <w:szCs w:val="20"/>
          <w:lang w:val="en-US" w:eastAsia="en-US"/>
        </w:rPr>
        <w:t xml:space="preserve"> </w:t>
      </w:r>
      <w:r w:rsidRPr="00CF6765">
        <w:rPr>
          <w:rFonts w:eastAsiaTheme="minorHAnsi" w:cstheme="minorBidi"/>
          <w:sz w:val="20"/>
          <w:szCs w:val="20"/>
          <w:lang w:val="en-US" w:eastAsia="en-US"/>
        </w:rPr>
        <w:t>also indicated that the statement of the accused</w:t>
      </w:r>
      <w:r w:rsidR="00F322EC" w:rsidRPr="00CF6765">
        <w:rPr>
          <w:rFonts w:eastAsiaTheme="minorHAnsi" w:cstheme="minorBidi"/>
          <w:sz w:val="20"/>
          <w:szCs w:val="20"/>
          <w:lang w:val="en-US" w:eastAsia="en-US"/>
        </w:rPr>
        <w:t>,</w:t>
      </w:r>
      <w:r w:rsidRPr="00CF6765">
        <w:rPr>
          <w:rFonts w:eastAsiaTheme="minorHAnsi" w:cstheme="minorBidi"/>
          <w:sz w:val="20"/>
          <w:szCs w:val="20"/>
          <w:lang w:val="en-US" w:eastAsia="en-US"/>
        </w:rPr>
        <w:t xml:space="preserve"> </w:t>
      </w:r>
      <w:r w:rsidR="00E67349" w:rsidRPr="00CF6765">
        <w:rPr>
          <w:rFonts w:eastAsiaTheme="minorHAnsi" w:cstheme="minorBidi"/>
          <w:sz w:val="20"/>
          <w:szCs w:val="20"/>
          <w:lang w:val="en-US" w:eastAsia="en-US"/>
        </w:rPr>
        <w:t>Luis Carvajal Freire</w:t>
      </w:r>
      <w:r w:rsidR="00F322EC" w:rsidRPr="00CF6765">
        <w:rPr>
          <w:rFonts w:eastAsiaTheme="minorHAnsi" w:cstheme="minorBidi"/>
          <w:sz w:val="20"/>
          <w:szCs w:val="20"/>
          <w:lang w:val="en-US" w:eastAsia="en-US"/>
        </w:rPr>
        <w:t>,</w:t>
      </w:r>
      <w:r w:rsidRPr="00CF6765">
        <w:rPr>
          <w:rFonts w:eastAsiaTheme="minorHAnsi" w:cstheme="minorBidi"/>
          <w:sz w:val="20"/>
          <w:szCs w:val="20"/>
          <w:lang w:val="en-US" w:eastAsia="en-US"/>
        </w:rPr>
        <w:t xml:space="preserve"> was never taken, even though </w:t>
      </w:r>
      <w:r w:rsidR="002D729E" w:rsidRPr="00CF6765">
        <w:rPr>
          <w:rFonts w:eastAsiaTheme="minorHAnsi" w:cstheme="minorBidi"/>
          <w:sz w:val="20"/>
          <w:szCs w:val="20"/>
          <w:lang w:val="en-US" w:eastAsia="en-US"/>
        </w:rPr>
        <w:t>the First Civil Court</w:t>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verified that he continued work</w:t>
      </w:r>
      <w:r w:rsidR="00F322EC" w:rsidRPr="00CF6765">
        <w:rPr>
          <w:rFonts w:eastAsiaTheme="minorHAnsi" w:cstheme="minorBidi"/>
          <w:sz w:val="20"/>
          <w:szCs w:val="20"/>
          <w:lang w:val="en-US" w:eastAsia="en-US"/>
        </w:rPr>
        <w:t>ing</w:t>
      </w:r>
      <w:r w:rsidRPr="00CF6765">
        <w:rPr>
          <w:rFonts w:eastAsiaTheme="minorHAnsi" w:cstheme="minorBidi"/>
          <w:sz w:val="20"/>
          <w:szCs w:val="20"/>
          <w:lang w:val="en-US" w:eastAsia="en-US"/>
        </w:rPr>
        <w:t xml:space="preserve"> at</w:t>
      </w:r>
      <w:r w:rsidR="00E67349" w:rsidRPr="00CF6765">
        <w:rPr>
          <w:rFonts w:eastAsiaTheme="minorHAnsi" w:cstheme="minorBidi"/>
          <w:sz w:val="20"/>
          <w:szCs w:val="20"/>
          <w:lang w:val="en-US" w:eastAsia="en-US"/>
        </w:rPr>
        <w:t xml:space="preserve"> </w:t>
      </w:r>
      <w:r w:rsidR="00E15A35" w:rsidRPr="00CF6765">
        <w:rPr>
          <w:rFonts w:eastAsiaTheme="minorHAnsi" w:cstheme="minorBidi"/>
          <w:sz w:val="20"/>
          <w:szCs w:val="20"/>
          <w:lang w:val="en-US" w:eastAsia="en-US"/>
        </w:rPr>
        <w:t xml:space="preserve">the </w:t>
      </w:r>
      <w:proofErr w:type="spellStart"/>
      <w:r w:rsidR="00E15A35" w:rsidRPr="00CF6765">
        <w:rPr>
          <w:rFonts w:eastAsiaTheme="minorHAnsi" w:cstheme="minorBidi"/>
          <w:sz w:val="20"/>
          <w:szCs w:val="20"/>
          <w:lang w:val="en-US" w:eastAsia="en-US"/>
        </w:rPr>
        <w:t>Sótero</w:t>
      </w:r>
      <w:proofErr w:type="spellEnd"/>
      <w:r w:rsidR="00E15A35" w:rsidRPr="00CF6765">
        <w:rPr>
          <w:rFonts w:eastAsiaTheme="minorHAnsi" w:cstheme="minorBidi"/>
          <w:sz w:val="20"/>
          <w:szCs w:val="20"/>
          <w:lang w:val="en-US" w:eastAsia="en-US"/>
        </w:rPr>
        <w:t xml:space="preserve"> del Río Hospital</w:t>
      </w:r>
      <w:r w:rsidR="00F322EC"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 xml:space="preserve">neither were some of the statements requested in the proceedings by </w:t>
      </w:r>
      <w:r w:rsidR="00D04694" w:rsidRPr="00CF6765">
        <w:rPr>
          <w:rFonts w:eastAsiaTheme="minorHAnsi" w:cstheme="minorBidi"/>
          <w:sz w:val="20"/>
          <w:szCs w:val="20"/>
          <w:lang w:val="en-US" w:eastAsia="en-US"/>
        </w:rPr>
        <w:t>Mr.</w:t>
      </w:r>
      <w:r w:rsidR="00D2168F" w:rsidRPr="00CF6765">
        <w:rPr>
          <w:rFonts w:eastAsiaTheme="minorHAnsi" w:cstheme="minorBidi"/>
          <w:sz w:val="20"/>
          <w:szCs w:val="20"/>
          <w:lang w:val="en-US" w:eastAsia="en-US"/>
        </w:rPr>
        <w:t xml:space="preserve"> Poblete</w:t>
      </w:r>
      <w:r w:rsidR="00E67349" w:rsidRPr="00CF6765">
        <w:rPr>
          <w:rFonts w:eastAsiaTheme="minorHAnsi" w:cstheme="minorBidi"/>
          <w:sz w:val="20"/>
          <w:szCs w:val="20"/>
          <w:lang w:val="en-US" w:eastAsia="en-US"/>
        </w:rPr>
        <w:t xml:space="preserve"> </w:t>
      </w:r>
      <w:proofErr w:type="spellStart"/>
      <w:r w:rsidR="001E55C3" w:rsidRPr="00CF6765">
        <w:rPr>
          <w:rFonts w:eastAsiaTheme="minorHAnsi" w:cstheme="minorBidi"/>
          <w:sz w:val="20"/>
          <w:szCs w:val="20"/>
          <w:lang w:val="en-US" w:eastAsia="en-US"/>
        </w:rPr>
        <w:t>Vilches’s</w:t>
      </w:r>
      <w:proofErr w:type="spellEnd"/>
      <w:r w:rsidR="001E55C3"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family</w:t>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However, it emphasized that, despite th</w:t>
      </w:r>
      <w:r w:rsidR="00F322EC" w:rsidRPr="00CF6765">
        <w:rPr>
          <w:rFonts w:eastAsiaTheme="minorHAnsi" w:cstheme="minorBidi"/>
          <w:sz w:val="20"/>
          <w:szCs w:val="20"/>
          <w:lang w:val="en-US" w:eastAsia="en-US"/>
        </w:rPr>
        <w:t>o</w:t>
      </w:r>
      <w:r w:rsidRPr="00CF6765">
        <w:rPr>
          <w:rFonts w:eastAsiaTheme="minorHAnsi" w:cstheme="minorBidi"/>
          <w:sz w:val="20"/>
          <w:szCs w:val="20"/>
          <w:lang w:val="en-US" w:eastAsia="en-US"/>
        </w:rPr>
        <w:t xml:space="preserve">se </w:t>
      </w:r>
      <w:r w:rsidR="0090740B" w:rsidRPr="00CF6765">
        <w:rPr>
          <w:rFonts w:eastAsiaTheme="minorHAnsi" w:cstheme="minorBidi"/>
          <w:sz w:val="20"/>
          <w:szCs w:val="20"/>
          <w:lang w:val="en-US" w:eastAsia="en-US"/>
        </w:rPr>
        <w:t>evidentiary</w:t>
      </w:r>
      <w:r w:rsidRPr="00CF6765">
        <w:rPr>
          <w:rFonts w:eastAsiaTheme="minorHAnsi" w:cstheme="minorBidi"/>
          <w:sz w:val="20"/>
          <w:szCs w:val="20"/>
          <w:lang w:val="en-US" w:eastAsia="en-US"/>
        </w:rPr>
        <w:t xml:space="preserve"> omissions, the judicial authorities </w:t>
      </w:r>
      <w:r w:rsidR="008520C6" w:rsidRPr="00CF6765">
        <w:rPr>
          <w:rFonts w:eastAsiaTheme="minorHAnsi" w:cstheme="minorBidi"/>
          <w:sz w:val="20"/>
          <w:szCs w:val="20"/>
          <w:lang w:val="en-US" w:eastAsia="en-US"/>
        </w:rPr>
        <w:t xml:space="preserve">twice </w:t>
      </w:r>
      <w:r w:rsidRPr="00CF6765">
        <w:rPr>
          <w:rFonts w:eastAsiaTheme="minorHAnsi" w:cstheme="minorBidi"/>
          <w:sz w:val="20"/>
          <w:szCs w:val="20"/>
          <w:lang w:val="en-US" w:eastAsia="en-US"/>
        </w:rPr>
        <w:t>ordered the case dismissed</w:t>
      </w:r>
      <w:r w:rsidR="00F322EC" w:rsidRPr="00CF6765">
        <w:rPr>
          <w:rFonts w:eastAsiaTheme="minorHAnsi" w:cstheme="minorBidi"/>
          <w:sz w:val="20"/>
          <w:szCs w:val="20"/>
          <w:lang w:val="en-US" w:eastAsia="en-US"/>
        </w:rPr>
        <w:t>,</w:t>
      </w:r>
      <w:r w:rsidR="008520C6" w:rsidRPr="00CF6765">
        <w:rPr>
          <w:rFonts w:eastAsiaTheme="minorHAnsi" w:cstheme="minorBidi"/>
          <w:sz w:val="20"/>
          <w:szCs w:val="20"/>
          <w:lang w:val="en-US" w:eastAsia="en-US"/>
        </w:rPr>
        <w:t xml:space="preserve"> in December 2006 and in June 2008. In addition, the Commission mentioned that, since the second </w:t>
      </w:r>
      <w:r w:rsidR="001E55C3" w:rsidRPr="00CF6765">
        <w:rPr>
          <w:rFonts w:eastAsiaTheme="minorHAnsi" w:cstheme="minorBidi"/>
          <w:sz w:val="20"/>
          <w:szCs w:val="20"/>
          <w:lang w:val="en-US" w:eastAsia="en-US"/>
        </w:rPr>
        <w:t>reopen</w:t>
      </w:r>
      <w:r w:rsidR="008520C6" w:rsidRPr="00CF6765">
        <w:rPr>
          <w:rFonts w:eastAsiaTheme="minorHAnsi" w:cstheme="minorBidi"/>
          <w:sz w:val="20"/>
          <w:szCs w:val="20"/>
          <w:lang w:val="en-US" w:eastAsia="en-US"/>
        </w:rPr>
        <w:t xml:space="preserve">ing of the investigation, it had no information that would allow it to establish that efforts had been made to rectify those omissions. Lastly, </w:t>
      </w:r>
      <w:r w:rsidR="00F322EC" w:rsidRPr="00CF6765">
        <w:rPr>
          <w:rFonts w:eastAsiaTheme="minorHAnsi" w:cstheme="minorBidi"/>
          <w:sz w:val="20"/>
          <w:szCs w:val="20"/>
          <w:lang w:val="en-US" w:eastAsia="en-US"/>
        </w:rPr>
        <w:t xml:space="preserve">with </w:t>
      </w:r>
      <w:r w:rsidR="008520C6" w:rsidRPr="00CF6765">
        <w:rPr>
          <w:rFonts w:eastAsiaTheme="minorHAnsi" w:cstheme="minorBidi"/>
          <w:sz w:val="20"/>
          <w:szCs w:val="20"/>
          <w:lang w:val="en-US" w:eastAsia="en-US"/>
        </w:rPr>
        <w:t>regard</w:t>
      </w:r>
      <w:r w:rsidR="00F322EC" w:rsidRPr="00CF6765">
        <w:rPr>
          <w:rFonts w:eastAsiaTheme="minorHAnsi" w:cstheme="minorBidi"/>
          <w:sz w:val="20"/>
          <w:szCs w:val="20"/>
          <w:lang w:val="en-US" w:eastAsia="en-US"/>
        </w:rPr>
        <w:t xml:space="preserve"> to</w:t>
      </w:r>
      <w:r w:rsidR="008520C6" w:rsidRPr="00CF6765">
        <w:rPr>
          <w:rFonts w:eastAsiaTheme="minorHAnsi" w:cstheme="minorBidi"/>
          <w:sz w:val="20"/>
          <w:szCs w:val="20"/>
          <w:lang w:val="en-US" w:eastAsia="en-US"/>
        </w:rPr>
        <w:t xml:space="preserve"> obtaining the</w:t>
      </w:r>
      <w:r w:rsidR="00F322EC" w:rsidRPr="00CF6765">
        <w:rPr>
          <w:rFonts w:eastAsiaTheme="minorHAnsi" w:cstheme="minorBidi"/>
          <w:sz w:val="20"/>
          <w:szCs w:val="20"/>
          <w:lang w:val="en-US" w:eastAsia="en-US"/>
        </w:rPr>
        <w:t xml:space="preserve"> family’s</w:t>
      </w:r>
      <w:r w:rsidR="008520C6" w:rsidRPr="00CF6765">
        <w:rPr>
          <w:rFonts w:eastAsiaTheme="minorHAnsi" w:cstheme="minorBidi"/>
          <w:sz w:val="20"/>
          <w:szCs w:val="20"/>
          <w:lang w:val="en-US" w:eastAsia="en-US"/>
        </w:rPr>
        <w:t xml:space="preserve"> consent for the procedure </w:t>
      </w:r>
      <w:r w:rsidR="00F322EC" w:rsidRPr="00CF6765">
        <w:rPr>
          <w:rFonts w:eastAsiaTheme="minorHAnsi" w:cstheme="minorBidi"/>
          <w:sz w:val="20"/>
          <w:szCs w:val="20"/>
          <w:lang w:val="en-US" w:eastAsia="en-US"/>
        </w:rPr>
        <w:t>performed on</w:t>
      </w:r>
      <w:r w:rsidR="008520C6" w:rsidRPr="00CF6765">
        <w:rPr>
          <w:rFonts w:eastAsiaTheme="minorHAnsi" w:cstheme="minorBidi"/>
          <w:sz w:val="20"/>
          <w:szCs w:val="20"/>
          <w:lang w:val="en-US" w:eastAsia="en-US"/>
        </w:rPr>
        <w:t xml:space="preserve"> January 26, 2001, it underscored the State’s failure to clarify the </w:t>
      </w:r>
      <w:r w:rsidR="0090740B" w:rsidRPr="00CF6765">
        <w:rPr>
          <w:rFonts w:eastAsiaTheme="minorHAnsi" w:cstheme="minorBidi"/>
          <w:sz w:val="20"/>
          <w:szCs w:val="20"/>
          <w:lang w:val="en-US" w:eastAsia="en-US"/>
        </w:rPr>
        <w:t>irregularities</w:t>
      </w:r>
      <w:r w:rsidR="008520C6" w:rsidRPr="00CF6765">
        <w:rPr>
          <w:rFonts w:eastAsiaTheme="minorHAnsi" w:cstheme="minorBidi"/>
          <w:sz w:val="20"/>
          <w:szCs w:val="20"/>
          <w:lang w:val="en-US" w:eastAsia="en-US"/>
        </w:rPr>
        <w:t xml:space="preserve"> verified in this regard. Therefore, it concluded that the State</w:t>
      </w:r>
      <w:r w:rsidR="00F322EC" w:rsidRPr="00CF6765">
        <w:rPr>
          <w:rFonts w:eastAsiaTheme="minorHAnsi" w:cstheme="minorBidi"/>
          <w:sz w:val="20"/>
          <w:szCs w:val="20"/>
          <w:lang w:val="en-US" w:eastAsia="en-US"/>
        </w:rPr>
        <w:t xml:space="preserve"> had</w:t>
      </w:r>
      <w:r w:rsidR="008520C6" w:rsidRPr="00CF6765">
        <w:rPr>
          <w:rFonts w:eastAsiaTheme="minorHAnsi" w:cstheme="minorBidi"/>
          <w:sz w:val="20"/>
          <w:szCs w:val="20"/>
          <w:lang w:val="en-US" w:eastAsia="en-US"/>
        </w:rPr>
        <w:t xml:space="preserve"> “failed to investigate the facts of the instant case with due diligence.”</w:t>
      </w:r>
    </w:p>
    <w:p w14:paraId="1D786D8E" w14:textId="77777777" w:rsidR="00E67349" w:rsidRPr="00CF6765" w:rsidRDefault="00E67349" w:rsidP="000D4A1F">
      <w:pPr>
        <w:tabs>
          <w:tab w:val="left" w:pos="0"/>
        </w:tabs>
        <w:contextualSpacing/>
        <w:rPr>
          <w:rFonts w:eastAsiaTheme="minorHAnsi" w:cstheme="minorBidi"/>
          <w:sz w:val="20"/>
          <w:szCs w:val="20"/>
          <w:lang w:val="en-US" w:eastAsia="en-US"/>
        </w:rPr>
      </w:pPr>
    </w:p>
    <w:p w14:paraId="300FB2C9" w14:textId="10D77941" w:rsidR="00E67349" w:rsidRPr="00CF6765" w:rsidRDefault="008520C6" w:rsidP="008520C6">
      <w:pPr>
        <w:numPr>
          <w:ilvl w:val="0"/>
          <w:numId w:val="2"/>
        </w:numPr>
        <w:tabs>
          <w:tab w:val="left" w:pos="567"/>
          <w:tab w:val="num" w:pos="1569"/>
          <w:tab w:val="num" w:pos="12305"/>
        </w:tabs>
        <w:ind w:left="0" w:firstLine="0"/>
        <w:rPr>
          <w:rFonts w:eastAsiaTheme="minorHAnsi" w:cstheme="minorBidi"/>
          <w:sz w:val="20"/>
          <w:szCs w:val="20"/>
          <w:lang w:val="en-US" w:eastAsia="en-US"/>
        </w:rPr>
      </w:pPr>
      <w:r w:rsidRPr="00CF6765">
        <w:rPr>
          <w:rFonts w:eastAsiaTheme="minorHAnsi" w:cstheme="minorBidi"/>
          <w:sz w:val="20"/>
          <w:szCs w:val="20"/>
          <w:lang w:val="en-US" w:eastAsia="en-US"/>
        </w:rPr>
        <w:t xml:space="preserve">With regard to the duty to investigate within a reasonable time, </w:t>
      </w:r>
      <w:r w:rsidR="005C731C" w:rsidRPr="00CF6765">
        <w:rPr>
          <w:rFonts w:eastAsiaTheme="minorHAnsi" w:cstheme="minorBidi"/>
          <w:sz w:val="20"/>
          <w:szCs w:val="20"/>
          <w:lang w:val="en-US" w:eastAsia="en-US"/>
        </w:rPr>
        <w:t>the Commission</w:t>
      </w:r>
      <w:r w:rsidR="00E67349" w:rsidRPr="00CF6765">
        <w:rPr>
          <w:rFonts w:eastAsiaTheme="minorHAnsi" w:cstheme="minorBidi"/>
          <w:sz w:val="20"/>
          <w:szCs w:val="20"/>
          <w:lang w:val="en-US" w:eastAsia="en-US"/>
        </w:rPr>
        <w:t xml:space="preserve"> examin</w:t>
      </w:r>
      <w:r w:rsidRPr="00CF6765">
        <w:rPr>
          <w:rFonts w:eastAsiaTheme="minorHAnsi" w:cstheme="minorBidi"/>
          <w:sz w:val="20"/>
          <w:szCs w:val="20"/>
          <w:lang w:val="en-US" w:eastAsia="en-US"/>
        </w:rPr>
        <w:t xml:space="preserve">ed the four criteria established in the Court’s case law. </w:t>
      </w:r>
      <w:r w:rsidR="002728CB" w:rsidRPr="00CF6765">
        <w:rPr>
          <w:rFonts w:eastAsiaTheme="minorHAnsi" w:cstheme="minorBidi"/>
          <w:sz w:val="20"/>
          <w:szCs w:val="20"/>
          <w:lang w:val="en-US" w:eastAsia="en-US"/>
        </w:rPr>
        <w:t>Regarding the</w:t>
      </w:r>
      <w:r w:rsidRPr="00CF6765">
        <w:rPr>
          <w:rFonts w:eastAsiaTheme="minorHAnsi" w:cstheme="minorBidi"/>
          <w:sz w:val="20"/>
          <w:szCs w:val="20"/>
          <w:lang w:val="en-US" w:eastAsia="en-US"/>
        </w:rPr>
        <w:t xml:space="preserve"> first element</w:t>
      </w:r>
      <w:r w:rsidR="002728CB" w:rsidRPr="00CF6765">
        <w:rPr>
          <w:rFonts w:eastAsiaTheme="minorHAnsi" w:cstheme="minorBidi"/>
          <w:sz w:val="20"/>
          <w:szCs w:val="20"/>
          <w:lang w:val="en-US" w:eastAsia="en-US"/>
        </w:rPr>
        <w:t xml:space="preserve"> – the</w:t>
      </w:r>
      <w:r w:rsidRPr="00CF6765">
        <w:rPr>
          <w:rFonts w:eastAsiaTheme="minorHAnsi" w:cstheme="minorBidi"/>
          <w:sz w:val="20"/>
          <w:szCs w:val="20"/>
          <w:lang w:val="en-US" w:eastAsia="en-US"/>
        </w:rPr>
        <w:t xml:space="preserve"> complexity of the matter</w:t>
      </w:r>
      <w:r w:rsidR="002728CB" w:rsidRPr="00CF6765">
        <w:rPr>
          <w:rFonts w:eastAsiaTheme="minorHAnsi" w:cstheme="minorBidi"/>
          <w:sz w:val="20"/>
          <w:szCs w:val="20"/>
          <w:lang w:val="en-US" w:eastAsia="en-US"/>
        </w:rPr>
        <w:t xml:space="preserve"> – it</w:t>
      </w:r>
      <w:r w:rsidRPr="00CF6765">
        <w:rPr>
          <w:rFonts w:eastAsiaTheme="minorHAnsi" w:cstheme="minorBidi"/>
          <w:sz w:val="20"/>
          <w:szCs w:val="20"/>
          <w:lang w:val="en-US" w:eastAsia="en-US"/>
        </w:rPr>
        <w:t xml:space="preserve"> observed that th</w:t>
      </w:r>
      <w:r w:rsidR="00F322EC" w:rsidRPr="00CF6765">
        <w:rPr>
          <w:rFonts w:eastAsiaTheme="minorHAnsi" w:cstheme="minorBidi"/>
          <w:sz w:val="20"/>
          <w:szCs w:val="20"/>
          <w:lang w:val="en-US" w:eastAsia="en-US"/>
        </w:rPr>
        <w:t>e</w:t>
      </w:r>
      <w:r w:rsidRPr="00CF6765">
        <w:rPr>
          <w:rFonts w:eastAsiaTheme="minorHAnsi" w:cstheme="minorBidi"/>
          <w:sz w:val="20"/>
          <w:szCs w:val="20"/>
          <w:lang w:val="en-US" w:eastAsia="en-US"/>
        </w:rPr>
        <w:t xml:space="preserve"> case relate</w:t>
      </w:r>
      <w:r w:rsidR="00F322EC" w:rsidRPr="00CF6765">
        <w:rPr>
          <w:rFonts w:eastAsiaTheme="minorHAnsi" w:cstheme="minorBidi"/>
          <w:sz w:val="20"/>
          <w:szCs w:val="20"/>
          <w:lang w:val="en-US" w:eastAsia="en-US"/>
        </w:rPr>
        <w:t>d</w:t>
      </w:r>
      <w:r w:rsidRPr="00CF6765">
        <w:rPr>
          <w:rFonts w:eastAsiaTheme="minorHAnsi" w:cstheme="minorBidi"/>
          <w:sz w:val="20"/>
          <w:szCs w:val="20"/>
          <w:lang w:val="en-US" w:eastAsia="en-US"/>
        </w:rPr>
        <w:t xml:space="preserve"> to an alleged culpable homicide to the detriment of a single victim, which occurred in a public hospital, </w:t>
      </w:r>
      <w:r w:rsidR="00F322EC" w:rsidRPr="00CF6765">
        <w:rPr>
          <w:rFonts w:eastAsiaTheme="minorHAnsi" w:cstheme="minorBidi"/>
          <w:sz w:val="20"/>
          <w:szCs w:val="20"/>
          <w:lang w:val="en-US" w:eastAsia="en-US"/>
        </w:rPr>
        <w:t xml:space="preserve">and </w:t>
      </w:r>
      <w:r w:rsidRPr="00CF6765">
        <w:rPr>
          <w:rFonts w:eastAsiaTheme="minorHAnsi" w:cstheme="minorBidi"/>
          <w:sz w:val="20"/>
          <w:szCs w:val="20"/>
          <w:lang w:val="en-US" w:eastAsia="en-US"/>
        </w:rPr>
        <w:t>in which some doctors were allegedly involved</w:t>
      </w:r>
      <w:r w:rsidR="00F322EC" w:rsidRPr="00CF6765">
        <w:rPr>
          <w:rFonts w:eastAsiaTheme="minorHAnsi" w:cstheme="minorBidi"/>
          <w:sz w:val="20"/>
          <w:szCs w:val="20"/>
          <w:lang w:val="en-US" w:eastAsia="en-US"/>
        </w:rPr>
        <w:t xml:space="preserve">; therefore, </w:t>
      </w:r>
      <w:r w:rsidRPr="00CF6765">
        <w:rPr>
          <w:rFonts w:eastAsiaTheme="minorHAnsi" w:cstheme="minorBidi"/>
          <w:sz w:val="20"/>
          <w:szCs w:val="20"/>
          <w:lang w:val="en-US" w:eastAsia="en-US"/>
        </w:rPr>
        <w:t xml:space="preserve">it did not find grounds to consider that the case involved a level of complexity that would justify the delay of more than 14 years. </w:t>
      </w:r>
      <w:r w:rsidR="002728CB" w:rsidRPr="00CF6765">
        <w:rPr>
          <w:rFonts w:eastAsiaTheme="minorHAnsi" w:cstheme="minorBidi"/>
          <w:sz w:val="20"/>
          <w:szCs w:val="20"/>
          <w:lang w:val="en-US" w:eastAsia="en-US"/>
        </w:rPr>
        <w:t>Regarding</w:t>
      </w:r>
      <w:r w:rsidRPr="00CF6765">
        <w:rPr>
          <w:rFonts w:eastAsiaTheme="minorHAnsi" w:cstheme="minorBidi"/>
          <w:sz w:val="20"/>
          <w:szCs w:val="20"/>
          <w:lang w:val="en-US" w:eastAsia="en-US"/>
        </w:rPr>
        <w:t xml:space="preserve"> the second element – the procedural activity of the interested party – it underscored that, it was the family</w:t>
      </w:r>
      <w:r w:rsidR="002F7F68" w:rsidRPr="00CF6765">
        <w:rPr>
          <w:rFonts w:eastAsiaTheme="minorHAnsi" w:cstheme="minorBidi"/>
          <w:sz w:val="20"/>
          <w:szCs w:val="20"/>
          <w:lang w:val="en-US" w:eastAsia="en-US"/>
        </w:rPr>
        <w:t xml:space="preserve"> that initiated and promoted the investigations</w:t>
      </w:r>
      <w:r w:rsidRPr="00CF6765">
        <w:rPr>
          <w:rFonts w:eastAsiaTheme="minorHAnsi" w:cstheme="minorBidi"/>
          <w:sz w:val="20"/>
          <w:szCs w:val="20"/>
          <w:lang w:val="en-US" w:eastAsia="en-US"/>
        </w:rPr>
        <w:t xml:space="preserve"> by </w:t>
      </w:r>
      <w:r w:rsidR="002F7F68" w:rsidRPr="00CF6765">
        <w:rPr>
          <w:rFonts w:eastAsiaTheme="minorHAnsi" w:cstheme="minorBidi"/>
          <w:sz w:val="20"/>
          <w:szCs w:val="20"/>
          <w:lang w:val="en-US" w:eastAsia="en-US"/>
        </w:rPr>
        <w:t xml:space="preserve">filing </w:t>
      </w:r>
      <w:r w:rsidRPr="00CF6765">
        <w:rPr>
          <w:rFonts w:eastAsiaTheme="minorHAnsi" w:cstheme="minorBidi"/>
          <w:sz w:val="20"/>
          <w:szCs w:val="20"/>
          <w:lang w:val="en-US" w:eastAsia="en-US"/>
        </w:rPr>
        <w:t>the criminal complaints. Therefore, it argued that it was not possible to consider that the delay was due to the acts or omissions of Mr. Poblete’s family. Reg</w:t>
      </w:r>
      <w:r w:rsidR="002728CB" w:rsidRPr="00CF6765">
        <w:rPr>
          <w:rFonts w:eastAsiaTheme="minorHAnsi" w:cstheme="minorBidi"/>
          <w:sz w:val="20"/>
          <w:szCs w:val="20"/>
          <w:lang w:val="en-US" w:eastAsia="en-US"/>
        </w:rPr>
        <w:t xml:space="preserve">arding the third element – the conduct of the judicial authorities – it emphasized that the </w:t>
      </w:r>
      <w:r w:rsidR="001E55C3" w:rsidRPr="00CF6765">
        <w:rPr>
          <w:rFonts w:eastAsiaTheme="minorHAnsi" w:cstheme="minorBidi"/>
          <w:sz w:val="20"/>
          <w:szCs w:val="20"/>
          <w:lang w:val="en-US" w:eastAsia="en-US"/>
        </w:rPr>
        <w:t>reopen</w:t>
      </w:r>
      <w:r w:rsidR="002728CB" w:rsidRPr="00CF6765">
        <w:rPr>
          <w:rFonts w:eastAsiaTheme="minorHAnsi" w:cstheme="minorBidi"/>
          <w:sz w:val="20"/>
          <w:szCs w:val="20"/>
          <w:lang w:val="en-US" w:eastAsia="en-US"/>
        </w:rPr>
        <w:t xml:space="preserve">ing of the investigation on two occasions had not resulted in the implementation of procedures to rectify the deficiencies in the investigation </w:t>
      </w:r>
      <w:r w:rsidR="002F7F68" w:rsidRPr="00CF6765">
        <w:rPr>
          <w:rFonts w:eastAsiaTheme="minorHAnsi" w:cstheme="minorBidi"/>
          <w:sz w:val="20"/>
          <w:szCs w:val="20"/>
          <w:lang w:val="en-US" w:eastAsia="en-US"/>
        </w:rPr>
        <w:t xml:space="preserve">conducted </w:t>
      </w:r>
      <w:r w:rsidR="002728CB" w:rsidRPr="00CF6765">
        <w:rPr>
          <w:rFonts w:eastAsiaTheme="minorHAnsi" w:cstheme="minorBidi"/>
          <w:sz w:val="20"/>
          <w:szCs w:val="20"/>
          <w:lang w:val="en-US" w:eastAsia="en-US"/>
        </w:rPr>
        <w:t>by the authorities</w:t>
      </w:r>
      <w:r w:rsidR="002F7F68" w:rsidRPr="00CF6765">
        <w:rPr>
          <w:rFonts w:eastAsiaTheme="minorHAnsi" w:cstheme="minorBidi"/>
          <w:sz w:val="20"/>
          <w:szCs w:val="20"/>
          <w:lang w:val="en-US" w:eastAsia="en-US"/>
        </w:rPr>
        <w:t>; t</w:t>
      </w:r>
      <w:r w:rsidR="002728CB" w:rsidRPr="00CF6765">
        <w:rPr>
          <w:rFonts w:eastAsiaTheme="minorHAnsi" w:cstheme="minorBidi"/>
          <w:sz w:val="20"/>
          <w:szCs w:val="20"/>
          <w:lang w:val="en-US" w:eastAsia="en-US"/>
        </w:rPr>
        <w:t>o the contrary, it indicated that, since the</w:t>
      </w:r>
      <w:r w:rsidR="002F7F68" w:rsidRPr="00CF6765">
        <w:rPr>
          <w:rFonts w:eastAsiaTheme="minorHAnsi" w:cstheme="minorBidi"/>
          <w:sz w:val="20"/>
          <w:szCs w:val="20"/>
          <w:lang w:val="en-US" w:eastAsia="en-US"/>
        </w:rPr>
        <w:t xml:space="preserve"> investigation was</w:t>
      </w:r>
      <w:r w:rsidR="002728CB" w:rsidRPr="00CF6765">
        <w:rPr>
          <w:rFonts w:eastAsiaTheme="minorHAnsi" w:cstheme="minorBidi"/>
          <w:sz w:val="20"/>
          <w:szCs w:val="20"/>
          <w:lang w:val="en-US" w:eastAsia="en-US"/>
        </w:rPr>
        <w:t xml:space="preserve"> </w:t>
      </w:r>
      <w:r w:rsidR="001E55C3" w:rsidRPr="00CF6765">
        <w:rPr>
          <w:rFonts w:eastAsiaTheme="minorHAnsi" w:cstheme="minorBidi"/>
          <w:sz w:val="20"/>
          <w:szCs w:val="20"/>
          <w:lang w:val="en-US" w:eastAsia="en-US"/>
        </w:rPr>
        <w:t>reopen</w:t>
      </w:r>
      <w:r w:rsidR="002F7F68" w:rsidRPr="00CF6765">
        <w:rPr>
          <w:rFonts w:eastAsiaTheme="minorHAnsi" w:cstheme="minorBidi"/>
          <w:sz w:val="20"/>
          <w:szCs w:val="20"/>
          <w:lang w:val="en-US" w:eastAsia="en-US"/>
        </w:rPr>
        <w:t>ed</w:t>
      </w:r>
      <w:r w:rsidR="002728CB" w:rsidRPr="00CF6765">
        <w:rPr>
          <w:rFonts w:eastAsiaTheme="minorHAnsi" w:cstheme="minorBidi"/>
          <w:sz w:val="20"/>
          <w:szCs w:val="20"/>
          <w:lang w:val="en-US" w:eastAsia="en-US"/>
        </w:rPr>
        <w:t xml:space="preserve"> in 2008 it had </w:t>
      </w:r>
      <w:r w:rsidR="002F7F68" w:rsidRPr="00CF6765">
        <w:rPr>
          <w:rFonts w:eastAsiaTheme="minorHAnsi" w:cstheme="minorBidi"/>
          <w:sz w:val="20"/>
          <w:szCs w:val="20"/>
          <w:lang w:val="en-US" w:eastAsia="en-US"/>
        </w:rPr>
        <w:t xml:space="preserve">received </w:t>
      </w:r>
      <w:r w:rsidR="002728CB" w:rsidRPr="00CF6765">
        <w:rPr>
          <w:rFonts w:eastAsiaTheme="minorHAnsi" w:cstheme="minorBidi"/>
          <w:sz w:val="20"/>
          <w:szCs w:val="20"/>
          <w:lang w:val="en-US" w:eastAsia="en-US"/>
        </w:rPr>
        <w:t xml:space="preserve">no information on any activity in the case, with the exception of the responses of the Supreme Court of Justice to the family’s requests that it intervene. Lastly, </w:t>
      </w:r>
      <w:r w:rsidR="002F7F68" w:rsidRPr="00CF6765">
        <w:rPr>
          <w:rFonts w:eastAsiaTheme="minorHAnsi" w:cstheme="minorBidi"/>
          <w:sz w:val="20"/>
          <w:szCs w:val="20"/>
          <w:lang w:val="en-US" w:eastAsia="en-US"/>
        </w:rPr>
        <w:t>the Commission</w:t>
      </w:r>
      <w:r w:rsidR="002728CB" w:rsidRPr="00CF6765">
        <w:rPr>
          <w:rFonts w:eastAsiaTheme="minorHAnsi" w:cstheme="minorBidi"/>
          <w:sz w:val="20"/>
          <w:szCs w:val="20"/>
          <w:lang w:val="en-US" w:eastAsia="en-US"/>
        </w:rPr>
        <w:t xml:space="preserve"> considered that it was not necessary to </w:t>
      </w:r>
      <w:r w:rsidR="0090740B" w:rsidRPr="00CF6765">
        <w:rPr>
          <w:rFonts w:eastAsiaTheme="minorHAnsi" w:cstheme="minorBidi"/>
          <w:sz w:val="20"/>
          <w:szCs w:val="20"/>
          <w:lang w:val="en-US" w:eastAsia="en-US"/>
        </w:rPr>
        <w:t>examine</w:t>
      </w:r>
      <w:r w:rsidR="002728CB" w:rsidRPr="00CF6765">
        <w:rPr>
          <w:rFonts w:eastAsiaTheme="minorHAnsi" w:cstheme="minorBidi"/>
          <w:sz w:val="20"/>
          <w:szCs w:val="20"/>
          <w:lang w:val="en-US" w:eastAsia="en-US"/>
        </w:rPr>
        <w:t xml:space="preserve"> the fourth element – the effect on the legal situation of the person concerned. However, it noted that, in this type of case, the outcome of the criminal proceedings may have an impact on the possibilities of obtaining reparation. </w:t>
      </w:r>
      <w:r w:rsidR="00E67349" w:rsidRPr="00CF6765">
        <w:rPr>
          <w:rFonts w:eastAsiaTheme="minorHAnsi" w:cstheme="minorBidi"/>
          <w:sz w:val="20"/>
          <w:szCs w:val="20"/>
          <w:lang w:val="en-US" w:eastAsia="en-US"/>
        </w:rPr>
        <w:t>Fina</w:t>
      </w:r>
      <w:r w:rsidR="00AC6F62" w:rsidRPr="00CF6765">
        <w:rPr>
          <w:rFonts w:eastAsiaTheme="minorHAnsi" w:cstheme="minorBidi"/>
          <w:sz w:val="20"/>
          <w:szCs w:val="20"/>
          <w:lang w:val="en-US" w:eastAsia="en-US"/>
        </w:rPr>
        <w:t>lly</w:t>
      </w:r>
      <w:r w:rsidR="00E67349" w:rsidRPr="00CF6765">
        <w:rPr>
          <w:rFonts w:eastAsiaTheme="minorHAnsi" w:cstheme="minorBidi"/>
          <w:sz w:val="20"/>
          <w:szCs w:val="20"/>
          <w:lang w:val="en-US" w:eastAsia="en-US"/>
        </w:rPr>
        <w:t xml:space="preserve">, </w:t>
      </w:r>
      <w:r w:rsidR="005C731C" w:rsidRPr="00CF6765">
        <w:rPr>
          <w:rFonts w:eastAsiaTheme="minorHAnsi" w:cstheme="minorBidi"/>
          <w:sz w:val="20"/>
          <w:szCs w:val="20"/>
          <w:lang w:val="en-US" w:eastAsia="en-US"/>
        </w:rPr>
        <w:t>the Commission</w:t>
      </w:r>
      <w:r w:rsidR="00E67349" w:rsidRPr="00CF6765">
        <w:rPr>
          <w:rFonts w:eastAsiaTheme="minorHAnsi" w:cstheme="minorBidi"/>
          <w:sz w:val="20"/>
          <w:szCs w:val="20"/>
          <w:lang w:val="en-US" w:eastAsia="en-US"/>
        </w:rPr>
        <w:t xml:space="preserve"> conclu</w:t>
      </w:r>
      <w:r w:rsidR="00AC6F62" w:rsidRPr="00CF6765">
        <w:rPr>
          <w:rFonts w:eastAsiaTheme="minorHAnsi" w:cstheme="minorBidi"/>
          <w:sz w:val="20"/>
          <w:szCs w:val="20"/>
          <w:lang w:val="en-US" w:eastAsia="en-US"/>
        </w:rPr>
        <w:t>ded that the investigations conducted in the domestic sphere had not complied with the guarantee of a reasonable time.</w:t>
      </w:r>
      <w:r w:rsidR="0042344A" w:rsidRPr="00CF6765">
        <w:rPr>
          <w:rFonts w:eastAsiaTheme="minorHAnsi" w:cstheme="minorBidi"/>
          <w:sz w:val="20"/>
          <w:szCs w:val="20"/>
          <w:lang w:val="en-US" w:eastAsia="en-US"/>
        </w:rPr>
        <w:t xml:space="preserve"> </w:t>
      </w:r>
      <w:r w:rsidR="002F7F68" w:rsidRPr="00CF6765">
        <w:rPr>
          <w:rFonts w:eastAsiaTheme="minorHAnsi" w:cstheme="minorBidi"/>
          <w:sz w:val="20"/>
          <w:szCs w:val="20"/>
          <w:lang w:val="en-US" w:eastAsia="en-US"/>
        </w:rPr>
        <w:t>It</w:t>
      </w:r>
      <w:r w:rsidR="00E67349" w:rsidRPr="00CF6765">
        <w:rPr>
          <w:rFonts w:eastAsiaTheme="minorHAnsi" w:cstheme="minorBidi"/>
          <w:sz w:val="20"/>
          <w:szCs w:val="20"/>
          <w:lang w:val="en-US" w:eastAsia="en-US"/>
        </w:rPr>
        <w:t xml:space="preserve"> consider</w:t>
      </w:r>
      <w:r w:rsidR="00AC6F62" w:rsidRPr="00CF6765">
        <w:rPr>
          <w:rFonts w:eastAsiaTheme="minorHAnsi" w:cstheme="minorBidi"/>
          <w:sz w:val="20"/>
          <w:szCs w:val="20"/>
          <w:lang w:val="en-US" w:eastAsia="en-US"/>
        </w:rPr>
        <w:t xml:space="preserve">ed that the State </w:t>
      </w:r>
      <w:r w:rsidR="002F7F68" w:rsidRPr="00CF6765">
        <w:rPr>
          <w:rFonts w:eastAsiaTheme="minorHAnsi" w:cstheme="minorBidi"/>
          <w:sz w:val="20"/>
          <w:szCs w:val="20"/>
          <w:lang w:val="en-US" w:eastAsia="en-US"/>
        </w:rPr>
        <w:t>been</w:t>
      </w:r>
      <w:r w:rsidR="00AC6F62" w:rsidRPr="00CF6765">
        <w:rPr>
          <w:rFonts w:eastAsiaTheme="minorHAnsi" w:cstheme="minorBidi"/>
          <w:sz w:val="20"/>
          <w:szCs w:val="20"/>
          <w:lang w:val="en-US" w:eastAsia="en-US"/>
        </w:rPr>
        <w:t xml:space="preserve"> </w:t>
      </w:r>
      <w:r w:rsidR="002F7F68" w:rsidRPr="00CF6765">
        <w:rPr>
          <w:rFonts w:eastAsiaTheme="minorHAnsi" w:cstheme="minorBidi"/>
          <w:sz w:val="20"/>
          <w:szCs w:val="20"/>
          <w:lang w:val="en-US" w:eastAsia="en-US"/>
        </w:rPr>
        <w:t>un</w:t>
      </w:r>
      <w:r w:rsidR="00AC6F62" w:rsidRPr="00CF6765">
        <w:rPr>
          <w:rFonts w:eastAsiaTheme="minorHAnsi" w:cstheme="minorBidi"/>
          <w:sz w:val="20"/>
          <w:szCs w:val="20"/>
          <w:lang w:val="en-US" w:eastAsia="en-US"/>
        </w:rPr>
        <w:t xml:space="preserve">able to prove how an unjustified delay in the proceedings had no direct impact on the obligation of due diligence in the investigation and </w:t>
      </w:r>
      <w:r w:rsidR="002F7F68" w:rsidRPr="00CF6765">
        <w:rPr>
          <w:rFonts w:eastAsiaTheme="minorHAnsi" w:cstheme="minorBidi"/>
          <w:sz w:val="20"/>
          <w:szCs w:val="20"/>
          <w:lang w:val="en-US" w:eastAsia="en-US"/>
        </w:rPr>
        <w:t xml:space="preserve">adjudication </w:t>
      </w:r>
      <w:r w:rsidR="00AC6F62" w:rsidRPr="00CF6765">
        <w:rPr>
          <w:rFonts w:eastAsiaTheme="minorHAnsi" w:cstheme="minorBidi"/>
          <w:sz w:val="20"/>
          <w:szCs w:val="20"/>
          <w:lang w:val="en-US" w:eastAsia="en-US"/>
        </w:rPr>
        <w:t xml:space="preserve">of the proceedings. It should be pointed out that </w:t>
      </w:r>
      <w:r w:rsidR="005C731C" w:rsidRPr="00CF6765">
        <w:rPr>
          <w:rFonts w:eastAsiaTheme="minorHAnsi" w:cstheme="minorBidi"/>
          <w:sz w:val="20"/>
          <w:szCs w:val="20"/>
          <w:lang w:val="en-US" w:eastAsia="en-US"/>
        </w:rPr>
        <w:t>the Commission</w:t>
      </w:r>
      <w:r w:rsidR="00E67349"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did not refer to the violation of the right to an impartial judge.</w:t>
      </w:r>
    </w:p>
    <w:p w14:paraId="654A8675" w14:textId="77777777" w:rsidR="00E67349" w:rsidRPr="00CF6765" w:rsidRDefault="00E67349" w:rsidP="000D4A1F">
      <w:pPr>
        <w:tabs>
          <w:tab w:val="left" w:pos="567"/>
          <w:tab w:val="num" w:pos="12305"/>
        </w:tabs>
        <w:rPr>
          <w:rFonts w:eastAsiaTheme="minorHAnsi" w:cstheme="minorBidi"/>
          <w:sz w:val="20"/>
          <w:szCs w:val="20"/>
          <w:lang w:val="en-US" w:eastAsia="en-US"/>
        </w:rPr>
      </w:pPr>
    </w:p>
    <w:p w14:paraId="0237BB16" w14:textId="259A4BD2" w:rsidR="007147FC" w:rsidRPr="00CF6765" w:rsidRDefault="00D2168F" w:rsidP="000D4A1F">
      <w:pPr>
        <w:numPr>
          <w:ilvl w:val="0"/>
          <w:numId w:val="2"/>
        </w:numPr>
        <w:tabs>
          <w:tab w:val="left" w:pos="567"/>
          <w:tab w:val="num" w:pos="1569"/>
          <w:tab w:val="num" w:pos="12305"/>
        </w:tabs>
        <w:ind w:left="0" w:firstLine="0"/>
        <w:rPr>
          <w:rFonts w:eastAsiaTheme="minorHAnsi" w:cstheme="minorBidi"/>
          <w:sz w:val="20"/>
          <w:szCs w:val="20"/>
          <w:lang w:val="en-US" w:eastAsia="en-US"/>
        </w:rPr>
      </w:pPr>
      <w:r w:rsidRPr="00CF6765">
        <w:rPr>
          <w:rFonts w:eastAsiaTheme="minorHAnsi" w:cstheme="minorBidi"/>
          <w:sz w:val="20"/>
          <w:szCs w:val="20"/>
          <w:lang w:val="en-US" w:eastAsia="en-US"/>
        </w:rPr>
        <w:t xml:space="preserve">The </w:t>
      </w:r>
      <w:r w:rsidRPr="00CF6765">
        <w:rPr>
          <w:rFonts w:eastAsiaTheme="minorHAnsi" w:cstheme="minorBidi"/>
          <w:b/>
          <w:bCs/>
          <w:i/>
          <w:iCs/>
          <w:sz w:val="20"/>
          <w:szCs w:val="20"/>
          <w:lang w:val="en-US" w:eastAsia="en-US"/>
        </w:rPr>
        <w:t>representatives</w:t>
      </w:r>
      <w:r w:rsidR="00E67349" w:rsidRPr="00CF6765">
        <w:rPr>
          <w:rFonts w:eastAsiaTheme="minorHAnsi" w:cstheme="minorBidi"/>
          <w:sz w:val="20"/>
          <w:szCs w:val="20"/>
          <w:lang w:val="en-US" w:eastAsia="en-US"/>
        </w:rPr>
        <w:t xml:space="preserve"> </w:t>
      </w:r>
      <w:r w:rsidR="007147FC" w:rsidRPr="00CF6765">
        <w:rPr>
          <w:rFonts w:eastAsiaTheme="minorHAnsi" w:cstheme="minorBidi"/>
          <w:sz w:val="20"/>
          <w:szCs w:val="20"/>
          <w:lang w:val="en-US" w:eastAsia="en-US"/>
        </w:rPr>
        <w:t>agreed with</w:t>
      </w:r>
      <w:r w:rsidR="00E67349" w:rsidRPr="00CF6765">
        <w:rPr>
          <w:rFonts w:eastAsiaTheme="minorHAnsi" w:cstheme="minorBidi"/>
          <w:sz w:val="20"/>
          <w:szCs w:val="20"/>
          <w:lang w:val="en-US" w:eastAsia="en-US"/>
        </w:rPr>
        <w:t xml:space="preserve"> </w:t>
      </w:r>
      <w:r w:rsidR="005C731C" w:rsidRPr="00CF6765">
        <w:rPr>
          <w:rFonts w:eastAsiaTheme="minorHAnsi" w:cstheme="minorBidi"/>
          <w:sz w:val="20"/>
          <w:szCs w:val="20"/>
          <w:lang w:val="en-US" w:eastAsia="en-US"/>
        </w:rPr>
        <w:t>the</w:t>
      </w:r>
      <w:r w:rsidR="007147FC" w:rsidRPr="00CF6765">
        <w:rPr>
          <w:rFonts w:eastAsiaTheme="minorHAnsi" w:cstheme="minorBidi"/>
          <w:sz w:val="20"/>
          <w:szCs w:val="20"/>
          <w:lang w:val="en-US" w:eastAsia="en-US"/>
        </w:rPr>
        <w:t xml:space="preserve"> arguments of the</w:t>
      </w:r>
      <w:r w:rsidR="005C731C" w:rsidRPr="00CF6765">
        <w:rPr>
          <w:rFonts w:eastAsiaTheme="minorHAnsi" w:cstheme="minorBidi"/>
          <w:sz w:val="20"/>
          <w:szCs w:val="20"/>
          <w:lang w:val="en-US" w:eastAsia="en-US"/>
        </w:rPr>
        <w:t xml:space="preserve"> Commission</w:t>
      </w:r>
      <w:r w:rsidR="00E67349" w:rsidRPr="00CF6765">
        <w:rPr>
          <w:rFonts w:eastAsiaTheme="minorHAnsi" w:cstheme="minorBidi"/>
          <w:sz w:val="20"/>
          <w:szCs w:val="20"/>
          <w:lang w:val="en-US" w:eastAsia="en-US"/>
        </w:rPr>
        <w:t xml:space="preserve"> </w:t>
      </w:r>
      <w:r w:rsidR="007147FC" w:rsidRPr="00CF6765">
        <w:rPr>
          <w:rFonts w:eastAsiaTheme="minorHAnsi" w:cstheme="minorBidi"/>
          <w:sz w:val="20"/>
          <w:szCs w:val="20"/>
          <w:lang w:val="en-US" w:eastAsia="en-US"/>
        </w:rPr>
        <w:t>regarding</w:t>
      </w:r>
      <w:r w:rsidR="00E67349" w:rsidRPr="00CF6765">
        <w:rPr>
          <w:rFonts w:eastAsiaTheme="minorHAnsi" w:cstheme="minorBidi"/>
          <w:sz w:val="20"/>
          <w:szCs w:val="20"/>
          <w:lang w:val="en-US" w:eastAsia="en-US"/>
        </w:rPr>
        <w:t xml:space="preserve"> </w:t>
      </w:r>
      <w:r w:rsidR="008F31F2" w:rsidRPr="00CF6765">
        <w:rPr>
          <w:rFonts w:eastAsiaTheme="minorHAnsi" w:cstheme="minorBidi"/>
          <w:sz w:val="20"/>
          <w:szCs w:val="20"/>
          <w:lang w:val="en-US" w:eastAsia="en-US"/>
        </w:rPr>
        <w:t>the violation of</w:t>
      </w:r>
      <w:r w:rsidR="00E67349" w:rsidRPr="00CF6765">
        <w:rPr>
          <w:rFonts w:eastAsiaTheme="minorHAnsi" w:cstheme="minorBidi"/>
          <w:sz w:val="20"/>
          <w:szCs w:val="20"/>
          <w:lang w:val="en-US" w:eastAsia="en-US"/>
        </w:rPr>
        <w:t xml:space="preserve"> </w:t>
      </w:r>
      <w:r w:rsidR="005C731C" w:rsidRPr="00CF6765">
        <w:rPr>
          <w:rFonts w:eastAsiaTheme="minorHAnsi" w:cstheme="minorBidi"/>
          <w:sz w:val="20"/>
          <w:szCs w:val="20"/>
          <w:lang w:val="en-US" w:eastAsia="en-US"/>
        </w:rPr>
        <w:t>Articles</w:t>
      </w:r>
      <w:r w:rsidR="00E67349" w:rsidRPr="00CF6765">
        <w:rPr>
          <w:rFonts w:eastAsiaTheme="minorHAnsi" w:cstheme="minorBidi"/>
          <w:sz w:val="20"/>
          <w:szCs w:val="20"/>
          <w:lang w:val="en-US" w:eastAsia="en-US"/>
        </w:rPr>
        <w:t xml:space="preserve"> 8</w:t>
      </w:r>
      <w:r w:rsidR="00EC50FC" w:rsidRPr="00CF6765">
        <w:rPr>
          <w:rFonts w:eastAsiaTheme="minorHAnsi" w:cstheme="minorBidi"/>
          <w:sz w:val="20"/>
          <w:szCs w:val="20"/>
          <w:lang w:val="en-US" w:eastAsia="en-US"/>
        </w:rPr>
        <w:t xml:space="preserve"> and </w:t>
      </w:r>
      <w:r w:rsidR="00E67349" w:rsidRPr="00CF6765">
        <w:rPr>
          <w:rFonts w:eastAsiaTheme="minorHAnsi" w:cstheme="minorBidi"/>
          <w:sz w:val="20"/>
          <w:szCs w:val="20"/>
          <w:lang w:val="en-US" w:eastAsia="en-US"/>
        </w:rPr>
        <w:t>25</w:t>
      </w:r>
      <w:r w:rsidR="005C731C" w:rsidRPr="00CF6765">
        <w:rPr>
          <w:rFonts w:eastAsiaTheme="minorHAnsi" w:cstheme="minorBidi"/>
          <w:sz w:val="20"/>
          <w:szCs w:val="20"/>
          <w:lang w:val="en-US" w:eastAsia="en-US"/>
        </w:rPr>
        <w:t xml:space="preserve"> of the American Convention</w:t>
      </w:r>
      <w:r w:rsidR="00E67349" w:rsidRPr="00CF6765">
        <w:rPr>
          <w:rFonts w:eastAsiaTheme="minorHAnsi" w:cstheme="minorBidi"/>
          <w:sz w:val="20"/>
          <w:szCs w:val="20"/>
          <w:lang w:val="en-US" w:eastAsia="en-US"/>
        </w:rPr>
        <w:t>.</w:t>
      </w:r>
      <w:r w:rsidR="0042344A" w:rsidRPr="00CF6765">
        <w:rPr>
          <w:rFonts w:eastAsiaTheme="minorHAnsi" w:cstheme="minorBidi"/>
          <w:sz w:val="20"/>
          <w:szCs w:val="20"/>
          <w:lang w:val="en-US" w:eastAsia="en-US"/>
        </w:rPr>
        <w:t xml:space="preserve"> </w:t>
      </w:r>
      <w:r w:rsidR="007147FC" w:rsidRPr="00CF6765">
        <w:rPr>
          <w:rFonts w:eastAsiaTheme="minorHAnsi" w:cstheme="minorBidi"/>
          <w:sz w:val="20"/>
          <w:szCs w:val="20"/>
          <w:lang w:val="en-US" w:eastAsia="en-US"/>
        </w:rPr>
        <w:t xml:space="preserve">They indicated </w:t>
      </w:r>
      <w:r w:rsidR="002F7F68" w:rsidRPr="00CF6765">
        <w:rPr>
          <w:rFonts w:eastAsiaTheme="minorHAnsi" w:cstheme="minorBidi"/>
          <w:sz w:val="20"/>
          <w:szCs w:val="20"/>
          <w:lang w:val="en-US" w:eastAsia="en-US"/>
        </w:rPr>
        <w:t xml:space="preserve">that </w:t>
      </w:r>
      <w:r w:rsidR="007147FC" w:rsidRPr="00CF6765">
        <w:rPr>
          <w:rFonts w:eastAsiaTheme="minorHAnsi" w:cstheme="minorBidi"/>
          <w:sz w:val="20"/>
          <w:szCs w:val="20"/>
          <w:lang w:val="en-US" w:eastAsia="en-US"/>
        </w:rPr>
        <w:t xml:space="preserve">the criminal </w:t>
      </w:r>
      <w:r w:rsidR="0090740B" w:rsidRPr="00CF6765">
        <w:rPr>
          <w:rFonts w:eastAsiaTheme="minorHAnsi" w:cstheme="minorBidi"/>
          <w:sz w:val="20"/>
          <w:szCs w:val="20"/>
          <w:lang w:val="en-US" w:eastAsia="en-US"/>
        </w:rPr>
        <w:t>proceedings</w:t>
      </w:r>
      <w:r w:rsidR="007147FC" w:rsidRPr="00CF6765">
        <w:rPr>
          <w:rFonts w:eastAsiaTheme="minorHAnsi" w:cstheme="minorBidi"/>
          <w:sz w:val="20"/>
          <w:szCs w:val="20"/>
          <w:lang w:val="en-US" w:eastAsia="en-US"/>
        </w:rPr>
        <w:t xml:space="preserve"> had not complied with the required standards and that the victims had not had access to an effective remedy </w:t>
      </w:r>
      <w:r w:rsidR="0090740B" w:rsidRPr="00CF6765">
        <w:rPr>
          <w:rFonts w:eastAsiaTheme="minorHAnsi" w:cstheme="minorBidi"/>
          <w:sz w:val="20"/>
          <w:szCs w:val="20"/>
          <w:lang w:val="en-US" w:eastAsia="en-US"/>
        </w:rPr>
        <w:t>against</w:t>
      </w:r>
      <w:r w:rsidR="007147FC" w:rsidRPr="00CF6765">
        <w:rPr>
          <w:rFonts w:eastAsiaTheme="minorHAnsi" w:cstheme="minorBidi"/>
          <w:sz w:val="20"/>
          <w:szCs w:val="20"/>
          <w:lang w:val="en-US" w:eastAsia="en-US"/>
        </w:rPr>
        <w:t xml:space="preserve"> the violation of their rights</w:t>
      </w:r>
      <w:r w:rsidR="002F7F68" w:rsidRPr="00CF6765">
        <w:rPr>
          <w:rFonts w:eastAsiaTheme="minorHAnsi" w:cstheme="minorBidi"/>
          <w:sz w:val="20"/>
          <w:szCs w:val="20"/>
          <w:lang w:val="en-US" w:eastAsia="en-US"/>
        </w:rPr>
        <w:t>;</w:t>
      </w:r>
      <w:r w:rsidR="007147FC" w:rsidRPr="00CF6765">
        <w:rPr>
          <w:rFonts w:eastAsiaTheme="minorHAnsi" w:cstheme="minorBidi"/>
          <w:sz w:val="20"/>
          <w:szCs w:val="20"/>
          <w:lang w:val="en-US" w:eastAsia="en-US"/>
        </w:rPr>
        <w:t xml:space="preserve"> consequently, they were unable to enjoy effective judicial protection. They </w:t>
      </w:r>
      <w:r w:rsidR="002F7F68" w:rsidRPr="00CF6765">
        <w:rPr>
          <w:rFonts w:eastAsiaTheme="minorHAnsi" w:cstheme="minorBidi"/>
          <w:sz w:val="20"/>
          <w:szCs w:val="20"/>
          <w:lang w:val="en-US" w:eastAsia="en-US"/>
        </w:rPr>
        <w:t xml:space="preserve">representatives </w:t>
      </w:r>
      <w:r w:rsidR="007147FC" w:rsidRPr="00CF6765">
        <w:rPr>
          <w:rFonts w:eastAsiaTheme="minorHAnsi" w:cstheme="minorBidi"/>
          <w:sz w:val="20"/>
          <w:szCs w:val="20"/>
          <w:lang w:val="en-US" w:eastAsia="en-US"/>
        </w:rPr>
        <w:t xml:space="preserve">emphasized the ineffectiveness of the proceedings and, as an example of this, pointed out that the requested confrontations had not been implemented. They also underlined the lack of diligence and effectiveness of the agents of justice in advancing the </w:t>
      </w:r>
      <w:r w:rsidR="0090740B" w:rsidRPr="00CF6765">
        <w:rPr>
          <w:rFonts w:eastAsiaTheme="minorHAnsi" w:cstheme="minorBidi"/>
          <w:sz w:val="20"/>
          <w:szCs w:val="20"/>
          <w:lang w:val="en-US" w:eastAsia="en-US"/>
        </w:rPr>
        <w:t>investigations</w:t>
      </w:r>
      <w:r w:rsidR="007147FC" w:rsidRPr="00CF6765">
        <w:rPr>
          <w:rFonts w:eastAsiaTheme="minorHAnsi" w:cstheme="minorBidi"/>
          <w:sz w:val="20"/>
          <w:szCs w:val="20"/>
          <w:lang w:val="en-US" w:eastAsia="en-US"/>
        </w:rPr>
        <w:t xml:space="preserve"> which were interrupted and delayed without any justification, result</w:t>
      </w:r>
      <w:r w:rsidR="002F7F68" w:rsidRPr="00CF6765">
        <w:rPr>
          <w:rFonts w:eastAsiaTheme="minorHAnsi" w:cstheme="minorBidi"/>
          <w:sz w:val="20"/>
          <w:szCs w:val="20"/>
          <w:lang w:val="en-US" w:eastAsia="en-US"/>
        </w:rPr>
        <w:t>ing</w:t>
      </w:r>
      <w:r w:rsidR="007147FC" w:rsidRPr="00CF6765">
        <w:rPr>
          <w:rFonts w:eastAsiaTheme="minorHAnsi" w:cstheme="minorBidi"/>
          <w:sz w:val="20"/>
          <w:szCs w:val="20"/>
          <w:lang w:val="en-US" w:eastAsia="en-US"/>
        </w:rPr>
        <w:t xml:space="preserve"> in the domestic proceedings taking seven years. In addition, they argued the violation of the right to an impartial </w:t>
      </w:r>
      <w:r w:rsidR="003E3DD0" w:rsidRPr="00CF6765">
        <w:rPr>
          <w:rFonts w:eastAsiaTheme="minorHAnsi" w:cstheme="minorBidi"/>
          <w:sz w:val="20"/>
          <w:szCs w:val="20"/>
          <w:lang w:val="en-US" w:eastAsia="en-US"/>
        </w:rPr>
        <w:t>judge</w:t>
      </w:r>
      <w:r w:rsidR="007147FC" w:rsidRPr="00CF6765">
        <w:rPr>
          <w:rFonts w:eastAsiaTheme="minorHAnsi" w:cstheme="minorBidi"/>
          <w:sz w:val="20"/>
          <w:szCs w:val="20"/>
          <w:lang w:val="en-US" w:eastAsia="en-US"/>
        </w:rPr>
        <w:t xml:space="preserve"> established in Article 8(1) of the American Convention to the detriment of Mr. </w:t>
      </w:r>
      <w:r w:rsidR="007147FC" w:rsidRPr="00CF6765">
        <w:rPr>
          <w:rFonts w:eastAsiaTheme="minorHAnsi" w:cstheme="minorBidi"/>
          <w:sz w:val="20"/>
          <w:szCs w:val="20"/>
          <w:lang w:val="en-US" w:eastAsia="en-US"/>
        </w:rPr>
        <w:lastRenderedPageBreak/>
        <w:t xml:space="preserve">Poblete </w:t>
      </w:r>
      <w:proofErr w:type="spellStart"/>
      <w:r w:rsidR="001E55C3" w:rsidRPr="00CF6765">
        <w:rPr>
          <w:rFonts w:eastAsiaTheme="minorHAnsi" w:cstheme="minorBidi"/>
          <w:sz w:val="20"/>
          <w:szCs w:val="20"/>
          <w:lang w:val="en-US" w:eastAsia="en-US"/>
        </w:rPr>
        <w:t>Vilches’s</w:t>
      </w:r>
      <w:proofErr w:type="spellEnd"/>
      <w:r w:rsidR="001E55C3" w:rsidRPr="00CF6765">
        <w:rPr>
          <w:rFonts w:eastAsiaTheme="minorHAnsi" w:cstheme="minorBidi"/>
          <w:sz w:val="20"/>
          <w:szCs w:val="20"/>
          <w:lang w:val="en-US" w:eastAsia="en-US"/>
        </w:rPr>
        <w:t xml:space="preserve"> </w:t>
      </w:r>
      <w:r w:rsidR="007147FC" w:rsidRPr="00CF6765">
        <w:rPr>
          <w:rFonts w:eastAsiaTheme="minorHAnsi" w:cstheme="minorBidi"/>
          <w:sz w:val="20"/>
          <w:szCs w:val="20"/>
          <w:lang w:val="en-US" w:eastAsia="en-US"/>
        </w:rPr>
        <w:t xml:space="preserve">family. In this regard, they considered that the judge’s request for reports on the mental faculties of Vinicio and </w:t>
      </w:r>
      <w:proofErr w:type="spellStart"/>
      <w:r w:rsidR="007147FC" w:rsidRPr="00CF6765">
        <w:rPr>
          <w:rFonts w:eastAsiaTheme="minorHAnsi" w:cstheme="minorBidi"/>
          <w:sz w:val="20"/>
          <w:szCs w:val="20"/>
          <w:lang w:val="en-US" w:eastAsia="en-US"/>
        </w:rPr>
        <w:t>Cesia</w:t>
      </w:r>
      <w:proofErr w:type="spellEnd"/>
      <w:r w:rsidR="007147FC" w:rsidRPr="00CF6765">
        <w:rPr>
          <w:rFonts w:eastAsiaTheme="minorHAnsi" w:cstheme="minorBidi"/>
          <w:sz w:val="20"/>
          <w:szCs w:val="20"/>
          <w:lang w:val="en-US" w:eastAsia="en-US"/>
        </w:rPr>
        <w:t xml:space="preserve"> Poblete Tapia was made without any grounds and without the case file revealing any element that would have justified this. They added that the judge’s decision was arbitrary because it lacked any justification and, consequently, they considered it to be an example of the lack of impartiality of the judge. They concluded that the State had failed in its obligations to provide access to justice and to the truth.</w:t>
      </w:r>
    </w:p>
    <w:p w14:paraId="0390130D" w14:textId="77777777" w:rsidR="00E67349" w:rsidRPr="00CF6765" w:rsidRDefault="00E67349" w:rsidP="000D4A1F">
      <w:pPr>
        <w:tabs>
          <w:tab w:val="left" w:pos="567"/>
          <w:tab w:val="num" w:pos="12305"/>
        </w:tabs>
        <w:rPr>
          <w:rFonts w:eastAsiaTheme="minorHAnsi" w:cstheme="minorBidi"/>
          <w:sz w:val="20"/>
          <w:szCs w:val="20"/>
          <w:lang w:val="en-US" w:eastAsia="en-US"/>
        </w:rPr>
      </w:pPr>
    </w:p>
    <w:p w14:paraId="714BCAC8" w14:textId="59C977A7" w:rsidR="00E02CDE" w:rsidRPr="00CF6765" w:rsidRDefault="00EC50FC" w:rsidP="007147FC">
      <w:pPr>
        <w:numPr>
          <w:ilvl w:val="0"/>
          <w:numId w:val="2"/>
        </w:numPr>
        <w:tabs>
          <w:tab w:val="left" w:pos="567"/>
          <w:tab w:val="num" w:pos="1569"/>
          <w:tab w:val="num" w:pos="12305"/>
        </w:tabs>
        <w:ind w:left="0" w:firstLine="0"/>
        <w:rPr>
          <w:b/>
          <w:sz w:val="20"/>
          <w:szCs w:val="20"/>
          <w:lang w:val="en-US" w:eastAsia="en-US"/>
        </w:rPr>
      </w:pPr>
      <w:r w:rsidRPr="00CF6765">
        <w:rPr>
          <w:sz w:val="20"/>
          <w:szCs w:val="20"/>
          <w:lang w:val="en-US" w:eastAsia="en-US"/>
        </w:rPr>
        <w:t xml:space="preserve">The </w:t>
      </w:r>
      <w:r w:rsidRPr="00CF6765">
        <w:rPr>
          <w:b/>
          <w:bCs/>
          <w:i/>
          <w:iCs/>
          <w:sz w:val="20"/>
          <w:szCs w:val="20"/>
          <w:lang w:val="en-US" w:eastAsia="en-US"/>
        </w:rPr>
        <w:t>State</w:t>
      </w:r>
      <w:r w:rsidR="00E67349" w:rsidRPr="00CF6765">
        <w:rPr>
          <w:sz w:val="20"/>
          <w:szCs w:val="20"/>
          <w:lang w:val="en-US" w:eastAsia="en-US"/>
        </w:rPr>
        <w:t xml:space="preserve"> </w:t>
      </w:r>
      <w:r w:rsidR="00E02CDE" w:rsidRPr="00CF6765">
        <w:rPr>
          <w:sz w:val="20"/>
          <w:szCs w:val="20"/>
          <w:lang w:val="en-US" w:eastAsia="en-US"/>
        </w:rPr>
        <w:t>acknowledged</w:t>
      </w:r>
      <w:r w:rsidR="007147FC" w:rsidRPr="00CF6765">
        <w:rPr>
          <w:sz w:val="20"/>
          <w:szCs w:val="20"/>
          <w:lang w:val="en-US" w:eastAsia="en-US"/>
        </w:rPr>
        <w:t xml:space="preserve"> </w:t>
      </w:r>
      <w:r w:rsidR="008F31F2" w:rsidRPr="00CF6765">
        <w:rPr>
          <w:sz w:val="20"/>
          <w:szCs w:val="20"/>
          <w:lang w:val="en-US" w:eastAsia="en-US"/>
        </w:rPr>
        <w:t>the violation of</w:t>
      </w:r>
      <w:r w:rsidR="00E67349" w:rsidRPr="00CF6765">
        <w:rPr>
          <w:sz w:val="20"/>
          <w:szCs w:val="20"/>
          <w:lang w:val="en-US" w:eastAsia="en-US"/>
        </w:rPr>
        <w:t xml:space="preserve"> </w:t>
      </w:r>
      <w:r w:rsidR="005C731C" w:rsidRPr="00CF6765">
        <w:rPr>
          <w:sz w:val="20"/>
          <w:szCs w:val="20"/>
          <w:lang w:val="en-US" w:eastAsia="en-US"/>
        </w:rPr>
        <w:t>Articles</w:t>
      </w:r>
      <w:r w:rsidR="00E67349" w:rsidRPr="00CF6765">
        <w:rPr>
          <w:sz w:val="20"/>
          <w:szCs w:val="20"/>
          <w:lang w:val="en-US" w:eastAsia="en-US"/>
        </w:rPr>
        <w:t xml:space="preserve"> 8</w:t>
      </w:r>
      <w:r w:rsidRPr="00CF6765">
        <w:rPr>
          <w:sz w:val="20"/>
          <w:szCs w:val="20"/>
          <w:lang w:val="en-US" w:eastAsia="en-US"/>
        </w:rPr>
        <w:t xml:space="preserve"> and </w:t>
      </w:r>
      <w:r w:rsidR="00E67349" w:rsidRPr="00CF6765">
        <w:rPr>
          <w:sz w:val="20"/>
          <w:szCs w:val="20"/>
          <w:lang w:val="en-US" w:eastAsia="en-US"/>
        </w:rPr>
        <w:t>25</w:t>
      </w:r>
      <w:r w:rsidR="005C731C" w:rsidRPr="00CF6765">
        <w:rPr>
          <w:sz w:val="20"/>
          <w:szCs w:val="20"/>
          <w:lang w:val="en-US" w:eastAsia="en-US"/>
        </w:rPr>
        <w:t xml:space="preserve"> of the American Convention</w:t>
      </w:r>
      <w:r w:rsidR="00E67349" w:rsidRPr="00CF6765">
        <w:rPr>
          <w:sz w:val="20"/>
          <w:szCs w:val="20"/>
          <w:lang w:val="en-US" w:eastAsia="en-US"/>
        </w:rPr>
        <w:t xml:space="preserve">, </w:t>
      </w:r>
      <w:r w:rsidR="009339F5" w:rsidRPr="00CF6765">
        <w:rPr>
          <w:sz w:val="20"/>
          <w:szCs w:val="20"/>
          <w:lang w:val="en-US" w:eastAsia="en-US"/>
        </w:rPr>
        <w:t>in relation to</w:t>
      </w:r>
      <w:r w:rsidR="007147FC" w:rsidRPr="00CF6765">
        <w:rPr>
          <w:sz w:val="20"/>
          <w:szCs w:val="20"/>
          <w:lang w:val="en-US" w:eastAsia="en-US"/>
        </w:rPr>
        <w:t xml:space="preserve"> the right to a reasonable time,</w:t>
      </w:r>
      <w:r w:rsidR="00E67349" w:rsidRPr="00CF6765">
        <w:rPr>
          <w:sz w:val="20"/>
          <w:szCs w:val="20"/>
          <w:lang w:val="en-US" w:eastAsia="en-US"/>
        </w:rPr>
        <w:t xml:space="preserve"> </w:t>
      </w:r>
      <w:r w:rsidR="007147FC" w:rsidRPr="00CF6765">
        <w:rPr>
          <w:sz w:val="20"/>
          <w:szCs w:val="20"/>
          <w:lang w:val="en-US" w:eastAsia="en-US"/>
        </w:rPr>
        <w:t xml:space="preserve">considering that the actions of the Chilean authorities </w:t>
      </w:r>
      <w:r w:rsidR="003E3DD0" w:rsidRPr="00CF6765">
        <w:rPr>
          <w:sz w:val="20"/>
          <w:szCs w:val="20"/>
          <w:lang w:val="en-US" w:eastAsia="en-US"/>
        </w:rPr>
        <w:t>had not been</w:t>
      </w:r>
      <w:r w:rsidR="007147FC" w:rsidRPr="00CF6765">
        <w:rPr>
          <w:sz w:val="20"/>
          <w:szCs w:val="20"/>
          <w:lang w:val="en-US" w:eastAsia="en-US"/>
        </w:rPr>
        <w:t xml:space="preserve"> sufficient</w:t>
      </w:r>
      <w:r w:rsidR="00B47F91" w:rsidRPr="00CF6765">
        <w:rPr>
          <w:sz w:val="20"/>
          <w:szCs w:val="20"/>
          <w:lang w:val="en-US" w:eastAsia="en-US"/>
        </w:rPr>
        <w:t>ly</w:t>
      </w:r>
      <w:r w:rsidR="007147FC" w:rsidRPr="00CF6765">
        <w:rPr>
          <w:sz w:val="20"/>
          <w:szCs w:val="20"/>
          <w:lang w:val="en-US" w:eastAsia="en-US"/>
        </w:rPr>
        <w:t xml:space="preserve"> diligent (</w:t>
      </w:r>
      <w:r w:rsidR="007147FC" w:rsidRPr="00CF6765">
        <w:rPr>
          <w:i/>
          <w:sz w:val="20"/>
          <w:szCs w:val="20"/>
          <w:lang w:val="en-US" w:eastAsia="en-US"/>
        </w:rPr>
        <w:t xml:space="preserve">supra </w:t>
      </w:r>
      <w:r w:rsidR="007147FC" w:rsidRPr="00CF6765">
        <w:rPr>
          <w:sz w:val="20"/>
          <w:szCs w:val="20"/>
          <w:lang w:val="en-US" w:eastAsia="en-US"/>
        </w:rPr>
        <w:t xml:space="preserve">para. 16). However, it did not </w:t>
      </w:r>
      <w:r w:rsidR="00E02CDE" w:rsidRPr="00CF6765">
        <w:rPr>
          <w:sz w:val="20"/>
          <w:szCs w:val="20"/>
          <w:lang w:val="en-US" w:eastAsia="en-US"/>
        </w:rPr>
        <w:t>acknowledge</w:t>
      </w:r>
      <w:r w:rsidR="007147FC" w:rsidRPr="00CF6765">
        <w:rPr>
          <w:sz w:val="20"/>
          <w:szCs w:val="20"/>
          <w:lang w:val="en-US" w:eastAsia="en-US"/>
        </w:rPr>
        <w:t xml:space="preserve"> the violation of the right to due diligence (</w:t>
      </w:r>
      <w:r w:rsidR="007147FC" w:rsidRPr="00CF6765">
        <w:rPr>
          <w:i/>
          <w:sz w:val="20"/>
          <w:szCs w:val="20"/>
          <w:lang w:val="en-US" w:eastAsia="en-US"/>
        </w:rPr>
        <w:t xml:space="preserve">supra </w:t>
      </w:r>
      <w:r w:rsidR="007147FC" w:rsidRPr="00CF6765">
        <w:rPr>
          <w:sz w:val="20"/>
          <w:szCs w:val="20"/>
          <w:lang w:val="en-US" w:eastAsia="en-US"/>
        </w:rPr>
        <w:t xml:space="preserve">para. 20) </w:t>
      </w:r>
      <w:r w:rsidR="00FC292B" w:rsidRPr="00CF6765">
        <w:rPr>
          <w:sz w:val="20"/>
          <w:szCs w:val="20"/>
          <w:lang w:val="en-US" w:eastAsia="en-US"/>
        </w:rPr>
        <w:t>considering</w:t>
      </w:r>
      <w:r w:rsidR="007147FC" w:rsidRPr="00CF6765">
        <w:rPr>
          <w:sz w:val="20"/>
          <w:szCs w:val="20"/>
          <w:lang w:val="en-US" w:eastAsia="en-US"/>
        </w:rPr>
        <w:t xml:space="preserve"> that the First Civil Court had conducted all the necessary evidentiary procedures. In particular, the State emphasized that, with regard to the cause of death of Mr. Poblete </w:t>
      </w:r>
      <w:proofErr w:type="spellStart"/>
      <w:r w:rsidR="007147FC" w:rsidRPr="00CF6765">
        <w:rPr>
          <w:sz w:val="20"/>
          <w:szCs w:val="20"/>
          <w:lang w:val="en-US" w:eastAsia="en-US"/>
        </w:rPr>
        <w:t>Vilches</w:t>
      </w:r>
      <w:proofErr w:type="spellEnd"/>
      <w:r w:rsidR="007147FC" w:rsidRPr="00CF6765">
        <w:rPr>
          <w:sz w:val="20"/>
          <w:szCs w:val="20"/>
          <w:lang w:val="en-US" w:eastAsia="en-US"/>
        </w:rPr>
        <w:t xml:space="preserve">, </w:t>
      </w:r>
      <w:r w:rsidR="00807287" w:rsidRPr="00CF6765">
        <w:rPr>
          <w:sz w:val="20"/>
          <w:szCs w:val="20"/>
          <w:lang w:val="en-US" w:eastAsia="en-US"/>
        </w:rPr>
        <w:t>two forensic medical reports had been prepared that established that there had been no violation of the</w:t>
      </w:r>
      <w:r w:rsidR="00A5404C" w:rsidRPr="00CF6765">
        <w:rPr>
          <w:sz w:val="20"/>
          <w:szCs w:val="20"/>
          <w:lang w:val="en-US" w:eastAsia="en-US"/>
        </w:rPr>
        <w:t xml:space="preserve"> </w:t>
      </w:r>
      <w:r w:rsidR="00A5404C" w:rsidRPr="00CF6765">
        <w:rPr>
          <w:rFonts w:eastAsia="Calibri"/>
          <w:sz w:val="20"/>
          <w:szCs w:val="20"/>
          <w:lang w:val="en-US"/>
        </w:rPr>
        <w:t>rules of medical practice</w:t>
      </w:r>
      <w:r w:rsidR="001938D9" w:rsidRPr="00CF6765">
        <w:rPr>
          <w:sz w:val="20"/>
          <w:szCs w:val="20"/>
          <w:lang w:val="en-US" w:eastAsia="en-US"/>
        </w:rPr>
        <w:t xml:space="preserve"> and</w:t>
      </w:r>
      <w:r w:rsidR="00807287" w:rsidRPr="00CF6765">
        <w:rPr>
          <w:sz w:val="20"/>
          <w:szCs w:val="20"/>
          <w:lang w:val="en-US" w:eastAsia="en-US"/>
        </w:rPr>
        <w:t xml:space="preserve"> rejecting the causal nexus between the doctors</w:t>
      </w:r>
      <w:r w:rsidR="00B47F91" w:rsidRPr="00CF6765">
        <w:rPr>
          <w:sz w:val="20"/>
          <w:szCs w:val="20"/>
          <w:lang w:val="en-US" w:eastAsia="en-US"/>
        </w:rPr>
        <w:t>’ actions</w:t>
      </w:r>
      <w:r w:rsidR="00807287" w:rsidRPr="00CF6765">
        <w:rPr>
          <w:sz w:val="20"/>
          <w:szCs w:val="20"/>
          <w:lang w:val="en-US" w:eastAsia="en-US"/>
        </w:rPr>
        <w:t xml:space="preserve"> and the patient</w:t>
      </w:r>
      <w:r w:rsidR="00B47F91" w:rsidRPr="00CF6765">
        <w:rPr>
          <w:sz w:val="20"/>
          <w:szCs w:val="20"/>
          <w:lang w:val="en-US" w:eastAsia="en-US"/>
        </w:rPr>
        <w:t>’s death</w:t>
      </w:r>
      <w:r w:rsidR="00807287" w:rsidRPr="00CF6765">
        <w:rPr>
          <w:sz w:val="20"/>
          <w:szCs w:val="20"/>
          <w:lang w:val="en-US" w:eastAsia="en-US"/>
        </w:rPr>
        <w:t>. It added that the two complaints</w:t>
      </w:r>
      <w:r w:rsidR="001938D9" w:rsidRPr="00CF6765">
        <w:rPr>
          <w:sz w:val="20"/>
          <w:szCs w:val="20"/>
          <w:lang w:val="en-US" w:eastAsia="en-US"/>
        </w:rPr>
        <w:t xml:space="preserve"> </w:t>
      </w:r>
      <w:r w:rsidR="00807287" w:rsidRPr="00CF6765">
        <w:rPr>
          <w:sz w:val="20"/>
          <w:szCs w:val="20"/>
          <w:lang w:val="en-US" w:eastAsia="en-US"/>
        </w:rPr>
        <w:t xml:space="preserve">filed were processed under the former criminal inquiry proceedings in which the person who conducted the investigation was the same person who </w:t>
      </w:r>
      <w:r w:rsidR="003E3DD0" w:rsidRPr="00CF6765">
        <w:rPr>
          <w:sz w:val="20"/>
          <w:szCs w:val="20"/>
          <w:lang w:val="en-US" w:eastAsia="en-US"/>
        </w:rPr>
        <w:t>adjudicated</w:t>
      </w:r>
      <w:r w:rsidR="00807287" w:rsidRPr="00CF6765">
        <w:rPr>
          <w:sz w:val="20"/>
          <w:szCs w:val="20"/>
          <w:lang w:val="en-US" w:eastAsia="en-US"/>
        </w:rPr>
        <w:t xml:space="preserve"> the matter, which lessened the impartiality required by due process. It stressed that all the </w:t>
      </w:r>
      <w:r w:rsidR="0090740B" w:rsidRPr="00CF6765">
        <w:rPr>
          <w:sz w:val="20"/>
          <w:szCs w:val="20"/>
          <w:lang w:val="en-US" w:eastAsia="en-US"/>
        </w:rPr>
        <w:t>evidentiary</w:t>
      </w:r>
      <w:r w:rsidR="00807287" w:rsidRPr="00CF6765">
        <w:rPr>
          <w:sz w:val="20"/>
          <w:szCs w:val="20"/>
          <w:lang w:val="en-US" w:eastAsia="en-US"/>
        </w:rPr>
        <w:t xml:space="preserve"> procedures </w:t>
      </w:r>
      <w:r w:rsidR="00E02CDE" w:rsidRPr="00CF6765">
        <w:rPr>
          <w:sz w:val="20"/>
          <w:szCs w:val="20"/>
          <w:lang w:val="en-US" w:eastAsia="en-US"/>
        </w:rPr>
        <w:t xml:space="preserve">requested </w:t>
      </w:r>
      <w:r w:rsidR="00807287" w:rsidRPr="00CF6765">
        <w:rPr>
          <w:sz w:val="20"/>
          <w:szCs w:val="20"/>
          <w:lang w:val="en-US" w:eastAsia="en-US"/>
        </w:rPr>
        <w:t xml:space="preserve">were </w:t>
      </w:r>
      <w:r w:rsidR="00E02CDE" w:rsidRPr="00CF6765">
        <w:rPr>
          <w:sz w:val="20"/>
          <w:szCs w:val="20"/>
          <w:lang w:val="en-US" w:eastAsia="en-US"/>
        </w:rPr>
        <w:t>granted with the exception of the exhumation of the body and the confrontations. In this regard, it indicated that 19 of the 26 procedures requested had been conducted and clarified that, in the instant case, there were two complaints: the first of May 2001, in which all the requested procedures were conducted</w:t>
      </w:r>
      <w:r w:rsidR="00E02CDE" w:rsidRPr="00CF6765">
        <w:rPr>
          <w:b/>
          <w:sz w:val="20"/>
          <w:szCs w:val="20"/>
          <w:lang w:val="en-US" w:eastAsia="en-US"/>
        </w:rPr>
        <w:t xml:space="preserve"> </w:t>
      </w:r>
      <w:r w:rsidRPr="00CF6765">
        <w:rPr>
          <w:sz w:val="20"/>
          <w:szCs w:val="20"/>
          <w:lang w:val="en-US" w:eastAsia="en-US"/>
        </w:rPr>
        <w:t xml:space="preserve">and </w:t>
      </w:r>
      <w:r w:rsidR="00D2168F" w:rsidRPr="00CF6765">
        <w:rPr>
          <w:sz w:val="20"/>
          <w:szCs w:val="20"/>
          <w:lang w:val="en-US" w:eastAsia="en-US"/>
        </w:rPr>
        <w:t>Vinicio</w:t>
      </w:r>
      <w:r w:rsidRPr="00CF6765">
        <w:rPr>
          <w:sz w:val="20"/>
          <w:szCs w:val="20"/>
          <w:lang w:val="en-US" w:eastAsia="en-US"/>
        </w:rPr>
        <w:t xml:space="preserve"> and</w:t>
      </w:r>
      <w:r w:rsidR="00E67349" w:rsidRPr="00CF6765">
        <w:rPr>
          <w:sz w:val="20"/>
          <w:szCs w:val="20"/>
          <w:lang w:val="en-US" w:eastAsia="en-US"/>
        </w:rPr>
        <w:t xml:space="preserve"> </w:t>
      </w:r>
      <w:proofErr w:type="spellStart"/>
      <w:r w:rsidR="00E67349" w:rsidRPr="00CF6765">
        <w:rPr>
          <w:sz w:val="20"/>
          <w:szCs w:val="20"/>
          <w:lang w:val="en-US" w:eastAsia="en-US"/>
        </w:rPr>
        <w:t>Cesia</w:t>
      </w:r>
      <w:proofErr w:type="spellEnd"/>
      <w:r w:rsidR="00E67349" w:rsidRPr="00CF6765">
        <w:rPr>
          <w:sz w:val="20"/>
          <w:szCs w:val="20"/>
          <w:lang w:val="en-US" w:eastAsia="en-US"/>
        </w:rPr>
        <w:t xml:space="preserve"> Poblete Tapia </w:t>
      </w:r>
      <w:r w:rsidR="00E02CDE" w:rsidRPr="00CF6765">
        <w:rPr>
          <w:sz w:val="20"/>
          <w:szCs w:val="20"/>
          <w:lang w:val="en-US" w:eastAsia="en-US"/>
        </w:rPr>
        <w:t xml:space="preserve">did not ask to be called on to ratify the complaint, and the second, filed in October 2005, in which members of the Poblete Tapia family asked to be called to ratify the complaint, and were called in April 2006; thus, the delay in the summons was six months, and not five years. The State argued that the </w:t>
      </w:r>
      <w:r w:rsidR="003E3DD0" w:rsidRPr="00CF6765">
        <w:rPr>
          <w:sz w:val="20"/>
          <w:szCs w:val="20"/>
          <w:lang w:val="en-US" w:eastAsia="en-US"/>
        </w:rPr>
        <w:t>c</w:t>
      </w:r>
      <w:r w:rsidR="00E02CDE" w:rsidRPr="00CF6765">
        <w:rPr>
          <w:sz w:val="20"/>
          <w:szCs w:val="20"/>
          <w:lang w:val="en-US" w:eastAsia="en-US"/>
        </w:rPr>
        <w:t xml:space="preserve">ourt’s investigation actions were positive and substantive, </w:t>
      </w:r>
      <w:r w:rsidR="0090740B" w:rsidRPr="00CF6765">
        <w:rPr>
          <w:sz w:val="20"/>
          <w:szCs w:val="20"/>
          <w:lang w:val="en-US" w:eastAsia="en-US"/>
        </w:rPr>
        <w:t>exhausting</w:t>
      </w:r>
      <w:r w:rsidR="00E02CDE" w:rsidRPr="00CF6765">
        <w:rPr>
          <w:sz w:val="20"/>
          <w:szCs w:val="20"/>
          <w:lang w:val="en-US" w:eastAsia="en-US"/>
        </w:rPr>
        <w:t xml:space="preserve"> all the legal </w:t>
      </w:r>
      <w:r w:rsidR="003E3DD0" w:rsidRPr="00CF6765">
        <w:rPr>
          <w:sz w:val="20"/>
          <w:szCs w:val="20"/>
          <w:lang w:val="en-US" w:eastAsia="en-US"/>
        </w:rPr>
        <w:t>measures available</w:t>
      </w:r>
      <w:r w:rsidR="00E02CDE" w:rsidRPr="00CF6765">
        <w:rPr>
          <w:sz w:val="20"/>
          <w:szCs w:val="20"/>
          <w:lang w:val="en-US" w:eastAsia="en-US"/>
        </w:rPr>
        <w:t>. Lastly, the State did not acknowledge the violation of the right to be tried by an impartial court (</w:t>
      </w:r>
      <w:r w:rsidR="00E02CDE" w:rsidRPr="00CF6765">
        <w:rPr>
          <w:i/>
          <w:sz w:val="20"/>
          <w:szCs w:val="20"/>
          <w:lang w:val="en-US" w:eastAsia="en-US"/>
        </w:rPr>
        <w:t xml:space="preserve">supra </w:t>
      </w:r>
      <w:r w:rsidR="00E02CDE" w:rsidRPr="00CF6765">
        <w:rPr>
          <w:sz w:val="20"/>
          <w:szCs w:val="20"/>
          <w:lang w:val="en-US" w:eastAsia="en-US"/>
        </w:rPr>
        <w:t>para. 20) because it considered that the competent court acted within the limits of its legal authority, based on the content of the law. In this regard, it stressed that the subjective impartiality of the judge is presumed and, therefore, whoever alleges the contrary must prove this with specific, concrete evidence.</w:t>
      </w:r>
    </w:p>
    <w:p w14:paraId="732AEF74" w14:textId="77777777" w:rsidR="00E67349" w:rsidRPr="00CF6765" w:rsidRDefault="00E67349" w:rsidP="000D4A1F">
      <w:pPr>
        <w:tabs>
          <w:tab w:val="left" w:pos="567"/>
          <w:tab w:val="num" w:pos="12305"/>
        </w:tabs>
        <w:rPr>
          <w:b/>
          <w:sz w:val="20"/>
          <w:szCs w:val="20"/>
          <w:lang w:val="en-US" w:eastAsia="en-US"/>
        </w:rPr>
      </w:pPr>
    </w:p>
    <w:p w14:paraId="51313D22" w14:textId="138A6623" w:rsidR="00E67349" w:rsidRPr="00CF6765" w:rsidRDefault="009C2DEF" w:rsidP="002A64C9">
      <w:pPr>
        <w:pStyle w:val="Ttulo2"/>
        <w:numPr>
          <w:ilvl w:val="0"/>
          <w:numId w:val="11"/>
        </w:numPr>
        <w:rPr>
          <w:lang w:val="en-US"/>
        </w:rPr>
      </w:pPr>
      <w:bookmarkStart w:id="90" w:name="_Toc47864389"/>
      <w:r w:rsidRPr="00CF6765">
        <w:rPr>
          <w:lang w:val="en-US"/>
        </w:rPr>
        <w:t>Considerations</w:t>
      </w:r>
      <w:r w:rsidR="005C731C" w:rsidRPr="00CF6765">
        <w:rPr>
          <w:lang w:val="en-US"/>
        </w:rPr>
        <w:t xml:space="preserve"> of the Court</w:t>
      </w:r>
      <w:bookmarkEnd w:id="90"/>
    </w:p>
    <w:p w14:paraId="69033543" w14:textId="77777777" w:rsidR="000D4A1F" w:rsidRPr="00CF6765" w:rsidRDefault="000D4A1F" w:rsidP="000D4A1F">
      <w:pPr>
        <w:rPr>
          <w:b/>
          <w:i/>
          <w:sz w:val="20"/>
          <w:szCs w:val="20"/>
          <w:lang w:val="en-US" w:eastAsia="en-US"/>
        </w:rPr>
      </w:pPr>
    </w:p>
    <w:p w14:paraId="3B1F4B78" w14:textId="365E4F2F" w:rsidR="00E67349" w:rsidRPr="00CF6765" w:rsidRDefault="005C731C" w:rsidP="000D4A1F">
      <w:pPr>
        <w:numPr>
          <w:ilvl w:val="0"/>
          <w:numId w:val="2"/>
        </w:numPr>
        <w:tabs>
          <w:tab w:val="left" w:pos="567"/>
          <w:tab w:val="num" w:pos="1569"/>
          <w:tab w:val="num" w:pos="12305"/>
        </w:tabs>
        <w:ind w:left="0" w:firstLine="0"/>
        <w:rPr>
          <w:rFonts w:eastAsiaTheme="minorHAnsi" w:cstheme="minorBidi"/>
          <w:b/>
          <w:i/>
          <w:sz w:val="20"/>
          <w:szCs w:val="20"/>
          <w:lang w:val="en-US" w:eastAsia="en-US"/>
        </w:rPr>
      </w:pPr>
      <w:r w:rsidRPr="00CF6765">
        <w:rPr>
          <w:rFonts w:eastAsiaTheme="minorHAnsi" w:cstheme="minorBidi"/>
          <w:sz w:val="20"/>
          <w:szCs w:val="20"/>
          <w:lang w:val="en-US" w:eastAsia="en-US"/>
        </w:rPr>
        <w:t>The Court</w:t>
      </w:r>
      <w:r w:rsidR="00E67349" w:rsidRPr="00CF6765">
        <w:rPr>
          <w:rFonts w:eastAsiaTheme="minorHAnsi" w:cstheme="minorBidi"/>
          <w:sz w:val="20"/>
          <w:szCs w:val="20"/>
          <w:lang w:val="en-US" w:eastAsia="en-US"/>
        </w:rPr>
        <w:t xml:space="preserve"> rec</w:t>
      </w:r>
      <w:r w:rsidR="00AC6F62" w:rsidRPr="00CF6765">
        <w:rPr>
          <w:rFonts w:eastAsiaTheme="minorHAnsi" w:cstheme="minorBidi"/>
          <w:sz w:val="20"/>
          <w:szCs w:val="20"/>
          <w:lang w:val="en-US" w:eastAsia="en-US"/>
        </w:rPr>
        <w:t xml:space="preserve">alls that, in this case, Mr. Poblete </w:t>
      </w:r>
      <w:proofErr w:type="spellStart"/>
      <w:r w:rsidR="001E55C3" w:rsidRPr="00CF6765">
        <w:rPr>
          <w:rFonts w:eastAsiaTheme="minorHAnsi" w:cstheme="minorBidi"/>
          <w:sz w:val="20"/>
          <w:szCs w:val="20"/>
          <w:lang w:val="en-US" w:eastAsia="en-US"/>
        </w:rPr>
        <w:t>Vilches’s</w:t>
      </w:r>
      <w:proofErr w:type="spellEnd"/>
      <w:r w:rsidR="001E55C3"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family filed an initial criminal complaint in 2001, and a second complaint in 2005</w:t>
      </w:r>
      <w:r w:rsidR="00E67349"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On December 11,</w:t>
      </w:r>
      <w:r w:rsidR="00E67349" w:rsidRPr="00CF6765">
        <w:rPr>
          <w:rFonts w:eastAsiaTheme="minorHAnsi" w:cstheme="minorBidi"/>
          <w:sz w:val="20"/>
          <w:szCs w:val="20"/>
          <w:lang w:val="en-US" w:eastAsia="en-US"/>
        </w:rPr>
        <w:t xml:space="preserve"> 2006</w:t>
      </w:r>
      <w:r w:rsidR="00AC6F62" w:rsidRPr="00CF6765">
        <w:rPr>
          <w:rFonts w:eastAsiaTheme="minorHAnsi" w:cstheme="minorBidi"/>
          <w:sz w:val="20"/>
          <w:szCs w:val="20"/>
          <w:lang w:val="en-US" w:eastAsia="en-US"/>
        </w:rPr>
        <w:t xml:space="preserve">, the First Civil Court ordered the dismissal of the case; however, on </w:t>
      </w:r>
      <w:r w:rsidR="00671A8C" w:rsidRPr="00CF6765">
        <w:rPr>
          <w:rFonts w:eastAsiaTheme="minorHAnsi" w:cstheme="minorBidi"/>
          <w:sz w:val="20"/>
          <w:szCs w:val="20"/>
          <w:lang w:val="en-US" w:eastAsia="en-US"/>
        </w:rPr>
        <w:t xml:space="preserve">February </w:t>
      </w:r>
      <w:r w:rsidR="00AC6F62" w:rsidRPr="00CF6765">
        <w:rPr>
          <w:rFonts w:eastAsiaTheme="minorHAnsi" w:cstheme="minorBidi"/>
          <w:sz w:val="20"/>
          <w:szCs w:val="20"/>
          <w:lang w:val="en-US" w:eastAsia="en-US"/>
        </w:rPr>
        <w:t>1</w:t>
      </w:r>
      <w:r w:rsidR="00671A8C" w:rsidRPr="00CF6765">
        <w:rPr>
          <w:rFonts w:eastAsiaTheme="minorHAnsi" w:cstheme="minorBidi"/>
          <w:sz w:val="20"/>
          <w:szCs w:val="20"/>
          <w:lang w:val="en-US" w:eastAsia="en-US"/>
        </w:rPr>
        <w:t>7,</w:t>
      </w:r>
      <w:r w:rsidR="00E67349" w:rsidRPr="00CF6765">
        <w:rPr>
          <w:rFonts w:eastAsiaTheme="minorHAnsi" w:cstheme="minorBidi"/>
          <w:sz w:val="20"/>
          <w:szCs w:val="20"/>
          <w:lang w:val="en-US" w:eastAsia="en-US"/>
        </w:rPr>
        <w:t xml:space="preserve"> 2007</w:t>
      </w:r>
      <w:r w:rsidR="00AC6F62" w:rsidRPr="00CF6765">
        <w:rPr>
          <w:rFonts w:eastAsiaTheme="minorHAnsi" w:cstheme="minorBidi"/>
          <w:sz w:val="20"/>
          <w:szCs w:val="20"/>
          <w:lang w:val="en-US" w:eastAsia="en-US"/>
        </w:rPr>
        <w:t>,</w:t>
      </w:r>
      <w:r w:rsidR="00E67349"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 xml:space="preserve">it </w:t>
      </w:r>
      <w:r w:rsidR="001E55C3" w:rsidRPr="00CF6765">
        <w:rPr>
          <w:rFonts w:eastAsiaTheme="minorHAnsi" w:cstheme="minorBidi"/>
          <w:sz w:val="20"/>
          <w:szCs w:val="20"/>
          <w:lang w:val="en-US" w:eastAsia="en-US"/>
        </w:rPr>
        <w:t>reopen</w:t>
      </w:r>
      <w:r w:rsidR="00AC6F62" w:rsidRPr="00CF6765">
        <w:rPr>
          <w:rFonts w:eastAsiaTheme="minorHAnsi" w:cstheme="minorBidi"/>
          <w:sz w:val="20"/>
          <w:szCs w:val="20"/>
          <w:lang w:val="en-US" w:eastAsia="en-US"/>
        </w:rPr>
        <w:t>ed the case</w:t>
      </w:r>
      <w:r w:rsidR="00E67349"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 xml:space="preserve">Again, on June 30, </w:t>
      </w:r>
      <w:r w:rsidR="00E67349" w:rsidRPr="00CF6765">
        <w:rPr>
          <w:rFonts w:eastAsiaTheme="minorHAnsi" w:cstheme="minorBidi"/>
          <w:sz w:val="20"/>
          <w:szCs w:val="20"/>
          <w:lang w:val="en-US" w:eastAsia="en-US"/>
        </w:rPr>
        <w:t>2008</w:t>
      </w:r>
      <w:r w:rsidR="00AC6F62" w:rsidRPr="00CF6765">
        <w:rPr>
          <w:rFonts w:eastAsiaTheme="minorHAnsi" w:cstheme="minorBidi"/>
          <w:sz w:val="20"/>
          <w:szCs w:val="20"/>
          <w:lang w:val="en-US" w:eastAsia="en-US"/>
        </w:rPr>
        <w:t>,</w:t>
      </w:r>
      <w:r w:rsidR="00E67349"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 xml:space="preserve">it ordered the dismissal of the case </w:t>
      </w:r>
      <w:r w:rsidR="00EC50FC" w:rsidRPr="00CF6765">
        <w:rPr>
          <w:rFonts w:eastAsiaTheme="minorHAnsi" w:cstheme="minorBidi"/>
          <w:sz w:val="20"/>
          <w:szCs w:val="20"/>
          <w:lang w:val="en-US" w:eastAsia="en-US"/>
        </w:rPr>
        <w:t>and</w:t>
      </w:r>
      <w:r w:rsidR="00AC6F62" w:rsidRPr="00CF6765">
        <w:rPr>
          <w:rFonts w:eastAsiaTheme="minorHAnsi" w:cstheme="minorBidi"/>
          <w:sz w:val="20"/>
          <w:szCs w:val="20"/>
          <w:lang w:val="en-US" w:eastAsia="en-US"/>
        </w:rPr>
        <w:t>,</w:t>
      </w:r>
      <w:r w:rsidR="00EC50FC"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on August 5,</w:t>
      </w:r>
      <w:r w:rsidR="00E67349" w:rsidRPr="00CF6765">
        <w:rPr>
          <w:rFonts w:eastAsiaTheme="minorHAnsi" w:cstheme="minorBidi"/>
          <w:sz w:val="20"/>
          <w:szCs w:val="20"/>
          <w:lang w:val="en-US" w:eastAsia="en-US"/>
        </w:rPr>
        <w:t xml:space="preserve"> 2008</w:t>
      </w:r>
      <w:r w:rsidR="00AC6F62" w:rsidRPr="00CF6765">
        <w:rPr>
          <w:rFonts w:eastAsiaTheme="minorHAnsi" w:cstheme="minorBidi"/>
          <w:sz w:val="20"/>
          <w:szCs w:val="20"/>
          <w:lang w:val="en-US" w:eastAsia="en-US"/>
        </w:rPr>
        <w:t xml:space="preserve">, it ordered its </w:t>
      </w:r>
      <w:r w:rsidR="001E55C3" w:rsidRPr="00CF6765">
        <w:rPr>
          <w:rFonts w:eastAsiaTheme="minorHAnsi" w:cstheme="minorBidi"/>
          <w:sz w:val="20"/>
          <w:szCs w:val="20"/>
          <w:lang w:val="en-US" w:eastAsia="en-US"/>
        </w:rPr>
        <w:t>reopen</w:t>
      </w:r>
      <w:r w:rsidR="00AC6F62" w:rsidRPr="00CF6765">
        <w:rPr>
          <w:rFonts w:eastAsiaTheme="minorHAnsi" w:cstheme="minorBidi"/>
          <w:sz w:val="20"/>
          <w:szCs w:val="20"/>
          <w:lang w:val="en-US" w:eastAsia="en-US"/>
        </w:rPr>
        <w:t>ing. To date, the criminal responsibilit</w:t>
      </w:r>
      <w:r w:rsidR="003E3DD0" w:rsidRPr="00CF6765">
        <w:rPr>
          <w:rFonts w:eastAsiaTheme="minorHAnsi" w:cstheme="minorBidi"/>
          <w:sz w:val="20"/>
          <w:szCs w:val="20"/>
          <w:lang w:val="en-US" w:eastAsia="en-US"/>
        </w:rPr>
        <w:t>ies</w:t>
      </w:r>
      <w:r w:rsidR="00AC6F62" w:rsidRPr="00CF6765">
        <w:rPr>
          <w:rFonts w:eastAsiaTheme="minorHAnsi" w:cstheme="minorBidi"/>
          <w:sz w:val="20"/>
          <w:szCs w:val="20"/>
          <w:lang w:val="en-US" w:eastAsia="en-US"/>
        </w:rPr>
        <w:t xml:space="preserve"> </w:t>
      </w:r>
      <w:r w:rsidR="00B47F91" w:rsidRPr="00CF6765">
        <w:rPr>
          <w:rFonts w:eastAsiaTheme="minorHAnsi" w:cstheme="minorBidi"/>
          <w:sz w:val="20"/>
          <w:szCs w:val="20"/>
          <w:lang w:val="en-US" w:eastAsia="en-US"/>
        </w:rPr>
        <w:t>for</w:t>
      </w:r>
      <w:r w:rsidR="00AC6F62" w:rsidRPr="00CF6765">
        <w:rPr>
          <w:rFonts w:eastAsiaTheme="minorHAnsi" w:cstheme="minorBidi"/>
          <w:sz w:val="20"/>
          <w:szCs w:val="20"/>
          <w:lang w:val="en-US" w:eastAsia="en-US"/>
        </w:rPr>
        <w:t xml:space="preserve"> the facts of this case have not been established </w:t>
      </w:r>
      <w:r w:rsidR="00E67349" w:rsidRPr="00CF6765">
        <w:rPr>
          <w:rFonts w:eastAsiaTheme="minorHAnsi" w:cstheme="minorBidi"/>
          <w:sz w:val="20"/>
          <w:szCs w:val="20"/>
          <w:lang w:val="en-US" w:eastAsia="en-US"/>
        </w:rPr>
        <w:t>(</w:t>
      </w:r>
      <w:r w:rsidR="00062586" w:rsidRPr="00CF6765">
        <w:rPr>
          <w:rFonts w:eastAsiaTheme="minorHAnsi" w:cstheme="minorBidi"/>
          <w:i/>
          <w:sz w:val="20"/>
          <w:szCs w:val="20"/>
          <w:lang w:val="en-US" w:eastAsia="en-US"/>
        </w:rPr>
        <w:t>supra</w:t>
      </w:r>
      <w:r w:rsidR="00E67349" w:rsidRPr="00CF6765">
        <w:rPr>
          <w:rFonts w:eastAsiaTheme="minorHAnsi" w:cstheme="minorBidi"/>
          <w:i/>
          <w:sz w:val="20"/>
          <w:szCs w:val="20"/>
          <w:lang w:val="en-US" w:eastAsia="en-US"/>
        </w:rPr>
        <w:t xml:space="preserve"> </w:t>
      </w:r>
      <w:r w:rsidR="00EC50FC" w:rsidRPr="00CF6765">
        <w:rPr>
          <w:rFonts w:eastAsiaTheme="minorHAnsi" w:cstheme="minorBidi"/>
          <w:sz w:val="20"/>
          <w:szCs w:val="20"/>
          <w:lang w:val="en-US" w:eastAsia="en-US"/>
        </w:rPr>
        <w:t>paras.</w:t>
      </w:r>
      <w:r w:rsidR="00E67349" w:rsidRPr="00CF6765">
        <w:rPr>
          <w:rFonts w:eastAsiaTheme="minorHAnsi" w:cstheme="minorBidi"/>
          <w:sz w:val="20"/>
          <w:szCs w:val="20"/>
          <w:lang w:val="en-US" w:eastAsia="en-US"/>
        </w:rPr>
        <w:t xml:space="preserve"> </w:t>
      </w:r>
      <w:r w:rsidR="00974D1E" w:rsidRPr="00CF6765">
        <w:rPr>
          <w:rFonts w:eastAsiaTheme="minorHAnsi" w:cstheme="minorBidi"/>
          <w:sz w:val="20"/>
          <w:szCs w:val="20"/>
          <w:lang w:val="en-US" w:eastAsia="en-US"/>
        </w:rPr>
        <w:t xml:space="preserve">59 </w:t>
      </w:r>
      <w:r w:rsidR="00AC6F62" w:rsidRPr="00CF6765">
        <w:rPr>
          <w:rFonts w:eastAsiaTheme="minorHAnsi" w:cstheme="minorBidi"/>
          <w:sz w:val="20"/>
          <w:szCs w:val="20"/>
          <w:lang w:val="en-US" w:eastAsia="en-US"/>
        </w:rPr>
        <w:t>to</w:t>
      </w:r>
      <w:r w:rsidR="00E67349" w:rsidRPr="00CF6765">
        <w:rPr>
          <w:rFonts w:eastAsiaTheme="minorHAnsi" w:cstheme="minorBidi"/>
          <w:sz w:val="20"/>
          <w:szCs w:val="20"/>
          <w:lang w:val="en-US" w:eastAsia="en-US"/>
        </w:rPr>
        <w:t xml:space="preserve"> </w:t>
      </w:r>
      <w:r w:rsidR="00974D1E" w:rsidRPr="00CF6765">
        <w:rPr>
          <w:rFonts w:eastAsiaTheme="minorHAnsi" w:cstheme="minorBidi"/>
          <w:sz w:val="20"/>
          <w:szCs w:val="20"/>
          <w:lang w:val="en-US" w:eastAsia="en-US"/>
        </w:rPr>
        <w:t>79).</w:t>
      </w:r>
    </w:p>
    <w:p w14:paraId="3A9F054C" w14:textId="2F4D11F6" w:rsidR="00E67349" w:rsidRPr="00CF6765" w:rsidRDefault="00E67349" w:rsidP="000D4A1F">
      <w:pPr>
        <w:tabs>
          <w:tab w:val="left" w:pos="0"/>
        </w:tabs>
        <w:contextualSpacing/>
        <w:rPr>
          <w:rFonts w:eastAsiaTheme="minorHAnsi" w:cstheme="minorBidi"/>
          <w:b/>
          <w:i/>
          <w:sz w:val="20"/>
          <w:szCs w:val="20"/>
          <w:lang w:val="en-US" w:eastAsia="en-US"/>
        </w:rPr>
      </w:pPr>
    </w:p>
    <w:p w14:paraId="019B1220" w14:textId="54C1AD3C" w:rsidR="00E67349" w:rsidRPr="00CF6765" w:rsidRDefault="005C731C" w:rsidP="00152F4C">
      <w:pPr>
        <w:numPr>
          <w:ilvl w:val="0"/>
          <w:numId w:val="2"/>
        </w:numPr>
        <w:tabs>
          <w:tab w:val="left" w:pos="567"/>
          <w:tab w:val="num" w:pos="1569"/>
          <w:tab w:val="num" w:pos="12305"/>
        </w:tabs>
        <w:ind w:left="0" w:firstLine="0"/>
        <w:rPr>
          <w:rFonts w:eastAsiaTheme="minorHAnsi" w:cstheme="minorBidi"/>
          <w:b/>
          <w:i/>
          <w:sz w:val="20"/>
          <w:szCs w:val="20"/>
          <w:lang w:val="en-US" w:eastAsia="en-US"/>
        </w:rPr>
      </w:pPr>
      <w:r w:rsidRPr="00CF6765">
        <w:rPr>
          <w:rFonts w:eastAsiaTheme="minorHAnsi" w:cstheme="minorBidi"/>
          <w:sz w:val="20"/>
          <w:szCs w:val="20"/>
          <w:lang w:val="en-US" w:eastAsia="en-US"/>
        </w:rPr>
        <w:t>The Court</w:t>
      </w:r>
      <w:r w:rsidR="00152F4C"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recalls that</w:t>
      </w:r>
      <w:r w:rsidR="00152F4C" w:rsidRPr="00CF6765">
        <w:rPr>
          <w:rFonts w:eastAsiaTheme="minorHAnsi" w:cstheme="minorBidi"/>
          <w:sz w:val="20"/>
          <w:szCs w:val="20"/>
          <w:lang w:val="en-US" w:eastAsia="en-US"/>
        </w:rPr>
        <w:t xml:space="preserve"> </w:t>
      </w:r>
      <w:r w:rsidR="00EC50FC" w:rsidRPr="00CF6765">
        <w:rPr>
          <w:rFonts w:eastAsiaTheme="minorHAnsi" w:cstheme="minorBidi"/>
          <w:sz w:val="20"/>
          <w:szCs w:val="20"/>
          <w:lang w:val="en-US" w:eastAsia="en-US"/>
        </w:rPr>
        <w:t>the State</w:t>
      </w:r>
      <w:r w:rsidR="00152F4C"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has already acknowledged</w:t>
      </w:r>
      <w:r w:rsidR="0088423A" w:rsidRPr="00CF6765">
        <w:rPr>
          <w:rFonts w:eastAsiaTheme="minorHAnsi" w:cstheme="minorBidi"/>
          <w:sz w:val="20"/>
          <w:szCs w:val="20"/>
          <w:lang w:val="en-US" w:eastAsia="en-US"/>
        </w:rPr>
        <w:t xml:space="preserve"> its</w:t>
      </w:r>
      <w:r w:rsidR="00152F4C" w:rsidRPr="00CF6765">
        <w:rPr>
          <w:rFonts w:eastAsiaTheme="minorHAnsi" w:cstheme="minorBidi"/>
          <w:sz w:val="20"/>
          <w:szCs w:val="20"/>
          <w:lang w:val="en-US" w:eastAsia="en-US"/>
        </w:rPr>
        <w:t xml:space="preserve"> respons</w:t>
      </w:r>
      <w:r w:rsidR="0090740B" w:rsidRPr="00CF6765">
        <w:rPr>
          <w:rFonts w:eastAsiaTheme="minorHAnsi" w:cstheme="minorBidi"/>
          <w:sz w:val="20"/>
          <w:szCs w:val="20"/>
          <w:lang w:val="en-US" w:eastAsia="en-US"/>
        </w:rPr>
        <w:t>ibility</w:t>
      </w:r>
      <w:r w:rsidR="00152F4C" w:rsidRPr="00CF6765">
        <w:rPr>
          <w:rFonts w:eastAsiaTheme="minorHAnsi" w:cstheme="minorBidi"/>
          <w:sz w:val="20"/>
          <w:szCs w:val="20"/>
          <w:lang w:val="en-US" w:eastAsia="en-US"/>
        </w:rPr>
        <w:t xml:space="preserve"> </w:t>
      </w:r>
      <w:r w:rsidR="009339F5" w:rsidRPr="00CF6765">
        <w:rPr>
          <w:rFonts w:eastAsiaTheme="minorHAnsi" w:cstheme="minorBidi"/>
          <w:sz w:val="20"/>
          <w:szCs w:val="20"/>
          <w:lang w:val="en-US" w:eastAsia="en-US"/>
        </w:rPr>
        <w:t>in relation to</w:t>
      </w:r>
      <w:r w:rsidR="00152F4C" w:rsidRPr="00CF6765">
        <w:rPr>
          <w:rFonts w:eastAsiaTheme="minorHAnsi" w:cstheme="minorBidi"/>
          <w:sz w:val="20"/>
          <w:szCs w:val="20"/>
          <w:lang w:val="en-US" w:eastAsia="en-US"/>
        </w:rPr>
        <w:t xml:space="preserve"> </w:t>
      </w:r>
      <w:r w:rsidR="003E3DD0" w:rsidRPr="00CF6765">
        <w:rPr>
          <w:rFonts w:eastAsiaTheme="minorHAnsi" w:cstheme="minorBidi"/>
          <w:sz w:val="20"/>
          <w:szCs w:val="20"/>
          <w:lang w:val="en-US" w:eastAsia="en-US"/>
        </w:rPr>
        <w:t xml:space="preserve">the </w:t>
      </w:r>
      <w:r w:rsidR="00AC6F62" w:rsidRPr="00CF6765">
        <w:rPr>
          <w:rFonts w:eastAsiaTheme="minorHAnsi" w:cstheme="minorBidi"/>
          <w:sz w:val="20"/>
          <w:szCs w:val="20"/>
          <w:lang w:val="en-US" w:eastAsia="en-US"/>
        </w:rPr>
        <w:t xml:space="preserve">failure to comply with the reasonable time, taking into account the delay of approximately 17 years in the investigation of this case without results </w:t>
      </w:r>
      <w:r w:rsidR="00152F4C" w:rsidRPr="00CF6765">
        <w:rPr>
          <w:rFonts w:eastAsiaTheme="minorHAnsi" w:cstheme="minorBidi"/>
          <w:sz w:val="20"/>
          <w:szCs w:val="20"/>
          <w:lang w:val="en-US" w:eastAsia="en-US"/>
        </w:rPr>
        <w:t>(</w:t>
      </w:r>
      <w:r w:rsidR="00062586" w:rsidRPr="00CF6765">
        <w:rPr>
          <w:rFonts w:eastAsiaTheme="minorHAnsi" w:cstheme="minorBidi"/>
          <w:i/>
          <w:sz w:val="20"/>
          <w:szCs w:val="20"/>
          <w:lang w:val="en-US" w:eastAsia="en-US"/>
        </w:rPr>
        <w:t>supra</w:t>
      </w:r>
      <w:r w:rsidR="00152F4C" w:rsidRPr="00CF6765">
        <w:rPr>
          <w:rFonts w:eastAsiaTheme="minorHAnsi" w:cstheme="minorBidi"/>
          <w:sz w:val="20"/>
          <w:szCs w:val="20"/>
          <w:lang w:val="en-US" w:eastAsia="en-US"/>
        </w:rPr>
        <w:t xml:space="preserve"> </w:t>
      </w:r>
      <w:r w:rsidR="00EC50FC" w:rsidRPr="00CF6765">
        <w:rPr>
          <w:rFonts w:eastAsiaTheme="minorHAnsi" w:cstheme="minorBidi"/>
          <w:sz w:val="20"/>
          <w:szCs w:val="20"/>
          <w:lang w:val="en-US" w:eastAsia="en-US"/>
        </w:rPr>
        <w:t>para.</w:t>
      </w:r>
      <w:r w:rsidR="00152F4C" w:rsidRPr="00CF6765">
        <w:rPr>
          <w:rFonts w:eastAsiaTheme="minorHAnsi" w:cstheme="minorBidi"/>
          <w:sz w:val="20"/>
          <w:szCs w:val="20"/>
          <w:lang w:val="en-US" w:eastAsia="en-US"/>
        </w:rPr>
        <w:t xml:space="preserve"> </w:t>
      </w:r>
      <w:r w:rsidR="00974D1E" w:rsidRPr="00CF6765">
        <w:rPr>
          <w:rFonts w:eastAsiaTheme="minorHAnsi" w:cstheme="minorBidi"/>
          <w:sz w:val="20"/>
          <w:szCs w:val="20"/>
          <w:lang w:val="en-US" w:eastAsia="en-US"/>
        </w:rPr>
        <w:t xml:space="preserve">16). </w:t>
      </w:r>
      <w:r w:rsidR="00AC6F62" w:rsidRPr="00CF6765">
        <w:rPr>
          <w:rFonts w:eastAsiaTheme="minorHAnsi" w:cstheme="minorBidi"/>
          <w:sz w:val="20"/>
          <w:szCs w:val="20"/>
          <w:lang w:val="en-US" w:eastAsia="en-US"/>
        </w:rPr>
        <w:t>The</w:t>
      </w:r>
      <w:r w:rsidRPr="00CF6765">
        <w:rPr>
          <w:rFonts w:eastAsiaTheme="minorHAnsi" w:cstheme="minorBidi"/>
          <w:sz w:val="20"/>
          <w:szCs w:val="20"/>
          <w:lang w:val="en-US" w:eastAsia="en-US"/>
        </w:rPr>
        <w:t xml:space="preserve"> Court</w:t>
      </w:r>
      <w:r w:rsidR="00152F4C" w:rsidRPr="00CF6765">
        <w:rPr>
          <w:rFonts w:eastAsiaTheme="minorHAnsi" w:cstheme="minorBidi"/>
          <w:sz w:val="20"/>
          <w:szCs w:val="20"/>
          <w:lang w:val="en-US" w:eastAsia="en-US"/>
        </w:rPr>
        <w:t xml:space="preserve"> not</w:t>
      </w:r>
      <w:r w:rsidR="00AC6F62" w:rsidRPr="00CF6765">
        <w:rPr>
          <w:rFonts w:eastAsiaTheme="minorHAnsi" w:cstheme="minorBidi"/>
          <w:sz w:val="20"/>
          <w:szCs w:val="20"/>
          <w:lang w:val="en-US" w:eastAsia="en-US"/>
        </w:rPr>
        <w:t>es that the dispute has ceased in this regard</w:t>
      </w:r>
      <w:r w:rsidR="00152F4C"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 xml:space="preserve">Consequently, the Court will now refer to alleged violation of </w:t>
      </w:r>
      <w:r w:rsidRPr="00CF6765">
        <w:rPr>
          <w:rFonts w:eastAsiaTheme="minorHAnsi" w:cstheme="minorBidi"/>
          <w:sz w:val="20"/>
          <w:szCs w:val="20"/>
          <w:lang w:val="en-US" w:eastAsia="en-US"/>
        </w:rPr>
        <w:t>Articles</w:t>
      </w:r>
      <w:r w:rsidR="00E67349" w:rsidRPr="00CF6765">
        <w:rPr>
          <w:rFonts w:eastAsiaTheme="minorHAnsi" w:cstheme="minorBidi"/>
          <w:sz w:val="20"/>
          <w:szCs w:val="20"/>
          <w:lang w:val="en-US" w:eastAsia="en-US"/>
        </w:rPr>
        <w:t xml:space="preserve"> 8</w:t>
      </w:r>
      <w:r w:rsidR="00EC50FC" w:rsidRPr="00CF6765">
        <w:rPr>
          <w:rFonts w:eastAsiaTheme="minorHAnsi" w:cstheme="minorBidi"/>
          <w:sz w:val="20"/>
          <w:szCs w:val="20"/>
          <w:lang w:val="en-US" w:eastAsia="en-US"/>
        </w:rPr>
        <w:t xml:space="preserve"> and </w:t>
      </w:r>
      <w:r w:rsidR="00E67349" w:rsidRPr="00CF6765">
        <w:rPr>
          <w:rFonts w:eastAsiaTheme="minorHAnsi" w:cstheme="minorBidi"/>
          <w:sz w:val="20"/>
          <w:szCs w:val="20"/>
          <w:lang w:val="en-US" w:eastAsia="en-US"/>
        </w:rPr>
        <w:t>25</w:t>
      </w:r>
      <w:r w:rsidRPr="00CF6765">
        <w:rPr>
          <w:rFonts w:eastAsiaTheme="minorHAnsi" w:cstheme="minorBidi"/>
          <w:sz w:val="20"/>
          <w:szCs w:val="20"/>
          <w:lang w:val="en-US" w:eastAsia="en-US"/>
        </w:rPr>
        <w:t xml:space="preserve"> of the American Convention</w:t>
      </w:r>
      <w:r w:rsidR="00AC6F62" w:rsidRPr="00CF6765">
        <w:rPr>
          <w:rFonts w:eastAsiaTheme="minorHAnsi" w:cstheme="minorBidi"/>
          <w:sz w:val="20"/>
          <w:szCs w:val="20"/>
          <w:lang w:val="en-US" w:eastAsia="en-US"/>
        </w:rPr>
        <w:t xml:space="preserve"> owing to the alleged violation of the rights to</w:t>
      </w:r>
      <w:r w:rsidR="00E67349" w:rsidRPr="00CF6765">
        <w:rPr>
          <w:rFonts w:eastAsiaTheme="minorHAnsi" w:cstheme="minorBidi"/>
          <w:sz w:val="20"/>
          <w:szCs w:val="20"/>
          <w:lang w:val="en-US" w:eastAsia="en-US"/>
        </w:rPr>
        <w:t xml:space="preserve">: </w:t>
      </w:r>
      <w:r w:rsidR="00AC6F62" w:rsidRPr="00CF6765">
        <w:rPr>
          <w:rFonts w:eastAsiaTheme="minorHAnsi" w:cstheme="minorBidi"/>
          <w:sz w:val="20"/>
          <w:szCs w:val="20"/>
          <w:lang w:val="en-US" w:eastAsia="en-US"/>
        </w:rPr>
        <w:t>(</w:t>
      </w:r>
      <w:r w:rsidR="00E67349" w:rsidRPr="00CF6765">
        <w:rPr>
          <w:rFonts w:eastAsiaTheme="minorHAnsi" w:cstheme="minorBidi"/>
          <w:sz w:val="20"/>
          <w:szCs w:val="20"/>
          <w:lang w:val="en-US" w:eastAsia="en-US"/>
        </w:rPr>
        <w:t xml:space="preserve">1) </w:t>
      </w:r>
      <w:r w:rsidR="00497BFB" w:rsidRPr="00CF6765">
        <w:rPr>
          <w:rFonts w:eastAsiaTheme="minorHAnsi" w:cstheme="minorBidi"/>
          <w:sz w:val="20"/>
          <w:szCs w:val="20"/>
          <w:lang w:val="en-US" w:eastAsia="en-US"/>
        </w:rPr>
        <w:t>due diligence</w:t>
      </w:r>
      <w:r w:rsidR="00EC50FC" w:rsidRPr="00CF6765">
        <w:rPr>
          <w:rFonts w:eastAsiaTheme="minorHAnsi" w:cstheme="minorBidi"/>
          <w:sz w:val="20"/>
          <w:szCs w:val="20"/>
          <w:lang w:val="en-US" w:eastAsia="en-US"/>
        </w:rPr>
        <w:t xml:space="preserve"> and </w:t>
      </w:r>
      <w:r w:rsidR="00AC6F62" w:rsidRPr="00CF6765">
        <w:rPr>
          <w:rFonts w:eastAsiaTheme="minorHAnsi" w:cstheme="minorBidi"/>
          <w:sz w:val="20"/>
          <w:szCs w:val="20"/>
          <w:lang w:val="en-US" w:eastAsia="en-US"/>
        </w:rPr>
        <w:t>(</w:t>
      </w:r>
      <w:r w:rsidR="00152F4C" w:rsidRPr="00CF6765">
        <w:rPr>
          <w:rFonts w:eastAsiaTheme="minorHAnsi" w:cstheme="minorBidi"/>
          <w:sz w:val="20"/>
          <w:szCs w:val="20"/>
          <w:lang w:val="en-US" w:eastAsia="en-US"/>
        </w:rPr>
        <w:t>2</w:t>
      </w:r>
      <w:r w:rsidR="00E67349" w:rsidRPr="00CF6765">
        <w:rPr>
          <w:rFonts w:eastAsiaTheme="minorHAnsi" w:cstheme="minorBidi"/>
          <w:sz w:val="20"/>
          <w:szCs w:val="20"/>
          <w:lang w:val="en-US" w:eastAsia="en-US"/>
        </w:rPr>
        <w:t xml:space="preserve">) </w:t>
      </w:r>
      <w:r w:rsidR="00497BFB" w:rsidRPr="00CF6765">
        <w:rPr>
          <w:rFonts w:eastAsiaTheme="minorHAnsi" w:cstheme="minorBidi"/>
          <w:sz w:val="20"/>
          <w:szCs w:val="20"/>
          <w:lang w:val="en-US" w:eastAsia="en-US"/>
        </w:rPr>
        <w:t>judicial impartiality</w:t>
      </w:r>
      <w:r w:rsidR="00E67349" w:rsidRPr="00CF6765">
        <w:rPr>
          <w:rFonts w:eastAsiaTheme="minorHAnsi" w:cstheme="minorBidi"/>
          <w:sz w:val="20"/>
          <w:szCs w:val="20"/>
          <w:lang w:val="en-US" w:eastAsia="en-US"/>
        </w:rPr>
        <w:t xml:space="preserve">.  </w:t>
      </w:r>
    </w:p>
    <w:p w14:paraId="3512FD1D" w14:textId="77777777" w:rsidR="00E67349" w:rsidRPr="00CF6765" w:rsidRDefault="00E67349" w:rsidP="000D4A1F">
      <w:pPr>
        <w:tabs>
          <w:tab w:val="left" w:pos="567"/>
          <w:tab w:val="num" w:pos="12305"/>
        </w:tabs>
        <w:rPr>
          <w:rFonts w:eastAsiaTheme="minorHAnsi" w:cstheme="minorBidi"/>
          <w:b/>
          <w:i/>
          <w:sz w:val="20"/>
          <w:szCs w:val="20"/>
          <w:lang w:val="en-US" w:eastAsia="en-US"/>
        </w:rPr>
      </w:pPr>
    </w:p>
    <w:p w14:paraId="348510D0" w14:textId="571A6CFB" w:rsidR="00E67349" w:rsidRPr="00CF6765" w:rsidRDefault="00E67349" w:rsidP="00225E59">
      <w:pPr>
        <w:pStyle w:val="Ttulo3"/>
        <w:rPr>
          <w:b/>
          <w:lang w:val="en-US"/>
        </w:rPr>
      </w:pPr>
      <w:bookmarkStart w:id="91" w:name="_Toc47864390"/>
      <w:r w:rsidRPr="00CF6765">
        <w:rPr>
          <w:b/>
          <w:lang w:val="en-US"/>
        </w:rPr>
        <w:t xml:space="preserve">1. </w:t>
      </w:r>
      <w:r w:rsidR="000651D7" w:rsidRPr="00CF6765">
        <w:rPr>
          <w:b/>
          <w:lang w:val="en-US"/>
        </w:rPr>
        <w:t>On</w:t>
      </w:r>
      <w:r w:rsidR="00497BFB" w:rsidRPr="00CF6765">
        <w:rPr>
          <w:b/>
          <w:lang w:val="en-US"/>
        </w:rPr>
        <w:t xml:space="preserve"> due diligence</w:t>
      </w:r>
      <w:bookmarkEnd w:id="91"/>
    </w:p>
    <w:p w14:paraId="6FE2C148" w14:textId="77777777" w:rsidR="000D4A1F" w:rsidRPr="00CF6765" w:rsidRDefault="000D4A1F" w:rsidP="00B47F91">
      <w:pPr>
        <w:rPr>
          <w:i/>
          <w:sz w:val="20"/>
          <w:szCs w:val="20"/>
          <w:lang w:val="en-US" w:eastAsia="en-US"/>
        </w:rPr>
      </w:pPr>
    </w:p>
    <w:p w14:paraId="691DD4D0" w14:textId="11008E51" w:rsidR="00E67349" w:rsidRPr="00CF6765" w:rsidRDefault="00497BFB" w:rsidP="000D4A1F">
      <w:pPr>
        <w:numPr>
          <w:ilvl w:val="0"/>
          <w:numId w:val="2"/>
        </w:numPr>
        <w:tabs>
          <w:tab w:val="left" w:pos="567"/>
          <w:tab w:val="num" w:pos="1569"/>
          <w:tab w:val="num" w:pos="12305"/>
        </w:tabs>
        <w:ind w:left="0" w:firstLine="0"/>
        <w:rPr>
          <w:rFonts w:eastAsiaTheme="minorHAnsi" w:cstheme="minorBidi"/>
          <w:sz w:val="20"/>
          <w:szCs w:val="20"/>
          <w:lang w:val="en-US" w:eastAsia="en-US"/>
        </w:rPr>
      </w:pPr>
      <w:r w:rsidRPr="00CF6765">
        <w:rPr>
          <w:rFonts w:eastAsiaTheme="minorHAnsi" w:cstheme="minorBidi"/>
          <w:sz w:val="20"/>
          <w:szCs w:val="20"/>
          <w:lang w:val="en-US" w:eastAsia="en-US"/>
        </w:rPr>
        <w:t xml:space="preserve">This Court has asserted that </w:t>
      </w:r>
      <w:r w:rsidR="005F6F63" w:rsidRPr="00CF6765">
        <w:rPr>
          <w:rFonts w:eastAsiaTheme="minorHAnsi" w:cstheme="minorBidi"/>
          <w:sz w:val="20"/>
          <w:szCs w:val="20"/>
          <w:lang w:val="en-US" w:eastAsia="en-US"/>
        </w:rPr>
        <w:t>judicial protection</w:t>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 xml:space="preserve">is one of the basic pillars </w:t>
      </w:r>
      <w:r w:rsidR="005C731C" w:rsidRPr="00CF6765">
        <w:rPr>
          <w:rFonts w:eastAsiaTheme="minorHAnsi" w:cstheme="minorBidi"/>
          <w:sz w:val="20"/>
          <w:szCs w:val="20"/>
          <w:lang w:val="en-US" w:eastAsia="en-US"/>
        </w:rPr>
        <w:t>of the American Convention</w:t>
      </w:r>
      <w:r w:rsidR="00EC50FC" w:rsidRPr="00CF6765">
        <w:rPr>
          <w:rFonts w:eastAsiaTheme="minorHAnsi" w:cstheme="minorBidi"/>
          <w:sz w:val="20"/>
          <w:szCs w:val="20"/>
          <w:lang w:val="en-US" w:eastAsia="en-US"/>
        </w:rPr>
        <w:t xml:space="preserve"> and </w:t>
      </w:r>
      <w:r w:rsidRPr="00CF6765">
        <w:rPr>
          <w:rFonts w:eastAsiaTheme="minorHAnsi" w:cstheme="minorBidi"/>
          <w:sz w:val="20"/>
          <w:szCs w:val="20"/>
          <w:lang w:val="en-US" w:eastAsia="en-US"/>
        </w:rPr>
        <w:t>of the rule of law itself in a democratic society.”</w:t>
      </w:r>
      <w:r w:rsidR="00E67349" w:rsidRPr="00CF6765">
        <w:rPr>
          <w:rFonts w:eastAsiaTheme="minorHAnsi" w:cstheme="minorBidi"/>
          <w:sz w:val="20"/>
          <w:szCs w:val="20"/>
          <w:vertAlign w:val="superscript"/>
          <w:lang w:val="en-US" w:eastAsia="en-US"/>
        </w:rPr>
        <w:footnoteReference w:id="271"/>
      </w:r>
      <w:r w:rsidR="00E67349" w:rsidRPr="00CF6765">
        <w:rPr>
          <w:rFonts w:eastAsiaTheme="minorHAnsi" w:cstheme="minorBidi"/>
          <w:sz w:val="20"/>
          <w:szCs w:val="20"/>
          <w:lang w:val="en-US" w:eastAsia="en-US"/>
        </w:rPr>
        <w:t xml:space="preserve"> </w:t>
      </w:r>
      <w:r w:rsidR="005C731C" w:rsidRPr="00CF6765">
        <w:rPr>
          <w:rFonts w:eastAsiaTheme="minorHAnsi" w:cstheme="minorBidi"/>
          <w:sz w:val="20"/>
          <w:szCs w:val="20"/>
          <w:lang w:val="en-US" w:eastAsia="en-US"/>
        </w:rPr>
        <w:t>The Court</w:t>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has</w:t>
      </w:r>
      <w:r w:rsidR="0062306D" w:rsidRPr="00CF6765">
        <w:rPr>
          <w:rFonts w:eastAsiaTheme="minorHAnsi" w:cstheme="minorBidi"/>
          <w:sz w:val="20"/>
          <w:szCs w:val="20"/>
          <w:lang w:val="en-US" w:eastAsia="en-US"/>
        </w:rPr>
        <w:t xml:space="preserve"> also</w:t>
      </w:r>
      <w:r w:rsidRPr="00CF6765">
        <w:rPr>
          <w:rFonts w:eastAsiaTheme="minorHAnsi" w:cstheme="minorBidi"/>
          <w:sz w:val="20"/>
          <w:szCs w:val="20"/>
          <w:lang w:val="en-US" w:eastAsia="en-US"/>
        </w:rPr>
        <w:t xml:space="preserve"> indicated </w:t>
      </w:r>
      <w:r w:rsidRPr="00CF6765">
        <w:rPr>
          <w:rFonts w:eastAsiaTheme="minorHAnsi" w:cstheme="minorBidi"/>
          <w:sz w:val="20"/>
          <w:szCs w:val="20"/>
          <w:lang w:val="en-US" w:eastAsia="en-US"/>
        </w:rPr>
        <w:lastRenderedPageBreak/>
        <w:t>that</w:t>
      </w:r>
      <w:r w:rsidR="00E67349" w:rsidRPr="00CF6765">
        <w:rPr>
          <w:rFonts w:eastAsiaTheme="minorHAnsi" w:cstheme="minorBidi"/>
          <w:sz w:val="20"/>
          <w:szCs w:val="20"/>
          <w:lang w:val="en-US" w:eastAsia="en-US"/>
        </w:rPr>
        <w:t xml:space="preserve"> “</w:t>
      </w:r>
      <w:r w:rsidR="005C731C" w:rsidRPr="00CF6765">
        <w:rPr>
          <w:rFonts w:eastAsiaTheme="minorHAnsi" w:cstheme="minorBidi"/>
          <w:sz w:val="20"/>
          <w:szCs w:val="20"/>
          <w:lang w:val="en-US" w:eastAsia="en-US"/>
        </w:rPr>
        <w:t>Articles</w:t>
      </w:r>
      <w:r w:rsidR="00E67349" w:rsidRPr="00CF6765">
        <w:rPr>
          <w:rFonts w:eastAsiaTheme="minorHAnsi" w:cstheme="minorBidi"/>
          <w:sz w:val="20"/>
          <w:szCs w:val="20"/>
          <w:lang w:val="en-US" w:eastAsia="en-US"/>
        </w:rPr>
        <w:t xml:space="preserve"> 8</w:t>
      </w:r>
      <w:r w:rsidR="00EC50FC" w:rsidRPr="00CF6765">
        <w:rPr>
          <w:rFonts w:eastAsiaTheme="minorHAnsi" w:cstheme="minorBidi"/>
          <w:sz w:val="20"/>
          <w:szCs w:val="20"/>
          <w:lang w:val="en-US" w:eastAsia="en-US"/>
        </w:rPr>
        <w:t xml:space="preserve"> and </w:t>
      </w:r>
      <w:r w:rsidR="00E67349" w:rsidRPr="00CF6765">
        <w:rPr>
          <w:rFonts w:eastAsiaTheme="minorHAnsi" w:cstheme="minorBidi"/>
          <w:sz w:val="20"/>
          <w:szCs w:val="20"/>
          <w:lang w:val="en-US" w:eastAsia="en-US"/>
        </w:rPr>
        <w:t>25</w:t>
      </w:r>
      <w:r w:rsidR="005C731C" w:rsidRPr="00CF6765">
        <w:rPr>
          <w:rFonts w:eastAsiaTheme="minorHAnsi" w:cstheme="minorBidi"/>
          <w:sz w:val="20"/>
          <w:szCs w:val="20"/>
          <w:lang w:val="en-US" w:eastAsia="en-US"/>
        </w:rPr>
        <w:t xml:space="preserve"> of the Convention</w:t>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establish</w:t>
      </w:r>
      <w:r w:rsidR="00E67349" w:rsidRPr="00CF6765">
        <w:rPr>
          <w:rFonts w:eastAsiaTheme="minorHAnsi" w:cstheme="minorBidi"/>
          <w:sz w:val="20"/>
          <w:szCs w:val="20"/>
          <w:lang w:val="en-US" w:eastAsia="en-US"/>
        </w:rPr>
        <w:t xml:space="preserve"> </w:t>
      </w:r>
      <w:r w:rsidR="00DE6950" w:rsidRPr="00CF6765">
        <w:rPr>
          <w:rFonts w:eastAsiaTheme="minorHAnsi" w:cstheme="minorBidi"/>
          <w:sz w:val="20"/>
          <w:szCs w:val="20"/>
          <w:lang w:val="en-US" w:eastAsia="en-US"/>
        </w:rPr>
        <w:t>the right</w:t>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of access to justice, an imperative norm of international law.”</w:t>
      </w:r>
      <w:r w:rsidR="00E67349" w:rsidRPr="00CF6765">
        <w:rPr>
          <w:rFonts w:eastAsiaTheme="minorHAnsi" w:cstheme="minorBidi"/>
          <w:sz w:val="20"/>
          <w:szCs w:val="20"/>
          <w:vertAlign w:val="superscript"/>
          <w:lang w:val="en-US" w:eastAsia="en-US"/>
        </w:rPr>
        <w:footnoteReference w:id="272"/>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 xml:space="preserve">In addition, the principle of effective judicial protection </w:t>
      </w:r>
      <w:r w:rsidR="0090740B" w:rsidRPr="00CF6765">
        <w:rPr>
          <w:rFonts w:eastAsiaTheme="minorHAnsi" w:cstheme="minorBidi"/>
          <w:sz w:val="20"/>
          <w:szCs w:val="20"/>
          <w:lang w:val="en-US" w:eastAsia="en-US"/>
        </w:rPr>
        <w:t>requires</w:t>
      </w:r>
      <w:r w:rsidRPr="00CF6765">
        <w:rPr>
          <w:rFonts w:eastAsiaTheme="minorHAnsi" w:cstheme="minorBidi"/>
          <w:sz w:val="20"/>
          <w:szCs w:val="20"/>
          <w:lang w:val="en-US" w:eastAsia="en-US"/>
        </w:rPr>
        <w:t xml:space="preserve"> that judicial proceedings must be accessible to the parties, without obstacles or undue delays, in order to achieve their purpose in a prompt, simple and comprehensive manner.</w:t>
      </w:r>
      <w:r w:rsidR="00E67349" w:rsidRPr="00CF6765">
        <w:rPr>
          <w:rFonts w:eastAsiaTheme="minorHAnsi" w:cstheme="minorBidi"/>
          <w:sz w:val="20"/>
          <w:szCs w:val="20"/>
          <w:vertAlign w:val="superscript"/>
          <w:lang w:val="en-US" w:eastAsia="en-US"/>
        </w:rPr>
        <w:footnoteReference w:id="273"/>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Added to this, the Court has indicated that</w:t>
      </w:r>
      <w:r w:rsidR="00E67349" w:rsidRPr="00CF6765">
        <w:rPr>
          <w:rFonts w:eastAsiaTheme="minorHAnsi" w:cstheme="minorBidi"/>
          <w:sz w:val="20"/>
          <w:szCs w:val="20"/>
          <w:lang w:val="en-US" w:eastAsia="en-US"/>
        </w:rPr>
        <w:t xml:space="preserve"> </w:t>
      </w:r>
      <w:r w:rsidR="005C731C" w:rsidRPr="00CF6765">
        <w:rPr>
          <w:rFonts w:eastAsiaTheme="minorHAnsi" w:cstheme="minorBidi"/>
          <w:sz w:val="20"/>
          <w:szCs w:val="20"/>
          <w:lang w:val="en-US" w:eastAsia="en-US"/>
        </w:rPr>
        <w:t>Article</w:t>
      </w:r>
      <w:r w:rsidR="00E67349" w:rsidRPr="00CF6765">
        <w:rPr>
          <w:rFonts w:eastAsiaTheme="minorHAnsi" w:cstheme="minorBidi"/>
          <w:sz w:val="20"/>
          <w:szCs w:val="20"/>
          <w:lang w:val="en-US" w:eastAsia="en-US"/>
        </w:rPr>
        <w:t xml:space="preserve"> 2</w:t>
      </w:r>
      <w:r w:rsidR="00D2168F" w:rsidRPr="00CF6765">
        <w:rPr>
          <w:rFonts w:eastAsiaTheme="minorHAnsi" w:cstheme="minorBidi"/>
          <w:sz w:val="20"/>
          <w:szCs w:val="20"/>
          <w:lang w:val="en-US" w:eastAsia="en-US"/>
        </w:rPr>
        <w:t>5(1)</w:t>
      </w:r>
      <w:r w:rsidR="005C731C" w:rsidRPr="00CF6765">
        <w:rPr>
          <w:rFonts w:eastAsiaTheme="minorHAnsi" w:cstheme="minorBidi"/>
          <w:sz w:val="20"/>
          <w:szCs w:val="20"/>
          <w:lang w:val="en-US" w:eastAsia="en-US"/>
        </w:rPr>
        <w:t xml:space="preserve"> of the </w:t>
      </w:r>
      <w:r w:rsidR="0090740B" w:rsidRPr="00CF6765">
        <w:rPr>
          <w:rFonts w:eastAsiaTheme="minorHAnsi" w:cstheme="minorBidi"/>
          <w:sz w:val="20"/>
          <w:szCs w:val="20"/>
          <w:lang w:val="en-US" w:eastAsia="en-US"/>
        </w:rPr>
        <w:t>Convention</w:t>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 xml:space="preserve">establishes the obligation of the States Parties to ensure to all persons subject to their </w:t>
      </w:r>
      <w:r w:rsidR="0090740B" w:rsidRPr="00CF6765">
        <w:rPr>
          <w:rFonts w:eastAsiaTheme="minorHAnsi" w:cstheme="minorBidi"/>
          <w:sz w:val="20"/>
          <w:szCs w:val="20"/>
          <w:lang w:val="en-US" w:eastAsia="en-US"/>
        </w:rPr>
        <w:t>jurisdiction</w:t>
      </w:r>
      <w:r w:rsidRPr="00CF6765">
        <w:rPr>
          <w:rFonts w:eastAsiaTheme="minorHAnsi" w:cstheme="minorBidi"/>
          <w:sz w:val="20"/>
          <w:szCs w:val="20"/>
          <w:lang w:val="en-US" w:eastAsia="en-US"/>
        </w:rPr>
        <w:t xml:space="preserve"> an effective judicial remedy against acts that violate their fundamental rights</w:t>
      </w:r>
      <w:r w:rsidR="00E67349" w:rsidRPr="00CF6765">
        <w:rPr>
          <w:rFonts w:eastAsiaTheme="minorHAnsi" w:cstheme="minorBidi"/>
          <w:sz w:val="20"/>
          <w:szCs w:val="20"/>
          <w:vertAlign w:val="superscript"/>
          <w:lang w:val="en-US" w:eastAsia="en-US"/>
        </w:rPr>
        <w:footnoteReference w:id="274"/>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recognized in</w:t>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the Constitution</w:t>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the law or</w:t>
      </w:r>
      <w:r w:rsidR="00E67349" w:rsidRPr="00CF6765">
        <w:rPr>
          <w:rFonts w:eastAsiaTheme="minorHAnsi" w:cstheme="minorBidi"/>
          <w:sz w:val="20"/>
          <w:szCs w:val="20"/>
          <w:lang w:val="en-US" w:eastAsia="en-US"/>
        </w:rPr>
        <w:t xml:space="preserve"> </w:t>
      </w:r>
      <w:r w:rsidR="005C731C" w:rsidRPr="00CF6765">
        <w:rPr>
          <w:rFonts w:eastAsiaTheme="minorHAnsi" w:cstheme="minorBidi"/>
          <w:sz w:val="20"/>
          <w:szCs w:val="20"/>
          <w:lang w:val="en-US" w:eastAsia="en-US"/>
        </w:rPr>
        <w:t>the Convention</w:t>
      </w:r>
      <w:r w:rsidRPr="00CF6765">
        <w:rPr>
          <w:rFonts w:eastAsiaTheme="minorHAnsi" w:cstheme="minorBidi"/>
          <w:sz w:val="20"/>
          <w:szCs w:val="20"/>
          <w:lang w:val="en-US" w:eastAsia="en-US"/>
        </w:rPr>
        <w:t>.</w:t>
      </w:r>
      <w:r w:rsidR="00E67349" w:rsidRPr="00CF6765">
        <w:rPr>
          <w:rFonts w:eastAsiaTheme="minorHAnsi" w:cstheme="minorBidi"/>
          <w:sz w:val="20"/>
          <w:szCs w:val="20"/>
          <w:vertAlign w:val="superscript"/>
          <w:lang w:val="en-US" w:eastAsia="en-US"/>
        </w:rPr>
        <w:footnoteReference w:id="275"/>
      </w:r>
      <w:r w:rsidR="00E67349" w:rsidRPr="00CF6765">
        <w:rPr>
          <w:rFonts w:eastAsiaTheme="minorHAnsi" w:cstheme="minorBidi"/>
          <w:sz w:val="20"/>
          <w:szCs w:val="20"/>
          <w:lang w:val="en-US" w:eastAsia="en-US"/>
        </w:rPr>
        <w:t xml:space="preserve"> </w:t>
      </w:r>
    </w:p>
    <w:p w14:paraId="387A1624" w14:textId="77777777" w:rsidR="00E67349" w:rsidRPr="00CF6765" w:rsidRDefault="00E67349" w:rsidP="000D4A1F">
      <w:pPr>
        <w:tabs>
          <w:tab w:val="left" w:pos="0"/>
        </w:tabs>
        <w:contextualSpacing/>
        <w:rPr>
          <w:rFonts w:eastAsiaTheme="minorHAnsi" w:cs="Times"/>
          <w:sz w:val="20"/>
          <w:szCs w:val="20"/>
          <w:lang w:val="en-US" w:eastAsia="en-US"/>
        </w:rPr>
      </w:pPr>
    </w:p>
    <w:p w14:paraId="3EB0301B" w14:textId="657AC559" w:rsidR="00E67349" w:rsidRPr="00CF6765" w:rsidRDefault="00497BFB" w:rsidP="00B47F91">
      <w:pPr>
        <w:numPr>
          <w:ilvl w:val="0"/>
          <w:numId w:val="2"/>
        </w:numPr>
        <w:tabs>
          <w:tab w:val="left" w:pos="567"/>
          <w:tab w:val="num" w:pos="1569"/>
          <w:tab w:val="num" w:pos="12305"/>
        </w:tabs>
        <w:ind w:left="0" w:firstLine="0"/>
        <w:rPr>
          <w:rFonts w:eastAsiaTheme="minorHAnsi" w:cs="Times"/>
          <w:sz w:val="20"/>
          <w:szCs w:val="20"/>
          <w:lang w:val="en-US" w:eastAsia="en-US"/>
        </w:rPr>
      </w:pPr>
      <w:r w:rsidRPr="00CF6765">
        <w:rPr>
          <w:rFonts w:eastAsiaTheme="minorHAnsi" w:cstheme="minorBidi"/>
          <w:sz w:val="20"/>
          <w:szCs w:val="20"/>
          <w:lang w:val="en-US" w:eastAsia="en-US"/>
        </w:rPr>
        <w:t xml:space="preserve">Furthermore, the Court has consistently indicated that the obligation to investigate is an obligation of means and not of results, that must be </w:t>
      </w:r>
      <w:r w:rsidR="00B47F91" w:rsidRPr="00CF6765">
        <w:rPr>
          <w:rFonts w:eastAsiaTheme="minorHAnsi" w:cstheme="minorBidi"/>
          <w:sz w:val="20"/>
          <w:szCs w:val="20"/>
          <w:lang w:val="en-US" w:eastAsia="en-US"/>
        </w:rPr>
        <w:t>undertaken</w:t>
      </w:r>
      <w:r w:rsidRPr="00CF6765">
        <w:rPr>
          <w:rFonts w:eastAsiaTheme="minorHAnsi" w:cstheme="minorBidi"/>
          <w:sz w:val="20"/>
          <w:szCs w:val="20"/>
          <w:lang w:val="en-US" w:eastAsia="en-US"/>
        </w:rPr>
        <w:t xml:space="preserve"> by the State as its inherent legal duty and not as a mere formality</w:t>
      </w:r>
      <w:r w:rsidR="00B47F91" w:rsidRPr="00CF6765">
        <w:rPr>
          <w:rFonts w:eastAsiaTheme="minorHAnsi" w:cstheme="minorBidi"/>
          <w:sz w:val="20"/>
          <w:szCs w:val="20"/>
          <w:lang w:val="en-US" w:eastAsia="en-US"/>
        </w:rPr>
        <w:t xml:space="preserve"> preordained to </w:t>
      </w:r>
      <w:r w:rsidRPr="00CF6765">
        <w:rPr>
          <w:rFonts w:eastAsiaTheme="minorHAnsi" w:cstheme="minorBidi"/>
          <w:sz w:val="20"/>
          <w:szCs w:val="20"/>
          <w:lang w:val="en-US" w:eastAsia="en-US"/>
        </w:rPr>
        <w:t>be i</w:t>
      </w:r>
      <w:r w:rsidR="00B47F91" w:rsidRPr="00CF6765">
        <w:rPr>
          <w:rFonts w:eastAsiaTheme="minorHAnsi" w:cstheme="minorBidi"/>
          <w:sz w:val="20"/>
          <w:szCs w:val="20"/>
          <w:lang w:val="en-US" w:eastAsia="en-US"/>
        </w:rPr>
        <w:t>neffective</w:t>
      </w:r>
      <w:r w:rsidR="00E67349" w:rsidRPr="00CF6765">
        <w:rPr>
          <w:rFonts w:eastAsiaTheme="minorHAnsi" w:cstheme="minorBidi"/>
          <w:sz w:val="20"/>
          <w:szCs w:val="20"/>
          <w:lang w:val="en-US" w:eastAsia="en-US"/>
        </w:rPr>
        <w:t>, o</w:t>
      </w:r>
      <w:r w:rsidRPr="00CF6765">
        <w:rPr>
          <w:rFonts w:eastAsiaTheme="minorHAnsi" w:cstheme="minorBidi"/>
          <w:sz w:val="20"/>
          <w:szCs w:val="20"/>
          <w:lang w:val="en-US" w:eastAsia="en-US"/>
        </w:rPr>
        <w:t>r as a</w:t>
      </w:r>
      <w:r w:rsidR="00B47F91" w:rsidRPr="00CF6765">
        <w:rPr>
          <w:rFonts w:eastAsiaTheme="minorHAnsi" w:cstheme="minorBidi"/>
          <w:sz w:val="20"/>
          <w:szCs w:val="20"/>
          <w:lang w:val="en-US" w:eastAsia="en-US"/>
        </w:rPr>
        <w:t xml:space="preserve"> step taken </w:t>
      </w:r>
      <w:r w:rsidR="0090740B" w:rsidRPr="00CF6765">
        <w:rPr>
          <w:rFonts w:eastAsiaTheme="minorHAnsi" w:cstheme="minorBidi"/>
          <w:sz w:val="20"/>
          <w:szCs w:val="20"/>
          <w:lang w:val="en-US" w:eastAsia="en-US"/>
        </w:rPr>
        <w:t>by private</w:t>
      </w:r>
      <w:r w:rsidR="00B47F91" w:rsidRPr="00CF6765">
        <w:rPr>
          <w:rFonts w:eastAsiaTheme="minorHAnsi" w:cstheme="minorBidi"/>
          <w:sz w:val="20"/>
          <w:szCs w:val="20"/>
          <w:lang w:val="en-US" w:eastAsia="en-US"/>
        </w:rPr>
        <w:t xml:space="preserve"> interests that depends upon the procedural initiative of the victims or their </w:t>
      </w:r>
      <w:r w:rsidR="008F31F2" w:rsidRPr="00CF6765">
        <w:rPr>
          <w:rFonts w:eastAsiaTheme="minorHAnsi" w:cstheme="minorBidi"/>
          <w:sz w:val="20"/>
          <w:szCs w:val="20"/>
          <w:lang w:val="en-US" w:eastAsia="en-US"/>
        </w:rPr>
        <w:t>family members</w:t>
      </w:r>
      <w:r w:rsidR="00E67349" w:rsidRPr="00CF6765">
        <w:rPr>
          <w:rFonts w:eastAsiaTheme="minorHAnsi" w:cstheme="minorBidi"/>
          <w:sz w:val="20"/>
          <w:szCs w:val="20"/>
          <w:lang w:val="en-US" w:eastAsia="en-US"/>
        </w:rPr>
        <w:t xml:space="preserve"> o</w:t>
      </w:r>
      <w:r w:rsidR="00B47F91" w:rsidRPr="00CF6765">
        <w:rPr>
          <w:rFonts w:eastAsiaTheme="minorHAnsi" w:cstheme="minorBidi"/>
          <w:sz w:val="20"/>
          <w:szCs w:val="20"/>
          <w:lang w:val="en-US" w:eastAsia="en-US"/>
        </w:rPr>
        <w:t>r upon their offer of probative elements.</w:t>
      </w:r>
      <w:r w:rsidR="00E67349" w:rsidRPr="00CF6765">
        <w:rPr>
          <w:rFonts w:eastAsiaTheme="minorHAnsi" w:cstheme="minorBidi"/>
          <w:sz w:val="20"/>
          <w:szCs w:val="20"/>
          <w:vertAlign w:val="superscript"/>
          <w:lang w:val="en-US" w:eastAsia="en-US"/>
        </w:rPr>
        <w:footnoteReference w:id="276"/>
      </w:r>
      <w:r w:rsidR="00B47F91" w:rsidRPr="00CF6765">
        <w:rPr>
          <w:rFonts w:eastAsiaTheme="minorHAnsi" w:cstheme="minorBidi"/>
          <w:sz w:val="20"/>
          <w:szCs w:val="20"/>
          <w:lang w:val="en-US" w:eastAsia="en-US"/>
        </w:rPr>
        <w:t xml:space="preserve"> In addition, </w:t>
      </w:r>
      <w:r w:rsidR="0090740B" w:rsidRPr="00CF6765">
        <w:rPr>
          <w:rFonts w:eastAsiaTheme="minorHAnsi" w:cstheme="minorBidi"/>
          <w:sz w:val="20"/>
          <w:szCs w:val="20"/>
          <w:lang w:val="en-US" w:eastAsia="en-US"/>
        </w:rPr>
        <w:t>the</w:t>
      </w:r>
      <w:r w:rsidR="00B47F91" w:rsidRPr="00CF6765">
        <w:rPr>
          <w:rFonts w:eastAsiaTheme="minorHAnsi" w:cstheme="minorBidi"/>
          <w:sz w:val="20"/>
          <w:szCs w:val="20"/>
          <w:lang w:val="en-US" w:eastAsia="en-US"/>
        </w:rPr>
        <w:t xml:space="preserve"> investigation must be serious, objective and effective and designed to determine the truth and </w:t>
      </w:r>
      <w:r w:rsidR="0090740B" w:rsidRPr="00CF6765">
        <w:rPr>
          <w:rFonts w:eastAsiaTheme="minorHAnsi" w:cstheme="minorBidi"/>
          <w:sz w:val="20"/>
          <w:szCs w:val="20"/>
          <w:lang w:val="en-US" w:eastAsia="en-US"/>
        </w:rPr>
        <w:t xml:space="preserve">to </w:t>
      </w:r>
      <w:r w:rsidR="00B47F91" w:rsidRPr="00CF6765">
        <w:rPr>
          <w:rFonts w:eastAsiaTheme="minorHAnsi" w:cstheme="minorBidi"/>
          <w:sz w:val="20"/>
          <w:szCs w:val="20"/>
          <w:lang w:val="en-US" w:eastAsia="en-US"/>
        </w:rPr>
        <w:t xml:space="preserve">pursue, capture </w:t>
      </w:r>
      <w:r w:rsidR="00EC50FC" w:rsidRPr="00CF6765">
        <w:rPr>
          <w:rFonts w:eastAsiaTheme="minorHAnsi" w:cstheme="minorBidi"/>
          <w:sz w:val="20"/>
          <w:szCs w:val="20"/>
          <w:lang w:val="en-US" w:eastAsia="en-US"/>
        </w:rPr>
        <w:t xml:space="preserve">and </w:t>
      </w:r>
      <w:r w:rsidR="00E67349" w:rsidRPr="00CF6765">
        <w:rPr>
          <w:rFonts w:eastAsiaTheme="minorHAnsi" w:cstheme="minorBidi"/>
          <w:sz w:val="20"/>
          <w:szCs w:val="20"/>
          <w:lang w:val="en-US" w:eastAsia="en-US"/>
        </w:rPr>
        <w:t>eventual</w:t>
      </w:r>
      <w:r w:rsidR="0062306D" w:rsidRPr="00CF6765">
        <w:rPr>
          <w:rFonts w:eastAsiaTheme="minorHAnsi" w:cstheme="minorBidi"/>
          <w:sz w:val="20"/>
          <w:szCs w:val="20"/>
          <w:lang w:val="en-US" w:eastAsia="en-US"/>
        </w:rPr>
        <w:t>ly</w:t>
      </w:r>
      <w:r w:rsidR="00E67349" w:rsidRPr="00CF6765">
        <w:rPr>
          <w:rFonts w:eastAsiaTheme="minorHAnsi" w:cstheme="minorBidi"/>
          <w:sz w:val="20"/>
          <w:szCs w:val="20"/>
          <w:lang w:val="en-US" w:eastAsia="en-US"/>
        </w:rPr>
        <w:t xml:space="preserve"> </w:t>
      </w:r>
      <w:r w:rsidR="0090740B" w:rsidRPr="00CF6765">
        <w:rPr>
          <w:rFonts w:eastAsiaTheme="minorHAnsi" w:cstheme="minorBidi"/>
          <w:sz w:val="20"/>
          <w:szCs w:val="20"/>
          <w:lang w:val="en-US" w:eastAsia="en-US"/>
        </w:rPr>
        <w:t xml:space="preserve">prosecute </w:t>
      </w:r>
      <w:r w:rsidR="00B47F91" w:rsidRPr="00CF6765">
        <w:rPr>
          <w:rFonts w:eastAsiaTheme="minorHAnsi" w:cstheme="minorBidi"/>
          <w:sz w:val="20"/>
          <w:szCs w:val="20"/>
          <w:lang w:val="en-US" w:eastAsia="en-US"/>
        </w:rPr>
        <w:t>and punish the perpetrators of the facts.</w:t>
      </w:r>
      <w:r w:rsidR="00E67349" w:rsidRPr="00CF6765">
        <w:rPr>
          <w:rFonts w:eastAsiaTheme="minorHAnsi" w:cstheme="minorBidi"/>
          <w:sz w:val="20"/>
          <w:szCs w:val="20"/>
          <w:vertAlign w:val="superscript"/>
          <w:lang w:val="en-US" w:eastAsia="en-US"/>
        </w:rPr>
        <w:footnoteReference w:id="277"/>
      </w:r>
      <w:r w:rsidR="00B47F91" w:rsidRPr="00CF6765">
        <w:rPr>
          <w:rFonts w:eastAsiaTheme="minorHAnsi" w:cstheme="minorBidi"/>
          <w:sz w:val="20"/>
          <w:szCs w:val="20"/>
          <w:lang w:val="en-US" w:eastAsia="en-US"/>
        </w:rPr>
        <w:t xml:space="preserve"> In addition, </w:t>
      </w:r>
      <w:r w:rsidRPr="00CF6765">
        <w:rPr>
          <w:rFonts w:eastAsiaTheme="minorHAnsi" w:cstheme="minorBidi"/>
          <w:sz w:val="20"/>
          <w:szCs w:val="20"/>
          <w:lang w:val="en-US" w:eastAsia="en-US"/>
        </w:rPr>
        <w:t>due diligence</w:t>
      </w:r>
      <w:r w:rsidR="00E67349" w:rsidRPr="00CF6765">
        <w:rPr>
          <w:rFonts w:eastAsiaTheme="minorHAnsi" w:cstheme="minorBidi"/>
          <w:sz w:val="20"/>
          <w:szCs w:val="20"/>
          <w:lang w:val="en-US" w:eastAsia="en-US"/>
        </w:rPr>
        <w:t xml:space="preserve"> </w:t>
      </w:r>
      <w:r w:rsidR="00B47F91" w:rsidRPr="00CF6765">
        <w:rPr>
          <w:rFonts w:eastAsiaTheme="minorHAnsi" w:cstheme="minorBidi"/>
          <w:sz w:val="20"/>
          <w:szCs w:val="20"/>
          <w:lang w:val="en-US" w:eastAsia="en-US"/>
        </w:rPr>
        <w:t>requires that the investigating body conduct all those actions and inquiries</w:t>
      </w:r>
      <w:r w:rsidR="0062306D" w:rsidRPr="00CF6765">
        <w:rPr>
          <w:rFonts w:eastAsiaTheme="minorHAnsi" w:cstheme="minorBidi"/>
          <w:sz w:val="20"/>
          <w:szCs w:val="20"/>
          <w:lang w:val="en-US" w:eastAsia="en-US"/>
        </w:rPr>
        <w:t xml:space="preserve"> that are</w:t>
      </w:r>
      <w:r w:rsidR="00B47F91" w:rsidRPr="00CF6765">
        <w:rPr>
          <w:rFonts w:eastAsiaTheme="minorHAnsi" w:cstheme="minorBidi"/>
          <w:sz w:val="20"/>
          <w:szCs w:val="20"/>
          <w:lang w:val="en-US" w:eastAsia="en-US"/>
        </w:rPr>
        <w:t xml:space="preserve"> required to obtain the result sought.</w:t>
      </w:r>
      <w:r w:rsidR="00E67349" w:rsidRPr="00CF6765">
        <w:rPr>
          <w:rFonts w:eastAsiaTheme="minorHAnsi" w:cstheme="minorBidi"/>
          <w:sz w:val="20"/>
          <w:szCs w:val="20"/>
          <w:vertAlign w:val="superscript"/>
          <w:lang w:val="en-US" w:eastAsia="en-US"/>
        </w:rPr>
        <w:footnoteReference w:id="278"/>
      </w:r>
    </w:p>
    <w:p w14:paraId="08324B29" w14:textId="77777777" w:rsidR="00E67349" w:rsidRPr="00CF6765" w:rsidRDefault="00E67349" w:rsidP="000D4A1F">
      <w:pPr>
        <w:tabs>
          <w:tab w:val="left" w:pos="0"/>
        </w:tabs>
        <w:contextualSpacing/>
        <w:rPr>
          <w:rFonts w:eastAsiaTheme="minorHAnsi" w:cs="Times"/>
          <w:sz w:val="20"/>
          <w:szCs w:val="20"/>
          <w:lang w:val="en-US" w:eastAsia="en-US"/>
        </w:rPr>
      </w:pPr>
    </w:p>
    <w:p w14:paraId="0C7A2516" w14:textId="48A9F55B" w:rsidR="00E67349" w:rsidRPr="00CF6765" w:rsidRDefault="00B47F91" w:rsidP="000D4A1F">
      <w:pPr>
        <w:numPr>
          <w:ilvl w:val="0"/>
          <w:numId w:val="2"/>
        </w:numPr>
        <w:tabs>
          <w:tab w:val="left" w:pos="567"/>
          <w:tab w:val="num" w:pos="1569"/>
          <w:tab w:val="num" w:pos="12305"/>
        </w:tabs>
        <w:ind w:left="0" w:firstLine="0"/>
        <w:rPr>
          <w:rFonts w:eastAsiaTheme="minorHAnsi" w:cs="Times"/>
          <w:sz w:val="20"/>
          <w:szCs w:val="20"/>
          <w:lang w:val="en-US" w:eastAsia="en-US"/>
        </w:rPr>
      </w:pPr>
      <w:r w:rsidRPr="00CF6765">
        <w:rPr>
          <w:rFonts w:eastAsiaTheme="minorHAnsi" w:cstheme="minorBidi"/>
          <w:sz w:val="20"/>
          <w:szCs w:val="20"/>
          <w:lang w:val="en-US" w:eastAsia="en-US"/>
        </w:rPr>
        <w:t xml:space="preserve">That said, </w:t>
      </w:r>
      <w:r w:rsidR="008408AA" w:rsidRPr="00CF6765">
        <w:rPr>
          <w:rFonts w:eastAsiaTheme="minorHAnsi" w:cstheme="minorBidi"/>
          <w:sz w:val="20"/>
          <w:szCs w:val="20"/>
          <w:lang w:val="en-US" w:eastAsia="en-US"/>
        </w:rPr>
        <w:t>the Court’s ability, within its sphere of competence which is complementary and accessory, to examine the domestic investigation proceedings</w:t>
      </w:r>
      <w:r w:rsidR="00E67349" w:rsidRPr="00CF6765">
        <w:rPr>
          <w:rFonts w:eastAsiaTheme="minorHAnsi" w:cstheme="minorBidi"/>
          <w:sz w:val="20"/>
          <w:szCs w:val="20"/>
          <w:vertAlign w:val="superscript"/>
          <w:lang w:val="en-US" w:eastAsia="en-US"/>
        </w:rPr>
        <w:footnoteReference w:id="279"/>
      </w:r>
      <w:r w:rsidR="008408AA" w:rsidRPr="00CF6765">
        <w:rPr>
          <w:rFonts w:eastAsiaTheme="minorHAnsi" w:cstheme="minorBidi"/>
          <w:sz w:val="20"/>
          <w:szCs w:val="20"/>
          <w:lang w:val="en-US" w:eastAsia="en-US"/>
        </w:rPr>
        <w:t xml:space="preserve"> may lead to the determination of shortcomings in their due diligence.</w:t>
      </w:r>
      <w:r w:rsidR="00E67349" w:rsidRPr="00CF6765">
        <w:rPr>
          <w:rFonts w:eastAsiaTheme="minorHAnsi"/>
          <w:sz w:val="20"/>
          <w:szCs w:val="20"/>
          <w:vertAlign w:val="superscript"/>
          <w:lang w:val="en-US" w:eastAsia="en-US"/>
        </w:rPr>
        <w:footnoteReference w:id="280"/>
      </w:r>
      <w:r w:rsidR="008408AA" w:rsidRPr="00CF6765">
        <w:rPr>
          <w:rFonts w:eastAsiaTheme="minorHAnsi" w:cstheme="minorBidi"/>
          <w:sz w:val="20"/>
          <w:szCs w:val="20"/>
          <w:lang w:val="en-US" w:eastAsia="en-US"/>
        </w:rPr>
        <w:t xml:space="preserve"> However, this would be admissible to the extent that it </w:t>
      </w:r>
      <w:r w:rsidR="0062306D" w:rsidRPr="00CF6765">
        <w:rPr>
          <w:rFonts w:eastAsiaTheme="minorHAnsi" w:cstheme="minorBidi"/>
          <w:sz w:val="20"/>
          <w:szCs w:val="20"/>
          <w:lang w:val="en-US" w:eastAsia="en-US"/>
        </w:rPr>
        <w:t>has been</w:t>
      </w:r>
      <w:r w:rsidR="008408AA" w:rsidRPr="00CF6765">
        <w:rPr>
          <w:rFonts w:eastAsiaTheme="minorHAnsi" w:cstheme="minorBidi"/>
          <w:sz w:val="20"/>
          <w:szCs w:val="20"/>
          <w:lang w:val="en-US" w:eastAsia="en-US"/>
        </w:rPr>
        <w:t xml:space="preserve"> shown that the alleged shortcomings could have affected the investigation as a whole, so that “with the passage of time, the possibility of obtaining and presenting pertinent evidence that would clarify the facts and determine the corresponding responsibilities had been unduly affected.</w:t>
      </w:r>
      <w:r w:rsidR="00E67349" w:rsidRPr="00CF6765">
        <w:rPr>
          <w:rFonts w:eastAsiaTheme="minorHAnsi" w:cstheme="minorBidi"/>
          <w:sz w:val="20"/>
          <w:szCs w:val="20"/>
          <w:lang w:val="en-US" w:eastAsia="en-US"/>
        </w:rPr>
        <w:t>”</w:t>
      </w:r>
      <w:r w:rsidR="00E67349" w:rsidRPr="00CF6765">
        <w:rPr>
          <w:rFonts w:eastAsiaTheme="minorHAnsi" w:cstheme="minorBidi"/>
          <w:sz w:val="20"/>
          <w:szCs w:val="20"/>
          <w:vertAlign w:val="superscript"/>
          <w:lang w:val="en-US" w:eastAsia="en-US"/>
        </w:rPr>
        <w:footnoteReference w:id="281"/>
      </w:r>
      <w:r w:rsidR="008408AA" w:rsidRPr="00CF6765">
        <w:rPr>
          <w:rFonts w:eastAsiaTheme="minorHAnsi" w:cstheme="minorBidi"/>
          <w:sz w:val="20"/>
          <w:szCs w:val="20"/>
          <w:lang w:val="en-US" w:eastAsia="en-US"/>
        </w:rPr>
        <w:t xml:space="preserve"> Thus, it should not be assumed that deficiencies in individual measures of investigation have a negative impact on the proceedings as a whole if, despite them, the investigation was effective in determining the facts.</w:t>
      </w:r>
      <w:r w:rsidR="00E67349" w:rsidRPr="00CF6765">
        <w:rPr>
          <w:rFonts w:eastAsiaTheme="minorHAnsi" w:cstheme="minorBidi"/>
          <w:sz w:val="20"/>
          <w:szCs w:val="20"/>
          <w:vertAlign w:val="superscript"/>
          <w:lang w:val="en-US" w:eastAsia="en-US"/>
        </w:rPr>
        <w:footnoteReference w:id="282"/>
      </w:r>
    </w:p>
    <w:p w14:paraId="44ED7184" w14:textId="77777777" w:rsidR="00E67349" w:rsidRPr="00CF6765" w:rsidRDefault="00E67349" w:rsidP="000D4A1F">
      <w:pPr>
        <w:tabs>
          <w:tab w:val="left" w:pos="0"/>
        </w:tabs>
        <w:contextualSpacing/>
        <w:rPr>
          <w:rFonts w:eastAsiaTheme="minorHAnsi" w:cs="Times"/>
          <w:sz w:val="20"/>
          <w:szCs w:val="20"/>
          <w:lang w:val="en-US" w:eastAsia="en-US"/>
        </w:rPr>
      </w:pPr>
    </w:p>
    <w:p w14:paraId="6428BB74" w14:textId="7B7053C6" w:rsidR="00E67349" w:rsidRPr="00CF6765" w:rsidRDefault="008408AA" w:rsidP="000D4A1F">
      <w:pPr>
        <w:numPr>
          <w:ilvl w:val="0"/>
          <w:numId w:val="2"/>
        </w:numPr>
        <w:tabs>
          <w:tab w:val="left" w:pos="567"/>
          <w:tab w:val="num" w:pos="1569"/>
          <w:tab w:val="num" w:pos="12305"/>
        </w:tabs>
        <w:ind w:left="0" w:firstLine="0"/>
        <w:rPr>
          <w:rFonts w:eastAsiaTheme="minorHAnsi" w:cstheme="minorBidi"/>
          <w:sz w:val="16"/>
          <w:szCs w:val="16"/>
          <w:lang w:val="en-US" w:eastAsia="en-US"/>
        </w:rPr>
      </w:pPr>
      <w:r w:rsidRPr="00CF6765">
        <w:rPr>
          <w:rFonts w:eastAsiaTheme="minorHAnsi" w:cstheme="minorBidi"/>
          <w:sz w:val="20"/>
          <w:szCs w:val="16"/>
          <w:lang w:val="en-US" w:eastAsia="en-US"/>
        </w:rPr>
        <w:t xml:space="preserve">In addition, the Court recalls that, </w:t>
      </w:r>
      <w:r w:rsidR="0062306D" w:rsidRPr="00CF6765">
        <w:rPr>
          <w:rFonts w:eastAsiaTheme="minorHAnsi" w:cstheme="minorBidi"/>
          <w:sz w:val="20"/>
          <w:szCs w:val="16"/>
          <w:lang w:val="en-US" w:eastAsia="en-US"/>
        </w:rPr>
        <w:t>regarding</w:t>
      </w:r>
      <w:r w:rsidRPr="00CF6765">
        <w:rPr>
          <w:rFonts w:eastAsiaTheme="minorHAnsi" w:cstheme="minorBidi"/>
          <w:sz w:val="20"/>
          <w:szCs w:val="16"/>
          <w:lang w:val="en-US" w:eastAsia="en-US"/>
        </w:rPr>
        <w:t xml:space="preserve"> the treatment of the victim’s corpse, some minimum and essential procedures are required in order to conserve probative elements and evidence that may </w:t>
      </w:r>
      <w:r w:rsidRPr="00CF6765">
        <w:rPr>
          <w:rFonts w:eastAsiaTheme="minorHAnsi" w:cstheme="minorBidi"/>
          <w:sz w:val="20"/>
          <w:szCs w:val="20"/>
          <w:lang w:val="en-US" w:eastAsia="en-US"/>
        </w:rPr>
        <w:t>contribute to the success of the investigation, such as the autopsy.</w:t>
      </w:r>
      <w:r w:rsidR="00E67349" w:rsidRPr="00CF6765">
        <w:rPr>
          <w:rFonts w:eastAsiaTheme="minorHAnsi"/>
          <w:sz w:val="20"/>
          <w:szCs w:val="20"/>
          <w:vertAlign w:val="superscript"/>
          <w:lang w:val="en-US" w:eastAsia="en-US"/>
        </w:rPr>
        <w:footnoteReference w:id="283"/>
      </w:r>
      <w:r w:rsidRPr="00CF6765">
        <w:rPr>
          <w:rFonts w:eastAsiaTheme="minorHAnsi" w:cstheme="minorBidi"/>
          <w:sz w:val="20"/>
          <w:szCs w:val="20"/>
          <w:lang w:val="en-US" w:eastAsia="en-US"/>
        </w:rPr>
        <w:t xml:space="preserve"> Thus, the </w:t>
      </w:r>
      <w:r w:rsidRPr="00CF6765">
        <w:rPr>
          <w:rFonts w:eastAsiaTheme="minorHAnsi" w:cstheme="minorBidi"/>
          <w:sz w:val="20"/>
          <w:szCs w:val="20"/>
          <w:lang w:val="en-US" w:eastAsia="en-US"/>
        </w:rPr>
        <w:lastRenderedPageBreak/>
        <w:t xml:space="preserve">Court has </w:t>
      </w:r>
      <w:r w:rsidR="0090740B" w:rsidRPr="00CF6765">
        <w:rPr>
          <w:rFonts w:eastAsiaTheme="minorHAnsi" w:cstheme="minorBidi"/>
          <w:sz w:val="20"/>
          <w:szCs w:val="20"/>
          <w:lang w:val="en-US" w:eastAsia="en-US"/>
        </w:rPr>
        <w:t>established</w:t>
      </w:r>
      <w:r w:rsidRPr="00CF6765">
        <w:rPr>
          <w:rFonts w:eastAsiaTheme="minorHAnsi" w:cstheme="minorBidi"/>
          <w:sz w:val="20"/>
          <w:szCs w:val="20"/>
          <w:lang w:val="en-US" w:eastAsia="en-US"/>
        </w:rPr>
        <w:t xml:space="preserve"> that autopsies and the </w:t>
      </w:r>
      <w:r w:rsidR="0090740B" w:rsidRPr="00CF6765">
        <w:rPr>
          <w:rFonts w:eastAsiaTheme="minorHAnsi" w:cstheme="minorBidi"/>
          <w:sz w:val="20"/>
          <w:szCs w:val="20"/>
          <w:lang w:val="en-US" w:eastAsia="en-US"/>
        </w:rPr>
        <w:t>analysis</w:t>
      </w:r>
      <w:r w:rsidRPr="00CF6765">
        <w:rPr>
          <w:rFonts w:eastAsiaTheme="minorHAnsi" w:cstheme="minorBidi"/>
          <w:sz w:val="20"/>
          <w:szCs w:val="20"/>
          <w:lang w:val="en-US" w:eastAsia="en-US"/>
        </w:rPr>
        <w:t xml:space="preserve"> of human remains must be conducted rigorously, by skilled professionals, using the most appropriate procedures.</w:t>
      </w:r>
      <w:r w:rsidR="00E67349" w:rsidRPr="00CF6765">
        <w:rPr>
          <w:rFonts w:eastAsiaTheme="minorHAnsi"/>
          <w:sz w:val="20"/>
          <w:szCs w:val="20"/>
          <w:vertAlign w:val="superscript"/>
          <w:lang w:val="en-US" w:eastAsia="en-US"/>
        </w:rPr>
        <w:footnoteReference w:id="284"/>
      </w:r>
    </w:p>
    <w:p w14:paraId="09AC3D91" w14:textId="77777777" w:rsidR="00E67349" w:rsidRPr="00CF6765" w:rsidRDefault="00E67349" w:rsidP="000D4A1F">
      <w:pPr>
        <w:tabs>
          <w:tab w:val="left" w:pos="0"/>
        </w:tabs>
        <w:contextualSpacing/>
        <w:rPr>
          <w:rFonts w:eastAsiaTheme="minorHAnsi" w:cstheme="minorBidi"/>
          <w:sz w:val="16"/>
          <w:szCs w:val="16"/>
          <w:lang w:val="en-US" w:eastAsia="en-US"/>
        </w:rPr>
      </w:pPr>
    </w:p>
    <w:p w14:paraId="2FC290C9" w14:textId="017FF122" w:rsidR="00E67349" w:rsidRPr="00CF6765" w:rsidRDefault="008408AA" w:rsidP="000D4A1F">
      <w:pPr>
        <w:numPr>
          <w:ilvl w:val="0"/>
          <w:numId w:val="2"/>
        </w:numPr>
        <w:tabs>
          <w:tab w:val="left" w:pos="567"/>
          <w:tab w:val="num" w:pos="1569"/>
          <w:tab w:val="num" w:pos="12305"/>
        </w:tabs>
        <w:ind w:left="0" w:firstLine="0"/>
        <w:rPr>
          <w:rFonts w:eastAsiaTheme="minorHAnsi" w:cstheme="minorBidi"/>
          <w:sz w:val="16"/>
          <w:szCs w:val="16"/>
          <w:lang w:val="en-US" w:eastAsia="en-US"/>
        </w:rPr>
      </w:pPr>
      <w:r w:rsidRPr="00CF6765">
        <w:rPr>
          <w:rFonts w:eastAsiaTheme="minorHAnsi" w:cstheme="minorBidi"/>
          <w:sz w:val="20"/>
          <w:szCs w:val="20"/>
          <w:lang w:val="en-US" w:eastAsia="en-US"/>
        </w:rPr>
        <w:t xml:space="preserve">In this case, the Court reiterates that </w:t>
      </w:r>
      <w:r w:rsidR="00EC50FC" w:rsidRPr="00CF6765">
        <w:rPr>
          <w:rFonts w:eastAsiaTheme="minorHAnsi" w:cstheme="minorBidi"/>
          <w:sz w:val="20"/>
          <w:szCs w:val="20"/>
          <w:lang w:val="en-US" w:eastAsia="en-US"/>
        </w:rPr>
        <w:t xml:space="preserve">the </w:t>
      </w:r>
      <w:r w:rsidR="00671A8C" w:rsidRPr="00CF6765">
        <w:rPr>
          <w:rFonts w:eastAsiaTheme="minorHAnsi" w:cstheme="minorBidi"/>
          <w:sz w:val="20"/>
          <w:szCs w:val="20"/>
          <w:lang w:val="en-US" w:eastAsia="en-US"/>
        </w:rPr>
        <w:t>Chilean State</w:t>
      </w:r>
      <w:r w:rsidRPr="00CF6765">
        <w:rPr>
          <w:rFonts w:eastAsiaTheme="minorHAnsi" w:cstheme="minorBidi"/>
          <w:sz w:val="20"/>
          <w:szCs w:val="20"/>
          <w:lang w:val="en-US" w:eastAsia="en-US"/>
        </w:rPr>
        <w:t xml:space="preserve"> did not acknowledge its responsibility for the violation of</w:t>
      </w:r>
      <w:r w:rsidR="00497BFB" w:rsidRPr="00CF6765">
        <w:rPr>
          <w:rFonts w:eastAsiaTheme="minorHAnsi" w:cstheme="minorBidi"/>
          <w:sz w:val="20"/>
          <w:szCs w:val="20"/>
          <w:lang w:val="en-US" w:eastAsia="en-US"/>
        </w:rPr>
        <w:t xml:space="preserve"> diligence</w:t>
      </w:r>
      <w:r w:rsidRPr="00CF6765">
        <w:rPr>
          <w:rFonts w:eastAsiaTheme="minorHAnsi" w:cstheme="minorBidi"/>
          <w:sz w:val="20"/>
          <w:szCs w:val="20"/>
          <w:lang w:val="en-US" w:eastAsia="en-US"/>
        </w:rPr>
        <w:t xml:space="preserve">; consequently, the dispute subsists in this regard </w:t>
      </w:r>
      <w:r w:rsidR="00E67349" w:rsidRPr="00CF6765">
        <w:rPr>
          <w:rFonts w:eastAsiaTheme="minorHAnsi" w:cstheme="minorBidi"/>
          <w:sz w:val="20"/>
          <w:szCs w:val="20"/>
          <w:lang w:val="en-US" w:eastAsia="en-US"/>
        </w:rPr>
        <w:t>(</w:t>
      </w:r>
      <w:r w:rsidR="00062586" w:rsidRPr="00CF6765">
        <w:rPr>
          <w:rFonts w:eastAsiaTheme="minorHAnsi" w:cstheme="minorBidi"/>
          <w:i/>
          <w:sz w:val="20"/>
          <w:szCs w:val="20"/>
          <w:lang w:val="en-US" w:eastAsia="en-US"/>
        </w:rPr>
        <w:t>supra</w:t>
      </w:r>
      <w:r w:rsidR="00E67349" w:rsidRPr="00CF6765">
        <w:rPr>
          <w:rFonts w:eastAsiaTheme="minorHAnsi" w:cstheme="minorBidi"/>
          <w:sz w:val="20"/>
          <w:szCs w:val="20"/>
          <w:lang w:val="en-US" w:eastAsia="en-US"/>
        </w:rPr>
        <w:t xml:space="preserve"> </w:t>
      </w:r>
      <w:r w:rsidR="00EC50FC" w:rsidRPr="00CF6765">
        <w:rPr>
          <w:rFonts w:eastAsiaTheme="minorHAnsi" w:cstheme="minorBidi"/>
          <w:sz w:val="20"/>
          <w:szCs w:val="20"/>
          <w:lang w:val="en-US" w:eastAsia="en-US"/>
        </w:rPr>
        <w:t>paras.</w:t>
      </w:r>
      <w:r w:rsidR="00E67349" w:rsidRPr="00CF6765">
        <w:rPr>
          <w:rFonts w:eastAsiaTheme="minorHAnsi" w:cstheme="minorBidi"/>
          <w:sz w:val="20"/>
          <w:szCs w:val="20"/>
          <w:lang w:val="en-US" w:eastAsia="en-US"/>
        </w:rPr>
        <w:t xml:space="preserve"> </w:t>
      </w:r>
      <w:r w:rsidR="0096292E" w:rsidRPr="00CF6765">
        <w:rPr>
          <w:rFonts w:eastAsiaTheme="minorHAnsi" w:cstheme="minorBidi"/>
          <w:sz w:val="20"/>
          <w:szCs w:val="20"/>
          <w:lang w:val="en-US" w:eastAsia="en-US"/>
        </w:rPr>
        <w:t>30</w:t>
      </w:r>
      <w:r w:rsidR="00EC50FC" w:rsidRPr="00CF6765">
        <w:rPr>
          <w:rFonts w:eastAsiaTheme="minorHAnsi" w:cstheme="minorBidi"/>
          <w:sz w:val="20"/>
          <w:szCs w:val="20"/>
          <w:lang w:val="en-US" w:eastAsia="en-US"/>
        </w:rPr>
        <w:t xml:space="preserve"> and </w:t>
      </w:r>
      <w:r w:rsidR="00A42EDD" w:rsidRPr="00CF6765">
        <w:rPr>
          <w:rFonts w:eastAsiaTheme="minorHAnsi" w:cstheme="minorBidi"/>
          <w:sz w:val="20"/>
          <w:szCs w:val="20"/>
          <w:lang w:val="en-US" w:eastAsia="en-US"/>
        </w:rPr>
        <w:t xml:space="preserve">181). </w:t>
      </w:r>
    </w:p>
    <w:p w14:paraId="56392FD5" w14:textId="67AB151A" w:rsidR="00E67349" w:rsidRPr="00CF6765" w:rsidRDefault="00E67349" w:rsidP="000D4A1F">
      <w:pPr>
        <w:tabs>
          <w:tab w:val="left" w:pos="0"/>
        </w:tabs>
        <w:contextualSpacing/>
        <w:rPr>
          <w:rFonts w:eastAsiaTheme="minorHAnsi" w:cstheme="minorBidi"/>
          <w:sz w:val="16"/>
          <w:szCs w:val="16"/>
          <w:lang w:val="en-US" w:eastAsia="en-US"/>
        </w:rPr>
      </w:pPr>
    </w:p>
    <w:p w14:paraId="6AECDCC9" w14:textId="248E17A8" w:rsidR="00E67349" w:rsidRPr="00CF6765" w:rsidRDefault="008A0768" w:rsidP="000D4A1F">
      <w:pPr>
        <w:numPr>
          <w:ilvl w:val="0"/>
          <w:numId w:val="2"/>
        </w:numPr>
        <w:tabs>
          <w:tab w:val="left" w:pos="567"/>
          <w:tab w:val="num" w:pos="1569"/>
          <w:tab w:val="num" w:pos="12305"/>
        </w:tabs>
        <w:ind w:left="0" w:firstLine="0"/>
        <w:rPr>
          <w:rFonts w:eastAsiaTheme="minorHAnsi" w:cstheme="minorBidi"/>
          <w:sz w:val="16"/>
          <w:szCs w:val="16"/>
          <w:lang w:val="en-US" w:eastAsia="en-US"/>
        </w:rPr>
      </w:pPr>
      <w:r w:rsidRPr="00CF6765">
        <w:rPr>
          <w:rFonts w:eastAsiaTheme="minorHAnsi" w:cstheme="minorBidi"/>
          <w:sz w:val="20"/>
          <w:szCs w:val="20"/>
          <w:lang w:val="en-US" w:eastAsia="en-US"/>
        </w:rPr>
        <w:t>The Court notes that</w:t>
      </w:r>
      <w:r w:rsidR="00E67349" w:rsidRPr="00CF6765">
        <w:rPr>
          <w:rFonts w:eastAsiaTheme="minorHAnsi" w:cstheme="minorBidi"/>
          <w:sz w:val="20"/>
          <w:szCs w:val="20"/>
          <w:lang w:val="en-US" w:eastAsia="en-US"/>
        </w:rPr>
        <w:t xml:space="preserve"> </w:t>
      </w:r>
      <w:r w:rsidR="00EC50FC" w:rsidRPr="00CF6765">
        <w:rPr>
          <w:rFonts w:eastAsiaTheme="minorHAnsi" w:cstheme="minorBidi"/>
          <w:sz w:val="20"/>
          <w:szCs w:val="20"/>
          <w:lang w:val="en-US" w:eastAsia="en-US"/>
        </w:rPr>
        <w:t xml:space="preserve">the </w:t>
      </w:r>
      <w:r w:rsidR="00671A8C" w:rsidRPr="00CF6765">
        <w:rPr>
          <w:rFonts w:eastAsiaTheme="minorHAnsi" w:cstheme="minorBidi"/>
          <w:sz w:val="20"/>
          <w:szCs w:val="20"/>
          <w:lang w:val="en-US" w:eastAsia="en-US"/>
        </w:rPr>
        <w:t>Chilean State</w:t>
      </w:r>
      <w:r w:rsidR="006C2581" w:rsidRPr="00CF6765">
        <w:rPr>
          <w:rFonts w:eastAsiaTheme="minorHAnsi" w:cstheme="minorBidi"/>
          <w:sz w:val="20"/>
          <w:szCs w:val="20"/>
          <w:lang w:val="en-US" w:eastAsia="en-US"/>
        </w:rPr>
        <w:t xml:space="preserve"> implemented a series of evidentiary procedures in the investigation of the facts of this case, such as: (</w:t>
      </w:r>
      <w:r w:rsidR="00E67349" w:rsidRPr="00CF6765">
        <w:rPr>
          <w:rFonts w:eastAsiaTheme="minorHAnsi" w:cstheme="minorBidi"/>
          <w:sz w:val="20"/>
          <w:szCs w:val="20"/>
          <w:lang w:val="en-US" w:eastAsia="en-US"/>
        </w:rPr>
        <w:t xml:space="preserve">a) </w:t>
      </w:r>
      <w:r w:rsidR="006C2581" w:rsidRPr="00CF6765">
        <w:rPr>
          <w:rFonts w:eastAsiaTheme="minorHAnsi" w:cstheme="minorBidi"/>
          <w:sz w:val="20"/>
          <w:szCs w:val="20"/>
          <w:lang w:val="en-US" w:eastAsia="en-US"/>
        </w:rPr>
        <w:t xml:space="preserve">the request to </w:t>
      </w:r>
      <w:r w:rsidR="0062306D" w:rsidRPr="00CF6765">
        <w:rPr>
          <w:rFonts w:eastAsiaTheme="minorHAnsi" w:cstheme="minorBidi"/>
          <w:sz w:val="20"/>
          <w:szCs w:val="20"/>
          <w:lang w:val="en-US" w:eastAsia="en-US"/>
        </w:rPr>
        <w:t xml:space="preserve">the </w:t>
      </w:r>
      <w:proofErr w:type="spellStart"/>
      <w:r w:rsidR="006A73DF" w:rsidRPr="00CF6765">
        <w:rPr>
          <w:rFonts w:eastAsiaTheme="minorHAnsi" w:cstheme="minorBidi"/>
          <w:sz w:val="20"/>
          <w:szCs w:val="20"/>
          <w:lang w:val="en-US" w:eastAsia="en-US"/>
        </w:rPr>
        <w:t>Sótero</w:t>
      </w:r>
      <w:proofErr w:type="spellEnd"/>
      <w:r w:rsidR="006C2581" w:rsidRPr="00CF6765">
        <w:rPr>
          <w:rFonts w:eastAsiaTheme="minorHAnsi" w:cstheme="minorBidi"/>
          <w:sz w:val="20"/>
          <w:szCs w:val="20"/>
          <w:lang w:val="en-US" w:eastAsia="en-US"/>
        </w:rPr>
        <w:t xml:space="preserve"> del Río Hospital for the</w:t>
      </w:r>
      <w:r w:rsidR="00E67349" w:rsidRPr="00CF6765">
        <w:rPr>
          <w:rFonts w:eastAsiaTheme="minorHAnsi" w:cstheme="minorBidi"/>
          <w:sz w:val="20"/>
          <w:szCs w:val="20"/>
          <w:lang w:val="en-US" w:eastAsia="en-US"/>
        </w:rPr>
        <w:t xml:space="preserve"> </w:t>
      </w:r>
      <w:r w:rsidR="006C2581" w:rsidRPr="00CF6765">
        <w:rPr>
          <w:rFonts w:eastAsiaTheme="minorHAnsi" w:cstheme="minorBidi"/>
          <w:sz w:val="20"/>
          <w:szCs w:val="20"/>
          <w:lang w:val="en-US" w:eastAsia="en-US"/>
        </w:rPr>
        <w:t>m</w:t>
      </w:r>
      <w:r w:rsidR="00B969DD" w:rsidRPr="00CF6765">
        <w:rPr>
          <w:rFonts w:eastAsiaTheme="minorHAnsi" w:cstheme="minorBidi"/>
          <w:sz w:val="20"/>
          <w:szCs w:val="20"/>
          <w:lang w:val="en-US" w:eastAsia="en-US"/>
        </w:rPr>
        <w:t>edical record of</w:t>
      </w:r>
      <w:r w:rsidR="00D04694" w:rsidRPr="00CF6765">
        <w:rPr>
          <w:rFonts w:eastAsiaTheme="minorHAnsi" w:cstheme="minorBidi"/>
          <w:sz w:val="20"/>
          <w:szCs w:val="20"/>
          <w:lang w:val="en-US" w:eastAsia="en-US"/>
        </w:rPr>
        <w:t xml:space="preserve"> Mr.</w:t>
      </w:r>
      <w:r w:rsidR="00D2168F" w:rsidRPr="00CF6765">
        <w:rPr>
          <w:rFonts w:eastAsiaTheme="minorHAnsi" w:cstheme="minorBidi"/>
          <w:sz w:val="20"/>
          <w:szCs w:val="20"/>
          <w:lang w:val="en-US" w:eastAsia="en-US"/>
        </w:rPr>
        <w:t xml:space="preserve"> Poblete</w:t>
      </w:r>
      <w:r w:rsidR="00E67349" w:rsidRPr="00CF6765">
        <w:rPr>
          <w:rFonts w:eastAsiaTheme="minorHAnsi" w:cstheme="minorBidi"/>
          <w:sz w:val="20"/>
          <w:szCs w:val="20"/>
          <w:lang w:val="en-US" w:eastAsia="en-US"/>
        </w:rPr>
        <w:t xml:space="preserve"> </w:t>
      </w:r>
      <w:proofErr w:type="spellStart"/>
      <w:r w:rsidR="00E67349" w:rsidRPr="00CF6765">
        <w:rPr>
          <w:rFonts w:eastAsiaTheme="minorHAnsi" w:cstheme="minorBidi"/>
          <w:sz w:val="20"/>
          <w:szCs w:val="20"/>
          <w:lang w:val="en-US" w:eastAsia="en-US"/>
        </w:rPr>
        <w:t>Vilches</w:t>
      </w:r>
      <w:proofErr w:type="spellEnd"/>
      <w:r w:rsidR="006C2581" w:rsidRPr="00CF6765">
        <w:rPr>
          <w:rFonts w:eastAsiaTheme="minorHAnsi" w:cstheme="minorBidi"/>
          <w:sz w:val="20"/>
          <w:szCs w:val="20"/>
          <w:lang w:val="en-US" w:eastAsia="en-US"/>
        </w:rPr>
        <w:t>;</w:t>
      </w:r>
      <w:r w:rsidR="00E67349" w:rsidRPr="00CF6765">
        <w:rPr>
          <w:rFonts w:eastAsiaTheme="minorHAnsi" w:cstheme="minorBidi"/>
          <w:sz w:val="20"/>
          <w:szCs w:val="20"/>
          <w:lang w:val="en-US" w:eastAsia="en-US"/>
        </w:rPr>
        <w:t xml:space="preserve"> </w:t>
      </w:r>
      <w:r w:rsidR="006C2581" w:rsidRPr="00CF6765">
        <w:rPr>
          <w:rFonts w:eastAsiaTheme="minorHAnsi" w:cstheme="minorBidi"/>
          <w:sz w:val="20"/>
          <w:szCs w:val="20"/>
          <w:lang w:val="en-US" w:eastAsia="en-US"/>
        </w:rPr>
        <w:t>(</w:t>
      </w:r>
      <w:r w:rsidR="00E67349" w:rsidRPr="00CF6765">
        <w:rPr>
          <w:rFonts w:eastAsiaTheme="minorHAnsi" w:cstheme="minorBidi"/>
          <w:sz w:val="20"/>
          <w:szCs w:val="20"/>
          <w:lang w:val="en-US" w:eastAsia="en-US"/>
        </w:rPr>
        <w:t xml:space="preserve">b) </w:t>
      </w:r>
      <w:r w:rsidR="006C2581" w:rsidRPr="00CF6765">
        <w:rPr>
          <w:rFonts w:eastAsiaTheme="minorHAnsi" w:cstheme="minorBidi"/>
          <w:sz w:val="20"/>
          <w:szCs w:val="20"/>
          <w:lang w:val="en-US" w:eastAsia="en-US"/>
        </w:rPr>
        <w:t xml:space="preserve">taking statements from some of the defendants and members of </w:t>
      </w:r>
      <w:r w:rsidR="00D04694" w:rsidRPr="00CF6765">
        <w:rPr>
          <w:rFonts w:eastAsiaTheme="minorHAnsi" w:cstheme="minorBidi"/>
          <w:sz w:val="20"/>
          <w:szCs w:val="20"/>
          <w:lang w:val="en-US" w:eastAsia="en-US"/>
        </w:rPr>
        <w:t>Mr.</w:t>
      </w:r>
      <w:r w:rsidR="00D2168F" w:rsidRPr="00CF6765">
        <w:rPr>
          <w:rFonts w:eastAsiaTheme="minorHAnsi" w:cstheme="minorBidi"/>
          <w:sz w:val="20"/>
          <w:szCs w:val="20"/>
          <w:lang w:val="en-US" w:eastAsia="en-US"/>
        </w:rPr>
        <w:t xml:space="preserve"> Poblete</w:t>
      </w:r>
      <w:r w:rsidR="006C2581" w:rsidRPr="00CF6765">
        <w:rPr>
          <w:rFonts w:eastAsiaTheme="minorHAnsi" w:cstheme="minorBidi"/>
          <w:sz w:val="20"/>
          <w:szCs w:val="20"/>
          <w:lang w:val="en-US" w:eastAsia="en-US"/>
        </w:rPr>
        <w:t>’s family</w:t>
      </w:r>
      <w:r w:rsidR="00E67349" w:rsidRPr="00CF6765">
        <w:rPr>
          <w:rFonts w:eastAsiaTheme="minorHAnsi" w:cs="Times"/>
          <w:sz w:val="20"/>
          <w:szCs w:val="20"/>
          <w:lang w:val="en-US" w:eastAsia="en-US"/>
        </w:rPr>
        <w:t xml:space="preserve">; </w:t>
      </w:r>
      <w:r w:rsidR="0062306D" w:rsidRPr="00CF6765">
        <w:rPr>
          <w:rFonts w:eastAsiaTheme="minorHAnsi" w:cs="Times"/>
          <w:sz w:val="20"/>
          <w:szCs w:val="20"/>
          <w:lang w:val="en-US" w:eastAsia="en-US"/>
        </w:rPr>
        <w:t>(</w:t>
      </w:r>
      <w:r w:rsidR="00E67349" w:rsidRPr="00CF6765">
        <w:rPr>
          <w:rFonts w:eastAsiaTheme="minorHAnsi" w:cs="Times"/>
          <w:sz w:val="20"/>
          <w:szCs w:val="20"/>
          <w:lang w:val="en-US" w:eastAsia="en-US"/>
        </w:rPr>
        <w:t xml:space="preserve">c) </w:t>
      </w:r>
      <w:r w:rsidR="006C2581" w:rsidRPr="00CF6765">
        <w:rPr>
          <w:rFonts w:eastAsiaTheme="minorHAnsi" w:cs="Times"/>
          <w:sz w:val="20"/>
          <w:szCs w:val="20"/>
          <w:lang w:val="en-US" w:eastAsia="en-US"/>
        </w:rPr>
        <w:t>forensic medic</w:t>
      </w:r>
      <w:r w:rsidR="0062306D" w:rsidRPr="00CF6765">
        <w:rPr>
          <w:rFonts w:eastAsiaTheme="minorHAnsi" w:cs="Times"/>
          <w:sz w:val="20"/>
          <w:szCs w:val="20"/>
          <w:lang w:val="en-US" w:eastAsia="en-US"/>
        </w:rPr>
        <w:t>al</w:t>
      </w:r>
      <w:r w:rsidR="006C2581" w:rsidRPr="00CF6765">
        <w:rPr>
          <w:rFonts w:eastAsiaTheme="minorHAnsi" w:cs="Times"/>
          <w:sz w:val="20"/>
          <w:szCs w:val="20"/>
          <w:lang w:val="en-US" w:eastAsia="en-US"/>
        </w:rPr>
        <w:t xml:space="preserve"> reports, and (</w:t>
      </w:r>
      <w:r w:rsidR="00E67349" w:rsidRPr="00CF6765">
        <w:rPr>
          <w:rFonts w:eastAsiaTheme="minorHAnsi" w:cstheme="minorBidi"/>
          <w:sz w:val="20"/>
          <w:szCs w:val="20"/>
          <w:lang w:val="en-US" w:eastAsia="en-US"/>
        </w:rPr>
        <w:t xml:space="preserve">d) </w:t>
      </w:r>
      <w:r w:rsidR="006C2581" w:rsidRPr="00CF6765">
        <w:rPr>
          <w:rFonts w:eastAsiaTheme="minorHAnsi" w:cstheme="minorBidi"/>
          <w:sz w:val="20"/>
          <w:szCs w:val="20"/>
          <w:lang w:val="en-US" w:eastAsia="en-US"/>
        </w:rPr>
        <w:t xml:space="preserve">the issue of arrest warrants against Dr. </w:t>
      </w:r>
      <w:r w:rsidR="00E67349" w:rsidRPr="00CF6765">
        <w:rPr>
          <w:rFonts w:eastAsiaTheme="minorHAnsi" w:cstheme="minorBidi"/>
          <w:sz w:val="20"/>
          <w:szCs w:val="20"/>
          <w:lang w:val="en-US" w:eastAsia="en-US"/>
        </w:rPr>
        <w:t xml:space="preserve">Luis Carvajal Freire. </w:t>
      </w:r>
    </w:p>
    <w:p w14:paraId="1BDF0621" w14:textId="77777777" w:rsidR="00E67349" w:rsidRPr="00CF6765" w:rsidRDefault="00E67349" w:rsidP="000D4A1F">
      <w:pPr>
        <w:tabs>
          <w:tab w:val="left" w:pos="0"/>
        </w:tabs>
        <w:contextualSpacing/>
        <w:rPr>
          <w:rFonts w:eastAsiaTheme="minorHAnsi" w:cstheme="minorBidi"/>
          <w:sz w:val="16"/>
          <w:szCs w:val="16"/>
          <w:lang w:val="en-US" w:eastAsia="en-US"/>
        </w:rPr>
      </w:pPr>
    </w:p>
    <w:p w14:paraId="55FAE43F" w14:textId="24F5106F" w:rsidR="00E67349" w:rsidRPr="00CF6765" w:rsidRDefault="0071797D" w:rsidP="000D4A1F">
      <w:pPr>
        <w:numPr>
          <w:ilvl w:val="0"/>
          <w:numId w:val="2"/>
        </w:numPr>
        <w:tabs>
          <w:tab w:val="left" w:pos="567"/>
          <w:tab w:val="num" w:pos="1569"/>
          <w:tab w:val="num" w:pos="12305"/>
        </w:tabs>
        <w:ind w:left="0" w:firstLine="0"/>
        <w:rPr>
          <w:rFonts w:eastAsiaTheme="minorHAnsi" w:cs="Times"/>
          <w:sz w:val="20"/>
          <w:szCs w:val="20"/>
          <w:lang w:val="en-US" w:eastAsia="en-US"/>
        </w:rPr>
      </w:pPr>
      <w:r w:rsidRPr="00CF6765">
        <w:rPr>
          <w:rFonts w:eastAsiaTheme="minorHAnsi" w:cstheme="minorBidi"/>
          <w:sz w:val="20"/>
          <w:szCs w:val="20"/>
          <w:lang w:val="en-US" w:eastAsia="en-US"/>
        </w:rPr>
        <w:t>However</w:t>
      </w:r>
      <w:r w:rsidR="00E67349" w:rsidRPr="00CF6765">
        <w:rPr>
          <w:rFonts w:eastAsiaTheme="minorHAnsi" w:cstheme="minorBidi"/>
          <w:sz w:val="20"/>
          <w:szCs w:val="20"/>
          <w:lang w:val="en-US" w:eastAsia="en-US"/>
        </w:rPr>
        <w:t xml:space="preserve">, </w:t>
      </w:r>
      <w:r w:rsidR="005C731C" w:rsidRPr="00CF6765">
        <w:rPr>
          <w:rFonts w:eastAsiaTheme="minorHAnsi" w:cstheme="minorBidi"/>
          <w:sz w:val="20"/>
          <w:szCs w:val="20"/>
          <w:lang w:val="en-US" w:eastAsia="en-US"/>
        </w:rPr>
        <w:t>the Court</w:t>
      </w:r>
      <w:r w:rsidRPr="00CF6765">
        <w:rPr>
          <w:rFonts w:eastAsiaTheme="minorHAnsi" w:cstheme="minorBidi"/>
          <w:sz w:val="20"/>
          <w:szCs w:val="20"/>
          <w:lang w:val="en-US" w:eastAsia="en-US"/>
        </w:rPr>
        <w:t xml:space="preserve"> notes that several probative procedures or judicial actions were not conducted, namely:</w:t>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w:t>
      </w:r>
      <w:r w:rsidR="00E67349" w:rsidRPr="00CF6765">
        <w:rPr>
          <w:rFonts w:eastAsiaTheme="minorHAnsi" w:cstheme="minorBidi"/>
          <w:sz w:val="20"/>
          <w:szCs w:val="20"/>
          <w:lang w:val="en-US" w:eastAsia="en-US"/>
        </w:rPr>
        <w:t xml:space="preserve">a) </w:t>
      </w:r>
      <w:r w:rsidRPr="00CF6765">
        <w:rPr>
          <w:rFonts w:eastAsiaTheme="minorHAnsi" w:cstheme="minorBidi"/>
          <w:sz w:val="20"/>
          <w:szCs w:val="20"/>
          <w:lang w:val="en-US" w:eastAsia="en-US"/>
        </w:rPr>
        <w:t>the exhumation of Mr</w:t>
      </w:r>
      <w:r w:rsidR="00D04694" w:rsidRPr="00CF6765">
        <w:rPr>
          <w:rFonts w:eastAsiaTheme="minorHAnsi" w:cstheme="minorBidi"/>
          <w:sz w:val="20"/>
          <w:szCs w:val="20"/>
          <w:lang w:val="en-US" w:eastAsia="en-US"/>
        </w:rPr>
        <w:t>.</w:t>
      </w:r>
      <w:r w:rsidR="00D2168F" w:rsidRPr="00CF6765">
        <w:rPr>
          <w:rFonts w:eastAsiaTheme="minorHAnsi" w:cstheme="minorBidi"/>
          <w:sz w:val="20"/>
          <w:szCs w:val="20"/>
          <w:lang w:val="en-US" w:eastAsia="en-US"/>
        </w:rPr>
        <w:t xml:space="preserve"> Poblete</w:t>
      </w:r>
      <w:r w:rsidR="00E67349" w:rsidRPr="00CF6765">
        <w:rPr>
          <w:rFonts w:eastAsiaTheme="minorHAnsi" w:cstheme="minorBidi"/>
          <w:sz w:val="20"/>
          <w:szCs w:val="20"/>
          <w:lang w:val="en-US" w:eastAsia="en-US"/>
        </w:rPr>
        <w:t xml:space="preserve"> </w:t>
      </w:r>
      <w:proofErr w:type="spellStart"/>
      <w:r w:rsidR="00E67349" w:rsidRPr="00CF6765">
        <w:rPr>
          <w:rFonts w:eastAsiaTheme="minorHAnsi" w:cstheme="minorBidi"/>
          <w:sz w:val="20"/>
          <w:szCs w:val="20"/>
          <w:lang w:val="en-US" w:eastAsia="en-US"/>
        </w:rPr>
        <w:t>Vilches</w:t>
      </w:r>
      <w:proofErr w:type="spellEnd"/>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 xml:space="preserve">in order to perform an autopsy that determined the real cause of his death, requested </w:t>
      </w:r>
      <w:r w:rsidR="00AD04D4" w:rsidRPr="00CF6765">
        <w:rPr>
          <w:rFonts w:eastAsiaTheme="minorHAnsi" w:cstheme="minorBidi"/>
          <w:sz w:val="20"/>
          <w:szCs w:val="20"/>
          <w:lang w:val="en-US" w:eastAsia="en-US"/>
        </w:rPr>
        <w:t>on November 12,</w:t>
      </w:r>
      <w:r w:rsidR="00E67349" w:rsidRPr="00CF6765">
        <w:rPr>
          <w:rFonts w:eastAsiaTheme="minorHAnsi" w:cstheme="minorBidi"/>
          <w:sz w:val="20"/>
          <w:szCs w:val="20"/>
          <w:lang w:val="en-US" w:eastAsia="en-US"/>
        </w:rPr>
        <w:t xml:space="preserve"> 2001</w:t>
      </w:r>
      <w:r w:rsidR="00497BFB" w:rsidRPr="00CF6765">
        <w:rPr>
          <w:rFonts w:eastAsiaTheme="minorHAnsi" w:cstheme="minorBidi"/>
          <w:sz w:val="20"/>
          <w:szCs w:val="20"/>
          <w:lang w:val="en-US" w:eastAsia="en-US"/>
        </w:rPr>
        <w:t xml:space="preserve">, </w:t>
      </w:r>
      <w:r w:rsidR="00EC50FC" w:rsidRPr="00CF6765">
        <w:rPr>
          <w:rFonts w:eastAsiaTheme="minorHAnsi" w:cstheme="minorBidi"/>
          <w:sz w:val="20"/>
          <w:szCs w:val="20"/>
          <w:lang w:val="en-US" w:eastAsia="en-US"/>
        </w:rPr>
        <w:t xml:space="preserve">and </w:t>
      </w:r>
      <w:r w:rsidR="00E67349" w:rsidRPr="00CF6765">
        <w:rPr>
          <w:rFonts w:eastAsiaTheme="minorHAnsi" w:cstheme="minorBidi"/>
          <w:sz w:val="20"/>
          <w:szCs w:val="20"/>
          <w:lang w:val="en-US" w:eastAsia="en-US"/>
        </w:rPr>
        <w:t>orde</w:t>
      </w:r>
      <w:r w:rsidR="00497BFB" w:rsidRPr="00CF6765">
        <w:rPr>
          <w:rFonts w:eastAsiaTheme="minorHAnsi" w:cstheme="minorBidi"/>
          <w:sz w:val="20"/>
          <w:szCs w:val="20"/>
          <w:lang w:val="en-US" w:eastAsia="en-US"/>
        </w:rPr>
        <w:t xml:space="preserve">red on February 13, </w:t>
      </w:r>
      <w:r w:rsidR="00E67349" w:rsidRPr="00CF6765">
        <w:rPr>
          <w:rFonts w:eastAsiaTheme="minorHAnsi" w:cstheme="minorBidi"/>
          <w:sz w:val="20"/>
          <w:szCs w:val="20"/>
          <w:lang w:val="en-US" w:eastAsia="en-US"/>
        </w:rPr>
        <w:t>20</w:t>
      </w:r>
      <w:r w:rsidR="008F36CB" w:rsidRPr="00CF6765">
        <w:rPr>
          <w:rFonts w:eastAsiaTheme="minorHAnsi" w:cstheme="minorBidi"/>
          <w:sz w:val="20"/>
          <w:szCs w:val="20"/>
          <w:lang w:val="en-US" w:eastAsia="en-US"/>
        </w:rPr>
        <w:t>0</w:t>
      </w:r>
      <w:r w:rsidR="00E67349" w:rsidRPr="00CF6765">
        <w:rPr>
          <w:rFonts w:eastAsiaTheme="minorHAnsi" w:cstheme="minorBidi"/>
          <w:sz w:val="20"/>
          <w:szCs w:val="20"/>
          <w:lang w:val="en-US" w:eastAsia="en-US"/>
        </w:rPr>
        <w:t>2 (</w:t>
      </w:r>
      <w:r w:rsidR="008F36CB" w:rsidRPr="00CF6765">
        <w:rPr>
          <w:rFonts w:eastAsiaTheme="minorHAnsi" w:cstheme="minorBidi"/>
          <w:i/>
          <w:sz w:val="20"/>
          <w:szCs w:val="20"/>
          <w:lang w:val="en-US" w:eastAsia="en-US"/>
        </w:rPr>
        <w:t>supra</w:t>
      </w:r>
      <w:r w:rsidR="008F36CB" w:rsidRPr="00CF6765">
        <w:rPr>
          <w:rFonts w:eastAsiaTheme="minorHAnsi" w:cstheme="minorBidi"/>
          <w:sz w:val="20"/>
          <w:szCs w:val="20"/>
          <w:lang w:val="en-US" w:eastAsia="en-US"/>
        </w:rPr>
        <w:t xml:space="preserve"> </w:t>
      </w:r>
      <w:r w:rsidR="00EC50FC" w:rsidRPr="00CF6765">
        <w:rPr>
          <w:rFonts w:eastAsiaTheme="minorHAnsi" w:cstheme="minorBidi"/>
          <w:sz w:val="20"/>
          <w:szCs w:val="20"/>
          <w:lang w:val="en-US" w:eastAsia="en-US"/>
        </w:rPr>
        <w:t>para.</w:t>
      </w:r>
      <w:r w:rsidR="008F36CB" w:rsidRPr="00CF6765">
        <w:rPr>
          <w:rFonts w:eastAsiaTheme="minorHAnsi" w:cstheme="minorBidi"/>
          <w:sz w:val="20"/>
          <w:szCs w:val="20"/>
          <w:lang w:val="en-US" w:eastAsia="en-US"/>
        </w:rPr>
        <w:t xml:space="preserve"> 60)</w:t>
      </w:r>
      <w:r w:rsidR="00E67349" w:rsidRPr="00CF6765">
        <w:rPr>
          <w:rFonts w:eastAsiaTheme="minorHAnsi" w:cstheme="minorBidi"/>
          <w:sz w:val="20"/>
          <w:szCs w:val="20"/>
          <w:lang w:val="en-US" w:eastAsia="en-US"/>
        </w:rPr>
        <w:t>,</w:t>
      </w:r>
      <w:r w:rsidR="00EC50FC" w:rsidRPr="00CF6765">
        <w:rPr>
          <w:rFonts w:eastAsiaTheme="minorHAnsi" w:cstheme="minorBidi"/>
          <w:sz w:val="20"/>
          <w:szCs w:val="20"/>
          <w:lang w:val="en-US" w:eastAsia="en-US"/>
        </w:rPr>
        <w:t xml:space="preserve"> and </w:t>
      </w:r>
      <w:r w:rsidR="00497BFB" w:rsidRPr="00CF6765">
        <w:rPr>
          <w:rFonts w:eastAsiaTheme="minorHAnsi" w:cstheme="minorBidi"/>
          <w:sz w:val="20"/>
          <w:szCs w:val="20"/>
          <w:lang w:val="en-US" w:eastAsia="en-US"/>
        </w:rPr>
        <w:t>again requested on October</w:t>
      </w:r>
      <w:r w:rsidR="00E67349" w:rsidRPr="00CF6765">
        <w:rPr>
          <w:rFonts w:eastAsiaTheme="minorHAnsi" w:cstheme="minorBidi"/>
          <w:sz w:val="20"/>
          <w:szCs w:val="20"/>
          <w:lang w:val="en-US" w:eastAsia="en-US"/>
        </w:rPr>
        <w:t xml:space="preserve"> 7</w:t>
      </w:r>
      <w:r w:rsidR="00497BFB" w:rsidRPr="00CF6765">
        <w:rPr>
          <w:rFonts w:eastAsiaTheme="minorHAnsi" w:cstheme="minorBidi"/>
          <w:sz w:val="20"/>
          <w:szCs w:val="20"/>
          <w:lang w:val="en-US" w:eastAsia="en-US"/>
        </w:rPr>
        <w:t xml:space="preserve">, </w:t>
      </w:r>
      <w:r w:rsidR="00E67349" w:rsidRPr="00CF6765">
        <w:rPr>
          <w:rFonts w:eastAsiaTheme="minorHAnsi" w:cstheme="minorBidi"/>
          <w:sz w:val="20"/>
          <w:szCs w:val="20"/>
          <w:lang w:val="en-US" w:eastAsia="en-US"/>
        </w:rPr>
        <w:t>2005</w:t>
      </w:r>
      <w:r w:rsidR="00497BFB" w:rsidRPr="00CF6765">
        <w:rPr>
          <w:rFonts w:eastAsiaTheme="minorHAnsi" w:cstheme="minorBidi"/>
          <w:sz w:val="20"/>
          <w:szCs w:val="20"/>
          <w:lang w:val="en-US" w:eastAsia="en-US"/>
        </w:rPr>
        <w:t>,</w:t>
      </w:r>
      <w:r w:rsidR="00EC50FC" w:rsidRPr="00CF6765">
        <w:rPr>
          <w:rFonts w:eastAsiaTheme="minorHAnsi" w:cstheme="minorBidi"/>
          <w:sz w:val="20"/>
          <w:szCs w:val="20"/>
          <w:lang w:val="en-US" w:eastAsia="en-US"/>
        </w:rPr>
        <w:t xml:space="preserve"> and </w:t>
      </w:r>
      <w:r w:rsidR="00C21120" w:rsidRPr="00CF6765">
        <w:rPr>
          <w:rFonts w:eastAsiaTheme="minorHAnsi" w:cstheme="minorBidi"/>
          <w:sz w:val="20"/>
          <w:szCs w:val="20"/>
          <w:lang w:val="en-US" w:eastAsia="en-US"/>
        </w:rPr>
        <w:t>on January 29,</w:t>
      </w:r>
      <w:r w:rsidR="00E67349" w:rsidRPr="00CF6765">
        <w:rPr>
          <w:rFonts w:eastAsiaTheme="minorHAnsi" w:cstheme="minorBidi"/>
          <w:sz w:val="20"/>
          <w:szCs w:val="20"/>
          <w:lang w:val="en-US" w:eastAsia="en-US"/>
        </w:rPr>
        <w:t xml:space="preserve"> 2007</w:t>
      </w:r>
      <w:r w:rsidR="00497BFB" w:rsidRPr="00CF6765">
        <w:rPr>
          <w:rFonts w:eastAsiaTheme="minorHAnsi" w:cstheme="minorBidi"/>
          <w:sz w:val="20"/>
          <w:szCs w:val="20"/>
          <w:lang w:val="en-US" w:eastAsia="en-US"/>
        </w:rPr>
        <w:t>,</w:t>
      </w:r>
      <w:r w:rsidR="00E67349" w:rsidRPr="00CF6765">
        <w:rPr>
          <w:rFonts w:eastAsiaTheme="minorHAnsi" w:cstheme="minorBidi"/>
          <w:sz w:val="20"/>
          <w:szCs w:val="20"/>
          <w:lang w:val="en-US" w:eastAsia="en-US"/>
        </w:rPr>
        <w:t xml:space="preserve"> </w:t>
      </w:r>
      <w:r w:rsidR="00497BFB" w:rsidRPr="00CF6765">
        <w:rPr>
          <w:rFonts w:eastAsiaTheme="minorHAnsi" w:cstheme="minorBidi"/>
          <w:sz w:val="20"/>
          <w:szCs w:val="20"/>
          <w:lang w:val="en-US" w:eastAsia="en-US"/>
        </w:rPr>
        <w:t>by</w:t>
      </w:r>
      <w:r w:rsidR="00D04694" w:rsidRPr="00CF6765">
        <w:rPr>
          <w:rFonts w:eastAsiaTheme="minorHAnsi" w:cstheme="minorBidi"/>
          <w:sz w:val="20"/>
          <w:szCs w:val="20"/>
          <w:lang w:val="en-US" w:eastAsia="en-US"/>
        </w:rPr>
        <w:t xml:space="preserve"> Mr.</w:t>
      </w:r>
      <w:r w:rsidR="00D2168F" w:rsidRPr="00CF6765">
        <w:rPr>
          <w:rFonts w:eastAsiaTheme="minorHAnsi" w:cstheme="minorBidi"/>
          <w:sz w:val="20"/>
          <w:szCs w:val="20"/>
          <w:lang w:val="en-US" w:eastAsia="en-US"/>
        </w:rPr>
        <w:t xml:space="preserve"> Poblete</w:t>
      </w:r>
      <w:r w:rsidR="00497BFB" w:rsidRPr="00CF6765">
        <w:rPr>
          <w:rFonts w:eastAsiaTheme="minorHAnsi" w:cstheme="minorBidi"/>
          <w:sz w:val="20"/>
          <w:szCs w:val="20"/>
          <w:lang w:val="en-US" w:eastAsia="en-US"/>
        </w:rPr>
        <w:t>’s family</w:t>
      </w:r>
      <w:r w:rsidR="00A42EDD" w:rsidRPr="00CF6765">
        <w:rPr>
          <w:rFonts w:eastAsiaTheme="minorHAnsi" w:cstheme="minorBidi"/>
          <w:sz w:val="20"/>
          <w:szCs w:val="20"/>
          <w:lang w:val="en-US" w:eastAsia="en-US"/>
        </w:rPr>
        <w:t xml:space="preserve">; </w:t>
      </w:r>
      <w:r w:rsidR="00497BFB" w:rsidRPr="00CF6765">
        <w:rPr>
          <w:rFonts w:eastAsiaTheme="minorHAnsi" w:cstheme="minorBidi"/>
          <w:sz w:val="20"/>
          <w:szCs w:val="20"/>
          <w:lang w:val="en-US" w:eastAsia="en-US"/>
        </w:rPr>
        <w:t>(</w:t>
      </w:r>
      <w:r w:rsidR="00E67349" w:rsidRPr="00CF6765">
        <w:rPr>
          <w:rFonts w:eastAsiaTheme="minorHAnsi" w:cstheme="minorBidi"/>
          <w:sz w:val="20"/>
          <w:szCs w:val="20"/>
          <w:lang w:val="en-US" w:eastAsia="en-US"/>
        </w:rPr>
        <w:t xml:space="preserve">b) </w:t>
      </w:r>
      <w:r w:rsidR="00497BFB" w:rsidRPr="00CF6765">
        <w:rPr>
          <w:rFonts w:eastAsiaTheme="minorHAnsi" w:cstheme="minorBidi"/>
          <w:sz w:val="20"/>
          <w:szCs w:val="20"/>
          <w:lang w:val="en-US" w:eastAsia="en-US"/>
        </w:rPr>
        <w:t xml:space="preserve">the criminal case on the </w:t>
      </w:r>
      <w:r w:rsidR="003626CB" w:rsidRPr="00CF6765">
        <w:rPr>
          <w:rFonts w:eastAsiaTheme="minorHAnsi" w:cstheme="minorBidi"/>
          <w:sz w:val="20"/>
          <w:szCs w:val="20"/>
          <w:lang w:val="en-US" w:eastAsia="en-US"/>
        </w:rPr>
        <w:t>death</w:t>
      </w:r>
      <w:r w:rsidR="00CD5738" w:rsidRPr="00CF6765">
        <w:rPr>
          <w:rFonts w:eastAsiaTheme="minorHAnsi" w:cstheme="minorBidi"/>
          <w:sz w:val="20"/>
          <w:szCs w:val="20"/>
          <w:lang w:val="en-US" w:eastAsia="en-US"/>
        </w:rPr>
        <w:t xml:space="preserve"> </w:t>
      </w:r>
      <w:r w:rsidR="00D04694" w:rsidRPr="00CF6765">
        <w:rPr>
          <w:rFonts w:eastAsiaTheme="minorHAnsi" w:cstheme="minorBidi"/>
          <w:sz w:val="20"/>
          <w:szCs w:val="20"/>
          <w:lang w:val="en-US" w:eastAsia="en-US"/>
        </w:rPr>
        <w:t>of Mr.</w:t>
      </w:r>
      <w:r w:rsidR="00D2168F" w:rsidRPr="00CF6765">
        <w:rPr>
          <w:rFonts w:eastAsiaTheme="minorHAnsi" w:cstheme="minorBidi"/>
          <w:sz w:val="20"/>
          <w:szCs w:val="20"/>
          <w:lang w:val="en-US" w:eastAsia="en-US"/>
        </w:rPr>
        <w:t xml:space="preserve"> Poblete</w:t>
      </w:r>
      <w:r w:rsidR="00CD5738" w:rsidRPr="00CF6765">
        <w:rPr>
          <w:rFonts w:eastAsiaTheme="minorHAnsi" w:cstheme="minorBidi"/>
          <w:sz w:val="20"/>
          <w:szCs w:val="20"/>
          <w:lang w:val="en-US" w:eastAsia="en-US"/>
        </w:rPr>
        <w:t xml:space="preserve"> </w:t>
      </w:r>
      <w:proofErr w:type="spellStart"/>
      <w:r w:rsidR="00CD5738" w:rsidRPr="00CF6765">
        <w:rPr>
          <w:rFonts w:eastAsiaTheme="minorHAnsi" w:cstheme="minorBidi"/>
          <w:sz w:val="20"/>
          <w:szCs w:val="20"/>
          <w:lang w:val="en-US" w:eastAsia="en-US"/>
        </w:rPr>
        <w:t>Vilches</w:t>
      </w:r>
      <w:proofErr w:type="spellEnd"/>
      <w:r w:rsidR="00CD5738" w:rsidRPr="00CF6765">
        <w:rPr>
          <w:rFonts w:eastAsiaTheme="minorHAnsi" w:cstheme="minorBidi"/>
          <w:sz w:val="20"/>
          <w:szCs w:val="20"/>
          <w:lang w:val="en-US" w:eastAsia="en-US"/>
        </w:rPr>
        <w:t xml:space="preserve"> </w:t>
      </w:r>
      <w:r w:rsidR="00497BFB" w:rsidRPr="00CF6765">
        <w:rPr>
          <w:rFonts w:eastAsiaTheme="minorHAnsi" w:cstheme="minorBidi"/>
          <w:sz w:val="20"/>
          <w:szCs w:val="20"/>
          <w:lang w:val="en-US" w:eastAsia="en-US"/>
        </w:rPr>
        <w:t xml:space="preserve">was dismissed on two occasion over a period of approximately 18 months. Added to this, following the second </w:t>
      </w:r>
      <w:r w:rsidR="001E55C3" w:rsidRPr="00CF6765">
        <w:rPr>
          <w:rFonts w:eastAsiaTheme="minorHAnsi" w:cstheme="minorBidi"/>
          <w:sz w:val="20"/>
          <w:szCs w:val="20"/>
          <w:lang w:val="en-US" w:eastAsia="en-US"/>
        </w:rPr>
        <w:t>reopen</w:t>
      </w:r>
      <w:r w:rsidR="00497BFB" w:rsidRPr="00CF6765">
        <w:rPr>
          <w:rFonts w:eastAsiaTheme="minorHAnsi" w:cstheme="minorBidi"/>
          <w:sz w:val="20"/>
          <w:szCs w:val="20"/>
          <w:lang w:val="en-US" w:eastAsia="en-US"/>
        </w:rPr>
        <w:t xml:space="preserve">ing of the case on August 4, </w:t>
      </w:r>
      <w:r w:rsidR="00CD5738" w:rsidRPr="00CF6765">
        <w:rPr>
          <w:rFonts w:eastAsiaTheme="minorHAnsi" w:cstheme="minorBidi"/>
          <w:sz w:val="20"/>
          <w:szCs w:val="20"/>
          <w:lang w:val="en-US" w:eastAsia="en-US"/>
        </w:rPr>
        <w:t>2008,</w:t>
      </w:r>
      <w:r w:rsidR="00497BFB" w:rsidRPr="00CF6765">
        <w:rPr>
          <w:rFonts w:eastAsiaTheme="minorHAnsi" w:cstheme="minorBidi"/>
          <w:sz w:val="20"/>
          <w:szCs w:val="20"/>
          <w:lang w:val="en-US" w:eastAsia="en-US"/>
        </w:rPr>
        <w:t xml:space="preserve"> there is no evidence that the judicial authorities have taken any steps to investigate the facts that occurred in this case and to prosecute and punish those responsible;</w:t>
      </w:r>
      <w:r w:rsidR="00474B8B" w:rsidRPr="00CF6765">
        <w:rPr>
          <w:rFonts w:eastAsiaTheme="minorHAnsi"/>
          <w:sz w:val="20"/>
          <w:szCs w:val="20"/>
          <w:vertAlign w:val="superscript"/>
          <w:lang w:val="en-US" w:eastAsia="en-US"/>
        </w:rPr>
        <w:footnoteReference w:id="285"/>
      </w:r>
      <w:r w:rsidR="00474B8B" w:rsidRPr="00CF6765">
        <w:rPr>
          <w:rFonts w:eastAsiaTheme="minorHAnsi" w:cstheme="minorBidi"/>
          <w:sz w:val="20"/>
          <w:szCs w:val="20"/>
          <w:lang w:val="en-US" w:eastAsia="en-US"/>
        </w:rPr>
        <w:t xml:space="preserve"> </w:t>
      </w:r>
      <w:r w:rsidR="00497BFB" w:rsidRPr="00CF6765">
        <w:rPr>
          <w:rFonts w:eastAsiaTheme="minorHAnsi" w:cstheme="minorBidi"/>
          <w:sz w:val="20"/>
          <w:szCs w:val="20"/>
          <w:lang w:val="en-US" w:eastAsia="en-US"/>
        </w:rPr>
        <w:t>(</w:t>
      </w:r>
      <w:r w:rsidR="00E67349" w:rsidRPr="00CF6765">
        <w:rPr>
          <w:rFonts w:eastAsiaTheme="minorHAnsi" w:cstheme="minorBidi"/>
          <w:sz w:val="20"/>
          <w:szCs w:val="20"/>
          <w:lang w:val="en-US" w:eastAsia="en-US"/>
        </w:rPr>
        <w:t xml:space="preserve">c) </w:t>
      </w:r>
      <w:r w:rsidR="00497BFB" w:rsidRPr="00CF6765">
        <w:rPr>
          <w:rFonts w:eastAsiaTheme="minorHAnsi" w:cstheme="minorBidi"/>
          <w:sz w:val="20"/>
          <w:szCs w:val="20"/>
          <w:lang w:val="en-US" w:eastAsia="en-US"/>
        </w:rPr>
        <w:t>the confrontation between</w:t>
      </w:r>
      <w:r w:rsidR="00CD5738" w:rsidRPr="00CF6765">
        <w:rPr>
          <w:rFonts w:eastAsiaTheme="minorHAnsi" w:cstheme="minorBidi"/>
          <w:sz w:val="20"/>
          <w:szCs w:val="20"/>
          <w:lang w:val="en-US" w:eastAsia="en-US"/>
        </w:rPr>
        <w:t xml:space="preserve"> </w:t>
      </w:r>
      <w:r w:rsidR="00D2168F" w:rsidRPr="00CF6765">
        <w:rPr>
          <w:rFonts w:eastAsiaTheme="minorHAnsi" w:cstheme="minorBidi"/>
          <w:sz w:val="20"/>
          <w:szCs w:val="20"/>
          <w:lang w:val="en-US" w:eastAsia="en-US"/>
        </w:rPr>
        <w:t>Vinicio</w:t>
      </w:r>
      <w:r w:rsidR="00CD5738" w:rsidRPr="00CF6765">
        <w:rPr>
          <w:rFonts w:eastAsiaTheme="minorHAnsi" w:cstheme="minorBidi"/>
          <w:sz w:val="20"/>
          <w:szCs w:val="20"/>
          <w:lang w:val="en-US" w:eastAsia="en-US"/>
        </w:rPr>
        <w:t xml:space="preserve"> Poblete Tapia</w:t>
      </w:r>
      <w:r w:rsidR="00EC50FC" w:rsidRPr="00CF6765">
        <w:rPr>
          <w:rFonts w:eastAsiaTheme="minorHAnsi" w:cstheme="minorBidi"/>
          <w:sz w:val="20"/>
          <w:szCs w:val="20"/>
          <w:lang w:val="en-US" w:eastAsia="en-US"/>
        </w:rPr>
        <w:t xml:space="preserve"> and </w:t>
      </w:r>
      <w:proofErr w:type="spellStart"/>
      <w:r w:rsidR="00CD5738" w:rsidRPr="00CF6765">
        <w:rPr>
          <w:rFonts w:eastAsiaTheme="minorHAnsi" w:cstheme="minorBidi"/>
          <w:sz w:val="20"/>
          <w:szCs w:val="20"/>
          <w:lang w:val="en-US" w:eastAsia="en-US"/>
        </w:rPr>
        <w:t>Cesia</w:t>
      </w:r>
      <w:proofErr w:type="spellEnd"/>
      <w:r w:rsidR="00CD5738" w:rsidRPr="00CF6765">
        <w:rPr>
          <w:rFonts w:eastAsiaTheme="minorHAnsi" w:cstheme="minorBidi"/>
          <w:sz w:val="20"/>
          <w:szCs w:val="20"/>
          <w:lang w:val="en-US" w:eastAsia="en-US"/>
        </w:rPr>
        <w:t xml:space="preserve"> Leyla Poblete Tapia, </w:t>
      </w:r>
      <w:r w:rsidR="0062306D" w:rsidRPr="00CF6765">
        <w:rPr>
          <w:rFonts w:eastAsiaTheme="minorHAnsi" w:cstheme="minorBidi"/>
          <w:sz w:val="20"/>
          <w:szCs w:val="20"/>
          <w:lang w:val="en-US" w:eastAsia="en-US"/>
        </w:rPr>
        <w:t>and</w:t>
      </w:r>
      <w:r w:rsidR="00CD5738"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Dr.</w:t>
      </w:r>
      <w:r w:rsidR="00CD5738" w:rsidRPr="00CF6765">
        <w:rPr>
          <w:rFonts w:eastAsiaTheme="minorHAnsi" w:cstheme="minorBidi"/>
          <w:sz w:val="20"/>
          <w:szCs w:val="20"/>
          <w:lang w:val="en-US" w:eastAsia="en-US"/>
        </w:rPr>
        <w:t xml:space="preserve"> María Carolina </w:t>
      </w:r>
      <w:proofErr w:type="spellStart"/>
      <w:r w:rsidR="00CD5738" w:rsidRPr="00CF6765">
        <w:rPr>
          <w:rFonts w:eastAsiaTheme="minorHAnsi" w:cstheme="minorBidi"/>
          <w:sz w:val="20"/>
          <w:szCs w:val="20"/>
          <w:lang w:val="en-US" w:eastAsia="en-US"/>
        </w:rPr>
        <w:t>Chacón</w:t>
      </w:r>
      <w:proofErr w:type="spellEnd"/>
      <w:r w:rsidR="00CD5738" w:rsidRPr="00CF6765">
        <w:rPr>
          <w:rFonts w:eastAsiaTheme="minorHAnsi" w:cstheme="minorBidi"/>
          <w:sz w:val="20"/>
          <w:szCs w:val="20"/>
          <w:lang w:val="en-US" w:eastAsia="en-US"/>
        </w:rPr>
        <w:t xml:space="preserve"> Fernández, </w:t>
      </w:r>
      <w:r w:rsidR="00497BFB" w:rsidRPr="00CF6765">
        <w:rPr>
          <w:rFonts w:eastAsiaTheme="minorHAnsi" w:cstheme="minorBidi"/>
          <w:sz w:val="20"/>
          <w:szCs w:val="20"/>
          <w:lang w:val="en-US" w:eastAsia="en-US"/>
        </w:rPr>
        <w:t xml:space="preserve">requested by the former on </w:t>
      </w:r>
      <w:r w:rsidR="0090740B" w:rsidRPr="00CF6765">
        <w:rPr>
          <w:rFonts w:eastAsiaTheme="minorHAnsi" w:cstheme="minorBidi"/>
          <w:sz w:val="20"/>
          <w:szCs w:val="20"/>
          <w:lang w:val="en-US" w:eastAsia="en-US"/>
        </w:rPr>
        <w:t>March</w:t>
      </w:r>
      <w:r w:rsidR="00497BFB" w:rsidRPr="00CF6765">
        <w:rPr>
          <w:rFonts w:eastAsiaTheme="minorHAnsi" w:cstheme="minorBidi"/>
          <w:sz w:val="20"/>
          <w:szCs w:val="20"/>
          <w:lang w:val="en-US" w:eastAsia="en-US"/>
        </w:rPr>
        <w:t xml:space="preserve"> 21, </w:t>
      </w:r>
      <w:r w:rsidR="00CD5738" w:rsidRPr="00CF6765">
        <w:rPr>
          <w:rFonts w:eastAsiaTheme="minorHAnsi" w:cstheme="minorBidi"/>
          <w:sz w:val="20"/>
          <w:szCs w:val="20"/>
          <w:lang w:val="en-US" w:eastAsia="en-US"/>
        </w:rPr>
        <w:t>2006</w:t>
      </w:r>
      <w:r w:rsidR="00E67349" w:rsidRPr="00CF6765">
        <w:rPr>
          <w:rFonts w:eastAsiaTheme="minorHAnsi" w:cstheme="minorBidi"/>
          <w:sz w:val="20"/>
          <w:szCs w:val="20"/>
          <w:lang w:val="en-US" w:eastAsia="en-US"/>
        </w:rPr>
        <w:t>,</w:t>
      </w:r>
      <w:r w:rsidR="00EC50FC" w:rsidRPr="00CF6765">
        <w:rPr>
          <w:rFonts w:eastAsiaTheme="minorHAnsi" w:cstheme="minorBidi"/>
          <w:sz w:val="20"/>
          <w:szCs w:val="20"/>
          <w:lang w:val="en-US" w:eastAsia="en-US"/>
        </w:rPr>
        <w:t xml:space="preserve"> and </w:t>
      </w:r>
      <w:r w:rsidR="00497BFB" w:rsidRPr="00CF6765">
        <w:rPr>
          <w:rFonts w:eastAsiaTheme="minorHAnsi" w:cstheme="minorBidi"/>
          <w:sz w:val="20"/>
          <w:szCs w:val="20"/>
          <w:lang w:val="en-US" w:eastAsia="en-US"/>
        </w:rPr>
        <w:t>(</w:t>
      </w:r>
      <w:r w:rsidR="00E67349" w:rsidRPr="00CF6765">
        <w:rPr>
          <w:rFonts w:eastAsiaTheme="minorHAnsi" w:cstheme="minorBidi"/>
          <w:sz w:val="20"/>
          <w:szCs w:val="20"/>
          <w:lang w:val="en-US" w:eastAsia="en-US"/>
        </w:rPr>
        <w:t>d)</w:t>
      </w:r>
      <w:r w:rsidR="00CD5738" w:rsidRPr="00CF6765">
        <w:rPr>
          <w:rFonts w:eastAsiaTheme="minorHAnsi" w:cstheme="minorBidi"/>
          <w:sz w:val="20"/>
          <w:szCs w:val="20"/>
          <w:lang w:val="en-US" w:eastAsia="en-US"/>
        </w:rPr>
        <w:t xml:space="preserve"> </w:t>
      </w:r>
      <w:r w:rsidR="00497BFB" w:rsidRPr="00CF6765">
        <w:rPr>
          <w:rFonts w:eastAsiaTheme="minorHAnsi" w:cstheme="minorBidi"/>
          <w:sz w:val="20"/>
          <w:szCs w:val="20"/>
          <w:lang w:val="en-US" w:eastAsia="en-US"/>
        </w:rPr>
        <w:t>Dr.</w:t>
      </w:r>
      <w:r w:rsidR="00CD5738" w:rsidRPr="00CF6765">
        <w:rPr>
          <w:rFonts w:eastAsiaTheme="minorHAnsi" w:cstheme="minorBidi"/>
          <w:sz w:val="20"/>
          <w:szCs w:val="20"/>
          <w:lang w:val="en-US" w:eastAsia="en-US"/>
        </w:rPr>
        <w:t xml:space="preserve"> Luis Carvajal Freire</w:t>
      </w:r>
      <w:r w:rsidR="00497BFB" w:rsidRPr="00CF6765">
        <w:rPr>
          <w:rFonts w:eastAsiaTheme="minorHAnsi" w:cstheme="minorBidi"/>
          <w:sz w:val="20"/>
          <w:szCs w:val="20"/>
          <w:lang w:val="en-US" w:eastAsia="en-US"/>
        </w:rPr>
        <w:t xml:space="preserve"> was not arrested, despite the fact that on </w:t>
      </w:r>
      <w:r w:rsidR="00930431" w:rsidRPr="00CF6765">
        <w:rPr>
          <w:rFonts w:eastAsiaTheme="minorHAnsi" w:cstheme="minorBidi"/>
          <w:sz w:val="20"/>
          <w:szCs w:val="20"/>
          <w:lang w:val="en-US" w:eastAsia="en-US"/>
        </w:rPr>
        <w:t xml:space="preserve">February </w:t>
      </w:r>
      <w:r w:rsidR="00497BFB" w:rsidRPr="00CF6765">
        <w:rPr>
          <w:rFonts w:eastAsiaTheme="minorHAnsi" w:cstheme="minorBidi"/>
          <w:sz w:val="20"/>
          <w:szCs w:val="20"/>
          <w:lang w:val="en-US" w:eastAsia="en-US"/>
        </w:rPr>
        <w:t>2</w:t>
      </w:r>
      <w:r w:rsidR="00930431" w:rsidRPr="00CF6765">
        <w:rPr>
          <w:rFonts w:eastAsiaTheme="minorHAnsi" w:cstheme="minorBidi"/>
          <w:sz w:val="20"/>
          <w:szCs w:val="20"/>
          <w:lang w:val="en-US" w:eastAsia="en-US"/>
        </w:rPr>
        <w:t>8,</w:t>
      </w:r>
      <w:r w:rsidR="00CD5738" w:rsidRPr="00CF6765">
        <w:rPr>
          <w:rFonts w:eastAsiaTheme="minorHAnsi" w:cstheme="minorBidi"/>
          <w:sz w:val="20"/>
          <w:szCs w:val="20"/>
          <w:lang w:val="en-US" w:eastAsia="en-US"/>
        </w:rPr>
        <w:t xml:space="preserve"> 2004, </w:t>
      </w:r>
      <w:r w:rsidRPr="00CF6765">
        <w:rPr>
          <w:rFonts w:eastAsiaTheme="minorHAnsi" w:cstheme="minorBidi"/>
          <w:sz w:val="20"/>
          <w:szCs w:val="20"/>
          <w:lang w:val="en-US" w:eastAsia="en-US"/>
        </w:rPr>
        <w:t>December 20,</w:t>
      </w:r>
      <w:r w:rsidR="00CD5738" w:rsidRPr="00CF6765">
        <w:rPr>
          <w:rFonts w:eastAsiaTheme="minorHAnsi" w:cstheme="minorBidi"/>
          <w:sz w:val="20"/>
          <w:szCs w:val="20"/>
          <w:lang w:val="en-US" w:eastAsia="en-US"/>
        </w:rPr>
        <w:t xml:space="preserve"> 2004</w:t>
      </w:r>
      <w:r w:rsidRPr="00CF6765">
        <w:rPr>
          <w:rFonts w:eastAsiaTheme="minorHAnsi" w:cstheme="minorBidi"/>
          <w:sz w:val="20"/>
          <w:szCs w:val="20"/>
          <w:lang w:val="en-US" w:eastAsia="en-US"/>
        </w:rPr>
        <w:t>,</w:t>
      </w:r>
      <w:r w:rsidR="00EC50FC" w:rsidRPr="00CF6765">
        <w:rPr>
          <w:rFonts w:eastAsiaTheme="minorHAnsi" w:cstheme="minorBidi"/>
          <w:sz w:val="20"/>
          <w:szCs w:val="20"/>
          <w:lang w:val="en-US" w:eastAsia="en-US"/>
        </w:rPr>
        <w:t xml:space="preserve"> and</w:t>
      </w:r>
      <w:r w:rsidRPr="00CF6765">
        <w:rPr>
          <w:rFonts w:eastAsiaTheme="minorHAnsi" w:cstheme="minorBidi"/>
          <w:sz w:val="20"/>
          <w:szCs w:val="20"/>
          <w:lang w:val="en-US" w:eastAsia="en-US"/>
        </w:rPr>
        <w:t xml:space="preserve"> October</w:t>
      </w:r>
      <w:r w:rsidR="00EC50FC" w:rsidRPr="00CF6765">
        <w:rPr>
          <w:rFonts w:eastAsiaTheme="minorHAnsi" w:cstheme="minorBidi"/>
          <w:sz w:val="20"/>
          <w:szCs w:val="20"/>
          <w:lang w:val="en-US" w:eastAsia="en-US"/>
        </w:rPr>
        <w:t xml:space="preserve"> </w:t>
      </w:r>
      <w:r w:rsidR="00CD5738" w:rsidRPr="00CF6765">
        <w:rPr>
          <w:rFonts w:eastAsiaTheme="minorHAnsi" w:cstheme="minorBidi"/>
          <w:sz w:val="20"/>
          <w:szCs w:val="20"/>
          <w:lang w:val="en-US" w:eastAsia="en-US"/>
        </w:rPr>
        <w:t>31</w:t>
      </w:r>
      <w:r w:rsidRPr="00CF6765">
        <w:rPr>
          <w:rFonts w:eastAsiaTheme="minorHAnsi" w:cstheme="minorBidi"/>
          <w:sz w:val="20"/>
          <w:szCs w:val="20"/>
          <w:lang w:val="en-US" w:eastAsia="en-US"/>
        </w:rPr>
        <w:t xml:space="preserve">, </w:t>
      </w:r>
      <w:r w:rsidR="00CD5738" w:rsidRPr="00CF6765">
        <w:rPr>
          <w:rFonts w:eastAsiaTheme="minorHAnsi" w:cstheme="minorBidi"/>
          <w:sz w:val="20"/>
          <w:szCs w:val="20"/>
          <w:lang w:val="en-US" w:eastAsia="en-US"/>
        </w:rPr>
        <w:t>2005</w:t>
      </w:r>
      <w:r w:rsidRPr="00CF6765">
        <w:rPr>
          <w:rFonts w:eastAsiaTheme="minorHAnsi" w:cstheme="minorBidi"/>
          <w:sz w:val="20"/>
          <w:szCs w:val="20"/>
          <w:lang w:val="en-US" w:eastAsia="en-US"/>
        </w:rPr>
        <w:t>,</w:t>
      </w:r>
      <w:r w:rsidR="00CD5738" w:rsidRPr="00CF6765">
        <w:rPr>
          <w:rFonts w:eastAsiaTheme="minorHAnsi" w:cstheme="minorBidi"/>
          <w:sz w:val="20"/>
          <w:szCs w:val="20"/>
          <w:lang w:val="en-US" w:eastAsia="en-US"/>
        </w:rPr>
        <w:t xml:space="preserve"> </w:t>
      </w:r>
      <w:r w:rsidR="002D729E" w:rsidRPr="00CF6765">
        <w:rPr>
          <w:rFonts w:eastAsiaTheme="minorHAnsi" w:cstheme="minorBidi"/>
          <w:sz w:val="20"/>
          <w:szCs w:val="20"/>
          <w:lang w:val="en-US" w:eastAsia="en-US"/>
        </w:rPr>
        <w:t>the First Civil Court</w:t>
      </w:r>
      <w:r w:rsidR="00CD5738"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issued</w:t>
      </w:r>
      <w:r w:rsidR="00497BFB"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arrest warrant</w:t>
      </w:r>
      <w:r w:rsidR="00497BFB" w:rsidRPr="00CF6765">
        <w:rPr>
          <w:rFonts w:eastAsiaTheme="minorHAnsi" w:cstheme="minorBidi"/>
          <w:sz w:val="20"/>
          <w:szCs w:val="20"/>
          <w:lang w:val="en-US" w:eastAsia="en-US"/>
        </w:rPr>
        <w:t>s</w:t>
      </w:r>
      <w:r w:rsidRPr="00CF6765">
        <w:rPr>
          <w:rFonts w:eastAsiaTheme="minorHAnsi" w:cstheme="minorBidi"/>
          <w:sz w:val="20"/>
          <w:szCs w:val="20"/>
          <w:lang w:val="en-US" w:eastAsia="en-US"/>
        </w:rPr>
        <w:t xml:space="preserve"> against him</w:t>
      </w:r>
      <w:r w:rsidR="00497BFB" w:rsidRPr="00CF6765">
        <w:rPr>
          <w:rFonts w:eastAsiaTheme="minorHAnsi" w:cstheme="minorBidi"/>
          <w:sz w:val="20"/>
          <w:szCs w:val="20"/>
          <w:lang w:val="en-US" w:eastAsia="en-US"/>
        </w:rPr>
        <w:t>;</w:t>
      </w:r>
      <w:r w:rsidR="00CD5738" w:rsidRPr="00CF6765">
        <w:rPr>
          <w:rFonts w:eastAsiaTheme="minorHAnsi" w:cstheme="minorBidi"/>
          <w:sz w:val="20"/>
          <w:szCs w:val="20"/>
          <w:lang w:val="en-US" w:eastAsia="en-US"/>
        </w:rPr>
        <w:t xml:space="preserve"> </w:t>
      </w:r>
      <w:r w:rsidR="00E535D5" w:rsidRPr="00CF6765">
        <w:rPr>
          <w:rFonts w:eastAsiaTheme="minorHAnsi" w:cstheme="minorBidi"/>
          <w:sz w:val="20"/>
          <w:szCs w:val="20"/>
          <w:lang w:val="en-US" w:eastAsia="en-US"/>
        </w:rPr>
        <w:t>on April 6,</w:t>
      </w:r>
      <w:r w:rsidR="00CD5738" w:rsidRPr="00CF6765">
        <w:rPr>
          <w:rFonts w:eastAsiaTheme="minorHAnsi" w:cstheme="minorBidi"/>
          <w:sz w:val="20"/>
          <w:szCs w:val="20"/>
          <w:lang w:val="en-US" w:eastAsia="en-US"/>
        </w:rPr>
        <w:t xml:space="preserve"> 2004</w:t>
      </w:r>
      <w:r w:rsidRPr="00CF6765">
        <w:rPr>
          <w:rFonts w:eastAsiaTheme="minorHAnsi" w:cstheme="minorBidi"/>
          <w:sz w:val="20"/>
          <w:szCs w:val="20"/>
          <w:lang w:val="en-US" w:eastAsia="en-US"/>
        </w:rPr>
        <w:t>, the 19</w:t>
      </w:r>
      <w:r w:rsidRPr="00CF6765">
        <w:rPr>
          <w:rFonts w:eastAsiaTheme="minorHAnsi" w:cstheme="minorBidi"/>
          <w:sz w:val="20"/>
          <w:szCs w:val="20"/>
          <w:vertAlign w:val="superscript"/>
          <w:lang w:val="en-US" w:eastAsia="en-US"/>
        </w:rPr>
        <w:t>th</w:t>
      </w:r>
      <w:r w:rsidRPr="00CF6765">
        <w:rPr>
          <w:rFonts w:eastAsiaTheme="minorHAnsi" w:cstheme="minorBidi"/>
          <w:sz w:val="20"/>
          <w:szCs w:val="20"/>
          <w:lang w:val="en-US" w:eastAsia="en-US"/>
        </w:rPr>
        <w:t xml:space="preserve"> Criminal Court ordered his arrest for the offense of disobeying the orders </w:t>
      </w:r>
      <w:r w:rsidR="00AD04D4" w:rsidRPr="00CF6765">
        <w:rPr>
          <w:rFonts w:eastAsiaTheme="minorHAnsi" w:cstheme="minorBidi"/>
          <w:sz w:val="20"/>
          <w:szCs w:val="20"/>
          <w:lang w:val="en-US" w:eastAsia="en-US"/>
        </w:rPr>
        <w:t xml:space="preserve">of the </w:t>
      </w:r>
      <w:r w:rsidR="002D729E" w:rsidRPr="00CF6765">
        <w:rPr>
          <w:rFonts w:eastAsiaTheme="minorHAnsi" w:cstheme="minorBidi"/>
          <w:sz w:val="20"/>
          <w:szCs w:val="20"/>
          <w:lang w:val="en-US" w:eastAsia="en-US"/>
        </w:rPr>
        <w:t>First Civil Court</w:t>
      </w:r>
      <w:r w:rsidR="00CD5738" w:rsidRPr="00CF6765">
        <w:rPr>
          <w:rFonts w:eastAsiaTheme="minorHAnsi" w:cstheme="minorBidi"/>
          <w:sz w:val="20"/>
          <w:szCs w:val="20"/>
          <w:lang w:val="en-US" w:eastAsia="en-US"/>
        </w:rPr>
        <w:t xml:space="preserve"> </w:t>
      </w:r>
      <w:r w:rsidR="00E535D5" w:rsidRPr="00CF6765">
        <w:rPr>
          <w:rFonts w:eastAsiaTheme="minorHAnsi" w:cstheme="minorBidi"/>
          <w:sz w:val="20"/>
          <w:szCs w:val="20"/>
          <w:lang w:val="en-US" w:eastAsia="en-US"/>
        </w:rPr>
        <w:t>of Puente Alto</w:t>
      </w:r>
      <w:r w:rsidR="00497BFB" w:rsidRPr="00CF6765">
        <w:rPr>
          <w:rFonts w:eastAsiaTheme="minorHAnsi" w:cstheme="minorBidi"/>
          <w:sz w:val="20"/>
          <w:szCs w:val="20"/>
          <w:lang w:val="en-US" w:eastAsia="en-US"/>
        </w:rPr>
        <w:t>;</w:t>
      </w:r>
      <w:r w:rsidR="00CD5738"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on January 8,</w:t>
      </w:r>
      <w:r w:rsidR="00CD5738" w:rsidRPr="00CF6765">
        <w:rPr>
          <w:rFonts w:eastAsiaTheme="minorHAnsi" w:cstheme="minorBidi"/>
          <w:sz w:val="20"/>
          <w:szCs w:val="20"/>
          <w:lang w:val="en-US" w:eastAsia="en-US"/>
        </w:rPr>
        <w:t xml:space="preserve"> 2005</w:t>
      </w:r>
      <w:r w:rsidRPr="00CF6765">
        <w:rPr>
          <w:rFonts w:eastAsiaTheme="minorHAnsi" w:cstheme="minorBidi"/>
          <w:sz w:val="20"/>
          <w:szCs w:val="20"/>
          <w:lang w:val="en-US" w:eastAsia="en-US"/>
        </w:rPr>
        <w:t>, the 19th Criminal Court ordered his arrest for the quasi-offense of homicide</w:t>
      </w:r>
      <w:r w:rsidR="00CD5738" w:rsidRPr="00CF6765">
        <w:rPr>
          <w:rFonts w:eastAsiaTheme="minorHAnsi" w:cstheme="minorBidi"/>
          <w:sz w:val="20"/>
          <w:szCs w:val="20"/>
          <w:lang w:val="en-US" w:eastAsia="en-US"/>
        </w:rPr>
        <w:t>,</w:t>
      </w:r>
      <w:r w:rsidR="00EC50FC" w:rsidRPr="00CF6765">
        <w:rPr>
          <w:rFonts w:eastAsiaTheme="minorHAnsi" w:cstheme="minorBidi"/>
          <w:sz w:val="20"/>
          <w:szCs w:val="20"/>
          <w:lang w:val="en-US" w:eastAsia="en-US"/>
        </w:rPr>
        <w:t xml:space="preserve"> and </w:t>
      </w:r>
      <w:r w:rsidRPr="00CF6765">
        <w:rPr>
          <w:rFonts w:eastAsiaTheme="minorHAnsi" w:cstheme="minorBidi"/>
          <w:sz w:val="20"/>
          <w:szCs w:val="20"/>
          <w:lang w:val="en-US" w:eastAsia="en-US"/>
        </w:rPr>
        <w:t>on May 23,</w:t>
      </w:r>
      <w:r w:rsidR="00CD5738" w:rsidRPr="00CF6765">
        <w:rPr>
          <w:rFonts w:eastAsiaTheme="minorHAnsi" w:cstheme="minorBidi"/>
          <w:sz w:val="20"/>
          <w:szCs w:val="20"/>
          <w:lang w:val="en-US" w:eastAsia="en-US"/>
        </w:rPr>
        <w:t xml:space="preserve"> 2007</w:t>
      </w:r>
      <w:r w:rsidRPr="00CF6765">
        <w:rPr>
          <w:rFonts w:eastAsiaTheme="minorHAnsi" w:cstheme="minorBidi"/>
          <w:sz w:val="20"/>
          <w:szCs w:val="20"/>
          <w:lang w:val="en-US" w:eastAsia="en-US"/>
        </w:rPr>
        <w:t>,</w:t>
      </w:r>
      <w:r w:rsidR="00CD5738" w:rsidRPr="00CF6765">
        <w:rPr>
          <w:rFonts w:eastAsiaTheme="minorHAnsi" w:cstheme="minorBidi"/>
          <w:sz w:val="20"/>
          <w:szCs w:val="20"/>
          <w:lang w:val="en-US" w:eastAsia="en-US"/>
        </w:rPr>
        <w:t xml:space="preserve"> </w:t>
      </w:r>
      <w:r w:rsidR="002D729E" w:rsidRPr="00CF6765">
        <w:rPr>
          <w:rFonts w:eastAsiaTheme="minorHAnsi" w:cstheme="minorBidi"/>
          <w:sz w:val="20"/>
          <w:szCs w:val="20"/>
          <w:lang w:val="en-US" w:eastAsia="en-US"/>
        </w:rPr>
        <w:t>the First Civil Court</w:t>
      </w:r>
      <w:r w:rsidR="00CD5738"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 xml:space="preserve">verified that Dr. </w:t>
      </w:r>
      <w:r w:rsidR="00CD5738" w:rsidRPr="00CF6765">
        <w:rPr>
          <w:rFonts w:eastAsiaTheme="minorHAnsi" w:cstheme="minorBidi"/>
          <w:sz w:val="20"/>
          <w:szCs w:val="20"/>
          <w:lang w:val="en-US" w:eastAsia="en-US"/>
        </w:rPr>
        <w:t>Luis Carvajal Freire continu</w:t>
      </w:r>
      <w:r w:rsidRPr="00CF6765">
        <w:rPr>
          <w:rFonts w:eastAsiaTheme="minorHAnsi" w:cstheme="minorBidi"/>
          <w:sz w:val="20"/>
          <w:szCs w:val="20"/>
          <w:lang w:val="en-US" w:eastAsia="en-US"/>
        </w:rPr>
        <w:t xml:space="preserve">ed to work at </w:t>
      </w:r>
      <w:r w:rsidR="00E15A35" w:rsidRPr="00CF6765">
        <w:rPr>
          <w:rFonts w:eastAsiaTheme="minorHAnsi" w:cstheme="minorBidi"/>
          <w:sz w:val="20"/>
          <w:szCs w:val="20"/>
          <w:lang w:val="en-US" w:eastAsia="en-US"/>
        </w:rPr>
        <w:t xml:space="preserve">the </w:t>
      </w:r>
      <w:proofErr w:type="spellStart"/>
      <w:r w:rsidR="00E15A35" w:rsidRPr="00CF6765">
        <w:rPr>
          <w:rFonts w:eastAsiaTheme="minorHAnsi" w:cstheme="minorBidi"/>
          <w:sz w:val="20"/>
          <w:szCs w:val="20"/>
          <w:lang w:val="en-US" w:eastAsia="en-US"/>
        </w:rPr>
        <w:t>Sótero</w:t>
      </w:r>
      <w:proofErr w:type="spellEnd"/>
      <w:r w:rsidR="00E15A35" w:rsidRPr="00CF6765">
        <w:rPr>
          <w:rFonts w:eastAsiaTheme="minorHAnsi" w:cstheme="minorBidi"/>
          <w:sz w:val="20"/>
          <w:szCs w:val="20"/>
          <w:lang w:val="en-US" w:eastAsia="en-US"/>
        </w:rPr>
        <w:t xml:space="preserve"> del Río Hospital</w:t>
      </w:r>
      <w:r w:rsidR="00E67349" w:rsidRPr="00CF6765">
        <w:rPr>
          <w:rFonts w:eastAsiaTheme="minorHAnsi" w:cstheme="minorBidi"/>
          <w:sz w:val="20"/>
          <w:szCs w:val="20"/>
          <w:lang w:val="en-US" w:eastAsia="en-US"/>
        </w:rPr>
        <w:t>.</w:t>
      </w:r>
    </w:p>
    <w:p w14:paraId="151330F0" w14:textId="6D29C397" w:rsidR="005326B4" w:rsidRPr="00CF6765" w:rsidRDefault="005326B4" w:rsidP="0059117C">
      <w:pPr>
        <w:tabs>
          <w:tab w:val="left" w:pos="567"/>
        </w:tabs>
        <w:rPr>
          <w:rFonts w:eastAsiaTheme="minorHAnsi" w:cs="Times"/>
          <w:sz w:val="20"/>
          <w:szCs w:val="20"/>
          <w:lang w:val="en-US" w:eastAsia="en-US"/>
        </w:rPr>
      </w:pPr>
    </w:p>
    <w:p w14:paraId="1C4917D2" w14:textId="243CD9B2" w:rsidR="005326B4" w:rsidRPr="00CF6765" w:rsidRDefault="005326B4" w:rsidP="006C2581">
      <w:pPr>
        <w:numPr>
          <w:ilvl w:val="0"/>
          <w:numId w:val="2"/>
        </w:numPr>
        <w:tabs>
          <w:tab w:val="left" w:pos="567"/>
          <w:tab w:val="num" w:pos="12305"/>
        </w:tabs>
        <w:ind w:left="0" w:firstLine="0"/>
        <w:rPr>
          <w:rFonts w:eastAsiaTheme="minorHAnsi" w:cs="Times"/>
          <w:sz w:val="20"/>
          <w:szCs w:val="20"/>
          <w:lang w:val="en-US" w:eastAsia="en-US"/>
        </w:rPr>
      </w:pPr>
      <w:r w:rsidRPr="00CF6765">
        <w:rPr>
          <w:rFonts w:eastAsiaTheme="minorHAnsi" w:cs="Times"/>
          <w:sz w:val="20"/>
          <w:szCs w:val="20"/>
          <w:lang w:val="en-US" w:eastAsia="en-US"/>
        </w:rPr>
        <w:t>Re</w:t>
      </w:r>
      <w:r w:rsidR="006C2581" w:rsidRPr="00CF6765">
        <w:rPr>
          <w:rFonts w:eastAsiaTheme="minorHAnsi" w:cs="Times"/>
          <w:sz w:val="20"/>
          <w:szCs w:val="20"/>
          <w:lang w:val="en-US" w:eastAsia="en-US"/>
        </w:rPr>
        <w:t xml:space="preserve">garding the omissions described in the preceding paragraph, the Court emphasizes that they were </w:t>
      </w:r>
      <w:r w:rsidR="00CA5AD2" w:rsidRPr="00CF6765">
        <w:rPr>
          <w:rFonts w:eastAsiaTheme="minorHAnsi" w:cs="Times"/>
          <w:sz w:val="20"/>
          <w:szCs w:val="20"/>
          <w:lang w:val="en-US" w:eastAsia="en-US"/>
        </w:rPr>
        <w:t>very</w:t>
      </w:r>
      <w:r w:rsidR="006C2581" w:rsidRPr="00CF6765">
        <w:rPr>
          <w:rFonts w:eastAsiaTheme="minorHAnsi" w:cs="Times"/>
          <w:sz w:val="20"/>
          <w:szCs w:val="20"/>
          <w:lang w:val="en-US" w:eastAsia="en-US"/>
        </w:rPr>
        <w:t xml:space="preserve"> important for discovering the legal truth because, normally, they would have been appropriate to clarify the facts that occurred in this case and identify the corresponding responsibilities, all of which has </w:t>
      </w:r>
      <w:r w:rsidR="00CA5AD2" w:rsidRPr="00CF6765">
        <w:rPr>
          <w:rFonts w:eastAsiaTheme="minorHAnsi" w:cs="Times"/>
          <w:sz w:val="20"/>
          <w:szCs w:val="20"/>
          <w:lang w:val="en-US" w:eastAsia="en-US"/>
        </w:rPr>
        <w:t>led to</w:t>
      </w:r>
      <w:r w:rsidR="006C2581" w:rsidRPr="00CF6765">
        <w:rPr>
          <w:rFonts w:eastAsiaTheme="minorHAnsi" w:cs="Times"/>
          <w:sz w:val="20"/>
          <w:szCs w:val="20"/>
          <w:lang w:val="en-US" w:eastAsia="en-US"/>
        </w:rPr>
        <w:t xml:space="preserve"> a situation of impunity.</w:t>
      </w:r>
      <w:r w:rsidRPr="00CF6765">
        <w:rPr>
          <w:rStyle w:val="Refdenotaalpie"/>
          <w:rFonts w:eastAsiaTheme="minorHAnsi" w:cs="Times"/>
          <w:sz w:val="20"/>
          <w:szCs w:val="20"/>
          <w:lang w:val="en-US" w:eastAsia="en-US"/>
        </w:rPr>
        <w:footnoteReference w:id="286"/>
      </w:r>
    </w:p>
    <w:p w14:paraId="3B238258" w14:textId="77777777" w:rsidR="008F1192" w:rsidRPr="00CF6765" w:rsidRDefault="008F1192" w:rsidP="000D4A1F">
      <w:pPr>
        <w:tabs>
          <w:tab w:val="left" w:pos="567"/>
          <w:tab w:val="num" w:pos="12305"/>
        </w:tabs>
        <w:rPr>
          <w:rFonts w:eastAsiaTheme="minorHAnsi" w:cstheme="minorBidi"/>
          <w:sz w:val="20"/>
          <w:szCs w:val="20"/>
          <w:lang w:val="en-US" w:eastAsia="en-US"/>
        </w:rPr>
      </w:pPr>
    </w:p>
    <w:p w14:paraId="5C4C4681" w14:textId="4A088780" w:rsidR="00A6246E" w:rsidRPr="00CF6765" w:rsidRDefault="006C2581" w:rsidP="0059117C">
      <w:pPr>
        <w:numPr>
          <w:ilvl w:val="0"/>
          <w:numId w:val="2"/>
        </w:numPr>
        <w:tabs>
          <w:tab w:val="left" w:pos="567"/>
          <w:tab w:val="num" w:pos="12305"/>
        </w:tabs>
        <w:ind w:left="0" w:firstLine="0"/>
        <w:rPr>
          <w:rFonts w:eastAsiaTheme="minorHAnsi" w:cs="Verdana"/>
          <w:color w:val="000000"/>
          <w:sz w:val="20"/>
          <w:szCs w:val="20"/>
          <w:lang w:val="en-US" w:eastAsia="en-US"/>
        </w:rPr>
      </w:pPr>
      <w:r w:rsidRPr="00CF6765">
        <w:rPr>
          <w:rFonts w:eastAsiaTheme="minorHAnsi" w:cs="Verdana"/>
          <w:color w:val="000000"/>
          <w:sz w:val="20"/>
          <w:szCs w:val="20"/>
          <w:lang w:val="en-US" w:eastAsia="en-US"/>
        </w:rPr>
        <w:t>Consequently</w:t>
      </w:r>
      <w:r w:rsidR="00840E52" w:rsidRPr="00CF6765">
        <w:rPr>
          <w:rFonts w:eastAsiaTheme="minorHAnsi" w:cs="Verdana"/>
          <w:color w:val="000000"/>
          <w:sz w:val="20"/>
          <w:szCs w:val="20"/>
          <w:lang w:val="en-US" w:eastAsia="en-US"/>
        </w:rPr>
        <w:t>,</w:t>
      </w:r>
      <w:r w:rsidR="00A6246E" w:rsidRPr="00CF6765">
        <w:rPr>
          <w:rFonts w:eastAsiaTheme="minorHAnsi" w:cs="Verdana"/>
          <w:color w:val="000000"/>
          <w:sz w:val="20"/>
          <w:szCs w:val="20"/>
          <w:lang w:val="en-US" w:eastAsia="en-US"/>
        </w:rPr>
        <w:t xml:space="preserve"> </w:t>
      </w:r>
      <w:r w:rsidR="005C731C" w:rsidRPr="00CF6765">
        <w:rPr>
          <w:rFonts w:eastAsiaTheme="minorHAnsi" w:cs="Verdana"/>
          <w:color w:val="000000"/>
          <w:sz w:val="20"/>
          <w:szCs w:val="20"/>
          <w:lang w:val="en-US" w:eastAsia="en-US"/>
        </w:rPr>
        <w:t>the Court</w:t>
      </w:r>
      <w:r w:rsidR="00A6246E" w:rsidRPr="00CF6765">
        <w:rPr>
          <w:rFonts w:eastAsiaTheme="minorHAnsi" w:cs="Verdana"/>
          <w:color w:val="000000"/>
          <w:sz w:val="20"/>
          <w:szCs w:val="20"/>
          <w:lang w:val="en-US" w:eastAsia="en-US"/>
        </w:rPr>
        <w:t xml:space="preserve"> consider</w:t>
      </w:r>
      <w:r w:rsidRPr="00CF6765">
        <w:rPr>
          <w:rFonts w:eastAsiaTheme="minorHAnsi" w:cs="Verdana"/>
          <w:color w:val="000000"/>
          <w:sz w:val="20"/>
          <w:szCs w:val="20"/>
          <w:lang w:val="en-US" w:eastAsia="en-US"/>
        </w:rPr>
        <w:t>s that, in this case, the deficiencies, delays and omissions in the criminal investigation reveal that the state authorities did not act with</w:t>
      </w:r>
      <w:r w:rsidR="00A6246E" w:rsidRPr="00CF6765">
        <w:rPr>
          <w:rFonts w:eastAsiaTheme="minorHAnsi" w:cs="Verdana"/>
          <w:color w:val="000000"/>
          <w:sz w:val="20"/>
          <w:szCs w:val="20"/>
          <w:lang w:val="en-US" w:eastAsia="en-US"/>
        </w:rPr>
        <w:t xml:space="preserve"> </w:t>
      </w:r>
      <w:r w:rsidR="00497BFB" w:rsidRPr="00CF6765">
        <w:rPr>
          <w:rFonts w:eastAsiaTheme="minorHAnsi" w:cs="Verdana"/>
          <w:color w:val="000000"/>
          <w:sz w:val="20"/>
          <w:szCs w:val="20"/>
          <w:lang w:val="en-US" w:eastAsia="en-US"/>
        </w:rPr>
        <w:t>due diligence</w:t>
      </w:r>
      <w:r w:rsidR="00A6246E" w:rsidRPr="00CF6765">
        <w:rPr>
          <w:rFonts w:eastAsiaTheme="minorHAnsi" w:cs="Verdana"/>
          <w:color w:val="000000"/>
          <w:sz w:val="20"/>
          <w:szCs w:val="20"/>
          <w:lang w:val="en-US" w:eastAsia="en-US"/>
        </w:rPr>
        <w:t xml:space="preserve"> </w:t>
      </w:r>
      <w:r w:rsidRPr="00CF6765">
        <w:rPr>
          <w:rFonts w:eastAsiaTheme="minorHAnsi" w:cs="Verdana"/>
          <w:color w:val="000000"/>
          <w:sz w:val="20"/>
          <w:szCs w:val="20"/>
          <w:lang w:val="en-US" w:eastAsia="en-US"/>
        </w:rPr>
        <w:t>or in keeping with the obligation</w:t>
      </w:r>
      <w:r w:rsidR="00CA5AD2" w:rsidRPr="00CF6765">
        <w:rPr>
          <w:rFonts w:eastAsiaTheme="minorHAnsi" w:cs="Verdana"/>
          <w:color w:val="000000"/>
          <w:sz w:val="20"/>
          <w:szCs w:val="20"/>
          <w:lang w:val="en-US" w:eastAsia="en-US"/>
        </w:rPr>
        <w:t>s</w:t>
      </w:r>
      <w:r w:rsidRPr="00CF6765">
        <w:rPr>
          <w:rFonts w:eastAsiaTheme="minorHAnsi" w:cs="Verdana"/>
          <w:color w:val="000000"/>
          <w:sz w:val="20"/>
          <w:szCs w:val="20"/>
          <w:lang w:val="en-US" w:eastAsia="en-US"/>
        </w:rPr>
        <w:t xml:space="preserve"> to investigate and to comply with effective judicial protection within a reasonable time in order to ensure the clarification of the facts and the determination of the respective responsibilities. After approximately 17 years, the facts of this case remain in impunity. Therefore, the Court finds that the State did not ensure access to justice in violation of </w:t>
      </w:r>
      <w:r w:rsidR="005C731C" w:rsidRPr="00CF6765">
        <w:rPr>
          <w:rFonts w:eastAsiaTheme="minorHAnsi" w:cstheme="minorBidi"/>
          <w:sz w:val="20"/>
          <w:szCs w:val="20"/>
          <w:lang w:val="en-US" w:eastAsia="en-US"/>
        </w:rPr>
        <w:t>Articles</w:t>
      </w:r>
      <w:r w:rsidR="00840E52" w:rsidRPr="00CF6765">
        <w:rPr>
          <w:rFonts w:eastAsiaTheme="minorHAnsi" w:cstheme="minorBidi"/>
          <w:sz w:val="20"/>
          <w:szCs w:val="20"/>
          <w:lang w:val="en-US" w:eastAsia="en-US"/>
        </w:rPr>
        <w:t xml:space="preserve"> </w:t>
      </w:r>
      <w:r w:rsidR="009339F5" w:rsidRPr="00CF6765">
        <w:rPr>
          <w:rFonts w:eastAsiaTheme="minorHAnsi" w:cstheme="minorBidi"/>
          <w:sz w:val="20"/>
          <w:szCs w:val="20"/>
          <w:lang w:val="en-US" w:eastAsia="en-US"/>
        </w:rPr>
        <w:t>8(1)</w:t>
      </w:r>
      <w:r w:rsidR="00EC50FC" w:rsidRPr="00CF6765">
        <w:rPr>
          <w:rFonts w:eastAsiaTheme="minorHAnsi" w:cstheme="minorBidi"/>
          <w:sz w:val="20"/>
          <w:szCs w:val="20"/>
          <w:lang w:val="en-US" w:eastAsia="en-US"/>
        </w:rPr>
        <w:t xml:space="preserve"> </w:t>
      </w:r>
      <w:r w:rsidR="00EC50FC" w:rsidRPr="00CF6765">
        <w:rPr>
          <w:rFonts w:eastAsiaTheme="minorHAnsi" w:cstheme="minorBidi"/>
          <w:sz w:val="20"/>
          <w:szCs w:val="20"/>
          <w:lang w:val="en-US" w:eastAsia="en-US"/>
        </w:rPr>
        <w:lastRenderedPageBreak/>
        <w:t xml:space="preserve">and </w:t>
      </w:r>
      <w:r w:rsidR="00840E52" w:rsidRPr="00CF6765">
        <w:rPr>
          <w:rFonts w:eastAsiaTheme="minorHAnsi" w:cstheme="minorBidi"/>
          <w:sz w:val="20"/>
          <w:szCs w:val="20"/>
          <w:lang w:val="en-US" w:eastAsia="en-US"/>
        </w:rPr>
        <w:t>2</w:t>
      </w:r>
      <w:r w:rsidR="00D2168F" w:rsidRPr="00CF6765">
        <w:rPr>
          <w:rFonts w:eastAsiaTheme="minorHAnsi" w:cstheme="minorBidi"/>
          <w:sz w:val="20"/>
          <w:szCs w:val="20"/>
          <w:lang w:val="en-US" w:eastAsia="en-US"/>
        </w:rPr>
        <w:t>5(1)</w:t>
      </w:r>
      <w:r w:rsidR="005C731C" w:rsidRPr="00CF6765">
        <w:rPr>
          <w:rFonts w:eastAsiaTheme="minorHAnsi" w:cstheme="minorBidi"/>
          <w:sz w:val="20"/>
          <w:szCs w:val="20"/>
          <w:lang w:val="en-US" w:eastAsia="en-US"/>
        </w:rPr>
        <w:t xml:space="preserve"> of the American Convention</w:t>
      </w:r>
      <w:r w:rsidR="00840E52" w:rsidRPr="00CF6765">
        <w:rPr>
          <w:rFonts w:eastAsiaTheme="minorHAnsi" w:cstheme="minorBidi"/>
          <w:sz w:val="20"/>
          <w:szCs w:val="20"/>
          <w:lang w:val="en-US" w:eastAsia="en-US"/>
        </w:rPr>
        <w:t xml:space="preserve">, </w:t>
      </w:r>
      <w:r w:rsidR="00690D57" w:rsidRPr="00CF6765">
        <w:rPr>
          <w:rFonts w:eastAsiaTheme="minorHAnsi" w:cstheme="minorBidi"/>
          <w:sz w:val="20"/>
          <w:szCs w:val="20"/>
          <w:lang w:val="en-US" w:eastAsia="en-US"/>
        </w:rPr>
        <w:t>in relation to Article</w:t>
      </w:r>
      <w:r w:rsidR="00EC50FC" w:rsidRPr="00CF6765">
        <w:rPr>
          <w:rFonts w:eastAsiaTheme="minorHAnsi" w:cstheme="minorBidi"/>
          <w:sz w:val="20"/>
          <w:szCs w:val="20"/>
          <w:lang w:val="en-US" w:eastAsia="en-US"/>
        </w:rPr>
        <w:t xml:space="preserve"> 1(1)</w:t>
      </w:r>
      <w:r w:rsidR="00840E52" w:rsidRPr="00CF6765">
        <w:rPr>
          <w:rFonts w:eastAsiaTheme="minorHAnsi" w:cstheme="minorBidi"/>
          <w:sz w:val="20"/>
          <w:szCs w:val="20"/>
          <w:lang w:val="en-US" w:eastAsia="en-US"/>
        </w:rPr>
        <w:t xml:space="preserve"> </w:t>
      </w:r>
      <w:r w:rsidR="00E234BF" w:rsidRPr="00CF6765">
        <w:rPr>
          <w:rFonts w:eastAsiaTheme="minorHAnsi" w:cstheme="minorBidi"/>
          <w:sz w:val="20"/>
          <w:szCs w:val="20"/>
          <w:lang w:val="en-US" w:eastAsia="en-US"/>
        </w:rPr>
        <w:t>of this instrument</w:t>
      </w:r>
      <w:r w:rsidR="00840E52" w:rsidRPr="00CF6765">
        <w:rPr>
          <w:rFonts w:eastAsiaTheme="minorHAnsi" w:cstheme="minorBidi"/>
          <w:sz w:val="20"/>
          <w:szCs w:val="20"/>
          <w:lang w:val="en-US" w:eastAsia="en-US"/>
        </w:rPr>
        <w:t xml:space="preserve">, </w:t>
      </w:r>
      <w:r w:rsidR="00690D57" w:rsidRPr="00CF6765">
        <w:rPr>
          <w:rFonts w:eastAsiaTheme="minorHAnsi" w:cstheme="minorBidi"/>
          <w:sz w:val="20"/>
          <w:szCs w:val="20"/>
          <w:lang w:val="en-US" w:eastAsia="en-US"/>
        </w:rPr>
        <w:t>to the detriment of</w:t>
      </w:r>
      <w:r w:rsidR="00840E52"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the members of</w:t>
      </w:r>
      <w:r w:rsidR="00D04694" w:rsidRPr="00CF6765">
        <w:rPr>
          <w:rFonts w:eastAsiaTheme="minorHAnsi" w:cstheme="minorBidi"/>
          <w:sz w:val="20"/>
          <w:szCs w:val="20"/>
          <w:lang w:val="en-US" w:eastAsia="en-US"/>
        </w:rPr>
        <w:t xml:space="preserve"> Mr.</w:t>
      </w:r>
      <w:r w:rsidR="00D2168F" w:rsidRPr="00CF6765">
        <w:rPr>
          <w:rFonts w:eastAsiaTheme="minorHAnsi" w:cstheme="minorBidi"/>
          <w:sz w:val="20"/>
          <w:szCs w:val="20"/>
          <w:lang w:val="en-US" w:eastAsia="en-US"/>
        </w:rPr>
        <w:t xml:space="preserve"> Poblete</w:t>
      </w:r>
      <w:r w:rsidR="00840E52" w:rsidRPr="00CF6765">
        <w:rPr>
          <w:rFonts w:eastAsiaTheme="minorHAnsi" w:cstheme="minorBidi"/>
          <w:sz w:val="20"/>
          <w:szCs w:val="20"/>
          <w:lang w:val="en-US" w:eastAsia="en-US"/>
        </w:rPr>
        <w:t xml:space="preserve"> </w:t>
      </w:r>
      <w:proofErr w:type="spellStart"/>
      <w:r w:rsidR="001E55C3" w:rsidRPr="00CF6765">
        <w:rPr>
          <w:rFonts w:eastAsiaTheme="minorHAnsi" w:cstheme="minorBidi"/>
          <w:sz w:val="20"/>
          <w:szCs w:val="20"/>
          <w:lang w:val="en-US" w:eastAsia="en-US"/>
        </w:rPr>
        <w:t>Vilches’s</w:t>
      </w:r>
      <w:proofErr w:type="spellEnd"/>
      <w:r w:rsidR="001E55C3" w:rsidRPr="00CF6765">
        <w:rPr>
          <w:rFonts w:eastAsiaTheme="minorHAnsi" w:cstheme="minorBidi"/>
          <w:sz w:val="20"/>
          <w:szCs w:val="20"/>
          <w:lang w:val="en-US" w:eastAsia="en-US"/>
        </w:rPr>
        <w:t xml:space="preserve"> </w:t>
      </w:r>
      <w:r w:rsidR="00F440EE" w:rsidRPr="00CF6765">
        <w:rPr>
          <w:rFonts w:eastAsiaTheme="minorHAnsi" w:cstheme="minorBidi"/>
          <w:sz w:val="20"/>
          <w:szCs w:val="20"/>
          <w:lang w:val="en-US" w:eastAsia="en-US"/>
        </w:rPr>
        <w:t>family</w:t>
      </w:r>
      <w:r w:rsidR="00840E52" w:rsidRPr="00CF6765">
        <w:rPr>
          <w:rFonts w:eastAsiaTheme="minorHAnsi" w:cstheme="minorBidi"/>
          <w:sz w:val="20"/>
          <w:szCs w:val="20"/>
          <w:lang w:val="en-US" w:eastAsia="en-US"/>
        </w:rPr>
        <w:t>.</w:t>
      </w:r>
    </w:p>
    <w:p w14:paraId="7539A936" w14:textId="77777777" w:rsidR="00A6246E" w:rsidRPr="00CF6765" w:rsidRDefault="00A6246E" w:rsidP="000D4A1F">
      <w:pPr>
        <w:tabs>
          <w:tab w:val="left" w:pos="567"/>
          <w:tab w:val="num" w:pos="12305"/>
        </w:tabs>
        <w:rPr>
          <w:rFonts w:eastAsiaTheme="minorHAnsi" w:cstheme="minorBidi"/>
          <w:sz w:val="20"/>
          <w:szCs w:val="20"/>
          <w:lang w:val="en-US" w:eastAsia="en-US"/>
        </w:rPr>
      </w:pPr>
    </w:p>
    <w:p w14:paraId="472F4063" w14:textId="7F98F087" w:rsidR="00F440EE" w:rsidRPr="00CF6765" w:rsidRDefault="00F440EE" w:rsidP="00312262">
      <w:pPr>
        <w:numPr>
          <w:ilvl w:val="0"/>
          <w:numId w:val="2"/>
        </w:numPr>
        <w:tabs>
          <w:tab w:val="left" w:pos="567"/>
          <w:tab w:val="num" w:pos="12305"/>
        </w:tabs>
        <w:ind w:left="0" w:firstLine="0"/>
        <w:rPr>
          <w:rFonts w:eastAsiaTheme="minorHAnsi" w:cs="Times"/>
          <w:sz w:val="20"/>
          <w:szCs w:val="20"/>
          <w:lang w:val="en-US" w:eastAsia="en-US"/>
        </w:rPr>
      </w:pPr>
      <w:r w:rsidRPr="00CF6765">
        <w:rPr>
          <w:rFonts w:eastAsiaTheme="minorHAnsi" w:cs="Times"/>
          <w:sz w:val="20"/>
          <w:szCs w:val="20"/>
          <w:lang w:val="en-US" w:eastAsia="en-US"/>
        </w:rPr>
        <w:t xml:space="preserve">Lastly, the Court calls attention to the efforts that the collegiate medical mediation bodies should </w:t>
      </w:r>
      <w:r w:rsidR="00CA5AD2" w:rsidRPr="00CF6765">
        <w:rPr>
          <w:rFonts w:eastAsiaTheme="minorHAnsi" w:cs="Times"/>
          <w:sz w:val="20"/>
          <w:szCs w:val="20"/>
          <w:lang w:val="en-US" w:eastAsia="en-US"/>
        </w:rPr>
        <w:t>m</w:t>
      </w:r>
      <w:r w:rsidRPr="00CF6765">
        <w:rPr>
          <w:rFonts w:eastAsiaTheme="minorHAnsi" w:cs="Times"/>
          <w:sz w:val="20"/>
          <w:szCs w:val="20"/>
          <w:lang w:val="en-US" w:eastAsia="en-US"/>
        </w:rPr>
        <w:t>ake when assessing situation</w:t>
      </w:r>
      <w:r w:rsidR="00CA5AD2" w:rsidRPr="00CF6765">
        <w:rPr>
          <w:rFonts w:eastAsiaTheme="minorHAnsi" w:cs="Times"/>
          <w:sz w:val="20"/>
          <w:szCs w:val="20"/>
          <w:lang w:val="en-US" w:eastAsia="en-US"/>
        </w:rPr>
        <w:t>s</w:t>
      </w:r>
      <w:r w:rsidRPr="00CF6765">
        <w:rPr>
          <w:rFonts w:eastAsiaTheme="minorHAnsi" w:cs="Times"/>
          <w:sz w:val="20"/>
          <w:szCs w:val="20"/>
          <w:lang w:val="en-US" w:eastAsia="en-US"/>
        </w:rPr>
        <w:t xml:space="preserve"> of</w:t>
      </w:r>
      <w:r w:rsidR="00CA5AD2" w:rsidRPr="00CF6765">
        <w:rPr>
          <w:rFonts w:eastAsiaTheme="minorHAnsi" w:cs="Times"/>
          <w:sz w:val="20"/>
          <w:szCs w:val="20"/>
          <w:lang w:val="en-US" w:eastAsia="en-US"/>
        </w:rPr>
        <w:t xml:space="preserve"> the</w:t>
      </w:r>
      <w:r w:rsidRPr="00CF6765">
        <w:rPr>
          <w:rFonts w:eastAsiaTheme="minorHAnsi" w:cs="Times"/>
          <w:sz w:val="20"/>
          <w:szCs w:val="20"/>
          <w:lang w:val="en-US" w:eastAsia="en-US"/>
        </w:rPr>
        <w:t xml:space="preserve"> denial of health care services or medical malpractice. </w:t>
      </w:r>
      <w:r w:rsidR="008D7968" w:rsidRPr="00CF6765">
        <w:rPr>
          <w:rFonts w:eastAsiaTheme="minorHAnsi" w:cs="Times"/>
          <w:sz w:val="20"/>
          <w:szCs w:val="20"/>
          <w:lang w:val="en-US" w:eastAsia="en-US"/>
        </w:rPr>
        <w:t xml:space="preserve">In this regard, </w:t>
      </w:r>
      <w:r w:rsidRPr="00CF6765">
        <w:rPr>
          <w:rFonts w:eastAsiaTheme="minorHAnsi" w:cs="Times"/>
          <w:sz w:val="20"/>
          <w:szCs w:val="20"/>
          <w:lang w:val="en-US" w:eastAsia="en-US"/>
        </w:rPr>
        <w:t>a comprehensive approach to the right to health is essential from the perspective of human rights</w:t>
      </w:r>
      <w:r w:rsidR="00CA5AD2" w:rsidRPr="00CF6765">
        <w:rPr>
          <w:rFonts w:eastAsiaTheme="minorHAnsi" w:cs="Times"/>
          <w:sz w:val="20"/>
          <w:szCs w:val="20"/>
          <w:lang w:val="en-US" w:eastAsia="en-US"/>
        </w:rPr>
        <w:t xml:space="preserve"> and </w:t>
      </w:r>
      <w:r w:rsidRPr="00CF6765">
        <w:rPr>
          <w:rFonts w:eastAsiaTheme="minorHAnsi" w:cs="Times"/>
          <w:sz w:val="20"/>
          <w:szCs w:val="20"/>
          <w:lang w:val="en-US" w:eastAsia="en-US"/>
        </w:rPr>
        <w:t xml:space="preserve">differentiated impacts, </w:t>
      </w:r>
      <w:r w:rsidR="008D7968" w:rsidRPr="00CF6765">
        <w:rPr>
          <w:rFonts w:eastAsiaTheme="minorHAnsi" w:cs="Times"/>
          <w:sz w:val="20"/>
          <w:szCs w:val="20"/>
          <w:lang w:val="en-US" w:eastAsia="en-US"/>
        </w:rPr>
        <w:t xml:space="preserve">to ensure that they constitute </w:t>
      </w:r>
      <w:r w:rsidRPr="00CF6765">
        <w:rPr>
          <w:rFonts w:eastAsiaTheme="minorHAnsi" w:cs="Times"/>
          <w:sz w:val="20"/>
          <w:szCs w:val="20"/>
          <w:lang w:val="en-US" w:eastAsia="en-US"/>
        </w:rPr>
        <w:t xml:space="preserve">independent bodies that, in light of their medical expertise, also guarantee the rights of patients. </w:t>
      </w:r>
    </w:p>
    <w:p w14:paraId="46FC8E04" w14:textId="77777777" w:rsidR="00312262" w:rsidRPr="00CF6765" w:rsidRDefault="00312262" w:rsidP="000D4A1F">
      <w:pPr>
        <w:tabs>
          <w:tab w:val="left" w:pos="567"/>
          <w:tab w:val="num" w:pos="12305"/>
        </w:tabs>
        <w:rPr>
          <w:rFonts w:eastAsiaTheme="minorHAnsi" w:cstheme="minorBidi"/>
          <w:sz w:val="20"/>
          <w:szCs w:val="20"/>
          <w:lang w:val="en-US" w:eastAsia="en-US"/>
        </w:rPr>
      </w:pPr>
    </w:p>
    <w:p w14:paraId="61E11CD9" w14:textId="35C4A55A" w:rsidR="00E67349" w:rsidRPr="00CF6765" w:rsidRDefault="00152F4C" w:rsidP="00225E59">
      <w:pPr>
        <w:pStyle w:val="Ttulo3"/>
        <w:rPr>
          <w:b/>
          <w:lang w:val="en-US"/>
        </w:rPr>
      </w:pPr>
      <w:bookmarkStart w:id="92" w:name="_Toc47864391"/>
      <w:r w:rsidRPr="00CF6765">
        <w:rPr>
          <w:b/>
          <w:lang w:val="en-US"/>
        </w:rPr>
        <w:t>2</w:t>
      </w:r>
      <w:r w:rsidR="00E67349" w:rsidRPr="00CF6765">
        <w:rPr>
          <w:b/>
          <w:lang w:val="en-US"/>
        </w:rPr>
        <w:t xml:space="preserve">. </w:t>
      </w:r>
      <w:r w:rsidR="000651D7" w:rsidRPr="00CF6765">
        <w:rPr>
          <w:b/>
          <w:lang w:val="en-US"/>
        </w:rPr>
        <w:t>On</w:t>
      </w:r>
      <w:r w:rsidR="00E67349" w:rsidRPr="00CF6765">
        <w:rPr>
          <w:b/>
          <w:lang w:val="en-US"/>
        </w:rPr>
        <w:t xml:space="preserve"> </w:t>
      </w:r>
      <w:r w:rsidR="00497BFB" w:rsidRPr="00CF6765">
        <w:rPr>
          <w:b/>
          <w:lang w:val="en-US"/>
        </w:rPr>
        <w:t>judicial impartiality</w:t>
      </w:r>
      <w:bookmarkEnd w:id="92"/>
    </w:p>
    <w:p w14:paraId="141C922B" w14:textId="77777777" w:rsidR="000D4A1F" w:rsidRPr="00CF6765" w:rsidRDefault="000D4A1F" w:rsidP="000D4A1F">
      <w:pPr>
        <w:ind w:firstLine="360"/>
        <w:rPr>
          <w:i/>
          <w:sz w:val="20"/>
          <w:szCs w:val="20"/>
          <w:lang w:val="en-US" w:eastAsia="en-US"/>
        </w:rPr>
      </w:pPr>
    </w:p>
    <w:p w14:paraId="27202D3A" w14:textId="15C4EDDC" w:rsidR="00E67349" w:rsidRPr="00CF6765" w:rsidRDefault="004C0DAA" w:rsidP="000D4A1F">
      <w:pPr>
        <w:numPr>
          <w:ilvl w:val="0"/>
          <w:numId w:val="2"/>
        </w:numPr>
        <w:tabs>
          <w:tab w:val="left" w:pos="567"/>
          <w:tab w:val="num" w:pos="1569"/>
          <w:tab w:val="num" w:pos="12305"/>
        </w:tabs>
        <w:ind w:left="0" w:firstLine="0"/>
        <w:rPr>
          <w:rFonts w:eastAsiaTheme="minorHAnsi" w:cstheme="minorBidi"/>
          <w:sz w:val="20"/>
          <w:szCs w:val="20"/>
          <w:lang w:val="en-US" w:eastAsia="en-US"/>
        </w:rPr>
      </w:pPr>
      <w:r w:rsidRPr="00CF6765">
        <w:rPr>
          <w:rFonts w:eastAsiaTheme="minorHAnsi" w:cstheme="minorBidi"/>
          <w:sz w:val="20"/>
          <w:szCs w:val="20"/>
          <w:lang w:val="en-US" w:eastAsia="en-US"/>
        </w:rPr>
        <w:t>Article</w:t>
      </w:r>
      <w:r w:rsidR="00E67349" w:rsidRPr="00CF6765">
        <w:rPr>
          <w:rFonts w:eastAsiaTheme="minorHAnsi" w:cstheme="minorBidi"/>
          <w:sz w:val="20"/>
          <w:szCs w:val="20"/>
          <w:lang w:val="en-US" w:eastAsia="en-US"/>
        </w:rPr>
        <w:t xml:space="preserve"> </w:t>
      </w:r>
      <w:r w:rsidR="009339F5" w:rsidRPr="00CF6765">
        <w:rPr>
          <w:rFonts w:eastAsiaTheme="minorHAnsi" w:cstheme="minorBidi"/>
          <w:sz w:val="20"/>
          <w:szCs w:val="20"/>
          <w:lang w:val="en-US" w:eastAsia="en-US"/>
        </w:rPr>
        <w:t>8(1)</w:t>
      </w:r>
      <w:r w:rsidR="005C731C" w:rsidRPr="00CF6765">
        <w:rPr>
          <w:rFonts w:eastAsiaTheme="minorHAnsi" w:cstheme="minorBidi"/>
          <w:sz w:val="20"/>
          <w:szCs w:val="20"/>
          <w:lang w:val="en-US" w:eastAsia="en-US"/>
        </w:rPr>
        <w:t xml:space="preserve"> of the Convention</w:t>
      </w:r>
      <w:r w:rsidR="00E67349" w:rsidRPr="00CF6765">
        <w:rPr>
          <w:rFonts w:eastAsiaTheme="minorHAnsi" w:cstheme="minorBidi"/>
          <w:sz w:val="20"/>
          <w:szCs w:val="20"/>
          <w:lang w:val="en-US" w:eastAsia="en-US"/>
        </w:rPr>
        <w:t xml:space="preserve"> g</w:t>
      </w:r>
      <w:r w:rsidR="00F440EE" w:rsidRPr="00CF6765">
        <w:rPr>
          <w:rFonts w:eastAsiaTheme="minorHAnsi" w:cstheme="minorBidi"/>
          <w:sz w:val="20"/>
          <w:szCs w:val="20"/>
          <w:lang w:val="en-US" w:eastAsia="en-US"/>
        </w:rPr>
        <w:t>uarantees that the decisions which determine the rights of the individual must be taken by the competent authorities determined by domestic law</w:t>
      </w:r>
      <w:r w:rsidR="00E67349" w:rsidRPr="00CF6765">
        <w:rPr>
          <w:rFonts w:eastAsiaTheme="minorHAnsi"/>
          <w:sz w:val="20"/>
          <w:szCs w:val="20"/>
          <w:vertAlign w:val="superscript"/>
          <w:lang w:val="en-US" w:eastAsia="en-US"/>
        </w:rPr>
        <w:footnoteReference w:id="287"/>
      </w:r>
      <w:r w:rsidR="00EC50FC" w:rsidRPr="00CF6765">
        <w:rPr>
          <w:rFonts w:eastAsiaTheme="minorHAnsi" w:cstheme="minorBidi"/>
          <w:sz w:val="20"/>
          <w:szCs w:val="20"/>
          <w:lang w:val="en-US" w:eastAsia="en-US"/>
        </w:rPr>
        <w:t xml:space="preserve"> and </w:t>
      </w:r>
      <w:r w:rsidR="00F440EE" w:rsidRPr="00CF6765">
        <w:rPr>
          <w:rFonts w:eastAsiaTheme="minorHAnsi" w:cstheme="minorBidi"/>
          <w:sz w:val="20"/>
          <w:szCs w:val="20"/>
          <w:lang w:val="en-US" w:eastAsia="en-US"/>
        </w:rPr>
        <w:t>in accordance with the procedure established therein.</w:t>
      </w:r>
      <w:r w:rsidR="00E67349" w:rsidRPr="00CF6765">
        <w:rPr>
          <w:rFonts w:eastAsiaTheme="minorHAnsi"/>
          <w:sz w:val="20"/>
          <w:szCs w:val="20"/>
          <w:vertAlign w:val="superscript"/>
          <w:lang w:val="en-US" w:eastAsia="en-US"/>
        </w:rPr>
        <w:footnoteReference w:id="288"/>
      </w:r>
    </w:p>
    <w:p w14:paraId="1873C6FD" w14:textId="77777777" w:rsidR="00E67349" w:rsidRPr="00CF6765" w:rsidRDefault="00E67349" w:rsidP="000D4A1F">
      <w:pPr>
        <w:tabs>
          <w:tab w:val="left" w:pos="0"/>
        </w:tabs>
        <w:contextualSpacing/>
        <w:rPr>
          <w:rFonts w:eastAsiaTheme="minorHAnsi" w:cstheme="minorBidi"/>
          <w:sz w:val="20"/>
          <w:szCs w:val="20"/>
          <w:lang w:val="en-US" w:eastAsia="en-US"/>
        </w:rPr>
      </w:pPr>
    </w:p>
    <w:p w14:paraId="2CA5A53D" w14:textId="5A7D0D98" w:rsidR="00E67349" w:rsidRPr="00CF6765" w:rsidRDefault="005C731C" w:rsidP="003172E0">
      <w:pPr>
        <w:numPr>
          <w:ilvl w:val="0"/>
          <w:numId w:val="2"/>
        </w:numPr>
        <w:tabs>
          <w:tab w:val="left" w:pos="567"/>
          <w:tab w:val="num" w:pos="1569"/>
          <w:tab w:val="num" w:pos="12305"/>
        </w:tabs>
        <w:ind w:left="0" w:firstLine="0"/>
        <w:rPr>
          <w:rFonts w:eastAsiaTheme="minorHAnsi" w:cstheme="minorBidi"/>
          <w:sz w:val="20"/>
          <w:szCs w:val="20"/>
          <w:lang w:val="en-US" w:eastAsia="en-US"/>
        </w:rPr>
      </w:pPr>
      <w:r w:rsidRPr="00CF6765">
        <w:rPr>
          <w:rFonts w:eastAsiaTheme="minorHAnsi" w:cstheme="minorBidi"/>
          <w:sz w:val="20"/>
          <w:szCs w:val="20"/>
          <w:lang w:val="en-US" w:eastAsia="en-US"/>
        </w:rPr>
        <w:t>The Court</w:t>
      </w:r>
      <w:r w:rsidR="00E67349" w:rsidRPr="00CF6765">
        <w:rPr>
          <w:rFonts w:eastAsiaTheme="minorHAnsi" w:cs="Arial"/>
          <w:sz w:val="20"/>
          <w:szCs w:val="20"/>
          <w:lang w:val="en-US" w:eastAsia="en-US"/>
        </w:rPr>
        <w:t xml:space="preserve"> </w:t>
      </w:r>
      <w:r w:rsidR="00F440EE" w:rsidRPr="00CF6765">
        <w:rPr>
          <w:rFonts w:eastAsiaTheme="minorHAnsi" w:cs="Arial"/>
          <w:sz w:val="20"/>
          <w:szCs w:val="20"/>
          <w:lang w:val="en-US" w:eastAsia="en-US"/>
        </w:rPr>
        <w:t>stresses that</w:t>
      </w:r>
      <w:r w:rsidR="00E67349" w:rsidRPr="00CF6765">
        <w:rPr>
          <w:rFonts w:eastAsiaTheme="minorHAnsi" w:cs="Arial"/>
          <w:sz w:val="20"/>
          <w:szCs w:val="20"/>
          <w:lang w:val="en-US" w:eastAsia="en-US"/>
        </w:rPr>
        <w:t xml:space="preserve"> </w:t>
      </w:r>
      <w:r w:rsidR="00DE6950" w:rsidRPr="00CF6765">
        <w:rPr>
          <w:rFonts w:eastAsiaTheme="minorHAnsi" w:cs="Arial"/>
          <w:sz w:val="20"/>
          <w:szCs w:val="20"/>
          <w:lang w:val="en-US" w:eastAsia="en-US"/>
        </w:rPr>
        <w:t>the right</w:t>
      </w:r>
      <w:r w:rsidR="00E67349" w:rsidRPr="00CF6765">
        <w:rPr>
          <w:rFonts w:eastAsiaTheme="minorHAnsi" w:cs="Arial"/>
          <w:sz w:val="20"/>
          <w:szCs w:val="20"/>
          <w:lang w:val="en-US" w:eastAsia="en-US"/>
        </w:rPr>
        <w:t xml:space="preserve"> </w:t>
      </w:r>
      <w:r w:rsidR="00F440EE" w:rsidRPr="00CF6765">
        <w:rPr>
          <w:rFonts w:eastAsiaTheme="minorHAnsi" w:cs="Arial"/>
          <w:sz w:val="20"/>
          <w:szCs w:val="20"/>
          <w:lang w:val="en-US" w:eastAsia="en-US"/>
        </w:rPr>
        <w:t xml:space="preserve">to be </w:t>
      </w:r>
      <w:r w:rsidR="003172E0" w:rsidRPr="00CF6765">
        <w:rPr>
          <w:rFonts w:eastAsiaTheme="minorHAnsi" w:cs="Arial"/>
          <w:sz w:val="20"/>
          <w:szCs w:val="20"/>
          <w:lang w:val="en-US" w:eastAsia="en-US"/>
        </w:rPr>
        <w:t>tried</w:t>
      </w:r>
      <w:r w:rsidR="00F440EE" w:rsidRPr="00CF6765">
        <w:rPr>
          <w:rFonts w:eastAsiaTheme="minorHAnsi" w:cs="Arial"/>
          <w:sz w:val="20"/>
          <w:szCs w:val="20"/>
          <w:lang w:val="en-US" w:eastAsia="en-US"/>
        </w:rPr>
        <w:t xml:space="preserve"> by an impartial judge or court is a fundamental guarantee of due process, and it must be ensured that the judge or court, in the exercise of </w:t>
      </w:r>
      <w:r w:rsidR="008D7968" w:rsidRPr="00CF6765">
        <w:rPr>
          <w:rFonts w:eastAsiaTheme="minorHAnsi" w:cs="Arial"/>
          <w:sz w:val="20"/>
          <w:szCs w:val="20"/>
          <w:lang w:val="en-US" w:eastAsia="en-US"/>
        </w:rPr>
        <w:t>its</w:t>
      </w:r>
      <w:r w:rsidR="00F440EE" w:rsidRPr="00CF6765">
        <w:rPr>
          <w:rFonts w:eastAsiaTheme="minorHAnsi" w:cs="Arial"/>
          <w:sz w:val="20"/>
          <w:szCs w:val="20"/>
          <w:lang w:val="en-US" w:eastAsia="en-US"/>
        </w:rPr>
        <w:t xml:space="preserve"> functions, ha</w:t>
      </w:r>
      <w:r w:rsidR="008D7968" w:rsidRPr="00CF6765">
        <w:rPr>
          <w:rFonts w:eastAsiaTheme="minorHAnsi" w:cs="Arial"/>
          <w:sz w:val="20"/>
          <w:szCs w:val="20"/>
          <w:lang w:val="en-US" w:eastAsia="en-US"/>
        </w:rPr>
        <w:t>s</w:t>
      </w:r>
      <w:r w:rsidR="00F440EE" w:rsidRPr="00CF6765">
        <w:rPr>
          <w:rFonts w:eastAsiaTheme="minorHAnsi" w:cs="Arial"/>
          <w:sz w:val="20"/>
          <w:szCs w:val="20"/>
          <w:lang w:val="en-US" w:eastAsia="en-US"/>
        </w:rPr>
        <w:t xml:space="preserve"> the </w:t>
      </w:r>
      <w:r w:rsidR="003172E0" w:rsidRPr="00CF6765">
        <w:rPr>
          <w:rFonts w:eastAsiaTheme="minorHAnsi" w:cs="Arial"/>
          <w:sz w:val="20"/>
          <w:szCs w:val="20"/>
          <w:lang w:val="en-US" w:eastAsia="en-US"/>
        </w:rPr>
        <w:t>utmost</w:t>
      </w:r>
      <w:r w:rsidR="00F440EE" w:rsidRPr="00CF6765">
        <w:rPr>
          <w:rFonts w:eastAsiaTheme="minorHAnsi" w:cs="Arial"/>
          <w:sz w:val="20"/>
          <w:szCs w:val="20"/>
          <w:lang w:val="en-US" w:eastAsia="en-US"/>
        </w:rPr>
        <w:t xml:space="preserve"> objectivity in the conduct of the trial.</w:t>
      </w:r>
      <w:r w:rsidR="00E67349" w:rsidRPr="00CF6765">
        <w:rPr>
          <w:rFonts w:eastAsiaTheme="majorEastAsia" w:cs="Arial"/>
          <w:sz w:val="20"/>
          <w:szCs w:val="20"/>
          <w:vertAlign w:val="superscript"/>
          <w:lang w:val="en-US" w:eastAsia="en-US"/>
        </w:rPr>
        <w:footnoteReference w:id="289"/>
      </w:r>
      <w:r w:rsidR="00F440EE" w:rsidRPr="00CF6765">
        <w:rPr>
          <w:rFonts w:eastAsiaTheme="minorHAnsi" w:cs="Arial"/>
          <w:sz w:val="20"/>
          <w:szCs w:val="20"/>
          <w:lang w:val="en-US" w:eastAsia="en-US"/>
        </w:rPr>
        <w:t xml:space="preserve"> This Court has established that impartiality requires that the judge </w:t>
      </w:r>
      <w:r w:rsidR="003172E0" w:rsidRPr="00CF6765">
        <w:rPr>
          <w:rFonts w:eastAsiaTheme="minorHAnsi" w:cs="Arial"/>
          <w:sz w:val="20"/>
          <w:szCs w:val="20"/>
          <w:lang w:val="en-US" w:eastAsia="en-US"/>
        </w:rPr>
        <w:t>presiding</w:t>
      </w:r>
      <w:r w:rsidR="00F440EE" w:rsidRPr="00CF6765">
        <w:rPr>
          <w:rFonts w:eastAsiaTheme="minorHAnsi" w:cs="Arial"/>
          <w:sz w:val="20"/>
          <w:szCs w:val="20"/>
          <w:lang w:val="en-US" w:eastAsia="en-US"/>
        </w:rPr>
        <w:t xml:space="preserve"> a specific dispute approach the facts of the case lacking</w:t>
      </w:r>
      <w:r w:rsidR="003172E0" w:rsidRPr="00CF6765">
        <w:rPr>
          <w:rFonts w:eastAsiaTheme="minorHAnsi" w:cs="Arial"/>
          <w:sz w:val="20"/>
          <w:szCs w:val="20"/>
          <w:lang w:val="en-US" w:eastAsia="en-US"/>
        </w:rPr>
        <w:t xml:space="preserve"> any subjective prejudice and, also, offering sufficient guarantees of an objective nature to inspire the necessary trust in the parties to the case and in the citizens of a democratic society.</w:t>
      </w:r>
      <w:r w:rsidR="00E67349" w:rsidRPr="00CF6765">
        <w:rPr>
          <w:rFonts w:eastAsiaTheme="majorEastAsia"/>
          <w:sz w:val="20"/>
          <w:szCs w:val="20"/>
          <w:vertAlign w:val="superscript"/>
          <w:lang w:val="en-US" w:eastAsia="en-US"/>
        </w:rPr>
        <w:footnoteReference w:id="290"/>
      </w:r>
      <w:r w:rsidR="00E67349" w:rsidRPr="00CF6765">
        <w:rPr>
          <w:rFonts w:eastAsiaTheme="minorHAnsi" w:cs="Arial"/>
          <w:sz w:val="20"/>
          <w:szCs w:val="20"/>
          <w:lang w:val="en-US" w:eastAsia="en-US"/>
        </w:rPr>
        <w:t xml:space="preserve"> </w:t>
      </w:r>
      <w:r w:rsidR="003172E0" w:rsidRPr="00CF6765">
        <w:rPr>
          <w:rFonts w:eastAsiaTheme="minorHAnsi" w:cs="Arial"/>
          <w:sz w:val="20"/>
          <w:szCs w:val="20"/>
          <w:lang w:val="en-US" w:eastAsia="en-US"/>
        </w:rPr>
        <w:t>The impartiality of the court means that its members do not have a direct interest, a preconceived position, or a preference for either of the parties, and that they are not involved in the dispute.</w:t>
      </w:r>
      <w:r w:rsidR="00E67349" w:rsidRPr="00CF6765">
        <w:rPr>
          <w:rFonts w:eastAsiaTheme="majorEastAsia" w:cs="Arial"/>
          <w:sz w:val="20"/>
          <w:szCs w:val="20"/>
          <w:vertAlign w:val="superscript"/>
          <w:lang w:val="en-US" w:eastAsia="en-US"/>
        </w:rPr>
        <w:footnoteReference w:id="291"/>
      </w:r>
      <w:r w:rsidR="00E67349" w:rsidRPr="00CF6765">
        <w:rPr>
          <w:rFonts w:eastAsiaTheme="minorHAnsi" w:cs="Arial"/>
          <w:sz w:val="20"/>
          <w:szCs w:val="20"/>
          <w:lang w:val="en-US" w:eastAsia="en-US"/>
        </w:rPr>
        <w:t xml:space="preserve"> </w:t>
      </w:r>
      <w:r w:rsidR="00C16683" w:rsidRPr="00CF6765">
        <w:rPr>
          <w:rFonts w:eastAsiaTheme="minorHAnsi" w:cstheme="minorBidi"/>
          <w:sz w:val="20"/>
          <w:szCs w:val="20"/>
          <w:lang w:val="en-US" w:eastAsia="en-US"/>
        </w:rPr>
        <w:t xml:space="preserve">This is because the judge must act without being subject to any </w:t>
      </w:r>
      <w:r w:rsidR="00E27148" w:rsidRPr="00CF6765">
        <w:rPr>
          <w:rFonts w:eastAsiaTheme="minorHAnsi" w:cstheme="minorBidi"/>
          <w:sz w:val="20"/>
          <w:szCs w:val="20"/>
          <w:lang w:val="en-US" w:eastAsia="en-US"/>
        </w:rPr>
        <w:t xml:space="preserve">improper </w:t>
      </w:r>
      <w:r w:rsidR="00E27148" w:rsidRPr="00CF6765">
        <w:rPr>
          <w:color w:val="000000"/>
          <w:sz w:val="20"/>
          <w:szCs w:val="20"/>
          <w:shd w:val="clear" w:color="auto" w:fill="FFFFFF"/>
          <w:lang w:val="en-US"/>
        </w:rPr>
        <w:t>influences</w:t>
      </w:r>
      <w:r w:rsidR="00C16683" w:rsidRPr="00CF6765">
        <w:rPr>
          <w:color w:val="000000"/>
          <w:sz w:val="20"/>
          <w:szCs w:val="20"/>
          <w:shd w:val="clear" w:color="auto" w:fill="FFFFFF"/>
          <w:lang w:val="en-US"/>
        </w:rPr>
        <w:t>, inducements, pressures, threats or interferences, direct or indirect,</w:t>
      </w:r>
      <w:r w:rsidR="00E67349" w:rsidRPr="00CF6765">
        <w:rPr>
          <w:rFonts w:eastAsiaTheme="minorHAnsi" w:cstheme="minorBidi"/>
          <w:sz w:val="20"/>
          <w:szCs w:val="20"/>
          <w:vertAlign w:val="superscript"/>
          <w:lang w:val="en-US" w:eastAsia="en-US"/>
        </w:rPr>
        <w:footnoteReference w:id="292"/>
      </w:r>
      <w:r w:rsidR="00C16683" w:rsidRPr="00CF6765">
        <w:rPr>
          <w:rFonts w:eastAsiaTheme="minorHAnsi" w:cstheme="minorBidi"/>
          <w:sz w:val="20"/>
          <w:szCs w:val="20"/>
          <w:lang w:val="en-US" w:eastAsia="en-US"/>
        </w:rPr>
        <w:t xml:space="preserve"> but only and exclusive</w:t>
      </w:r>
      <w:r w:rsidR="003172E0" w:rsidRPr="00CF6765">
        <w:rPr>
          <w:rFonts w:eastAsiaTheme="minorHAnsi" w:cstheme="minorBidi"/>
          <w:sz w:val="20"/>
          <w:szCs w:val="20"/>
          <w:lang w:val="en-US" w:eastAsia="en-US"/>
        </w:rPr>
        <w:t>ly</w:t>
      </w:r>
      <w:r w:rsidR="00C16683" w:rsidRPr="00CF6765">
        <w:rPr>
          <w:rFonts w:eastAsiaTheme="minorHAnsi" w:cstheme="minorBidi"/>
          <w:sz w:val="20"/>
          <w:szCs w:val="20"/>
          <w:lang w:val="en-US" w:eastAsia="en-US"/>
        </w:rPr>
        <w:t xml:space="preserve"> in accordance with – and motivated by – the law.</w:t>
      </w:r>
      <w:r w:rsidR="00E67349" w:rsidRPr="00CF6765">
        <w:rPr>
          <w:rFonts w:eastAsiaTheme="majorEastAsia"/>
          <w:sz w:val="20"/>
          <w:szCs w:val="20"/>
          <w:vertAlign w:val="superscript"/>
          <w:lang w:val="en-US" w:eastAsia="en-US"/>
        </w:rPr>
        <w:footnoteReference w:id="293"/>
      </w:r>
      <w:r w:rsidR="00E67349" w:rsidRPr="00CF6765">
        <w:rPr>
          <w:rFonts w:eastAsiaTheme="minorHAnsi" w:cstheme="minorBidi"/>
          <w:sz w:val="20"/>
          <w:szCs w:val="20"/>
          <w:lang w:val="en-US" w:eastAsia="en-US"/>
        </w:rPr>
        <w:t xml:space="preserve"> </w:t>
      </w:r>
    </w:p>
    <w:p w14:paraId="69C0DA04" w14:textId="77777777" w:rsidR="00E67349" w:rsidRPr="00CF6765" w:rsidRDefault="00E67349" w:rsidP="000D4A1F">
      <w:pPr>
        <w:tabs>
          <w:tab w:val="left" w:pos="0"/>
        </w:tabs>
        <w:contextualSpacing/>
        <w:rPr>
          <w:rFonts w:eastAsiaTheme="minorHAnsi" w:cstheme="minorBidi"/>
          <w:sz w:val="20"/>
          <w:szCs w:val="20"/>
          <w:lang w:val="en-US" w:eastAsia="en-US"/>
        </w:rPr>
      </w:pPr>
    </w:p>
    <w:p w14:paraId="2678C8E3" w14:textId="32E4089F" w:rsidR="00E67349" w:rsidRPr="00CF6765" w:rsidRDefault="003172E0" w:rsidP="003172E0">
      <w:pPr>
        <w:numPr>
          <w:ilvl w:val="0"/>
          <w:numId w:val="2"/>
        </w:numPr>
        <w:tabs>
          <w:tab w:val="left" w:pos="567"/>
          <w:tab w:val="num" w:pos="1569"/>
          <w:tab w:val="num" w:pos="12305"/>
        </w:tabs>
        <w:ind w:left="0" w:firstLine="0"/>
        <w:rPr>
          <w:rFonts w:eastAsiaTheme="minorHAnsi" w:cstheme="minorBidi"/>
          <w:sz w:val="20"/>
          <w:szCs w:val="20"/>
          <w:lang w:val="en-US" w:eastAsia="en-US"/>
        </w:rPr>
      </w:pPr>
      <w:r w:rsidRPr="00CF6765">
        <w:rPr>
          <w:rFonts w:eastAsiaTheme="minorHAnsi" w:cstheme="minorBidi"/>
          <w:sz w:val="20"/>
          <w:szCs w:val="20"/>
          <w:lang w:val="en-US" w:eastAsia="en-US"/>
        </w:rPr>
        <w:t>Furthermore, the Court reiterates that the personal i</w:t>
      </w:r>
      <w:r w:rsidR="00F10987" w:rsidRPr="00CF6765">
        <w:rPr>
          <w:rFonts w:eastAsiaTheme="minorHAnsi" w:cstheme="minorBidi"/>
          <w:sz w:val="20"/>
          <w:szCs w:val="20"/>
          <w:lang w:val="en-US" w:eastAsia="en-US"/>
        </w:rPr>
        <w:t>m</w:t>
      </w:r>
      <w:r w:rsidRPr="00CF6765">
        <w:rPr>
          <w:rFonts w:eastAsiaTheme="minorHAnsi" w:cstheme="minorBidi"/>
          <w:sz w:val="20"/>
          <w:szCs w:val="20"/>
          <w:lang w:val="en-US" w:eastAsia="en-US"/>
        </w:rPr>
        <w:t xml:space="preserve">partiality of a judge </w:t>
      </w:r>
      <w:r w:rsidR="00F10987" w:rsidRPr="00CF6765">
        <w:rPr>
          <w:rFonts w:eastAsiaTheme="minorHAnsi" w:cstheme="minorBidi"/>
          <w:sz w:val="20"/>
          <w:szCs w:val="20"/>
          <w:lang w:val="en-US" w:eastAsia="en-US"/>
        </w:rPr>
        <w:t>is to be</w:t>
      </w:r>
      <w:r w:rsidRPr="00CF6765">
        <w:rPr>
          <w:rFonts w:eastAsiaTheme="minorHAnsi" w:cstheme="minorBidi"/>
          <w:sz w:val="20"/>
          <w:szCs w:val="20"/>
          <w:lang w:val="en-US" w:eastAsia="en-US"/>
        </w:rPr>
        <w:t xml:space="preserve"> presumed, unless there is evidence to the contrary. </w:t>
      </w:r>
      <w:r w:rsidR="00F10987" w:rsidRPr="00CF6765">
        <w:rPr>
          <w:rFonts w:eastAsiaTheme="minorHAnsi" w:cstheme="minorBidi"/>
          <w:sz w:val="20"/>
          <w:szCs w:val="20"/>
          <w:lang w:val="en-US" w:eastAsia="en-US"/>
        </w:rPr>
        <w:t>In an</w:t>
      </w:r>
      <w:r w:rsidRPr="00CF6765">
        <w:rPr>
          <w:rFonts w:eastAsiaTheme="minorHAnsi" w:cstheme="minorBidi"/>
          <w:sz w:val="20"/>
          <w:szCs w:val="20"/>
          <w:lang w:val="en-US" w:eastAsia="en-US"/>
        </w:rPr>
        <w:t xml:space="preserve"> anal</w:t>
      </w:r>
      <w:r w:rsidR="00F10987" w:rsidRPr="00CF6765">
        <w:rPr>
          <w:rFonts w:eastAsiaTheme="minorHAnsi" w:cstheme="minorBidi"/>
          <w:sz w:val="20"/>
          <w:szCs w:val="20"/>
          <w:lang w:val="en-US" w:eastAsia="en-US"/>
        </w:rPr>
        <w:t>ysis of</w:t>
      </w:r>
      <w:r w:rsidRPr="00CF6765">
        <w:rPr>
          <w:rFonts w:eastAsiaTheme="minorHAnsi" w:cstheme="minorBidi"/>
          <w:sz w:val="20"/>
          <w:szCs w:val="20"/>
          <w:lang w:val="en-US" w:eastAsia="en-US"/>
        </w:rPr>
        <w:t xml:space="preserve"> subjective impartiality, the Court must </w:t>
      </w:r>
      <w:r w:rsidR="00310FF1" w:rsidRPr="00CF6765">
        <w:rPr>
          <w:rFonts w:eastAsiaTheme="minorHAnsi" w:cstheme="minorBidi"/>
          <w:sz w:val="20"/>
          <w:szCs w:val="20"/>
          <w:lang w:val="en-US" w:eastAsia="en-US"/>
        </w:rPr>
        <w:t xml:space="preserve">attempt </w:t>
      </w:r>
      <w:r w:rsidRPr="00CF6765">
        <w:rPr>
          <w:rFonts w:eastAsiaTheme="minorHAnsi" w:cstheme="minorBidi"/>
          <w:sz w:val="20"/>
          <w:szCs w:val="20"/>
          <w:lang w:val="en-US" w:eastAsia="en-US"/>
        </w:rPr>
        <w:t>to discover the personal interests or motivations</w:t>
      </w:r>
      <w:r w:rsidR="00310FF1" w:rsidRPr="00CF6765">
        <w:rPr>
          <w:rFonts w:eastAsiaTheme="minorHAnsi" w:cstheme="minorBidi"/>
          <w:sz w:val="20"/>
          <w:szCs w:val="20"/>
          <w:lang w:val="en-US" w:eastAsia="en-US"/>
        </w:rPr>
        <w:t xml:space="preserve"> of a judge in a particular case</w:t>
      </w:r>
      <w:r w:rsidRPr="00CF6765">
        <w:rPr>
          <w:rFonts w:eastAsiaTheme="minorHAnsi" w:cstheme="minorBidi"/>
          <w:sz w:val="20"/>
          <w:szCs w:val="20"/>
          <w:lang w:val="en-US" w:eastAsia="en-US"/>
        </w:rPr>
        <w:t xml:space="preserve">. </w:t>
      </w:r>
      <w:r w:rsidR="00310FF1" w:rsidRPr="00CF6765">
        <w:rPr>
          <w:rFonts w:eastAsiaTheme="minorHAnsi" w:cstheme="minorBidi"/>
          <w:sz w:val="20"/>
          <w:szCs w:val="20"/>
          <w:lang w:val="en-US" w:eastAsia="en-US"/>
        </w:rPr>
        <w:t>As to</w:t>
      </w:r>
      <w:r w:rsidRPr="00CF6765">
        <w:rPr>
          <w:rFonts w:eastAsiaTheme="minorHAnsi" w:cstheme="minorBidi"/>
          <w:sz w:val="20"/>
          <w:szCs w:val="20"/>
          <w:lang w:val="en-US" w:eastAsia="en-US"/>
        </w:rPr>
        <w:t xml:space="preserve"> the type of evidence </w:t>
      </w:r>
      <w:r w:rsidR="00310FF1" w:rsidRPr="00CF6765">
        <w:rPr>
          <w:rFonts w:eastAsiaTheme="minorHAnsi" w:cstheme="minorBidi"/>
          <w:sz w:val="20"/>
          <w:szCs w:val="20"/>
          <w:lang w:val="en-US" w:eastAsia="en-US"/>
        </w:rPr>
        <w:t>required</w:t>
      </w:r>
      <w:r w:rsidRPr="00CF6765">
        <w:rPr>
          <w:rFonts w:eastAsiaTheme="minorHAnsi" w:cstheme="minorBidi"/>
          <w:sz w:val="20"/>
          <w:szCs w:val="20"/>
          <w:lang w:val="en-US" w:eastAsia="en-US"/>
        </w:rPr>
        <w:t xml:space="preserve"> to prove subjective impartiality, it is necessary to </w:t>
      </w:r>
      <w:r w:rsidR="00310FF1" w:rsidRPr="00CF6765">
        <w:rPr>
          <w:rFonts w:eastAsiaTheme="minorHAnsi" w:cstheme="minorBidi"/>
          <w:sz w:val="20"/>
          <w:szCs w:val="20"/>
          <w:lang w:val="en-US" w:eastAsia="en-US"/>
        </w:rPr>
        <w:t>ascertain</w:t>
      </w:r>
      <w:r w:rsidRPr="00CF6765">
        <w:rPr>
          <w:rFonts w:eastAsiaTheme="minorHAnsi" w:cstheme="minorBidi"/>
          <w:sz w:val="20"/>
          <w:szCs w:val="20"/>
          <w:lang w:val="en-US" w:eastAsia="en-US"/>
        </w:rPr>
        <w:t xml:space="preserve"> whether the judge has </w:t>
      </w:r>
      <w:r w:rsidR="00310FF1" w:rsidRPr="00CF6765">
        <w:rPr>
          <w:rFonts w:eastAsiaTheme="minorHAnsi" w:cstheme="minorBidi"/>
          <w:sz w:val="20"/>
          <w:szCs w:val="20"/>
          <w:lang w:val="en-US" w:eastAsia="en-US"/>
        </w:rPr>
        <w:t>displayed</w:t>
      </w:r>
      <w:r w:rsidRPr="00CF6765">
        <w:rPr>
          <w:rFonts w:eastAsiaTheme="minorHAnsi" w:cstheme="minorBidi"/>
          <w:sz w:val="20"/>
          <w:szCs w:val="20"/>
          <w:lang w:val="en-US" w:eastAsia="en-US"/>
        </w:rPr>
        <w:t xml:space="preserve"> hostility or has </w:t>
      </w:r>
      <w:r w:rsidR="00310FF1" w:rsidRPr="00CF6765">
        <w:rPr>
          <w:rFonts w:eastAsiaTheme="minorHAnsi" w:cstheme="minorBidi"/>
          <w:sz w:val="20"/>
          <w:szCs w:val="20"/>
          <w:lang w:val="en-US" w:eastAsia="en-US"/>
        </w:rPr>
        <w:t>arranged to have</w:t>
      </w:r>
      <w:r w:rsidRPr="00CF6765">
        <w:rPr>
          <w:rFonts w:eastAsiaTheme="minorHAnsi" w:cstheme="minorBidi"/>
          <w:sz w:val="20"/>
          <w:szCs w:val="20"/>
          <w:lang w:val="en-US" w:eastAsia="en-US"/>
        </w:rPr>
        <w:t xml:space="preserve"> the case assigned to him</w:t>
      </w:r>
      <w:r w:rsidR="00310FF1" w:rsidRPr="00CF6765">
        <w:rPr>
          <w:rFonts w:eastAsiaTheme="minorHAnsi" w:cstheme="minorBidi"/>
          <w:sz w:val="20"/>
          <w:szCs w:val="20"/>
          <w:lang w:val="en-US" w:eastAsia="en-US"/>
        </w:rPr>
        <w:t>self</w:t>
      </w:r>
      <w:r w:rsidRPr="00CF6765">
        <w:rPr>
          <w:rFonts w:eastAsiaTheme="minorHAnsi" w:cstheme="minorBidi"/>
          <w:sz w:val="20"/>
          <w:szCs w:val="20"/>
          <w:lang w:val="en-US" w:eastAsia="en-US"/>
        </w:rPr>
        <w:t xml:space="preserve"> for personal reasons.</w:t>
      </w:r>
      <w:r w:rsidR="00E67349" w:rsidRPr="00CF6765">
        <w:rPr>
          <w:rFonts w:eastAsiaTheme="majorEastAsia"/>
          <w:sz w:val="20"/>
          <w:szCs w:val="20"/>
          <w:vertAlign w:val="superscript"/>
          <w:lang w:val="en-US" w:eastAsia="en-US"/>
        </w:rPr>
        <w:footnoteReference w:id="294"/>
      </w:r>
    </w:p>
    <w:p w14:paraId="02BF627E" w14:textId="77777777" w:rsidR="00E67349" w:rsidRPr="00CF6765" w:rsidRDefault="00E67349" w:rsidP="000D4A1F">
      <w:pPr>
        <w:tabs>
          <w:tab w:val="left" w:pos="0"/>
        </w:tabs>
        <w:contextualSpacing/>
        <w:rPr>
          <w:rFonts w:eastAsiaTheme="minorHAnsi" w:cstheme="minorBidi"/>
          <w:sz w:val="20"/>
          <w:szCs w:val="20"/>
          <w:lang w:val="en-US" w:eastAsia="en-US"/>
        </w:rPr>
      </w:pPr>
    </w:p>
    <w:p w14:paraId="03322DD4" w14:textId="1C1F275F" w:rsidR="00E67349" w:rsidRPr="00CF6765" w:rsidRDefault="00E67349" w:rsidP="000D4A1F">
      <w:pPr>
        <w:numPr>
          <w:ilvl w:val="0"/>
          <w:numId w:val="2"/>
        </w:numPr>
        <w:tabs>
          <w:tab w:val="left" w:pos="567"/>
          <w:tab w:val="num" w:pos="1569"/>
          <w:tab w:val="num" w:pos="12305"/>
        </w:tabs>
        <w:ind w:left="0" w:firstLine="0"/>
        <w:rPr>
          <w:rFonts w:eastAsiaTheme="minorHAnsi" w:cstheme="minorBidi"/>
          <w:sz w:val="20"/>
          <w:szCs w:val="20"/>
          <w:lang w:val="en-US" w:eastAsia="en-US"/>
        </w:rPr>
      </w:pPr>
      <w:r w:rsidRPr="00CF6765">
        <w:rPr>
          <w:rFonts w:eastAsiaTheme="minorHAnsi" w:cstheme="minorBidi"/>
          <w:sz w:val="20"/>
          <w:szCs w:val="20"/>
          <w:lang w:val="en-US" w:eastAsia="en-US"/>
        </w:rPr>
        <w:t xml:space="preserve"> </w:t>
      </w:r>
      <w:r w:rsidR="003172E0" w:rsidRPr="00CF6765">
        <w:rPr>
          <w:rFonts w:eastAsiaTheme="minorHAnsi" w:cstheme="minorBidi"/>
          <w:sz w:val="20"/>
          <w:szCs w:val="20"/>
          <w:lang w:val="en-US" w:eastAsia="en-US"/>
        </w:rPr>
        <w:t xml:space="preserve">A violation </w:t>
      </w:r>
      <w:r w:rsidR="0088423A" w:rsidRPr="00CF6765">
        <w:rPr>
          <w:rFonts w:eastAsiaTheme="minorHAnsi" w:cstheme="minorBidi"/>
          <w:sz w:val="20"/>
          <w:szCs w:val="20"/>
          <w:lang w:val="en-US" w:eastAsia="en-US"/>
        </w:rPr>
        <w:t>of Article</w:t>
      </w:r>
      <w:r w:rsidRPr="00CF6765">
        <w:rPr>
          <w:rFonts w:eastAsiaTheme="minorHAnsi" w:cstheme="minorBidi"/>
          <w:sz w:val="20"/>
          <w:szCs w:val="20"/>
          <w:lang w:val="en-US" w:eastAsia="en-US"/>
        </w:rPr>
        <w:t xml:space="preserve"> </w:t>
      </w:r>
      <w:r w:rsidR="009339F5" w:rsidRPr="00CF6765">
        <w:rPr>
          <w:rFonts w:eastAsiaTheme="minorHAnsi" w:cstheme="minorBidi"/>
          <w:sz w:val="20"/>
          <w:szCs w:val="20"/>
          <w:lang w:val="en-US" w:eastAsia="en-US"/>
        </w:rPr>
        <w:t>8(1)</w:t>
      </w:r>
      <w:r w:rsidR="005C731C" w:rsidRPr="00CF6765">
        <w:rPr>
          <w:rFonts w:eastAsiaTheme="minorHAnsi" w:cstheme="minorBidi"/>
          <w:sz w:val="20"/>
          <w:szCs w:val="20"/>
          <w:lang w:val="en-US" w:eastAsia="en-US"/>
        </w:rPr>
        <w:t xml:space="preserve"> of the Convention</w:t>
      </w:r>
      <w:r w:rsidRPr="00CF6765">
        <w:rPr>
          <w:rFonts w:eastAsiaTheme="minorHAnsi" w:cstheme="minorBidi"/>
          <w:sz w:val="20"/>
          <w:szCs w:val="20"/>
          <w:lang w:val="en-US" w:eastAsia="en-US"/>
        </w:rPr>
        <w:t xml:space="preserve"> </w:t>
      </w:r>
      <w:r w:rsidR="003172E0" w:rsidRPr="00CF6765">
        <w:rPr>
          <w:rFonts w:eastAsiaTheme="minorHAnsi" w:cstheme="minorBidi"/>
          <w:sz w:val="20"/>
          <w:szCs w:val="20"/>
          <w:lang w:val="en-US" w:eastAsia="en-US"/>
        </w:rPr>
        <w:t xml:space="preserve">owing to the presumed lack of impartiality of the judge must be established based on specific and concrete evidence </w:t>
      </w:r>
      <w:r w:rsidR="00F10987" w:rsidRPr="00CF6765">
        <w:rPr>
          <w:rFonts w:eastAsiaTheme="minorHAnsi" w:cstheme="minorBidi"/>
          <w:sz w:val="20"/>
          <w:szCs w:val="20"/>
          <w:lang w:val="en-US" w:eastAsia="en-US"/>
        </w:rPr>
        <w:t>that indicates a situation in which judges have clearly allowed themselves to be influenced by aspects or criteria outside the legal provisions.</w:t>
      </w:r>
      <w:r w:rsidRPr="00CF6765">
        <w:rPr>
          <w:rFonts w:eastAsiaTheme="minorHAnsi"/>
          <w:sz w:val="20"/>
          <w:szCs w:val="20"/>
          <w:vertAlign w:val="superscript"/>
          <w:lang w:val="en-US" w:eastAsia="en-US"/>
        </w:rPr>
        <w:footnoteReference w:id="295"/>
      </w:r>
      <w:r w:rsidRPr="00CF6765">
        <w:rPr>
          <w:rFonts w:eastAsiaTheme="minorHAnsi" w:cstheme="minorBidi"/>
          <w:sz w:val="20"/>
          <w:szCs w:val="20"/>
          <w:lang w:val="en-US" w:eastAsia="en-US"/>
        </w:rPr>
        <w:t xml:space="preserve"> </w:t>
      </w:r>
      <w:r w:rsidR="00310FF1" w:rsidRPr="00CF6765">
        <w:rPr>
          <w:rFonts w:eastAsiaTheme="minorHAnsi" w:cstheme="minorBidi"/>
          <w:sz w:val="20"/>
          <w:szCs w:val="20"/>
          <w:lang w:val="en-US" w:eastAsia="en-US"/>
        </w:rPr>
        <w:t xml:space="preserve">In the instant case, </w:t>
      </w:r>
      <w:r w:rsidR="00D2168F" w:rsidRPr="00CF6765">
        <w:rPr>
          <w:rFonts w:eastAsiaTheme="minorHAnsi" w:cstheme="minorBidi"/>
          <w:sz w:val="20"/>
          <w:szCs w:val="20"/>
          <w:lang w:val="en-US" w:eastAsia="en-US"/>
        </w:rPr>
        <w:t>the representatives</w:t>
      </w:r>
      <w:r w:rsidR="0059400D" w:rsidRPr="00CF6765">
        <w:rPr>
          <w:rFonts w:eastAsiaTheme="minorHAnsi" w:cstheme="minorBidi"/>
          <w:sz w:val="20"/>
          <w:szCs w:val="20"/>
          <w:lang w:val="en-US" w:eastAsia="en-US"/>
        </w:rPr>
        <w:t xml:space="preserve"> </w:t>
      </w:r>
      <w:r w:rsidR="00310FF1" w:rsidRPr="00CF6765">
        <w:rPr>
          <w:rFonts w:eastAsiaTheme="minorHAnsi" w:cstheme="minorBidi"/>
          <w:sz w:val="20"/>
          <w:szCs w:val="20"/>
          <w:lang w:val="en-US" w:eastAsia="en-US"/>
        </w:rPr>
        <w:t xml:space="preserve">did not provide probative elements or </w:t>
      </w:r>
      <w:r w:rsidR="00310FF1" w:rsidRPr="00CF6765">
        <w:rPr>
          <w:rFonts w:eastAsiaTheme="minorHAnsi" w:cstheme="minorBidi"/>
          <w:sz w:val="20"/>
          <w:szCs w:val="20"/>
          <w:lang w:val="en-US" w:eastAsia="en-US"/>
        </w:rPr>
        <w:lastRenderedPageBreak/>
        <w:t>evidence that would allow this Court to consider that the judicial authorities acted in the absence of impartiality.</w:t>
      </w:r>
    </w:p>
    <w:p w14:paraId="3714DE62" w14:textId="77777777" w:rsidR="00E67349" w:rsidRPr="00CF6765" w:rsidRDefault="00E67349" w:rsidP="000D4A1F">
      <w:pPr>
        <w:tabs>
          <w:tab w:val="left" w:pos="0"/>
        </w:tabs>
        <w:contextualSpacing/>
        <w:rPr>
          <w:rFonts w:eastAsiaTheme="minorHAnsi" w:cstheme="minorBidi"/>
          <w:sz w:val="20"/>
          <w:szCs w:val="20"/>
          <w:lang w:val="en-US" w:eastAsia="en-US"/>
        </w:rPr>
      </w:pPr>
    </w:p>
    <w:p w14:paraId="36A42133" w14:textId="191AC3C1" w:rsidR="00E67349" w:rsidRPr="00CF6765" w:rsidRDefault="00310FF1" w:rsidP="000D4A1F">
      <w:pPr>
        <w:numPr>
          <w:ilvl w:val="0"/>
          <w:numId w:val="2"/>
        </w:numPr>
        <w:tabs>
          <w:tab w:val="left" w:pos="567"/>
          <w:tab w:val="num" w:pos="1569"/>
          <w:tab w:val="num" w:pos="12305"/>
        </w:tabs>
        <w:ind w:left="0" w:firstLine="0"/>
        <w:rPr>
          <w:rFonts w:eastAsiaTheme="minorHAnsi" w:cstheme="minorBidi"/>
          <w:sz w:val="20"/>
          <w:szCs w:val="20"/>
          <w:lang w:val="en-US" w:eastAsia="en-US"/>
        </w:rPr>
      </w:pPr>
      <w:r w:rsidRPr="00CF6765">
        <w:rPr>
          <w:rFonts w:eastAsiaTheme="minorHAnsi" w:cstheme="minorBidi"/>
          <w:sz w:val="20"/>
          <w:szCs w:val="20"/>
          <w:lang w:val="en-US" w:eastAsia="en-US"/>
        </w:rPr>
        <w:t>Consequently</w:t>
      </w:r>
      <w:r w:rsidR="00E67349" w:rsidRPr="00CF6765">
        <w:rPr>
          <w:rFonts w:eastAsiaTheme="minorHAnsi" w:cstheme="minorBidi"/>
          <w:sz w:val="20"/>
          <w:szCs w:val="20"/>
          <w:lang w:val="en-US" w:eastAsia="en-US"/>
        </w:rPr>
        <w:t xml:space="preserve">, </w:t>
      </w:r>
      <w:r w:rsidR="005C731C" w:rsidRPr="00CF6765">
        <w:rPr>
          <w:rFonts w:eastAsiaTheme="minorHAnsi" w:cstheme="minorBidi"/>
          <w:sz w:val="20"/>
          <w:szCs w:val="20"/>
          <w:lang w:val="en-US" w:eastAsia="en-US"/>
        </w:rPr>
        <w:t>the Court</w:t>
      </w:r>
      <w:r w:rsidR="00E67349" w:rsidRPr="00CF6765">
        <w:rPr>
          <w:rFonts w:eastAsiaTheme="minorHAnsi" w:cstheme="minorBidi"/>
          <w:sz w:val="20"/>
          <w:szCs w:val="20"/>
          <w:lang w:val="en-US" w:eastAsia="en-US"/>
        </w:rPr>
        <w:t xml:space="preserve"> conclu</w:t>
      </w:r>
      <w:r w:rsidRPr="00CF6765">
        <w:rPr>
          <w:rFonts w:eastAsiaTheme="minorHAnsi" w:cstheme="minorBidi"/>
          <w:sz w:val="20"/>
          <w:szCs w:val="20"/>
          <w:lang w:val="en-US" w:eastAsia="en-US"/>
        </w:rPr>
        <w:t xml:space="preserve">des that the State is not </w:t>
      </w:r>
      <w:r w:rsidR="00C8154C" w:rsidRPr="00CF6765">
        <w:rPr>
          <w:rFonts w:eastAsiaTheme="minorHAnsi" w:cstheme="minorBidi"/>
          <w:sz w:val="20"/>
          <w:szCs w:val="20"/>
          <w:lang w:val="en-US" w:eastAsia="en-US"/>
        </w:rPr>
        <w:t>responsible for</w:t>
      </w:r>
      <w:r w:rsidR="00E67349" w:rsidRPr="00CF6765">
        <w:rPr>
          <w:rFonts w:eastAsiaTheme="minorHAnsi" w:cstheme="minorBidi"/>
          <w:sz w:val="20"/>
          <w:szCs w:val="20"/>
          <w:lang w:val="en-US" w:eastAsia="en-US"/>
        </w:rPr>
        <w:t xml:space="preserve"> </w:t>
      </w:r>
      <w:r w:rsidR="008F31F2" w:rsidRPr="00CF6765">
        <w:rPr>
          <w:rFonts w:eastAsiaTheme="minorHAnsi" w:cstheme="minorBidi"/>
          <w:sz w:val="20"/>
          <w:szCs w:val="20"/>
          <w:lang w:val="en-US" w:eastAsia="en-US"/>
        </w:rPr>
        <w:t>the violation of</w:t>
      </w:r>
      <w:r w:rsidR="00E67349" w:rsidRPr="00CF6765">
        <w:rPr>
          <w:rFonts w:eastAsiaTheme="minorHAnsi" w:cstheme="minorBidi"/>
          <w:sz w:val="20"/>
          <w:szCs w:val="20"/>
          <w:lang w:val="en-US" w:eastAsia="en-US"/>
        </w:rPr>
        <w:t xml:space="preserve"> </w:t>
      </w:r>
      <w:r w:rsidR="005F6F63" w:rsidRPr="00CF6765">
        <w:rPr>
          <w:rFonts w:eastAsiaTheme="minorHAnsi" w:cstheme="minorBidi"/>
          <w:sz w:val="20"/>
          <w:szCs w:val="20"/>
          <w:lang w:val="en-US" w:eastAsia="en-US"/>
        </w:rPr>
        <w:t>judicial guarantees</w:t>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 xml:space="preserve">established in </w:t>
      </w:r>
      <w:r w:rsidR="005C731C" w:rsidRPr="00CF6765">
        <w:rPr>
          <w:rFonts w:eastAsiaTheme="minorHAnsi" w:cstheme="minorBidi"/>
          <w:sz w:val="20"/>
          <w:szCs w:val="20"/>
          <w:lang w:val="en-US" w:eastAsia="en-US"/>
        </w:rPr>
        <w:t>Article</w:t>
      </w:r>
      <w:r w:rsidR="00E67349" w:rsidRPr="00CF6765">
        <w:rPr>
          <w:rFonts w:eastAsiaTheme="minorHAnsi" w:cstheme="minorBidi"/>
          <w:sz w:val="20"/>
          <w:szCs w:val="20"/>
          <w:lang w:val="en-US" w:eastAsia="en-US"/>
        </w:rPr>
        <w:t xml:space="preserve"> </w:t>
      </w:r>
      <w:r w:rsidR="009339F5" w:rsidRPr="00CF6765">
        <w:rPr>
          <w:rFonts w:eastAsiaTheme="minorHAnsi" w:cstheme="minorBidi"/>
          <w:sz w:val="20"/>
          <w:szCs w:val="20"/>
          <w:lang w:val="en-US" w:eastAsia="en-US"/>
        </w:rPr>
        <w:t>8(1)</w:t>
      </w:r>
      <w:r w:rsidR="005C731C" w:rsidRPr="00CF6765">
        <w:rPr>
          <w:rFonts w:eastAsiaTheme="minorHAnsi" w:cstheme="minorBidi"/>
          <w:sz w:val="20"/>
          <w:szCs w:val="20"/>
          <w:lang w:val="en-US" w:eastAsia="en-US"/>
        </w:rPr>
        <w:t xml:space="preserve"> of the Convention</w:t>
      </w:r>
      <w:r w:rsidR="00E67349" w:rsidRPr="00CF6765">
        <w:rPr>
          <w:rFonts w:eastAsiaTheme="minorHAnsi" w:cstheme="minorBidi"/>
          <w:sz w:val="20"/>
          <w:szCs w:val="20"/>
          <w:lang w:val="en-US" w:eastAsia="en-US"/>
        </w:rPr>
        <w:t xml:space="preserve">, </w:t>
      </w:r>
      <w:r w:rsidRPr="00CF6765">
        <w:rPr>
          <w:rFonts w:eastAsiaTheme="minorHAnsi" w:cstheme="minorBidi"/>
          <w:sz w:val="20"/>
          <w:szCs w:val="20"/>
          <w:lang w:val="en-US" w:eastAsia="en-US"/>
        </w:rPr>
        <w:t>owing to the alleged lack of judicial impartiality.</w:t>
      </w:r>
    </w:p>
    <w:p w14:paraId="519A7E4A" w14:textId="77777777" w:rsidR="000214BA" w:rsidRPr="00CF6765" w:rsidRDefault="000214BA" w:rsidP="00BE6F31">
      <w:pPr>
        <w:contextualSpacing/>
        <w:rPr>
          <w:rFonts w:eastAsia="Calibri"/>
          <w:sz w:val="20"/>
          <w:szCs w:val="20"/>
          <w:lang w:val="en-US" w:eastAsia="en-US"/>
        </w:rPr>
      </w:pPr>
    </w:p>
    <w:p w14:paraId="2EEBB1C7" w14:textId="77777777" w:rsidR="003E7F63" w:rsidRPr="00CF6765" w:rsidRDefault="006A08E5" w:rsidP="00F322EC">
      <w:pPr>
        <w:pStyle w:val="Ttulo"/>
      </w:pPr>
      <w:bookmarkStart w:id="93" w:name="_Toc504484552"/>
      <w:bookmarkStart w:id="94" w:name="_Toc47864392"/>
      <w:r w:rsidRPr="00CF6765">
        <w:t>V</w:t>
      </w:r>
      <w:r w:rsidR="00024506" w:rsidRPr="00CF6765">
        <w:t>I</w:t>
      </w:r>
      <w:r w:rsidRPr="00CF6765">
        <w:t>I-3</w:t>
      </w:r>
      <w:bookmarkEnd w:id="93"/>
      <w:bookmarkEnd w:id="94"/>
    </w:p>
    <w:p w14:paraId="230FF16B" w14:textId="2A6350D1" w:rsidR="00BE6F31" w:rsidRPr="00CF6765" w:rsidRDefault="009C2DEF" w:rsidP="00F322EC">
      <w:pPr>
        <w:pStyle w:val="Ttulo"/>
      </w:pPr>
      <w:bookmarkStart w:id="95" w:name="_Toc47864393"/>
      <w:r w:rsidRPr="00CF6765">
        <w:t>RIGHT TO PERSONAL INTEGRITY OF THE FAMILY MEMBERS</w:t>
      </w:r>
      <w:bookmarkEnd w:id="95"/>
    </w:p>
    <w:p w14:paraId="35AD4C58" w14:textId="4418CA14" w:rsidR="00BE6F31" w:rsidRPr="00CF6765" w:rsidRDefault="00BE6F31" w:rsidP="00F322EC">
      <w:pPr>
        <w:pStyle w:val="Ttulo"/>
      </w:pPr>
      <w:bookmarkStart w:id="96" w:name="_Toc482355929"/>
      <w:bookmarkStart w:id="97" w:name="_Toc494123989"/>
      <w:bookmarkStart w:id="98" w:name="_Toc47864394"/>
      <w:r w:rsidRPr="00CF6765">
        <w:t>(</w:t>
      </w:r>
      <w:r w:rsidR="005C731C" w:rsidRPr="00CF6765">
        <w:t>ARTICLE</w:t>
      </w:r>
      <w:r w:rsidRPr="00CF6765">
        <w:t xml:space="preserve"> </w:t>
      </w:r>
      <w:r w:rsidR="00C16683" w:rsidRPr="00CF6765">
        <w:t>5(1) OF THE AMERICAN</w:t>
      </w:r>
      <w:r w:rsidR="005C731C" w:rsidRPr="00CF6765">
        <w:t xml:space="preserve"> CONVENTION</w:t>
      </w:r>
      <w:r w:rsidRPr="00CF6765">
        <w:t>)</w:t>
      </w:r>
      <w:bookmarkEnd w:id="96"/>
      <w:bookmarkEnd w:id="97"/>
      <w:bookmarkEnd w:id="98"/>
    </w:p>
    <w:p w14:paraId="5456A7D4" w14:textId="77777777" w:rsidR="00BE6F31" w:rsidRPr="00CF6765" w:rsidRDefault="00BE6F31" w:rsidP="00BE6F31">
      <w:pPr>
        <w:ind w:left="-90" w:right="-360"/>
        <w:jc w:val="center"/>
        <w:rPr>
          <w:b/>
          <w:sz w:val="20"/>
          <w:szCs w:val="20"/>
          <w:lang w:val="en-US"/>
        </w:rPr>
      </w:pPr>
    </w:p>
    <w:p w14:paraId="1B716462" w14:textId="20789353" w:rsidR="00BE6F31" w:rsidRPr="00CF6765" w:rsidRDefault="0090740B" w:rsidP="002726E0">
      <w:pPr>
        <w:pStyle w:val="Ttulo2"/>
        <w:numPr>
          <w:ilvl w:val="0"/>
          <w:numId w:val="12"/>
        </w:numPr>
        <w:rPr>
          <w:lang w:val="en-US"/>
        </w:rPr>
      </w:pPr>
      <w:bookmarkStart w:id="99" w:name="_Toc47864395"/>
      <w:r w:rsidRPr="00CF6765">
        <w:rPr>
          <w:lang w:val="en-US"/>
        </w:rPr>
        <w:t>Arguments</w:t>
      </w:r>
      <w:r w:rsidR="005C731C" w:rsidRPr="00CF6765">
        <w:rPr>
          <w:lang w:val="en-US"/>
        </w:rPr>
        <w:t xml:space="preserve"> of the Commission</w:t>
      </w:r>
      <w:r w:rsidR="00EC50FC" w:rsidRPr="00CF6765">
        <w:rPr>
          <w:lang w:val="en-US"/>
        </w:rPr>
        <w:t xml:space="preserve"> </w:t>
      </w:r>
      <w:r w:rsidR="00506815" w:rsidRPr="00CF6765">
        <w:rPr>
          <w:lang w:val="en-US"/>
        </w:rPr>
        <w:t>and of the parties</w:t>
      </w:r>
      <w:bookmarkEnd w:id="99"/>
    </w:p>
    <w:p w14:paraId="6824BA72" w14:textId="77777777" w:rsidR="00BE6F31" w:rsidRPr="00CF6765" w:rsidRDefault="00BE6F31" w:rsidP="00BE6F31">
      <w:pPr>
        <w:ind w:left="-90" w:right="-360"/>
        <w:rPr>
          <w:sz w:val="20"/>
          <w:szCs w:val="20"/>
          <w:lang w:val="en-US"/>
        </w:rPr>
      </w:pPr>
    </w:p>
    <w:p w14:paraId="6411A61E" w14:textId="54370FEB" w:rsidR="00BE6F31" w:rsidRPr="00CF6765" w:rsidRDefault="005C731C" w:rsidP="00C556FE">
      <w:pPr>
        <w:numPr>
          <w:ilvl w:val="0"/>
          <w:numId w:val="2"/>
        </w:numPr>
        <w:tabs>
          <w:tab w:val="left" w:pos="567"/>
          <w:tab w:val="num" w:pos="1569"/>
          <w:tab w:val="num" w:pos="12305"/>
        </w:tabs>
        <w:ind w:left="0" w:firstLine="0"/>
        <w:rPr>
          <w:b/>
          <w:sz w:val="20"/>
          <w:szCs w:val="20"/>
          <w:lang w:val="en-US"/>
        </w:rPr>
      </w:pPr>
      <w:r w:rsidRPr="00CF6765">
        <w:rPr>
          <w:sz w:val="20"/>
          <w:szCs w:val="20"/>
          <w:lang w:val="en-US"/>
        </w:rPr>
        <w:t xml:space="preserve">The </w:t>
      </w:r>
      <w:r w:rsidRPr="00CF6765">
        <w:rPr>
          <w:b/>
          <w:bCs/>
          <w:i/>
          <w:iCs/>
          <w:sz w:val="20"/>
          <w:szCs w:val="20"/>
          <w:lang w:val="en-US"/>
        </w:rPr>
        <w:t>Commission</w:t>
      </w:r>
      <w:r w:rsidR="00BE6F31" w:rsidRPr="00CF6765">
        <w:rPr>
          <w:b/>
          <w:bCs/>
          <w:i/>
          <w:iCs/>
          <w:sz w:val="20"/>
          <w:szCs w:val="20"/>
          <w:lang w:val="en-US"/>
        </w:rPr>
        <w:t xml:space="preserve"> </w:t>
      </w:r>
      <w:r w:rsidR="00310FF1" w:rsidRPr="00CF6765">
        <w:rPr>
          <w:sz w:val="20"/>
          <w:szCs w:val="20"/>
          <w:lang w:val="en-US"/>
        </w:rPr>
        <w:t>argued that</w:t>
      </w:r>
      <w:r w:rsidR="00BE6F31" w:rsidRPr="00CF6765">
        <w:rPr>
          <w:sz w:val="20"/>
          <w:szCs w:val="20"/>
          <w:lang w:val="en-US"/>
        </w:rPr>
        <w:t xml:space="preserve"> </w:t>
      </w:r>
      <w:r w:rsidR="00EC50FC" w:rsidRPr="00CF6765">
        <w:rPr>
          <w:sz w:val="20"/>
          <w:szCs w:val="20"/>
          <w:lang w:val="en-US"/>
        </w:rPr>
        <w:t>the State</w:t>
      </w:r>
      <w:r w:rsidR="00BE6F31" w:rsidRPr="00CF6765">
        <w:rPr>
          <w:sz w:val="20"/>
          <w:szCs w:val="20"/>
          <w:lang w:val="en-US"/>
        </w:rPr>
        <w:t xml:space="preserve"> </w:t>
      </w:r>
      <w:r w:rsidR="00310FF1" w:rsidRPr="00CF6765">
        <w:rPr>
          <w:sz w:val="20"/>
          <w:szCs w:val="20"/>
          <w:lang w:val="en-US"/>
        </w:rPr>
        <w:t>had violated</w:t>
      </w:r>
      <w:r w:rsidR="00BE6F31" w:rsidRPr="00CF6765">
        <w:rPr>
          <w:sz w:val="20"/>
          <w:szCs w:val="20"/>
          <w:lang w:val="en-US"/>
        </w:rPr>
        <w:t xml:space="preserve"> </w:t>
      </w:r>
      <w:r w:rsidRPr="00CF6765">
        <w:rPr>
          <w:sz w:val="20"/>
          <w:szCs w:val="20"/>
          <w:lang w:val="en-US"/>
        </w:rPr>
        <w:t>Article</w:t>
      </w:r>
      <w:r w:rsidR="00BE6F31" w:rsidRPr="00CF6765">
        <w:rPr>
          <w:sz w:val="20"/>
          <w:szCs w:val="20"/>
          <w:lang w:val="en-US"/>
        </w:rPr>
        <w:t xml:space="preserve"> </w:t>
      </w:r>
      <w:r w:rsidR="00D2168F" w:rsidRPr="00CF6765">
        <w:rPr>
          <w:sz w:val="20"/>
          <w:szCs w:val="20"/>
          <w:lang w:val="en-US"/>
        </w:rPr>
        <w:t>5(1)</w:t>
      </w:r>
      <w:r w:rsidRPr="00CF6765">
        <w:rPr>
          <w:sz w:val="20"/>
          <w:szCs w:val="20"/>
          <w:lang w:val="en-US"/>
        </w:rPr>
        <w:t xml:space="preserve"> of the American Convention</w:t>
      </w:r>
      <w:r w:rsidR="00BE6F31" w:rsidRPr="00CF6765">
        <w:rPr>
          <w:sz w:val="20"/>
          <w:szCs w:val="20"/>
          <w:lang w:val="en-US"/>
        </w:rPr>
        <w:t xml:space="preserve">, </w:t>
      </w:r>
      <w:r w:rsidR="00690D57" w:rsidRPr="00CF6765">
        <w:rPr>
          <w:sz w:val="20"/>
          <w:szCs w:val="20"/>
          <w:lang w:val="en-US"/>
        </w:rPr>
        <w:t>in relation to Article</w:t>
      </w:r>
      <w:r w:rsidR="00EC50FC" w:rsidRPr="00CF6765">
        <w:rPr>
          <w:sz w:val="20"/>
          <w:szCs w:val="20"/>
          <w:lang w:val="en-US"/>
        </w:rPr>
        <w:t xml:space="preserve"> 1(1)</w:t>
      </w:r>
      <w:r w:rsidR="00BE6F31" w:rsidRPr="00CF6765">
        <w:rPr>
          <w:sz w:val="20"/>
          <w:szCs w:val="20"/>
          <w:lang w:val="en-US"/>
        </w:rPr>
        <w:t xml:space="preserve"> </w:t>
      </w:r>
      <w:r w:rsidR="00690D57" w:rsidRPr="00CF6765">
        <w:rPr>
          <w:sz w:val="20"/>
          <w:szCs w:val="20"/>
          <w:lang w:val="en-US"/>
        </w:rPr>
        <w:t>of this instrument</w:t>
      </w:r>
      <w:r w:rsidR="00BE6F31" w:rsidRPr="00CF6765">
        <w:rPr>
          <w:sz w:val="20"/>
          <w:szCs w:val="20"/>
          <w:lang w:val="en-US"/>
        </w:rPr>
        <w:t xml:space="preserve">, </w:t>
      </w:r>
      <w:r w:rsidR="0075448B" w:rsidRPr="00CF6765">
        <w:rPr>
          <w:sz w:val="20"/>
          <w:szCs w:val="20"/>
          <w:lang w:val="en-US"/>
        </w:rPr>
        <w:t>regarding the right</w:t>
      </w:r>
      <w:r w:rsidR="008D7968" w:rsidRPr="00CF6765">
        <w:rPr>
          <w:sz w:val="20"/>
          <w:szCs w:val="20"/>
          <w:lang w:val="en-US"/>
        </w:rPr>
        <w:t xml:space="preserve"> to</w:t>
      </w:r>
      <w:r w:rsidR="00BE6F31" w:rsidRPr="00CF6765">
        <w:rPr>
          <w:sz w:val="20"/>
          <w:szCs w:val="20"/>
          <w:lang w:val="en-US"/>
        </w:rPr>
        <w:t xml:space="preserve"> </w:t>
      </w:r>
      <w:r w:rsidR="00C556FE" w:rsidRPr="00CF6765">
        <w:rPr>
          <w:sz w:val="20"/>
          <w:szCs w:val="20"/>
          <w:lang w:val="en-US"/>
        </w:rPr>
        <w:t>mental and moral integrity</w:t>
      </w:r>
      <w:r w:rsidR="00BE6F31" w:rsidRPr="00CF6765">
        <w:rPr>
          <w:sz w:val="20"/>
          <w:szCs w:val="20"/>
          <w:lang w:val="en-US"/>
        </w:rPr>
        <w:t xml:space="preserve"> </w:t>
      </w:r>
      <w:r w:rsidR="00690D57" w:rsidRPr="00CF6765">
        <w:rPr>
          <w:sz w:val="20"/>
          <w:szCs w:val="20"/>
          <w:lang w:val="en-US"/>
        </w:rPr>
        <w:t>to the detriment of</w:t>
      </w:r>
      <w:r w:rsidR="00BE6F31" w:rsidRPr="00CF6765">
        <w:rPr>
          <w:sz w:val="20"/>
          <w:szCs w:val="20"/>
          <w:lang w:val="en-US"/>
        </w:rPr>
        <w:t xml:space="preserve"> </w:t>
      </w:r>
      <w:r w:rsidR="00C556FE" w:rsidRPr="00CF6765">
        <w:rPr>
          <w:sz w:val="20"/>
          <w:szCs w:val="20"/>
          <w:lang w:val="en-US"/>
        </w:rPr>
        <w:t>the members of</w:t>
      </w:r>
      <w:r w:rsidR="00D04694" w:rsidRPr="00CF6765">
        <w:rPr>
          <w:sz w:val="20"/>
          <w:szCs w:val="20"/>
          <w:lang w:val="en-US"/>
        </w:rPr>
        <w:t xml:space="preserve"> Mr.</w:t>
      </w:r>
      <w:r w:rsidR="00D2168F" w:rsidRPr="00CF6765">
        <w:rPr>
          <w:sz w:val="20"/>
          <w:szCs w:val="20"/>
          <w:lang w:val="en-US"/>
        </w:rPr>
        <w:t xml:space="preserve"> Poblete</w:t>
      </w:r>
      <w:r w:rsidR="00BE6F31" w:rsidRPr="00CF6765">
        <w:rPr>
          <w:sz w:val="20"/>
          <w:szCs w:val="20"/>
          <w:lang w:val="en-US"/>
        </w:rPr>
        <w:t xml:space="preserve"> </w:t>
      </w:r>
      <w:proofErr w:type="spellStart"/>
      <w:r w:rsidR="001E55C3" w:rsidRPr="00CF6765">
        <w:rPr>
          <w:sz w:val="20"/>
          <w:szCs w:val="20"/>
          <w:lang w:val="en-US"/>
        </w:rPr>
        <w:t>Vilches’s</w:t>
      </w:r>
      <w:proofErr w:type="spellEnd"/>
      <w:r w:rsidR="001E55C3" w:rsidRPr="00CF6765">
        <w:rPr>
          <w:sz w:val="20"/>
          <w:szCs w:val="20"/>
          <w:lang w:val="en-US"/>
        </w:rPr>
        <w:t xml:space="preserve"> </w:t>
      </w:r>
      <w:r w:rsidR="00C556FE" w:rsidRPr="00CF6765">
        <w:rPr>
          <w:sz w:val="20"/>
          <w:szCs w:val="20"/>
          <w:lang w:val="en-US"/>
        </w:rPr>
        <w:t xml:space="preserve">family, owing to the additional suffering they had undergone as a </w:t>
      </w:r>
      <w:r w:rsidR="008D7968" w:rsidRPr="00CF6765">
        <w:rPr>
          <w:sz w:val="20"/>
          <w:szCs w:val="20"/>
          <w:lang w:val="en-US"/>
        </w:rPr>
        <w:t xml:space="preserve">result </w:t>
      </w:r>
      <w:r w:rsidR="00C556FE" w:rsidRPr="00CF6765">
        <w:rPr>
          <w:sz w:val="20"/>
          <w:szCs w:val="20"/>
          <w:lang w:val="en-US"/>
        </w:rPr>
        <w:t xml:space="preserve">of the </w:t>
      </w:r>
      <w:r w:rsidR="00BC39AD" w:rsidRPr="00CF6765">
        <w:rPr>
          <w:sz w:val="20"/>
          <w:szCs w:val="20"/>
          <w:lang w:val="en-US"/>
        </w:rPr>
        <w:t xml:space="preserve">violations perpetrated against their loved ones and the acts or omissions of the state authorities in relation to the facts. Regarding the alleged </w:t>
      </w:r>
      <w:r w:rsidR="009E59B2" w:rsidRPr="00CF6765">
        <w:rPr>
          <w:sz w:val="20"/>
          <w:szCs w:val="20"/>
          <w:lang w:val="en-US"/>
        </w:rPr>
        <w:t>mistreatment</w:t>
      </w:r>
      <w:r w:rsidR="00BC39AD" w:rsidRPr="00CF6765">
        <w:rPr>
          <w:sz w:val="20"/>
          <w:szCs w:val="20"/>
          <w:lang w:val="en-US"/>
        </w:rPr>
        <w:t xml:space="preserve"> suffered by Mr. Poblete </w:t>
      </w:r>
      <w:proofErr w:type="spellStart"/>
      <w:r w:rsidR="001E55C3" w:rsidRPr="00CF6765">
        <w:rPr>
          <w:sz w:val="20"/>
          <w:szCs w:val="20"/>
          <w:lang w:val="en-US"/>
        </w:rPr>
        <w:t>Vilches’s</w:t>
      </w:r>
      <w:proofErr w:type="spellEnd"/>
      <w:r w:rsidR="001E55C3" w:rsidRPr="00CF6765">
        <w:rPr>
          <w:sz w:val="20"/>
          <w:szCs w:val="20"/>
          <w:lang w:val="en-US"/>
        </w:rPr>
        <w:t xml:space="preserve"> </w:t>
      </w:r>
      <w:r w:rsidR="00BC39AD" w:rsidRPr="00CF6765">
        <w:rPr>
          <w:sz w:val="20"/>
          <w:szCs w:val="20"/>
          <w:lang w:val="en-US"/>
        </w:rPr>
        <w:t>family, the Commission indicated that it has no probative elements that would allow it to make a legal analysis of this. However, it stressed that the State was aware of the presumed victims</w:t>
      </w:r>
      <w:r w:rsidR="008D7968" w:rsidRPr="00CF6765">
        <w:rPr>
          <w:sz w:val="20"/>
          <w:szCs w:val="20"/>
          <w:lang w:val="en-US"/>
        </w:rPr>
        <w:t>’ allegations regarding</w:t>
      </w:r>
      <w:r w:rsidR="00BC39AD" w:rsidRPr="00CF6765">
        <w:rPr>
          <w:sz w:val="20"/>
          <w:szCs w:val="20"/>
          <w:lang w:val="en-US"/>
        </w:rPr>
        <w:t xml:space="preserve"> acts that were incompatible with their personal integrity and that of Mr. Poblete </w:t>
      </w:r>
      <w:proofErr w:type="spellStart"/>
      <w:r w:rsidR="00BC39AD" w:rsidRPr="00CF6765">
        <w:rPr>
          <w:sz w:val="20"/>
          <w:szCs w:val="20"/>
          <w:lang w:val="en-US"/>
        </w:rPr>
        <w:t>Vilches</w:t>
      </w:r>
      <w:proofErr w:type="spellEnd"/>
      <w:r w:rsidR="00BC39AD" w:rsidRPr="00CF6765">
        <w:rPr>
          <w:sz w:val="20"/>
          <w:szCs w:val="20"/>
          <w:lang w:val="en-US"/>
        </w:rPr>
        <w:t xml:space="preserve"> following the complaint they filed </w:t>
      </w:r>
      <w:r w:rsidR="00AD04D4" w:rsidRPr="00CF6765">
        <w:rPr>
          <w:sz w:val="20"/>
          <w:szCs w:val="20"/>
          <w:lang w:val="en-US"/>
        </w:rPr>
        <w:t>on November 12,</w:t>
      </w:r>
      <w:r w:rsidR="00BE6F31" w:rsidRPr="00CF6765">
        <w:rPr>
          <w:sz w:val="20"/>
          <w:szCs w:val="20"/>
          <w:lang w:val="en-US"/>
        </w:rPr>
        <w:t xml:space="preserve"> 2001</w:t>
      </w:r>
      <w:r w:rsidR="00586679" w:rsidRPr="00CF6765">
        <w:rPr>
          <w:sz w:val="20"/>
          <w:szCs w:val="20"/>
          <w:lang w:val="en-US"/>
        </w:rPr>
        <w:t>.</w:t>
      </w:r>
    </w:p>
    <w:p w14:paraId="141EACA9" w14:textId="77777777" w:rsidR="00BE6F31" w:rsidRPr="00CF6765" w:rsidRDefault="00BE6F31" w:rsidP="00BE6F31">
      <w:pPr>
        <w:pStyle w:val="Prrafodelista"/>
        <w:ind w:left="-90" w:right="-360"/>
        <w:rPr>
          <w:b/>
          <w:sz w:val="20"/>
          <w:szCs w:val="20"/>
          <w:lang w:val="en-US"/>
        </w:rPr>
      </w:pPr>
    </w:p>
    <w:p w14:paraId="77D2881D" w14:textId="2D2C2D48" w:rsidR="00BE6F31" w:rsidRPr="00CF6765" w:rsidRDefault="00D2168F" w:rsidP="00BC39AD">
      <w:pPr>
        <w:numPr>
          <w:ilvl w:val="0"/>
          <w:numId w:val="2"/>
        </w:numPr>
        <w:tabs>
          <w:tab w:val="left" w:pos="567"/>
          <w:tab w:val="num" w:pos="1569"/>
          <w:tab w:val="num" w:pos="12305"/>
        </w:tabs>
        <w:ind w:left="0" w:firstLine="0"/>
        <w:rPr>
          <w:rFonts w:cs="Arial"/>
          <w:b/>
          <w:sz w:val="20"/>
          <w:szCs w:val="20"/>
          <w:lang w:val="en-US"/>
        </w:rPr>
      </w:pPr>
      <w:r w:rsidRPr="00CF6765">
        <w:rPr>
          <w:sz w:val="20"/>
          <w:szCs w:val="20"/>
          <w:lang w:val="en-US"/>
        </w:rPr>
        <w:t xml:space="preserve">The </w:t>
      </w:r>
      <w:r w:rsidRPr="00CF6765">
        <w:rPr>
          <w:b/>
          <w:bCs/>
          <w:i/>
          <w:iCs/>
          <w:sz w:val="20"/>
          <w:szCs w:val="20"/>
          <w:lang w:val="en-US"/>
        </w:rPr>
        <w:t>representatives</w:t>
      </w:r>
      <w:r w:rsidR="00BE6F31" w:rsidRPr="00CF6765">
        <w:rPr>
          <w:b/>
          <w:sz w:val="20"/>
          <w:szCs w:val="20"/>
          <w:lang w:val="en-US"/>
        </w:rPr>
        <w:t xml:space="preserve"> </w:t>
      </w:r>
      <w:r w:rsidR="00BC39AD" w:rsidRPr="00CF6765">
        <w:rPr>
          <w:sz w:val="20"/>
          <w:szCs w:val="20"/>
          <w:lang w:val="en-US"/>
        </w:rPr>
        <w:t>argued that</w:t>
      </w:r>
      <w:r w:rsidR="00BE6F31" w:rsidRPr="00CF6765">
        <w:rPr>
          <w:sz w:val="20"/>
          <w:szCs w:val="20"/>
          <w:lang w:val="en-US"/>
        </w:rPr>
        <w:t xml:space="preserve"> </w:t>
      </w:r>
      <w:r w:rsidR="00EC50FC" w:rsidRPr="00CF6765">
        <w:rPr>
          <w:sz w:val="20"/>
          <w:szCs w:val="20"/>
          <w:lang w:val="en-US"/>
        </w:rPr>
        <w:t>the State</w:t>
      </w:r>
      <w:r w:rsidR="00BE6F31" w:rsidRPr="00CF6765">
        <w:rPr>
          <w:sz w:val="20"/>
          <w:szCs w:val="20"/>
          <w:lang w:val="en-US"/>
        </w:rPr>
        <w:t xml:space="preserve"> </w:t>
      </w:r>
      <w:r w:rsidR="00BC39AD" w:rsidRPr="00CF6765">
        <w:rPr>
          <w:sz w:val="20"/>
          <w:szCs w:val="20"/>
          <w:lang w:val="en-US"/>
        </w:rPr>
        <w:t>had violated</w:t>
      </w:r>
      <w:r w:rsidR="00BE6F31" w:rsidRPr="00CF6765">
        <w:rPr>
          <w:sz w:val="20"/>
          <w:szCs w:val="20"/>
          <w:lang w:val="en-US"/>
        </w:rPr>
        <w:t xml:space="preserve"> </w:t>
      </w:r>
      <w:r w:rsidR="00DE6950" w:rsidRPr="00CF6765">
        <w:rPr>
          <w:sz w:val="20"/>
          <w:szCs w:val="20"/>
          <w:lang w:val="en-US"/>
        </w:rPr>
        <w:t xml:space="preserve">the </w:t>
      </w:r>
      <w:r w:rsidR="0075448B" w:rsidRPr="00CF6765">
        <w:rPr>
          <w:sz w:val="20"/>
          <w:szCs w:val="20"/>
          <w:lang w:val="en-US"/>
        </w:rPr>
        <w:t>right to personal</w:t>
      </w:r>
      <w:r w:rsidR="00925BAC" w:rsidRPr="00CF6765">
        <w:rPr>
          <w:sz w:val="20"/>
          <w:szCs w:val="20"/>
          <w:lang w:val="en-US"/>
        </w:rPr>
        <w:t xml:space="preserve"> integrity</w:t>
      </w:r>
      <w:r w:rsidR="00BE6F31" w:rsidRPr="00CF6765">
        <w:rPr>
          <w:sz w:val="20"/>
          <w:szCs w:val="20"/>
          <w:lang w:val="en-US"/>
        </w:rPr>
        <w:t xml:space="preserve"> </w:t>
      </w:r>
      <w:r w:rsidR="00690D57" w:rsidRPr="00CF6765">
        <w:rPr>
          <w:sz w:val="20"/>
          <w:szCs w:val="20"/>
          <w:lang w:val="en-US"/>
        </w:rPr>
        <w:t>to the detriment of</w:t>
      </w:r>
      <w:r w:rsidR="00BE6F31" w:rsidRPr="00CF6765">
        <w:rPr>
          <w:sz w:val="20"/>
          <w:szCs w:val="20"/>
          <w:lang w:val="en-US"/>
        </w:rPr>
        <w:t xml:space="preserve"> </w:t>
      </w:r>
      <w:r w:rsidR="00BC39AD" w:rsidRPr="00CF6765">
        <w:rPr>
          <w:sz w:val="20"/>
          <w:szCs w:val="20"/>
          <w:lang w:val="en-US"/>
        </w:rPr>
        <w:t>the direct family of</w:t>
      </w:r>
      <w:r w:rsidR="00D04694" w:rsidRPr="00CF6765">
        <w:rPr>
          <w:sz w:val="20"/>
          <w:szCs w:val="20"/>
          <w:lang w:val="en-US"/>
        </w:rPr>
        <w:t xml:space="preserve"> Mr.</w:t>
      </w:r>
      <w:r w:rsidRPr="00CF6765">
        <w:rPr>
          <w:sz w:val="20"/>
          <w:szCs w:val="20"/>
          <w:lang w:val="en-US"/>
        </w:rPr>
        <w:t xml:space="preserve"> Poblete</w:t>
      </w:r>
      <w:r w:rsidR="00BE6F31" w:rsidRPr="00CF6765">
        <w:rPr>
          <w:sz w:val="20"/>
          <w:szCs w:val="20"/>
          <w:lang w:val="en-US"/>
        </w:rPr>
        <w:t xml:space="preserve"> </w:t>
      </w:r>
      <w:proofErr w:type="spellStart"/>
      <w:r w:rsidR="00BE6F31" w:rsidRPr="00CF6765">
        <w:rPr>
          <w:sz w:val="20"/>
          <w:szCs w:val="20"/>
          <w:lang w:val="en-US"/>
        </w:rPr>
        <w:t>Vilches</w:t>
      </w:r>
      <w:proofErr w:type="spellEnd"/>
      <w:r w:rsidR="00BE6F31" w:rsidRPr="00CF6765">
        <w:rPr>
          <w:sz w:val="20"/>
          <w:szCs w:val="20"/>
          <w:lang w:val="en-US"/>
        </w:rPr>
        <w:t xml:space="preserve">. </w:t>
      </w:r>
      <w:r w:rsidR="00BC39AD" w:rsidRPr="00CF6765">
        <w:rPr>
          <w:sz w:val="20"/>
          <w:szCs w:val="20"/>
          <w:lang w:val="en-US"/>
        </w:rPr>
        <w:t xml:space="preserve">They indicated that his family members suffered profound depression following the death of Mr. Poblete </w:t>
      </w:r>
      <w:proofErr w:type="spellStart"/>
      <w:r w:rsidR="00BC39AD" w:rsidRPr="00CF6765">
        <w:rPr>
          <w:sz w:val="20"/>
          <w:szCs w:val="20"/>
          <w:lang w:val="en-US"/>
        </w:rPr>
        <w:t>Vilches</w:t>
      </w:r>
      <w:proofErr w:type="spellEnd"/>
      <w:r w:rsidR="00BC39AD" w:rsidRPr="00CF6765">
        <w:rPr>
          <w:sz w:val="20"/>
          <w:szCs w:val="20"/>
          <w:lang w:val="en-US"/>
        </w:rPr>
        <w:t xml:space="preserve"> and this affected their ability to </w:t>
      </w:r>
      <w:r w:rsidR="009E59B2" w:rsidRPr="00CF6765">
        <w:rPr>
          <w:sz w:val="20"/>
          <w:szCs w:val="20"/>
          <w:lang w:val="en-US"/>
        </w:rPr>
        <w:t>come to terms with</w:t>
      </w:r>
      <w:r w:rsidR="00BC39AD" w:rsidRPr="00CF6765">
        <w:rPr>
          <w:sz w:val="20"/>
          <w:szCs w:val="20"/>
          <w:lang w:val="en-US"/>
        </w:rPr>
        <w:t xml:space="preserve"> their new living conditions and had a serious impact on their social relations, family ties and life projects. To su</w:t>
      </w:r>
      <w:r w:rsidR="009E59B2" w:rsidRPr="00CF6765">
        <w:rPr>
          <w:sz w:val="20"/>
          <w:szCs w:val="20"/>
          <w:lang w:val="en-US"/>
        </w:rPr>
        <w:t>bstantiate</w:t>
      </w:r>
      <w:r w:rsidR="00BC39AD" w:rsidRPr="00CF6765">
        <w:rPr>
          <w:sz w:val="20"/>
          <w:szCs w:val="20"/>
          <w:lang w:val="en-US"/>
        </w:rPr>
        <w:t xml:space="preserve"> this, the</w:t>
      </w:r>
      <w:r w:rsidR="009E59B2" w:rsidRPr="00CF6765">
        <w:rPr>
          <w:sz w:val="20"/>
          <w:szCs w:val="20"/>
          <w:lang w:val="en-US"/>
        </w:rPr>
        <w:t xml:space="preserve"> representatives</w:t>
      </w:r>
      <w:r w:rsidR="00BC39AD" w:rsidRPr="00CF6765">
        <w:rPr>
          <w:sz w:val="20"/>
          <w:szCs w:val="20"/>
          <w:lang w:val="en-US"/>
        </w:rPr>
        <w:t xml:space="preserve"> provided</w:t>
      </w:r>
      <w:r w:rsidR="009E59B2" w:rsidRPr="00CF6765">
        <w:rPr>
          <w:sz w:val="20"/>
          <w:szCs w:val="20"/>
          <w:lang w:val="en-US"/>
        </w:rPr>
        <w:t>,</w:t>
      </w:r>
      <w:r w:rsidR="00BC39AD" w:rsidRPr="00CF6765">
        <w:rPr>
          <w:sz w:val="20"/>
          <w:szCs w:val="20"/>
          <w:lang w:val="en-US"/>
        </w:rPr>
        <w:t xml:space="preserve"> as annexes to their briefs, the reports document</w:t>
      </w:r>
      <w:r w:rsidR="009E59B2" w:rsidRPr="00CF6765">
        <w:rPr>
          <w:sz w:val="20"/>
          <w:szCs w:val="20"/>
          <w:lang w:val="en-US"/>
        </w:rPr>
        <w:t>ing</w:t>
      </w:r>
      <w:r w:rsidR="00BC39AD" w:rsidRPr="00CF6765">
        <w:rPr>
          <w:sz w:val="20"/>
          <w:szCs w:val="20"/>
          <w:lang w:val="en-US"/>
        </w:rPr>
        <w:t xml:space="preserve"> the depression suffered by </w:t>
      </w:r>
      <w:r w:rsidR="00BE6F31" w:rsidRPr="00CF6765">
        <w:rPr>
          <w:rFonts w:cs="Arial"/>
          <w:sz w:val="20"/>
          <w:szCs w:val="20"/>
          <w:lang w:val="en-US"/>
        </w:rPr>
        <w:t xml:space="preserve">Blanca Margarita Tapia </w:t>
      </w:r>
      <w:proofErr w:type="spellStart"/>
      <w:r w:rsidR="00BE6F31" w:rsidRPr="00CF6765">
        <w:rPr>
          <w:rFonts w:cs="Arial"/>
          <w:sz w:val="20"/>
          <w:szCs w:val="20"/>
          <w:lang w:val="en-US"/>
        </w:rPr>
        <w:t>Encina</w:t>
      </w:r>
      <w:proofErr w:type="spellEnd"/>
      <w:r w:rsidR="00EC50FC" w:rsidRPr="00CF6765">
        <w:rPr>
          <w:rFonts w:cs="Arial"/>
          <w:sz w:val="20"/>
          <w:szCs w:val="20"/>
          <w:lang w:val="en-US"/>
        </w:rPr>
        <w:t xml:space="preserve"> and </w:t>
      </w:r>
      <w:proofErr w:type="spellStart"/>
      <w:r w:rsidR="00BE6F31" w:rsidRPr="00CF6765">
        <w:rPr>
          <w:rFonts w:cs="Arial"/>
          <w:sz w:val="20"/>
          <w:szCs w:val="20"/>
          <w:lang w:val="en-US"/>
        </w:rPr>
        <w:t>Cesia</w:t>
      </w:r>
      <w:proofErr w:type="spellEnd"/>
      <w:r w:rsidR="00BE6F31" w:rsidRPr="00CF6765">
        <w:rPr>
          <w:rFonts w:cs="Arial"/>
          <w:sz w:val="20"/>
          <w:szCs w:val="20"/>
          <w:lang w:val="en-US"/>
        </w:rPr>
        <w:t xml:space="preserve"> Poblete Tapia</w:t>
      </w:r>
      <w:r w:rsidR="00BC39AD" w:rsidRPr="00CF6765">
        <w:rPr>
          <w:rFonts w:cs="Arial"/>
          <w:sz w:val="20"/>
          <w:szCs w:val="20"/>
          <w:lang w:val="en-US"/>
        </w:rPr>
        <w:t>’s attempted suicide following the death</w:t>
      </w:r>
      <w:r w:rsidR="00BE6F31" w:rsidRPr="00CF6765">
        <w:rPr>
          <w:rFonts w:cs="Arial"/>
          <w:sz w:val="20"/>
          <w:szCs w:val="20"/>
          <w:lang w:val="en-US"/>
        </w:rPr>
        <w:t xml:space="preserve"> </w:t>
      </w:r>
      <w:r w:rsidR="00D04694" w:rsidRPr="00CF6765">
        <w:rPr>
          <w:rFonts w:cs="Arial"/>
          <w:sz w:val="20"/>
          <w:szCs w:val="20"/>
          <w:lang w:val="en-US"/>
        </w:rPr>
        <w:t>of Mr.</w:t>
      </w:r>
      <w:r w:rsidRPr="00CF6765">
        <w:rPr>
          <w:rFonts w:cs="Arial"/>
          <w:sz w:val="20"/>
          <w:szCs w:val="20"/>
          <w:lang w:val="en-US"/>
        </w:rPr>
        <w:t xml:space="preserve"> Poblete</w:t>
      </w:r>
      <w:r w:rsidR="00BE6F31" w:rsidRPr="00CF6765">
        <w:rPr>
          <w:rFonts w:cs="Arial"/>
          <w:sz w:val="20"/>
          <w:szCs w:val="20"/>
          <w:lang w:val="en-US"/>
        </w:rPr>
        <w:t xml:space="preserve"> </w:t>
      </w:r>
      <w:proofErr w:type="spellStart"/>
      <w:r w:rsidR="00BE6F31" w:rsidRPr="00CF6765">
        <w:rPr>
          <w:rFonts w:cs="Arial"/>
          <w:sz w:val="20"/>
          <w:szCs w:val="20"/>
          <w:lang w:val="en-US"/>
        </w:rPr>
        <w:t>Vilch</w:t>
      </w:r>
      <w:r w:rsidR="0090740B" w:rsidRPr="00CF6765">
        <w:rPr>
          <w:rFonts w:cs="Arial"/>
          <w:sz w:val="20"/>
          <w:szCs w:val="20"/>
          <w:lang w:val="en-US"/>
        </w:rPr>
        <w:t>e</w:t>
      </w:r>
      <w:r w:rsidR="00BE6F31" w:rsidRPr="00CF6765">
        <w:rPr>
          <w:rFonts w:cs="Arial"/>
          <w:sz w:val="20"/>
          <w:szCs w:val="20"/>
          <w:lang w:val="en-US"/>
        </w:rPr>
        <w:t>s</w:t>
      </w:r>
      <w:proofErr w:type="spellEnd"/>
      <w:r w:rsidR="00586679" w:rsidRPr="00CF6765">
        <w:rPr>
          <w:rFonts w:cs="Arial"/>
          <w:sz w:val="20"/>
          <w:szCs w:val="20"/>
          <w:lang w:val="en-US"/>
        </w:rPr>
        <w:t xml:space="preserve">. </w:t>
      </w:r>
      <w:r w:rsidR="00BC39AD" w:rsidRPr="00CF6765">
        <w:rPr>
          <w:rFonts w:cs="Arial"/>
          <w:sz w:val="20"/>
          <w:szCs w:val="20"/>
          <w:lang w:val="en-US"/>
        </w:rPr>
        <w:t>They indicated that</w:t>
      </w:r>
      <w:r w:rsidR="00BE6F31" w:rsidRPr="00CF6765">
        <w:rPr>
          <w:sz w:val="20"/>
          <w:szCs w:val="20"/>
          <w:lang w:val="en-US"/>
        </w:rPr>
        <w:t xml:space="preserve"> </w:t>
      </w:r>
      <w:r w:rsidR="005C731C" w:rsidRPr="00CF6765">
        <w:rPr>
          <w:sz w:val="20"/>
          <w:szCs w:val="20"/>
          <w:lang w:val="en-US"/>
        </w:rPr>
        <w:t>the Commission</w:t>
      </w:r>
      <w:r w:rsidR="00BE6F31" w:rsidRPr="00CF6765">
        <w:rPr>
          <w:sz w:val="20"/>
          <w:szCs w:val="20"/>
          <w:lang w:val="en-US"/>
        </w:rPr>
        <w:t xml:space="preserve"> ha</w:t>
      </w:r>
      <w:r w:rsidR="00BC39AD" w:rsidRPr="00CF6765">
        <w:rPr>
          <w:sz w:val="20"/>
          <w:szCs w:val="20"/>
          <w:lang w:val="en-US"/>
        </w:rPr>
        <w:t xml:space="preserve">d identified violations of </w:t>
      </w:r>
      <w:r w:rsidR="005C731C" w:rsidRPr="00CF6765">
        <w:rPr>
          <w:sz w:val="20"/>
          <w:szCs w:val="20"/>
          <w:lang w:val="en-US"/>
        </w:rPr>
        <w:t>Article</w:t>
      </w:r>
      <w:r w:rsidR="00BE6F31" w:rsidRPr="00CF6765">
        <w:rPr>
          <w:sz w:val="20"/>
          <w:szCs w:val="20"/>
          <w:lang w:val="en-US"/>
        </w:rPr>
        <w:t xml:space="preserve"> </w:t>
      </w:r>
      <w:r w:rsidRPr="00CF6765">
        <w:rPr>
          <w:sz w:val="20"/>
          <w:szCs w:val="20"/>
          <w:lang w:val="en-US"/>
        </w:rPr>
        <w:t>5(1)</w:t>
      </w:r>
      <w:r w:rsidR="00BE6F31" w:rsidRPr="00CF6765">
        <w:rPr>
          <w:sz w:val="20"/>
          <w:szCs w:val="20"/>
          <w:lang w:val="en-US"/>
        </w:rPr>
        <w:t xml:space="preserve"> “[…]</w:t>
      </w:r>
      <w:r w:rsidR="00BC39AD" w:rsidRPr="00CF6765">
        <w:rPr>
          <w:sz w:val="20"/>
          <w:szCs w:val="20"/>
          <w:lang w:val="en-US"/>
        </w:rPr>
        <w:t xml:space="preserve"> because actions that could be attributed to the State had resulted in </w:t>
      </w:r>
      <w:r w:rsidR="00D52794" w:rsidRPr="00CF6765">
        <w:rPr>
          <w:sz w:val="20"/>
          <w:szCs w:val="20"/>
          <w:lang w:val="en-US"/>
        </w:rPr>
        <w:t>‘</w:t>
      </w:r>
      <w:r w:rsidR="00BC39AD" w:rsidRPr="00CF6765">
        <w:rPr>
          <w:sz w:val="20"/>
          <w:szCs w:val="20"/>
          <w:lang w:val="en-US"/>
        </w:rPr>
        <w:t>emotional trauma,</w:t>
      </w:r>
      <w:r w:rsidR="00D52794" w:rsidRPr="00CF6765">
        <w:rPr>
          <w:sz w:val="20"/>
          <w:szCs w:val="20"/>
          <w:lang w:val="en-US"/>
        </w:rPr>
        <w:t>’</w:t>
      </w:r>
      <w:r w:rsidR="00BC39AD" w:rsidRPr="00CF6765">
        <w:rPr>
          <w:sz w:val="20"/>
          <w:szCs w:val="20"/>
          <w:lang w:val="en-US"/>
        </w:rPr>
        <w:t xml:space="preserve"> in </w:t>
      </w:r>
      <w:r w:rsidR="00D52794" w:rsidRPr="00CF6765">
        <w:rPr>
          <w:sz w:val="20"/>
          <w:szCs w:val="20"/>
          <w:lang w:val="en-US"/>
        </w:rPr>
        <w:t>‘</w:t>
      </w:r>
      <w:r w:rsidR="00BC39AD" w:rsidRPr="00CF6765">
        <w:rPr>
          <w:sz w:val="20"/>
          <w:szCs w:val="20"/>
          <w:lang w:val="en-US"/>
        </w:rPr>
        <w:t>traumas and anxiety,</w:t>
      </w:r>
      <w:r w:rsidR="00D52794" w:rsidRPr="00CF6765">
        <w:rPr>
          <w:sz w:val="20"/>
          <w:szCs w:val="20"/>
          <w:lang w:val="en-US"/>
        </w:rPr>
        <w:t>’</w:t>
      </w:r>
      <w:r w:rsidR="00BC39AD" w:rsidRPr="00CF6765">
        <w:rPr>
          <w:sz w:val="20"/>
          <w:szCs w:val="20"/>
          <w:lang w:val="en-US"/>
        </w:rPr>
        <w:t xml:space="preserve"> in impediments to </w:t>
      </w:r>
      <w:r w:rsidR="00D52794" w:rsidRPr="00CF6765">
        <w:rPr>
          <w:sz w:val="20"/>
          <w:szCs w:val="20"/>
          <w:lang w:val="en-US"/>
        </w:rPr>
        <w:t>‘</w:t>
      </w:r>
      <w:r w:rsidR="00BC39AD" w:rsidRPr="00CF6765">
        <w:rPr>
          <w:sz w:val="20"/>
          <w:szCs w:val="20"/>
          <w:lang w:val="en-US"/>
        </w:rPr>
        <w:t>living as (the victim) would have wished,</w:t>
      </w:r>
      <w:r w:rsidR="00D52794" w:rsidRPr="00CF6765">
        <w:rPr>
          <w:sz w:val="20"/>
          <w:szCs w:val="20"/>
          <w:lang w:val="en-US"/>
        </w:rPr>
        <w:t>’</w:t>
      </w:r>
      <w:r w:rsidR="00BC39AD" w:rsidRPr="00CF6765">
        <w:rPr>
          <w:sz w:val="20"/>
          <w:szCs w:val="20"/>
          <w:lang w:val="en-US"/>
        </w:rPr>
        <w:t xml:space="preserve"> in ‘psychological effects’ and in ‘adverse effects on self-esteem.</w:t>
      </w:r>
      <w:r w:rsidR="00D52794" w:rsidRPr="00CF6765">
        <w:rPr>
          <w:sz w:val="20"/>
          <w:szCs w:val="20"/>
          <w:lang w:val="en-US"/>
        </w:rPr>
        <w:t>’</w:t>
      </w:r>
      <w:r w:rsidR="00BC39AD" w:rsidRPr="00CF6765">
        <w:rPr>
          <w:sz w:val="20"/>
          <w:szCs w:val="20"/>
          <w:lang w:val="en-US"/>
        </w:rPr>
        <w:t xml:space="preserve">”  </w:t>
      </w:r>
      <w:r w:rsidR="00BE6F31" w:rsidRPr="00CF6765">
        <w:rPr>
          <w:sz w:val="20"/>
          <w:szCs w:val="20"/>
          <w:lang w:val="en-US"/>
        </w:rPr>
        <w:t xml:space="preserve"> </w:t>
      </w:r>
    </w:p>
    <w:p w14:paraId="62BCADA1" w14:textId="08AB41A5" w:rsidR="00BE6F31" w:rsidRPr="00CF6765" w:rsidRDefault="00BE6F31" w:rsidP="00BE6F31">
      <w:pPr>
        <w:ind w:right="-360"/>
        <w:rPr>
          <w:sz w:val="20"/>
          <w:szCs w:val="20"/>
          <w:lang w:val="en-US"/>
        </w:rPr>
      </w:pPr>
    </w:p>
    <w:p w14:paraId="7B5DE54F" w14:textId="40CE25ED" w:rsidR="00BE6F31" w:rsidRPr="00CF6765" w:rsidRDefault="00D2168F" w:rsidP="00BE6F31">
      <w:pPr>
        <w:numPr>
          <w:ilvl w:val="0"/>
          <w:numId w:val="2"/>
        </w:numPr>
        <w:tabs>
          <w:tab w:val="left" w:pos="567"/>
          <w:tab w:val="num" w:pos="1569"/>
          <w:tab w:val="num" w:pos="12305"/>
        </w:tabs>
        <w:ind w:left="0" w:firstLine="0"/>
        <w:rPr>
          <w:sz w:val="20"/>
          <w:szCs w:val="20"/>
          <w:lang w:val="en-US"/>
        </w:rPr>
      </w:pPr>
      <w:r w:rsidRPr="00CF6765">
        <w:rPr>
          <w:sz w:val="20"/>
          <w:szCs w:val="20"/>
          <w:lang w:val="en-US"/>
        </w:rPr>
        <w:t>The representatives</w:t>
      </w:r>
      <w:r w:rsidR="00BE6F31" w:rsidRPr="00CF6765">
        <w:rPr>
          <w:sz w:val="20"/>
          <w:szCs w:val="20"/>
          <w:lang w:val="en-US"/>
        </w:rPr>
        <w:t xml:space="preserve"> </w:t>
      </w:r>
      <w:r w:rsidR="00D52794" w:rsidRPr="00CF6765">
        <w:rPr>
          <w:sz w:val="20"/>
          <w:szCs w:val="20"/>
          <w:lang w:val="en-US"/>
        </w:rPr>
        <w:t>added that</w:t>
      </w:r>
      <w:r w:rsidR="00BE6F31" w:rsidRPr="00CF6765">
        <w:rPr>
          <w:sz w:val="20"/>
          <w:szCs w:val="20"/>
          <w:lang w:val="en-US"/>
        </w:rPr>
        <w:t xml:space="preserve"> “</w:t>
      </w:r>
      <w:r w:rsidR="00586679" w:rsidRPr="00CF6765">
        <w:rPr>
          <w:sz w:val="20"/>
          <w:szCs w:val="20"/>
          <w:lang w:val="en-US"/>
        </w:rPr>
        <w:t>[</w:t>
      </w:r>
      <w:r w:rsidR="00D52794" w:rsidRPr="00CF6765">
        <w:rPr>
          <w:sz w:val="20"/>
          <w:szCs w:val="20"/>
          <w:lang w:val="en-US"/>
        </w:rPr>
        <w:t>n</w:t>
      </w:r>
      <w:r w:rsidR="00586679" w:rsidRPr="00CF6765">
        <w:rPr>
          <w:sz w:val="20"/>
          <w:szCs w:val="20"/>
          <w:lang w:val="en-US"/>
        </w:rPr>
        <w:t>]</w:t>
      </w:r>
      <w:proofErr w:type="spellStart"/>
      <w:r w:rsidR="00D52794" w:rsidRPr="00CF6765">
        <w:rPr>
          <w:sz w:val="20"/>
          <w:szCs w:val="20"/>
          <w:lang w:val="en-US"/>
        </w:rPr>
        <w:t>otwithstanding</w:t>
      </w:r>
      <w:proofErr w:type="spellEnd"/>
      <w:r w:rsidR="00D52794" w:rsidRPr="00CF6765">
        <w:rPr>
          <w:sz w:val="20"/>
          <w:szCs w:val="20"/>
          <w:lang w:val="en-US"/>
        </w:rPr>
        <w:t xml:space="preserve"> the violation of personal integrity that the next of kin of Mr.</w:t>
      </w:r>
      <w:r w:rsidR="00BE6F31" w:rsidRPr="00CF6765">
        <w:rPr>
          <w:sz w:val="20"/>
          <w:szCs w:val="20"/>
          <w:lang w:val="en-US"/>
        </w:rPr>
        <w:t xml:space="preserve"> Poblete </w:t>
      </w:r>
      <w:proofErr w:type="spellStart"/>
      <w:r w:rsidR="00BE6F31" w:rsidRPr="00CF6765">
        <w:rPr>
          <w:sz w:val="20"/>
          <w:szCs w:val="20"/>
          <w:lang w:val="en-US"/>
        </w:rPr>
        <w:t>Vilches</w:t>
      </w:r>
      <w:proofErr w:type="spellEnd"/>
      <w:r w:rsidR="00BE6F31" w:rsidRPr="00CF6765">
        <w:rPr>
          <w:sz w:val="20"/>
          <w:szCs w:val="20"/>
          <w:lang w:val="en-US"/>
        </w:rPr>
        <w:t xml:space="preserve"> suf</w:t>
      </w:r>
      <w:r w:rsidR="00D52794" w:rsidRPr="00CF6765">
        <w:rPr>
          <w:sz w:val="20"/>
          <w:szCs w:val="20"/>
          <w:lang w:val="en-US"/>
        </w:rPr>
        <w:t xml:space="preserve">fered as a result of the facts that resulted in his death, they also suffered from other violations of </w:t>
      </w:r>
      <w:r w:rsidR="009E59B2" w:rsidRPr="00CF6765">
        <w:rPr>
          <w:sz w:val="20"/>
          <w:szCs w:val="20"/>
          <w:lang w:val="en-US"/>
        </w:rPr>
        <w:t xml:space="preserve">their </w:t>
      </w:r>
      <w:r w:rsidR="00925BAC" w:rsidRPr="00CF6765">
        <w:rPr>
          <w:sz w:val="20"/>
          <w:szCs w:val="20"/>
          <w:lang w:val="en-US"/>
        </w:rPr>
        <w:t>personal integrity</w:t>
      </w:r>
      <w:r w:rsidR="00BE6F31" w:rsidRPr="00CF6765">
        <w:rPr>
          <w:sz w:val="20"/>
          <w:szCs w:val="20"/>
          <w:lang w:val="en-US"/>
        </w:rPr>
        <w:t xml:space="preserve"> </w:t>
      </w:r>
      <w:r w:rsidR="00D52794" w:rsidRPr="00CF6765">
        <w:rPr>
          <w:sz w:val="20"/>
          <w:szCs w:val="20"/>
          <w:lang w:val="en-US"/>
        </w:rPr>
        <w:t>during the hospitalization</w:t>
      </w:r>
      <w:r w:rsidR="00BE6F31" w:rsidRPr="00CF6765">
        <w:rPr>
          <w:sz w:val="20"/>
          <w:szCs w:val="20"/>
          <w:lang w:val="en-US"/>
        </w:rPr>
        <w:t xml:space="preserve"> [</w:t>
      </w:r>
      <w:r w:rsidR="00D04694" w:rsidRPr="00CF6765">
        <w:rPr>
          <w:sz w:val="20"/>
          <w:szCs w:val="20"/>
          <w:lang w:val="en-US"/>
        </w:rPr>
        <w:t>of Mr.</w:t>
      </w:r>
      <w:r w:rsidRPr="00CF6765">
        <w:rPr>
          <w:sz w:val="20"/>
          <w:szCs w:val="20"/>
          <w:lang w:val="en-US"/>
        </w:rPr>
        <w:t xml:space="preserve"> Poblete</w:t>
      </w:r>
      <w:r w:rsidR="00BE6F31" w:rsidRPr="00CF6765">
        <w:rPr>
          <w:sz w:val="20"/>
          <w:szCs w:val="20"/>
          <w:lang w:val="en-US"/>
        </w:rPr>
        <w:t xml:space="preserve"> </w:t>
      </w:r>
      <w:proofErr w:type="spellStart"/>
      <w:r w:rsidR="00BE6F31" w:rsidRPr="00CF6765">
        <w:rPr>
          <w:sz w:val="20"/>
          <w:szCs w:val="20"/>
          <w:lang w:val="en-US"/>
        </w:rPr>
        <w:t>Vilches</w:t>
      </w:r>
      <w:proofErr w:type="spellEnd"/>
      <w:r w:rsidR="00BE6F31" w:rsidRPr="00CF6765">
        <w:rPr>
          <w:sz w:val="20"/>
          <w:szCs w:val="20"/>
          <w:lang w:val="en-US"/>
        </w:rPr>
        <w:t xml:space="preserve">] </w:t>
      </w:r>
      <w:r w:rsidR="00D52794" w:rsidRPr="00CF6765">
        <w:rPr>
          <w:sz w:val="20"/>
          <w:szCs w:val="20"/>
          <w:lang w:val="en-US"/>
        </w:rPr>
        <w:t xml:space="preserve">because they had been direct victims of </w:t>
      </w:r>
      <w:r w:rsidR="009E59B2" w:rsidRPr="00CF6765">
        <w:rPr>
          <w:sz w:val="20"/>
          <w:szCs w:val="20"/>
          <w:lang w:val="en-US"/>
        </w:rPr>
        <w:t>mistreatment</w:t>
      </w:r>
      <w:r w:rsidR="00D52794" w:rsidRPr="00CF6765">
        <w:rPr>
          <w:sz w:val="20"/>
          <w:szCs w:val="20"/>
          <w:lang w:val="en-US"/>
        </w:rPr>
        <w:t xml:space="preserve"> and humiliation” by the staff </w:t>
      </w:r>
      <w:r w:rsidR="00E15A35" w:rsidRPr="00CF6765">
        <w:rPr>
          <w:sz w:val="20"/>
          <w:szCs w:val="20"/>
          <w:lang w:val="en-US"/>
        </w:rPr>
        <w:t xml:space="preserve">of the </w:t>
      </w:r>
      <w:proofErr w:type="spellStart"/>
      <w:r w:rsidR="00E15A35" w:rsidRPr="00CF6765">
        <w:rPr>
          <w:sz w:val="20"/>
          <w:szCs w:val="20"/>
          <w:lang w:val="en-US"/>
        </w:rPr>
        <w:t>Sótero</w:t>
      </w:r>
      <w:proofErr w:type="spellEnd"/>
      <w:r w:rsidR="00E15A35" w:rsidRPr="00CF6765">
        <w:rPr>
          <w:sz w:val="20"/>
          <w:szCs w:val="20"/>
          <w:lang w:val="en-US"/>
        </w:rPr>
        <w:t xml:space="preserve"> del Río Hospital</w:t>
      </w:r>
      <w:r w:rsidR="00BE6F31" w:rsidRPr="00CF6765">
        <w:rPr>
          <w:sz w:val="20"/>
          <w:szCs w:val="20"/>
          <w:lang w:val="en-US"/>
        </w:rPr>
        <w:t xml:space="preserve"> dur</w:t>
      </w:r>
      <w:r w:rsidR="00D52794" w:rsidRPr="00CF6765">
        <w:rPr>
          <w:sz w:val="20"/>
          <w:szCs w:val="20"/>
          <w:lang w:val="en-US"/>
        </w:rPr>
        <w:t xml:space="preserve">ing the time </w:t>
      </w:r>
      <w:r w:rsidR="00D04694" w:rsidRPr="00CF6765">
        <w:rPr>
          <w:sz w:val="20"/>
          <w:szCs w:val="20"/>
          <w:lang w:val="en-US"/>
        </w:rPr>
        <w:t>Mr.</w:t>
      </w:r>
      <w:r w:rsidRPr="00CF6765">
        <w:rPr>
          <w:sz w:val="20"/>
          <w:szCs w:val="20"/>
          <w:lang w:val="en-US"/>
        </w:rPr>
        <w:t xml:space="preserve"> Poblete</w:t>
      </w:r>
      <w:r w:rsidR="00BE6F31" w:rsidRPr="00CF6765">
        <w:rPr>
          <w:sz w:val="20"/>
          <w:szCs w:val="20"/>
          <w:lang w:val="en-US"/>
        </w:rPr>
        <w:t xml:space="preserve"> </w:t>
      </w:r>
      <w:proofErr w:type="spellStart"/>
      <w:r w:rsidR="00BE6F31" w:rsidRPr="00CF6765">
        <w:rPr>
          <w:sz w:val="20"/>
          <w:szCs w:val="20"/>
          <w:lang w:val="en-US"/>
        </w:rPr>
        <w:t>Vilches</w:t>
      </w:r>
      <w:proofErr w:type="spellEnd"/>
      <w:r w:rsidR="00D52794" w:rsidRPr="00CF6765">
        <w:rPr>
          <w:sz w:val="20"/>
          <w:szCs w:val="20"/>
          <w:lang w:val="en-US"/>
        </w:rPr>
        <w:t xml:space="preserve"> spent in this institution, which violated their personal integrity. As an example of this </w:t>
      </w:r>
      <w:r w:rsidR="009E59B2" w:rsidRPr="00CF6765">
        <w:rPr>
          <w:sz w:val="20"/>
          <w:szCs w:val="20"/>
          <w:lang w:val="en-US"/>
        </w:rPr>
        <w:t>mistreatment</w:t>
      </w:r>
      <w:r w:rsidR="00D52794" w:rsidRPr="00CF6765">
        <w:rPr>
          <w:sz w:val="20"/>
          <w:szCs w:val="20"/>
          <w:lang w:val="en-US"/>
        </w:rPr>
        <w:t>,</w:t>
      </w:r>
      <w:r w:rsidR="00BE6F31" w:rsidRPr="00CF6765">
        <w:rPr>
          <w:sz w:val="20"/>
          <w:szCs w:val="20"/>
          <w:lang w:val="en-US"/>
        </w:rPr>
        <w:t xml:space="preserve"> </w:t>
      </w:r>
      <w:r w:rsidRPr="00CF6765">
        <w:rPr>
          <w:sz w:val="20"/>
          <w:szCs w:val="20"/>
          <w:lang w:val="en-US"/>
        </w:rPr>
        <w:t>the representatives</w:t>
      </w:r>
      <w:r w:rsidR="00BE6F31" w:rsidRPr="00CF6765">
        <w:rPr>
          <w:sz w:val="20"/>
          <w:szCs w:val="20"/>
          <w:lang w:val="en-US"/>
        </w:rPr>
        <w:t xml:space="preserve"> </w:t>
      </w:r>
      <w:r w:rsidR="00D52794" w:rsidRPr="00CF6765">
        <w:rPr>
          <w:sz w:val="20"/>
          <w:szCs w:val="20"/>
          <w:lang w:val="en-US"/>
        </w:rPr>
        <w:t xml:space="preserve">argued that the medical staff tried to prevent the family from seeing </w:t>
      </w:r>
      <w:r w:rsidR="009339F5" w:rsidRPr="00CF6765">
        <w:rPr>
          <w:sz w:val="20"/>
          <w:szCs w:val="20"/>
          <w:lang w:val="en-US"/>
        </w:rPr>
        <w:t>Mr. Poblete</w:t>
      </w:r>
      <w:r w:rsidR="00BE6F31" w:rsidRPr="00CF6765">
        <w:rPr>
          <w:sz w:val="20"/>
          <w:szCs w:val="20"/>
          <w:lang w:val="en-US"/>
        </w:rPr>
        <w:t xml:space="preserve"> </w:t>
      </w:r>
      <w:proofErr w:type="spellStart"/>
      <w:r w:rsidR="00BE6F31" w:rsidRPr="00CF6765">
        <w:rPr>
          <w:sz w:val="20"/>
          <w:szCs w:val="20"/>
          <w:lang w:val="en-US"/>
        </w:rPr>
        <w:t>Vilches</w:t>
      </w:r>
      <w:proofErr w:type="spellEnd"/>
      <w:r w:rsidR="00BE6F31" w:rsidRPr="00CF6765">
        <w:rPr>
          <w:sz w:val="20"/>
          <w:szCs w:val="20"/>
          <w:lang w:val="en-US"/>
        </w:rPr>
        <w:t>, “c</w:t>
      </w:r>
      <w:r w:rsidR="00D52794" w:rsidRPr="00CF6765">
        <w:rPr>
          <w:sz w:val="20"/>
          <w:szCs w:val="20"/>
          <w:lang w:val="en-US"/>
        </w:rPr>
        <w:t xml:space="preserve">losing the door in their faces,” and that the staff </w:t>
      </w:r>
      <w:r w:rsidR="009E59B2" w:rsidRPr="00CF6765">
        <w:rPr>
          <w:sz w:val="20"/>
          <w:szCs w:val="20"/>
          <w:lang w:val="en-US"/>
        </w:rPr>
        <w:t xml:space="preserve">had </w:t>
      </w:r>
      <w:r w:rsidR="00D52794" w:rsidRPr="00CF6765">
        <w:rPr>
          <w:sz w:val="20"/>
          <w:szCs w:val="20"/>
          <w:lang w:val="en-US"/>
        </w:rPr>
        <w:t xml:space="preserve">refused to give them information or </w:t>
      </w:r>
      <w:r w:rsidR="009E59B2" w:rsidRPr="00CF6765">
        <w:rPr>
          <w:sz w:val="20"/>
          <w:szCs w:val="20"/>
          <w:lang w:val="en-US"/>
        </w:rPr>
        <w:t xml:space="preserve">had </w:t>
      </w:r>
      <w:r w:rsidR="00D52794" w:rsidRPr="00CF6765">
        <w:rPr>
          <w:sz w:val="20"/>
          <w:szCs w:val="20"/>
          <w:lang w:val="en-US"/>
        </w:rPr>
        <w:t xml:space="preserve">provided inexact information on the status of </w:t>
      </w:r>
      <w:r w:rsidR="00D04694" w:rsidRPr="00CF6765">
        <w:rPr>
          <w:sz w:val="20"/>
          <w:szCs w:val="20"/>
          <w:lang w:val="en-US"/>
        </w:rPr>
        <w:t>Mr.</w:t>
      </w:r>
      <w:r w:rsidRPr="00CF6765">
        <w:rPr>
          <w:sz w:val="20"/>
          <w:szCs w:val="20"/>
          <w:lang w:val="en-US"/>
        </w:rPr>
        <w:t xml:space="preserve"> Poblete</w:t>
      </w:r>
      <w:r w:rsidR="00BE6F31" w:rsidRPr="00CF6765">
        <w:rPr>
          <w:sz w:val="20"/>
          <w:szCs w:val="20"/>
          <w:lang w:val="en-US"/>
        </w:rPr>
        <w:t xml:space="preserve"> </w:t>
      </w:r>
      <w:proofErr w:type="spellStart"/>
      <w:r w:rsidR="001E55C3" w:rsidRPr="00CF6765">
        <w:rPr>
          <w:sz w:val="20"/>
          <w:szCs w:val="20"/>
          <w:lang w:val="en-US"/>
        </w:rPr>
        <w:t>Vilches’s</w:t>
      </w:r>
      <w:proofErr w:type="spellEnd"/>
      <w:r w:rsidR="001E55C3" w:rsidRPr="00CF6765">
        <w:rPr>
          <w:sz w:val="20"/>
          <w:szCs w:val="20"/>
          <w:lang w:val="en-US"/>
        </w:rPr>
        <w:t xml:space="preserve"> </w:t>
      </w:r>
      <w:r w:rsidR="00D52794" w:rsidRPr="00CF6765">
        <w:rPr>
          <w:sz w:val="20"/>
          <w:szCs w:val="20"/>
          <w:lang w:val="en-US"/>
        </w:rPr>
        <w:t>health each time the family asked.</w:t>
      </w:r>
      <w:r w:rsidR="00BE6F31" w:rsidRPr="00CF6765">
        <w:rPr>
          <w:rStyle w:val="Refdenotaalpie"/>
          <w:sz w:val="20"/>
          <w:szCs w:val="20"/>
          <w:lang w:val="en-US"/>
        </w:rPr>
        <w:footnoteReference w:id="296"/>
      </w:r>
      <w:r w:rsidR="00D52794" w:rsidRPr="00CF6765">
        <w:rPr>
          <w:sz w:val="20"/>
          <w:szCs w:val="20"/>
          <w:lang w:val="en-US"/>
        </w:rPr>
        <w:t xml:space="preserve"> The representatives added that, in their understanding, there had been an autonomous violation </w:t>
      </w:r>
      <w:r w:rsidR="00B65BBE" w:rsidRPr="00CF6765">
        <w:rPr>
          <w:sz w:val="20"/>
          <w:szCs w:val="20"/>
          <w:lang w:val="en-US"/>
        </w:rPr>
        <w:t xml:space="preserve">of the </w:t>
      </w:r>
      <w:r w:rsidR="0075448B" w:rsidRPr="00CF6765">
        <w:rPr>
          <w:sz w:val="20"/>
          <w:szCs w:val="20"/>
          <w:lang w:val="en-US"/>
        </w:rPr>
        <w:t>right to personal</w:t>
      </w:r>
      <w:r w:rsidR="00925BAC" w:rsidRPr="00CF6765">
        <w:rPr>
          <w:sz w:val="20"/>
          <w:szCs w:val="20"/>
          <w:lang w:val="en-US"/>
        </w:rPr>
        <w:t xml:space="preserve"> integrity</w:t>
      </w:r>
      <w:r w:rsidR="00BE6F31" w:rsidRPr="00CF6765">
        <w:rPr>
          <w:sz w:val="20"/>
          <w:szCs w:val="20"/>
          <w:lang w:val="en-US"/>
        </w:rPr>
        <w:t xml:space="preserve"> </w:t>
      </w:r>
      <w:r w:rsidR="00D52794" w:rsidRPr="00CF6765">
        <w:rPr>
          <w:sz w:val="20"/>
          <w:szCs w:val="20"/>
          <w:lang w:val="en-US"/>
        </w:rPr>
        <w:t>of</w:t>
      </w:r>
      <w:r w:rsidR="00BE6F31" w:rsidRPr="00CF6765">
        <w:rPr>
          <w:sz w:val="20"/>
          <w:szCs w:val="20"/>
          <w:lang w:val="en-US"/>
        </w:rPr>
        <w:t xml:space="preserve"> Blanca </w:t>
      </w:r>
      <w:r w:rsidR="00AA4FE7" w:rsidRPr="00CF6765">
        <w:rPr>
          <w:sz w:val="20"/>
          <w:szCs w:val="20"/>
          <w:lang w:val="en-US"/>
        </w:rPr>
        <w:t xml:space="preserve">Tapia </w:t>
      </w:r>
      <w:proofErr w:type="spellStart"/>
      <w:r w:rsidR="00BE6F31" w:rsidRPr="00CF6765">
        <w:rPr>
          <w:sz w:val="20"/>
          <w:szCs w:val="20"/>
          <w:lang w:val="en-US"/>
        </w:rPr>
        <w:t>Encina</w:t>
      </w:r>
      <w:proofErr w:type="spellEnd"/>
      <w:r w:rsidR="00EC50FC" w:rsidRPr="00CF6765">
        <w:rPr>
          <w:sz w:val="20"/>
          <w:szCs w:val="20"/>
          <w:lang w:val="en-US"/>
        </w:rPr>
        <w:t xml:space="preserve"> and </w:t>
      </w:r>
      <w:r w:rsidR="00D52794" w:rsidRPr="00CF6765">
        <w:rPr>
          <w:sz w:val="20"/>
          <w:szCs w:val="20"/>
          <w:lang w:val="en-US"/>
        </w:rPr>
        <w:t>her children,</w:t>
      </w:r>
      <w:r w:rsidR="00BE6F31" w:rsidRPr="00CF6765">
        <w:rPr>
          <w:sz w:val="20"/>
          <w:szCs w:val="20"/>
          <w:lang w:val="en-US"/>
        </w:rPr>
        <w:t xml:space="preserve"> Vinicio Marco Antonio Poblete Tapia</w:t>
      </w:r>
      <w:r w:rsidR="00EC50FC" w:rsidRPr="00CF6765">
        <w:rPr>
          <w:sz w:val="20"/>
          <w:szCs w:val="20"/>
          <w:lang w:val="en-US"/>
        </w:rPr>
        <w:t xml:space="preserve"> and </w:t>
      </w:r>
      <w:proofErr w:type="spellStart"/>
      <w:r w:rsidR="00BE6F31" w:rsidRPr="00CF6765">
        <w:rPr>
          <w:sz w:val="20"/>
          <w:szCs w:val="20"/>
          <w:lang w:val="en-US"/>
        </w:rPr>
        <w:t>Cesia</w:t>
      </w:r>
      <w:proofErr w:type="spellEnd"/>
      <w:r w:rsidR="00BE6F31" w:rsidRPr="00CF6765">
        <w:rPr>
          <w:sz w:val="20"/>
          <w:szCs w:val="20"/>
          <w:lang w:val="en-US"/>
        </w:rPr>
        <w:t xml:space="preserve"> Leila Poblete Tapia </w:t>
      </w:r>
      <w:r w:rsidR="00D52794" w:rsidRPr="00CF6765">
        <w:rPr>
          <w:sz w:val="20"/>
          <w:szCs w:val="20"/>
          <w:lang w:val="en-US"/>
        </w:rPr>
        <w:t xml:space="preserve">and, therefore, the Court should declare the responsibility of </w:t>
      </w:r>
      <w:r w:rsidR="00EC50FC" w:rsidRPr="00CF6765">
        <w:rPr>
          <w:sz w:val="20"/>
          <w:szCs w:val="20"/>
          <w:lang w:val="en-US"/>
        </w:rPr>
        <w:t>the State</w:t>
      </w:r>
      <w:r w:rsidR="00BE6F31" w:rsidRPr="00CF6765">
        <w:rPr>
          <w:sz w:val="20"/>
          <w:szCs w:val="20"/>
          <w:lang w:val="en-US"/>
        </w:rPr>
        <w:t xml:space="preserve"> </w:t>
      </w:r>
      <w:r w:rsidR="00671A8C" w:rsidRPr="00CF6765">
        <w:rPr>
          <w:sz w:val="20"/>
          <w:szCs w:val="20"/>
          <w:lang w:val="en-US"/>
        </w:rPr>
        <w:t xml:space="preserve">of </w:t>
      </w:r>
      <w:r w:rsidR="009E59B2" w:rsidRPr="00CF6765">
        <w:rPr>
          <w:sz w:val="20"/>
          <w:szCs w:val="20"/>
          <w:lang w:val="en-US"/>
        </w:rPr>
        <w:t xml:space="preserve">Chile </w:t>
      </w:r>
      <w:r w:rsidR="00D52794" w:rsidRPr="00CF6765">
        <w:rPr>
          <w:sz w:val="20"/>
          <w:szCs w:val="20"/>
          <w:lang w:val="en-US"/>
        </w:rPr>
        <w:t>for the violation</w:t>
      </w:r>
      <w:r w:rsidR="00BE6F31" w:rsidRPr="00CF6765">
        <w:rPr>
          <w:sz w:val="20"/>
          <w:szCs w:val="20"/>
          <w:lang w:val="en-US"/>
        </w:rPr>
        <w:t xml:space="preserve"> </w:t>
      </w:r>
      <w:r w:rsidR="0088423A" w:rsidRPr="00CF6765">
        <w:rPr>
          <w:sz w:val="20"/>
          <w:szCs w:val="20"/>
          <w:lang w:val="en-US"/>
        </w:rPr>
        <w:t>of Article</w:t>
      </w:r>
      <w:r w:rsidR="00BE6F31" w:rsidRPr="00CF6765">
        <w:rPr>
          <w:sz w:val="20"/>
          <w:szCs w:val="20"/>
          <w:lang w:val="en-US"/>
        </w:rPr>
        <w:t xml:space="preserve"> </w:t>
      </w:r>
      <w:r w:rsidRPr="00CF6765">
        <w:rPr>
          <w:sz w:val="20"/>
          <w:szCs w:val="20"/>
          <w:lang w:val="en-US"/>
        </w:rPr>
        <w:t>5(1)</w:t>
      </w:r>
      <w:r w:rsidR="00BE6F31" w:rsidRPr="00CF6765">
        <w:rPr>
          <w:sz w:val="20"/>
          <w:szCs w:val="20"/>
          <w:lang w:val="en-US"/>
        </w:rPr>
        <w:t xml:space="preserve"> </w:t>
      </w:r>
      <w:r w:rsidR="00D52794" w:rsidRPr="00CF6765">
        <w:rPr>
          <w:sz w:val="20"/>
          <w:szCs w:val="20"/>
          <w:lang w:val="en-US"/>
        </w:rPr>
        <w:t>in relation to</w:t>
      </w:r>
      <w:r w:rsidR="00BE6F31" w:rsidRPr="00CF6765">
        <w:rPr>
          <w:sz w:val="20"/>
          <w:szCs w:val="20"/>
          <w:lang w:val="en-US"/>
        </w:rPr>
        <w:t xml:space="preserve"> </w:t>
      </w:r>
      <w:r w:rsidR="00EC50FC" w:rsidRPr="00CF6765">
        <w:rPr>
          <w:sz w:val="20"/>
          <w:szCs w:val="20"/>
          <w:lang w:val="en-US"/>
        </w:rPr>
        <w:t>Article 1(1)</w:t>
      </w:r>
      <w:r w:rsidR="005C731C" w:rsidRPr="00CF6765">
        <w:rPr>
          <w:sz w:val="20"/>
          <w:szCs w:val="20"/>
          <w:lang w:val="en-US"/>
        </w:rPr>
        <w:t xml:space="preserve"> of the Convention</w:t>
      </w:r>
      <w:r w:rsidR="00AA4FE7" w:rsidRPr="00CF6765">
        <w:rPr>
          <w:sz w:val="20"/>
          <w:szCs w:val="20"/>
          <w:lang w:val="en-US"/>
        </w:rPr>
        <w:t xml:space="preserve"> </w:t>
      </w:r>
      <w:r w:rsidR="00690D57" w:rsidRPr="00CF6765">
        <w:rPr>
          <w:sz w:val="20"/>
          <w:szCs w:val="20"/>
          <w:lang w:val="en-US"/>
        </w:rPr>
        <w:t>to the detriment of</w:t>
      </w:r>
      <w:r w:rsidR="00D52794" w:rsidRPr="00CF6765">
        <w:rPr>
          <w:sz w:val="20"/>
          <w:szCs w:val="20"/>
          <w:lang w:val="en-US"/>
        </w:rPr>
        <w:t xml:space="preserve"> the members</w:t>
      </w:r>
      <w:r w:rsidR="00BE6F31" w:rsidRPr="00CF6765">
        <w:rPr>
          <w:sz w:val="20"/>
          <w:szCs w:val="20"/>
          <w:lang w:val="en-US"/>
        </w:rPr>
        <w:t xml:space="preserve"> </w:t>
      </w:r>
      <w:r w:rsidR="00D04694" w:rsidRPr="00CF6765">
        <w:rPr>
          <w:sz w:val="20"/>
          <w:szCs w:val="20"/>
          <w:lang w:val="en-US"/>
        </w:rPr>
        <w:t>of Mr.</w:t>
      </w:r>
      <w:r w:rsidRPr="00CF6765">
        <w:rPr>
          <w:sz w:val="20"/>
          <w:szCs w:val="20"/>
          <w:lang w:val="en-US"/>
        </w:rPr>
        <w:t xml:space="preserve"> Poblete</w:t>
      </w:r>
      <w:r w:rsidR="00BE6F31" w:rsidRPr="00CF6765">
        <w:rPr>
          <w:sz w:val="20"/>
          <w:szCs w:val="20"/>
          <w:lang w:val="en-US"/>
        </w:rPr>
        <w:t xml:space="preserve"> </w:t>
      </w:r>
      <w:proofErr w:type="spellStart"/>
      <w:r w:rsidR="001E55C3" w:rsidRPr="00CF6765">
        <w:rPr>
          <w:sz w:val="20"/>
          <w:szCs w:val="20"/>
          <w:lang w:val="en-US"/>
        </w:rPr>
        <w:t>Vilches’s</w:t>
      </w:r>
      <w:proofErr w:type="spellEnd"/>
      <w:r w:rsidR="001E55C3" w:rsidRPr="00CF6765">
        <w:rPr>
          <w:sz w:val="20"/>
          <w:szCs w:val="20"/>
          <w:lang w:val="en-US"/>
        </w:rPr>
        <w:t xml:space="preserve"> </w:t>
      </w:r>
      <w:r w:rsidR="00D52794" w:rsidRPr="00CF6765">
        <w:rPr>
          <w:sz w:val="20"/>
          <w:szCs w:val="20"/>
          <w:lang w:val="en-US"/>
        </w:rPr>
        <w:t>family.</w:t>
      </w:r>
      <w:r w:rsidR="00BE6F31" w:rsidRPr="00CF6765">
        <w:rPr>
          <w:sz w:val="20"/>
          <w:szCs w:val="20"/>
          <w:lang w:val="en-US"/>
        </w:rPr>
        <w:t xml:space="preserve">  </w:t>
      </w:r>
    </w:p>
    <w:p w14:paraId="5C32F026" w14:textId="77777777" w:rsidR="00BE6F31" w:rsidRPr="00CF6765" w:rsidRDefault="00BE6F31" w:rsidP="00BE6F31">
      <w:pPr>
        <w:tabs>
          <w:tab w:val="left" w:pos="3195"/>
        </w:tabs>
        <w:ind w:right="-360"/>
        <w:rPr>
          <w:sz w:val="20"/>
          <w:szCs w:val="20"/>
          <w:lang w:val="en-US"/>
        </w:rPr>
      </w:pPr>
      <w:r w:rsidRPr="00CF6765">
        <w:rPr>
          <w:sz w:val="20"/>
          <w:szCs w:val="20"/>
          <w:lang w:val="en-US"/>
        </w:rPr>
        <w:tab/>
      </w:r>
    </w:p>
    <w:p w14:paraId="6DA4A524" w14:textId="171C91AE" w:rsidR="00AB34B8" w:rsidRPr="00CF6765" w:rsidRDefault="009E59B2" w:rsidP="00EB31C8">
      <w:pPr>
        <w:numPr>
          <w:ilvl w:val="0"/>
          <w:numId w:val="2"/>
        </w:numPr>
        <w:tabs>
          <w:tab w:val="left" w:pos="567"/>
          <w:tab w:val="num" w:pos="1569"/>
          <w:tab w:val="num" w:pos="12305"/>
        </w:tabs>
        <w:ind w:left="0" w:firstLine="0"/>
        <w:rPr>
          <w:b/>
          <w:sz w:val="20"/>
          <w:szCs w:val="20"/>
          <w:lang w:val="en-US"/>
        </w:rPr>
      </w:pPr>
      <w:r w:rsidRPr="00CF6765">
        <w:rPr>
          <w:sz w:val="20"/>
          <w:szCs w:val="20"/>
          <w:lang w:val="en-US"/>
        </w:rPr>
        <w:lastRenderedPageBreak/>
        <w:t>T</w:t>
      </w:r>
      <w:r w:rsidR="00EC50FC" w:rsidRPr="00CF6765">
        <w:rPr>
          <w:sz w:val="20"/>
          <w:szCs w:val="20"/>
          <w:lang w:val="en-US"/>
        </w:rPr>
        <w:t xml:space="preserve">he </w:t>
      </w:r>
      <w:r w:rsidR="00EC50FC" w:rsidRPr="00CF6765">
        <w:rPr>
          <w:b/>
          <w:bCs/>
          <w:i/>
          <w:iCs/>
          <w:sz w:val="20"/>
          <w:szCs w:val="20"/>
          <w:lang w:val="en-US"/>
        </w:rPr>
        <w:t>State</w:t>
      </w:r>
      <w:r w:rsidR="00BE6F31" w:rsidRPr="00CF6765">
        <w:rPr>
          <w:b/>
          <w:bCs/>
          <w:i/>
          <w:iCs/>
          <w:sz w:val="20"/>
          <w:szCs w:val="20"/>
          <w:lang w:val="en-US"/>
        </w:rPr>
        <w:t xml:space="preserve"> </w:t>
      </w:r>
      <w:r w:rsidR="00EB31C8" w:rsidRPr="00CF6765">
        <w:rPr>
          <w:sz w:val="20"/>
          <w:szCs w:val="20"/>
          <w:lang w:val="en-US"/>
        </w:rPr>
        <w:t xml:space="preserve">did not acknowledge </w:t>
      </w:r>
      <w:r w:rsidR="0090740B" w:rsidRPr="00CF6765">
        <w:rPr>
          <w:sz w:val="20"/>
          <w:szCs w:val="20"/>
          <w:lang w:val="en-US"/>
        </w:rPr>
        <w:t>having</w:t>
      </w:r>
      <w:r w:rsidR="00EB31C8" w:rsidRPr="00CF6765">
        <w:rPr>
          <w:sz w:val="20"/>
          <w:szCs w:val="20"/>
          <w:lang w:val="en-US"/>
        </w:rPr>
        <w:t xml:space="preserve"> violated</w:t>
      </w:r>
      <w:r w:rsidR="00BE6F31" w:rsidRPr="00CF6765">
        <w:rPr>
          <w:sz w:val="20"/>
          <w:szCs w:val="20"/>
          <w:lang w:val="en-US"/>
        </w:rPr>
        <w:t xml:space="preserve"> </w:t>
      </w:r>
      <w:r w:rsidR="00DE6950" w:rsidRPr="00CF6765">
        <w:rPr>
          <w:rFonts w:cs="Arial"/>
          <w:sz w:val="20"/>
          <w:szCs w:val="20"/>
          <w:lang w:val="en-US"/>
        </w:rPr>
        <w:t xml:space="preserve">the </w:t>
      </w:r>
      <w:r w:rsidR="0075448B" w:rsidRPr="00CF6765">
        <w:rPr>
          <w:rFonts w:cs="Arial"/>
          <w:sz w:val="20"/>
          <w:szCs w:val="20"/>
          <w:lang w:val="en-US"/>
        </w:rPr>
        <w:t>right to personal</w:t>
      </w:r>
      <w:r w:rsidR="00925BAC" w:rsidRPr="00CF6765">
        <w:rPr>
          <w:rFonts w:cs="Arial"/>
          <w:sz w:val="20"/>
          <w:szCs w:val="20"/>
          <w:lang w:val="en-US"/>
        </w:rPr>
        <w:t xml:space="preserve"> integrity</w:t>
      </w:r>
      <w:r w:rsidR="00BE6F31" w:rsidRPr="00CF6765">
        <w:rPr>
          <w:rFonts w:cs="Arial"/>
          <w:sz w:val="20"/>
          <w:szCs w:val="20"/>
          <w:lang w:val="en-US"/>
        </w:rPr>
        <w:t xml:space="preserve"> </w:t>
      </w:r>
      <w:r w:rsidR="00690D57" w:rsidRPr="00CF6765">
        <w:rPr>
          <w:rFonts w:cs="Arial"/>
          <w:sz w:val="20"/>
          <w:szCs w:val="20"/>
          <w:lang w:val="en-US"/>
        </w:rPr>
        <w:t>to the detriment of</w:t>
      </w:r>
      <w:r w:rsidR="00BE6F31" w:rsidRPr="00CF6765">
        <w:rPr>
          <w:rFonts w:cs="Arial"/>
          <w:sz w:val="20"/>
          <w:szCs w:val="20"/>
          <w:lang w:val="en-US"/>
        </w:rPr>
        <w:t xml:space="preserve"> </w:t>
      </w:r>
      <w:r w:rsidR="00EB31C8" w:rsidRPr="00CF6765">
        <w:rPr>
          <w:rFonts w:cs="Arial"/>
          <w:sz w:val="20"/>
          <w:szCs w:val="20"/>
          <w:lang w:val="en-US"/>
        </w:rPr>
        <w:t>the direct family members</w:t>
      </w:r>
      <w:r w:rsidR="00BE6F31" w:rsidRPr="00CF6765">
        <w:rPr>
          <w:rFonts w:cs="Arial"/>
          <w:sz w:val="20"/>
          <w:szCs w:val="20"/>
          <w:lang w:val="en-US"/>
        </w:rPr>
        <w:t xml:space="preserve"> </w:t>
      </w:r>
      <w:r w:rsidR="00D04694" w:rsidRPr="00CF6765">
        <w:rPr>
          <w:rFonts w:cs="Arial"/>
          <w:sz w:val="20"/>
          <w:szCs w:val="20"/>
          <w:lang w:val="en-US"/>
        </w:rPr>
        <w:t>of Vinicio</w:t>
      </w:r>
      <w:r w:rsidR="00BE6F31" w:rsidRPr="00CF6765">
        <w:rPr>
          <w:rFonts w:cs="Arial"/>
          <w:sz w:val="20"/>
          <w:szCs w:val="20"/>
          <w:lang w:val="en-US"/>
        </w:rPr>
        <w:t xml:space="preserve"> Poblete </w:t>
      </w:r>
      <w:proofErr w:type="spellStart"/>
      <w:r w:rsidR="00BE6F31" w:rsidRPr="00CF6765">
        <w:rPr>
          <w:rFonts w:cs="Arial"/>
          <w:sz w:val="20"/>
          <w:szCs w:val="20"/>
          <w:lang w:val="en-US"/>
        </w:rPr>
        <w:t>Vilches</w:t>
      </w:r>
      <w:proofErr w:type="spellEnd"/>
      <w:r w:rsidR="00BE6F31" w:rsidRPr="00CF6765">
        <w:rPr>
          <w:rFonts w:cs="Arial"/>
          <w:sz w:val="20"/>
          <w:szCs w:val="20"/>
          <w:lang w:val="en-US"/>
        </w:rPr>
        <w:t>, argu</w:t>
      </w:r>
      <w:r w:rsidR="00EB31C8" w:rsidRPr="00CF6765">
        <w:rPr>
          <w:rFonts w:cs="Arial"/>
          <w:sz w:val="20"/>
          <w:szCs w:val="20"/>
          <w:lang w:val="en-US"/>
        </w:rPr>
        <w:t xml:space="preserve">ing that it had not been proved that his death had been the </w:t>
      </w:r>
      <w:r w:rsidR="0090740B" w:rsidRPr="00CF6765">
        <w:rPr>
          <w:rFonts w:cs="Arial"/>
          <w:sz w:val="20"/>
          <w:szCs w:val="20"/>
          <w:lang w:val="en-US"/>
        </w:rPr>
        <w:t>result</w:t>
      </w:r>
      <w:r w:rsidR="00EB31C8" w:rsidRPr="00CF6765">
        <w:rPr>
          <w:rFonts w:cs="Arial"/>
          <w:sz w:val="20"/>
          <w:szCs w:val="20"/>
          <w:lang w:val="en-US"/>
        </w:rPr>
        <w:t xml:space="preserve"> of its negligence, so that “a supposed violation of the family members</w:t>
      </w:r>
      <w:r w:rsidRPr="00CF6765">
        <w:rPr>
          <w:rFonts w:cs="Arial"/>
          <w:sz w:val="20"/>
          <w:szCs w:val="20"/>
          <w:lang w:val="en-US"/>
        </w:rPr>
        <w:t>’ personal integrity</w:t>
      </w:r>
      <w:r w:rsidR="00EB31C8" w:rsidRPr="00CF6765">
        <w:rPr>
          <w:rFonts w:cs="Arial"/>
          <w:sz w:val="20"/>
          <w:szCs w:val="20"/>
          <w:lang w:val="en-US"/>
        </w:rPr>
        <w:t xml:space="preserve"> would, of necessity, have to be a direct consequence of a violation by the State in </w:t>
      </w:r>
      <w:r w:rsidRPr="00CF6765">
        <w:rPr>
          <w:rFonts w:cs="Arial"/>
          <w:sz w:val="20"/>
          <w:szCs w:val="20"/>
          <w:lang w:val="en-US"/>
        </w:rPr>
        <w:t>connection with</w:t>
      </w:r>
      <w:r w:rsidR="00EB31C8" w:rsidRPr="00CF6765">
        <w:rPr>
          <w:rFonts w:cs="Arial"/>
          <w:sz w:val="20"/>
          <w:szCs w:val="20"/>
          <w:lang w:val="en-US"/>
        </w:rPr>
        <w:t xml:space="preserve"> the death of Vinicio Poblete </w:t>
      </w:r>
      <w:proofErr w:type="spellStart"/>
      <w:r w:rsidR="00EB31C8" w:rsidRPr="00CF6765">
        <w:rPr>
          <w:rFonts w:cs="Arial"/>
          <w:sz w:val="20"/>
          <w:szCs w:val="20"/>
          <w:lang w:val="en-US"/>
        </w:rPr>
        <w:t>Vilches</w:t>
      </w:r>
      <w:proofErr w:type="spellEnd"/>
      <w:r w:rsidR="00EB31C8" w:rsidRPr="00CF6765">
        <w:rPr>
          <w:rFonts w:cs="Arial"/>
          <w:sz w:val="20"/>
          <w:szCs w:val="20"/>
          <w:lang w:val="en-US"/>
        </w:rPr>
        <w:t xml:space="preserve">,” and it considered that this had not occurred. The State recalled that, with regard to the violation of the right to personal integrity owing to the alleged mistreatment received by </w:t>
      </w:r>
      <w:r w:rsidR="00D2168F" w:rsidRPr="00CF6765">
        <w:rPr>
          <w:sz w:val="20"/>
          <w:szCs w:val="20"/>
          <w:lang w:val="en-US"/>
        </w:rPr>
        <w:t>Mr. Poblete</w:t>
      </w:r>
      <w:r w:rsidR="00BE6F31" w:rsidRPr="00CF6765">
        <w:rPr>
          <w:sz w:val="20"/>
          <w:szCs w:val="20"/>
          <w:lang w:val="en-US"/>
        </w:rPr>
        <w:t xml:space="preserve"> </w:t>
      </w:r>
      <w:proofErr w:type="spellStart"/>
      <w:r w:rsidR="00BE6F31" w:rsidRPr="00CF6765">
        <w:rPr>
          <w:sz w:val="20"/>
          <w:szCs w:val="20"/>
          <w:lang w:val="en-US"/>
        </w:rPr>
        <w:t>Vilches</w:t>
      </w:r>
      <w:proofErr w:type="spellEnd"/>
      <w:r w:rsidR="00EC50FC" w:rsidRPr="00CF6765">
        <w:rPr>
          <w:sz w:val="20"/>
          <w:szCs w:val="20"/>
          <w:lang w:val="en-US"/>
        </w:rPr>
        <w:t xml:space="preserve"> </w:t>
      </w:r>
      <w:r w:rsidR="00690D57" w:rsidRPr="00CF6765">
        <w:rPr>
          <w:sz w:val="20"/>
          <w:szCs w:val="20"/>
          <w:lang w:val="en-US"/>
        </w:rPr>
        <w:t>and the members of his family</w:t>
      </w:r>
      <w:r w:rsidR="00BE6F31" w:rsidRPr="00CF6765">
        <w:rPr>
          <w:sz w:val="20"/>
          <w:szCs w:val="20"/>
          <w:lang w:val="en-US"/>
        </w:rPr>
        <w:t xml:space="preserve">, </w:t>
      </w:r>
      <w:r w:rsidR="005C731C" w:rsidRPr="00CF6765">
        <w:rPr>
          <w:sz w:val="20"/>
          <w:szCs w:val="20"/>
          <w:lang w:val="en-US"/>
        </w:rPr>
        <w:t>the Commission</w:t>
      </w:r>
      <w:r w:rsidR="00BE6F31" w:rsidRPr="00CF6765">
        <w:rPr>
          <w:sz w:val="20"/>
          <w:szCs w:val="20"/>
          <w:lang w:val="en-US"/>
        </w:rPr>
        <w:t xml:space="preserve"> </w:t>
      </w:r>
      <w:r w:rsidR="00EB31C8" w:rsidRPr="00CF6765">
        <w:rPr>
          <w:sz w:val="20"/>
          <w:szCs w:val="20"/>
          <w:lang w:val="en-US"/>
        </w:rPr>
        <w:t>had indicated in its</w:t>
      </w:r>
      <w:r w:rsidR="00BE6F31" w:rsidRPr="00CF6765">
        <w:rPr>
          <w:sz w:val="20"/>
          <w:szCs w:val="20"/>
          <w:lang w:val="en-US"/>
        </w:rPr>
        <w:t xml:space="preserve"> </w:t>
      </w:r>
      <w:r w:rsidR="00EC50FC" w:rsidRPr="00CF6765">
        <w:rPr>
          <w:sz w:val="20"/>
          <w:szCs w:val="20"/>
          <w:lang w:val="en-US"/>
        </w:rPr>
        <w:t>Merits Report</w:t>
      </w:r>
      <w:r w:rsidR="00BE6F31" w:rsidRPr="00CF6765">
        <w:rPr>
          <w:sz w:val="20"/>
          <w:szCs w:val="20"/>
          <w:lang w:val="en-US"/>
        </w:rPr>
        <w:t xml:space="preserve"> </w:t>
      </w:r>
      <w:r w:rsidR="00EB31C8" w:rsidRPr="00CF6765">
        <w:rPr>
          <w:sz w:val="20"/>
          <w:szCs w:val="20"/>
          <w:lang w:val="en-US"/>
        </w:rPr>
        <w:t>that</w:t>
      </w:r>
      <w:r w:rsidR="00BE6F31" w:rsidRPr="00CF6765">
        <w:rPr>
          <w:sz w:val="20"/>
          <w:szCs w:val="20"/>
          <w:lang w:val="en-US"/>
        </w:rPr>
        <w:t xml:space="preserve"> </w:t>
      </w:r>
      <w:r w:rsidR="00EB31C8" w:rsidRPr="00CF6765">
        <w:rPr>
          <w:sz w:val="20"/>
          <w:szCs w:val="20"/>
          <w:lang w:val="en-US"/>
        </w:rPr>
        <w:t xml:space="preserve">“it does not have additional elements that allow it to establish as proven and, therefore, to make a legal analysis of the alleged mistreatment suffered by </w:t>
      </w:r>
      <w:r w:rsidR="00D2168F" w:rsidRPr="00CF6765">
        <w:rPr>
          <w:sz w:val="20"/>
          <w:szCs w:val="20"/>
          <w:lang w:val="en-US"/>
        </w:rPr>
        <w:t>Mr. Poblete</w:t>
      </w:r>
      <w:r w:rsidR="00BE6F31" w:rsidRPr="00CF6765">
        <w:rPr>
          <w:sz w:val="20"/>
          <w:szCs w:val="20"/>
          <w:lang w:val="en-US"/>
        </w:rPr>
        <w:t xml:space="preserve"> </w:t>
      </w:r>
      <w:proofErr w:type="spellStart"/>
      <w:r w:rsidR="00BE6F31" w:rsidRPr="00CF6765">
        <w:rPr>
          <w:sz w:val="20"/>
          <w:szCs w:val="20"/>
          <w:lang w:val="en-US"/>
        </w:rPr>
        <w:t>Vilches</w:t>
      </w:r>
      <w:proofErr w:type="spellEnd"/>
      <w:r w:rsidR="00EC50FC" w:rsidRPr="00CF6765">
        <w:rPr>
          <w:sz w:val="20"/>
          <w:szCs w:val="20"/>
          <w:lang w:val="en-US"/>
        </w:rPr>
        <w:t xml:space="preserve"> </w:t>
      </w:r>
      <w:r w:rsidR="009339F5" w:rsidRPr="00CF6765">
        <w:rPr>
          <w:sz w:val="20"/>
          <w:szCs w:val="20"/>
          <w:lang w:val="en-US"/>
        </w:rPr>
        <w:t>and his family</w:t>
      </w:r>
      <w:r w:rsidR="00EB31C8" w:rsidRPr="00CF6765">
        <w:rPr>
          <w:sz w:val="20"/>
          <w:szCs w:val="20"/>
          <w:lang w:val="en-US"/>
        </w:rPr>
        <w:t>.</w:t>
      </w:r>
      <w:r w:rsidR="00BE6F31" w:rsidRPr="00CF6765">
        <w:rPr>
          <w:sz w:val="20"/>
          <w:szCs w:val="20"/>
          <w:lang w:val="en-US"/>
        </w:rPr>
        <w:t>”</w:t>
      </w:r>
      <w:r w:rsidR="00EB31C8" w:rsidRPr="00CF6765">
        <w:rPr>
          <w:sz w:val="20"/>
          <w:szCs w:val="20"/>
          <w:lang w:val="en-US"/>
        </w:rPr>
        <w:t xml:space="preserve"> Lastly, in its final arguments, the State added that, in its </w:t>
      </w:r>
      <w:r w:rsidR="0090740B" w:rsidRPr="00CF6765">
        <w:rPr>
          <w:sz w:val="20"/>
          <w:szCs w:val="20"/>
          <w:lang w:val="en-US"/>
        </w:rPr>
        <w:t>opinion</w:t>
      </w:r>
      <w:r w:rsidR="00EB31C8" w:rsidRPr="00CF6765">
        <w:rPr>
          <w:sz w:val="20"/>
          <w:szCs w:val="20"/>
          <w:lang w:val="en-US"/>
        </w:rPr>
        <w:t xml:space="preserve">, it was not possible to extend its international responsibility to the autonomous violation of the right to personal integrity of the family members because no causal nexus had been proved between the </w:t>
      </w:r>
      <w:r w:rsidR="003626CB" w:rsidRPr="00CF6765">
        <w:rPr>
          <w:sz w:val="20"/>
          <w:szCs w:val="20"/>
          <w:lang w:val="en-US"/>
        </w:rPr>
        <w:t>death</w:t>
      </w:r>
      <w:r w:rsidR="00BE6F31" w:rsidRPr="00CF6765">
        <w:rPr>
          <w:sz w:val="20"/>
          <w:szCs w:val="20"/>
          <w:lang w:val="en-US"/>
        </w:rPr>
        <w:t xml:space="preserve"> </w:t>
      </w:r>
      <w:r w:rsidR="00D04694" w:rsidRPr="00CF6765">
        <w:rPr>
          <w:sz w:val="20"/>
          <w:szCs w:val="20"/>
          <w:lang w:val="en-US"/>
        </w:rPr>
        <w:t>of Vinicio</w:t>
      </w:r>
      <w:r w:rsidR="00BE6F31" w:rsidRPr="00CF6765">
        <w:rPr>
          <w:sz w:val="20"/>
          <w:szCs w:val="20"/>
          <w:lang w:val="en-US"/>
        </w:rPr>
        <w:t xml:space="preserve"> Poblete </w:t>
      </w:r>
      <w:proofErr w:type="spellStart"/>
      <w:r w:rsidR="00BE6F31" w:rsidRPr="00CF6765">
        <w:rPr>
          <w:sz w:val="20"/>
          <w:szCs w:val="20"/>
          <w:lang w:val="en-US"/>
        </w:rPr>
        <w:t>Vilch</w:t>
      </w:r>
      <w:r w:rsidR="0090740B" w:rsidRPr="00CF6765">
        <w:rPr>
          <w:sz w:val="20"/>
          <w:szCs w:val="20"/>
          <w:lang w:val="en-US"/>
        </w:rPr>
        <w:t>e</w:t>
      </w:r>
      <w:r w:rsidR="00BE6F31" w:rsidRPr="00CF6765">
        <w:rPr>
          <w:sz w:val="20"/>
          <w:szCs w:val="20"/>
          <w:lang w:val="en-US"/>
        </w:rPr>
        <w:t>s</w:t>
      </w:r>
      <w:proofErr w:type="spellEnd"/>
      <w:r w:rsidR="00EC50FC" w:rsidRPr="00CF6765">
        <w:rPr>
          <w:sz w:val="20"/>
          <w:szCs w:val="20"/>
          <w:lang w:val="en-US"/>
        </w:rPr>
        <w:t xml:space="preserve"> and </w:t>
      </w:r>
      <w:r w:rsidR="00EB31C8" w:rsidRPr="00CF6765">
        <w:rPr>
          <w:sz w:val="20"/>
          <w:szCs w:val="20"/>
          <w:lang w:val="en-US"/>
        </w:rPr>
        <w:t>the State’s actions in this specific case.</w:t>
      </w:r>
    </w:p>
    <w:p w14:paraId="41E32CE8" w14:textId="77777777" w:rsidR="00BE6F31" w:rsidRPr="00CF6765" w:rsidRDefault="00BE6F31" w:rsidP="00B1523A">
      <w:pPr>
        <w:tabs>
          <w:tab w:val="left" w:pos="567"/>
        </w:tabs>
        <w:rPr>
          <w:b/>
          <w:sz w:val="20"/>
          <w:szCs w:val="20"/>
          <w:lang w:val="en-US"/>
        </w:rPr>
      </w:pPr>
    </w:p>
    <w:p w14:paraId="433E8AD6" w14:textId="5E6306B1" w:rsidR="00BE6F31" w:rsidRPr="00CF6765" w:rsidRDefault="009C2DEF" w:rsidP="002726E0">
      <w:pPr>
        <w:pStyle w:val="Ttulo2"/>
        <w:numPr>
          <w:ilvl w:val="0"/>
          <w:numId w:val="12"/>
        </w:numPr>
        <w:rPr>
          <w:lang w:val="en-US"/>
        </w:rPr>
      </w:pPr>
      <w:bookmarkStart w:id="100" w:name="_Toc47864396"/>
      <w:r w:rsidRPr="00CF6765">
        <w:rPr>
          <w:lang w:val="en-US"/>
        </w:rPr>
        <w:t>Considerations</w:t>
      </w:r>
      <w:r w:rsidR="005C731C" w:rsidRPr="00CF6765">
        <w:rPr>
          <w:lang w:val="en-US"/>
        </w:rPr>
        <w:t xml:space="preserve"> of the Court</w:t>
      </w:r>
      <w:bookmarkEnd w:id="100"/>
      <w:r w:rsidR="00BE6F31" w:rsidRPr="00CF6765">
        <w:rPr>
          <w:lang w:val="en-US"/>
        </w:rPr>
        <w:t xml:space="preserve"> </w:t>
      </w:r>
    </w:p>
    <w:p w14:paraId="51610351" w14:textId="77777777" w:rsidR="00BE6F31" w:rsidRPr="00CF6765" w:rsidRDefault="00BE6F31" w:rsidP="00BE6F31">
      <w:pPr>
        <w:rPr>
          <w:lang w:val="en-US"/>
        </w:rPr>
      </w:pPr>
    </w:p>
    <w:p w14:paraId="11C91086" w14:textId="7BC98495" w:rsidR="00BE6F31" w:rsidRPr="00CF6765" w:rsidRDefault="00EB31C8" w:rsidP="00BE6F31">
      <w:pPr>
        <w:numPr>
          <w:ilvl w:val="0"/>
          <w:numId w:val="2"/>
        </w:numPr>
        <w:tabs>
          <w:tab w:val="left" w:pos="567"/>
          <w:tab w:val="num" w:pos="1569"/>
          <w:tab w:val="num" w:pos="12305"/>
        </w:tabs>
        <w:ind w:left="0" w:firstLine="0"/>
        <w:rPr>
          <w:sz w:val="20"/>
          <w:szCs w:val="20"/>
          <w:lang w:val="en-US"/>
        </w:rPr>
      </w:pPr>
      <w:r w:rsidRPr="00CF6765">
        <w:rPr>
          <w:sz w:val="20"/>
          <w:szCs w:val="20"/>
          <w:lang w:val="en-US"/>
        </w:rPr>
        <w:t xml:space="preserve">In the instant case, the dispute between the parties subsists with regard to the autonomous violation </w:t>
      </w:r>
      <w:r w:rsidR="00B65BBE" w:rsidRPr="00CF6765">
        <w:rPr>
          <w:sz w:val="20"/>
          <w:szCs w:val="20"/>
          <w:lang w:val="en-US"/>
        </w:rPr>
        <w:t xml:space="preserve">of the </w:t>
      </w:r>
      <w:r w:rsidR="00DE6950" w:rsidRPr="00CF6765">
        <w:rPr>
          <w:sz w:val="20"/>
          <w:szCs w:val="20"/>
          <w:lang w:val="en-US"/>
        </w:rPr>
        <w:t>right</w:t>
      </w:r>
      <w:r w:rsidR="00BE6F31" w:rsidRPr="00CF6765">
        <w:rPr>
          <w:sz w:val="20"/>
          <w:szCs w:val="20"/>
          <w:lang w:val="en-US"/>
        </w:rPr>
        <w:t xml:space="preserve"> </w:t>
      </w:r>
      <w:r w:rsidRPr="00CF6765">
        <w:rPr>
          <w:sz w:val="20"/>
          <w:szCs w:val="20"/>
          <w:lang w:val="en-US"/>
        </w:rPr>
        <w:t xml:space="preserve">to integrity </w:t>
      </w:r>
      <w:r w:rsidR="00690D57" w:rsidRPr="00CF6765">
        <w:rPr>
          <w:sz w:val="20"/>
          <w:szCs w:val="20"/>
          <w:lang w:val="en-US"/>
        </w:rPr>
        <w:t>of</w:t>
      </w:r>
      <w:r w:rsidR="00BE6F31" w:rsidRPr="00CF6765">
        <w:rPr>
          <w:sz w:val="20"/>
          <w:szCs w:val="20"/>
          <w:lang w:val="en-US"/>
        </w:rPr>
        <w:t xml:space="preserve"> Blanca Tapia </w:t>
      </w:r>
      <w:proofErr w:type="spellStart"/>
      <w:r w:rsidR="00BE6F31" w:rsidRPr="00CF6765">
        <w:rPr>
          <w:sz w:val="20"/>
          <w:szCs w:val="20"/>
          <w:lang w:val="en-US"/>
        </w:rPr>
        <w:t>Encina</w:t>
      </w:r>
      <w:proofErr w:type="spellEnd"/>
      <w:r w:rsidR="00BE6F31" w:rsidRPr="00CF6765">
        <w:rPr>
          <w:sz w:val="20"/>
          <w:szCs w:val="20"/>
          <w:lang w:val="en-US"/>
        </w:rPr>
        <w:t xml:space="preserve">, Vinicio Marco Antonio Poblete </w:t>
      </w:r>
      <w:proofErr w:type="spellStart"/>
      <w:r w:rsidR="00BE6F31" w:rsidRPr="00CF6765">
        <w:rPr>
          <w:sz w:val="20"/>
          <w:szCs w:val="20"/>
          <w:lang w:val="en-US"/>
        </w:rPr>
        <w:t>Vilches</w:t>
      </w:r>
      <w:proofErr w:type="spellEnd"/>
      <w:r w:rsidR="00BE6F31" w:rsidRPr="00CF6765">
        <w:rPr>
          <w:sz w:val="20"/>
          <w:szCs w:val="20"/>
          <w:lang w:val="en-US"/>
        </w:rPr>
        <w:t xml:space="preserve">, </w:t>
      </w:r>
      <w:proofErr w:type="spellStart"/>
      <w:r w:rsidR="00BE6F31" w:rsidRPr="00CF6765">
        <w:rPr>
          <w:sz w:val="20"/>
          <w:szCs w:val="20"/>
          <w:lang w:val="en-US"/>
        </w:rPr>
        <w:t>Cesia</w:t>
      </w:r>
      <w:proofErr w:type="spellEnd"/>
      <w:r w:rsidR="00BE6F31" w:rsidRPr="00CF6765">
        <w:rPr>
          <w:sz w:val="20"/>
          <w:szCs w:val="20"/>
          <w:lang w:val="en-US"/>
        </w:rPr>
        <w:t xml:space="preserve"> Leila Siria Poblete </w:t>
      </w:r>
      <w:proofErr w:type="spellStart"/>
      <w:r w:rsidR="00BE6F31" w:rsidRPr="00CF6765">
        <w:rPr>
          <w:sz w:val="20"/>
          <w:szCs w:val="20"/>
          <w:lang w:val="en-US"/>
        </w:rPr>
        <w:t>Vilches</w:t>
      </w:r>
      <w:proofErr w:type="spellEnd"/>
      <w:r w:rsidR="00EC50FC" w:rsidRPr="00CF6765">
        <w:rPr>
          <w:sz w:val="20"/>
          <w:szCs w:val="20"/>
          <w:lang w:val="en-US"/>
        </w:rPr>
        <w:t xml:space="preserve"> and </w:t>
      </w:r>
      <w:r w:rsidR="00BE6F31" w:rsidRPr="00CF6765">
        <w:rPr>
          <w:sz w:val="20"/>
          <w:szCs w:val="20"/>
          <w:lang w:val="en-US"/>
        </w:rPr>
        <w:t xml:space="preserve">Gonzalo Poblete </w:t>
      </w:r>
      <w:proofErr w:type="spellStart"/>
      <w:r w:rsidR="00BE6F31" w:rsidRPr="00CF6765">
        <w:rPr>
          <w:sz w:val="20"/>
          <w:szCs w:val="20"/>
          <w:lang w:val="en-US"/>
        </w:rPr>
        <w:t>Vilches</w:t>
      </w:r>
      <w:proofErr w:type="spellEnd"/>
      <w:r w:rsidR="00BE6F31" w:rsidRPr="00CF6765">
        <w:rPr>
          <w:sz w:val="20"/>
          <w:szCs w:val="20"/>
          <w:lang w:val="en-US"/>
        </w:rPr>
        <w:t xml:space="preserve">, </w:t>
      </w:r>
      <w:r w:rsidRPr="00CF6765">
        <w:rPr>
          <w:sz w:val="20"/>
          <w:szCs w:val="20"/>
          <w:lang w:val="en-US"/>
        </w:rPr>
        <w:t xml:space="preserve">as a result of their physical and psychological </w:t>
      </w:r>
      <w:r w:rsidR="00A31DCD" w:rsidRPr="00CF6765">
        <w:rPr>
          <w:sz w:val="20"/>
          <w:szCs w:val="20"/>
          <w:lang w:val="en-US"/>
        </w:rPr>
        <w:t>suffering owing to the death</w:t>
      </w:r>
      <w:r w:rsidR="00BE6F31" w:rsidRPr="00CF6765">
        <w:rPr>
          <w:sz w:val="20"/>
          <w:szCs w:val="20"/>
          <w:lang w:val="en-US"/>
        </w:rPr>
        <w:t xml:space="preserve"> </w:t>
      </w:r>
      <w:r w:rsidR="00D04694" w:rsidRPr="00CF6765">
        <w:rPr>
          <w:sz w:val="20"/>
          <w:szCs w:val="20"/>
          <w:lang w:val="en-US"/>
        </w:rPr>
        <w:t>of Vinicio</w:t>
      </w:r>
      <w:r w:rsidR="00BE6F31" w:rsidRPr="00CF6765">
        <w:rPr>
          <w:sz w:val="20"/>
          <w:szCs w:val="20"/>
          <w:lang w:val="en-US"/>
        </w:rPr>
        <w:t xml:space="preserve"> Poblete </w:t>
      </w:r>
      <w:proofErr w:type="spellStart"/>
      <w:r w:rsidR="00BE6F31" w:rsidRPr="00CF6765">
        <w:rPr>
          <w:sz w:val="20"/>
          <w:szCs w:val="20"/>
          <w:lang w:val="en-US"/>
        </w:rPr>
        <w:t>Vilches</w:t>
      </w:r>
      <w:proofErr w:type="spellEnd"/>
      <w:r w:rsidR="002309D8" w:rsidRPr="00CF6765">
        <w:rPr>
          <w:sz w:val="20"/>
          <w:szCs w:val="20"/>
          <w:lang w:val="en-US"/>
        </w:rPr>
        <w:t>,</w:t>
      </w:r>
      <w:r w:rsidR="00EC50FC" w:rsidRPr="00CF6765">
        <w:rPr>
          <w:sz w:val="20"/>
          <w:szCs w:val="20"/>
          <w:lang w:val="en-US"/>
        </w:rPr>
        <w:t xml:space="preserve"> </w:t>
      </w:r>
      <w:r w:rsidR="00A31DCD" w:rsidRPr="00CF6765">
        <w:rPr>
          <w:sz w:val="20"/>
          <w:szCs w:val="20"/>
          <w:lang w:val="en-US"/>
        </w:rPr>
        <w:t xml:space="preserve">which is attributed to the State, as well as that resulting from the denial of justice and the alleged </w:t>
      </w:r>
      <w:r w:rsidR="009E59B2" w:rsidRPr="00CF6765">
        <w:rPr>
          <w:sz w:val="20"/>
          <w:szCs w:val="20"/>
          <w:lang w:val="en-US"/>
        </w:rPr>
        <w:t>mistreatment</w:t>
      </w:r>
      <w:r w:rsidR="00A31DCD" w:rsidRPr="00CF6765">
        <w:rPr>
          <w:sz w:val="20"/>
          <w:szCs w:val="20"/>
          <w:lang w:val="en-US"/>
        </w:rPr>
        <w:t xml:space="preserve"> received in the hospital.</w:t>
      </w:r>
    </w:p>
    <w:p w14:paraId="698B8CD7" w14:textId="77777777" w:rsidR="00BE6F31" w:rsidRPr="00CF6765" w:rsidRDefault="00BE6F31" w:rsidP="00BE6F31">
      <w:pPr>
        <w:tabs>
          <w:tab w:val="left" w:pos="567"/>
          <w:tab w:val="num" w:pos="12305"/>
        </w:tabs>
        <w:rPr>
          <w:sz w:val="20"/>
          <w:szCs w:val="20"/>
          <w:lang w:val="en-US"/>
        </w:rPr>
      </w:pPr>
    </w:p>
    <w:p w14:paraId="29A6FBBC" w14:textId="21CBE874" w:rsidR="00BE6F31" w:rsidRPr="00CF6765" w:rsidRDefault="005C731C" w:rsidP="00A31DCD">
      <w:pPr>
        <w:numPr>
          <w:ilvl w:val="0"/>
          <w:numId w:val="2"/>
        </w:numPr>
        <w:tabs>
          <w:tab w:val="left" w:pos="567"/>
          <w:tab w:val="num" w:pos="1569"/>
          <w:tab w:val="num" w:pos="12305"/>
        </w:tabs>
        <w:ind w:left="0" w:firstLine="0"/>
        <w:rPr>
          <w:rFonts w:cs="Arial"/>
          <w:sz w:val="20"/>
          <w:szCs w:val="20"/>
          <w:lang w:val="en-US"/>
        </w:rPr>
      </w:pPr>
      <w:r w:rsidRPr="00CF6765">
        <w:rPr>
          <w:sz w:val="20"/>
          <w:szCs w:val="20"/>
          <w:lang w:val="en-US"/>
        </w:rPr>
        <w:t>The Court</w:t>
      </w:r>
      <w:r w:rsidR="00BE6F31" w:rsidRPr="00CF6765">
        <w:rPr>
          <w:sz w:val="20"/>
          <w:szCs w:val="20"/>
          <w:lang w:val="en-US"/>
        </w:rPr>
        <w:t xml:space="preserve"> ha</w:t>
      </w:r>
      <w:r w:rsidR="00A31DCD" w:rsidRPr="00CF6765">
        <w:rPr>
          <w:sz w:val="20"/>
          <w:szCs w:val="20"/>
          <w:lang w:val="en-US"/>
        </w:rPr>
        <w:t>s understood that, in certain cases of egregious human rights violations, it is possible to presume the harm caused to certain members of the victims’ families owing to the suffering and anguish that the facts of such cases suppose.</w:t>
      </w:r>
      <w:r w:rsidR="00A31DCD" w:rsidRPr="00CF6765">
        <w:rPr>
          <w:rStyle w:val="Refdenotaalpie"/>
          <w:sz w:val="20"/>
          <w:szCs w:val="20"/>
          <w:lang w:val="en-US"/>
        </w:rPr>
        <w:footnoteReference w:id="297"/>
      </w:r>
      <w:r w:rsidR="00A31DCD" w:rsidRPr="00CF6765">
        <w:rPr>
          <w:sz w:val="20"/>
          <w:szCs w:val="20"/>
          <w:lang w:val="en-US"/>
        </w:rPr>
        <w:t xml:space="preserve"> However, having assessed the circumstances of this case, the Court has determined that, since the case does not correspond to an egregious violation of human rights in the terms of its case law, the violation of personal integrity of the members of Vinicio Poblete </w:t>
      </w:r>
      <w:proofErr w:type="spellStart"/>
      <w:r w:rsidR="001E55C3" w:rsidRPr="00CF6765">
        <w:rPr>
          <w:sz w:val="20"/>
          <w:szCs w:val="20"/>
          <w:lang w:val="en-US"/>
        </w:rPr>
        <w:t>Vilches’s</w:t>
      </w:r>
      <w:proofErr w:type="spellEnd"/>
      <w:r w:rsidR="001E55C3" w:rsidRPr="00CF6765">
        <w:rPr>
          <w:sz w:val="20"/>
          <w:szCs w:val="20"/>
          <w:lang w:val="en-US"/>
        </w:rPr>
        <w:t xml:space="preserve"> </w:t>
      </w:r>
      <w:r w:rsidR="00A31DCD" w:rsidRPr="00CF6765">
        <w:rPr>
          <w:rFonts w:cs="Arial"/>
          <w:sz w:val="20"/>
          <w:szCs w:val="20"/>
          <w:lang w:val="en-US"/>
        </w:rPr>
        <w:t>family based on their suffering must be proved.</w:t>
      </w:r>
      <w:r w:rsidR="00BE6F31" w:rsidRPr="00CF6765">
        <w:rPr>
          <w:rStyle w:val="Refdenotaalpie"/>
          <w:rFonts w:cs="Arial"/>
          <w:sz w:val="20"/>
          <w:szCs w:val="20"/>
          <w:lang w:val="en-US"/>
        </w:rPr>
        <w:footnoteReference w:id="298"/>
      </w:r>
    </w:p>
    <w:p w14:paraId="061416CB" w14:textId="77777777" w:rsidR="00BE6F31" w:rsidRPr="00CF6765" w:rsidRDefault="00BE6F31" w:rsidP="00BE6F31">
      <w:pPr>
        <w:tabs>
          <w:tab w:val="left" w:pos="567"/>
          <w:tab w:val="num" w:pos="12305"/>
        </w:tabs>
        <w:rPr>
          <w:rFonts w:cs="Arial"/>
          <w:sz w:val="20"/>
          <w:szCs w:val="20"/>
          <w:lang w:val="en-US"/>
        </w:rPr>
      </w:pPr>
    </w:p>
    <w:p w14:paraId="4BBB25C3" w14:textId="59253471" w:rsidR="00BE6F31" w:rsidRPr="00CF6765" w:rsidRDefault="00A31DCD" w:rsidP="00A31DCD">
      <w:pPr>
        <w:numPr>
          <w:ilvl w:val="0"/>
          <w:numId w:val="2"/>
        </w:numPr>
        <w:tabs>
          <w:tab w:val="left" w:pos="567"/>
          <w:tab w:val="num" w:pos="1569"/>
          <w:tab w:val="num" w:pos="12305"/>
        </w:tabs>
        <w:ind w:left="0" w:firstLine="0"/>
        <w:rPr>
          <w:sz w:val="20"/>
          <w:szCs w:val="20"/>
          <w:lang w:val="en-US"/>
        </w:rPr>
      </w:pPr>
      <w:r w:rsidRPr="00CF6765">
        <w:rPr>
          <w:sz w:val="20"/>
          <w:szCs w:val="20"/>
          <w:lang w:val="en-US"/>
        </w:rPr>
        <w:t xml:space="preserve">This Court has also underlined that the State’s contribution to the creation or </w:t>
      </w:r>
      <w:r w:rsidR="002309D8" w:rsidRPr="00CF6765">
        <w:rPr>
          <w:sz w:val="20"/>
          <w:szCs w:val="20"/>
          <w:lang w:val="en-US"/>
        </w:rPr>
        <w:t>exacerbation</w:t>
      </w:r>
      <w:r w:rsidRPr="00CF6765">
        <w:rPr>
          <w:sz w:val="20"/>
          <w:szCs w:val="20"/>
          <w:lang w:val="en-US"/>
        </w:rPr>
        <w:t xml:space="preserve"> of the situation of vulnerability of an individual has a significant impact on the integrity of those around him; in particular, the close family members who are obliged to face the uncertainty and insecurity resulting from the harm caused to the</w:t>
      </w:r>
      <w:r w:rsidR="002309D8" w:rsidRPr="00CF6765">
        <w:rPr>
          <w:sz w:val="20"/>
          <w:szCs w:val="20"/>
          <w:lang w:val="en-US"/>
        </w:rPr>
        <w:t>ir</w:t>
      </w:r>
      <w:r w:rsidRPr="00CF6765">
        <w:rPr>
          <w:sz w:val="20"/>
          <w:szCs w:val="20"/>
          <w:lang w:val="en-US"/>
        </w:rPr>
        <w:t xml:space="preserve"> immediate or close family member.</w:t>
      </w:r>
      <w:r w:rsidR="00BE6F31" w:rsidRPr="00CF6765">
        <w:rPr>
          <w:sz w:val="20"/>
          <w:szCs w:val="20"/>
          <w:vertAlign w:val="superscript"/>
          <w:lang w:val="en-US"/>
        </w:rPr>
        <w:footnoteReference w:id="299"/>
      </w:r>
    </w:p>
    <w:p w14:paraId="65A496A2" w14:textId="77777777" w:rsidR="00BE6F31" w:rsidRPr="00CF6765" w:rsidRDefault="00BE6F31" w:rsidP="00BE6F31">
      <w:pPr>
        <w:tabs>
          <w:tab w:val="left" w:pos="567"/>
          <w:tab w:val="num" w:pos="12305"/>
        </w:tabs>
        <w:rPr>
          <w:sz w:val="20"/>
          <w:szCs w:val="20"/>
          <w:lang w:val="en-US"/>
        </w:rPr>
      </w:pPr>
    </w:p>
    <w:p w14:paraId="7EFABFC6" w14:textId="7AC726E8" w:rsidR="00533DE9" w:rsidRPr="00CF6765" w:rsidRDefault="00A31DCD" w:rsidP="00CF39D1">
      <w:pPr>
        <w:numPr>
          <w:ilvl w:val="0"/>
          <w:numId w:val="2"/>
        </w:numPr>
        <w:tabs>
          <w:tab w:val="left" w:pos="567"/>
          <w:tab w:val="num" w:pos="1569"/>
          <w:tab w:val="num" w:pos="12305"/>
        </w:tabs>
        <w:ind w:left="0" w:firstLine="0"/>
        <w:rPr>
          <w:sz w:val="20"/>
          <w:szCs w:val="20"/>
          <w:lang w:val="en-US"/>
        </w:rPr>
      </w:pPr>
      <w:r w:rsidRPr="00CF6765">
        <w:rPr>
          <w:sz w:val="20"/>
          <w:szCs w:val="20"/>
          <w:lang w:val="en-US"/>
        </w:rPr>
        <w:t xml:space="preserve">In this specific case, the physical and psychological suffering of the family </w:t>
      </w:r>
      <w:r w:rsidR="00D04694" w:rsidRPr="00CF6765">
        <w:rPr>
          <w:sz w:val="20"/>
          <w:szCs w:val="20"/>
          <w:lang w:val="en-US"/>
        </w:rPr>
        <w:t>of Mr.</w:t>
      </w:r>
      <w:r w:rsidR="00D2168F" w:rsidRPr="00CF6765">
        <w:rPr>
          <w:sz w:val="20"/>
          <w:szCs w:val="20"/>
          <w:lang w:val="en-US"/>
        </w:rPr>
        <w:t xml:space="preserve"> Poblete</w:t>
      </w:r>
      <w:r w:rsidR="00BE6F31" w:rsidRPr="00CF6765">
        <w:rPr>
          <w:sz w:val="20"/>
          <w:szCs w:val="20"/>
          <w:lang w:val="en-US"/>
        </w:rPr>
        <w:t xml:space="preserve"> </w:t>
      </w:r>
      <w:proofErr w:type="spellStart"/>
      <w:r w:rsidR="00BE6F31" w:rsidRPr="00CF6765">
        <w:rPr>
          <w:sz w:val="20"/>
          <w:szCs w:val="20"/>
          <w:lang w:val="en-US"/>
        </w:rPr>
        <w:t>Vilches</w:t>
      </w:r>
      <w:proofErr w:type="spellEnd"/>
      <w:r w:rsidR="00BE6F31" w:rsidRPr="00CF6765">
        <w:rPr>
          <w:sz w:val="20"/>
          <w:szCs w:val="20"/>
          <w:lang w:val="en-US"/>
        </w:rPr>
        <w:t xml:space="preserve"> </w:t>
      </w:r>
      <w:r w:rsidRPr="00CF6765">
        <w:rPr>
          <w:sz w:val="20"/>
          <w:szCs w:val="20"/>
          <w:lang w:val="en-US"/>
        </w:rPr>
        <w:t xml:space="preserve">consisted </w:t>
      </w:r>
      <w:r w:rsidR="00CF39D1" w:rsidRPr="00CF6765">
        <w:rPr>
          <w:sz w:val="20"/>
          <w:szCs w:val="20"/>
          <w:lang w:val="en-US"/>
        </w:rPr>
        <w:t>of</w:t>
      </w:r>
      <w:r w:rsidR="00BE6F31" w:rsidRPr="00CF6765">
        <w:rPr>
          <w:sz w:val="20"/>
          <w:szCs w:val="20"/>
          <w:lang w:val="en-US"/>
        </w:rPr>
        <w:t xml:space="preserve">: </w:t>
      </w:r>
      <w:r w:rsidRPr="00CF6765">
        <w:rPr>
          <w:sz w:val="20"/>
          <w:szCs w:val="20"/>
          <w:lang w:val="en-US"/>
        </w:rPr>
        <w:t>(</w:t>
      </w:r>
      <w:proofErr w:type="spellStart"/>
      <w:r w:rsidR="00BE6F31" w:rsidRPr="00CF6765">
        <w:rPr>
          <w:sz w:val="20"/>
          <w:szCs w:val="20"/>
          <w:lang w:val="en-US"/>
        </w:rPr>
        <w:t>i</w:t>
      </w:r>
      <w:proofErr w:type="spellEnd"/>
      <w:r w:rsidR="00BE6F31" w:rsidRPr="00CF6765">
        <w:rPr>
          <w:sz w:val="20"/>
          <w:szCs w:val="20"/>
          <w:lang w:val="en-US"/>
        </w:rPr>
        <w:t xml:space="preserve">) Blanca Tapia </w:t>
      </w:r>
      <w:proofErr w:type="spellStart"/>
      <w:r w:rsidR="00BE6F31" w:rsidRPr="00CF6765">
        <w:rPr>
          <w:sz w:val="20"/>
          <w:szCs w:val="20"/>
          <w:lang w:val="en-US"/>
        </w:rPr>
        <w:t>Encina</w:t>
      </w:r>
      <w:proofErr w:type="spellEnd"/>
      <w:r w:rsidR="00BE6F31" w:rsidRPr="00CF6765">
        <w:rPr>
          <w:sz w:val="20"/>
          <w:szCs w:val="20"/>
          <w:lang w:val="en-US"/>
        </w:rPr>
        <w:t xml:space="preserve"> “</w:t>
      </w:r>
      <w:r w:rsidRPr="00CF6765">
        <w:rPr>
          <w:sz w:val="20"/>
          <w:szCs w:val="20"/>
          <w:lang w:val="en-US"/>
        </w:rPr>
        <w:t xml:space="preserve">sank into a deep depression [that] </w:t>
      </w:r>
      <w:proofErr w:type="gramStart"/>
      <w:r w:rsidRPr="00CF6765">
        <w:rPr>
          <w:sz w:val="20"/>
          <w:szCs w:val="20"/>
          <w:lang w:val="en-US"/>
        </w:rPr>
        <w:t xml:space="preserve">worsened </w:t>
      </w:r>
      <w:r w:rsidR="00CF39D1" w:rsidRPr="00CF6765">
        <w:rPr>
          <w:sz w:val="20"/>
          <w:szCs w:val="20"/>
          <w:lang w:val="en-US"/>
        </w:rPr>
        <w:t xml:space="preserve"> as</w:t>
      </w:r>
      <w:proofErr w:type="gramEnd"/>
      <w:r w:rsidR="00CF39D1" w:rsidRPr="00CF6765">
        <w:rPr>
          <w:sz w:val="20"/>
          <w:szCs w:val="20"/>
          <w:lang w:val="en-US"/>
        </w:rPr>
        <w:t xml:space="preserve"> the attempts to clarify the death of her husband and to obtain justice were thwarted, one by one. Shortly after, she was diagnosed to be suffering from cancer, an illness that rapidly resulted in her sudden death on </w:t>
      </w:r>
      <w:r w:rsidR="002D729E" w:rsidRPr="00CF6765">
        <w:rPr>
          <w:sz w:val="20"/>
          <w:szCs w:val="20"/>
          <w:lang w:val="en-US"/>
        </w:rPr>
        <w:t>January 13,</w:t>
      </w:r>
      <w:r w:rsidR="00BE6F31" w:rsidRPr="00CF6765">
        <w:rPr>
          <w:sz w:val="20"/>
          <w:szCs w:val="20"/>
          <w:lang w:val="en-US"/>
        </w:rPr>
        <w:t xml:space="preserve"> 2003</w:t>
      </w:r>
      <w:r w:rsidR="00CF39D1" w:rsidRPr="00CF6765">
        <w:rPr>
          <w:sz w:val="20"/>
          <w:szCs w:val="20"/>
          <w:lang w:val="en-US"/>
        </w:rPr>
        <w:t>; in other words, less than two years after the death of her husband. The cause of death was determined to be septic shock, gallbladder cancer with multiple metastases</w:t>
      </w:r>
      <w:r w:rsidR="00BE6F31" w:rsidRPr="00CF6765">
        <w:rPr>
          <w:sz w:val="20"/>
          <w:szCs w:val="20"/>
          <w:lang w:val="en-US"/>
        </w:rPr>
        <w:t xml:space="preserve">”; </w:t>
      </w:r>
      <w:r w:rsidR="00CF39D1" w:rsidRPr="00CF6765">
        <w:rPr>
          <w:sz w:val="20"/>
          <w:szCs w:val="20"/>
          <w:lang w:val="en-US"/>
        </w:rPr>
        <w:t>(</w:t>
      </w:r>
      <w:r w:rsidR="00BE6F31" w:rsidRPr="00CF6765">
        <w:rPr>
          <w:sz w:val="20"/>
          <w:szCs w:val="20"/>
          <w:lang w:val="en-US"/>
        </w:rPr>
        <w:t xml:space="preserve">ii) </w:t>
      </w:r>
      <w:r w:rsidR="00CF39D1" w:rsidRPr="00CF6765">
        <w:rPr>
          <w:sz w:val="20"/>
          <w:szCs w:val="20"/>
          <w:lang w:val="en-US"/>
        </w:rPr>
        <w:t xml:space="preserve">the depression suffered by </w:t>
      </w:r>
      <w:proofErr w:type="spellStart"/>
      <w:r w:rsidR="00BE6F31" w:rsidRPr="00CF6765">
        <w:rPr>
          <w:sz w:val="20"/>
          <w:szCs w:val="20"/>
          <w:lang w:val="en-US"/>
        </w:rPr>
        <w:t>Cesia</w:t>
      </w:r>
      <w:proofErr w:type="spellEnd"/>
      <w:r w:rsidR="00BE6F31" w:rsidRPr="00CF6765">
        <w:rPr>
          <w:sz w:val="20"/>
          <w:szCs w:val="20"/>
          <w:lang w:val="en-US"/>
        </w:rPr>
        <w:t xml:space="preserve"> Leila Poblete Tapia</w:t>
      </w:r>
      <w:r w:rsidR="00CF39D1" w:rsidRPr="00CF6765">
        <w:rPr>
          <w:sz w:val="20"/>
          <w:szCs w:val="20"/>
          <w:lang w:val="en-US"/>
        </w:rPr>
        <w:t xml:space="preserve"> as a result of the death </w:t>
      </w:r>
      <w:r w:rsidR="00D04694" w:rsidRPr="00CF6765">
        <w:rPr>
          <w:sz w:val="20"/>
          <w:szCs w:val="20"/>
          <w:lang w:val="en-US"/>
        </w:rPr>
        <w:t>of Vinicio</w:t>
      </w:r>
      <w:r w:rsidR="00BE6F31" w:rsidRPr="00CF6765">
        <w:rPr>
          <w:sz w:val="20"/>
          <w:szCs w:val="20"/>
          <w:lang w:val="en-US"/>
        </w:rPr>
        <w:t xml:space="preserve"> Poblete </w:t>
      </w:r>
      <w:proofErr w:type="spellStart"/>
      <w:r w:rsidR="00BE6F31" w:rsidRPr="00CF6765">
        <w:rPr>
          <w:sz w:val="20"/>
          <w:szCs w:val="20"/>
          <w:lang w:val="en-US"/>
        </w:rPr>
        <w:t>Vilches</w:t>
      </w:r>
      <w:proofErr w:type="spellEnd"/>
      <w:r w:rsidR="00EC50FC" w:rsidRPr="00CF6765">
        <w:rPr>
          <w:sz w:val="20"/>
          <w:szCs w:val="20"/>
          <w:lang w:val="en-US"/>
        </w:rPr>
        <w:t xml:space="preserve"> </w:t>
      </w:r>
      <w:r w:rsidR="00CF39D1" w:rsidRPr="00CF6765">
        <w:rPr>
          <w:sz w:val="20"/>
          <w:szCs w:val="20"/>
          <w:lang w:val="en-US"/>
        </w:rPr>
        <w:t>led to her attempted suicide</w:t>
      </w:r>
      <w:r w:rsidR="00BE6F31" w:rsidRPr="00CF6765">
        <w:rPr>
          <w:sz w:val="20"/>
          <w:szCs w:val="20"/>
          <w:lang w:val="en-US"/>
        </w:rPr>
        <w:t xml:space="preserve">; </w:t>
      </w:r>
      <w:r w:rsidR="00CF39D1" w:rsidRPr="00CF6765">
        <w:rPr>
          <w:sz w:val="20"/>
          <w:szCs w:val="20"/>
          <w:lang w:val="en-US"/>
        </w:rPr>
        <w:t>(</w:t>
      </w:r>
      <w:r w:rsidR="00BE6F31" w:rsidRPr="00CF6765">
        <w:rPr>
          <w:sz w:val="20"/>
          <w:szCs w:val="20"/>
          <w:lang w:val="en-US"/>
        </w:rPr>
        <w:t>iii) Vinicio Marco Antonio Poblete Tapia</w:t>
      </w:r>
      <w:r w:rsidR="00CF39D1" w:rsidRPr="00CF6765">
        <w:rPr>
          <w:sz w:val="20"/>
          <w:szCs w:val="20"/>
          <w:lang w:val="en-US"/>
        </w:rPr>
        <w:t xml:space="preserve"> was diagnosed with cancer in 2005, and subsequently his right kidney was removed </w:t>
      </w:r>
      <w:r w:rsidR="00533DE9" w:rsidRPr="00CF6765">
        <w:rPr>
          <w:sz w:val="20"/>
          <w:szCs w:val="20"/>
          <w:lang w:val="en-US"/>
        </w:rPr>
        <w:t xml:space="preserve">with the consequent aftereffects, and he also suffered from chronic obstructive pulmonary disease, “resulting from a previous pulmonary emphysema,” he was diagnosed with diabetes mellitus in 2013, and developed thyroid nodules and, lastly, (iv) the death of Gonzalo Poblete Tapia due to a heart attack; he had </w:t>
      </w:r>
      <w:r w:rsidR="00533DE9" w:rsidRPr="00CF6765">
        <w:rPr>
          <w:sz w:val="20"/>
          <w:szCs w:val="20"/>
          <w:lang w:val="en-US"/>
        </w:rPr>
        <w:lastRenderedPageBreak/>
        <w:t>previously suffered a severe stoke in his childhood as a result of in-hospital meningitis</w:t>
      </w:r>
      <w:r w:rsidR="00BF6F86" w:rsidRPr="00CF6765">
        <w:rPr>
          <w:sz w:val="20"/>
          <w:szCs w:val="20"/>
          <w:lang w:val="en-US"/>
        </w:rPr>
        <w:t>, and had suffered from depression and a general deterioration in his health.</w:t>
      </w:r>
    </w:p>
    <w:p w14:paraId="39A00CD4" w14:textId="77777777" w:rsidR="00BE6F31" w:rsidRPr="00CF6765" w:rsidRDefault="00BE6F31" w:rsidP="00BE6F31">
      <w:pPr>
        <w:ind w:right="-360"/>
        <w:rPr>
          <w:sz w:val="20"/>
          <w:szCs w:val="20"/>
          <w:lang w:val="en-US"/>
        </w:rPr>
      </w:pPr>
    </w:p>
    <w:p w14:paraId="4C19014C" w14:textId="490E0328" w:rsidR="00BE6F31" w:rsidRPr="00CF6765" w:rsidRDefault="00BF6F86" w:rsidP="00BF6F86">
      <w:pPr>
        <w:numPr>
          <w:ilvl w:val="0"/>
          <w:numId w:val="2"/>
        </w:numPr>
        <w:tabs>
          <w:tab w:val="left" w:pos="567"/>
          <w:tab w:val="num" w:pos="1569"/>
          <w:tab w:val="num" w:pos="12305"/>
        </w:tabs>
        <w:ind w:left="0" w:firstLine="0"/>
        <w:rPr>
          <w:sz w:val="20"/>
          <w:szCs w:val="20"/>
          <w:lang w:val="en-US"/>
        </w:rPr>
      </w:pPr>
      <w:r w:rsidRPr="00CF6765">
        <w:rPr>
          <w:sz w:val="20"/>
          <w:szCs w:val="20"/>
          <w:lang w:val="en-US"/>
        </w:rPr>
        <w:t xml:space="preserve">In this regard, the Court does not have evidence to determine reliably that the physical ailments and deaths described by the family necessarily resulted from the facts analyzed in this case. Since there is no evidence to prove the causal nexus between their physical ailments and the facts attributed to the State, the Court concludes that, in this regard, a violation of the personal integrity of </w:t>
      </w:r>
      <w:r w:rsidR="00BE6F31" w:rsidRPr="00CF6765">
        <w:rPr>
          <w:sz w:val="20"/>
          <w:szCs w:val="20"/>
          <w:lang w:val="en-US"/>
        </w:rPr>
        <w:t xml:space="preserve">Blanca Tapia </w:t>
      </w:r>
      <w:proofErr w:type="spellStart"/>
      <w:r w:rsidR="00BE6F31" w:rsidRPr="00CF6765">
        <w:rPr>
          <w:sz w:val="20"/>
          <w:szCs w:val="20"/>
          <w:lang w:val="en-US"/>
        </w:rPr>
        <w:t>Encina</w:t>
      </w:r>
      <w:proofErr w:type="spellEnd"/>
      <w:r w:rsidR="00BE6F31" w:rsidRPr="00CF6765">
        <w:rPr>
          <w:sz w:val="20"/>
          <w:szCs w:val="20"/>
          <w:lang w:val="en-US"/>
        </w:rPr>
        <w:t xml:space="preserve">, Vinicio Marco Antonio Poblete </w:t>
      </w:r>
      <w:proofErr w:type="spellStart"/>
      <w:r w:rsidR="00BE6F31" w:rsidRPr="00CF6765">
        <w:rPr>
          <w:sz w:val="20"/>
          <w:szCs w:val="20"/>
          <w:lang w:val="en-US"/>
        </w:rPr>
        <w:t>Vilches</w:t>
      </w:r>
      <w:proofErr w:type="spellEnd"/>
      <w:r w:rsidR="00BE6F31" w:rsidRPr="00CF6765">
        <w:rPr>
          <w:sz w:val="20"/>
          <w:szCs w:val="20"/>
          <w:lang w:val="en-US"/>
        </w:rPr>
        <w:t xml:space="preserve">, </w:t>
      </w:r>
      <w:proofErr w:type="spellStart"/>
      <w:r w:rsidR="00BE6F31" w:rsidRPr="00CF6765">
        <w:rPr>
          <w:sz w:val="20"/>
          <w:szCs w:val="20"/>
          <w:lang w:val="en-US"/>
        </w:rPr>
        <w:t>Cesia</w:t>
      </w:r>
      <w:proofErr w:type="spellEnd"/>
      <w:r w:rsidR="00BE6F31" w:rsidRPr="00CF6765">
        <w:rPr>
          <w:sz w:val="20"/>
          <w:szCs w:val="20"/>
          <w:lang w:val="en-US"/>
        </w:rPr>
        <w:t xml:space="preserve"> Leila Siria Poblete </w:t>
      </w:r>
      <w:proofErr w:type="spellStart"/>
      <w:r w:rsidR="00BE6F31" w:rsidRPr="00CF6765">
        <w:rPr>
          <w:sz w:val="20"/>
          <w:szCs w:val="20"/>
          <w:lang w:val="en-US"/>
        </w:rPr>
        <w:t>Vilches</w:t>
      </w:r>
      <w:proofErr w:type="spellEnd"/>
      <w:r w:rsidR="00EC50FC" w:rsidRPr="00CF6765">
        <w:rPr>
          <w:sz w:val="20"/>
          <w:szCs w:val="20"/>
          <w:lang w:val="en-US"/>
        </w:rPr>
        <w:t xml:space="preserve"> and </w:t>
      </w:r>
      <w:r w:rsidR="00BE6F31" w:rsidRPr="00CF6765">
        <w:rPr>
          <w:sz w:val="20"/>
          <w:szCs w:val="20"/>
          <w:lang w:val="en-US"/>
        </w:rPr>
        <w:t xml:space="preserve">Gonzalo Poblete </w:t>
      </w:r>
      <w:proofErr w:type="spellStart"/>
      <w:r w:rsidR="00BE6F31" w:rsidRPr="00CF6765">
        <w:rPr>
          <w:sz w:val="20"/>
          <w:szCs w:val="20"/>
          <w:lang w:val="en-US"/>
        </w:rPr>
        <w:t>Vilches</w:t>
      </w:r>
      <w:proofErr w:type="spellEnd"/>
      <w:r w:rsidRPr="00CF6765">
        <w:rPr>
          <w:sz w:val="20"/>
          <w:szCs w:val="20"/>
          <w:lang w:val="en-US"/>
        </w:rPr>
        <w:t xml:space="preserve"> has not been proved.</w:t>
      </w:r>
    </w:p>
    <w:p w14:paraId="7653AA1B" w14:textId="77777777" w:rsidR="00BE6F31" w:rsidRPr="00CF6765" w:rsidRDefault="00BE6F31" w:rsidP="00BE6F31">
      <w:pPr>
        <w:ind w:right="-360"/>
        <w:rPr>
          <w:sz w:val="20"/>
          <w:szCs w:val="20"/>
          <w:lang w:val="en-US"/>
        </w:rPr>
      </w:pPr>
    </w:p>
    <w:p w14:paraId="02B1C46D" w14:textId="4A9072B4" w:rsidR="008F1192" w:rsidRPr="00CF6765" w:rsidRDefault="00BF6F86" w:rsidP="00BF6F86">
      <w:pPr>
        <w:numPr>
          <w:ilvl w:val="0"/>
          <w:numId w:val="2"/>
        </w:numPr>
        <w:tabs>
          <w:tab w:val="left" w:pos="567"/>
          <w:tab w:val="num" w:pos="1569"/>
          <w:tab w:val="num" w:pos="12305"/>
        </w:tabs>
        <w:ind w:left="0" w:firstLine="0"/>
        <w:rPr>
          <w:sz w:val="20"/>
          <w:szCs w:val="20"/>
          <w:lang w:val="en-US"/>
        </w:rPr>
      </w:pPr>
      <w:r w:rsidRPr="00CF6765">
        <w:rPr>
          <w:sz w:val="20"/>
          <w:szCs w:val="20"/>
          <w:lang w:val="en-US"/>
        </w:rPr>
        <w:t>However, the Court has found that the right to mental and moral integrity of certain family members has been violated owing to the suffering they have endured because of the acts or omissions of the state authorities</w:t>
      </w:r>
      <w:r w:rsidRPr="00CF6765">
        <w:rPr>
          <w:rStyle w:val="Refdenotaalpie"/>
          <w:sz w:val="20"/>
          <w:szCs w:val="20"/>
          <w:lang w:val="en-US"/>
        </w:rPr>
        <w:footnoteReference w:id="300"/>
      </w:r>
      <w:r w:rsidRPr="00CF6765">
        <w:rPr>
          <w:sz w:val="20"/>
          <w:szCs w:val="20"/>
          <w:lang w:val="en-US"/>
        </w:rPr>
        <w:t xml:space="preserve"> considering, among other aspects, their efforts to obtain justice and the existence of close family ties.</w:t>
      </w:r>
      <w:r w:rsidR="00BE6F31" w:rsidRPr="00CF6765">
        <w:rPr>
          <w:rStyle w:val="Refdenotaalpie"/>
          <w:sz w:val="20"/>
          <w:szCs w:val="20"/>
          <w:lang w:val="en-US"/>
        </w:rPr>
        <w:footnoteReference w:id="301"/>
      </w:r>
      <w:r w:rsidRPr="00CF6765">
        <w:rPr>
          <w:sz w:val="20"/>
          <w:szCs w:val="20"/>
          <w:lang w:val="en-US"/>
        </w:rPr>
        <w:t xml:space="preserve"> It has also determined the violation of this right based on the suffering caused by the acts perpetrated against their loved ones.</w:t>
      </w:r>
      <w:r w:rsidR="00BE6F31" w:rsidRPr="00CF6765">
        <w:rPr>
          <w:rStyle w:val="Refdenotaalpie"/>
          <w:sz w:val="20"/>
          <w:szCs w:val="20"/>
          <w:lang w:val="en-US"/>
        </w:rPr>
        <w:footnoteReference w:id="302"/>
      </w:r>
      <w:r w:rsidR="00BE6F31" w:rsidRPr="00CF6765">
        <w:rPr>
          <w:sz w:val="20"/>
          <w:szCs w:val="20"/>
          <w:lang w:val="en-US"/>
        </w:rPr>
        <w:t xml:space="preserve"> </w:t>
      </w:r>
    </w:p>
    <w:p w14:paraId="78C92B63" w14:textId="77777777" w:rsidR="001C1F1A" w:rsidRPr="00CF6765" w:rsidRDefault="001C1F1A" w:rsidP="00C27894">
      <w:pPr>
        <w:tabs>
          <w:tab w:val="left" w:pos="567"/>
        </w:tabs>
        <w:rPr>
          <w:strike/>
          <w:sz w:val="20"/>
          <w:szCs w:val="20"/>
          <w:lang w:val="en-US"/>
        </w:rPr>
      </w:pPr>
    </w:p>
    <w:p w14:paraId="58927219" w14:textId="7292B8B9" w:rsidR="00BE6F31" w:rsidRPr="00CF6765" w:rsidRDefault="00BF6F86" w:rsidP="006B458C">
      <w:pPr>
        <w:numPr>
          <w:ilvl w:val="0"/>
          <w:numId w:val="2"/>
        </w:numPr>
        <w:tabs>
          <w:tab w:val="left" w:pos="567"/>
          <w:tab w:val="num" w:pos="1569"/>
          <w:tab w:val="num" w:pos="12305"/>
        </w:tabs>
        <w:ind w:left="0" w:firstLine="0"/>
        <w:rPr>
          <w:sz w:val="20"/>
          <w:szCs w:val="20"/>
          <w:lang w:val="en-US"/>
        </w:rPr>
      </w:pPr>
      <w:r w:rsidRPr="00CF6765">
        <w:rPr>
          <w:sz w:val="20"/>
          <w:szCs w:val="20"/>
          <w:lang w:val="en-US"/>
        </w:rPr>
        <w:t xml:space="preserve">In this regard, during the </w:t>
      </w:r>
      <w:r w:rsidR="00AD6DF0" w:rsidRPr="00CF6765">
        <w:rPr>
          <w:sz w:val="20"/>
          <w:szCs w:val="20"/>
          <w:lang w:val="en-US"/>
        </w:rPr>
        <w:t>public hearing</w:t>
      </w:r>
      <w:r w:rsidR="001C1F1A" w:rsidRPr="00CF6765">
        <w:rPr>
          <w:sz w:val="20"/>
          <w:szCs w:val="20"/>
          <w:lang w:val="en-US"/>
        </w:rPr>
        <w:t xml:space="preserve"> Vinicio Marco Poblete </w:t>
      </w:r>
      <w:r w:rsidRPr="00CF6765">
        <w:rPr>
          <w:sz w:val="20"/>
          <w:szCs w:val="20"/>
          <w:lang w:val="en-US"/>
        </w:rPr>
        <w:t>stated before</w:t>
      </w:r>
      <w:r w:rsidR="001C1F1A" w:rsidRPr="00CF6765">
        <w:rPr>
          <w:sz w:val="20"/>
          <w:szCs w:val="20"/>
          <w:lang w:val="en-US"/>
        </w:rPr>
        <w:t xml:space="preserve"> </w:t>
      </w:r>
      <w:r w:rsidR="005C731C" w:rsidRPr="00CF6765">
        <w:rPr>
          <w:sz w:val="20"/>
          <w:szCs w:val="20"/>
          <w:lang w:val="en-US"/>
        </w:rPr>
        <w:t>the Court</w:t>
      </w:r>
      <w:r w:rsidR="001C1F1A" w:rsidRPr="00CF6765">
        <w:rPr>
          <w:sz w:val="20"/>
          <w:szCs w:val="20"/>
          <w:lang w:val="en-US"/>
        </w:rPr>
        <w:t xml:space="preserve"> </w:t>
      </w:r>
      <w:r w:rsidR="00187EAB" w:rsidRPr="00CF6765">
        <w:rPr>
          <w:sz w:val="20"/>
          <w:szCs w:val="20"/>
          <w:lang w:val="en-US"/>
        </w:rPr>
        <w:t>that</w:t>
      </w:r>
      <w:r w:rsidR="001C1F1A" w:rsidRPr="00CF6765">
        <w:rPr>
          <w:sz w:val="20"/>
          <w:szCs w:val="20"/>
          <w:lang w:val="en-US"/>
        </w:rPr>
        <w:t xml:space="preserve">: </w:t>
      </w:r>
    </w:p>
    <w:p w14:paraId="05300087" w14:textId="77777777" w:rsidR="001C1F1A" w:rsidRPr="00CF6765" w:rsidRDefault="001C1F1A" w:rsidP="00C27894">
      <w:pPr>
        <w:tabs>
          <w:tab w:val="left" w:pos="567"/>
        </w:tabs>
        <w:rPr>
          <w:sz w:val="20"/>
          <w:szCs w:val="20"/>
          <w:lang w:val="en-US"/>
        </w:rPr>
      </w:pPr>
    </w:p>
    <w:p w14:paraId="2E64B6CC" w14:textId="4C187DDE" w:rsidR="00187EAB" w:rsidRPr="00CF6765" w:rsidRDefault="001C1F1A" w:rsidP="002309D8">
      <w:pPr>
        <w:ind w:left="708" w:right="373"/>
        <w:rPr>
          <w:sz w:val="18"/>
          <w:lang w:val="en-US"/>
        </w:rPr>
      </w:pPr>
      <w:r w:rsidRPr="00CF6765">
        <w:rPr>
          <w:sz w:val="18"/>
          <w:lang w:val="en-US"/>
        </w:rPr>
        <w:t>“[…] m</w:t>
      </w:r>
      <w:r w:rsidR="00187EAB" w:rsidRPr="00CF6765">
        <w:rPr>
          <w:sz w:val="18"/>
          <w:lang w:val="en-US"/>
        </w:rPr>
        <w:t xml:space="preserve">y family was destroyed by the injustice; we were discriminated against, humiliated </w:t>
      </w:r>
      <w:r w:rsidR="002309D8" w:rsidRPr="00CF6765">
        <w:rPr>
          <w:sz w:val="18"/>
          <w:lang w:val="en-US"/>
        </w:rPr>
        <w:t xml:space="preserve">by an organ of the State of Chile </w:t>
      </w:r>
      <w:r w:rsidR="00187EAB" w:rsidRPr="00CF6765">
        <w:rPr>
          <w:sz w:val="18"/>
          <w:lang w:val="en-US"/>
        </w:rPr>
        <w:t xml:space="preserve">because we were poor. For more than 16 years, the State was aware of what had happened to my father in the </w:t>
      </w:r>
      <w:proofErr w:type="spellStart"/>
      <w:r w:rsidR="006A73DF" w:rsidRPr="00CF6765">
        <w:rPr>
          <w:sz w:val="18"/>
          <w:lang w:val="en-US"/>
        </w:rPr>
        <w:t>Sótero</w:t>
      </w:r>
      <w:proofErr w:type="spellEnd"/>
      <w:r w:rsidR="00187EAB" w:rsidRPr="00CF6765">
        <w:rPr>
          <w:sz w:val="18"/>
          <w:lang w:val="en-US"/>
        </w:rPr>
        <w:t xml:space="preserve"> del Río Hospital and the State never investigat</w:t>
      </w:r>
      <w:r w:rsidR="002309D8" w:rsidRPr="00CF6765">
        <w:rPr>
          <w:sz w:val="18"/>
          <w:lang w:val="en-US"/>
        </w:rPr>
        <w:t>ed</w:t>
      </w:r>
      <w:r w:rsidR="00187EAB" w:rsidRPr="00CF6765">
        <w:rPr>
          <w:sz w:val="18"/>
          <w:lang w:val="en-US"/>
        </w:rPr>
        <w:t xml:space="preserve"> my father’s death, never. […] For them, he was just a poor man that they killed in a public hospital. My father was humiliated, physically and </w:t>
      </w:r>
      <w:r w:rsidR="0090740B" w:rsidRPr="00CF6765">
        <w:rPr>
          <w:sz w:val="18"/>
          <w:lang w:val="en-US"/>
        </w:rPr>
        <w:t>psychologically</w:t>
      </w:r>
      <w:r w:rsidR="00187EAB" w:rsidRPr="00CF6765">
        <w:rPr>
          <w:sz w:val="18"/>
          <w:lang w:val="en-US"/>
        </w:rPr>
        <w:t xml:space="preserve"> mistreated</w:t>
      </w:r>
      <w:r w:rsidR="002309D8" w:rsidRPr="00CF6765">
        <w:rPr>
          <w:sz w:val="18"/>
          <w:lang w:val="en-US"/>
        </w:rPr>
        <w:t>,</w:t>
      </w:r>
      <w:r w:rsidR="00187EAB" w:rsidRPr="00CF6765">
        <w:rPr>
          <w:sz w:val="18"/>
          <w:lang w:val="en-US"/>
        </w:rPr>
        <w:t xml:space="preserve"> because he was an older person in a public hospital. He was a victim of Chilean public health care and all the suffering destroyed my family; […] we have endured years of suffering and injustice. We have suffered too much, too much with my sister […].”</w:t>
      </w:r>
    </w:p>
    <w:p w14:paraId="5BF5D7AB" w14:textId="77777777" w:rsidR="001C1F1A" w:rsidRPr="00CF6765" w:rsidRDefault="001C1F1A" w:rsidP="00C27894">
      <w:pPr>
        <w:tabs>
          <w:tab w:val="left" w:pos="567"/>
        </w:tabs>
        <w:rPr>
          <w:sz w:val="20"/>
          <w:szCs w:val="20"/>
          <w:lang w:val="en-US"/>
        </w:rPr>
      </w:pPr>
    </w:p>
    <w:p w14:paraId="015FA3BA" w14:textId="4BC7BEFA" w:rsidR="00CD3FD7" w:rsidRPr="00CF6765" w:rsidRDefault="00187EAB" w:rsidP="00187EAB">
      <w:pPr>
        <w:numPr>
          <w:ilvl w:val="0"/>
          <w:numId w:val="2"/>
        </w:numPr>
        <w:tabs>
          <w:tab w:val="left" w:pos="567"/>
          <w:tab w:val="num" w:pos="1569"/>
          <w:tab w:val="num" w:pos="12305"/>
        </w:tabs>
        <w:ind w:left="0" w:firstLine="0"/>
        <w:rPr>
          <w:sz w:val="20"/>
          <w:szCs w:val="20"/>
          <w:lang w:val="en-US"/>
        </w:rPr>
      </w:pPr>
      <w:r w:rsidRPr="00CF6765">
        <w:rPr>
          <w:sz w:val="20"/>
          <w:szCs w:val="20"/>
          <w:lang w:val="en-US"/>
        </w:rPr>
        <w:t>The Court considers that, in this specific case, it has been proved that, owing to their close family ties to the direct victim, it was logical to understand the</w:t>
      </w:r>
      <w:r w:rsidR="002309D8" w:rsidRPr="00CF6765">
        <w:rPr>
          <w:sz w:val="20"/>
          <w:szCs w:val="20"/>
          <w:lang w:val="en-US"/>
        </w:rPr>
        <w:t>ir</w:t>
      </w:r>
      <w:r w:rsidRPr="00CF6765">
        <w:rPr>
          <w:sz w:val="20"/>
          <w:szCs w:val="20"/>
          <w:lang w:val="en-US"/>
        </w:rPr>
        <w:t xml:space="preserve"> suffering due to the treatment received during the initial admission to the </w:t>
      </w:r>
      <w:proofErr w:type="spellStart"/>
      <w:r w:rsidRPr="00CF6765">
        <w:rPr>
          <w:sz w:val="20"/>
          <w:szCs w:val="20"/>
          <w:lang w:val="en-US"/>
        </w:rPr>
        <w:t>Sótero</w:t>
      </w:r>
      <w:proofErr w:type="spellEnd"/>
      <w:r w:rsidRPr="00CF6765">
        <w:rPr>
          <w:sz w:val="20"/>
          <w:szCs w:val="20"/>
          <w:lang w:val="en-US"/>
        </w:rPr>
        <w:t xml:space="preserve"> del Río Hospital, </w:t>
      </w:r>
      <w:r w:rsidR="002309D8" w:rsidRPr="00CF6765">
        <w:rPr>
          <w:sz w:val="20"/>
          <w:szCs w:val="20"/>
          <w:lang w:val="en-US"/>
        </w:rPr>
        <w:t>including</w:t>
      </w:r>
      <w:r w:rsidRPr="00CF6765">
        <w:rPr>
          <w:sz w:val="20"/>
          <w:szCs w:val="20"/>
          <w:lang w:val="en-US"/>
        </w:rPr>
        <w:t xml:space="preserve"> the </w:t>
      </w:r>
      <w:r w:rsidR="002309D8" w:rsidRPr="00CF6765">
        <w:rPr>
          <w:sz w:val="20"/>
          <w:szCs w:val="20"/>
          <w:lang w:val="en-US"/>
        </w:rPr>
        <w:t>impossibility of seeing</w:t>
      </w:r>
      <w:r w:rsidRPr="00CF6765">
        <w:rPr>
          <w:sz w:val="20"/>
          <w:szCs w:val="20"/>
          <w:lang w:val="en-US"/>
        </w:rPr>
        <w:t xml:space="preserve"> their family member, the lack of a clear diagnosis of the patient’s condition and </w:t>
      </w:r>
      <w:r w:rsidR="000207FC" w:rsidRPr="00CF6765">
        <w:rPr>
          <w:sz w:val="20"/>
          <w:szCs w:val="20"/>
          <w:lang w:val="en-US"/>
        </w:rPr>
        <w:t xml:space="preserve">information on </w:t>
      </w:r>
      <w:r w:rsidRPr="00CF6765">
        <w:rPr>
          <w:sz w:val="20"/>
          <w:szCs w:val="20"/>
          <w:lang w:val="en-US"/>
        </w:rPr>
        <w:t>how to care for him at home when he was discharged and, especially, the failure to obtain consent for the surgical procedure performed on their family member</w:t>
      </w:r>
      <w:r w:rsidR="00AA7ACB" w:rsidRPr="00CF6765">
        <w:rPr>
          <w:sz w:val="20"/>
          <w:szCs w:val="20"/>
          <w:lang w:val="en-US"/>
        </w:rPr>
        <w:t xml:space="preserve"> </w:t>
      </w:r>
      <w:r w:rsidR="00BE6F31" w:rsidRPr="00CF6765">
        <w:rPr>
          <w:sz w:val="20"/>
          <w:szCs w:val="20"/>
          <w:lang w:val="en-US"/>
        </w:rPr>
        <w:t>(</w:t>
      </w:r>
      <w:r w:rsidR="00062586" w:rsidRPr="00CF6765">
        <w:rPr>
          <w:i/>
          <w:sz w:val="20"/>
          <w:szCs w:val="20"/>
          <w:lang w:val="en-US"/>
        </w:rPr>
        <w:t>supra</w:t>
      </w:r>
      <w:r w:rsidR="00BE6F31" w:rsidRPr="00CF6765">
        <w:rPr>
          <w:sz w:val="20"/>
          <w:szCs w:val="20"/>
          <w:lang w:val="en-US"/>
        </w:rPr>
        <w:t xml:space="preserve"> </w:t>
      </w:r>
      <w:r w:rsidR="00EC50FC" w:rsidRPr="00CF6765">
        <w:rPr>
          <w:sz w:val="20"/>
          <w:szCs w:val="20"/>
          <w:lang w:val="en-US"/>
        </w:rPr>
        <w:t>para.</w:t>
      </w:r>
      <w:r w:rsidR="002B0772" w:rsidRPr="00CF6765">
        <w:rPr>
          <w:sz w:val="20"/>
          <w:szCs w:val="20"/>
          <w:lang w:val="en-US"/>
        </w:rPr>
        <w:t xml:space="preserve"> </w:t>
      </w:r>
      <w:r w:rsidR="00AB34B8" w:rsidRPr="00CF6765">
        <w:rPr>
          <w:sz w:val="20"/>
          <w:szCs w:val="20"/>
          <w:lang w:val="en-US"/>
        </w:rPr>
        <w:t>173</w:t>
      </w:r>
      <w:r w:rsidR="00BE6F31" w:rsidRPr="00CF6765">
        <w:rPr>
          <w:sz w:val="20"/>
          <w:szCs w:val="20"/>
          <w:lang w:val="en-US"/>
        </w:rPr>
        <w:t xml:space="preserve">). </w:t>
      </w:r>
      <w:r w:rsidRPr="00CF6765">
        <w:rPr>
          <w:sz w:val="20"/>
          <w:szCs w:val="20"/>
          <w:lang w:val="en-US"/>
        </w:rPr>
        <w:t xml:space="preserve">The Court also understands the suffering of the family </w:t>
      </w:r>
      <w:r w:rsidR="000207FC" w:rsidRPr="00CF6765">
        <w:rPr>
          <w:sz w:val="20"/>
          <w:szCs w:val="20"/>
          <w:lang w:val="en-US"/>
        </w:rPr>
        <w:t>due</w:t>
      </w:r>
      <w:r w:rsidRPr="00CF6765">
        <w:rPr>
          <w:sz w:val="20"/>
          <w:szCs w:val="20"/>
          <w:lang w:val="en-US"/>
        </w:rPr>
        <w:t xml:space="preserve"> to the long process of seeking justice, in particular in relation to </w:t>
      </w:r>
      <w:r w:rsidR="002309D8" w:rsidRPr="00CF6765">
        <w:rPr>
          <w:sz w:val="20"/>
          <w:szCs w:val="20"/>
          <w:lang w:val="en-US"/>
        </w:rPr>
        <w:t>clarifying</w:t>
      </w:r>
      <w:r w:rsidRPr="00CF6765">
        <w:rPr>
          <w:sz w:val="20"/>
          <w:szCs w:val="20"/>
          <w:lang w:val="en-US"/>
        </w:rPr>
        <w:t xml:space="preserve"> the facts, as well as the uncertainty owing to the failure to determine the cause of death of Mr. Poblete </w:t>
      </w:r>
      <w:proofErr w:type="spellStart"/>
      <w:r w:rsidRPr="00CF6765">
        <w:rPr>
          <w:sz w:val="20"/>
          <w:szCs w:val="20"/>
          <w:lang w:val="en-US"/>
        </w:rPr>
        <w:t>Vilches</w:t>
      </w:r>
      <w:proofErr w:type="spellEnd"/>
      <w:r w:rsidRPr="00CF6765">
        <w:rPr>
          <w:sz w:val="20"/>
          <w:szCs w:val="20"/>
          <w:lang w:val="en-US"/>
        </w:rPr>
        <w:t xml:space="preserve"> and, in this regard, the response offered by the authorities in different instances (</w:t>
      </w:r>
      <w:r w:rsidRPr="00CF6765">
        <w:rPr>
          <w:i/>
          <w:sz w:val="20"/>
          <w:szCs w:val="20"/>
          <w:lang w:val="en-US"/>
        </w:rPr>
        <w:t>supra</w:t>
      </w:r>
      <w:r w:rsidRPr="00CF6765">
        <w:rPr>
          <w:sz w:val="20"/>
          <w:szCs w:val="20"/>
          <w:lang w:val="en-US"/>
        </w:rPr>
        <w:t xml:space="preserve"> paras. 59 and 81). These </w:t>
      </w:r>
      <w:r w:rsidR="0092696D" w:rsidRPr="00CF6765">
        <w:rPr>
          <w:sz w:val="20"/>
          <w:szCs w:val="20"/>
          <w:lang w:val="en-US"/>
        </w:rPr>
        <w:t xml:space="preserve">difficulties had an impact on the family and </w:t>
      </w:r>
      <w:r w:rsidR="002309D8" w:rsidRPr="00CF6765">
        <w:rPr>
          <w:sz w:val="20"/>
          <w:szCs w:val="20"/>
          <w:lang w:val="en-US"/>
        </w:rPr>
        <w:t>o</w:t>
      </w:r>
      <w:r w:rsidR="0092696D" w:rsidRPr="00CF6765">
        <w:rPr>
          <w:sz w:val="20"/>
          <w:szCs w:val="20"/>
          <w:lang w:val="en-US"/>
        </w:rPr>
        <w:t xml:space="preserve">n the development of their life projects. Therefore, the State is responsible for the violation </w:t>
      </w:r>
      <w:r w:rsidR="0088423A" w:rsidRPr="00CF6765">
        <w:rPr>
          <w:sz w:val="20"/>
          <w:szCs w:val="20"/>
          <w:lang w:val="en-US"/>
        </w:rPr>
        <w:t>of Article</w:t>
      </w:r>
      <w:r w:rsidR="00BE6F31" w:rsidRPr="00CF6765">
        <w:rPr>
          <w:sz w:val="20"/>
          <w:szCs w:val="20"/>
          <w:lang w:val="en-US"/>
        </w:rPr>
        <w:t xml:space="preserve"> </w:t>
      </w:r>
      <w:r w:rsidR="00D2168F" w:rsidRPr="00CF6765">
        <w:rPr>
          <w:sz w:val="20"/>
          <w:szCs w:val="20"/>
          <w:lang w:val="en-US"/>
        </w:rPr>
        <w:t>5(1)</w:t>
      </w:r>
      <w:r w:rsidR="005C731C" w:rsidRPr="00CF6765">
        <w:rPr>
          <w:sz w:val="20"/>
          <w:szCs w:val="20"/>
          <w:lang w:val="en-US"/>
        </w:rPr>
        <w:t xml:space="preserve"> of the Convention</w:t>
      </w:r>
      <w:r w:rsidR="00AA7ACB" w:rsidRPr="00CF6765">
        <w:rPr>
          <w:sz w:val="20"/>
          <w:szCs w:val="20"/>
          <w:lang w:val="en-US"/>
        </w:rPr>
        <w:t>,</w:t>
      </w:r>
      <w:r w:rsidR="00BE6F31" w:rsidRPr="00CF6765">
        <w:rPr>
          <w:sz w:val="20"/>
          <w:szCs w:val="20"/>
          <w:lang w:val="en-US"/>
        </w:rPr>
        <w:t xml:space="preserve"> </w:t>
      </w:r>
      <w:r w:rsidR="00690D57" w:rsidRPr="00CF6765">
        <w:rPr>
          <w:sz w:val="20"/>
          <w:szCs w:val="20"/>
          <w:lang w:val="en-US"/>
        </w:rPr>
        <w:t>to the detriment of</w:t>
      </w:r>
      <w:r w:rsidR="00BE6F31" w:rsidRPr="00CF6765">
        <w:rPr>
          <w:sz w:val="20"/>
          <w:szCs w:val="20"/>
          <w:lang w:val="en-US"/>
        </w:rPr>
        <w:t xml:space="preserve"> </w:t>
      </w:r>
      <w:r w:rsidR="0092696D" w:rsidRPr="00CF6765">
        <w:rPr>
          <w:sz w:val="20"/>
          <w:szCs w:val="20"/>
          <w:lang w:val="en-US"/>
        </w:rPr>
        <w:t>the members of</w:t>
      </w:r>
      <w:r w:rsidR="00D04694" w:rsidRPr="00CF6765">
        <w:rPr>
          <w:sz w:val="20"/>
          <w:szCs w:val="20"/>
          <w:lang w:val="en-US"/>
        </w:rPr>
        <w:t xml:space="preserve"> Mr.</w:t>
      </w:r>
      <w:r w:rsidR="00D2168F" w:rsidRPr="00CF6765">
        <w:rPr>
          <w:sz w:val="20"/>
          <w:szCs w:val="20"/>
          <w:lang w:val="en-US"/>
        </w:rPr>
        <w:t xml:space="preserve"> Poblete</w:t>
      </w:r>
      <w:r w:rsidR="00BE6F31" w:rsidRPr="00CF6765">
        <w:rPr>
          <w:sz w:val="20"/>
          <w:szCs w:val="20"/>
          <w:lang w:val="en-US"/>
        </w:rPr>
        <w:t xml:space="preserve"> </w:t>
      </w:r>
      <w:proofErr w:type="spellStart"/>
      <w:r w:rsidR="001E55C3" w:rsidRPr="00CF6765">
        <w:rPr>
          <w:sz w:val="20"/>
          <w:szCs w:val="20"/>
          <w:lang w:val="en-US"/>
        </w:rPr>
        <w:t>Vilches’s</w:t>
      </w:r>
      <w:proofErr w:type="spellEnd"/>
      <w:r w:rsidR="001E55C3" w:rsidRPr="00CF6765">
        <w:rPr>
          <w:sz w:val="20"/>
          <w:szCs w:val="20"/>
          <w:lang w:val="en-US"/>
        </w:rPr>
        <w:t xml:space="preserve"> </w:t>
      </w:r>
      <w:r w:rsidR="0092696D" w:rsidRPr="00CF6765">
        <w:rPr>
          <w:sz w:val="20"/>
          <w:szCs w:val="20"/>
          <w:lang w:val="en-US"/>
        </w:rPr>
        <w:t>family</w:t>
      </w:r>
      <w:r w:rsidR="00BE6F31" w:rsidRPr="00CF6765">
        <w:rPr>
          <w:sz w:val="20"/>
          <w:szCs w:val="20"/>
          <w:lang w:val="en-US"/>
        </w:rPr>
        <w:t>.</w:t>
      </w:r>
    </w:p>
    <w:p w14:paraId="61E717D0" w14:textId="77777777" w:rsidR="00312262" w:rsidRPr="00CF6765" w:rsidRDefault="00312262" w:rsidP="006B2A4D">
      <w:pPr>
        <w:tabs>
          <w:tab w:val="left" w:pos="567"/>
        </w:tabs>
        <w:rPr>
          <w:sz w:val="20"/>
          <w:szCs w:val="20"/>
          <w:lang w:val="en-US"/>
        </w:rPr>
      </w:pPr>
    </w:p>
    <w:p w14:paraId="79896D70" w14:textId="77777777" w:rsidR="006B2A4D" w:rsidRPr="00CF6765" w:rsidRDefault="006B2A4D" w:rsidP="00F322EC">
      <w:pPr>
        <w:pStyle w:val="Ttulo"/>
      </w:pPr>
      <w:bookmarkStart w:id="101" w:name="_Toc504484557"/>
      <w:bookmarkStart w:id="102" w:name="_Toc47864397"/>
      <w:r w:rsidRPr="00CF6765">
        <w:t>VII</w:t>
      </w:r>
      <w:r w:rsidR="00024506" w:rsidRPr="00CF6765">
        <w:t>I</w:t>
      </w:r>
      <w:bookmarkEnd w:id="101"/>
      <w:bookmarkEnd w:id="102"/>
    </w:p>
    <w:p w14:paraId="28384A97" w14:textId="01A8BC18" w:rsidR="006B2A4D" w:rsidRPr="00CF6765" w:rsidRDefault="009C2DEF" w:rsidP="00F322EC">
      <w:pPr>
        <w:pStyle w:val="Ttulo"/>
      </w:pPr>
      <w:bookmarkStart w:id="103" w:name="_Toc47864398"/>
      <w:r w:rsidRPr="00CF6765">
        <w:t>REPARATIONS</w:t>
      </w:r>
      <w:bookmarkEnd w:id="103"/>
    </w:p>
    <w:p w14:paraId="129241B9" w14:textId="3F2AE00C" w:rsidR="006B2A4D" w:rsidRPr="00CF6765" w:rsidRDefault="006B2A4D" w:rsidP="00F322EC">
      <w:pPr>
        <w:pStyle w:val="Ttulo"/>
      </w:pPr>
      <w:bookmarkStart w:id="104" w:name="_Toc47864399"/>
      <w:r w:rsidRPr="00CF6765">
        <w:t>(</w:t>
      </w:r>
      <w:r w:rsidR="009C2DEF" w:rsidRPr="00CF6765">
        <w:t>APPLICATION OF</w:t>
      </w:r>
      <w:r w:rsidRPr="00CF6765">
        <w:t xml:space="preserve"> </w:t>
      </w:r>
      <w:r w:rsidR="005C731C" w:rsidRPr="00CF6765">
        <w:t>ARTICLE</w:t>
      </w:r>
      <w:r w:rsidRPr="00CF6765">
        <w:t xml:space="preserve"> </w:t>
      </w:r>
      <w:r w:rsidR="009C2DEF" w:rsidRPr="00CF6765">
        <w:t>63(1)</w:t>
      </w:r>
      <w:r w:rsidR="005C731C" w:rsidRPr="00CF6765">
        <w:t xml:space="preserve"> </w:t>
      </w:r>
      <w:r w:rsidR="00AC6F62" w:rsidRPr="00CF6765">
        <w:t>OF THE AMERICAN</w:t>
      </w:r>
      <w:r w:rsidR="005C731C" w:rsidRPr="00CF6765">
        <w:t xml:space="preserve"> CONVENTION</w:t>
      </w:r>
      <w:r w:rsidRPr="00CF6765">
        <w:t>)</w:t>
      </w:r>
      <w:bookmarkEnd w:id="104"/>
    </w:p>
    <w:p w14:paraId="0FF018E5" w14:textId="77777777" w:rsidR="006B2A4D" w:rsidRPr="00CF6765" w:rsidRDefault="006B2A4D" w:rsidP="006B2A4D">
      <w:pPr>
        <w:rPr>
          <w:sz w:val="20"/>
          <w:szCs w:val="20"/>
          <w:lang w:val="en-US"/>
        </w:rPr>
      </w:pPr>
    </w:p>
    <w:p w14:paraId="08F7D5FF" w14:textId="40D60E17" w:rsidR="006B2A4D" w:rsidRPr="00CF6765" w:rsidRDefault="0092696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Based on the provisions of</w:t>
      </w:r>
      <w:r w:rsidR="006B2A4D" w:rsidRPr="00CF6765">
        <w:rPr>
          <w:rFonts w:eastAsia="Calibri"/>
          <w:sz w:val="20"/>
          <w:szCs w:val="20"/>
          <w:lang w:val="en-US" w:eastAsia="es-ES"/>
        </w:rPr>
        <w:t xml:space="preserve"> </w:t>
      </w:r>
      <w:r w:rsidR="005C731C" w:rsidRPr="00CF6765">
        <w:rPr>
          <w:rFonts w:eastAsia="Calibri"/>
          <w:sz w:val="20"/>
          <w:szCs w:val="20"/>
          <w:lang w:val="en-US" w:eastAsia="es-ES"/>
        </w:rPr>
        <w:t>Article</w:t>
      </w:r>
      <w:r w:rsidR="006B2A4D" w:rsidRPr="00CF6765">
        <w:rPr>
          <w:rFonts w:eastAsia="Calibri"/>
          <w:sz w:val="20"/>
          <w:szCs w:val="20"/>
          <w:lang w:val="en-US" w:eastAsia="es-ES"/>
        </w:rPr>
        <w:t xml:space="preserve"> </w:t>
      </w:r>
      <w:r w:rsidR="009C2DEF" w:rsidRPr="00CF6765">
        <w:rPr>
          <w:rFonts w:eastAsia="Calibri"/>
          <w:sz w:val="20"/>
          <w:szCs w:val="20"/>
          <w:lang w:val="en-US" w:eastAsia="es-ES"/>
        </w:rPr>
        <w:t>63(1)</w:t>
      </w:r>
      <w:r w:rsidR="005C731C" w:rsidRPr="00CF6765">
        <w:rPr>
          <w:rFonts w:eastAsia="Calibri"/>
          <w:sz w:val="20"/>
          <w:szCs w:val="20"/>
          <w:lang w:val="en-US" w:eastAsia="es-ES"/>
        </w:rPr>
        <w:t xml:space="preserve"> of the American Convention</w:t>
      </w:r>
      <w:r w:rsidRPr="00CF6765">
        <w:rPr>
          <w:rFonts w:eastAsia="Calibri"/>
          <w:sz w:val="20"/>
          <w:szCs w:val="20"/>
          <w:lang w:val="en-US" w:eastAsia="es-ES"/>
        </w:rPr>
        <w:t>,</w:t>
      </w:r>
      <w:r w:rsidR="006B2A4D" w:rsidRPr="00CF6765">
        <w:rPr>
          <w:rFonts w:eastAsia="Calibri"/>
          <w:sz w:val="20"/>
          <w:szCs w:val="20"/>
          <w:vertAlign w:val="superscript"/>
          <w:lang w:val="en-US" w:eastAsia="es-ES"/>
        </w:rPr>
        <w:footnoteReference w:id="303"/>
      </w:r>
      <w:r w:rsidR="006B2A4D" w:rsidRPr="00CF6765">
        <w:rPr>
          <w:rFonts w:eastAsia="Calibri"/>
          <w:sz w:val="20"/>
          <w:szCs w:val="20"/>
          <w:lang w:val="en-US" w:eastAsia="es-ES"/>
        </w:rPr>
        <w:t xml:space="preserve"> </w:t>
      </w:r>
      <w:r w:rsidR="005C731C" w:rsidRPr="00CF6765">
        <w:rPr>
          <w:rFonts w:eastAsia="Calibri"/>
          <w:sz w:val="20"/>
          <w:szCs w:val="20"/>
          <w:lang w:val="en-US" w:eastAsia="es-ES"/>
        </w:rPr>
        <w:t>the Court</w:t>
      </w:r>
      <w:r w:rsidR="006B2A4D" w:rsidRPr="00CF6765">
        <w:rPr>
          <w:rFonts w:eastAsia="Calibri"/>
          <w:sz w:val="20"/>
          <w:szCs w:val="20"/>
          <w:lang w:val="en-US" w:eastAsia="es-ES"/>
        </w:rPr>
        <w:t xml:space="preserve"> ha</w:t>
      </w:r>
      <w:r w:rsidRPr="00CF6765">
        <w:rPr>
          <w:rFonts w:eastAsia="Calibri"/>
          <w:sz w:val="20"/>
          <w:szCs w:val="20"/>
          <w:lang w:val="en-US" w:eastAsia="es-ES"/>
        </w:rPr>
        <w:t xml:space="preserve">s </w:t>
      </w:r>
      <w:r w:rsidRPr="00CF6765">
        <w:rPr>
          <w:rFonts w:eastAsia="Calibri"/>
          <w:sz w:val="20"/>
          <w:szCs w:val="20"/>
          <w:lang w:val="en-US" w:eastAsia="es-ES"/>
        </w:rPr>
        <w:lastRenderedPageBreak/>
        <w:t>indicated that any violation of an international obligation that has caused harm entails the duty to make adequate reparation and that this provision “reflects a customary norm that constitutes one of the fundamental principles of contemporary international law on State responsibility.</w:t>
      </w:r>
      <w:r w:rsidR="006B2A4D" w:rsidRPr="00CF6765">
        <w:rPr>
          <w:rFonts w:eastAsia="Calibri"/>
          <w:sz w:val="20"/>
          <w:szCs w:val="20"/>
          <w:vertAlign w:val="superscript"/>
          <w:lang w:val="en-US" w:eastAsia="es-ES"/>
        </w:rPr>
        <w:footnoteReference w:id="304"/>
      </w:r>
    </w:p>
    <w:p w14:paraId="26D95215" w14:textId="77777777" w:rsidR="006B2A4D" w:rsidRPr="00CF6765" w:rsidRDefault="006B2A4D" w:rsidP="006B2A4D">
      <w:pPr>
        <w:rPr>
          <w:rFonts w:eastAsia="Calibri"/>
          <w:sz w:val="20"/>
          <w:szCs w:val="20"/>
          <w:lang w:val="en-US" w:eastAsia="es-ES"/>
        </w:rPr>
      </w:pPr>
    </w:p>
    <w:p w14:paraId="7A2EBD2D" w14:textId="5B4C43D8" w:rsidR="006B2A4D" w:rsidRPr="00CF6765" w:rsidRDefault="005C731C" w:rsidP="006B2A4D">
      <w:pPr>
        <w:numPr>
          <w:ilvl w:val="0"/>
          <w:numId w:val="2"/>
        </w:numPr>
        <w:tabs>
          <w:tab w:val="left" w:pos="567"/>
          <w:tab w:val="num" w:pos="1569"/>
          <w:tab w:val="num" w:pos="12305"/>
        </w:tabs>
        <w:ind w:left="0" w:firstLine="0"/>
        <w:rPr>
          <w:rFonts w:eastAsia="Calibri"/>
          <w:sz w:val="20"/>
          <w:szCs w:val="20"/>
          <w:lang w:val="en-US" w:eastAsia="es-ES"/>
        </w:rPr>
      </w:pPr>
      <w:r w:rsidRPr="00CF6765">
        <w:rPr>
          <w:rFonts w:eastAsia="Calibri"/>
          <w:sz w:val="20"/>
          <w:szCs w:val="20"/>
          <w:lang w:val="en-US" w:eastAsia="es-ES"/>
        </w:rPr>
        <w:t>The Court</w:t>
      </w:r>
      <w:r w:rsidR="006B2A4D" w:rsidRPr="00CF6765">
        <w:rPr>
          <w:rFonts w:eastAsia="Calibri"/>
          <w:sz w:val="20"/>
          <w:szCs w:val="20"/>
          <w:lang w:val="en-US" w:eastAsia="es-ES"/>
        </w:rPr>
        <w:t xml:space="preserve"> ha</w:t>
      </w:r>
      <w:r w:rsidR="0092696D" w:rsidRPr="00CF6765">
        <w:rPr>
          <w:rFonts w:eastAsia="Calibri"/>
          <w:sz w:val="20"/>
          <w:szCs w:val="20"/>
          <w:lang w:val="en-US" w:eastAsia="es-ES"/>
        </w:rPr>
        <w:t xml:space="preserve">s established that the </w:t>
      </w:r>
      <w:r w:rsidR="0090740B" w:rsidRPr="00CF6765">
        <w:rPr>
          <w:rFonts w:eastAsia="Calibri"/>
          <w:sz w:val="20"/>
          <w:szCs w:val="20"/>
          <w:lang w:val="en-US" w:eastAsia="es-ES"/>
        </w:rPr>
        <w:t>reparations</w:t>
      </w:r>
      <w:r w:rsidR="0092696D" w:rsidRPr="00CF6765">
        <w:rPr>
          <w:rFonts w:eastAsia="Calibri"/>
          <w:sz w:val="20"/>
          <w:szCs w:val="20"/>
          <w:lang w:val="en-US" w:eastAsia="es-ES"/>
        </w:rPr>
        <w:t xml:space="preserve"> must have a causal nexus to the facts of the case, the violations that have been declared, the harm proved, and the measures requested to redress the respective harm. Therefore, the Court must analyze the concurrence of these factors to rule appropriately and pursuant to law.</w:t>
      </w:r>
      <w:r w:rsidR="006B2A4D" w:rsidRPr="00CF6765">
        <w:rPr>
          <w:rFonts w:eastAsia="Calibri"/>
          <w:sz w:val="20"/>
          <w:szCs w:val="20"/>
          <w:vertAlign w:val="superscript"/>
          <w:lang w:val="en-US" w:eastAsia="es-ES"/>
        </w:rPr>
        <w:footnoteReference w:id="305"/>
      </w:r>
    </w:p>
    <w:p w14:paraId="6E1C6779" w14:textId="77777777" w:rsidR="006B2A4D" w:rsidRPr="00CF6765" w:rsidRDefault="006B2A4D" w:rsidP="006B2A4D">
      <w:pPr>
        <w:tabs>
          <w:tab w:val="left" w:pos="567"/>
        </w:tabs>
        <w:rPr>
          <w:rFonts w:eastAsia="Calibri"/>
          <w:sz w:val="20"/>
          <w:szCs w:val="20"/>
          <w:lang w:val="en-US" w:eastAsia="es-ES"/>
        </w:rPr>
      </w:pPr>
    </w:p>
    <w:p w14:paraId="52BA7E06" w14:textId="1E0F0847" w:rsidR="006B2A4D" w:rsidRPr="00CF6765" w:rsidRDefault="0092696D" w:rsidP="006B2A4D">
      <w:pPr>
        <w:numPr>
          <w:ilvl w:val="0"/>
          <w:numId w:val="2"/>
        </w:numPr>
        <w:tabs>
          <w:tab w:val="left" w:pos="567"/>
          <w:tab w:val="num" w:pos="1569"/>
          <w:tab w:val="num" w:pos="12305"/>
        </w:tabs>
        <w:ind w:left="0" w:firstLine="0"/>
        <w:rPr>
          <w:rFonts w:eastAsia="Calibri"/>
          <w:sz w:val="20"/>
          <w:szCs w:val="20"/>
          <w:lang w:val="en-US" w:eastAsia="es-ES"/>
        </w:rPr>
      </w:pPr>
      <w:r w:rsidRPr="00CF6765">
        <w:rPr>
          <w:rFonts w:eastAsia="Calibri"/>
          <w:sz w:val="20"/>
          <w:szCs w:val="20"/>
          <w:lang w:val="en-US" w:eastAsia="es-ES"/>
        </w:rPr>
        <w:t xml:space="preserve">The reparation of the harm caused by the violation of an international obligation requires, </w:t>
      </w:r>
      <w:r w:rsidR="000207FC" w:rsidRPr="00CF6765">
        <w:rPr>
          <w:rFonts w:eastAsia="Calibri"/>
          <w:sz w:val="20"/>
          <w:szCs w:val="20"/>
          <w:lang w:val="en-US" w:eastAsia="es-ES"/>
        </w:rPr>
        <w:t>whenever</w:t>
      </w:r>
      <w:r w:rsidRPr="00CF6765">
        <w:rPr>
          <w:rFonts w:eastAsia="Calibri"/>
          <w:sz w:val="20"/>
          <w:szCs w:val="20"/>
          <w:lang w:val="en-US" w:eastAsia="es-ES"/>
        </w:rPr>
        <w:t xml:space="preserve"> </w:t>
      </w:r>
      <w:r w:rsidR="0090740B" w:rsidRPr="00CF6765">
        <w:rPr>
          <w:rFonts w:eastAsia="Calibri"/>
          <w:sz w:val="20"/>
          <w:szCs w:val="20"/>
          <w:lang w:val="en-US" w:eastAsia="es-ES"/>
        </w:rPr>
        <w:t>possible</w:t>
      </w:r>
      <w:r w:rsidRPr="00CF6765">
        <w:rPr>
          <w:rFonts w:eastAsia="Calibri"/>
          <w:sz w:val="20"/>
          <w:szCs w:val="20"/>
          <w:lang w:val="en-US" w:eastAsia="es-ES"/>
        </w:rPr>
        <w:t>, full restitutio</w:t>
      </w:r>
      <w:r w:rsidR="000207FC" w:rsidRPr="00CF6765">
        <w:rPr>
          <w:rFonts w:eastAsia="Calibri"/>
          <w:sz w:val="20"/>
          <w:szCs w:val="20"/>
          <w:lang w:val="en-US" w:eastAsia="es-ES"/>
        </w:rPr>
        <w:t>n</w:t>
      </w:r>
      <w:r w:rsidRPr="00CF6765">
        <w:rPr>
          <w:rFonts w:eastAsia="Calibri"/>
          <w:sz w:val="20"/>
          <w:szCs w:val="20"/>
          <w:lang w:val="en-US" w:eastAsia="es-ES"/>
        </w:rPr>
        <w:t xml:space="preserve"> which consists in the re-establishment of the previous situation. If this is not feasible, the Court will </w:t>
      </w:r>
      <w:r w:rsidR="0090740B" w:rsidRPr="00CF6765">
        <w:rPr>
          <w:rFonts w:eastAsia="Calibri"/>
          <w:sz w:val="20"/>
          <w:szCs w:val="20"/>
          <w:lang w:val="en-US" w:eastAsia="es-ES"/>
        </w:rPr>
        <w:t>determine</w:t>
      </w:r>
      <w:r w:rsidRPr="00CF6765">
        <w:rPr>
          <w:rFonts w:eastAsia="Calibri"/>
          <w:sz w:val="20"/>
          <w:szCs w:val="20"/>
          <w:lang w:val="en-US" w:eastAsia="es-ES"/>
        </w:rPr>
        <w:t xml:space="preserve"> measures to ensure the rights that have been violated and to repair the consequences of such violations.</w:t>
      </w:r>
      <w:r w:rsidR="006B2A4D" w:rsidRPr="00CF6765">
        <w:rPr>
          <w:rFonts w:eastAsia="Calibri"/>
          <w:sz w:val="20"/>
          <w:szCs w:val="20"/>
          <w:vertAlign w:val="superscript"/>
          <w:lang w:val="en-US" w:eastAsia="es-ES"/>
        </w:rPr>
        <w:footnoteReference w:id="306"/>
      </w:r>
    </w:p>
    <w:p w14:paraId="578189C4" w14:textId="77777777" w:rsidR="006B2A4D" w:rsidRPr="00CF6765" w:rsidRDefault="006B2A4D" w:rsidP="006B2A4D">
      <w:pPr>
        <w:widowControl w:val="0"/>
        <w:tabs>
          <w:tab w:val="left" w:pos="567"/>
          <w:tab w:val="num" w:pos="1569"/>
          <w:tab w:val="num" w:pos="12305"/>
        </w:tabs>
        <w:adjustRightInd w:val="0"/>
        <w:textAlignment w:val="baseline"/>
        <w:rPr>
          <w:rFonts w:eastAsia="Calibri"/>
          <w:sz w:val="20"/>
          <w:szCs w:val="20"/>
          <w:lang w:val="en-US" w:eastAsia="es-ES"/>
        </w:rPr>
      </w:pPr>
    </w:p>
    <w:p w14:paraId="1F8EF906" w14:textId="577079B0" w:rsidR="006B2A4D" w:rsidRPr="00CF6765" w:rsidRDefault="0092696D" w:rsidP="006B2A4D">
      <w:pPr>
        <w:widowControl w:val="0"/>
        <w:numPr>
          <w:ilvl w:val="0"/>
          <w:numId w:val="2"/>
        </w:numPr>
        <w:tabs>
          <w:tab w:val="left" w:pos="567"/>
          <w:tab w:val="num" w:pos="1569"/>
          <w:tab w:val="num" w:pos="12305"/>
        </w:tabs>
        <w:adjustRightInd w:val="0"/>
        <w:ind w:left="0" w:firstLine="0"/>
        <w:textAlignment w:val="baseline"/>
        <w:rPr>
          <w:rFonts w:eastAsia="Calibri"/>
          <w:b/>
          <w:sz w:val="20"/>
          <w:szCs w:val="20"/>
          <w:lang w:val="en-US" w:eastAsia="es-ES"/>
        </w:rPr>
      </w:pPr>
      <w:r w:rsidRPr="00CF6765">
        <w:rPr>
          <w:rFonts w:eastAsia="Calibri"/>
          <w:sz w:val="20"/>
          <w:szCs w:val="20"/>
          <w:lang w:val="en-US" w:eastAsia="es-ES"/>
        </w:rPr>
        <w:t xml:space="preserve">Bearing in mind the violations of </w:t>
      </w:r>
      <w:r w:rsidR="005C731C" w:rsidRPr="00CF6765">
        <w:rPr>
          <w:rFonts w:eastAsia="Calibri"/>
          <w:sz w:val="20"/>
          <w:szCs w:val="20"/>
          <w:lang w:val="en-US" w:eastAsia="es-ES"/>
        </w:rPr>
        <w:t>the Convention</w:t>
      </w:r>
      <w:r w:rsidR="006B2A4D" w:rsidRPr="00CF6765">
        <w:rPr>
          <w:rFonts w:eastAsia="Calibri"/>
          <w:sz w:val="20"/>
          <w:szCs w:val="20"/>
          <w:lang w:val="en-US" w:eastAsia="es-ES"/>
        </w:rPr>
        <w:t xml:space="preserve"> declar</w:t>
      </w:r>
      <w:r w:rsidRPr="00CF6765">
        <w:rPr>
          <w:rFonts w:eastAsia="Calibri"/>
          <w:sz w:val="20"/>
          <w:szCs w:val="20"/>
          <w:lang w:val="en-US" w:eastAsia="es-ES"/>
        </w:rPr>
        <w:t xml:space="preserve">ed in the preceding chapters, the Court will proceed to examine the claims submitted by </w:t>
      </w:r>
      <w:r w:rsidR="005C731C" w:rsidRPr="00CF6765">
        <w:rPr>
          <w:rFonts w:eastAsia="Calibri"/>
          <w:sz w:val="20"/>
          <w:szCs w:val="20"/>
          <w:lang w:val="en-US" w:eastAsia="es-ES"/>
        </w:rPr>
        <w:t>the Commission</w:t>
      </w:r>
      <w:r w:rsidR="00EC50FC" w:rsidRPr="00CF6765">
        <w:rPr>
          <w:rFonts w:eastAsia="Calibri"/>
          <w:sz w:val="20"/>
          <w:szCs w:val="20"/>
          <w:lang w:val="en-US" w:eastAsia="es-ES"/>
        </w:rPr>
        <w:t xml:space="preserve"> and the representatives</w:t>
      </w:r>
      <w:r w:rsidR="006B2A4D" w:rsidRPr="00CF6765">
        <w:rPr>
          <w:rFonts w:eastAsia="Calibri"/>
          <w:sz w:val="20"/>
          <w:szCs w:val="20"/>
          <w:lang w:val="en-US" w:eastAsia="es-ES"/>
        </w:rPr>
        <w:t>, a</w:t>
      </w:r>
      <w:r w:rsidRPr="00CF6765">
        <w:rPr>
          <w:rFonts w:eastAsia="Calibri"/>
          <w:sz w:val="20"/>
          <w:szCs w:val="20"/>
          <w:lang w:val="en-US" w:eastAsia="es-ES"/>
        </w:rPr>
        <w:t xml:space="preserve">s </w:t>
      </w:r>
      <w:r w:rsidR="0090740B" w:rsidRPr="00CF6765">
        <w:rPr>
          <w:rFonts w:eastAsia="Calibri"/>
          <w:sz w:val="20"/>
          <w:szCs w:val="20"/>
          <w:lang w:val="en-US" w:eastAsia="es-ES"/>
        </w:rPr>
        <w:t>well</w:t>
      </w:r>
      <w:r w:rsidRPr="00CF6765">
        <w:rPr>
          <w:rFonts w:eastAsia="Calibri"/>
          <w:sz w:val="20"/>
          <w:szCs w:val="20"/>
          <w:lang w:val="en-US" w:eastAsia="es-ES"/>
        </w:rPr>
        <w:t xml:space="preserve"> as the arguments of the State in light of the criteria established in its case law on the nature and scope of the obligation to make reparation</w:t>
      </w:r>
      <w:r w:rsidR="006B2A4D" w:rsidRPr="00CF6765">
        <w:rPr>
          <w:rFonts w:eastAsia="Calibri"/>
          <w:sz w:val="20"/>
          <w:szCs w:val="20"/>
          <w:vertAlign w:val="superscript"/>
          <w:lang w:val="en-US" w:eastAsia="es-ES"/>
        </w:rPr>
        <w:footnoteReference w:id="307"/>
      </w:r>
      <w:r w:rsidRPr="00CF6765">
        <w:rPr>
          <w:rFonts w:eastAsia="Calibri"/>
          <w:sz w:val="20"/>
          <w:szCs w:val="20"/>
          <w:lang w:val="en-US" w:eastAsia="es-ES"/>
        </w:rPr>
        <w:t xml:space="preserve"> in order to establish measures addressed at redressing the harm caused to the victim.</w:t>
      </w:r>
    </w:p>
    <w:p w14:paraId="4AF42655" w14:textId="77777777" w:rsidR="006B2A4D" w:rsidRPr="00CF6765" w:rsidRDefault="006B2A4D" w:rsidP="006B2A4D">
      <w:pPr>
        <w:rPr>
          <w:rFonts w:eastAsia="Calibri"/>
          <w:b/>
          <w:sz w:val="20"/>
          <w:szCs w:val="20"/>
          <w:lang w:val="en-US" w:eastAsia="es-ES"/>
        </w:rPr>
      </w:pPr>
    </w:p>
    <w:p w14:paraId="136F6BD7" w14:textId="08D5C0EC" w:rsidR="006B2A4D" w:rsidRPr="00CF6765" w:rsidRDefault="002E41A8" w:rsidP="002726E0">
      <w:pPr>
        <w:pStyle w:val="Ttulo2"/>
        <w:numPr>
          <w:ilvl w:val="0"/>
          <w:numId w:val="13"/>
        </w:numPr>
        <w:rPr>
          <w:lang w:val="en-US"/>
        </w:rPr>
      </w:pPr>
      <w:bookmarkStart w:id="105" w:name="_Toc457464007"/>
      <w:bookmarkStart w:id="106" w:name="_Toc458175997"/>
      <w:bookmarkStart w:id="107" w:name="_Toc467060528"/>
      <w:bookmarkStart w:id="108" w:name="_Toc467060643"/>
      <w:bookmarkStart w:id="109" w:name="_Toc467060882"/>
      <w:bookmarkStart w:id="110" w:name="_Toc467060923"/>
      <w:bookmarkStart w:id="111" w:name="_Toc457464008"/>
      <w:bookmarkStart w:id="112" w:name="_Toc458175998"/>
      <w:bookmarkStart w:id="113" w:name="_Toc467060529"/>
      <w:bookmarkStart w:id="114" w:name="_Toc467060644"/>
      <w:bookmarkStart w:id="115" w:name="_Toc467060883"/>
      <w:bookmarkStart w:id="116" w:name="_Toc467060924"/>
      <w:bookmarkStart w:id="117" w:name="_Toc47864400"/>
      <w:bookmarkEnd w:id="105"/>
      <w:bookmarkEnd w:id="106"/>
      <w:bookmarkEnd w:id="107"/>
      <w:bookmarkEnd w:id="108"/>
      <w:bookmarkEnd w:id="109"/>
      <w:bookmarkEnd w:id="110"/>
      <w:bookmarkEnd w:id="111"/>
      <w:bookmarkEnd w:id="112"/>
      <w:bookmarkEnd w:id="113"/>
      <w:bookmarkEnd w:id="114"/>
      <w:bookmarkEnd w:id="115"/>
      <w:bookmarkEnd w:id="116"/>
      <w:r w:rsidRPr="00CF6765">
        <w:rPr>
          <w:lang w:val="en-US"/>
        </w:rPr>
        <w:t>Injured party</w:t>
      </w:r>
      <w:bookmarkEnd w:id="117"/>
    </w:p>
    <w:p w14:paraId="3488CC3B" w14:textId="77777777" w:rsidR="006B2A4D" w:rsidRPr="00CF6765" w:rsidRDefault="006B2A4D" w:rsidP="006B2A4D">
      <w:pPr>
        <w:keepNext/>
        <w:keepLines/>
        <w:outlineLvl w:val="1"/>
        <w:rPr>
          <w:b/>
          <w:bCs/>
          <w:i/>
          <w:sz w:val="20"/>
          <w:szCs w:val="20"/>
          <w:lang w:val="en-US" w:eastAsia="en-US"/>
        </w:rPr>
      </w:pPr>
    </w:p>
    <w:p w14:paraId="7F0FC4F4" w14:textId="08A703F2" w:rsidR="006B2A4D" w:rsidRPr="00CF6765" w:rsidRDefault="0092696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Pursuant to</w:t>
      </w:r>
      <w:r w:rsidR="0088423A" w:rsidRPr="00CF6765">
        <w:rPr>
          <w:rFonts w:eastAsia="Calibri"/>
          <w:sz w:val="20"/>
          <w:szCs w:val="20"/>
          <w:lang w:val="en-US" w:eastAsia="es-ES"/>
        </w:rPr>
        <w:t xml:space="preserve"> Article</w:t>
      </w:r>
      <w:r w:rsidR="006B2A4D" w:rsidRPr="00CF6765">
        <w:rPr>
          <w:rFonts w:eastAsia="Calibri"/>
          <w:sz w:val="20"/>
          <w:szCs w:val="20"/>
          <w:lang w:val="en-US" w:eastAsia="es-ES"/>
        </w:rPr>
        <w:t xml:space="preserve"> </w:t>
      </w:r>
      <w:r w:rsidR="009C2DEF" w:rsidRPr="00CF6765">
        <w:rPr>
          <w:rFonts w:eastAsia="Calibri"/>
          <w:sz w:val="20"/>
          <w:szCs w:val="20"/>
          <w:lang w:val="en-US" w:eastAsia="es-ES"/>
        </w:rPr>
        <w:t>63(1)</w:t>
      </w:r>
      <w:r w:rsidR="005C731C" w:rsidRPr="00CF6765">
        <w:rPr>
          <w:rFonts w:eastAsia="Calibri"/>
          <w:sz w:val="20"/>
          <w:szCs w:val="20"/>
          <w:lang w:val="en-US" w:eastAsia="es-ES"/>
        </w:rPr>
        <w:t xml:space="preserve"> of the Convention</w:t>
      </w:r>
      <w:r w:rsidR="006B2A4D" w:rsidRPr="00CF6765">
        <w:rPr>
          <w:rFonts w:eastAsia="Calibri"/>
          <w:sz w:val="20"/>
          <w:szCs w:val="20"/>
          <w:lang w:val="en-US" w:eastAsia="es-ES"/>
        </w:rPr>
        <w:t xml:space="preserve">, </w:t>
      </w:r>
      <w:r w:rsidRPr="00CF6765">
        <w:rPr>
          <w:rFonts w:eastAsia="Calibri"/>
          <w:sz w:val="20"/>
          <w:szCs w:val="20"/>
          <w:lang w:val="en-US" w:eastAsia="es-ES"/>
        </w:rPr>
        <w:t>this Court</w:t>
      </w:r>
      <w:r w:rsidR="006B2A4D" w:rsidRPr="00CF6765">
        <w:rPr>
          <w:rFonts w:eastAsia="Calibri"/>
          <w:sz w:val="20"/>
          <w:szCs w:val="20"/>
          <w:lang w:val="en-US" w:eastAsia="es-ES"/>
        </w:rPr>
        <w:t xml:space="preserve"> consider</w:t>
      </w:r>
      <w:r w:rsidRPr="00CF6765">
        <w:rPr>
          <w:rFonts w:eastAsia="Calibri"/>
          <w:sz w:val="20"/>
          <w:szCs w:val="20"/>
          <w:lang w:val="en-US" w:eastAsia="es-ES"/>
        </w:rPr>
        <w:t xml:space="preserve">s that those who have been declared victims of the violation of any right recognized </w:t>
      </w:r>
      <w:r w:rsidR="000207FC" w:rsidRPr="00CF6765">
        <w:rPr>
          <w:rFonts w:eastAsia="Calibri"/>
          <w:sz w:val="20"/>
          <w:szCs w:val="20"/>
          <w:lang w:val="en-US" w:eastAsia="es-ES"/>
        </w:rPr>
        <w:t>in this instrument</w:t>
      </w:r>
      <w:r w:rsidRPr="00CF6765">
        <w:rPr>
          <w:rFonts w:eastAsia="Calibri"/>
          <w:sz w:val="20"/>
          <w:szCs w:val="20"/>
          <w:lang w:val="en-US" w:eastAsia="es-ES"/>
        </w:rPr>
        <w:t xml:space="preserve"> are the</w:t>
      </w:r>
      <w:r w:rsidR="006B2A4D" w:rsidRPr="00CF6765">
        <w:rPr>
          <w:rFonts w:eastAsia="Calibri"/>
          <w:sz w:val="20"/>
          <w:szCs w:val="20"/>
          <w:lang w:val="en-US" w:eastAsia="es-ES"/>
        </w:rPr>
        <w:t xml:space="preserve"> </w:t>
      </w:r>
      <w:r w:rsidR="002E41A8" w:rsidRPr="00CF6765">
        <w:rPr>
          <w:rFonts w:eastAsia="Calibri"/>
          <w:sz w:val="20"/>
          <w:szCs w:val="20"/>
          <w:lang w:val="en-US" w:eastAsia="es-ES"/>
        </w:rPr>
        <w:t>injured party</w:t>
      </w:r>
      <w:r w:rsidR="006B2A4D" w:rsidRPr="00CF6765">
        <w:rPr>
          <w:rFonts w:eastAsia="Calibri"/>
          <w:sz w:val="20"/>
          <w:szCs w:val="20"/>
          <w:lang w:val="en-US" w:eastAsia="es-ES"/>
        </w:rPr>
        <w:t>.</w:t>
      </w:r>
      <w:r w:rsidR="00CF1A0B" w:rsidRPr="00CF6765">
        <w:rPr>
          <w:rFonts w:eastAsia="Calibri"/>
          <w:sz w:val="20"/>
          <w:szCs w:val="20"/>
          <w:lang w:val="en-US" w:eastAsia="es-ES"/>
        </w:rPr>
        <w:t xml:space="preserve"> Therefore, the Court considers that </w:t>
      </w:r>
      <w:r w:rsidR="006B2A4D" w:rsidRPr="00CF6765">
        <w:rPr>
          <w:rFonts w:eastAsia="Calibri"/>
          <w:sz w:val="20"/>
          <w:szCs w:val="20"/>
          <w:lang w:val="en-US" w:eastAsia="es-ES"/>
        </w:rPr>
        <w:t xml:space="preserve">Vinicio Antonio Poblete </w:t>
      </w:r>
      <w:proofErr w:type="spellStart"/>
      <w:r w:rsidR="006B2A4D" w:rsidRPr="00CF6765">
        <w:rPr>
          <w:rFonts w:eastAsia="Calibri"/>
          <w:sz w:val="20"/>
          <w:szCs w:val="20"/>
          <w:lang w:val="en-US" w:eastAsia="es-ES"/>
        </w:rPr>
        <w:t>Vilches</w:t>
      </w:r>
      <w:proofErr w:type="spellEnd"/>
      <w:r w:rsidR="006B2A4D" w:rsidRPr="00CF6765">
        <w:rPr>
          <w:rFonts w:eastAsia="Calibri"/>
          <w:sz w:val="20"/>
          <w:szCs w:val="20"/>
          <w:lang w:val="en-US" w:eastAsia="es-ES"/>
        </w:rPr>
        <w:t xml:space="preserve"> (</w:t>
      </w:r>
      <w:r w:rsidR="00671A8C" w:rsidRPr="00CF6765">
        <w:rPr>
          <w:rFonts w:eastAsia="Calibri"/>
          <w:sz w:val="20"/>
          <w:szCs w:val="20"/>
          <w:lang w:val="en-US" w:eastAsia="es-ES"/>
        </w:rPr>
        <w:t>deceased</w:t>
      </w:r>
      <w:r w:rsidR="006B2A4D" w:rsidRPr="00CF6765">
        <w:rPr>
          <w:rFonts w:eastAsia="Calibri"/>
          <w:sz w:val="20"/>
          <w:szCs w:val="20"/>
          <w:lang w:val="en-US" w:eastAsia="es-ES"/>
        </w:rPr>
        <w:t>)</w:t>
      </w:r>
      <w:r w:rsidR="00AB34B8" w:rsidRPr="00CF6765">
        <w:rPr>
          <w:rFonts w:eastAsia="Calibri"/>
          <w:sz w:val="20"/>
          <w:szCs w:val="20"/>
          <w:lang w:val="en-US" w:eastAsia="es-ES"/>
        </w:rPr>
        <w:t>,</w:t>
      </w:r>
      <w:r w:rsidR="006B2A4D" w:rsidRPr="00CF6765">
        <w:rPr>
          <w:rFonts w:eastAsia="Calibri"/>
          <w:sz w:val="20"/>
          <w:szCs w:val="20"/>
          <w:lang w:val="en-US" w:eastAsia="es-ES"/>
        </w:rPr>
        <w:t xml:space="preserve"> </w:t>
      </w:r>
      <w:r w:rsidR="00CF1A0B" w:rsidRPr="00CF6765">
        <w:rPr>
          <w:rFonts w:eastAsia="Calibri"/>
          <w:sz w:val="20"/>
          <w:szCs w:val="20"/>
          <w:lang w:val="en-US" w:eastAsia="es-ES"/>
        </w:rPr>
        <w:t>and his family members</w:t>
      </w:r>
      <w:r w:rsidR="00AB34B8" w:rsidRPr="00CF6765">
        <w:rPr>
          <w:rFonts w:eastAsia="Calibri"/>
          <w:sz w:val="20"/>
          <w:szCs w:val="20"/>
          <w:lang w:val="en-US" w:eastAsia="es-ES"/>
        </w:rPr>
        <w:t>:</w:t>
      </w:r>
      <w:r w:rsidR="006B2A4D" w:rsidRPr="00CF6765">
        <w:rPr>
          <w:rFonts w:eastAsia="Calibri"/>
          <w:sz w:val="20"/>
          <w:szCs w:val="20"/>
          <w:lang w:val="en-US" w:eastAsia="es-ES"/>
        </w:rPr>
        <w:t xml:space="preserve"> Blanca Tapia </w:t>
      </w:r>
      <w:proofErr w:type="spellStart"/>
      <w:r w:rsidR="006B2A4D" w:rsidRPr="00CF6765">
        <w:rPr>
          <w:rFonts w:eastAsia="Calibri"/>
          <w:sz w:val="20"/>
          <w:szCs w:val="20"/>
          <w:lang w:val="en-US" w:eastAsia="es-ES"/>
        </w:rPr>
        <w:t>Encina</w:t>
      </w:r>
      <w:proofErr w:type="spellEnd"/>
      <w:r w:rsidR="006B2A4D" w:rsidRPr="00CF6765">
        <w:rPr>
          <w:rFonts w:eastAsia="Calibri"/>
          <w:sz w:val="20"/>
          <w:szCs w:val="20"/>
          <w:lang w:val="en-US" w:eastAsia="es-ES"/>
        </w:rPr>
        <w:t xml:space="preserve"> (</w:t>
      </w:r>
      <w:r w:rsidR="00671A8C" w:rsidRPr="00CF6765">
        <w:rPr>
          <w:rFonts w:eastAsia="Calibri"/>
          <w:sz w:val="20"/>
          <w:szCs w:val="20"/>
          <w:lang w:val="en-US" w:eastAsia="es-ES"/>
        </w:rPr>
        <w:t>deceased</w:t>
      </w:r>
      <w:r w:rsidR="006B2A4D" w:rsidRPr="00CF6765">
        <w:rPr>
          <w:rFonts w:eastAsia="Calibri"/>
          <w:sz w:val="20"/>
          <w:szCs w:val="20"/>
          <w:lang w:val="en-US" w:eastAsia="es-ES"/>
        </w:rPr>
        <w:t xml:space="preserve">), </w:t>
      </w:r>
      <w:r w:rsidR="00BC17B7" w:rsidRPr="00CF6765">
        <w:rPr>
          <w:rFonts w:eastAsia="Calibri"/>
          <w:sz w:val="20"/>
          <w:szCs w:val="20"/>
          <w:lang w:val="en-US" w:eastAsia="en-US"/>
        </w:rPr>
        <w:t>Gonzalo Poblete Tapia</w:t>
      </w:r>
      <w:r w:rsidR="00BC17B7" w:rsidRPr="00CF6765">
        <w:rPr>
          <w:rFonts w:eastAsia="Calibri"/>
          <w:sz w:val="20"/>
          <w:szCs w:val="20"/>
          <w:lang w:val="en-US" w:eastAsia="es-ES"/>
        </w:rPr>
        <w:t xml:space="preserve"> (</w:t>
      </w:r>
      <w:r w:rsidR="00671A8C" w:rsidRPr="00CF6765">
        <w:rPr>
          <w:rFonts w:eastAsia="Calibri"/>
          <w:sz w:val="20"/>
          <w:szCs w:val="20"/>
          <w:lang w:val="en-US" w:eastAsia="es-ES"/>
        </w:rPr>
        <w:t>deceased</w:t>
      </w:r>
      <w:r w:rsidR="00BC17B7" w:rsidRPr="00CF6765">
        <w:rPr>
          <w:rFonts w:eastAsia="Calibri"/>
          <w:sz w:val="20"/>
          <w:szCs w:val="20"/>
          <w:lang w:val="en-US" w:eastAsia="es-ES"/>
        </w:rPr>
        <w:t>),</w:t>
      </w:r>
      <w:r w:rsidR="006B2A4D" w:rsidRPr="00CF6765">
        <w:rPr>
          <w:rFonts w:eastAsia="Calibri"/>
          <w:sz w:val="20"/>
          <w:szCs w:val="20"/>
          <w:lang w:val="en-US" w:eastAsia="es-ES"/>
        </w:rPr>
        <w:t xml:space="preserve"> Vinicio </w:t>
      </w:r>
      <w:r w:rsidR="00BC17B7" w:rsidRPr="00CF6765">
        <w:rPr>
          <w:rFonts w:eastAsia="Calibri"/>
          <w:sz w:val="20"/>
          <w:szCs w:val="20"/>
          <w:lang w:val="en-US" w:eastAsia="es-ES"/>
        </w:rPr>
        <w:t xml:space="preserve">Marco </w:t>
      </w:r>
      <w:r w:rsidR="006B2A4D" w:rsidRPr="00CF6765">
        <w:rPr>
          <w:rFonts w:eastAsia="Calibri"/>
          <w:sz w:val="20"/>
          <w:szCs w:val="20"/>
          <w:lang w:val="en-US" w:eastAsia="es-ES"/>
        </w:rPr>
        <w:t>Poblete Tapia</w:t>
      </w:r>
      <w:r w:rsidR="00EC50FC" w:rsidRPr="00CF6765">
        <w:rPr>
          <w:rFonts w:eastAsia="Calibri"/>
          <w:sz w:val="20"/>
          <w:szCs w:val="20"/>
          <w:lang w:val="en-US" w:eastAsia="es-ES"/>
        </w:rPr>
        <w:t xml:space="preserve"> and </w:t>
      </w:r>
      <w:proofErr w:type="spellStart"/>
      <w:r w:rsidR="006B2A4D" w:rsidRPr="00CF6765">
        <w:rPr>
          <w:rFonts w:eastAsia="Calibri"/>
          <w:sz w:val="20"/>
          <w:szCs w:val="20"/>
          <w:lang w:val="en-US" w:eastAsia="es-ES"/>
        </w:rPr>
        <w:t>Cesia</w:t>
      </w:r>
      <w:proofErr w:type="spellEnd"/>
      <w:r w:rsidR="006B2A4D" w:rsidRPr="00CF6765">
        <w:rPr>
          <w:rFonts w:eastAsia="Calibri"/>
          <w:sz w:val="20"/>
          <w:szCs w:val="20"/>
          <w:lang w:val="en-US" w:eastAsia="es-ES"/>
        </w:rPr>
        <w:t xml:space="preserve"> Poblete Tapia</w:t>
      </w:r>
      <w:r w:rsidR="00CF1A0B" w:rsidRPr="00CF6765">
        <w:rPr>
          <w:rFonts w:eastAsia="Calibri"/>
          <w:sz w:val="20"/>
          <w:szCs w:val="20"/>
          <w:lang w:val="en-US" w:eastAsia="es-ES"/>
        </w:rPr>
        <w:t xml:space="preserve"> are the “injured party”</w:t>
      </w:r>
      <w:r w:rsidR="00AB34B8" w:rsidRPr="00CF6765">
        <w:rPr>
          <w:rFonts w:eastAsia="Calibri"/>
          <w:sz w:val="20"/>
          <w:szCs w:val="20"/>
          <w:lang w:val="en-US" w:eastAsia="es-ES"/>
        </w:rPr>
        <w:t xml:space="preserve"> (</w:t>
      </w:r>
      <w:r w:rsidR="00AB34B8" w:rsidRPr="00CF6765">
        <w:rPr>
          <w:rFonts w:eastAsia="Calibri"/>
          <w:i/>
          <w:sz w:val="20"/>
          <w:szCs w:val="20"/>
          <w:lang w:val="en-US" w:eastAsia="es-ES"/>
        </w:rPr>
        <w:t>supra</w:t>
      </w:r>
      <w:r w:rsidR="00AB34B8" w:rsidRPr="00CF6765">
        <w:rPr>
          <w:rFonts w:eastAsia="Calibri"/>
          <w:sz w:val="20"/>
          <w:szCs w:val="20"/>
          <w:lang w:val="en-US" w:eastAsia="es-ES"/>
        </w:rPr>
        <w:t xml:space="preserve"> </w:t>
      </w:r>
      <w:r w:rsidR="00EC50FC" w:rsidRPr="00CF6765">
        <w:rPr>
          <w:rFonts w:eastAsia="Calibri"/>
          <w:sz w:val="20"/>
          <w:szCs w:val="20"/>
          <w:lang w:val="en-US" w:eastAsia="es-ES"/>
        </w:rPr>
        <w:t>para.</w:t>
      </w:r>
      <w:r w:rsidR="00AB34B8" w:rsidRPr="00CF6765">
        <w:rPr>
          <w:rFonts w:eastAsia="Calibri"/>
          <w:sz w:val="20"/>
          <w:szCs w:val="20"/>
          <w:lang w:val="en-US" w:eastAsia="es-ES"/>
        </w:rPr>
        <w:t xml:space="preserve"> 41)</w:t>
      </w:r>
      <w:r w:rsidR="006B2A4D" w:rsidRPr="00CF6765">
        <w:rPr>
          <w:rFonts w:eastAsia="Calibri"/>
          <w:sz w:val="20"/>
          <w:szCs w:val="20"/>
          <w:lang w:val="en-US" w:eastAsia="es-ES"/>
        </w:rPr>
        <w:t>.</w:t>
      </w:r>
    </w:p>
    <w:p w14:paraId="1B03B676" w14:textId="77777777" w:rsidR="00121AA0" w:rsidRPr="00CF6765" w:rsidRDefault="00121AA0" w:rsidP="00121AA0">
      <w:pPr>
        <w:widowControl w:val="0"/>
        <w:tabs>
          <w:tab w:val="left" w:pos="567"/>
          <w:tab w:val="num" w:pos="12305"/>
        </w:tabs>
        <w:adjustRightInd w:val="0"/>
        <w:textAlignment w:val="baseline"/>
        <w:rPr>
          <w:rFonts w:eastAsia="Calibri"/>
          <w:b/>
          <w:sz w:val="20"/>
          <w:szCs w:val="20"/>
          <w:lang w:val="en-US" w:eastAsia="es-ES"/>
        </w:rPr>
      </w:pPr>
    </w:p>
    <w:p w14:paraId="787B7D0B" w14:textId="5217CCBD" w:rsidR="00121AA0" w:rsidRPr="00CF6765" w:rsidRDefault="002E41A8" w:rsidP="002726E0">
      <w:pPr>
        <w:pStyle w:val="Ttulo2"/>
        <w:numPr>
          <w:ilvl w:val="0"/>
          <w:numId w:val="13"/>
        </w:numPr>
        <w:rPr>
          <w:lang w:val="en-US"/>
        </w:rPr>
      </w:pPr>
      <w:bookmarkStart w:id="118" w:name="_Toc47864401"/>
      <w:r w:rsidRPr="00CF6765">
        <w:rPr>
          <w:lang w:val="en-US"/>
        </w:rPr>
        <w:t>Investigation</w:t>
      </w:r>
      <w:bookmarkEnd w:id="118"/>
      <w:r w:rsidR="00121AA0" w:rsidRPr="00CF6765">
        <w:rPr>
          <w:lang w:val="en-US"/>
        </w:rPr>
        <w:t xml:space="preserve"> </w:t>
      </w:r>
    </w:p>
    <w:p w14:paraId="34790755" w14:textId="77777777" w:rsidR="00121AA0" w:rsidRPr="00CF6765" w:rsidRDefault="00121AA0" w:rsidP="00121AA0">
      <w:pPr>
        <w:keepNext/>
        <w:keepLines/>
        <w:outlineLvl w:val="1"/>
        <w:rPr>
          <w:b/>
          <w:bCs/>
          <w:i/>
          <w:sz w:val="20"/>
          <w:szCs w:val="20"/>
          <w:lang w:val="en-US" w:eastAsia="en-US"/>
        </w:rPr>
      </w:pPr>
    </w:p>
    <w:p w14:paraId="221B16C8" w14:textId="05818DAF" w:rsidR="00121AA0" w:rsidRPr="00CF6765" w:rsidRDefault="005C731C" w:rsidP="00CF1A0B">
      <w:pPr>
        <w:widowControl w:val="0"/>
        <w:numPr>
          <w:ilvl w:val="0"/>
          <w:numId w:val="2"/>
        </w:numPr>
        <w:tabs>
          <w:tab w:val="left" w:pos="567"/>
          <w:tab w:val="num" w:pos="1569"/>
          <w:tab w:val="num" w:pos="12305"/>
        </w:tabs>
        <w:adjustRightInd w:val="0"/>
        <w:ind w:left="0" w:firstLine="0"/>
        <w:textAlignment w:val="baseline"/>
        <w:rPr>
          <w:rFonts w:ascii="Mangal" w:eastAsia="Calibri" w:hAnsi="Mangal" w:cs="Mangal"/>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Commission</w:t>
      </w:r>
      <w:r w:rsidR="00121AA0" w:rsidRPr="00CF6765">
        <w:rPr>
          <w:rFonts w:eastAsia="Calibri"/>
          <w:sz w:val="20"/>
          <w:szCs w:val="20"/>
          <w:lang w:val="en-US" w:eastAsia="es-ES"/>
        </w:rPr>
        <w:t xml:space="preserve"> </w:t>
      </w:r>
      <w:r w:rsidR="00CF1A0B" w:rsidRPr="00CF6765">
        <w:rPr>
          <w:rFonts w:eastAsia="Calibri"/>
          <w:sz w:val="20"/>
          <w:szCs w:val="20"/>
          <w:lang w:val="en-US" w:eastAsia="es-ES"/>
        </w:rPr>
        <w:t>asked that</w:t>
      </w:r>
      <w:r w:rsidR="00121AA0" w:rsidRPr="00CF6765">
        <w:rPr>
          <w:rFonts w:eastAsia="Calibri"/>
          <w:sz w:val="20"/>
          <w:szCs w:val="20"/>
          <w:lang w:val="en-US" w:eastAsia="es-ES"/>
        </w:rPr>
        <w:t xml:space="preserve"> </w:t>
      </w:r>
      <w:r w:rsidR="00EC50FC" w:rsidRPr="00CF6765">
        <w:rPr>
          <w:rFonts w:eastAsia="Calibri"/>
          <w:sz w:val="20"/>
          <w:szCs w:val="20"/>
          <w:lang w:val="en-US" w:eastAsia="es-ES"/>
        </w:rPr>
        <w:t>the State</w:t>
      </w:r>
      <w:r w:rsidR="00121AA0" w:rsidRPr="00CF6765">
        <w:rPr>
          <w:rFonts w:eastAsia="Calibri"/>
          <w:sz w:val="20"/>
          <w:szCs w:val="20"/>
          <w:lang w:val="en-US" w:eastAsia="es-ES"/>
        </w:rPr>
        <w:t xml:space="preserve"> </w:t>
      </w:r>
      <w:r w:rsidR="00CF1A0B" w:rsidRPr="00CF6765">
        <w:rPr>
          <w:rFonts w:eastAsia="Calibri"/>
          <w:sz w:val="20"/>
          <w:szCs w:val="20"/>
          <w:lang w:val="en-US" w:eastAsia="es-ES"/>
        </w:rPr>
        <w:t>undertake a “thorough and effective investigation” in order to clarify what happened and, if necessary, “</w:t>
      </w:r>
      <w:r w:rsidR="0090740B" w:rsidRPr="00CF6765">
        <w:rPr>
          <w:rFonts w:eastAsia="Calibri"/>
          <w:sz w:val="20"/>
          <w:szCs w:val="20"/>
          <w:lang w:val="en-US" w:eastAsia="es-ES"/>
        </w:rPr>
        <w:t>impose</w:t>
      </w:r>
      <w:r w:rsidR="00CF1A0B" w:rsidRPr="00CF6765">
        <w:rPr>
          <w:rFonts w:eastAsia="Calibri"/>
          <w:sz w:val="20"/>
          <w:szCs w:val="20"/>
          <w:lang w:val="en-US" w:eastAsia="es-ES"/>
        </w:rPr>
        <w:t xml:space="preserve"> the corresponding sanctions.”</w:t>
      </w:r>
      <w:r w:rsidR="00121AA0" w:rsidRPr="00CF6765">
        <w:rPr>
          <w:rFonts w:eastAsia="Calibri"/>
          <w:sz w:val="20"/>
          <w:szCs w:val="20"/>
          <w:lang w:val="en-US" w:eastAsia="es-ES"/>
        </w:rPr>
        <w:t xml:space="preserve"> </w:t>
      </w:r>
      <w:r w:rsidR="00CF1A0B" w:rsidRPr="00CF6765">
        <w:rPr>
          <w:rFonts w:eastAsia="Calibri"/>
          <w:sz w:val="20"/>
          <w:szCs w:val="20"/>
          <w:lang w:val="en-US" w:eastAsia="es-ES"/>
        </w:rPr>
        <w:t>T</w:t>
      </w:r>
      <w:r w:rsidRPr="00CF6765">
        <w:rPr>
          <w:rFonts w:eastAsia="Calibri"/>
          <w:sz w:val="20"/>
          <w:szCs w:val="20"/>
          <w:lang w:val="en-US" w:eastAsia="es-ES"/>
        </w:rPr>
        <w:t>he Commission</w:t>
      </w:r>
      <w:r w:rsidR="00121AA0" w:rsidRPr="00CF6765">
        <w:rPr>
          <w:rFonts w:eastAsia="Calibri"/>
          <w:sz w:val="20"/>
          <w:szCs w:val="20"/>
          <w:lang w:val="en-US" w:eastAsia="es-ES"/>
        </w:rPr>
        <w:t xml:space="preserve"> declar</w:t>
      </w:r>
      <w:r w:rsidR="00CF1A0B" w:rsidRPr="00CF6765">
        <w:rPr>
          <w:rFonts w:eastAsia="Calibri"/>
          <w:sz w:val="20"/>
          <w:szCs w:val="20"/>
          <w:lang w:val="en-US" w:eastAsia="es-ES"/>
        </w:rPr>
        <w:t xml:space="preserve">ed that the State must continue the investigation </w:t>
      </w:r>
      <w:r w:rsidR="001E55C3" w:rsidRPr="00CF6765">
        <w:rPr>
          <w:rFonts w:eastAsia="Calibri"/>
          <w:sz w:val="20"/>
          <w:szCs w:val="20"/>
          <w:lang w:val="en-US" w:eastAsia="es-ES"/>
        </w:rPr>
        <w:t>reopen</w:t>
      </w:r>
      <w:r w:rsidR="00CF1A0B" w:rsidRPr="00CF6765">
        <w:rPr>
          <w:rFonts w:eastAsia="Calibri"/>
          <w:sz w:val="20"/>
          <w:szCs w:val="20"/>
          <w:lang w:val="en-US" w:eastAsia="es-ES"/>
        </w:rPr>
        <w:t>ed in 2008 or open a new investigation that can overcome the obstacles that prevented “obtaining justice” in the initial investigation. The Commission reiterated the importance of reparations in relation to the need to clarify, effectively and completely, the acts or omissions that resulted in the international responsibility of the State, including aspects of a structural nature in relation to the medical care received by</w:t>
      </w:r>
      <w:r w:rsidR="00CF1A0B" w:rsidRPr="00CF6765">
        <w:rPr>
          <w:rFonts w:ascii="Mangal" w:eastAsia="Calibri" w:hAnsi="Mangal" w:cs="Mangal"/>
          <w:sz w:val="20"/>
          <w:szCs w:val="20"/>
          <w:lang w:val="en-US" w:eastAsia="es-ES"/>
        </w:rPr>
        <w:t xml:space="preserve"> </w:t>
      </w:r>
      <w:r w:rsidR="00D2168F" w:rsidRPr="00CF6765">
        <w:rPr>
          <w:rFonts w:eastAsia="Calibri"/>
          <w:sz w:val="20"/>
          <w:szCs w:val="20"/>
          <w:lang w:val="en-US" w:eastAsia="es-ES"/>
        </w:rPr>
        <w:t>Mr. Poblete</w:t>
      </w:r>
      <w:r w:rsidR="00121AA0" w:rsidRPr="00CF6765">
        <w:rPr>
          <w:rFonts w:eastAsia="Calibri"/>
          <w:sz w:val="20"/>
          <w:szCs w:val="20"/>
          <w:lang w:val="en-US" w:eastAsia="es-ES"/>
        </w:rPr>
        <w:t xml:space="preserve"> </w:t>
      </w:r>
      <w:proofErr w:type="spellStart"/>
      <w:r w:rsidR="00121AA0" w:rsidRPr="00CF6765">
        <w:rPr>
          <w:rFonts w:eastAsia="Calibri"/>
          <w:sz w:val="20"/>
          <w:szCs w:val="20"/>
          <w:lang w:val="en-US" w:eastAsia="es-ES"/>
        </w:rPr>
        <w:t>Vilches</w:t>
      </w:r>
      <w:proofErr w:type="spellEnd"/>
      <w:r w:rsidR="00AB34B8" w:rsidRPr="00CF6765">
        <w:rPr>
          <w:rFonts w:eastAsia="Calibri"/>
          <w:sz w:val="20"/>
          <w:szCs w:val="20"/>
          <w:lang w:val="en-US" w:eastAsia="es-ES"/>
        </w:rPr>
        <w:t>.</w:t>
      </w:r>
    </w:p>
    <w:p w14:paraId="0445B467" w14:textId="77777777" w:rsidR="00121AA0" w:rsidRPr="00CF6765" w:rsidRDefault="00121AA0" w:rsidP="00121AA0">
      <w:pPr>
        <w:widowControl w:val="0"/>
        <w:tabs>
          <w:tab w:val="left" w:pos="567"/>
          <w:tab w:val="num" w:pos="12305"/>
        </w:tabs>
        <w:adjustRightInd w:val="0"/>
        <w:textAlignment w:val="baseline"/>
        <w:rPr>
          <w:rFonts w:eastAsia="Calibri" w:cs="Mangal"/>
          <w:sz w:val="20"/>
          <w:szCs w:val="20"/>
          <w:lang w:val="en-US" w:eastAsia="es-ES"/>
        </w:rPr>
      </w:pPr>
    </w:p>
    <w:p w14:paraId="01267A4F" w14:textId="1F38B71D" w:rsidR="00121AA0" w:rsidRPr="00CF6765" w:rsidRDefault="00D2168F" w:rsidP="00121AA0">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representatives</w:t>
      </w:r>
      <w:r w:rsidR="00121AA0" w:rsidRPr="00CF6765">
        <w:rPr>
          <w:rFonts w:eastAsia="Calibri"/>
          <w:sz w:val="20"/>
          <w:szCs w:val="20"/>
          <w:lang w:val="en-US" w:eastAsia="es-ES"/>
        </w:rPr>
        <w:t xml:space="preserve"> a</w:t>
      </w:r>
      <w:r w:rsidR="00CF1A0B" w:rsidRPr="00CF6765">
        <w:rPr>
          <w:rFonts w:eastAsia="Calibri"/>
          <w:sz w:val="20"/>
          <w:szCs w:val="20"/>
          <w:lang w:val="en-US" w:eastAsia="es-ES"/>
        </w:rPr>
        <w:t xml:space="preserve">lso asked that the State be ordered to </w:t>
      </w:r>
      <w:r w:rsidR="001E55C3" w:rsidRPr="00CF6765">
        <w:rPr>
          <w:rFonts w:eastAsia="Calibri"/>
          <w:sz w:val="20"/>
          <w:szCs w:val="20"/>
          <w:lang w:val="en-US" w:eastAsia="es-ES"/>
        </w:rPr>
        <w:t>reopen</w:t>
      </w:r>
      <w:r w:rsidR="00CF1A0B" w:rsidRPr="00CF6765">
        <w:rPr>
          <w:rFonts w:eastAsia="Calibri"/>
          <w:sz w:val="20"/>
          <w:szCs w:val="20"/>
          <w:lang w:val="en-US" w:eastAsia="es-ES"/>
        </w:rPr>
        <w:t xml:space="preserve"> the criminal investigation and issue the relevant administrative instructions to </w:t>
      </w:r>
      <w:r w:rsidR="000207FC" w:rsidRPr="00CF6765">
        <w:rPr>
          <w:rFonts w:eastAsia="Calibri"/>
          <w:sz w:val="20"/>
          <w:szCs w:val="20"/>
          <w:lang w:val="en-US" w:eastAsia="es-ES"/>
        </w:rPr>
        <w:t>ascertain</w:t>
      </w:r>
      <w:r w:rsidR="00CF1A0B" w:rsidRPr="00CF6765">
        <w:rPr>
          <w:rFonts w:eastAsia="Calibri"/>
          <w:sz w:val="20"/>
          <w:szCs w:val="20"/>
          <w:lang w:val="en-US" w:eastAsia="es-ES"/>
        </w:rPr>
        <w:t xml:space="preserve"> the causes and responsibilities in the case.</w:t>
      </w:r>
    </w:p>
    <w:p w14:paraId="3C2EE697" w14:textId="77777777" w:rsidR="00121AA0" w:rsidRPr="00CF6765" w:rsidRDefault="00121AA0" w:rsidP="00121AA0">
      <w:pPr>
        <w:widowControl w:val="0"/>
        <w:tabs>
          <w:tab w:val="left" w:pos="567"/>
          <w:tab w:val="num" w:pos="12305"/>
        </w:tabs>
        <w:adjustRightInd w:val="0"/>
        <w:textAlignment w:val="baseline"/>
        <w:rPr>
          <w:rFonts w:eastAsia="Calibri"/>
          <w:sz w:val="20"/>
          <w:szCs w:val="20"/>
          <w:lang w:val="en-US" w:eastAsia="es-ES"/>
        </w:rPr>
      </w:pPr>
    </w:p>
    <w:p w14:paraId="73182749" w14:textId="2B20881C" w:rsidR="00CF1A0B" w:rsidRPr="00CF6765" w:rsidRDefault="00EC50FC" w:rsidP="00121AA0">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State</w:t>
      </w:r>
      <w:r w:rsidR="00121AA0" w:rsidRPr="00CF6765">
        <w:rPr>
          <w:rFonts w:eastAsia="Calibri"/>
          <w:sz w:val="20"/>
          <w:szCs w:val="20"/>
          <w:lang w:val="en-US" w:eastAsia="es-ES"/>
        </w:rPr>
        <w:t xml:space="preserve"> </w:t>
      </w:r>
      <w:r w:rsidR="00CF1A0B" w:rsidRPr="00CF6765">
        <w:rPr>
          <w:rFonts w:eastAsia="Calibri"/>
          <w:sz w:val="20"/>
          <w:szCs w:val="20"/>
          <w:lang w:val="en-US" w:eastAsia="es-ES"/>
        </w:rPr>
        <w:t xml:space="preserve">referred to a series of procedures requested by the complainants, which were </w:t>
      </w:r>
      <w:r w:rsidR="00CF1A0B" w:rsidRPr="00CF6765">
        <w:rPr>
          <w:rFonts w:eastAsia="Calibri"/>
          <w:sz w:val="20"/>
          <w:szCs w:val="20"/>
          <w:lang w:val="en-US" w:eastAsia="es-ES"/>
        </w:rPr>
        <w:lastRenderedPageBreak/>
        <w:t xml:space="preserve">granted during both the first </w:t>
      </w:r>
      <w:r w:rsidR="000207FC" w:rsidRPr="00CF6765">
        <w:rPr>
          <w:rFonts w:eastAsia="Calibri"/>
          <w:sz w:val="20"/>
          <w:szCs w:val="20"/>
          <w:lang w:val="en-US" w:eastAsia="es-ES"/>
        </w:rPr>
        <w:t>and the</w:t>
      </w:r>
      <w:r w:rsidR="00CF1A0B" w:rsidRPr="00CF6765">
        <w:rPr>
          <w:rFonts w:eastAsia="Calibri"/>
          <w:sz w:val="20"/>
          <w:szCs w:val="20"/>
          <w:lang w:val="en-US" w:eastAsia="es-ES"/>
        </w:rPr>
        <w:t xml:space="preserve"> second complaints.</w:t>
      </w:r>
      <w:r w:rsidR="006C5D5C" w:rsidRPr="00CF6765">
        <w:rPr>
          <w:rFonts w:eastAsia="Calibri"/>
          <w:sz w:val="20"/>
          <w:szCs w:val="20"/>
          <w:lang w:val="en-US" w:eastAsia="es-ES"/>
        </w:rPr>
        <w:t xml:space="preserve"> In its final arguments, in response to a question posed by the Court regarding the possible prescription of the criminal action, the State referred to its domestic criminal laws and conclud</w:t>
      </w:r>
      <w:r w:rsidR="000207FC" w:rsidRPr="00CF6765">
        <w:rPr>
          <w:rFonts w:eastAsia="Calibri"/>
          <w:sz w:val="20"/>
          <w:szCs w:val="20"/>
          <w:lang w:val="en-US" w:eastAsia="es-ES"/>
        </w:rPr>
        <w:t>ed</w:t>
      </w:r>
      <w:r w:rsidR="006C5D5C" w:rsidRPr="00CF6765">
        <w:rPr>
          <w:rFonts w:eastAsia="Calibri"/>
          <w:sz w:val="20"/>
          <w:szCs w:val="20"/>
          <w:lang w:val="en-US" w:eastAsia="es-ES"/>
        </w:rPr>
        <w:t xml:space="preserve"> that the statute of limitations for the criminal actions in this case </w:t>
      </w:r>
      <w:r w:rsidR="000207FC" w:rsidRPr="00CF6765">
        <w:rPr>
          <w:rFonts w:eastAsia="Calibri"/>
          <w:sz w:val="20"/>
          <w:szCs w:val="20"/>
          <w:lang w:val="en-US" w:eastAsia="es-ES"/>
        </w:rPr>
        <w:t>was</w:t>
      </w:r>
      <w:r w:rsidR="006C5D5C" w:rsidRPr="00CF6765">
        <w:rPr>
          <w:rFonts w:eastAsia="Calibri"/>
          <w:sz w:val="20"/>
          <w:szCs w:val="20"/>
          <w:lang w:val="en-US" w:eastAsia="es-ES"/>
        </w:rPr>
        <w:t xml:space="preserve"> five years. Regarding the calculation of this time frame, it indicated that </w:t>
      </w:r>
      <w:r w:rsidR="000207FC" w:rsidRPr="00CF6765">
        <w:rPr>
          <w:rFonts w:eastAsia="Calibri"/>
          <w:sz w:val="20"/>
          <w:szCs w:val="20"/>
          <w:lang w:val="en-US" w:eastAsia="es-ES"/>
        </w:rPr>
        <w:t>this</w:t>
      </w:r>
      <w:r w:rsidR="006C5D5C" w:rsidRPr="00CF6765">
        <w:rPr>
          <w:rFonts w:eastAsia="Calibri"/>
          <w:sz w:val="20"/>
          <w:szCs w:val="20"/>
          <w:lang w:val="en-US" w:eastAsia="es-ES"/>
        </w:rPr>
        <w:t xml:space="preserve"> started on the day the offense was committed. </w:t>
      </w:r>
      <w:r w:rsidR="00D963B6" w:rsidRPr="00CF6765">
        <w:rPr>
          <w:rFonts w:eastAsia="Calibri"/>
          <w:sz w:val="20"/>
          <w:szCs w:val="20"/>
          <w:lang w:val="en-US" w:eastAsia="es-ES"/>
        </w:rPr>
        <w:t>It</w:t>
      </w:r>
      <w:r w:rsidR="006C5D5C" w:rsidRPr="00CF6765">
        <w:rPr>
          <w:rFonts w:eastAsia="Calibri"/>
          <w:sz w:val="20"/>
          <w:szCs w:val="20"/>
          <w:lang w:val="en-US" w:eastAsia="es-ES"/>
        </w:rPr>
        <w:t xml:space="preserve"> added that</w:t>
      </w:r>
      <w:r w:rsidR="00D963B6" w:rsidRPr="00CF6765">
        <w:rPr>
          <w:rFonts w:eastAsia="Calibri"/>
          <w:sz w:val="20"/>
          <w:szCs w:val="20"/>
          <w:lang w:val="en-US" w:eastAsia="es-ES"/>
        </w:rPr>
        <w:t xml:space="preserve"> although</w:t>
      </w:r>
      <w:r w:rsidR="000207FC" w:rsidRPr="00CF6765">
        <w:rPr>
          <w:rFonts w:eastAsia="Calibri"/>
          <w:sz w:val="20"/>
          <w:szCs w:val="20"/>
          <w:lang w:val="en-US" w:eastAsia="es-ES"/>
        </w:rPr>
        <w:t xml:space="preserve"> the </w:t>
      </w:r>
      <w:r w:rsidR="006C5D5C" w:rsidRPr="00CF6765">
        <w:rPr>
          <w:rFonts w:eastAsia="Calibri"/>
          <w:sz w:val="20"/>
          <w:szCs w:val="20"/>
          <w:lang w:val="en-US" w:eastAsia="es-ES"/>
        </w:rPr>
        <w:t xml:space="preserve">prescription was suspended from the moment the proceedings </w:t>
      </w:r>
      <w:r w:rsidR="00D963B6" w:rsidRPr="00CF6765">
        <w:rPr>
          <w:rFonts w:eastAsia="Calibri"/>
          <w:sz w:val="20"/>
          <w:szCs w:val="20"/>
          <w:lang w:val="en-US" w:eastAsia="es-ES"/>
        </w:rPr>
        <w:t xml:space="preserve">were held </w:t>
      </w:r>
      <w:r w:rsidR="006C5D5C" w:rsidRPr="00CF6765">
        <w:rPr>
          <w:rFonts w:eastAsia="Calibri"/>
          <w:sz w:val="20"/>
          <w:szCs w:val="20"/>
          <w:lang w:val="en-US" w:eastAsia="es-ES"/>
        </w:rPr>
        <w:t xml:space="preserve">against the </w:t>
      </w:r>
      <w:r w:rsidR="000207FC" w:rsidRPr="00CF6765">
        <w:rPr>
          <w:rFonts w:eastAsia="Calibri"/>
          <w:sz w:val="20"/>
          <w:szCs w:val="20"/>
          <w:lang w:val="en-US" w:eastAsia="es-ES"/>
        </w:rPr>
        <w:t>defendant</w:t>
      </w:r>
      <w:r w:rsidR="00D963B6" w:rsidRPr="00CF6765">
        <w:rPr>
          <w:rFonts w:eastAsia="Calibri"/>
          <w:sz w:val="20"/>
          <w:szCs w:val="20"/>
          <w:lang w:val="en-US" w:eastAsia="es-ES"/>
        </w:rPr>
        <w:t xml:space="preserve">, </w:t>
      </w:r>
      <w:r w:rsidR="006C5D5C" w:rsidRPr="00CF6765">
        <w:rPr>
          <w:rFonts w:eastAsia="Calibri"/>
          <w:sz w:val="20"/>
          <w:szCs w:val="20"/>
          <w:lang w:val="en-US" w:eastAsia="es-ES"/>
        </w:rPr>
        <w:t>in June 2008 the criminal proceeding</w:t>
      </w:r>
      <w:r w:rsidR="00D963B6" w:rsidRPr="00CF6765">
        <w:rPr>
          <w:rFonts w:eastAsia="Calibri"/>
          <w:sz w:val="20"/>
          <w:szCs w:val="20"/>
          <w:lang w:val="en-US" w:eastAsia="es-ES"/>
        </w:rPr>
        <w:t xml:space="preserve">s were stalled </w:t>
      </w:r>
      <w:r w:rsidR="006C5D5C" w:rsidRPr="00CF6765">
        <w:rPr>
          <w:rFonts w:eastAsia="Calibri"/>
          <w:sz w:val="20"/>
          <w:szCs w:val="20"/>
          <w:lang w:val="en-US" w:eastAsia="es-ES"/>
        </w:rPr>
        <w:t>and, as a result, the calculation of the prescription continued as if it had never been suspended.</w:t>
      </w:r>
    </w:p>
    <w:p w14:paraId="35FB2F79" w14:textId="77777777" w:rsidR="00121AA0" w:rsidRPr="00CF6765" w:rsidRDefault="00121AA0" w:rsidP="00121AA0">
      <w:pPr>
        <w:widowControl w:val="0"/>
        <w:tabs>
          <w:tab w:val="left" w:pos="567"/>
          <w:tab w:val="num" w:pos="12305"/>
        </w:tabs>
        <w:adjustRightInd w:val="0"/>
        <w:textAlignment w:val="baseline"/>
        <w:rPr>
          <w:rFonts w:eastAsia="Calibri"/>
          <w:sz w:val="20"/>
          <w:szCs w:val="20"/>
          <w:lang w:val="en-US" w:eastAsia="es-ES"/>
        </w:rPr>
      </w:pPr>
    </w:p>
    <w:p w14:paraId="005908F5" w14:textId="1C260F58" w:rsidR="00121AA0" w:rsidRPr="00CF6765" w:rsidRDefault="005C731C" w:rsidP="006C5D5C">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006C5D5C" w:rsidRPr="00CF6765">
        <w:rPr>
          <w:rFonts w:eastAsia="Calibri"/>
          <w:sz w:val="20"/>
          <w:szCs w:val="20"/>
          <w:lang w:val="en-US" w:eastAsia="es-ES"/>
        </w:rPr>
        <w:t>Court, in its case law, has indicated that, in criminal matters, prescription determines the extinction of the punitive claims owing to the passage of time and that, generally, this limits the punitive power of the State to prosecute the unlawful conduct and to punish the perpetrators. Consequently, and because the facts of this case have prescribed under Chilean law, the Court finds that, taking into account the type of violation proved,</w:t>
      </w:r>
      <w:r w:rsidR="00121AA0" w:rsidRPr="00CF6765">
        <w:rPr>
          <w:rFonts w:eastAsia="Calibri"/>
          <w:sz w:val="20"/>
          <w:szCs w:val="20"/>
          <w:vertAlign w:val="superscript"/>
          <w:lang w:val="en-US" w:eastAsia="es-ES"/>
        </w:rPr>
        <w:footnoteReference w:id="308"/>
      </w:r>
      <w:r w:rsidR="006C5D5C" w:rsidRPr="00CF6765">
        <w:rPr>
          <w:rFonts w:eastAsia="Calibri"/>
          <w:sz w:val="20"/>
          <w:szCs w:val="20"/>
          <w:lang w:val="en-US" w:eastAsia="es-ES"/>
        </w:rPr>
        <w:t xml:space="preserve"> </w:t>
      </w:r>
      <w:r w:rsidR="00D963B6" w:rsidRPr="00CF6765">
        <w:rPr>
          <w:rFonts w:eastAsia="Calibri"/>
          <w:sz w:val="20"/>
          <w:szCs w:val="20"/>
          <w:lang w:val="en-US" w:eastAsia="es-ES"/>
        </w:rPr>
        <w:t xml:space="preserve">in this case </w:t>
      </w:r>
      <w:r w:rsidR="006C5D5C" w:rsidRPr="00CF6765">
        <w:rPr>
          <w:rFonts w:eastAsia="Calibri"/>
          <w:sz w:val="20"/>
          <w:szCs w:val="20"/>
          <w:lang w:val="en-US" w:eastAsia="es-ES"/>
        </w:rPr>
        <w:t xml:space="preserve">it is not appropriate to order the State to </w:t>
      </w:r>
      <w:r w:rsidR="001E55C3" w:rsidRPr="00CF6765">
        <w:rPr>
          <w:rFonts w:eastAsia="Calibri"/>
          <w:sz w:val="20"/>
          <w:szCs w:val="20"/>
          <w:lang w:val="en-US" w:eastAsia="es-ES"/>
        </w:rPr>
        <w:t>reopen</w:t>
      </w:r>
      <w:r w:rsidR="006C5D5C" w:rsidRPr="00CF6765">
        <w:rPr>
          <w:rFonts w:eastAsia="Calibri"/>
          <w:sz w:val="20"/>
          <w:szCs w:val="20"/>
          <w:lang w:val="en-US" w:eastAsia="es-ES"/>
        </w:rPr>
        <w:t xml:space="preserve"> the criminal investigations into the facts relat</w:t>
      </w:r>
      <w:r w:rsidR="00D963B6" w:rsidRPr="00CF6765">
        <w:rPr>
          <w:rFonts w:eastAsia="Calibri"/>
          <w:sz w:val="20"/>
          <w:szCs w:val="20"/>
          <w:lang w:val="en-US" w:eastAsia="es-ES"/>
        </w:rPr>
        <w:t>ing</w:t>
      </w:r>
      <w:r w:rsidR="006C5D5C" w:rsidRPr="00CF6765">
        <w:rPr>
          <w:rFonts w:eastAsia="Calibri"/>
          <w:sz w:val="20"/>
          <w:szCs w:val="20"/>
          <w:lang w:val="en-US" w:eastAsia="es-ES"/>
        </w:rPr>
        <w:t xml:space="preserve"> to the </w:t>
      </w:r>
      <w:r w:rsidR="003626CB" w:rsidRPr="00CF6765">
        <w:rPr>
          <w:rFonts w:eastAsia="Calibri"/>
          <w:sz w:val="20"/>
          <w:szCs w:val="20"/>
          <w:lang w:val="en-US" w:eastAsia="es-ES"/>
        </w:rPr>
        <w:t>death</w:t>
      </w:r>
      <w:r w:rsidR="00121AA0" w:rsidRPr="00CF6765">
        <w:rPr>
          <w:rFonts w:eastAsia="Calibri"/>
          <w:sz w:val="20"/>
          <w:szCs w:val="20"/>
          <w:lang w:val="en-US" w:eastAsia="es-ES"/>
        </w:rPr>
        <w:t xml:space="preserve"> </w:t>
      </w:r>
      <w:r w:rsidR="00D04694" w:rsidRPr="00CF6765">
        <w:rPr>
          <w:rFonts w:eastAsia="Calibri"/>
          <w:sz w:val="20"/>
          <w:szCs w:val="20"/>
          <w:lang w:val="en-US" w:eastAsia="es-ES"/>
        </w:rPr>
        <w:t>of Vinicio</w:t>
      </w:r>
      <w:r w:rsidR="00121AA0" w:rsidRPr="00CF6765">
        <w:rPr>
          <w:rFonts w:eastAsia="Calibri"/>
          <w:sz w:val="20"/>
          <w:szCs w:val="20"/>
          <w:lang w:val="en-US" w:eastAsia="es-ES"/>
        </w:rPr>
        <w:t xml:space="preserve"> Antonio Poblete </w:t>
      </w:r>
      <w:proofErr w:type="spellStart"/>
      <w:r w:rsidR="00121AA0" w:rsidRPr="00CF6765">
        <w:rPr>
          <w:rFonts w:eastAsia="Calibri"/>
          <w:sz w:val="20"/>
          <w:szCs w:val="20"/>
          <w:lang w:val="en-US" w:eastAsia="es-ES"/>
        </w:rPr>
        <w:t>Vilches</w:t>
      </w:r>
      <w:proofErr w:type="spellEnd"/>
      <w:r w:rsidR="00121AA0" w:rsidRPr="00CF6765">
        <w:rPr>
          <w:rFonts w:eastAsia="Calibri"/>
          <w:sz w:val="20"/>
          <w:szCs w:val="20"/>
          <w:lang w:val="en-US" w:eastAsia="es-ES"/>
        </w:rPr>
        <w:t xml:space="preserve"> </w:t>
      </w:r>
      <w:r w:rsidR="006C5D5C" w:rsidRPr="00CF6765">
        <w:rPr>
          <w:rFonts w:eastAsia="Calibri"/>
          <w:sz w:val="20"/>
          <w:szCs w:val="20"/>
          <w:lang w:val="en-US" w:eastAsia="es-ES"/>
        </w:rPr>
        <w:t>in February</w:t>
      </w:r>
      <w:r w:rsidR="00121AA0" w:rsidRPr="00CF6765">
        <w:rPr>
          <w:rFonts w:eastAsia="Calibri"/>
          <w:sz w:val="20"/>
          <w:szCs w:val="20"/>
          <w:lang w:val="en-US" w:eastAsia="es-ES"/>
        </w:rPr>
        <w:t xml:space="preserve"> 2001. </w:t>
      </w:r>
    </w:p>
    <w:p w14:paraId="72B943DE" w14:textId="77777777" w:rsidR="00121AA0" w:rsidRPr="00CF6765" w:rsidRDefault="00121AA0" w:rsidP="005430FF">
      <w:pPr>
        <w:widowControl w:val="0"/>
        <w:tabs>
          <w:tab w:val="left" w:pos="567"/>
        </w:tabs>
        <w:adjustRightInd w:val="0"/>
        <w:textAlignment w:val="baseline"/>
        <w:rPr>
          <w:rFonts w:eastAsia="Calibri"/>
          <w:sz w:val="20"/>
          <w:szCs w:val="20"/>
          <w:lang w:val="en-US" w:eastAsia="es-ES"/>
        </w:rPr>
      </w:pPr>
    </w:p>
    <w:p w14:paraId="486D8393" w14:textId="1AF447A9" w:rsidR="00121AA0" w:rsidRPr="00CF6765" w:rsidRDefault="006C5D5C" w:rsidP="005430FF">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Nevertheless, the Court will establish other measures to redress the violated rights.</w:t>
      </w:r>
      <w:r w:rsidR="00121AA0" w:rsidRPr="00CF6765">
        <w:rPr>
          <w:rFonts w:eastAsia="Calibri"/>
          <w:sz w:val="20"/>
          <w:szCs w:val="20"/>
          <w:lang w:val="en-US" w:eastAsia="es-ES"/>
        </w:rPr>
        <w:t xml:space="preserve"> </w:t>
      </w:r>
    </w:p>
    <w:p w14:paraId="2C5D8415" w14:textId="77777777" w:rsidR="00121AA0" w:rsidRPr="00CF6765" w:rsidRDefault="00121AA0" w:rsidP="006B2A4D">
      <w:pPr>
        <w:widowControl w:val="0"/>
        <w:tabs>
          <w:tab w:val="left" w:pos="567"/>
          <w:tab w:val="num" w:pos="12305"/>
        </w:tabs>
        <w:adjustRightInd w:val="0"/>
        <w:textAlignment w:val="baseline"/>
        <w:rPr>
          <w:rFonts w:eastAsia="Calibri"/>
          <w:sz w:val="20"/>
          <w:szCs w:val="20"/>
          <w:lang w:val="en-US" w:eastAsia="es-ES"/>
        </w:rPr>
      </w:pPr>
    </w:p>
    <w:p w14:paraId="1AA0DFC4" w14:textId="723C7F0E" w:rsidR="006B2A4D" w:rsidRPr="00CF6765" w:rsidRDefault="002E41A8" w:rsidP="002726E0">
      <w:pPr>
        <w:pStyle w:val="Ttulo2"/>
        <w:numPr>
          <w:ilvl w:val="0"/>
          <w:numId w:val="13"/>
        </w:numPr>
        <w:rPr>
          <w:lang w:val="en-US"/>
        </w:rPr>
      </w:pPr>
      <w:bookmarkStart w:id="119" w:name="_Toc47864402"/>
      <w:r w:rsidRPr="00CF6765">
        <w:rPr>
          <w:lang w:val="en-US"/>
        </w:rPr>
        <w:t>Satisfaction</w:t>
      </w:r>
      <w:bookmarkEnd w:id="119"/>
    </w:p>
    <w:p w14:paraId="28B51648" w14:textId="77777777" w:rsidR="006B2A4D" w:rsidRPr="00CF6765" w:rsidRDefault="006B2A4D" w:rsidP="006B2A4D">
      <w:pPr>
        <w:keepNext/>
        <w:keepLines/>
        <w:tabs>
          <w:tab w:val="left" w:pos="720"/>
        </w:tabs>
        <w:outlineLvl w:val="1"/>
        <w:rPr>
          <w:b/>
          <w:bCs/>
          <w:i/>
          <w:sz w:val="20"/>
          <w:szCs w:val="20"/>
          <w:lang w:val="en-US" w:eastAsia="en-US"/>
        </w:rPr>
      </w:pPr>
    </w:p>
    <w:p w14:paraId="462484D9" w14:textId="768A5267" w:rsidR="006B2A4D" w:rsidRPr="00CF6765" w:rsidRDefault="005C731C" w:rsidP="006B2A4D">
      <w:pPr>
        <w:numPr>
          <w:ilvl w:val="0"/>
          <w:numId w:val="2"/>
        </w:numPr>
        <w:tabs>
          <w:tab w:val="left" w:pos="567"/>
          <w:tab w:val="num" w:pos="1569"/>
          <w:tab w:val="num" w:pos="12305"/>
        </w:tabs>
        <w:ind w:left="0" w:firstLine="0"/>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Commission</w:t>
      </w:r>
      <w:r w:rsidR="006B2A4D" w:rsidRPr="00CF6765">
        <w:rPr>
          <w:rFonts w:eastAsia="Calibri"/>
          <w:b/>
          <w:bCs/>
          <w:i/>
          <w:iCs/>
          <w:sz w:val="20"/>
          <w:szCs w:val="20"/>
          <w:lang w:val="en-US" w:eastAsia="es-ES"/>
        </w:rPr>
        <w:t xml:space="preserve"> </w:t>
      </w:r>
      <w:r w:rsidR="006C5D5C" w:rsidRPr="00CF6765">
        <w:rPr>
          <w:rFonts w:eastAsia="Calibri"/>
          <w:sz w:val="20"/>
          <w:szCs w:val="20"/>
          <w:lang w:val="en-US" w:eastAsia="es-ES"/>
        </w:rPr>
        <w:t>asked that, in addition to full repar</w:t>
      </w:r>
      <w:r w:rsidR="00FB2D33" w:rsidRPr="00CF6765">
        <w:rPr>
          <w:rFonts w:eastAsia="Calibri"/>
          <w:sz w:val="20"/>
          <w:szCs w:val="20"/>
          <w:lang w:val="en-US" w:eastAsia="es-ES"/>
        </w:rPr>
        <w:t>a</w:t>
      </w:r>
      <w:r w:rsidR="006C5D5C" w:rsidRPr="00CF6765">
        <w:rPr>
          <w:rFonts w:eastAsia="Calibri"/>
          <w:sz w:val="20"/>
          <w:szCs w:val="20"/>
          <w:lang w:val="en-US" w:eastAsia="es-ES"/>
        </w:rPr>
        <w:t>tion for pecuniary and non-pecuniary harm, “measures of moral satisfaction” should be established.</w:t>
      </w:r>
    </w:p>
    <w:p w14:paraId="0209579F" w14:textId="77777777" w:rsidR="006B2A4D" w:rsidRPr="00CF6765" w:rsidRDefault="006B2A4D" w:rsidP="006B2A4D">
      <w:pPr>
        <w:widowControl w:val="0"/>
        <w:tabs>
          <w:tab w:val="left" w:pos="567"/>
          <w:tab w:val="num" w:pos="12305"/>
        </w:tabs>
        <w:adjustRightInd w:val="0"/>
        <w:textAlignment w:val="baseline"/>
        <w:rPr>
          <w:rFonts w:eastAsia="Calibri"/>
          <w:sz w:val="20"/>
          <w:szCs w:val="20"/>
          <w:lang w:val="en-US" w:eastAsia="es-ES"/>
        </w:rPr>
      </w:pPr>
    </w:p>
    <w:p w14:paraId="3B73199F" w14:textId="5E7A4B63" w:rsidR="006B2A4D" w:rsidRPr="00CF6765" w:rsidRDefault="00D2168F"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bookmarkStart w:id="120" w:name="_Toc472528612"/>
      <w:r w:rsidRPr="00CF6765">
        <w:rPr>
          <w:rFonts w:eastAsia="Calibri"/>
          <w:sz w:val="20"/>
          <w:szCs w:val="20"/>
          <w:lang w:val="en-US" w:eastAsia="es-ES"/>
        </w:rPr>
        <w:t xml:space="preserve">The </w:t>
      </w:r>
      <w:r w:rsidRPr="00CF6765">
        <w:rPr>
          <w:rFonts w:eastAsia="Calibri"/>
          <w:b/>
          <w:bCs/>
          <w:i/>
          <w:iCs/>
          <w:sz w:val="20"/>
          <w:szCs w:val="20"/>
          <w:lang w:val="en-US" w:eastAsia="es-ES"/>
        </w:rPr>
        <w:t>representatives</w:t>
      </w:r>
      <w:r w:rsidR="006B2A4D" w:rsidRPr="00CF6765">
        <w:rPr>
          <w:rFonts w:eastAsia="Calibri"/>
          <w:sz w:val="20"/>
          <w:szCs w:val="20"/>
          <w:lang w:val="en-US" w:eastAsia="es-ES"/>
        </w:rPr>
        <w:t xml:space="preserve"> </w:t>
      </w:r>
      <w:bookmarkEnd w:id="120"/>
      <w:r w:rsidR="00183A4E" w:rsidRPr="00CF6765">
        <w:rPr>
          <w:rFonts w:eastAsia="Calibri"/>
          <w:sz w:val="20"/>
          <w:szCs w:val="20"/>
          <w:lang w:val="en-US" w:eastAsia="es-ES"/>
        </w:rPr>
        <w:t xml:space="preserve">asked that </w:t>
      </w:r>
      <w:r w:rsidR="00D963B6" w:rsidRPr="00CF6765">
        <w:rPr>
          <w:rFonts w:eastAsia="Calibri"/>
          <w:sz w:val="20"/>
          <w:szCs w:val="20"/>
          <w:lang w:val="en-US" w:eastAsia="es-ES"/>
        </w:rPr>
        <w:t xml:space="preserve">for the publication of the whole </w:t>
      </w:r>
      <w:r w:rsidR="00183A4E" w:rsidRPr="00CF6765">
        <w:rPr>
          <w:rFonts w:eastAsia="Calibri"/>
          <w:sz w:val="20"/>
          <w:szCs w:val="20"/>
          <w:lang w:val="en-US" w:eastAsia="es-ES"/>
        </w:rPr>
        <w:t xml:space="preserve">judgment “in three newspapers with widespread circulation in the country” and in the Official Record of Chile, as well as “the elaboration and publication of a leaflet” with the summary of </w:t>
      </w:r>
      <w:r w:rsidR="00E721B3" w:rsidRPr="00CF6765">
        <w:rPr>
          <w:rFonts w:eastAsia="Calibri"/>
          <w:sz w:val="20"/>
          <w:szCs w:val="20"/>
          <w:lang w:val="en-US" w:eastAsia="es-ES"/>
        </w:rPr>
        <w:t>the judgment</w:t>
      </w:r>
      <w:r w:rsidR="00AB34B8" w:rsidRPr="00CF6765">
        <w:rPr>
          <w:rFonts w:eastAsia="Calibri"/>
          <w:sz w:val="20"/>
          <w:szCs w:val="20"/>
          <w:lang w:val="en-US" w:eastAsia="es-ES"/>
        </w:rPr>
        <w:t>.</w:t>
      </w:r>
    </w:p>
    <w:p w14:paraId="49AABEB5" w14:textId="77777777" w:rsidR="006B2A4D" w:rsidRPr="00CF6765" w:rsidRDefault="006B2A4D" w:rsidP="006B2A4D">
      <w:pPr>
        <w:rPr>
          <w:rFonts w:eastAsia="Calibri"/>
          <w:sz w:val="20"/>
          <w:szCs w:val="20"/>
          <w:lang w:val="en-US" w:eastAsia="es-ES"/>
        </w:rPr>
      </w:pPr>
    </w:p>
    <w:p w14:paraId="3662FD59" w14:textId="30A467A6" w:rsidR="006B2A4D" w:rsidRPr="00CF6765" w:rsidRDefault="00D2168F" w:rsidP="00183A4E">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The representatives</w:t>
      </w:r>
      <w:r w:rsidR="006B2A4D" w:rsidRPr="00CF6765">
        <w:rPr>
          <w:rFonts w:eastAsia="Calibri"/>
          <w:sz w:val="20"/>
          <w:szCs w:val="20"/>
          <w:lang w:val="en-US" w:eastAsia="es-ES"/>
        </w:rPr>
        <w:t xml:space="preserve"> </w:t>
      </w:r>
      <w:r w:rsidR="00183A4E" w:rsidRPr="00CF6765">
        <w:rPr>
          <w:rFonts w:eastAsia="Calibri"/>
          <w:sz w:val="20"/>
          <w:szCs w:val="20"/>
          <w:lang w:val="en-US" w:eastAsia="es-ES"/>
        </w:rPr>
        <w:t xml:space="preserve">also asked the Court to order the State, through the Chilean Ministry of Justice and Ministry of Health, to hold a public ceremony “as an act of reparation to acknowledge its </w:t>
      </w:r>
      <w:r w:rsidR="0088423A" w:rsidRPr="00CF6765">
        <w:rPr>
          <w:rFonts w:eastAsia="Calibri"/>
          <w:sz w:val="20"/>
          <w:szCs w:val="20"/>
          <w:lang w:val="en-US" w:eastAsia="es-ES"/>
        </w:rPr>
        <w:t>international responsibility</w:t>
      </w:r>
      <w:r w:rsidR="00EC50FC" w:rsidRPr="00CF6765">
        <w:rPr>
          <w:rFonts w:eastAsia="Calibri"/>
          <w:sz w:val="20"/>
          <w:szCs w:val="20"/>
          <w:lang w:val="en-US" w:eastAsia="es-ES"/>
        </w:rPr>
        <w:t xml:space="preserve"> and </w:t>
      </w:r>
      <w:r w:rsidR="00183A4E" w:rsidRPr="00CF6765">
        <w:rPr>
          <w:rFonts w:eastAsia="Calibri"/>
          <w:sz w:val="20"/>
          <w:szCs w:val="20"/>
          <w:lang w:val="en-US" w:eastAsia="es-ES"/>
        </w:rPr>
        <w:t xml:space="preserve">offer a public apology.” In this regard, the representatives indicated that local authorities and the director of the </w:t>
      </w:r>
      <w:proofErr w:type="spellStart"/>
      <w:r w:rsidR="00183A4E" w:rsidRPr="00CF6765">
        <w:rPr>
          <w:rFonts w:eastAsia="Calibri"/>
          <w:sz w:val="20"/>
          <w:szCs w:val="20"/>
          <w:lang w:val="en-US" w:eastAsia="es-ES"/>
        </w:rPr>
        <w:t>Sótero</w:t>
      </w:r>
      <w:proofErr w:type="spellEnd"/>
      <w:r w:rsidR="00183A4E" w:rsidRPr="00CF6765">
        <w:rPr>
          <w:rFonts w:eastAsia="Calibri"/>
          <w:sz w:val="20"/>
          <w:szCs w:val="20"/>
          <w:lang w:val="en-US" w:eastAsia="es-ES"/>
        </w:rPr>
        <w:t xml:space="preserve"> del Río Hospital should take part in the ceremony and the national media should be invited in order to disseminate it. They also asked that the State send an official letter to </w:t>
      </w:r>
      <w:r w:rsidR="006B2A4D" w:rsidRPr="00CF6765">
        <w:rPr>
          <w:rFonts w:eastAsia="Calibri"/>
          <w:sz w:val="20"/>
          <w:szCs w:val="20"/>
          <w:lang w:val="en-US" w:eastAsia="es-ES"/>
        </w:rPr>
        <w:t>Vinicio Poblete Tapia</w:t>
      </w:r>
      <w:r w:rsidR="00EC50FC" w:rsidRPr="00CF6765">
        <w:rPr>
          <w:rFonts w:eastAsia="Calibri"/>
          <w:sz w:val="20"/>
          <w:szCs w:val="20"/>
          <w:lang w:val="en-US" w:eastAsia="es-ES"/>
        </w:rPr>
        <w:t xml:space="preserve"> and </w:t>
      </w:r>
      <w:proofErr w:type="spellStart"/>
      <w:r w:rsidR="006B2A4D" w:rsidRPr="00CF6765">
        <w:rPr>
          <w:rFonts w:eastAsia="Calibri"/>
          <w:sz w:val="20"/>
          <w:szCs w:val="20"/>
          <w:lang w:val="en-US" w:eastAsia="es-ES"/>
        </w:rPr>
        <w:t>Cesia</w:t>
      </w:r>
      <w:proofErr w:type="spellEnd"/>
      <w:r w:rsidR="006B2A4D" w:rsidRPr="00CF6765">
        <w:rPr>
          <w:rFonts w:eastAsia="Calibri"/>
          <w:sz w:val="20"/>
          <w:szCs w:val="20"/>
          <w:lang w:val="en-US" w:eastAsia="es-ES"/>
        </w:rPr>
        <w:t xml:space="preserve"> Poblete Tapia </w:t>
      </w:r>
      <w:r w:rsidR="00183A4E" w:rsidRPr="00CF6765">
        <w:rPr>
          <w:rFonts w:eastAsia="Calibri"/>
          <w:sz w:val="20"/>
          <w:szCs w:val="20"/>
          <w:lang w:val="en-US" w:eastAsia="es-ES"/>
        </w:rPr>
        <w:t>acknowledg</w:t>
      </w:r>
      <w:r w:rsidR="00D963B6" w:rsidRPr="00CF6765">
        <w:rPr>
          <w:rFonts w:eastAsia="Calibri"/>
          <w:sz w:val="20"/>
          <w:szCs w:val="20"/>
          <w:lang w:val="en-US" w:eastAsia="es-ES"/>
        </w:rPr>
        <w:t>ing</w:t>
      </w:r>
      <w:r w:rsidR="00183A4E" w:rsidRPr="00CF6765">
        <w:rPr>
          <w:rFonts w:eastAsia="Calibri"/>
          <w:sz w:val="20"/>
          <w:szCs w:val="20"/>
          <w:lang w:val="en-US" w:eastAsia="es-ES"/>
        </w:rPr>
        <w:t xml:space="preserve"> the violation of their rights and apologiz</w:t>
      </w:r>
      <w:r w:rsidR="00D963B6" w:rsidRPr="00CF6765">
        <w:rPr>
          <w:rFonts w:eastAsia="Calibri"/>
          <w:sz w:val="20"/>
          <w:szCs w:val="20"/>
          <w:lang w:val="en-US" w:eastAsia="es-ES"/>
        </w:rPr>
        <w:t>ing</w:t>
      </w:r>
      <w:r w:rsidR="00183A4E" w:rsidRPr="00CF6765">
        <w:rPr>
          <w:rFonts w:eastAsia="Calibri"/>
          <w:sz w:val="20"/>
          <w:szCs w:val="20"/>
          <w:lang w:val="en-US" w:eastAsia="es-ES"/>
        </w:rPr>
        <w:t>.</w:t>
      </w:r>
    </w:p>
    <w:p w14:paraId="0E9DFFC6" w14:textId="77777777" w:rsidR="006B2A4D" w:rsidRPr="00CF6765" w:rsidRDefault="006B2A4D" w:rsidP="006B2A4D">
      <w:pPr>
        <w:rPr>
          <w:rFonts w:eastAsia="Calibri"/>
          <w:sz w:val="20"/>
          <w:szCs w:val="20"/>
          <w:lang w:val="en-US" w:eastAsia="es-ES"/>
        </w:rPr>
      </w:pPr>
    </w:p>
    <w:p w14:paraId="5E6A0A7F" w14:textId="43911B4E" w:rsidR="006B2A4D" w:rsidRPr="00CF6765" w:rsidRDefault="00183A4E"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Lastly, </w:t>
      </w:r>
      <w:r w:rsidR="00D2168F" w:rsidRPr="00CF6765">
        <w:rPr>
          <w:rFonts w:eastAsia="Calibri"/>
          <w:sz w:val="20"/>
          <w:szCs w:val="20"/>
          <w:lang w:val="en-US" w:eastAsia="es-ES"/>
        </w:rPr>
        <w:t>the representatives</w:t>
      </w:r>
      <w:r w:rsidR="006B2A4D" w:rsidRPr="00CF6765">
        <w:rPr>
          <w:rFonts w:eastAsia="Calibri"/>
          <w:sz w:val="20"/>
          <w:szCs w:val="20"/>
          <w:lang w:val="en-US" w:eastAsia="es-ES"/>
        </w:rPr>
        <w:t xml:space="preserve"> </w:t>
      </w:r>
      <w:r w:rsidRPr="00CF6765">
        <w:rPr>
          <w:rFonts w:eastAsia="Calibri"/>
          <w:sz w:val="20"/>
          <w:szCs w:val="20"/>
          <w:lang w:val="en-US" w:eastAsia="es-ES"/>
        </w:rPr>
        <w:t>asked the Court to order</w:t>
      </w:r>
      <w:r w:rsidR="006B2A4D" w:rsidRPr="00CF6765">
        <w:rPr>
          <w:rFonts w:eastAsia="Calibri"/>
          <w:sz w:val="20"/>
          <w:szCs w:val="20"/>
          <w:lang w:val="en-US" w:eastAsia="es-ES"/>
        </w:rPr>
        <w:t xml:space="preserve"> </w:t>
      </w:r>
      <w:r w:rsidR="00EC50FC" w:rsidRPr="00CF6765">
        <w:rPr>
          <w:rFonts w:eastAsia="Calibri"/>
          <w:sz w:val="20"/>
          <w:szCs w:val="20"/>
          <w:lang w:val="en-US" w:eastAsia="es-ES"/>
        </w:rPr>
        <w:t>the State</w:t>
      </w:r>
      <w:r w:rsidR="006B2A4D" w:rsidRPr="00CF6765">
        <w:rPr>
          <w:rFonts w:eastAsia="Calibri"/>
          <w:sz w:val="20"/>
          <w:szCs w:val="20"/>
          <w:lang w:val="en-US" w:eastAsia="es-ES"/>
        </w:rPr>
        <w:t xml:space="preserve">, </w:t>
      </w:r>
      <w:r w:rsidRPr="00CF6765">
        <w:rPr>
          <w:rFonts w:eastAsia="Calibri"/>
          <w:sz w:val="20"/>
          <w:szCs w:val="20"/>
          <w:lang w:val="en-US" w:eastAsia="es-ES"/>
        </w:rPr>
        <w:t>as it had in the</w:t>
      </w:r>
      <w:r w:rsidR="006B2A4D" w:rsidRPr="00CF6765">
        <w:rPr>
          <w:rFonts w:eastAsia="Calibri"/>
          <w:sz w:val="20"/>
          <w:szCs w:val="20"/>
          <w:lang w:val="en-US" w:eastAsia="es-ES"/>
        </w:rPr>
        <w:t xml:space="preserve"> </w:t>
      </w:r>
      <w:r w:rsidR="006B2A4D" w:rsidRPr="00CF6765">
        <w:rPr>
          <w:rFonts w:eastAsia="Calibri"/>
          <w:i/>
          <w:sz w:val="20"/>
          <w:szCs w:val="20"/>
          <w:lang w:val="en-US" w:eastAsia="es-ES"/>
        </w:rPr>
        <w:t>Cas</w:t>
      </w:r>
      <w:r w:rsidRPr="00CF6765">
        <w:rPr>
          <w:rFonts w:eastAsia="Calibri"/>
          <w:i/>
          <w:sz w:val="20"/>
          <w:szCs w:val="20"/>
          <w:lang w:val="en-US" w:eastAsia="es-ES"/>
        </w:rPr>
        <w:t>e of</w:t>
      </w:r>
      <w:r w:rsidR="006B2A4D" w:rsidRPr="00CF6765">
        <w:rPr>
          <w:rFonts w:eastAsia="Calibri"/>
          <w:i/>
          <w:sz w:val="20"/>
          <w:szCs w:val="20"/>
          <w:lang w:val="en-US" w:eastAsia="es-ES"/>
        </w:rPr>
        <w:t xml:space="preserve"> </w:t>
      </w:r>
      <w:proofErr w:type="spellStart"/>
      <w:r w:rsidR="006B2A4D" w:rsidRPr="00CF6765">
        <w:rPr>
          <w:rFonts w:eastAsia="Calibri"/>
          <w:i/>
          <w:sz w:val="20"/>
          <w:szCs w:val="20"/>
          <w:lang w:val="en-US" w:eastAsia="es-ES"/>
        </w:rPr>
        <w:t>Ruano</w:t>
      </w:r>
      <w:proofErr w:type="spellEnd"/>
      <w:r w:rsidR="006B2A4D" w:rsidRPr="00CF6765">
        <w:rPr>
          <w:rFonts w:eastAsia="Calibri"/>
          <w:i/>
          <w:sz w:val="20"/>
          <w:szCs w:val="20"/>
          <w:lang w:val="en-US" w:eastAsia="es-ES"/>
        </w:rPr>
        <w:t xml:space="preserve"> Torres </w:t>
      </w:r>
      <w:r w:rsidR="005C731C" w:rsidRPr="00CF6765">
        <w:rPr>
          <w:rFonts w:eastAsia="Calibri"/>
          <w:i/>
          <w:sz w:val="20"/>
          <w:szCs w:val="20"/>
          <w:lang w:val="en-US" w:eastAsia="es-ES"/>
        </w:rPr>
        <w:t>et al. v.</w:t>
      </w:r>
      <w:r w:rsidR="006B2A4D" w:rsidRPr="00CF6765">
        <w:rPr>
          <w:rFonts w:eastAsia="Calibri"/>
          <w:i/>
          <w:sz w:val="20"/>
          <w:szCs w:val="20"/>
          <w:lang w:val="en-US" w:eastAsia="es-ES"/>
        </w:rPr>
        <w:t xml:space="preserve"> El Salvador</w:t>
      </w:r>
      <w:r w:rsidR="006B2A4D" w:rsidRPr="00CF6765">
        <w:rPr>
          <w:rFonts w:eastAsia="Calibri"/>
          <w:sz w:val="20"/>
          <w:szCs w:val="20"/>
          <w:lang w:val="en-US" w:eastAsia="es-ES"/>
        </w:rPr>
        <w:t xml:space="preserve">, </w:t>
      </w:r>
      <w:r w:rsidRPr="00CF6765">
        <w:rPr>
          <w:rFonts w:eastAsia="Calibri"/>
          <w:sz w:val="20"/>
          <w:szCs w:val="20"/>
          <w:lang w:val="en-US" w:eastAsia="es-ES"/>
        </w:rPr>
        <w:t xml:space="preserve">to </w:t>
      </w:r>
      <w:r w:rsidR="006B2A4D" w:rsidRPr="00CF6765">
        <w:rPr>
          <w:rFonts w:eastAsia="Calibri"/>
          <w:sz w:val="20"/>
          <w:szCs w:val="20"/>
          <w:lang w:val="en-US" w:eastAsia="es-ES"/>
        </w:rPr>
        <w:t>“</w:t>
      </w:r>
      <w:r w:rsidRPr="00CF6765">
        <w:rPr>
          <w:rFonts w:eastAsia="Calibri"/>
          <w:sz w:val="20"/>
          <w:szCs w:val="20"/>
          <w:lang w:val="en-US" w:eastAsia="es-ES"/>
        </w:rPr>
        <w:t>place a plaque in a visible place in the Public Defender’s Office […] within one year of notification of the […] judgment</w:t>
      </w:r>
      <w:r w:rsidR="006B2A4D" w:rsidRPr="00CF6765">
        <w:rPr>
          <w:rFonts w:eastAsia="Calibri"/>
          <w:sz w:val="20"/>
          <w:szCs w:val="20"/>
          <w:lang w:val="en-US" w:eastAsia="es-ES"/>
        </w:rPr>
        <w:t>”</w:t>
      </w:r>
      <w:r w:rsidR="006B2A4D" w:rsidRPr="00CF6765">
        <w:rPr>
          <w:rFonts w:eastAsia="Calibri"/>
          <w:sz w:val="20"/>
          <w:szCs w:val="20"/>
          <w:vertAlign w:val="superscript"/>
          <w:lang w:val="en-US" w:eastAsia="es-ES"/>
        </w:rPr>
        <w:footnoteReference w:id="309"/>
      </w:r>
      <w:r w:rsidR="00EC50FC" w:rsidRPr="00CF6765">
        <w:rPr>
          <w:rFonts w:eastAsia="Calibri"/>
          <w:sz w:val="20"/>
          <w:szCs w:val="20"/>
          <w:lang w:val="en-US" w:eastAsia="es-ES"/>
        </w:rPr>
        <w:t xml:space="preserve"> and </w:t>
      </w:r>
      <w:r w:rsidRPr="00CF6765">
        <w:rPr>
          <w:rFonts w:eastAsia="Calibri"/>
          <w:sz w:val="20"/>
          <w:szCs w:val="20"/>
          <w:lang w:val="en-US" w:eastAsia="es-ES"/>
        </w:rPr>
        <w:t>a plaque to commemorate</w:t>
      </w:r>
      <w:r w:rsidR="006B2A4D" w:rsidRPr="00CF6765">
        <w:rPr>
          <w:rFonts w:eastAsia="Calibri"/>
          <w:sz w:val="20"/>
          <w:szCs w:val="20"/>
          <w:lang w:val="en-US" w:eastAsia="es-ES"/>
        </w:rPr>
        <w:t xml:space="preserve"> </w:t>
      </w:r>
      <w:r w:rsidR="00D2168F" w:rsidRPr="00CF6765">
        <w:rPr>
          <w:rFonts w:eastAsia="Calibri"/>
          <w:sz w:val="20"/>
          <w:szCs w:val="20"/>
          <w:lang w:val="en-US" w:eastAsia="es-ES"/>
        </w:rPr>
        <w:t>Mr. Poblete</w:t>
      </w:r>
      <w:r w:rsidR="006B2A4D" w:rsidRPr="00CF6765">
        <w:rPr>
          <w:rFonts w:eastAsia="Calibri"/>
          <w:sz w:val="20"/>
          <w:szCs w:val="20"/>
          <w:lang w:val="en-US" w:eastAsia="es-ES"/>
        </w:rPr>
        <w:t xml:space="preserve"> </w:t>
      </w:r>
      <w:proofErr w:type="spellStart"/>
      <w:r w:rsidR="006B2A4D" w:rsidRPr="00CF6765">
        <w:rPr>
          <w:rFonts w:eastAsia="Calibri"/>
          <w:sz w:val="20"/>
          <w:szCs w:val="20"/>
          <w:lang w:val="en-US" w:eastAsia="es-ES"/>
        </w:rPr>
        <w:t>Vilches</w:t>
      </w:r>
      <w:proofErr w:type="spellEnd"/>
      <w:r w:rsidR="006B2A4D" w:rsidRPr="00CF6765">
        <w:rPr>
          <w:rFonts w:eastAsia="Calibri"/>
          <w:sz w:val="20"/>
          <w:szCs w:val="20"/>
          <w:lang w:val="en-US" w:eastAsia="es-ES"/>
        </w:rPr>
        <w:t xml:space="preserve"> </w:t>
      </w:r>
      <w:r w:rsidRPr="00CF6765">
        <w:rPr>
          <w:rFonts w:eastAsia="Calibri"/>
          <w:sz w:val="20"/>
          <w:szCs w:val="20"/>
          <w:lang w:val="en-US" w:eastAsia="es-ES"/>
        </w:rPr>
        <w:t>in a place to be defined, “preferably near the hospital,” the content of which sh</w:t>
      </w:r>
      <w:r w:rsidR="00383F64" w:rsidRPr="00CF6765">
        <w:rPr>
          <w:rFonts w:eastAsia="Calibri"/>
          <w:sz w:val="20"/>
          <w:szCs w:val="20"/>
          <w:lang w:val="en-US" w:eastAsia="es-ES"/>
        </w:rPr>
        <w:t xml:space="preserve">ould be agreed between </w:t>
      </w:r>
      <w:r w:rsidR="00D2168F" w:rsidRPr="00CF6765">
        <w:rPr>
          <w:rFonts w:eastAsia="Calibri"/>
          <w:sz w:val="20"/>
          <w:szCs w:val="20"/>
          <w:lang w:val="en-US" w:eastAsia="es-ES"/>
        </w:rPr>
        <w:t>the presumed victims</w:t>
      </w:r>
      <w:r w:rsidR="00EC50FC" w:rsidRPr="00CF6765">
        <w:rPr>
          <w:rFonts w:eastAsia="Calibri"/>
          <w:sz w:val="20"/>
          <w:szCs w:val="20"/>
          <w:lang w:val="en-US" w:eastAsia="es-ES"/>
        </w:rPr>
        <w:t xml:space="preserve"> and the State</w:t>
      </w:r>
      <w:r w:rsidR="006B2A4D" w:rsidRPr="00CF6765">
        <w:rPr>
          <w:rFonts w:eastAsia="Calibri"/>
          <w:sz w:val="20"/>
          <w:szCs w:val="20"/>
          <w:lang w:val="en-US" w:eastAsia="es-ES"/>
        </w:rPr>
        <w:t>.</w:t>
      </w:r>
    </w:p>
    <w:p w14:paraId="2521937D" w14:textId="77777777" w:rsidR="006B2A4D" w:rsidRPr="00CF6765" w:rsidRDefault="006B2A4D" w:rsidP="006B2A4D">
      <w:pPr>
        <w:rPr>
          <w:rFonts w:eastAsia="Calibri"/>
          <w:sz w:val="20"/>
          <w:szCs w:val="20"/>
          <w:lang w:val="en-US" w:eastAsia="es-ES"/>
        </w:rPr>
      </w:pPr>
    </w:p>
    <w:p w14:paraId="1423E4BA" w14:textId="0AE9FA35" w:rsidR="006B2A4D" w:rsidRPr="00CF6765" w:rsidRDefault="002E41A8"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State</w:t>
      </w:r>
      <w:r w:rsidRPr="00CF6765">
        <w:rPr>
          <w:rFonts w:eastAsia="Calibri"/>
          <w:sz w:val="20"/>
          <w:szCs w:val="20"/>
          <w:lang w:val="en-US" w:eastAsia="es-ES"/>
        </w:rPr>
        <w:t xml:space="preserve"> did not comment in this regard</w:t>
      </w:r>
      <w:r w:rsidR="006B2A4D" w:rsidRPr="00CF6765">
        <w:rPr>
          <w:rFonts w:eastAsia="Calibri"/>
          <w:sz w:val="20"/>
          <w:szCs w:val="20"/>
          <w:lang w:val="en-US" w:eastAsia="es-ES"/>
        </w:rPr>
        <w:t xml:space="preserve">. </w:t>
      </w:r>
    </w:p>
    <w:p w14:paraId="492C6A76" w14:textId="2958F311" w:rsidR="004A0BDC" w:rsidRPr="00CF6765" w:rsidRDefault="004A0BDC" w:rsidP="00531D45">
      <w:pPr>
        <w:ind w:left="1416"/>
        <w:rPr>
          <w:rFonts w:eastAsia="Calibri"/>
          <w:sz w:val="20"/>
          <w:szCs w:val="20"/>
          <w:lang w:val="en-US" w:eastAsia="es-ES"/>
        </w:rPr>
      </w:pPr>
    </w:p>
    <w:p w14:paraId="400A5D88" w14:textId="4ED2C000" w:rsidR="006B2A4D" w:rsidRPr="00CF6765" w:rsidRDefault="004A0BDC" w:rsidP="00531D45">
      <w:pPr>
        <w:ind w:left="1416"/>
        <w:rPr>
          <w:rFonts w:eastAsia="Calibri"/>
          <w:i/>
          <w:sz w:val="20"/>
          <w:szCs w:val="20"/>
          <w:lang w:val="en-US" w:eastAsia="es-ES"/>
        </w:rPr>
      </w:pPr>
      <w:proofErr w:type="spellStart"/>
      <w:r w:rsidRPr="00CF6765">
        <w:rPr>
          <w:rFonts w:eastAsia="Calibri"/>
          <w:i/>
          <w:sz w:val="20"/>
          <w:szCs w:val="20"/>
          <w:lang w:val="en-US" w:eastAsia="es-ES"/>
        </w:rPr>
        <w:t>i</w:t>
      </w:r>
      <w:proofErr w:type="spellEnd"/>
      <w:r w:rsidRPr="00CF6765">
        <w:rPr>
          <w:rFonts w:eastAsia="Calibri"/>
          <w:i/>
          <w:sz w:val="20"/>
          <w:szCs w:val="20"/>
          <w:lang w:val="en-US" w:eastAsia="es-ES"/>
        </w:rPr>
        <w:t>) Publica</w:t>
      </w:r>
      <w:r w:rsidR="00383F64" w:rsidRPr="00CF6765">
        <w:rPr>
          <w:rFonts w:eastAsia="Calibri"/>
          <w:i/>
          <w:sz w:val="20"/>
          <w:szCs w:val="20"/>
          <w:lang w:val="en-US" w:eastAsia="es-ES"/>
        </w:rPr>
        <w:t>tion</w:t>
      </w:r>
      <w:r w:rsidRPr="00CF6765">
        <w:rPr>
          <w:rFonts w:eastAsia="Calibri"/>
          <w:i/>
          <w:sz w:val="20"/>
          <w:szCs w:val="20"/>
          <w:lang w:val="en-US" w:eastAsia="es-ES"/>
        </w:rPr>
        <w:t xml:space="preserve"> </w:t>
      </w:r>
      <w:r w:rsidR="002A0A64" w:rsidRPr="00CF6765">
        <w:rPr>
          <w:rFonts w:eastAsia="Calibri"/>
          <w:i/>
          <w:sz w:val="20"/>
          <w:szCs w:val="20"/>
          <w:lang w:val="en-US" w:eastAsia="es-ES"/>
        </w:rPr>
        <w:t>of the judgment</w:t>
      </w:r>
    </w:p>
    <w:p w14:paraId="3C80653D" w14:textId="1D40CDA8" w:rsidR="004A0BDC" w:rsidRPr="00CF6765" w:rsidRDefault="004A0BDC" w:rsidP="00531D45">
      <w:pPr>
        <w:ind w:left="1416"/>
        <w:rPr>
          <w:rFonts w:eastAsia="Calibri"/>
          <w:sz w:val="20"/>
          <w:szCs w:val="20"/>
          <w:lang w:val="en-US" w:eastAsia="es-ES"/>
        </w:rPr>
      </w:pPr>
    </w:p>
    <w:p w14:paraId="164F5522" w14:textId="644A6623" w:rsidR="005F2639" w:rsidRPr="00CF6765" w:rsidRDefault="005C731C" w:rsidP="00383F64">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The Court</w:t>
      </w:r>
      <w:r w:rsidR="00383F64" w:rsidRPr="00CF6765">
        <w:rPr>
          <w:rFonts w:eastAsia="Calibri"/>
          <w:sz w:val="20"/>
          <w:szCs w:val="20"/>
          <w:lang w:val="en-US" w:eastAsia="es-ES"/>
        </w:rPr>
        <w:t xml:space="preserve"> finds, as it has in other cases,</w:t>
      </w:r>
      <w:r w:rsidR="006B2A4D" w:rsidRPr="00CF6765">
        <w:rPr>
          <w:rFonts w:eastAsia="Calibri"/>
          <w:sz w:val="20"/>
          <w:szCs w:val="20"/>
          <w:vertAlign w:val="superscript"/>
          <w:lang w:val="en-US" w:eastAsia="es-ES"/>
        </w:rPr>
        <w:footnoteReference w:id="310"/>
      </w:r>
      <w:r w:rsidR="006B2A4D" w:rsidRPr="00CF6765">
        <w:rPr>
          <w:rFonts w:eastAsia="Calibri"/>
          <w:sz w:val="20"/>
          <w:szCs w:val="20"/>
          <w:lang w:val="en-US" w:eastAsia="es-ES"/>
        </w:rPr>
        <w:t xml:space="preserve"> </w:t>
      </w:r>
      <w:r w:rsidR="00383F64" w:rsidRPr="00CF6765">
        <w:rPr>
          <w:rFonts w:eastAsia="Calibri"/>
          <w:sz w:val="20"/>
          <w:szCs w:val="20"/>
          <w:lang w:val="en-US" w:eastAsia="es-ES"/>
        </w:rPr>
        <w:t>that</w:t>
      </w:r>
      <w:r w:rsidR="006B2A4D" w:rsidRPr="00CF6765">
        <w:rPr>
          <w:rFonts w:eastAsia="Calibri"/>
          <w:sz w:val="20"/>
          <w:szCs w:val="20"/>
          <w:lang w:val="en-US" w:eastAsia="es-ES"/>
        </w:rPr>
        <w:t xml:space="preserve"> </w:t>
      </w:r>
      <w:r w:rsidR="00383F64" w:rsidRPr="00CF6765">
        <w:rPr>
          <w:rFonts w:eastAsia="Calibri"/>
          <w:sz w:val="20"/>
          <w:szCs w:val="20"/>
          <w:lang w:val="en-US" w:eastAsia="es-ES"/>
        </w:rPr>
        <w:t>t</w:t>
      </w:r>
      <w:r w:rsidR="00C8154C" w:rsidRPr="00CF6765">
        <w:rPr>
          <w:rFonts w:eastAsia="Calibri"/>
          <w:sz w:val="20"/>
          <w:szCs w:val="20"/>
          <w:lang w:val="en-US" w:eastAsia="es-ES"/>
        </w:rPr>
        <w:t xml:space="preserve">he State </w:t>
      </w:r>
      <w:r w:rsidR="00383F64" w:rsidRPr="00CF6765">
        <w:rPr>
          <w:rFonts w:eastAsia="Calibri"/>
          <w:sz w:val="20"/>
          <w:szCs w:val="20"/>
          <w:lang w:val="en-US" w:eastAsia="es-ES"/>
        </w:rPr>
        <w:t>must publish, within six months of</w:t>
      </w:r>
      <w:r w:rsidR="006B2A4D" w:rsidRPr="00CF6765">
        <w:rPr>
          <w:rFonts w:eastAsia="Calibri"/>
          <w:sz w:val="20"/>
          <w:szCs w:val="20"/>
          <w:lang w:val="en-US" w:eastAsia="es-ES"/>
        </w:rPr>
        <w:t xml:space="preserve"> </w:t>
      </w:r>
      <w:r w:rsidR="00D2168F" w:rsidRPr="00CF6765">
        <w:rPr>
          <w:rFonts w:eastAsia="Calibri"/>
          <w:sz w:val="20"/>
          <w:szCs w:val="20"/>
          <w:lang w:val="en-US" w:eastAsia="es-ES"/>
        </w:rPr>
        <w:t>notification</w:t>
      </w:r>
      <w:r w:rsidR="006B2A4D" w:rsidRPr="00CF6765">
        <w:rPr>
          <w:rFonts w:eastAsia="Calibri"/>
          <w:sz w:val="20"/>
          <w:szCs w:val="20"/>
          <w:lang w:val="en-US" w:eastAsia="es-ES"/>
        </w:rPr>
        <w:t xml:space="preserve"> </w:t>
      </w:r>
      <w:r w:rsidR="00D2168F" w:rsidRPr="00CF6765">
        <w:rPr>
          <w:rFonts w:eastAsia="Calibri"/>
          <w:sz w:val="20"/>
          <w:szCs w:val="20"/>
          <w:lang w:val="en-US" w:eastAsia="es-ES"/>
        </w:rPr>
        <w:t>of this judgment</w:t>
      </w:r>
      <w:r w:rsidR="006B2A4D" w:rsidRPr="00CF6765">
        <w:rPr>
          <w:rFonts w:eastAsia="Calibri"/>
          <w:sz w:val="20"/>
          <w:szCs w:val="20"/>
          <w:lang w:val="en-US" w:eastAsia="es-ES"/>
        </w:rPr>
        <w:t xml:space="preserve">: </w:t>
      </w:r>
      <w:r w:rsidR="00383F64" w:rsidRPr="00CF6765">
        <w:rPr>
          <w:rFonts w:eastAsia="Calibri"/>
          <w:sz w:val="20"/>
          <w:szCs w:val="20"/>
          <w:lang w:val="en-US" w:eastAsia="es-ES"/>
        </w:rPr>
        <w:t>(</w:t>
      </w:r>
      <w:r w:rsidR="006B2A4D" w:rsidRPr="00CF6765">
        <w:rPr>
          <w:rFonts w:eastAsia="Calibri"/>
          <w:sz w:val="20"/>
          <w:szCs w:val="20"/>
          <w:lang w:val="en-US" w:eastAsia="es-ES"/>
        </w:rPr>
        <w:t xml:space="preserve">a) </w:t>
      </w:r>
      <w:r w:rsidR="00383F64" w:rsidRPr="00CF6765">
        <w:rPr>
          <w:rFonts w:eastAsia="Calibri"/>
          <w:sz w:val="20"/>
          <w:szCs w:val="20"/>
          <w:lang w:val="en-US" w:eastAsia="es-ES"/>
        </w:rPr>
        <w:t xml:space="preserve">the </w:t>
      </w:r>
      <w:r w:rsidR="00FB2D33" w:rsidRPr="00CF6765">
        <w:rPr>
          <w:rFonts w:eastAsia="Calibri"/>
          <w:sz w:val="20"/>
          <w:szCs w:val="20"/>
          <w:lang w:val="en-US" w:eastAsia="es-ES"/>
        </w:rPr>
        <w:t>official</w:t>
      </w:r>
      <w:r w:rsidR="00383F64" w:rsidRPr="00CF6765">
        <w:rPr>
          <w:rFonts w:eastAsia="Calibri"/>
          <w:sz w:val="20"/>
          <w:szCs w:val="20"/>
          <w:lang w:val="en-US" w:eastAsia="es-ES"/>
        </w:rPr>
        <w:t xml:space="preserve"> summary</w:t>
      </w:r>
      <w:r w:rsidR="006B2A4D" w:rsidRPr="00CF6765">
        <w:rPr>
          <w:rFonts w:eastAsia="Calibri"/>
          <w:sz w:val="20"/>
          <w:szCs w:val="20"/>
          <w:lang w:val="en-US" w:eastAsia="es-ES"/>
        </w:rPr>
        <w:t xml:space="preserve"> </w:t>
      </w:r>
      <w:r w:rsidR="00C8154C" w:rsidRPr="00CF6765">
        <w:rPr>
          <w:rFonts w:eastAsia="Calibri"/>
          <w:sz w:val="20"/>
          <w:szCs w:val="20"/>
          <w:lang w:val="en-US" w:eastAsia="es-ES"/>
        </w:rPr>
        <w:t>of this judgment</w:t>
      </w:r>
      <w:r w:rsidR="006B2A4D" w:rsidRPr="00CF6765">
        <w:rPr>
          <w:rFonts w:eastAsia="Calibri"/>
          <w:sz w:val="20"/>
          <w:szCs w:val="20"/>
          <w:lang w:val="en-US" w:eastAsia="es-ES"/>
        </w:rPr>
        <w:t xml:space="preserve"> </w:t>
      </w:r>
      <w:r w:rsidR="00383F64" w:rsidRPr="00CF6765">
        <w:rPr>
          <w:rFonts w:eastAsia="Calibri"/>
          <w:sz w:val="20"/>
          <w:szCs w:val="20"/>
          <w:lang w:val="en-US" w:eastAsia="es-ES"/>
        </w:rPr>
        <w:t>prepared by</w:t>
      </w:r>
      <w:r w:rsidR="006B2A4D" w:rsidRPr="00CF6765">
        <w:rPr>
          <w:rFonts w:eastAsia="Calibri"/>
          <w:sz w:val="20"/>
          <w:szCs w:val="20"/>
          <w:lang w:val="en-US" w:eastAsia="es-ES"/>
        </w:rPr>
        <w:t xml:space="preserve"> </w:t>
      </w:r>
      <w:r w:rsidRPr="00CF6765">
        <w:rPr>
          <w:rFonts w:eastAsia="Calibri"/>
          <w:sz w:val="20"/>
          <w:szCs w:val="20"/>
          <w:lang w:val="en-US" w:eastAsia="es-ES"/>
        </w:rPr>
        <w:t>the Court</w:t>
      </w:r>
      <w:r w:rsidR="006B2A4D" w:rsidRPr="00CF6765">
        <w:rPr>
          <w:rFonts w:eastAsia="Calibri"/>
          <w:sz w:val="20"/>
          <w:szCs w:val="20"/>
          <w:lang w:val="en-US" w:eastAsia="es-ES"/>
        </w:rPr>
        <w:t xml:space="preserve">, </w:t>
      </w:r>
      <w:r w:rsidR="00383F64" w:rsidRPr="00CF6765">
        <w:rPr>
          <w:rFonts w:eastAsia="Calibri"/>
          <w:sz w:val="20"/>
          <w:szCs w:val="20"/>
          <w:lang w:val="en-US" w:eastAsia="es-ES"/>
        </w:rPr>
        <w:lastRenderedPageBreak/>
        <w:t>once, in the official gazette, in a legible and appropriate font size</w:t>
      </w:r>
      <w:r w:rsidR="006B2A4D" w:rsidRPr="00CF6765">
        <w:rPr>
          <w:rFonts w:eastAsia="Calibri"/>
          <w:sz w:val="20"/>
          <w:szCs w:val="20"/>
          <w:lang w:val="en-US" w:eastAsia="es-ES"/>
        </w:rPr>
        <w:t xml:space="preserve">; </w:t>
      </w:r>
      <w:r w:rsidR="00383F64" w:rsidRPr="00CF6765">
        <w:rPr>
          <w:rFonts w:eastAsia="Calibri"/>
          <w:sz w:val="20"/>
          <w:szCs w:val="20"/>
          <w:lang w:val="en-US" w:eastAsia="es-ES"/>
        </w:rPr>
        <w:t>(</w:t>
      </w:r>
      <w:r w:rsidR="006B2A4D" w:rsidRPr="00CF6765">
        <w:rPr>
          <w:rFonts w:eastAsia="Calibri"/>
          <w:sz w:val="20"/>
          <w:szCs w:val="20"/>
          <w:lang w:val="en-US" w:eastAsia="es-ES"/>
        </w:rPr>
        <w:t xml:space="preserve">b) </w:t>
      </w:r>
      <w:r w:rsidR="00383F64" w:rsidRPr="00CF6765">
        <w:rPr>
          <w:rFonts w:eastAsia="Calibri"/>
          <w:sz w:val="20"/>
          <w:szCs w:val="20"/>
          <w:lang w:val="en-US" w:eastAsia="es-ES"/>
        </w:rPr>
        <w:t xml:space="preserve">the </w:t>
      </w:r>
      <w:r w:rsidR="00FB2D33" w:rsidRPr="00CF6765">
        <w:rPr>
          <w:rFonts w:eastAsia="Calibri"/>
          <w:sz w:val="20"/>
          <w:szCs w:val="20"/>
          <w:lang w:val="en-US" w:eastAsia="es-ES"/>
        </w:rPr>
        <w:t>official</w:t>
      </w:r>
      <w:r w:rsidR="00383F64" w:rsidRPr="00CF6765">
        <w:rPr>
          <w:rFonts w:eastAsia="Calibri"/>
          <w:sz w:val="20"/>
          <w:szCs w:val="20"/>
          <w:lang w:val="en-US" w:eastAsia="es-ES"/>
        </w:rPr>
        <w:t xml:space="preserve"> summary of this judgment prepared by the Court, once, in a national newspaper with widespread circulation, in a legible and appropriate font size, and (c) this judgment in its entirety, available for one year, on an official website that is accessible to the public from the home page of the website. The State must advise the Court immediately after it has made each of the publications ordered, regardless of the one-year time frame for presenting its first report established </w:t>
      </w:r>
      <w:r w:rsidR="002E41A8" w:rsidRPr="00CF6765">
        <w:rPr>
          <w:rFonts w:eastAsia="Calibri"/>
          <w:sz w:val="20"/>
          <w:szCs w:val="20"/>
          <w:lang w:val="en-US" w:eastAsia="es-ES"/>
        </w:rPr>
        <w:t>i</w:t>
      </w:r>
      <w:r w:rsidR="005F2639" w:rsidRPr="00CF6765">
        <w:rPr>
          <w:rFonts w:eastAsia="Calibri"/>
          <w:sz w:val="20"/>
          <w:szCs w:val="20"/>
          <w:lang w:val="en-US" w:eastAsia="es-ES"/>
        </w:rPr>
        <w:t xml:space="preserve">n </w:t>
      </w:r>
      <w:r w:rsidR="002E41A8" w:rsidRPr="00CF6765">
        <w:rPr>
          <w:rFonts w:eastAsia="Calibri"/>
          <w:sz w:val="20"/>
          <w:szCs w:val="20"/>
          <w:lang w:val="en-US" w:eastAsia="es-ES"/>
        </w:rPr>
        <w:t>the nineteenth operative paragraph</w:t>
      </w:r>
      <w:r w:rsidR="005F2639" w:rsidRPr="00CF6765">
        <w:rPr>
          <w:rFonts w:eastAsia="Calibri"/>
          <w:sz w:val="20"/>
          <w:szCs w:val="20"/>
          <w:lang w:val="en-US" w:eastAsia="es-ES"/>
        </w:rPr>
        <w:t xml:space="preserve"> </w:t>
      </w:r>
      <w:r w:rsidR="002A0A64" w:rsidRPr="00CF6765">
        <w:rPr>
          <w:rFonts w:eastAsia="Calibri"/>
          <w:sz w:val="20"/>
          <w:szCs w:val="20"/>
          <w:lang w:val="en-US" w:eastAsia="es-ES"/>
        </w:rPr>
        <w:t>of the judgment</w:t>
      </w:r>
      <w:r w:rsidR="005F2639" w:rsidRPr="00CF6765">
        <w:rPr>
          <w:rFonts w:eastAsia="Calibri"/>
          <w:sz w:val="20"/>
          <w:szCs w:val="20"/>
          <w:lang w:val="en-US" w:eastAsia="es-ES"/>
        </w:rPr>
        <w:t>.</w:t>
      </w:r>
    </w:p>
    <w:p w14:paraId="3518C92F" w14:textId="77777777" w:rsidR="006B2A4D" w:rsidRPr="00CF6765" w:rsidRDefault="006B2A4D" w:rsidP="006B2A4D">
      <w:pPr>
        <w:rPr>
          <w:rFonts w:eastAsia="Calibri"/>
          <w:sz w:val="20"/>
          <w:szCs w:val="20"/>
          <w:lang w:val="en-US" w:eastAsia="es-ES"/>
        </w:rPr>
      </w:pPr>
    </w:p>
    <w:p w14:paraId="1DD6B3E4" w14:textId="7E934A45" w:rsidR="004A0BDC" w:rsidRPr="00CF6765" w:rsidRDefault="004A0BDC" w:rsidP="00531D45">
      <w:pPr>
        <w:ind w:left="708" w:firstLine="708"/>
        <w:rPr>
          <w:rFonts w:eastAsia="Calibri"/>
          <w:i/>
          <w:sz w:val="20"/>
          <w:szCs w:val="20"/>
          <w:lang w:val="en-US" w:eastAsia="es-ES"/>
        </w:rPr>
      </w:pPr>
      <w:r w:rsidRPr="00CF6765">
        <w:rPr>
          <w:rFonts w:eastAsia="Calibri"/>
          <w:i/>
          <w:sz w:val="20"/>
          <w:szCs w:val="20"/>
          <w:lang w:val="en-US" w:eastAsia="es-ES"/>
        </w:rPr>
        <w:t xml:space="preserve">ii) </w:t>
      </w:r>
      <w:r w:rsidR="002E41A8" w:rsidRPr="00CF6765">
        <w:rPr>
          <w:rFonts w:eastAsia="Calibri"/>
          <w:i/>
          <w:sz w:val="20"/>
          <w:szCs w:val="20"/>
          <w:lang w:val="en-US" w:eastAsia="es-ES"/>
        </w:rPr>
        <w:t>Public act to acknowledge responsibility</w:t>
      </w:r>
    </w:p>
    <w:p w14:paraId="25DC5995" w14:textId="77777777" w:rsidR="004A0BDC" w:rsidRPr="00CF6765" w:rsidRDefault="004A0BDC" w:rsidP="00531D45">
      <w:pPr>
        <w:ind w:left="708" w:firstLine="708"/>
        <w:rPr>
          <w:rFonts w:eastAsia="Calibri"/>
          <w:i/>
          <w:sz w:val="20"/>
          <w:szCs w:val="20"/>
          <w:lang w:val="en-US" w:eastAsia="es-ES"/>
        </w:rPr>
      </w:pPr>
    </w:p>
    <w:p w14:paraId="12EAD516" w14:textId="2C3E5BA2" w:rsidR="006B2A4D" w:rsidRPr="00CF6765" w:rsidRDefault="005C731C" w:rsidP="006C0F76">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The Court</w:t>
      </w:r>
      <w:r w:rsidR="00512FDD" w:rsidRPr="00CF6765">
        <w:rPr>
          <w:rFonts w:eastAsia="Calibri"/>
          <w:sz w:val="20"/>
          <w:lang w:val="en-US" w:eastAsia="es-ES"/>
        </w:rPr>
        <w:t xml:space="preserve"> </w:t>
      </w:r>
      <w:r w:rsidR="00383F64" w:rsidRPr="00CF6765">
        <w:rPr>
          <w:rFonts w:eastAsia="Calibri"/>
          <w:sz w:val="20"/>
          <w:lang w:val="en-US" w:eastAsia="es-ES"/>
        </w:rPr>
        <w:t>establishes, as it has in other cases,</w:t>
      </w:r>
      <w:r w:rsidR="00512FDD" w:rsidRPr="00CF6765">
        <w:rPr>
          <w:rFonts w:eastAsia="Calibri"/>
          <w:sz w:val="20"/>
          <w:vertAlign w:val="superscript"/>
          <w:lang w:val="en-US" w:eastAsia="es-ES"/>
        </w:rPr>
        <w:footnoteReference w:id="311"/>
      </w:r>
      <w:r w:rsidR="00512FDD" w:rsidRPr="00CF6765">
        <w:rPr>
          <w:rFonts w:eastAsia="Calibri"/>
          <w:sz w:val="20"/>
          <w:lang w:val="en-US" w:eastAsia="es-ES"/>
        </w:rPr>
        <w:t xml:space="preserve"> </w:t>
      </w:r>
      <w:r w:rsidR="00383F64" w:rsidRPr="00CF6765">
        <w:rPr>
          <w:rFonts w:eastAsia="Calibri"/>
          <w:sz w:val="20"/>
          <w:lang w:val="en-US" w:eastAsia="es-ES"/>
        </w:rPr>
        <w:t>that t</w:t>
      </w:r>
      <w:r w:rsidR="00C8154C" w:rsidRPr="00CF6765">
        <w:rPr>
          <w:rFonts w:eastAsia="Calibri"/>
          <w:sz w:val="20"/>
          <w:szCs w:val="20"/>
          <w:lang w:val="en-US" w:eastAsia="es-ES"/>
        </w:rPr>
        <w:t xml:space="preserve">he State </w:t>
      </w:r>
      <w:r w:rsidR="00383F64" w:rsidRPr="00CF6765">
        <w:rPr>
          <w:rFonts w:eastAsia="Calibri"/>
          <w:sz w:val="20"/>
          <w:szCs w:val="20"/>
          <w:lang w:val="en-US" w:eastAsia="es-ES"/>
        </w:rPr>
        <w:t>must organize a public act to acknowledge</w:t>
      </w:r>
      <w:r w:rsidR="006C0F76" w:rsidRPr="00CF6765">
        <w:rPr>
          <w:rFonts w:eastAsia="Calibri"/>
          <w:sz w:val="20"/>
          <w:szCs w:val="20"/>
          <w:lang w:val="en-US" w:eastAsia="es-ES"/>
        </w:rPr>
        <w:t xml:space="preserve"> </w:t>
      </w:r>
      <w:r w:rsidR="00383F64" w:rsidRPr="00CF6765">
        <w:rPr>
          <w:rFonts w:eastAsia="Calibri"/>
          <w:sz w:val="20"/>
          <w:szCs w:val="20"/>
          <w:lang w:val="en-US" w:eastAsia="es-ES"/>
        </w:rPr>
        <w:t xml:space="preserve">Chile’s </w:t>
      </w:r>
      <w:r w:rsidR="0088423A" w:rsidRPr="00CF6765">
        <w:rPr>
          <w:rFonts w:eastAsia="Calibri"/>
          <w:sz w:val="20"/>
          <w:szCs w:val="20"/>
          <w:lang w:val="en-US" w:eastAsia="es-ES"/>
        </w:rPr>
        <w:t>international responsibility</w:t>
      </w:r>
      <w:r w:rsidR="006C0F76" w:rsidRPr="00CF6765">
        <w:rPr>
          <w:rFonts w:eastAsia="Calibri"/>
          <w:sz w:val="20"/>
          <w:szCs w:val="20"/>
          <w:lang w:val="en-US" w:eastAsia="es-ES"/>
        </w:rPr>
        <w:t xml:space="preserve">, </w:t>
      </w:r>
      <w:r w:rsidR="00383F64" w:rsidRPr="00CF6765">
        <w:rPr>
          <w:rFonts w:eastAsia="Calibri"/>
          <w:sz w:val="20"/>
          <w:szCs w:val="20"/>
          <w:lang w:val="en-US" w:eastAsia="es-ES"/>
        </w:rPr>
        <w:t xml:space="preserve">during which it must refer to the human rights violations declared in this judgment. This act must be carried out in a public ceremony in the presence of senior State officials, as well as with the participation of the victims in this case. The State must reach agreement with the victims or their representatives on the method of complying with this public act of acknowledgement, as well as </w:t>
      </w:r>
      <w:r w:rsidR="008E7B8D" w:rsidRPr="00CF6765">
        <w:rPr>
          <w:rFonts w:eastAsia="Calibri"/>
          <w:sz w:val="20"/>
          <w:szCs w:val="20"/>
          <w:lang w:val="en-US" w:eastAsia="es-ES"/>
        </w:rPr>
        <w:t xml:space="preserve">on </w:t>
      </w:r>
      <w:r w:rsidR="00383F64" w:rsidRPr="00CF6765">
        <w:rPr>
          <w:rFonts w:eastAsia="Calibri"/>
          <w:sz w:val="20"/>
          <w:szCs w:val="20"/>
          <w:lang w:val="en-US" w:eastAsia="es-ES"/>
        </w:rPr>
        <w:t xml:space="preserve">all the details, such as the place and date. To this end, the State has one year from </w:t>
      </w:r>
      <w:r w:rsidR="00D2168F" w:rsidRPr="00CF6765">
        <w:rPr>
          <w:rFonts w:eastAsia="Calibri"/>
          <w:sz w:val="20"/>
          <w:szCs w:val="20"/>
          <w:lang w:val="en-US" w:eastAsia="es-ES"/>
        </w:rPr>
        <w:t>notification</w:t>
      </w:r>
      <w:r w:rsidR="006C0F76" w:rsidRPr="00CF6765">
        <w:rPr>
          <w:rFonts w:eastAsia="Calibri"/>
          <w:sz w:val="20"/>
          <w:szCs w:val="20"/>
          <w:lang w:val="en-US" w:eastAsia="es-ES"/>
        </w:rPr>
        <w:t xml:space="preserve"> </w:t>
      </w:r>
      <w:r w:rsidR="00D2168F" w:rsidRPr="00CF6765">
        <w:rPr>
          <w:rFonts w:eastAsia="Calibri"/>
          <w:sz w:val="20"/>
          <w:szCs w:val="20"/>
          <w:lang w:val="en-US" w:eastAsia="es-ES"/>
        </w:rPr>
        <w:t>of this judgment</w:t>
      </w:r>
      <w:r w:rsidR="006C0F76" w:rsidRPr="00CF6765">
        <w:rPr>
          <w:rFonts w:eastAsia="Calibri"/>
          <w:sz w:val="20"/>
          <w:szCs w:val="20"/>
          <w:lang w:val="en-US" w:eastAsia="es-ES"/>
        </w:rPr>
        <w:t>.</w:t>
      </w:r>
    </w:p>
    <w:p w14:paraId="6A8184CD" w14:textId="7160A6DE" w:rsidR="006B2A4D" w:rsidRPr="00CF6765" w:rsidRDefault="006B2A4D" w:rsidP="006B2A4D">
      <w:pPr>
        <w:widowControl w:val="0"/>
        <w:tabs>
          <w:tab w:val="left" w:pos="567"/>
          <w:tab w:val="num" w:pos="12305"/>
        </w:tabs>
        <w:adjustRightInd w:val="0"/>
        <w:textAlignment w:val="baseline"/>
        <w:rPr>
          <w:rFonts w:eastAsia="Calibri"/>
          <w:b/>
          <w:sz w:val="20"/>
          <w:szCs w:val="20"/>
          <w:lang w:val="en-US" w:eastAsia="es-ES"/>
        </w:rPr>
      </w:pPr>
    </w:p>
    <w:p w14:paraId="05D08C29" w14:textId="6EAFF00A" w:rsidR="006B2A4D" w:rsidRPr="00CF6765" w:rsidRDefault="002E41A8" w:rsidP="002726E0">
      <w:pPr>
        <w:pStyle w:val="Ttulo2"/>
        <w:numPr>
          <w:ilvl w:val="0"/>
          <w:numId w:val="13"/>
        </w:numPr>
        <w:rPr>
          <w:lang w:val="en-US"/>
        </w:rPr>
      </w:pPr>
      <w:bookmarkStart w:id="121" w:name="_Toc47864403"/>
      <w:r w:rsidRPr="00CF6765">
        <w:rPr>
          <w:lang w:val="en-US"/>
        </w:rPr>
        <w:t>Rehabilitation</w:t>
      </w:r>
      <w:bookmarkEnd w:id="121"/>
    </w:p>
    <w:p w14:paraId="2C9DB2A6" w14:textId="77777777" w:rsidR="006B2A4D" w:rsidRPr="00CF6765" w:rsidRDefault="006B2A4D" w:rsidP="006B2A4D">
      <w:pPr>
        <w:rPr>
          <w:rFonts w:eastAsia="Calibri"/>
          <w:b/>
          <w:i/>
          <w:sz w:val="20"/>
          <w:szCs w:val="20"/>
          <w:lang w:val="en-US" w:eastAsia="es-ES"/>
        </w:rPr>
      </w:pPr>
    </w:p>
    <w:p w14:paraId="38DB5529" w14:textId="1699B829" w:rsidR="006B2A4D" w:rsidRPr="00CF6765" w:rsidRDefault="005C731C" w:rsidP="006B2A4D">
      <w:pPr>
        <w:widowControl w:val="0"/>
        <w:numPr>
          <w:ilvl w:val="0"/>
          <w:numId w:val="2"/>
        </w:numPr>
        <w:tabs>
          <w:tab w:val="left" w:pos="567"/>
          <w:tab w:val="num" w:pos="1569"/>
          <w:tab w:val="num" w:pos="12305"/>
        </w:tabs>
        <w:adjustRightInd w:val="0"/>
        <w:ind w:left="0" w:firstLine="0"/>
        <w:textAlignment w:val="baseline"/>
        <w:rPr>
          <w:rFonts w:eastAsia="Calibri"/>
          <w:b/>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Commission</w:t>
      </w:r>
      <w:r w:rsidR="006B2A4D" w:rsidRPr="00CF6765">
        <w:rPr>
          <w:rFonts w:eastAsia="Calibri"/>
          <w:b/>
          <w:bCs/>
          <w:i/>
          <w:iCs/>
          <w:sz w:val="20"/>
          <w:szCs w:val="20"/>
          <w:lang w:val="en-US" w:eastAsia="es-ES"/>
        </w:rPr>
        <w:t xml:space="preserve"> </w:t>
      </w:r>
      <w:r w:rsidR="002E41A8" w:rsidRPr="00CF6765">
        <w:rPr>
          <w:rFonts w:eastAsia="Calibri"/>
          <w:sz w:val="20"/>
          <w:szCs w:val="20"/>
          <w:lang w:val="en-US" w:eastAsia="es-ES"/>
        </w:rPr>
        <w:t>did not comment in this regard.</w:t>
      </w:r>
    </w:p>
    <w:p w14:paraId="515ECAFA" w14:textId="77777777" w:rsidR="006B2A4D" w:rsidRPr="00CF6765" w:rsidRDefault="006B2A4D" w:rsidP="006B2A4D">
      <w:pPr>
        <w:widowControl w:val="0"/>
        <w:tabs>
          <w:tab w:val="left" w:pos="567"/>
          <w:tab w:val="num" w:pos="12305"/>
        </w:tabs>
        <w:adjustRightInd w:val="0"/>
        <w:textAlignment w:val="baseline"/>
        <w:rPr>
          <w:rFonts w:eastAsia="Calibri"/>
          <w:b/>
          <w:sz w:val="20"/>
          <w:szCs w:val="20"/>
          <w:lang w:val="en-US" w:eastAsia="es-ES"/>
        </w:rPr>
      </w:pPr>
    </w:p>
    <w:p w14:paraId="3C9DC4CB" w14:textId="325A62DB" w:rsidR="006B2A4D" w:rsidRPr="00CF6765" w:rsidRDefault="00D2168F"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representatives</w:t>
      </w:r>
      <w:r w:rsidR="006B2A4D" w:rsidRPr="00CF6765">
        <w:rPr>
          <w:rFonts w:eastAsia="Calibri"/>
          <w:sz w:val="20"/>
          <w:szCs w:val="20"/>
          <w:lang w:val="en-US" w:eastAsia="es-ES"/>
        </w:rPr>
        <w:t xml:space="preserve"> </w:t>
      </w:r>
      <w:r w:rsidR="00383F64" w:rsidRPr="00CF6765">
        <w:rPr>
          <w:rFonts w:eastAsia="Calibri"/>
          <w:sz w:val="20"/>
          <w:szCs w:val="20"/>
          <w:lang w:val="en-US" w:eastAsia="es-ES"/>
        </w:rPr>
        <w:t>asked that</w:t>
      </w:r>
      <w:r w:rsidR="006B2A4D" w:rsidRPr="00CF6765">
        <w:rPr>
          <w:rFonts w:eastAsia="Calibri"/>
          <w:sz w:val="20"/>
          <w:szCs w:val="20"/>
          <w:lang w:val="en-US" w:eastAsia="es-ES"/>
        </w:rPr>
        <w:t xml:space="preserve"> </w:t>
      </w:r>
      <w:r w:rsidRPr="00CF6765">
        <w:rPr>
          <w:rFonts w:eastAsia="Calibri"/>
          <w:sz w:val="20"/>
          <w:szCs w:val="20"/>
          <w:lang w:val="en-US" w:eastAsia="es-ES"/>
        </w:rPr>
        <w:t>the presumed victims</w:t>
      </w:r>
      <w:r w:rsidR="006B2A4D" w:rsidRPr="00CF6765">
        <w:rPr>
          <w:rFonts w:eastAsia="Calibri"/>
          <w:sz w:val="20"/>
          <w:szCs w:val="20"/>
          <w:lang w:val="en-US" w:eastAsia="es-ES"/>
        </w:rPr>
        <w:t xml:space="preserve"> </w:t>
      </w:r>
      <w:r w:rsidR="00383F64" w:rsidRPr="00CF6765">
        <w:rPr>
          <w:rFonts w:eastAsia="Calibri"/>
          <w:sz w:val="20"/>
          <w:szCs w:val="20"/>
          <w:lang w:val="en-US" w:eastAsia="es-ES"/>
        </w:rPr>
        <w:t xml:space="preserve">in this case </w:t>
      </w:r>
      <w:r w:rsidR="008E7B8D" w:rsidRPr="00CF6765">
        <w:rPr>
          <w:rFonts w:eastAsia="Calibri"/>
          <w:sz w:val="20"/>
          <w:szCs w:val="20"/>
          <w:lang w:val="en-US" w:eastAsia="es-ES"/>
        </w:rPr>
        <w:t>be provided with</w:t>
      </w:r>
      <w:r w:rsidR="00383F64" w:rsidRPr="00CF6765">
        <w:rPr>
          <w:rFonts w:eastAsia="Calibri"/>
          <w:sz w:val="20"/>
          <w:szCs w:val="20"/>
          <w:lang w:val="en-US" w:eastAsia="es-ES"/>
        </w:rPr>
        <w:t xml:space="preserve"> medical and psychological </w:t>
      </w:r>
      <w:r w:rsidR="008E7B8D" w:rsidRPr="00CF6765">
        <w:rPr>
          <w:rFonts w:eastAsia="Calibri"/>
          <w:sz w:val="20"/>
          <w:szCs w:val="20"/>
          <w:lang w:val="en-US" w:eastAsia="es-ES"/>
        </w:rPr>
        <w:t>treatment</w:t>
      </w:r>
      <w:r w:rsidR="00383F64" w:rsidRPr="00CF6765">
        <w:rPr>
          <w:rFonts w:eastAsia="Calibri"/>
          <w:sz w:val="20"/>
          <w:szCs w:val="20"/>
          <w:lang w:val="en-US" w:eastAsia="es-ES"/>
        </w:rPr>
        <w:t xml:space="preserve">. For this, they asked that the State provide each victim with the sum of </w:t>
      </w:r>
      <w:r w:rsidR="00D72D2D" w:rsidRPr="00CF6765">
        <w:rPr>
          <w:rFonts w:eastAsia="Calibri"/>
          <w:sz w:val="20"/>
          <w:szCs w:val="20"/>
          <w:lang w:val="en-US" w:eastAsia="es-ES"/>
        </w:rPr>
        <w:t>US$10,</w:t>
      </w:r>
      <w:r w:rsidR="006B2A4D" w:rsidRPr="00CF6765">
        <w:rPr>
          <w:rFonts w:eastAsia="Calibri"/>
          <w:sz w:val="20"/>
          <w:szCs w:val="20"/>
          <w:lang w:val="en-US" w:eastAsia="es-ES"/>
        </w:rPr>
        <w:t xml:space="preserve">000 </w:t>
      </w:r>
      <w:r w:rsidR="00383F64" w:rsidRPr="00CF6765">
        <w:rPr>
          <w:rFonts w:eastAsia="Calibri"/>
          <w:sz w:val="20"/>
          <w:szCs w:val="20"/>
          <w:lang w:val="en-US" w:eastAsia="es-ES"/>
        </w:rPr>
        <w:t>for the expenses related to the said medical and psychological treatment. They also asked that the State guarantee quality health care for the numerous physical ailments that they currently suffer.</w:t>
      </w:r>
    </w:p>
    <w:p w14:paraId="0B936FC6" w14:textId="77777777" w:rsidR="006B2A4D" w:rsidRPr="00CF6765" w:rsidRDefault="006B2A4D" w:rsidP="006B2A4D">
      <w:pPr>
        <w:rPr>
          <w:rFonts w:eastAsia="Calibri"/>
          <w:sz w:val="20"/>
          <w:szCs w:val="20"/>
          <w:lang w:val="en-US" w:eastAsia="es-ES"/>
        </w:rPr>
      </w:pPr>
    </w:p>
    <w:p w14:paraId="3233B21B" w14:textId="503C669B" w:rsidR="006B2A4D" w:rsidRPr="00CF6765" w:rsidRDefault="00EC50FC"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State</w:t>
      </w:r>
      <w:r w:rsidR="006B2A4D" w:rsidRPr="00CF6765">
        <w:rPr>
          <w:rFonts w:eastAsia="Calibri"/>
          <w:sz w:val="20"/>
          <w:szCs w:val="20"/>
          <w:lang w:val="en-US" w:eastAsia="es-ES"/>
        </w:rPr>
        <w:t xml:space="preserve"> </w:t>
      </w:r>
      <w:r w:rsidR="002E41A8" w:rsidRPr="00CF6765">
        <w:rPr>
          <w:rFonts w:eastAsia="Calibri"/>
          <w:sz w:val="20"/>
          <w:szCs w:val="20"/>
          <w:lang w:val="en-US" w:eastAsia="es-ES"/>
        </w:rPr>
        <w:t>did not comment in this regard.</w:t>
      </w:r>
    </w:p>
    <w:p w14:paraId="044491F9" w14:textId="77777777" w:rsidR="006B2A4D" w:rsidRPr="00CF6765" w:rsidRDefault="006B2A4D" w:rsidP="006B2A4D">
      <w:pPr>
        <w:rPr>
          <w:rFonts w:eastAsia="Calibri"/>
          <w:sz w:val="20"/>
          <w:szCs w:val="20"/>
          <w:lang w:val="en-US" w:eastAsia="es-ES"/>
        </w:rPr>
      </w:pPr>
    </w:p>
    <w:p w14:paraId="2BCFD41D" w14:textId="53E87740" w:rsidR="00383F64" w:rsidRPr="00CF6765" w:rsidRDefault="005C731C"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The Court</w:t>
      </w:r>
      <w:r w:rsidR="006B2A4D" w:rsidRPr="00CF6765">
        <w:rPr>
          <w:rFonts w:eastAsia="Calibri"/>
          <w:i/>
          <w:sz w:val="20"/>
          <w:szCs w:val="20"/>
          <w:lang w:val="en-US" w:eastAsia="es-ES"/>
        </w:rPr>
        <w:t xml:space="preserve"> </w:t>
      </w:r>
      <w:r w:rsidR="00383F64" w:rsidRPr="00CF6765">
        <w:rPr>
          <w:rFonts w:eastAsia="Calibri"/>
          <w:sz w:val="20"/>
          <w:szCs w:val="20"/>
          <w:lang w:val="en-US" w:eastAsia="es-ES"/>
        </w:rPr>
        <w:t>has verified that there is a causal nexus between the facts of the case and the psychological and emotional effects suffered by the victims,</w:t>
      </w:r>
      <w:r w:rsidR="000A5C9B" w:rsidRPr="00CF6765">
        <w:rPr>
          <w:rFonts w:eastAsia="Calibri"/>
          <w:sz w:val="20"/>
          <w:szCs w:val="20"/>
          <w:lang w:val="en-US" w:eastAsia="es-ES"/>
        </w:rPr>
        <w:t xml:space="preserve"> which were proved in Chapter VIi-3. Consequently, the Court finds it pertinent that, if the victims request this, they are provided with professional psychological care as a measure of rehabilitation </w:t>
      </w:r>
      <w:r w:rsidR="008E7B8D" w:rsidRPr="00CF6765">
        <w:rPr>
          <w:rFonts w:eastAsia="Calibri"/>
          <w:sz w:val="20"/>
          <w:szCs w:val="20"/>
          <w:lang w:val="en-US" w:eastAsia="es-ES"/>
        </w:rPr>
        <w:t>for</w:t>
      </w:r>
      <w:r w:rsidR="000A5C9B" w:rsidRPr="00CF6765">
        <w:rPr>
          <w:rFonts w:eastAsia="Calibri"/>
          <w:sz w:val="20"/>
          <w:szCs w:val="20"/>
          <w:lang w:val="en-US" w:eastAsia="es-ES"/>
        </w:rPr>
        <w:t xml:space="preserve"> the psychological and emotional effects they suffered as a result of the facts of this case. Therefore, the Court establishes the </w:t>
      </w:r>
      <w:r w:rsidR="008E7B8D" w:rsidRPr="00CF6765">
        <w:rPr>
          <w:rFonts w:eastAsia="Calibri"/>
          <w:sz w:val="20"/>
          <w:szCs w:val="20"/>
          <w:lang w:val="en-US" w:eastAsia="es-ES"/>
        </w:rPr>
        <w:t xml:space="preserve">State’s </w:t>
      </w:r>
      <w:r w:rsidR="000A5C9B" w:rsidRPr="00CF6765">
        <w:rPr>
          <w:rFonts w:eastAsia="Calibri"/>
          <w:sz w:val="20"/>
          <w:szCs w:val="20"/>
          <w:lang w:val="en-US" w:eastAsia="es-ES"/>
        </w:rPr>
        <w:t xml:space="preserve">obligation to provide, through its health care institutions, free of charge and immediately, </w:t>
      </w:r>
      <w:r w:rsidR="008E7B8D" w:rsidRPr="00CF6765">
        <w:rPr>
          <w:rFonts w:eastAsia="Calibri"/>
          <w:sz w:val="20"/>
          <w:szCs w:val="20"/>
          <w:lang w:val="en-US" w:eastAsia="es-ES"/>
        </w:rPr>
        <w:t xml:space="preserve">professional </w:t>
      </w:r>
      <w:r w:rsidR="000A5C9B" w:rsidRPr="00CF6765">
        <w:rPr>
          <w:rFonts w:eastAsia="Calibri"/>
          <w:sz w:val="20"/>
          <w:szCs w:val="20"/>
          <w:lang w:val="en-US" w:eastAsia="es-ES"/>
        </w:rPr>
        <w:t xml:space="preserve">psychological treatment to the victims, based on their specific needs. When providing the treatment, it is essential to respond to the circumstances and needs of each victim in order to provide effective and personalized treatment. In addition, the treatment must include the provision of medicines and, if applicable, transportation and other directly related and strictly necessary expenses. In particular, this treatment must be provided, insofar as possible, in the centers nearest to their place of residence. The victims who request this measure of reparation, or their legal representatives, have six </w:t>
      </w:r>
      <w:proofErr w:type="gramStart"/>
      <w:r w:rsidR="000A5C9B" w:rsidRPr="00CF6765">
        <w:rPr>
          <w:rFonts w:eastAsia="Calibri"/>
          <w:sz w:val="20"/>
          <w:szCs w:val="20"/>
          <w:lang w:val="en-US" w:eastAsia="es-ES"/>
        </w:rPr>
        <w:t>month</w:t>
      </w:r>
      <w:proofErr w:type="gramEnd"/>
      <w:r w:rsidR="000A5C9B" w:rsidRPr="00CF6765">
        <w:rPr>
          <w:rFonts w:eastAsia="Calibri"/>
          <w:sz w:val="20"/>
          <w:szCs w:val="20"/>
          <w:lang w:val="en-US" w:eastAsia="es-ES"/>
        </w:rPr>
        <w:t xml:space="preserve"> from notification of this judgment to advise the State of their intention to receive psychological or psychiatric treatment.</w:t>
      </w:r>
    </w:p>
    <w:p w14:paraId="1317B6D3" w14:textId="77777777" w:rsidR="006B2A4D" w:rsidRPr="00CF6765" w:rsidRDefault="006B2A4D" w:rsidP="006B2A4D">
      <w:pPr>
        <w:rPr>
          <w:rFonts w:eastAsia="Calibri"/>
          <w:sz w:val="20"/>
          <w:szCs w:val="20"/>
          <w:lang w:val="en-US" w:eastAsia="es-ES"/>
        </w:rPr>
      </w:pPr>
    </w:p>
    <w:p w14:paraId="0FCD7022" w14:textId="7A274D50" w:rsidR="006B2A4D" w:rsidRPr="00CF6765" w:rsidRDefault="002E41A8" w:rsidP="002726E0">
      <w:pPr>
        <w:pStyle w:val="Ttulo2"/>
        <w:numPr>
          <w:ilvl w:val="0"/>
          <w:numId w:val="13"/>
        </w:numPr>
        <w:rPr>
          <w:lang w:val="en-US"/>
        </w:rPr>
      </w:pPr>
      <w:bookmarkStart w:id="122" w:name="_Toc47864404"/>
      <w:r w:rsidRPr="00CF6765">
        <w:rPr>
          <w:lang w:val="en-US"/>
        </w:rPr>
        <w:t>Guarantees of non-repetition</w:t>
      </w:r>
      <w:bookmarkEnd w:id="122"/>
    </w:p>
    <w:p w14:paraId="575373A9" w14:textId="77777777" w:rsidR="006B2A4D" w:rsidRPr="00CF6765" w:rsidRDefault="006B2A4D" w:rsidP="006B2A4D">
      <w:pPr>
        <w:rPr>
          <w:rFonts w:eastAsia="Calibri"/>
          <w:b/>
          <w:i/>
          <w:sz w:val="20"/>
          <w:szCs w:val="20"/>
          <w:lang w:val="en-US" w:eastAsia="es-ES"/>
        </w:rPr>
      </w:pPr>
    </w:p>
    <w:p w14:paraId="3788F3C9" w14:textId="561DA118" w:rsidR="006B2A4D" w:rsidRPr="00CF6765" w:rsidRDefault="005C731C" w:rsidP="001B156F">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The</w:t>
      </w:r>
      <w:r w:rsidRPr="00CF6765">
        <w:rPr>
          <w:rFonts w:eastAsia="Calibri"/>
          <w:b/>
          <w:bCs/>
          <w:i/>
          <w:iCs/>
          <w:sz w:val="20"/>
          <w:szCs w:val="20"/>
          <w:lang w:val="en-US" w:eastAsia="es-ES"/>
        </w:rPr>
        <w:t xml:space="preserve"> Commission</w:t>
      </w:r>
      <w:r w:rsidR="006B2A4D" w:rsidRPr="00CF6765">
        <w:rPr>
          <w:rFonts w:eastAsia="Calibri"/>
          <w:sz w:val="20"/>
          <w:szCs w:val="20"/>
          <w:lang w:val="en-US" w:eastAsia="es-ES"/>
        </w:rPr>
        <w:t xml:space="preserve"> </w:t>
      </w:r>
      <w:r w:rsidR="00E439BB" w:rsidRPr="00CF6765">
        <w:rPr>
          <w:rFonts w:eastAsia="Calibri"/>
          <w:sz w:val="20"/>
          <w:szCs w:val="20"/>
          <w:lang w:val="en-US" w:eastAsia="es-ES"/>
        </w:rPr>
        <w:t>asked</w:t>
      </w:r>
      <w:r w:rsidR="001B156F" w:rsidRPr="00CF6765">
        <w:rPr>
          <w:rFonts w:eastAsia="Calibri"/>
          <w:sz w:val="20"/>
          <w:szCs w:val="20"/>
          <w:lang w:val="en-US" w:eastAsia="es-ES"/>
        </w:rPr>
        <w:t xml:space="preserve"> that the State adopt me</w:t>
      </w:r>
      <w:r w:rsidR="008E7B8D" w:rsidRPr="00CF6765">
        <w:rPr>
          <w:rFonts w:eastAsia="Calibri"/>
          <w:sz w:val="20"/>
          <w:szCs w:val="20"/>
          <w:lang w:val="en-US" w:eastAsia="es-ES"/>
        </w:rPr>
        <w:t>asures</w:t>
      </w:r>
      <w:r w:rsidR="001B156F" w:rsidRPr="00CF6765">
        <w:rPr>
          <w:rFonts w:eastAsia="Calibri"/>
          <w:sz w:val="20"/>
          <w:szCs w:val="20"/>
          <w:lang w:val="en-US" w:eastAsia="es-ES"/>
        </w:rPr>
        <w:t xml:space="preserve"> of non-repetition, including: </w:t>
      </w:r>
      <w:r w:rsidR="001B156F" w:rsidRPr="00CF6765">
        <w:rPr>
          <w:rFonts w:cs="BookAntiqua"/>
          <w:sz w:val="20"/>
          <w:lang w:val="en-US"/>
        </w:rPr>
        <w:t>(</w:t>
      </w:r>
      <w:proofErr w:type="spellStart"/>
      <w:r w:rsidR="001B156F" w:rsidRPr="00CF6765">
        <w:rPr>
          <w:rFonts w:cs="BookAntiqua"/>
          <w:sz w:val="20"/>
          <w:lang w:val="en-US"/>
        </w:rPr>
        <w:t>i</w:t>
      </w:r>
      <w:proofErr w:type="spellEnd"/>
      <w:r w:rsidR="001B156F" w:rsidRPr="00CF6765">
        <w:rPr>
          <w:rFonts w:cs="BookAntiqua"/>
          <w:sz w:val="20"/>
          <w:lang w:val="en-US"/>
        </w:rPr>
        <w:t xml:space="preserve">) the legislative, administrative, and other measures that may be required to implement informed consent </w:t>
      </w:r>
      <w:r w:rsidR="001B156F" w:rsidRPr="00CF6765">
        <w:rPr>
          <w:rFonts w:eastAsia="Calibri"/>
          <w:sz w:val="20"/>
          <w:szCs w:val="20"/>
          <w:lang w:val="en-US" w:eastAsia="es-ES"/>
        </w:rPr>
        <w:t xml:space="preserve">in health-related matters in </w:t>
      </w:r>
      <w:r w:rsidR="001B156F" w:rsidRPr="00CF6765">
        <w:rPr>
          <w:rFonts w:cs="BookAntiqua"/>
          <w:sz w:val="20"/>
          <w:lang w:val="en-US"/>
        </w:rPr>
        <w:t xml:space="preserve">keeping with the standards established in </w:t>
      </w:r>
      <w:proofErr w:type="spellStart"/>
      <w:r w:rsidR="001B156F" w:rsidRPr="00CF6765">
        <w:rPr>
          <w:rFonts w:cs="BookAntiqua"/>
          <w:sz w:val="20"/>
          <w:lang w:val="en-US"/>
        </w:rPr>
        <w:t>th</w:t>
      </w:r>
      <w:proofErr w:type="spellEnd"/>
      <w:r w:rsidR="001B156F" w:rsidRPr="00CF6765">
        <w:rPr>
          <w:rFonts w:cs="BookAntiqua"/>
          <w:sz w:val="20"/>
          <w:lang w:val="en-US"/>
        </w:rPr>
        <w:t xml:space="preserve">[e] report; (ii) the necessary measures, including budgetary measures, to ensure that the </w:t>
      </w:r>
      <w:proofErr w:type="spellStart"/>
      <w:r w:rsidR="001B156F" w:rsidRPr="00CF6765">
        <w:rPr>
          <w:rFonts w:cs="BookAntiqua"/>
          <w:sz w:val="20"/>
          <w:lang w:val="en-US"/>
        </w:rPr>
        <w:t>Sótero</w:t>
      </w:r>
      <w:proofErr w:type="spellEnd"/>
      <w:r w:rsidR="001B156F" w:rsidRPr="00CF6765">
        <w:rPr>
          <w:rFonts w:cs="BookAntiqua"/>
          <w:sz w:val="20"/>
          <w:lang w:val="en-US"/>
        </w:rPr>
        <w:t xml:space="preserve"> del Río Hospital has </w:t>
      </w:r>
      <w:r w:rsidR="001B156F" w:rsidRPr="00CF6765">
        <w:rPr>
          <w:rFonts w:cs="BookAntiqua"/>
          <w:sz w:val="20"/>
          <w:lang w:val="en-US"/>
        </w:rPr>
        <w:lastRenderedPageBreak/>
        <w:t xml:space="preserve">the resources and infrastructure needed to provide adequate care, particularly when intensive therapy is required, and (iii) education and training measures for judicial agents regarding the duty to investigate possible </w:t>
      </w:r>
      <w:r w:rsidR="008E7B8D" w:rsidRPr="00CF6765">
        <w:rPr>
          <w:rFonts w:cs="BookAntiqua"/>
          <w:sz w:val="20"/>
          <w:lang w:val="en-US"/>
        </w:rPr>
        <w:t>liabilities</w:t>
      </w:r>
      <w:r w:rsidR="001B156F" w:rsidRPr="00CF6765">
        <w:rPr>
          <w:rFonts w:cs="BookAntiqua"/>
          <w:sz w:val="20"/>
          <w:lang w:val="en-US"/>
        </w:rPr>
        <w:t xml:space="preserve"> arising from the death of a person as the result of inadequate health care.</w:t>
      </w:r>
      <w:r w:rsidR="006B2A4D" w:rsidRPr="00CF6765">
        <w:rPr>
          <w:rFonts w:eastAsia="Calibri"/>
          <w:sz w:val="20"/>
          <w:szCs w:val="20"/>
          <w:lang w:val="en-US" w:eastAsia="es-ES"/>
        </w:rPr>
        <w:t>”</w:t>
      </w:r>
    </w:p>
    <w:p w14:paraId="1BFD343F" w14:textId="77777777" w:rsidR="006B2A4D" w:rsidRPr="00CF6765" w:rsidRDefault="006B2A4D" w:rsidP="006B2A4D">
      <w:pPr>
        <w:widowControl w:val="0"/>
        <w:tabs>
          <w:tab w:val="left" w:pos="567"/>
          <w:tab w:val="num" w:pos="12305"/>
        </w:tabs>
        <w:adjustRightInd w:val="0"/>
        <w:textAlignment w:val="baseline"/>
        <w:rPr>
          <w:rFonts w:eastAsia="Calibri"/>
          <w:sz w:val="20"/>
          <w:szCs w:val="20"/>
          <w:lang w:val="en-US" w:eastAsia="es-ES"/>
        </w:rPr>
      </w:pPr>
    </w:p>
    <w:p w14:paraId="5BCA20A3" w14:textId="047FA0D1" w:rsidR="006B2A4D" w:rsidRPr="00CF6765" w:rsidRDefault="00D2168F" w:rsidP="001B156F">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representatives</w:t>
      </w:r>
      <w:r w:rsidR="001B156F" w:rsidRPr="00CF6765">
        <w:rPr>
          <w:rFonts w:eastAsia="Calibri"/>
          <w:b/>
          <w:bCs/>
          <w:i/>
          <w:iCs/>
          <w:sz w:val="20"/>
          <w:szCs w:val="20"/>
          <w:lang w:val="en-US" w:eastAsia="es-ES"/>
        </w:rPr>
        <w:t xml:space="preserve"> </w:t>
      </w:r>
      <w:r w:rsidR="001B156F" w:rsidRPr="00CF6765">
        <w:rPr>
          <w:rFonts w:eastAsia="Calibri"/>
          <w:sz w:val="20"/>
          <w:szCs w:val="20"/>
          <w:lang w:val="en-US" w:eastAsia="es-ES"/>
        </w:rPr>
        <w:t xml:space="preserve">requested the adoption of domestic legal provisions to regulate the conduct of health professionals, pursuant to the relevant national and international standards, as well as legislative and other measures “to reinforce the civil and criminal </w:t>
      </w:r>
      <w:r w:rsidR="008E7B8D" w:rsidRPr="00CF6765">
        <w:rPr>
          <w:rFonts w:eastAsia="Calibri"/>
          <w:sz w:val="20"/>
          <w:szCs w:val="20"/>
          <w:lang w:val="en-US" w:eastAsia="es-ES"/>
        </w:rPr>
        <w:t>liability</w:t>
      </w:r>
      <w:r w:rsidR="001B156F" w:rsidRPr="00CF6765">
        <w:rPr>
          <w:rFonts w:eastAsia="Calibri"/>
          <w:sz w:val="20"/>
          <w:szCs w:val="20"/>
          <w:lang w:val="en-US" w:eastAsia="es-ES"/>
        </w:rPr>
        <w:t xml:space="preserve"> of doctors and health care workers.” They also requested that the obligation of active transparency be duly implemented with regard to health care services in order to ensure the right of all patients subject to medical treatment </w:t>
      </w:r>
      <w:r w:rsidR="008E7B8D" w:rsidRPr="00CF6765">
        <w:rPr>
          <w:rFonts w:eastAsia="Calibri"/>
          <w:sz w:val="20"/>
          <w:szCs w:val="20"/>
          <w:lang w:val="en-US" w:eastAsia="es-ES"/>
        </w:rPr>
        <w:t>under</w:t>
      </w:r>
      <w:r w:rsidR="001B156F" w:rsidRPr="00CF6765">
        <w:rPr>
          <w:rFonts w:eastAsia="Calibri"/>
          <w:sz w:val="20"/>
          <w:szCs w:val="20"/>
          <w:lang w:val="en-US" w:eastAsia="es-ES"/>
        </w:rPr>
        <w:t xml:space="preserve"> the Chilean public and private health care system to provide free informed consent. In addition, they requested that training be provided to health care professionals in public and private hospitals and clinics on “human rights, criminal law, patients’ rights, and the case law of the Inter-American Court.” Lastly, they requested the construction of a hospital for older persons or the </w:t>
      </w:r>
      <w:r w:rsidR="00FB2D33" w:rsidRPr="00CF6765">
        <w:rPr>
          <w:rFonts w:eastAsia="Calibri"/>
          <w:sz w:val="20"/>
          <w:szCs w:val="20"/>
          <w:lang w:val="en-US" w:eastAsia="es-ES"/>
        </w:rPr>
        <w:t>remodeling</w:t>
      </w:r>
      <w:r w:rsidR="001B156F" w:rsidRPr="00CF6765">
        <w:rPr>
          <w:rFonts w:eastAsia="Calibri"/>
          <w:sz w:val="20"/>
          <w:szCs w:val="20"/>
          <w:lang w:val="en-US" w:eastAsia="es-ES"/>
        </w:rPr>
        <w:t xml:space="preserve"> of existing hospitals in order to endow them with a wing specifically for </w:t>
      </w:r>
      <w:r w:rsidR="004A4E15" w:rsidRPr="00CF6765">
        <w:rPr>
          <w:rFonts w:eastAsia="Calibri"/>
          <w:sz w:val="20"/>
          <w:szCs w:val="20"/>
          <w:lang w:val="en-US" w:eastAsia="es-ES"/>
        </w:rPr>
        <w:t>treating</w:t>
      </w:r>
      <w:r w:rsidR="001B156F" w:rsidRPr="00CF6765">
        <w:rPr>
          <w:rFonts w:eastAsia="Calibri"/>
          <w:sz w:val="20"/>
          <w:szCs w:val="20"/>
          <w:lang w:val="en-US" w:eastAsia="es-ES"/>
        </w:rPr>
        <w:t xml:space="preserve"> older persons</w:t>
      </w:r>
      <w:r w:rsidR="00DC51FE" w:rsidRPr="00CF6765">
        <w:rPr>
          <w:rFonts w:eastAsia="Calibri"/>
          <w:sz w:val="20"/>
          <w:szCs w:val="20"/>
          <w:lang w:val="en-US" w:eastAsia="es-ES"/>
        </w:rPr>
        <w:t xml:space="preserve"> and, consequently, increase the beds available for this particular group.</w:t>
      </w:r>
    </w:p>
    <w:p w14:paraId="7452FF8D" w14:textId="77777777" w:rsidR="006B2A4D" w:rsidRPr="00CF6765" w:rsidRDefault="006B2A4D" w:rsidP="006B2A4D">
      <w:pPr>
        <w:widowControl w:val="0"/>
        <w:tabs>
          <w:tab w:val="left" w:pos="567"/>
          <w:tab w:val="num" w:pos="12305"/>
        </w:tabs>
        <w:adjustRightInd w:val="0"/>
        <w:textAlignment w:val="baseline"/>
        <w:rPr>
          <w:rFonts w:eastAsia="Calibri"/>
          <w:sz w:val="20"/>
          <w:szCs w:val="20"/>
          <w:lang w:val="en-US" w:eastAsia="es-ES"/>
        </w:rPr>
      </w:pPr>
    </w:p>
    <w:p w14:paraId="64E48F30" w14:textId="088EFEB7" w:rsidR="006B2A4D" w:rsidRPr="00CF6765" w:rsidRDefault="00EC50FC"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State</w:t>
      </w:r>
      <w:r w:rsidR="006B2A4D" w:rsidRPr="00CF6765">
        <w:rPr>
          <w:rFonts w:eastAsia="Calibri"/>
          <w:sz w:val="20"/>
          <w:szCs w:val="20"/>
          <w:lang w:val="en-US" w:eastAsia="es-ES"/>
        </w:rPr>
        <w:t xml:space="preserve"> </w:t>
      </w:r>
      <w:r w:rsidR="00DC51FE" w:rsidRPr="00CF6765">
        <w:rPr>
          <w:rFonts w:eastAsia="Calibri"/>
          <w:sz w:val="20"/>
          <w:szCs w:val="20"/>
          <w:lang w:val="en-US" w:eastAsia="es-ES"/>
        </w:rPr>
        <w:t xml:space="preserve">referred to various measures it had implemented over the years with regard to </w:t>
      </w:r>
      <w:r w:rsidR="003C3208" w:rsidRPr="00CF6765">
        <w:rPr>
          <w:rFonts w:eastAsia="Calibri"/>
          <w:sz w:val="20"/>
          <w:szCs w:val="20"/>
          <w:lang w:val="en-US" w:eastAsia="es-ES"/>
        </w:rPr>
        <w:t>informed consent</w:t>
      </w:r>
      <w:r w:rsidR="006B2A4D" w:rsidRPr="00CF6765">
        <w:rPr>
          <w:rFonts w:eastAsia="Calibri"/>
          <w:sz w:val="20"/>
          <w:szCs w:val="20"/>
          <w:lang w:val="en-US" w:eastAsia="es-ES"/>
        </w:rPr>
        <w:t xml:space="preserve"> </w:t>
      </w:r>
      <w:r w:rsidR="00DC51FE" w:rsidRPr="00CF6765">
        <w:rPr>
          <w:rFonts w:eastAsia="Calibri"/>
          <w:sz w:val="20"/>
          <w:szCs w:val="20"/>
          <w:lang w:val="en-US" w:eastAsia="es-ES"/>
        </w:rPr>
        <w:t>in health</w:t>
      </w:r>
      <w:r w:rsidR="004A4E15" w:rsidRPr="00CF6765">
        <w:rPr>
          <w:rFonts w:eastAsia="Calibri"/>
          <w:sz w:val="20"/>
          <w:szCs w:val="20"/>
          <w:lang w:val="en-US" w:eastAsia="es-ES"/>
        </w:rPr>
        <w:t>-related matters</w:t>
      </w:r>
      <w:r w:rsidR="00DC51FE" w:rsidRPr="00CF6765">
        <w:rPr>
          <w:rFonts w:eastAsia="Calibri"/>
          <w:sz w:val="20"/>
          <w:szCs w:val="20"/>
          <w:lang w:val="en-US" w:eastAsia="es-ES"/>
        </w:rPr>
        <w:t>, in order to adapt to the relevant international standards. It mentioned that the document:</w:t>
      </w:r>
      <w:r w:rsidR="006B2A4D" w:rsidRPr="00CF6765">
        <w:rPr>
          <w:rFonts w:eastAsia="Calibri"/>
          <w:sz w:val="20"/>
          <w:szCs w:val="20"/>
          <w:lang w:val="en-US" w:eastAsia="es-ES"/>
        </w:rPr>
        <w:t xml:space="preserve"> “</w:t>
      </w:r>
      <w:r w:rsidR="00DC51FE" w:rsidRPr="00CF6765">
        <w:rPr>
          <w:rFonts w:eastAsia="Calibri"/>
          <w:sz w:val="20"/>
          <w:szCs w:val="20"/>
          <w:lang w:val="en-US" w:eastAsia="es-ES"/>
        </w:rPr>
        <w:t>Medical Ethics Documents and Standards” prepared by the Chilean Medical</w:t>
      </w:r>
      <w:r w:rsidR="004A4E15" w:rsidRPr="00CF6765">
        <w:rPr>
          <w:rFonts w:eastAsia="Calibri"/>
          <w:sz w:val="20"/>
          <w:szCs w:val="20"/>
          <w:lang w:val="en-US" w:eastAsia="es-ES"/>
        </w:rPr>
        <w:t xml:space="preserve"> Association</w:t>
      </w:r>
      <w:r w:rsidR="00DC51FE" w:rsidRPr="00CF6765">
        <w:rPr>
          <w:rFonts w:eastAsia="Calibri"/>
          <w:sz w:val="20"/>
          <w:szCs w:val="20"/>
          <w:lang w:val="en-US" w:eastAsia="es-ES"/>
        </w:rPr>
        <w:t xml:space="preserve"> in 1986 had been updated in 2013, and now included informed consent. It also pointed out that Law No. 20,584 had entered </w:t>
      </w:r>
      <w:r w:rsidR="00FB2D33" w:rsidRPr="00CF6765">
        <w:rPr>
          <w:rFonts w:eastAsia="Calibri"/>
          <w:sz w:val="20"/>
          <w:szCs w:val="20"/>
          <w:lang w:val="en-US" w:eastAsia="es-ES"/>
        </w:rPr>
        <w:t>into</w:t>
      </w:r>
      <w:r w:rsidR="00DC51FE" w:rsidRPr="00CF6765">
        <w:rPr>
          <w:rFonts w:eastAsia="Calibri"/>
          <w:sz w:val="20"/>
          <w:szCs w:val="20"/>
          <w:lang w:val="en-US" w:eastAsia="es-ES"/>
        </w:rPr>
        <w:t xml:space="preserve"> force on October 1, 2012, and “it regulates the informed consent of the patient</w:t>
      </w:r>
      <w:r w:rsidR="004A4E15" w:rsidRPr="00CF6765">
        <w:rPr>
          <w:rFonts w:eastAsia="Calibri"/>
          <w:sz w:val="20"/>
          <w:szCs w:val="20"/>
          <w:lang w:val="en-US" w:eastAsia="es-ES"/>
        </w:rPr>
        <w:t>,</w:t>
      </w:r>
      <w:r w:rsidR="00DC51FE" w:rsidRPr="00CF6765">
        <w:rPr>
          <w:rFonts w:eastAsia="Calibri"/>
          <w:sz w:val="20"/>
          <w:szCs w:val="20"/>
          <w:lang w:val="en-US" w:eastAsia="es-ES"/>
        </w:rPr>
        <w:t xml:space="preserve"> providing him with autonomy to decide which medical procedures he wishes to undergo” and</w:t>
      </w:r>
      <w:r w:rsidRPr="00CF6765">
        <w:rPr>
          <w:rFonts w:eastAsia="Calibri"/>
          <w:sz w:val="20"/>
          <w:szCs w:val="20"/>
          <w:lang w:val="en-US" w:eastAsia="es-ES"/>
        </w:rPr>
        <w:t xml:space="preserve"> </w:t>
      </w:r>
      <w:r w:rsidR="006B2A4D" w:rsidRPr="00CF6765">
        <w:rPr>
          <w:rFonts w:eastAsia="Calibri"/>
          <w:sz w:val="20"/>
          <w:szCs w:val="20"/>
          <w:lang w:val="en-US" w:eastAsia="es-ES"/>
        </w:rPr>
        <w:t>“</w:t>
      </w:r>
      <w:r w:rsidR="00DE6950" w:rsidRPr="00CF6765">
        <w:rPr>
          <w:rFonts w:eastAsia="Calibri"/>
          <w:sz w:val="20"/>
          <w:szCs w:val="20"/>
          <w:lang w:val="en-US" w:eastAsia="es-ES"/>
        </w:rPr>
        <w:t>the right</w:t>
      </w:r>
      <w:r w:rsidR="006B2A4D" w:rsidRPr="00CF6765">
        <w:rPr>
          <w:rFonts w:eastAsia="Calibri"/>
          <w:sz w:val="20"/>
          <w:szCs w:val="20"/>
          <w:lang w:val="en-US" w:eastAsia="es-ES"/>
        </w:rPr>
        <w:t xml:space="preserve"> </w:t>
      </w:r>
      <w:r w:rsidR="00DC51FE" w:rsidRPr="00CF6765">
        <w:rPr>
          <w:rFonts w:eastAsia="Calibri"/>
          <w:sz w:val="20"/>
          <w:szCs w:val="20"/>
          <w:lang w:val="en-US" w:eastAsia="es-ES"/>
        </w:rPr>
        <w:t>to obtain the necessary information to give his consent.” The said law applies to any type of health care provider, in either the public or the private sector, and regulates the way in which information is provided to the patient; it should be sufficient, opportune, truthful and understandable for the patient or his legal representative or the person in whose care he is if the patient himself is unable to receive it. The law also includes the creat</w:t>
      </w:r>
      <w:r w:rsidR="004A4E15" w:rsidRPr="00CF6765">
        <w:rPr>
          <w:rFonts w:eastAsia="Calibri"/>
          <w:sz w:val="20"/>
          <w:szCs w:val="20"/>
          <w:lang w:val="en-US" w:eastAsia="es-ES"/>
        </w:rPr>
        <w:t>ion</w:t>
      </w:r>
      <w:r w:rsidR="00DC51FE" w:rsidRPr="00CF6765">
        <w:rPr>
          <w:rFonts w:eastAsia="Calibri"/>
          <w:sz w:val="20"/>
          <w:szCs w:val="20"/>
          <w:lang w:val="en-US" w:eastAsia="es-ES"/>
        </w:rPr>
        <w:t xml:space="preserve"> of health care ethical committees and scientific ethical evaluation committees. The State also indicated that, on November 26, </w:t>
      </w:r>
      <w:r w:rsidR="006B2A4D" w:rsidRPr="00CF6765">
        <w:rPr>
          <w:rFonts w:eastAsia="Calibri"/>
          <w:sz w:val="20"/>
          <w:szCs w:val="20"/>
          <w:lang w:val="en-US" w:eastAsia="es-ES"/>
        </w:rPr>
        <w:t>2012</w:t>
      </w:r>
      <w:r w:rsidR="00DC51FE" w:rsidRPr="00CF6765">
        <w:rPr>
          <w:rFonts w:eastAsia="Calibri"/>
          <w:sz w:val="20"/>
          <w:szCs w:val="20"/>
          <w:lang w:val="en-US" w:eastAsia="es-ES"/>
        </w:rPr>
        <w:t>, the “Regula</w:t>
      </w:r>
      <w:r w:rsidR="0016638B" w:rsidRPr="00CF6765">
        <w:rPr>
          <w:rFonts w:eastAsia="Calibri"/>
          <w:sz w:val="20"/>
          <w:szCs w:val="20"/>
          <w:lang w:val="en-US" w:eastAsia="es-ES"/>
        </w:rPr>
        <w:t>t</w:t>
      </w:r>
      <w:r w:rsidR="00DC51FE" w:rsidRPr="00CF6765">
        <w:rPr>
          <w:rFonts w:eastAsia="Calibri"/>
          <w:sz w:val="20"/>
          <w:szCs w:val="20"/>
          <w:lang w:val="en-US" w:eastAsia="es-ES"/>
        </w:rPr>
        <w:t>ions on the delivery of information and expression of informed consent in health care</w:t>
      </w:r>
      <w:r w:rsidR="0016638B" w:rsidRPr="00CF6765">
        <w:rPr>
          <w:rFonts w:eastAsia="Calibri"/>
          <w:sz w:val="20"/>
          <w:szCs w:val="20"/>
          <w:lang w:val="en-US" w:eastAsia="es-ES"/>
        </w:rPr>
        <w:t xml:space="preserve"> services</w:t>
      </w:r>
      <w:r w:rsidR="00DC51FE" w:rsidRPr="00CF6765">
        <w:rPr>
          <w:rFonts w:eastAsia="Calibri"/>
          <w:sz w:val="20"/>
          <w:szCs w:val="20"/>
          <w:lang w:val="en-US" w:eastAsia="es-ES"/>
        </w:rPr>
        <w:t xml:space="preserve">,” </w:t>
      </w:r>
      <w:r w:rsidR="0016638B" w:rsidRPr="00CF6765">
        <w:rPr>
          <w:rFonts w:eastAsia="Calibri"/>
          <w:sz w:val="20"/>
          <w:szCs w:val="20"/>
          <w:lang w:val="en-US" w:eastAsia="es-ES"/>
        </w:rPr>
        <w:t>entered into force; the</w:t>
      </w:r>
      <w:r w:rsidR="004A4E15" w:rsidRPr="00CF6765">
        <w:rPr>
          <w:rFonts w:eastAsia="Calibri"/>
          <w:sz w:val="20"/>
          <w:szCs w:val="20"/>
          <w:lang w:val="en-US" w:eastAsia="es-ES"/>
        </w:rPr>
        <w:t xml:space="preserve"> regulations</w:t>
      </w:r>
      <w:r w:rsidR="0016638B" w:rsidRPr="00CF6765">
        <w:rPr>
          <w:rFonts w:eastAsia="Calibri"/>
          <w:sz w:val="20"/>
          <w:szCs w:val="20"/>
          <w:lang w:val="en-US" w:eastAsia="es-ES"/>
        </w:rPr>
        <w:t xml:space="preserve"> develop the previous norms and regulate the delivery of information before any action is taken in relation to health care, in order to obtain the patient’s informed consent.</w:t>
      </w:r>
    </w:p>
    <w:p w14:paraId="2BDC0A7A" w14:textId="1C1A1AFE" w:rsidR="000A5C9B" w:rsidRPr="00CF6765" w:rsidRDefault="000A5C9B" w:rsidP="000A5C9B">
      <w:pPr>
        <w:widowControl w:val="0"/>
        <w:tabs>
          <w:tab w:val="left" w:pos="567"/>
        </w:tabs>
        <w:adjustRightInd w:val="0"/>
        <w:textAlignment w:val="baseline"/>
        <w:rPr>
          <w:rFonts w:eastAsia="Calibri"/>
          <w:sz w:val="20"/>
          <w:szCs w:val="20"/>
          <w:lang w:val="en-US" w:eastAsia="es-ES"/>
        </w:rPr>
      </w:pPr>
    </w:p>
    <w:p w14:paraId="5A1CD34A" w14:textId="382E1DFA" w:rsidR="0016638B" w:rsidRPr="00CF6765" w:rsidRDefault="0016638B" w:rsidP="0016638B">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Regarding the</w:t>
      </w:r>
      <w:r w:rsidR="00D2168F" w:rsidRPr="00CF6765">
        <w:rPr>
          <w:rFonts w:eastAsia="Calibri"/>
          <w:sz w:val="20"/>
          <w:szCs w:val="20"/>
          <w:lang w:val="en-US" w:eastAsia="es-ES"/>
        </w:rPr>
        <w:t xml:space="preserve"> representatives</w:t>
      </w:r>
      <w:r w:rsidRPr="00CF6765">
        <w:rPr>
          <w:rFonts w:eastAsia="Calibri"/>
          <w:sz w:val="20"/>
          <w:szCs w:val="20"/>
          <w:lang w:val="en-US" w:eastAsia="es-ES"/>
        </w:rPr>
        <w:t>’ request to build a hospital for older person</w:t>
      </w:r>
      <w:r w:rsidR="00FB2D33" w:rsidRPr="00CF6765">
        <w:rPr>
          <w:rFonts w:eastAsia="Calibri"/>
          <w:sz w:val="20"/>
          <w:szCs w:val="20"/>
          <w:lang w:val="en-US" w:eastAsia="es-ES"/>
        </w:rPr>
        <w:t xml:space="preserve">s </w:t>
      </w:r>
      <w:r w:rsidRPr="00CF6765">
        <w:rPr>
          <w:rFonts w:eastAsia="Calibri"/>
          <w:sz w:val="20"/>
          <w:szCs w:val="20"/>
          <w:lang w:val="en-US" w:eastAsia="es-ES"/>
        </w:rPr>
        <w:t xml:space="preserve">or establish </w:t>
      </w:r>
      <w:r w:rsidR="00FB2D33" w:rsidRPr="00CF6765">
        <w:rPr>
          <w:rFonts w:eastAsia="Calibri"/>
          <w:sz w:val="20"/>
          <w:szCs w:val="20"/>
          <w:lang w:val="en-US" w:eastAsia="es-ES"/>
        </w:rPr>
        <w:t>speci</w:t>
      </w:r>
      <w:r w:rsidR="004A4E15" w:rsidRPr="00CF6765">
        <w:rPr>
          <w:rFonts w:eastAsia="Calibri"/>
          <w:sz w:val="20"/>
          <w:szCs w:val="20"/>
          <w:lang w:val="en-US" w:eastAsia="es-ES"/>
        </w:rPr>
        <w:t xml:space="preserve">al </w:t>
      </w:r>
      <w:r w:rsidRPr="00CF6765">
        <w:rPr>
          <w:rFonts w:eastAsia="Calibri"/>
          <w:sz w:val="20"/>
          <w:szCs w:val="20"/>
          <w:lang w:val="en-US" w:eastAsia="es-ES"/>
        </w:rPr>
        <w:t xml:space="preserve">wings for them, the State called this disproportionate and unnecessary, because it stressed that it has a National Institute of Geriatrics </w:t>
      </w:r>
      <w:r w:rsidR="006B2A4D" w:rsidRPr="00CF6765">
        <w:rPr>
          <w:rFonts w:eastAsia="Calibri"/>
          <w:sz w:val="20"/>
          <w:szCs w:val="20"/>
          <w:lang w:val="en-US" w:eastAsia="es-ES"/>
        </w:rPr>
        <w:t xml:space="preserve">(INGER). </w:t>
      </w:r>
      <w:r w:rsidRPr="00CF6765">
        <w:rPr>
          <w:rFonts w:eastAsia="Calibri"/>
          <w:sz w:val="20"/>
          <w:szCs w:val="20"/>
          <w:lang w:val="en-US" w:eastAsia="es-ES"/>
        </w:rPr>
        <w:t xml:space="preserve">It also indicated that it had implemented a comprehensive public policy on </w:t>
      </w:r>
      <w:r w:rsidR="004A4E15" w:rsidRPr="00CF6765">
        <w:rPr>
          <w:rFonts w:eastAsia="Calibri"/>
          <w:sz w:val="20"/>
          <w:szCs w:val="20"/>
          <w:lang w:val="en-US" w:eastAsia="es-ES"/>
        </w:rPr>
        <w:t>bed</w:t>
      </w:r>
      <w:r w:rsidRPr="00CF6765">
        <w:rPr>
          <w:rFonts w:eastAsia="Calibri"/>
          <w:sz w:val="20"/>
          <w:szCs w:val="20"/>
          <w:lang w:val="en-US" w:eastAsia="es-ES"/>
        </w:rPr>
        <w:t xml:space="preserve"> accessibility, and considered that this constituted a clear guarantee of non-repetition in this case. It stressed that the number of critical beds had increased from </w:t>
      </w:r>
      <w:r w:rsidR="006B2A4D" w:rsidRPr="00CF6765">
        <w:rPr>
          <w:rFonts w:eastAsia="Calibri"/>
          <w:sz w:val="20"/>
          <w:szCs w:val="20"/>
          <w:lang w:val="en-US" w:eastAsia="es-ES"/>
        </w:rPr>
        <w:t>1</w:t>
      </w:r>
      <w:r w:rsidR="005F2639" w:rsidRPr="00CF6765">
        <w:rPr>
          <w:rFonts w:eastAsia="Calibri"/>
          <w:sz w:val="20"/>
          <w:szCs w:val="20"/>
          <w:lang w:val="en-US" w:eastAsia="es-ES"/>
        </w:rPr>
        <w:t>,</w:t>
      </w:r>
      <w:r w:rsidR="006B2A4D" w:rsidRPr="00CF6765">
        <w:rPr>
          <w:rFonts w:eastAsia="Calibri"/>
          <w:sz w:val="20"/>
          <w:szCs w:val="20"/>
          <w:lang w:val="en-US" w:eastAsia="es-ES"/>
        </w:rPr>
        <w:t xml:space="preserve">234 </w:t>
      </w:r>
      <w:r w:rsidRPr="00CF6765">
        <w:rPr>
          <w:rFonts w:eastAsia="Calibri"/>
          <w:sz w:val="20"/>
          <w:szCs w:val="20"/>
          <w:lang w:val="en-US" w:eastAsia="es-ES"/>
        </w:rPr>
        <w:t>in</w:t>
      </w:r>
      <w:r w:rsidR="006B2A4D" w:rsidRPr="00CF6765">
        <w:rPr>
          <w:rFonts w:eastAsia="Calibri"/>
          <w:sz w:val="20"/>
          <w:szCs w:val="20"/>
          <w:lang w:val="en-US" w:eastAsia="es-ES"/>
        </w:rPr>
        <w:t xml:space="preserve"> 2006 </w:t>
      </w:r>
      <w:r w:rsidRPr="00CF6765">
        <w:rPr>
          <w:rFonts w:eastAsia="Calibri"/>
          <w:sz w:val="20"/>
          <w:szCs w:val="20"/>
          <w:lang w:val="en-US" w:eastAsia="es-ES"/>
        </w:rPr>
        <w:t>to</w:t>
      </w:r>
      <w:r w:rsidR="006B2A4D" w:rsidRPr="00CF6765">
        <w:rPr>
          <w:rFonts w:eastAsia="Calibri"/>
          <w:sz w:val="20"/>
          <w:szCs w:val="20"/>
          <w:lang w:val="en-US" w:eastAsia="es-ES"/>
        </w:rPr>
        <w:t xml:space="preserve"> 2</w:t>
      </w:r>
      <w:r w:rsidR="005F2639" w:rsidRPr="00CF6765">
        <w:rPr>
          <w:rFonts w:eastAsia="Calibri"/>
          <w:sz w:val="20"/>
          <w:szCs w:val="20"/>
          <w:lang w:val="en-US" w:eastAsia="es-ES"/>
        </w:rPr>
        <w:t>,</w:t>
      </w:r>
      <w:r w:rsidR="006B2A4D" w:rsidRPr="00CF6765">
        <w:rPr>
          <w:rFonts w:eastAsia="Calibri"/>
          <w:sz w:val="20"/>
          <w:szCs w:val="20"/>
          <w:lang w:val="en-US" w:eastAsia="es-ES"/>
        </w:rPr>
        <w:t xml:space="preserve">839 </w:t>
      </w:r>
      <w:r w:rsidRPr="00CF6765">
        <w:rPr>
          <w:rFonts w:eastAsia="Calibri"/>
          <w:sz w:val="20"/>
          <w:szCs w:val="20"/>
          <w:lang w:val="en-US" w:eastAsia="es-ES"/>
        </w:rPr>
        <w:t>in</w:t>
      </w:r>
      <w:r w:rsidR="006B2A4D" w:rsidRPr="00CF6765">
        <w:rPr>
          <w:rFonts w:eastAsia="Calibri"/>
          <w:sz w:val="20"/>
          <w:szCs w:val="20"/>
          <w:lang w:val="en-US" w:eastAsia="es-ES"/>
        </w:rPr>
        <w:t xml:space="preserve"> 2016,</w:t>
      </w:r>
      <w:r w:rsidR="00EC50FC" w:rsidRPr="00CF6765">
        <w:rPr>
          <w:rFonts w:eastAsia="Calibri"/>
          <w:sz w:val="20"/>
          <w:szCs w:val="20"/>
          <w:lang w:val="en-US" w:eastAsia="es-ES"/>
        </w:rPr>
        <w:t xml:space="preserve"> and </w:t>
      </w:r>
      <w:r w:rsidRPr="00CF6765">
        <w:rPr>
          <w:rFonts w:eastAsia="Calibri"/>
          <w:sz w:val="20"/>
          <w:szCs w:val="20"/>
          <w:lang w:val="en-US" w:eastAsia="es-ES"/>
        </w:rPr>
        <w:t xml:space="preserve">asserted that the success of this </w:t>
      </w:r>
      <w:r w:rsidR="00FB2D33" w:rsidRPr="00CF6765">
        <w:rPr>
          <w:rFonts w:eastAsia="Calibri"/>
          <w:sz w:val="20"/>
          <w:szCs w:val="20"/>
          <w:lang w:val="en-US" w:eastAsia="es-ES"/>
        </w:rPr>
        <w:t>policy</w:t>
      </w:r>
      <w:r w:rsidRPr="00CF6765">
        <w:rPr>
          <w:rFonts w:eastAsia="Calibri"/>
          <w:sz w:val="20"/>
          <w:szCs w:val="20"/>
          <w:lang w:val="en-US" w:eastAsia="es-ES"/>
        </w:rPr>
        <w:t xml:space="preserve"> was explained by the creation of the </w:t>
      </w:r>
      <w:r w:rsidR="004A4E15" w:rsidRPr="00CF6765">
        <w:rPr>
          <w:rFonts w:eastAsia="Calibri"/>
          <w:sz w:val="20"/>
          <w:szCs w:val="20"/>
          <w:lang w:val="en-US" w:eastAsia="es-ES"/>
        </w:rPr>
        <w:t xml:space="preserve">Centralized Bed Management Unit </w:t>
      </w:r>
      <w:r w:rsidRPr="00CF6765">
        <w:rPr>
          <w:rFonts w:eastAsia="Calibri"/>
          <w:sz w:val="20"/>
          <w:szCs w:val="20"/>
          <w:lang w:val="en-US" w:eastAsia="es-ES"/>
        </w:rPr>
        <w:t xml:space="preserve">in the Ministry of Health that operates 24/7. Lastly, it indicated that another reason to reject the measure </w:t>
      </w:r>
      <w:r w:rsidR="004A4E15" w:rsidRPr="00CF6765">
        <w:rPr>
          <w:rFonts w:eastAsia="Calibri"/>
          <w:sz w:val="20"/>
          <w:szCs w:val="20"/>
          <w:lang w:val="en-US" w:eastAsia="es-ES"/>
        </w:rPr>
        <w:t>related to</w:t>
      </w:r>
      <w:r w:rsidRPr="00CF6765">
        <w:rPr>
          <w:rFonts w:eastAsia="Calibri"/>
          <w:sz w:val="20"/>
          <w:szCs w:val="20"/>
          <w:lang w:val="en-US" w:eastAsia="es-ES"/>
        </w:rPr>
        <w:t xml:space="preserve"> whether it was pertinent for the judicial sector to establish public policies at this level of detail </w:t>
      </w:r>
      <w:r w:rsidR="004A4E15" w:rsidRPr="00CF6765">
        <w:rPr>
          <w:rFonts w:eastAsia="Calibri"/>
          <w:sz w:val="20"/>
          <w:szCs w:val="20"/>
          <w:lang w:val="en-US" w:eastAsia="es-ES"/>
        </w:rPr>
        <w:t>and that</w:t>
      </w:r>
      <w:r w:rsidRPr="00CF6765">
        <w:rPr>
          <w:rFonts w:eastAsia="Calibri"/>
          <w:sz w:val="20"/>
          <w:szCs w:val="20"/>
          <w:lang w:val="en-US" w:eastAsia="es-ES"/>
        </w:rPr>
        <w:t xml:space="preserve"> engage public funds, because it considered that “a decision of this nature is one in which the State should have a margin of appreciation </w:t>
      </w:r>
      <w:r w:rsidR="004A4E15" w:rsidRPr="00CF6765">
        <w:rPr>
          <w:rFonts w:eastAsia="Calibri"/>
          <w:sz w:val="20"/>
          <w:szCs w:val="20"/>
          <w:lang w:val="en-US" w:eastAsia="es-ES"/>
        </w:rPr>
        <w:t>as regards</w:t>
      </w:r>
      <w:r w:rsidRPr="00CF6765">
        <w:rPr>
          <w:rFonts w:eastAsia="Calibri"/>
          <w:sz w:val="20"/>
          <w:szCs w:val="20"/>
          <w:lang w:val="en-US" w:eastAsia="es-ES"/>
        </w:rPr>
        <w:t xml:space="preserve"> its implementation.”</w:t>
      </w:r>
    </w:p>
    <w:p w14:paraId="117316AF" w14:textId="77777777" w:rsidR="006B2A4D" w:rsidRPr="00CF6765" w:rsidRDefault="006B2A4D" w:rsidP="006B2A4D">
      <w:pPr>
        <w:widowControl w:val="0"/>
        <w:tabs>
          <w:tab w:val="left" w:pos="567"/>
          <w:tab w:val="num" w:pos="12305"/>
        </w:tabs>
        <w:adjustRightInd w:val="0"/>
        <w:textAlignment w:val="baseline"/>
        <w:rPr>
          <w:rFonts w:eastAsia="Calibri"/>
          <w:sz w:val="20"/>
          <w:szCs w:val="20"/>
          <w:lang w:val="en-US" w:eastAsia="es-ES"/>
        </w:rPr>
      </w:pPr>
    </w:p>
    <w:p w14:paraId="0739EB94" w14:textId="64D9A014" w:rsidR="006B2A4D" w:rsidRPr="00CF6765" w:rsidRDefault="005C731C" w:rsidP="0016638B">
      <w:pPr>
        <w:widowControl w:val="0"/>
        <w:numPr>
          <w:ilvl w:val="0"/>
          <w:numId w:val="2"/>
        </w:numPr>
        <w:tabs>
          <w:tab w:val="left" w:pos="567"/>
          <w:tab w:val="num" w:pos="1569"/>
          <w:tab w:val="num" w:pos="12305"/>
        </w:tabs>
        <w:adjustRightInd w:val="0"/>
        <w:ind w:left="0" w:firstLine="0"/>
        <w:textAlignment w:val="baseline"/>
        <w:rPr>
          <w:rFonts w:eastAsia="Calibri"/>
          <w:b/>
          <w:sz w:val="20"/>
          <w:szCs w:val="20"/>
          <w:lang w:val="en-US" w:eastAsia="es-ES"/>
        </w:rPr>
      </w:pPr>
      <w:r w:rsidRPr="00CF6765">
        <w:rPr>
          <w:rFonts w:eastAsia="Calibri"/>
          <w:sz w:val="20"/>
          <w:szCs w:val="20"/>
          <w:lang w:val="en-US" w:eastAsia="es-ES"/>
        </w:rPr>
        <w:t>The Court</w:t>
      </w:r>
      <w:r w:rsidR="006B2A4D" w:rsidRPr="00CF6765">
        <w:rPr>
          <w:rFonts w:eastAsia="Calibri"/>
          <w:sz w:val="20"/>
          <w:szCs w:val="20"/>
          <w:lang w:val="en-US" w:eastAsia="es-ES"/>
        </w:rPr>
        <w:t xml:space="preserve"> </w:t>
      </w:r>
      <w:r w:rsidR="00920D09" w:rsidRPr="00CF6765">
        <w:rPr>
          <w:rFonts w:eastAsia="Calibri"/>
          <w:sz w:val="20"/>
          <w:szCs w:val="20"/>
          <w:lang w:val="en-US" w:eastAsia="es-ES"/>
        </w:rPr>
        <w:t>t</w:t>
      </w:r>
      <w:r w:rsidR="0016638B" w:rsidRPr="00CF6765">
        <w:rPr>
          <w:rFonts w:eastAsia="Calibri"/>
          <w:sz w:val="20"/>
          <w:szCs w:val="20"/>
          <w:lang w:val="en-US" w:eastAsia="es-ES"/>
        </w:rPr>
        <w:t>akes note</w:t>
      </w:r>
      <w:r w:rsidR="004A4E15" w:rsidRPr="00CF6765">
        <w:rPr>
          <w:rFonts w:eastAsia="Calibri"/>
          <w:sz w:val="20"/>
          <w:szCs w:val="20"/>
          <w:lang w:val="en-US" w:eastAsia="es-ES"/>
        </w:rPr>
        <w:t xml:space="preserve"> of</w:t>
      </w:r>
      <w:r w:rsidR="0016638B" w:rsidRPr="00CF6765">
        <w:rPr>
          <w:rFonts w:eastAsia="Calibri"/>
          <w:sz w:val="20"/>
          <w:szCs w:val="20"/>
          <w:lang w:val="en-US" w:eastAsia="es-ES"/>
        </w:rPr>
        <w:t xml:space="preserve"> and appreciat</w:t>
      </w:r>
      <w:r w:rsidR="00E92D45" w:rsidRPr="00CF6765">
        <w:rPr>
          <w:rFonts w:eastAsia="Calibri"/>
          <w:sz w:val="20"/>
          <w:szCs w:val="20"/>
          <w:lang w:val="en-US" w:eastAsia="es-ES"/>
        </w:rPr>
        <w:t>es</w:t>
      </w:r>
      <w:r w:rsidR="0016638B" w:rsidRPr="00CF6765">
        <w:rPr>
          <w:rFonts w:eastAsia="Calibri"/>
          <w:sz w:val="20"/>
          <w:szCs w:val="20"/>
          <w:lang w:val="en-US" w:eastAsia="es-ES"/>
        </w:rPr>
        <w:t xml:space="preserve"> all the actions taken and the progress </w:t>
      </w:r>
      <w:r w:rsidR="00920D09" w:rsidRPr="00CF6765">
        <w:rPr>
          <w:rFonts w:eastAsia="Calibri"/>
          <w:sz w:val="20"/>
          <w:szCs w:val="20"/>
          <w:lang w:val="en-US" w:eastAsia="es-ES"/>
        </w:rPr>
        <w:t>ma</w:t>
      </w:r>
      <w:r w:rsidR="0016638B" w:rsidRPr="00CF6765">
        <w:rPr>
          <w:rFonts w:eastAsia="Calibri"/>
          <w:sz w:val="20"/>
          <w:szCs w:val="20"/>
          <w:lang w:val="en-US" w:eastAsia="es-ES"/>
        </w:rPr>
        <w:t>de by the State in order to comply with its obligations</w:t>
      </w:r>
      <w:r w:rsidR="00EE00AC" w:rsidRPr="00CF6765">
        <w:rPr>
          <w:rFonts w:eastAsia="Calibri"/>
          <w:sz w:val="20"/>
          <w:szCs w:val="20"/>
          <w:lang w:val="en-US" w:eastAsia="es-ES"/>
        </w:rPr>
        <w:t xml:space="preserve"> in relation to the implementation of informed consent in conformity with the relevant international standards. It recognizes the efforts made by the Chilean State with the </w:t>
      </w:r>
      <w:r w:rsidR="00FB2D33" w:rsidRPr="00CF6765">
        <w:rPr>
          <w:rFonts w:eastAsia="Calibri"/>
          <w:sz w:val="20"/>
          <w:szCs w:val="20"/>
          <w:lang w:val="en-US" w:eastAsia="es-ES"/>
        </w:rPr>
        <w:t>promulgation</w:t>
      </w:r>
      <w:r w:rsidR="00EE00AC" w:rsidRPr="00CF6765">
        <w:rPr>
          <w:rFonts w:eastAsia="Calibri"/>
          <w:sz w:val="20"/>
          <w:szCs w:val="20"/>
          <w:lang w:val="en-US" w:eastAsia="es-ES"/>
        </w:rPr>
        <w:t xml:space="preserve"> of Law No. 20,584 and its respective Regulations, that regulate the way in which informed consent should be obtained, and the obligations of health care providers in the health care services as regards the information they must </w:t>
      </w:r>
      <w:r w:rsidR="00FB2D33" w:rsidRPr="00CF6765">
        <w:rPr>
          <w:rFonts w:eastAsia="Calibri"/>
          <w:sz w:val="20"/>
          <w:szCs w:val="20"/>
          <w:lang w:val="en-US" w:eastAsia="es-ES"/>
        </w:rPr>
        <w:t>provide</w:t>
      </w:r>
      <w:r w:rsidR="00EE00AC" w:rsidRPr="00CF6765">
        <w:rPr>
          <w:rFonts w:eastAsia="Calibri"/>
          <w:sz w:val="20"/>
          <w:szCs w:val="20"/>
          <w:lang w:val="en-US" w:eastAsia="es-ES"/>
        </w:rPr>
        <w:t xml:space="preserve"> to the patient. In addition, the Court appreciates the increase in the number of care beds and the </w:t>
      </w:r>
      <w:r w:rsidR="004A4E15" w:rsidRPr="00CF6765">
        <w:rPr>
          <w:rFonts w:eastAsia="Calibri"/>
          <w:sz w:val="20"/>
          <w:szCs w:val="20"/>
          <w:lang w:val="en-US" w:eastAsia="es-ES"/>
        </w:rPr>
        <w:t xml:space="preserve">Centralized Bed Management </w:t>
      </w:r>
      <w:r w:rsidR="004A4E15" w:rsidRPr="00CF6765">
        <w:rPr>
          <w:rFonts w:eastAsia="Calibri"/>
          <w:sz w:val="20"/>
          <w:szCs w:val="20"/>
          <w:lang w:val="en-US" w:eastAsia="es-ES"/>
        </w:rPr>
        <w:lastRenderedPageBreak/>
        <w:t>Unit</w:t>
      </w:r>
      <w:r w:rsidR="00EE00AC" w:rsidRPr="00CF6765">
        <w:rPr>
          <w:rFonts w:eastAsia="Calibri"/>
          <w:sz w:val="20"/>
          <w:szCs w:val="20"/>
          <w:lang w:val="en-US" w:eastAsia="es-ES"/>
        </w:rPr>
        <w:t>.</w:t>
      </w:r>
      <w:r w:rsidR="00A7540B" w:rsidRPr="00CF6765">
        <w:rPr>
          <w:rStyle w:val="Refdenotaalpie"/>
          <w:rFonts w:eastAsia="Calibri"/>
          <w:sz w:val="20"/>
          <w:szCs w:val="20"/>
          <w:lang w:val="en-US" w:eastAsia="es-ES"/>
        </w:rPr>
        <w:footnoteReference w:id="312"/>
      </w:r>
      <w:r w:rsidR="00EE00AC" w:rsidRPr="00CF6765">
        <w:rPr>
          <w:rFonts w:eastAsia="Calibri"/>
          <w:sz w:val="20"/>
          <w:szCs w:val="20"/>
          <w:lang w:val="en-US" w:eastAsia="es-ES"/>
        </w:rPr>
        <w:t xml:space="preserve"> However, the Court observes that, regarding the availability of ICU beds, there appears to have been no significant increase.</w:t>
      </w:r>
      <w:r w:rsidR="00927C16" w:rsidRPr="00CF6765">
        <w:rPr>
          <w:rStyle w:val="Refdenotaalpie"/>
          <w:rFonts w:eastAsia="Calibri"/>
          <w:sz w:val="20"/>
          <w:szCs w:val="20"/>
          <w:lang w:val="en-US" w:eastAsia="es-ES"/>
        </w:rPr>
        <w:footnoteReference w:id="313"/>
      </w:r>
      <w:r w:rsidR="00EE00AC" w:rsidRPr="00CF6765">
        <w:rPr>
          <w:rFonts w:eastAsia="Calibri"/>
          <w:sz w:val="20"/>
          <w:szCs w:val="20"/>
          <w:lang w:val="en-US" w:eastAsia="es-ES"/>
        </w:rPr>
        <w:t xml:space="preserve"> Based on the facts and the violations that have been verified, and in light of the </w:t>
      </w:r>
      <w:r w:rsidR="00FB2D33" w:rsidRPr="00CF6765">
        <w:rPr>
          <w:rFonts w:eastAsia="Calibri"/>
          <w:sz w:val="20"/>
          <w:szCs w:val="20"/>
          <w:lang w:val="en-US" w:eastAsia="es-ES"/>
        </w:rPr>
        <w:t>information provided</w:t>
      </w:r>
      <w:r w:rsidR="00EE00AC" w:rsidRPr="00CF6765">
        <w:rPr>
          <w:rFonts w:eastAsia="Calibri"/>
          <w:sz w:val="20"/>
          <w:szCs w:val="20"/>
          <w:lang w:val="en-US" w:eastAsia="es-ES"/>
        </w:rPr>
        <w:t>, the Court finds it pertinent to order the following measures as</w:t>
      </w:r>
      <w:r w:rsidR="00497952" w:rsidRPr="00CF6765">
        <w:rPr>
          <w:rFonts w:eastAsia="Calibri"/>
          <w:sz w:val="20"/>
          <w:szCs w:val="20"/>
          <w:lang w:val="en-US" w:eastAsia="es-ES"/>
        </w:rPr>
        <w:t xml:space="preserve"> </w:t>
      </w:r>
      <w:r w:rsidR="002E41A8" w:rsidRPr="00CF6765">
        <w:rPr>
          <w:rFonts w:eastAsia="Calibri"/>
          <w:sz w:val="20"/>
          <w:szCs w:val="20"/>
          <w:lang w:val="en-US" w:eastAsia="es-ES"/>
        </w:rPr>
        <w:t>guarantees of non-repetition</w:t>
      </w:r>
      <w:r w:rsidR="00C426E9" w:rsidRPr="00CF6765">
        <w:rPr>
          <w:rStyle w:val="Refdenotaalpie"/>
          <w:rFonts w:eastAsia="Calibri"/>
          <w:sz w:val="20"/>
          <w:szCs w:val="20"/>
          <w:lang w:val="en-US" w:eastAsia="es-ES"/>
        </w:rPr>
        <w:footnoteReference w:id="314"/>
      </w:r>
    </w:p>
    <w:p w14:paraId="540F427D" w14:textId="77777777" w:rsidR="006B2A4D" w:rsidRPr="00CF6765" w:rsidRDefault="006B2A4D" w:rsidP="006B2A4D">
      <w:pPr>
        <w:widowControl w:val="0"/>
        <w:tabs>
          <w:tab w:val="left" w:pos="567"/>
          <w:tab w:val="num" w:pos="12305"/>
        </w:tabs>
        <w:adjustRightInd w:val="0"/>
        <w:textAlignment w:val="baseline"/>
        <w:rPr>
          <w:rFonts w:eastAsia="Calibri"/>
          <w:b/>
          <w:sz w:val="20"/>
          <w:szCs w:val="20"/>
          <w:lang w:val="en-US" w:eastAsia="es-ES"/>
        </w:rPr>
      </w:pPr>
    </w:p>
    <w:p w14:paraId="68769850" w14:textId="5C5295A7" w:rsidR="00121AA0" w:rsidRPr="00CF6765" w:rsidRDefault="00121AA0" w:rsidP="005430FF">
      <w:pPr>
        <w:widowControl w:val="0"/>
        <w:tabs>
          <w:tab w:val="left" w:pos="567"/>
          <w:tab w:val="num" w:pos="12305"/>
        </w:tabs>
        <w:adjustRightInd w:val="0"/>
        <w:ind w:left="708"/>
        <w:textAlignment w:val="baseline"/>
        <w:rPr>
          <w:rFonts w:eastAsia="Calibri"/>
          <w:i/>
          <w:sz w:val="20"/>
          <w:szCs w:val="20"/>
          <w:lang w:val="en-US" w:eastAsia="es-ES"/>
        </w:rPr>
      </w:pPr>
      <w:r w:rsidRPr="00CF6765">
        <w:rPr>
          <w:rFonts w:eastAsia="Calibri"/>
          <w:i/>
          <w:sz w:val="20"/>
          <w:szCs w:val="20"/>
          <w:lang w:val="en-US" w:eastAsia="es-ES"/>
        </w:rPr>
        <w:t xml:space="preserve">1. </w:t>
      </w:r>
      <w:r w:rsidR="00B85E44" w:rsidRPr="00CF6765">
        <w:rPr>
          <w:rFonts w:eastAsia="Calibri"/>
          <w:i/>
          <w:sz w:val="20"/>
          <w:szCs w:val="20"/>
          <w:lang w:val="en-US" w:eastAsia="es-ES"/>
        </w:rPr>
        <w:t>Training programs</w:t>
      </w:r>
      <w:r w:rsidRPr="00CF6765">
        <w:rPr>
          <w:rFonts w:eastAsia="Calibri"/>
          <w:i/>
          <w:sz w:val="20"/>
          <w:szCs w:val="20"/>
          <w:lang w:val="en-US" w:eastAsia="es-ES"/>
        </w:rPr>
        <w:t xml:space="preserve"> </w:t>
      </w:r>
    </w:p>
    <w:p w14:paraId="28BE2C46" w14:textId="77777777" w:rsidR="00121AA0" w:rsidRPr="00CF6765" w:rsidRDefault="00121AA0" w:rsidP="006B2A4D">
      <w:pPr>
        <w:widowControl w:val="0"/>
        <w:tabs>
          <w:tab w:val="left" w:pos="567"/>
          <w:tab w:val="num" w:pos="12305"/>
        </w:tabs>
        <w:adjustRightInd w:val="0"/>
        <w:textAlignment w:val="baseline"/>
        <w:rPr>
          <w:rFonts w:eastAsia="Calibri"/>
          <w:b/>
          <w:sz w:val="20"/>
          <w:szCs w:val="20"/>
          <w:lang w:val="en-US" w:eastAsia="es-ES"/>
        </w:rPr>
      </w:pPr>
    </w:p>
    <w:p w14:paraId="22B552E5" w14:textId="6F677B78" w:rsidR="00121AA0" w:rsidRPr="00CF6765" w:rsidRDefault="00221D93" w:rsidP="00221D93">
      <w:pPr>
        <w:widowControl w:val="0"/>
        <w:numPr>
          <w:ilvl w:val="0"/>
          <w:numId w:val="2"/>
        </w:numPr>
        <w:tabs>
          <w:tab w:val="left" w:pos="567"/>
          <w:tab w:val="num" w:pos="1569"/>
          <w:tab w:val="num" w:pos="12305"/>
        </w:tabs>
        <w:adjustRightInd w:val="0"/>
        <w:ind w:left="0" w:firstLine="0"/>
        <w:textAlignment w:val="baseline"/>
        <w:rPr>
          <w:sz w:val="20"/>
          <w:szCs w:val="20"/>
          <w:lang w:val="en-US"/>
        </w:rPr>
      </w:pPr>
      <w:r w:rsidRPr="00CF6765">
        <w:rPr>
          <w:rFonts w:eastAsia="Calibri"/>
          <w:sz w:val="20"/>
          <w:szCs w:val="20"/>
          <w:lang w:val="en-US" w:eastAsia="es-ES"/>
        </w:rPr>
        <w:t>To redress the harm integrally and to avoid the repetition of similar facts to those found in this case, the Court considers it necessary to order the State</w:t>
      </w:r>
      <w:r w:rsidR="00851E39" w:rsidRPr="00CF6765">
        <w:rPr>
          <w:rFonts w:eastAsia="Calibri"/>
          <w:sz w:val="20"/>
          <w:szCs w:val="20"/>
          <w:lang w:val="en-US" w:eastAsia="es-ES"/>
        </w:rPr>
        <w:t xml:space="preserve"> to adopt</w:t>
      </w:r>
      <w:r w:rsidRPr="00CF6765">
        <w:rPr>
          <w:rFonts w:eastAsia="Calibri"/>
          <w:sz w:val="20"/>
          <w:szCs w:val="20"/>
          <w:lang w:val="en-US" w:eastAsia="es-ES"/>
        </w:rPr>
        <w:t>,</w:t>
      </w:r>
      <w:r w:rsidR="00BF689D" w:rsidRPr="00CF6765">
        <w:rPr>
          <w:rStyle w:val="Refdenotaalpie"/>
          <w:rFonts w:eastAsia="Calibri"/>
          <w:sz w:val="20"/>
          <w:szCs w:val="20"/>
          <w:lang w:val="en-US" w:eastAsia="es-ES"/>
        </w:rPr>
        <w:footnoteReference w:id="315"/>
      </w:r>
      <w:r w:rsidRPr="00CF6765">
        <w:rPr>
          <w:rFonts w:eastAsiaTheme="minorHAnsi" w:cs="Verdana"/>
          <w:color w:val="000000"/>
          <w:sz w:val="20"/>
          <w:szCs w:val="20"/>
          <w:lang w:val="en-US" w:eastAsia="en-US"/>
        </w:rPr>
        <w:t xml:space="preserve"> within one year, </w:t>
      </w:r>
      <w:r w:rsidR="00FB2D33" w:rsidRPr="00CF6765">
        <w:rPr>
          <w:rFonts w:eastAsiaTheme="minorHAnsi" w:cs="Verdana"/>
          <w:color w:val="000000"/>
          <w:sz w:val="20"/>
          <w:szCs w:val="20"/>
          <w:lang w:val="en-US" w:eastAsia="en-US"/>
        </w:rPr>
        <w:t>permanent</w:t>
      </w:r>
      <w:r w:rsidRPr="00CF6765">
        <w:rPr>
          <w:rFonts w:eastAsiaTheme="minorHAnsi" w:cs="Verdana"/>
          <w:color w:val="000000"/>
          <w:sz w:val="20"/>
          <w:szCs w:val="20"/>
          <w:lang w:val="en-US" w:eastAsia="en-US"/>
        </w:rPr>
        <w:t xml:space="preserve"> education and training programs </w:t>
      </w:r>
      <w:r w:rsidR="00851E39" w:rsidRPr="00CF6765">
        <w:rPr>
          <w:rFonts w:eastAsiaTheme="minorHAnsi" w:cs="Verdana"/>
          <w:color w:val="000000"/>
          <w:sz w:val="20"/>
          <w:szCs w:val="20"/>
          <w:lang w:val="en-US" w:eastAsia="en-US"/>
        </w:rPr>
        <w:t>for</w:t>
      </w:r>
      <w:r w:rsidRPr="00CF6765">
        <w:rPr>
          <w:rFonts w:eastAsiaTheme="minorHAnsi" w:cs="Verdana"/>
          <w:color w:val="000000"/>
          <w:sz w:val="20"/>
          <w:szCs w:val="20"/>
          <w:lang w:val="en-US" w:eastAsia="en-US"/>
        </w:rPr>
        <w:t xml:space="preserve"> medical students and medical professionals, as well as all the personnel </w:t>
      </w:r>
      <w:r w:rsidR="00851E39" w:rsidRPr="00CF6765">
        <w:rPr>
          <w:rFonts w:eastAsiaTheme="minorHAnsi" w:cs="Verdana"/>
          <w:color w:val="000000"/>
          <w:sz w:val="20"/>
          <w:szCs w:val="20"/>
          <w:lang w:val="en-US" w:eastAsia="en-US"/>
        </w:rPr>
        <w:t>of</w:t>
      </w:r>
      <w:r w:rsidRPr="00CF6765">
        <w:rPr>
          <w:rFonts w:eastAsiaTheme="minorHAnsi" w:cs="Verdana"/>
          <w:color w:val="000000"/>
          <w:sz w:val="20"/>
          <w:szCs w:val="20"/>
          <w:lang w:val="en-US" w:eastAsia="en-US"/>
        </w:rPr>
        <w:t xml:space="preserve"> the health care and social security system</w:t>
      </w:r>
      <w:r w:rsidR="00851E39" w:rsidRPr="00CF6765">
        <w:rPr>
          <w:rFonts w:eastAsiaTheme="minorHAnsi" w:cs="Verdana"/>
          <w:color w:val="000000"/>
          <w:sz w:val="20"/>
          <w:szCs w:val="20"/>
          <w:lang w:val="en-US" w:eastAsia="en-US"/>
        </w:rPr>
        <w:t>s</w:t>
      </w:r>
      <w:r w:rsidRPr="00CF6765">
        <w:rPr>
          <w:rFonts w:eastAsiaTheme="minorHAnsi" w:cs="Verdana"/>
          <w:color w:val="000000"/>
          <w:sz w:val="20"/>
          <w:szCs w:val="20"/>
          <w:lang w:val="en-US" w:eastAsia="en-US"/>
        </w:rPr>
        <w:t>, including mediation bodies, on the appropriate treatment of the older person</w:t>
      </w:r>
      <w:r w:rsidRPr="00CF6765">
        <w:rPr>
          <w:sz w:val="20"/>
          <w:szCs w:val="20"/>
          <w:lang w:val="en-US"/>
        </w:rPr>
        <w:t xml:space="preserve"> </w:t>
      </w:r>
      <w:r w:rsidR="004C7CBA" w:rsidRPr="00CF6765">
        <w:rPr>
          <w:rFonts w:eastAsia="Calibri"/>
          <w:sz w:val="20"/>
          <w:szCs w:val="20"/>
          <w:lang w:val="en-US" w:eastAsia="es-ES"/>
        </w:rPr>
        <w:t>in health-related matters</w:t>
      </w:r>
      <w:r w:rsidR="006B2A4D" w:rsidRPr="00CF6765">
        <w:rPr>
          <w:rFonts w:eastAsia="Calibri"/>
          <w:sz w:val="20"/>
          <w:szCs w:val="20"/>
          <w:lang w:val="en-US" w:eastAsia="es-ES"/>
        </w:rPr>
        <w:t xml:space="preserve"> </w:t>
      </w:r>
      <w:r w:rsidRPr="00CF6765">
        <w:rPr>
          <w:rFonts w:eastAsia="Calibri"/>
          <w:sz w:val="20"/>
          <w:szCs w:val="20"/>
          <w:lang w:val="en-US" w:eastAsia="es-ES"/>
        </w:rPr>
        <w:t>from the perspective of human rights and differentiated impacts. These programs should make special mention of this judgment and the international human rights instruments, specifically those that relate to</w:t>
      </w:r>
      <w:r w:rsidR="007A3516" w:rsidRPr="00CF6765">
        <w:rPr>
          <w:sz w:val="20"/>
          <w:szCs w:val="20"/>
          <w:lang w:val="en-US"/>
        </w:rPr>
        <w:t xml:space="preserve"> the right to health</w:t>
      </w:r>
      <w:r w:rsidR="00F43DFC" w:rsidRPr="00CF6765">
        <w:rPr>
          <w:sz w:val="20"/>
          <w:szCs w:val="20"/>
          <w:lang w:val="en-US"/>
        </w:rPr>
        <w:t xml:space="preserve"> </w:t>
      </w:r>
      <w:r w:rsidR="005F2639" w:rsidRPr="00CF6765">
        <w:rPr>
          <w:sz w:val="20"/>
          <w:szCs w:val="20"/>
          <w:lang w:val="en-US"/>
        </w:rPr>
        <w:t>(</w:t>
      </w:r>
      <w:r w:rsidR="005F2639" w:rsidRPr="00CF6765">
        <w:rPr>
          <w:i/>
          <w:sz w:val="20"/>
          <w:szCs w:val="20"/>
          <w:lang w:val="en-US"/>
        </w:rPr>
        <w:t>supra</w:t>
      </w:r>
      <w:r w:rsidR="005F2639" w:rsidRPr="00CF6765">
        <w:rPr>
          <w:sz w:val="20"/>
          <w:szCs w:val="20"/>
          <w:lang w:val="en-US"/>
        </w:rPr>
        <w:t xml:space="preserve"> </w:t>
      </w:r>
      <w:r w:rsidR="00EC50FC" w:rsidRPr="00CF6765">
        <w:rPr>
          <w:sz w:val="20"/>
          <w:szCs w:val="20"/>
          <w:lang w:val="en-US"/>
        </w:rPr>
        <w:t>paras.</w:t>
      </w:r>
      <w:r w:rsidR="005F2639" w:rsidRPr="00CF6765">
        <w:rPr>
          <w:sz w:val="20"/>
          <w:szCs w:val="20"/>
          <w:lang w:val="en-US"/>
        </w:rPr>
        <w:t xml:space="preserve"> 118 </w:t>
      </w:r>
      <w:r w:rsidRPr="00CF6765">
        <w:rPr>
          <w:sz w:val="20"/>
          <w:szCs w:val="20"/>
          <w:lang w:val="en-US"/>
        </w:rPr>
        <w:t>to</w:t>
      </w:r>
      <w:r w:rsidR="005F2639" w:rsidRPr="00CF6765">
        <w:rPr>
          <w:sz w:val="20"/>
          <w:szCs w:val="20"/>
          <w:lang w:val="en-US"/>
        </w:rPr>
        <w:t xml:space="preserve"> 132)</w:t>
      </w:r>
      <w:r w:rsidR="00EC50FC" w:rsidRPr="00CF6765">
        <w:rPr>
          <w:sz w:val="20"/>
          <w:szCs w:val="20"/>
          <w:lang w:val="en-US"/>
        </w:rPr>
        <w:t xml:space="preserve"> and </w:t>
      </w:r>
      <w:r w:rsidR="00690D57" w:rsidRPr="00CF6765">
        <w:rPr>
          <w:sz w:val="20"/>
          <w:szCs w:val="20"/>
          <w:lang w:val="en-US"/>
        </w:rPr>
        <w:t>access to information</w:t>
      </w:r>
      <w:r w:rsidR="005F2639" w:rsidRPr="00CF6765">
        <w:rPr>
          <w:sz w:val="20"/>
          <w:szCs w:val="20"/>
          <w:lang w:val="en-US"/>
        </w:rPr>
        <w:t xml:space="preserve"> (</w:t>
      </w:r>
      <w:r w:rsidR="005F2639" w:rsidRPr="00CF6765">
        <w:rPr>
          <w:i/>
          <w:sz w:val="20"/>
          <w:szCs w:val="20"/>
          <w:lang w:val="en-US"/>
        </w:rPr>
        <w:t>supra</w:t>
      </w:r>
      <w:r w:rsidR="005F2639" w:rsidRPr="00CF6765">
        <w:rPr>
          <w:sz w:val="20"/>
          <w:szCs w:val="20"/>
          <w:lang w:val="en-US"/>
        </w:rPr>
        <w:t xml:space="preserve"> </w:t>
      </w:r>
      <w:r w:rsidR="00EC50FC" w:rsidRPr="00CF6765">
        <w:rPr>
          <w:sz w:val="20"/>
          <w:szCs w:val="20"/>
          <w:lang w:val="en-US"/>
        </w:rPr>
        <w:t>paras.</w:t>
      </w:r>
      <w:r w:rsidR="005F2639" w:rsidRPr="00CF6765">
        <w:rPr>
          <w:sz w:val="20"/>
          <w:szCs w:val="20"/>
          <w:lang w:val="en-US"/>
        </w:rPr>
        <w:t xml:space="preserve"> 160</w:t>
      </w:r>
      <w:r w:rsidRPr="00CF6765">
        <w:rPr>
          <w:sz w:val="20"/>
          <w:szCs w:val="20"/>
          <w:lang w:val="en-US"/>
        </w:rPr>
        <w:t xml:space="preserve"> to </w:t>
      </w:r>
      <w:r w:rsidR="005F2639" w:rsidRPr="00CF6765">
        <w:rPr>
          <w:sz w:val="20"/>
          <w:szCs w:val="20"/>
          <w:lang w:val="en-US"/>
        </w:rPr>
        <w:t>171)</w:t>
      </w:r>
      <w:r w:rsidRPr="00CF6765">
        <w:rPr>
          <w:sz w:val="20"/>
          <w:szCs w:val="20"/>
          <w:lang w:val="en-US"/>
        </w:rPr>
        <w:t>.</w:t>
      </w:r>
      <w:r w:rsidR="00121AA0" w:rsidRPr="00CF6765">
        <w:rPr>
          <w:rStyle w:val="Refdenotaalpie"/>
          <w:sz w:val="20"/>
          <w:szCs w:val="20"/>
          <w:lang w:val="en-US"/>
        </w:rPr>
        <w:footnoteReference w:id="316"/>
      </w:r>
      <w:r w:rsidR="00121AA0" w:rsidRPr="00CF6765">
        <w:rPr>
          <w:sz w:val="20"/>
          <w:szCs w:val="20"/>
          <w:lang w:val="en-US"/>
        </w:rPr>
        <w:t xml:space="preserve"> </w:t>
      </w:r>
      <w:r w:rsidR="00C8154C" w:rsidRPr="00CF6765">
        <w:rPr>
          <w:rFonts w:eastAsiaTheme="minorHAnsi" w:cs="Verdana"/>
          <w:color w:val="000000"/>
          <w:sz w:val="20"/>
          <w:szCs w:val="20"/>
          <w:lang w:val="en-US" w:eastAsia="en-US"/>
        </w:rPr>
        <w:t xml:space="preserve">The State </w:t>
      </w:r>
      <w:r w:rsidR="00542381" w:rsidRPr="00CF6765">
        <w:rPr>
          <w:rFonts w:eastAsiaTheme="minorHAnsi" w:cs="Verdana"/>
          <w:color w:val="000000"/>
          <w:sz w:val="20"/>
          <w:szCs w:val="20"/>
          <w:lang w:val="en-US" w:eastAsia="en-US"/>
        </w:rPr>
        <w:t>must provide an annual report on their implementation.</w:t>
      </w:r>
    </w:p>
    <w:p w14:paraId="2139F063" w14:textId="77777777" w:rsidR="00121AA0" w:rsidRPr="00CF6765" w:rsidRDefault="00121AA0" w:rsidP="006B2A4D">
      <w:pPr>
        <w:widowControl w:val="0"/>
        <w:tabs>
          <w:tab w:val="left" w:pos="567"/>
          <w:tab w:val="num" w:pos="12305"/>
        </w:tabs>
        <w:adjustRightInd w:val="0"/>
        <w:textAlignment w:val="baseline"/>
        <w:rPr>
          <w:rFonts w:eastAsia="Calibri"/>
          <w:b/>
          <w:sz w:val="20"/>
          <w:szCs w:val="20"/>
          <w:lang w:val="en-US" w:eastAsia="es-ES"/>
        </w:rPr>
      </w:pPr>
    </w:p>
    <w:p w14:paraId="46C7CD99" w14:textId="202B1CB7" w:rsidR="00121AA0" w:rsidRPr="00CF6765" w:rsidRDefault="00121AA0" w:rsidP="00121AA0">
      <w:pPr>
        <w:widowControl w:val="0"/>
        <w:tabs>
          <w:tab w:val="left" w:pos="567"/>
          <w:tab w:val="num" w:pos="12305"/>
        </w:tabs>
        <w:adjustRightInd w:val="0"/>
        <w:ind w:left="708"/>
        <w:textAlignment w:val="baseline"/>
        <w:rPr>
          <w:rFonts w:eastAsia="Calibri"/>
          <w:i/>
          <w:sz w:val="20"/>
          <w:szCs w:val="20"/>
          <w:lang w:val="en-US" w:eastAsia="es-ES"/>
        </w:rPr>
      </w:pPr>
      <w:r w:rsidRPr="00CF6765">
        <w:rPr>
          <w:rFonts w:eastAsia="Calibri"/>
          <w:i/>
          <w:sz w:val="20"/>
          <w:szCs w:val="20"/>
          <w:lang w:val="en-US" w:eastAsia="es-ES"/>
        </w:rPr>
        <w:t xml:space="preserve">2. </w:t>
      </w:r>
      <w:r w:rsidR="00B85E44" w:rsidRPr="00CF6765">
        <w:rPr>
          <w:rFonts w:eastAsia="Calibri"/>
          <w:i/>
          <w:sz w:val="20"/>
          <w:szCs w:val="20"/>
          <w:lang w:val="en-US" w:eastAsia="es-ES"/>
        </w:rPr>
        <w:t>Report on implementation of pr</w:t>
      </w:r>
      <w:r w:rsidR="00221D93" w:rsidRPr="00CF6765">
        <w:rPr>
          <w:rFonts w:eastAsia="Calibri"/>
          <w:i/>
          <w:sz w:val="20"/>
          <w:szCs w:val="20"/>
          <w:lang w:val="en-US" w:eastAsia="es-ES"/>
        </w:rPr>
        <w:t>o</w:t>
      </w:r>
      <w:r w:rsidR="00B85E44" w:rsidRPr="00CF6765">
        <w:rPr>
          <w:rFonts w:eastAsia="Calibri"/>
          <w:i/>
          <w:sz w:val="20"/>
          <w:szCs w:val="20"/>
          <w:lang w:val="en-US" w:eastAsia="es-ES"/>
        </w:rPr>
        <w:t>gress in the</w:t>
      </w:r>
      <w:r w:rsidR="00497952" w:rsidRPr="00CF6765">
        <w:rPr>
          <w:rFonts w:eastAsia="Calibri"/>
          <w:i/>
          <w:sz w:val="20"/>
          <w:szCs w:val="20"/>
          <w:lang w:val="en-US" w:eastAsia="es-ES"/>
        </w:rPr>
        <w:t xml:space="preserve"> </w:t>
      </w:r>
      <w:proofErr w:type="spellStart"/>
      <w:r w:rsidR="006A73DF" w:rsidRPr="00CF6765">
        <w:rPr>
          <w:rFonts w:eastAsia="Calibri"/>
          <w:i/>
          <w:sz w:val="20"/>
          <w:szCs w:val="20"/>
          <w:lang w:val="en-US" w:eastAsia="es-ES"/>
        </w:rPr>
        <w:t>Sótero</w:t>
      </w:r>
      <w:proofErr w:type="spellEnd"/>
      <w:r w:rsidR="00B85E44" w:rsidRPr="00CF6765">
        <w:rPr>
          <w:rFonts w:eastAsia="Calibri"/>
          <w:i/>
          <w:sz w:val="20"/>
          <w:szCs w:val="20"/>
          <w:lang w:val="en-US" w:eastAsia="es-ES"/>
        </w:rPr>
        <w:t xml:space="preserve"> del Río Hospital</w:t>
      </w:r>
    </w:p>
    <w:p w14:paraId="7A2732EE" w14:textId="77777777" w:rsidR="00121AA0" w:rsidRPr="00CF6765" w:rsidRDefault="00121AA0" w:rsidP="006B2A4D">
      <w:pPr>
        <w:widowControl w:val="0"/>
        <w:tabs>
          <w:tab w:val="left" w:pos="567"/>
          <w:tab w:val="num" w:pos="12305"/>
        </w:tabs>
        <w:adjustRightInd w:val="0"/>
        <w:textAlignment w:val="baseline"/>
        <w:rPr>
          <w:rFonts w:eastAsia="Calibri"/>
          <w:b/>
          <w:sz w:val="20"/>
          <w:szCs w:val="20"/>
          <w:lang w:val="en-US" w:eastAsia="es-ES"/>
        </w:rPr>
      </w:pPr>
    </w:p>
    <w:p w14:paraId="4CD9D82F" w14:textId="63E6DD77" w:rsidR="006B2A4D" w:rsidRPr="00CF6765" w:rsidRDefault="00542381" w:rsidP="00542381">
      <w:pPr>
        <w:widowControl w:val="0"/>
        <w:numPr>
          <w:ilvl w:val="0"/>
          <w:numId w:val="2"/>
        </w:numPr>
        <w:tabs>
          <w:tab w:val="left" w:pos="567"/>
          <w:tab w:val="num" w:pos="1569"/>
          <w:tab w:val="num" w:pos="12305"/>
        </w:tabs>
        <w:adjustRightInd w:val="0"/>
        <w:ind w:left="0" w:firstLine="0"/>
        <w:textAlignment w:val="baseline"/>
        <w:rPr>
          <w:rFonts w:eastAsia="Calibri"/>
          <w:b/>
          <w:sz w:val="20"/>
          <w:szCs w:val="20"/>
          <w:lang w:val="en-US" w:eastAsia="es-ES"/>
        </w:rPr>
      </w:pPr>
      <w:r w:rsidRPr="00CF6765">
        <w:rPr>
          <w:rFonts w:eastAsia="Calibri"/>
          <w:sz w:val="20"/>
          <w:szCs w:val="20"/>
          <w:lang w:val="en-US" w:eastAsia="es-ES"/>
        </w:rPr>
        <w:t>The</w:t>
      </w:r>
      <w:r w:rsidR="005C731C" w:rsidRPr="00CF6765">
        <w:rPr>
          <w:rFonts w:eastAsia="Calibri"/>
          <w:sz w:val="20"/>
          <w:szCs w:val="20"/>
          <w:lang w:val="en-US" w:eastAsia="es-ES"/>
        </w:rPr>
        <w:t xml:space="preserve"> Court</w:t>
      </w:r>
      <w:r w:rsidR="006B2A4D" w:rsidRPr="00CF6765">
        <w:rPr>
          <w:rFonts w:eastAsia="Calibri"/>
          <w:sz w:val="20"/>
          <w:szCs w:val="20"/>
          <w:lang w:val="en-US" w:eastAsia="es-ES"/>
        </w:rPr>
        <w:t xml:space="preserve"> </w:t>
      </w:r>
      <w:r w:rsidRPr="00CF6765">
        <w:rPr>
          <w:rFonts w:eastAsia="Calibri"/>
          <w:sz w:val="20"/>
          <w:szCs w:val="20"/>
          <w:lang w:val="en-US" w:eastAsia="es-ES"/>
        </w:rPr>
        <w:t xml:space="preserve">also finds that </w:t>
      </w:r>
      <w:r w:rsidR="00EC50FC" w:rsidRPr="00CF6765">
        <w:rPr>
          <w:rFonts w:eastAsia="Calibri"/>
          <w:sz w:val="20"/>
          <w:szCs w:val="20"/>
          <w:lang w:val="en-US" w:eastAsia="es-ES"/>
        </w:rPr>
        <w:t xml:space="preserve">the </w:t>
      </w:r>
      <w:r w:rsidR="00671A8C" w:rsidRPr="00CF6765">
        <w:rPr>
          <w:rFonts w:eastAsia="Calibri"/>
          <w:sz w:val="20"/>
          <w:szCs w:val="20"/>
          <w:lang w:val="en-US" w:eastAsia="es-ES"/>
        </w:rPr>
        <w:t>Chilean State</w:t>
      </w:r>
      <w:r w:rsidR="006B2A4D" w:rsidRPr="00CF6765">
        <w:rPr>
          <w:rFonts w:eastAsia="Calibri"/>
          <w:sz w:val="20"/>
          <w:szCs w:val="20"/>
          <w:lang w:val="en-US" w:eastAsia="es-ES"/>
        </w:rPr>
        <w:t xml:space="preserve"> </w:t>
      </w:r>
      <w:r w:rsidR="00851E39" w:rsidRPr="00CF6765">
        <w:rPr>
          <w:rFonts w:eastAsia="Calibri"/>
          <w:sz w:val="20"/>
          <w:szCs w:val="20"/>
          <w:lang w:val="en-US" w:eastAsia="es-ES"/>
        </w:rPr>
        <w:t xml:space="preserve">must </w:t>
      </w:r>
      <w:r w:rsidRPr="00CF6765">
        <w:rPr>
          <w:rFonts w:eastAsia="Calibri"/>
          <w:sz w:val="20"/>
          <w:szCs w:val="20"/>
          <w:lang w:val="en-US" w:eastAsia="es-ES"/>
        </w:rPr>
        <w:t>ensure, by the sufficient and necessary measures, that</w:t>
      </w:r>
      <w:r w:rsidR="006B2A4D" w:rsidRPr="00CF6765">
        <w:rPr>
          <w:rFonts w:eastAsia="Calibri"/>
          <w:sz w:val="20"/>
          <w:szCs w:val="20"/>
          <w:lang w:val="en-US" w:eastAsia="es-ES"/>
        </w:rPr>
        <w:t xml:space="preserve"> </w:t>
      </w:r>
      <w:r w:rsidR="00E15A35" w:rsidRPr="00CF6765">
        <w:rPr>
          <w:rFonts w:eastAsia="Calibri"/>
          <w:sz w:val="20"/>
          <w:szCs w:val="20"/>
          <w:lang w:val="en-US" w:eastAsia="es-ES"/>
        </w:rPr>
        <w:t xml:space="preserve">the </w:t>
      </w:r>
      <w:proofErr w:type="spellStart"/>
      <w:r w:rsidR="00E15A35" w:rsidRPr="00CF6765">
        <w:rPr>
          <w:rFonts w:eastAsia="Calibri"/>
          <w:sz w:val="20"/>
          <w:szCs w:val="20"/>
          <w:lang w:val="en-US" w:eastAsia="es-ES"/>
        </w:rPr>
        <w:t>Sótero</w:t>
      </w:r>
      <w:proofErr w:type="spellEnd"/>
      <w:r w:rsidR="00E15A35" w:rsidRPr="00CF6765">
        <w:rPr>
          <w:rFonts w:eastAsia="Calibri"/>
          <w:sz w:val="20"/>
          <w:szCs w:val="20"/>
          <w:lang w:val="en-US" w:eastAsia="es-ES"/>
        </w:rPr>
        <w:t xml:space="preserve"> del Río Hospital</w:t>
      </w:r>
      <w:r w:rsidR="006B2A4D" w:rsidRPr="00CF6765">
        <w:rPr>
          <w:rFonts w:eastAsia="Calibri"/>
          <w:sz w:val="20"/>
          <w:szCs w:val="20"/>
          <w:lang w:val="en-US" w:eastAsia="es-ES"/>
        </w:rPr>
        <w:t xml:space="preserve"> </w:t>
      </w:r>
      <w:r w:rsidRPr="00CF6765">
        <w:rPr>
          <w:rFonts w:eastAsia="Calibri"/>
          <w:sz w:val="20"/>
          <w:szCs w:val="20"/>
          <w:lang w:val="en-US" w:eastAsia="es-ES"/>
        </w:rPr>
        <w:t>has the essential infrastructure to provide adequate, opportune and quality care to its patients, particularly in emergency health care situations, providing increased protection to older persons. To this end, the Court asks the State to report, in one year’s time, on:</w:t>
      </w:r>
      <w:r w:rsidR="006B2A4D" w:rsidRPr="00CF6765">
        <w:rPr>
          <w:rFonts w:eastAsia="Calibri"/>
          <w:sz w:val="20"/>
          <w:szCs w:val="20"/>
          <w:lang w:val="en-US" w:eastAsia="es-ES"/>
        </w:rPr>
        <w:t xml:space="preserve"> </w:t>
      </w:r>
      <w:r w:rsidR="0082342A" w:rsidRPr="00CF6765">
        <w:rPr>
          <w:rFonts w:eastAsia="Calibri"/>
          <w:sz w:val="20"/>
          <w:szCs w:val="20"/>
          <w:lang w:val="en-US" w:eastAsia="es-ES"/>
        </w:rPr>
        <w:t>(</w:t>
      </w:r>
      <w:r w:rsidR="002B3EE6" w:rsidRPr="00CF6765">
        <w:rPr>
          <w:rFonts w:eastAsia="Calibri"/>
          <w:sz w:val="20"/>
          <w:szCs w:val="20"/>
          <w:lang w:val="en-US" w:eastAsia="es-ES"/>
        </w:rPr>
        <w:t xml:space="preserve">a) </w:t>
      </w:r>
      <w:r w:rsidR="0082342A" w:rsidRPr="00CF6765">
        <w:rPr>
          <w:rFonts w:eastAsia="Calibri"/>
          <w:sz w:val="20"/>
          <w:szCs w:val="20"/>
          <w:lang w:val="en-US" w:eastAsia="es-ES"/>
        </w:rPr>
        <w:t xml:space="preserve">improvements implemented at the date of the report in the infrastructure </w:t>
      </w:r>
      <w:r w:rsidR="00AD04D4" w:rsidRPr="00CF6765">
        <w:rPr>
          <w:rFonts w:eastAsia="Calibri"/>
          <w:sz w:val="20"/>
          <w:szCs w:val="20"/>
          <w:lang w:val="en-US" w:eastAsia="es-ES"/>
        </w:rPr>
        <w:t>of the</w:t>
      </w:r>
      <w:r w:rsidR="00851E39" w:rsidRPr="00CF6765">
        <w:rPr>
          <w:rFonts w:eastAsia="Calibri"/>
          <w:sz w:val="20"/>
          <w:szCs w:val="20"/>
          <w:lang w:val="en-US" w:eastAsia="es-ES"/>
        </w:rPr>
        <w:t xml:space="preserve"> hospital’s</w:t>
      </w:r>
      <w:r w:rsidR="00AD04D4" w:rsidRPr="00CF6765">
        <w:rPr>
          <w:rFonts w:eastAsia="Calibri"/>
          <w:sz w:val="20"/>
          <w:szCs w:val="20"/>
          <w:lang w:val="en-US" w:eastAsia="es-ES"/>
        </w:rPr>
        <w:t xml:space="preserve"> </w:t>
      </w:r>
      <w:r w:rsidR="002D729E" w:rsidRPr="00CF6765">
        <w:rPr>
          <w:rFonts w:eastAsia="Calibri"/>
          <w:sz w:val="20"/>
          <w:szCs w:val="20"/>
          <w:lang w:val="en-US" w:eastAsia="es-ES"/>
        </w:rPr>
        <w:t>Intensive Care Unit</w:t>
      </w:r>
      <w:r w:rsidR="002B3EE6" w:rsidRPr="00CF6765">
        <w:rPr>
          <w:rFonts w:eastAsia="Calibri"/>
          <w:sz w:val="20"/>
          <w:szCs w:val="20"/>
          <w:lang w:val="en-US" w:eastAsia="es-ES"/>
        </w:rPr>
        <w:t xml:space="preserve">; </w:t>
      </w:r>
      <w:r w:rsidR="0082342A" w:rsidRPr="00CF6765">
        <w:rPr>
          <w:rFonts w:eastAsia="Calibri"/>
          <w:sz w:val="20"/>
          <w:szCs w:val="20"/>
          <w:lang w:val="en-US" w:eastAsia="es-ES"/>
        </w:rPr>
        <w:t>(</w:t>
      </w:r>
      <w:r w:rsidR="002B3EE6" w:rsidRPr="00CF6765">
        <w:rPr>
          <w:rFonts w:eastAsia="Calibri"/>
          <w:sz w:val="20"/>
          <w:szCs w:val="20"/>
          <w:lang w:val="en-US" w:eastAsia="es-ES"/>
        </w:rPr>
        <w:t>b)</w:t>
      </w:r>
      <w:r w:rsidR="006B2A4D" w:rsidRPr="00CF6765">
        <w:rPr>
          <w:rFonts w:eastAsia="Calibri"/>
          <w:sz w:val="20"/>
          <w:szCs w:val="20"/>
          <w:lang w:val="en-US" w:eastAsia="es-ES"/>
        </w:rPr>
        <w:t xml:space="preserve"> </w:t>
      </w:r>
      <w:r w:rsidR="0082342A" w:rsidRPr="00CF6765">
        <w:rPr>
          <w:rFonts w:eastAsia="Calibri"/>
          <w:sz w:val="20"/>
          <w:szCs w:val="20"/>
          <w:lang w:val="en-US" w:eastAsia="es-ES"/>
        </w:rPr>
        <w:t xml:space="preserve">the protocols in force on care for medical emergencies, and (c) actions implemented to improve </w:t>
      </w:r>
      <w:r w:rsidR="00851E39" w:rsidRPr="00CF6765">
        <w:rPr>
          <w:rFonts w:eastAsia="Calibri"/>
          <w:sz w:val="20"/>
          <w:szCs w:val="20"/>
          <w:lang w:val="en-US" w:eastAsia="es-ES"/>
        </w:rPr>
        <w:t xml:space="preserve">the </w:t>
      </w:r>
      <w:r w:rsidR="0082342A" w:rsidRPr="00CF6765">
        <w:rPr>
          <w:rFonts w:eastAsia="Calibri"/>
          <w:sz w:val="20"/>
          <w:szCs w:val="20"/>
          <w:lang w:val="en-US" w:eastAsia="es-ES"/>
        </w:rPr>
        <w:t xml:space="preserve">medical care of patients in the ICU, particularly </w:t>
      </w:r>
      <w:r w:rsidR="00323A17" w:rsidRPr="00CF6765">
        <w:rPr>
          <w:rFonts w:eastAsia="Calibri"/>
          <w:sz w:val="20"/>
          <w:lang w:val="en-US" w:eastAsia="es-ES"/>
        </w:rPr>
        <w:t>older persons</w:t>
      </w:r>
      <w:r w:rsidR="00EB29D7" w:rsidRPr="00CF6765">
        <w:rPr>
          <w:rFonts w:eastAsia="Calibri"/>
          <w:sz w:val="20"/>
          <w:szCs w:val="20"/>
          <w:lang w:val="en-US" w:eastAsia="es-ES"/>
        </w:rPr>
        <w:t xml:space="preserve"> </w:t>
      </w:r>
      <w:r w:rsidR="002B3EE6" w:rsidRPr="00CF6765">
        <w:rPr>
          <w:rFonts w:eastAsia="Calibri"/>
          <w:sz w:val="20"/>
          <w:szCs w:val="20"/>
          <w:lang w:val="en-US" w:eastAsia="es-ES"/>
        </w:rPr>
        <w:t>–</w:t>
      </w:r>
      <w:r w:rsidR="0082342A" w:rsidRPr="00CF6765">
        <w:rPr>
          <w:rFonts w:eastAsia="Calibri"/>
          <w:sz w:val="20"/>
          <w:szCs w:val="20"/>
          <w:lang w:val="en-US" w:eastAsia="es-ES"/>
        </w:rPr>
        <w:t xml:space="preserve"> from a geriatric perspective </w:t>
      </w:r>
      <w:r w:rsidR="00A431D7" w:rsidRPr="00CF6765">
        <w:rPr>
          <w:rFonts w:eastAsia="Calibri"/>
          <w:sz w:val="20"/>
          <w:szCs w:val="20"/>
          <w:lang w:val="en-US" w:eastAsia="es-ES"/>
        </w:rPr>
        <w:t>–</w:t>
      </w:r>
      <w:r w:rsidR="00EC50FC" w:rsidRPr="00CF6765">
        <w:rPr>
          <w:rFonts w:eastAsia="Calibri"/>
          <w:sz w:val="20"/>
          <w:szCs w:val="20"/>
          <w:lang w:val="en-US" w:eastAsia="es-ES"/>
        </w:rPr>
        <w:t xml:space="preserve"> and</w:t>
      </w:r>
      <w:r w:rsidR="0082342A" w:rsidRPr="00CF6765">
        <w:rPr>
          <w:rFonts w:eastAsia="Calibri"/>
          <w:sz w:val="20"/>
          <w:szCs w:val="20"/>
          <w:lang w:val="en-US" w:eastAsia="es-ES"/>
        </w:rPr>
        <w:t xml:space="preserve"> in light of the standards </w:t>
      </w:r>
      <w:r w:rsidR="00C8154C" w:rsidRPr="00CF6765">
        <w:rPr>
          <w:rFonts w:eastAsia="Calibri"/>
          <w:sz w:val="20"/>
          <w:szCs w:val="20"/>
          <w:lang w:val="en-US" w:eastAsia="es-ES"/>
        </w:rPr>
        <w:t>of this judgment</w:t>
      </w:r>
      <w:r w:rsidR="006B2A4D" w:rsidRPr="00CF6765">
        <w:rPr>
          <w:rFonts w:eastAsia="Calibri"/>
          <w:sz w:val="20"/>
          <w:szCs w:val="20"/>
          <w:lang w:val="en-US" w:eastAsia="es-ES"/>
        </w:rPr>
        <w:t xml:space="preserve">. </w:t>
      </w:r>
      <w:r w:rsidR="00C8154C" w:rsidRPr="00CF6765">
        <w:rPr>
          <w:rFonts w:eastAsiaTheme="minorHAnsi" w:cs="Verdana"/>
          <w:color w:val="000000"/>
          <w:sz w:val="20"/>
          <w:szCs w:val="20"/>
          <w:lang w:val="en-US" w:eastAsia="en-US"/>
        </w:rPr>
        <w:t xml:space="preserve">The State </w:t>
      </w:r>
      <w:r w:rsidR="0082342A" w:rsidRPr="00CF6765">
        <w:rPr>
          <w:rFonts w:eastAsiaTheme="minorHAnsi" w:cs="Verdana"/>
          <w:color w:val="000000"/>
          <w:sz w:val="20"/>
          <w:szCs w:val="20"/>
          <w:lang w:val="en-US" w:eastAsia="en-US"/>
        </w:rPr>
        <w:t xml:space="preserve">must provide an </w:t>
      </w:r>
      <w:r w:rsidR="00FB2D33" w:rsidRPr="00CF6765">
        <w:rPr>
          <w:rFonts w:eastAsiaTheme="minorHAnsi" w:cs="Verdana"/>
          <w:color w:val="000000"/>
          <w:sz w:val="20"/>
          <w:szCs w:val="20"/>
          <w:lang w:val="en-US" w:eastAsia="en-US"/>
        </w:rPr>
        <w:t>annual</w:t>
      </w:r>
      <w:r w:rsidR="0082342A" w:rsidRPr="00CF6765">
        <w:rPr>
          <w:rFonts w:eastAsiaTheme="minorHAnsi" w:cs="Verdana"/>
          <w:color w:val="000000"/>
          <w:sz w:val="20"/>
          <w:szCs w:val="20"/>
          <w:lang w:val="en-US" w:eastAsia="en-US"/>
        </w:rPr>
        <w:t xml:space="preserve"> report</w:t>
      </w:r>
      <w:r w:rsidR="00FB2D33" w:rsidRPr="00CF6765">
        <w:rPr>
          <w:rFonts w:eastAsiaTheme="minorHAnsi" w:cs="Verdana"/>
          <w:color w:val="000000"/>
          <w:sz w:val="20"/>
          <w:szCs w:val="20"/>
          <w:lang w:val="en-US" w:eastAsia="en-US"/>
        </w:rPr>
        <w:t xml:space="preserve"> </w:t>
      </w:r>
      <w:r w:rsidR="0082342A" w:rsidRPr="00CF6765">
        <w:rPr>
          <w:rFonts w:eastAsiaTheme="minorHAnsi" w:cs="Verdana"/>
          <w:color w:val="000000"/>
          <w:sz w:val="20"/>
          <w:szCs w:val="20"/>
          <w:lang w:val="en-US" w:eastAsia="en-US"/>
        </w:rPr>
        <w:t>on these improvements for three years. The Court will assess this information while monitoring compliance with the judgment and will rule in this regard.</w:t>
      </w:r>
    </w:p>
    <w:p w14:paraId="5C47695A" w14:textId="77777777" w:rsidR="00121AA0" w:rsidRPr="00CF6765" w:rsidRDefault="00121AA0" w:rsidP="006B2A4D">
      <w:pPr>
        <w:widowControl w:val="0"/>
        <w:tabs>
          <w:tab w:val="left" w:pos="567"/>
          <w:tab w:val="num" w:pos="12305"/>
        </w:tabs>
        <w:adjustRightInd w:val="0"/>
        <w:textAlignment w:val="baseline"/>
        <w:rPr>
          <w:rFonts w:eastAsia="Calibri"/>
          <w:b/>
          <w:sz w:val="20"/>
          <w:szCs w:val="20"/>
          <w:lang w:val="en-US" w:eastAsia="es-ES"/>
        </w:rPr>
      </w:pPr>
    </w:p>
    <w:p w14:paraId="3AA17936" w14:textId="7BF66EAE" w:rsidR="00EB29D7" w:rsidRPr="00CF6765" w:rsidRDefault="00EB29D7" w:rsidP="005430FF">
      <w:pPr>
        <w:widowControl w:val="0"/>
        <w:tabs>
          <w:tab w:val="left" w:pos="567"/>
          <w:tab w:val="num" w:pos="12305"/>
        </w:tabs>
        <w:adjustRightInd w:val="0"/>
        <w:ind w:left="708"/>
        <w:textAlignment w:val="baseline"/>
        <w:rPr>
          <w:rFonts w:eastAsia="Calibri"/>
          <w:i/>
          <w:sz w:val="20"/>
          <w:szCs w:val="20"/>
          <w:lang w:val="en-US" w:eastAsia="es-ES"/>
        </w:rPr>
      </w:pPr>
      <w:r w:rsidRPr="00CF6765">
        <w:rPr>
          <w:rFonts w:eastAsia="Calibri"/>
          <w:i/>
          <w:sz w:val="20"/>
          <w:szCs w:val="20"/>
          <w:lang w:val="en-US" w:eastAsia="es-ES"/>
        </w:rPr>
        <w:t xml:space="preserve">3. </w:t>
      </w:r>
      <w:r w:rsidR="00851E39" w:rsidRPr="00CF6765">
        <w:rPr>
          <w:rFonts w:eastAsia="Calibri"/>
          <w:i/>
          <w:sz w:val="20"/>
          <w:szCs w:val="20"/>
          <w:lang w:val="en-US" w:eastAsia="es-ES"/>
        </w:rPr>
        <w:t>I</w:t>
      </w:r>
      <w:r w:rsidR="00CA62B2" w:rsidRPr="00CF6765">
        <w:rPr>
          <w:rFonts w:eastAsia="Calibri"/>
          <w:i/>
          <w:sz w:val="20"/>
          <w:szCs w:val="20"/>
          <w:lang w:val="en-US" w:eastAsia="es-ES"/>
        </w:rPr>
        <w:t>mpact</w:t>
      </w:r>
      <w:r w:rsidR="00851E39" w:rsidRPr="00CF6765">
        <w:rPr>
          <w:rFonts w:eastAsia="Calibri"/>
          <w:i/>
          <w:sz w:val="20"/>
          <w:szCs w:val="20"/>
          <w:lang w:val="en-US" w:eastAsia="es-ES"/>
        </w:rPr>
        <w:t xml:space="preserve"> of age</w:t>
      </w:r>
      <w:r w:rsidR="00CA62B2" w:rsidRPr="00CF6765">
        <w:rPr>
          <w:rFonts w:eastAsia="Calibri"/>
          <w:i/>
          <w:sz w:val="20"/>
          <w:szCs w:val="20"/>
          <w:lang w:val="en-US" w:eastAsia="es-ES"/>
        </w:rPr>
        <w:t xml:space="preserve"> on health</w:t>
      </w:r>
      <w:r w:rsidR="00EC50FC" w:rsidRPr="00CF6765">
        <w:rPr>
          <w:rFonts w:eastAsia="Calibri"/>
          <w:i/>
          <w:sz w:val="20"/>
          <w:szCs w:val="20"/>
          <w:lang w:val="en-US" w:eastAsia="es-ES"/>
        </w:rPr>
        <w:t xml:space="preserve"> and </w:t>
      </w:r>
      <w:r w:rsidR="00CA62B2" w:rsidRPr="00CF6765">
        <w:rPr>
          <w:rFonts w:eastAsia="Calibri"/>
          <w:i/>
          <w:sz w:val="20"/>
          <w:szCs w:val="20"/>
          <w:lang w:val="en-US" w:eastAsia="es-ES"/>
        </w:rPr>
        <w:t>measures in favor of the older person</w:t>
      </w:r>
    </w:p>
    <w:p w14:paraId="5FB3EC73" w14:textId="755CCDD3" w:rsidR="00EB29D7" w:rsidRPr="00CF6765" w:rsidRDefault="004A0BDC" w:rsidP="006B2A4D">
      <w:pPr>
        <w:widowControl w:val="0"/>
        <w:tabs>
          <w:tab w:val="left" w:pos="567"/>
          <w:tab w:val="num" w:pos="12305"/>
        </w:tabs>
        <w:adjustRightInd w:val="0"/>
        <w:textAlignment w:val="baseline"/>
        <w:rPr>
          <w:rFonts w:eastAsia="Calibri"/>
          <w:sz w:val="20"/>
          <w:szCs w:val="20"/>
          <w:lang w:val="en-US" w:eastAsia="es-ES"/>
        </w:rPr>
      </w:pPr>
      <w:r w:rsidRPr="00CF6765">
        <w:rPr>
          <w:rFonts w:eastAsia="Calibri"/>
          <w:sz w:val="20"/>
          <w:szCs w:val="20"/>
          <w:lang w:val="en-US" w:eastAsia="es-ES"/>
        </w:rPr>
        <w:tab/>
        <w:t xml:space="preserve"> </w:t>
      </w:r>
    </w:p>
    <w:p w14:paraId="437D6FFB" w14:textId="7241F2E9" w:rsidR="004A0BDC" w:rsidRPr="00CF6765" w:rsidRDefault="004A0BDC" w:rsidP="006B2A4D">
      <w:pPr>
        <w:widowControl w:val="0"/>
        <w:tabs>
          <w:tab w:val="left" w:pos="567"/>
          <w:tab w:val="num" w:pos="12305"/>
        </w:tabs>
        <w:adjustRightInd w:val="0"/>
        <w:textAlignment w:val="baseline"/>
        <w:rPr>
          <w:rFonts w:eastAsia="Calibri"/>
          <w:i/>
          <w:sz w:val="20"/>
          <w:szCs w:val="20"/>
          <w:lang w:val="en-US" w:eastAsia="es-ES"/>
        </w:rPr>
      </w:pPr>
      <w:r w:rsidRPr="00CF6765">
        <w:rPr>
          <w:rFonts w:eastAsia="Calibri"/>
          <w:i/>
          <w:sz w:val="20"/>
          <w:szCs w:val="20"/>
          <w:lang w:val="en-US" w:eastAsia="es-ES"/>
        </w:rPr>
        <w:tab/>
        <w:t xml:space="preserve">            </w:t>
      </w:r>
      <w:proofErr w:type="spellStart"/>
      <w:r w:rsidRPr="00CF6765">
        <w:rPr>
          <w:rFonts w:eastAsia="Calibri"/>
          <w:i/>
          <w:sz w:val="20"/>
          <w:szCs w:val="20"/>
          <w:lang w:val="en-US" w:eastAsia="es-ES"/>
        </w:rPr>
        <w:t>i</w:t>
      </w:r>
      <w:proofErr w:type="spellEnd"/>
      <w:r w:rsidRPr="00CF6765">
        <w:rPr>
          <w:rFonts w:eastAsia="Calibri"/>
          <w:i/>
          <w:sz w:val="20"/>
          <w:szCs w:val="20"/>
          <w:lang w:val="en-US" w:eastAsia="es-ES"/>
        </w:rPr>
        <w:t xml:space="preserve">) </w:t>
      </w:r>
      <w:r w:rsidR="00CA62B2" w:rsidRPr="00CF6765">
        <w:rPr>
          <w:rFonts w:eastAsia="Calibri"/>
          <w:i/>
          <w:sz w:val="20"/>
          <w:szCs w:val="20"/>
          <w:lang w:val="en-US" w:eastAsia="es-ES"/>
        </w:rPr>
        <w:t>Institutional strengthening</w:t>
      </w:r>
    </w:p>
    <w:p w14:paraId="78D15E9B" w14:textId="77777777" w:rsidR="004A0BDC" w:rsidRPr="00CF6765" w:rsidRDefault="004A0BDC" w:rsidP="006B2A4D">
      <w:pPr>
        <w:widowControl w:val="0"/>
        <w:tabs>
          <w:tab w:val="left" w:pos="567"/>
          <w:tab w:val="num" w:pos="12305"/>
        </w:tabs>
        <w:adjustRightInd w:val="0"/>
        <w:textAlignment w:val="baseline"/>
        <w:rPr>
          <w:rFonts w:eastAsia="Calibri"/>
          <w:sz w:val="20"/>
          <w:szCs w:val="20"/>
          <w:lang w:val="en-US" w:eastAsia="es-ES"/>
        </w:rPr>
      </w:pPr>
    </w:p>
    <w:p w14:paraId="0F39D61F" w14:textId="18208F41" w:rsidR="005F2442" w:rsidRPr="00CF6765" w:rsidRDefault="00F440EE" w:rsidP="006B2A4D">
      <w:pPr>
        <w:widowControl w:val="0"/>
        <w:numPr>
          <w:ilvl w:val="0"/>
          <w:numId w:val="2"/>
        </w:numPr>
        <w:tabs>
          <w:tab w:val="left" w:pos="567"/>
          <w:tab w:val="num" w:pos="1569"/>
          <w:tab w:val="num" w:pos="12305"/>
        </w:tabs>
        <w:adjustRightInd w:val="0"/>
        <w:ind w:left="0" w:firstLine="0"/>
        <w:textAlignment w:val="baseline"/>
        <w:rPr>
          <w:rFonts w:eastAsia="Calibri"/>
          <w:b/>
          <w:sz w:val="20"/>
          <w:szCs w:val="20"/>
          <w:lang w:val="en-US" w:eastAsia="es-ES"/>
        </w:rPr>
      </w:pPr>
      <w:r w:rsidRPr="00CF6765">
        <w:rPr>
          <w:rFonts w:eastAsia="Calibri"/>
          <w:sz w:val="20"/>
          <w:szCs w:val="20"/>
          <w:lang w:val="en-US" w:eastAsia="es-ES"/>
        </w:rPr>
        <w:t>Regarding</w:t>
      </w:r>
      <w:r w:rsidR="006B2A4D" w:rsidRPr="00CF6765">
        <w:rPr>
          <w:rFonts w:eastAsia="Calibri"/>
          <w:sz w:val="20"/>
          <w:szCs w:val="20"/>
          <w:lang w:val="en-US" w:eastAsia="es-ES"/>
        </w:rPr>
        <w:t xml:space="preserve"> </w:t>
      </w:r>
      <w:r w:rsidR="00D2168F" w:rsidRPr="00CF6765">
        <w:rPr>
          <w:rFonts w:eastAsia="Calibri"/>
          <w:sz w:val="20"/>
          <w:szCs w:val="20"/>
          <w:lang w:val="en-US" w:eastAsia="es-ES"/>
        </w:rPr>
        <w:t>the representatives</w:t>
      </w:r>
      <w:r w:rsidR="00851E39" w:rsidRPr="00CF6765">
        <w:rPr>
          <w:rFonts w:eastAsia="Calibri"/>
          <w:sz w:val="20"/>
          <w:szCs w:val="20"/>
          <w:lang w:val="en-US" w:eastAsia="es-ES"/>
        </w:rPr>
        <w:t>’ request that the State</w:t>
      </w:r>
      <w:r w:rsidR="005F2442" w:rsidRPr="00CF6765">
        <w:rPr>
          <w:rFonts w:eastAsia="Calibri"/>
          <w:sz w:val="20"/>
          <w:szCs w:val="20"/>
          <w:lang w:val="en-US" w:eastAsia="es-ES"/>
        </w:rPr>
        <w:t xml:space="preserve"> build a hospital</w:t>
      </w:r>
      <w:r w:rsidR="006B2A4D" w:rsidRPr="00CF6765">
        <w:rPr>
          <w:rFonts w:eastAsia="Calibri"/>
          <w:sz w:val="20"/>
          <w:szCs w:val="20"/>
          <w:lang w:val="en-US" w:eastAsia="es-ES"/>
        </w:rPr>
        <w:t xml:space="preserve"> </w:t>
      </w:r>
      <w:r w:rsidR="005F2442" w:rsidRPr="00CF6765">
        <w:rPr>
          <w:rFonts w:eastAsia="Calibri"/>
          <w:sz w:val="20"/>
          <w:szCs w:val="20"/>
          <w:lang w:val="en-US" w:eastAsia="es-ES"/>
        </w:rPr>
        <w:t xml:space="preserve">specializing in the medical treatment of older persons, or else provide a special wing for older persons in existing hospitals and </w:t>
      </w:r>
      <w:r w:rsidR="00FB2D33" w:rsidRPr="00CF6765">
        <w:rPr>
          <w:rFonts w:eastAsia="Calibri"/>
          <w:sz w:val="20"/>
          <w:szCs w:val="20"/>
          <w:lang w:val="en-US" w:eastAsia="es-ES"/>
        </w:rPr>
        <w:t>reinforce</w:t>
      </w:r>
      <w:r w:rsidR="005F2442" w:rsidRPr="00CF6765">
        <w:rPr>
          <w:rFonts w:eastAsia="Calibri"/>
          <w:sz w:val="20"/>
          <w:szCs w:val="20"/>
          <w:lang w:val="en-US" w:eastAsia="es-ES"/>
        </w:rPr>
        <w:t xml:space="preserve"> the civil and criminal liability of health care </w:t>
      </w:r>
      <w:r w:rsidR="00FB2D33" w:rsidRPr="00CF6765">
        <w:rPr>
          <w:rFonts w:eastAsia="Calibri"/>
          <w:sz w:val="20"/>
          <w:szCs w:val="20"/>
          <w:lang w:val="en-US" w:eastAsia="es-ES"/>
        </w:rPr>
        <w:t>providers</w:t>
      </w:r>
      <w:r w:rsidR="005F2442" w:rsidRPr="00CF6765">
        <w:rPr>
          <w:rFonts w:eastAsia="Calibri"/>
          <w:sz w:val="20"/>
          <w:szCs w:val="20"/>
          <w:lang w:val="en-US" w:eastAsia="es-ES"/>
        </w:rPr>
        <w:t xml:space="preserve"> in such cases, the Court takes note of the existence of the “National Institute of Geriatrics” and its impact on improving medical care for older persons in Chile, and therefore urges the State to reinforce this institution and its impact on the public and private hospital network, and to involve it in the training ordered in paragraph 237. Owing to the particularities of this measure, the Court will not monitor compliance with this point.</w:t>
      </w:r>
    </w:p>
    <w:p w14:paraId="40AAF66D" w14:textId="30CCF58F" w:rsidR="008704CD" w:rsidRPr="00CF6765" w:rsidRDefault="008704CD" w:rsidP="002A64C9">
      <w:pPr>
        <w:widowControl w:val="0"/>
        <w:tabs>
          <w:tab w:val="left" w:pos="567"/>
        </w:tabs>
        <w:adjustRightInd w:val="0"/>
        <w:textAlignment w:val="baseline"/>
        <w:rPr>
          <w:rFonts w:eastAsiaTheme="minorHAnsi" w:cs="Verdana"/>
          <w:color w:val="000000"/>
          <w:sz w:val="20"/>
          <w:szCs w:val="20"/>
          <w:lang w:val="en-US" w:eastAsia="en-US"/>
        </w:rPr>
      </w:pPr>
    </w:p>
    <w:p w14:paraId="3ACB133C" w14:textId="30DFF6FA" w:rsidR="004A0BDC" w:rsidRPr="00CF6765" w:rsidRDefault="004A0BDC" w:rsidP="002A64C9">
      <w:pPr>
        <w:widowControl w:val="0"/>
        <w:tabs>
          <w:tab w:val="left" w:pos="567"/>
        </w:tabs>
        <w:adjustRightInd w:val="0"/>
        <w:textAlignment w:val="baseline"/>
        <w:rPr>
          <w:rFonts w:eastAsiaTheme="minorHAnsi" w:cs="Verdana"/>
          <w:i/>
          <w:color w:val="000000"/>
          <w:sz w:val="20"/>
          <w:szCs w:val="20"/>
          <w:lang w:val="en-US" w:eastAsia="en-US"/>
        </w:rPr>
      </w:pPr>
      <w:r w:rsidRPr="00CF6765">
        <w:rPr>
          <w:rFonts w:eastAsiaTheme="minorHAnsi" w:cs="Verdana"/>
          <w:i/>
          <w:color w:val="000000"/>
          <w:sz w:val="20"/>
          <w:szCs w:val="20"/>
          <w:lang w:val="en-US" w:eastAsia="en-US"/>
        </w:rPr>
        <w:tab/>
      </w:r>
      <w:r w:rsidRPr="00CF6765">
        <w:rPr>
          <w:rFonts w:eastAsiaTheme="minorHAnsi" w:cs="Verdana"/>
          <w:i/>
          <w:color w:val="000000"/>
          <w:sz w:val="20"/>
          <w:szCs w:val="20"/>
          <w:lang w:val="en-US" w:eastAsia="en-US"/>
        </w:rPr>
        <w:tab/>
      </w:r>
      <w:r w:rsidRPr="00CF6765">
        <w:rPr>
          <w:rFonts w:eastAsiaTheme="minorHAnsi" w:cs="Verdana"/>
          <w:i/>
          <w:color w:val="000000"/>
          <w:sz w:val="20"/>
          <w:szCs w:val="20"/>
          <w:lang w:val="en-US" w:eastAsia="en-US"/>
        </w:rPr>
        <w:tab/>
        <w:t xml:space="preserve">ii) </w:t>
      </w:r>
      <w:r w:rsidR="005F2442" w:rsidRPr="00CF6765">
        <w:rPr>
          <w:rFonts w:eastAsiaTheme="minorHAnsi" w:cs="Verdana"/>
          <w:i/>
          <w:color w:val="000000"/>
          <w:sz w:val="20"/>
          <w:szCs w:val="20"/>
          <w:lang w:val="en-US" w:eastAsia="en-US"/>
        </w:rPr>
        <w:t>Leaflet on the</w:t>
      </w:r>
      <w:r w:rsidRPr="00CF6765">
        <w:rPr>
          <w:rFonts w:eastAsiaTheme="minorHAnsi" w:cs="Verdana"/>
          <w:i/>
          <w:color w:val="000000"/>
          <w:sz w:val="20"/>
          <w:szCs w:val="20"/>
          <w:lang w:val="en-US" w:eastAsia="en-US"/>
        </w:rPr>
        <w:t xml:space="preserve"> </w:t>
      </w:r>
      <w:r w:rsidR="00323A17" w:rsidRPr="00CF6765">
        <w:rPr>
          <w:rFonts w:eastAsiaTheme="minorHAnsi" w:cs="Verdana"/>
          <w:i/>
          <w:color w:val="000000"/>
          <w:sz w:val="20"/>
          <w:szCs w:val="20"/>
          <w:lang w:val="en-US" w:eastAsia="en-US"/>
        </w:rPr>
        <w:t>older person</w:t>
      </w:r>
    </w:p>
    <w:p w14:paraId="0DC20CEA" w14:textId="77777777" w:rsidR="004A0BDC" w:rsidRPr="00CF6765" w:rsidRDefault="004A0BDC" w:rsidP="002A64C9">
      <w:pPr>
        <w:widowControl w:val="0"/>
        <w:tabs>
          <w:tab w:val="left" w:pos="567"/>
        </w:tabs>
        <w:adjustRightInd w:val="0"/>
        <w:textAlignment w:val="baseline"/>
        <w:rPr>
          <w:rFonts w:eastAsiaTheme="minorHAnsi" w:cs="Verdana"/>
          <w:i/>
          <w:color w:val="000000"/>
          <w:sz w:val="20"/>
          <w:szCs w:val="20"/>
          <w:lang w:val="en-US" w:eastAsia="en-US"/>
        </w:rPr>
      </w:pPr>
    </w:p>
    <w:p w14:paraId="2BE8FBC6" w14:textId="03423313" w:rsidR="005F2442" w:rsidRPr="00CF6765" w:rsidRDefault="005F2442" w:rsidP="00016220">
      <w:pPr>
        <w:widowControl w:val="0"/>
        <w:numPr>
          <w:ilvl w:val="0"/>
          <w:numId w:val="2"/>
        </w:numPr>
        <w:tabs>
          <w:tab w:val="left" w:pos="567"/>
          <w:tab w:val="num" w:pos="1569"/>
          <w:tab w:val="num" w:pos="12305"/>
        </w:tabs>
        <w:adjustRightInd w:val="0"/>
        <w:ind w:left="0" w:firstLine="0"/>
        <w:textAlignment w:val="baseline"/>
        <w:rPr>
          <w:rFonts w:eastAsiaTheme="minorHAnsi" w:cs="Verdana"/>
          <w:color w:val="000000"/>
          <w:sz w:val="20"/>
          <w:szCs w:val="20"/>
          <w:lang w:val="en-US" w:eastAsia="en-US"/>
        </w:rPr>
      </w:pPr>
      <w:r w:rsidRPr="00CF6765">
        <w:rPr>
          <w:rFonts w:eastAsiaTheme="minorHAnsi" w:cs="Verdana"/>
          <w:color w:val="000000"/>
          <w:sz w:val="20"/>
          <w:szCs w:val="20"/>
          <w:lang w:val="en-US" w:eastAsia="en-US"/>
        </w:rPr>
        <w:t xml:space="preserve">As it has in </w:t>
      </w:r>
      <w:r w:rsidR="00E439BB" w:rsidRPr="00CF6765">
        <w:rPr>
          <w:rFonts w:eastAsiaTheme="minorHAnsi" w:cs="Verdana"/>
          <w:color w:val="000000"/>
          <w:sz w:val="20"/>
          <w:szCs w:val="20"/>
          <w:lang w:val="en-US" w:eastAsia="en-US"/>
        </w:rPr>
        <w:t xml:space="preserve">one </w:t>
      </w:r>
      <w:r w:rsidRPr="00CF6765">
        <w:rPr>
          <w:rFonts w:eastAsiaTheme="minorHAnsi" w:cs="Verdana"/>
          <w:color w:val="000000"/>
          <w:sz w:val="20"/>
          <w:szCs w:val="20"/>
          <w:lang w:val="en-US" w:eastAsia="en-US"/>
        </w:rPr>
        <w:t>other case,</w:t>
      </w:r>
      <w:r w:rsidR="008704CD" w:rsidRPr="00CF6765">
        <w:rPr>
          <w:rStyle w:val="Refdenotaalpie"/>
          <w:rFonts w:eastAsiaTheme="minorHAnsi" w:cs="Verdana"/>
          <w:color w:val="000000"/>
          <w:sz w:val="20"/>
          <w:szCs w:val="20"/>
          <w:lang w:val="en-US" w:eastAsia="en-US"/>
        </w:rPr>
        <w:footnoteReference w:id="317"/>
      </w:r>
      <w:r w:rsidRPr="00CF6765">
        <w:rPr>
          <w:rFonts w:eastAsiaTheme="minorHAnsi" w:cs="Verdana"/>
          <w:color w:val="000000"/>
          <w:sz w:val="20"/>
          <w:szCs w:val="20"/>
          <w:lang w:val="en-US" w:eastAsia="en-US"/>
        </w:rPr>
        <w:t xml:space="preserve"> the Court finds it </w:t>
      </w:r>
      <w:r w:rsidR="00FB2D33" w:rsidRPr="00CF6765">
        <w:rPr>
          <w:rFonts w:eastAsiaTheme="minorHAnsi" w:cs="Verdana"/>
          <w:color w:val="000000"/>
          <w:sz w:val="20"/>
          <w:szCs w:val="20"/>
          <w:lang w:val="en-US" w:eastAsia="en-US"/>
        </w:rPr>
        <w:t>pertinent</w:t>
      </w:r>
      <w:r w:rsidRPr="00CF6765">
        <w:rPr>
          <w:rFonts w:eastAsiaTheme="minorHAnsi" w:cs="Verdana"/>
          <w:color w:val="000000"/>
          <w:sz w:val="20"/>
          <w:szCs w:val="20"/>
          <w:lang w:val="en-US" w:eastAsia="en-US"/>
        </w:rPr>
        <w:t xml:space="preserve"> to order the State to design a publication or leaflet</w:t>
      </w:r>
      <w:r w:rsidR="00144010" w:rsidRPr="00CF6765">
        <w:rPr>
          <w:rFonts w:eastAsiaTheme="minorHAnsi" w:cs="Verdana"/>
          <w:color w:val="000000"/>
          <w:sz w:val="20"/>
          <w:szCs w:val="20"/>
          <w:lang w:val="en-US" w:eastAsia="en-US"/>
        </w:rPr>
        <w:t xml:space="preserve"> outlining</w:t>
      </w:r>
      <w:r w:rsidR="00E439BB" w:rsidRPr="00CF6765">
        <w:rPr>
          <w:rFonts w:eastAsiaTheme="minorHAnsi" w:cs="Verdana"/>
          <w:color w:val="000000"/>
          <w:sz w:val="20"/>
          <w:szCs w:val="20"/>
          <w:lang w:val="en-US" w:eastAsia="en-US"/>
        </w:rPr>
        <w:t>,</w:t>
      </w:r>
      <w:r w:rsidR="00144010" w:rsidRPr="00CF6765">
        <w:rPr>
          <w:rFonts w:eastAsiaTheme="minorHAnsi" w:cs="Verdana"/>
          <w:color w:val="000000"/>
          <w:sz w:val="20"/>
          <w:szCs w:val="20"/>
          <w:lang w:val="en-US" w:eastAsia="en-US"/>
        </w:rPr>
        <w:t xml:space="preserve"> in a concise, clear and accessible way</w:t>
      </w:r>
      <w:r w:rsidR="00E439BB" w:rsidRPr="00CF6765">
        <w:rPr>
          <w:rFonts w:eastAsiaTheme="minorHAnsi" w:cs="Verdana"/>
          <w:color w:val="000000"/>
          <w:sz w:val="20"/>
          <w:szCs w:val="20"/>
          <w:lang w:val="en-US" w:eastAsia="en-US"/>
        </w:rPr>
        <w:t>,</w:t>
      </w:r>
      <w:r w:rsidR="00144010" w:rsidRPr="00CF6765">
        <w:rPr>
          <w:rFonts w:eastAsiaTheme="minorHAnsi" w:cs="Verdana"/>
          <w:color w:val="000000"/>
          <w:sz w:val="20"/>
          <w:szCs w:val="20"/>
          <w:lang w:val="en-US" w:eastAsia="en-US"/>
        </w:rPr>
        <w:t xml:space="preserve"> the rights of the older person in relation to health care </w:t>
      </w:r>
      <w:r w:rsidR="00E439BB" w:rsidRPr="00CF6765">
        <w:rPr>
          <w:rFonts w:eastAsiaTheme="minorHAnsi" w:cs="Verdana"/>
          <w:color w:val="000000"/>
          <w:sz w:val="20"/>
          <w:szCs w:val="20"/>
          <w:lang w:val="en-US" w:eastAsia="en-US"/>
        </w:rPr>
        <w:t>contained</w:t>
      </w:r>
      <w:r w:rsidR="00144010" w:rsidRPr="00CF6765">
        <w:rPr>
          <w:rFonts w:eastAsiaTheme="minorHAnsi" w:cs="Verdana"/>
          <w:color w:val="000000"/>
          <w:sz w:val="20"/>
          <w:szCs w:val="20"/>
          <w:lang w:val="en-US" w:eastAsia="en-US"/>
        </w:rPr>
        <w:t xml:space="preserve"> in the standards established in this judgment, as well as the obligations of medical personnel when providing medical care. This publication (printed and/or in digital form) must be available in all public and private hospitals in Chile, for both the patients and the medical </w:t>
      </w:r>
      <w:r w:rsidR="00E439BB" w:rsidRPr="00CF6765">
        <w:rPr>
          <w:rFonts w:eastAsiaTheme="minorHAnsi" w:cs="Verdana"/>
          <w:color w:val="000000"/>
          <w:sz w:val="20"/>
          <w:szCs w:val="20"/>
          <w:lang w:val="en-US" w:eastAsia="en-US"/>
        </w:rPr>
        <w:t>staff</w:t>
      </w:r>
      <w:r w:rsidR="00144010" w:rsidRPr="00CF6765">
        <w:rPr>
          <w:rFonts w:eastAsiaTheme="minorHAnsi" w:cs="Verdana"/>
          <w:color w:val="000000"/>
          <w:sz w:val="20"/>
          <w:szCs w:val="20"/>
          <w:lang w:val="en-US" w:eastAsia="en-US"/>
        </w:rPr>
        <w:t xml:space="preserve">, and also on the Ministry of Health’s website. </w:t>
      </w:r>
      <w:r w:rsidR="00E439BB" w:rsidRPr="00CF6765">
        <w:rPr>
          <w:rFonts w:eastAsiaTheme="minorHAnsi" w:cs="Verdana"/>
          <w:color w:val="000000"/>
          <w:sz w:val="20"/>
          <w:szCs w:val="20"/>
          <w:lang w:val="en-US" w:eastAsia="en-US"/>
        </w:rPr>
        <w:t>Following execution of this measure, t</w:t>
      </w:r>
      <w:r w:rsidR="00144010" w:rsidRPr="00CF6765">
        <w:rPr>
          <w:rFonts w:eastAsiaTheme="minorHAnsi" w:cs="Verdana"/>
          <w:color w:val="000000"/>
          <w:sz w:val="20"/>
          <w:szCs w:val="20"/>
          <w:lang w:val="en-US" w:eastAsia="en-US"/>
        </w:rPr>
        <w:t xml:space="preserve">he State must provide an annual report on </w:t>
      </w:r>
      <w:r w:rsidR="00E439BB" w:rsidRPr="00CF6765">
        <w:rPr>
          <w:rFonts w:eastAsiaTheme="minorHAnsi" w:cs="Verdana"/>
          <w:color w:val="000000"/>
          <w:sz w:val="20"/>
          <w:szCs w:val="20"/>
          <w:lang w:val="en-US" w:eastAsia="en-US"/>
        </w:rPr>
        <w:t>its</w:t>
      </w:r>
      <w:r w:rsidR="00144010" w:rsidRPr="00CF6765">
        <w:rPr>
          <w:rFonts w:eastAsiaTheme="minorHAnsi" w:cs="Verdana"/>
          <w:color w:val="000000"/>
          <w:sz w:val="20"/>
          <w:szCs w:val="20"/>
          <w:lang w:val="en-US" w:eastAsia="en-US"/>
        </w:rPr>
        <w:t xml:space="preserve"> implementation for three year</w:t>
      </w:r>
      <w:r w:rsidR="00E439BB" w:rsidRPr="00CF6765">
        <w:rPr>
          <w:rFonts w:eastAsiaTheme="minorHAnsi" w:cs="Verdana"/>
          <w:color w:val="000000"/>
          <w:sz w:val="20"/>
          <w:szCs w:val="20"/>
          <w:lang w:val="en-US" w:eastAsia="en-US"/>
        </w:rPr>
        <w:t>s</w:t>
      </w:r>
      <w:r w:rsidR="00144010" w:rsidRPr="00CF6765">
        <w:rPr>
          <w:rFonts w:eastAsiaTheme="minorHAnsi" w:cs="Verdana"/>
          <w:color w:val="000000"/>
          <w:sz w:val="20"/>
          <w:szCs w:val="20"/>
          <w:lang w:val="en-US" w:eastAsia="en-US"/>
        </w:rPr>
        <w:t>.</w:t>
      </w:r>
    </w:p>
    <w:p w14:paraId="09D8D844" w14:textId="77777777" w:rsidR="005F2442" w:rsidRPr="00CF6765" w:rsidRDefault="005F2442" w:rsidP="005F2442">
      <w:pPr>
        <w:widowControl w:val="0"/>
        <w:tabs>
          <w:tab w:val="left" w:pos="567"/>
        </w:tabs>
        <w:adjustRightInd w:val="0"/>
        <w:textAlignment w:val="baseline"/>
        <w:rPr>
          <w:rFonts w:eastAsiaTheme="minorHAnsi" w:cs="Verdana"/>
          <w:color w:val="000000"/>
          <w:sz w:val="20"/>
          <w:szCs w:val="20"/>
          <w:lang w:val="en-US" w:eastAsia="en-US"/>
        </w:rPr>
      </w:pPr>
    </w:p>
    <w:p w14:paraId="67F5856A" w14:textId="7CF4BC73" w:rsidR="004A0BDC" w:rsidRPr="00CF6765" w:rsidRDefault="004A0BDC" w:rsidP="005430FF">
      <w:pPr>
        <w:widowControl w:val="0"/>
        <w:tabs>
          <w:tab w:val="left" w:pos="567"/>
        </w:tabs>
        <w:adjustRightInd w:val="0"/>
        <w:textAlignment w:val="baseline"/>
        <w:rPr>
          <w:rFonts w:eastAsia="Calibri"/>
          <w:i/>
          <w:sz w:val="20"/>
          <w:szCs w:val="20"/>
          <w:lang w:val="en-US" w:eastAsia="es-ES"/>
        </w:rPr>
      </w:pPr>
      <w:r w:rsidRPr="00CF6765">
        <w:rPr>
          <w:rFonts w:eastAsia="Calibri"/>
          <w:i/>
          <w:sz w:val="20"/>
          <w:szCs w:val="20"/>
          <w:lang w:val="en-US" w:eastAsia="es-ES"/>
        </w:rPr>
        <w:tab/>
      </w:r>
      <w:r w:rsidRPr="00CF6765">
        <w:rPr>
          <w:rFonts w:eastAsia="Calibri"/>
          <w:i/>
          <w:sz w:val="20"/>
          <w:szCs w:val="20"/>
          <w:lang w:val="en-US" w:eastAsia="es-ES"/>
        </w:rPr>
        <w:tab/>
      </w:r>
      <w:r w:rsidRPr="00CF6765">
        <w:rPr>
          <w:rFonts w:eastAsia="Calibri"/>
          <w:i/>
          <w:sz w:val="20"/>
          <w:szCs w:val="20"/>
          <w:lang w:val="en-US" w:eastAsia="es-ES"/>
        </w:rPr>
        <w:tab/>
        <w:t xml:space="preserve">iii) </w:t>
      </w:r>
      <w:r w:rsidR="0082342A" w:rsidRPr="00CF6765">
        <w:rPr>
          <w:rFonts w:eastAsia="Calibri"/>
          <w:i/>
          <w:sz w:val="20"/>
          <w:szCs w:val="20"/>
          <w:lang w:val="en-US" w:eastAsia="es-ES"/>
        </w:rPr>
        <w:t>Comprehensive protection for</w:t>
      </w:r>
      <w:r w:rsidRPr="00CF6765">
        <w:rPr>
          <w:rFonts w:eastAsia="Calibri"/>
          <w:i/>
          <w:sz w:val="20"/>
          <w:szCs w:val="20"/>
          <w:lang w:val="en-US" w:eastAsia="es-ES"/>
        </w:rPr>
        <w:t xml:space="preserve"> </w:t>
      </w:r>
      <w:r w:rsidR="00323A17" w:rsidRPr="00CF6765">
        <w:rPr>
          <w:rFonts w:eastAsiaTheme="minorHAnsi" w:cs="Verdana"/>
          <w:i/>
          <w:color w:val="000000"/>
          <w:sz w:val="20"/>
          <w:szCs w:val="20"/>
          <w:lang w:val="en-US" w:eastAsia="en-US"/>
        </w:rPr>
        <w:t>older persons</w:t>
      </w:r>
    </w:p>
    <w:p w14:paraId="1467FB9E" w14:textId="77777777" w:rsidR="004A0BDC" w:rsidRPr="00CF6765" w:rsidRDefault="004A0BDC" w:rsidP="005430FF">
      <w:pPr>
        <w:widowControl w:val="0"/>
        <w:tabs>
          <w:tab w:val="left" w:pos="567"/>
        </w:tabs>
        <w:adjustRightInd w:val="0"/>
        <w:textAlignment w:val="baseline"/>
        <w:rPr>
          <w:rFonts w:eastAsia="Calibri"/>
          <w:i/>
          <w:sz w:val="20"/>
          <w:szCs w:val="20"/>
          <w:lang w:val="en-US" w:eastAsia="es-ES"/>
        </w:rPr>
      </w:pPr>
    </w:p>
    <w:p w14:paraId="7823ADD3" w14:textId="008C1550" w:rsidR="00272E30" w:rsidRPr="00CF6765" w:rsidRDefault="0082342A" w:rsidP="00272E30">
      <w:pPr>
        <w:widowControl w:val="0"/>
        <w:numPr>
          <w:ilvl w:val="0"/>
          <w:numId w:val="2"/>
        </w:numPr>
        <w:tabs>
          <w:tab w:val="left" w:pos="567"/>
          <w:tab w:val="num" w:pos="1569"/>
          <w:tab w:val="num" w:pos="12305"/>
        </w:tabs>
        <w:adjustRightInd w:val="0"/>
        <w:ind w:left="0" w:firstLine="0"/>
        <w:textAlignment w:val="baseline"/>
        <w:rPr>
          <w:rFonts w:eastAsiaTheme="minorHAnsi" w:cs="Verdana"/>
          <w:color w:val="000000"/>
          <w:sz w:val="20"/>
          <w:szCs w:val="20"/>
          <w:lang w:val="en-US" w:eastAsia="en-US"/>
        </w:rPr>
      </w:pPr>
      <w:r w:rsidRPr="00CF6765">
        <w:rPr>
          <w:rFonts w:eastAsiaTheme="minorHAnsi" w:cs="Verdana"/>
          <w:color w:val="000000"/>
          <w:sz w:val="20"/>
          <w:szCs w:val="20"/>
          <w:lang w:val="en-US" w:eastAsia="en-US"/>
        </w:rPr>
        <w:t xml:space="preserve">Lastly, </w:t>
      </w:r>
      <w:r w:rsidR="005C731C" w:rsidRPr="00CF6765">
        <w:rPr>
          <w:rFonts w:eastAsiaTheme="minorHAnsi" w:cs="Verdana"/>
          <w:color w:val="000000"/>
          <w:sz w:val="20"/>
          <w:szCs w:val="20"/>
          <w:lang w:val="en-US" w:eastAsia="en-US"/>
        </w:rPr>
        <w:t>the Court</w:t>
      </w:r>
      <w:r w:rsidR="00272E30" w:rsidRPr="00CF6765">
        <w:rPr>
          <w:rFonts w:eastAsiaTheme="minorHAnsi" w:cs="Verdana"/>
          <w:color w:val="000000"/>
          <w:sz w:val="20"/>
          <w:szCs w:val="20"/>
          <w:lang w:val="en-US" w:eastAsia="en-US"/>
        </w:rPr>
        <w:t xml:space="preserve"> </w:t>
      </w:r>
      <w:r w:rsidRPr="00CF6765">
        <w:rPr>
          <w:rFonts w:eastAsiaTheme="minorHAnsi" w:cs="Verdana"/>
          <w:color w:val="000000"/>
          <w:sz w:val="20"/>
          <w:szCs w:val="20"/>
          <w:lang w:val="en-US" w:eastAsia="en-US"/>
        </w:rPr>
        <w:t>establishes that</w:t>
      </w:r>
      <w:r w:rsidR="002E1F02" w:rsidRPr="00CF6765">
        <w:rPr>
          <w:rFonts w:eastAsiaTheme="minorHAnsi" w:cs="Verdana"/>
          <w:color w:val="000000"/>
          <w:sz w:val="20"/>
          <w:szCs w:val="20"/>
          <w:lang w:val="en-US" w:eastAsia="en-US"/>
        </w:rPr>
        <w:t xml:space="preserve"> </w:t>
      </w:r>
      <w:r w:rsidR="00EC50FC" w:rsidRPr="00CF6765">
        <w:rPr>
          <w:rFonts w:eastAsiaTheme="minorHAnsi" w:cs="Verdana"/>
          <w:color w:val="000000"/>
          <w:sz w:val="20"/>
          <w:szCs w:val="20"/>
          <w:lang w:val="en-US" w:eastAsia="en-US"/>
        </w:rPr>
        <w:t>the State</w:t>
      </w:r>
      <w:r w:rsidR="002E1F02" w:rsidRPr="00CF6765">
        <w:rPr>
          <w:rFonts w:eastAsiaTheme="minorHAnsi" w:cs="Verdana"/>
          <w:color w:val="000000"/>
          <w:sz w:val="20"/>
          <w:szCs w:val="20"/>
          <w:lang w:val="en-US" w:eastAsia="en-US"/>
        </w:rPr>
        <w:t xml:space="preserve"> </w:t>
      </w:r>
      <w:r w:rsidRPr="00CF6765">
        <w:rPr>
          <w:rFonts w:eastAsiaTheme="minorHAnsi" w:cs="Verdana"/>
          <w:color w:val="000000"/>
          <w:sz w:val="20"/>
          <w:szCs w:val="20"/>
          <w:lang w:val="en-US" w:eastAsia="en-US"/>
        </w:rPr>
        <w:t xml:space="preserve">must take the necessary steps to design an overall policy for the comprehensive protection of older persons, based on the relevant standards The State must implement this </w:t>
      </w:r>
      <w:r w:rsidR="00E439BB" w:rsidRPr="00CF6765">
        <w:rPr>
          <w:rFonts w:eastAsiaTheme="minorHAnsi" w:cs="Verdana"/>
          <w:color w:val="000000"/>
          <w:sz w:val="20"/>
          <w:szCs w:val="20"/>
          <w:lang w:val="en-US" w:eastAsia="en-US"/>
        </w:rPr>
        <w:t xml:space="preserve">measure </w:t>
      </w:r>
      <w:r w:rsidR="00144010" w:rsidRPr="00CF6765">
        <w:rPr>
          <w:rFonts w:eastAsiaTheme="minorHAnsi" w:cs="Verdana"/>
          <w:color w:val="000000"/>
          <w:sz w:val="20"/>
          <w:szCs w:val="20"/>
          <w:lang w:val="en-US" w:eastAsia="en-US"/>
        </w:rPr>
        <w:t>within</w:t>
      </w:r>
      <w:r w:rsidRPr="00CF6765">
        <w:rPr>
          <w:rFonts w:eastAsiaTheme="minorHAnsi" w:cs="Verdana"/>
          <w:color w:val="000000"/>
          <w:sz w:val="20"/>
          <w:szCs w:val="20"/>
          <w:lang w:val="en-US" w:eastAsia="en-US"/>
        </w:rPr>
        <w:t xml:space="preserve"> three years following </w:t>
      </w:r>
      <w:r w:rsidR="00D2168F" w:rsidRPr="00CF6765">
        <w:rPr>
          <w:rFonts w:eastAsiaTheme="minorHAnsi" w:cs="Verdana"/>
          <w:color w:val="000000"/>
          <w:sz w:val="20"/>
          <w:szCs w:val="20"/>
          <w:lang w:val="en-US" w:eastAsia="en-US"/>
        </w:rPr>
        <w:t>notification</w:t>
      </w:r>
      <w:r w:rsidR="00272E30" w:rsidRPr="00CF6765">
        <w:rPr>
          <w:rFonts w:eastAsiaTheme="minorHAnsi" w:cs="Verdana"/>
          <w:color w:val="000000"/>
          <w:sz w:val="20"/>
          <w:szCs w:val="20"/>
          <w:lang w:val="en-US" w:eastAsia="en-US"/>
        </w:rPr>
        <w:t xml:space="preserve"> </w:t>
      </w:r>
      <w:r w:rsidR="002A0A64" w:rsidRPr="00CF6765">
        <w:rPr>
          <w:rFonts w:eastAsiaTheme="minorHAnsi" w:cs="Verdana"/>
          <w:color w:val="000000"/>
          <w:sz w:val="20"/>
          <w:szCs w:val="20"/>
          <w:lang w:val="en-US" w:eastAsia="en-US"/>
        </w:rPr>
        <w:t>of the judgment</w:t>
      </w:r>
      <w:r w:rsidR="00272E30" w:rsidRPr="00CF6765">
        <w:rPr>
          <w:rFonts w:eastAsiaTheme="minorHAnsi" w:cs="Verdana"/>
          <w:color w:val="000000"/>
          <w:sz w:val="20"/>
          <w:szCs w:val="20"/>
          <w:lang w:val="en-US" w:eastAsia="en-US"/>
        </w:rPr>
        <w:t xml:space="preserve">.  </w:t>
      </w:r>
    </w:p>
    <w:p w14:paraId="374FD4BD" w14:textId="77777777" w:rsidR="006B2A4D" w:rsidRPr="00CF6765" w:rsidRDefault="006B2A4D" w:rsidP="006B2A4D">
      <w:pPr>
        <w:widowControl w:val="0"/>
        <w:tabs>
          <w:tab w:val="left" w:pos="567"/>
          <w:tab w:val="num" w:pos="12305"/>
        </w:tabs>
        <w:adjustRightInd w:val="0"/>
        <w:textAlignment w:val="baseline"/>
        <w:rPr>
          <w:rFonts w:eastAsia="Calibri"/>
          <w:sz w:val="20"/>
          <w:szCs w:val="20"/>
          <w:lang w:val="en-US" w:eastAsia="es-ES"/>
        </w:rPr>
      </w:pPr>
    </w:p>
    <w:p w14:paraId="0CA123D7" w14:textId="30C40ED0" w:rsidR="006B2A4D" w:rsidRPr="00CF6765" w:rsidRDefault="0082342A" w:rsidP="002726E0">
      <w:pPr>
        <w:pStyle w:val="Ttulo2"/>
        <w:numPr>
          <w:ilvl w:val="0"/>
          <w:numId w:val="13"/>
        </w:numPr>
        <w:rPr>
          <w:lang w:val="en-US"/>
        </w:rPr>
      </w:pPr>
      <w:bookmarkStart w:id="123" w:name="_Toc47864405"/>
      <w:r w:rsidRPr="00CF6765">
        <w:rPr>
          <w:lang w:val="en-US"/>
        </w:rPr>
        <w:t>Compensation</w:t>
      </w:r>
      <w:bookmarkEnd w:id="123"/>
    </w:p>
    <w:p w14:paraId="1CE8A608" w14:textId="77777777" w:rsidR="006B2A4D" w:rsidRPr="00CF6765" w:rsidRDefault="006B2A4D" w:rsidP="006B2A4D">
      <w:pPr>
        <w:keepNext/>
        <w:keepLines/>
        <w:outlineLvl w:val="1"/>
        <w:rPr>
          <w:b/>
          <w:bCs/>
          <w:i/>
          <w:sz w:val="20"/>
          <w:szCs w:val="20"/>
          <w:lang w:val="en-US" w:eastAsia="en-US"/>
        </w:rPr>
      </w:pPr>
    </w:p>
    <w:p w14:paraId="243639DB" w14:textId="4E655F64" w:rsidR="006B2A4D" w:rsidRPr="00CF6765" w:rsidRDefault="005C731C"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Commission</w:t>
      </w:r>
      <w:r w:rsidR="006B2A4D" w:rsidRPr="00CF6765">
        <w:rPr>
          <w:rFonts w:eastAsia="Calibri"/>
          <w:sz w:val="20"/>
          <w:szCs w:val="20"/>
          <w:lang w:val="en-US" w:eastAsia="es-ES"/>
        </w:rPr>
        <w:t xml:space="preserve"> </w:t>
      </w:r>
      <w:r w:rsidR="0082342A" w:rsidRPr="00CF6765">
        <w:rPr>
          <w:rFonts w:eastAsia="Calibri"/>
          <w:sz w:val="20"/>
          <w:szCs w:val="20"/>
          <w:lang w:val="en-US" w:eastAsia="es-ES"/>
        </w:rPr>
        <w:t>asked that the members of Mr</w:t>
      </w:r>
      <w:r w:rsidR="00D04694" w:rsidRPr="00CF6765">
        <w:rPr>
          <w:rFonts w:eastAsia="Calibri"/>
          <w:sz w:val="20"/>
          <w:szCs w:val="20"/>
          <w:lang w:val="en-US" w:eastAsia="es-ES"/>
        </w:rPr>
        <w:t>.</w:t>
      </w:r>
      <w:r w:rsidR="00D2168F" w:rsidRPr="00CF6765">
        <w:rPr>
          <w:rFonts w:eastAsia="Calibri"/>
          <w:sz w:val="20"/>
          <w:szCs w:val="20"/>
          <w:lang w:val="en-US" w:eastAsia="es-ES"/>
        </w:rPr>
        <w:t xml:space="preserve"> Poblete</w:t>
      </w:r>
      <w:r w:rsidR="006B2A4D" w:rsidRPr="00CF6765">
        <w:rPr>
          <w:rFonts w:eastAsia="Calibri"/>
          <w:sz w:val="20"/>
          <w:szCs w:val="20"/>
          <w:lang w:val="en-US" w:eastAsia="es-ES"/>
        </w:rPr>
        <w:t xml:space="preserve"> </w:t>
      </w:r>
      <w:proofErr w:type="spellStart"/>
      <w:r w:rsidR="001E55C3" w:rsidRPr="00CF6765">
        <w:rPr>
          <w:rFonts w:eastAsia="Calibri"/>
          <w:sz w:val="20"/>
          <w:szCs w:val="20"/>
          <w:lang w:val="en-US" w:eastAsia="es-ES"/>
        </w:rPr>
        <w:t>Vilches’s</w:t>
      </w:r>
      <w:proofErr w:type="spellEnd"/>
      <w:r w:rsidR="001E55C3" w:rsidRPr="00CF6765">
        <w:rPr>
          <w:rFonts w:eastAsia="Calibri"/>
          <w:sz w:val="20"/>
          <w:szCs w:val="20"/>
          <w:lang w:val="en-US" w:eastAsia="es-ES"/>
        </w:rPr>
        <w:t xml:space="preserve"> </w:t>
      </w:r>
      <w:r w:rsidR="0082342A" w:rsidRPr="00CF6765">
        <w:rPr>
          <w:rFonts w:eastAsia="Calibri"/>
          <w:sz w:val="20"/>
          <w:szCs w:val="20"/>
          <w:lang w:val="en-US" w:eastAsia="es-ES"/>
        </w:rPr>
        <w:t>family be inc</w:t>
      </w:r>
      <w:r w:rsidR="00144010" w:rsidRPr="00CF6765">
        <w:rPr>
          <w:rFonts w:eastAsia="Calibri"/>
          <w:sz w:val="20"/>
          <w:szCs w:val="20"/>
          <w:lang w:val="en-US" w:eastAsia="es-ES"/>
        </w:rPr>
        <w:t>luded</w:t>
      </w:r>
      <w:r w:rsidR="0082342A" w:rsidRPr="00CF6765">
        <w:rPr>
          <w:rFonts w:eastAsia="Calibri"/>
          <w:sz w:val="20"/>
          <w:szCs w:val="20"/>
          <w:lang w:val="en-US" w:eastAsia="es-ES"/>
        </w:rPr>
        <w:t xml:space="preserve"> in the integral reparation, with regard to both pecuniary and non-pecuniary damage. </w:t>
      </w:r>
    </w:p>
    <w:p w14:paraId="4F563BD5" w14:textId="77777777" w:rsidR="006B2A4D" w:rsidRPr="00CF6765" w:rsidRDefault="006B2A4D" w:rsidP="006B2A4D">
      <w:pPr>
        <w:widowControl w:val="0"/>
        <w:tabs>
          <w:tab w:val="left" w:pos="567"/>
          <w:tab w:val="num" w:pos="12305"/>
        </w:tabs>
        <w:adjustRightInd w:val="0"/>
        <w:textAlignment w:val="baseline"/>
        <w:rPr>
          <w:rFonts w:eastAsia="Calibri"/>
          <w:sz w:val="20"/>
          <w:szCs w:val="20"/>
          <w:lang w:val="en-US" w:eastAsia="es-ES"/>
        </w:rPr>
      </w:pPr>
    </w:p>
    <w:p w14:paraId="3A4239D7" w14:textId="036AEFBD" w:rsidR="006B2A4D" w:rsidRPr="00CF6765" w:rsidRDefault="00D2168F" w:rsidP="00AC1D2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representatives</w:t>
      </w:r>
      <w:r w:rsidR="006B2A4D" w:rsidRPr="00CF6765">
        <w:rPr>
          <w:rFonts w:eastAsia="Calibri"/>
          <w:i/>
          <w:sz w:val="20"/>
          <w:szCs w:val="20"/>
          <w:lang w:val="en-US" w:eastAsia="es-ES"/>
        </w:rPr>
        <w:t xml:space="preserve"> </w:t>
      </w:r>
      <w:r w:rsidR="00144010" w:rsidRPr="00CF6765">
        <w:rPr>
          <w:rFonts w:eastAsia="Calibri"/>
          <w:sz w:val="20"/>
          <w:szCs w:val="20"/>
          <w:lang w:val="en-US" w:eastAsia="es-ES"/>
        </w:rPr>
        <w:t>requested</w:t>
      </w:r>
      <w:r w:rsidR="006B2A4D" w:rsidRPr="00CF6765">
        <w:rPr>
          <w:rFonts w:eastAsia="Calibri"/>
          <w:sz w:val="20"/>
          <w:szCs w:val="20"/>
          <w:lang w:val="en-US" w:eastAsia="es-ES"/>
        </w:rPr>
        <w:t xml:space="preserve"> </w:t>
      </w:r>
      <w:r w:rsidR="00144010" w:rsidRPr="00CF6765">
        <w:rPr>
          <w:rFonts w:eastAsia="Calibri"/>
          <w:sz w:val="20"/>
          <w:szCs w:val="20"/>
          <w:lang w:val="en-US" w:eastAsia="es-ES"/>
        </w:rPr>
        <w:t>c</w:t>
      </w:r>
      <w:r w:rsidR="0082342A" w:rsidRPr="00CF6765">
        <w:rPr>
          <w:rFonts w:eastAsia="Calibri"/>
          <w:sz w:val="20"/>
          <w:szCs w:val="20"/>
          <w:lang w:val="en-US" w:eastAsia="es-ES"/>
        </w:rPr>
        <w:t>ompensation</w:t>
      </w:r>
      <w:r w:rsidR="006B2A4D" w:rsidRPr="00CF6765">
        <w:rPr>
          <w:rFonts w:eastAsia="Calibri"/>
          <w:sz w:val="20"/>
          <w:szCs w:val="20"/>
          <w:lang w:val="en-US" w:eastAsia="es-ES"/>
        </w:rPr>
        <w:t xml:space="preserve"> </w:t>
      </w:r>
      <w:r w:rsidR="00144010" w:rsidRPr="00CF6765">
        <w:rPr>
          <w:rFonts w:eastAsia="Calibri"/>
          <w:sz w:val="20"/>
          <w:szCs w:val="20"/>
          <w:lang w:val="en-US" w:eastAsia="es-ES"/>
        </w:rPr>
        <w:t xml:space="preserve">for pecuniary and non-pecuniary damage. Regarding the pecuniary damage, </w:t>
      </w:r>
      <w:r w:rsidRPr="00CF6765">
        <w:rPr>
          <w:rFonts w:eastAsia="Calibri"/>
          <w:sz w:val="20"/>
          <w:szCs w:val="20"/>
          <w:lang w:val="en-US" w:eastAsia="es-ES"/>
        </w:rPr>
        <w:t>the representatives</w:t>
      </w:r>
      <w:r w:rsidR="006B2A4D" w:rsidRPr="00CF6765">
        <w:rPr>
          <w:rFonts w:eastAsia="Calibri"/>
          <w:sz w:val="20"/>
          <w:szCs w:val="20"/>
          <w:lang w:val="en-US" w:eastAsia="es-ES"/>
        </w:rPr>
        <w:t xml:space="preserve"> indica</w:t>
      </w:r>
      <w:r w:rsidR="00144010" w:rsidRPr="00CF6765">
        <w:rPr>
          <w:rFonts w:eastAsia="Calibri"/>
          <w:sz w:val="20"/>
          <w:szCs w:val="20"/>
          <w:lang w:val="en-US" w:eastAsia="es-ES"/>
        </w:rPr>
        <w:t xml:space="preserve">ted that it was not possible to obtain evidence of the salary of Mr. Poblete </w:t>
      </w:r>
      <w:proofErr w:type="spellStart"/>
      <w:r w:rsidR="00144010" w:rsidRPr="00CF6765">
        <w:rPr>
          <w:rFonts w:eastAsia="Calibri"/>
          <w:sz w:val="20"/>
          <w:szCs w:val="20"/>
          <w:lang w:val="en-US" w:eastAsia="es-ES"/>
        </w:rPr>
        <w:t>Vilches</w:t>
      </w:r>
      <w:proofErr w:type="spellEnd"/>
      <w:r w:rsidR="00144010" w:rsidRPr="00CF6765">
        <w:rPr>
          <w:rFonts w:eastAsia="Calibri"/>
          <w:sz w:val="20"/>
          <w:szCs w:val="20"/>
          <w:lang w:val="en-US" w:eastAsia="es-ES"/>
        </w:rPr>
        <w:t xml:space="preserve"> because his work was </w:t>
      </w:r>
      <w:r w:rsidR="00E439BB" w:rsidRPr="00CF6765">
        <w:rPr>
          <w:rFonts w:eastAsia="Calibri"/>
          <w:sz w:val="20"/>
          <w:szCs w:val="20"/>
          <w:lang w:val="en-US" w:eastAsia="es-ES"/>
        </w:rPr>
        <w:t>completely</w:t>
      </w:r>
      <w:r w:rsidR="00144010" w:rsidRPr="00CF6765">
        <w:rPr>
          <w:rFonts w:eastAsia="Calibri"/>
          <w:sz w:val="20"/>
          <w:szCs w:val="20"/>
          <w:lang w:val="en-US" w:eastAsia="es-ES"/>
        </w:rPr>
        <w:t xml:space="preserve"> informal; however, his children indicated that “he earned approximately five hundred thousand </w:t>
      </w:r>
      <w:r w:rsidR="00826773" w:rsidRPr="00CF6765">
        <w:rPr>
          <w:rFonts w:eastAsia="Calibri"/>
          <w:sz w:val="20"/>
          <w:szCs w:val="20"/>
          <w:lang w:val="en-US" w:eastAsia="es-ES"/>
        </w:rPr>
        <w:t>(</w:t>
      </w:r>
      <w:r w:rsidR="006B2A4D" w:rsidRPr="00CF6765">
        <w:rPr>
          <w:rFonts w:eastAsia="Calibri"/>
          <w:sz w:val="20"/>
          <w:szCs w:val="20"/>
          <w:lang w:val="en-US" w:eastAsia="es-ES"/>
        </w:rPr>
        <w:t>50</w:t>
      </w:r>
      <w:r w:rsidR="00E21370" w:rsidRPr="00CF6765">
        <w:rPr>
          <w:rFonts w:eastAsia="Calibri"/>
          <w:sz w:val="20"/>
          <w:szCs w:val="20"/>
          <w:lang w:val="en-US" w:eastAsia="es-ES"/>
        </w:rPr>
        <w:t>0,000</w:t>
      </w:r>
      <w:r w:rsidR="00826773" w:rsidRPr="00CF6765">
        <w:rPr>
          <w:rFonts w:eastAsia="Calibri"/>
          <w:sz w:val="20"/>
          <w:szCs w:val="20"/>
          <w:lang w:val="en-US" w:eastAsia="es-ES"/>
        </w:rPr>
        <w:t>)</w:t>
      </w:r>
      <w:r w:rsidR="006B2A4D" w:rsidRPr="00CF6765">
        <w:rPr>
          <w:rFonts w:eastAsia="Calibri"/>
          <w:sz w:val="20"/>
          <w:szCs w:val="20"/>
          <w:lang w:val="en-US" w:eastAsia="es-ES"/>
        </w:rPr>
        <w:t xml:space="preserve"> </w:t>
      </w:r>
      <w:r w:rsidR="00AC1D2D" w:rsidRPr="00CF6765">
        <w:rPr>
          <w:rFonts w:eastAsia="Calibri"/>
          <w:sz w:val="20"/>
          <w:szCs w:val="20"/>
          <w:lang w:val="en-US" w:eastAsia="es-ES"/>
        </w:rPr>
        <w:t xml:space="preserve">Chilean pesos </w:t>
      </w:r>
      <w:r w:rsidR="006B2A4D" w:rsidRPr="00CF6765">
        <w:rPr>
          <w:rFonts w:eastAsia="Calibri"/>
          <w:sz w:val="20"/>
          <w:szCs w:val="20"/>
          <w:lang w:val="en-US" w:eastAsia="es-ES"/>
        </w:rPr>
        <w:t>a</w:t>
      </w:r>
      <w:r w:rsidR="00144010" w:rsidRPr="00CF6765">
        <w:rPr>
          <w:rFonts w:eastAsia="Calibri"/>
          <w:sz w:val="20"/>
          <w:szCs w:val="20"/>
          <w:lang w:val="en-US" w:eastAsia="es-ES"/>
        </w:rPr>
        <w:t xml:space="preserve"> month”</w:t>
      </w:r>
      <w:r w:rsidR="006B2A4D" w:rsidRPr="00CF6765">
        <w:rPr>
          <w:rFonts w:eastAsia="Calibri"/>
          <w:sz w:val="20"/>
          <w:szCs w:val="20"/>
          <w:lang w:val="en-US" w:eastAsia="es-ES"/>
        </w:rPr>
        <w:t xml:space="preserve"> (</w:t>
      </w:r>
      <w:r w:rsidR="00144010" w:rsidRPr="00CF6765">
        <w:rPr>
          <w:rFonts w:eastAsia="Calibri"/>
          <w:sz w:val="20"/>
          <w:szCs w:val="20"/>
          <w:lang w:val="en-US" w:eastAsia="es-ES"/>
        </w:rPr>
        <w:t xml:space="preserve">approximately </w:t>
      </w:r>
      <w:r w:rsidR="006B2A4D" w:rsidRPr="00CF6765">
        <w:rPr>
          <w:rFonts w:eastAsia="Calibri"/>
          <w:sz w:val="20"/>
          <w:szCs w:val="20"/>
          <w:lang w:val="en-US" w:eastAsia="es-ES"/>
        </w:rPr>
        <w:t>US$</w:t>
      </w:r>
      <w:r w:rsidR="007D1C3E" w:rsidRPr="00CF6765">
        <w:rPr>
          <w:rFonts w:eastAsia="Calibri"/>
          <w:sz w:val="20"/>
          <w:szCs w:val="20"/>
          <w:lang w:val="en-US" w:eastAsia="es-ES"/>
        </w:rPr>
        <w:t xml:space="preserve">888 </w:t>
      </w:r>
      <w:r w:rsidR="00144010" w:rsidRPr="00CF6765">
        <w:rPr>
          <w:rFonts w:eastAsia="Calibri"/>
          <w:sz w:val="20"/>
          <w:szCs w:val="20"/>
          <w:lang w:val="en-US" w:eastAsia="es-ES"/>
        </w:rPr>
        <w:t>in February</w:t>
      </w:r>
      <w:r w:rsidR="006B2A4D" w:rsidRPr="00CF6765">
        <w:rPr>
          <w:rFonts w:eastAsia="Calibri"/>
          <w:sz w:val="20"/>
          <w:szCs w:val="20"/>
          <w:lang w:val="en-US" w:eastAsia="es-ES"/>
        </w:rPr>
        <w:t xml:space="preserve"> 2001)</w:t>
      </w:r>
      <w:r w:rsidR="00144010" w:rsidRPr="00CF6765">
        <w:rPr>
          <w:rFonts w:eastAsia="Calibri"/>
          <w:sz w:val="20"/>
          <w:szCs w:val="20"/>
          <w:lang w:val="en-US" w:eastAsia="es-ES"/>
        </w:rPr>
        <w:t>.</w:t>
      </w:r>
      <w:r w:rsidR="006B2A4D" w:rsidRPr="00CF6765">
        <w:rPr>
          <w:rFonts w:eastAsia="Calibri"/>
          <w:sz w:val="20"/>
          <w:szCs w:val="20"/>
          <w:vertAlign w:val="superscript"/>
          <w:lang w:val="en-US" w:eastAsia="es-ES"/>
        </w:rPr>
        <w:footnoteReference w:id="318"/>
      </w:r>
      <w:r w:rsidR="00144010" w:rsidRPr="00CF6765">
        <w:rPr>
          <w:rFonts w:eastAsia="Calibri"/>
          <w:sz w:val="20"/>
          <w:szCs w:val="20"/>
          <w:lang w:val="en-US" w:eastAsia="es-ES"/>
        </w:rPr>
        <w:t xml:space="preserve"> Regarding</w:t>
      </w:r>
      <w:r w:rsidR="006B2A4D" w:rsidRPr="00CF6765">
        <w:rPr>
          <w:rFonts w:eastAsia="Calibri"/>
          <w:sz w:val="20"/>
          <w:szCs w:val="20"/>
          <w:lang w:val="en-US" w:eastAsia="es-ES"/>
        </w:rPr>
        <w:t xml:space="preserve"> </w:t>
      </w:r>
      <w:proofErr w:type="spellStart"/>
      <w:r w:rsidR="006B2A4D" w:rsidRPr="00CF6765">
        <w:rPr>
          <w:rFonts w:eastAsia="Calibri"/>
          <w:sz w:val="20"/>
          <w:szCs w:val="20"/>
          <w:lang w:val="en-US" w:eastAsia="es-ES"/>
        </w:rPr>
        <w:t>Cesia</w:t>
      </w:r>
      <w:proofErr w:type="spellEnd"/>
      <w:r w:rsidR="006B2A4D" w:rsidRPr="00CF6765">
        <w:rPr>
          <w:rFonts w:eastAsia="Calibri"/>
          <w:sz w:val="20"/>
          <w:szCs w:val="20"/>
          <w:lang w:val="en-US" w:eastAsia="es-ES"/>
        </w:rPr>
        <w:t xml:space="preserve"> Poblete Tapia, </w:t>
      </w:r>
      <w:r w:rsidR="00144010" w:rsidRPr="00CF6765">
        <w:rPr>
          <w:rFonts w:eastAsia="Calibri"/>
          <w:sz w:val="20"/>
          <w:szCs w:val="20"/>
          <w:lang w:val="en-US" w:eastAsia="es-ES"/>
        </w:rPr>
        <w:t>she earned around three hundred thousand</w:t>
      </w:r>
      <w:r w:rsidR="00126389" w:rsidRPr="00CF6765">
        <w:rPr>
          <w:rFonts w:eastAsia="Calibri"/>
          <w:sz w:val="20"/>
          <w:szCs w:val="20"/>
          <w:lang w:val="en-US" w:eastAsia="es-ES"/>
        </w:rPr>
        <w:t xml:space="preserve"> (</w:t>
      </w:r>
      <w:r w:rsidR="006B2A4D" w:rsidRPr="00CF6765">
        <w:rPr>
          <w:rFonts w:eastAsia="Calibri"/>
          <w:sz w:val="20"/>
          <w:szCs w:val="20"/>
          <w:lang w:val="en-US" w:eastAsia="es-ES"/>
        </w:rPr>
        <w:t>300</w:t>
      </w:r>
      <w:r w:rsidR="00E21370" w:rsidRPr="00CF6765">
        <w:rPr>
          <w:rFonts w:eastAsia="Calibri"/>
          <w:sz w:val="20"/>
          <w:szCs w:val="20"/>
          <w:lang w:val="en-US" w:eastAsia="es-ES"/>
        </w:rPr>
        <w:t>,000</w:t>
      </w:r>
      <w:r w:rsidR="00126389" w:rsidRPr="00CF6765">
        <w:rPr>
          <w:rFonts w:eastAsia="Calibri"/>
          <w:sz w:val="20"/>
          <w:szCs w:val="20"/>
          <w:lang w:val="en-US" w:eastAsia="es-ES"/>
        </w:rPr>
        <w:t>)</w:t>
      </w:r>
      <w:r w:rsidR="00AC1D2D" w:rsidRPr="00CF6765">
        <w:rPr>
          <w:rFonts w:eastAsia="Calibri"/>
          <w:sz w:val="20"/>
          <w:szCs w:val="20"/>
          <w:lang w:val="en-US" w:eastAsia="es-ES"/>
        </w:rPr>
        <w:t xml:space="preserve"> Chilean pesos a month</w:t>
      </w:r>
      <w:r w:rsidR="006B2A4D" w:rsidRPr="00CF6765">
        <w:rPr>
          <w:rFonts w:eastAsia="Calibri"/>
          <w:sz w:val="20"/>
          <w:szCs w:val="20"/>
          <w:lang w:val="en-US" w:eastAsia="es-ES"/>
        </w:rPr>
        <w:t xml:space="preserve"> (</w:t>
      </w:r>
      <w:r w:rsidR="00AC1D2D" w:rsidRPr="00CF6765">
        <w:rPr>
          <w:rFonts w:eastAsia="Calibri"/>
          <w:sz w:val="20"/>
          <w:szCs w:val="20"/>
          <w:lang w:val="en-US" w:eastAsia="es-ES"/>
        </w:rPr>
        <w:t>approximately</w:t>
      </w:r>
      <w:r w:rsidR="006B2A4D" w:rsidRPr="00CF6765">
        <w:rPr>
          <w:rFonts w:eastAsia="Calibri"/>
          <w:sz w:val="20"/>
          <w:szCs w:val="20"/>
          <w:lang w:val="en-US" w:eastAsia="es-ES"/>
        </w:rPr>
        <w:t xml:space="preserve"> </w:t>
      </w:r>
      <w:r w:rsidR="00AC1D2D" w:rsidRPr="00CF6765">
        <w:rPr>
          <w:rFonts w:eastAsia="Calibri"/>
          <w:sz w:val="20"/>
          <w:szCs w:val="20"/>
          <w:lang w:val="en-US" w:eastAsia="es-ES"/>
        </w:rPr>
        <w:t>US$532 in February 2001</w:t>
      </w:r>
      <w:r w:rsidR="006B2A4D" w:rsidRPr="00CF6765">
        <w:rPr>
          <w:rFonts w:eastAsia="Calibri"/>
          <w:sz w:val="20"/>
          <w:szCs w:val="20"/>
          <w:lang w:val="en-US" w:eastAsia="es-ES"/>
        </w:rPr>
        <w:t>)</w:t>
      </w:r>
      <w:r w:rsidR="006B2A4D" w:rsidRPr="00CF6765">
        <w:rPr>
          <w:rFonts w:eastAsia="Calibri"/>
          <w:sz w:val="20"/>
          <w:szCs w:val="20"/>
          <w:vertAlign w:val="superscript"/>
          <w:lang w:val="en-US" w:eastAsia="es-ES"/>
        </w:rPr>
        <w:footnoteReference w:id="319"/>
      </w:r>
      <w:r w:rsidR="00AC1D2D" w:rsidRPr="00CF6765">
        <w:rPr>
          <w:rFonts w:eastAsia="Calibri"/>
          <w:sz w:val="20"/>
          <w:szCs w:val="20"/>
          <w:lang w:val="en-US" w:eastAsia="es-ES"/>
        </w:rPr>
        <w:t xml:space="preserve"> at the time of her father’s death, but, as a result of this, she had to leave her </w:t>
      </w:r>
      <w:r w:rsidR="00E439BB" w:rsidRPr="00CF6765">
        <w:rPr>
          <w:rFonts w:eastAsia="Calibri"/>
          <w:sz w:val="20"/>
          <w:szCs w:val="20"/>
          <w:lang w:val="en-US" w:eastAsia="es-ES"/>
        </w:rPr>
        <w:t>job</w:t>
      </w:r>
      <w:r w:rsidR="00AC1D2D" w:rsidRPr="00CF6765">
        <w:rPr>
          <w:rFonts w:eastAsia="Calibri"/>
          <w:sz w:val="20"/>
          <w:szCs w:val="20"/>
          <w:lang w:val="en-US" w:eastAsia="es-ES"/>
        </w:rPr>
        <w:t xml:space="preserve"> to take care of her mother and</w:t>
      </w:r>
      <w:r w:rsidR="006377B0" w:rsidRPr="00CF6765">
        <w:rPr>
          <w:rFonts w:eastAsia="Calibri"/>
          <w:sz w:val="20"/>
          <w:szCs w:val="20"/>
          <w:lang w:val="en-US" w:eastAsia="es-ES"/>
        </w:rPr>
        <w:t xml:space="preserve"> disabled</w:t>
      </w:r>
      <w:r w:rsidR="00AC1D2D" w:rsidRPr="00CF6765">
        <w:rPr>
          <w:rFonts w:eastAsia="Calibri"/>
          <w:sz w:val="20"/>
          <w:szCs w:val="20"/>
          <w:lang w:val="en-US" w:eastAsia="es-ES"/>
        </w:rPr>
        <w:t xml:space="preserve"> younger brother. </w:t>
      </w:r>
      <w:r w:rsidR="006377B0" w:rsidRPr="00CF6765">
        <w:rPr>
          <w:rFonts w:eastAsia="Calibri"/>
          <w:sz w:val="20"/>
          <w:szCs w:val="20"/>
          <w:lang w:val="en-US" w:eastAsia="es-ES"/>
        </w:rPr>
        <w:t>The</w:t>
      </w:r>
      <w:r w:rsidR="00AC1D2D" w:rsidRPr="00CF6765">
        <w:rPr>
          <w:rFonts w:eastAsia="Calibri"/>
          <w:sz w:val="20"/>
          <w:szCs w:val="20"/>
          <w:lang w:val="en-US" w:eastAsia="es-ES"/>
        </w:rPr>
        <w:t xml:space="preserve"> representatives added that the presumed victims </w:t>
      </w:r>
      <w:r w:rsidR="006377B0" w:rsidRPr="00CF6765">
        <w:rPr>
          <w:rFonts w:eastAsia="Calibri"/>
          <w:sz w:val="20"/>
          <w:szCs w:val="20"/>
          <w:lang w:val="en-US" w:eastAsia="es-ES"/>
        </w:rPr>
        <w:t xml:space="preserve">had </w:t>
      </w:r>
      <w:r w:rsidR="00AC1D2D" w:rsidRPr="00CF6765">
        <w:rPr>
          <w:rFonts w:eastAsia="Calibri"/>
          <w:sz w:val="20"/>
          <w:szCs w:val="20"/>
          <w:lang w:val="en-US" w:eastAsia="es-ES"/>
        </w:rPr>
        <w:t>spent around seven million (7,000,000) Chilean pesos</w:t>
      </w:r>
      <w:r w:rsidR="006B2A4D" w:rsidRPr="00CF6765">
        <w:rPr>
          <w:rFonts w:eastAsia="Calibri"/>
          <w:sz w:val="20"/>
          <w:szCs w:val="20"/>
          <w:lang w:val="en-US" w:eastAsia="es-ES"/>
        </w:rPr>
        <w:t xml:space="preserve"> (</w:t>
      </w:r>
      <w:r w:rsidR="00AC1D2D" w:rsidRPr="00CF6765">
        <w:rPr>
          <w:rFonts w:eastAsia="Calibri"/>
          <w:sz w:val="20"/>
          <w:szCs w:val="20"/>
          <w:lang w:val="en-US" w:eastAsia="es-ES"/>
        </w:rPr>
        <w:t>approximately</w:t>
      </w:r>
      <w:r w:rsidR="007D1C3E" w:rsidRPr="00CF6765">
        <w:rPr>
          <w:rFonts w:eastAsia="Calibri"/>
          <w:sz w:val="20"/>
          <w:szCs w:val="20"/>
          <w:lang w:val="en-US" w:eastAsia="es-ES"/>
        </w:rPr>
        <w:t xml:space="preserve"> </w:t>
      </w:r>
      <w:r w:rsidR="00AC1D2D" w:rsidRPr="00CF6765">
        <w:rPr>
          <w:rFonts w:eastAsia="Calibri"/>
          <w:sz w:val="20"/>
          <w:szCs w:val="20"/>
          <w:lang w:val="en-US" w:eastAsia="es-ES"/>
        </w:rPr>
        <w:t>US$12,430 in February 2001</w:t>
      </w:r>
      <w:r w:rsidR="007D1C3E" w:rsidRPr="00CF6765">
        <w:rPr>
          <w:rFonts w:eastAsia="Calibri"/>
          <w:sz w:val="20"/>
          <w:szCs w:val="20"/>
          <w:lang w:val="en-US" w:eastAsia="es-ES"/>
        </w:rPr>
        <w:t xml:space="preserve">) </w:t>
      </w:r>
      <w:r w:rsidR="00AC1D2D" w:rsidRPr="00CF6765">
        <w:rPr>
          <w:rFonts w:eastAsia="Calibri"/>
          <w:sz w:val="20"/>
          <w:szCs w:val="20"/>
          <w:lang w:val="en-US" w:eastAsia="es-ES"/>
        </w:rPr>
        <w:t xml:space="preserve">over more than 14 years mailing documents to </w:t>
      </w:r>
      <w:r w:rsidR="005C731C" w:rsidRPr="00CF6765">
        <w:rPr>
          <w:rFonts w:eastAsia="Calibri"/>
          <w:sz w:val="20"/>
          <w:szCs w:val="20"/>
          <w:lang w:val="en-US" w:eastAsia="es-ES"/>
        </w:rPr>
        <w:t>the Inter-American Commission</w:t>
      </w:r>
      <w:r w:rsidR="00EC50FC" w:rsidRPr="00CF6765">
        <w:rPr>
          <w:rFonts w:eastAsia="Calibri"/>
          <w:sz w:val="20"/>
          <w:szCs w:val="20"/>
          <w:lang w:val="en-US" w:eastAsia="es-ES"/>
        </w:rPr>
        <w:t xml:space="preserve"> and </w:t>
      </w:r>
      <w:r w:rsidR="00AC1D2D" w:rsidRPr="00CF6765">
        <w:rPr>
          <w:rFonts w:eastAsia="Calibri"/>
          <w:sz w:val="20"/>
          <w:szCs w:val="20"/>
          <w:lang w:val="en-US" w:eastAsia="es-ES"/>
        </w:rPr>
        <w:t xml:space="preserve">making telephone calls related to the case. They also noted that all the </w:t>
      </w:r>
      <w:r w:rsidR="006377B0" w:rsidRPr="00CF6765">
        <w:rPr>
          <w:rFonts w:eastAsia="Calibri"/>
          <w:sz w:val="20"/>
          <w:szCs w:val="20"/>
          <w:lang w:val="en-US" w:eastAsia="es-ES"/>
        </w:rPr>
        <w:t xml:space="preserve">relevant </w:t>
      </w:r>
      <w:r w:rsidR="00AC1D2D" w:rsidRPr="00CF6765">
        <w:rPr>
          <w:rFonts w:eastAsia="Calibri"/>
          <w:sz w:val="20"/>
          <w:szCs w:val="20"/>
          <w:lang w:val="en-US" w:eastAsia="es-ES"/>
        </w:rPr>
        <w:t xml:space="preserve">documentation that </w:t>
      </w:r>
      <w:r w:rsidRPr="00CF6765">
        <w:rPr>
          <w:rFonts w:eastAsia="Calibri"/>
          <w:sz w:val="20"/>
          <w:szCs w:val="20"/>
          <w:lang w:val="en-US" w:eastAsia="es-ES"/>
        </w:rPr>
        <w:t>the presumed victims</w:t>
      </w:r>
      <w:r w:rsidR="006B2A4D" w:rsidRPr="00CF6765">
        <w:rPr>
          <w:rFonts w:eastAsia="Calibri"/>
          <w:sz w:val="20"/>
          <w:szCs w:val="20"/>
          <w:lang w:val="en-US" w:eastAsia="es-ES"/>
        </w:rPr>
        <w:t xml:space="preserve"> ha</w:t>
      </w:r>
      <w:r w:rsidR="00AC1D2D" w:rsidRPr="00CF6765">
        <w:rPr>
          <w:rFonts w:eastAsia="Calibri"/>
          <w:sz w:val="20"/>
          <w:szCs w:val="20"/>
          <w:lang w:val="en-US" w:eastAsia="es-ES"/>
        </w:rPr>
        <w:t>d filed away was destroyed in a fire in their home</w:t>
      </w:r>
      <w:r w:rsidR="006B2A4D" w:rsidRPr="00CF6765">
        <w:rPr>
          <w:rFonts w:eastAsia="Calibri"/>
          <w:sz w:val="20"/>
          <w:szCs w:val="20"/>
          <w:lang w:val="en-US" w:eastAsia="es-ES"/>
        </w:rPr>
        <w:t xml:space="preserve">. </w:t>
      </w:r>
      <w:r w:rsidR="00AC1D2D" w:rsidRPr="00CF6765">
        <w:rPr>
          <w:rFonts w:eastAsia="Calibri"/>
          <w:sz w:val="20"/>
          <w:szCs w:val="20"/>
          <w:lang w:val="en-US" w:eastAsia="es-ES"/>
        </w:rPr>
        <w:t>They also asked that the Court consider all the expenditure</w:t>
      </w:r>
      <w:r w:rsidR="006377B0" w:rsidRPr="00CF6765">
        <w:rPr>
          <w:rFonts w:eastAsia="Calibri"/>
          <w:sz w:val="20"/>
          <w:szCs w:val="20"/>
          <w:lang w:val="en-US" w:eastAsia="es-ES"/>
        </w:rPr>
        <w:t>s</w:t>
      </w:r>
      <w:r w:rsidR="00AC1D2D" w:rsidRPr="00CF6765">
        <w:rPr>
          <w:rFonts w:eastAsia="Calibri"/>
          <w:sz w:val="20"/>
          <w:szCs w:val="20"/>
          <w:lang w:val="en-US" w:eastAsia="es-ES"/>
        </w:rPr>
        <w:t xml:space="preserve"> related to the deaths </w:t>
      </w:r>
      <w:r w:rsidR="00D04694" w:rsidRPr="00CF6765">
        <w:rPr>
          <w:rFonts w:eastAsia="Calibri"/>
          <w:sz w:val="20"/>
          <w:szCs w:val="20"/>
          <w:lang w:val="en-US" w:eastAsia="es-ES"/>
        </w:rPr>
        <w:t>of Mr.</w:t>
      </w:r>
      <w:r w:rsidRPr="00CF6765">
        <w:rPr>
          <w:rFonts w:eastAsia="Calibri"/>
          <w:sz w:val="20"/>
          <w:szCs w:val="20"/>
          <w:lang w:val="en-US" w:eastAsia="es-ES"/>
        </w:rPr>
        <w:t xml:space="preserve"> Poblete</w:t>
      </w:r>
      <w:r w:rsidR="006B2A4D" w:rsidRPr="00CF6765">
        <w:rPr>
          <w:rFonts w:eastAsia="Calibri"/>
          <w:sz w:val="20"/>
          <w:szCs w:val="20"/>
          <w:lang w:val="en-US" w:eastAsia="es-ES"/>
        </w:rPr>
        <w:t xml:space="preserve"> </w:t>
      </w:r>
      <w:proofErr w:type="spellStart"/>
      <w:r w:rsidR="006B2A4D" w:rsidRPr="00CF6765">
        <w:rPr>
          <w:rFonts w:eastAsia="Calibri"/>
          <w:sz w:val="20"/>
          <w:szCs w:val="20"/>
          <w:lang w:val="en-US" w:eastAsia="es-ES"/>
        </w:rPr>
        <w:t>Vilches</w:t>
      </w:r>
      <w:proofErr w:type="spellEnd"/>
      <w:r w:rsidR="006B2A4D" w:rsidRPr="00CF6765">
        <w:rPr>
          <w:rFonts w:eastAsia="Calibri"/>
          <w:sz w:val="20"/>
          <w:szCs w:val="20"/>
          <w:lang w:val="en-US" w:eastAsia="es-ES"/>
        </w:rPr>
        <w:t>,</w:t>
      </w:r>
      <w:r w:rsidR="00AC1D2D" w:rsidRPr="00CF6765">
        <w:rPr>
          <w:rFonts w:eastAsia="Calibri"/>
          <w:sz w:val="20"/>
          <w:szCs w:val="20"/>
          <w:lang w:val="en-US" w:eastAsia="es-ES"/>
        </w:rPr>
        <w:t xml:space="preserve"> </w:t>
      </w:r>
      <w:r w:rsidR="006B2A4D" w:rsidRPr="00CF6765">
        <w:rPr>
          <w:rFonts w:eastAsia="Calibri"/>
          <w:sz w:val="20"/>
          <w:szCs w:val="20"/>
          <w:lang w:val="en-US" w:eastAsia="es-ES"/>
        </w:rPr>
        <w:t xml:space="preserve">Blanca Tapia </w:t>
      </w:r>
      <w:proofErr w:type="spellStart"/>
      <w:r w:rsidR="006B2A4D" w:rsidRPr="00CF6765">
        <w:rPr>
          <w:rFonts w:eastAsia="Calibri"/>
          <w:sz w:val="20"/>
          <w:szCs w:val="20"/>
          <w:lang w:val="en-US" w:eastAsia="es-ES"/>
        </w:rPr>
        <w:t>Encina</w:t>
      </w:r>
      <w:proofErr w:type="spellEnd"/>
      <w:r w:rsidR="00EC50FC" w:rsidRPr="00CF6765">
        <w:rPr>
          <w:rFonts w:eastAsia="Calibri"/>
          <w:sz w:val="20"/>
          <w:szCs w:val="20"/>
          <w:lang w:val="en-US" w:eastAsia="es-ES"/>
        </w:rPr>
        <w:t xml:space="preserve"> and </w:t>
      </w:r>
      <w:r w:rsidR="006B2A4D" w:rsidRPr="00CF6765">
        <w:rPr>
          <w:rFonts w:eastAsia="Calibri"/>
          <w:sz w:val="20"/>
          <w:szCs w:val="20"/>
          <w:lang w:val="en-US" w:eastAsia="es-ES"/>
        </w:rPr>
        <w:t>Gonzalo Poblete</w:t>
      </w:r>
      <w:r w:rsidR="00AC1D2D" w:rsidRPr="00CF6765">
        <w:rPr>
          <w:rFonts w:eastAsia="Calibri"/>
          <w:sz w:val="20"/>
          <w:szCs w:val="20"/>
          <w:lang w:val="en-US" w:eastAsia="es-ES"/>
        </w:rPr>
        <w:t>,</w:t>
      </w:r>
      <w:r w:rsidR="00B658A3" w:rsidRPr="00CF6765">
        <w:rPr>
          <w:rStyle w:val="Refdenotaalpie"/>
          <w:rFonts w:eastAsia="Calibri"/>
          <w:sz w:val="20"/>
          <w:szCs w:val="20"/>
          <w:lang w:val="en-US" w:eastAsia="es-ES"/>
        </w:rPr>
        <w:footnoteReference w:id="320"/>
      </w:r>
      <w:r w:rsidR="006B2A4D" w:rsidRPr="00CF6765">
        <w:rPr>
          <w:rFonts w:eastAsia="Calibri"/>
          <w:sz w:val="20"/>
          <w:szCs w:val="20"/>
          <w:lang w:val="en-US" w:eastAsia="es-ES"/>
        </w:rPr>
        <w:t xml:space="preserve"> </w:t>
      </w:r>
      <w:r w:rsidR="00AC1D2D" w:rsidRPr="00CF6765">
        <w:rPr>
          <w:rFonts w:eastAsia="Calibri"/>
          <w:sz w:val="20"/>
          <w:szCs w:val="20"/>
          <w:lang w:val="en-US" w:eastAsia="es-ES"/>
        </w:rPr>
        <w:t>including, for example, th</w:t>
      </w:r>
      <w:r w:rsidR="006377B0" w:rsidRPr="00CF6765">
        <w:rPr>
          <w:rFonts w:eastAsia="Calibri"/>
          <w:sz w:val="20"/>
          <w:szCs w:val="20"/>
          <w:lang w:val="en-US" w:eastAsia="es-ES"/>
        </w:rPr>
        <w:t>ose</w:t>
      </w:r>
      <w:r w:rsidR="00AC1D2D" w:rsidRPr="00CF6765">
        <w:rPr>
          <w:rFonts w:eastAsia="Calibri"/>
          <w:sz w:val="20"/>
          <w:szCs w:val="20"/>
          <w:lang w:val="en-US" w:eastAsia="es-ES"/>
        </w:rPr>
        <w:t xml:space="preserve"> incurred for the funerals, burials and religious services. Based on</w:t>
      </w:r>
      <w:r w:rsidR="006377B0" w:rsidRPr="00CF6765">
        <w:rPr>
          <w:rFonts w:eastAsia="Calibri"/>
          <w:sz w:val="20"/>
          <w:szCs w:val="20"/>
          <w:lang w:val="en-US" w:eastAsia="es-ES"/>
        </w:rPr>
        <w:t xml:space="preserve"> the</w:t>
      </w:r>
      <w:r w:rsidR="00AC1D2D" w:rsidRPr="00CF6765">
        <w:rPr>
          <w:rFonts w:eastAsia="Calibri"/>
          <w:sz w:val="20"/>
          <w:szCs w:val="20"/>
          <w:lang w:val="en-US" w:eastAsia="es-ES"/>
        </w:rPr>
        <w:t xml:space="preserve"> foregoing, </w:t>
      </w:r>
      <w:r w:rsidRPr="00CF6765">
        <w:rPr>
          <w:rFonts w:eastAsia="Calibri"/>
          <w:sz w:val="20"/>
          <w:szCs w:val="20"/>
          <w:lang w:val="en-US" w:eastAsia="es-ES"/>
        </w:rPr>
        <w:t>the representatives</w:t>
      </w:r>
      <w:r w:rsidR="006B2A4D" w:rsidRPr="00CF6765">
        <w:rPr>
          <w:rFonts w:eastAsia="Calibri"/>
          <w:sz w:val="20"/>
          <w:szCs w:val="20"/>
          <w:lang w:val="en-US" w:eastAsia="es-ES"/>
        </w:rPr>
        <w:t xml:space="preserve"> </w:t>
      </w:r>
      <w:r w:rsidR="00AC1D2D" w:rsidRPr="00CF6765">
        <w:rPr>
          <w:rFonts w:eastAsia="Calibri"/>
          <w:sz w:val="20"/>
          <w:szCs w:val="20"/>
          <w:lang w:val="en-US" w:eastAsia="es-ES"/>
        </w:rPr>
        <w:t>asked</w:t>
      </w:r>
      <w:r w:rsidR="006B2A4D" w:rsidRPr="00CF6765">
        <w:rPr>
          <w:rFonts w:eastAsia="Calibri"/>
          <w:sz w:val="20"/>
          <w:szCs w:val="20"/>
          <w:lang w:val="en-US" w:eastAsia="es-ES"/>
        </w:rPr>
        <w:t xml:space="preserve"> </w:t>
      </w:r>
      <w:r w:rsidR="005C731C" w:rsidRPr="00CF6765">
        <w:rPr>
          <w:rFonts w:eastAsia="Calibri"/>
          <w:sz w:val="20"/>
          <w:szCs w:val="20"/>
          <w:lang w:val="en-US" w:eastAsia="es-ES"/>
        </w:rPr>
        <w:t>the Court</w:t>
      </w:r>
      <w:r w:rsidR="006B2A4D" w:rsidRPr="00CF6765">
        <w:rPr>
          <w:rFonts w:eastAsia="Calibri"/>
          <w:sz w:val="20"/>
          <w:szCs w:val="20"/>
          <w:lang w:val="en-US" w:eastAsia="es-ES"/>
        </w:rPr>
        <w:t xml:space="preserve"> </w:t>
      </w:r>
      <w:r w:rsidR="00AC1D2D" w:rsidRPr="00CF6765">
        <w:rPr>
          <w:rFonts w:eastAsia="Calibri"/>
          <w:sz w:val="20"/>
          <w:szCs w:val="20"/>
          <w:lang w:val="en-US" w:eastAsia="es-ES"/>
        </w:rPr>
        <w:t xml:space="preserve">to grant compensation of twenty thousand United States dollars </w:t>
      </w:r>
      <w:r w:rsidR="00E21370" w:rsidRPr="00CF6765">
        <w:rPr>
          <w:rFonts w:eastAsia="Calibri"/>
          <w:sz w:val="20"/>
          <w:szCs w:val="20"/>
          <w:lang w:val="en-US" w:eastAsia="es-ES"/>
        </w:rPr>
        <w:t>(</w:t>
      </w:r>
      <w:r w:rsidR="006B2A4D" w:rsidRPr="00CF6765">
        <w:rPr>
          <w:rFonts w:eastAsia="Calibri"/>
          <w:sz w:val="20"/>
          <w:szCs w:val="20"/>
          <w:lang w:val="en-US" w:eastAsia="es-ES"/>
        </w:rPr>
        <w:t>US$20,000</w:t>
      </w:r>
      <w:r w:rsidR="00E21370" w:rsidRPr="00CF6765">
        <w:rPr>
          <w:rFonts w:eastAsia="Calibri"/>
          <w:sz w:val="20"/>
          <w:szCs w:val="20"/>
          <w:lang w:val="en-US" w:eastAsia="es-ES"/>
        </w:rPr>
        <w:t>) o</w:t>
      </w:r>
      <w:r w:rsidR="00AC1D2D" w:rsidRPr="00CF6765">
        <w:rPr>
          <w:rFonts w:eastAsia="Calibri"/>
          <w:sz w:val="20"/>
          <w:szCs w:val="20"/>
          <w:lang w:val="en-US" w:eastAsia="es-ES"/>
        </w:rPr>
        <w:t xml:space="preserve">r the sum that the Court considered </w:t>
      </w:r>
      <w:r w:rsidR="006377B0" w:rsidRPr="00CF6765">
        <w:rPr>
          <w:rFonts w:eastAsia="Calibri"/>
          <w:sz w:val="20"/>
          <w:szCs w:val="20"/>
          <w:lang w:val="en-US" w:eastAsia="es-ES"/>
        </w:rPr>
        <w:t>just</w:t>
      </w:r>
      <w:r w:rsidR="00AC1D2D" w:rsidRPr="00CF6765">
        <w:rPr>
          <w:rFonts w:eastAsia="Calibri"/>
          <w:sz w:val="20"/>
          <w:szCs w:val="20"/>
          <w:lang w:val="en-US" w:eastAsia="es-ES"/>
        </w:rPr>
        <w:t>.</w:t>
      </w:r>
      <w:r w:rsidR="006B2A4D" w:rsidRPr="00CF6765">
        <w:rPr>
          <w:rFonts w:eastAsia="Calibri"/>
          <w:sz w:val="20"/>
          <w:szCs w:val="20"/>
          <w:vertAlign w:val="superscript"/>
          <w:lang w:val="en-US" w:eastAsia="es-ES"/>
        </w:rPr>
        <w:footnoteReference w:id="321"/>
      </w:r>
      <w:r w:rsidR="00B658A3" w:rsidRPr="00CF6765">
        <w:rPr>
          <w:rFonts w:eastAsia="Calibri"/>
          <w:sz w:val="20"/>
          <w:szCs w:val="20"/>
          <w:lang w:val="en-US" w:eastAsia="es-ES"/>
        </w:rPr>
        <w:t xml:space="preserve"> </w:t>
      </w:r>
    </w:p>
    <w:p w14:paraId="19B1B052" w14:textId="77777777" w:rsidR="00B658A3" w:rsidRPr="00CF6765" w:rsidRDefault="00B658A3" w:rsidP="00C27894">
      <w:pPr>
        <w:widowControl w:val="0"/>
        <w:tabs>
          <w:tab w:val="left" w:pos="567"/>
        </w:tabs>
        <w:adjustRightInd w:val="0"/>
        <w:textAlignment w:val="baseline"/>
        <w:rPr>
          <w:rFonts w:eastAsia="Calibri"/>
          <w:sz w:val="20"/>
          <w:szCs w:val="20"/>
          <w:lang w:val="en-US" w:eastAsia="es-ES"/>
        </w:rPr>
      </w:pPr>
    </w:p>
    <w:p w14:paraId="50C5EAA4" w14:textId="06A8C570" w:rsidR="00B658A3" w:rsidRPr="00CF6765" w:rsidRDefault="00F440EE" w:rsidP="00AC1D2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lastRenderedPageBreak/>
        <w:t>Regarding</w:t>
      </w:r>
      <w:r w:rsidR="00B658A3" w:rsidRPr="00CF6765">
        <w:rPr>
          <w:rFonts w:eastAsia="Calibri"/>
          <w:sz w:val="20"/>
          <w:szCs w:val="20"/>
          <w:lang w:val="en-US" w:eastAsia="es-ES"/>
        </w:rPr>
        <w:t xml:space="preserve"> </w:t>
      </w:r>
      <w:r w:rsidR="00AC1D2D" w:rsidRPr="00CF6765">
        <w:rPr>
          <w:rFonts w:eastAsia="Calibri"/>
          <w:sz w:val="20"/>
          <w:szCs w:val="20"/>
          <w:lang w:val="en-US" w:eastAsia="es-ES"/>
        </w:rPr>
        <w:t>non-pecuniary damage</w:t>
      </w:r>
      <w:r w:rsidR="00B658A3" w:rsidRPr="00CF6765">
        <w:rPr>
          <w:rFonts w:eastAsia="Calibri"/>
          <w:sz w:val="20"/>
          <w:szCs w:val="20"/>
          <w:lang w:val="en-US" w:eastAsia="es-ES"/>
        </w:rPr>
        <w:t xml:space="preserve">, </w:t>
      </w:r>
      <w:r w:rsidR="00D2168F" w:rsidRPr="00CF6765">
        <w:rPr>
          <w:rFonts w:eastAsia="Calibri"/>
          <w:sz w:val="20"/>
          <w:szCs w:val="20"/>
          <w:lang w:val="en-US" w:eastAsia="es-ES"/>
        </w:rPr>
        <w:t>the representatives</w:t>
      </w:r>
      <w:r w:rsidR="00AC1D2D" w:rsidRPr="00CF6765">
        <w:rPr>
          <w:rFonts w:eastAsia="Calibri"/>
          <w:sz w:val="20"/>
          <w:szCs w:val="20"/>
          <w:lang w:val="en-US" w:eastAsia="es-ES"/>
        </w:rPr>
        <w:t xml:space="preserve"> </w:t>
      </w:r>
      <w:r w:rsidR="00FB2D33" w:rsidRPr="00CF6765">
        <w:rPr>
          <w:rFonts w:eastAsia="Calibri"/>
          <w:sz w:val="20"/>
          <w:szCs w:val="20"/>
          <w:lang w:val="en-US" w:eastAsia="es-ES"/>
        </w:rPr>
        <w:t>indicated</w:t>
      </w:r>
      <w:r w:rsidR="00AC1D2D" w:rsidRPr="00CF6765">
        <w:rPr>
          <w:rFonts w:eastAsia="Calibri"/>
          <w:sz w:val="20"/>
          <w:szCs w:val="20"/>
          <w:lang w:val="en-US" w:eastAsia="es-ES"/>
        </w:rPr>
        <w:t xml:space="preserve"> that as a result of the facts of this case: (</w:t>
      </w:r>
      <w:proofErr w:type="spellStart"/>
      <w:r w:rsidR="00B658A3" w:rsidRPr="00CF6765">
        <w:rPr>
          <w:rFonts w:eastAsia="Calibri"/>
          <w:sz w:val="20"/>
          <w:szCs w:val="20"/>
          <w:lang w:val="en-US" w:eastAsia="es-ES"/>
        </w:rPr>
        <w:t>i</w:t>
      </w:r>
      <w:proofErr w:type="spellEnd"/>
      <w:r w:rsidR="00B658A3" w:rsidRPr="00CF6765">
        <w:rPr>
          <w:rFonts w:eastAsia="Calibri"/>
          <w:sz w:val="20"/>
          <w:szCs w:val="20"/>
          <w:lang w:val="en-US" w:eastAsia="es-ES"/>
        </w:rPr>
        <w:t xml:space="preserve">) Blanca Tapia </w:t>
      </w:r>
      <w:proofErr w:type="spellStart"/>
      <w:r w:rsidR="00B658A3" w:rsidRPr="00CF6765">
        <w:rPr>
          <w:rFonts w:eastAsia="Calibri"/>
          <w:sz w:val="20"/>
          <w:szCs w:val="20"/>
          <w:lang w:val="en-US" w:eastAsia="es-ES"/>
        </w:rPr>
        <w:t>Encina</w:t>
      </w:r>
      <w:proofErr w:type="spellEnd"/>
      <w:r w:rsidR="00B658A3" w:rsidRPr="00CF6765">
        <w:rPr>
          <w:rFonts w:eastAsia="Calibri"/>
          <w:sz w:val="20"/>
          <w:szCs w:val="20"/>
          <w:lang w:val="en-US" w:eastAsia="es-ES"/>
        </w:rPr>
        <w:t xml:space="preserve"> su</w:t>
      </w:r>
      <w:r w:rsidR="00AC1D2D" w:rsidRPr="00CF6765">
        <w:rPr>
          <w:rFonts w:eastAsia="Calibri"/>
          <w:sz w:val="20"/>
          <w:szCs w:val="20"/>
          <w:lang w:val="en-US" w:eastAsia="es-ES"/>
        </w:rPr>
        <w:t xml:space="preserve">ffered a profound </w:t>
      </w:r>
      <w:r w:rsidR="00FB2D33" w:rsidRPr="00CF6765">
        <w:rPr>
          <w:rFonts w:eastAsia="Calibri"/>
          <w:sz w:val="20"/>
          <w:szCs w:val="20"/>
          <w:lang w:val="en-US" w:eastAsia="es-ES"/>
        </w:rPr>
        <w:t>depression</w:t>
      </w:r>
      <w:r w:rsidR="00AC1D2D" w:rsidRPr="00CF6765">
        <w:rPr>
          <w:rFonts w:eastAsia="Calibri"/>
          <w:sz w:val="20"/>
          <w:szCs w:val="20"/>
          <w:lang w:val="en-US" w:eastAsia="es-ES"/>
        </w:rPr>
        <w:t xml:space="preserve"> followed by cancer</w:t>
      </w:r>
      <w:r w:rsidR="006377B0" w:rsidRPr="00CF6765">
        <w:rPr>
          <w:rFonts w:eastAsia="Calibri"/>
          <w:sz w:val="20"/>
          <w:szCs w:val="20"/>
          <w:lang w:val="en-US" w:eastAsia="es-ES"/>
        </w:rPr>
        <w:t>,</w:t>
      </w:r>
      <w:r w:rsidR="00AC1D2D" w:rsidRPr="00CF6765">
        <w:rPr>
          <w:rFonts w:eastAsia="Calibri"/>
          <w:sz w:val="20"/>
          <w:szCs w:val="20"/>
          <w:lang w:val="en-US" w:eastAsia="es-ES"/>
        </w:rPr>
        <w:t xml:space="preserve"> an illness from which she died; (ii)</w:t>
      </w:r>
      <w:r w:rsidR="00B658A3" w:rsidRPr="00CF6765">
        <w:rPr>
          <w:rFonts w:eastAsia="Calibri"/>
          <w:sz w:val="20"/>
          <w:szCs w:val="20"/>
          <w:lang w:val="en-US" w:eastAsia="es-ES"/>
        </w:rPr>
        <w:t xml:space="preserve"> </w:t>
      </w:r>
      <w:proofErr w:type="spellStart"/>
      <w:r w:rsidR="00B658A3" w:rsidRPr="00CF6765">
        <w:rPr>
          <w:rFonts w:eastAsia="Calibri"/>
          <w:sz w:val="20"/>
          <w:szCs w:val="20"/>
          <w:lang w:val="en-US" w:eastAsia="es-ES"/>
        </w:rPr>
        <w:t>Cesia</w:t>
      </w:r>
      <w:proofErr w:type="spellEnd"/>
      <w:r w:rsidR="00B658A3" w:rsidRPr="00CF6765">
        <w:rPr>
          <w:rFonts w:eastAsia="Calibri"/>
          <w:sz w:val="20"/>
          <w:szCs w:val="20"/>
          <w:lang w:val="en-US" w:eastAsia="es-ES"/>
        </w:rPr>
        <w:t xml:space="preserve"> Poblete Tapia </w:t>
      </w:r>
      <w:r w:rsidR="00AC1D2D" w:rsidRPr="00CF6765">
        <w:rPr>
          <w:rFonts w:eastAsia="Calibri"/>
          <w:sz w:val="20"/>
          <w:szCs w:val="20"/>
          <w:lang w:val="en-US" w:eastAsia="es-ES"/>
        </w:rPr>
        <w:t xml:space="preserve">also </w:t>
      </w:r>
      <w:r w:rsidR="00FB2D33" w:rsidRPr="00CF6765">
        <w:rPr>
          <w:rFonts w:eastAsia="Calibri"/>
          <w:sz w:val="20"/>
          <w:szCs w:val="20"/>
          <w:lang w:val="en-US" w:eastAsia="es-ES"/>
        </w:rPr>
        <w:t>suffered</w:t>
      </w:r>
      <w:r w:rsidR="00AC1D2D" w:rsidRPr="00CF6765">
        <w:rPr>
          <w:rFonts w:eastAsia="Calibri"/>
          <w:sz w:val="20"/>
          <w:szCs w:val="20"/>
          <w:lang w:val="en-US" w:eastAsia="es-ES"/>
        </w:rPr>
        <w:t xml:space="preserve"> a severe depression and tried to commit suicide following her father’s death; (iii) </w:t>
      </w:r>
      <w:r w:rsidR="00D2168F" w:rsidRPr="00CF6765">
        <w:rPr>
          <w:rFonts w:eastAsia="Calibri"/>
          <w:sz w:val="20"/>
          <w:szCs w:val="20"/>
          <w:lang w:val="en-US" w:eastAsia="es-ES"/>
        </w:rPr>
        <w:t>Vinicio</w:t>
      </w:r>
      <w:r w:rsidR="00B658A3" w:rsidRPr="00CF6765">
        <w:rPr>
          <w:rFonts w:eastAsia="Calibri"/>
          <w:sz w:val="20"/>
          <w:szCs w:val="20"/>
          <w:lang w:val="en-US" w:eastAsia="es-ES"/>
        </w:rPr>
        <w:t xml:space="preserve"> Marco Poblete Tapia </w:t>
      </w:r>
      <w:r w:rsidR="00AC1D2D" w:rsidRPr="00CF6765">
        <w:rPr>
          <w:rFonts w:eastAsia="Calibri"/>
          <w:sz w:val="20"/>
          <w:szCs w:val="20"/>
          <w:lang w:val="en-US" w:eastAsia="es-ES"/>
        </w:rPr>
        <w:t xml:space="preserve">had to </w:t>
      </w:r>
      <w:r w:rsidR="00FB2D33" w:rsidRPr="00CF6765">
        <w:rPr>
          <w:rFonts w:eastAsia="Calibri"/>
          <w:sz w:val="20"/>
          <w:szCs w:val="20"/>
          <w:lang w:val="en-US" w:eastAsia="es-ES"/>
        </w:rPr>
        <w:t>assume</w:t>
      </w:r>
      <w:r w:rsidR="00AC1D2D" w:rsidRPr="00CF6765">
        <w:rPr>
          <w:rFonts w:eastAsia="Calibri"/>
          <w:sz w:val="20"/>
          <w:szCs w:val="20"/>
          <w:lang w:val="en-US" w:eastAsia="es-ES"/>
        </w:rPr>
        <w:t xml:space="preserve"> t</w:t>
      </w:r>
      <w:r w:rsidR="006377B0" w:rsidRPr="00CF6765">
        <w:rPr>
          <w:rFonts w:eastAsia="Calibri"/>
          <w:sz w:val="20"/>
          <w:szCs w:val="20"/>
          <w:lang w:val="en-US" w:eastAsia="es-ES"/>
        </w:rPr>
        <w:t>he</w:t>
      </w:r>
      <w:r w:rsidR="00AC1D2D" w:rsidRPr="00CF6765">
        <w:rPr>
          <w:rFonts w:eastAsia="Calibri"/>
          <w:sz w:val="20"/>
          <w:szCs w:val="20"/>
          <w:lang w:val="en-US" w:eastAsia="es-ES"/>
        </w:rPr>
        <w:t xml:space="preserve"> care of his family; devoted his free time to judicial proceedings</w:t>
      </w:r>
      <w:r w:rsidR="006377B0" w:rsidRPr="00CF6765">
        <w:rPr>
          <w:rFonts w:eastAsia="Calibri"/>
          <w:sz w:val="20"/>
          <w:szCs w:val="20"/>
          <w:lang w:val="en-US" w:eastAsia="es-ES"/>
        </w:rPr>
        <w:t>,</w:t>
      </w:r>
      <w:r w:rsidR="00AC1D2D" w:rsidRPr="00CF6765">
        <w:rPr>
          <w:rFonts w:eastAsia="Calibri"/>
          <w:sz w:val="20"/>
          <w:szCs w:val="20"/>
          <w:lang w:val="en-US" w:eastAsia="es-ES"/>
        </w:rPr>
        <w:t xml:space="preserve"> and psychological therap</w:t>
      </w:r>
      <w:r w:rsidR="006377B0" w:rsidRPr="00CF6765">
        <w:rPr>
          <w:rFonts w:eastAsia="Calibri"/>
          <w:sz w:val="20"/>
          <w:szCs w:val="20"/>
          <w:lang w:val="en-US" w:eastAsia="es-ES"/>
        </w:rPr>
        <w:t>y</w:t>
      </w:r>
      <w:r w:rsidR="00AC1D2D" w:rsidRPr="00CF6765">
        <w:rPr>
          <w:rFonts w:eastAsia="Calibri"/>
          <w:sz w:val="20"/>
          <w:szCs w:val="20"/>
          <w:lang w:val="en-US" w:eastAsia="es-ES"/>
        </w:rPr>
        <w:t xml:space="preserve"> which meant that he was unable to obtain stable work and, in addition, began to suffer serious health problems because he was diagnosed with cancer and lost his right kidney, and (iv) lastly, Gonzalo Poblete Tapia, who had </w:t>
      </w:r>
      <w:r w:rsidR="006377B0" w:rsidRPr="00CF6765">
        <w:rPr>
          <w:rFonts w:eastAsia="Calibri"/>
          <w:sz w:val="20"/>
          <w:szCs w:val="20"/>
          <w:lang w:val="en-US" w:eastAsia="es-ES"/>
        </w:rPr>
        <w:t>suffered from</w:t>
      </w:r>
      <w:r w:rsidR="00AC1D2D" w:rsidRPr="00CF6765">
        <w:rPr>
          <w:rFonts w:eastAsia="Calibri"/>
          <w:sz w:val="20"/>
          <w:szCs w:val="20"/>
          <w:lang w:val="en-US" w:eastAsia="es-ES"/>
        </w:rPr>
        <w:t xml:space="preserve"> severe paralysis since childhood, “also began to suffer from symptoms of depression as a result of which his general health deteriorated” and he died of a heart attack in 2011. The representatives asked that the Court grant the sum of </w:t>
      </w:r>
      <w:r w:rsidR="0011447C" w:rsidRPr="00CF6765">
        <w:rPr>
          <w:rFonts w:eastAsia="Calibri"/>
          <w:sz w:val="20"/>
          <w:szCs w:val="20"/>
          <w:lang w:val="en-US" w:eastAsia="es-ES"/>
        </w:rPr>
        <w:t>US$600,000</w:t>
      </w:r>
      <w:r w:rsidR="00724CA8" w:rsidRPr="00CF6765">
        <w:rPr>
          <w:rFonts w:eastAsia="Calibri"/>
          <w:sz w:val="20"/>
          <w:szCs w:val="20"/>
          <w:lang w:val="en-US" w:eastAsia="es-ES"/>
        </w:rPr>
        <w:t xml:space="preserve"> </w:t>
      </w:r>
      <w:r w:rsidR="00071FF3" w:rsidRPr="00CF6765">
        <w:rPr>
          <w:rFonts w:eastAsia="Calibri"/>
          <w:sz w:val="20"/>
          <w:szCs w:val="20"/>
          <w:lang w:val="en-US" w:eastAsia="es-ES"/>
        </w:rPr>
        <w:t>(</w:t>
      </w:r>
      <w:r w:rsidR="00AC1D2D" w:rsidRPr="00CF6765">
        <w:rPr>
          <w:rFonts w:eastAsia="Calibri"/>
          <w:sz w:val="20"/>
          <w:szCs w:val="20"/>
          <w:lang w:val="en-US" w:eastAsia="es-ES"/>
        </w:rPr>
        <w:t xml:space="preserve">six hundred thousand United States dollars) for </w:t>
      </w:r>
      <w:r w:rsidR="00C8154C" w:rsidRPr="00CF6765">
        <w:rPr>
          <w:rFonts w:eastAsia="Calibri"/>
          <w:sz w:val="20"/>
          <w:szCs w:val="20"/>
          <w:lang w:val="en-US" w:eastAsia="es-ES"/>
        </w:rPr>
        <w:t>non-pecuniary damage</w:t>
      </w:r>
      <w:r w:rsidR="00AC1D2D" w:rsidRPr="00CF6765">
        <w:rPr>
          <w:rFonts w:eastAsia="Calibri"/>
          <w:sz w:val="20"/>
          <w:szCs w:val="20"/>
          <w:lang w:val="en-US" w:eastAsia="es-ES"/>
        </w:rPr>
        <w:t xml:space="preserve"> or, if the Court did not agree with this sum, that it determine the amount based on the equity principle. Of the amount requested, </w:t>
      </w:r>
      <w:r w:rsidR="00D2168F" w:rsidRPr="00CF6765">
        <w:rPr>
          <w:rFonts w:eastAsia="Calibri"/>
          <w:sz w:val="20"/>
          <w:szCs w:val="20"/>
          <w:lang w:val="en-US" w:eastAsia="es-ES"/>
        </w:rPr>
        <w:t>the representatives</w:t>
      </w:r>
      <w:r w:rsidR="00B658A3" w:rsidRPr="00CF6765">
        <w:rPr>
          <w:rFonts w:eastAsia="Calibri"/>
          <w:sz w:val="20"/>
          <w:szCs w:val="20"/>
          <w:lang w:val="en-US" w:eastAsia="es-ES"/>
        </w:rPr>
        <w:t xml:space="preserve"> </w:t>
      </w:r>
      <w:r w:rsidR="00AC1D2D" w:rsidRPr="00CF6765">
        <w:rPr>
          <w:rFonts w:eastAsia="Calibri"/>
          <w:sz w:val="20"/>
          <w:szCs w:val="20"/>
          <w:lang w:val="en-US" w:eastAsia="es-ES"/>
        </w:rPr>
        <w:t>asked that</w:t>
      </w:r>
      <w:r w:rsidR="0011447C" w:rsidRPr="00CF6765">
        <w:rPr>
          <w:rFonts w:eastAsia="Calibri"/>
          <w:sz w:val="20"/>
          <w:szCs w:val="20"/>
          <w:lang w:val="en-US" w:eastAsia="es-ES"/>
        </w:rPr>
        <w:t xml:space="preserve"> US$200,000</w:t>
      </w:r>
      <w:r w:rsidR="00724CA8" w:rsidRPr="00CF6765">
        <w:rPr>
          <w:rFonts w:eastAsia="Calibri"/>
          <w:sz w:val="20"/>
          <w:szCs w:val="20"/>
          <w:lang w:val="en-US" w:eastAsia="es-ES"/>
        </w:rPr>
        <w:t xml:space="preserve"> </w:t>
      </w:r>
      <w:r w:rsidR="00071FF3" w:rsidRPr="00CF6765">
        <w:rPr>
          <w:rFonts w:eastAsia="Calibri"/>
          <w:sz w:val="20"/>
          <w:szCs w:val="20"/>
          <w:lang w:val="en-US" w:eastAsia="es-ES"/>
        </w:rPr>
        <w:t>(</w:t>
      </w:r>
      <w:r w:rsidR="00AC1D2D" w:rsidRPr="00CF6765">
        <w:rPr>
          <w:rFonts w:eastAsia="Calibri"/>
          <w:sz w:val="20"/>
          <w:szCs w:val="20"/>
          <w:lang w:val="en-US" w:eastAsia="es-ES"/>
        </w:rPr>
        <w:t xml:space="preserve">two hundred thousand United States dollars) be awarded </w:t>
      </w:r>
      <w:r w:rsidR="009339F5" w:rsidRPr="00CF6765">
        <w:rPr>
          <w:rFonts w:eastAsia="Calibri"/>
          <w:sz w:val="20"/>
          <w:lang w:val="en-US" w:eastAsia="es-ES"/>
        </w:rPr>
        <w:t>to Mr. Poblete</w:t>
      </w:r>
      <w:r w:rsidR="00B658A3" w:rsidRPr="00CF6765">
        <w:rPr>
          <w:rFonts w:eastAsia="Calibri"/>
          <w:sz w:val="20"/>
          <w:lang w:val="en-US" w:eastAsia="es-ES"/>
        </w:rPr>
        <w:t xml:space="preserve"> </w:t>
      </w:r>
      <w:proofErr w:type="spellStart"/>
      <w:r w:rsidR="00B658A3" w:rsidRPr="00CF6765">
        <w:rPr>
          <w:rFonts w:eastAsia="Calibri"/>
          <w:sz w:val="20"/>
          <w:lang w:val="en-US" w:eastAsia="es-ES"/>
        </w:rPr>
        <w:t>Vilches</w:t>
      </w:r>
      <w:proofErr w:type="spellEnd"/>
      <w:r w:rsidR="00EC50FC" w:rsidRPr="00CF6765">
        <w:rPr>
          <w:rFonts w:eastAsia="Calibri"/>
          <w:sz w:val="20"/>
          <w:lang w:val="en-US" w:eastAsia="es-ES"/>
        </w:rPr>
        <w:t xml:space="preserve"> and </w:t>
      </w:r>
      <w:r w:rsidR="00AC1D2D" w:rsidRPr="00CF6765">
        <w:rPr>
          <w:rFonts w:eastAsia="Calibri"/>
          <w:sz w:val="20"/>
          <w:lang w:val="en-US" w:eastAsia="es-ES"/>
        </w:rPr>
        <w:t xml:space="preserve">that this amount be </w:t>
      </w:r>
      <w:r w:rsidR="00FB2D33" w:rsidRPr="00CF6765">
        <w:rPr>
          <w:rFonts w:eastAsia="Calibri"/>
          <w:sz w:val="20"/>
          <w:lang w:val="en-US" w:eastAsia="es-ES"/>
        </w:rPr>
        <w:t>delivered</w:t>
      </w:r>
      <w:r w:rsidR="00AC1D2D" w:rsidRPr="00CF6765">
        <w:rPr>
          <w:rFonts w:eastAsia="Calibri"/>
          <w:sz w:val="20"/>
          <w:lang w:val="en-US" w:eastAsia="es-ES"/>
        </w:rPr>
        <w:t xml:space="preserve"> to his heirs</w:t>
      </w:r>
      <w:r w:rsidR="00724CA8" w:rsidRPr="00CF6765">
        <w:rPr>
          <w:rFonts w:eastAsia="Calibri"/>
          <w:sz w:val="20"/>
          <w:lang w:val="en-US" w:eastAsia="es-ES"/>
        </w:rPr>
        <w:t xml:space="preserve">, </w:t>
      </w:r>
      <w:r w:rsidR="0011447C" w:rsidRPr="00CF6765">
        <w:rPr>
          <w:rFonts w:eastAsia="Calibri"/>
          <w:sz w:val="20"/>
          <w:szCs w:val="20"/>
          <w:lang w:val="en-US" w:eastAsia="es-ES"/>
        </w:rPr>
        <w:t xml:space="preserve">US$150,000 </w:t>
      </w:r>
      <w:r w:rsidR="00071FF3" w:rsidRPr="00CF6765">
        <w:rPr>
          <w:rFonts w:eastAsia="Calibri"/>
          <w:sz w:val="20"/>
          <w:szCs w:val="20"/>
          <w:lang w:val="en-US" w:eastAsia="es-ES"/>
        </w:rPr>
        <w:t>(</w:t>
      </w:r>
      <w:r w:rsidR="00AC1D2D" w:rsidRPr="00CF6765">
        <w:rPr>
          <w:rFonts w:eastAsia="Calibri"/>
          <w:sz w:val="20"/>
          <w:szCs w:val="20"/>
          <w:lang w:val="en-US" w:eastAsia="es-ES"/>
        </w:rPr>
        <w:t>one hundred and fifty thousand United States dollars)</w:t>
      </w:r>
      <w:r w:rsidR="0011447C" w:rsidRPr="00CF6765">
        <w:rPr>
          <w:rFonts w:eastAsia="Calibri"/>
          <w:sz w:val="20"/>
          <w:szCs w:val="20"/>
          <w:lang w:val="en-US" w:eastAsia="es-ES"/>
        </w:rPr>
        <w:t xml:space="preserve"> </w:t>
      </w:r>
      <w:r w:rsidR="00AC1D2D" w:rsidRPr="00CF6765">
        <w:rPr>
          <w:rFonts w:eastAsia="Calibri"/>
          <w:sz w:val="20"/>
          <w:szCs w:val="20"/>
          <w:lang w:val="en-US" w:eastAsia="es-ES"/>
        </w:rPr>
        <w:t>to</w:t>
      </w:r>
      <w:r w:rsidR="00B658A3" w:rsidRPr="00CF6765">
        <w:rPr>
          <w:rFonts w:eastAsia="Calibri"/>
          <w:sz w:val="20"/>
          <w:lang w:val="en-US" w:eastAsia="es-ES"/>
        </w:rPr>
        <w:t xml:space="preserve"> Blanca Tapia </w:t>
      </w:r>
      <w:proofErr w:type="spellStart"/>
      <w:r w:rsidR="00B658A3" w:rsidRPr="00CF6765">
        <w:rPr>
          <w:rFonts w:eastAsia="Calibri"/>
          <w:sz w:val="20"/>
          <w:lang w:val="en-US" w:eastAsia="es-ES"/>
        </w:rPr>
        <w:t>Encina</w:t>
      </w:r>
      <w:proofErr w:type="spellEnd"/>
      <w:r w:rsidR="00EC50FC" w:rsidRPr="00CF6765">
        <w:rPr>
          <w:rFonts w:eastAsia="Calibri"/>
          <w:sz w:val="20"/>
          <w:lang w:val="en-US" w:eastAsia="es-ES"/>
        </w:rPr>
        <w:t xml:space="preserve"> and</w:t>
      </w:r>
      <w:r w:rsidR="00AC1D2D" w:rsidRPr="00CF6765">
        <w:rPr>
          <w:rFonts w:eastAsia="Calibri"/>
          <w:sz w:val="20"/>
          <w:lang w:val="en-US" w:eastAsia="es-ES"/>
        </w:rPr>
        <w:t xml:space="preserve"> that this sum be delivered to her heirs,</w:t>
      </w:r>
      <w:r w:rsidR="00724CA8" w:rsidRPr="00CF6765">
        <w:rPr>
          <w:rFonts w:eastAsia="Calibri"/>
          <w:sz w:val="20"/>
          <w:lang w:val="en-US" w:eastAsia="es-ES"/>
        </w:rPr>
        <w:t xml:space="preserve"> </w:t>
      </w:r>
      <w:r w:rsidR="0011447C" w:rsidRPr="00CF6765">
        <w:rPr>
          <w:rFonts w:eastAsia="Calibri"/>
          <w:sz w:val="20"/>
          <w:szCs w:val="20"/>
          <w:lang w:val="en-US" w:eastAsia="es-ES"/>
        </w:rPr>
        <w:t xml:space="preserve">US$125,000 </w:t>
      </w:r>
      <w:r w:rsidR="00071FF3" w:rsidRPr="00CF6765">
        <w:rPr>
          <w:rFonts w:eastAsia="Calibri"/>
          <w:sz w:val="20"/>
          <w:szCs w:val="20"/>
          <w:lang w:val="en-US" w:eastAsia="es-ES"/>
        </w:rPr>
        <w:t>(</w:t>
      </w:r>
      <w:r w:rsidR="00AC1D2D" w:rsidRPr="00CF6765">
        <w:rPr>
          <w:rFonts w:eastAsia="Calibri"/>
          <w:sz w:val="20"/>
          <w:szCs w:val="20"/>
          <w:lang w:val="en-US" w:eastAsia="es-ES"/>
        </w:rPr>
        <w:t>one hundred and twenty-five thousand United States dollars)</w:t>
      </w:r>
      <w:r w:rsidR="0011447C" w:rsidRPr="00CF6765">
        <w:rPr>
          <w:rFonts w:eastAsia="Calibri"/>
          <w:sz w:val="20"/>
          <w:szCs w:val="20"/>
          <w:lang w:val="en-US" w:eastAsia="es-ES"/>
        </w:rPr>
        <w:t xml:space="preserve"> </w:t>
      </w:r>
      <w:r w:rsidR="00AC1D2D" w:rsidRPr="00CF6765">
        <w:rPr>
          <w:rFonts w:eastAsia="Calibri"/>
          <w:sz w:val="20"/>
          <w:szCs w:val="20"/>
          <w:lang w:val="en-US" w:eastAsia="es-ES"/>
        </w:rPr>
        <w:t xml:space="preserve">to </w:t>
      </w:r>
      <w:proofErr w:type="spellStart"/>
      <w:r w:rsidR="00B658A3" w:rsidRPr="00CF6765">
        <w:rPr>
          <w:rFonts w:eastAsia="Calibri"/>
          <w:sz w:val="20"/>
          <w:szCs w:val="20"/>
          <w:lang w:val="en-US" w:eastAsia="es-ES"/>
        </w:rPr>
        <w:t>Cesia</w:t>
      </w:r>
      <w:proofErr w:type="spellEnd"/>
      <w:r w:rsidR="00B658A3" w:rsidRPr="00CF6765">
        <w:rPr>
          <w:rFonts w:eastAsia="Calibri"/>
          <w:sz w:val="20"/>
          <w:szCs w:val="20"/>
          <w:lang w:val="en-US" w:eastAsia="es-ES"/>
        </w:rPr>
        <w:t xml:space="preserve"> Poblete Tapia</w:t>
      </w:r>
      <w:r w:rsidR="00EC50FC" w:rsidRPr="00CF6765">
        <w:rPr>
          <w:rFonts w:eastAsia="Calibri"/>
          <w:sz w:val="20"/>
          <w:szCs w:val="20"/>
          <w:lang w:val="en-US" w:eastAsia="es-ES"/>
        </w:rPr>
        <w:t xml:space="preserve"> and </w:t>
      </w:r>
      <w:r w:rsidR="0011447C" w:rsidRPr="00CF6765">
        <w:rPr>
          <w:rFonts w:eastAsia="Calibri"/>
          <w:sz w:val="20"/>
          <w:szCs w:val="20"/>
          <w:lang w:val="en-US" w:eastAsia="es-ES"/>
        </w:rPr>
        <w:t>US$125,000</w:t>
      </w:r>
      <w:r w:rsidR="00B658A3" w:rsidRPr="00CF6765" w:rsidDel="00772CF9">
        <w:rPr>
          <w:rFonts w:eastAsia="Calibri"/>
          <w:sz w:val="20"/>
          <w:szCs w:val="20"/>
          <w:lang w:val="en-US" w:eastAsia="es-ES"/>
        </w:rPr>
        <w:t xml:space="preserve"> </w:t>
      </w:r>
      <w:r w:rsidR="00071FF3" w:rsidRPr="00CF6765">
        <w:rPr>
          <w:rFonts w:eastAsia="Calibri"/>
          <w:sz w:val="20"/>
          <w:szCs w:val="20"/>
          <w:lang w:val="en-US" w:eastAsia="es-ES"/>
        </w:rPr>
        <w:t>(</w:t>
      </w:r>
      <w:r w:rsidR="00AC1D2D" w:rsidRPr="00CF6765">
        <w:rPr>
          <w:rFonts w:eastAsia="Calibri"/>
          <w:sz w:val="20"/>
          <w:szCs w:val="20"/>
          <w:lang w:val="en-US" w:eastAsia="es-ES"/>
        </w:rPr>
        <w:t xml:space="preserve">one hundred and twenty-five thousand United States dollars) to </w:t>
      </w:r>
      <w:r w:rsidR="00B658A3" w:rsidRPr="00CF6765">
        <w:rPr>
          <w:rFonts w:eastAsia="Calibri"/>
          <w:sz w:val="20"/>
          <w:szCs w:val="20"/>
          <w:lang w:val="en-US" w:eastAsia="es-ES"/>
        </w:rPr>
        <w:t>Vinicio Poblete Tapia.</w:t>
      </w:r>
      <w:r w:rsidR="00B658A3" w:rsidRPr="00CF6765" w:rsidDel="00772CF9">
        <w:rPr>
          <w:rFonts w:eastAsia="Calibri"/>
          <w:sz w:val="20"/>
          <w:szCs w:val="20"/>
          <w:lang w:val="en-US" w:eastAsia="es-ES"/>
        </w:rPr>
        <w:t xml:space="preserve"> </w:t>
      </w:r>
      <w:r w:rsidR="00B658A3" w:rsidRPr="00CF6765">
        <w:rPr>
          <w:rFonts w:eastAsia="Calibri"/>
          <w:sz w:val="20"/>
          <w:szCs w:val="20"/>
          <w:lang w:val="en-US" w:eastAsia="es-ES"/>
        </w:rPr>
        <w:t xml:space="preserve"> </w:t>
      </w:r>
    </w:p>
    <w:p w14:paraId="53C77FE7" w14:textId="77777777" w:rsidR="006B2A4D" w:rsidRPr="00CF6765" w:rsidRDefault="006B2A4D" w:rsidP="006B2A4D">
      <w:pPr>
        <w:widowControl w:val="0"/>
        <w:tabs>
          <w:tab w:val="left" w:pos="567"/>
          <w:tab w:val="num" w:pos="12305"/>
        </w:tabs>
        <w:adjustRightInd w:val="0"/>
        <w:textAlignment w:val="baseline"/>
        <w:rPr>
          <w:rFonts w:eastAsia="Calibri"/>
          <w:sz w:val="20"/>
          <w:szCs w:val="20"/>
          <w:lang w:val="en-US" w:eastAsia="es-ES"/>
        </w:rPr>
      </w:pPr>
    </w:p>
    <w:p w14:paraId="27829118" w14:textId="28FCE424" w:rsidR="006B2A4D" w:rsidRPr="00CF6765" w:rsidRDefault="00EC50FC" w:rsidP="00AC1D2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State</w:t>
      </w:r>
      <w:r w:rsidR="006B2A4D" w:rsidRPr="00CF6765">
        <w:rPr>
          <w:rFonts w:eastAsia="Calibri"/>
          <w:b/>
          <w:bCs/>
          <w:i/>
          <w:iCs/>
          <w:sz w:val="20"/>
          <w:szCs w:val="20"/>
          <w:lang w:val="en-US" w:eastAsia="es-ES"/>
        </w:rPr>
        <w:t xml:space="preserve"> </w:t>
      </w:r>
      <w:r w:rsidR="00AC1D2D" w:rsidRPr="00CF6765">
        <w:rPr>
          <w:rFonts w:eastAsia="Calibri"/>
          <w:sz w:val="20"/>
          <w:szCs w:val="20"/>
          <w:lang w:val="en-US" w:eastAsia="es-ES"/>
        </w:rPr>
        <w:t xml:space="preserve">indicated that, regarding the non-pecuniary damage, the pain and suffering indicated by </w:t>
      </w:r>
      <w:r w:rsidR="00D2168F" w:rsidRPr="00CF6765">
        <w:rPr>
          <w:rFonts w:eastAsia="Calibri"/>
          <w:sz w:val="20"/>
          <w:szCs w:val="20"/>
          <w:lang w:val="en-US" w:eastAsia="es-ES"/>
        </w:rPr>
        <w:t>the representatives</w:t>
      </w:r>
      <w:r w:rsidR="006B2A4D" w:rsidRPr="00CF6765">
        <w:rPr>
          <w:rFonts w:eastAsia="Calibri"/>
          <w:sz w:val="20"/>
          <w:szCs w:val="20"/>
          <w:lang w:val="en-US" w:eastAsia="es-ES"/>
        </w:rPr>
        <w:t xml:space="preserve"> </w:t>
      </w:r>
      <w:r w:rsidR="00AC1D2D" w:rsidRPr="00CF6765">
        <w:rPr>
          <w:rFonts w:eastAsia="Calibri"/>
          <w:sz w:val="20"/>
          <w:szCs w:val="20"/>
          <w:lang w:val="en-US" w:eastAsia="es-ES"/>
        </w:rPr>
        <w:t xml:space="preserve">would have to be a result of an internationally wrongful act. Regarding the death </w:t>
      </w:r>
      <w:r w:rsidR="00D04694" w:rsidRPr="00CF6765">
        <w:rPr>
          <w:rFonts w:eastAsia="Calibri"/>
          <w:sz w:val="20"/>
          <w:szCs w:val="20"/>
          <w:lang w:val="en-US" w:eastAsia="es-ES"/>
        </w:rPr>
        <w:t>of Mr.</w:t>
      </w:r>
      <w:r w:rsidR="00D2168F" w:rsidRPr="00CF6765">
        <w:rPr>
          <w:rFonts w:eastAsia="Calibri"/>
          <w:sz w:val="20"/>
          <w:szCs w:val="20"/>
          <w:lang w:val="en-US" w:eastAsia="es-ES"/>
        </w:rPr>
        <w:t xml:space="preserve"> Poblete</w:t>
      </w:r>
      <w:r w:rsidR="006B2A4D" w:rsidRPr="00CF6765">
        <w:rPr>
          <w:rFonts w:eastAsia="Calibri"/>
          <w:sz w:val="20"/>
          <w:szCs w:val="20"/>
          <w:lang w:val="en-US" w:eastAsia="es-ES"/>
        </w:rPr>
        <w:t xml:space="preserve"> </w:t>
      </w:r>
      <w:proofErr w:type="spellStart"/>
      <w:r w:rsidR="006B2A4D" w:rsidRPr="00CF6765">
        <w:rPr>
          <w:rFonts w:eastAsia="Calibri"/>
          <w:sz w:val="20"/>
          <w:szCs w:val="20"/>
          <w:lang w:val="en-US" w:eastAsia="es-ES"/>
        </w:rPr>
        <w:t>Vilches</w:t>
      </w:r>
      <w:proofErr w:type="spellEnd"/>
      <w:r w:rsidR="006B2A4D" w:rsidRPr="00CF6765">
        <w:rPr>
          <w:rFonts w:eastAsia="Calibri"/>
          <w:sz w:val="20"/>
          <w:szCs w:val="20"/>
          <w:lang w:val="en-US" w:eastAsia="es-ES"/>
        </w:rPr>
        <w:t xml:space="preserve">, </w:t>
      </w:r>
      <w:r w:rsidRPr="00CF6765">
        <w:rPr>
          <w:rFonts w:eastAsia="Calibri"/>
          <w:sz w:val="20"/>
          <w:szCs w:val="20"/>
          <w:lang w:val="en-US" w:eastAsia="es-ES"/>
        </w:rPr>
        <w:t>the State</w:t>
      </w:r>
      <w:r w:rsidR="006B2A4D" w:rsidRPr="00CF6765">
        <w:rPr>
          <w:rFonts w:eastAsia="Calibri"/>
          <w:sz w:val="20"/>
          <w:szCs w:val="20"/>
          <w:lang w:val="en-US" w:eastAsia="es-ES"/>
        </w:rPr>
        <w:t xml:space="preserve"> </w:t>
      </w:r>
      <w:r w:rsidR="00AC1D2D" w:rsidRPr="00CF6765">
        <w:rPr>
          <w:rFonts w:eastAsia="Calibri"/>
          <w:sz w:val="20"/>
          <w:szCs w:val="20"/>
          <w:lang w:val="en-US" w:eastAsia="es-ES"/>
        </w:rPr>
        <w:t>argued that it had not been possible to prove that his death was the result of negligent conduct that could be attributed to the State. Th</w:t>
      </w:r>
      <w:r w:rsidR="006377B0" w:rsidRPr="00CF6765">
        <w:rPr>
          <w:rFonts w:eastAsia="Calibri"/>
          <w:sz w:val="20"/>
          <w:szCs w:val="20"/>
          <w:lang w:val="en-US" w:eastAsia="es-ES"/>
        </w:rPr>
        <w:t>erefore</w:t>
      </w:r>
      <w:r w:rsidR="00AC1D2D" w:rsidRPr="00CF6765">
        <w:rPr>
          <w:rFonts w:eastAsia="Calibri"/>
          <w:sz w:val="20"/>
          <w:szCs w:val="20"/>
          <w:lang w:val="en-US" w:eastAsia="es-ES"/>
        </w:rPr>
        <w:t>, the State maintained that, owing to the lack of a causal nexus, the Court could not consider th</w:t>
      </w:r>
      <w:r w:rsidR="006377B0" w:rsidRPr="00CF6765">
        <w:rPr>
          <w:rFonts w:eastAsia="Calibri"/>
          <w:sz w:val="20"/>
          <w:szCs w:val="20"/>
          <w:lang w:val="en-US" w:eastAsia="es-ES"/>
        </w:rPr>
        <w:t>at the</w:t>
      </w:r>
      <w:r w:rsidR="00AC1D2D" w:rsidRPr="00CF6765">
        <w:rPr>
          <w:rFonts w:eastAsia="Calibri"/>
          <w:sz w:val="20"/>
          <w:szCs w:val="20"/>
          <w:lang w:val="en-US" w:eastAsia="es-ES"/>
        </w:rPr>
        <w:t xml:space="preserve"> death of Mr. Poblete </w:t>
      </w:r>
      <w:proofErr w:type="spellStart"/>
      <w:r w:rsidR="00AC1D2D" w:rsidRPr="00CF6765">
        <w:rPr>
          <w:rFonts w:eastAsia="Calibri"/>
          <w:sz w:val="20"/>
          <w:szCs w:val="20"/>
          <w:lang w:val="en-US" w:eastAsia="es-ES"/>
        </w:rPr>
        <w:t>Vilches</w:t>
      </w:r>
      <w:proofErr w:type="spellEnd"/>
      <w:r w:rsidR="00AC1D2D" w:rsidRPr="00CF6765">
        <w:rPr>
          <w:rFonts w:eastAsia="Calibri"/>
          <w:sz w:val="20"/>
          <w:szCs w:val="20"/>
          <w:lang w:val="en-US" w:eastAsia="es-ES"/>
        </w:rPr>
        <w:t xml:space="preserve"> gave rise to the State’s obligation to make reparation. It added that</w:t>
      </w:r>
      <w:r w:rsidR="006377B0" w:rsidRPr="00CF6765">
        <w:rPr>
          <w:rFonts w:eastAsia="Calibri"/>
          <w:sz w:val="20"/>
          <w:szCs w:val="20"/>
          <w:lang w:val="en-US" w:eastAsia="es-ES"/>
        </w:rPr>
        <w:t>, in addition,</w:t>
      </w:r>
      <w:r w:rsidR="00AC1D2D" w:rsidRPr="00CF6765">
        <w:rPr>
          <w:rFonts w:eastAsia="Calibri"/>
          <w:sz w:val="20"/>
          <w:szCs w:val="20"/>
          <w:lang w:val="en-US" w:eastAsia="es-ES"/>
        </w:rPr>
        <w:t xml:space="preserve"> the Court</w:t>
      </w:r>
      <w:r w:rsidR="006377B0" w:rsidRPr="00CF6765">
        <w:rPr>
          <w:rFonts w:eastAsia="Calibri"/>
          <w:sz w:val="20"/>
          <w:szCs w:val="20"/>
          <w:lang w:val="en-US" w:eastAsia="es-ES"/>
        </w:rPr>
        <w:t xml:space="preserve"> could not</w:t>
      </w:r>
      <w:r w:rsidR="00AC1D2D" w:rsidRPr="00CF6765">
        <w:rPr>
          <w:rFonts w:eastAsia="Calibri"/>
          <w:sz w:val="20"/>
          <w:szCs w:val="20"/>
          <w:lang w:val="en-US" w:eastAsia="es-ES"/>
        </w:rPr>
        <w:t xml:space="preserve"> take into consideration the death of </w:t>
      </w:r>
      <w:r w:rsidR="006B2A4D" w:rsidRPr="00CF6765">
        <w:rPr>
          <w:rFonts w:eastAsia="Calibri"/>
          <w:sz w:val="20"/>
          <w:szCs w:val="20"/>
          <w:lang w:val="en-US" w:eastAsia="es-ES"/>
        </w:rPr>
        <w:t xml:space="preserve">Blanca Tapia </w:t>
      </w:r>
      <w:proofErr w:type="spellStart"/>
      <w:r w:rsidR="006B2A4D" w:rsidRPr="00CF6765">
        <w:rPr>
          <w:rFonts w:eastAsia="Calibri"/>
          <w:sz w:val="20"/>
          <w:szCs w:val="20"/>
          <w:lang w:val="en-US" w:eastAsia="es-ES"/>
        </w:rPr>
        <w:t>Encina</w:t>
      </w:r>
      <w:proofErr w:type="spellEnd"/>
      <w:r w:rsidR="006B2A4D" w:rsidRPr="00CF6765">
        <w:rPr>
          <w:rFonts w:eastAsia="Calibri"/>
          <w:sz w:val="20"/>
          <w:szCs w:val="20"/>
          <w:lang w:val="en-US" w:eastAsia="es-ES"/>
        </w:rPr>
        <w:t xml:space="preserve"> </w:t>
      </w:r>
      <w:r w:rsidR="00AC1D2D" w:rsidRPr="00CF6765">
        <w:rPr>
          <w:rFonts w:eastAsia="Calibri"/>
          <w:sz w:val="20"/>
          <w:szCs w:val="20"/>
          <w:lang w:val="en-US" w:eastAsia="es-ES"/>
        </w:rPr>
        <w:t>or</w:t>
      </w:r>
      <w:r w:rsidR="006B2A4D" w:rsidRPr="00CF6765">
        <w:rPr>
          <w:rFonts w:eastAsia="Calibri"/>
          <w:sz w:val="20"/>
          <w:szCs w:val="20"/>
          <w:lang w:val="en-US" w:eastAsia="es-ES"/>
        </w:rPr>
        <w:t xml:space="preserve"> Gonzalo Poblete Tapia, </w:t>
      </w:r>
      <w:r w:rsidR="00AC1D2D" w:rsidRPr="00CF6765">
        <w:rPr>
          <w:rFonts w:eastAsia="Calibri"/>
          <w:sz w:val="20"/>
          <w:szCs w:val="20"/>
          <w:lang w:val="en-US" w:eastAsia="es-ES"/>
        </w:rPr>
        <w:t xml:space="preserve">or the health problems of </w:t>
      </w:r>
      <w:proofErr w:type="spellStart"/>
      <w:r w:rsidR="006B2A4D" w:rsidRPr="00CF6765">
        <w:rPr>
          <w:rFonts w:eastAsia="Calibri"/>
          <w:sz w:val="20"/>
          <w:szCs w:val="20"/>
          <w:lang w:val="en-US" w:eastAsia="es-ES"/>
        </w:rPr>
        <w:t>Cesia</w:t>
      </w:r>
      <w:proofErr w:type="spellEnd"/>
      <w:r w:rsidR="006B2A4D" w:rsidRPr="00CF6765">
        <w:rPr>
          <w:rFonts w:eastAsia="Calibri"/>
          <w:sz w:val="20"/>
          <w:szCs w:val="20"/>
          <w:lang w:val="en-US" w:eastAsia="es-ES"/>
        </w:rPr>
        <w:t xml:space="preserve"> Poblete Tapia</w:t>
      </w:r>
      <w:r w:rsidRPr="00CF6765">
        <w:rPr>
          <w:rFonts w:eastAsia="Calibri"/>
          <w:sz w:val="20"/>
          <w:szCs w:val="20"/>
          <w:lang w:val="en-US" w:eastAsia="es-ES"/>
        </w:rPr>
        <w:t xml:space="preserve"> and </w:t>
      </w:r>
      <w:r w:rsidR="006B2A4D" w:rsidRPr="00CF6765">
        <w:rPr>
          <w:rFonts w:eastAsia="Calibri"/>
          <w:sz w:val="20"/>
          <w:szCs w:val="20"/>
          <w:lang w:val="en-US" w:eastAsia="es-ES"/>
        </w:rPr>
        <w:t xml:space="preserve">Vinicio Poblete Tapia </w:t>
      </w:r>
      <w:r w:rsidR="00AC1D2D" w:rsidRPr="00CF6765">
        <w:rPr>
          <w:rFonts w:eastAsia="Calibri"/>
          <w:sz w:val="20"/>
          <w:szCs w:val="20"/>
          <w:lang w:val="en-US" w:eastAsia="es-ES"/>
        </w:rPr>
        <w:t>following the death of their father, because these had natural causes; that is, they were not the result of acts that could be attributed to the State. Regarding the</w:t>
      </w:r>
      <w:r w:rsidR="006B2A4D" w:rsidRPr="00CF6765">
        <w:rPr>
          <w:rFonts w:eastAsia="Calibri"/>
          <w:sz w:val="20"/>
          <w:szCs w:val="20"/>
          <w:lang w:val="en-US" w:eastAsia="es-ES"/>
        </w:rPr>
        <w:t xml:space="preserve"> </w:t>
      </w:r>
      <w:r w:rsidR="00C8154C" w:rsidRPr="00CF6765">
        <w:rPr>
          <w:rFonts w:eastAsia="Calibri"/>
          <w:sz w:val="20"/>
          <w:szCs w:val="20"/>
          <w:lang w:val="en-US" w:eastAsia="es-ES"/>
        </w:rPr>
        <w:t>pecuniary damage</w:t>
      </w:r>
      <w:r w:rsidR="006B2A4D" w:rsidRPr="00CF6765">
        <w:rPr>
          <w:rFonts w:eastAsia="Calibri"/>
          <w:sz w:val="20"/>
          <w:szCs w:val="20"/>
          <w:lang w:val="en-US" w:eastAsia="es-ES"/>
        </w:rPr>
        <w:t xml:space="preserve">, </w:t>
      </w:r>
      <w:r w:rsidRPr="00CF6765">
        <w:rPr>
          <w:rFonts w:eastAsia="Calibri"/>
          <w:sz w:val="20"/>
          <w:szCs w:val="20"/>
          <w:lang w:val="en-US" w:eastAsia="es-ES"/>
        </w:rPr>
        <w:t>the State</w:t>
      </w:r>
      <w:r w:rsidR="006B2A4D" w:rsidRPr="00CF6765">
        <w:rPr>
          <w:rFonts w:eastAsia="Calibri"/>
          <w:sz w:val="20"/>
          <w:szCs w:val="20"/>
          <w:lang w:val="en-US" w:eastAsia="es-ES"/>
        </w:rPr>
        <w:t xml:space="preserve"> </w:t>
      </w:r>
      <w:r w:rsidR="00AC1D2D" w:rsidRPr="00CF6765">
        <w:rPr>
          <w:rFonts w:eastAsia="Calibri"/>
          <w:sz w:val="20"/>
          <w:szCs w:val="20"/>
          <w:lang w:val="en-US" w:eastAsia="es-ES"/>
        </w:rPr>
        <w:t xml:space="preserve">indicated that, in the case of Mr. Poblete </w:t>
      </w:r>
      <w:proofErr w:type="spellStart"/>
      <w:r w:rsidR="001E55C3" w:rsidRPr="00CF6765">
        <w:rPr>
          <w:rFonts w:eastAsia="Calibri"/>
          <w:sz w:val="20"/>
          <w:szCs w:val="20"/>
          <w:lang w:val="en-US" w:eastAsia="es-ES"/>
        </w:rPr>
        <w:t>Vilches’s</w:t>
      </w:r>
      <w:proofErr w:type="spellEnd"/>
      <w:r w:rsidR="001E55C3" w:rsidRPr="00CF6765">
        <w:rPr>
          <w:rFonts w:eastAsia="Calibri"/>
          <w:sz w:val="20"/>
          <w:szCs w:val="20"/>
          <w:lang w:val="en-US" w:eastAsia="es-ES"/>
        </w:rPr>
        <w:t xml:space="preserve"> </w:t>
      </w:r>
      <w:r w:rsidR="00AC1D2D" w:rsidRPr="00CF6765">
        <w:rPr>
          <w:rFonts w:eastAsia="Calibri"/>
          <w:sz w:val="20"/>
          <w:szCs w:val="20"/>
          <w:lang w:val="en-US" w:eastAsia="es-ES"/>
        </w:rPr>
        <w:t xml:space="preserve">loss of earnings, the </w:t>
      </w:r>
      <w:r w:rsidR="00D2168F" w:rsidRPr="00CF6765">
        <w:rPr>
          <w:rFonts w:eastAsia="Calibri"/>
          <w:sz w:val="20"/>
          <w:szCs w:val="20"/>
          <w:lang w:val="en-US" w:eastAsia="es-ES"/>
        </w:rPr>
        <w:t>representatives</w:t>
      </w:r>
      <w:r w:rsidR="006B2A4D" w:rsidRPr="00CF6765">
        <w:rPr>
          <w:rFonts w:eastAsia="Calibri"/>
          <w:sz w:val="20"/>
          <w:szCs w:val="20"/>
          <w:lang w:val="en-US" w:eastAsia="es-ES"/>
        </w:rPr>
        <w:t xml:space="preserve"> </w:t>
      </w:r>
      <w:r w:rsidR="00AC1D2D" w:rsidRPr="00CF6765">
        <w:rPr>
          <w:rFonts w:eastAsia="Calibri"/>
          <w:sz w:val="20"/>
          <w:szCs w:val="20"/>
          <w:lang w:val="en-US" w:eastAsia="es-ES"/>
        </w:rPr>
        <w:t xml:space="preserve">had not proved the existence of a causal nexus and that his death was a direct consequence of negligent conduct by the State. The State added that, </w:t>
      </w:r>
      <w:r w:rsidR="006377B0" w:rsidRPr="00CF6765">
        <w:rPr>
          <w:rFonts w:eastAsia="Calibri"/>
          <w:sz w:val="20"/>
          <w:szCs w:val="20"/>
          <w:lang w:val="en-US" w:eastAsia="es-ES"/>
        </w:rPr>
        <w:t>based on the foregoing</w:t>
      </w:r>
      <w:r w:rsidR="00AC1D2D" w:rsidRPr="00CF6765">
        <w:rPr>
          <w:rFonts w:eastAsia="Calibri"/>
          <w:sz w:val="20"/>
          <w:szCs w:val="20"/>
          <w:lang w:val="en-US" w:eastAsia="es-ES"/>
        </w:rPr>
        <w:t xml:space="preserve">, there </w:t>
      </w:r>
      <w:r w:rsidR="006377B0" w:rsidRPr="00CF6765">
        <w:rPr>
          <w:rFonts w:eastAsia="Calibri"/>
          <w:sz w:val="20"/>
          <w:szCs w:val="20"/>
          <w:lang w:val="en-US" w:eastAsia="es-ES"/>
        </w:rPr>
        <w:t>was no</w:t>
      </w:r>
      <w:r w:rsidR="00AC1D2D" w:rsidRPr="00CF6765">
        <w:rPr>
          <w:rFonts w:eastAsia="Calibri"/>
          <w:sz w:val="20"/>
          <w:szCs w:val="20"/>
          <w:lang w:val="en-US" w:eastAsia="es-ES"/>
        </w:rPr>
        <w:t xml:space="preserve"> causal nexus between the damage claimed for expenditure</w:t>
      </w:r>
      <w:r w:rsidR="00FA0E4A" w:rsidRPr="00CF6765">
        <w:rPr>
          <w:rFonts w:eastAsia="Calibri"/>
          <w:sz w:val="20"/>
          <w:szCs w:val="20"/>
          <w:lang w:val="en-US" w:eastAsia="es-ES"/>
        </w:rPr>
        <w:t>s</w:t>
      </w:r>
      <w:r w:rsidR="00AC1D2D" w:rsidRPr="00CF6765">
        <w:rPr>
          <w:rFonts w:eastAsia="Calibri"/>
          <w:sz w:val="20"/>
          <w:szCs w:val="20"/>
          <w:lang w:val="en-US" w:eastAsia="es-ES"/>
        </w:rPr>
        <w:t xml:space="preserve"> incurred in relation to </w:t>
      </w:r>
      <w:r w:rsidR="00FB2D33" w:rsidRPr="00CF6765">
        <w:rPr>
          <w:rFonts w:eastAsia="Calibri"/>
          <w:sz w:val="20"/>
          <w:szCs w:val="20"/>
          <w:lang w:val="en-US" w:eastAsia="es-ES"/>
        </w:rPr>
        <w:t>funeral</w:t>
      </w:r>
      <w:r w:rsidR="00AC1D2D" w:rsidRPr="00CF6765">
        <w:rPr>
          <w:rFonts w:eastAsia="Calibri"/>
          <w:sz w:val="20"/>
          <w:szCs w:val="20"/>
          <w:lang w:val="en-US" w:eastAsia="es-ES"/>
        </w:rPr>
        <w:t xml:space="preserve"> services, burials and religious services following the deaths of </w:t>
      </w:r>
      <w:r w:rsidR="00D04694" w:rsidRPr="00CF6765">
        <w:rPr>
          <w:rFonts w:eastAsia="Calibri"/>
          <w:sz w:val="20"/>
          <w:szCs w:val="20"/>
          <w:lang w:val="en-US" w:eastAsia="es-ES"/>
        </w:rPr>
        <w:t>Mr.</w:t>
      </w:r>
      <w:r w:rsidR="00D2168F" w:rsidRPr="00CF6765">
        <w:rPr>
          <w:rFonts w:eastAsia="Calibri"/>
          <w:sz w:val="20"/>
          <w:szCs w:val="20"/>
          <w:lang w:val="en-US" w:eastAsia="es-ES"/>
        </w:rPr>
        <w:t xml:space="preserve"> Poblete</w:t>
      </w:r>
      <w:r w:rsidR="006B2A4D" w:rsidRPr="00CF6765">
        <w:rPr>
          <w:rFonts w:eastAsia="Calibri"/>
          <w:sz w:val="20"/>
          <w:szCs w:val="20"/>
          <w:lang w:val="en-US" w:eastAsia="es-ES"/>
        </w:rPr>
        <w:t xml:space="preserve"> </w:t>
      </w:r>
      <w:proofErr w:type="spellStart"/>
      <w:r w:rsidR="006B2A4D" w:rsidRPr="00CF6765">
        <w:rPr>
          <w:rFonts w:eastAsia="Calibri"/>
          <w:sz w:val="20"/>
          <w:szCs w:val="20"/>
          <w:lang w:val="en-US" w:eastAsia="es-ES"/>
        </w:rPr>
        <w:t>Vilches</w:t>
      </w:r>
      <w:proofErr w:type="spellEnd"/>
      <w:r w:rsidR="006B2A4D" w:rsidRPr="00CF6765">
        <w:rPr>
          <w:rFonts w:eastAsia="Calibri"/>
          <w:sz w:val="20"/>
          <w:szCs w:val="20"/>
          <w:lang w:val="en-US" w:eastAsia="es-ES"/>
        </w:rPr>
        <w:t xml:space="preserve">, Blanca Tapia </w:t>
      </w:r>
      <w:proofErr w:type="spellStart"/>
      <w:r w:rsidR="006B2A4D" w:rsidRPr="00CF6765">
        <w:rPr>
          <w:rFonts w:eastAsia="Calibri"/>
          <w:sz w:val="20"/>
          <w:szCs w:val="20"/>
          <w:lang w:val="en-US" w:eastAsia="es-ES"/>
        </w:rPr>
        <w:t>Encina</w:t>
      </w:r>
      <w:proofErr w:type="spellEnd"/>
      <w:r w:rsidRPr="00CF6765">
        <w:rPr>
          <w:rFonts w:eastAsia="Calibri"/>
          <w:sz w:val="20"/>
          <w:szCs w:val="20"/>
          <w:lang w:val="en-US" w:eastAsia="es-ES"/>
        </w:rPr>
        <w:t xml:space="preserve"> and </w:t>
      </w:r>
      <w:r w:rsidR="006B2A4D" w:rsidRPr="00CF6765">
        <w:rPr>
          <w:rFonts w:eastAsia="Calibri"/>
          <w:sz w:val="20"/>
          <w:szCs w:val="20"/>
          <w:lang w:val="en-US" w:eastAsia="es-ES"/>
        </w:rPr>
        <w:t xml:space="preserve">Gonzalo Poblete </w:t>
      </w:r>
      <w:proofErr w:type="spellStart"/>
      <w:r w:rsidR="006B2A4D" w:rsidRPr="00CF6765">
        <w:rPr>
          <w:rFonts w:eastAsia="Calibri"/>
          <w:sz w:val="20"/>
          <w:szCs w:val="20"/>
          <w:lang w:val="en-US" w:eastAsia="es-ES"/>
        </w:rPr>
        <w:t>Vilches</w:t>
      </w:r>
      <w:proofErr w:type="spellEnd"/>
      <w:r w:rsidR="00AC1D2D" w:rsidRPr="00CF6765">
        <w:rPr>
          <w:rFonts w:eastAsia="Calibri"/>
          <w:sz w:val="20"/>
          <w:szCs w:val="20"/>
          <w:lang w:val="en-US" w:eastAsia="es-ES"/>
        </w:rPr>
        <w:t xml:space="preserve">, because they </w:t>
      </w:r>
      <w:r w:rsidR="00FA0E4A" w:rsidRPr="00CF6765">
        <w:rPr>
          <w:rFonts w:eastAsia="Calibri"/>
          <w:sz w:val="20"/>
          <w:szCs w:val="20"/>
          <w:lang w:val="en-US" w:eastAsia="es-ES"/>
        </w:rPr>
        <w:t>wer</w:t>
      </w:r>
      <w:r w:rsidR="00AC1D2D" w:rsidRPr="00CF6765">
        <w:rPr>
          <w:rFonts w:eastAsia="Calibri"/>
          <w:sz w:val="20"/>
          <w:szCs w:val="20"/>
          <w:lang w:val="en-US" w:eastAsia="es-ES"/>
        </w:rPr>
        <w:t>e not directly related to the facts of this ca</w:t>
      </w:r>
      <w:r w:rsidR="00F872E8" w:rsidRPr="00CF6765">
        <w:rPr>
          <w:rFonts w:eastAsia="Calibri"/>
          <w:sz w:val="20"/>
          <w:szCs w:val="20"/>
          <w:lang w:val="en-US" w:eastAsia="es-ES"/>
        </w:rPr>
        <w:t>s</w:t>
      </w:r>
      <w:r w:rsidR="00AC1D2D" w:rsidRPr="00CF6765">
        <w:rPr>
          <w:rFonts w:eastAsia="Calibri"/>
          <w:sz w:val="20"/>
          <w:szCs w:val="20"/>
          <w:lang w:val="en-US" w:eastAsia="es-ES"/>
        </w:rPr>
        <w:t>e and wer</w:t>
      </w:r>
      <w:r w:rsidR="00F872E8" w:rsidRPr="00CF6765">
        <w:rPr>
          <w:rFonts w:eastAsia="Calibri"/>
          <w:sz w:val="20"/>
          <w:szCs w:val="20"/>
          <w:lang w:val="en-US" w:eastAsia="es-ES"/>
        </w:rPr>
        <w:t>e</w:t>
      </w:r>
      <w:r w:rsidR="00AC1D2D" w:rsidRPr="00CF6765">
        <w:rPr>
          <w:rFonts w:eastAsia="Calibri"/>
          <w:sz w:val="20"/>
          <w:szCs w:val="20"/>
          <w:lang w:val="en-US" w:eastAsia="es-ES"/>
        </w:rPr>
        <w:t xml:space="preserve"> due to natural causes.</w:t>
      </w:r>
      <w:r w:rsidR="006B2A4D" w:rsidRPr="00CF6765">
        <w:rPr>
          <w:rFonts w:eastAsia="Calibri"/>
          <w:sz w:val="20"/>
          <w:szCs w:val="20"/>
          <w:lang w:val="en-US" w:eastAsia="es-ES"/>
        </w:rPr>
        <w:t xml:space="preserve"> </w:t>
      </w:r>
    </w:p>
    <w:p w14:paraId="570506D5" w14:textId="77777777" w:rsidR="006B2A4D" w:rsidRPr="00CF6765" w:rsidRDefault="006B2A4D" w:rsidP="006B2A4D">
      <w:pPr>
        <w:widowControl w:val="0"/>
        <w:tabs>
          <w:tab w:val="left" w:pos="567"/>
          <w:tab w:val="num" w:pos="12305"/>
        </w:tabs>
        <w:adjustRightInd w:val="0"/>
        <w:textAlignment w:val="baseline"/>
        <w:rPr>
          <w:rFonts w:eastAsia="Calibri"/>
          <w:sz w:val="20"/>
          <w:szCs w:val="20"/>
          <w:lang w:val="en-US" w:eastAsia="es-ES"/>
        </w:rPr>
      </w:pPr>
    </w:p>
    <w:p w14:paraId="76E3ED4C" w14:textId="4D7E2A4B" w:rsidR="006B2A4D" w:rsidRPr="00CF6765" w:rsidRDefault="006B2A4D" w:rsidP="00AD229D">
      <w:pPr>
        <w:pStyle w:val="Ttulo3"/>
        <w:rPr>
          <w:b/>
          <w:lang w:val="en-US"/>
        </w:rPr>
      </w:pPr>
      <w:bookmarkStart w:id="124" w:name="_Toc47864406"/>
      <w:r w:rsidRPr="00CF6765">
        <w:rPr>
          <w:b/>
          <w:lang w:val="en-US"/>
        </w:rPr>
        <w:t xml:space="preserve">1. </w:t>
      </w:r>
      <w:r w:rsidR="00C8154C" w:rsidRPr="00CF6765">
        <w:rPr>
          <w:b/>
          <w:lang w:val="en-US"/>
        </w:rPr>
        <w:t>Pecuniary damage</w:t>
      </w:r>
      <w:bookmarkEnd w:id="124"/>
    </w:p>
    <w:p w14:paraId="2113673C" w14:textId="77777777" w:rsidR="006B2A4D" w:rsidRPr="00CF6765" w:rsidRDefault="006B2A4D" w:rsidP="006B2A4D">
      <w:pPr>
        <w:rPr>
          <w:rFonts w:eastAsia="Calibri"/>
          <w:i/>
          <w:sz w:val="20"/>
          <w:szCs w:val="20"/>
          <w:lang w:val="en-US" w:eastAsia="es-ES"/>
        </w:rPr>
      </w:pPr>
    </w:p>
    <w:p w14:paraId="006C2E8F" w14:textId="733F0D07" w:rsidR="006B2A4D" w:rsidRPr="00CF6765" w:rsidRDefault="003D06CF"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n-US" w:eastAsia="es-ES"/>
        </w:rPr>
      </w:pPr>
      <w:r w:rsidRPr="00CF6765">
        <w:rPr>
          <w:rFonts w:eastAsia="Calibri" w:cs="Verdana"/>
          <w:sz w:val="20"/>
          <w:szCs w:val="20"/>
          <w:lang w:val="en-US" w:eastAsia="es-ES" w:bidi="en-US"/>
        </w:rPr>
        <w:t>In its case law, t</w:t>
      </w:r>
      <w:r w:rsidR="005C731C" w:rsidRPr="00CF6765">
        <w:rPr>
          <w:rFonts w:eastAsia="Calibri" w:cs="Verdana"/>
          <w:sz w:val="20"/>
          <w:szCs w:val="20"/>
          <w:lang w:val="en-US" w:eastAsia="es-ES" w:bidi="en-US"/>
        </w:rPr>
        <w:t>he Court</w:t>
      </w:r>
      <w:r w:rsidR="006B2A4D" w:rsidRPr="00CF6765">
        <w:rPr>
          <w:rFonts w:eastAsia="Calibri" w:cs="Verdana"/>
          <w:sz w:val="20"/>
          <w:szCs w:val="20"/>
          <w:lang w:val="en-US" w:eastAsia="es-ES" w:bidi="en-US"/>
        </w:rPr>
        <w:t xml:space="preserve"> ha</w:t>
      </w:r>
      <w:r w:rsidRPr="00CF6765">
        <w:rPr>
          <w:rFonts w:eastAsia="Calibri" w:cs="Verdana"/>
          <w:sz w:val="20"/>
          <w:szCs w:val="20"/>
          <w:lang w:val="en-US" w:eastAsia="es-ES" w:bidi="en-US"/>
        </w:rPr>
        <w:t xml:space="preserve">s developed the concept of </w:t>
      </w:r>
      <w:r w:rsidR="00C8154C" w:rsidRPr="00CF6765">
        <w:rPr>
          <w:rFonts w:eastAsia="Calibri" w:cs="Verdana"/>
          <w:sz w:val="20"/>
          <w:szCs w:val="20"/>
          <w:lang w:val="en-US" w:eastAsia="es-ES" w:bidi="en-US"/>
        </w:rPr>
        <w:t>pecuniary damage</w:t>
      </w:r>
      <w:r w:rsidR="00EC50FC" w:rsidRPr="00CF6765">
        <w:rPr>
          <w:rFonts w:eastAsia="Calibri" w:cs="Verdana"/>
          <w:sz w:val="20"/>
          <w:szCs w:val="20"/>
          <w:lang w:val="en-US" w:eastAsia="es-ES" w:bidi="en-US"/>
        </w:rPr>
        <w:t xml:space="preserve"> and </w:t>
      </w:r>
      <w:r w:rsidR="006B2A4D" w:rsidRPr="00CF6765">
        <w:rPr>
          <w:rFonts w:eastAsia="Calibri"/>
          <w:bCs/>
          <w:sz w:val="20"/>
          <w:szCs w:val="20"/>
          <w:lang w:val="en-US" w:eastAsia="es-ES"/>
        </w:rPr>
        <w:t>ha</w:t>
      </w:r>
      <w:r w:rsidRPr="00CF6765">
        <w:rPr>
          <w:rFonts w:eastAsia="Calibri"/>
          <w:bCs/>
          <w:sz w:val="20"/>
          <w:szCs w:val="20"/>
          <w:lang w:val="en-US" w:eastAsia="es-ES"/>
        </w:rPr>
        <w:t xml:space="preserve">s established that it supposes “the </w:t>
      </w:r>
      <w:r w:rsidR="00E27148" w:rsidRPr="00CF6765">
        <w:rPr>
          <w:rFonts w:eastAsia="Calibri"/>
          <w:bCs/>
          <w:sz w:val="20"/>
          <w:szCs w:val="20"/>
          <w:lang w:val="en-US" w:eastAsia="es-ES"/>
        </w:rPr>
        <w:t>loss</w:t>
      </w:r>
      <w:r w:rsidRPr="00CF6765">
        <w:rPr>
          <w:rFonts w:eastAsia="Calibri"/>
          <w:bCs/>
          <w:sz w:val="20"/>
          <w:szCs w:val="20"/>
          <w:lang w:val="en-US" w:eastAsia="es-ES"/>
        </w:rPr>
        <w:t xml:space="preserve"> of, or detriment to, the income of the victims, the expenses incurred as a result of the facts, and the consequences of a pecuniary nature that have a causal nexus with the facts of the case.</w:t>
      </w:r>
      <w:r w:rsidR="006B2A4D" w:rsidRPr="00CF6765">
        <w:rPr>
          <w:rFonts w:eastAsia="Calibri"/>
          <w:bCs/>
          <w:sz w:val="20"/>
          <w:szCs w:val="20"/>
          <w:lang w:val="en-US" w:eastAsia="es-ES"/>
        </w:rPr>
        <w:t>”</w:t>
      </w:r>
      <w:r w:rsidR="006B2A4D" w:rsidRPr="00CF6765">
        <w:rPr>
          <w:rFonts w:eastAsia="Calibri"/>
          <w:bCs/>
          <w:sz w:val="20"/>
          <w:szCs w:val="20"/>
          <w:vertAlign w:val="superscript"/>
          <w:lang w:val="en-US" w:eastAsia="es-ES"/>
        </w:rPr>
        <w:footnoteReference w:id="322"/>
      </w:r>
      <w:r w:rsidR="006B2A4D" w:rsidRPr="00CF6765">
        <w:rPr>
          <w:rFonts w:eastAsia="Calibri"/>
          <w:bCs/>
          <w:sz w:val="20"/>
          <w:szCs w:val="20"/>
          <w:lang w:val="en-US" w:eastAsia="es-ES"/>
        </w:rPr>
        <w:t xml:space="preserve"> </w:t>
      </w:r>
      <w:r w:rsidRPr="00CF6765">
        <w:rPr>
          <w:rFonts w:eastAsia="Calibri"/>
          <w:bCs/>
          <w:sz w:val="20"/>
          <w:szCs w:val="20"/>
          <w:lang w:val="en-US" w:eastAsia="es-ES"/>
        </w:rPr>
        <w:t xml:space="preserve">Consequently, the Court will determine the pertinence of awarding pecuniary reparations and the respective amounts due in this case. </w:t>
      </w:r>
    </w:p>
    <w:p w14:paraId="5142DB8C" w14:textId="77777777" w:rsidR="006B2A4D" w:rsidRPr="00CF6765" w:rsidRDefault="006B2A4D" w:rsidP="006B2A4D">
      <w:pPr>
        <w:widowControl w:val="0"/>
        <w:tabs>
          <w:tab w:val="left" w:pos="567"/>
          <w:tab w:val="num" w:pos="12305"/>
        </w:tabs>
        <w:adjustRightInd w:val="0"/>
        <w:textAlignment w:val="baseline"/>
        <w:rPr>
          <w:rFonts w:eastAsia="Calibri"/>
          <w:sz w:val="20"/>
          <w:szCs w:val="20"/>
          <w:lang w:val="en-US" w:eastAsia="es-ES"/>
        </w:rPr>
      </w:pPr>
    </w:p>
    <w:p w14:paraId="0CED5B29" w14:textId="3B7D9A69" w:rsidR="006B2A4D" w:rsidRPr="00CF6765" w:rsidRDefault="00F440EE"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Regarding</w:t>
      </w:r>
      <w:r w:rsidR="003D06CF" w:rsidRPr="00CF6765">
        <w:rPr>
          <w:rFonts w:eastAsia="Calibri"/>
          <w:sz w:val="20"/>
          <w:szCs w:val="20"/>
          <w:lang w:val="en-US" w:eastAsia="es-ES"/>
        </w:rPr>
        <w:t xml:space="preserve"> </w:t>
      </w:r>
      <w:r w:rsidR="003D06CF" w:rsidRPr="00CF6765">
        <w:rPr>
          <w:rFonts w:eastAsia="Calibri"/>
          <w:i/>
          <w:iCs/>
          <w:sz w:val="20"/>
          <w:szCs w:val="20"/>
          <w:lang w:val="en-US" w:eastAsia="es-ES"/>
        </w:rPr>
        <w:t>loss of earnings,</w:t>
      </w:r>
      <w:r w:rsidR="003D06CF" w:rsidRPr="00CF6765">
        <w:rPr>
          <w:rFonts w:eastAsia="Calibri"/>
          <w:sz w:val="20"/>
          <w:szCs w:val="20"/>
          <w:lang w:val="en-US" w:eastAsia="es-ES"/>
        </w:rPr>
        <w:t xml:space="preserve"> the Court observes that the</w:t>
      </w:r>
      <w:r w:rsidR="006B2A4D" w:rsidRPr="00CF6765">
        <w:rPr>
          <w:rFonts w:eastAsia="Calibri"/>
          <w:sz w:val="20"/>
          <w:szCs w:val="20"/>
          <w:lang w:val="en-US" w:eastAsia="es-ES"/>
        </w:rPr>
        <w:t xml:space="preserve"> </w:t>
      </w:r>
      <w:r w:rsidR="00D2168F" w:rsidRPr="00CF6765">
        <w:rPr>
          <w:rFonts w:eastAsia="Calibri"/>
          <w:sz w:val="20"/>
          <w:szCs w:val="20"/>
          <w:lang w:val="en-US" w:eastAsia="es-ES"/>
        </w:rPr>
        <w:t>representatives</w:t>
      </w:r>
      <w:r w:rsidR="003D06CF" w:rsidRPr="00CF6765">
        <w:rPr>
          <w:rFonts w:eastAsia="Calibri"/>
          <w:sz w:val="20"/>
          <w:szCs w:val="20"/>
          <w:lang w:val="en-US" w:eastAsia="es-ES"/>
        </w:rPr>
        <w:t xml:space="preserve"> did not submit any concrete proof about the loss of earning of</w:t>
      </w:r>
      <w:r w:rsidR="006B2A4D" w:rsidRPr="00CF6765">
        <w:rPr>
          <w:rFonts w:eastAsia="Calibri"/>
          <w:sz w:val="20"/>
          <w:szCs w:val="20"/>
          <w:lang w:val="en-US" w:eastAsia="es-ES"/>
        </w:rPr>
        <w:t xml:space="preserve"> </w:t>
      </w:r>
      <w:r w:rsidR="00D2168F" w:rsidRPr="00CF6765">
        <w:rPr>
          <w:rFonts w:eastAsia="Calibri"/>
          <w:sz w:val="20"/>
          <w:szCs w:val="20"/>
          <w:lang w:val="en-US" w:eastAsia="es-ES"/>
        </w:rPr>
        <w:t>Mr. Poblete</w:t>
      </w:r>
      <w:r w:rsidR="006B2A4D" w:rsidRPr="00CF6765">
        <w:rPr>
          <w:rFonts w:eastAsia="Calibri"/>
          <w:sz w:val="20"/>
          <w:szCs w:val="20"/>
          <w:lang w:val="en-US" w:eastAsia="es-ES"/>
        </w:rPr>
        <w:t xml:space="preserve"> </w:t>
      </w:r>
      <w:proofErr w:type="spellStart"/>
      <w:r w:rsidR="006B2A4D" w:rsidRPr="00CF6765">
        <w:rPr>
          <w:rFonts w:eastAsia="Calibri"/>
          <w:sz w:val="20"/>
          <w:szCs w:val="20"/>
          <w:lang w:val="en-US" w:eastAsia="es-ES"/>
        </w:rPr>
        <w:t>Vilches</w:t>
      </w:r>
      <w:proofErr w:type="spellEnd"/>
      <w:r w:rsidR="006B2A4D" w:rsidRPr="00CF6765">
        <w:rPr>
          <w:rFonts w:eastAsia="Calibri"/>
          <w:sz w:val="20"/>
          <w:szCs w:val="20"/>
          <w:lang w:val="en-US" w:eastAsia="es-ES"/>
        </w:rPr>
        <w:t xml:space="preserve">, </w:t>
      </w:r>
      <w:r w:rsidR="003D06CF" w:rsidRPr="00CF6765">
        <w:rPr>
          <w:rFonts w:eastAsia="Calibri"/>
          <w:sz w:val="20"/>
          <w:szCs w:val="20"/>
          <w:lang w:val="en-US" w:eastAsia="es-ES"/>
        </w:rPr>
        <w:t>because he worked informally and the Court only has an indication of the approximate salary indicated by his sons amounting to 500,000 Chilean pesos</w:t>
      </w:r>
      <w:r w:rsidR="006B2A4D" w:rsidRPr="00CF6765">
        <w:rPr>
          <w:rFonts w:eastAsia="Calibri"/>
          <w:sz w:val="20"/>
          <w:szCs w:val="20"/>
          <w:lang w:val="en-US" w:eastAsia="es-ES"/>
        </w:rPr>
        <w:t xml:space="preserve"> </w:t>
      </w:r>
      <w:r w:rsidR="003D06CF" w:rsidRPr="00CF6765">
        <w:rPr>
          <w:rFonts w:eastAsia="Calibri"/>
          <w:sz w:val="20"/>
          <w:szCs w:val="20"/>
          <w:lang w:val="en-US" w:eastAsia="es-ES"/>
        </w:rPr>
        <w:t>a month</w:t>
      </w:r>
      <w:r w:rsidR="006B2A4D" w:rsidRPr="00CF6765">
        <w:rPr>
          <w:rFonts w:eastAsia="Calibri"/>
          <w:sz w:val="20"/>
          <w:szCs w:val="20"/>
          <w:lang w:val="en-US" w:eastAsia="es-ES"/>
        </w:rPr>
        <w:t xml:space="preserve">. </w:t>
      </w:r>
      <w:r w:rsidR="003D06CF" w:rsidRPr="00CF6765">
        <w:rPr>
          <w:rFonts w:eastAsia="Calibri"/>
          <w:sz w:val="20"/>
          <w:szCs w:val="20"/>
          <w:lang w:val="en-US" w:eastAsia="es-ES"/>
        </w:rPr>
        <w:t>Given that</w:t>
      </w:r>
      <w:r w:rsidR="006B2A4D" w:rsidRPr="00CF6765">
        <w:rPr>
          <w:rFonts w:eastAsia="Calibri"/>
          <w:sz w:val="20"/>
          <w:szCs w:val="20"/>
          <w:lang w:val="en-US" w:eastAsia="es-ES"/>
        </w:rPr>
        <w:t xml:space="preserve"> </w:t>
      </w:r>
      <w:r w:rsidR="00EC50FC" w:rsidRPr="00CF6765">
        <w:rPr>
          <w:rFonts w:eastAsia="Calibri"/>
          <w:sz w:val="20"/>
          <w:szCs w:val="20"/>
          <w:lang w:val="en-US" w:eastAsia="es-ES"/>
        </w:rPr>
        <w:t>the State</w:t>
      </w:r>
      <w:r w:rsidR="006B2A4D" w:rsidRPr="00CF6765">
        <w:rPr>
          <w:rFonts w:eastAsia="Calibri"/>
          <w:sz w:val="20"/>
          <w:szCs w:val="20"/>
          <w:lang w:val="en-US" w:eastAsia="es-ES"/>
        </w:rPr>
        <w:t xml:space="preserve"> </w:t>
      </w:r>
      <w:r w:rsidR="003D06CF" w:rsidRPr="00CF6765">
        <w:rPr>
          <w:rFonts w:eastAsia="Calibri"/>
          <w:sz w:val="20"/>
          <w:szCs w:val="20"/>
          <w:lang w:val="en-US" w:eastAsia="es-ES"/>
        </w:rPr>
        <w:t xml:space="preserve">was found responsible </w:t>
      </w:r>
      <w:r w:rsidR="00FA0E4A" w:rsidRPr="00CF6765">
        <w:rPr>
          <w:rFonts w:eastAsia="Calibri"/>
          <w:sz w:val="20"/>
          <w:szCs w:val="20"/>
          <w:lang w:val="en-US" w:eastAsia="es-ES"/>
        </w:rPr>
        <w:t>for</w:t>
      </w:r>
      <w:r w:rsidR="003D06CF" w:rsidRPr="00CF6765">
        <w:rPr>
          <w:rFonts w:eastAsia="Calibri"/>
          <w:sz w:val="20"/>
          <w:szCs w:val="20"/>
          <w:lang w:val="en-US" w:eastAsia="es-ES"/>
        </w:rPr>
        <w:t xml:space="preserve"> the violation of </w:t>
      </w:r>
      <w:r w:rsidR="005C731C" w:rsidRPr="00CF6765">
        <w:rPr>
          <w:rFonts w:eastAsia="Calibri"/>
          <w:sz w:val="20"/>
          <w:szCs w:val="20"/>
          <w:lang w:val="en-US" w:eastAsia="es-ES"/>
        </w:rPr>
        <w:t>Article</w:t>
      </w:r>
      <w:r w:rsidR="003D06CF" w:rsidRPr="00CF6765">
        <w:rPr>
          <w:rFonts w:eastAsia="Calibri"/>
          <w:sz w:val="20"/>
          <w:szCs w:val="20"/>
          <w:lang w:val="en-US" w:eastAsia="es-ES"/>
        </w:rPr>
        <w:t>s</w:t>
      </w:r>
      <w:r w:rsidR="00497952" w:rsidRPr="00CF6765">
        <w:rPr>
          <w:rFonts w:eastAsia="Calibri"/>
          <w:sz w:val="20"/>
          <w:szCs w:val="20"/>
          <w:lang w:val="en-US" w:eastAsia="es-ES"/>
        </w:rPr>
        <w:t xml:space="preserve"> 26, 4, 5, 13, 11</w:t>
      </w:r>
      <w:r w:rsidR="00EC50FC" w:rsidRPr="00CF6765">
        <w:rPr>
          <w:rFonts w:eastAsia="Calibri"/>
          <w:sz w:val="20"/>
          <w:szCs w:val="20"/>
          <w:lang w:val="en-US" w:eastAsia="es-ES"/>
        </w:rPr>
        <w:t xml:space="preserve"> and </w:t>
      </w:r>
      <w:r w:rsidR="00497952" w:rsidRPr="00CF6765">
        <w:rPr>
          <w:rFonts w:eastAsia="Calibri"/>
          <w:sz w:val="20"/>
          <w:szCs w:val="20"/>
          <w:lang w:val="en-US" w:eastAsia="es-ES"/>
        </w:rPr>
        <w:t>7</w:t>
      </w:r>
      <w:r w:rsidR="005C731C" w:rsidRPr="00CF6765">
        <w:rPr>
          <w:rFonts w:eastAsia="Calibri"/>
          <w:sz w:val="20"/>
          <w:szCs w:val="20"/>
          <w:lang w:val="en-US" w:eastAsia="es-ES"/>
        </w:rPr>
        <w:t xml:space="preserve"> of the Convention</w:t>
      </w:r>
      <w:r w:rsidR="006B2A4D" w:rsidRPr="00CF6765">
        <w:rPr>
          <w:rFonts w:eastAsia="Calibri"/>
          <w:sz w:val="20"/>
          <w:lang w:val="en-US" w:eastAsia="es-ES"/>
        </w:rPr>
        <w:t>,</w:t>
      </w:r>
      <w:r w:rsidR="00EC50FC" w:rsidRPr="00CF6765">
        <w:rPr>
          <w:rFonts w:eastAsia="Calibri"/>
          <w:sz w:val="20"/>
          <w:lang w:val="en-US" w:eastAsia="es-ES"/>
        </w:rPr>
        <w:t xml:space="preserve"> and </w:t>
      </w:r>
      <w:r w:rsidR="003D06CF" w:rsidRPr="00CF6765">
        <w:rPr>
          <w:rFonts w:eastAsia="Calibri"/>
          <w:sz w:val="20"/>
          <w:lang w:val="en-US" w:eastAsia="es-ES"/>
        </w:rPr>
        <w:t xml:space="preserve">bearing in mind the particular conditions </w:t>
      </w:r>
      <w:r w:rsidR="00D04694" w:rsidRPr="00CF6765">
        <w:rPr>
          <w:rFonts w:eastAsia="Calibri"/>
          <w:sz w:val="20"/>
          <w:szCs w:val="20"/>
          <w:lang w:val="en-US" w:eastAsia="es-ES"/>
        </w:rPr>
        <w:t>of Mr.</w:t>
      </w:r>
      <w:r w:rsidR="00D2168F" w:rsidRPr="00CF6765">
        <w:rPr>
          <w:rFonts w:eastAsia="Calibri"/>
          <w:sz w:val="20"/>
          <w:szCs w:val="20"/>
          <w:lang w:val="en-US" w:eastAsia="es-ES"/>
        </w:rPr>
        <w:t xml:space="preserve"> Poblete</w:t>
      </w:r>
      <w:r w:rsidR="006B2A4D" w:rsidRPr="00CF6765">
        <w:rPr>
          <w:rFonts w:eastAsia="Calibri"/>
          <w:sz w:val="20"/>
          <w:szCs w:val="20"/>
          <w:lang w:val="en-US" w:eastAsia="es-ES"/>
        </w:rPr>
        <w:t xml:space="preserve"> </w:t>
      </w:r>
      <w:proofErr w:type="spellStart"/>
      <w:r w:rsidR="006B2A4D" w:rsidRPr="00CF6765">
        <w:rPr>
          <w:rFonts w:eastAsia="Calibri"/>
          <w:sz w:val="20"/>
          <w:szCs w:val="20"/>
          <w:lang w:val="en-US" w:eastAsia="es-ES"/>
        </w:rPr>
        <w:t>Vilches</w:t>
      </w:r>
      <w:proofErr w:type="spellEnd"/>
      <w:r w:rsidR="006B2A4D" w:rsidRPr="00CF6765">
        <w:rPr>
          <w:rFonts w:eastAsia="Calibri"/>
          <w:sz w:val="20"/>
          <w:szCs w:val="20"/>
          <w:lang w:val="en-US" w:eastAsia="es-ES"/>
        </w:rPr>
        <w:t xml:space="preserve">, </w:t>
      </w:r>
      <w:r w:rsidR="005C731C" w:rsidRPr="00CF6765">
        <w:rPr>
          <w:rFonts w:eastAsia="Calibri"/>
          <w:sz w:val="20"/>
          <w:szCs w:val="20"/>
          <w:lang w:val="en-US" w:eastAsia="es-ES"/>
        </w:rPr>
        <w:t>the Court</w:t>
      </w:r>
      <w:r w:rsidR="006B2A4D" w:rsidRPr="00CF6765">
        <w:rPr>
          <w:rFonts w:eastAsia="Calibri"/>
          <w:sz w:val="20"/>
          <w:szCs w:val="20"/>
          <w:lang w:val="en-US" w:eastAsia="es-ES"/>
        </w:rPr>
        <w:t xml:space="preserve"> </w:t>
      </w:r>
      <w:r w:rsidR="003D06CF" w:rsidRPr="00CF6765">
        <w:rPr>
          <w:rFonts w:eastAsia="Calibri"/>
          <w:sz w:val="20"/>
          <w:szCs w:val="20"/>
          <w:lang w:val="en-US" w:eastAsia="es-ES"/>
        </w:rPr>
        <w:t>establishes that</w:t>
      </w:r>
      <w:r w:rsidR="006B2A4D" w:rsidRPr="00CF6765">
        <w:rPr>
          <w:rFonts w:eastAsia="Calibri"/>
          <w:sz w:val="20"/>
          <w:szCs w:val="20"/>
          <w:lang w:val="en-US" w:eastAsia="es-ES"/>
        </w:rPr>
        <w:t xml:space="preserve"> </w:t>
      </w:r>
      <w:r w:rsidR="003D06CF" w:rsidRPr="00CF6765">
        <w:rPr>
          <w:rFonts w:eastAsia="Calibri"/>
          <w:sz w:val="20"/>
          <w:szCs w:val="20"/>
          <w:lang w:val="en-US" w:eastAsia="es-ES"/>
        </w:rPr>
        <w:t>t</w:t>
      </w:r>
      <w:r w:rsidR="00C8154C" w:rsidRPr="00CF6765">
        <w:rPr>
          <w:rFonts w:eastAsia="Calibri"/>
          <w:sz w:val="20"/>
          <w:szCs w:val="20"/>
          <w:lang w:val="en-US" w:eastAsia="es-ES"/>
        </w:rPr>
        <w:t xml:space="preserve">he State </w:t>
      </w:r>
      <w:r w:rsidR="003D06CF" w:rsidRPr="00CF6765">
        <w:rPr>
          <w:rFonts w:eastAsia="Calibri"/>
          <w:sz w:val="20"/>
          <w:szCs w:val="20"/>
          <w:lang w:val="en-US" w:eastAsia="es-ES"/>
        </w:rPr>
        <w:t xml:space="preserve">must pay, as compensation for loss of </w:t>
      </w:r>
      <w:r w:rsidR="003D06CF" w:rsidRPr="00CF6765">
        <w:rPr>
          <w:rFonts w:eastAsia="Calibri"/>
          <w:sz w:val="20"/>
          <w:szCs w:val="20"/>
          <w:lang w:val="en-US" w:eastAsia="es-ES"/>
        </w:rPr>
        <w:lastRenderedPageBreak/>
        <w:t xml:space="preserve">earning, the sum of </w:t>
      </w:r>
      <w:r w:rsidR="00F24D4D" w:rsidRPr="00CF6765">
        <w:rPr>
          <w:rFonts w:eastAsia="Calibri"/>
          <w:sz w:val="20"/>
          <w:szCs w:val="20"/>
          <w:lang w:val="en-US" w:eastAsia="es-ES"/>
        </w:rPr>
        <w:t>US</w:t>
      </w:r>
      <w:r w:rsidR="003D06CF" w:rsidRPr="00CF6765">
        <w:rPr>
          <w:rFonts w:eastAsia="Calibri"/>
          <w:sz w:val="20"/>
          <w:szCs w:val="20"/>
          <w:lang w:val="en-US" w:eastAsia="es-ES"/>
        </w:rPr>
        <w:t>$</w:t>
      </w:r>
      <w:r w:rsidR="00F377B4" w:rsidRPr="00CF6765">
        <w:rPr>
          <w:rFonts w:eastAsia="Calibri"/>
          <w:sz w:val="20"/>
          <w:szCs w:val="20"/>
          <w:lang w:val="en-US" w:eastAsia="es-ES"/>
        </w:rPr>
        <w:t>10,000</w:t>
      </w:r>
      <w:r w:rsidR="00F24D4D" w:rsidRPr="00CF6765">
        <w:rPr>
          <w:rFonts w:eastAsia="Calibri"/>
          <w:sz w:val="20"/>
          <w:szCs w:val="20"/>
          <w:lang w:val="en-US" w:eastAsia="es-ES"/>
        </w:rPr>
        <w:t xml:space="preserve"> </w:t>
      </w:r>
      <w:r w:rsidR="006B2A4D" w:rsidRPr="00CF6765">
        <w:rPr>
          <w:rFonts w:eastAsia="Calibri"/>
          <w:sz w:val="20"/>
          <w:szCs w:val="20"/>
          <w:lang w:val="en-US" w:eastAsia="es-ES"/>
        </w:rPr>
        <w:t>(</w:t>
      </w:r>
      <w:r w:rsidR="003D06CF" w:rsidRPr="00CF6765">
        <w:rPr>
          <w:rFonts w:eastAsia="Calibri"/>
          <w:sz w:val="20"/>
          <w:szCs w:val="20"/>
          <w:lang w:val="en-US" w:eastAsia="es-ES"/>
        </w:rPr>
        <w:t>ten thousand</w:t>
      </w:r>
      <w:r w:rsidR="006B2A4D" w:rsidRPr="00CF6765">
        <w:rPr>
          <w:rFonts w:eastAsia="Calibri"/>
          <w:sz w:val="20"/>
          <w:szCs w:val="20"/>
          <w:lang w:val="en-US" w:eastAsia="es-ES"/>
        </w:rPr>
        <w:t xml:space="preserve"> </w:t>
      </w:r>
      <w:r w:rsidR="003E0087" w:rsidRPr="00CF6765">
        <w:rPr>
          <w:rFonts w:eastAsia="Calibri"/>
          <w:sz w:val="20"/>
          <w:szCs w:val="20"/>
          <w:lang w:val="en-US" w:eastAsia="es-ES"/>
        </w:rPr>
        <w:t>United States dollars</w:t>
      </w:r>
      <w:r w:rsidR="006B2A4D" w:rsidRPr="00CF6765">
        <w:rPr>
          <w:rFonts w:eastAsia="Calibri"/>
          <w:sz w:val="20"/>
          <w:szCs w:val="20"/>
          <w:lang w:val="en-US" w:eastAsia="es-ES"/>
        </w:rPr>
        <w:t>).</w:t>
      </w:r>
    </w:p>
    <w:p w14:paraId="08CEF5E9" w14:textId="77777777" w:rsidR="006B2A4D" w:rsidRPr="00CF6765" w:rsidRDefault="006B2A4D" w:rsidP="006B2A4D">
      <w:pPr>
        <w:widowControl w:val="0"/>
        <w:tabs>
          <w:tab w:val="left" w:pos="567"/>
          <w:tab w:val="num" w:pos="1569"/>
          <w:tab w:val="num" w:pos="12305"/>
        </w:tabs>
        <w:adjustRightInd w:val="0"/>
        <w:textAlignment w:val="baseline"/>
        <w:rPr>
          <w:rFonts w:eastAsia="Calibri"/>
          <w:sz w:val="20"/>
          <w:szCs w:val="20"/>
          <w:lang w:val="en-US" w:eastAsia="es-ES"/>
        </w:rPr>
      </w:pPr>
      <w:r w:rsidRPr="00CF6765">
        <w:rPr>
          <w:rFonts w:eastAsia="Calibri"/>
          <w:sz w:val="20"/>
          <w:szCs w:val="20"/>
          <w:lang w:val="en-US" w:eastAsia="es-ES"/>
        </w:rPr>
        <w:t xml:space="preserve"> </w:t>
      </w:r>
    </w:p>
    <w:p w14:paraId="06BCA019" w14:textId="7049E434" w:rsidR="006B2A4D" w:rsidRPr="00CF6765" w:rsidRDefault="003D06CF"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In addition, the Court observes that, in the corresponding chapter (</w:t>
      </w:r>
      <w:r w:rsidRPr="00CF6765">
        <w:rPr>
          <w:rFonts w:eastAsia="Calibri"/>
          <w:i/>
          <w:sz w:val="20"/>
          <w:szCs w:val="20"/>
          <w:lang w:val="en-US" w:eastAsia="es-ES"/>
        </w:rPr>
        <w:t>supra</w:t>
      </w:r>
      <w:r w:rsidRPr="00CF6765">
        <w:rPr>
          <w:rFonts w:eastAsia="Calibri"/>
          <w:sz w:val="20"/>
          <w:szCs w:val="20"/>
          <w:lang w:val="en-US" w:eastAsia="es-ES"/>
        </w:rPr>
        <w:t xml:space="preserve"> para. 207), it was not proved that any rights were violated as a result of the deaths of </w:t>
      </w:r>
      <w:r w:rsidR="006B2A4D" w:rsidRPr="00CF6765">
        <w:rPr>
          <w:rFonts w:eastAsia="Calibri"/>
          <w:sz w:val="20"/>
          <w:szCs w:val="20"/>
          <w:lang w:val="en-US" w:eastAsia="es-ES"/>
        </w:rPr>
        <w:t xml:space="preserve">Blanca Margarita Tapia </w:t>
      </w:r>
      <w:proofErr w:type="spellStart"/>
      <w:r w:rsidR="006B2A4D" w:rsidRPr="00CF6765">
        <w:rPr>
          <w:rFonts w:eastAsia="Calibri"/>
          <w:sz w:val="20"/>
          <w:szCs w:val="20"/>
          <w:lang w:val="en-US" w:eastAsia="es-ES"/>
        </w:rPr>
        <w:t>Encina</w:t>
      </w:r>
      <w:proofErr w:type="spellEnd"/>
      <w:r w:rsidR="00EC50FC" w:rsidRPr="00CF6765">
        <w:rPr>
          <w:rFonts w:eastAsia="Calibri"/>
          <w:sz w:val="20"/>
          <w:szCs w:val="20"/>
          <w:lang w:val="en-US" w:eastAsia="es-ES"/>
        </w:rPr>
        <w:t xml:space="preserve"> and </w:t>
      </w:r>
      <w:r w:rsidR="006B2A4D" w:rsidRPr="00CF6765">
        <w:rPr>
          <w:rFonts w:eastAsia="Calibri"/>
          <w:sz w:val="20"/>
          <w:szCs w:val="20"/>
          <w:lang w:val="en-US" w:eastAsia="es-ES"/>
        </w:rPr>
        <w:t xml:space="preserve">Gonzalo Poblete Tapia </w:t>
      </w:r>
      <w:r w:rsidRPr="00CF6765">
        <w:rPr>
          <w:rFonts w:eastAsia="Calibri"/>
          <w:sz w:val="20"/>
          <w:szCs w:val="20"/>
          <w:lang w:val="en-US" w:eastAsia="es-ES"/>
        </w:rPr>
        <w:t>so that the Court will not award compensation for loss of earnings or indirect damage based on those facts.</w:t>
      </w:r>
      <w:r w:rsidR="006B2A4D" w:rsidRPr="00CF6765">
        <w:rPr>
          <w:rFonts w:eastAsia="Calibri"/>
          <w:sz w:val="20"/>
          <w:szCs w:val="20"/>
          <w:lang w:val="en-US" w:eastAsia="es-ES"/>
        </w:rPr>
        <w:t xml:space="preserve"> </w:t>
      </w:r>
    </w:p>
    <w:p w14:paraId="0D569841" w14:textId="77777777" w:rsidR="006B2A4D" w:rsidRPr="00CF6765" w:rsidRDefault="006B2A4D" w:rsidP="006B2A4D">
      <w:pPr>
        <w:widowControl w:val="0"/>
        <w:tabs>
          <w:tab w:val="left" w:pos="567"/>
          <w:tab w:val="num" w:pos="1569"/>
          <w:tab w:val="num" w:pos="12305"/>
        </w:tabs>
        <w:adjustRightInd w:val="0"/>
        <w:textAlignment w:val="baseline"/>
        <w:rPr>
          <w:rFonts w:eastAsia="Calibri"/>
          <w:sz w:val="20"/>
          <w:szCs w:val="20"/>
          <w:lang w:val="en-US" w:eastAsia="es-ES"/>
        </w:rPr>
      </w:pPr>
    </w:p>
    <w:p w14:paraId="4E1BBFCB" w14:textId="619853AA" w:rsidR="006B2A4D" w:rsidRPr="00CF6765" w:rsidRDefault="00F440EE"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Regarding</w:t>
      </w:r>
      <w:r w:rsidR="003D06CF" w:rsidRPr="00CF6765">
        <w:rPr>
          <w:rFonts w:eastAsia="Calibri"/>
          <w:sz w:val="20"/>
          <w:szCs w:val="20"/>
          <w:lang w:val="en-US" w:eastAsia="es-ES"/>
        </w:rPr>
        <w:t xml:space="preserve"> </w:t>
      </w:r>
      <w:r w:rsidR="003D06CF" w:rsidRPr="00CF6765">
        <w:rPr>
          <w:rFonts w:eastAsia="Calibri"/>
          <w:i/>
          <w:iCs/>
          <w:sz w:val="20"/>
          <w:szCs w:val="20"/>
          <w:lang w:val="en-US" w:eastAsia="es-ES"/>
        </w:rPr>
        <w:t>indirect damage</w:t>
      </w:r>
      <w:r w:rsidR="003D06CF" w:rsidRPr="00CF6765">
        <w:rPr>
          <w:rFonts w:eastAsia="Calibri"/>
          <w:sz w:val="20"/>
          <w:szCs w:val="20"/>
          <w:lang w:val="en-US" w:eastAsia="es-ES"/>
        </w:rPr>
        <w:t>,</w:t>
      </w:r>
      <w:r w:rsidR="006B2A4D" w:rsidRPr="00CF6765">
        <w:rPr>
          <w:rFonts w:eastAsia="Calibri"/>
          <w:sz w:val="20"/>
          <w:szCs w:val="20"/>
          <w:lang w:val="en-US" w:eastAsia="es-ES"/>
        </w:rPr>
        <w:t xml:space="preserve"> </w:t>
      </w:r>
      <w:r w:rsidR="005C731C" w:rsidRPr="00CF6765">
        <w:rPr>
          <w:rFonts w:eastAsia="Calibri"/>
          <w:sz w:val="20"/>
          <w:szCs w:val="20"/>
          <w:lang w:val="en-US" w:eastAsia="es-ES"/>
        </w:rPr>
        <w:t>the Court</w:t>
      </w:r>
      <w:r w:rsidR="006B2A4D" w:rsidRPr="00CF6765">
        <w:rPr>
          <w:rFonts w:eastAsia="Calibri"/>
          <w:sz w:val="20"/>
          <w:szCs w:val="20"/>
          <w:lang w:val="en-US" w:eastAsia="es-ES"/>
        </w:rPr>
        <w:t xml:space="preserve"> </w:t>
      </w:r>
      <w:r w:rsidR="003D06CF" w:rsidRPr="00CF6765">
        <w:rPr>
          <w:rFonts w:eastAsia="Calibri"/>
          <w:sz w:val="20"/>
          <w:szCs w:val="20"/>
          <w:lang w:val="en-US" w:eastAsia="es-ES"/>
        </w:rPr>
        <w:t xml:space="preserve">notes that, as a result of the death </w:t>
      </w:r>
      <w:r w:rsidR="00D04694" w:rsidRPr="00CF6765">
        <w:rPr>
          <w:rFonts w:eastAsia="Calibri"/>
          <w:sz w:val="20"/>
          <w:szCs w:val="20"/>
          <w:lang w:val="en-US" w:eastAsia="es-ES"/>
        </w:rPr>
        <w:t>of Mr.</w:t>
      </w:r>
      <w:r w:rsidR="00D2168F" w:rsidRPr="00CF6765">
        <w:rPr>
          <w:rFonts w:eastAsia="Calibri"/>
          <w:sz w:val="20"/>
          <w:szCs w:val="20"/>
          <w:lang w:val="en-US" w:eastAsia="es-ES"/>
        </w:rPr>
        <w:t xml:space="preserve"> Poblete</w:t>
      </w:r>
      <w:r w:rsidR="006B2A4D" w:rsidRPr="00CF6765">
        <w:rPr>
          <w:rFonts w:eastAsia="Calibri"/>
          <w:sz w:val="20"/>
          <w:szCs w:val="20"/>
          <w:lang w:val="en-US" w:eastAsia="es-ES"/>
        </w:rPr>
        <w:t xml:space="preserve"> </w:t>
      </w:r>
      <w:proofErr w:type="spellStart"/>
      <w:r w:rsidR="006B2A4D" w:rsidRPr="00CF6765">
        <w:rPr>
          <w:rFonts w:eastAsia="Calibri"/>
          <w:sz w:val="20"/>
          <w:szCs w:val="20"/>
          <w:lang w:val="en-US" w:eastAsia="es-ES"/>
        </w:rPr>
        <w:t>Vilches</w:t>
      </w:r>
      <w:proofErr w:type="spellEnd"/>
      <w:r w:rsidR="00EC50FC" w:rsidRPr="00CF6765">
        <w:rPr>
          <w:rFonts w:eastAsia="Calibri"/>
          <w:sz w:val="20"/>
          <w:szCs w:val="20"/>
          <w:lang w:val="en-US" w:eastAsia="es-ES"/>
        </w:rPr>
        <w:t xml:space="preserve"> and </w:t>
      </w:r>
      <w:r w:rsidR="003D06CF" w:rsidRPr="00CF6765">
        <w:rPr>
          <w:rFonts w:eastAsia="Calibri"/>
          <w:sz w:val="20"/>
          <w:szCs w:val="20"/>
          <w:lang w:val="en-US" w:eastAsia="es-ES"/>
        </w:rPr>
        <w:t xml:space="preserve">of the violations declared in </w:t>
      </w:r>
      <w:r w:rsidR="00D2168F" w:rsidRPr="00CF6765">
        <w:rPr>
          <w:rFonts w:eastAsia="Calibri"/>
          <w:sz w:val="20"/>
          <w:szCs w:val="20"/>
          <w:lang w:val="en-US" w:eastAsia="es-ES"/>
        </w:rPr>
        <w:t>Chapter</w:t>
      </w:r>
      <w:r w:rsidR="006B2A4D" w:rsidRPr="00CF6765">
        <w:rPr>
          <w:rFonts w:eastAsia="Calibri"/>
          <w:sz w:val="20"/>
          <w:lang w:val="en-US" w:eastAsia="es-ES"/>
        </w:rPr>
        <w:t xml:space="preserve"> </w:t>
      </w:r>
      <w:r w:rsidR="00AA65C5" w:rsidRPr="00CF6765">
        <w:rPr>
          <w:rFonts w:eastAsia="Calibri"/>
          <w:sz w:val="20"/>
          <w:szCs w:val="20"/>
          <w:lang w:val="en-US" w:eastAsia="es-ES"/>
        </w:rPr>
        <w:t>VII</w:t>
      </w:r>
      <w:r w:rsidR="006B2A4D" w:rsidRPr="00CF6765">
        <w:rPr>
          <w:rFonts w:eastAsia="Calibri"/>
          <w:sz w:val="20"/>
          <w:szCs w:val="20"/>
          <w:lang w:val="en-US" w:eastAsia="es-ES"/>
        </w:rPr>
        <w:t xml:space="preserve"> </w:t>
      </w:r>
      <w:r w:rsidR="00D2168F" w:rsidRPr="00CF6765">
        <w:rPr>
          <w:rFonts w:eastAsia="Calibri"/>
          <w:sz w:val="20"/>
          <w:szCs w:val="20"/>
          <w:lang w:val="en-US" w:eastAsia="es-ES"/>
        </w:rPr>
        <w:t>of this judgment</w:t>
      </w:r>
      <w:r w:rsidR="006B2A4D" w:rsidRPr="00CF6765">
        <w:rPr>
          <w:rFonts w:eastAsia="Calibri"/>
          <w:sz w:val="20"/>
          <w:szCs w:val="20"/>
          <w:lang w:val="en-US" w:eastAsia="es-ES"/>
        </w:rPr>
        <w:t xml:space="preserve">, </w:t>
      </w:r>
      <w:r w:rsidR="003D06CF" w:rsidRPr="00CF6765">
        <w:rPr>
          <w:rFonts w:eastAsia="Calibri"/>
          <w:sz w:val="20"/>
          <w:szCs w:val="20"/>
          <w:lang w:val="en-US" w:eastAsia="es-ES"/>
        </w:rPr>
        <w:t>expenses were incurred related to the transportation in ambulance</w:t>
      </w:r>
      <w:r w:rsidR="006B2A4D" w:rsidRPr="00CF6765">
        <w:rPr>
          <w:rFonts w:eastAsia="Calibri"/>
          <w:sz w:val="20"/>
          <w:szCs w:val="20"/>
          <w:lang w:val="en-US" w:eastAsia="es-ES"/>
        </w:rPr>
        <w:t xml:space="preserve"> </w:t>
      </w:r>
      <w:r w:rsidR="00D04694" w:rsidRPr="00CF6765">
        <w:rPr>
          <w:rFonts w:eastAsia="Calibri"/>
          <w:sz w:val="20"/>
          <w:szCs w:val="20"/>
          <w:lang w:val="en-US" w:eastAsia="es-ES"/>
        </w:rPr>
        <w:t>of Mr.</w:t>
      </w:r>
      <w:r w:rsidR="00D2168F" w:rsidRPr="00CF6765">
        <w:rPr>
          <w:rFonts w:eastAsia="Calibri"/>
          <w:sz w:val="20"/>
          <w:szCs w:val="20"/>
          <w:lang w:val="en-US" w:eastAsia="es-ES"/>
        </w:rPr>
        <w:t xml:space="preserve"> Poblete</w:t>
      </w:r>
      <w:r w:rsidR="006B2A4D" w:rsidRPr="00CF6765">
        <w:rPr>
          <w:rFonts w:eastAsia="Calibri"/>
          <w:sz w:val="20"/>
          <w:szCs w:val="20"/>
          <w:lang w:val="en-US" w:eastAsia="es-ES"/>
        </w:rPr>
        <w:t xml:space="preserve"> </w:t>
      </w:r>
      <w:proofErr w:type="spellStart"/>
      <w:r w:rsidR="006B2A4D" w:rsidRPr="00CF6765">
        <w:rPr>
          <w:rFonts w:eastAsia="Calibri"/>
          <w:sz w:val="20"/>
          <w:szCs w:val="20"/>
          <w:lang w:val="en-US" w:eastAsia="es-ES"/>
        </w:rPr>
        <w:t>Vilches</w:t>
      </w:r>
      <w:proofErr w:type="spellEnd"/>
      <w:r w:rsidR="006B2A4D" w:rsidRPr="00CF6765">
        <w:rPr>
          <w:rFonts w:eastAsia="Calibri"/>
          <w:sz w:val="20"/>
          <w:szCs w:val="20"/>
          <w:lang w:val="en-US" w:eastAsia="es-ES"/>
        </w:rPr>
        <w:t>,</w:t>
      </w:r>
      <w:r w:rsidR="00EC50FC" w:rsidRPr="00CF6765">
        <w:rPr>
          <w:rFonts w:eastAsia="Calibri"/>
          <w:sz w:val="20"/>
          <w:szCs w:val="20"/>
          <w:lang w:val="en-US" w:eastAsia="es-ES"/>
        </w:rPr>
        <w:t xml:space="preserve"> and </w:t>
      </w:r>
      <w:r w:rsidR="003D06CF" w:rsidRPr="00CF6765">
        <w:rPr>
          <w:rFonts w:eastAsia="Calibri"/>
          <w:sz w:val="20"/>
          <w:szCs w:val="20"/>
          <w:lang w:val="en-US" w:eastAsia="es-ES"/>
        </w:rPr>
        <w:t>his subsequent funeral, burial and religious services.</w:t>
      </w:r>
      <w:r w:rsidR="006B2A4D" w:rsidRPr="00CF6765">
        <w:rPr>
          <w:rFonts w:eastAsia="Calibri"/>
          <w:sz w:val="20"/>
          <w:szCs w:val="20"/>
          <w:vertAlign w:val="superscript"/>
          <w:lang w:val="en-US" w:eastAsia="es-ES"/>
        </w:rPr>
        <w:footnoteReference w:id="323"/>
      </w:r>
      <w:r w:rsidR="003D06CF" w:rsidRPr="00CF6765">
        <w:rPr>
          <w:rFonts w:eastAsia="Calibri"/>
          <w:sz w:val="20"/>
          <w:szCs w:val="20"/>
          <w:lang w:val="en-US" w:eastAsia="es-ES"/>
        </w:rPr>
        <w:t xml:space="preserve"> The Court understands that, owing to the fire at the family home, some vouchers were destroyed or have been lost with the passage of time. Therefore, the Court finds that it should award the </w:t>
      </w:r>
      <w:r w:rsidR="00FB2D33" w:rsidRPr="00CF6765">
        <w:rPr>
          <w:rFonts w:eastAsia="Calibri"/>
          <w:sz w:val="20"/>
          <w:szCs w:val="20"/>
          <w:lang w:val="en-US" w:eastAsia="es-ES"/>
        </w:rPr>
        <w:t>reasonable</w:t>
      </w:r>
      <w:r w:rsidR="003D06CF" w:rsidRPr="00CF6765">
        <w:rPr>
          <w:rFonts w:eastAsia="Calibri"/>
          <w:sz w:val="20"/>
          <w:szCs w:val="20"/>
          <w:lang w:val="en-US" w:eastAsia="es-ES"/>
        </w:rPr>
        <w:t xml:space="preserve"> amount of</w:t>
      </w:r>
      <w:r w:rsidR="006B2A4D" w:rsidRPr="00CF6765">
        <w:rPr>
          <w:rFonts w:eastAsia="Calibri"/>
          <w:sz w:val="20"/>
          <w:szCs w:val="20"/>
          <w:lang w:val="en-US" w:eastAsia="es-ES"/>
        </w:rPr>
        <w:t xml:space="preserve"> US$</w:t>
      </w:r>
      <w:r w:rsidR="002C4EDE" w:rsidRPr="00CF6765">
        <w:rPr>
          <w:rFonts w:eastAsia="Calibri"/>
          <w:sz w:val="20"/>
          <w:szCs w:val="20"/>
          <w:lang w:val="en-US" w:eastAsia="es-ES"/>
        </w:rPr>
        <w:t>1</w:t>
      </w:r>
      <w:r w:rsidR="00C32C1D" w:rsidRPr="00CF6765">
        <w:rPr>
          <w:rFonts w:eastAsia="Calibri"/>
          <w:sz w:val="20"/>
          <w:szCs w:val="20"/>
          <w:lang w:val="en-US" w:eastAsia="es-ES"/>
        </w:rPr>
        <w:t>,</w:t>
      </w:r>
      <w:r w:rsidR="00F377B4" w:rsidRPr="00CF6765">
        <w:rPr>
          <w:rFonts w:eastAsia="Calibri"/>
          <w:sz w:val="20"/>
          <w:szCs w:val="20"/>
          <w:lang w:val="en-US" w:eastAsia="es-ES"/>
        </w:rPr>
        <w:t>000</w:t>
      </w:r>
      <w:r w:rsidR="006B2A4D" w:rsidRPr="00CF6765">
        <w:rPr>
          <w:rFonts w:eastAsia="Calibri"/>
          <w:b/>
          <w:sz w:val="20"/>
          <w:szCs w:val="20"/>
          <w:lang w:val="en-US" w:eastAsia="es-ES"/>
        </w:rPr>
        <w:t xml:space="preserve"> </w:t>
      </w:r>
      <w:r w:rsidR="00F24D4D" w:rsidRPr="00CF6765">
        <w:rPr>
          <w:rFonts w:eastAsia="Calibri"/>
          <w:sz w:val="20"/>
          <w:szCs w:val="20"/>
          <w:lang w:val="en-US" w:eastAsia="es-ES"/>
        </w:rPr>
        <w:t>(</w:t>
      </w:r>
      <w:r w:rsidR="003D06CF" w:rsidRPr="00CF6765">
        <w:rPr>
          <w:rFonts w:eastAsia="Calibri"/>
          <w:sz w:val="20"/>
          <w:szCs w:val="20"/>
          <w:lang w:val="en-US" w:eastAsia="es-ES"/>
        </w:rPr>
        <w:t>one thousand</w:t>
      </w:r>
      <w:r w:rsidR="006B2A4D" w:rsidRPr="00CF6765">
        <w:rPr>
          <w:rFonts w:eastAsia="Calibri"/>
          <w:sz w:val="20"/>
          <w:szCs w:val="20"/>
          <w:lang w:val="en-US" w:eastAsia="es-ES"/>
        </w:rPr>
        <w:t xml:space="preserve"> </w:t>
      </w:r>
      <w:r w:rsidR="003E0087" w:rsidRPr="00CF6765">
        <w:rPr>
          <w:rFonts w:eastAsia="Calibri"/>
          <w:sz w:val="20"/>
          <w:szCs w:val="20"/>
          <w:lang w:val="en-US" w:eastAsia="es-ES"/>
        </w:rPr>
        <w:t>United States dollars</w:t>
      </w:r>
      <w:r w:rsidR="006B2A4D" w:rsidRPr="00CF6765">
        <w:rPr>
          <w:rFonts w:eastAsia="Calibri"/>
          <w:sz w:val="20"/>
          <w:szCs w:val="20"/>
          <w:lang w:val="en-US" w:eastAsia="es-ES"/>
        </w:rPr>
        <w:t xml:space="preserve">). </w:t>
      </w:r>
    </w:p>
    <w:p w14:paraId="1999A1D8" w14:textId="77777777" w:rsidR="00AE16A7" w:rsidRPr="00CF6765" w:rsidRDefault="00AE16A7" w:rsidP="0059117C">
      <w:pPr>
        <w:widowControl w:val="0"/>
        <w:tabs>
          <w:tab w:val="left" w:pos="567"/>
          <w:tab w:val="num" w:pos="12305"/>
        </w:tabs>
        <w:adjustRightInd w:val="0"/>
        <w:textAlignment w:val="baseline"/>
        <w:rPr>
          <w:rFonts w:eastAsia="Calibri"/>
          <w:sz w:val="20"/>
          <w:szCs w:val="20"/>
          <w:lang w:val="en-US" w:eastAsia="es-ES"/>
        </w:rPr>
      </w:pPr>
    </w:p>
    <w:p w14:paraId="5D310476" w14:textId="5C996FA1" w:rsidR="002E620D" w:rsidRPr="00CF6765" w:rsidRDefault="003D06CF" w:rsidP="002A64C9">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The amounts established by the Court for lo</w:t>
      </w:r>
      <w:r w:rsidR="00FA0E4A" w:rsidRPr="00CF6765">
        <w:rPr>
          <w:rFonts w:eastAsia="Calibri"/>
          <w:sz w:val="20"/>
          <w:szCs w:val="20"/>
          <w:lang w:val="en-US" w:eastAsia="es-ES"/>
        </w:rPr>
        <w:t>s</w:t>
      </w:r>
      <w:r w:rsidRPr="00CF6765">
        <w:rPr>
          <w:rFonts w:eastAsia="Calibri"/>
          <w:sz w:val="20"/>
          <w:szCs w:val="20"/>
          <w:lang w:val="en-US" w:eastAsia="es-ES"/>
        </w:rPr>
        <w:t xml:space="preserve">s of earnings and indirect damage must be delivered to his two children in equal parts within one year of </w:t>
      </w:r>
      <w:r w:rsidR="00D2168F" w:rsidRPr="00CF6765">
        <w:rPr>
          <w:rFonts w:eastAsia="Calibri"/>
          <w:sz w:val="20"/>
          <w:szCs w:val="20"/>
          <w:lang w:val="en-US" w:eastAsia="es-ES"/>
        </w:rPr>
        <w:t>notification</w:t>
      </w:r>
      <w:r w:rsidR="002E620D" w:rsidRPr="00CF6765">
        <w:rPr>
          <w:rFonts w:eastAsia="Calibri"/>
          <w:sz w:val="20"/>
          <w:szCs w:val="20"/>
          <w:lang w:val="en-US" w:eastAsia="es-ES"/>
        </w:rPr>
        <w:t xml:space="preserve"> </w:t>
      </w:r>
      <w:r w:rsidR="002A0A64" w:rsidRPr="00CF6765">
        <w:rPr>
          <w:rFonts w:eastAsia="Calibri"/>
          <w:sz w:val="20"/>
          <w:szCs w:val="20"/>
          <w:lang w:val="en-US" w:eastAsia="es-ES"/>
        </w:rPr>
        <w:t>of the judgment</w:t>
      </w:r>
      <w:r w:rsidR="002E620D" w:rsidRPr="00CF6765">
        <w:rPr>
          <w:rFonts w:eastAsia="Calibri"/>
          <w:sz w:val="20"/>
          <w:szCs w:val="20"/>
          <w:lang w:val="en-US" w:eastAsia="es-ES"/>
        </w:rPr>
        <w:t xml:space="preserve">. </w:t>
      </w:r>
    </w:p>
    <w:p w14:paraId="206BAA4B" w14:textId="77777777" w:rsidR="006B2A4D" w:rsidRPr="00CF6765" w:rsidRDefault="006B2A4D" w:rsidP="002A64C9">
      <w:pPr>
        <w:widowControl w:val="0"/>
        <w:tabs>
          <w:tab w:val="left" w:pos="567"/>
          <w:tab w:val="num" w:pos="12305"/>
        </w:tabs>
        <w:adjustRightInd w:val="0"/>
        <w:textAlignment w:val="baseline"/>
        <w:rPr>
          <w:rFonts w:eastAsia="Calibri"/>
          <w:sz w:val="20"/>
          <w:szCs w:val="20"/>
          <w:lang w:val="en-US" w:eastAsia="es-ES"/>
        </w:rPr>
      </w:pPr>
    </w:p>
    <w:p w14:paraId="5D70D0FE" w14:textId="34F20DF2" w:rsidR="006B2A4D" w:rsidRPr="00CF6765" w:rsidRDefault="006B2A4D" w:rsidP="00AD229D">
      <w:pPr>
        <w:pStyle w:val="Ttulo3"/>
        <w:ind w:left="0"/>
        <w:rPr>
          <w:b/>
          <w:lang w:val="en-US"/>
        </w:rPr>
      </w:pPr>
      <w:r w:rsidRPr="00CF6765">
        <w:rPr>
          <w:lang w:val="en-US" w:eastAsia="es-ES"/>
        </w:rPr>
        <w:tab/>
      </w:r>
      <w:r w:rsidRPr="00CF6765">
        <w:rPr>
          <w:lang w:val="en-US" w:eastAsia="es-ES"/>
        </w:rPr>
        <w:tab/>
      </w:r>
      <w:r w:rsidRPr="00CF6765">
        <w:rPr>
          <w:i w:val="0"/>
          <w:lang w:val="en-US" w:eastAsia="es-ES"/>
        </w:rPr>
        <w:tab/>
      </w:r>
      <w:bookmarkStart w:id="125" w:name="_Toc47864407"/>
      <w:r w:rsidRPr="00CF6765">
        <w:rPr>
          <w:b/>
          <w:lang w:val="en-US"/>
        </w:rPr>
        <w:t xml:space="preserve">2. </w:t>
      </w:r>
      <w:r w:rsidR="00C8154C" w:rsidRPr="00CF6765">
        <w:rPr>
          <w:b/>
          <w:lang w:val="en-US"/>
        </w:rPr>
        <w:t>Non-pecuniary damage</w:t>
      </w:r>
      <w:bookmarkEnd w:id="125"/>
    </w:p>
    <w:p w14:paraId="4C0E80A1" w14:textId="77777777" w:rsidR="006B2A4D" w:rsidRPr="00CF6765" w:rsidRDefault="006B2A4D" w:rsidP="006B2A4D">
      <w:pPr>
        <w:tabs>
          <w:tab w:val="center" w:pos="567"/>
        </w:tabs>
        <w:autoSpaceDE w:val="0"/>
        <w:autoSpaceDN w:val="0"/>
        <w:ind w:right="-90"/>
        <w:rPr>
          <w:rFonts w:eastAsia="Calibri"/>
          <w:i/>
          <w:sz w:val="20"/>
          <w:szCs w:val="20"/>
          <w:lang w:val="en-US" w:eastAsia="es-ES"/>
        </w:rPr>
      </w:pPr>
    </w:p>
    <w:p w14:paraId="636990F4" w14:textId="4C3BF19F" w:rsidR="006B2A4D" w:rsidRPr="00CF6765" w:rsidRDefault="00423651"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Regarding</w:t>
      </w:r>
      <w:r w:rsidR="006B2A4D" w:rsidRPr="00CF6765">
        <w:rPr>
          <w:rFonts w:eastAsia="Calibri"/>
          <w:sz w:val="20"/>
          <w:szCs w:val="20"/>
          <w:lang w:val="en-US" w:eastAsia="es-ES"/>
        </w:rPr>
        <w:t xml:space="preserve"> </w:t>
      </w:r>
      <w:r w:rsidR="00C8154C" w:rsidRPr="00CF6765">
        <w:rPr>
          <w:rFonts w:eastAsia="Calibri"/>
          <w:sz w:val="20"/>
          <w:szCs w:val="20"/>
          <w:lang w:val="en-US" w:eastAsia="es-ES"/>
        </w:rPr>
        <w:t>non-pecuniary damage</w:t>
      </w:r>
      <w:r w:rsidRPr="00CF6765">
        <w:rPr>
          <w:rFonts w:eastAsia="Calibri"/>
          <w:sz w:val="20"/>
          <w:szCs w:val="20"/>
          <w:lang w:val="en-US" w:eastAsia="es-ES"/>
        </w:rPr>
        <w:t>, this Court has determined that it “may include both the suffering and affliction caused to the direct victims and their family, the impairment of value</w:t>
      </w:r>
      <w:r w:rsidR="00FA0E4A" w:rsidRPr="00CF6765">
        <w:rPr>
          <w:rFonts w:eastAsia="Calibri"/>
          <w:sz w:val="20"/>
          <w:szCs w:val="20"/>
          <w:lang w:val="en-US" w:eastAsia="es-ES"/>
        </w:rPr>
        <w:t>s</w:t>
      </w:r>
      <w:r w:rsidRPr="00CF6765">
        <w:rPr>
          <w:rFonts w:eastAsia="Calibri"/>
          <w:sz w:val="20"/>
          <w:szCs w:val="20"/>
          <w:lang w:val="en-US" w:eastAsia="es-ES"/>
        </w:rPr>
        <w:t xml:space="preserve"> of great </w:t>
      </w:r>
      <w:r w:rsidR="00FB2D33" w:rsidRPr="00CF6765">
        <w:rPr>
          <w:rFonts w:eastAsia="Calibri"/>
          <w:sz w:val="20"/>
          <w:szCs w:val="20"/>
          <w:lang w:val="en-US" w:eastAsia="es-ES"/>
        </w:rPr>
        <w:t>significance</w:t>
      </w:r>
      <w:r w:rsidRPr="00CF6765">
        <w:rPr>
          <w:rFonts w:eastAsia="Calibri"/>
          <w:sz w:val="20"/>
          <w:szCs w:val="20"/>
          <w:lang w:val="en-US" w:eastAsia="es-ES"/>
        </w:rPr>
        <w:t xml:space="preserve"> for the individual, as well as the alterations of a non-pecuniary nature in the living conditions of the victims or their family.</w:t>
      </w:r>
      <w:r w:rsidR="006B2A4D" w:rsidRPr="00CF6765">
        <w:rPr>
          <w:rFonts w:eastAsia="Calibri"/>
          <w:sz w:val="20"/>
          <w:szCs w:val="20"/>
          <w:lang w:val="en-US" w:eastAsia="es-ES"/>
        </w:rPr>
        <w:t>”</w:t>
      </w:r>
      <w:r w:rsidR="006B2A4D" w:rsidRPr="00CF6765">
        <w:rPr>
          <w:rFonts w:eastAsia="Calibri"/>
          <w:sz w:val="20"/>
          <w:szCs w:val="20"/>
          <w:vertAlign w:val="superscript"/>
          <w:lang w:val="en-US" w:eastAsia="es-ES"/>
        </w:rPr>
        <w:footnoteReference w:id="324"/>
      </w:r>
    </w:p>
    <w:p w14:paraId="63EAD321" w14:textId="77777777" w:rsidR="006B2A4D" w:rsidRPr="00CF6765" w:rsidRDefault="006B2A4D" w:rsidP="006B2A4D">
      <w:pPr>
        <w:widowControl w:val="0"/>
        <w:tabs>
          <w:tab w:val="left" w:pos="567"/>
          <w:tab w:val="num" w:pos="1569"/>
          <w:tab w:val="num" w:pos="12305"/>
        </w:tabs>
        <w:adjustRightInd w:val="0"/>
        <w:textAlignment w:val="baseline"/>
        <w:rPr>
          <w:rFonts w:eastAsia="Calibri"/>
          <w:sz w:val="20"/>
          <w:szCs w:val="20"/>
          <w:lang w:val="en-US" w:eastAsia="es-ES"/>
        </w:rPr>
      </w:pPr>
    </w:p>
    <w:p w14:paraId="2DD0D3F3" w14:textId="7209946D" w:rsidR="002E620D" w:rsidRPr="00CF6765" w:rsidRDefault="00BD7B3F" w:rsidP="002E620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Pursuant to the criteria developed by the Court on the concept of </w:t>
      </w:r>
      <w:r w:rsidR="00C8154C" w:rsidRPr="00CF6765">
        <w:rPr>
          <w:rFonts w:eastAsia="Calibri"/>
          <w:i/>
          <w:sz w:val="20"/>
          <w:szCs w:val="20"/>
          <w:lang w:val="en-US" w:eastAsia="es-ES"/>
        </w:rPr>
        <w:t>non-pecuniary damage</w:t>
      </w:r>
      <w:r w:rsidR="006B2A4D" w:rsidRPr="00CF6765">
        <w:rPr>
          <w:rFonts w:eastAsia="Calibri"/>
          <w:sz w:val="20"/>
          <w:szCs w:val="20"/>
          <w:vertAlign w:val="superscript"/>
          <w:lang w:val="en-US" w:eastAsia="es-ES"/>
        </w:rPr>
        <w:footnoteReference w:id="325"/>
      </w:r>
      <w:r w:rsidR="00EC50FC" w:rsidRPr="00CF6765">
        <w:rPr>
          <w:rFonts w:eastAsia="Calibri"/>
          <w:sz w:val="20"/>
          <w:szCs w:val="20"/>
          <w:lang w:val="en-US" w:eastAsia="es-ES"/>
        </w:rPr>
        <w:t xml:space="preserve"> and </w:t>
      </w:r>
      <w:r w:rsidRPr="00CF6765">
        <w:rPr>
          <w:rFonts w:eastAsia="Calibri"/>
          <w:sz w:val="20"/>
          <w:szCs w:val="20"/>
          <w:lang w:val="en-US" w:eastAsia="es-ES"/>
        </w:rPr>
        <w:t>based on the circumstances of this case, and the nature of the violations committed, the Court establishes, in equity, the sum of</w:t>
      </w:r>
      <w:r w:rsidR="006B2A4D" w:rsidRPr="00CF6765">
        <w:rPr>
          <w:rFonts w:eastAsia="Calibri"/>
          <w:sz w:val="20"/>
          <w:szCs w:val="20"/>
          <w:lang w:val="en-US" w:eastAsia="es-ES"/>
        </w:rPr>
        <w:t xml:space="preserve"> </w:t>
      </w:r>
      <w:r w:rsidR="00F24D4D" w:rsidRPr="00CF6765">
        <w:rPr>
          <w:rFonts w:eastAsia="Calibri"/>
          <w:sz w:val="20"/>
          <w:szCs w:val="20"/>
          <w:lang w:val="en-US" w:eastAsia="es-ES"/>
        </w:rPr>
        <w:t>US</w:t>
      </w:r>
      <w:r w:rsidR="00F377B4" w:rsidRPr="00CF6765">
        <w:rPr>
          <w:rFonts w:eastAsia="Calibri"/>
          <w:sz w:val="20"/>
          <w:szCs w:val="20"/>
          <w:lang w:val="en-US" w:eastAsia="es-ES"/>
        </w:rPr>
        <w:t>$</w:t>
      </w:r>
      <w:r w:rsidR="00C47603" w:rsidRPr="00CF6765">
        <w:rPr>
          <w:rFonts w:eastAsia="Calibri"/>
          <w:sz w:val="20"/>
          <w:szCs w:val="20"/>
          <w:lang w:val="en-US" w:eastAsia="es-ES"/>
        </w:rPr>
        <w:t>10</w:t>
      </w:r>
      <w:r w:rsidR="00F377B4" w:rsidRPr="00CF6765">
        <w:rPr>
          <w:rFonts w:eastAsia="Calibri"/>
          <w:sz w:val="20"/>
          <w:szCs w:val="20"/>
          <w:lang w:val="en-US" w:eastAsia="es-ES"/>
        </w:rPr>
        <w:t>0,000 (</w:t>
      </w:r>
      <w:r w:rsidRPr="00CF6765">
        <w:rPr>
          <w:rFonts w:eastAsia="Calibri"/>
          <w:sz w:val="20"/>
          <w:szCs w:val="20"/>
          <w:lang w:val="en-US" w:eastAsia="es-ES"/>
        </w:rPr>
        <w:t>one hundred thousand</w:t>
      </w:r>
      <w:r w:rsidR="00F24D4D" w:rsidRPr="00CF6765">
        <w:rPr>
          <w:rFonts w:eastAsia="Calibri"/>
          <w:sz w:val="20"/>
          <w:szCs w:val="20"/>
          <w:lang w:val="en-US" w:eastAsia="es-ES"/>
        </w:rPr>
        <w:t xml:space="preserve"> </w:t>
      </w:r>
      <w:r w:rsidR="003E0087" w:rsidRPr="00CF6765">
        <w:rPr>
          <w:rFonts w:eastAsia="Calibri"/>
          <w:sz w:val="20"/>
          <w:szCs w:val="20"/>
          <w:lang w:val="en-US" w:eastAsia="es-ES"/>
        </w:rPr>
        <w:t>United States dollars</w:t>
      </w:r>
      <w:r w:rsidR="00F377B4" w:rsidRPr="00CF6765">
        <w:rPr>
          <w:rFonts w:eastAsia="Calibri"/>
          <w:sz w:val="20"/>
          <w:szCs w:val="20"/>
          <w:lang w:val="en-US" w:eastAsia="es-ES"/>
        </w:rPr>
        <w:t>)</w:t>
      </w:r>
      <w:r w:rsidR="006B2A4D" w:rsidRPr="00CF6765">
        <w:rPr>
          <w:rFonts w:eastAsia="Calibri"/>
          <w:sz w:val="20"/>
          <w:szCs w:val="20"/>
          <w:lang w:val="en-US" w:eastAsia="es-ES"/>
        </w:rPr>
        <w:t xml:space="preserve"> </w:t>
      </w:r>
      <w:r w:rsidRPr="00CF6765">
        <w:rPr>
          <w:rFonts w:eastAsia="Calibri"/>
          <w:sz w:val="20"/>
          <w:szCs w:val="20"/>
          <w:lang w:val="en-US" w:eastAsia="es-ES"/>
        </w:rPr>
        <w:t xml:space="preserve">in favor </w:t>
      </w:r>
      <w:r w:rsidR="00D04694" w:rsidRPr="00CF6765">
        <w:rPr>
          <w:rFonts w:eastAsia="Calibri"/>
          <w:sz w:val="20"/>
          <w:szCs w:val="20"/>
          <w:lang w:val="en-US" w:eastAsia="es-ES"/>
        </w:rPr>
        <w:t>Mr.</w:t>
      </w:r>
      <w:r w:rsidR="00D2168F" w:rsidRPr="00CF6765">
        <w:rPr>
          <w:rFonts w:eastAsia="Calibri"/>
          <w:sz w:val="20"/>
          <w:szCs w:val="20"/>
          <w:lang w:val="en-US" w:eastAsia="es-ES"/>
        </w:rPr>
        <w:t xml:space="preserve"> Poblete</w:t>
      </w:r>
      <w:r w:rsidR="006B2A4D" w:rsidRPr="00CF6765">
        <w:rPr>
          <w:rFonts w:eastAsia="Calibri"/>
          <w:sz w:val="20"/>
          <w:szCs w:val="20"/>
          <w:lang w:val="en-US" w:eastAsia="es-ES"/>
        </w:rPr>
        <w:t xml:space="preserve"> </w:t>
      </w:r>
      <w:proofErr w:type="spellStart"/>
      <w:r w:rsidR="006B2A4D" w:rsidRPr="00CF6765">
        <w:rPr>
          <w:rFonts w:eastAsia="Calibri"/>
          <w:sz w:val="20"/>
          <w:szCs w:val="20"/>
          <w:lang w:val="en-US" w:eastAsia="es-ES"/>
        </w:rPr>
        <w:t>Vilches</w:t>
      </w:r>
      <w:proofErr w:type="spellEnd"/>
      <w:r w:rsidRPr="00CF6765">
        <w:rPr>
          <w:rFonts w:eastAsia="Calibri"/>
          <w:sz w:val="20"/>
          <w:szCs w:val="20"/>
          <w:lang w:val="en-US" w:eastAsia="es-ES"/>
        </w:rPr>
        <w:t>.</w:t>
      </w:r>
      <w:r w:rsidR="006B2A4D" w:rsidRPr="00CF6765">
        <w:rPr>
          <w:rFonts w:eastAsia="Calibri"/>
          <w:sz w:val="20"/>
          <w:szCs w:val="20"/>
          <w:vertAlign w:val="superscript"/>
          <w:lang w:val="en-US" w:eastAsia="es-ES"/>
        </w:rPr>
        <w:footnoteReference w:id="326"/>
      </w:r>
      <w:r w:rsidRPr="00CF6765">
        <w:rPr>
          <w:rFonts w:eastAsia="Calibri"/>
          <w:sz w:val="20"/>
          <w:szCs w:val="20"/>
          <w:lang w:val="en-US" w:eastAsia="es-ES"/>
        </w:rPr>
        <w:t xml:space="preserve"> The amount established by the Court must be delivered to his heirs as beneficiaries of the reparation within one year of </w:t>
      </w:r>
      <w:r w:rsidR="00D2168F" w:rsidRPr="00CF6765">
        <w:rPr>
          <w:rFonts w:eastAsia="Calibri"/>
          <w:sz w:val="20"/>
          <w:szCs w:val="20"/>
          <w:lang w:val="en-US" w:eastAsia="es-ES"/>
        </w:rPr>
        <w:t>notification</w:t>
      </w:r>
      <w:r w:rsidR="002E620D" w:rsidRPr="00CF6765">
        <w:rPr>
          <w:rFonts w:eastAsia="Calibri"/>
          <w:sz w:val="20"/>
          <w:szCs w:val="20"/>
          <w:lang w:val="en-US" w:eastAsia="es-ES"/>
        </w:rPr>
        <w:t xml:space="preserve"> </w:t>
      </w:r>
      <w:r w:rsidR="002A0A64" w:rsidRPr="00CF6765">
        <w:rPr>
          <w:rFonts w:eastAsia="Calibri"/>
          <w:sz w:val="20"/>
          <w:szCs w:val="20"/>
          <w:lang w:val="en-US" w:eastAsia="es-ES"/>
        </w:rPr>
        <w:t>of the judgment</w:t>
      </w:r>
      <w:r w:rsidR="002E620D" w:rsidRPr="00CF6765">
        <w:rPr>
          <w:rFonts w:eastAsia="Calibri"/>
          <w:sz w:val="20"/>
          <w:szCs w:val="20"/>
          <w:lang w:val="en-US" w:eastAsia="es-ES"/>
        </w:rPr>
        <w:t xml:space="preserve">. </w:t>
      </w:r>
    </w:p>
    <w:p w14:paraId="44A2E918" w14:textId="77777777" w:rsidR="006B2A4D" w:rsidRPr="00CF6765" w:rsidRDefault="006B2A4D" w:rsidP="006B2A4D">
      <w:pPr>
        <w:widowControl w:val="0"/>
        <w:tabs>
          <w:tab w:val="left" w:pos="567"/>
          <w:tab w:val="num" w:pos="1569"/>
          <w:tab w:val="num" w:pos="12305"/>
        </w:tabs>
        <w:adjustRightInd w:val="0"/>
        <w:textAlignment w:val="baseline"/>
        <w:rPr>
          <w:rFonts w:eastAsia="Calibri"/>
          <w:sz w:val="20"/>
          <w:szCs w:val="20"/>
          <w:lang w:val="en-US" w:eastAsia="es-ES"/>
        </w:rPr>
      </w:pPr>
    </w:p>
    <w:p w14:paraId="2DF1EB4F" w14:textId="3A1E50A8" w:rsidR="006B2A4D" w:rsidRPr="00CF6765" w:rsidRDefault="00BD7B3F" w:rsidP="00BD7B3F">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In addition, based on the violation declared to the detriment of the family members that </w:t>
      </w:r>
      <w:r w:rsidR="00FA0E4A" w:rsidRPr="00CF6765">
        <w:rPr>
          <w:rFonts w:eastAsia="Calibri"/>
          <w:sz w:val="20"/>
          <w:szCs w:val="20"/>
          <w:lang w:val="en-US" w:eastAsia="es-ES"/>
        </w:rPr>
        <w:t>resulted in</w:t>
      </w:r>
      <w:r w:rsidRPr="00CF6765">
        <w:rPr>
          <w:rFonts w:eastAsia="Calibri"/>
          <w:sz w:val="20"/>
          <w:szCs w:val="20"/>
          <w:lang w:val="en-US" w:eastAsia="es-ES"/>
        </w:rPr>
        <w:t xml:space="preserve">t harm to their moral and mental integrity, </w:t>
      </w:r>
      <w:r w:rsidR="005C731C" w:rsidRPr="00CF6765">
        <w:rPr>
          <w:rFonts w:eastAsia="Calibri"/>
          <w:sz w:val="20"/>
          <w:szCs w:val="20"/>
          <w:lang w:val="en-US" w:eastAsia="es-ES"/>
        </w:rPr>
        <w:t>the Court</w:t>
      </w:r>
      <w:r w:rsidR="006B2A4D" w:rsidRPr="00CF6765">
        <w:rPr>
          <w:rFonts w:eastAsia="Calibri"/>
          <w:sz w:val="20"/>
          <w:szCs w:val="20"/>
          <w:lang w:val="en-US" w:eastAsia="es-ES"/>
        </w:rPr>
        <w:t xml:space="preserve"> </w:t>
      </w:r>
      <w:r w:rsidRPr="00CF6765">
        <w:rPr>
          <w:rFonts w:eastAsia="Calibri"/>
          <w:sz w:val="20"/>
          <w:szCs w:val="20"/>
          <w:lang w:val="en-US" w:eastAsia="es-ES"/>
        </w:rPr>
        <w:t xml:space="preserve">establishes, in equity, </w:t>
      </w:r>
      <w:r w:rsidR="00F24D4D" w:rsidRPr="00CF6765">
        <w:rPr>
          <w:rFonts w:eastAsia="Calibri"/>
          <w:sz w:val="20"/>
          <w:szCs w:val="20"/>
          <w:lang w:val="en-US" w:eastAsia="es-ES"/>
        </w:rPr>
        <w:t>US$</w:t>
      </w:r>
      <w:r w:rsidR="00F377B4" w:rsidRPr="00CF6765">
        <w:rPr>
          <w:rFonts w:eastAsia="Calibri"/>
          <w:sz w:val="20"/>
          <w:szCs w:val="20"/>
          <w:lang w:val="en-US" w:eastAsia="es-ES"/>
        </w:rPr>
        <w:t xml:space="preserve">15,000 </w:t>
      </w:r>
      <w:r w:rsidR="00F24D4D" w:rsidRPr="00CF6765">
        <w:rPr>
          <w:rFonts w:eastAsia="Calibri"/>
          <w:sz w:val="20"/>
          <w:szCs w:val="20"/>
          <w:lang w:val="en-US" w:eastAsia="es-ES"/>
        </w:rPr>
        <w:t>(</w:t>
      </w:r>
      <w:r w:rsidRPr="00CF6765">
        <w:rPr>
          <w:rFonts w:eastAsia="Calibri"/>
          <w:sz w:val="20"/>
          <w:szCs w:val="20"/>
          <w:lang w:val="en-US" w:eastAsia="es-ES"/>
        </w:rPr>
        <w:t xml:space="preserve">fifteen thousand </w:t>
      </w:r>
      <w:r w:rsidR="003E0087" w:rsidRPr="00CF6765">
        <w:rPr>
          <w:rFonts w:eastAsia="Calibri"/>
          <w:sz w:val="20"/>
          <w:szCs w:val="20"/>
          <w:lang w:val="en-US" w:eastAsia="es-ES"/>
        </w:rPr>
        <w:t>United States dollars</w:t>
      </w:r>
      <w:r w:rsidR="00F24D4D" w:rsidRPr="00CF6765">
        <w:rPr>
          <w:rFonts w:eastAsia="Calibri"/>
          <w:sz w:val="20"/>
          <w:szCs w:val="20"/>
          <w:lang w:val="en-US" w:eastAsia="es-ES"/>
        </w:rPr>
        <w:t>)</w:t>
      </w:r>
      <w:r w:rsidR="002C4EDE" w:rsidRPr="00CF6765">
        <w:rPr>
          <w:rFonts w:eastAsia="Calibri"/>
          <w:sz w:val="20"/>
          <w:szCs w:val="20"/>
          <w:lang w:val="en-US" w:eastAsia="es-ES"/>
        </w:rPr>
        <w:t xml:space="preserve"> </w:t>
      </w:r>
      <w:r w:rsidRPr="00CF6765">
        <w:rPr>
          <w:rFonts w:eastAsia="Calibri"/>
          <w:sz w:val="20"/>
          <w:szCs w:val="20"/>
          <w:lang w:val="en-US" w:eastAsia="es-ES"/>
        </w:rPr>
        <w:t xml:space="preserve">for each of the four family members victims in this case </w:t>
      </w:r>
      <w:r w:rsidR="00F377B4" w:rsidRPr="00CF6765">
        <w:rPr>
          <w:rFonts w:eastAsia="Calibri"/>
          <w:sz w:val="20"/>
          <w:szCs w:val="20"/>
          <w:lang w:val="en-US" w:eastAsia="es-ES"/>
        </w:rPr>
        <w:t>(</w:t>
      </w:r>
      <w:r w:rsidR="00F377B4" w:rsidRPr="00CF6765">
        <w:rPr>
          <w:rFonts w:eastAsia="Calibri"/>
          <w:i/>
          <w:sz w:val="20"/>
          <w:szCs w:val="20"/>
          <w:lang w:val="en-US" w:eastAsia="es-ES"/>
        </w:rPr>
        <w:t>supra</w:t>
      </w:r>
      <w:r w:rsidR="00F377B4" w:rsidRPr="00CF6765">
        <w:rPr>
          <w:rFonts w:eastAsia="Calibri"/>
          <w:sz w:val="20"/>
          <w:szCs w:val="20"/>
          <w:lang w:val="en-US" w:eastAsia="es-ES"/>
        </w:rPr>
        <w:t xml:space="preserve"> </w:t>
      </w:r>
      <w:r w:rsidR="00EC50FC" w:rsidRPr="00CF6765">
        <w:rPr>
          <w:rFonts w:eastAsia="Calibri"/>
          <w:sz w:val="20"/>
          <w:szCs w:val="20"/>
          <w:lang w:val="en-US" w:eastAsia="es-ES"/>
        </w:rPr>
        <w:t>para.</w:t>
      </w:r>
      <w:r w:rsidR="00D83D35" w:rsidRPr="00CF6765">
        <w:rPr>
          <w:rFonts w:eastAsia="Calibri"/>
          <w:sz w:val="20"/>
          <w:szCs w:val="20"/>
          <w:lang w:val="en-US" w:eastAsia="es-ES"/>
        </w:rPr>
        <w:t xml:space="preserve"> 244</w:t>
      </w:r>
      <w:r w:rsidR="00F377B4" w:rsidRPr="00CF6765">
        <w:rPr>
          <w:rFonts w:eastAsia="Calibri"/>
          <w:sz w:val="20"/>
          <w:szCs w:val="20"/>
          <w:lang w:val="en-US" w:eastAsia="es-ES"/>
        </w:rPr>
        <w:t>)</w:t>
      </w:r>
      <w:r w:rsidR="00920D09" w:rsidRPr="00CF6765">
        <w:rPr>
          <w:rFonts w:eastAsia="Calibri"/>
          <w:sz w:val="20"/>
          <w:szCs w:val="20"/>
          <w:lang w:val="en-US" w:eastAsia="es-ES"/>
        </w:rPr>
        <w:t>.</w:t>
      </w:r>
      <w:r w:rsidR="00F377B4" w:rsidRPr="00CF6765">
        <w:rPr>
          <w:rFonts w:eastAsia="Calibri"/>
          <w:sz w:val="20"/>
          <w:szCs w:val="20"/>
          <w:lang w:val="en-US" w:eastAsia="es-ES"/>
        </w:rPr>
        <w:t xml:space="preserve"> </w:t>
      </w:r>
      <w:r w:rsidRPr="00CF6765">
        <w:rPr>
          <w:rFonts w:eastAsia="Calibri"/>
          <w:sz w:val="20"/>
          <w:szCs w:val="20"/>
          <w:lang w:val="en-US" w:eastAsia="es-ES"/>
        </w:rPr>
        <w:t>In the case of those who are deceased, the amount must be delivered to their heirs.</w:t>
      </w:r>
    </w:p>
    <w:p w14:paraId="364ECC95" w14:textId="77777777" w:rsidR="00BD7B3F" w:rsidRPr="00CF6765" w:rsidRDefault="00BD7B3F" w:rsidP="00BD7B3F">
      <w:pPr>
        <w:widowControl w:val="0"/>
        <w:tabs>
          <w:tab w:val="left" w:pos="567"/>
          <w:tab w:val="num" w:pos="1569"/>
          <w:tab w:val="num" w:pos="12305"/>
        </w:tabs>
        <w:adjustRightInd w:val="0"/>
        <w:textAlignment w:val="baseline"/>
        <w:rPr>
          <w:rFonts w:eastAsia="Calibri"/>
          <w:sz w:val="20"/>
          <w:szCs w:val="20"/>
          <w:lang w:val="en-US" w:eastAsia="es-ES"/>
        </w:rPr>
      </w:pPr>
    </w:p>
    <w:p w14:paraId="34DCF983" w14:textId="49942C87" w:rsidR="006B2A4D" w:rsidRPr="00CF6765" w:rsidRDefault="00506815" w:rsidP="002726E0">
      <w:pPr>
        <w:pStyle w:val="Ttulo2"/>
        <w:numPr>
          <w:ilvl w:val="0"/>
          <w:numId w:val="13"/>
        </w:numPr>
        <w:rPr>
          <w:lang w:val="en-US"/>
        </w:rPr>
      </w:pPr>
      <w:bookmarkStart w:id="126" w:name="_Toc47864408"/>
      <w:r w:rsidRPr="00CF6765">
        <w:rPr>
          <w:lang w:val="en-US"/>
        </w:rPr>
        <w:t>Costs and expenses</w:t>
      </w:r>
      <w:bookmarkEnd w:id="126"/>
      <w:r w:rsidR="006B2A4D" w:rsidRPr="00CF6765">
        <w:rPr>
          <w:lang w:val="en-US"/>
        </w:rPr>
        <w:t xml:space="preserve"> </w:t>
      </w:r>
    </w:p>
    <w:p w14:paraId="1C5CD8D4" w14:textId="77777777" w:rsidR="006B2A4D" w:rsidRPr="00CF6765" w:rsidRDefault="006B2A4D" w:rsidP="006B2A4D">
      <w:pPr>
        <w:keepNext/>
        <w:keepLines/>
        <w:outlineLvl w:val="1"/>
        <w:rPr>
          <w:b/>
          <w:bCs/>
          <w:i/>
          <w:sz w:val="20"/>
          <w:szCs w:val="20"/>
          <w:lang w:val="en-US" w:eastAsia="en-US"/>
        </w:rPr>
      </w:pPr>
    </w:p>
    <w:p w14:paraId="30F7065F" w14:textId="24CB3EB4" w:rsidR="006B2A4D" w:rsidRPr="00CF6765" w:rsidRDefault="005C731C"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Commission</w:t>
      </w:r>
      <w:r w:rsidR="006B2A4D" w:rsidRPr="00CF6765">
        <w:rPr>
          <w:rFonts w:eastAsia="Calibri"/>
          <w:sz w:val="20"/>
          <w:szCs w:val="20"/>
          <w:lang w:val="en-US" w:eastAsia="es-ES"/>
        </w:rPr>
        <w:t xml:space="preserve"> </w:t>
      </w:r>
      <w:r w:rsidR="00FA0E4A" w:rsidRPr="00CF6765">
        <w:rPr>
          <w:rFonts w:eastAsia="Calibri"/>
          <w:sz w:val="20"/>
          <w:szCs w:val="20"/>
          <w:lang w:val="en-US" w:eastAsia="es-ES"/>
        </w:rPr>
        <w:t>made no</w:t>
      </w:r>
      <w:r w:rsidR="00BD7B3F" w:rsidRPr="00CF6765">
        <w:rPr>
          <w:rFonts w:eastAsia="Calibri"/>
          <w:sz w:val="20"/>
          <w:szCs w:val="20"/>
          <w:lang w:val="en-US" w:eastAsia="es-ES"/>
        </w:rPr>
        <w:t xml:space="preserve"> observations with regard to</w:t>
      </w:r>
      <w:r w:rsidR="006B2A4D" w:rsidRPr="00CF6765">
        <w:rPr>
          <w:rFonts w:eastAsia="Calibri"/>
          <w:sz w:val="20"/>
          <w:szCs w:val="20"/>
          <w:lang w:val="en-US" w:eastAsia="es-ES"/>
        </w:rPr>
        <w:t xml:space="preserve"> </w:t>
      </w:r>
      <w:r w:rsidR="00BD7B3F" w:rsidRPr="00CF6765">
        <w:rPr>
          <w:rFonts w:eastAsia="Calibri"/>
          <w:sz w:val="20"/>
          <w:szCs w:val="20"/>
          <w:lang w:val="en-US" w:eastAsia="es-ES"/>
        </w:rPr>
        <w:t>c</w:t>
      </w:r>
      <w:r w:rsidR="00506815" w:rsidRPr="00CF6765">
        <w:rPr>
          <w:rFonts w:eastAsia="Calibri"/>
          <w:sz w:val="20"/>
          <w:szCs w:val="20"/>
          <w:lang w:val="en-US" w:eastAsia="es-ES"/>
        </w:rPr>
        <w:t>osts and expenses</w:t>
      </w:r>
      <w:r w:rsidR="006B2A4D" w:rsidRPr="00CF6765">
        <w:rPr>
          <w:rFonts w:eastAsia="Calibri"/>
          <w:sz w:val="20"/>
          <w:szCs w:val="20"/>
          <w:lang w:val="en-US" w:eastAsia="es-ES"/>
        </w:rPr>
        <w:t>.</w:t>
      </w:r>
    </w:p>
    <w:p w14:paraId="0FBC3DAF" w14:textId="77777777" w:rsidR="006B2A4D" w:rsidRPr="00CF6765" w:rsidRDefault="006B2A4D" w:rsidP="006B2A4D">
      <w:pPr>
        <w:widowControl w:val="0"/>
        <w:tabs>
          <w:tab w:val="left" w:pos="567"/>
          <w:tab w:val="num" w:pos="1569"/>
          <w:tab w:val="num" w:pos="12305"/>
        </w:tabs>
        <w:adjustRightInd w:val="0"/>
        <w:textAlignment w:val="baseline"/>
        <w:rPr>
          <w:rFonts w:eastAsia="Calibri"/>
          <w:sz w:val="20"/>
          <w:szCs w:val="20"/>
          <w:lang w:val="en-US" w:eastAsia="es-ES"/>
        </w:rPr>
      </w:pPr>
    </w:p>
    <w:p w14:paraId="3B31F1B8" w14:textId="5C809808" w:rsidR="00BD7B3F" w:rsidRPr="00CF6765" w:rsidRDefault="00D2168F"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representatives</w:t>
      </w:r>
      <w:r w:rsidR="006B2A4D" w:rsidRPr="00CF6765">
        <w:rPr>
          <w:rFonts w:eastAsia="Calibri"/>
          <w:b/>
          <w:i/>
          <w:sz w:val="20"/>
          <w:szCs w:val="20"/>
          <w:lang w:val="en-US" w:eastAsia="es-ES"/>
        </w:rPr>
        <w:t xml:space="preserve"> </w:t>
      </w:r>
      <w:r w:rsidR="00BD7B3F" w:rsidRPr="00CF6765">
        <w:rPr>
          <w:rFonts w:eastAsia="Calibri"/>
          <w:sz w:val="20"/>
          <w:szCs w:val="20"/>
          <w:lang w:val="en-US" w:eastAsia="es-ES"/>
        </w:rPr>
        <w:t>indicated that</w:t>
      </w:r>
      <w:r w:rsidR="006B2A4D" w:rsidRPr="00CF6765">
        <w:rPr>
          <w:rFonts w:eastAsia="Calibri"/>
          <w:sz w:val="20"/>
          <w:szCs w:val="20"/>
          <w:lang w:val="en-US" w:eastAsia="es-ES"/>
        </w:rPr>
        <w:t xml:space="preserve"> </w:t>
      </w:r>
      <w:r w:rsidRPr="00CF6765">
        <w:rPr>
          <w:rFonts w:eastAsia="Calibri"/>
          <w:sz w:val="20"/>
          <w:szCs w:val="20"/>
          <w:lang w:val="en-US" w:eastAsia="es-ES"/>
        </w:rPr>
        <w:t>the presumed victims</w:t>
      </w:r>
      <w:r w:rsidR="006B2A4D" w:rsidRPr="00CF6765">
        <w:rPr>
          <w:rFonts w:eastAsia="Calibri"/>
          <w:sz w:val="20"/>
          <w:szCs w:val="20"/>
          <w:lang w:val="en-US" w:eastAsia="es-ES"/>
        </w:rPr>
        <w:t xml:space="preserve"> </w:t>
      </w:r>
      <w:r w:rsidR="00FA0E4A" w:rsidRPr="00CF6765">
        <w:rPr>
          <w:rFonts w:eastAsia="Calibri"/>
          <w:sz w:val="20"/>
          <w:szCs w:val="20"/>
          <w:lang w:val="en-US" w:eastAsia="es-ES"/>
        </w:rPr>
        <w:t xml:space="preserve">had </w:t>
      </w:r>
      <w:r w:rsidR="00BD7B3F" w:rsidRPr="00CF6765">
        <w:rPr>
          <w:rFonts w:eastAsia="Calibri"/>
          <w:sz w:val="20"/>
          <w:szCs w:val="20"/>
          <w:lang w:val="en-US" w:eastAsia="es-ES"/>
        </w:rPr>
        <w:t>spent around</w:t>
      </w:r>
      <w:r w:rsidR="006B2A4D" w:rsidRPr="00CF6765">
        <w:rPr>
          <w:rFonts w:eastAsia="Calibri"/>
          <w:sz w:val="20"/>
          <w:szCs w:val="20"/>
          <w:lang w:val="en-US" w:eastAsia="es-ES"/>
        </w:rPr>
        <w:t xml:space="preserve"> </w:t>
      </w:r>
      <w:r w:rsidR="00BD7B3F" w:rsidRPr="00CF6765">
        <w:rPr>
          <w:rFonts w:eastAsia="Calibri"/>
          <w:sz w:val="20"/>
          <w:szCs w:val="20"/>
          <w:lang w:val="en-US" w:eastAsia="es-ES"/>
        </w:rPr>
        <w:t>seven million</w:t>
      </w:r>
      <w:r w:rsidR="006B2A4D" w:rsidRPr="00CF6765">
        <w:rPr>
          <w:rFonts w:eastAsia="Calibri"/>
          <w:sz w:val="20"/>
          <w:szCs w:val="20"/>
          <w:lang w:val="en-US" w:eastAsia="es-ES"/>
        </w:rPr>
        <w:t xml:space="preserve"> </w:t>
      </w:r>
      <w:r w:rsidR="003D06CF" w:rsidRPr="00CF6765">
        <w:rPr>
          <w:rFonts w:eastAsia="Calibri"/>
          <w:sz w:val="20"/>
          <w:szCs w:val="20"/>
          <w:lang w:val="en-US" w:eastAsia="es-ES"/>
        </w:rPr>
        <w:t>Chilean pesos</w:t>
      </w:r>
      <w:r w:rsidR="006B2A4D" w:rsidRPr="00CF6765">
        <w:rPr>
          <w:rFonts w:eastAsia="Calibri"/>
          <w:sz w:val="20"/>
          <w:szCs w:val="20"/>
          <w:lang w:val="en-US" w:eastAsia="es-ES"/>
        </w:rPr>
        <w:t xml:space="preserve"> </w:t>
      </w:r>
      <w:r w:rsidR="00BD7B3F" w:rsidRPr="00CF6765">
        <w:rPr>
          <w:rFonts w:eastAsia="Calibri"/>
          <w:sz w:val="20"/>
          <w:szCs w:val="20"/>
          <w:lang w:val="en-US" w:eastAsia="es-ES"/>
        </w:rPr>
        <w:t xml:space="preserve">over more than 14 years mailing documents to the Inter-American Commission and making telephone calls related to the case. They also noted that all the corresponding </w:t>
      </w:r>
      <w:r w:rsidR="00BD7B3F" w:rsidRPr="00CF6765">
        <w:rPr>
          <w:rFonts w:eastAsia="Calibri"/>
          <w:sz w:val="20"/>
          <w:szCs w:val="20"/>
          <w:lang w:val="en-US" w:eastAsia="es-ES"/>
        </w:rPr>
        <w:lastRenderedPageBreak/>
        <w:t xml:space="preserve">documentation that the presumed victims had kept had been destroyed in a </w:t>
      </w:r>
      <w:r w:rsidR="0067422A" w:rsidRPr="00CF6765">
        <w:rPr>
          <w:rFonts w:eastAsia="Calibri"/>
          <w:sz w:val="20"/>
          <w:szCs w:val="20"/>
          <w:lang w:val="en-US" w:eastAsia="es-ES"/>
        </w:rPr>
        <w:t>house fire</w:t>
      </w:r>
      <w:r w:rsidR="00BD7B3F" w:rsidRPr="00CF6765">
        <w:rPr>
          <w:rFonts w:eastAsia="Calibri"/>
          <w:sz w:val="20"/>
          <w:szCs w:val="20"/>
          <w:lang w:val="en-US" w:eastAsia="es-ES"/>
        </w:rPr>
        <w:t>.</w:t>
      </w:r>
    </w:p>
    <w:p w14:paraId="19C7D946" w14:textId="77777777" w:rsidR="006B2A4D" w:rsidRPr="00CF6765" w:rsidRDefault="006B2A4D" w:rsidP="006B2A4D">
      <w:pPr>
        <w:widowControl w:val="0"/>
        <w:tabs>
          <w:tab w:val="left" w:pos="567"/>
          <w:tab w:val="num" w:pos="1569"/>
          <w:tab w:val="num" w:pos="12305"/>
        </w:tabs>
        <w:adjustRightInd w:val="0"/>
        <w:textAlignment w:val="baseline"/>
        <w:rPr>
          <w:rFonts w:eastAsia="Calibri"/>
          <w:sz w:val="20"/>
          <w:szCs w:val="20"/>
          <w:lang w:val="en-US" w:eastAsia="es-ES"/>
        </w:rPr>
      </w:pPr>
    </w:p>
    <w:p w14:paraId="22E6FF50" w14:textId="24883331" w:rsidR="006B2A4D" w:rsidRPr="00CF6765" w:rsidRDefault="00EC50FC"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w:t>
      </w:r>
      <w:r w:rsidRPr="00CF6765">
        <w:rPr>
          <w:rFonts w:eastAsia="Calibri"/>
          <w:b/>
          <w:bCs/>
          <w:i/>
          <w:iCs/>
          <w:sz w:val="20"/>
          <w:szCs w:val="20"/>
          <w:lang w:val="en-US" w:eastAsia="es-ES"/>
        </w:rPr>
        <w:t>State</w:t>
      </w:r>
      <w:r w:rsidR="006B2A4D" w:rsidRPr="00CF6765">
        <w:rPr>
          <w:rFonts w:eastAsia="Calibri"/>
          <w:b/>
          <w:bCs/>
          <w:i/>
          <w:iCs/>
          <w:sz w:val="20"/>
          <w:szCs w:val="20"/>
          <w:lang w:val="en-US" w:eastAsia="es-ES"/>
        </w:rPr>
        <w:t xml:space="preserve"> </w:t>
      </w:r>
      <w:r w:rsidR="00BD7B3F" w:rsidRPr="00CF6765">
        <w:rPr>
          <w:rFonts w:eastAsia="Calibri"/>
          <w:sz w:val="20"/>
          <w:szCs w:val="20"/>
          <w:lang w:val="en-US" w:eastAsia="es-ES"/>
        </w:rPr>
        <w:t>did not make any observations in this regard.</w:t>
      </w:r>
    </w:p>
    <w:p w14:paraId="12DD7256" w14:textId="77777777" w:rsidR="006B2A4D" w:rsidRPr="00CF6765" w:rsidRDefault="006B2A4D" w:rsidP="006B2A4D">
      <w:pPr>
        <w:rPr>
          <w:rFonts w:eastAsia="Calibri"/>
          <w:sz w:val="20"/>
          <w:szCs w:val="20"/>
          <w:lang w:val="en-US" w:eastAsia="es-ES"/>
        </w:rPr>
      </w:pPr>
    </w:p>
    <w:p w14:paraId="547811A7" w14:textId="65B4D1D9" w:rsidR="006B2A4D" w:rsidRPr="00CF6765" w:rsidRDefault="005C731C" w:rsidP="00BD7B3F">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The Court</w:t>
      </w:r>
      <w:r w:rsidR="006B2A4D" w:rsidRPr="00CF6765">
        <w:rPr>
          <w:rFonts w:eastAsia="Calibri"/>
          <w:sz w:val="20"/>
          <w:szCs w:val="20"/>
          <w:lang w:val="en-US" w:eastAsia="es-ES"/>
        </w:rPr>
        <w:t xml:space="preserve"> reitera</w:t>
      </w:r>
      <w:r w:rsidR="00BD7B3F" w:rsidRPr="00CF6765">
        <w:rPr>
          <w:rFonts w:eastAsia="Calibri"/>
          <w:sz w:val="20"/>
          <w:szCs w:val="20"/>
          <w:lang w:val="en-US" w:eastAsia="es-ES"/>
        </w:rPr>
        <w:t>tes that, pursuant to its case law,</w:t>
      </w:r>
      <w:r w:rsidR="006B2A4D" w:rsidRPr="00CF6765">
        <w:rPr>
          <w:rFonts w:eastAsia="Calibri"/>
          <w:sz w:val="20"/>
          <w:szCs w:val="20"/>
          <w:vertAlign w:val="superscript"/>
          <w:lang w:val="en-US" w:eastAsia="es-ES"/>
        </w:rPr>
        <w:footnoteReference w:id="327"/>
      </w:r>
      <w:r w:rsidR="006B2A4D" w:rsidRPr="00CF6765">
        <w:rPr>
          <w:rFonts w:eastAsia="Calibri"/>
          <w:sz w:val="20"/>
          <w:szCs w:val="20"/>
          <w:lang w:val="en-US" w:eastAsia="es-ES"/>
        </w:rPr>
        <w:t xml:space="preserve"> </w:t>
      </w:r>
      <w:r w:rsidR="00D2168F" w:rsidRPr="00CF6765">
        <w:rPr>
          <w:rFonts w:eastAsia="Calibri"/>
          <w:sz w:val="20"/>
          <w:szCs w:val="20"/>
          <w:lang w:val="en-US" w:eastAsia="es-ES"/>
        </w:rPr>
        <w:t>costs and expenses</w:t>
      </w:r>
      <w:r w:rsidR="006B2A4D" w:rsidRPr="00CF6765">
        <w:rPr>
          <w:rFonts w:eastAsia="Calibri"/>
          <w:sz w:val="20"/>
          <w:szCs w:val="20"/>
          <w:lang w:val="en-US" w:eastAsia="es-ES"/>
        </w:rPr>
        <w:t xml:space="preserve"> </w:t>
      </w:r>
      <w:r w:rsidR="00BD7B3F" w:rsidRPr="00CF6765">
        <w:rPr>
          <w:rFonts w:eastAsia="Calibri"/>
          <w:sz w:val="20"/>
          <w:szCs w:val="20"/>
          <w:lang w:val="en-US" w:eastAsia="es-ES"/>
        </w:rPr>
        <w:t>form part of the concept of reparation</w:t>
      </w:r>
      <w:r w:rsidR="00FA0E4A" w:rsidRPr="00CF6765">
        <w:rPr>
          <w:rFonts w:eastAsia="Calibri"/>
          <w:sz w:val="20"/>
          <w:szCs w:val="20"/>
          <w:lang w:val="en-US" w:eastAsia="es-ES"/>
        </w:rPr>
        <w:t>s</w:t>
      </w:r>
      <w:r w:rsidR="00BD7B3F" w:rsidRPr="00CF6765">
        <w:rPr>
          <w:rFonts w:eastAsia="Calibri"/>
          <w:sz w:val="20"/>
          <w:szCs w:val="20"/>
          <w:lang w:val="en-US" w:eastAsia="es-ES"/>
        </w:rPr>
        <w:t xml:space="preserve">, because the actions taken by the victims in order to obtain justice, at both the national and the international level, involve disbursements that should be compensated when the international responsibility of the State has been </w:t>
      </w:r>
      <w:r w:rsidR="002220BD" w:rsidRPr="00CF6765">
        <w:rPr>
          <w:rFonts w:eastAsia="Calibri"/>
          <w:sz w:val="20"/>
          <w:szCs w:val="20"/>
          <w:lang w:val="en-US" w:eastAsia="es-ES"/>
        </w:rPr>
        <w:t xml:space="preserve">declared in a judgment. Regarding the reimbursement of costs and expenses, it corresponds to the Court to assess their scope prudently, and this includes the expenses incurred before the authorities of the domestic jurisdiction as well as those incurred during the proceedings before the inter-American system, taking into account the circumstances of the specific case and the nature of the international jurisdiction for the protection of human rights. This assessment must be made taking into account the expenses indicated by the parties, provided their </w:t>
      </w:r>
      <w:r w:rsidR="006B2A4D" w:rsidRPr="00CF6765">
        <w:rPr>
          <w:rFonts w:eastAsia="Calibri"/>
          <w:i/>
          <w:sz w:val="20"/>
          <w:szCs w:val="20"/>
          <w:lang w:val="en-US" w:eastAsia="es-ES"/>
        </w:rPr>
        <w:t>quantum</w:t>
      </w:r>
      <w:r w:rsidR="006B2A4D" w:rsidRPr="00CF6765">
        <w:rPr>
          <w:rFonts w:eastAsia="Calibri"/>
          <w:sz w:val="20"/>
          <w:szCs w:val="20"/>
          <w:lang w:val="en-US" w:eastAsia="es-ES"/>
        </w:rPr>
        <w:t xml:space="preserve"> </w:t>
      </w:r>
      <w:r w:rsidR="002220BD" w:rsidRPr="00CF6765">
        <w:rPr>
          <w:rFonts w:eastAsia="Calibri"/>
          <w:sz w:val="20"/>
          <w:szCs w:val="20"/>
          <w:lang w:val="en-US" w:eastAsia="es-ES"/>
        </w:rPr>
        <w:t>is reasonable.</w:t>
      </w:r>
      <w:r w:rsidR="006B2A4D" w:rsidRPr="00CF6765">
        <w:rPr>
          <w:rFonts w:eastAsia="Calibri"/>
          <w:sz w:val="20"/>
          <w:szCs w:val="20"/>
          <w:vertAlign w:val="superscript"/>
          <w:lang w:val="en-US" w:eastAsia="es-ES"/>
        </w:rPr>
        <w:footnoteReference w:id="328"/>
      </w:r>
      <w:r w:rsidR="006B2A4D" w:rsidRPr="00CF6765">
        <w:rPr>
          <w:rFonts w:eastAsia="Calibri"/>
          <w:sz w:val="20"/>
          <w:szCs w:val="20"/>
          <w:lang w:val="en-US" w:eastAsia="es-ES"/>
        </w:rPr>
        <w:t xml:space="preserve"> </w:t>
      </w:r>
    </w:p>
    <w:p w14:paraId="1D4A074A" w14:textId="77777777" w:rsidR="006B2A4D" w:rsidRPr="00CF6765" w:rsidRDefault="006B2A4D" w:rsidP="006B2A4D">
      <w:pPr>
        <w:widowControl w:val="0"/>
        <w:tabs>
          <w:tab w:val="left" w:pos="567"/>
          <w:tab w:val="num" w:pos="1569"/>
          <w:tab w:val="num" w:pos="12305"/>
        </w:tabs>
        <w:adjustRightInd w:val="0"/>
        <w:textAlignment w:val="baseline"/>
        <w:rPr>
          <w:rFonts w:eastAsia="Calibri"/>
          <w:sz w:val="20"/>
          <w:szCs w:val="20"/>
          <w:lang w:val="en-US" w:eastAsia="es-ES"/>
        </w:rPr>
      </w:pPr>
    </w:p>
    <w:p w14:paraId="3C0670A2" w14:textId="251C5804" w:rsidR="006B2A4D" w:rsidRPr="00CF6765" w:rsidRDefault="002220BD" w:rsidP="002220B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Court has indicated that “the claims of the victims or their representatives with regard to </w:t>
      </w:r>
      <w:r w:rsidR="00D2168F" w:rsidRPr="00CF6765">
        <w:rPr>
          <w:rFonts w:eastAsia="Verdana" w:cs="Verdana"/>
          <w:sz w:val="20"/>
          <w:szCs w:val="20"/>
          <w:lang w:val="en-US" w:eastAsia="es-ES"/>
        </w:rPr>
        <w:t>costs and expenses</w:t>
      </w:r>
      <w:r w:rsidR="006B2A4D" w:rsidRPr="00CF6765">
        <w:rPr>
          <w:rFonts w:eastAsia="Verdana" w:cs="Verdana"/>
          <w:sz w:val="20"/>
          <w:szCs w:val="20"/>
          <w:lang w:val="en-US" w:eastAsia="es-ES"/>
        </w:rPr>
        <w:t>,</w:t>
      </w:r>
      <w:r w:rsidR="00EC50FC" w:rsidRPr="00CF6765">
        <w:rPr>
          <w:rFonts w:eastAsia="Verdana" w:cs="Verdana"/>
          <w:sz w:val="20"/>
          <w:szCs w:val="20"/>
          <w:lang w:val="en-US" w:eastAsia="es-ES"/>
        </w:rPr>
        <w:t xml:space="preserve"> and </w:t>
      </w:r>
      <w:r w:rsidRPr="00CF6765">
        <w:rPr>
          <w:rFonts w:eastAsia="Verdana" w:cs="Verdana"/>
          <w:sz w:val="20"/>
          <w:szCs w:val="20"/>
          <w:lang w:val="en-US" w:eastAsia="es-ES"/>
        </w:rPr>
        <w:t>the evidence that support</w:t>
      </w:r>
      <w:r w:rsidR="00FA0E4A" w:rsidRPr="00CF6765">
        <w:rPr>
          <w:rFonts w:eastAsia="Verdana" w:cs="Verdana"/>
          <w:sz w:val="20"/>
          <w:szCs w:val="20"/>
          <w:lang w:val="en-US" w:eastAsia="es-ES"/>
        </w:rPr>
        <w:t>s</w:t>
      </w:r>
      <w:r w:rsidRPr="00CF6765">
        <w:rPr>
          <w:rFonts w:eastAsia="Verdana" w:cs="Verdana"/>
          <w:sz w:val="20"/>
          <w:szCs w:val="20"/>
          <w:lang w:val="en-US" w:eastAsia="es-ES"/>
        </w:rPr>
        <w:t xml:space="preserve"> the</w:t>
      </w:r>
      <w:r w:rsidR="00FA0E4A" w:rsidRPr="00CF6765">
        <w:rPr>
          <w:rFonts w:eastAsia="Verdana" w:cs="Verdana"/>
          <w:sz w:val="20"/>
          <w:szCs w:val="20"/>
          <w:lang w:val="en-US" w:eastAsia="es-ES"/>
        </w:rPr>
        <w:t>se</w:t>
      </w:r>
      <w:r w:rsidRPr="00CF6765">
        <w:rPr>
          <w:rFonts w:eastAsia="Verdana" w:cs="Verdana"/>
          <w:sz w:val="20"/>
          <w:szCs w:val="20"/>
          <w:lang w:val="en-US" w:eastAsia="es-ES"/>
        </w:rPr>
        <w:t xml:space="preserve"> must be submitted to the Court at the first procedural moment granted them; that is, in </w:t>
      </w:r>
      <w:r w:rsidR="00D2168F" w:rsidRPr="00CF6765">
        <w:rPr>
          <w:rFonts w:eastAsia="Verdana" w:cs="Verdana"/>
          <w:sz w:val="20"/>
          <w:szCs w:val="20"/>
          <w:lang w:val="en-US" w:eastAsia="es-ES"/>
        </w:rPr>
        <w:t>the pleadings and motions brie</w:t>
      </w:r>
      <w:r w:rsidRPr="00CF6765">
        <w:rPr>
          <w:rFonts w:eastAsia="Verdana" w:cs="Verdana"/>
          <w:sz w:val="20"/>
          <w:szCs w:val="20"/>
          <w:lang w:val="en-US" w:eastAsia="es-ES"/>
        </w:rPr>
        <w:t xml:space="preserve">f, without prejudice to updating those claims subsequently, </w:t>
      </w:r>
      <w:r w:rsidR="00FA0E4A" w:rsidRPr="00CF6765">
        <w:rPr>
          <w:rFonts w:eastAsia="Verdana" w:cs="Verdana"/>
          <w:sz w:val="20"/>
          <w:szCs w:val="20"/>
          <w:lang w:val="en-US" w:eastAsia="es-ES"/>
        </w:rPr>
        <w:t>based on</w:t>
      </w:r>
      <w:r w:rsidRPr="00CF6765">
        <w:rPr>
          <w:rFonts w:eastAsia="Verdana" w:cs="Verdana"/>
          <w:sz w:val="20"/>
          <w:szCs w:val="20"/>
          <w:lang w:val="en-US" w:eastAsia="es-ES"/>
        </w:rPr>
        <w:t xml:space="preserve"> the new </w:t>
      </w:r>
      <w:r w:rsidR="00D2168F" w:rsidRPr="00CF6765">
        <w:rPr>
          <w:rFonts w:eastAsia="Verdana" w:cs="Verdana"/>
          <w:sz w:val="20"/>
          <w:szCs w:val="20"/>
          <w:lang w:val="en-US" w:eastAsia="es-ES"/>
        </w:rPr>
        <w:t>costs and expenses</w:t>
      </w:r>
      <w:r w:rsidR="006B2A4D" w:rsidRPr="00CF6765">
        <w:rPr>
          <w:rFonts w:eastAsia="Verdana" w:cs="Verdana"/>
          <w:sz w:val="20"/>
          <w:szCs w:val="20"/>
          <w:lang w:val="en-US" w:eastAsia="es-ES"/>
        </w:rPr>
        <w:t xml:space="preserve"> </w:t>
      </w:r>
      <w:r w:rsidRPr="00CF6765">
        <w:rPr>
          <w:rFonts w:eastAsia="Verdana" w:cs="Verdana"/>
          <w:sz w:val="20"/>
          <w:szCs w:val="20"/>
          <w:lang w:val="en-US" w:eastAsia="es-ES"/>
        </w:rPr>
        <w:t>incurred during the proceedings before this Court.</w:t>
      </w:r>
      <w:r w:rsidR="006B2A4D" w:rsidRPr="00CF6765">
        <w:rPr>
          <w:rFonts w:eastAsia="Verdana" w:cs="Verdana"/>
          <w:sz w:val="20"/>
          <w:szCs w:val="20"/>
          <w:lang w:val="en-US" w:eastAsia="es-ES"/>
        </w:rPr>
        <w:t>”</w:t>
      </w:r>
      <w:r w:rsidR="006B2A4D" w:rsidRPr="00CF6765">
        <w:rPr>
          <w:rFonts w:eastAsia="Verdana" w:cs="Verdana"/>
          <w:sz w:val="20"/>
          <w:szCs w:val="20"/>
          <w:vertAlign w:val="superscript"/>
          <w:lang w:val="en-US" w:eastAsia="es-ES"/>
        </w:rPr>
        <w:footnoteReference w:id="329"/>
      </w:r>
      <w:r w:rsidRPr="00CF6765">
        <w:rPr>
          <w:rFonts w:eastAsia="Verdana" w:cs="Verdana"/>
          <w:sz w:val="20"/>
          <w:szCs w:val="20"/>
          <w:lang w:val="en-US" w:eastAsia="es-ES"/>
        </w:rPr>
        <w:t xml:space="preserve"> In addition, the Court reiterates that it is not sufficient merely to submit probative documents</w:t>
      </w:r>
      <w:r w:rsidR="00FA0E4A" w:rsidRPr="00CF6765">
        <w:rPr>
          <w:rFonts w:eastAsia="Verdana" w:cs="Verdana"/>
          <w:sz w:val="20"/>
          <w:szCs w:val="20"/>
          <w:lang w:val="en-US" w:eastAsia="es-ES"/>
        </w:rPr>
        <w:t>; rather,</w:t>
      </w:r>
      <w:r w:rsidRPr="00CF6765">
        <w:rPr>
          <w:rFonts w:eastAsia="Verdana" w:cs="Verdana"/>
          <w:sz w:val="20"/>
          <w:szCs w:val="20"/>
          <w:lang w:val="en-US" w:eastAsia="es-ES"/>
        </w:rPr>
        <w:t xml:space="preserve"> the parties are required to include arguments that relate the evidence to the fact it is considered to </w:t>
      </w:r>
      <w:r w:rsidR="00FB2D33" w:rsidRPr="00CF6765">
        <w:rPr>
          <w:rFonts w:eastAsia="Verdana" w:cs="Verdana"/>
          <w:sz w:val="20"/>
          <w:szCs w:val="20"/>
          <w:lang w:val="en-US" w:eastAsia="es-ES"/>
        </w:rPr>
        <w:t>represent</w:t>
      </w:r>
      <w:r w:rsidRPr="00CF6765">
        <w:rPr>
          <w:rFonts w:eastAsia="Verdana" w:cs="Verdana"/>
          <w:sz w:val="20"/>
          <w:szCs w:val="20"/>
          <w:lang w:val="en-US" w:eastAsia="es-ES"/>
        </w:rPr>
        <w:t xml:space="preserve"> and, in the case of alleged financial disbursements, the items and their justification must be clearly established.</w:t>
      </w:r>
      <w:r w:rsidR="006B2A4D" w:rsidRPr="00CF6765">
        <w:rPr>
          <w:rFonts w:eastAsia="Verdana" w:cs="Verdana"/>
          <w:spacing w:val="7"/>
          <w:sz w:val="20"/>
          <w:szCs w:val="20"/>
          <w:vertAlign w:val="superscript"/>
          <w:lang w:val="en-US" w:eastAsia="es-ES"/>
        </w:rPr>
        <w:footnoteReference w:id="330"/>
      </w:r>
      <w:r w:rsidR="006B2A4D" w:rsidRPr="00CF6765">
        <w:rPr>
          <w:rFonts w:eastAsia="Calibri"/>
          <w:sz w:val="20"/>
          <w:szCs w:val="20"/>
          <w:lang w:val="en-US" w:eastAsia="es-ES"/>
        </w:rPr>
        <w:t xml:space="preserve"> </w:t>
      </w:r>
    </w:p>
    <w:p w14:paraId="5E1BCD05" w14:textId="77777777" w:rsidR="006B2A4D" w:rsidRPr="00CF6765" w:rsidRDefault="006B2A4D" w:rsidP="006B2A4D">
      <w:pPr>
        <w:widowControl w:val="0"/>
        <w:tabs>
          <w:tab w:val="left" w:pos="567"/>
          <w:tab w:val="num" w:pos="1569"/>
          <w:tab w:val="num" w:pos="12305"/>
        </w:tabs>
        <w:adjustRightInd w:val="0"/>
        <w:textAlignment w:val="baseline"/>
        <w:rPr>
          <w:rFonts w:eastAsia="Calibri"/>
          <w:sz w:val="20"/>
          <w:szCs w:val="20"/>
          <w:lang w:val="en-US" w:eastAsia="es-ES"/>
        </w:rPr>
      </w:pPr>
    </w:p>
    <w:p w14:paraId="6B950E4F" w14:textId="0947B168" w:rsidR="006B2A4D" w:rsidRPr="00CF6765" w:rsidRDefault="002220BD" w:rsidP="0020515E">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In this case, the Court notes that </w:t>
      </w:r>
      <w:r w:rsidR="00EC50FC" w:rsidRPr="00CF6765">
        <w:rPr>
          <w:rFonts w:eastAsia="Calibri"/>
          <w:color w:val="000000"/>
          <w:sz w:val="20"/>
          <w:szCs w:val="20"/>
          <w:lang w:val="en-US" w:eastAsia="es-ES"/>
        </w:rPr>
        <w:t>the representatives</w:t>
      </w:r>
      <w:r w:rsidR="006B2A4D" w:rsidRPr="00CF6765">
        <w:rPr>
          <w:rFonts w:eastAsia="Calibri"/>
          <w:color w:val="000000"/>
          <w:sz w:val="20"/>
          <w:szCs w:val="20"/>
          <w:lang w:val="en-US" w:eastAsia="es-ES"/>
        </w:rPr>
        <w:t xml:space="preserve"> </w:t>
      </w:r>
      <w:r w:rsidRPr="00CF6765">
        <w:rPr>
          <w:rFonts w:eastAsia="Calibri"/>
          <w:color w:val="000000"/>
          <w:sz w:val="20"/>
          <w:szCs w:val="20"/>
          <w:lang w:val="en-US" w:eastAsia="es-ES"/>
        </w:rPr>
        <w:t xml:space="preserve">did not refer to the amount of the expenses incurred during the litigation at the national level or provide any evidence in this regard. Therefore, the Court has no </w:t>
      </w:r>
      <w:r w:rsidR="0020515E" w:rsidRPr="00CF6765">
        <w:rPr>
          <w:rFonts w:eastAsia="Calibri"/>
          <w:color w:val="000000"/>
          <w:sz w:val="20"/>
          <w:szCs w:val="20"/>
          <w:lang w:val="en-US" w:eastAsia="es-ES"/>
        </w:rPr>
        <w:t xml:space="preserve">evidence to determine the disbursements made. No evidence was provided either with regard to the expenses incurred during the international proceedings, because the vouchers were lost as the result of a fire in the family home. However, the Court considers that it is reasonable to suppose that during the years </w:t>
      </w:r>
      <w:r w:rsidR="00223CAB" w:rsidRPr="00CF6765">
        <w:rPr>
          <w:rFonts w:eastAsia="Calibri"/>
          <w:color w:val="000000"/>
          <w:sz w:val="20"/>
          <w:szCs w:val="20"/>
          <w:lang w:val="en-US" w:eastAsia="es-ES"/>
        </w:rPr>
        <w:t>that this case was processed</w:t>
      </w:r>
      <w:r w:rsidR="0020515E" w:rsidRPr="00CF6765">
        <w:rPr>
          <w:rFonts w:eastAsia="Calibri"/>
          <w:color w:val="000000"/>
          <w:sz w:val="20"/>
          <w:szCs w:val="20"/>
          <w:lang w:val="en-US" w:eastAsia="es-ES"/>
        </w:rPr>
        <w:t xml:space="preserve"> before the domestic jurisdiction, the victims had financial disbursements. The Court also considers it reasonable that th</w:t>
      </w:r>
      <w:r w:rsidR="00223CAB" w:rsidRPr="00CF6765">
        <w:rPr>
          <w:rFonts w:eastAsia="Calibri"/>
          <w:color w:val="000000"/>
          <w:sz w:val="20"/>
          <w:szCs w:val="20"/>
          <w:lang w:val="en-US" w:eastAsia="es-ES"/>
        </w:rPr>
        <w:t>e</w:t>
      </w:r>
      <w:r w:rsidR="0020515E" w:rsidRPr="00CF6765">
        <w:rPr>
          <w:rFonts w:eastAsia="Calibri"/>
          <w:color w:val="000000"/>
          <w:sz w:val="20"/>
          <w:szCs w:val="20"/>
          <w:lang w:val="en-US" w:eastAsia="es-ES"/>
        </w:rPr>
        <w:t xml:space="preserve"> victims in this case and their representatives incurred different expenses relating to fees, collection of evidence, transportation and communications, among others, during the international processing of this case. Consequently, the Court decides to establish the reasonable sum of </w:t>
      </w:r>
      <w:r w:rsidR="006B2A4D" w:rsidRPr="00CF6765">
        <w:rPr>
          <w:rFonts w:eastAsia="Calibri"/>
          <w:sz w:val="20"/>
          <w:lang w:val="en-US" w:eastAsia="es-ES"/>
        </w:rPr>
        <w:t>US</w:t>
      </w:r>
      <w:r w:rsidR="006B2A4D" w:rsidRPr="00CF6765">
        <w:rPr>
          <w:rFonts w:eastAsia="Calibri"/>
          <w:sz w:val="20"/>
          <w:szCs w:val="20"/>
          <w:lang w:val="en-US" w:eastAsia="es-ES"/>
        </w:rPr>
        <w:t>$</w:t>
      </w:r>
      <w:r w:rsidR="00F377B4" w:rsidRPr="00CF6765">
        <w:rPr>
          <w:rFonts w:eastAsia="Calibri"/>
          <w:sz w:val="20"/>
          <w:szCs w:val="20"/>
          <w:lang w:val="en-US" w:eastAsia="es-ES"/>
        </w:rPr>
        <w:t>15,000</w:t>
      </w:r>
      <w:r w:rsidR="006B2A4D" w:rsidRPr="00CF6765">
        <w:rPr>
          <w:rFonts w:eastAsia="Calibri"/>
          <w:sz w:val="20"/>
          <w:lang w:val="en-US" w:eastAsia="es-ES"/>
        </w:rPr>
        <w:t xml:space="preserve"> </w:t>
      </w:r>
      <w:r w:rsidR="00F24D4D" w:rsidRPr="00CF6765">
        <w:rPr>
          <w:rFonts w:eastAsia="Calibri"/>
          <w:sz w:val="20"/>
          <w:lang w:val="en-US" w:eastAsia="es-ES"/>
        </w:rPr>
        <w:t>(</w:t>
      </w:r>
      <w:r w:rsidR="003A09FD" w:rsidRPr="00CF6765">
        <w:rPr>
          <w:rFonts w:eastAsia="Calibri"/>
          <w:sz w:val="20"/>
          <w:lang w:val="en-US" w:eastAsia="es-ES"/>
        </w:rPr>
        <w:t>fifteen thousand</w:t>
      </w:r>
      <w:r w:rsidR="00F24D4D" w:rsidRPr="00CF6765">
        <w:rPr>
          <w:rFonts w:eastAsia="Calibri"/>
          <w:sz w:val="20"/>
          <w:lang w:val="en-US" w:eastAsia="es-ES"/>
        </w:rPr>
        <w:t xml:space="preserve"> </w:t>
      </w:r>
      <w:r w:rsidR="003E0087" w:rsidRPr="00CF6765">
        <w:rPr>
          <w:rFonts w:eastAsia="Calibri"/>
          <w:sz w:val="20"/>
          <w:lang w:val="en-US" w:eastAsia="es-ES"/>
        </w:rPr>
        <w:t>United States dollars</w:t>
      </w:r>
      <w:r w:rsidR="006B2A4D" w:rsidRPr="00CF6765">
        <w:rPr>
          <w:rFonts w:eastAsia="Calibri"/>
          <w:sz w:val="20"/>
          <w:lang w:val="en-US" w:eastAsia="es-ES"/>
        </w:rPr>
        <w:t>)</w:t>
      </w:r>
      <w:r w:rsidR="006B2A4D" w:rsidRPr="00CF6765">
        <w:rPr>
          <w:rFonts w:eastAsia="Calibri"/>
          <w:sz w:val="20"/>
          <w:szCs w:val="20"/>
          <w:lang w:val="en-US" w:eastAsia="es-ES"/>
        </w:rPr>
        <w:t xml:space="preserve"> </w:t>
      </w:r>
      <w:r w:rsidR="00E27148" w:rsidRPr="00CF6765">
        <w:rPr>
          <w:rFonts w:eastAsia="Calibri"/>
          <w:sz w:val="20"/>
          <w:szCs w:val="20"/>
          <w:lang w:val="en-US" w:eastAsia="es-ES"/>
        </w:rPr>
        <w:t>based on</w:t>
      </w:r>
      <w:r w:rsidR="0020515E" w:rsidRPr="00CF6765">
        <w:rPr>
          <w:rFonts w:eastAsia="Calibri"/>
          <w:sz w:val="20"/>
          <w:szCs w:val="20"/>
          <w:lang w:val="en-US" w:eastAsia="es-ES"/>
        </w:rPr>
        <w:t xml:space="preserve"> the work carried out during the </w:t>
      </w:r>
      <w:r w:rsidR="00FB2D33" w:rsidRPr="00CF6765">
        <w:rPr>
          <w:rFonts w:eastAsia="Calibri"/>
          <w:sz w:val="20"/>
          <w:szCs w:val="20"/>
          <w:lang w:val="en-US" w:eastAsia="es-ES"/>
        </w:rPr>
        <w:t>litigation</w:t>
      </w:r>
      <w:r w:rsidR="0020515E" w:rsidRPr="00CF6765">
        <w:rPr>
          <w:rFonts w:eastAsia="Calibri"/>
          <w:sz w:val="20"/>
          <w:szCs w:val="20"/>
          <w:lang w:val="en-US" w:eastAsia="es-ES"/>
        </w:rPr>
        <w:t xml:space="preserve"> of this case, and this must be delivered to the surviving victims in this case, who may deliver it to the corresponding persons</w:t>
      </w:r>
      <w:r w:rsidR="0067422A" w:rsidRPr="00CF6765">
        <w:rPr>
          <w:rFonts w:eastAsia="Calibri"/>
          <w:sz w:val="20"/>
          <w:szCs w:val="20"/>
          <w:lang w:val="en-US" w:eastAsia="es-ES"/>
        </w:rPr>
        <w:t>. This</w:t>
      </w:r>
      <w:r w:rsidR="0020515E" w:rsidRPr="00CF6765">
        <w:rPr>
          <w:rFonts w:eastAsia="Calibri"/>
          <w:sz w:val="20"/>
          <w:szCs w:val="20"/>
          <w:lang w:val="en-US" w:eastAsia="es-ES"/>
        </w:rPr>
        <w:t xml:space="preserve"> will not be monitored by the Court. </w:t>
      </w:r>
    </w:p>
    <w:p w14:paraId="5052D034" w14:textId="77777777" w:rsidR="006B2A4D" w:rsidRPr="00CF6765" w:rsidRDefault="006B2A4D" w:rsidP="006B2A4D">
      <w:pPr>
        <w:widowControl w:val="0"/>
        <w:tabs>
          <w:tab w:val="left" w:pos="567"/>
          <w:tab w:val="num" w:pos="1569"/>
          <w:tab w:val="num" w:pos="12305"/>
        </w:tabs>
        <w:adjustRightInd w:val="0"/>
        <w:textAlignment w:val="baseline"/>
        <w:rPr>
          <w:rFonts w:eastAsia="Calibri"/>
          <w:sz w:val="20"/>
          <w:szCs w:val="20"/>
          <w:lang w:val="en-US" w:eastAsia="es-ES"/>
        </w:rPr>
      </w:pPr>
    </w:p>
    <w:p w14:paraId="140A3D20" w14:textId="7E4D704E" w:rsidR="006B2A4D" w:rsidRPr="00CF6765" w:rsidRDefault="003E0087" w:rsidP="002726E0">
      <w:pPr>
        <w:pStyle w:val="Ttulo2"/>
        <w:numPr>
          <w:ilvl w:val="0"/>
          <w:numId w:val="13"/>
        </w:numPr>
        <w:rPr>
          <w:lang w:val="en-US"/>
        </w:rPr>
      </w:pPr>
      <w:bookmarkStart w:id="127" w:name="_Toc498333530"/>
      <w:bookmarkStart w:id="128" w:name="_Toc47864409"/>
      <w:r w:rsidRPr="00CF6765">
        <w:rPr>
          <w:lang w:val="en-US"/>
        </w:rPr>
        <w:t>Reimbursement of expenses to the</w:t>
      </w:r>
      <w:r w:rsidR="006B2A4D" w:rsidRPr="00CF6765">
        <w:rPr>
          <w:lang w:val="en-US"/>
        </w:rPr>
        <w:t xml:space="preserve"> </w:t>
      </w:r>
      <w:r w:rsidR="00D2168F" w:rsidRPr="00CF6765">
        <w:rPr>
          <w:lang w:val="en-US"/>
        </w:rPr>
        <w:t>Victims’ Legal Assistance Fund</w:t>
      </w:r>
      <w:bookmarkEnd w:id="127"/>
      <w:bookmarkEnd w:id="128"/>
    </w:p>
    <w:p w14:paraId="67D7AD1E" w14:textId="77777777" w:rsidR="006B2A4D" w:rsidRPr="00CF6765" w:rsidRDefault="006B2A4D" w:rsidP="006B2A4D">
      <w:pPr>
        <w:keepNext/>
        <w:keepLines/>
        <w:outlineLvl w:val="1"/>
        <w:rPr>
          <w:b/>
          <w:bCs/>
          <w:i/>
          <w:sz w:val="20"/>
          <w:szCs w:val="20"/>
          <w:lang w:val="en-US" w:eastAsia="en-US"/>
        </w:rPr>
      </w:pPr>
    </w:p>
    <w:p w14:paraId="58195674" w14:textId="1F8F558D" w:rsidR="006B2A4D" w:rsidRPr="00CF6765" w:rsidRDefault="006B2A4D" w:rsidP="003A09FD">
      <w:pPr>
        <w:widowControl w:val="0"/>
        <w:numPr>
          <w:ilvl w:val="0"/>
          <w:numId w:val="2"/>
        </w:numPr>
        <w:tabs>
          <w:tab w:val="left" w:pos="567"/>
          <w:tab w:val="num" w:pos="709"/>
          <w:tab w:val="num" w:pos="1569"/>
          <w:tab w:val="num" w:pos="12305"/>
        </w:tabs>
        <w:adjustRightInd w:val="0"/>
        <w:ind w:left="0" w:firstLine="0"/>
        <w:textAlignment w:val="baseline"/>
        <w:rPr>
          <w:rFonts w:eastAsia="Calibri" w:cs="Verdana"/>
          <w:color w:val="000000"/>
          <w:sz w:val="20"/>
          <w:szCs w:val="20"/>
          <w:lang w:val="en-US" w:eastAsia="es-ES"/>
        </w:rPr>
      </w:pPr>
      <w:r w:rsidRPr="00CF6765">
        <w:rPr>
          <w:rFonts w:eastAsia="Calibri" w:cs="Verdana"/>
          <w:color w:val="000000"/>
          <w:sz w:val="20"/>
          <w:szCs w:val="20"/>
          <w:lang w:val="en-US" w:eastAsia="es-ES"/>
        </w:rPr>
        <w:t xml:space="preserve"> </w:t>
      </w:r>
      <w:r w:rsidR="003E0087" w:rsidRPr="00CF6765">
        <w:rPr>
          <w:rFonts w:eastAsia="Calibri" w:cs="Verdana"/>
          <w:bCs/>
          <w:iCs/>
          <w:color w:val="000000"/>
          <w:sz w:val="20"/>
          <w:szCs w:val="20"/>
          <w:lang w:val="en-US" w:eastAsia="es-ES"/>
        </w:rPr>
        <w:t>In</w:t>
      </w:r>
      <w:r w:rsidRPr="00CF6765">
        <w:rPr>
          <w:rFonts w:eastAsia="Calibri" w:cs="Verdana"/>
          <w:bCs/>
          <w:iCs/>
          <w:color w:val="000000"/>
          <w:sz w:val="20"/>
          <w:szCs w:val="20"/>
          <w:lang w:val="en-US" w:eastAsia="es-ES"/>
        </w:rPr>
        <w:t xml:space="preserve"> 2008</w:t>
      </w:r>
      <w:r w:rsidR="003E0087" w:rsidRPr="00CF6765">
        <w:rPr>
          <w:rFonts w:eastAsia="Calibri" w:cs="Verdana"/>
          <w:bCs/>
          <w:iCs/>
          <w:color w:val="000000"/>
          <w:sz w:val="20"/>
          <w:szCs w:val="20"/>
          <w:lang w:val="en-US" w:eastAsia="es-ES"/>
        </w:rPr>
        <w:t>, the General Assembly of the</w:t>
      </w:r>
      <w:r w:rsidRPr="00CF6765">
        <w:rPr>
          <w:rFonts w:eastAsia="Calibri" w:cs="Verdana"/>
          <w:bCs/>
          <w:iCs/>
          <w:color w:val="000000"/>
          <w:sz w:val="20"/>
          <w:szCs w:val="20"/>
          <w:lang w:val="en-US" w:eastAsia="es-ES"/>
        </w:rPr>
        <w:t xml:space="preserve"> </w:t>
      </w:r>
      <w:r w:rsidR="007A3516" w:rsidRPr="00CF6765">
        <w:rPr>
          <w:rFonts w:eastAsia="Calibri" w:cs="Verdana"/>
          <w:bCs/>
          <w:iCs/>
          <w:color w:val="000000"/>
          <w:sz w:val="20"/>
          <w:szCs w:val="20"/>
          <w:lang w:val="en-US" w:eastAsia="es-ES"/>
        </w:rPr>
        <w:t>Organization of American States</w:t>
      </w:r>
      <w:r w:rsidRPr="00CF6765">
        <w:rPr>
          <w:rFonts w:eastAsia="Calibri" w:cs="Verdana"/>
          <w:bCs/>
          <w:iCs/>
          <w:color w:val="000000"/>
          <w:sz w:val="20"/>
          <w:szCs w:val="20"/>
          <w:lang w:val="en-US" w:eastAsia="es-ES"/>
        </w:rPr>
        <w:t xml:space="preserve"> </w:t>
      </w:r>
      <w:r w:rsidR="003E0087" w:rsidRPr="00CF6765">
        <w:rPr>
          <w:rFonts w:eastAsia="Calibri" w:cs="Verdana"/>
          <w:bCs/>
          <w:iCs/>
          <w:color w:val="000000"/>
          <w:sz w:val="20"/>
          <w:szCs w:val="20"/>
          <w:lang w:val="en-US" w:eastAsia="es-ES"/>
        </w:rPr>
        <w:t xml:space="preserve">created the Legal Assistance Fund of the </w:t>
      </w:r>
      <w:r w:rsidR="0067422A" w:rsidRPr="00CF6765">
        <w:rPr>
          <w:rFonts w:eastAsia="Calibri" w:cs="Verdana"/>
          <w:bCs/>
          <w:iCs/>
          <w:color w:val="000000"/>
          <w:sz w:val="20"/>
          <w:szCs w:val="20"/>
          <w:lang w:val="en-US" w:eastAsia="es-ES"/>
        </w:rPr>
        <w:t>Inter-</w:t>
      </w:r>
      <w:r w:rsidR="003E0087" w:rsidRPr="00CF6765">
        <w:rPr>
          <w:rFonts w:eastAsia="Calibri" w:cs="Verdana"/>
          <w:bCs/>
          <w:iCs/>
          <w:color w:val="000000"/>
          <w:sz w:val="20"/>
          <w:szCs w:val="20"/>
          <w:lang w:val="en-US" w:eastAsia="es-ES"/>
        </w:rPr>
        <w:t xml:space="preserve">American </w:t>
      </w:r>
      <w:r w:rsidR="0067422A" w:rsidRPr="00CF6765">
        <w:rPr>
          <w:rFonts w:eastAsia="Calibri" w:cs="Verdana"/>
          <w:bCs/>
          <w:iCs/>
          <w:color w:val="000000"/>
          <w:sz w:val="20"/>
          <w:szCs w:val="20"/>
          <w:lang w:val="en-US" w:eastAsia="es-ES"/>
        </w:rPr>
        <w:t xml:space="preserve">System of Human Rights </w:t>
      </w:r>
      <w:r w:rsidR="003E0087" w:rsidRPr="00CF6765">
        <w:rPr>
          <w:rFonts w:eastAsia="Calibri" w:cs="Verdana"/>
          <w:bCs/>
          <w:iCs/>
          <w:color w:val="000000"/>
          <w:sz w:val="20"/>
          <w:szCs w:val="20"/>
          <w:lang w:val="en-US" w:eastAsia="es-ES"/>
        </w:rPr>
        <w:t xml:space="preserve">in order “to facilitate access to the inter-American </w:t>
      </w:r>
      <w:r w:rsidR="003A09FD" w:rsidRPr="00CF6765">
        <w:rPr>
          <w:rFonts w:eastAsia="Calibri" w:cs="Verdana"/>
          <w:bCs/>
          <w:iCs/>
          <w:color w:val="000000"/>
          <w:sz w:val="20"/>
          <w:szCs w:val="20"/>
          <w:lang w:val="en-US" w:eastAsia="es-ES"/>
        </w:rPr>
        <w:t xml:space="preserve">human rights </w:t>
      </w:r>
      <w:r w:rsidR="003E0087" w:rsidRPr="00CF6765">
        <w:rPr>
          <w:rFonts w:eastAsia="Calibri" w:cs="Verdana"/>
          <w:bCs/>
          <w:iCs/>
          <w:color w:val="000000"/>
          <w:sz w:val="20"/>
          <w:szCs w:val="20"/>
          <w:lang w:val="en-US" w:eastAsia="es-ES"/>
        </w:rPr>
        <w:t xml:space="preserve">system </w:t>
      </w:r>
      <w:r w:rsidR="003A09FD" w:rsidRPr="00CF6765">
        <w:rPr>
          <w:rFonts w:eastAsia="Calibri" w:cs="Verdana"/>
          <w:bCs/>
          <w:iCs/>
          <w:color w:val="000000"/>
          <w:sz w:val="20"/>
          <w:szCs w:val="20"/>
          <w:lang w:val="en-US" w:eastAsia="es-ES"/>
        </w:rPr>
        <w:t>by</w:t>
      </w:r>
      <w:r w:rsidR="003E0087" w:rsidRPr="00CF6765">
        <w:rPr>
          <w:rFonts w:eastAsia="Calibri" w:cs="Verdana"/>
          <w:bCs/>
          <w:iCs/>
          <w:color w:val="000000"/>
          <w:sz w:val="20"/>
          <w:szCs w:val="20"/>
          <w:lang w:val="en-US" w:eastAsia="es-ES"/>
        </w:rPr>
        <w:t xml:space="preserve"> persons who</w:t>
      </w:r>
      <w:r w:rsidR="003A09FD" w:rsidRPr="00CF6765">
        <w:rPr>
          <w:rFonts w:eastAsia="Calibri" w:cs="Verdana"/>
          <w:bCs/>
          <w:iCs/>
          <w:color w:val="000000"/>
          <w:sz w:val="20"/>
          <w:szCs w:val="20"/>
          <w:lang w:val="en-US" w:eastAsia="es-ES"/>
        </w:rPr>
        <w:t xml:space="preserve"> currently</w:t>
      </w:r>
      <w:r w:rsidR="003E0087" w:rsidRPr="00CF6765">
        <w:rPr>
          <w:rFonts w:eastAsia="Calibri" w:cs="Verdana"/>
          <w:bCs/>
          <w:iCs/>
          <w:color w:val="000000"/>
          <w:sz w:val="20"/>
          <w:szCs w:val="20"/>
          <w:lang w:val="en-US" w:eastAsia="es-ES"/>
        </w:rPr>
        <w:t xml:space="preserve"> lack </w:t>
      </w:r>
      <w:r w:rsidR="003A09FD" w:rsidRPr="00CF6765">
        <w:rPr>
          <w:rFonts w:eastAsia="Calibri" w:cs="Verdana"/>
          <w:bCs/>
          <w:iCs/>
          <w:color w:val="000000"/>
          <w:sz w:val="20"/>
          <w:szCs w:val="20"/>
          <w:lang w:val="en-US" w:eastAsia="es-ES"/>
        </w:rPr>
        <w:t>the</w:t>
      </w:r>
      <w:r w:rsidR="003E0087" w:rsidRPr="00CF6765">
        <w:rPr>
          <w:rFonts w:eastAsia="Calibri" w:cs="Verdana"/>
          <w:bCs/>
          <w:iCs/>
          <w:color w:val="000000"/>
          <w:sz w:val="20"/>
          <w:szCs w:val="20"/>
          <w:lang w:val="en-US" w:eastAsia="es-ES"/>
        </w:rPr>
        <w:t xml:space="preserve"> resource</w:t>
      </w:r>
      <w:r w:rsidR="003A09FD" w:rsidRPr="00CF6765">
        <w:rPr>
          <w:rFonts w:eastAsia="Calibri" w:cs="Verdana"/>
          <w:bCs/>
          <w:iCs/>
          <w:color w:val="000000"/>
          <w:sz w:val="20"/>
          <w:szCs w:val="20"/>
          <w:lang w:val="en-US" w:eastAsia="es-ES"/>
        </w:rPr>
        <w:t xml:space="preserve">s needed to bring </w:t>
      </w:r>
      <w:r w:rsidR="003A09FD" w:rsidRPr="00CF6765">
        <w:rPr>
          <w:rFonts w:eastAsia="Calibri" w:cs="Verdana"/>
          <w:bCs/>
          <w:iCs/>
          <w:color w:val="000000"/>
          <w:sz w:val="20"/>
          <w:szCs w:val="20"/>
          <w:lang w:val="en-US" w:eastAsia="es-ES"/>
        </w:rPr>
        <w:lastRenderedPageBreak/>
        <w:t xml:space="preserve">their cases before the </w:t>
      </w:r>
      <w:r w:rsidR="003E0087" w:rsidRPr="00CF6765">
        <w:rPr>
          <w:rFonts w:eastAsia="Calibri" w:cs="Verdana"/>
          <w:bCs/>
          <w:iCs/>
          <w:color w:val="000000"/>
          <w:sz w:val="20"/>
          <w:szCs w:val="20"/>
          <w:lang w:val="en-US" w:eastAsia="es-ES"/>
        </w:rPr>
        <w:t>system.</w:t>
      </w:r>
      <w:r w:rsidRPr="00CF6765">
        <w:rPr>
          <w:rFonts w:eastAsia="Calibri" w:cs="Verdana"/>
          <w:bCs/>
          <w:iCs/>
          <w:color w:val="000000"/>
          <w:sz w:val="20"/>
          <w:szCs w:val="20"/>
          <w:lang w:val="en-US" w:eastAsia="es-ES"/>
        </w:rPr>
        <w:t>”</w:t>
      </w:r>
      <w:r w:rsidRPr="00CF6765">
        <w:rPr>
          <w:rFonts w:eastAsia="Calibri" w:cs="Verdana"/>
          <w:bCs/>
          <w:iCs/>
          <w:color w:val="000000"/>
          <w:sz w:val="20"/>
          <w:szCs w:val="20"/>
          <w:vertAlign w:val="superscript"/>
          <w:lang w:val="en-US" w:eastAsia="es-ES"/>
        </w:rPr>
        <w:footnoteReference w:id="331"/>
      </w:r>
      <w:r w:rsidRPr="00CF6765">
        <w:rPr>
          <w:rFonts w:eastAsia="Calibri" w:cs="Verdana"/>
          <w:bCs/>
          <w:iCs/>
          <w:color w:val="000000"/>
          <w:sz w:val="20"/>
          <w:szCs w:val="20"/>
          <w:lang w:val="en-US" w:eastAsia="es-ES"/>
        </w:rPr>
        <w:t xml:space="preserve"> </w:t>
      </w:r>
      <w:r w:rsidR="00D2168F" w:rsidRPr="00CF6765">
        <w:rPr>
          <w:rFonts w:eastAsia="Calibri" w:cs="Verdana"/>
          <w:color w:val="000000"/>
          <w:sz w:val="20"/>
          <w:szCs w:val="20"/>
          <w:lang w:val="en-US" w:eastAsia="es-ES"/>
        </w:rPr>
        <w:t>The representatives</w:t>
      </w:r>
      <w:r w:rsidRPr="00CF6765">
        <w:rPr>
          <w:rFonts w:eastAsia="Calibri" w:cs="Verdana"/>
          <w:color w:val="000000"/>
          <w:sz w:val="20"/>
          <w:szCs w:val="20"/>
          <w:lang w:val="en-US" w:eastAsia="es-ES"/>
        </w:rPr>
        <w:t xml:space="preserve">, </w:t>
      </w:r>
      <w:r w:rsidR="003A09FD" w:rsidRPr="00CF6765">
        <w:rPr>
          <w:rFonts w:eastAsia="Calibri" w:cs="Verdana"/>
          <w:color w:val="000000"/>
          <w:sz w:val="20"/>
          <w:szCs w:val="20"/>
          <w:lang w:val="en-US" w:eastAsia="es-ES"/>
        </w:rPr>
        <w:t>in their</w:t>
      </w:r>
      <w:r w:rsidRPr="00CF6765">
        <w:rPr>
          <w:rFonts w:eastAsia="Calibri" w:cs="Verdana"/>
          <w:color w:val="000000"/>
          <w:sz w:val="20"/>
          <w:szCs w:val="20"/>
          <w:lang w:val="en-US" w:eastAsia="es-ES"/>
        </w:rPr>
        <w:t xml:space="preserve"> </w:t>
      </w:r>
      <w:r w:rsidR="00D2168F" w:rsidRPr="00CF6765">
        <w:rPr>
          <w:rFonts w:eastAsia="Calibri" w:cs="Verdana"/>
          <w:color w:val="000000"/>
          <w:sz w:val="20"/>
          <w:szCs w:val="20"/>
          <w:lang w:val="en-US" w:eastAsia="es-ES"/>
        </w:rPr>
        <w:t>brief with pleadings, motions and arguments</w:t>
      </w:r>
      <w:r w:rsidRPr="00CF6765">
        <w:rPr>
          <w:rFonts w:eastAsia="Calibri" w:cs="Verdana"/>
          <w:color w:val="000000"/>
          <w:sz w:val="20"/>
          <w:szCs w:val="20"/>
          <w:lang w:val="en-US" w:eastAsia="es-ES"/>
        </w:rPr>
        <w:t xml:space="preserve">, </w:t>
      </w:r>
      <w:r w:rsidR="003A09FD" w:rsidRPr="00CF6765">
        <w:rPr>
          <w:rFonts w:eastAsia="Calibri" w:cs="Verdana"/>
          <w:color w:val="000000"/>
          <w:sz w:val="20"/>
          <w:szCs w:val="20"/>
          <w:lang w:val="en-US" w:eastAsia="es-ES"/>
        </w:rPr>
        <w:t xml:space="preserve">asked to access the Court’s Assistance Fund. In an order issued by the </w:t>
      </w:r>
      <w:r w:rsidR="005C731C" w:rsidRPr="00CF6765">
        <w:rPr>
          <w:rFonts w:eastAsia="Calibri"/>
          <w:sz w:val="20"/>
          <w:szCs w:val="20"/>
          <w:lang w:val="en-US" w:eastAsia="es-ES"/>
        </w:rPr>
        <w:t>President of the Inter-American Court</w:t>
      </w:r>
      <w:r w:rsidRPr="00CF6765">
        <w:rPr>
          <w:rFonts w:eastAsia="Calibri"/>
          <w:sz w:val="20"/>
          <w:szCs w:val="20"/>
          <w:lang w:val="en-US" w:eastAsia="es-ES"/>
        </w:rPr>
        <w:t xml:space="preserve"> </w:t>
      </w:r>
      <w:r w:rsidR="003E0087" w:rsidRPr="00CF6765">
        <w:rPr>
          <w:rFonts w:eastAsia="Calibri"/>
          <w:sz w:val="20"/>
          <w:szCs w:val="20"/>
          <w:lang w:val="en-US" w:eastAsia="es-ES"/>
        </w:rPr>
        <w:t xml:space="preserve">on </w:t>
      </w:r>
      <w:r w:rsidR="00930431" w:rsidRPr="00CF6765">
        <w:rPr>
          <w:rFonts w:eastAsia="Calibri"/>
          <w:sz w:val="20"/>
          <w:szCs w:val="20"/>
          <w:lang w:val="en-US" w:eastAsia="es-ES"/>
        </w:rPr>
        <w:t xml:space="preserve">September </w:t>
      </w:r>
      <w:r w:rsidR="003E0087" w:rsidRPr="00CF6765">
        <w:rPr>
          <w:rFonts w:eastAsia="Calibri"/>
          <w:sz w:val="20"/>
          <w:szCs w:val="20"/>
          <w:lang w:val="en-US" w:eastAsia="es-ES"/>
        </w:rPr>
        <w:t>2</w:t>
      </w:r>
      <w:r w:rsidR="00930431" w:rsidRPr="00CF6765">
        <w:rPr>
          <w:rFonts w:eastAsia="Calibri"/>
          <w:sz w:val="20"/>
          <w:szCs w:val="20"/>
          <w:lang w:val="en-US" w:eastAsia="es-ES"/>
        </w:rPr>
        <w:t>1,</w:t>
      </w:r>
      <w:r w:rsidRPr="00CF6765">
        <w:rPr>
          <w:rFonts w:eastAsia="Calibri"/>
          <w:sz w:val="20"/>
          <w:szCs w:val="20"/>
          <w:lang w:val="en-US" w:eastAsia="es-ES"/>
        </w:rPr>
        <w:t xml:space="preserve"> 2017</w:t>
      </w:r>
      <w:r w:rsidR="003A09FD" w:rsidRPr="00CF6765">
        <w:rPr>
          <w:rFonts w:eastAsia="Calibri"/>
          <w:sz w:val="20"/>
          <w:szCs w:val="20"/>
          <w:lang w:val="en-US" w:eastAsia="es-ES"/>
        </w:rPr>
        <w:t>,</w:t>
      </w:r>
      <w:r w:rsidRPr="00CF6765">
        <w:rPr>
          <w:rFonts w:eastAsia="Calibri"/>
          <w:sz w:val="20"/>
          <w:szCs w:val="20"/>
          <w:vertAlign w:val="superscript"/>
          <w:lang w:val="en-US" w:eastAsia="es-ES"/>
        </w:rPr>
        <w:footnoteReference w:id="332"/>
      </w:r>
      <w:r w:rsidR="003A09FD" w:rsidRPr="00CF6765">
        <w:rPr>
          <w:rFonts w:eastAsia="Calibri"/>
          <w:sz w:val="20"/>
          <w:szCs w:val="20"/>
          <w:lang w:val="en-US" w:eastAsia="es-ES"/>
        </w:rPr>
        <w:t xml:space="preserve"> </w:t>
      </w:r>
      <w:r w:rsidR="0067422A" w:rsidRPr="00CF6765">
        <w:rPr>
          <w:rFonts w:eastAsia="Calibri"/>
          <w:sz w:val="20"/>
          <w:szCs w:val="20"/>
          <w:lang w:val="en-US" w:eastAsia="es-ES"/>
        </w:rPr>
        <w:t xml:space="preserve">the </w:t>
      </w:r>
      <w:r w:rsidR="003A09FD" w:rsidRPr="00CF6765">
        <w:rPr>
          <w:rFonts w:eastAsia="Calibri"/>
          <w:sz w:val="20"/>
          <w:szCs w:val="20"/>
          <w:lang w:val="en-US" w:eastAsia="es-ES"/>
        </w:rPr>
        <w:t>application of the Fund was authorized to cover the expenses of: (</w:t>
      </w:r>
      <w:proofErr w:type="spellStart"/>
      <w:r w:rsidR="003A09FD" w:rsidRPr="00CF6765">
        <w:rPr>
          <w:rFonts w:eastAsia="Calibri"/>
          <w:sz w:val="20"/>
          <w:szCs w:val="20"/>
          <w:lang w:val="en-US" w:eastAsia="es-ES"/>
        </w:rPr>
        <w:t>i</w:t>
      </w:r>
      <w:proofErr w:type="spellEnd"/>
      <w:r w:rsidR="003A09FD" w:rsidRPr="00CF6765">
        <w:rPr>
          <w:rFonts w:eastAsia="Calibri"/>
          <w:sz w:val="20"/>
          <w:szCs w:val="20"/>
          <w:lang w:val="en-US" w:eastAsia="es-ES"/>
        </w:rPr>
        <w:t xml:space="preserve">) travel and accommodation for the two inter-American defenders to attend the public hearing and represent the presumed victims; (ii) travel and accommodation for </w:t>
      </w:r>
      <w:r w:rsidR="00D2168F" w:rsidRPr="00CF6765">
        <w:rPr>
          <w:rFonts w:eastAsia="Calibri"/>
          <w:sz w:val="20"/>
          <w:szCs w:val="20"/>
          <w:lang w:val="en-US" w:eastAsia="es-ES"/>
        </w:rPr>
        <w:t>Vinicio</w:t>
      </w:r>
      <w:r w:rsidRPr="00CF6765">
        <w:rPr>
          <w:rFonts w:eastAsia="Calibri"/>
          <w:sz w:val="20"/>
          <w:szCs w:val="20"/>
          <w:lang w:val="en-US" w:eastAsia="es-ES"/>
        </w:rPr>
        <w:t xml:space="preserve"> Marco Antonio Poblete Tapia </w:t>
      </w:r>
      <w:r w:rsidR="003A09FD" w:rsidRPr="00CF6765">
        <w:rPr>
          <w:rFonts w:eastAsia="Calibri"/>
          <w:sz w:val="20"/>
          <w:szCs w:val="20"/>
          <w:lang w:val="en-US" w:eastAsia="es-ES"/>
        </w:rPr>
        <w:t xml:space="preserve">and </w:t>
      </w:r>
      <w:r w:rsidRPr="00CF6765">
        <w:rPr>
          <w:rFonts w:eastAsia="Calibri"/>
          <w:sz w:val="20"/>
          <w:szCs w:val="20"/>
          <w:lang w:val="en-US" w:eastAsia="es-ES"/>
        </w:rPr>
        <w:t xml:space="preserve">Javier Alejandro Santos </w:t>
      </w:r>
      <w:r w:rsidR="003A09FD" w:rsidRPr="00CF6765">
        <w:rPr>
          <w:rFonts w:eastAsia="Calibri"/>
          <w:sz w:val="20"/>
          <w:szCs w:val="20"/>
          <w:lang w:val="en-US" w:eastAsia="es-ES"/>
        </w:rPr>
        <w:t xml:space="preserve">to attend this hearing </w:t>
      </w:r>
      <w:r w:rsidR="0067422A" w:rsidRPr="00CF6765">
        <w:rPr>
          <w:rFonts w:eastAsia="Calibri"/>
          <w:sz w:val="20"/>
          <w:szCs w:val="20"/>
          <w:lang w:val="en-US" w:eastAsia="es-ES"/>
        </w:rPr>
        <w:t xml:space="preserve">to </w:t>
      </w:r>
      <w:r w:rsidR="003A09FD" w:rsidRPr="00CF6765">
        <w:rPr>
          <w:rFonts w:eastAsia="Calibri"/>
          <w:sz w:val="20"/>
          <w:szCs w:val="20"/>
          <w:lang w:val="en-US" w:eastAsia="es-ES"/>
        </w:rPr>
        <w:t xml:space="preserve">provide their statement and expert opinion, respectively; (iii) the costs of obtaining the affidavits of a total of five deponents or expert witnesses proposed by the defenders, as specified in the operative paragraphs of the order; (iv) other reasonable and necessary expenses incurred by </w:t>
      </w:r>
      <w:r w:rsidR="00D2168F" w:rsidRPr="00CF6765">
        <w:rPr>
          <w:rFonts w:eastAsia="Calibri"/>
          <w:sz w:val="20"/>
          <w:szCs w:val="20"/>
          <w:lang w:val="en-US" w:eastAsia="es-ES"/>
        </w:rPr>
        <w:t>the inter-American defenders</w:t>
      </w:r>
      <w:r w:rsidR="00854F1A" w:rsidRPr="00CF6765">
        <w:rPr>
          <w:rFonts w:eastAsia="Calibri"/>
          <w:sz w:val="20"/>
          <w:szCs w:val="20"/>
          <w:lang w:val="en-US" w:eastAsia="es-ES"/>
        </w:rPr>
        <w:t xml:space="preserve">. </w:t>
      </w:r>
    </w:p>
    <w:p w14:paraId="5F1671F6" w14:textId="77777777" w:rsidR="006B2A4D" w:rsidRPr="00CF6765" w:rsidRDefault="006B2A4D" w:rsidP="006B2A4D">
      <w:pPr>
        <w:widowControl w:val="0"/>
        <w:tabs>
          <w:tab w:val="left" w:pos="567"/>
          <w:tab w:val="num" w:pos="1569"/>
          <w:tab w:val="num" w:pos="12305"/>
        </w:tabs>
        <w:adjustRightInd w:val="0"/>
        <w:textAlignment w:val="baseline"/>
        <w:rPr>
          <w:rFonts w:eastAsia="Calibri" w:cs="Verdana"/>
          <w:color w:val="000000"/>
          <w:sz w:val="20"/>
          <w:szCs w:val="20"/>
          <w:lang w:val="en-US" w:eastAsia="es-ES"/>
        </w:rPr>
      </w:pPr>
    </w:p>
    <w:p w14:paraId="7B1ED1B1" w14:textId="081DA700" w:rsidR="006B2A4D" w:rsidRPr="00CF6765" w:rsidRDefault="003E0087"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cs="Verdana"/>
          <w:color w:val="000000"/>
          <w:sz w:val="20"/>
          <w:szCs w:val="20"/>
          <w:lang w:val="en-US" w:eastAsia="es-ES"/>
        </w:rPr>
      </w:pPr>
      <w:r w:rsidRPr="00CF6765">
        <w:rPr>
          <w:rFonts w:eastAsia="Calibri" w:cs="Verdana"/>
          <w:color w:val="000000"/>
          <w:sz w:val="20"/>
          <w:szCs w:val="20"/>
          <w:lang w:val="en-US" w:eastAsia="es-ES"/>
        </w:rPr>
        <w:t xml:space="preserve">With a note of the Court’s </w:t>
      </w:r>
      <w:r w:rsidR="005C731C" w:rsidRPr="00CF6765">
        <w:rPr>
          <w:rFonts w:eastAsia="Calibri" w:cs="Verdana"/>
          <w:color w:val="000000"/>
          <w:sz w:val="20"/>
          <w:szCs w:val="20"/>
          <w:lang w:val="en-US" w:eastAsia="es-ES"/>
        </w:rPr>
        <w:t xml:space="preserve">Secretariat of </w:t>
      </w:r>
      <w:r w:rsidRPr="00CF6765">
        <w:rPr>
          <w:rFonts w:eastAsia="Calibri" w:cs="Verdana"/>
          <w:color w:val="000000"/>
          <w:sz w:val="20"/>
          <w:szCs w:val="20"/>
          <w:lang w:val="en-US" w:eastAsia="es-ES"/>
        </w:rPr>
        <w:t>January 12,</w:t>
      </w:r>
      <w:r w:rsidR="00201CC4" w:rsidRPr="00CF6765">
        <w:rPr>
          <w:rFonts w:eastAsia="Calibri" w:cs="Verdana"/>
          <w:sz w:val="20"/>
          <w:szCs w:val="20"/>
          <w:lang w:val="en-US" w:eastAsia="es-ES"/>
        </w:rPr>
        <w:t xml:space="preserve"> 2018</w:t>
      </w:r>
      <w:r w:rsidRPr="00CF6765">
        <w:rPr>
          <w:rFonts w:eastAsia="Calibri" w:cs="Verdana"/>
          <w:sz w:val="20"/>
          <w:szCs w:val="20"/>
          <w:lang w:val="en-US" w:eastAsia="es-ES"/>
        </w:rPr>
        <w:t>,</w:t>
      </w:r>
      <w:r w:rsidR="00201CC4" w:rsidRPr="00CF6765">
        <w:rPr>
          <w:rStyle w:val="Refdenotaalpie"/>
          <w:rFonts w:eastAsia="Calibri" w:cs="Verdana"/>
          <w:sz w:val="20"/>
          <w:szCs w:val="20"/>
          <w:lang w:val="en-US" w:eastAsia="es-ES"/>
        </w:rPr>
        <w:footnoteReference w:id="333"/>
      </w:r>
      <w:r w:rsidR="006B2A4D" w:rsidRPr="00CF6765">
        <w:rPr>
          <w:rFonts w:eastAsia="Calibri" w:cs="Verdana"/>
          <w:sz w:val="20"/>
          <w:szCs w:val="20"/>
          <w:lang w:val="en-US" w:eastAsia="es-ES"/>
        </w:rPr>
        <w:t xml:space="preserve"> </w:t>
      </w:r>
      <w:r w:rsidRPr="00CF6765">
        <w:rPr>
          <w:rFonts w:eastAsia="Calibri" w:cs="Verdana"/>
          <w:sz w:val="20"/>
          <w:szCs w:val="20"/>
          <w:lang w:val="en-US" w:eastAsia="es-ES"/>
        </w:rPr>
        <w:t>a report was sent to the State on the disbursements made in application of the Victims’ Assistance Fund in this case, which amount</w:t>
      </w:r>
      <w:r w:rsidR="0067422A" w:rsidRPr="00CF6765">
        <w:rPr>
          <w:rFonts w:eastAsia="Calibri" w:cs="Verdana"/>
          <w:sz w:val="20"/>
          <w:szCs w:val="20"/>
          <w:lang w:val="en-US" w:eastAsia="es-ES"/>
        </w:rPr>
        <w:t>ed</w:t>
      </w:r>
      <w:r w:rsidRPr="00CF6765">
        <w:rPr>
          <w:rFonts w:eastAsia="Calibri" w:cs="Verdana"/>
          <w:sz w:val="20"/>
          <w:szCs w:val="20"/>
          <w:lang w:val="en-US" w:eastAsia="es-ES"/>
        </w:rPr>
        <w:t xml:space="preserve"> to </w:t>
      </w:r>
      <w:r w:rsidR="006B2A4D" w:rsidRPr="00CF6765">
        <w:rPr>
          <w:rFonts w:eastAsia="Calibri"/>
          <w:color w:val="000000"/>
          <w:sz w:val="20"/>
          <w:lang w:val="en-US" w:eastAsia="es-ES"/>
        </w:rPr>
        <w:t>US</w:t>
      </w:r>
      <w:r w:rsidR="0067422A" w:rsidRPr="00CF6765">
        <w:rPr>
          <w:rFonts w:eastAsia="Calibri"/>
          <w:color w:val="000000"/>
          <w:sz w:val="20"/>
          <w:lang w:val="en-US" w:eastAsia="es-ES"/>
        </w:rPr>
        <w:t>$</w:t>
      </w:r>
      <w:r w:rsidR="006B2A4D" w:rsidRPr="00CF6765">
        <w:rPr>
          <w:rFonts w:eastAsia="Calibri"/>
          <w:sz w:val="20"/>
          <w:lang w:val="en-US" w:eastAsia="es-ES"/>
        </w:rPr>
        <w:t>10,939.93</w:t>
      </w:r>
      <w:r w:rsidR="006B2A4D" w:rsidRPr="00CF6765">
        <w:rPr>
          <w:rFonts w:eastAsia="Calibri"/>
          <w:sz w:val="20"/>
          <w:vertAlign w:val="superscript"/>
          <w:lang w:val="en-US" w:eastAsia="es-ES"/>
        </w:rPr>
        <w:footnoteReference w:id="334"/>
      </w:r>
      <w:r w:rsidR="006B2A4D" w:rsidRPr="00CF6765">
        <w:rPr>
          <w:rFonts w:eastAsia="Calibri" w:cs="Verdana"/>
          <w:sz w:val="20"/>
          <w:szCs w:val="20"/>
          <w:lang w:val="en-US" w:eastAsia="es-ES"/>
        </w:rPr>
        <w:t xml:space="preserve"> (</w:t>
      </w:r>
      <w:r w:rsidRPr="00CF6765">
        <w:rPr>
          <w:rFonts w:eastAsia="Calibri" w:cs="Verdana"/>
          <w:sz w:val="20"/>
          <w:szCs w:val="20"/>
          <w:lang w:val="en-US" w:eastAsia="es-ES"/>
        </w:rPr>
        <w:t>ten thousand nine hundred and thirty nine United States dollars and ninety-three cents</w:t>
      </w:r>
      <w:r w:rsidR="006B2A4D" w:rsidRPr="00CF6765">
        <w:rPr>
          <w:rFonts w:eastAsia="Calibri" w:cs="Verdana"/>
          <w:sz w:val="20"/>
          <w:szCs w:val="20"/>
          <w:lang w:val="en-US" w:eastAsia="es-ES"/>
        </w:rPr>
        <w:t>)</w:t>
      </w:r>
      <w:r w:rsidR="006B2A4D" w:rsidRPr="00CF6765">
        <w:rPr>
          <w:rFonts w:eastAsia="Calibri"/>
          <w:sz w:val="20"/>
          <w:szCs w:val="20"/>
          <w:vertAlign w:val="superscript"/>
          <w:lang w:val="en-US" w:eastAsia="es-ES"/>
        </w:rPr>
        <w:footnoteReference w:id="335"/>
      </w:r>
      <w:r w:rsidR="006B2A4D" w:rsidRPr="00CF6765">
        <w:rPr>
          <w:rFonts w:eastAsia="Calibri" w:cs="Verdana"/>
          <w:sz w:val="20"/>
          <w:szCs w:val="20"/>
          <w:lang w:val="en-US" w:eastAsia="es-ES"/>
        </w:rPr>
        <w:t xml:space="preserve"> </w:t>
      </w:r>
      <w:r w:rsidRPr="00CF6765">
        <w:rPr>
          <w:rFonts w:eastAsia="Calibri" w:cs="Verdana"/>
          <w:color w:val="000000"/>
          <w:sz w:val="20"/>
          <w:szCs w:val="20"/>
          <w:lang w:val="en-US" w:eastAsia="es-ES"/>
        </w:rPr>
        <w:t>and, as established in article 5 of the Rules for the Operation of the Fund, the Chilean State was granted a time frame to present any comments it deemed pertinent.</w:t>
      </w:r>
      <w:r w:rsidR="006B2A4D" w:rsidRPr="00CF6765">
        <w:rPr>
          <w:rFonts w:eastAsia="Calibri"/>
          <w:sz w:val="20"/>
          <w:szCs w:val="20"/>
          <w:vertAlign w:val="superscript"/>
          <w:lang w:val="en-US" w:eastAsia="es-ES"/>
        </w:rPr>
        <w:footnoteReference w:id="336"/>
      </w:r>
      <w:r w:rsidRPr="00CF6765">
        <w:rPr>
          <w:rFonts w:eastAsia="Calibri" w:cs="Verdana"/>
          <w:sz w:val="20"/>
          <w:szCs w:val="20"/>
          <w:lang w:val="en-US" w:eastAsia="es-ES"/>
        </w:rPr>
        <w:t xml:space="preserve"> This amount had to be reimbursed within </w:t>
      </w:r>
      <w:r w:rsidR="00FB2D33" w:rsidRPr="00CF6765">
        <w:rPr>
          <w:rFonts w:eastAsia="Calibri" w:cs="Verdana"/>
          <w:sz w:val="20"/>
          <w:szCs w:val="20"/>
          <w:lang w:val="en-US" w:eastAsia="es-ES"/>
        </w:rPr>
        <w:t>ninety days</w:t>
      </w:r>
      <w:r w:rsidRPr="00CF6765">
        <w:rPr>
          <w:rFonts w:eastAsia="Calibri" w:cs="Verdana"/>
          <w:sz w:val="20"/>
          <w:szCs w:val="20"/>
          <w:lang w:val="en-US" w:eastAsia="es-ES"/>
        </w:rPr>
        <w:t xml:space="preserve"> of notification of this judgment.</w:t>
      </w:r>
    </w:p>
    <w:p w14:paraId="685F5FA5" w14:textId="77777777" w:rsidR="00C079F5" w:rsidRPr="00CF6765" w:rsidRDefault="00C079F5" w:rsidP="00C079F5">
      <w:pPr>
        <w:widowControl w:val="0"/>
        <w:tabs>
          <w:tab w:val="left" w:pos="567"/>
          <w:tab w:val="num" w:pos="12305"/>
        </w:tabs>
        <w:adjustRightInd w:val="0"/>
        <w:textAlignment w:val="baseline"/>
        <w:rPr>
          <w:rFonts w:eastAsia="Calibri" w:cs="Verdana"/>
          <w:color w:val="000000"/>
          <w:sz w:val="20"/>
          <w:szCs w:val="20"/>
          <w:lang w:val="en-US" w:eastAsia="es-ES"/>
        </w:rPr>
      </w:pPr>
    </w:p>
    <w:p w14:paraId="2DE52FCF" w14:textId="4079DD3C" w:rsidR="006B2A4D" w:rsidRPr="00CF6765" w:rsidRDefault="003F0C20" w:rsidP="002726E0">
      <w:pPr>
        <w:pStyle w:val="Ttulo2"/>
        <w:numPr>
          <w:ilvl w:val="0"/>
          <w:numId w:val="13"/>
        </w:numPr>
        <w:rPr>
          <w:lang w:val="en-US"/>
        </w:rPr>
      </w:pPr>
      <w:bookmarkStart w:id="129" w:name="_Toc47864410"/>
      <w:r w:rsidRPr="00CF6765">
        <w:rPr>
          <w:lang w:val="en-US"/>
        </w:rPr>
        <w:t>Method of complying with the payments ordered</w:t>
      </w:r>
      <w:bookmarkEnd w:id="129"/>
    </w:p>
    <w:p w14:paraId="4C67DD22" w14:textId="77777777" w:rsidR="00C079F5" w:rsidRPr="00CF6765" w:rsidRDefault="00C079F5" w:rsidP="00C079F5">
      <w:pPr>
        <w:keepNext/>
        <w:keepLines/>
        <w:outlineLvl w:val="1"/>
        <w:rPr>
          <w:b/>
          <w:bCs/>
          <w:i/>
          <w:sz w:val="20"/>
          <w:szCs w:val="20"/>
          <w:lang w:val="en-US" w:eastAsia="en-US"/>
        </w:rPr>
      </w:pPr>
    </w:p>
    <w:p w14:paraId="479B3F63" w14:textId="749C60F2" w:rsidR="006B2A4D" w:rsidRPr="00CF6765" w:rsidRDefault="00C8154C" w:rsidP="00C079F5">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The State shall</w:t>
      </w:r>
      <w:r w:rsidR="003F0C20" w:rsidRPr="00CF6765">
        <w:rPr>
          <w:rFonts w:eastAsia="Calibri"/>
          <w:sz w:val="20"/>
          <w:szCs w:val="20"/>
          <w:lang w:val="en-US" w:eastAsia="es-ES"/>
        </w:rPr>
        <w:t xml:space="preserve"> make the payment</w:t>
      </w:r>
      <w:r w:rsidR="0067422A" w:rsidRPr="00CF6765">
        <w:rPr>
          <w:rFonts w:eastAsia="Calibri"/>
          <w:sz w:val="20"/>
          <w:szCs w:val="20"/>
          <w:lang w:val="en-US" w:eastAsia="es-ES"/>
        </w:rPr>
        <w:t>s</w:t>
      </w:r>
      <w:r w:rsidR="003F0C20" w:rsidRPr="00CF6765">
        <w:rPr>
          <w:rFonts w:eastAsia="Calibri"/>
          <w:sz w:val="20"/>
          <w:szCs w:val="20"/>
          <w:lang w:val="en-US" w:eastAsia="es-ES"/>
        </w:rPr>
        <w:t xml:space="preserve"> for compensation for </w:t>
      </w:r>
      <w:r w:rsidRPr="00CF6765">
        <w:rPr>
          <w:rFonts w:eastAsia="Calibri"/>
          <w:sz w:val="20"/>
          <w:szCs w:val="20"/>
          <w:lang w:val="en-US" w:eastAsia="es-ES"/>
        </w:rPr>
        <w:t>pecuniary and non-pecuniary damage</w:t>
      </w:r>
      <w:r w:rsidR="006B2A4D" w:rsidRPr="00CF6765">
        <w:rPr>
          <w:rFonts w:eastAsia="Calibri"/>
          <w:sz w:val="20"/>
          <w:szCs w:val="20"/>
          <w:lang w:val="en-US" w:eastAsia="es-ES"/>
        </w:rPr>
        <w:t xml:space="preserve">, </w:t>
      </w:r>
      <w:r w:rsidR="003F0C20" w:rsidRPr="00CF6765">
        <w:rPr>
          <w:rFonts w:eastAsia="Calibri"/>
          <w:sz w:val="20"/>
          <w:szCs w:val="20"/>
          <w:lang w:val="en-US" w:eastAsia="es-ES"/>
        </w:rPr>
        <w:t xml:space="preserve">and to reimburse the </w:t>
      </w:r>
      <w:r w:rsidR="00D2168F" w:rsidRPr="00CF6765">
        <w:rPr>
          <w:rFonts w:eastAsia="Calibri"/>
          <w:sz w:val="20"/>
          <w:szCs w:val="20"/>
          <w:lang w:val="en-US" w:eastAsia="es-ES"/>
        </w:rPr>
        <w:t>costs and expenses</w:t>
      </w:r>
      <w:r w:rsidR="006B2A4D" w:rsidRPr="00CF6765">
        <w:rPr>
          <w:rFonts w:eastAsia="Calibri"/>
          <w:sz w:val="20"/>
          <w:szCs w:val="20"/>
          <w:lang w:val="en-US" w:eastAsia="es-ES"/>
        </w:rPr>
        <w:t xml:space="preserve"> establ</w:t>
      </w:r>
      <w:r w:rsidR="003F0C20" w:rsidRPr="00CF6765">
        <w:rPr>
          <w:rFonts w:eastAsia="Calibri"/>
          <w:sz w:val="20"/>
          <w:szCs w:val="20"/>
          <w:lang w:val="en-US" w:eastAsia="es-ES"/>
        </w:rPr>
        <w:t xml:space="preserve">ished in this judgment directly to the persons indicated herein, within one year of </w:t>
      </w:r>
      <w:r w:rsidR="00D2168F" w:rsidRPr="00CF6765">
        <w:rPr>
          <w:rFonts w:eastAsia="Calibri"/>
          <w:sz w:val="20"/>
          <w:szCs w:val="20"/>
          <w:lang w:val="en-US" w:eastAsia="es-ES"/>
        </w:rPr>
        <w:t>notification</w:t>
      </w:r>
      <w:r w:rsidR="006B2A4D" w:rsidRPr="00CF6765">
        <w:rPr>
          <w:rFonts w:eastAsia="Calibri"/>
          <w:sz w:val="20"/>
          <w:szCs w:val="20"/>
          <w:lang w:val="en-US" w:eastAsia="es-ES"/>
        </w:rPr>
        <w:t xml:space="preserve"> </w:t>
      </w:r>
      <w:r w:rsidR="003F0C20" w:rsidRPr="00CF6765">
        <w:rPr>
          <w:rFonts w:eastAsia="Calibri"/>
          <w:sz w:val="20"/>
          <w:szCs w:val="20"/>
          <w:lang w:val="en-US" w:eastAsia="es-ES"/>
        </w:rPr>
        <w:t>of this judgment</w:t>
      </w:r>
      <w:r w:rsidR="006B2A4D" w:rsidRPr="00CF6765">
        <w:rPr>
          <w:rFonts w:eastAsia="Calibri"/>
          <w:sz w:val="20"/>
          <w:szCs w:val="20"/>
          <w:lang w:val="en-US" w:eastAsia="es-ES"/>
        </w:rPr>
        <w:t xml:space="preserve">, </w:t>
      </w:r>
      <w:r w:rsidRPr="00CF6765">
        <w:rPr>
          <w:rFonts w:eastAsia="Calibri"/>
          <w:sz w:val="20"/>
          <w:szCs w:val="20"/>
          <w:lang w:val="en-US" w:eastAsia="es-ES"/>
        </w:rPr>
        <w:t>pursuant to</w:t>
      </w:r>
      <w:r w:rsidR="006B2A4D" w:rsidRPr="00CF6765">
        <w:rPr>
          <w:rFonts w:eastAsia="Calibri"/>
          <w:sz w:val="20"/>
          <w:szCs w:val="20"/>
          <w:lang w:val="en-US" w:eastAsia="es-ES"/>
        </w:rPr>
        <w:t xml:space="preserve"> </w:t>
      </w:r>
      <w:r w:rsidR="003F0C20" w:rsidRPr="00CF6765">
        <w:rPr>
          <w:rFonts w:eastAsia="Calibri"/>
          <w:sz w:val="20"/>
          <w:szCs w:val="20"/>
          <w:lang w:val="en-US" w:eastAsia="es-ES"/>
        </w:rPr>
        <w:t xml:space="preserve">the following </w:t>
      </w:r>
      <w:r w:rsidRPr="00CF6765">
        <w:rPr>
          <w:rFonts w:eastAsia="Calibri"/>
          <w:sz w:val="20"/>
          <w:szCs w:val="20"/>
          <w:lang w:val="en-US" w:eastAsia="es-ES"/>
        </w:rPr>
        <w:t>paragraph</w:t>
      </w:r>
      <w:r w:rsidR="006B2A4D" w:rsidRPr="00CF6765">
        <w:rPr>
          <w:rFonts w:eastAsia="Calibri"/>
          <w:sz w:val="20"/>
          <w:szCs w:val="20"/>
          <w:lang w:val="en-US" w:eastAsia="es-ES"/>
        </w:rPr>
        <w:t xml:space="preserve">s. </w:t>
      </w:r>
    </w:p>
    <w:p w14:paraId="29DB913B" w14:textId="77777777" w:rsidR="00C079F5" w:rsidRPr="00CF6765" w:rsidRDefault="00C079F5" w:rsidP="00C079F5">
      <w:pPr>
        <w:widowControl w:val="0"/>
        <w:tabs>
          <w:tab w:val="left" w:pos="567"/>
          <w:tab w:val="num" w:pos="1569"/>
          <w:tab w:val="num" w:pos="12305"/>
        </w:tabs>
        <w:adjustRightInd w:val="0"/>
        <w:textAlignment w:val="baseline"/>
        <w:rPr>
          <w:rFonts w:eastAsia="Calibri"/>
          <w:sz w:val="20"/>
          <w:szCs w:val="20"/>
          <w:lang w:val="en-US" w:eastAsia="es-ES"/>
        </w:rPr>
      </w:pPr>
    </w:p>
    <w:p w14:paraId="675F5D39" w14:textId="2A17D269" w:rsidR="006B2A4D" w:rsidRPr="00CF6765" w:rsidRDefault="003F0C20" w:rsidP="00C079F5">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If a beneficiary </w:t>
      </w:r>
      <w:r w:rsidR="00FB2D33" w:rsidRPr="00CF6765">
        <w:rPr>
          <w:rFonts w:eastAsia="Calibri"/>
          <w:sz w:val="20"/>
          <w:szCs w:val="20"/>
          <w:lang w:val="en-US" w:eastAsia="es-ES"/>
        </w:rPr>
        <w:t>dies</w:t>
      </w:r>
      <w:r w:rsidRPr="00CF6765">
        <w:rPr>
          <w:rFonts w:eastAsia="Calibri"/>
          <w:sz w:val="20"/>
          <w:szCs w:val="20"/>
          <w:lang w:val="en-US" w:eastAsia="es-ES"/>
        </w:rPr>
        <w:t xml:space="preserve"> before the respective compensation had been delivered to them, it shall be delivered directly to </w:t>
      </w:r>
      <w:r w:rsidR="0067422A" w:rsidRPr="00CF6765">
        <w:rPr>
          <w:rFonts w:eastAsia="Calibri"/>
          <w:sz w:val="20"/>
          <w:szCs w:val="20"/>
          <w:lang w:val="en-US" w:eastAsia="es-ES"/>
        </w:rPr>
        <w:t>their</w:t>
      </w:r>
      <w:r w:rsidRPr="00CF6765">
        <w:rPr>
          <w:rFonts w:eastAsia="Calibri"/>
          <w:sz w:val="20"/>
          <w:szCs w:val="20"/>
          <w:lang w:val="en-US" w:eastAsia="es-ES"/>
        </w:rPr>
        <w:t xml:space="preserve"> heirs, in accordance with the relevant domestic law</w:t>
      </w:r>
      <w:r w:rsidR="006B2A4D" w:rsidRPr="00CF6765">
        <w:rPr>
          <w:rFonts w:eastAsia="Calibri"/>
          <w:sz w:val="20"/>
          <w:szCs w:val="20"/>
          <w:lang w:val="en-US" w:eastAsia="es-ES"/>
        </w:rPr>
        <w:t xml:space="preserve">. </w:t>
      </w:r>
    </w:p>
    <w:p w14:paraId="508836E9" w14:textId="77777777" w:rsidR="00C079F5" w:rsidRPr="00CF6765" w:rsidRDefault="00C079F5" w:rsidP="00C079F5">
      <w:pPr>
        <w:widowControl w:val="0"/>
        <w:tabs>
          <w:tab w:val="left" w:pos="567"/>
          <w:tab w:val="num" w:pos="1569"/>
          <w:tab w:val="num" w:pos="12305"/>
        </w:tabs>
        <w:adjustRightInd w:val="0"/>
        <w:textAlignment w:val="baseline"/>
        <w:rPr>
          <w:rFonts w:eastAsia="Calibri"/>
          <w:sz w:val="20"/>
          <w:szCs w:val="20"/>
          <w:lang w:val="en-US" w:eastAsia="es-ES"/>
        </w:rPr>
      </w:pPr>
    </w:p>
    <w:p w14:paraId="14AF755E" w14:textId="51150079" w:rsidR="006B2A4D" w:rsidRPr="00CF6765" w:rsidRDefault="00C8154C" w:rsidP="00C079F5">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The State shall</w:t>
      </w:r>
      <w:r w:rsidR="006B2A4D" w:rsidRPr="00CF6765">
        <w:rPr>
          <w:rFonts w:eastAsia="Calibri"/>
          <w:sz w:val="20"/>
          <w:szCs w:val="20"/>
          <w:lang w:val="en-US" w:eastAsia="es-ES"/>
        </w:rPr>
        <w:t xml:space="preserve"> c</w:t>
      </w:r>
      <w:r w:rsidR="003F0C20" w:rsidRPr="00CF6765">
        <w:rPr>
          <w:rFonts w:eastAsia="Calibri"/>
          <w:sz w:val="20"/>
          <w:szCs w:val="20"/>
          <w:lang w:val="en-US" w:eastAsia="es-ES"/>
        </w:rPr>
        <w:t>o</w:t>
      </w:r>
      <w:r w:rsidR="006B2A4D" w:rsidRPr="00CF6765">
        <w:rPr>
          <w:rFonts w:eastAsia="Calibri"/>
          <w:sz w:val="20"/>
          <w:szCs w:val="20"/>
          <w:lang w:val="en-US" w:eastAsia="es-ES"/>
        </w:rPr>
        <w:t>mpl</w:t>
      </w:r>
      <w:r w:rsidR="003F0C20" w:rsidRPr="00CF6765">
        <w:rPr>
          <w:rFonts w:eastAsia="Calibri"/>
          <w:sz w:val="20"/>
          <w:szCs w:val="20"/>
          <w:lang w:val="en-US" w:eastAsia="es-ES"/>
        </w:rPr>
        <w:t>y with its monetary obligations by payment in United States dollars or the equivalent in Chilean currency, using the exchange rate in force on the New York Stock Market (United States of America) the day before the respective payment.</w:t>
      </w:r>
    </w:p>
    <w:p w14:paraId="2A366021" w14:textId="77777777" w:rsidR="00C079F5" w:rsidRPr="00CF6765" w:rsidRDefault="00C079F5" w:rsidP="00C079F5">
      <w:pPr>
        <w:widowControl w:val="0"/>
        <w:tabs>
          <w:tab w:val="left" w:pos="567"/>
          <w:tab w:val="num" w:pos="1569"/>
          <w:tab w:val="num" w:pos="12305"/>
        </w:tabs>
        <w:adjustRightInd w:val="0"/>
        <w:textAlignment w:val="baseline"/>
        <w:rPr>
          <w:rFonts w:eastAsia="Calibri"/>
          <w:sz w:val="20"/>
          <w:szCs w:val="20"/>
          <w:lang w:val="en-US" w:eastAsia="es-ES"/>
        </w:rPr>
      </w:pPr>
    </w:p>
    <w:p w14:paraId="0312A8AF" w14:textId="6EEFD830" w:rsidR="006B2A4D" w:rsidRPr="00CF6765" w:rsidRDefault="003F0C20" w:rsidP="00C079F5">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If</w:t>
      </w:r>
      <w:r w:rsidR="0067422A" w:rsidRPr="00CF6765">
        <w:rPr>
          <w:rFonts w:eastAsia="Calibri"/>
          <w:sz w:val="20"/>
          <w:szCs w:val="20"/>
          <w:lang w:val="en-US" w:eastAsia="es-ES"/>
        </w:rPr>
        <w:t>,</w:t>
      </w:r>
      <w:r w:rsidRPr="00CF6765">
        <w:rPr>
          <w:rFonts w:eastAsia="Calibri"/>
          <w:sz w:val="20"/>
          <w:szCs w:val="20"/>
          <w:lang w:val="en-US" w:eastAsia="es-ES"/>
        </w:rPr>
        <w:t xml:space="preserve"> for reasons that can be attributed to the beneficiary of the compensation or his/her heirs, it is not </w:t>
      </w:r>
      <w:r w:rsidR="00FB2D33" w:rsidRPr="00CF6765">
        <w:rPr>
          <w:rFonts w:eastAsia="Calibri"/>
          <w:sz w:val="20"/>
          <w:szCs w:val="20"/>
          <w:lang w:val="en-US" w:eastAsia="es-ES"/>
        </w:rPr>
        <w:t>possible</w:t>
      </w:r>
      <w:r w:rsidRPr="00CF6765">
        <w:rPr>
          <w:rFonts w:eastAsia="Calibri"/>
          <w:sz w:val="20"/>
          <w:szCs w:val="20"/>
          <w:lang w:val="en-US" w:eastAsia="es-ES"/>
        </w:rPr>
        <w:t xml:space="preserve"> to pay the amounts established within the indicated time frame, the State shall deposit </w:t>
      </w:r>
      <w:r w:rsidR="003E0087" w:rsidRPr="00CF6765">
        <w:rPr>
          <w:rFonts w:eastAsia="Calibri"/>
          <w:sz w:val="20"/>
          <w:szCs w:val="20"/>
          <w:lang w:val="en-US" w:eastAsia="es-ES"/>
        </w:rPr>
        <w:t xml:space="preserve">the said amounts in their favor in a deposit account or certificate in a solvent Chilean financial institution in United States dollars and in the most favorable financial conditions allowed by the State’s banking laws and practice. If the corresponding compensation is not claimed within </w:t>
      </w:r>
      <w:r w:rsidR="003E0087" w:rsidRPr="00CF6765">
        <w:rPr>
          <w:rFonts w:eastAsia="Calibri"/>
          <w:sz w:val="20"/>
          <w:szCs w:val="20"/>
          <w:lang w:val="en-US" w:eastAsia="es-ES"/>
        </w:rPr>
        <w:lastRenderedPageBreak/>
        <w:t>ten years, the sums shall be returned to the State with the interest accrued.</w:t>
      </w:r>
    </w:p>
    <w:p w14:paraId="7DDDFB1E" w14:textId="77777777" w:rsidR="00C079F5" w:rsidRPr="00CF6765" w:rsidRDefault="00C079F5" w:rsidP="00C079F5">
      <w:pPr>
        <w:widowControl w:val="0"/>
        <w:tabs>
          <w:tab w:val="left" w:pos="567"/>
          <w:tab w:val="num" w:pos="1569"/>
          <w:tab w:val="num" w:pos="12305"/>
        </w:tabs>
        <w:adjustRightInd w:val="0"/>
        <w:textAlignment w:val="baseline"/>
        <w:rPr>
          <w:rFonts w:eastAsia="Calibri"/>
          <w:sz w:val="20"/>
          <w:szCs w:val="20"/>
          <w:lang w:val="en-US" w:eastAsia="es-ES"/>
        </w:rPr>
      </w:pPr>
    </w:p>
    <w:p w14:paraId="47F79AEC" w14:textId="08E5B262" w:rsidR="006B2A4D" w:rsidRPr="00CF6765" w:rsidRDefault="003F0C20" w:rsidP="00C079F5">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z w:val="20"/>
          <w:szCs w:val="20"/>
          <w:lang w:val="en-US" w:eastAsia="es-ES"/>
        </w:rPr>
        <w:t xml:space="preserve">The amounts allocated in this judgment as compensation </w:t>
      </w:r>
      <w:r w:rsidR="0067422A" w:rsidRPr="00CF6765">
        <w:rPr>
          <w:rFonts w:eastAsia="Calibri"/>
          <w:sz w:val="20"/>
          <w:szCs w:val="20"/>
          <w:lang w:val="en-US" w:eastAsia="es-ES"/>
        </w:rPr>
        <w:t xml:space="preserve">for </w:t>
      </w:r>
      <w:r w:rsidR="00C8154C" w:rsidRPr="00CF6765">
        <w:rPr>
          <w:rFonts w:eastAsia="Calibri"/>
          <w:sz w:val="20"/>
          <w:szCs w:val="20"/>
          <w:lang w:val="en-US" w:eastAsia="es-ES"/>
        </w:rPr>
        <w:t>non-pecuniary damage</w:t>
      </w:r>
      <w:r w:rsidR="006B2A4D" w:rsidRPr="00CF6765">
        <w:rPr>
          <w:rFonts w:eastAsia="Calibri"/>
          <w:sz w:val="20"/>
          <w:szCs w:val="20"/>
          <w:lang w:val="en-US" w:eastAsia="es-ES"/>
        </w:rPr>
        <w:t>,</w:t>
      </w:r>
      <w:r w:rsidR="00EC50FC" w:rsidRPr="00CF6765">
        <w:rPr>
          <w:rFonts w:eastAsia="Calibri"/>
          <w:sz w:val="20"/>
          <w:szCs w:val="20"/>
          <w:lang w:val="en-US" w:eastAsia="es-ES"/>
        </w:rPr>
        <w:t xml:space="preserve"> and </w:t>
      </w:r>
      <w:r w:rsidRPr="00CF6765">
        <w:rPr>
          <w:rFonts w:eastAsia="Calibri"/>
          <w:sz w:val="20"/>
          <w:szCs w:val="20"/>
          <w:lang w:val="en-US" w:eastAsia="es-ES"/>
        </w:rPr>
        <w:t xml:space="preserve">to </w:t>
      </w:r>
      <w:r w:rsidR="00FB2D33" w:rsidRPr="00CF6765">
        <w:rPr>
          <w:rFonts w:eastAsia="Calibri"/>
          <w:sz w:val="20"/>
          <w:szCs w:val="20"/>
          <w:lang w:val="en-US" w:eastAsia="es-ES"/>
        </w:rPr>
        <w:t>reimburse</w:t>
      </w:r>
      <w:r w:rsidRPr="00CF6765">
        <w:rPr>
          <w:rFonts w:eastAsia="Calibri"/>
          <w:sz w:val="20"/>
          <w:szCs w:val="20"/>
          <w:lang w:val="en-US" w:eastAsia="es-ES"/>
        </w:rPr>
        <w:t xml:space="preserve"> </w:t>
      </w:r>
      <w:r w:rsidR="00D2168F" w:rsidRPr="00CF6765">
        <w:rPr>
          <w:rFonts w:eastAsia="Calibri"/>
          <w:sz w:val="20"/>
          <w:szCs w:val="20"/>
          <w:lang w:val="en-US" w:eastAsia="es-ES"/>
        </w:rPr>
        <w:t>costs and expenses</w:t>
      </w:r>
      <w:r w:rsidR="006B2A4D" w:rsidRPr="00CF6765">
        <w:rPr>
          <w:rFonts w:eastAsia="Calibri"/>
          <w:sz w:val="20"/>
          <w:szCs w:val="20"/>
          <w:lang w:val="en-US" w:eastAsia="es-ES"/>
        </w:rPr>
        <w:t xml:space="preserve"> </w:t>
      </w:r>
      <w:r w:rsidRPr="00CF6765">
        <w:rPr>
          <w:rFonts w:eastAsia="Calibri"/>
          <w:sz w:val="20"/>
          <w:szCs w:val="20"/>
          <w:lang w:val="en-US" w:eastAsia="es-ES"/>
        </w:rPr>
        <w:t xml:space="preserve">shall be delivered to the persons indicated in full, as </w:t>
      </w:r>
      <w:r w:rsidR="00FB2D33" w:rsidRPr="00CF6765">
        <w:rPr>
          <w:rFonts w:eastAsia="Calibri"/>
          <w:sz w:val="20"/>
          <w:szCs w:val="20"/>
          <w:lang w:val="en-US" w:eastAsia="es-ES"/>
        </w:rPr>
        <w:t>established</w:t>
      </w:r>
      <w:r w:rsidRPr="00CF6765">
        <w:rPr>
          <w:rFonts w:eastAsia="Calibri"/>
          <w:sz w:val="20"/>
          <w:szCs w:val="20"/>
          <w:lang w:val="en-US" w:eastAsia="es-ES"/>
        </w:rPr>
        <w:t xml:space="preserve"> in this judgment, without any deductions arising from possible charges or taxes.</w:t>
      </w:r>
    </w:p>
    <w:p w14:paraId="00FF253B" w14:textId="77777777" w:rsidR="00C079F5" w:rsidRPr="00CF6765" w:rsidRDefault="00C079F5" w:rsidP="00C079F5">
      <w:pPr>
        <w:widowControl w:val="0"/>
        <w:tabs>
          <w:tab w:val="left" w:pos="567"/>
          <w:tab w:val="num" w:pos="1569"/>
          <w:tab w:val="num" w:pos="12305"/>
        </w:tabs>
        <w:adjustRightInd w:val="0"/>
        <w:textAlignment w:val="baseline"/>
        <w:rPr>
          <w:rFonts w:eastAsia="Calibri"/>
          <w:sz w:val="20"/>
          <w:szCs w:val="20"/>
          <w:lang w:val="en-US" w:eastAsia="es-ES"/>
        </w:rPr>
      </w:pPr>
    </w:p>
    <w:p w14:paraId="57440593" w14:textId="2E0764C1" w:rsidR="006B2A4D" w:rsidRPr="00CF6765" w:rsidRDefault="003F0C20"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n-US" w:eastAsia="es-ES"/>
        </w:rPr>
      </w:pPr>
      <w:r w:rsidRPr="00CF6765">
        <w:rPr>
          <w:rFonts w:eastAsia="Calibri"/>
          <w:spacing w:val="-2"/>
          <w:sz w:val="20"/>
          <w:szCs w:val="20"/>
          <w:lang w:val="en-US" w:eastAsia="es-ES"/>
        </w:rPr>
        <w:t xml:space="preserve">If the </w:t>
      </w:r>
      <w:r w:rsidR="0067422A" w:rsidRPr="00CF6765">
        <w:rPr>
          <w:rFonts w:eastAsia="Calibri"/>
          <w:spacing w:val="-2"/>
          <w:sz w:val="20"/>
          <w:szCs w:val="20"/>
          <w:lang w:val="en-US" w:eastAsia="es-ES"/>
        </w:rPr>
        <w:t>State</w:t>
      </w:r>
      <w:r w:rsidRPr="00CF6765">
        <w:rPr>
          <w:rFonts w:eastAsia="Calibri"/>
          <w:spacing w:val="-2"/>
          <w:sz w:val="20"/>
          <w:szCs w:val="20"/>
          <w:lang w:val="en-US" w:eastAsia="es-ES"/>
        </w:rPr>
        <w:t xml:space="preserve"> should fall in </w:t>
      </w:r>
      <w:r w:rsidR="00FB2D33" w:rsidRPr="00CF6765">
        <w:rPr>
          <w:rFonts w:eastAsia="Calibri"/>
          <w:spacing w:val="-2"/>
          <w:sz w:val="20"/>
          <w:szCs w:val="20"/>
          <w:lang w:val="en-US" w:eastAsia="es-ES"/>
        </w:rPr>
        <w:t>arrears</w:t>
      </w:r>
      <w:r w:rsidRPr="00CF6765">
        <w:rPr>
          <w:rFonts w:eastAsia="Calibri"/>
          <w:spacing w:val="-2"/>
          <w:sz w:val="20"/>
          <w:szCs w:val="20"/>
          <w:lang w:val="en-US" w:eastAsia="es-ES"/>
        </w:rPr>
        <w:t>, including with the reimbursement of the expenses of the</w:t>
      </w:r>
      <w:r w:rsidR="006B2A4D" w:rsidRPr="00CF6765">
        <w:rPr>
          <w:rFonts w:eastAsia="Calibri" w:cs="Verdana"/>
          <w:spacing w:val="-2"/>
          <w:sz w:val="20"/>
          <w:szCs w:val="20"/>
          <w:lang w:val="en-US" w:eastAsia="es-ES"/>
        </w:rPr>
        <w:t xml:space="preserve"> </w:t>
      </w:r>
      <w:r w:rsidR="00D2168F" w:rsidRPr="00CF6765">
        <w:rPr>
          <w:rFonts w:eastAsia="Calibri" w:cs="Verdana"/>
          <w:spacing w:val="-2"/>
          <w:sz w:val="20"/>
          <w:szCs w:val="20"/>
          <w:lang w:val="en-US" w:eastAsia="es-ES"/>
        </w:rPr>
        <w:t>Victims’ Legal Assistance Fund</w:t>
      </w:r>
      <w:r w:rsidR="006B2A4D" w:rsidRPr="00CF6765">
        <w:rPr>
          <w:rFonts w:eastAsia="Calibri"/>
          <w:spacing w:val="-2"/>
          <w:sz w:val="20"/>
          <w:szCs w:val="20"/>
          <w:lang w:val="en-US" w:eastAsia="es-ES"/>
        </w:rPr>
        <w:t xml:space="preserve">, </w:t>
      </w:r>
      <w:r w:rsidRPr="00CF6765">
        <w:rPr>
          <w:rFonts w:eastAsia="Calibri"/>
          <w:spacing w:val="-2"/>
          <w:sz w:val="20"/>
          <w:szCs w:val="20"/>
          <w:lang w:val="en-US" w:eastAsia="es-ES"/>
        </w:rPr>
        <w:t xml:space="preserve">it shall pay interest on the amount owed corresponding to banking interest on arrears in </w:t>
      </w:r>
      <w:r w:rsidR="00EC50FC" w:rsidRPr="00CF6765">
        <w:rPr>
          <w:rFonts w:eastAsia="Calibri"/>
          <w:spacing w:val="-2"/>
          <w:sz w:val="20"/>
          <w:szCs w:val="20"/>
          <w:lang w:val="en-US" w:eastAsia="es-ES"/>
        </w:rPr>
        <w:t>the Republic of</w:t>
      </w:r>
      <w:r w:rsidR="006B2A4D" w:rsidRPr="00CF6765">
        <w:rPr>
          <w:rFonts w:eastAsia="Calibri"/>
          <w:spacing w:val="-2"/>
          <w:sz w:val="20"/>
          <w:szCs w:val="20"/>
          <w:lang w:val="en-US" w:eastAsia="es-ES"/>
        </w:rPr>
        <w:t xml:space="preserve"> Chile.</w:t>
      </w:r>
    </w:p>
    <w:p w14:paraId="67E3FADD" w14:textId="77777777" w:rsidR="008A113A" w:rsidRPr="00CF6765" w:rsidRDefault="008A113A" w:rsidP="00F322EC">
      <w:pPr>
        <w:pStyle w:val="Ttulo"/>
      </w:pPr>
      <w:bookmarkStart w:id="130" w:name="_Toc513644501"/>
    </w:p>
    <w:p w14:paraId="1C82C32D" w14:textId="77777777" w:rsidR="00A07555" w:rsidRPr="00CF6765" w:rsidRDefault="00A07555" w:rsidP="00F322EC">
      <w:pPr>
        <w:pStyle w:val="Ttulo"/>
      </w:pPr>
      <w:bookmarkStart w:id="131" w:name="_Toc47864411"/>
      <w:r w:rsidRPr="00CF6765">
        <w:t>IX</w:t>
      </w:r>
      <w:bookmarkEnd w:id="130"/>
      <w:bookmarkEnd w:id="131"/>
    </w:p>
    <w:p w14:paraId="5F866585" w14:textId="2CC5CFD2" w:rsidR="00A07555" w:rsidRPr="00CF6765" w:rsidRDefault="00E234BF" w:rsidP="00F322EC">
      <w:pPr>
        <w:pStyle w:val="Ttulo"/>
      </w:pPr>
      <w:bookmarkStart w:id="132" w:name="_Toc47864412"/>
      <w:r w:rsidRPr="00CF6765">
        <w:t>OPERATIVE PARAGRAPHS</w:t>
      </w:r>
      <w:bookmarkEnd w:id="132"/>
    </w:p>
    <w:p w14:paraId="41F186CB" w14:textId="1708B0D2" w:rsidR="00A07555" w:rsidRPr="00CF6765" w:rsidRDefault="00E234BF" w:rsidP="00A07555">
      <w:pPr>
        <w:pStyle w:val="Prrafodelista2"/>
        <w:tabs>
          <w:tab w:val="left" w:pos="0"/>
          <w:tab w:val="num" w:pos="12305"/>
        </w:tabs>
        <w:ind w:left="0" w:right="-90"/>
        <w:jc w:val="both"/>
        <w:rPr>
          <w:lang w:val="en-US"/>
        </w:rPr>
      </w:pPr>
      <w:r w:rsidRPr="00CF6765">
        <w:rPr>
          <w:lang w:val="en-US"/>
        </w:rPr>
        <w:t>Therefore</w:t>
      </w:r>
      <w:r w:rsidR="00A07555" w:rsidRPr="00CF6765">
        <w:rPr>
          <w:lang w:val="en-US"/>
        </w:rPr>
        <w:t xml:space="preserve">, </w:t>
      </w:r>
    </w:p>
    <w:p w14:paraId="69CCEDAA" w14:textId="77777777" w:rsidR="00A07555" w:rsidRPr="00CF6765" w:rsidRDefault="00A07555" w:rsidP="00A07555">
      <w:pPr>
        <w:pStyle w:val="Prrafodelista2"/>
        <w:tabs>
          <w:tab w:val="left" w:pos="720"/>
        </w:tabs>
        <w:ind w:left="0" w:right="-90"/>
        <w:contextualSpacing/>
        <w:rPr>
          <w:rFonts w:asciiTheme="minorHAnsi" w:eastAsiaTheme="minorHAnsi" w:hAnsiTheme="minorHAnsi" w:cstheme="minorBidi"/>
          <w:sz w:val="22"/>
          <w:szCs w:val="22"/>
          <w:lang w:val="en-US" w:bidi="ar-SA"/>
        </w:rPr>
      </w:pPr>
    </w:p>
    <w:p w14:paraId="75C67D61" w14:textId="69158FEA" w:rsidR="00A07555" w:rsidRPr="00CF6765" w:rsidRDefault="005C731C" w:rsidP="00A07555">
      <w:pPr>
        <w:pStyle w:val="Prrafodelista2"/>
        <w:tabs>
          <w:tab w:val="left" w:pos="720"/>
        </w:tabs>
        <w:ind w:left="0" w:right="-90"/>
        <w:contextualSpacing/>
        <w:rPr>
          <w:b/>
          <w:bCs/>
          <w:lang w:val="en-US"/>
        </w:rPr>
      </w:pPr>
      <w:r w:rsidRPr="00CF6765">
        <w:rPr>
          <w:b/>
          <w:bCs/>
          <w:lang w:val="en-US"/>
        </w:rPr>
        <w:t>THE COURT</w:t>
      </w:r>
      <w:r w:rsidR="00A07555" w:rsidRPr="00CF6765">
        <w:rPr>
          <w:b/>
          <w:bCs/>
          <w:lang w:val="en-US"/>
        </w:rPr>
        <w:t xml:space="preserve"> </w:t>
      </w:r>
    </w:p>
    <w:p w14:paraId="5AC4DE49" w14:textId="77777777" w:rsidR="00A07555" w:rsidRPr="00CF6765" w:rsidRDefault="00A07555" w:rsidP="00A07555">
      <w:pPr>
        <w:pStyle w:val="Prrafodelista2"/>
        <w:tabs>
          <w:tab w:val="left" w:pos="720"/>
        </w:tabs>
        <w:ind w:left="0" w:right="-90"/>
        <w:contextualSpacing/>
        <w:rPr>
          <w:b/>
          <w:bCs/>
          <w:lang w:val="en-US"/>
        </w:rPr>
      </w:pPr>
    </w:p>
    <w:p w14:paraId="4D906D83" w14:textId="43741E63" w:rsidR="00A07555" w:rsidRPr="00CF6765" w:rsidRDefault="00A07555" w:rsidP="00A07555">
      <w:pPr>
        <w:pStyle w:val="Prrafodelista2"/>
        <w:tabs>
          <w:tab w:val="left" w:pos="720"/>
        </w:tabs>
        <w:ind w:left="0" w:right="-90"/>
        <w:contextualSpacing/>
        <w:rPr>
          <w:b/>
          <w:bCs/>
          <w:lang w:val="en-US"/>
        </w:rPr>
      </w:pPr>
      <w:r w:rsidRPr="00CF6765">
        <w:rPr>
          <w:b/>
          <w:bCs/>
          <w:lang w:val="en-US"/>
        </w:rPr>
        <w:t>DECIDE</w:t>
      </w:r>
      <w:r w:rsidR="00E234BF" w:rsidRPr="00CF6765">
        <w:rPr>
          <w:b/>
          <w:bCs/>
          <w:lang w:val="en-US"/>
        </w:rPr>
        <w:t>S</w:t>
      </w:r>
      <w:r w:rsidRPr="00CF6765">
        <w:rPr>
          <w:b/>
          <w:bCs/>
          <w:lang w:val="en-US"/>
        </w:rPr>
        <w:t xml:space="preserve">, </w:t>
      </w:r>
    </w:p>
    <w:p w14:paraId="1287284B" w14:textId="77777777" w:rsidR="00E32C76" w:rsidRPr="00CF6765" w:rsidRDefault="00E32C76" w:rsidP="00E32C76">
      <w:pPr>
        <w:pStyle w:val="Prrafodelista2"/>
        <w:ind w:left="0" w:right="-90"/>
        <w:contextualSpacing/>
        <w:rPr>
          <w:lang w:val="en-US"/>
        </w:rPr>
      </w:pPr>
    </w:p>
    <w:p w14:paraId="096343CC" w14:textId="240FE59B" w:rsidR="00E234BF" w:rsidRPr="00CF6765" w:rsidRDefault="00E234BF" w:rsidP="00E234BF">
      <w:pPr>
        <w:pStyle w:val="Prrafodelista2"/>
        <w:ind w:left="0" w:right="-90"/>
        <w:contextualSpacing/>
        <w:rPr>
          <w:lang w:val="en-US"/>
        </w:rPr>
      </w:pPr>
      <w:r w:rsidRPr="00CF6765">
        <w:rPr>
          <w:lang w:val="en-US"/>
        </w:rPr>
        <w:t>Unanimously:</w:t>
      </w:r>
    </w:p>
    <w:p w14:paraId="38C61002" w14:textId="77777777" w:rsidR="00A07555" w:rsidRPr="00CF6765" w:rsidRDefault="00A07555" w:rsidP="00A07555">
      <w:pPr>
        <w:pStyle w:val="Prrafodelista2"/>
        <w:tabs>
          <w:tab w:val="left" w:pos="720"/>
        </w:tabs>
        <w:ind w:left="0" w:right="-90"/>
        <w:contextualSpacing/>
        <w:rPr>
          <w:lang w:val="en-US"/>
        </w:rPr>
      </w:pPr>
      <w:r w:rsidRPr="00CF6765">
        <w:rPr>
          <w:lang w:val="en-US"/>
        </w:rPr>
        <w:t xml:space="preserve"> </w:t>
      </w:r>
    </w:p>
    <w:p w14:paraId="2160F944" w14:textId="5E5F92AA" w:rsidR="00A07555" w:rsidRPr="00CF6765" w:rsidRDefault="00A07555"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 xml:space="preserve"> </w:t>
      </w:r>
      <w:r w:rsidR="00E234BF" w:rsidRPr="00CF6765">
        <w:rPr>
          <w:sz w:val="20"/>
          <w:szCs w:val="20"/>
          <w:lang w:val="en-US"/>
        </w:rPr>
        <w:t xml:space="preserve">To accept the </w:t>
      </w:r>
      <w:r w:rsidR="00AD6DF0" w:rsidRPr="00CF6765">
        <w:rPr>
          <w:sz w:val="20"/>
          <w:szCs w:val="20"/>
          <w:lang w:val="en-US"/>
        </w:rPr>
        <w:t>partial acknowledgement of international responsibility</w:t>
      </w:r>
      <w:r w:rsidRPr="00CF6765">
        <w:rPr>
          <w:sz w:val="20"/>
          <w:szCs w:val="20"/>
          <w:lang w:val="en-US"/>
        </w:rPr>
        <w:t xml:space="preserve"> </w:t>
      </w:r>
      <w:r w:rsidR="00E234BF" w:rsidRPr="00CF6765">
        <w:rPr>
          <w:sz w:val="20"/>
          <w:szCs w:val="20"/>
          <w:lang w:val="en-US"/>
        </w:rPr>
        <w:t>made by</w:t>
      </w:r>
      <w:r w:rsidRPr="00CF6765">
        <w:rPr>
          <w:sz w:val="20"/>
          <w:szCs w:val="20"/>
          <w:lang w:val="en-US"/>
        </w:rPr>
        <w:t xml:space="preserve"> </w:t>
      </w:r>
      <w:r w:rsidR="00EC50FC" w:rsidRPr="00CF6765">
        <w:rPr>
          <w:sz w:val="20"/>
          <w:szCs w:val="20"/>
          <w:lang w:val="en-US"/>
        </w:rPr>
        <w:t>the State</w:t>
      </w:r>
      <w:r w:rsidRPr="00CF6765">
        <w:rPr>
          <w:sz w:val="20"/>
          <w:szCs w:val="20"/>
          <w:lang w:val="en-US"/>
        </w:rPr>
        <w:t xml:space="preserve">, </w:t>
      </w:r>
      <w:r w:rsidR="00C8154C" w:rsidRPr="00CF6765">
        <w:rPr>
          <w:sz w:val="20"/>
          <w:szCs w:val="20"/>
          <w:lang w:val="en-US"/>
        </w:rPr>
        <w:t>pursuant to</w:t>
      </w:r>
      <w:r w:rsidR="0022762E" w:rsidRPr="00CF6765">
        <w:rPr>
          <w:sz w:val="20"/>
          <w:szCs w:val="20"/>
          <w:lang w:val="en-US"/>
        </w:rPr>
        <w:t xml:space="preserve"> </w:t>
      </w:r>
      <w:r w:rsidR="00C8154C" w:rsidRPr="00CF6765">
        <w:rPr>
          <w:sz w:val="20"/>
          <w:szCs w:val="20"/>
          <w:lang w:val="en-US"/>
        </w:rPr>
        <w:t>paragraph</w:t>
      </w:r>
      <w:r w:rsidR="0022762E" w:rsidRPr="00CF6765">
        <w:rPr>
          <w:sz w:val="20"/>
          <w:szCs w:val="20"/>
          <w:lang w:val="en-US"/>
        </w:rPr>
        <w:t xml:space="preserve">s </w:t>
      </w:r>
      <w:r w:rsidR="00294152" w:rsidRPr="00CF6765">
        <w:rPr>
          <w:sz w:val="20"/>
          <w:szCs w:val="20"/>
          <w:lang w:val="en-US"/>
        </w:rPr>
        <w:t xml:space="preserve">25 </w:t>
      </w:r>
      <w:r w:rsidR="00E234BF" w:rsidRPr="00CF6765">
        <w:rPr>
          <w:sz w:val="20"/>
          <w:szCs w:val="20"/>
          <w:lang w:val="en-US"/>
        </w:rPr>
        <w:t>to</w:t>
      </w:r>
      <w:r w:rsidR="00294152" w:rsidRPr="00CF6765">
        <w:rPr>
          <w:sz w:val="20"/>
          <w:szCs w:val="20"/>
          <w:lang w:val="en-US"/>
        </w:rPr>
        <w:t xml:space="preserve"> 34</w:t>
      </w:r>
      <w:r w:rsidRPr="00CF6765">
        <w:rPr>
          <w:sz w:val="20"/>
          <w:szCs w:val="20"/>
          <w:lang w:val="en-US"/>
        </w:rPr>
        <w:t xml:space="preserve"> </w:t>
      </w:r>
      <w:r w:rsidR="00D2168F" w:rsidRPr="00CF6765">
        <w:rPr>
          <w:sz w:val="20"/>
          <w:szCs w:val="20"/>
          <w:lang w:val="en-US"/>
        </w:rPr>
        <w:t>of this judgment</w:t>
      </w:r>
      <w:r w:rsidRPr="00CF6765">
        <w:rPr>
          <w:sz w:val="20"/>
          <w:szCs w:val="20"/>
          <w:lang w:val="en-US"/>
        </w:rPr>
        <w:t>.</w:t>
      </w:r>
    </w:p>
    <w:p w14:paraId="204765B2"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6E1515C8" w14:textId="7DFBEAF4" w:rsidR="00A07555" w:rsidRPr="00CF6765" w:rsidRDefault="00A07555" w:rsidP="00A07555">
      <w:pPr>
        <w:pStyle w:val="Prrafodelista2"/>
        <w:tabs>
          <w:tab w:val="left" w:pos="720"/>
        </w:tabs>
        <w:ind w:left="0" w:right="-90"/>
        <w:contextualSpacing/>
        <w:rPr>
          <w:b/>
          <w:bCs/>
          <w:lang w:val="en-US"/>
        </w:rPr>
      </w:pPr>
      <w:r w:rsidRPr="00CF6765">
        <w:rPr>
          <w:b/>
          <w:bCs/>
          <w:lang w:val="en-US"/>
        </w:rPr>
        <w:t>DECLAR</w:t>
      </w:r>
      <w:r w:rsidR="00E234BF" w:rsidRPr="00CF6765">
        <w:rPr>
          <w:b/>
          <w:bCs/>
          <w:lang w:val="en-US"/>
        </w:rPr>
        <w:t>ES</w:t>
      </w:r>
      <w:r w:rsidRPr="00CF6765">
        <w:rPr>
          <w:b/>
          <w:bCs/>
          <w:lang w:val="en-US"/>
        </w:rPr>
        <w:t xml:space="preserve"> </w:t>
      </w:r>
    </w:p>
    <w:p w14:paraId="39F19BBC"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1E013F84" w14:textId="198C68AC" w:rsidR="00E32C76" w:rsidRPr="00CF6765" w:rsidRDefault="00E234BF" w:rsidP="00E32C76">
      <w:pPr>
        <w:pStyle w:val="Prrafodelista2"/>
        <w:ind w:left="0" w:right="-90"/>
        <w:contextualSpacing/>
        <w:rPr>
          <w:lang w:val="en-US"/>
        </w:rPr>
      </w:pPr>
      <w:r w:rsidRPr="00CF6765">
        <w:rPr>
          <w:lang w:val="en-US"/>
        </w:rPr>
        <w:t>Unanimously, that</w:t>
      </w:r>
      <w:r w:rsidR="00E32C76" w:rsidRPr="00CF6765">
        <w:rPr>
          <w:lang w:val="en-US"/>
        </w:rPr>
        <w:t>:</w:t>
      </w:r>
    </w:p>
    <w:p w14:paraId="070CB820" w14:textId="77777777" w:rsidR="00E32C76" w:rsidRPr="00CF6765" w:rsidRDefault="00E32C76" w:rsidP="00A07555">
      <w:pPr>
        <w:pStyle w:val="Prrafodelista"/>
        <w:widowControl w:val="0"/>
        <w:tabs>
          <w:tab w:val="center" w:pos="567"/>
        </w:tabs>
        <w:autoSpaceDE w:val="0"/>
        <w:autoSpaceDN w:val="0"/>
        <w:adjustRightInd w:val="0"/>
        <w:ind w:left="0" w:right="-90"/>
        <w:rPr>
          <w:sz w:val="20"/>
          <w:szCs w:val="20"/>
          <w:lang w:val="en-US"/>
        </w:rPr>
      </w:pPr>
    </w:p>
    <w:p w14:paraId="04F03B5D" w14:textId="7831F8C0" w:rsidR="00A07555" w:rsidRPr="00CF6765" w:rsidRDefault="00EC50FC"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w:t>
      </w:r>
      <w:r w:rsidR="00E234BF" w:rsidRPr="00CF6765">
        <w:rPr>
          <w:sz w:val="20"/>
          <w:szCs w:val="20"/>
          <w:lang w:val="en-US"/>
        </w:rPr>
        <w:t xml:space="preserve"> </w:t>
      </w:r>
      <w:r w:rsidR="00C8154C" w:rsidRPr="00CF6765">
        <w:rPr>
          <w:sz w:val="20"/>
          <w:szCs w:val="20"/>
          <w:lang w:val="en-US"/>
        </w:rPr>
        <w:t>is responsible for</w:t>
      </w:r>
      <w:r w:rsidR="00A07555" w:rsidRPr="00CF6765">
        <w:rPr>
          <w:sz w:val="20"/>
          <w:szCs w:val="20"/>
          <w:lang w:val="en-US"/>
        </w:rPr>
        <w:t xml:space="preserve"> </w:t>
      </w:r>
      <w:r w:rsidR="008F31F2" w:rsidRPr="00CF6765">
        <w:rPr>
          <w:sz w:val="20"/>
          <w:szCs w:val="20"/>
          <w:lang w:val="en-US"/>
        </w:rPr>
        <w:t>the violation</w:t>
      </w:r>
      <w:r w:rsidR="0077190E" w:rsidRPr="00CF6765">
        <w:rPr>
          <w:sz w:val="20"/>
          <w:szCs w:val="20"/>
          <w:lang w:val="en-US"/>
        </w:rPr>
        <w:t xml:space="preserve"> of the </w:t>
      </w:r>
      <w:r w:rsidR="007A3516" w:rsidRPr="00CF6765">
        <w:rPr>
          <w:sz w:val="20"/>
          <w:szCs w:val="20"/>
          <w:lang w:val="en-US"/>
        </w:rPr>
        <w:t>right to health</w:t>
      </w:r>
      <w:r w:rsidR="00A07555" w:rsidRPr="00CF6765">
        <w:rPr>
          <w:sz w:val="20"/>
          <w:szCs w:val="20"/>
          <w:lang w:val="en-US"/>
        </w:rPr>
        <w:t xml:space="preserve">, </w:t>
      </w:r>
      <w:r w:rsidR="00E600F5" w:rsidRPr="00CF6765">
        <w:rPr>
          <w:sz w:val="20"/>
          <w:szCs w:val="20"/>
          <w:lang w:val="en-US"/>
        </w:rPr>
        <w:t>in conformity with</w:t>
      </w:r>
      <w:r w:rsidR="003437A0" w:rsidRPr="00CF6765">
        <w:rPr>
          <w:sz w:val="20"/>
          <w:szCs w:val="20"/>
          <w:lang w:val="en-US"/>
        </w:rPr>
        <w:t xml:space="preserve"> </w:t>
      </w:r>
      <w:r w:rsidR="005C731C" w:rsidRPr="00CF6765">
        <w:rPr>
          <w:sz w:val="20"/>
          <w:szCs w:val="20"/>
          <w:lang w:val="en-US"/>
        </w:rPr>
        <w:t>Article</w:t>
      </w:r>
      <w:r w:rsidR="00A07555" w:rsidRPr="00CF6765">
        <w:rPr>
          <w:sz w:val="20"/>
          <w:szCs w:val="20"/>
          <w:lang w:val="en-US"/>
        </w:rPr>
        <w:t xml:space="preserve"> 26</w:t>
      </w:r>
      <w:r w:rsidR="005C731C" w:rsidRPr="00CF6765">
        <w:rPr>
          <w:sz w:val="20"/>
          <w:szCs w:val="20"/>
          <w:lang w:val="en-US"/>
        </w:rPr>
        <w:t xml:space="preserve"> of the American Convention</w:t>
      </w:r>
      <w:r w:rsidR="00A07555" w:rsidRPr="00CF6765">
        <w:rPr>
          <w:sz w:val="20"/>
          <w:szCs w:val="20"/>
          <w:lang w:val="en-US"/>
        </w:rPr>
        <w:t xml:space="preserve">, </w:t>
      </w:r>
      <w:r w:rsidR="00690D57" w:rsidRPr="00CF6765">
        <w:rPr>
          <w:sz w:val="20"/>
          <w:szCs w:val="20"/>
          <w:lang w:val="en-US"/>
        </w:rPr>
        <w:t>in relation to Article</w:t>
      </w:r>
      <w:r w:rsidRPr="00CF6765">
        <w:rPr>
          <w:sz w:val="20"/>
          <w:szCs w:val="20"/>
          <w:lang w:val="en-US"/>
        </w:rPr>
        <w:t xml:space="preserve"> 1(1)</w:t>
      </w:r>
      <w:r w:rsidR="00A07555" w:rsidRPr="00CF6765">
        <w:rPr>
          <w:sz w:val="20"/>
          <w:szCs w:val="20"/>
          <w:lang w:val="en-US"/>
        </w:rPr>
        <w:t xml:space="preserve"> </w:t>
      </w:r>
      <w:r w:rsidR="00E234BF" w:rsidRPr="00CF6765">
        <w:rPr>
          <w:sz w:val="20"/>
          <w:szCs w:val="20"/>
          <w:lang w:val="en-US"/>
        </w:rPr>
        <w:t>of this instrument</w:t>
      </w:r>
      <w:r w:rsidR="00A07555" w:rsidRPr="00CF6765">
        <w:rPr>
          <w:sz w:val="20"/>
          <w:szCs w:val="20"/>
          <w:lang w:val="en-US"/>
        </w:rPr>
        <w:t xml:space="preserve">, </w:t>
      </w:r>
      <w:r w:rsidR="00690D57" w:rsidRPr="00CF6765">
        <w:rPr>
          <w:sz w:val="20"/>
          <w:szCs w:val="20"/>
          <w:lang w:val="en-US"/>
        </w:rPr>
        <w:t xml:space="preserve">to the detriment </w:t>
      </w:r>
      <w:r w:rsidR="0088423A" w:rsidRPr="00CF6765">
        <w:rPr>
          <w:sz w:val="20"/>
          <w:szCs w:val="20"/>
          <w:lang w:val="en-US"/>
        </w:rPr>
        <w:t>of Vinicio</w:t>
      </w:r>
      <w:r w:rsidR="00460FE6" w:rsidRPr="00CF6765">
        <w:rPr>
          <w:sz w:val="20"/>
          <w:szCs w:val="20"/>
          <w:lang w:val="en-US"/>
        </w:rPr>
        <w:t xml:space="preserve"> </w:t>
      </w:r>
      <w:r w:rsidR="00A07555" w:rsidRPr="00CF6765">
        <w:rPr>
          <w:sz w:val="20"/>
          <w:szCs w:val="20"/>
          <w:lang w:val="en-US"/>
        </w:rPr>
        <w:t xml:space="preserve">Poblete </w:t>
      </w:r>
      <w:proofErr w:type="spellStart"/>
      <w:r w:rsidR="00A07555" w:rsidRPr="00CF6765">
        <w:rPr>
          <w:sz w:val="20"/>
          <w:szCs w:val="20"/>
          <w:lang w:val="en-US"/>
        </w:rPr>
        <w:t>Vilches</w:t>
      </w:r>
      <w:proofErr w:type="spellEnd"/>
      <w:r w:rsidR="00A07555" w:rsidRPr="00CF6765">
        <w:rPr>
          <w:sz w:val="20"/>
          <w:szCs w:val="20"/>
          <w:lang w:val="en-US"/>
        </w:rPr>
        <w:t xml:space="preserve">, </w:t>
      </w:r>
      <w:r w:rsidR="00E600F5" w:rsidRPr="00CF6765">
        <w:rPr>
          <w:sz w:val="20"/>
          <w:szCs w:val="20"/>
          <w:lang w:val="en-US"/>
        </w:rPr>
        <w:t xml:space="preserve">pursuant to </w:t>
      </w:r>
      <w:r w:rsidR="00C8154C" w:rsidRPr="00CF6765">
        <w:rPr>
          <w:sz w:val="20"/>
          <w:szCs w:val="20"/>
          <w:lang w:val="en-US"/>
        </w:rPr>
        <w:t>paragraph</w:t>
      </w:r>
      <w:r w:rsidR="0022762E" w:rsidRPr="00CF6765">
        <w:rPr>
          <w:sz w:val="20"/>
          <w:szCs w:val="20"/>
          <w:lang w:val="en-US"/>
        </w:rPr>
        <w:t xml:space="preserve">s </w:t>
      </w:r>
      <w:r w:rsidR="00294152" w:rsidRPr="00CF6765">
        <w:rPr>
          <w:sz w:val="20"/>
          <w:szCs w:val="20"/>
          <w:lang w:val="en-US"/>
        </w:rPr>
        <w:t xml:space="preserve">99 </w:t>
      </w:r>
      <w:r w:rsidR="005E4FAA" w:rsidRPr="00CF6765">
        <w:rPr>
          <w:sz w:val="20"/>
          <w:szCs w:val="20"/>
          <w:lang w:val="en-US"/>
        </w:rPr>
        <w:t>to</w:t>
      </w:r>
      <w:r w:rsidR="00294152" w:rsidRPr="00CF6765">
        <w:rPr>
          <w:sz w:val="20"/>
          <w:szCs w:val="20"/>
          <w:lang w:val="en-US"/>
        </w:rPr>
        <w:t xml:space="preserve"> 143</w:t>
      </w:r>
      <w:r w:rsidRPr="00CF6765">
        <w:rPr>
          <w:sz w:val="20"/>
          <w:szCs w:val="20"/>
          <w:lang w:val="en-US"/>
        </w:rPr>
        <w:t xml:space="preserve"> and </w:t>
      </w:r>
      <w:r w:rsidR="00294152" w:rsidRPr="00CF6765">
        <w:rPr>
          <w:sz w:val="20"/>
          <w:szCs w:val="20"/>
          <w:lang w:val="en-US"/>
        </w:rPr>
        <w:t xml:space="preserve">174 </w:t>
      </w:r>
      <w:r w:rsidR="00E234BF" w:rsidRPr="00CF6765">
        <w:rPr>
          <w:sz w:val="20"/>
          <w:szCs w:val="20"/>
          <w:lang w:val="en-US"/>
        </w:rPr>
        <w:t>to</w:t>
      </w:r>
      <w:r w:rsidR="00294152" w:rsidRPr="00CF6765">
        <w:rPr>
          <w:sz w:val="20"/>
          <w:szCs w:val="20"/>
          <w:lang w:val="en-US"/>
        </w:rPr>
        <w:t xml:space="preserve"> 176</w:t>
      </w:r>
      <w:r w:rsidR="0022762E" w:rsidRPr="00CF6765">
        <w:rPr>
          <w:sz w:val="20"/>
          <w:szCs w:val="20"/>
          <w:lang w:val="en-US"/>
        </w:rPr>
        <w:t xml:space="preserve"> </w:t>
      </w:r>
      <w:r w:rsidR="00D2168F" w:rsidRPr="00CF6765">
        <w:rPr>
          <w:sz w:val="20"/>
          <w:szCs w:val="20"/>
          <w:lang w:val="en-US"/>
        </w:rPr>
        <w:t>of this judgment</w:t>
      </w:r>
      <w:r w:rsidR="00A07555" w:rsidRPr="00CF6765">
        <w:rPr>
          <w:sz w:val="20"/>
          <w:szCs w:val="20"/>
          <w:lang w:val="en-US"/>
        </w:rPr>
        <w:t>.</w:t>
      </w:r>
    </w:p>
    <w:p w14:paraId="0F221DE1"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2AE0F1F8" w14:textId="1396EACE" w:rsidR="00A07555" w:rsidRPr="00CF6765" w:rsidRDefault="00EC50FC"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w:t>
      </w:r>
      <w:r w:rsidR="00A07555" w:rsidRPr="00CF6765">
        <w:rPr>
          <w:sz w:val="20"/>
          <w:szCs w:val="20"/>
          <w:lang w:val="en-US"/>
        </w:rPr>
        <w:t xml:space="preserve"> </w:t>
      </w:r>
      <w:r w:rsidR="00C8154C" w:rsidRPr="00CF6765">
        <w:rPr>
          <w:sz w:val="20"/>
          <w:szCs w:val="20"/>
          <w:lang w:val="en-US"/>
        </w:rPr>
        <w:t>is responsible for</w:t>
      </w:r>
      <w:r w:rsidR="00A07555" w:rsidRPr="00CF6765">
        <w:rPr>
          <w:sz w:val="20"/>
          <w:szCs w:val="20"/>
          <w:lang w:val="en-US"/>
        </w:rPr>
        <w:t xml:space="preserve"> </w:t>
      </w:r>
      <w:r w:rsidR="008F31F2" w:rsidRPr="00CF6765">
        <w:rPr>
          <w:sz w:val="20"/>
          <w:szCs w:val="20"/>
          <w:lang w:val="en-US"/>
        </w:rPr>
        <w:t>the violation</w:t>
      </w:r>
      <w:r w:rsidR="0077190E" w:rsidRPr="00CF6765">
        <w:rPr>
          <w:sz w:val="20"/>
          <w:szCs w:val="20"/>
          <w:lang w:val="en-US"/>
        </w:rPr>
        <w:t xml:space="preserve"> of the right to life</w:t>
      </w:r>
      <w:r w:rsidR="00A07555" w:rsidRPr="00CF6765">
        <w:rPr>
          <w:sz w:val="20"/>
          <w:szCs w:val="20"/>
          <w:lang w:val="en-US"/>
        </w:rPr>
        <w:t xml:space="preserve">, </w:t>
      </w:r>
      <w:r w:rsidR="00E234BF" w:rsidRPr="00CF6765">
        <w:rPr>
          <w:sz w:val="20"/>
          <w:szCs w:val="20"/>
          <w:lang w:val="en-US"/>
        </w:rPr>
        <w:t>recognized in</w:t>
      </w:r>
      <w:r w:rsidR="00A07555" w:rsidRPr="00CF6765">
        <w:rPr>
          <w:sz w:val="20"/>
          <w:szCs w:val="20"/>
          <w:lang w:val="en-US"/>
        </w:rPr>
        <w:t xml:space="preserve"> </w:t>
      </w:r>
      <w:r w:rsidR="005C731C" w:rsidRPr="00CF6765">
        <w:rPr>
          <w:sz w:val="20"/>
          <w:szCs w:val="20"/>
          <w:lang w:val="en-US"/>
        </w:rPr>
        <w:t>Article</w:t>
      </w:r>
      <w:r w:rsidR="00A07555" w:rsidRPr="00CF6765">
        <w:rPr>
          <w:sz w:val="20"/>
          <w:szCs w:val="20"/>
          <w:lang w:val="en-US"/>
        </w:rPr>
        <w:t xml:space="preserve"> 4</w:t>
      </w:r>
      <w:r w:rsidR="005C731C" w:rsidRPr="00CF6765">
        <w:rPr>
          <w:sz w:val="20"/>
          <w:szCs w:val="20"/>
          <w:lang w:val="en-US"/>
        </w:rPr>
        <w:t xml:space="preserve"> of the American Convention</w:t>
      </w:r>
      <w:r w:rsidR="00A07555" w:rsidRPr="00CF6765">
        <w:rPr>
          <w:sz w:val="20"/>
          <w:szCs w:val="20"/>
          <w:lang w:val="en-US"/>
        </w:rPr>
        <w:t xml:space="preserve">, </w:t>
      </w:r>
      <w:r w:rsidR="00690D57" w:rsidRPr="00CF6765">
        <w:rPr>
          <w:sz w:val="20"/>
          <w:szCs w:val="20"/>
          <w:lang w:val="en-US"/>
        </w:rPr>
        <w:t>in relation to Article</w:t>
      </w:r>
      <w:r w:rsidR="005C731C" w:rsidRPr="00CF6765">
        <w:rPr>
          <w:sz w:val="20"/>
          <w:szCs w:val="20"/>
          <w:lang w:val="en-US"/>
        </w:rPr>
        <w:t>s</w:t>
      </w:r>
      <w:r w:rsidR="00A07555" w:rsidRPr="00CF6765">
        <w:rPr>
          <w:sz w:val="20"/>
          <w:szCs w:val="20"/>
          <w:lang w:val="en-US"/>
        </w:rPr>
        <w:t xml:space="preserve"> 26</w:t>
      </w:r>
      <w:r w:rsidRPr="00CF6765">
        <w:rPr>
          <w:sz w:val="20"/>
          <w:szCs w:val="20"/>
          <w:lang w:val="en-US"/>
        </w:rPr>
        <w:t xml:space="preserve"> and</w:t>
      </w:r>
      <w:r w:rsidR="009C2DEF" w:rsidRPr="00CF6765">
        <w:rPr>
          <w:sz w:val="20"/>
          <w:szCs w:val="20"/>
          <w:lang w:val="en-US"/>
        </w:rPr>
        <w:t xml:space="preserve"> 1(1)</w:t>
      </w:r>
      <w:r w:rsidR="00A07555" w:rsidRPr="00CF6765">
        <w:rPr>
          <w:sz w:val="20"/>
          <w:szCs w:val="20"/>
          <w:lang w:val="en-US"/>
        </w:rPr>
        <w:t xml:space="preserve"> </w:t>
      </w:r>
      <w:r w:rsidR="00E234BF" w:rsidRPr="00CF6765">
        <w:rPr>
          <w:sz w:val="20"/>
          <w:szCs w:val="20"/>
          <w:lang w:val="en-US"/>
        </w:rPr>
        <w:t xml:space="preserve">of this </w:t>
      </w:r>
      <w:proofErr w:type="gramStart"/>
      <w:r w:rsidR="00E234BF" w:rsidRPr="00CF6765">
        <w:rPr>
          <w:sz w:val="20"/>
          <w:szCs w:val="20"/>
          <w:lang w:val="en-US"/>
        </w:rPr>
        <w:t>instrument</w:t>
      </w:r>
      <w:proofErr w:type="gramEnd"/>
      <w:r w:rsidR="00A07555" w:rsidRPr="00CF6765">
        <w:rPr>
          <w:sz w:val="20"/>
          <w:szCs w:val="20"/>
          <w:lang w:val="en-US"/>
        </w:rPr>
        <w:t xml:space="preserve">, </w:t>
      </w:r>
      <w:r w:rsidR="00690D57" w:rsidRPr="00CF6765">
        <w:rPr>
          <w:sz w:val="20"/>
          <w:szCs w:val="20"/>
          <w:lang w:val="en-US"/>
        </w:rPr>
        <w:t xml:space="preserve">to the detriment </w:t>
      </w:r>
      <w:r w:rsidR="0088423A" w:rsidRPr="00CF6765">
        <w:rPr>
          <w:sz w:val="20"/>
          <w:szCs w:val="20"/>
          <w:lang w:val="en-US"/>
        </w:rPr>
        <w:t>of Vinicio</w:t>
      </w:r>
      <w:r w:rsidR="00460FE6" w:rsidRPr="00CF6765">
        <w:rPr>
          <w:sz w:val="20"/>
          <w:szCs w:val="20"/>
          <w:lang w:val="en-US"/>
        </w:rPr>
        <w:t xml:space="preserve"> </w:t>
      </w:r>
      <w:r w:rsidR="00A07555" w:rsidRPr="00CF6765">
        <w:rPr>
          <w:sz w:val="20"/>
          <w:szCs w:val="20"/>
          <w:lang w:val="en-US"/>
        </w:rPr>
        <w:t xml:space="preserve">Poblete </w:t>
      </w:r>
      <w:proofErr w:type="spellStart"/>
      <w:r w:rsidR="00A07555" w:rsidRPr="00CF6765">
        <w:rPr>
          <w:sz w:val="20"/>
          <w:szCs w:val="20"/>
          <w:lang w:val="en-US"/>
        </w:rPr>
        <w:t>Vilches</w:t>
      </w:r>
      <w:proofErr w:type="spellEnd"/>
      <w:r w:rsidR="00A07555" w:rsidRPr="00CF6765">
        <w:rPr>
          <w:sz w:val="20"/>
          <w:szCs w:val="20"/>
          <w:lang w:val="en-US"/>
        </w:rPr>
        <w:t xml:space="preserve">, </w:t>
      </w:r>
      <w:r w:rsidR="00E600F5" w:rsidRPr="00CF6765">
        <w:rPr>
          <w:sz w:val="20"/>
          <w:szCs w:val="20"/>
          <w:lang w:val="en-US"/>
        </w:rPr>
        <w:t xml:space="preserve">pursuant to </w:t>
      </w:r>
      <w:r w:rsidR="00C8154C" w:rsidRPr="00CF6765">
        <w:rPr>
          <w:sz w:val="20"/>
          <w:szCs w:val="20"/>
          <w:lang w:val="en-US"/>
        </w:rPr>
        <w:t>paragraph</w:t>
      </w:r>
      <w:r w:rsidR="0022762E" w:rsidRPr="00CF6765">
        <w:rPr>
          <w:sz w:val="20"/>
          <w:szCs w:val="20"/>
          <w:lang w:val="en-US"/>
        </w:rPr>
        <w:t xml:space="preserve">s </w:t>
      </w:r>
      <w:r w:rsidR="00294152" w:rsidRPr="00CF6765">
        <w:rPr>
          <w:sz w:val="20"/>
          <w:szCs w:val="20"/>
          <w:lang w:val="en-US"/>
        </w:rPr>
        <w:t>144</w:t>
      </w:r>
      <w:r w:rsidR="00A07555" w:rsidRPr="00CF6765">
        <w:rPr>
          <w:sz w:val="20"/>
          <w:szCs w:val="20"/>
          <w:lang w:val="en-US"/>
        </w:rPr>
        <w:t xml:space="preserve"> </w:t>
      </w:r>
      <w:r w:rsidR="00E234BF" w:rsidRPr="00CF6765">
        <w:rPr>
          <w:sz w:val="20"/>
          <w:szCs w:val="20"/>
          <w:lang w:val="en-US"/>
        </w:rPr>
        <w:t>to</w:t>
      </w:r>
      <w:r w:rsidR="00A07555" w:rsidRPr="00CF6765">
        <w:rPr>
          <w:sz w:val="20"/>
          <w:szCs w:val="20"/>
          <w:lang w:val="en-US"/>
        </w:rPr>
        <w:t xml:space="preserve"> </w:t>
      </w:r>
      <w:r w:rsidR="00294152" w:rsidRPr="00CF6765">
        <w:rPr>
          <w:sz w:val="20"/>
          <w:szCs w:val="20"/>
          <w:lang w:val="en-US"/>
        </w:rPr>
        <w:t>151</w:t>
      </w:r>
      <w:r w:rsidRPr="00CF6765">
        <w:rPr>
          <w:sz w:val="20"/>
          <w:szCs w:val="20"/>
          <w:lang w:val="en-US"/>
        </w:rPr>
        <w:t xml:space="preserve"> and </w:t>
      </w:r>
      <w:r w:rsidR="00294152" w:rsidRPr="00CF6765">
        <w:rPr>
          <w:sz w:val="20"/>
          <w:szCs w:val="20"/>
          <w:lang w:val="en-US"/>
        </w:rPr>
        <w:t xml:space="preserve">174 </w:t>
      </w:r>
      <w:r w:rsidR="00E234BF" w:rsidRPr="00CF6765">
        <w:rPr>
          <w:sz w:val="20"/>
          <w:szCs w:val="20"/>
          <w:lang w:val="en-US"/>
        </w:rPr>
        <w:t>to</w:t>
      </w:r>
      <w:r w:rsidR="00294152" w:rsidRPr="00CF6765">
        <w:rPr>
          <w:sz w:val="20"/>
          <w:szCs w:val="20"/>
          <w:lang w:val="en-US"/>
        </w:rPr>
        <w:t xml:space="preserve"> 176</w:t>
      </w:r>
      <w:r w:rsidR="00A07555" w:rsidRPr="00CF6765">
        <w:rPr>
          <w:sz w:val="20"/>
          <w:szCs w:val="20"/>
          <w:lang w:val="en-US"/>
        </w:rPr>
        <w:t xml:space="preserve"> </w:t>
      </w:r>
      <w:r w:rsidR="00D2168F" w:rsidRPr="00CF6765">
        <w:rPr>
          <w:sz w:val="20"/>
          <w:szCs w:val="20"/>
          <w:lang w:val="en-US"/>
        </w:rPr>
        <w:t>of this judgment</w:t>
      </w:r>
      <w:r w:rsidR="00A07555" w:rsidRPr="00CF6765">
        <w:rPr>
          <w:sz w:val="20"/>
          <w:szCs w:val="20"/>
          <w:lang w:val="en-US"/>
        </w:rPr>
        <w:t>.</w:t>
      </w:r>
    </w:p>
    <w:p w14:paraId="12AF7789" w14:textId="158B9D5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740ADAF3" w14:textId="54B308E8" w:rsidR="00F377B4" w:rsidRPr="00CF6765" w:rsidRDefault="00EC50FC" w:rsidP="00F377B4">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w:t>
      </w:r>
      <w:r w:rsidR="00F377B4" w:rsidRPr="00CF6765">
        <w:rPr>
          <w:sz w:val="20"/>
          <w:szCs w:val="20"/>
          <w:lang w:val="en-US"/>
        </w:rPr>
        <w:t xml:space="preserve"> </w:t>
      </w:r>
      <w:r w:rsidR="00C8154C" w:rsidRPr="00CF6765">
        <w:rPr>
          <w:sz w:val="20"/>
          <w:szCs w:val="20"/>
          <w:lang w:val="en-US"/>
        </w:rPr>
        <w:t>is responsible for</w:t>
      </w:r>
      <w:r w:rsidR="00F377B4" w:rsidRPr="00CF6765">
        <w:rPr>
          <w:sz w:val="20"/>
          <w:szCs w:val="20"/>
          <w:lang w:val="en-US"/>
        </w:rPr>
        <w:t xml:space="preserve"> </w:t>
      </w:r>
      <w:r w:rsidR="008F31F2" w:rsidRPr="00CF6765">
        <w:rPr>
          <w:sz w:val="20"/>
          <w:szCs w:val="20"/>
          <w:lang w:val="en-US"/>
        </w:rPr>
        <w:t>the violation</w:t>
      </w:r>
      <w:r w:rsidR="0077190E" w:rsidRPr="00CF6765">
        <w:rPr>
          <w:sz w:val="20"/>
          <w:szCs w:val="20"/>
          <w:lang w:val="en-US"/>
        </w:rPr>
        <w:t xml:space="preserve"> of the </w:t>
      </w:r>
      <w:r w:rsidR="00E234BF" w:rsidRPr="00CF6765">
        <w:rPr>
          <w:sz w:val="20"/>
          <w:szCs w:val="20"/>
          <w:lang w:val="en-US"/>
        </w:rPr>
        <w:t>right to</w:t>
      </w:r>
      <w:r w:rsidR="00F377B4" w:rsidRPr="00CF6765">
        <w:rPr>
          <w:sz w:val="20"/>
          <w:szCs w:val="20"/>
          <w:lang w:val="en-US"/>
        </w:rPr>
        <w:t xml:space="preserve"> </w:t>
      </w:r>
      <w:r w:rsidR="00925BAC" w:rsidRPr="00CF6765">
        <w:rPr>
          <w:sz w:val="20"/>
          <w:szCs w:val="20"/>
          <w:lang w:val="en-US"/>
        </w:rPr>
        <w:t>personal integrity</w:t>
      </w:r>
      <w:r w:rsidR="00F377B4" w:rsidRPr="00CF6765">
        <w:rPr>
          <w:sz w:val="20"/>
          <w:szCs w:val="20"/>
          <w:lang w:val="en-US"/>
        </w:rPr>
        <w:t xml:space="preserve">, </w:t>
      </w:r>
      <w:r w:rsidR="00E234BF" w:rsidRPr="00CF6765">
        <w:rPr>
          <w:sz w:val="20"/>
          <w:szCs w:val="20"/>
          <w:lang w:val="en-US"/>
        </w:rPr>
        <w:t>recognized in</w:t>
      </w:r>
      <w:r w:rsidR="00F377B4" w:rsidRPr="00CF6765">
        <w:rPr>
          <w:sz w:val="20"/>
          <w:szCs w:val="20"/>
          <w:lang w:val="en-US"/>
        </w:rPr>
        <w:t xml:space="preserve"> </w:t>
      </w:r>
      <w:r w:rsidR="005C731C" w:rsidRPr="00CF6765">
        <w:rPr>
          <w:sz w:val="20"/>
          <w:szCs w:val="20"/>
          <w:lang w:val="en-US"/>
        </w:rPr>
        <w:t>Article</w:t>
      </w:r>
      <w:r w:rsidR="00F377B4" w:rsidRPr="00CF6765">
        <w:rPr>
          <w:sz w:val="20"/>
          <w:szCs w:val="20"/>
          <w:lang w:val="en-US"/>
        </w:rPr>
        <w:t xml:space="preserve"> 5</w:t>
      </w:r>
      <w:r w:rsidR="005C731C" w:rsidRPr="00CF6765">
        <w:rPr>
          <w:sz w:val="20"/>
          <w:szCs w:val="20"/>
          <w:lang w:val="en-US"/>
        </w:rPr>
        <w:t xml:space="preserve"> of the American Convention</w:t>
      </w:r>
      <w:r w:rsidR="00F377B4" w:rsidRPr="00CF6765">
        <w:rPr>
          <w:sz w:val="20"/>
          <w:szCs w:val="20"/>
          <w:lang w:val="en-US"/>
        </w:rPr>
        <w:t xml:space="preserve">, </w:t>
      </w:r>
      <w:r w:rsidR="00690D57" w:rsidRPr="00CF6765">
        <w:rPr>
          <w:sz w:val="20"/>
          <w:szCs w:val="20"/>
          <w:lang w:val="en-US"/>
        </w:rPr>
        <w:t>in relation to Article</w:t>
      </w:r>
      <w:r w:rsidR="005C731C" w:rsidRPr="00CF6765">
        <w:rPr>
          <w:sz w:val="20"/>
          <w:szCs w:val="20"/>
          <w:lang w:val="en-US"/>
        </w:rPr>
        <w:t>s</w:t>
      </w:r>
      <w:r w:rsidR="00F377B4" w:rsidRPr="00CF6765">
        <w:rPr>
          <w:sz w:val="20"/>
          <w:szCs w:val="20"/>
          <w:lang w:val="en-US"/>
        </w:rPr>
        <w:t xml:space="preserve"> 26</w:t>
      </w:r>
      <w:r w:rsidRPr="00CF6765">
        <w:rPr>
          <w:sz w:val="20"/>
          <w:szCs w:val="20"/>
          <w:lang w:val="en-US"/>
        </w:rPr>
        <w:t xml:space="preserve"> and</w:t>
      </w:r>
      <w:r w:rsidR="009C2DEF" w:rsidRPr="00CF6765">
        <w:rPr>
          <w:sz w:val="20"/>
          <w:szCs w:val="20"/>
          <w:lang w:val="en-US"/>
        </w:rPr>
        <w:t xml:space="preserve"> 1(1)</w:t>
      </w:r>
      <w:r w:rsidR="00F377B4" w:rsidRPr="00CF6765">
        <w:rPr>
          <w:sz w:val="20"/>
          <w:szCs w:val="20"/>
          <w:lang w:val="en-US"/>
        </w:rPr>
        <w:t xml:space="preserve"> </w:t>
      </w:r>
      <w:r w:rsidR="00E234BF" w:rsidRPr="00CF6765">
        <w:rPr>
          <w:sz w:val="20"/>
          <w:szCs w:val="20"/>
          <w:lang w:val="en-US"/>
        </w:rPr>
        <w:t xml:space="preserve">of this </w:t>
      </w:r>
      <w:proofErr w:type="gramStart"/>
      <w:r w:rsidR="00E234BF" w:rsidRPr="00CF6765">
        <w:rPr>
          <w:sz w:val="20"/>
          <w:szCs w:val="20"/>
          <w:lang w:val="en-US"/>
        </w:rPr>
        <w:t>instrument</w:t>
      </w:r>
      <w:proofErr w:type="gramEnd"/>
      <w:r w:rsidR="00F377B4" w:rsidRPr="00CF6765">
        <w:rPr>
          <w:sz w:val="20"/>
          <w:szCs w:val="20"/>
          <w:lang w:val="en-US"/>
        </w:rPr>
        <w:t xml:space="preserve">, </w:t>
      </w:r>
      <w:r w:rsidR="00690D57" w:rsidRPr="00CF6765">
        <w:rPr>
          <w:sz w:val="20"/>
          <w:szCs w:val="20"/>
          <w:lang w:val="en-US"/>
        </w:rPr>
        <w:t xml:space="preserve">to the detriment </w:t>
      </w:r>
      <w:r w:rsidR="0088423A" w:rsidRPr="00CF6765">
        <w:rPr>
          <w:sz w:val="20"/>
          <w:szCs w:val="20"/>
          <w:lang w:val="en-US"/>
        </w:rPr>
        <w:t>of Vinicio</w:t>
      </w:r>
      <w:r w:rsidR="00460FE6" w:rsidRPr="00CF6765">
        <w:rPr>
          <w:sz w:val="20"/>
          <w:szCs w:val="20"/>
          <w:lang w:val="en-US"/>
        </w:rPr>
        <w:t xml:space="preserve"> </w:t>
      </w:r>
      <w:r w:rsidR="00F377B4" w:rsidRPr="00CF6765">
        <w:rPr>
          <w:sz w:val="20"/>
          <w:szCs w:val="20"/>
          <w:lang w:val="en-US"/>
        </w:rPr>
        <w:t xml:space="preserve">Poblete </w:t>
      </w:r>
      <w:proofErr w:type="spellStart"/>
      <w:r w:rsidR="00F377B4" w:rsidRPr="00CF6765">
        <w:rPr>
          <w:sz w:val="20"/>
          <w:szCs w:val="20"/>
          <w:lang w:val="en-US"/>
        </w:rPr>
        <w:t>Vilches</w:t>
      </w:r>
      <w:proofErr w:type="spellEnd"/>
      <w:r w:rsidR="00F377B4" w:rsidRPr="00CF6765">
        <w:rPr>
          <w:sz w:val="20"/>
          <w:szCs w:val="20"/>
          <w:lang w:val="en-US"/>
        </w:rPr>
        <w:t xml:space="preserve">, </w:t>
      </w:r>
      <w:r w:rsidR="00E600F5" w:rsidRPr="00CF6765">
        <w:rPr>
          <w:sz w:val="20"/>
          <w:szCs w:val="20"/>
          <w:lang w:val="en-US"/>
        </w:rPr>
        <w:t xml:space="preserve">pursuant to </w:t>
      </w:r>
      <w:r w:rsidR="00C8154C" w:rsidRPr="00CF6765">
        <w:rPr>
          <w:sz w:val="20"/>
          <w:szCs w:val="20"/>
          <w:lang w:val="en-US"/>
        </w:rPr>
        <w:t>paragraph</w:t>
      </w:r>
      <w:r w:rsidR="00F377B4" w:rsidRPr="00CF6765">
        <w:rPr>
          <w:sz w:val="20"/>
          <w:szCs w:val="20"/>
          <w:lang w:val="en-US"/>
        </w:rPr>
        <w:t xml:space="preserve">s </w:t>
      </w:r>
      <w:r w:rsidR="00294152" w:rsidRPr="00CF6765">
        <w:rPr>
          <w:sz w:val="20"/>
          <w:szCs w:val="20"/>
          <w:lang w:val="en-US"/>
        </w:rPr>
        <w:t>158</w:t>
      </w:r>
      <w:r w:rsidR="00F377B4" w:rsidRPr="00CF6765">
        <w:rPr>
          <w:sz w:val="20"/>
          <w:szCs w:val="20"/>
          <w:lang w:val="en-US"/>
        </w:rPr>
        <w:t xml:space="preserve"> </w:t>
      </w:r>
      <w:r w:rsidR="00E234BF" w:rsidRPr="00CF6765">
        <w:rPr>
          <w:sz w:val="20"/>
          <w:szCs w:val="20"/>
          <w:lang w:val="en-US"/>
        </w:rPr>
        <w:t>to</w:t>
      </w:r>
      <w:r w:rsidR="00F377B4" w:rsidRPr="00CF6765">
        <w:rPr>
          <w:sz w:val="20"/>
          <w:szCs w:val="20"/>
          <w:lang w:val="en-US"/>
        </w:rPr>
        <w:t xml:space="preserve"> </w:t>
      </w:r>
      <w:r w:rsidR="00294152" w:rsidRPr="00CF6765">
        <w:rPr>
          <w:sz w:val="20"/>
          <w:szCs w:val="20"/>
          <w:lang w:val="en-US"/>
        </w:rPr>
        <w:t>160</w:t>
      </w:r>
      <w:r w:rsidRPr="00CF6765">
        <w:rPr>
          <w:sz w:val="20"/>
          <w:szCs w:val="20"/>
          <w:lang w:val="en-US"/>
        </w:rPr>
        <w:t xml:space="preserve"> and </w:t>
      </w:r>
      <w:r w:rsidR="00294152" w:rsidRPr="00CF6765">
        <w:rPr>
          <w:sz w:val="20"/>
          <w:szCs w:val="20"/>
          <w:lang w:val="en-US"/>
        </w:rPr>
        <w:t xml:space="preserve">174 </w:t>
      </w:r>
      <w:r w:rsidR="00E234BF" w:rsidRPr="00CF6765">
        <w:rPr>
          <w:sz w:val="20"/>
          <w:szCs w:val="20"/>
          <w:lang w:val="en-US"/>
        </w:rPr>
        <w:t>to</w:t>
      </w:r>
      <w:r w:rsidR="00294152" w:rsidRPr="00CF6765">
        <w:rPr>
          <w:sz w:val="20"/>
          <w:szCs w:val="20"/>
          <w:lang w:val="en-US"/>
        </w:rPr>
        <w:t xml:space="preserve"> 176</w:t>
      </w:r>
      <w:r w:rsidR="00F377B4" w:rsidRPr="00CF6765">
        <w:rPr>
          <w:sz w:val="20"/>
          <w:szCs w:val="20"/>
          <w:lang w:val="en-US"/>
        </w:rPr>
        <w:t xml:space="preserve"> </w:t>
      </w:r>
      <w:r w:rsidR="00D2168F" w:rsidRPr="00CF6765">
        <w:rPr>
          <w:sz w:val="20"/>
          <w:szCs w:val="20"/>
          <w:lang w:val="en-US"/>
        </w:rPr>
        <w:t>of this judgment</w:t>
      </w:r>
      <w:r w:rsidR="00F377B4" w:rsidRPr="00CF6765">
        <w:rPr>
          <w:sz w:val="20"/>
          <w:szCs w:val="20"/>
          <w:lang w:val="en-US"/>
        </w:rPr>
        <w:t>.</w:t>
      </w:r>
    </w:p>
    <w:p w14:paraId="1DB68162" w14:textId="77777777" w:rsidR="00F377B4" w:rsidRPr="00CF6765" w:rsidRDefault="00F377B4" w:rsidP="00A07555">
      <w:pPr>
        <w:pStyle w:val="Prrafodelista"/>
        <w:widowControl w:val="0"/>
        <w:tabs>
          <w:tab w:val="center" w:pos="567"/>
        </w:tabs>
        <w:autoSpaceDE w:val="0"/>
        <w:autoSpaceDN w:val="0"/>
        <w:adjustRightInd w:val="0"/>
        <w:ind w:left="0" w:right="-90"/>
        <w:rPr>
          <w:sz w:val="20"/>
          <w:szCs w:val="20"/>
          <w:lang w:val="en-US"/>
        </w:rPr>
      </w:pPr>
    </w:p>
    <w:p w14:paraId="70897E56" w14:textId="31487093" w:rsidR="00A07555" w:rsidRPr="00CF6765" w:rsidRDefault="00EC50FC"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w:t>
      </w:r>
      <w:r w:rsidR="00A07555" w:rsidRPr="00CF6765">
        <w:rPr>
          <w:sz w:val="20"/>
          <w:szCs w:val="20"/>
          <w:lang w:val="en-US"/>
        </w:rPr>
        <w:t xml:space="preserve"> </w:t>
      </w:r>
      <w:r w:rsidR="00C8154C" w:rsidRPr="00CF6765">
        <w:rPr>
          <w:sz w:val="20"/>
          <w:szCs w:val="20"/>
          <w:lang w:val="en-US"/>
        </w:rPr>
        <w:t>is responsible for</w:t>
      </w:r>
      <w:r w:rsidR="00A07555" w:rsidRPr="00CF6765">
        <w:rPr>
          <w:sz w:val="20"/>
          <w:szCs w:val="20"/>
          <w:lang w:val="en-US"/>
        </w:rPr>
        <w:t xml:space="preserve"> </w:t>
      </w:r>
      <w:r w:rsidR="008F31F2" w:rsidRPr="00CF6765">
        <w:rPr>
          <w:sz w:val="20"/>
          <w:szCs w:val="20"/>
          <w:lang w:val="en-US"/>
        </w:rPr>
        <w:t>the violation</w:t>
      </w:r>
      <w:r w:rsidR="0077190E" w:rsidRPr="00CF6765">
        <w:rPr>
          <w:sz w:val="20"/>
          <w:szCs w:val="20"/>
          <w:lang w:val="en-US"/>
        </w:rPr>
        <w:t xml:space="preserve"> of the </w:t>
      </w:r>
      <w:r w:rsidR="00E234BF" w:rsidRPr="00CF6765">
        <w:rPr>
          <w:sz w:val="20"/>
          <w:szCs w:val="20"/>
          <w:lang w:val="en-US"/>
        </w:rPr>
        <w:t>right to obtain</w:t>
      </w:r>
      <w:r w:rsidR="00A07555" w:rsidRPr="00CF6765">
        <w:rPr>
          <w:sz w:val="20"/>
          <w:szCs w:val="20"/>
          <w:lang w:val="en-US"/>
        </w:rPr>
        <w:t xml:space="preserve"> </w:t>
      </w:r>
      <w:r w:rsidR="003C3208" w:rsidRPr="00CF6765">
        <w:rPr>
          <w:sz w:val="20"/>
          <w:szCs w:val="20"/>
          <w:lang w:val="en-US"/>
        </w:rPr>
        <w:t>informed consent</w:t>
      </w:r>
      <w:r w:rsidRPr="00CF6765">
        <w:rPr>
          <w:sz w:val="20"/>
          <w:szCs w:val="20"/>
          <w:lang w:val="en-US"/>
        </w:rPr>
        <w:t xml:space="preserve"> and </w:t>
      </w:r>
      <w:r w:rsidR="00690D57" w:rsidRPr="00CF6765">
        <w:rPr>
          <w:sz w:val="20"/>
          <w:szCs w:val="20"/>
          <w:lang w:val="en-US"/>
        </w:rPr>
        <w:t>access to information</w:t>
      </w:r>
      <w:r w:rsidR="00A07555" w:rsidRPr="00CF6765">
        <w:rPr>
          <w:sz w:val="20"/>
          <w:szCs w:val="20"/>
          <w:lang w:val="en-US"/>
        </w:rPr>
        <w:t xml:space="preserve"> </w:t>
      </w:r>
      <w:r w:rsidR="00E600F5" w:rsidRPr="00CF6765">
        <w:rPr>
          <w:sz w:val="20"/>
          <w:szCs w:val="20"/>
          <w:lang w:val="en-US"/>
        </w:rPr>
        <w:t>o</w:t>
      </w:r>
      <w:r w:rsidR="004C7CBA" w:rsidRPr="00CF6765">
        <w:rPr>
          <w:sz w:val="20"/>
          <w:szCs w:val="20"/>
          <w:lang w:val="en-US"/>
        </w:rPr>
        <w:t>n health-related matters</w:t>
      </w:r>
      <w:r w:rsidR="00A07555" w:rsidRPr="00CF6765">
        <w:rPr>
          <w:sz w:val="20"/>
          <w:szCs w:val="20"/>
          <w:lang w:val="en-US"/>
        </w:rPr>
        <w:t xml:space="preserve">, </w:t>
      </w:r>
      <w:r w:rsidR="00E234BF" w:rsidRPr="00CF6765">
        <w:rPr>
          <w:sz w:val="20"/>
          <w:szCs w:val="20"/>
          <w:lang w:val="en-US"/>
        </w:rPr>
        <w:t>contemplated in</w:t>
      </w:r>
      <w:r w:rsidR="003437A0" w:rsidRPr="00CF6765">
        <w:rPr>
          <w:sz w:val="20"/>
          <w:szCs w:val="20"/>
          <w:lang w:val="en-US"/>
        </w:rPr>
        <w:t xml:space="preserve"> </w:t>
      </w:r>
      <w:r w:rsidR="005C731C" w:rsidRPr="00CF6765">
        <w:rPr>
          <w:sz w:val="20"/>
          <w:szCs w:val="20"/>
          <w:lang w:val="en-US"/>
        </w:rPr>
        <w:t>Articles</w:t>
      </w:r>
      <w:r w:rsidR="00A07555" w:rsidRPr="00CF6765">
        <w:rPr>
          <w:sz w:val="20"/>
          <w:szCs w:val="20"/>
          <w:lang w:val="en-US"/>
        </w:rPr>
        <w:t xml:space="preserve"> 26</w:t>
      </w:r>
      <w:r w:rsidR="00460FE6" w:rsidRPr="00CF6765">
        <w:rPr>
          <w:sz w:val="20"/>
          <w:szCs w:val="20"/>
          <w:lang w:val="en-US"/>
        </w:rPr>
        <w:t>,</w:t>
      </w:r>
      <w:r w:rsidR="00A07555" w:rsidRPr="00CF6765">
        <w:rPr>
          <w:sz w:val="20"/>
          <w:szCs w:val="20"/>
          <w:lang w:val="en-US"/>
        </w:rPr>
        <w:t xml:space="preserve"> </w:t>
      </w:r>
      <w:r w:rsidR="00A07555" w:rsidRPr="00CF6765">
        <w:rPr>
          <w:sz w:val="20"/>
          <w:lang w:val="en-US"/>
        </w:rPr>
        <w:t>13</w:t>
      </w:r>
      <w:r w:rsidR="002C4EDE" w:rsidRPr="00CF6765">
        <w:rPr>
          <w:sz w:val="20"/>
          <w:szCs w:val="20"/>
          <w:lang w:val="en-US"/>
        </w:rPr>
        <w:t>, 7</w:t>
      </w:r>
      <w:r w:rsidRPr="00CF6765">
        <w:rPr>
          <w:sz w:val="20"/>
          <w:szCs w:val="20"/>
          <w:lang w:val="en-US"/>
        </w:rPr>
        <w:t xml:space="preserve"> and </w:t>
      </w:r>
      <w:r w:rsidR="002C4EDE" w:rsidRPr="00CF6765">
        <w:rPr>
          <w:sz w:val="20"/>
          <w:szCs w:val="20"/>
          <w:lang w:val="en-US"/>
        </w:rPr>
        <w:t>11</w:t>
      </w:r>
      <w:r w:rsidR="005C731C" w:rsidRPr="00CF6765">
        <w:rPr>
          <w:b/>
          <w:sz w:val="20"/>
          <w:szCs w:val="20"/>
          <w:lang w:val="en-US"/>
        </w:rPr>
        <w:t xml:space="preserve"> </w:t>
      </w:r>
      <w:r w:rsidR="005C731C" w:rsidRPr="00CF6765">
        <w:rPr>
          <w:bCs/>
          <w:sz w:val="20"/>
          <w:szCs w:val="20"/>
          <w:lang w:val="en-US"/>
        </w:rPr>
        <w:t>of the</w:t>
      </w:r>
      <w:r w:rsidR="005C731C" w:rsidRPr="00CF6765">
        <w:rPr>
          <w:b/>
          <w:sz w:val="20"/>
          <w:szCs w:val="20"/>
          <w:lang w:val="en-US"/>
        </w:rPr>
        <w:t xml:space="preserve"> </w:t>
      </w:r>
      <w:r w:rsidR="005C731C" w:rsidRPr="00CF6765">
        <w:rPr>
          <w:sz w:val="20"/>
          <w:szCs w:val="20"/>
          <w:lang w:val="en-US"/>
        </w:rPr>
        <w:t>American Convention</w:t>
      </w:r>
      <w:r w:rsidR="00A07555" w:rsidRPr="00CF6765">
        <w:rPr>
          <w:sz w:val="20"/>
          <w:szCs w:val="20"/>
          <w:lang w:val="en-US"/>
        </w:rPr>
        <w:t xml:space="preserve">, </w:t>
      </w:r>
      <w:r w:rsidR="00690D57" w:rsidRPr="00CF6765">
        <w:rPr>
          <w:sz w:val="20"/>
          <w:szCs w:val="20"/>
          <w:lang w:val="en-US"/>
        </w:rPr>
        <w:t>in relation to Article</w:t>
      </w:r>
      <w:r w:rsidRPr="00CF6765">
        <w:rPr>
          <w:sz w:val="20"/>
          <w:szCs w:val="20"/>
          <w:lang w:val="en-US"/>
        </w:rPr>
        <w:t xml:space="preserve"> 1(1)</w:t>
      </w:r>
      <w:r w:rsidR="00A07555" w:rsidRPr="00CF6765">
        <w:rPr>
          <w:sz w:val="20"/>
          <w:szCs w:val="20"/>
          <w:lang w:val="en-US"/>
        </w:rPr>
        <w:t xml:space="preserve"> </w:t>
      </w:r>
      <w:r w:rsidR="00E234BF" w:rsidRPr="00CF6765">
        <w:rPr>
          <w:sz w:val="20"/>
          <w:szCs w:val="20"/>
          <w:lang w:val="en-US"/>
        </w:rPr>
        <w:t>of this instrument</w:t>
      </w:r>
      <w:r w:rsidR="00A07555" w:rsidRPr="00CF6765">
        <w:rPr>
          <w:sz w:val="20"/>
          <w:szCs w:val="20"/>
          <w:lang w:val="en-US"/>
        </w:rPr>
        <w:t xml:space="preserve">, </w:t>
      </w:r>
      <w:r w:rsidR="00690D57" w:rsidRPr="00CF6765">
        <w:rPr>
          <w:sz w:val="20"/>
          <w:szCs w:val="20"/>
          <w:lang w:val="en-US"/>
        </w:rPr>
        <w:t xml:space="preserve">to the detriment </w:t>
      </w:r>
      <w:r w:rsidR="0088423A" w:rsidRPr="00CF6765">
        <w:rPr>
          <w:sz w:val="20"/>
          <w:szCs w:val="20"/>
          <w:lang w:val="en-US"/>
        </w:rPr>
        <w:t>of Vinicio</w:t>
      </w:r>
      <w:r w:rsidR="00460FE6" w:rsidRPr="00CF6765">
        <w:rPr>
          <w:sz w:val="20"/>
          <w:szCs w:val="20"/>
          <w:lang w:val="en-US"/>
        </w:rPr>
        <w:t xml:space="preserve"> </w:t>
      </w:r>
      <w:r w:rsidR="00A07555" w:rsidRPr="00CF6765">
        <w:rPr>
          <w:sz w:val="20"/>
          <w:szCs w:val="20"/>
          <w:lang w:val="en-US"/>
        </w:rPr>
        <w:t xml:space="preserve">Poblete </w:t>
      </w:r>
      <w:proofErr w:type="spellStart"/>
      <w:r w:rsidR="00A07555" w:rsidRPr="00CF6765">
        <w:rPr>
          <w:sz w:val="20"/>
          <w:szCs w:val="20"/>
          <w:lang w:val="en-US"/>
        </w:rPr>
        <w:t>Vilches</w:t>
      </w:r>
      <w:proofErr w:type="spellEnd"/>
      <w:r w:rsidRPr="00CF6765">
        <w:rPr>
          <w:sz w:val="20"/>
          <w:szCs w:val="20"/>
          <w:lang w:val="en-US"/>
        </w:rPr>
        <w:t xml:space="preserve"> and </w:t>
      </w:r>
      <w:r w:rsidR="008F31F2" w:rsidRPr="00CF6765">
        <w:rPr>
          <w:sz w:val="20"/>
          <w:szCs w:val="20"/>
          <w:lang w:val="en-US"/>
        </w:rPr>
        <w:t>of his family members</w:t>
      </w:r>
      <w:r w:rsidR="00A07555" w:rsidRPr="00CF6765">
        <w:rPr>
          <w:sz w:val="20"/>
          <w:szCs w:val="20"/>
          <w:lang w:val="en-US"/>
        </w:rPr>
        <w:t xml:space="preserve">, </w:t>
      </w:r>
      <w:r w:rsidR="00E600F5" w:rsidRPr="00CF6765">
        <w:rPr>
          <w:sz w:val="20"/>
          <w:szCs w:val="20"/>
          <w:lang w:val="en-US"/>
        </w:rPr>
        <w:t xml:space="preserve">pursuant to </w:t>
      </w:r>
      <w:r w:rsidR="00C8154C" w:rsidRPr="00CF6765">
        <w:rPr>
          <w:sz w:val="20"/>
          <w:szCs w:val="20"/>
          <w:lang w:val="en-US"/>
        </w:rPr>
        <w:t>paragraph</w:t>
      </w:r>
      <w:r w:rsidR="00A07555" w:rsidRPr="00CF6765">
        <w:rPr>
          <w:sz w:val="20"/>
          <w:szCs w:val="20"/>
          <w:lang w:val="en-US"/>
        </w:rPr>
        <w:t xml:space="preserve">s </w:t>
      </w:r>
      <w:r w:rsidR="00294152" w:rsidRPr="00CF6765">
        <w:rPr>
          <w:sz w:val="20"/>
          <w:szCs w:val="20"/>
          <w:lang w:val="en-US"/>
        </w:rPr>
        <w:t>161</w:t>
      </w:r>
      <w:r w:rsidR="00A07555" w:rsidRPr="00CF6765">
        <w:rPr>
          <w:sz w:val="20"/>
          <w:szCs w:val="20"/>
          <w:lang w:val="en-US"/>
        </w:rPr>
        <w:t xml:space="preserve"> </w:t>
      </w:r>
      <w:r w:rsidR="00E234BF" w:rsidRPr="00CF6765">
        <w:rPr>
          <w:sz w:val="20"/>
          <w:szCs w:val="20"/>
          <w:lang w:val="en-US"/>
        </w:rPr>
        <w:t>to</w:t>
      </w:r>
      <w:r w:rsidR="00A07555" w:rsidRPr="00CF6765">
        <w:rPr>
          <w:sz w:val="20"/>
          <w:szCs w:val="20"/>
          <w:lang w:val="en-US"/>
        </w:rPr>
        <w:t xml:space="preserve"> </w:t>
      </w:r>
      <w:r w:rsidR="00294152" w:rsidRPr="00CF6765">
        <w:rPr>
          <w:sz w:val="20"/>
          <w:szCs w:val="20"/>
          <w:lang w:val="en-US"/>
        </w:rPr>
        <w:t>173</w:t>
      </w:r>
      <w:r w:rsidRPr="00CF6765">
        <w:rPr>
          <w:sz w:val="20"/>
          <w:szCs w:val="20"/>
          <w:lang w:val="en-US"/>
        </w:rPr>
        <w:t xml:space="preserve"> and </w:t>
      </w:r>
      <w:r w:rsidR="00294152" w:rsidRPr="00CF6765">
        <w:rPr>
          <w:sz w:val="20"/>
          <w:szCs w:val="20"/>
          <w:lang w:val="en-US"/>
        </w:rPr>
        <w:t xml:space="preserve">174 </w:t>
      </w:r>
      <w:r w:rsidR="00E234BF" w:rsidRPr="00CF6765">
        <w:rPr>
          <w:sz w:val="20"/>
          <w:szCs w:val="20"/>
          <w:lang w:val="en-US"/>
        </w:rPr>
        <w:t>to</w:t>
      </w:r>
      <w:r w:rsidR="00294152" w:rsidRPr="00CF6765">
        <w:rPr>
          <w:sz w:val="20"/>
          <w:szCs w:val="20"/>
          <w:lang w:val="en-US"/>
        </w:rPr>
        <w:t xml:space="preserve"> 176 </w:t>
      </w:r>
      <w:r w:rsidR="00D2168F" w:rsidRPr="00CF6765">
        <w:rPr>
          <w:sz w:val="20"/>
          <w:szCs w:val="20"/>
          <w:lang w:val="en-US"/>
        </w:rPr>
        <w:t>of this judgment</w:t>
      </w:r>
      <w:r w:rsidR="00A07555" w:rsidRPr="00CF6765">
        <w:rPr>
          <w:sz w:val="20"/>
          <w:szCs w:val="20"/>
          <w:lang w:val="en-US"/>
        </w:rPr>
        <w:t>.</w:t>
      </w:r>
    </w:p>
    <w:p w14:paraId="65C09297"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27C49388" w14:textId="5EBDDFF5" w:rsidR="00A07555" w:rsidRPr="00CF6765" w:rsidRDefault="00EC50FC"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w:t>
      </w:r>
      <w:r w:rsidR="00A07555" w:rsidRPr="00CF6765">
        <w:rPr>
          <w:sz w:val="20"/>
          <w:szCs w:val="20"/>
          <w:lang w:val="en-US"/>
        </w:rPr>
        <w:t xml:space="preserve"> </w:t>
      </w:r>
      <w:r w:rsidR="00C8154C" w:rsidRPr="00CF6765">
        <w:rPr>
          <w:sz w:val="20"/>
          <w:szCs w:val="20"/>
          <w:lang w:val="en-US"/>
        </w:rPr>
        <w:t>is responsible for</w:t>
      </w:r>
      <w:r w:rsidR="00A07555" w:rsidRPr="00CF6765">
        <w:rPr>
          <w:sz w:val="20"/>
          <w:szCs w:val="20"/>
          <w:lang w:val="en-US"/>
        </w:rPr>
        <w:t xml:space="preserve"> </w:t>
      </w:r>
      <w:r w:rsidR="008F31F2" w:rsidRPr="00CF6765">
        <w:rPr>
          <w:sz w:val="20"/>
          <w:szCs w:val="20"/>
          <w:lang w:val="en-US"/>
        </w:rPr>
        <w:t>the violation of</w:t>
      </w:r>
      <w:r w:rsidR="00A07555" w:rsidRPr="00CF6765">
        <w:rPr>
          <w:sz w:val="20"/>
          <w:szCs w:val="20"/>
          <w:lang w:val="en-US"/>
        </w:rPr>
        <w:t xml:space="preserve"> </w:t>
      </w:r>
      <w:r w:rsidR="00E234BF" w:rsidRPr="00CF6765">
        <w:rPr>
          <w:sz w:val="20"/>
          <w:szCs w:val="20"/>
          <w:lang w:val="en-US"/>
        </w:rPr>
        <w:t xml:space="preserve">the rights to </w:t>
      </w:r>
      <w:r w:rsidR="005F6F63" w:rsidRPr="00CF6765">
        <w:rPr>
          <w:sz w:val="20"/>
          <w:szCs w:val="20"/>
          <w:lang w:val="en-US"/>
        </w:rPr>
        <w:t>judicial guarantees</w:t>
      </w:r>
      <w:r w:rsidRPr="00CF6765">
        <w:rPr>
          <w:sz w:val="20"/>
          <w:szCs w:val="20"/>
          <w:lang w:val="en-US"/>
        </w:rPr>
        <w:t xml:space="preserve"> and </w:t>
      </w:r>
      <w:r w:rsidR="005F6F63" w:rsidRPr="00CF6765">
        <w:rPr>
          <w:sz w:val="20"/>
          <w:szCs w:val="20"/>
          <w:lang w:val="en-US"/>
        </w:rPr>
        <w:t>judicial protection</w:t>
      </w:r>
      <w:r w:rsidR="00A07555" w:rsidRPr="00CF6765">
        <w:rPr>
          <w:sz w:val="20"/>
          <w:szCs w:val="20"/>
          <w:lang w:val="en-US"/>
        </w:rPr>
        <w:t xml:space="preserve">, </w:t>
      </w:r>
      <w:r w:rsidR="00E234BF" w:rsidRPr="00CF6765">
        <w:rPr>
          <w:sz w:val="20"/>
          <w:szCs w:val="20"/>
          <w:lang w:val="en-US"/>
        </w:rPr>
        <w:t>recognized in</w:t>
      </w:r>
      <w:r w:rsidR="00A07555" w:rsidRPr="00CF6765">
        <w:rPr>
          <w:sz w:val="20"/>
          <w:szCs w:val="20"/>
          <w:lang w:val="en-US"/>
        </w:rPr>
        <w:t xml:space="preserve"> </w:t>
      </w:r>
      <w:r w:rsidR="005C731C" w:rsidRPr="00CF6765">
        <w:rPr>
          <w:sz w:val="20"/>
          <w:szCs w:val="20"/>
          <w:lang w:val="en-US"/>
        </w:rPr>
        <w:t>Articles</w:t>
      </w:r>
      <w:r w:rsidR="00A07555" w:rsidRPr="00CF6765">
        <w:rPr>
          <w:sz w:val="20"/>
          <w:szCs w:val="20"/>
          <w:lang w:val="en-US"/>
        </w:rPr>
        <w:t xml:space="preserve"> </w:t>
      </w:r>
      <w:r w:rsidR="009339F5" w:rsidRPr="00CF6765">
        <w:rPr>
          <w:sz w:val="20"/>
          <w:szCs w:val="20"/>
          <w:lang w:val="en-US"/>
        </w:rPr>
        <w:t>8(1)</w:t>
      </w:r>
      <w:r w:rsidRPr="00CF6765">
        <w:rPr>
          <w:sz w:val="20"/>
          <w:szCs w:val="20"/>
          <w:lang w:val="en-US"/>
        </w:rPr>
        <w:t xml:space="preserve"> and </w:t>
      </w:r>
      <w:r w:rsidR="00A07555" w:rsidRPr="00CF6765">
        <w:rPr>
          <w:sz w:val="20"/>
          <w:szCs w:val="20"/>
          <w:lang w:val="en-US"/>
        </w:rPr>
        <w:t>2</w:t>
      </w:r>
      <w:r w:rsidR="00D2168F" w:rsidRPr="00CF6765">
        <w:rPr>
          <w:sz w:val="20"/>
          <w:szCs w:val="20"/>
          <w:lang w:val="en-US"/>
        </w:rPr>
        <w:t>5(1)</w:t>
      </w:r>
      <w:r w:rsidR="005C731C" w:rsidRPr="00CF6765">
        <w:rPr>
          <w:sz w:val="20"/>
          <w:szCs w:val="20"/>
          <w:lang w:val="en-US"/>
        </w:rPr>
        <w:t xml:space="preserve"> of the American Convention</w:t>
      </w:r>
      <w:r w:rsidR="00A07555" w:rsidRPr="00CF6765">
        <w:rPr>
          <w:sz w:val="20"/>
          <w:szCs w:val="20"/>
          <w:lang w:val="en-US"/>
        </w:rPr>
        <w:t xml:space="preserve">, </w:t>
      </w:r>
      <w:r w:rsidR="00690D57" w:rsidRPr="00CF6765">
        <w:rPr>
          <w:sz w:val="20"/>
          <w:szCs w:val="20"/>
          <w:lang w:val="en-US"/>
        </w:rPr>
        <w:t>in relation to Article</w:t>
      </w:r>
      <w:r w:rsidRPr="00CF6765">
        <w:rPr>
          <w:sz w:val="20"/>
          <w:szCs w:val="20"/>
          <w:lang w:val="en-US"/>
        </w:rPr>
        <w:t xml:space="preserve"> 1(1)</w:t>
      </w:r>
      <w:r w:rsidR="00A07555" w:rsidRPr="00CF6765">
        <w:rPr>
          <w:sz w:val="20"/>
          <w:szCs w:val="20"/>
          <w:lang w:val="en-US"/>
        </w:rPr>
        <w:t xml:space="preserve"> </w:t>
      </w:r>
      <w:r w:rsidR="00E234BF" w:rsidRPr="00CF6765">
        <w:rPr>
          <w:sz w:val="20"/>
          <w:szCs w:val="20"/>
          <w:lang w:val="en-US"/>
        </w:rPr>
        <w:t>of this instrument</w:t>
      </w:r>
      <w:r w:rsidR="00A07555" w:rsidRPr="00CF6765">
        <w:rPr>
          <w:sz w:val="20"/>
          <w:szCs w:val="20"/>
          <w:lang w:val="en-US"/>
        </w:rPr>
        <w:t xml:space="preserve">, </w:t>
      </w:r>
      <w:r w:rsidR="00690D57" w:rsidRPr="00CF6765">
        <w:rPr>
          <w:sz w:val="20"/>
          <w:szCs w:val="20"/>
          <w:lang w:val="en-US"/>
        </w:rPr>
        <w:t>to the detriment of</w:t>
      </w:r>
      <w:r w:rsidR="00A07555" w:rsidRPr="00CF6765">
        <w:rPr>
          <w:sz w:val="20"/>
          <w:szCs w:val="20"/>
          <w:lang w:val="en-US"/>
        </w:rPr>
        <w:t xml:space="preserve"> </w:t>
      </w:r>
      <w:r w:rsidR="00E234BF" w:rsidRPr="00CF6765">
        <w:rPr>
          <w:sz w:val="20"/>
          <w:szCs w:val="20"/>
          <w:lang w:val="en-US"/>
        </w:rPr>
        <w:t>his family members:</w:t>
      </w:r>
      <w:r w:rsidR="006E671C" w:rsidRPr="00CF6765">
        <w:rPr>
          <w:sz w:val="20"/>
          <w:szCs w:val="20"/>
          <w:lang w:val="en-US"/>
        </w:rPr>
        <w:t xml:space="preserve"> Blanca Tapia </w:t>
      </w:r>
      <w:proofErr w:type="spellStart"/>
      <w:r w:rsidR="006E671C" w:rsidRPr="00CF6765">
        <w:rPr>
          <w:sz w:val="20"/>
          <w:szCs w:val="20"/>
          <w:lang w:val="en-US"/>
        </w:rPr>
        <w:t>Encina</w:t>
      </w:r>
      <w:proofErr w:type="spellEnd"/>
      <w:r w:rsidR="006E671C" w:rsidRPr="00CF6765">
        <w:rPr>
          <w:sz w:val="20"/>
          <w:szCs w:val="20"/>
          <w:lang w:val="en-US"/>
        </w:rPr>
        <w:t>, Gonzalo</w:t>
      </w:r>
      <w:r w:rsidR="00460FE6" w:rsidRPr="00CF6765">
        <w:rPr>
          <w:sz w:val="20"/>
          <w:szCs w:val="20"/>
          <w:lang w:val="en-US"/>
        </w:rPr>
        <w:t xml:space="preserve"> Poblete Tapia</w:t>
      </w:r>
      <w:r w:rsidR="006E671C" w:rsidRPr="00CF6765">
        <w:rPr>
          <w:sz w:val="20"/>
          <w:szCs w:val="20"/>
          <w:lang w:val="en-US"/>
        </w:rPr>
        <w:t xml:space="preserve">, Vinicio Marco </w:t>
      </w:r>
      <w:r w:rsidR="00460FE6" w:rsidRPr="00CF6765">
        <w:rPr>
          <w:sz w:val="20"/>
          <w:szCs w:val="20"/>
          <w:lang w:val="en-US"/>
        </w:rPr>
        <w:t>Poblete Tapia</w:t>
      </w:r>
      <w:r w:rsidRPr="00CF6765">
        <w:rPr>
          <w:sz w:val="20"/>
          <w:szCs w:val="20"/>
          <w:lang w:val="en-US"/>
        </w:rPr>
        <w:t xml:space="preserve"> and </w:t>
      </w:r>
      <w:proofErr w:type="spellStart"/>
      <w:r w:rsidR="006E671C" w:rsidRPr="00CF6765">
        <w:rPr>
          <w:sz w:val="20"/>
          <w:szCs w:val="20"/>
          <w:lang w:val="en-US"/>
        </w:rPr>
        <w:t>Cesia</w:t>
      </w:r>
      <w:proofErr w:type="spellEnd"/>
      <w:r w:rsidR="006E671C" w:rsidRPr="00CF6765">
        <w:rPr>
          <w:sz w:val="20"/>
          <w:szCs w:val="20"/>
          <w:lang w:val="en-US"/>
        </w:rPr>
        <w:t xml:space="preserve"> Poblete Tapia,</w:t>
      </w:r>
      <w:r w:rsidR="00A07555" w:rsidRPr="00CF6765">
        <w:rPr>
          <w:sz w:val="20"/>
          <w:szCs w:val="20"/>
          <w:lang w:val="en-US"/>
        </w:rPr>
        <w:t xml:space="preserve"> </w:t>
      </w:r>
      <w:r w:rsidR="00E600F5" w:rsidRPr="00CF6765">
        <w:rPr>
          <w:sz w:val="20"/>
          <w:szCs w:val="20"/>
          <w:lang w:val="en-US"/>
        </w:rPr>
        <w:t xml:space="preserve">pursuant to </w:t>
      </w:r>
      <w:r w:rsidR="00C8154C" w:rsidRPr="00CF6765">
        <w:rPr>
          <w:sz w:val="20"/>
          <w:szCs w:val="20"/>
          <w:lang w:val="en-US"/>
        </w:rPr>
        <w:t>paragraph</w:t>
      </w:r>
      <w:r w:rsidR="00A07555" w:rsidRPr="00CF6765">
        <w:rPr>
          <w:sz w:val="20"/>
          <w:szCs w:val="20"/>
          <w:lang w:val="en-US"/>
        </w:rPr>
        <w:t xml:space="preserve">s </w:t>
      </w:r>
      <w:r w:rsidR="00294152" w:rsidRPr="00CF6765">
        <w:rPr>
          <w:sz w:val="20"/>
          <w:szCs w:val="20"/>
          <w:lang w:val="en-US"/>
        </w:rPr>
        <w:t>182</w:t>
      </w:r>
      <w:r w:rsidR="00A07555" w:rsidRPr="00CF6765">
        <w:rPr>
          <w:sz w:val="20"/>
          <w:szCs w:val="20"/>
          <w:lang w:val="en-US"/>
        </w:rPr>
        <w:t xml:space="preserve"> </w:t>
      </w:r>
      <w:r w:rsidR="00E234BF" w:rsidRPr="00CF6765">
        <w:rPr>
          <w:sz w:val="20"/>
          <w:szCs w:val="20"/>
          <w:lang w:val="en-US"/>
        </w:rPr>
        <w:t>to</w:t>
      </w:r>
      <w:r w:rsidR="00A07555" w:rsidRPr="00CF6765">
        <w:rPr>
          <w:sz w:val="20"/>
          <w:szCs w:val="20"/>
          <w:lang w:val="en-US"/>
        </w:rPr>
        <w:t xml:space="preserve"> </w:t>
      </w:r>
      <w:r w:rsidR="00294152" w:rsidRPr="00CF6765">
        <w:rPr>
          <w:sz w:val="20"/>
          <w:szCs w:val="20"/>
          <w:lang w:val="en-US"/>
        </w:rPr>
        <w:t>193</w:t>
      </w:r>
      <w:r w:rsidR="00A07555" w:rsidRPr="00CF6765">
        <w:rPr>
          <w:sz w:val="20"/>
          <w:szCs w:val="20"/>
          <w:lang w:val="en-US"/>
        </w:rPr>
        <w:t xml:space="preserve"> </w:t>
      </w:r>
      <w:r w:rsidR="00D2168F" w:rsidRPr="00CF6765">
        <w:rPr>
          <w:sz w:val="20"/>
          <w:szCs w:val="20"/>
          <w:lang w:val="en-US"/>
        </w:rPr>
        <w:t>of this judgment</w:t>
      </w:r>
      <w:r w:rsidR="00A07555" w:rsidRPr="00CF6765">
        <w:rPr>
          <w:sz w:val="20"/>
          <w:szCs w:val="20"/>
          <w:lang w:val="en-US"/>
        </w:rPr>
        <w:t>.</w:t>
      </w:r>
    </w:p>
    <w:p w14:paraId="1D8B4431" w14:textId="77777777" w:rsidR="003437A0" w:rsidRPr="00CF6765" w:rsidRDefault="003437A0" w:rsidP="002A64C9">
      <w:pPr>
        <w:pStyle w:val="Prrafodelista"/>
        <w:widowControl w:val="0"/>
        <w:tabs>
          <w:tab w:val="center" w:pos="567"/>
        </w:tabs>
        <w:autoSpaceDE w:val="0"/>
        <w:autoSpaceDN w:val="0"/>
        <w:adjustRightInd w:val="0"/>
        <w:ind w:left="0" w:right="-90"/>
        <w:contextualSpacing/>
        <w:rPr>
          <w:sz w:val="20"/>
          <w:szCs w:val="20"/>
          <w:lang w:val="en-US"/>
        </w:rPr>
      </w:pPr>
    </w:p>
    <w:p w14:paraId="6666F43A" w14:textId="48AA5E20" w:rsidR="003437A0" w:rsidRPr="00CF6765" w:rsidRDefault="00EC50FC" w:rsidP="003437A0">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w:t>
      </w:r>
      <w:r w:rsidR="003437A0" w:rsidRPr="00CF6765">
        <w:rPr>
          <w:sz w:val="20"/>
          <w:szCs w:val="20"/>
          <w:lang w:val="en-US"/>
        </w:rPr>
        <w:t xml:space="preserve"> </w:t>
      </w:r>
      <w:r w:rsidR="00C8154C" w:rsidRPr="00CF6765">
        <w:rPr>
          <w:sz w:val="20"/>
          <w:szCs w:val="20"/>
          <w:lang w:val="en-US"/>
        </w:rPr>
        <w:t>is responsible for</w:t>
      </w:r>
      <w:r w:rsidR="003437A0" w:rsidRPr="00CF6765">
        <w:rPr>
          <w:sz w:val="20"/>
          <w:szCs w:val="20"/>
          <w:lang w:val="en-US"/>
        </w:rPr>
        <w:t xml:space="preserve"> </w:t>
      </w:r>
      <w:r w:rsidR="00E234BF" w:rsidRPr="00CF6765">
        <w:rPr>
          <w:sz w:val="20"/>
          <w:szCs w:val="20"/>
          <w:lang w:val="en-US"/>
        </w:rPr>
        <w:t>the violation of the right to</w:t>
      </w:r>
      <w:r w:rsidR="00002BD1" w:rsidRPr="00CF6765">
        <w:rPr>
          <w:sz w:val="20"/>
          <w:szCs w:val="20"/>
          <w:lang w:val="en-US"/>
        </w:rPr>
        <w:t xml:space="preserve"> </w:t>
      </w:r>
      <w:r w:rsidR="00925BAC" w:rsidRPr="00CF6765">
        <w:rPr>
          <w:sz w:val="20"/>
          <w:szCs w:val="20"/>
          <w:lang w:val="en-US"/>
        </w:rPr>
        <w:t>personal integrity</w:t>
      </w:r>
      <w:r w:rsidR="00002BD1" w:rsidRPr="00CF6765">
        <w:rPr>
          <w:sz w:val="20"/>
          <w:szCs w:val="20"/>
          <w:lang w:val="en-US"/>
        </w:rPr>
        <w:t xml:space="preserve">, </w:t>
      </w:r>
      <w:r w:rsidR="00E234BF" w:rsidRPr="00CF6765">
        <w:rPr>
          <w:sz w:val="20"/>
          <w:szCs w:val="20"/>
          <w:lang w:val="en-US"/>
        </w:rPr>
        <w:t>recognized in</w:t>
      </w:r>
      <w:r w:rsidR="00002BD1" w:rsidRPr="00CF6765">
        <w:rPr>
          <w:sz w:val="20"/>
          <w:szCs w:val="20"/>
          <w:lang w:val="en-US"/>
        </w:rPr>
        <w:t xml:space="preserve"> </w:t>
      </w:r>
      <w:r w:rsidR="005C731C" w:rsidRPr="00CF6765">
        <w:rPr>
          <w:sz w:val="20"/>
          <w:szCs w:val="20"/>
          <w:lang w:val="en-US"/>
        </w:rPr>
        <w:t>Article</w:t>
      </w:r>
      <w:r w:rsidR="003437A0" w:rsidRPr="00CF6765">
        <w:rPr>
          <w:sz w:val="20"/>
          <w:szCs w:val="20"/>
          <w:lang w:val="en-US"/>
        </w:rPr>
        <w:t xml:space="preserve"> </w:t>
      </w:r>
      <w:r w:rsidR="00D2168F" w:rsidRPr="00CF6765">
        <w:rPr>
          <w:sz w:val="20"/>
          <w:szCs w:val="20"/>
          <w:lang w:val="en-US"/>
        </w:rPr>
        <w:t>5(1)</w:t>
      </w:r>
      <w:r w:rsidR="005C731C" w:rsidRPr="00CF6765">
        <w:rPr>
          <w:sz w:val="20"/>
          <w:szCs w:val="20"/>
          <w:lang w:val="en-US"/>
        </w:rPr>
        <w:t xml:space="preserve"> of the American Convention</w:t>
      </w:r>
      <w:r w:rsidR="003437A0" w:rsidRPr="00CF6765">
        <w:rPr>
          <w:sz w:val="20"/>
          <w:szCs w:val="20"/>
          <w:lang w:val="en-US"/>
        </w:rPr>
        <w:t xml:space="preserve">, </w:t>
      </w:r>
      <w:r w:rsidR="00690D57" w:rsidRPr="00CF6765">
        <w:rPr>
          <w:sz w:val="20"/>
          <w:szCs w:val="20"/>
          <w:lang w:val="en-US"/>
        </w:rPr>
        <w:t>to the detriment of</w:t>
      </w:r>
      <w:r w:rsidR="003437A0" w:rsidRPr="00CF6765">
        <w:rPr>
          <w:sz w:val="20"/>
          <w:szCs w:val="20"/>
          <w:lang w:val="en-US"/>
        </w:rPr>
        <w:t xml:space="preserve"> </w:t>
      </w:r>
      <w:r w:rsidR="00E234BF" w:rsidRPr="00CF6765">
        <w:rPr>
          <w:sz w:val="20"/>
          <w:szCs w:val="20"/>
          <w:lang w:val="en-US"/>
        </w:rPr>
        <w:t>his family members:</w:t>
      </w:r>
      <w:r w:rsidR="00002BD1" w:rsidRPr="00CF6765">
        <w:rPr>
          <w:sz w:val="20"/>
          <w:szCs w:val="20"/>
          <w:lang w:val="en-US"/>
        </w:rPr>
        <w:t xml:space="preserve"> Blanca</w:t>
      </w:r>
      <w:r w:rsidR="006E671C" w:rsidRPr="00CF6765">
        <w:rPr>
          <w:sz w:val="20"/>
          <w:szCs w:val="20"/>
          <w:lang w:val="en-US"/>
        </w:rPr>
        <w:t xml:space="preserve"> Tapia </w:t>
      </w:r>
      <w:proofErr w:type="spellStart"/>
      <w:r w:rsidR="006E671C" w:rsidRPr="00CF6765">
        <w:rPr>
          <w:sz w:val="20"/>
          <w:szCs w:val="20"/>
          <w:lang w:val="en-US"/>
        </w:rPr>
        <w:t>Encina</w:t>
      </w:r>
      <w:proofErr w:type="spellEnd"/>
      <w:r w:rsidR="006E671C" w:rsidRPr="00CF6765">
        <w:rPr>
          <w:sz w:val="20"/>
          <w:szCs w:val="20"/>
          <w:lang w:val="en-US"/>
        </w:rPr>
        <w:t>, Gonzalo</w:t>
      </w:r>
      <w:r w:rsidR="00460FE6" w:rsidRPr="00CF6765">
        <w:rPr>
          <w:sz w:val="20"/>
          <w:szCs w:val="20"/>
          <w:lang w:val="en-US"/>
        </w:rPr>
        <w:t xml:space="preserve"> Poblete Tapia</w:t>
      </w:r>
      <w:r w:rsidR="006E671C" w:rsidRPr="00CF6765">
        <w:rPr>
          <w:sz w:val="20"/>
          <w:szCs w:val="20"/>
          <w:lang w:val="en-US"/>
        </w:rPr>
        <w:t xml:space="preserve">, Vinicio Marco </w:t>
      </w:r>
      <w:r w:rsidR="00460FE6" w:rsidRPr="00CF6765">
        <w:rPr>
          <w:sz w:val="20"/>
          <w:szCs w:val="20"/>
          <w:lang w:val="en-US"/>
        </w:rPr>
        <w:t>Poblete Tapia</w:t>
      </w:r>
      <w:r w:rsidRPr="00CF6765">
        <w:rPr>
          <w:sz w:val="20"/>
          <w:szCs w:val="20"/>
          <w:lang w:val="en-US"/>
        </w:rPr>
        <w:t xml:space="preserve"> and </w:t>
      </w:r>
      <w:proofErr w:type="spellStart"/>
      <w:r w:rsidR="006E671C" w:rsidRPr="00CF6765">
        <w:rPr>
          <w:sz w:val="20"/>
          <w:szCs w:val="20"/>
          <w:lang w:val="en-US"/>
        </w:rPr>
        <w:t>Cesia</w:t>
      </w:r>
      <w:proofErr w:type="spellEnd"/>
      <w:r w:rsidR="006E671C" w:rsidRPr="00CF6765">
        <w:rPr>
          <w:sz w:val="20"/>
          <w:szCs w:val="20"/>
          <w:lang w:val="en-US"/>
        </w:rPr>
        <w:t xml:space="preserve"> Poblete Tapia</w:t>
      </w:r>
      <w:r w:rsidR="00294152" w:rsidRPr="00CF6765">
        <w:rPr>
          <w:sz w:val="20"/>
          <w:szCs w:val="20"/>
          <w:lang w:val="en-US"/>
        </w:rPr>
        <w:t>,</w:t>
      </w:r>
      <w:r w:rsidR="00002BD1" w:rsidRPr="00CF6765">
        <w:rPr>
          <w:sz w:val="20"/>
          <w:szCs w:val="20"/>
          <w:lang w:val="en-US"/>
        </w:rPr>
        <w:t xml:space="preserve"> </w:t>
      </w:r>
      <w:r w:rsidR="00E600F5" w:rsidRPr="00CF6765">
        <w:rPr>
          <w:sz w:val="20"/>
          <w:szCs w:val="20"/>
          <w:lang w:val="en-US"/>
        </w:rPr>
        <w:t xml:space="preserve">pursuant to </w:t>
      </w:r>
      <w:r w:rsidR="00C8154C" w:rsidRPr="00CF6765">
        <w:rPr>
          <w:sz w:val="20"/>
          <w:szCs w:val="20"/>
          <w:lang w:val="en-US"/>
        </w:rPr>
        <w:t>paragraph</w:t>
      </w:r>
      <w:r w:rsidR="003437A0" w:rsidRPr="00CF6765">
        <w:rPr>
          <w:sz w:val="20"/>
          <w:szCs w:val="20"/>
          <w:lang w:val="en-US"/>
        </w:rPr>
        <w:t xml:space="preserve">s </w:t>
      </w:r>
      <w:r w:rsidR="00294152" w:rsidRPr="00CF6765">
        <w:rPr>
          <w:sz w:val="20"/>
          <w:szCs w:val="20"/>
          <w:lang w:val="en-US"/>
        </w:rPr>
        <w:t>203</w:t>
      </w:r>
      <w:r w:rsidR="003437A0" w:rsidRPr="00CF6765">
        <w:rPr>
          <w:sz w:val="20"/>
          <w:szCs w:val="20"/>
          <w:lang w:val="en-US"/>
        </w:rPr>
        <w:t xml:space="preserve"> </w:t>
      </w:r>
      <w:r w:rsidR="00E234BF" w:rsidRPr="00CF6765">
        <w:rPr>
          <w:sz w:val="20"/>
          <w:szCs w:val="20"/>
          <w:lang w:val="en-US"/>
        </w:rPr>
        <w:t>to</w:t>
      </w:r>
      <w:r w:rsidR="003437A0" w:rsidRPr="00CF6765">
        <w:rPr>
          <w:sz w:val="20"/>
          <w:szCs w:val="20"/>
          <w:lang w:val="en-US"/>
        </w:rPr>
        <w:t xml:space="preserve"> </w:t>
      </w:r>
      <w:r w:rsidR="00294152" w:rsidRPr="00CF6765">
        <w:rPr>
          <w:sz w:val="20"/>
          <w:szCs w:val="20"/>
          <w:lang w:val="en-US"/>
        </w:rPr>
        <w:t>210</w:t>
      </w:r>
      <w:r w:rsidR="00002BD1" w:rsidRPr="00CF6765">
        <w:rPr>
          <w:sz w:val="20"/>
          <w:szCs w:val="20"/>
          <w:lang w:val="en-US"/>
        </w:rPr>
        <w:t xml:space="preserve"> </w:t>
      </w:r>
      <w:r w:rsidR="00D2168F" w:rsidRPr="00CF6765">
        <w:rPr>
          <w:sz w:val="20"/>
          <w:szCs w:val="20"/>
          <w:lang w:val="en-US"/>
        </w:rPr>
        <w:t>of this judgment</w:t>
      </w:r>
      <w:r w:rsidR="003437A0" w:rsidRPr="00CF6765">
        <w:rPr>
          <w:sz w:val="20"/>
          <w:szCs w:val="20"/>
          <w:lang w:val="en-US"/>
        </w:rPr>
        <w:t>.</w:t>
      </w:r>
    </w:p>
    <w:p w14:paraId="744983A0" w14:textId="77777777" w:rsidR="00F377B4" w:rsidRPr="00CF6765" w:rsidRDefault="00F377B4" w:rsidP="00AB1E03">
      <w:pPr>
        <w:pStyle w:val="Prrafodelista"/>
        <w:widowControl w:val="0"/>
        <w:tabs>
          <w:tab w:val="center" w:pos="567"/>
        </w:tabs>
        <w:autoSpaceDE w:val="0"/>
        <w:autoSpaceDN w:val="0"/>
        <w:adjustRightInd w:val="0"/>
        <w:ind w:left="0" w:right="-90"/>
        <w:contextualSpacing/>
        <w:rPr>
          <w:sz w:val="20"/>
          <w:szCs w:val="20"/>
          <w:lang w:val="en-US"/>
        </w:rPr>
      </w:pPr>
    </w:p>
    <w:p w14:paraId="69D18F75" w14:textId="04F8F3E0" w:rsidR="00F377B4" w:rsidRPr="00CF6765" w:rsidRDefault="00EC50FC"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w:t>
      </w:r>
      <w:r w:rsidR="00F377B4" w:rsidRPr="00CF6765">
        <w:rPr>
          <w:sz w:val="20"/>
          <w:szCs w:val="20"/>
          <w:lang w:val="en-US"/>
        </w:rPr>
        <w:t xml:space="preserve"> </w:t>
      </w:r>
      <w:r w:rsidR="00C8154C" w:rsidRPr="00CF6765">
        <w:rPr>
          <w:sz w:val="20"/>
          <w:szCs w:val="20"/>
          <w:lang w:val="en-US"/>
        </w:rPr>
        <w:t>is not responsible for</w:t>
      </w:r>
      <w:r w:rsidR="00F377B4" w:rsidRPr="00CF6765">
        <w:rPr>
          <w:sz w:val="20"/>
          <w:szCs w:val="20"/>
          <w:lang w:val="en-US"/>
        </w:rPr>
        <w:t xml:space="preserve"> </w:t>
      </w:r>
      <w:r w:rsidR="008F31F2" w:rsidRPr="00CF6765">
        <w:rPr>
          <w:sz w:val="20"/>
          <w:szCs w:val="20"/>
          <w:lang w:val="en-US"/>
        </w:rPr>
        <w:t>the violation</w:t>
      </w:r>
      <w:r w:rsidR="0077190E" w:rsidRPr="00CF6765">
        <w:rPr>
          <w:sz w:val="20"/>
          <w:szCs w:val="20"/>
          <w:lang w:val="en-US"/>
        </w:rPr>
        <w:t xml:space="preserve"> of the </w:t>
      </w:r>
      <w:r w:rsidR="00E234BF" w:rsidRPr="00CF6765">
        <w:rPr>
          <w:sz w:val="20"/>
          <w:szCs w:val="20"/>
          <w:lang w:val="en-US"/>
        </w:rPr>
        <w:t xml:space="preserve">right to social security under </w:t>
      </w:r>
      <w:r w:rsidR="005C731C" w:rsidRPr="00CF6765">
        <w:rPr>
          <w:sz w:val="20"/>
          <w:szCs w:val="20"/>
          <w:lang w:val="en-US"/>
        </w:rPr>
        <w:t>Article</w:t>
      </w:r>
      <w:r w:rsidR="00F377B4" w:rsidRPr="00CF6765">
        <w:rPr>
          <w:sz w:val="20"/>
          <w:szCs w:val="20"/>
          <w:lang w:val="en-US"/>
        </w:rPr>
        <w:t xml:space="preserve"> 26</w:t>
      </w:r>
      <w:r w:rsidR="005C731C" w:rsidRPr="00CF6765">
        <w:rPr>
          <w:sz w:val="20"/>
          <w:szCs w:val="20"/>
          <w:lang w:val="en-US"/>
        </w:rPr>
        <w:t xml:space="preserve"> of the American Convention</w:t>
      </w:r>
      <w:r w:rsidR="00F377B4" w:rsidRPr="00CF6765">
        <w:rPr>
          <w:sz w:val="20"/>
          <w:szCs w:val="20"/>
          <w:lang w:val="en-US"/>
        </w:rPr>
        <w:t xml:space="preserve">, </w:t>
      </w:r>
      <w:r w:rsidR="00E234BF" w:rsidRPr="00CF6765">
        <w:rPr>
          <w:sz w:val="20"/>
          <w:szCs w:val="20"/>
          <w:lang w:val="en-US"/>
        </w:rPr>
        <w:t>or</w:t>
      </w:r>
      <w:r w:rsidR="00B65BBE" w:rsidRPr="00CF6765">
        <w:rPr>
          <w:sz w:val="20"/>
          <w:szCs w:val="20"/>
          <w:lang w:val="en-US"/>
        </w:rPr>
        <w:t xml:space="preserve"> the </w:t>
      </w:r>
      <w:r w:rsidR="00DE6950" w:rsidRPr="00CF6765">
        <w:rPr>
          <w:sz w:val="20"/>
          <w:szCs w:val="20"/>
          <w:lang w:val="en-US"/>
        </w:rPr>
        <w:t>right</w:t>
      </w:r>
      <w:r w:rsidR="00541592" w:rsidRPr="00CF6765">
        <w:rPr>
          <w:sz w:val="20"/>
          <w:szCs w:val="20"/>
          <w:lang w:val="en-US"/>
        </w:rPr>
        <w:t xml:space="preserve"> </w:t>
      </w:r>
      <w:r w:rsidR="00E234BF" w:rsidRPr="00CF6765">
        <w:rPr>
          <w:sz w:val="20"/>
          <w:szCs w:val="20"/>
          <w:lang w:val="en-US"/>
        </w:rPr>
        <w:t>to</w:t>
      </w:r>
      <w:r w:rsidR="00541592" w:rsidRPr="00CF6765">
        <w:rPr>
          <w:sz w:val="20"/>
          <w:szCs w:val="20"/>
          <w:lang w:val="en-US"/>
        </w:rPr>
        <w:t xml:space="preserve"> </w:t>
      </w:r>
      <w:r w:rsidR="00497BFB" w:rsidRPr="00CF6765">
        <w:rPr>
          <w:sz w:val="20"/>
          <w:szCs w:val="20"/>
          <w:lang w:val="en-US"/>
        </w:rPr>
        <w:t>judicial impartiality</w:t>
      </w:r>
      <w:r w:rsidR="00E234BF" w:rsidRPr="00CF6765">
        <w:rPr>
          <w:sz w:val="20"/>
          <w:szCs w:val="20"/>
          <w:lang w:val="en-US"/>
        </w:rPr>
        <w:t xml:space="preserve"> under </w:t>
      </w:r>
      <w:r w:rsidR="005C731C" w:rsidRPr="00CF6765">
        <w:rPr>
          <w:sz w:val="20"/>
          <w:szCs w:val="20"/>
          <w:lang w:val="en-US"/>
        </w:rPr>
        <w:t>Article</w:t>
      </w:r>
      <w:r w:rsidR="00541592" w:rsidRPr="00CF6765">
        <w:rPr>
          <w:sz w:val="20"/>
          <w:szCs w:val="20"/>
          <w:lang w:val="en-US"/>
        </w:rPr>
        <w:t xml:space="preserve"> 8 </w:t>
      </w:r>
      <w:r w:rsidR="00E234BF" w:rsidRPr="00CF6765">
        <w:rPr>
          <w:sz w:val="20"/>
          <w:szCs w:val="20"/>
          <w:lang w:val="en-US"/>
        </w:rPr>
        <w:t xml:space="preserve">of this instrument, </w:t>
      </w:r>
      <w:r w:rsidR="00E600F5" w:rsidRPr="00CF6765">
        <w:rPr>
          <w:sz w:val="20"/>
          <w:szCs w:val="20"/>
          <w:lang w:val="en-US"/>
        </w:rPr>
        <w:t xml:space="preserve">pursuant to </w:t>
      </w:r>
      <w:r w:rsidR="00C8154C" w:rsidRPr="00CF6765">
        <w:rPr>
          <w:sz w:val="20"/>
          <w:szCs w:val="20"/>
          <w:lang w:val="en-US"/>
        </w:rPr>
        <w:t>paragraph</w:t>
      </w:r>
      <w:r w:rsidR="00294152" w:rsidRPr="00CF6765">
        <w:rPr>
          <w:sz w:val="20"/>
          <w:szCs w:val="20"/>
          <w:lang w:val="en-US"/>
        </w:rPr>
        <w:t xml:space="preserve"> 99</w:t>
      </w:r>
      <w:r w:rsidRPr="00CF6765">
        <w:rPr>
          <w:sz w:val="20"/>
          <w:szCs w:val="20"/>
          <w:lang w:val="en-US"/>
        </w:rPr>
        <w:t xml:space="preserve"> and </w:t>
      </w:r>
      <w:r w:rsidR="00541592" w:rsidRPr="00CF6765">
        <w:rPr>
          <w:sz w:val="20"/>
          <w:szCs w:val="20"/>
          <w:lang w:val="en-US"/>
        </w:rPr>
        <w:t xml:space="preserve">194 </w:t>
      </w:r>
      <w:r w:rsidR="00E234BF" w:rsidRPr="00CF6765">
        <w:rPr>
          <w:sz w:val="20"/>
          <w:szCs w:val="20"/>
          <w:lang w:val="en-US"/>
        </w:rPr>
        <w:t>to</w:t>
      </w:r>
      <w:r w:rsidR="00541592" w:rsidRPr="00CF6765">
        <w:rPr>
          <w:sz w:val="20"/>
          <w:szCs w:val="20"/>
          <w:lang w:val="en-US"/>
        </w:rPr>
        <w:t xml:space="preserve"> 198, respectiv</w:t>
      </w:r>
      <w:r w:rsidR="00E234BF" w:rsidRPr="00CF6765">
        <w:rPr>
          <w:sz w:val="20"/>
          <w:szCs w:val="20"/>
          <w:lang w:val="en-US"/>
        </w:rPr>
        <w:t>ely</w:t>
      </w:r>
      <w:r w:rsidR="00541592" w:rsidRPr="00CF6765">
        <w:rPr>
          <w:sz w:val="20"/>
          <w:szCs w:val="20"/>
          <w:lang w:val="en-US"/>
        </w:rPr>
        <w:t xml:space="preserve">, </w:t>
      </w:r>
      <w:r w:rsidR="00D2168F" w:rsidRPr="00CF6765">
        <w:rPr>
          <w:sz w:val="20"/>
          <w:szCs w:val="20"/>
          <w:lang w:val="en-US"/>
        </w:rPr>
        <w:t>of this judgment</w:t>
      </w:r>
      <w:r w:rsidR="00F377B4" w:rsidRPr="00CF6765">
        <w:rPr>
          <w:sz w:val="20"/>
          <w:szCs w:val="20"/>
          <w:lang w:val="en-US"/>
        </w:rPr>
        <w:t>.</w:t>
      </w:r>
    </w:p>
    <w:p w14:paraId="61D14544" w14:textId="77777777" w:rsidR="00A07555" w:rsidRPr="00CF6765" w:rsidRDefault="00A07555" w:rsidP="00A07555">
      <w:pPr>
        <w:pStyle w:val="Prrafodelista2"/>
        <w:tabs>
          <w:tab w:val="left" w:pos="720"/>
        </w:tabs>
        <w:ind w:left="0" w:right="-90"/>
        <w:contextualSpacing/>
        <w:rPr>
          <w:b/>
          <w:bCs/>
          <w:lang w:val="en-US"/>
        </w:rPr>
      </w:pPr>
    </w:p>
    <w:p w14:paraId="345B3C36" w14:textId="24883ACD" w:rsidR="00A07555" w:rsidRPr="00CF6765" w:rsidRDefault="00C8154C" w:rsidP="00E234BF">
      <w:pPr>
        <w:pStyle w:val="Prrafodelista2"/>
        <w:tabs>
          <w:tab w:val="left" w:pos="720"/>
          <w:tab w:val="left" w:pos="7701"/>
        </w:tabs>
        <w:ind w:left="0" w:right="-90"/>
        <w:contextualSpacing/>
        <w:rPr>
          <w:b/>
          <w:bCs/>
          <w:lang w:val="en-US"/>
        </w:rPr>
      </w:pPr>
      <w:r w:rsidRPr="00CF6765">
        <w:rPr>
          <w:b/>
          <w:bCs/>
          <w:lang w:val="en-US"/>
        </w:rPr>
        <w:t>AND ESTABLISHES</w:t>
      </w:r>
      <w:r w:rsidR="00A07555" w:rsidRPr="00CF6765">
        <w:rPr>
          <w:b/>
          <w:bCs/>
          <w:lang w:val="en-US"/>
        </w:rPr>
        <w:t>:</w:t>
      </w:r>
      <w:r w:rsidR="00E234BF" w:rsidRPr="00CF6765">
        <w:rPr>
          <w:b/>
          <w:bCs/>
          <w:lang w:val="en-US"/>
        </w:rPr>
        <w:tab/>
      </w:r>
    </w:p>
    <w:p w14:paraId="2B21BCC9" w14:textId="77777777" w:rsidR="00A07555" w:rsidRPr="00CF6765" w:rsidRDefault="00A07555" w:rsidP="00A07555">
      <w:pPr>
        <w:pStyle w:val="Prrafodelista2"/>
        <w:ind w:left="0" w:right="-90"/>
        <w:contextualSpacing/>
        <w:rPr>
          <w:rFonts w:asciiTheme="minorHAnsi" w:eastAsiaTheme="minorHAnsi" w:hAnsiTheme="minorHAnsi" w:cstheme="minorBidi"/>
          <w:b/>
          <w:bCs/>
          <w:sz w:val="22"/>
          <w:szCs w:val="22"/>
          <w:lang w:val="en-US" w:bidi="ar-SA"/>
        </w:rPr>
      </w:pPr>
    </w:p>
    <w:p w14:paraId="13D0A16B" w14:textId="4A24A26F" w:rsidR="00E32C76" w:rsidRPr="00CF6765" w:rsidRDefault="00C8154C" w:rsidP="00E32C76">
      <w:pPr>
        <w:pStyle w:val="Prrafodelista2"/>
        <w:ind w:left="0" w:right="-90"/>
        <w:contextualSpacing/>
        <w:rPr>
          <w:lang w:val="en-US"/>
        </w:rPr>
      </w:pPr>
      <w:r w:rsidRPr="00CF6765">
        <w:rPr>
          <w:lang w:val="en-US"/>
        </w:rPr>
        <w:t>Unanimously, that</w:t>
      </w:r>
      <w:r w:rsidR="00E32C76" w:rsidRPr="00CF6765">
        <w:rPr>
          <w:lang w:val="en-US"/>
        </w:rPr>
        <w:t>:</w:t>
      </w:r>
    </w:p>
    <w:p w14:paraId="5F02F5B8"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0F998510" w14:textId="26E65F8F" w:rsidR="00A07555" w:rsidRPr="00CF6765" w:rsidRDefault="00C8154C"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 xml:space="preserve">This judgment constitutes, </w:t>
      </w:r>
      <w:r w:rsidRPr="00CF6765">
        <w:rPr>
          <w:i/>
          <w:iCs/>
          <w:sz w:val="20"/>
          <w:szCs w:val="20"/>
          <w:lang w:val="en-US"/>
        </w:rPr>
        <w:t>per se</w:t>
      </w:r>
      <w:r w:rsidRPr="00CF6765">
        <w:rPr>
          <w:sz w:val="20"/>
          <w:szCs w:val="20"/>
          <w:lang w:val="en-US"/>
        </w:rPr>
        <w:t>, a form of reparation.</w:t>
      </w:r>
    </w:p>
    <w:p w14:paraId="0F927BE6"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01A7EC2B" w14:textId="5D6245DB" w:rsidR="00A07555" w:rsidRPr="00CF6765" w:rsidRDefault="00C8154C"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 shall</w:t>
      </w:r>
      <w:r w:rsidR="00A07555" w:rsidRPr="00CF6765">
        <w:rPr>
          <w:sz w:val="20"/>
          <w:szCs w:val="20"/>
          <w:lang w:val="en-US"/>
        </w:rPr>
        <w:t xml:space="preserve">, </w:t>
      </w:r>
      <w:r w:rsidRPr="00CF6765">
        <w:rPr>
          <w:sz w:val="20"/>
          <w:szCs w:val="20"/>
          <w:lang w:val="en-US"/>
        </w:rPr>
        <w:t xml:space="preserve">within six months of </w:t>
      </w:r>
      <w:r w:rsidR="00D2168F" w:rsidRPr="00CF6765">
        <w:rPr>
          <w:sz w:val="20"/>
          <w:szCs w:val="20"/>
          <w:lang w:val="en-US"/>
        </w:rPr>
        <w:t>notification</w:t>
      </w:r>
      <w:r w:rsidR="00A07555" w:rsidRPr="00CF6765">
        <w:rPr>
          <w:sz w:val="20"/>
          <w:szCs w:val="20"/>
          <w:lang w:val="en-US"/>
        </w:rPr>
        <w:t xml:space="preserve"> </w:t>
      </w:r>
      <w:r w:rsidRPr="00CF6765">
        <w:rPr>
          <w:sz w:val="20"/>
          <w:szCs w:val="20"/>
          <w:lang w:val="en-US"/>
        </w:rPr>
        <w:t>of this judgment</w:t>
      </w:r>
      <w:r w:rsidR="00A07555" w:rsidRPr="00CF6765">
        <w:rPr>
          <w:sz w:val="20"/>
          <w:szCs w:val="20"/>
          <w:lang w:val="en-US"/>
        </w:rPr>
        <w:t>,</w:t>
      </w:r>
      <w:r w:rsidRPr="00CF6765">
        <w:rPr>
          <w:sz w:val="20"/>
          <w:szCs w:val="20"/>
          <w:lang w:val="en-US"/>
        </w:rPr>
        <w:t xml:space="preserve"> make the publications indicated in paragraph</w:t>
      </w:r>
      <w:r w:rsidR="00A07555" w:rsidRPr="00CF6765">
        <w:rPr>
          <w:sz w:val="20"/>
          <w:szCs w:val="20"/>
          <w:lang w:val="en-US"/>
        </w:rPr>
        <w:t xml:space="preserve"> </w:t>
      </w:r>
      <w:r w:rsidR="00294152" w:rsidRPr="00CF6765">
        <w:rPr>
          <w:sz w:val="20"/>
          <w:szCs w:val="20"/>
          <w:lang w:val="en-US"/>
        </w:rPr>
        <w:t>226</w:t>
      </w:r>
      <w:r w:rsidR="00A07555" w:rsidRPr="00CF6765">
        <w:rPr>
          <w:sz w:val="20"/>
          <w:szCs w:val="20"/>
          <w:lang w:val="en-US"/>
        </w:rPr>
        <w:t xml:space="preserve"> </w:t>
      </w:r>
      <w:r w:rsidR="00D2168F" w:rsidRPr="00CF6765">
        <w:rPr>
          <w:sz w:val="20"/>
          <w:szCs w:val="20"/>
          <w:lang w:val="en-US"/>
        </w:rPr>
        <w:t>of this judgment</w:t>
      </w:r>
      <w:r w:rsidR="00A07555" w:rsidRPr="00CF6765">
        <w:rPr>
          <w:sz w:val="20"/>
          <w:szCs w:val="20"/>
          <w:lang w:val="en-US"/>
        </w:rPr>
        <w:t>.</w:t>
      </w:r>
    </w:p>
    <w:p w14:paraId="221BD749"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211EBEB3" w14:textId="1C73FDE3" w:rsidR="00A07555" w:rsidRPr="00CF6765" w:rsidRDefault="00C8154C"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 shall</w:t>
      </w:r>
      <w:r w:rsidR="00A07555" w:rsidRPr="00CF6765">
        <w:rPr>
          <w:sz w:val="20"/>
          <w:szCs w:val="20"/>
          <w:lang w:val="en-US"/>
        </w:rPr>
        <w:t xml:space="preserve">, </w:t>
      </w:r>
      <w:r w:rsidRPr="00CF6765">
        <w:rPr>
          <w:sz w:val="20"/>
          <w:szCs w:val="20"/>
          <w:lang w:val="en-US"/>
        </w:rPr>
        <w:t>within one year of</w:t>
      </w:r>
      <w:r w:rsidR="00A07555" w:rsidRPr="00CF6765">
        <w:rPr>
          <w:sz w:val="20"/>
          <w:szCs w:val="20"/>
          <w:lang w:val="en-US"/>
        </w:rPr>
        <w:t xml:space="preserve"> </w:t>
      </w:r>
      <w:r w:rsidR="00D2168F" w:rsidRPr="00CF6765">
        <w:rPr>
          <w:sz w:val="20"/>
          <w:szCs w:val="20"/>
          <w:lang w:val="en-US"/>
        </w:rPr>
        <w:t>notification</w:t>
      </w:r>
      <w:r w:rsidR="00840E52" w:rsidRPr="00CF6765">
        <w:rPr>
          <w:sz w:val="20"/>
          <w:szCs w:val="20"/>
          <w:lang w:val="en-US"/>
        </w:rPr>
        <w:t xml:space="preserve"> </w:t>
      </w:r>
      <w:r w:rsidRPr="00CF6765">
        <w:rPr>
          <w:sz w:val="20"/>
          <w:szCs w:val="20"/>
          <w:lang w:val="en-US"/>
        </w:rPr>
        <w:t>of this judgment</w:t>
      </w:r>
      <w:r w:rsidR="00840E52" w:rsidRPr="00CF6765">
        <w:rPr>
          <w:sz w:val="20"/>
          <w:szCs w:val="20"/>
          <w:lang w:val="en-US"/>
        </w:rPr>
        <w:t xml:space="preserve">, </w:t>
      </w:r>
      <w:r w:rsidRPr="00CF6765">
        <w:rPr>
          <w:sz w:val="20"/>
          <w:szCs w:val="20"/>
          <w:lang w:val="en-US"/>
        </w:rPr>
        <w:t>hold a public act to acknowledge responsibility, pursuant to</w:t>
      </w:r>
      <w:r w:rsidR="00A07555" w:rsidRPr="00CF6765">
        <w:rPr>
          <w:sz w:val="20"/>
          <w:szCs w:val="20"/>
          <w:lang w:val="en-US"/>
        </w:rPr>
        <w:t xml:space="preserve"> </w:t>
      </w:r>
      <w:r w:rsidRPr="00CF6765">
        <w:rPr>
          <w:sz w:val="20"/>
          <w:szCs w:val="20"/>
          <w:lang w:val="en-US"/>
        </w:rPr>
        <w:t>paragraph</w:t>
      </w:r>
      <w:r w:rsidR="00A07555" w:rsidRPr="00CF6765">
        <w:rPr>
          <w:sz w:val="20"/>
          <w:szCs w:val="20"/>
          <w:lang w:val="en-US"/>
        </w:rPr>
        <w:t xml:space="preserve"> </w:t>
      </w:r>
      <w:r w:rsidR="00294152" w:rsidRPr="00CF6765">
        <w:rPr>
          <w:sz w:val="20"/>
          <w:szCs w:val="20"/>
          <w:lang w:val="en-US"/>
        </w:rPr>
        <w:t>227</w:t>
      </w:r>
      <w:r w:rsidR="00A07555" w:rsidRPr="00CF6765">
        <w:rPr>
          <w:sz w:val="20"/>
          <w:szCs w:val="20"/>
          <w:lang w:val="en-US"/>
        </w:rPr>
        <w:t xml:space="preserve"> </w:t>
      </w:r>
      <w:r w:rsidR="00D2168F" w:rsidRPr="00CF6765">
        <w:rPr>
          <w:sz w:val="20"/>
          <w:szCs w:val="20"/>
          <w:lang w:val="en-US"/>
        </w:rPr>
        <w:t>of this judgment</w:t>
      </w:r>
      <w:r w:rsidR="00A07555" w:rsidRPr="00CF6765">
        <w:rPr>
          <w:sz w:val="20"/>
          <w:szCs w:val="20"/>
          <w:lang w:val="en-US"/>
        </w:rPr>
        <w:t xml:space="preserve">.  </w:t>
      </w:r>
    </w:p>
    <w:p w14:paraId="33869A54"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4DDB5AAD" w14:textId="720451E3" w:rsidR="00A07555" w:rsidRPr="00CF6765" w:rsidRDefault="00C8154C"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 shall</w:t>
      </w:r>
      <w:r w:rsidR="00A07555" w:rsidRPr="00CF6765">
        <w:rPr>
          <w:sz w:val="20"/>
          <w:szCs w:val="20"/>
          <w:lang w:val="en-US"/>
        </w:rPr>
        <w:t xml:space="preserve"> </w:t>
      </w:r>
      <w:r w:rsidRPr="00CF6765">
        <w:rPr>
          <w:sz w:val="20"/>
          <w:szCs w:val="20"/>
          <w:lang w:val="en-US"/>
        </w:rPr>
        <w:t>provide, through its health care institutions, immediately and free of charge, medical psychological care to the victims, pursuant to paragraph</w:t>
      </w:r>
      <w:r w:rsidR="00A07555" w:rsidRPr="00CF6765">
        <w:rPr>
          <w:sz w:val="20"/>
          <w:szCs w:val="20"/>
          <w:lang w:val="en-US"/>
        </w:rPr>
        <w:t xml:space="preserve"> </w:t>
      </w:r>
      <w:r w:rsidR="00294152" w:rsidRPr="00CF6765">
        <w:rPr>
          <w:sz w:val="20"/>
          <w:szCs w:val="20"/>
          <w:lang w:val="en-US"/>
        </w:rPr>
        <w:t>231</w:t>
      </w:r>
      <w:r w:rsidR="00A07555" w:rsidRPr="00CF6765">
        <w:rPr>
          <w:sz w:val="20"/>
          <w:szCs w:val="20"/>
          <w:lang w:val="en-US"/>
        </w:rPr>
        <w:t xml:space="preserve"> </w:t>
      </w:r>
      <w:r w:rsidR="00D2168F" w:rsidRPr="00CF6765">
        <w:rPr>
          <w:sz w:val="20"/>
          <w:szCs w:val="20"/>
          <w:lang w:val="en-US"/>
        </w:rPr>
        <w:t>of this judgment</w:t>
      </w:r>
      <w:r w:rsidR="00A07555" w:rsidRPr="00CF6765">
        <w:rPr>
          <w:sz w:val="20"/>
          <w:szCs w:val="20"/>
          <w:lang w:val="en-US"/>
        </w:rPr>
        <w:t>.</w:t>
      </w:r>
    </w:p>
    <w:p w14:paraId="73326BFC"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70658F91" w14:textId="5D5CD714" w:rsidR="00A07555" w:rsidRPr="00CF6765" w:rsidRDefault="00C8154C" w:rsidP="006E671C">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 shall</w:t>
      </w:r>
      <w:r w:rsidR="00A07555" w:rsidRPr="00CF6765">
        <w:rPr>
          <w:sz w:val="20"/>
          <w:szCs w:val="20"/>
          <w:lang w:val="en-US"/>
        </w:rPr>
        <w:t xml:space="preserve"> implement, </w:t>
      </w:r>
      <w:r w:rsidRPr="00CF6765">
        <w:rPr>
          <w:sz w:val="20"/>
          <w:szCs w:val="20"/>
          <w:lang w:val="en-US"/>
        </w:rPr>
        <w:t xml:space="preserve">within </w:t>
      </w:r>
      <w:r w:rsidR="00E27148" w:rsidRPr="00CF6765">
        <w:rPr>
          <w:sz w:val="20"/>
          <w:szCs w:val="20"/>
          <w:lang w:val="en-US"/>
        </w:rPr>
        <w:t>one-year</w:t>
      </w:r>
      <w:r w:rsidR="00A07555" w:rsidRPr="00CF6765">
        <w:rPr>
          <w:sz w:val="20"/>
          <w:szCs w:val="20"/>
          <w:lang w:val="en-US"/>
        </w:rPr>
        <w:t xml:space="preserve">, </w:t>
      </w:r>
      <w:r w:rsidRPr="00CF6765">
        <w:rPr>
          <w:sz w:val="20"/>
          <w:szCs w:val="20"/>
          <w:lang w:val="en-US"/>
        </w:rPr>
        <w:t>permanent human rights education programs</w:t>
      </w:r>
      <w:r w:rsidR="00A07555" w:rsidRPr="00CF6765">
        <w:rPr>
          <w:sz w:val="20"/>
          <w:szCs w:val="20"/>
          <w:lang w:val="en-US"/>
        </w:rPr>
        <w:t>,</w:t>
      </w:r>
      <w:r w:rsidRPr="00CF6765">
        <w:rPr>
          <w:sz w:val="20"/>
          <w:szCs w:val="20"/>
          <w:lang w:val="en-US"/>
        </w:rPr>
        <w:t xml:space="preserve"> pursuant to</w:t>
      </w:r>
      <w:r w:rsidR="00A07555" w:rsidRPr="00CF6765">
        <w:rPr>
          <w:sz w:val="20"/>
          <w:szCs w:val="20"/>
          <w:lang w:val="en-US"/>
        </w:rPr>
        <w:t xml:space="preserve"> </w:t>
      </w:r>
      <w:r w:rsidRPr="00CF6765">
        <w:rPr>
          <w:sz w:val="20"/>
          <w:szCs w:val="20"/>
          <w:lang w:val="en-US"/>
        </w:rPr>
        <w:t>paragraph</w:t>
      </w:r>
      <w:r w:rsidR="00A07555" w:rsidRPr="00CF6765">
        <w:rPr>
          <w:sz w:val="20"/>
          <w:szCs w:val="20"/>
          <w:lang w:val="en-US"/>
        </w:rPr>
        <w:t xml:space="preserve"> </w:t>
      </w:r>
      <w:r w:rsidR="00294152" w:rsidRPr="00CF6765">
        <w:rPr>
          <w:sz w:val="20"/>
          <w:szCs w:val="20"/>
          <w:lang w:val="en-US"/>
        </w:rPr>
        <w:t>237</w:t>
      </w:r>
      <w:r w:rsidR="00A07555" w:rsidRPr="00CF6765">
        <w:rPr>
          <w:sz w:val="20"/>
          <w:szCs w:val="20"/>
          <w:lang w:val="en-US"/>
        </w:rPr>
        <w:t xml:space="preserve"> </w:t>
      </w:r>
      <w:r w:rsidRPr="00CF6765">
        <w:rPr>
          <w:sz w:val="20"/>
          <w:szCs w:val="20"/>
          <w:lang w:val="en-US"/>
        </w:rPr>
        <w:t>of this judgment</w:t>
      </w:r>
      <w:r w:rsidR="00A07555" w:rsidRPr="00CF6765">
        <w:rPr>
          <w:sz w:val="20"/>
          <w:szCs w:val="20"/>
          <w:lang w:val="en-US"/>
        </w:rPr>
        <w:t xml:space="preserve">. </w:t>
      </w:r>
    </w:p>
    <w:p w14:paraId="0341929C"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179E3847" w14:textId="78B145E9" w:rsidR="00E32C76" w:rsidRPr="00CF6765" w:rsidRDefault="00C8154C" w:rsidP="00E32C76">
      <w:pPr>
        <w:pStyle w:val="Prrafodelista2"/>
        <w:ind w:left="0" w:right="-90"/>
        <w:contextualSpacing/>
        <w:rPr>
          <w:lang w:val="en-US"/>
        </w:rPr>
      </w:pPr>
      <w:r w:rsidRPr="00CF6765">
        <w:rPr>
          <w:lang w:val="en-US"/>
        </w:rPr>
        <w:t>By four votes to one, that:</w:t>
      </w:r>
    </w:p>
    <w:p w14:paraId="1D905422" w14:textId="77777777" w:rsidR="00E32C76" w:rsidRPr="00CF6765" w:rsidRDefault="00E32C76" w:rsidP="00A07555">
      <w:pPr>
        <w:pStyle w:val="Prrafodelista"/>
        <w:widowControl w:val="0"/>
        <w:tabs>
          <w:tab w:val="center" w:pos="567"/>
        </w:tabs>
        <w:autoSpaceDE w:val="0"/>
        <w:autoSpaceDN w:val="0"/>
        <w:adjustRightInd w:val="0"/>
        <w:ind w:left="0" w:right="-90"/>
        <w:rPr>
          <w:sz w:val="20"/>
          <w:szCs w:val="20"/>
          <w:lang w:val="en-US"/>
        </w:rPr>
      </w:pPr>
    </w:p>
    <w:p w14:paraId="05A21190" w14:textId="63CA939D" w:rsidR="00A07555" w:rsidRPr="00CF6765" w:rsidRDefault="00C8154C"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 shall</w:t>
      </w:r>
      <w:r w:rsidR="00A07555" w:rsidRPr="00CF6765">
        <w:rPr>
          <w:sz w:val="20"/>
          <w:szCs w:val="20"/>
          <w:lang w:val="en-US"/>
        </w:rPr>
        <w:t xml:space="preserve"> </w:t>
      </w:r>
      <w:r w:rsidRPr="00CF6765">
        <w:rPr>
          <w:sz w:val="20"/>
          <w:szCs w:val="20"/>
          <w:lang w:val="en-US"/>
        </w:rPr>
        <w:t>advise the Court</w:t>
      </w:r>
      <w:r w:rsidR="00A07555" w:rsidRPr="00CF6765">
        <w:rPr>
          <w:sz w:val="20"/>
          <w:szCs w:val="20"/>
          <w:lang w:val="en-US"/>
        </w:rPr>
        <w:t xml:space="preserve">, </w:t>
      </w:r>
      <w:r w:rsidRPr="00CF6765">
        <w:rPr>
          <w:sz w:val="20"/>
          <w:szCs w:val="20"/>
          <w:lang w:val="en-US"/>
        </w:rPr>
        <w:t>within one year, on the progress made in the said hospital</w:t>
      </w:r>
      <w:r w:rsidR="00A07555" w:rsidRPr="00CF6765">
        <w:rPr>
          <w:sz w:val="20"/>
          <w:szCs w:val="20"/>
          <w:lang w:val="en-US"/>
        </w:rPr>
        <w:t xml:space="preserve">, </w:t>
      </w:r>
      <w:r w:rsidRPr="00CF6765">
        <w:rPr>
          <w:sz w:val="20"/>
          <w:szCs w:val="20"/>
          <w:lang w:val="en-US"/>
        </w:rPr>
        <w:t>pursuant to</w:t>
      </w:r>
      <w:r w:rsidR="00A07555" w:rsidRPr="00CF6765">
        <w:rPr>
          <w:sz w:val="20"/>
          <w:szCs w:val="20"/>
          <w:lang w:val="en-US"/>
        </w:rPr>
        <w:t xml:space="preserve"> </w:t>
      </w:r>
      <w:r w:rsidRPr="00CF6765">
        <w:rPr>
          <w:sz w:val="20"/>
          <w:szCs w:val="20"/>
          <w:lang w:val="en-US"/>
        </w:rPr>
        <w:t>paragraph</w:t>
      </w:r>
      <w:r w:rsidR="00A07555" w:rsidRPr="00CF6765">
        <w:rPr>
          <w:sz w:val="20"/>
          <w:szCs w:val="20"/>
          <w:lang w:val="en-US"/>
        </w:rPr>
        <w:t xml:space="preserve"> </w:t>
      </w:r>
      <w:r w:rsidR="00294152" w:rsidRPr="00CF6765">
        <w:rPr>
          <w:sz w:val="20"/>
          <w:szCs w:val="20"/>
          <w:lang w:val="en-US"/>
        </w:rPr>
        <w:t>238</w:t>
      </w:r>
      <w:r w:rsidR="006E671C" w:rsidRPr="00CF6765">
        <w:rPr>
          <w:sz w:val="20"/>
          <w:szCs w:val="20"/>
          <w:lang w:val="en-US"/>
        </w:rPr>
        <w:t xml:space="preserve"> </w:t>
      </w:r>
      <w:r w:rsidR="00D2168F" w:rsidRPr="00CF6765">
        <w:rPr>
          <w:sz w:val="20"/>
          <w:szCs w:val="20"/>
          <w:lang w:val="en-US"/>
        </w:rPr>
        <w:t>of this judgment</w:t>
      </w:r>
      <w:r w:rsidR="00A07555" w:rsidRPr="00CF6765">
        <w:rPr>
          <w:sz w:val="20"/>
          <w:szCs w:val="20"/>
          <w:lang w:val="en-US"/>
        </w:rPr>
        <w:t>.</w:t>
      </w:r>
    </w:p>
    <w:p w14:paraId="454761F1" w14:textId="77777777" w:rsidR="00A60A35" w:rsidRPr="00CF6765" w:rsidRDefault="00A60A35" w:rsidP="00016220">
      <w:pPr>
        <w:pStyle w:val="Prrafodelista"/>
        <w:widowControl w:val="0"/>
        <w:tabs>
          <w:tab w:val="center" w:pos="567"/>
        </w:tabs>
        <w:autoSpaceDE w:val="0"/>
        <w:autoSpaceDN w:val="0"/>
        <w:adjustRightInd w:val="0"/>
        <w:ind w:left="0" w:right="-90"/>
        <w:contextualSpacing/>
        <w:rPr>
          <w:sz w:val="20"/>
          <w:szCs w:val="20"/>
          <w:lang w:val="en-US"/>
        </w:rPr>
      </w:pPr>
    </w:p>
    <w:p w14:paraId="4E37E6FC" w14:textId="0C3C9A89" w:rsidR="00A60A35" w:rsidRPr="00CF6765" w:rsidRDefault="00C8154C" w:rsidP="00016220">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 shall</w:t>
      </w:r>
      <w:r w:rsidR="00A60A35" w:rsidRPr="00CF6765">
        <w:rPr>
          <w:sz w:val="20"/>
          <w:szCs w:val="20"/>
          <w:lang w:val="en-US"/>
        </w:rPr>
        <w:t xml:space="preserve"> </w:t>
      </w:r>
      <w:r w:rsidRPr="00CF6765">
        <w:rPr>
          <w:sz w:val="20"/>
          <w:szCs w:val="20"/>
          <w:lang w:val="en-US"/>
        </w:rPr>
        <w:t xml:space="preserve">reinforce the National Institute of Geriatrics and its </w:t>
      </w:r>
      <w:r w:rsidR="00E600F5" w:rsidRPr="00CF6765">
        <w:rPr>
          <w:sz w:val="20"/>
          <w:szCs w:val="20"/>
          <w:lang w:val="en-US"/>
        </w:rPr>
        <w:t>impact on</w:t>
      </w:r>
      <w:r w:rsidRPr="00CF6765">
        <w:rPr>
          <w:rFonts w:eastAsia="Calibri"/>
          <w:sz w:val="20"/>
          <w:szCs w:val="20"/>
          <w:lang w:val="en-US" w:eastAsia="es-ES"/>
        </w:rPr>
        <w:t xml:space="preserve"> the hospital network, as established in </w:t>
      </w:r>
      <w:r w:rsidRPr="00CF6765">
        <w:rPr>
          <w:sz w:val="20"/>
          <w:szCs w:val="20"/>
          <w:lang w:val="en-US"/>
        </w:rPr>
        <w:t>paragraph</w:t>
      </w:r>
      <w:r w:rsidR="00A60A35" w:rsidRPr="00CF6765">
        <w:rPr>
          <w:sz w:val="20"/>
          <w:szCs w:val="20"/>
          <w:lang w:val="en-US"/>
        </w:rPr>
        <w:t xml:space="preserve"> </w:t>
      </w:r>
      <w:r w:rsidR="00294152" w:rsidRPr="00CF6765">
        <w:rPr>
          <w:sz w:val="20"/>
          <w:szCs w:val="20"/>
          <w:lang w:val="en-US"/>
        </w:rPr>
        <w:t>239</w:t>
      </w:r>
      <w:r w:rsidR="00A60A35" w:rsidRPr="00CF6765">
        <w:rPr>
          <w:sz w:val="20"/>
          <w:szCs w:val="20"/>
          <w:lang w:val="en-US"/>
        </w:rPr>
        <w:t xml:space="preserve"> </w:t>
      </w:r>
      <w:r w:rsidRPr="00CF6765">
        <w:rPr>
          <w:sz w:val="20"/>
          <w:szCs w:val="20"/>
          <w:lang w:val="en-US"/>
        </w:rPr>
        <w:t>of this judgment</w:t>
      </w:r>
      <w:r w:rsidR="00A60A35" w:rsidRPr="00CF6765">
        <w:rPr>
          <w:sz w:val="20"/>
          <w:szCs w:val="20"/>
          <w:lang w:val="en-US"/>
        </w:rPr>
        <w:t>, a</w:t>
      </w:r>
      <w:r w:rsidRPr="00CF6765">
        <w:rPr>
          <w:sz w:val="20"/>
          <w:szCs w:val="20"/>
          <w:lang w:val="en-US"/>
        </w:rPr>
        <w:t xml:space="preserve">nd design a publication or leaflet </w:t>
      </w:r>
      <w:r w:rsidR="00E600F5" w:rsidRPr="00CF6765">
        <w:rPr>
          <w:sz w:val="20"/>
          <w:szCs w:val="20"/>
          <w:lang w:val="en-US"/>
        </w:rPr>
        <w:t>on</w:t>
      </w:r>
      <w:r w:rsidRPr="00CF6765">
        <w:rPr>
          <w:sz w:val="20"/>
          <w:szCs w:val="20"/>
          <w:lang w:val="en-US"/>
        </w:rPr>
        <w:t xml:space="preserve"> the rights of the </w:t>
      </w:r>
      <w:r w:rsidR="00323A17" w:rsidRPr="00CF6765">
        <w:rPr>
          <w:sz w:val="20"/>
          <w:szCs w:val="20"/>
          <w:lang w:val="en-US"/>
        </w:rPr>
        <w:t>older person</w:t>
      </w:r>
      <w:r w:rsidR="00A60A35" w:rsidRPr="00CF6765">
        <w:rPr>
          <w:sz w:val="20"/>
          <w:szCs w:val="20"/>
          <w:lang w:val="en-US"/>
        </w:rPr>
        <w:t xml:space="preserve"> </w:t>
      </w:r>
      <w:r w:rsidR="004C7CBA" w:rsidRPr="00CF6765">
        <w:rPr>
          <w:sz w:val="20"/>
          <w:szCs w:val="20"/>
          <w:lang w:val="en-US"/>
        </w:rPr>
        <w:t>in health-related matters</w:t>
      </w:r>
      <w:r w:rsidR="00A60A35" w:rsidRPr="00CF6765">
        <w:rPr>
          <w:sz w:val="20"/>
          <w:szCs w:val="20"/>
          <w:lang w:val="en-US"/>
        </w:rPr>
        <w:t xml:space="preserve">, </w:t>
      </w:r>
      <w:r w:rsidRPr="00CF6765">
        <w:rPr>
          <w:sz w:val="20"/>
          <w:szCs w:val="20"/>
          <w:lang w:val="en-US"/>
        </w:rPr>
        <w:t>pursuant to paragraph</w:t>
      </w:r>
      <w:r w:rsidR="00A60A35" w:rsidRPr="00CF6765">
        <w:rPr>
          <w:sz w:val="20"/>
          <w:szCs w:val="20"/>
          <w:lang w:val="en-US"/>
        </w:rPr>
        <w:t xml:space="preserve"> </w:t>
      </w:r>
      <w:r w:rsidR="00294152" w:rsidRPr="00CF6765">
        <w:rPr>
          <w:sz w:val="20"/>
          <w:szCs w:val="20"/>
          <w:lang w:val="en-US"/>
        </w:rPr>
        <w:t>240</w:t>
      </w:r>
      <w:r w:rsidR="00A60A35" w:rsidRPr="00CF6765">
        <w:rPr>
          <w:sz w:val="20"/>
          <w:szCs w:val="20"/>
          <w:lang w:val="en-US"/>
        </w:rPr>
        <w:t xml:space="preserve"> </w:t>
      </w:r>
      <w:r w:rsidRPr="00CF6765">
        <w:rPr>
          <w:sz w:val="20"/>
          <w:szCs w:val="20"/>
          <w:lang w:val="en-US"/>
        </w:rPr>
        <w:t>of this judgment</w:t>
      </w:r>
      <w:r w:rsidR="00A60A35" w:rsidRPr="00CF6765">
        <w:rPr>
          <w:sz w:val="20"/>
          <w:szCs w:val="20"/>
          <w:lang w:val="en-US"/>
        </w:rPr>
        <w:t>.</w:t>
      </w:r>
    </w:p>
    <w:p w14:paraId="55CD4DF6" w14:textId="77777777" w:rsidR="002E1F02" w:rsidRPr="00CF6765" w:rsidRDefault="002E1F02" w:rsidP="002A64C9">
      <w:pPr>
        <w:pStyle w:val="Prrafodelista"/>
        <w:widowControl w:val="0"/>
        <w:tabs>
          <w:tab w:val="center" w:pos="567"/>
        </w:tabs>
        <w:autoSpaceDE w:val="0"/>
        <w:autoSpaceDN w:val="0"/>
        <w:adjustRightInd w:val="0"/>
        <w:ind w:left="0" w:right="-90"/>
        <w:contextualSpacing/>
        <w:rPr>
          <w:sz w:val="20"/>
          <w:szCs w:val="20"/>
          <w:lang w:val="en-US"/>
        </w:rPr>
      </w:pPr>
    </w:p>
    <w:p w14:paraId="467DA553" w14:textId="6C931C72" w:rsidR="002E1F02" w:rsidRPr="00CF6765" w:rsidRDefault="00C8154C" w:rsidP="00016220">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 shall</w:t>
      </w:r>
      <w:r w:rsidR="002E1F02" w:rsidRPr="00CF6765">
        <w:rPr>
          <w:sz w:val="20"/>
          <w:szCs w:val="20"/>
          <w:lang w:val="en-US"/>
        </w:rPr>
        <w:t xml:space="preserve"> </w:t>
      </w:r>
      <w:r w:rsidRPr="00CF6765">
        <w:rPr>
          <w:sz w:val="20"/>
          <w:szCs w:val="20"/>
          <w:lang w:val="en-US"/>
        </w:rPr>
        <w:t xml:space="preserve">take the necessary measures to design a general policy for the comprehensive protection of the </w:t>
      </w:r>
      <w:r w:rsidR="00323A17" w:rsidRPr="00CF6765">
        <w:rPr>
          <w:rFonts w:eastAsiaTheme="minorHAnsi" w:cs="Verdana"/>
          <w:color w:val="000000"/>
          <w:sz w:val="20"/>
          <w:szCs w:val="20"/>
          <w:lang w:val="en-US" w:eastAsia="en-US"/>
        </w:rPr>
        <w:t>older person</w:t>
      </w:r>
      <w:r w:rsidR="002E1F02" w:rsidRPr="00CF6765">
        <w:rPr>
          <w:rFonts w:eastAsiaTheme="minorHAnsi" w:cs="Verdana"/>
          <w:color w:val="000000"/>
          <w:sz w:val="20"/>
          <w:szCs w:val="20"/>
          <w:lang w:val="en-US" w:eastAsia="en-US"/>
        </w:rPr>
        <w:t>,</w:t>
      </w:r>
      <w:r w:rsidR="002E1F02" w:rsidRPr="00CF6765">
        <w:rPr>
          <w:sz w:val="20"/>
          <w:szCs w:val="20"/>
          <w:lang w:val="en-US"/>
        </w:rPr>
        <w:t xml:space="preserve"> </w:t>
      </w:r>
      <w:r w:rsidRPr="00CF6765">
        <w:rPr>
          <w:sz w:val="20"/>
          <w:szCs w:val="20"/>
          <w:lang w:val="en-US"/>
        </w:rPr>
        <w:t>pursuant to</w:t>
      </w:r>
      <w:r w:rsidR="002E1F02" w:rsidRPr="00CF6765">
        <w:rPr>
          <w:sz w:val="20"/>
          <w:szCs w:val="20"/>
          <w:lang w:val="en-US"/>
        </w:rPr>
        <w:t xml:space="preserve"> </w:t>
      </w:r>
      <w:r w:rsidRPr="00CF6765">
        <w:rPr>
          <w:sz w:val="20"/>
          <w:szCs w:val="20"/>
          <w:lang w:val="en-US"/>
        </w:rPr>
        <w:t>paragraph</w:t>
      </w:r>
      <w:r w:rsidR="002E1F02" w:rsidRPr="00CF6765">
        <w:rPr>
          <w:sz w:val="20"/>
          <w:szCs w:val="20"/>
          <w:lang w:val="en-US"/>
        </w:rPr>
        <w:t xml:space="preserve"> </w:t>
      </w:r>
      <w:r w:rsidR="00294152" w:rsidRPr="00CF6765">
        <w:rPr>
          <w:sz w:val="20"/>
          <w:szCs w:val="20"/>
          <w:lang w:val="en-US"/>
        </w:rPr>
        <w:t>241</w:t>
      </w:r>
      <w:r w:rsidR="002E1F02" w:rsidRPr="00CF6765">
        <w:rPr>
          <w:sz w:val="20"/>
          <w:szCs w:val="20"/>
          <w:lang w:val="en-US"/>
        </w:rPr>
        <w:t xml:space="preserve"> </w:t>
      </w:r>
      <w:r w:rsidRPr="00CF6765">
        <w:rPr>
          <w:sz w:val="20"/>
          <w:szCs w:val="20"/>
          <w:lang w:val="en-US"/>
        </w:rPr>
        <w:t>of this judgment</w:t>
      </w:r>
      <w:r w:rsidR="002E1F02" w:rsidRPr="00CF6765">
        <w:rPr>
          <w:sz w:val="20"/>
          <w:szCs w:val="20"/>
          <w:lang w:val="en-US"/>
        </w:rPr>
        <w:t>.</w:t>
      </w:r>
    </w:p>
    <w:p w14:paraId="35887F35"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6F248DB2" w14:textId="678B9D6E" w:rsidR="00E32C76" w:rsidRPr="003558F5" w:rsidRDefault="00C8154C" w:rsidP="00A07555">
      <w:pPr>
        <w:pStyle w:val="Prrafodelista"/>
        <w:widowControl w:val="0"/>
        <w:tabs>
          <w:tab w:val="center" w:pos="567"/>
        </w:tabs>
        <w:autoSpaceDE w:val="0"/>
        <w:autoSpaceDN w:val="0"/>
        <w:adjustRightInd w:val="0"/>
        <w:ind w:left="0" w:right="-90"/>
        <w:rPr>
          <w:sz w:val="20"/>
          <w:szCs w:val="20"/>
        </w:rPr>
      </w:pPr>
      <w:proofErr w:type="spellStart"/>
      <w:r w:rsidRPr="003558F5">
        <w:rPr>
          <w:sz w:val="20"/>
          <w:szCs w:val="20"/>
        </w:rPr>
        <w:t>Dissenting</w:t>
      </w:r>
      <w:proofErr w:type="spellEnd"/>
      <w:r w:rsidRPr="003558F5">
        <w:rPr>
          <w:sz w:val="20"/>
          <w:szCs w:val="20"/>
        </w:rPr>
        <w:t xml:space="preserve"> </w:t>
      </w:r>
      <w:proofErr w:type="spellStart"/>
      <w:r w:rsidRPr="003558F5">
        <w:rPr>
          <w:sz w:val="20"/>
          <w:szCs w:val="20"/>
        </w:rPr>
        <w:t>Judge</w:t>
      </w:r>
      <w:proofErr w:type="spellEnd"/>
      <w:r w:rsidR="00E32C76" w:rsidRPr="003558F5">
        <w:rPr>
          <w:sz w:val="20"/>
          <w:szCs w:val="20"/>
        </w:rPr>
        <w:t xml:space="preserve"> Humberto Antonio Sierra Porto</w:t>
      </w:r>
      <w:r w:rsidR="008F6D80" w:rsidRPr="003558F5">
        <w:rPr>
          <w:sz w:val="20"/>
          <w:szCs w:val="20"/>
        </w:rPr>
        <w:t>.</w:t>
      </w:r>
      <w:r w:rsidR="00E32C76" w:rsidRPr="003558F5">
        <w:rPr>
          <w:sz w:val="20"/>
          <w:szCs w:val="20"/>
        </w:rPr>
        <w:t xml:space="preserve"> </w:t>
      </w:r>
    </w:p>
    <w:p w14:paraId="601004B3" w14:textId="77777777" w:rsidR="00E32C76" w:rsidRPr="003558F5" w:rsidRDefault="00E32C76" w:rsidP="00A07555">
      <w:pPr>
        <w:pStyle w:val="Prrafodelista"/>
        <w:widowControl w:val="0"/>
        <w:tabs>
          <w:tab w:val="center" w:pos="567"/>
        </w:tabs>
        <w:autoSpaceDE w:val="0"/>
        <w:autoSpaceDN w:val="0"/>
        <w:adjustRightInd w:val="0"/>
        <w:ind w:left="0" w:right="-90"/>
        <w:rPr>
          <w:sz w:val="20"/>
          <w:szCs w:val="20"/>
        </w:rPr>
      </w:pPr>
    </w:p>
    <w:p w14:paraId="75CA9281" w14:textId="56287322" w:rsidR="00E32C76" w:rsidRPr="00CF6765" w:rsidRDefault="00C8154C" w:rsidP="00E32C76">
      <w:pPr>
        <w:pStyle w:val="Prrafodelista2"/>
        <w:ind w:left="0" w:right="-90"/>
        <w:contextualSpacing/>
        <w:rPr>
          <w:lang w:val="en-US"/>
        </w:rPr>
      </w:pPr>
      <w:r w:rsidRPr="00CF6765">
        <w:rPr>
          <w:lang w:val="en-US"/>
        </w:rPr>
        <w:t>Unanimously, that</w:t>
      </w:r>
      <w:r w:rsidR="00E32C76" w:rsidRPr="00CF6765">
        <w:rPr>
          <w:lang w:val="en-US"/>
        </w:rPr>
        <w:t>:</w:t>
      </w:r>
    </w:p>
    <w:p w14:paraId="36C3416C" w14:textId="77777777" w:rsidR="00E32C76" w:rsidRPr="00CF6765" w:rsidRDefault="00E32C76" w:rsidP="00A07555">
      <w:pPr>
        <w:pStyle w:val="Prrafodelista"/>
        <w:widowControl w:val="0"/>
        <w:tabs>
          <w:tab w:val="center" w:pos="567"/>
        </w:tabs>
        <w:autoSpaceDE w:val="0"/>
        <w:autoSpaceDN w:val="0"/>
        <w:adjustRightInd w:val="0"/>
        <w:ind w:left="0" w:right="-90"/>
        <w:rPr>
          <w:sz w:val="20"/>
          <w:szCs w:val="20"/>
          <w:lang w:val="en-US"/>
        </w:rPr>
      </w:pPr>
    </w:p>
    <w:p w14:paraId="5084E013" w14:textId="397BB6B7" w:rsidR="00A07555" w:rsidRPr="00CF6765" w:rsidRDefault="00C8154C"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 shall</w:t>
      </w:r>
      <w:r w:rsidR="00A07555" w:rsidRPr="00CF6765">
        <w:rPr>
          <w:sz w:val="20"/>
          <w:szCs w:val="20"/>
          <w:lang w:val="en-US"/>
        </w:rPr>
        <w:t xml:space="preserve"> </w:t>
      </w:r>
      <w:r w:rsidRPr="00CF6765">
        <w:rPr>
          <w:sz w:val="20"/>
          <w:szCs w:val="20"/>
          <w:lang w:val="en-US"/>
        </w:rPr>
        <w:t>pay the amounts established in</w:t>
      </w:r>
      <w:r w:rsidR="00A07555" w:rsidRPr="00CF6765">
        <w:rPr>
          <w:sz w:val="20"/>
          <w:szCs w:val="20"/>
          <w:lang w:val="en-US"/>
        </w:rPr>
        <w:t xml:space="preserve"> </w:t>
      </w:r>
      <w:r w:rsidRPr="00CF6765">
        <w:rPr>
          <w:sz w:val="20"/>
          <w:szCs w:val="20"/>
          <w:lang w:val="en-US"/>
        </w:rPr>
        <w:t>paragraph</w:t>
      </w:r>
      <w:r w:rsidR="00A07555" w:rsidRPr="00CF6765">
        <w:rPr>
          <w:sz w:val="20"/>
          <w:szCs w:val="20"/>
          <w:lang w:val="en-US"/>
        </w:rPr>
        <w:t xml:space="preserve">s </w:t>
      </w:r>
      <w:r w:rsidR="00294152" w:rsidRPr="00CF6765">
        <w:rPr>
          <w:sz w:val="20"/>
          <w:szCs w:val="20"/>
          <w:lang w:val="en-US"/>
        </w:rPr>
        <w:t>247, 249, 252, 253</w:t>
      </w:r>
      <w:r w:rsidR="00EC50FC" w:rsidRPr="00CF6765">
        <w:rPr>
          <w:sz w:val="20"/>
          <w:szCs w:val="20"/>
          <w:lang w:val="en-US"/>
        </w:rPr>
        <w:t xml:space="preserve"> and </w:t>
      </w:r>
      <w:r w:rsidR="00294152" w:rsidRPr="00CF6765">
        <w:rPr>
          <w:sz w:val="20"/>
          <w:szCs w:val="20"/>
          <w:lang w:val="en-US"/>
        </w:rPr>
        <w:t>259</w:t>
      </w:r>
      <w:r w:rsidR="00A07555" w:rsidRPr="00CF6765">
        <w:rPr>
          <w:sz w:val="20"/>
          <w:szCs w:val="20"/>
          <w:lang w:val="en-US"/>
        </w:rPr>
        <w:t xml:space="preserve"> </w:t>
      </w:r>
      <w:r w:rsidR="00D2168F" w:rsidRPr="00CF6765">
        <w:rPr>
          <w:sz w:val="20"/>
          <w:szCs w:val="20"/>
          <w:lang w:val="en-US"/>
        </w:rPr>
        <w:t>of this judgment</w:t>
      </w:r>
      <w:r w:rsidR="00A07555" w:rsidRPr="00CF6765">
        <w:rPr>
          <w:sz w:val="20"/>
          <w:szCs w:val="20"/>
          <w:lang w:val="en-US"/>
        </w:rPr>
        <w:t xml:space="preserve">, </w:t>
      </w:r>
      <w:r w:rsidRPr="00CF6765">
        <w:rPr>
          <w:sz w:val="20"/>
          <w:szCs w:val="20"/>
          <w:lang w:val="en-US"/>
        </w:rPr>
        <w:t>as compensation for pecuniary and non-pecuniary damage</w:t>
      </w:r>
      <w:r w:rsidR="00EC50FC" w:rsidRPr="00CF6765">
        <w:rPr>
          <w:sz w:val="20"/>
          <w:szCs w:val="20"/>
          <w:lang w:val="en-US"/>
        </w:rPr>
        <w:t xml:space="preserve"> and </w:t>
      </w:r>
      <w:r w:rsidRPr="00CF6765">
        <w:rPr>
          <w:sz w:val="20"/>
          <w:szCs w:val="20"/>
          <w:lang w:val="en-US"/>
        </w:rPr>
        <w:t>to reimburse</w:t>
      </w:r>
      <w:r w:rsidR="00A07555" w:rsidRPr="00CF6765">
        <w:rPr>
          <w:sz w:val="20"/>
          <w:szCs w:val="20"/>
          <w:lang w:val="en-US"/>
        </w:rPr>
        <w:t xml:space="preserve"> </w:t>
      </w:r>
      <w:r w:rsidR="00D2168F" w:rsidRPr="00CF6765">
        <w:rPr>
          <w:sz w:val="20"/>
          <w:szCs w:val="20"/>
          <w:lang w:val="en-US"/>
        </w:rPr>
        <w:t>costs and expenses</w:t>
      </w:r>
      <w:r w:rsidR="00A07555" w:rsidRPr="00CF6765">
        <w:rPr>
          <w:sz w:val="20"/>
          <w:szCs w:val="20"/>
          <w:lang w:val="en-US"/>
        </w:rPr>
        <w:t xml:space="preserve">, </w:t>
      </w:r>
      <w:r w:rsidRPr="00CF6765">
        <w:rPr>
          <w:sz w:val="20"/>
          <w:szCs w:val="20"/>
          <w:lang w:val="en-US"/>
        </w:rPr>
        <w:t>pursuant to</w:t>
      </w:r>
      <w:r w:rsidR="00A07555" w:rsidRPr="00CF6765">
        <w:rPr>
          <w:sz w:val="20"/>
          <w:szCs w:val="20"/>
          <w:lang w:val="en-US"/>
        </w:rPr>
        <w:t xml:space="preserve"> </w:t>
      </w:r>
      <w:r w:rsidRPr="00CF6765">
        <w:rPr>
          <w:sz w:val="20"/>
          <w:szCs w:val="20"/>
          <w:lang w:val="en-US"/>
        </w:rPr>
        <w:t>the said</w:t>
      </w:r>
      <w:r w:rsidR="00A07555" w:rsidRPr="00CF6765">
        <w:rPr>
          <w:sz w:val="20"/>
          <w:szCs w:val="20"/>
          <w:lang w:val="en-US"/>
        </w:rPr>
        <w:t xml:space="preserve"> </w:t>
      </w:r>
      <w:r w:rsidRPr="00CF6765">
        <w:rPr>
          <w:sz w:val="20"/>
          <w:szCs w:val="20"/>
          <w:lang w:val="en-US"/>
        </w:rPr>
        <w:t>paragraph</w:t>
      </w:r>
      <w:r w:rsidR="00A07555" w:rsidRPr="00CF6765">
        <w:rPr>
          <w:sz w:val="20"/>
          <w:szCs w:val="20"/>
          <w:lang w:val="en-US"/>
        </w:rPr>
        <w:t>s</w:t>
      </w:r>
      <w:r w:rsidR="00EC50FC" w:rsidRPr="00CF6765">
        <w:rPr>
          <w:sz w:val="20"/>
          <w:szCs w:val="20"/>
          <w:lang w:val="en-US"/>
        </w:rPr>
        <w:t xml:space="preserve"> and </w:t>
      </w:r>
      <w:r w:rsidRPr="00CF6765">
        <w:rPr>
          <w:sz w:val="20"/>
          <w:szCs w:val="20"/>
          <w:lang w:val="en-US"/>
        </w:rPr>
        <w:t>paragraph</w:t>
      </w:r>
      <w:r w:rsidR="00A07555" w:rsidRPr="00CF6765">
        <w:rPr>
          <w:sz w:val="20"/>
          <w:szCs w:val="20"/>
          <w:lang w:val="en-US"/>
        </w:rPr>
        <w:t xml:space="preserve">s </w:t>
      </w:r>
      <w:r w:rsidR="00294152" w:rsidRPr="00CF6765">
        <w:rPr>
          <w:sz w:val="20"/>
          <w:szCs w:val="20"/>
          <w:lang w:val="en-US"/>
        </w:rPr>
        <w:t>250, 253, 259</w:t>
      </w:r>
      <w:r w:rsidR="00EC50FC" w:rsidRPr="00CF6765">
        <w:rPr>
          <w:sz w:val="20"/>
          <w:szCs w:val="20"/>
          <w:lang w:val="en-US"/>
        </w:rPr>
        <w:t xml:space="preserve"> and </w:t>
      </w:r>
      <w:r w:rsidR="00294152" w:rsidRPr="00CF6765">
        <w:rPr>
          <w:sz w:val="20"/>
          <w:szCs w:val="20"/>
          <w:lang w:val="en-US"/>
        </w:rPr>
        <w:t xml:space="preserve">262 </w:t>
      </w:r>
      <w:r w:rsidRPr="00CF6765">
        <w:rPr>
          <w:sz w:val="20"/>
          <w:szCs w:val="20"/>
          <w:lang w:val="en-US"/>
        </w:rPr>
        <w:t>to</w:t>
      </w:r>
      <w:r w:rsidR="00294152" w:rsidRPr="00CF6765">
        <w:rPr>
          <w:sz w:val="20"/>
          <w:szCs w:val="20"/>
          <w:lang w:val="en-US"/>
        </w:rPr>
        <w:t xml:space="preserve"> 267</w:t>
      </w:r>
      <w:r w:rsidR="00A07555" w:rsidRPr="00CF6765">
        <w:rPr>
          <w:sz w:val="20"/>
          <w:szCs w:val="20"/>
          <w:lang w:val="en-US"/>
        </w:rPr>
        <w:t xml:space="preserve"> </w:t>
      </w:r>
      <w:r w:rsidRPr="00CF6765">
        <w:rPr>
          <w:sz w:val="20"/>
          <w:szCs w:val="20"/>
          <w:lang w:val="en-US"/>
        </w:rPr>
        <w:t>of this judgment</w:t>
      </w:r>
      <w:r w:rsidR="00A07555" w:rsidRPr="00CF6765">
        <w:rPr>
          <w:sz w:val="20"/>
          <w:szCs w:val="20"/>
          <w:lang w:val="en-US"/>
        </w:rPr>
        <w:t>.</w:t>
      </w:r>
    </w:p>
    <w:p w14:paraId="14952A92"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398EEB92" w14:textId="0B89FA64" w:rsidR="00A07555" w:rsidRPr="00CF6765" w:rsidRDefault="00C8154C"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 shall</w:t>
      </w:r>
      <w:r w:rsidR="00A07555" w:rsidRPr="00CF6765">
        <w:rPr>
          <w:sz w:val="20"/>
          <w:szCs w:val="20"/>
          <w:lang w:val="en-US"/>
        </w:rPr>
        <w:t xml:space="preserve"> </w:t>
      </w:r>
      <w:r w:rsidRPr="00CF6765">
        <w:rPr>
          <w:sz w:val="20"/>
          <w:szCs w:val="20"/>
          <w:lang w:val="en-US"/>
        </w:rPr>
        <w:t>reimburse the</w:t>
      </w:r>
      <w:r w:rsidR="00A07555" w:rsidRPr="00CF6765">
        <w:rPr>
          <w:sz w:val="20"/>
          <w:szCs w:val="20"/>
          <w:lang w:val="en-US"/>
        </w:rPr>
        <w:t xml:space="preserve"> </w:t>
      </w:r>
      <w:r w:rsidR="00D2168F" w:rsidRPr="00CF6765">
        <w:rPr>
          <w:sz w:val="20"/>
          <w:szCs w:val="20"/>
          <w:lang w:val="en-US"/>
        </w:rPr>
        <w:t>Victims’ Legal Assistance Fund</w:t>
      </w:r>
      <w:r w:rsidR="005C731C" w:rsidRPr="00CF6765">
        <w:rPr>
          <w:sz w:val="20"/>
          <w:szCs w:val="20"/>
          <w:lang w:val="en-US"/>
        </w:rPr>
        <w:t xml:space="preserve"> of the Inter-American Court of Human Rights</w:t>
      </w:r>
      <w:r w:rsidRPr="00CF6765">
        <w:rPr>
          <w:sz w:val="20"/>
          <w:szCs w:val="20"/>
          <w:lang w:val="en-US"/>
        </w:rPr>
        <w:t xml:space="preserve"> the amount disbursed during the processing of this case, pursuant to</w:t>
      </w:r>
      <w:r w:rsidR="00A07555" w:rsidRPr="00CF6765">
        <w:rPr>
          <w:sz w:val="20"/>
          <w:szCs w:val="20"/>
          <w:lang w:val="en-US"/>
        </w:rPr>
        <w:t xml:space="preserve"> </w:t>
      </w:r>
      <w:r w:rsidRPr="00CF6765">
        <w:rPr>
          <w:sz w:val="20"/>
          <w:szCs w:val="20"/>
          <w:lang w:val="en-US"/>
        </w:rPr>
        <w:t>paragraph</w:t>
      </w:r>
      <w:r w:rsidR="00A07555" w:rsidRPr="00CF6765">
        <w:rPr>
          <w:sz w:val="20"/>
          <w:szCs w:val="20"/>
          <w:lang w:val="en-US"/>
        </w:rPr>
        <w:t xml:space="preserve"> </w:t>
      </w:r>
      <w:r w:rsidR="00294152" w:rsidRPr="00CF6765">
        <w:rPr>
          <w:sz w:val="20"/>
          <w:szCs w:val="20"/>
          <w:lang w:val="en-US"/>
        </w:rPr>
        <w:t>261</w:t>
      </w:r>
      <w:r w:rsidR="00A07555" w:rsidRPr="00CF6765">
        <w:rPr>
          <w:sz w:val="20"/>
          <w:szCs w:val="20"/>
          <w:lang w:val="en-US"/>
        </w:rPr>
        <w:t xml:space="preserve"> </w:t>
      </w:r>
      <w:r w:rsidRPr="00CF6765">
        <w:rPr>
          <w:sz w:val="20"/>
          <w:szCs w:val="20"/>
          <w:lang w:val="en-US"/>
        </w:rPr>
        <w:t>of this judgment</w:t>
      </w:r>
      <w:r w:rsidR="00A07555" w:rsidRPr="00CF6765">
        <w:rPr>
          <w:sz w:val="20"/>
          <w:szCs w:val="20"/>
          <w:lang w:val="en-US"/>
        </w:rPr>
        <w:t>.</w:t>
      </w:r>
    </w:p>
    <w:p w14:paraId="3AF01349"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2720A9CB" w14:textId="0AFB24F9" w:rsidR="00A07555" w:rsidRPr="00CF6765" w:rsidRDefault="00C8154C" w:rsidP="00A07555">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State shall</w:t>
      </w:r>
      <w:r w:rsidR="00A07555" w:rsidRPr="00CF6765">
        <w:rPr>
          <w:sz w:val="20"/>
          <w:szCs w:val="20"/>
          <w:lang w:val="en-US"/>
        </w:rPr>
        <w:t xml:space="preserve">, </w:t>
      </w:r>
      <w:r w:rsidR="00FB2D33" w:rsidRPr="00CF6765">
        <w:rPr>
          <w:sz w:val="20"/>
          <w:szCs w:val="20"/>
          <w:lang w:val="en-US"/>
        </w:rPr>
        <w:t xml:space="preserve">within one year of </w:t>
      </w:r>
      <w:r w:rsidR="00D2168F" w:rsidRPr="00CF6765">
        <w:rPr>
          <w:sz w:val="20"/>
          <w:szCs w:val="20"/>
          <w:lang w:val="en-US"/>
        </w:rPr>
        <w:t>notification</w:t>
      </w:r>
      <w:r w:rsidR="00A07555" w:rsidRPr="00CF6765">
        <w:rPr>
          <w:sz w:val="20"/>
          <w:szCs w:val="20"/>
          <w:lang w:val="en-US"/>
        </w:rPr>
        <w:t xml:space="preserve"> </w:t>
      </w:r>
      <w:r w:rsidRPr="00CF6765">
        <w:rPr>
          <w:sz w:val="20"/>
          <w:szCs w:val="20"/>
          <w:lang w:val="en-US"/>
        </w:rPr>
        <w:t>of this judgment</w:t>
      </w:r>
      <w:r w:rsidR="00A07555" w:rsidRPr="00CF6765">
        <w:rPr>
          <w:sz w:val="20"/>
          <w:szCs w:val="20"/>
          <w:lang w:val="en-US"/>
        </w:rPr>
        <w:t xml:space="preserve">, </w:t>
      </w:r>
      <w:r w:rsidR="00FB2D33" w:rsidRPr="00CF6765">
        <w:rPr>
          <w:sz w:val="20"/>
          <w:szCs w:val="20"/>
          <w:lang w:val="en-US"/>
        </w:rPr>
        <w:t xml:space="preserve">provide the Court with a report on the measures taken to comply with it, without prejudice to the provisions of </w:t>
      </w:r>
      <w:r w:rsidRPr="00CF6765">
        <w:rPr>
          <w:sz w:val="20"/>
          <w:szCs w:val="20"/>
          <w:lang w:val="en-US"/>
        </w:rPr>
        <w:t>paragraph</w:t>
      </w:r>
      <w:r w:rsidR="00294152" w:rsidRPr="00CF6765">
        <w:rPr>
          <w:sz w:val="20"/>
          <w:szCs w:val="20"/>
          <w:lang w:val="en-US"/>
        </w:rPr>
        <w:t>s 226</w:t>
      </w:r>
      <w:r w:rsidR="00EC50FC" w:rsidRPr="00CF6765">
        <w:rPr>
          <w:sz w:val="20"/>
          <w:szCs w:val="20"/>
          <w:lang w:val="en-US"/>
        </w:rPr>
        <w:t xml:space="preserve"> and </w:t>
      </w:r>
      <w:r w:rsidR="00294152" w:rsidRPr="00CF6765">
        <w:rPr>
          <w:sz w:val="20"/>
          <w:szCs w:val="20"/>
          <w:lang w:val="en-US"/>
        </w:rPr>
        <w:t>231</w:t>
      </w:r>
      <w:r w:rsidR="00A07555" w:rsidRPr="00CF6765">
        <w:rPr>
          <w:sz w:val="20"/>
          <w:szCs w:val="20"/>
          <w:lang w:val="en-US"/>
        </w:rPr>
        <w:t xml:space="preserve"> </w:t>
      </w:r>
      <w:r w:rsidR="00D2168F" w:rsidRPr="00CF6765">
        <w:rPr>
          <w:sz w:val="20"/>
          <w:szCs w:val="20"/>
          <w:lang w:val="en-US"/>
        </w:rPr>
        <w:t>of this judgment</w:t>
      </w:r>
      <w:r w:rsidR="00A07555" w:rsidRPr="00CF6765">
        <w:rPr>
          <w:sz w:val="20"/>
          <w:szCs w:val="20"/>
          <w:lang w:val="en-US"/>
        </w:rPr>
        <w:t>.</w:t>
      </w:r>
    </w:p>
    <w:p w14:paraId="2B1E9528" w14:textId="77777777" w:rsidR="00A07555" w:rsidRPr="00CF6765" w:rsidRDefault="00A07555" w:rsidP="00A07555">
      <w:pPr>
        <w:pStyle w:val="Prrafodelista"/>
        <w:widowControl w:val="0"/>
        <w:tabs>
          <w:tab w:val="center" w:pos="567"/>
        </w:tabs>
        <w:autoSpaceDE w:val="0"/>
        <w:autoSpaceDN w:val="0"/>
        <w:adjustRightInd w:val="0"/>
        <w:ind w:left="0" w:right="-90"/>
        <w:rPr>
          <w:sz w:val="20"/>
          <w:szCs w:val="20"/>
          <w:lang w:val="en-US"/>
        </w:rPr>
      </w:pPr>
    </w:p>
    <w:p w14:paraId="5AF14532" w14:textId="11E67236" w:rsidR="000663FA" w:rsidRPr="00CF6765" w:rsidRDefault="005C731C" w:rsidP="00840E52">
      <w:pPr>
        <w:pStyle w:val="Prrafodelista"/>
        <w:widowControl w:val="0"/>
        <w:numPr>
          <w:ilvl w:val="0"/>
          <w:numId w:val="24"/>
        </w:numPr>
        <w:tabs>
          <w:tab w:val="center" w:pos="567"/>
        </w:tabs>
        <w:autoSpaceDE w:val="0"/>
        <w:autoSpaceDN w:val="0"/>
        <w:adjustRightInd w:val="0"/>
        <w:ind w:left="0" w:right="-90" w:hanging="11"/>
        <w:contextualSpacing/>
        <w:rPr>
          <w:sz w:val="20"/>
          <w:szCs w:val="20"/>
          <w:lang w:val="en-US"/>
        </w:rPr>
      </w:pPr>
      <w:r w:rsidRPr="00CF6765">
        <w:rPr>
          <w:sz w:val="20"/>
          <w:szCs w:val="20"/>
          <w:lang w:val="en-US"/>
        </w:rPr>
        <w:t>The Court</w:t>
      </w:r>
      <w:r w:rsidR="00A07555" w:rsidRPr="00CF6765">
        <w:rPr>
          <w:sz w:val="20"/>
          <w:szCs w:val="20"/>
          <w:lang w:val="en-US"/>
        </w:rPr>
        <w:t xml:space="preserve"> </w:t>
      </w:r>
      <w:r w:rsidR="00C8154C" w:rsidRPr="00CF6765">
        <w:rPr>
          <w:sz w:val="20"/>
          <w:szCs w:val="20"/>
          <w:lang w:val="en-US"/>
        </w:rPr>
        <w:t>will monitor full compliance with th</w:t>
      </w:r>
      <w:r w:rsidR="00E600F5" w:rsidRPr="00CF6765">
        <w:rPr>
          <w:sz w:val="20"/>
          <w:szCs w:val="20"/>
          <w:lang w:val="en-US"/>
        </w:rPr>
        <w:t>is</w:t>
      </w:r>
      <w:r w:rsidR="00C8154C" w:rsidRPr="00CF6765">
        <w:rPr>
          <w:sz w:val="20"/>
          <w:szCs w:val="20"/>
          <w:lang w:val="en-US"/>
        </w:rPr>
        <w:t xml:space="preserve"> judgment, in exercise of its attributes and in fulfillment of its duties under </w:t>
      </w:r>
      <w:r w:rsidRPr="00CF6765">
        <w:rPr>
          <w:sz w:val="20"/>
          <w:szCs w:val="20"/>
          <w:lang w:val="en-US"/>
        </w:rPr>
        <w:t>the American Convention on Human Rights</w:t>
      </w:r>
      <w:r w:rsidR="00A07555" w:rsidRPr="00CF6765">
        <w:rPr>
          <w:sz w:val="20"/>
          <w:szCs w:val="20"/>
          <w:lang w:val="en-US"/>
        </w:rPr>
        <w:t>,</w:t>
      </w:r>
      <w:r w:rsidR="00EC50FC" w:rsidRPr="00CF6765">
        <w:rPr>
          <w:sz w:val="20"/>
          <w:szCs w:val="20"/>
          <w:lang w:val="en-US"/>
        </w:rPr>
        <w:t xml:space="preserve"> and </w:t>
      </w:r>
      <w:r w:rsidR="00C8154C" w:rsidRPr="00CF6765">
        <w:rPr>
          <w:sz w:val="20"/>
          <w:szCs w:val="20"/>
          <w:lang w:val="en-US"/>
        </w:rPr>
        <w:t xml:space="preserve">will consider this case </w:t>
      </w:r>
      <w:r w:rsidR="00C8154C" w:rsidRPr="00CF6765">
        <w:rPr>
          <w:sz w:val="20"/>
          <w:szCs w:val="20"/>
          <w:lang w:val="en-US"/>
        </w:rPr>
        <w:lastRenderedPageBreak/>
        <w:t>closed when the State has complied fully with its provisions</w:t>
      </w:r>
      <w:r w:rsidR="00A07555" w:rsidRPr="00CF6765">
        <w:rPr>
          <w:sz w:val="20"/>
          <w:szCs w:val="20"/>
          <w:lang w:val="en-US"/>
        </w:rPr>
        <w:t>.</w:t>
      </w:r>
    </w:p>
    <w:p w14:paraId="301BD524" w14:textId="77777777" w:rsidR="008A113A" w:rsidRPr="00CF6765" w:rsidRDefault="008A113A" w:rsidP="00840E52">
      <w:pPr>
        <w:rPr>
          <w:lang w:val="en-US"/>
        </w:rPr>
      </w:pPr>
    </w:p>
    <w:p w14:paraId="36CC8C49" w14:textId="77777777" w:rsidR="008A113A" w:rsidRPr="00CF6765" w:rsidRDefault="008A113A" w:rsidP="00840E52">
      <w:pPr>
        <w:rPr>
          <w:sz w:val="20"/>
          <w:szCs w:val="20"/>
          <w:lang w:val="en-US"/>
        </w:rPr>
      </w:pPr>
    </w:p>
    <w:p w14:paraId="7AB23555" w14:textId="168B97AA" w:rsidR="000663FA" w:rsidRPr="00CF6765" w:rsidRDefault="00CE4A79" w:rsidP="000663FA">
      <w:pPr>
        <w:rPr>
          <w:sz w:val="20"/>
          <w:lang w:val="en-US"/>
        </w:rPr>
      </w:pPr>
      <w:r w:rsidRPr="00CF6765">
        <w:rPr>
          <w:sz w:val="20"/>
          <w:lang w:val="en-US"/>
        </w:rPr>
        <w:t>J</w:t>
      </w:r>
      <w:r w:rsidR="005C731C" w:rsidRPr="00CF6765">
        <w:rPr>
          <w:sz w:val="20"/>
          <w:lang w:val="en-US"/>
        </w:rPr>
        <w:t>udge</w:t>
      </w:r>
      <w:r w:rsidR="000663FA" w:rsidRPr="00CF6765">
        <w:rPr>
          <w:sz w:val="20"/>
          <w:lang w:val="en-US"/>
        </w:rPr>
        <w:t xml:space="preserve"> Humberto Sierra Porto </w:t>
      </w:r>
      <w:r w:rsidRPr="00CF6765">
        <w:rPr>
          <w:sz w:val="20"/>
          <w:lang w:val="en-US"/>
        </w:rPr>
        <w:t xml:space="preserve">informed the Court of his </w:t>
      </w:r>
      <w:r w:rsidR="00F20B52" w:rsidRPr="00CF6765">
        <w:rPr>
          <w:sz w:val="20"/>
          <w:lang w:val="en-US"/>
        </w:rPr>
        <w:t>concurring</w:t>
      </w:r>
      <w:r w:rsidRPr="00CF6765">
        <w:rPr>
          <w:sz w:val="20"/>
          <w:lang w:val="en-US"/>
        </w:rPr>
        <w:t xml:space="preserve"> </w:t>
      </w:r>
      <w:r w:rsidR="00FB2D33" w:rsidRPr="00CF6765">
        <w:rPr>
          <w:sz w:val="20"/>
          <w:lang w:val="en-US"/>
        </w:rPr>
        <w:t>opinion</w:t>
      </w:r>
      <w:r w:rsidRPr="00CF6765">
        <w:rPr>
          <w:sz w:val="20"/>
          <w:lang w:val="en-US"/>
        </w:rPr>
        <w:t xml:space="preserve"> </w:t>
      </w:r>
      <w:r w:rsidR="00C8154C" w:rsidRPr="00CF6765">
        <w:rPr>
          <w:sz w:val="20"/>
          <w:lang w:val="en-US"/>
        </w:rPr>
        <w:t>and this is</w:t>
      </w:r>
      <w:r w:rsidRPr="00CF6765">
        <w:rPr>
          <w:sz w:val="20"/>
          <w:lang w:val="en-US"/>
        </w:rPr>
        <w:t xml:space="preserve"> attached to th</w:t>
      </w:r>
      <w:r w:rsidR="00C8154C" w:rsidRPr="00CF6765">
        <w:rPr>
          <w:sz w:val="20"/>
          <w:lang w:val="en-US"/>
        </w:rPr>
        <w:t>e</w:t>
      </w:r>
      <w:r w:rsidRPr="00CF6765">
        <w:rPr>
          <w:sz w:val="20"/>
          <w:lang w:val="en-US"/>
        </w:rPr>
        <w:t xml:space="preserve"> judgment</w:t>
      </w:r>
      <w:r w:rsidR="000663FA" w:rsidRPr="00CF6765">
        <w:rPr>
          <w:sz w:val="20"/>
          <w:lang w:val="en-US"/>
        </w:rPr>
        <w:t xml:space="preserve">. </w:t>
      </w:r>
    </w:p>
    <w:p w14:paraId="3CD3246F" w14:textId="77777777" w:rsidR="000663FA" w:rsidRPr="00CF6765" w:rsidRDefault="000663FA" w:rsidP="000663FA">
      <w:pPr>
        <w:rPr>
          <w:sz w:val="20"/>
          <w:szCs w:val="20"/>
          <w:lang w:val="en-US"/>
        </w:rPr>
      </w:pPr>
    </w:p>
    <w:p w14:paraId="16BD289F" w14:textId="77777777" w:rsidR="000663FA" w:rsidRPr="00CF6765" w:rsidRDefault="000663FA" w:rsidP="000663FA">
      <w:pPr>
        <w:rPr>
          <w:sz w:val="20"/>
          <w:szCs w:val="20"/>
          <w:lang w:val="en-US"/>
        </w:rPr>
      </w:pPr>
    </w:p>
    <w:p w14:paraId="71CC11C8" w14:textId="35C20A4E" w:rsidR="000663FA" w:rsidRPr="00CF6765" w:rsidRDefault="00CE4A79" w:rsidP="000663FA">
      <w:pPr>
        <w:rPr>
          <w:sz w:val="20"/>
          <w:szCs w:val="20"/>
          <w:lang w:val="en-US"/>
        </w:rPr>
      </w:pPr>
      <w:r w:rsidRPr="00CF6765">
        <w:rPr>
          <w:sz w:val="20"/>
          <w:szCs w:val="20"/>
          <w:lang w:val="en-US"/>
        </w:rPr>
        <w:t xml:space="preserve">DONE, at </w:t>
      </w:r>
      <w:r w:rsidR="000663FA" w:rsidRPr="00CF6765">
        <w:rPr>
          <w:sz w:val="20"/>
          <w:szCs w:val="20"/>
          <w:lang w:val="en-US"/>
        </w:rPr>
        <w:t xml:space="preserve">San José, Costa Rica, </w:t>
      </w:r>
      <w:r w:rsidRPr="00CF6765">
        <w:rPr>
          <w:sz w:val="20"/>
          <w:szCs w:val="20"/>
          <w:lang w:val="en-US"/>
        </w:rPr>
        <w:t>on March 8,</w:t>
      </w:r>
      <w:r w:rsidR="000663FA" w:rsidRPr="00CF6765">
        <w:rPr>
          <w:sz w:val="20"/>
          <w:szCs w:val="20"/>
          <w:lang w:val="en-US"/>
        </w:rPr>
        <w:t xml:space="preserve"> 2018</w:t>
      </w:r>
      <w:r w:rsidRPr="00CF6765">
        <w:rPr>
          <w:sz w:val="20"/>
          <w:szCs w:val="20"/>
          <w:lang w:val="en-US"/>
        </w:rPr>
        <w:t>, in the Spanish language.</w:t>
      </w:r>
    </w:p>
    <w:p w14:paraId="74F86E2C" w14:textId="77777777" w:rsidR="000663FA" w:rsidRPr="00CF6765" w:rsidRDefault="000663FA" w:rsidP="00840E52">
      <w:pPr>
        <w:rPr>
          <w:sz w:val="20"/>
          <w:szCs w:val="20"/>
          <w:lang w:val="en-US"/>
        </w:rPr>
      </w:pPr>
    </w:p>
    <w:p w14:paraId="385161F7" w14:textId="77777777" w:rsidR="003C025E" w:rsidRPr="00CF6765" w:rsidRDefault="003C025E" w:rsidP="003C025E">
      <w:pPr>
        <w:rPr>
          <w:sz w:val="20"/>
          <w:lang w:val="en-US"/>
        </w:rPr>
      </w:pPr>
    </w:p>
    <w:p w14:paraId="0B299D0E" w14:textId="567AD6AF" w:rsidR="000663FA" w:rsidRPr="00CF6765" w:rsidRDefault="000663FA">
      <w:pPr>
        <w:rPr>
          <w:sz w:val="20"/>
          <w:lang w:val="en-US"/>
        </w:rPr>
      </w:pPr>
      <w:r w:rsidRPr="00CF6765">
        <w:rPr>
          <w:sz w:val="20"/>
          <w:lang w:val="en-US"/>
        </w:rPr>
        <w:br w:type="page"/>
      </w:r>
    </w:p>
    <w:p w14:paraId="418AE50B" w14:textId="77777777" w:rsidR="000663FA" w:rsidRPr="00CF6765" w:rsidRDefault="000663FA" w:rsidP="003C025E">
      <w:pPr>
        <w:rPr>
          <w:sz w:val="20"/>
          <w:lang w:val="en-US"/>
        </w:rPr>
      </w:pPr>
    </w:p>
    <w:p w14:paraId="25280B23" w14:textId="5CDD7A34" w:rsidR="003C025E" w:rsidRPr="00CF6765" w:rsidRDefault="00CE4A79" w:rsidP="003C025E">
      <w:pPr>
        <w:rPr>
          <w:sz w:val="20"/>
          <w:lang w:val="en-US"/>
        </w:rPr>
      </w:pPr>
      <w:r w:rsidRPr="00CF6765">
        <w:rPr>
          <w:sz w:val="20"/>
          <w:lang w:val="en-US"/>
        </w:rPr>
        <w:t>I/</w:t>
      </w:r>
      <w:proofErr w:type="spellStart"/>
      <w:r w:rsidRPr="00CF6765">
        <w:rPr>
          <w:sz w:val="20"/>
          <w:lang w:val="en-US"/>
        </w:rPr>
        <w:t>ACourtHR</w:t>
      </w:r>
      <w:proofErr w:type="spellEnd"/>
      <w:r w:rsidR="003C025E" w:rsidRPr="00CF6765">
        <w:rPr>
          <w:sz w:val="20"/>
          <w:lang w:val="en-US"/>
        </w:rPr>
        <w:t>. Cas</w:t>
      </w:r>
      <w:r w:rsidRPr="00CF6765">
        <w:rPr>
          <w:sz w:val="20"/>
          <w:lang w:val="en-US"/>
        </w:rPr>
        <w:t>e of</w:t>
      </w:r>
      <w:r w:rsidR="003C025E" w:rsidRPr="00CF6765">
        <w:rPr>
          <w:sz w:val="20"/>
          <w:lang w:val="en-US"/>
        </w:rPr>
        <w:t xml:space="preserve"> </w:t>
      </w:r>
      <w:r w:rsidR="003C025E" w:rsidRPr="00CF6765">
        <w:rPr>
          <w:i/>
          <w:sz w:val="20"/>
          <w:lang w:val="en-US"/>
        </w:rPr>
        <w:t xml:space="preserve">Poblete </w:t>
      </w:r>
      <w:proofErr w:type="spellStart"/>
      <w:r w:rsidR="005C731C" w:rsidRPr="00CF6765">
        <w:rPr>
          <w:i/>
          <w:sz w:val="20"/>
          <w:lang w:val="en-US"/>
        </w:rPr>
        <w:t>Vilches</w:t>
      </w:r>
      <w:proofErr w:type="spellEnd"/>
      <w:r w:rsidR="005C731C" w:rsidRPr="00CF6765">
        <w:rPr>
          <w:i/>
          <w:sz w:val="20"/>
          <w:lang w:val="en-US"/>
        </w:rPr>
        <w:t xml:space="preserve"> et al.</w:t>
      </w:r>
      <w:r w:rsidR="003C025E" w:rsidRPr="00CF6765">
        <w:rPr>
          <w:i/>
          <w:sz w:val="20"/>
          <w:lang w:val="en-US"/>
        </w:rPr>
        <w:t xml:space="preserve"> </w:t>
      </w:r>
      <w:r w:rsidR="00EC50FC" w:rsidRPr="00CF6765">
        <w:rPr>
          <w:i/>
          <w:sz w:val="20"/>
          <w:lang w:val="en-US"/>
        </w:rPr>
        <w:t>v.</w:t>
      </w:r>
      <w:r w:rsidR="003C025E" w:rsidRPr="00CF6765">
        <w:rPr>
          <w:i/>
          <w:sz w:val="20"/>
          <w:lang w:val="en-US"/>
        </w:rPr>
        <w:t xml:space="preserve"> Chile.</w:t>
      </w:r>
      <w:r w:rsidR="003C025E" w:rsidRPr="00CF6765">
        <w:rPr>
          <w:sz w:val="20"/>
          <w:lang w:val="en-US"/>
        </w:rPr>
        <w:t xml:space="preserve"> </w:t>
      </w:r>
      <w:r w:rsidR="005C731C" w:rsidRPr="00CF6765">
        <w:rPr>
          <w:sz w:val="20"/>
          <w:lang w:val="en-US"/>
        </w:rPr>
        <w:t>Merits, reparations and costs</w:t>
      </w:r>
      <w:r w:rsidR="003C025E" w:rsidRPr="00CF6765">
        <w:rPr>
          <w:sz w:val="20"/>
          <w:lang w:val="en-US"/>
        </w:rPr>
        <w:t xml:space="preserve">. </w:t>
      </w:r>
      <w:r w:rsidRPr="00CF6765">
        <w:rPr>
          <w:sz w:val="20"/>
          <w:lang w:val="en-US"/>
        </w:rPr>
        <w:t>Judgment of March</w:t>
      </w:r>
      <w:r w:rsidR="003C025E" w:rsidRPr="00CF6765">
        <w:rPr>
          <w:sz w:val="20"/>
          <w:lang w:val="en-US"/>
        </w:rPr>
        <w:t xml:space="preserve"> </w:t>
      </w:r>
      <w:r w:rsidRPr="00CF6765">
        <w:rPr>
          <w:sz w:val="20"/>
          <w:lang w:val="en-US"/>
        </w:rPr>
        <w:t xml:space="preserve">8, </w:t>
      </w:r>
      <w:r w:rsidR="003C025E" w:rsidRPr="00CF6765">
        <w:rPr>
          <w:sz w:val="20"/>
          <w:lang w:val="en-US"/>
        </w:rPr>
        <w:t>2018.</w:t>
      </w:r>
    </w:p>
    <w:p w14:paraId="0C3FFF5B" w14:textId="77777777" w:rsidR="003C025E" w:rsidRPr="00CF6765" w:rsidRDefault="003C025E" w:rsidP="003C025E">
      <w:pPr>
        <w:rPr>
          <w:sz w:val="20"/>
          <w:lang w:val="en-US"/>
        </w:rPr>
      </w:pPr>
    </w:p>
    <w:p w14:paraId="0E33FE09" w14:textId="77777777" w:rsidR="003C025E" w:rsidRPr="00CF6765" w:rsidRDefault="003C025E" w:rsidP="003C025E">
      <w:pPr>
        <w:rPr>
          <w:sz w:val="20"/>
          <w:lang w:val="en-US"/>
        </w:rPr>
      </w:pPr>
    </w:p>
    <w:p w14:paraId="7BA546AE" w14:textId="77777777" w:rsidR="003C025E" w:rsidRPr="00CF6765" w:rsidRDefault="003C025E" w:rsidP="003C025E">
      <w:pPr>
        <w:rPr>
          <w:sz w:val="20"/>
          <w:lang w:val="en-US"/>
        </w:rPr>
      </w:pPr>
    </w:p>
    <w:p w14:paraId="0E956FE2" w14:textId="77777777" w:rsidR="003C025E" w:rsidRPr="00CF6765" w:rsidRDefault="003C025E" w:rsidP="003C025E">
      <w:pPr>
        <w:rPr>
          <w:sz w:val="20"/>
          <w:lang w:val="en-US"/>
        </w:rPr>
      </w:pPr>
    </w:p>
    <w:p w14:paraId="15F1EF85" w14:textId="77777777" w:rsidR="003C025E" w:rsidRPr="00CF6765" w:rsidRDefault="003C025E" w:rsidP="003C025E">
      <w:pPr>
        <w:jc w:val="center"/>
        <w:rPr>
          <w:sz w:val="20"/>
          <w:lang w:val="en-US"/>
        </w:rPr>
      </w:pPr>
    </w:p>
    <w:p w14:paraId="7D7E808D" w14:textId="77777777" w:rsidR="003C025E" w:rsidRPr="003558F5" w:rsidRDefault="003C025E" w:rsidP="003C025E">
      <w:pPr>
        <w:jc w:val="center"/>
        <w:rPr>
          <w:sz w:val="20"/>
        </w:rPr>
      </w:pPr>
      <w:r w:rsidRPr="003558F5">
        <w:rPr>
          <w:sz w:val="20"/>
        </w:rPr>
        <w:t>Eduardo Ferrer Mac-</w:t>
      </w:r>
      <w:proofErr w:type="spellStart"/>
      <w:r w:rsidRPr="003558F5">
        <w:rPr>
          <w:sz w:val="20"/>
        </w:rPr>
        <w:t>Gregor</w:t>
      </w:r>
      <w:proofErr w:type="spellEnd"/>
      <w:r w:rsidRPr="003558F5">
        <w:rPr>
          <w:sz w:val="20"/>
        </w:rPr>
        <w:t xml:space="preserve"> </w:t>
      </w:r>
      <w:proofErr w:type="spellStart"/>
      <w:r w:rsidRPr="003558F5">
        <w:rPr>
          <w:sz w:val="20"/>
        </w:rPr>
        <w:t>Poisot</w:t>
      </w:r>
      <w:proofErr w:type="spellEnd"/>
      <w:r w:rsidRPr="003558F5">
        <w:rPr>
          <w:sz w:val="20"/>
        </w:rPr>
        <w:t xml:space="preserve"> </w:t>
      </w:r>
    </w:p>
    <w:p w14:paraId="7916AD1C" w14:textId="1F0F8198" w:rsidR="003C025E" w:rsidRPr="003558F5" w:rsidRDefault="005C731C" w:rsidP="003C025E">
      <w:pPr>
        <w:jc w:val="center"/>
        <w:rPr>
          <w:sz w:val="20"/>
        </w:rPr>
      </w:pPr>
      <w:proofErr w:type="spellStart"/>
      <w:r w:rsidRPr="003558F5">
        <w:rPr>
          <w:sz w:val="20"/>
        </w:rPr>
        <w:t>President</w:t>
      </w:r>
      <w:proofErr w:type="spellEnd"/>
    </w:p>
    <w:p w14:paraId="75FC102B" w14:textId="77777777" w:rsidR="003C025E" w:rsidRPr="003558F5" w:rsidRDefault="003C025E" w:rsidP="003C025E">
      <w:pPr>
        <w:rPr>
          <w:sz w:val="20"/>
        </w:rPr>
      </w:pPr>
    </w:p>
    <w:p w14:paraId="62052B58" w14:textId="77777777" w:rsidR="003C025E" w:rsidRPr="003558F5" w:rsidRDefault="003C025E" w:rsidP="003C025E">
      <w:pPr>
        <w:rPr>
          <w:sz w:val="20"/>
        </w:rPr>
      </w:pPr>
    </w:p>
    <w:p w14:paraId="2E79CB37" w14:textId="77777777" w:rsidR="003C025E" w:rsidRPr="003558F5" w:rsidRDefault="003C025E" w:rsidP="003C025E">
      <w:pPr>
        <w:rPr>
          <w:sz w:val="20"/>
        </w:rPr>
      </w:pPr>
    </w:p>
    <w:p w14:paraId="1175C9C9" w14:textId="77777777" w:rsidR="003C025E" w:rsidRPr="003558F5" w:rsidRDefault="003C025E" w:rsidP="003C025E">
      <w:pPr>
        <w:rPr>
          <w:sz w:val="20"/>
        </w:rPr>
      </w:pPr>
      <w:r w:rsidRPr="003558F5">
        <w:rPr>
          <w:sz w:val="20"/>
        </w:rPr>
        <w:tab/>
      </w:r>
      <w:r w:rsidRPr="003558F5">
        <w:rPr>
          <w:sz w:val="20"/>
        </w:rPr>
        <w:tab/>
      </w:r>
      <w:r w:rsidRPr="003558F5">
        <w:rPr>
          <w:sz w:val="20"/>
        </w:rPr>
        <w:tab/>
      </w:r>
    </w:p>
    <w:p w14:paraId="6ECADE76" w14:textId="4086237C" w:rsidR="003C025E" w:rsidRPr="003558F5" w:rsidRDefault="003C025E" w:rsidP="003C025E">
      <w:pPr>
        <w:rPr>
          <w:sz w:val="20"/>
        </w:rPr>
      </w:pPr>
      <w:r w:rsidRPr="003558F5">
        <w:rPr>
          <w:sz w:val="20"/>
        </w:rPr>
        <w:t>Humberto A. Sierra Porto</w:t>
      </w:r>
      <w:r w:rsidRPr="003558F5">
        <w:rPr>
          <w:sz w:val="20"/>
        </w:rPr>
        <w:tab/>
      </w:r>
      <w:r w:rsidRPr="003558F5">
        <w:rPr>
          <w:sz w:val="20"/>
        </w:rPr>
        <w:tab/>
      </w:r>
      <w:r w:rsidRPr="003558F5">
        <w:rPr>
          <w:sz w:val="20"/>
        </w:rPr>
        <w:tab/>
      </w:r>
      <w:r w:rsidR="00A2502B" w:rsidRPr="003558F5">
        <w:rPr>
          <w:sz w:val="20"/>
        </w:rPr>
        <w:tab/>
      </w:r>
      <w:r w:rsidR="00A2502B" w:rsidRPr="003558F5">
        <w:rPr>
          <w:sz w:val="20"/>
        </w:rPr>
        <w:tab/>
      </w:r>
      <w:r w:rsidR="00A2502B" w:rsidRPr="003558F5">
        <w:rPr>
          <w:sz w:val="20"/>
        </w:rPr>
        <w:tab/>
      </w:r>
      <w:r w:rsidRPr="003558F5">
        <w:rPr>
          <w:sz w:val="20"/>
        </w:rPr>
        <w:t xml:space="preserve"> </w:t>
      </w:r>
      <w:r w:rsidR="00980D1A" w:rsidRPr="003558F5">
        <w:rPr>
          <w:sz w:val="20"/>
        </w:rPr>
        <w:t xml:space="preserve">          </w:t>
      </w:r>
      <w:r w:rsidRPr="003558F5">
        <w:rPr>
          <w:sz w:val="20"/>
        </w:rPr>
        <w:t>Elizabeth Odio Benito</w:t>
      </w:r>
    </w:p>
    <w:p w14:paraId="77C548C7" w14:textId="77777777" w:rsidR="003C025E" w:rsidRPr="003558F5" w:rsidRDefault="003C025E" w:rsidP="003C025E">
      <w:pPr>
        <w:jc w:val="center"/>
        <w:rPr>
          <w:sz w:val="20"/>
        </w:rPr>
      </w:pPr>
    </w:p>
    <w:p w14:paraId="6685FA7E" w14:textId="77777777" w:rsidR="003C025E" w:rsidRPr="003558F5" w:rsidRDefault="003C025E" w:rsidP="003C025E">
      <w:pPr>
        <w:rPr>
          <w:sz w:val="20"/>
        </w:rPr>
      </w:pPr>
    </w:p>
    <w:p w14:paraId="3CE7ABE2" w14:textId="77777777" w:rsidR="003C025E" w:rsidRPr="003558F5" w:rsidRDefault="003C025E" w:rsidP="003C025E">
      <w:pPr>
        <w:jc w:val="center"/>
        <w:rPr>
          <w:sz w:val="20"/>
        </w:rPr>
      </w:pPr>
    </w:p>
    <w:p w14:paraId="5B71C1F8" w14:textId="15E2F247" w:rsidR="003C025E" w:rsidRPr="003558F5" w:rsidRDefault="003C025E" w:rsidP="003C025E">
      <w:pPr>
        <w:rPr>
          <w:sz w:val="20"/>
        </w:rPr>
      </w:pPr>
    </w:p>
    <w:p w14:paraId="362B3996" w14:textId="77777777" w:rsidR="003C025E" w:rsidRPr="003558F5" w:rsidRDefault="003C025E" w:rsidP="003C025E">
      <w:pPr>
        <w:rPr>
          <w:sz w:val="20"/>
        </w:rPr>
      </w:pPr>
      <w:r w:rsidRPr="003558F5">
        <w:rPr>
          <w:sz w:val="20"/>
        </w:rPr>
        <w:t>Eugenio Raúl Zaffaroni</w:t>
      </w:r>
      <w:r w:rsidRPr="003558F5">
        <w:rPr>
          <w:sz w:val="20"/>
        </w:rPr>
        <w:tab/>
      </w:r>
      <w:r w:rsidRPr="003558F5">
        <w:rPr>
          <w:sz w:val="20"/>
        </w:rPr>
        <w:tab/>
      </w:r>
      <w:r w:rsidRPr="003558F5">
        <w:rPr>
          <w:sz w:val="20"/>
        </w:rPr>
        <w:tab/>
      </w:r>
      <w:r w:rsidRPr="003558F5">
        <w:rPr>
          <w:sz w:val="20"/>
        </w:rPr>
        <w:tab/>
      </w:r>
      <w:r w:rsidRPr="003558F5">
        <w:rPr>
          <w:sz w:val="20"/>
        </w:rPr>
        <w:tab/>
        <w:t xml:space="preserve">                L. Patricio Pazmiño Freire</w:t>
      </w:r>
    </w:p>
    <w:p w14:paraId="334CF7F3" w14:textId="77777777" w:rsidR="003C025E" w:rsidRPr="003558F5" w:rsidRDefault="003C025E" w:rsidP="003C025E">
      <w:pPr>
        <w:rPr>
          <w:sz w:val="20"/>
        </w:rPr>
      </w:pPr>
      <w:r w:rsidRPr="003558F5">
        <w:rPr>
          <w:sz w:val="20"/>
        </w:rPr>
        <w:tab/>
      </w:r>
      <w:r w:rsidRPr="003558F5">
        <w:rPr>
          <w:sz w:val="20"/>
        </w:rPr>
        <w:tab/>
      </w:r>
      <w:r w:rsidRPr="003558F5">
        <w:rPr>
          <w:sz w:val="20"/>
        </w:rPr>
        <w:tab/>
      </w:r>
    </w:p>
    <w:p w14:paraId="2AD0F18E" w14:textId="77777777" w:rsidR="003C025E" w:rsidRPr="003558F5" w:rsidRDefault="003C025E" w:rsidP="003C025E">
      <w:pPr>
        <w:rPr>
          <w:sz w:val="20"/>
        </w:rPr>
      </w:pPr>
    </w:p>
    <w:p w14:paraId="35DF2338" w14:textId="77777777" w:rsidR="003C025E" w:rsidRPr="003558F5" w:rsidRDefault="003C025E" w:rsidP="003C025E">
      <w:pPr>
        <w:tabs>
          <w:tab w:val="left" w:pos="8460"/>
          <w:tab w:val="left" w:pos="8640"/>
        </w:tabs>
        <w:rPr>
          <w:sz w:val="20"/>
        </w:rPr>
      </w:pPr>
    </w:p>
    <w:p w14:paraId="4C56F27C" w14:textId="77777777" w:rsidR="003C025E" w:rsidRPr="003558F5" w:rsidRDefault="003C025E" w:rsidP="003C025E">
      <w:pPr>
        <w:tabs>
          <w:tab w:val="left" w:pos="8460"/>
          <w:tab w:val="left" w:pos="8640"/>
        </w:tabs>
        <w:jc w:val="center"/>
        <w:rPr>
          <w:sz w:val="20"/>
        </w:rPr>
      </w:pPr>
    </w:p>
    <w:p w14:paraId="3EA16267" w14:textId="77777777" w:rsidR="003C025E" w:rsidRPr="003558F5" w:rsidRDefault="003C025E" w:rsidP="003C025E">
      <w:pPr>
        <w:tabs>
          <w:tab w:val="left" w:pos="8460"/>
          <w:tab w:val="left" w:pos="8640"/>
        </w:tabs>
        <w:jc w:val="center"/>
        <w:rPr>
          <w:sz w:val="20"/>
        </w:rPr>
      </w:pPr>
      <w:r w:rsidRPr="003558F5">
        <w:rPr>
          <w:sz w:val="20"/>
        </w:rPr>
        <w:t>Emilia Segares Rodríguez</w:t>
      </w:r>
    </w:p>
    <w:p w14:paraId="4F1D63F1" w14:textId="6F00F541" w:rsidR="00CE4A79" w:rsidRPr="003558F5" w:rsidRDefault="00CE4A79" w:rsidP="00CE4A79">
      <w:pPr>
        <w:tabs>
          <w:tab w:val="left" w:pos="8460"/>
          <w:tab w:val="left" w:pos="8640"/>
        </w:tabs>
        <w:jc w:val="center"/>
        <w:rPr>
          <w:sz w:val="20"/>
        </w:rPr>
      </w:pPr>
      <w:proofErr w:type="spellStart"/>
      <w:r w:rsidRPr="003558F5">
        <w:rPr>
          <w:sz w:val="20"/>
        </w:rPr>
        <w:t>Deputy</w:t>
      </w:r>
      <w:proofErr w:type="spellEnd"/>
      <w:r w:rsidRPr="003558F5">
        <w:rPr>
          <w:sz w:val="20"/>
        </w:rPr>
        <w:t xml:space="preserve"> </w:t>
      </w:r>
      <w:proofErr w:type="spellStart"/>
      <w:r w:rsidRPr="003558F5">
        <w:rPr>
          <w:sz w:val="20"/>
        </w:rPr>
        <w:t>Secretary</w:t>
      </w:r>
      <w:proofErr w:type="spellEnd"/>
    </w:p>
    <w:p w14:paraId="166E7639" w14:textId="77777777" w:rsidR="003C025E" w:rsidRPr="003558F5" w:rsidRDefault="003C025E" w:rsidP="003C025E">
      <w:pPr>
        <w:rPr>
          <w:sz w:val="20"/>
        </w:rPr>
      </w:pPr>
    </w:p>
    <w:p w14:paraId="26BA19C9" w14:textId="4A75DDE1" w:rsidR="003C025E" w:rsidRPr="003558F5" w:rsidRDefault="00CE4A79" w:rsidP="003C025E">
      <w:pPr>
        <w:tabs>
          <w:tab w:val="left" w:pos="8460"/>
          <w:tab w:val="left" w:pos="8640"/>
        </w:tabs>
        <w:rPr>
          <w:sz w:val="20"/>
        </w:rPr>
      </w:pPr>
      <w:r w:rsidRPr="003558F5">
        <w:rPr>
          <w:sz w:val="20"/>
        </w:rPr>
        <w:t xml:space="preserve">So </w:t>
      </w:r>
      <w:proofErr w:type="spellStart"/>
      <w:r w:rsidRPr="003558F5">
        <w:rPr>
          <w:sz w:val="20"/>
        </w:rPr>
        <w:t>ordered</w:t>
      </w:r>
      <w:proofErr w:type="spellEnd"/>
      <w:r w:rsidR="003C025E" w:rsidRPr="003558F5">
        <w:rPr>
          <w:sz w:val="20"/>
        </w:rPr>
        <w:t>,</w:t>
      </w:r>
    </w:p>
    <w:p w14:paraId="4C7C0CE2" w14:textId="77777777" w:rsidR="003C025E" w:rsidRPr="003558F5" w:rsidRDefault="003C025E" w:rsidP="003C025E">
      <w:pPr>
        <w:tabs>
          <w:tab w:val="left" w:pos="8460"/>
          <w:tab w:val="left" w:pos="8640"/>
        </w:tabs>
        <w:rPr>
          <w:sz w:val="20"/>
        </w:rPr>
      </w:pPr>
    </w:p>
    <w:p w14:paraId="4E072446" w14:textId="77777777" w:rsidR="003C025E" w:rsidRPr="003558F5" w:rsidRDefault="003C025E" w:rsidP="003C025E">
      <w:pPr>
        <w:tabs>
          <w:tab w:val="left" w:pos="8460"/>
          <w:tab w:val="left" w:pos="8640"/>
        </w:tabs>
        <w:rPr>
          <w:sz w:val="20"/>
        </w:rPr>
      </w:pPr>
    </w:p>
    <w:p w14:paraId="03077A09" w14:textId="77777777" w:rsidR="003C025E" w:rsidRPr="003558F5" w:rsidRDefault="003C025E" w:rsidP="003C025E">
      <w:pPr>
        <w:tabs>
          <w:tab w:val="left" w:pos="8460"/>
          <w:tab w:val="left" w:pos="8640"/>
        </w:tabs>
        <w:jc w:val="right"/>
        <w:rPr>
          <w:sz w:val="20"/>
        </w:rPr>
      </w:pPr>
    </w:p>
    <w:p w14:paraId="50E14E43" w14:textId="77777777" w:rsidR="003C025E" w:rsidRPr="003558F5" w:rsidRDefault="003C025E" w:rsidP="003C025E">
      <w:pPr>
        <w:ind w:left="5760"/>
        <w:jc w:val="center"/>
        <w:rPr>
          <w:sz w:val="20"/>
        </w:rPr>
      </w:pPr>
      <w:r w:rsidRPr="003558F5">
        <w:rPr>
          <w:sz w:val="20"/>
        </w:rPr>
        <w:t xml:space="preserve">   Eduardo Ferrer Mac-</w:t>
      </w:r>
      <w:proofErr w:type="spellStart"/>
      <w:r w:rsidRPr="003558F5">
        <w:rPr>
          <w:sz w:val="20"/>
        </w:rPr>
        <w:t>Gregor</w:t>
      </w:r>
      <w:proofErr w:type="spellEnd"/>
      <w:r w:rsidRPr="003558F5">
        <w:rPr>
          <w:sz w:val="20"/>
        </w:rPr>
        <w:t xml:space="preserve"> </w:t>
      </w:r>
      <w:proofErr w:type="spellStart"/>
      <w:r w:rsidRPr="003558F5">
        <w:rPr>
          <w:sz w:val="20"/>
        </w:rPr>
        <w:t>Poisot</w:t>
      </w:r>
      <w:proofErr w:type="spellEnd"/>
      <w:r w:rsidRPr="003558F5">
        <w:rPr>
          <w:sz w:val="20"/>
        </w:rPr>
        <w:t xml:space="preserve"> </w:t>
      </w:r>
    </w:p>
    <w:p w14:paraId="6E843383" w14:textId="53251015" w:rsidR="003C025E" w:rsidRPr="003558F5" w:rsidRDefault="003C025E" w:rsidP="003C025E">
      <w:pPr>
        <w:ind w:left="5040" w:firstLine="720"/>
        <w:jc w:val="center"/>
        <w:rPr>
          <w:sz w:val="20"/>
        </w:rPr>
      </w:pPr>
      <w:r w:rsidRPr="003558F5">
        <w:rPr>
          <w:sz w:val="20"/>
        </w:rPr>
        <w:t xml:space="preserve">   </w:t>
      </w:r>
      <w:proofErr w:type="spellStart"/>
      <w:r w:rsidR="005C731C" w:rsidRPr="003558F5">
        <w:rPr>
          <w:sz w:val="20"/>
        </w:rPr>
        <w:t>President</w:t>
      </w:r>
      <w:proofErr w:type="spellEnd"/>
    </w:p>
    <w:p w14:paraId="60B90AE5" w14:textId="77777777" w:rsidR="003C025E" w:rsidRPr="003558F5" w:rsidRDefault="003C025E" w:rsidP="003C025E">
      <w:pPr>
        <w:tabs>
          <w:tab w:val="left" w:pos="8460"/>
          <w:tab w:val="left" w:pos="8640"/>
        </w:tabs>
        <w:rPr>
          <w:sz w:val="20"/>
        </w:rPr>
      </w:pPr>
    </w:p>
    <w:p w14:paraId="35E3D905" w14:textId="77777777" w:rsidR="003C025E" w:rsidRPr="003558F5" w:rsidRDefault="003C025E" w:rsidP="003C025E">
      <w:pPr>
        <w:tabs>
          <w:tab w:val="left" w:pos="8460"/>
          <w:tab w:val="left" w:pos="8640"/>
        </w:tabs>
        <w:rPr>
          <w:sz w:val="20"/>
        </w:rPr>
      </w:pPr>
    </w:p>
    <w:p w14:paraId="010968E4" w14:textId="77777777" w:rsidR="003C025E" w:rsidRPr="003558F5" w:rsidRDefault="003C025E" w:rsidP="003C025E">
      <w:pPr>
        <w:tabs>
          <w:tab w:val="left" w:pos="8460"/>
          <w:tab w:val="left" w:pos="8640"/>
        </w:tabs>
        <w:rPr>
          <w:sz w:val="20"/>
        </w:rPr>
      </w:pPr>
    </w:p>
    <w:p w14:paraId="61099EA9" w14:textId="77777777" w:rsidR="003C025E" w:rsidRPr="003558F5" w:rsidRDefault="003C025E" w:rsidP="003C025E">
      <w:pPr>
        <w:tabs>
          <w:tab w:val="left" w:pos="8460"/>
          <w:tab w:val="left" w:pos="8640"/>
        </w:tabs>
        <w:rPr>
          <w:sz w:val="20"/>
        </w:rPr>
      </w:pPr>
    </w:p>
    <w:p w14:paraId="49189D33" w14:textId="77777777" w:rsidR="003C025E" w:rsidRPr="003558F5" w:rsidRDefault="003C025E" w:rsidP="003C025E">
      <w:pPr>
        <w:tabs>
          <w:tab w:val="left" w:pos="8460"/>
          <w:tab w:val="left" w:pos="8640"/>
        </w:tabs>
        <w:rPr>
          <w:sz w:val="20"/>
        </w:rPr>
      </w:pPr>
      <w:r w:rsidRPr="003558F5">
        <w:rPr>
          <w:sz w:val="20"/>
        </w:rPr>
        <w:t xml:space="preserve">   Emilia Segares Rodríguez</w:t>
      </w:r>
    </w:p>
    <w:p w14:paraId="505390BB" w14:textId="58286F62" w:rsidR="003C025E" w:rsidRPr="00CF6765" w:rsidRDefault="003C025E" w:rsidP="003C025E">
      <w:pPr>
        <w:tabs>
          <w:tab w:val="left" w:pos="8460"/>
          <w:tab w:val="left" w:pos="8640"/>
        </w:tabs>
        <w:rPr>
          <w:sz w:val="20"/>
          <w:lang w:val="en-US"/>
        </w:rPr>
      </w:pPr>
      <w:r w:rsidRPr="003558F5">
        <w:rPr>
          <w:sz w:val="20"/>
        </w:rPr>
        <w:t xml:space="preserve">        </w:t>
      </w:r>
      <w:r w:rsidR="00CE4A79" w:rsidRPr="00CF6765">
        <w:rPr>
          <w:sz w:val="20"/>
          <w:lang w:val="en-US"/>
        </w:rPr>
        <w:t xml:space="preserve">Deputy </w:t>
      </w:r>
      <w:r w:rsidR="005C731C" w:rsidRPr="00CF6765">
        <w:rPr>
          <w:sz w:val="20"/>
          <w:lang w:val="en-US"/>
        </w:rPr>
        <w:t>Secretary</w:t>
      </w:r>
    </w:p>
    <w:p w14:paraId="250601D5" w14:textId="77777777" w:rsidR="00B370D2" w:rsidRPr="00CF6765" w:rsidRDefault="00B370D2" w:rsidP="003C025E">
      <w:pPr>
        <w:rPr>
          <w:sz w:val="20"/>
          <w:lang w:val="en-US"/>
        </w:rPr>
        <w:sectPr w:rsidR="00B370D2" w:rsidRPr="00CF6765" w:rsidSect="005C42AB">
          <w:headerReference w:type="default" r:id="rId11"/>
          <w:footerReference w:type="even" r:id="rId12"/>
          <w:headerReference w:type="first" r:id="rId13"/>
          <w:footnotePr>
            <w:numRestart w:val="eachSect"/>
          </w:footnotePr>
          <w:pgSz w:w="12240" w:h="15840"/>
          <w:pgMar w:top="1247" w:right="1080" w:bottom="1247" w:left="1247" w:header="709" w:footer="709" w:gutter="0"/>
          <w:pgNumType w:start="1"/>
          <w:cols w:space="708"/>
          <w:titlePg/>
          <w:docGrid w:linePitch="360"/>
        </w:sectPr>
      </w:pPr>
    </w:p>
    <w:p w14:paraId="214AA4E2" w14:textId="187F493D" w:rsidR="00B370D2" w:rsidRPr="00CF6765" w:rsidRDefault="00B370D2" w:rsidP="00B370D2">
      <w:pPr>
        <w:jc w:val="center"/>
        <w:rPr>
          <w:b/>
          <w:sz w:val="18"/>
          <w:lang w:val="en-US"/>
        </w:rPr>
      </w:pPr>
    </w:p>
    <w:p w14:paraId="6629639A" w14:textId="5CDEFEDC" w:rsidR="00620284" w:rsidRPr="00CF6765" w:rsidRDefault="00620284" w:rsidP="00B370D2">
      <w:pPr>
        <w:jc w:val="center"/>
        <w:rPr>
          <w:b/>
          <w:sz w:val="18"/>
          <w:lang w:val="en-US"/>
        </w:rPr>
      </w:pPr>
    </w:p>
    <w:p w14:paraId="71E417AF" w14:textId="77777777" w:rsidR="00620284" w:rsidRPr="00CF6765" w:rsidRDefault="00620284" w:rsidP="00B370D2">
      <w:pPr>
        <w:jc w:val="center"/>
        <w:rPr>
          <w:b/>
          <w:sz w:val="18"/>
          <w:lang w:val="en-US"/>
        </w:rPr>
      </w:pPr>
    </w:p>
    <w:p w14:paraId="47A4310B" w14:textId="2BC5B007" w:rsidR="00B370D2" w:rsidRPr="00CF6765" w:rsidRDefault="00805F6A" w:rsidP="00B370D2">
      <w:pPr>
        <w:jc w:val="center"/>
        <w:rPr>
          <w:rFonts w:eastAsia="Calibri"/>
          <w:b/>
          <w:sz w:val="20"/>
          <w:szCs w:val="20"/>
          <w:lang w:val="en-US"/>
        </w:rPr>
      </w:pPr>
      <w:r w:rsidRPr="00CF6765">
        <w:rPr>
          <w:rFonts w:eastAsia="Calibri"/>
          <w:b/>
          <w:sz w:val="20"/>
          <w:szCs w:val="20"/>
          <w:lang w:val="en-US"/>
        </w:rPr>
        <w:t>CONCURRING OPINION OF</w:t>
      </w:r>
    </w:p>
    <w:p w14:paraId="00FA4B0A" w14:textId="3D019E19" w:rsidR="00B370D2" w:rsidRPr="00CF6765" w:rsidRDefault="005C731C" w:rsidP="00B370D2">
      <w:pPr>
        <w:jc w:val="center"/>
        <w:rPr>
          <w:rFonts w:eastAsia="Calibri"/>
          <w:b/>
          <w:sz w:val="20"/>
          <w:szCs w:val="20"/>
          <w:lang w:val="en-US"/>
        </w:rPr>
      </w:pPr>
      <w:r w:rsidRPr="00CF6765">
        <w:rPr>
          <w:rFonts w:eastAsia="Calibri"/>
          <w:b/>
          <w:sz w:val="20"/>
          <w:szCs w:val="20"/>
          <w:lang w:val="en-US"/>
        </w:rPr>
        <w:t>JUDGE</w:t>
      </w:r>
      <w:r w:rsidR="00B370D2" w:rsidRPr="00CF6765">
        <w:rPr>
          <w:rFonts w:eastAsia="Calibri"/>
          <w:b/>
          <w:sz w:val="20"/>
          <w:szCs w:val="20"/>
          <w:lang w:val="en-US"/>
        </w:rPr>
        <w:t xml:space="preserve"> HUMBERTO ANTONIO SIERRA PORTO </w:t>
      </w:r>
    </w:p>
    <w:p w14:paraId="1D1D8285" w14:textId="77777777" w:rsidR="00B370D2" w:rsidRPr="00CF6765" w:rsidRDefault="00B370D2" w:rsidP="00B370D2">
      <w:pPr>
        <w:jc w:val="center"/>
        <w:rPr>
          <w:rFonts w:eastAsia="Calibri"/>
          <w:b/>
          <w:sz w:val="20"/>
          <w:szCs w:val="20"/>
          <w:lang w:val="en-US"/>
        </w:rPr>
      </w:pPr>
    </w:p>
    <w:p w14:paraId="1024F187" w14:textId="4A3D76FB" w:rsidR="00B370D2" w:rsidRPr="00CF6765" w:rsidRDefault="00805F6A" w:rsidP="00B370D2">
      <w:pPr>
        <w:jc w:val="center"/>
        <w:rPr>
          <w:rFonts w:eastAsia="Calibri"/>
          <w:b/>
          <w:sz w:val="20"/>
          <w:szCs w:val="20"/>
          <w:lang w:val="en-US"/>
        </w:rPr>
      </w:pPr>
      <w:r w:rsidRPr="00CF6765">
        <w:rPr>
          <w:rFonts w:eastAsia="Calibri"/>
          <w:b/>
          <w:sz w:val="20"/>
          <w:szCs w:val="20"/>
          <w:lang w:val="en-US"/>
        </w:rPr>
        <w:t xml:space="preserve">TO THE </w:t>
      </w:r>
      <w:r w:rsidRPr="00CF6765">
        <w:rPr>
          <w:rFonts w:eastAsia="Calibri" w:cs="Verdana"/>
          <w:b/>
          <w:bCs/>
          <w:snapToGrid w:val="0"/>
          <w:sz w:val="20"/>
          <w:szCs w:val="20"/>
          <w:lang w:val="en-US" w:eastAsia="es-ES"/>
        </w:rPr>
        <w:t>JUDGMENT OF MARCH 8,</w:t>
      </w:r>
      <w:r w:rsidR="00B370D2" w:rsidRPr="00CF6765">
        <w:rPr>
          <w:rFonts w:eastAsia="Calibri"/>
          <w:b/>
          <w:sz w:val="20"/>
          <w:szCs w:val="20"/>
          <w:lang w:val="en-US"/>
        </w:rPr>
        <w:t xml:space="preserve"> 2018</w:t>
      </w:r>
    </w:p>
    <w:p w14:paraId="74527269" w14:textId="0A176022" w:rsidR="00B370D2" w:rsidRPr="00CF6765" w:rsidRDefault="00805F6A" w:rsidP="00BE7922">
      <w:pPr>
        <w:jc w:val="center"/>
        <w:rPr>
          <w:rFonts w:eastAsia="Calibri"/>
          <w:b/>
          <w:sz w:val="20"/>
          <w:szCs w:val="20"/>
          <w:lang w:val="en-US"/>
        </w:rPr>
      </w:pPr>
      <w:r w:rsidRPr="00CF6765">
        <w:rPr>
          <w:rFonts w:eastAsia="Calibri"/>
          <w:b/>
          <w:sz w:val="20"/>
          <w:szCs w:val="20"/>
          <w:lang w:val="en-US"/>
        </w:rPr>
        <w:t>OF</w:t>
      </w:r>
      <w:r w:rsidR="00B370D2" w:rsidRPr="00CF6765">
        <w:rPr>
          <w:rFonts w:eastAsia="Calibri"/>
          <w:b/>
          <w:sz w:val="20"/>
          <w:szCs w:val="20"/>
          <w:lang w:val="en-US"/>
        </w:rPr>
        <w:t xml:space="preserve"> </w:t>
      </w:r>
      <w:r w:rsidR="005C731C" w:rsidRPr="00CF6765">
        <w:rPr>
          <w:rFonts w:eastAsia="Calibri"/>
          <w:b/>
          <w:sz w:val="20"/>
          <w:szCs w:val="20"/>
          <w:lang w:val="en-US"/>
        </w:rPr>
        <w:t>THE INTER-AMERICAN COURT OF HUMAN RIGHTS</w:t>
      </w:r>
    </w:p>
    <w:p w14:paraId="19FC2EB4" w14:textId="77777777" w:rsidR="00B370D2" w:rsidRPr="00CF6765" w:rsidRDefault="00B370D2" w:rsidP="00B370D2">
      <w:pPr>
        <w:jc w:val="center"/>
        <w:rPr>
          <w:rFonts w:eastAsia="Calibri"/>
          <w:b/>
          <w:sz w:val="20"/>
          <w:szCs w:val="20"/>
          <w:lang w:val="en-US"/>
        </w:rPr>
      </w:pPr>
    </w:p>
    <w:p w14:paraId="3CB710F6" w14:textId="77777777" w:rsidR="00805F6A" w:rsidRPr="00CF6765" w:rsidRDefault="00805F6A" w:rsidP="00805F6A">
      <w:pPr>
        <w:jc w:val="center"/>
        <w:rPr>
          <w:rFonts w:eastAsia="Calibri" w:cs="Calibri"/>
          <w:b/>
          <w:sz w:val="20"/>
          <w:szCs w:val="20"/>
          <w:lang w:val="en-US"/>
        </w:rPr>
      </w:pPr>
      <w:r w:rsidRPr="00CF6765">
        <w:rPr>
          <w:rFonts w:eastAsia="Calibri"/>
          <w:b/>
          <w:sz w:val="20"/>
          <w:szCs w:val="20"/>
          <w:lang w:val="en-US"/>
        </w:rPr>
        <w:t xml:space="preserve">IN THE </w:t>
      </w:r>
      <w:r w:rsidRPr="00CF6765">
        <w:rPr>
          <w:rFonts w:eastAsia="Calibri" w:cs="Calibri"/>
          <w:b/>
          <w:sz w:val="20"/>
          <w:szCs w:val="20"/>
          <w:lang w:val="en-US"/>
        </w:rPr>
        <w:t xml:space="preserve">CASE OF POBLETE VILCHES </w:t>
      </w:r>
      <w:r w:rsidRPr="00CF6765">
        <w:rPr>
          <w:rFonts w:eastAsia="Calibri" w:cs="Calibri"/>
          <w:b/>
          <w:i/>
          <w:iCs/>
          <w:sz w:val="20"/>
          <w:szCs w:val="20"/>
          <w:lang w:val="en-US"/>
        </w:rPr>
        <w:t>ET AL. V.</w:t>
      </w:r>
      <w:r w:rsidRPr="00CF6765">
        <w:rPr>
          <w:rFonts w:eastAsia="Calibri" w:cs="Calibri"/>
          <w:b/>
          <w:sz w:val="20"/>
          <w:szCs w:val="20"/>
          <w:lang w:val="en-US"/>
        </w:rPr>
        <w:t xml:space="preserve"> CHILE</w:t>
      </w:r>
    </w:p>
    <w:p w14:paraId="66118060" w14:textId="77777777" w:rsidR="00805F6A" w:rsidRPr="00CF6765" w:rsidRDefault="00805F6A" w:rsidP="00805F6A">
      <w:pPr>
        <w:spacing w:before="4" w:line="280" w:lineRule="exact"/>
        <w:rPr>
          <w:rFonts w:ascii="Calibri" w:eastAsia="Calibri" w:hAnsi="Calibri"/>
          <w:sz w:val="28"/>
          <w:szCs w:val="28"/>
          <w:lang w:val="en-US"/>
        </w:rPr>
      </w:pPr>
    </w:p>
    <w:p w14:paraId="438B1F78" w14:textId="77777777" w:rsidR="00805F6A" w:rsidRPr="00CF6765" w:rsidRDefault="00805F6A" w:rsidP="00805F6A">
      <w:pPr>
        <w:jc w:val="center"/>
        <w:rPr>
          <w:b/>
          <w:sz w:val="18"/>
          <w:lang w:val="en-US"/>
        </w:rPr>
      </w:pPr>
    </w:p>
    <w:p w14:paraId="16043D01" w14:textId="0ACF3789" w:rsidR="00B370D2" w:rsidRPr="00CF6765" w:rsidRDefault="00B370D2" w:rsidP="00BE7922">
      <w:pPr>
        <w:jc w:val="left"/>
        <w:rPr>
          <w:rFonts w:eastAsia="Calibri"/>
          <w:b/>
          <w:i/>
          <w:sz w:val="20"/>
          <w:szCs w:val="20"/>
          <w:lang w:val="en-US"/>
        </w:rPr>
      </w:pPr>
      <w:r w:rsidRPr="00CF6765">
        <w:rPr>
          <w:rFonts w:eastAsia="Calibri"/>
          <w:b/>
          <w:i/>
          <w:sz w:val="20"/>
          <w:szCs w:val="20"/>
          <w:lang w:val="en-US"/>
        </w:rPr>
        <w:t>I. Introduc</w:t>
      </w:r>
      <w:r w:rsidR="00930431" w:rsidRPr="00CF6765">
        <w:rPr>
          <w:rFonts w:eastAsia="Calibri"/>
          <w:b/>
          <w:i/>
          <w:sz w:val="20"/>
          <w:szCs w:val="20"/>
          <w:lang w:val="en-US"/>
        </w:rPr>
        <w:t>tion</w:t>
      </w:r>
    </w:p>
    <w:p w14:paraId="3BA511E6" w14:textId="77777777" w:rsidR="00B370D2" w:rsidRPr="00CF6765" w:rsidRDefault="00B370D2" w:rsidP="00B370D2">
      <w:pPr>
        <w:rPr>
          <w:b/>
          <w:sz w:val="20"/>
          <w:szCs w:val="20"/>
          <w:lang w:val="en-US"/>
        </w:rPr>
      </w:pPr>
    </w:p>
    <w:p w14:paraId="46AC89C8" w14:textId="13371CD8" w:rsidR="00B370D2" w:rsidRPr="00CF6765" w:rsidRDefault="00930431" w:rsidP="00B370D2">
      <w:pPr>
        <w:pStyle w:val="Prrafodelista"/>
        <w:numPr>
          <w:ilvl w:val="0"/>
          <w:numId w:val="33"/>
        </w:numPr>
        <w:ind w:left="0" w:firstLine="0"/>
        <w:rPr>
          <w:sz w:val="20"/>
          <w:szCs w:val="20"/>
          <w:lang w:val="en-US"/>
        </w:rPr>
      </w:pPr>
      <w:r w:rsidRPr="00CF6765">
        <w:rPr>
          <w:sz w:val="20"/>
          <w:szCs w:val="20"/>
          <w:lang w:val="en-US"/>
        </w:rPr>
        <w:t>With my usual respect for the decisions</w:t>
      </w:r>
      <w:r w:rsidR="005C731C" w:rsidRPr="00CF6765">
        <w:rPr>
          <w:sz w:val="20"/>
          <w:szCs w:val="20"/>
          <w:lang w:val="en-US"/>
        </w:rPr>
        <w:t xml:space="preserve"> of the Inter-American Court of Human Rights</w:t>
      </w:r>
      <w:r w:rsidR="00B370D2" w:rsidRPr="00CF6765">
        <w:rPr>
          <w:sz w:val="20"/>
          <w:szCs w:val="20"/>
          <w:lang w:val="en-US"/>
        </w:rPr>
        <w:t xml:space="preserve"> (</w:t>
      </w:r>
      <w:r w:rsidR="005C731C" w:rsidRPr="00CF6765">
        <w:rPr>
          <w:sz w:val="20"/>
          <w:szCs w:val="20"/>
          <w:lang w:val="en-US"/>
        </w:rPr>
        <w:t>hereinafter</w:t>
      </w:r>
      <w:r w:rsidRPr="00CF6765">
        <w:rPr>
          <w:sz w:val="20"/>
          <w:szCs w:val="20"/>
          <w:lang w:val="en-US"/>
        </w:rPr>
        <w:t xml:space="preserve"> also</w:t>
      </w:r>
      <w:r w:rsidR="00B370D2" w:rsidRPr="00CF6765">
        <w:rPr>
          <w:sz w:val="20"/>
          <w:szCs w:val="20"/>
          <w:lang w:val="en-US"/>
        </w:rPr>
        <w:t xml:space="preserve"> “</w:t>
      </w:r>
      <w:r w:rsidR="005C731C" w:rsidRPr="00CF6765">
        <w:rPr>
          <w:sz w:val="20"/>
          <w:szCs w:val="20"/>
          <w:lang w:val="en-US"/>
        </w:rPr>
        <w:t>the Court</w:t>
      </w:r>
      <w:r w:rsidR="00B370D2" w:rsidRPr="00CF6765">
        <w:rPr>
          <w:sz w:val="20"/>
          <w:szCs w:val="20"/>
          <w:lang w:val="en-US"/>
        </w:rPr>
        <w:t xml:space="preserve">”), </w:t>
      </w:r>
      <w:r w:rsidR="003B5B21" w:rsidRPr="00CF6765">
        <w:rPr>
          <w:sz w:val="20"/>
          <w:szCs w:val="20"/>
          <w:lang w:val="en-US"/>
        </w:rPr>
        <w:t>I submit</w:t>
      </w:r>
      <w:r w:rsidR="00B370D2" w:rsidRPr="00CF6765">
        <w:rPr>
          <w:sz w:val="20"/>
          <w:szCs w:val="20"/>
          <w:lang w:val="en-US"/>
        </w:rPr>
        <w:t xml:space="preserve"> </w:t>
      </w:r>
      <w:r w:rsidRPr="00CF6765">
        <w:rPr>
          <w:sz w:val="20"/>
          <w:szCs w:val="20"/>
          <w:lang w:val="en-US"/>
        </w:rPr>
        <w:t>this</w:t>
      </w:r>
      <w:r w:rsidR="00B370D2" w:rsidRPr="00CF6765">
        <w:rPr>
          <w:sz w:val="20"/>
          <w:szCs w:val="20"/>
          <w:lang w:val="en-US"/>
        </w:rPr>
        <w:t xml:space="preserve"> </w:t>
      </w:r>
      <w:r w:rsidRPr="00CF6765">
        <w:rPr>
          <w:sz w:val="20"/>
          <w:szCs w:val="20"/>
          <w:lang w:val="en-US"/>
        </w:rPr>
        <w:t>concurring opinion</w:t>
      </w:r>
      <w:r w:rsidR="00B370D2" w:rsidRPr="00CF6765">
        <w:rPr>
          <w:sz w:val="20"/>
          <w:szCs w:val="20"/>
          <w:lang w:val="en-US"/>
        </w:rPr>
        <w:t xml:space="preserve">. </w:t>
      </w:r>
      <w:r w:rsidRPr="00CF6765">
        <w:rPr>
          <w:sz w:val="20"/>
          <w:szCs w:val="20"/>
          <w:lang w:val="en-US"/>
        </w:rPr>
        <w:t>Th</w:t>
      </w:r>
      <w:r w:rsidR="003B5B21" w:rsidRPr="00CF6765">
        <w:rPr>
          <w:sz w:val="20"/>
          <w:szCs w:val="20"/>
          <w:lang w:val="en-US"/>
        </w:rPr>
        <w:t xml:space="preserve">e opinion </w:t>
      </w:r>
      <w:r w:rsidRPr="00CF6765">
        <w:rPr>
          <w:sz w:val="20"/>
          <w:szCs w:val="20"/>
          <w:lang w:val="en-US"/>
        </w:rPr>
        <w:t>focuses on the analysis of the merits made by the Court with regard to the</w:t>
      </w:r>
      <w:r w:rsidR="00F20B52" w:rsidRPr="00CF6765">
        <w:rPr>
          <w:sz w:val="20"/>
          <w:szCs w:val="20"/>
          <w:lang w:val="en-US"/>
        </w:rPr>
        <w:t xml:space="preserve"> State’s</w:t>
      </w:r>
      <w:r w:rsidRPr="00CF6765">
        <w:rPr>
          <w:sz w:val="20"/>
          <w:szCs w:val="20"/>
          <w:lang w:val="en-US"/>
        </w:rPr>
        <w:t xml:space="preserve"> </w:t>
      </w:r>
      <w:r w:rsidR="0088423A" w:rsidRPr="00CF6765">
        <w:rPr>
          <w:sz w:val="20"/>
          <w:szCs w:val="20"/>
          <w:lang w:val="en-US"/>
        </w:rPr>
        <w:t>international responsibility</w:t>
      </w:r>
      <w:r w:rsidR="00EC50FC" w:rsidRPr="00CF6765">
        <w:rPr>
          <w:sz w:val="20"/>
          <w:szCs w:val="20"/>
          <w:lang w:val="en-US"/>
        </w:rPr>
        <w:t xml:space="preserve"> </w:t>
      </w:r>
      <w:r w:rsidRPr="00CF6765">
        <w:rPr>
          <w:sz w:val="20"/>
          <w:szCs w:val="20"/>
          <w:lang w:val="en-US"/>
        </w:rPr>
        <w:t>fo</w:t>
      </w:r>
      <w:r w:rsidR="00B370D2" w:rsidRPr="00CF6765">
        <w:rPr>
          <w:sz w:val="20"/>
          <w:szCs w:val="20"/>
          <w:lang w:val="en-US"/>
        </w:rPr>
        <w:t xml:space="preserve">r </w:t>
      </w:r>
      <w:r w:rsidR="008F31F2" w:rsidRPr="00CF6765">
        <w:rPr>
          <w:sz w:val="20"/>
          <w:szCs w:val="20"/>
          <w:lang w:val="en-US"/>
        </w:rPr>
        <w:t>the violation of</w:t>
      </w:r>
      <w:r w:rsidR="00B370D2" w:rsidRPr="00CF6765">
        <w:rPr>
          <w:sz w:val="20"/>
          <w:szCs w:val="20"/>
          <w:lang w:val="en-US"/>
        </w:rPr>
        <w:t xml:space="preserve"> </w:t>
      </w:r>
      <w:r w:rsidRPr="00CF6765">
        <w:rPr>
          <w:sz w:val="20"/>
          <w:szCs w:val="20"/>
          <w:lang w:val="en-US"/>
        </w:rPr>
        <w:t>the rights to health, life, personal integrity,</w:t>
      </w:r>
      <w:r w:rsidR="00EC50FC" w:rsidRPr="00CF6765">
        <w:rPr>
          <w:sz w:val="20"/>
          <w:szCs w:val="20"/>
          <w:lang w:val="en-US"/>
        </w:rPr>
        <w:t xml:space="preserve"> and </w:t>
      </w:r>
      <w:r w:rsidR="00690D57" w:rsidRPr="00CF6765">
        <w:rPr>
          <w:sz w:val="20"/>
          <w:szCs w:val="20"/>
          <w:lang w:val="en-US"/>
        </w:rPr>
        <w:t>access to information</w:t>
      </w:r>
      <w:r w:rsidR="00B370D2" w:rsidRPr="00CF6765">
        <w:rPr>
          <w:sz w:val="20"/>
          <w:szCs w:val="20"/>
          <w:lang w:val="en-US"/>
        </w:rPr>
        <w:t xml:space="preserve">. </w:t>
      </w:r>
      <w:r w:rsidRPr="00CF6765">
        <w:rPr>
          <w:sz w:val="20"/>
          <w:szCs w:val="20"/>
          <w:lang w:val="en-US"/>
        </w:rPr>
        <w:t>Specifically, I will explain why I voted with the majority on the declaration of</w:t>
      </w:r>
      <w:r w:rsidR="00B370D2" w:rsidRPr="00CF6765">
        <w:rPr>
          <w:sz w:val="20"/>
          <w:szCs w:val="20"/>
          <w:lang w:val="en-US"/>
        </w:rPr>
        <w:t xml:space="preserve"> </w:t>
      </w:r>
      <w:r w:rsidR="0088423A" w:rsidRPr="00CF6765">
        <w:rPr>
          <w:sz w:val="20"/>
          <w:szCs w:val="20"/>
          <w:lang w:val="en-US"/>
        </w:rPr>
        <w:t>international responsibility</w:t>
      </w:r>
      <w:r w:rsidR="00B370D2" w:rsidRPr="00CF6765">
        <w:rPr>
          <w:sz w:val="20"/>
          <w:szCs w:val="20"/>
          <w:lang w:val="en-US"/>
        </w:rPr>
        <w:t xml:space="preserve"> </w:t>
      </w:r>
      <w:r w:rsidRPr="00CF6765">
        <w:rPr>
          <w:sz w:val="20"/>
          <w:szCs w:val="20"/>
          <w:lang w:val="en-US"/>
        </w:rPr>
        <w:t>for the violation of the right to health</w:t>
      </w:r>
      <w:r w:rsidR="00B370D2" w:rsidRPr="00CF6765">
        <w:rPr>
          <w:sz w:val="20"/>
          <w:szCs w:val="20"/>
          <w:lang w:val="en-US"/>
        </w:rPr>
        <w:t xml:space="preserve"> (</w:t>
      </w:r>
      <w:r w:rsidR="00B370D2" w:rsidRPr="00CF6765">
        <w:rPr>
          <w:i/>
          <w:sz w:val="20"/>
          <w:szCs w:val="20"/>
          <w:lang w:val="en-US"/>
        </w:rPr>
        <w:t>supra</w:t>
      </w:r>
      <w:r w:rsidR="00B370D2" w:rsidRPr="00CF6765">
        <w:rPr>
          <w:sz w:val="20"/>
          <w:szCs w:val="20"/>
          <w:lang w:val="en-US"/>
        </w:rPr>
        <w:t xml:space="preserve">, </w:t>
      </w:r>
      <w:r w:rsidR="00EC50FC" w:rsidRPr="00CF6765">
        <w:rPr>
          <w:sz w:val="20"/>
          <w:szCs w:val="20"/>
          <w:lang w:val="en-US"/>
        </w:rPr>
        <w:t>para.</w:t>
      </w:r>
      <w:r w:rsidR="00B370D2" w:rsidRPr="00CF6765">
        <w:rPr>
          <w:sz w:val="20"/>
          <w:szCs w:val="20"/>
          <w:lang w:val="en-US"/>
        </w:rPr>
        <w:t xml:space="preserve"> 143),</w:t>
      </w:r>
      <w:r w:rsidR="00EC50FC" w:rsidRPr="00CF6765">
        <w:rPr>
          <w:sz w:val="20"/>
          <w:szCs w:val="20"/>
          <w:lang w:val="en-US"/>
        </w:rPr>
        <w:t xml:space="preserve"> and </w:t>
      </w:r>
      <w:r w:rsidRPr="00CF6765">
        <w:rPr>
          <w:sz w:val="20"/>
          <w:szCs w:val="20"/>
          <w:lang w:val="en-US"/>
        </w:rPr>
        <w:t>include some reflections on the Court’s analysis of the violations of</w:t>
      </w:r>
      <w:r w:rsidR="00B370D2" w:rsidRPr="00CF6765">
        <w:rPr>
          <w:sz w:val="20"/>
          <w:szCs w:val="20"/>
          <w:lang w:val="en-US"/>
        </w:rPr>
        <w:t xml:space="preserve"> </w:t>
      </w:r>
      <w:r w:rsidRPr="00CF6765">
        <w:rPr>
          <w:sz w:val="20"/>
          <w:szCs w:val="20"/>
          <w:lang w:val="en-US"/>
        </w:rPr>
        <w:t xml:space="preserve">the economic, social, cultural and environmental rights </w:t>
      </w:r>
      <w:r w:rsidR="00B370D2" w:rsidRPr="00CF6765">
        <w:rPr>
          <w:sz w:val="20"/>
          <w:szCs w:val="20"/>
          <w:lang w:val="en-US"/>
        </w:rPr>
        <w:t>(</w:t>
      </w:r>
      <w:r w:rsidR="005C731C" w:rsidRPr="00CF6765">
        <w:rPr>
          <w:sz w:val="20"/>
          <w:szCs w:val="20"/>
          <w:lang w:val="en-US"/>
        </w:rPr>
        <w:t>hereinafter</w:t>
      </w:r>
      <w:r w:rsidRPr="00CF6765">
        <w:rPr>
          <w:sz w:val="20"/>
          <w:szCs w:val="20"/>
          <w:lang w:val="en-US"/>
        </w:rPr>
        <w:t xml:space="preserve"> also </w:t>
      </w:r>
      <w:r w:rsidR="00B370D2" w:rsidRPr="00CF6765">
        <w:rPr>
          <w:sz w:val="20"/>
          <w:szCs w:val="20"/>
          <w:lang w:val="en-US"/>
        </w:rPr>
        <w:t>“</w:t>
      </w:r>
      <w:r w:rsidRPr="00CF6765">
        <w:rPr>
          <w:sz w:val="20"/>
          <w:szCs w:val="20"/>
          <w:lang w:val="en-US"/>
        </w:rPr>
        <w:t>the ESCER</w:t>
      </w:r>
      <w:r w:rsidR="00B370D2" w:rsidRPr="00CF6765">
        <w:rPr>
          <w:sz w:val="20"/>
          <w:szCs w:val="20"/>
          <w:lang w:val="en-US"/>
        </w:rPr>
        <w:t xml:space="preserve">”) </w:t>
      </w:r>
      <w:r w:rsidRPr="00CF6765">
        <w:rPr>
          <w:sz w:val="20"/>
          <w:szCs w:val="20"/>
          <w:lang w:val="en-US"/>
        </w:rPr>
        <w:t>based on</w:t>
      </w:r>
      <w:r w:rsidR="0088423A" w:rsidRPr="00CF6765">
        <w:rPr>
          <w:sz w:val="20"/>
          <w:szCs w:val="20"/>
          <w:lang w:val="en-US"/>
        </w:rPr>
        <w:t xml:space="preserve"> Article</w:t>
      </w:r>
      <w:r w:rsidR="00B370D2" w:rsidRPr="00CF6765">
        <w:rPr>
          <w:sz w:val="20"/>
          <w:szCs w:val="20"/>
          <w:lang w:val="en-US"/>
        </w:rPr>
        <w:t xml:space="preserve"> 26</w:t>
      </w:r>
      <w:r w:rsidR="005C731C" w:rsidRPr="00CF6765">
        <w:rPr>
          <w:sz w:val="20"/>
          <w:szCs w:val="20"/>
          <w:lang w:val="en-US"/>
        </w:rPr>
        <w:t xml:space="preserve"> of the American Convention on Human Rights</w:t>
      </w:r>
      <w:r w:rsidR="00B370D2" w:rsidRPr="00CF6765">
        <w:rPr>
          <w:sz w:val="20"/>
          <w:szCs w:val="20"/>
          <w:lang w:val="en-US"/>
        </w:rPr>
        <w:t xml:space="preserve"> (</w:t>
      </w:r>
      <w:r w:rsidR="005C731C" w:rsidRPr="00CF6765">
        <w:rPr>
          <w:sz w:val="20"/>
          <w:szCs w:val="20"/>
          <w:lang w:val="en-US"/>
        </w:rPr>
        <w:t>hereinafter</w:t>
      </w:r>
      <w:r w:rsidRPr="00CF6765">
        <w:rPr>
          <w:sz w:val="20"/>
          <w:szCs w:val="20"/>
          <w:lang w:val="en-US"/>
        </w:rPr>
        <w:t xml:space="preserve"> also</w:t>
      </w:r>
      <w:r w:rsidR="00B370D2" w:rsidRPr="00CF6765">
        <w:rPr>
          <w:sz w:val="20"/>
          <w:szCs w:val="20"/>
          <w:lang w:val="en-US"/>
        </w:rPr>
        <w:t xml:space="preserve"> “</w:t>
      </w:r>
      <w:r w:rsidR="005C731C" w:rsidRPr="00CF6765">
        <w:rPr>
          <w:sz w:val="20"/>
          <w:szCs w:val="20"/>
          <w:lang w:val="en-US"/>
        </w:rPr>
        <w:t>the Convention</w:t>
      </w:r>
      <w:r w:rsidR="00B370D2" w:rsidRPr="00CF6765">
        <w:rPr>
          <w:sz w:val="20"/>
          <w:szCs w:val="20"/>
          <w:lang w:val="en-US"/>
        </w:rPr>
        <w:t xml:space="preserve">”). </w:t>
      </w:r>
      <w:r w:rsidRPr="00CF6765">
        <w:rPr>
          <w:sz w:val="20"/>
          <w:szCs w:val="20"/>
          <w:lang w:val="en-US"/>
        </w:rPr>
        <w:t xml:space="preserve">I note that my reflections supplement what I have already </w:t>
      </w:r>
      <w:r w:rsidR="00F20B52" w:rsidRPr="00CF6765">
        <w:rPr>
          <w:sz w:val="20"/>
          <w:szCs w:val="20"/>
          <w:lang w:val="en-US"/>
        </w:rPr>
        <w:t>indicated</w:t>
      </w:r>
      <w:r w:rsidRPr="00CF6765">
        <w:rPr>
          <w:sz w:val="20"/>
          <w:szCs w:val="20"/>
          <w:lang w:val="en-US"/>
        </w:rPr>
        <w:t xml:space="preserve"> in my partially dissenting opinions in the cases of </w:t>
      </w:r>
      <w:r w:rsidR="00B370D2" w:rsidRPr="00CF6765">
        <w:rPr>
          <w:i/>
          <w:sz w:val="20"/>
          <w:szCs w:val="20"/>
          <w:lang w:val="en-US"/>
        </w:rPr>
        <w:t xml:space="preserve">Lagos del Campo </w:t>
      </w:r>
      <w:r w:rsidR="00EC50FC" w:rsidRPr="00CF6765">
        <w:rPr>
          <w:i/>
          <w:sz w:val="20"/>
          <w:szCs w:val="20"/>
          <w:lang w:val="en-US"/>
        </w:rPr>
        <w:t>v.</w:t>
      </w:r>
      <w:r w:rsidR="00B370D2" w:rsidRPr="00CF6765">
        <w:rPr>
          <w:i/>
          <w:sz w:val="20"/>
          <w:szCs w:val="20"/>
          <w:lang w:val="en-US"/>
        </w:rPr>
        <w:t xml:space="preserve"> </w:t>
      </w:r>
      <w:r w:rsidRPr="00CF6765">
        <w:rPr>
          <w:i/>
          <w:sz w:val="20"/>
          <w:szCs w:val="20"/>
          <w:lang w:val="en-US"/>
        </w:rPr>
        <w:t>Peru</w:t>
      </w:r>
      <w:r w:rsidR="00F20B52" w:rsidRPr="00CF6765">
        <w:rPr>
          <w:i/>
          <w:sz w:val="20"/>
          <w:szCs w:val="20"/>
          <w:lang w:val="en-US"/>
        </w:rPr>
        <w:t>,</w:t>
      </w:r>
      <w:r w:rsidR="00B370D2" w:rsidRPr="00CF6765">
        <w:rPr>
          <w:rStyle w:val="Refdenotaalpie"/>
          <w:sz w:val="20"/>
          <w:szCs w:val="20"/>
          <w:lang w:val="en-US"/>
        </w:rPr>
        <w:footnoteReference w:id="337"/>
      </w:r>
      <w:r w:rsidR="00B370D2" w:rsidRPr="00CF6765">
        <w:rPr>
          <w:sz w:val="20"/>
          <w:szCs w:val="20"/>
          <w:lang w:val="en-US"/>
        </w:rPr>
        <w:t xml:space="preserve"> </w:t>
      </w:r>
      <w:r w:rsidRPr="00CF6765">
        <w:rPr>
          <w:i/>
          <w:sz w:val="20"/>
          <w:szCs w:val="20"/>
          <w:lang w:val="en-US"/>
        </w:rPr>
        <w:t>Dismissed Employees of</w:t>
      </w:r>
      <w:r w:rsidR="00B370D2" w:rsidRPr="00CF6765">
        <w:rPr>
          <w:i/>
          <w:sz w:val="20"/>
          <w:szCs w:val="20"/>
          <w:lang w:val="en-US"/>
        </w:rPr>
        <w:t xml:space="preserve"> </w:t>
      </w:r>
      <w:proofErr w:type="spellStart"/>
      <w:r w:rsidR="00B370D2" w:rsidRPr="00CF6765">
        <w:rPr>
          <w:i/>
          <w:sz w:val="20"/>
          <w:szCs w:val="20"/>
          <w:lang w:val="en-US"/>
        </w:rPr>
        <w:t>Petro</w:t>
      </w:r>
      <w:r w:rsidRPr="00CF6765">
        <w:rPr>
          <w:i/>
          <w:sz w:val="20"/>
          <w:szCs w:val="20"/>
          <w:lang w:val="en-US"/>
        </w:rPr>
        <w:t>Peru</w:t>
      </w:r>
      <w:proofErr w:type="spellEnd"/>
      <w:r w:rsidRPr="00CF6765">
        <w:rPr>
          <w:i/>
          <w:sz w:val="20"/>
          <w:szCs w:val="20"/>
          <w:lang w:val="en-US"/>
        </w:rPr>
        <w:t xml:space="preserve"> </w:t>
      </w:r>
      <w:r w:rsidR="005C731C" w:rsidRPr="00CF6765">
        <w:rPr>
          <w:i/>
          <w:sz w:val="20"/>
          <w:szCs w:val="20"/>
          <w:lang w:val="en-US"/>
        </w:rPr>
        <w:t>et al. v.</w:t>
      </w:r>
      <w:r w:rsidR="00B370D2" w:rsidRPr="00CF6765">
        <w:rPr>
          <w:i/>
          <w:sz w:val="20"/>
          <w:szCs w:val="20"/>
          <w:lang w:val="en-US"/>
        </w:rPr>
        <w:t xml:space="preserve"> </w:t>
      </w:r>
      <w:r w:rsidRPr="00CF6765">
        <w:rPr>
          <w:i/>
          <w:sz w:val="20"/>
          <w:szCs w:val="20"/>
          <w:lang w:val="en-US"/>
        </w:rPr>
        <w:t>Peru,</w:t>
      </w:r>
      <w:r w:rsidR="00B370D2" w:rsidRPr="00CF6765">
        <w:rPr>
          <w:rStyle w:val="Refdenotaalpie"/>
          <w:i/>
          <w:sz w:val="20"/>
          <w:szCs w:val="20"/>
          <w:lang w:val="en-US"/>
        </w:rPr>
        <w:footnoteReference w:id="338"/>
      </w:r>
      <w:r w:rsidR="00EC50FC" w:rsidRPr="00CF6765">
        <w:rPr>
          <w:sz w:val="20"/>
          <w:szCs w:val="20"/>
          <w:lang w:val="en-US"/>
        </w:rPr>
        <w:t xml:space="preserve"> and </w:t>
      </w:r>
      <w:r w:rsidR="00B370D2" w:rsidRPr="00CF6765">
        <w:rPr>
          <w:i/>
          <w:sz w:val="20"/>
          <w:szCs w:val="20"/>
          <w:lang w:val="en-US"/>
        </w:rPr>
        <w:t>San Miguel Sosa</w:t>
      </w:r>
      <w:r w:rsidR="00EC50FC" w:rsidRPr="00CF6765">
        <w:rPr>
          <w:i/>
          <w:sz w:val="20"/>
          <w:szCs w:val="20"/>
          <w:lang w:val="en-US"/>
        </w:rPr>
        <w:t xml:space="preserve"> </w:t>
      </w:r>
      <w:r w:rsidRPr="00CF6765">
        <w:rPr>
          <w:i/>
          <w:sz w:val="20"/>
          <w:szCs w:val="20"/>
          <w:lang w:val="en-US"/>
        </w:rPr>
        <w:t>et al.</w:t>
      </w:r>
      <w:r w:rsidR="00B370D2" w:rsidRPr="00CF6765">
        <w:rPr>
          <w:i/>
          <w:sz w:val="20"/>
          <w:szCs w:val="20"/>
          <w:lang w:val="en-US"/>
        </w:rPr>
        <w:t xml:space="preserve"> </w:t>
      </w:r>
      <w:r w:rsidR="00EC50FC" w:rsidRPr="00CF6765">
        <w:rPr>
          <w:i/>
          <w:sz w:val="20"/>
          <w:szCs w:val="20"/>
          <w:lang w:val="en-US"/>
        </w:rPr>
        <w:t>v.</w:t>
      </w:r>
      <w:r w:rsidR="00B370D2" w:rsidRPr="00CF6765">
        <w:rPr>
          <w:i/>
          <w:sz w:val="20"/>
          <w:szCs w:val="20"/>
          <w:lang w:val="en-US"/>
        </w:rPr>
        <w:t xml:space="preserve"> Venezuela</w:t>
      </w:r>
      <w:r w:rsidRPr="00CF6765">
        <w:rPr>
          <w:i/>
          <w:sz w:val="20"/>
          <w:szCs w:val="20"/>
          <w:lang w:val="en-US"/>
        </w:rPr>
        <w:t>;</w:t>
      </w:r>
      <w:r w:rsidR="00B370D2" w:rsidRPr="00CF6765">
        <w:rPr>
          <w:rStyle w:val="Refdenotaalpie"/>
          <w:i/>
          <w:sz w:val="20"/>
          <w:szCs w:val="20"/>
          <w:lang w:val="en-US"/>
        </w:rPr>
        <w:footnoteReference w:id="339"/>
      </w:r>
      <w:r w:rsidR="00B370D2" w:rsidRPr="00CF6765">
        <w:rPr>
          <w:sz w:val="20"/>
          <w:szCs w:val="20"/>
          <w:lang w:val="en-US"/>
        </w:rPr>
        <w:t xml:space="preserve"> as</w:t>
      </w:r>
      <w:r w:rsidRPr="00CF6765">
        <w:rPr>
          <w:sz w:val="20"/>
          <w:szCs w:val="20"/>
          <w:lang w:val="en-US"/>
        </w:rPr>
        <w:t xml:space="preserve"> well as my concurring opinion</w:t>
      </w:r>
      <w:r w:rsidR="00B370D2" w:rsidRPr="00CF6765">
        <w:rPr>
          <w:sz w:val="20"/>
          <w:szCs w:val="20"/>
          <w:lang w:val="en-US"/>
        </w:rPr>
        <w:t xml:space="preserve"> </w:t>
      </w:r>
      <w:r w:rsidRPr="00CF6765">
        <w:rPr>
          <w:sz w:val="20"/>
          <w:szCs w:val="20"/>
          <w:lang w:val="en-US"/>
        </w:rPr>
        <w:t>in the cases of</w:t>
      </w:r>
      <w:r w:rsidR="00B370D2" w:rsidRPr="00CF6765">
        <w:rPr>
          <w:sz w:val="20"/>
          <w:szCs w:val="20"/>
          <w:lang w:val="en-US"/>
        </w:rPr>
        <w:t xml:space="preserve"> </w:t>
      </w:r>
      <w:r w:rsidR="00B370D2" w:rsidRPr="00CF6765">
        <w:rPr>
          <w:i/>
          <w:sz w:val="20"/>
          <w:szCs w:val="20"/>
          <w:lang w:val="en-US"/>
        </w:rPr>
        <w:t xml:space="preserve">Gonzales </w:t>
      </w:r>
      <w:proofErr w:type="spellStart"/>
      <w:r w:rsidR="00B370D2" w:rsidRPr="00CF6765">
        <w:rPr>
          <w:i/>
          <w:sz w:val="20"/>
          <w:szCs w:val="20"/>
          <w:lang w:val="en-US"/>
        </w:rPr>
        <w:t>Lluy</w:t>
      </w:r>
      <w:proofErr w:type="spellEnd"/>
      <w:r w:rsidR="00B370D2" w:rsidRPr="00CF6765">
        <w:rPr>
          <w:i/>
          <w:sz w:val="20"/>
          <w:szCs w:val="20"/>
          <w:lang w:val="en-US"/>
        </w:rPr>
        <w:t xml:space="preserve"> </w:t>
      </w:r>
      <w:r w:rsidR="005C731C" w:rsidRPr="00CF6765">
        <w:rPr>
          <w:i/>
          <w:sz w:val="20"/>
          <w:szCs w:val="20"/>
          <w:lang w:val="en-US"/>
        </w:rPr>
        <w:t>et al. v.</w:t>
      </w:r>
      <w:r w:rsidR="00B370D2" w:rsidRPr="00CF6765">
        <w:rPr>
          <w:i/>
          <w:sz w:val="20"/>
          <w:szCs w:val="20"/>
          <w:lang w:val="en-US"/>
        </w:rPr>
        <w:t xml:space="preserve"> Ecuador</w:t>
      </w:r>
      <w:r w:rsidR="00B370D2" w:rsidRPr="00CF6765">
        <w:rPr>
          <w:rStyle w:val="Refdenotaalpie"/>
          <w:sz w:val="20"/>
          <w:szCs w:val="20"/>
          <w:lang w:val="en-US"/>
        </w:rPr>
        <w:footnoteReference w:id="340"/>
      </w:r>
      <w:r w:rsidR="00B370D2" w:rsidRPr="00CF6765">
        <w:rPr>
          <w:sz w:val="20"/>
          <w:szCs w:val="20"/>
          <w:lang w:val="en-US"/>
        </w:rPr>
        <w:t xml:space="preserve">. </w:t>
      </w:r>
    </w:p>
    <w:p w14:paraId="642EA6B4" w14:textId="77777777" w:rsidR="00B370D2" w:rsidRPr="00CF6765" w:rsidRDefault="00B370D2" w:rsidP="00B370D2">
      <w:pPr>
        <w:pStyle w:val="Prrafodelista"/>
        <w:ind w:left="0"/>
        <w:rPr>
          <w:sz w:val="20"/>
          <w:szCs w:val="20"/>
          <w:lang w:val="en-US"/>
        </w:rPr>
      </w:pPr>
    </w:p>
    <w:p w14:paraId="6CBE3A8E" w14:textId="5DA9D69D" w:rsidR="00B370D2" w:rsidRPr="00CF6765" w:rsidRDefault="00B370D2" w:rsidP="00B370D2">
      <w:pPr>
        <w:pStyle w:val="Prrafodelista"/>
        <w:ind w:left="0"/>
        <w:rPr>
          <w:rFonts w:eastAsia="Cambria" w:cs="Cambria"/>
          <w:color w:val="000000"/>
          <w:sz w:val="20"/>
          <w:szCs w:val="20"/>
          <w:u w:color="000000"/>
          <w:lang w:val="en-US" w:eastAsia="es-ES"/>
        </w:rPr>
      </w:pPr>
      <w:r w:rsidRPr="00CF6765">
        <w:rPr>
          <w:rFonts w:eastAsia="Cambria" w:cs="Cambria"/>
          <w:b/>
          <w:i/>
          <w:color w:val="000000"/>
          <w:sz w:val="20"/>
          <w:szCs w:val="20"/>
          <w:u w:color="000000"/>
          <w:lang w:val="en-US" w:eastAsia="es-ES"/>
        </w:rPr>
        <w:t>II. Re</w:t>
      </w:r>
      <w:r w:rsidR="00930431" w:rsidRPr="00CF6765">
        <w:rPr>
          <w:rFonts w:eastAsia="Cambria" w:cs="Cambria"/>
          <w:b/>
          <w:i/>
          <w:color w:val="000000"/>
          <w:sz w:val="20"/>
          <w:szCs w:val="20"/>
          <w:u w:color="000000"/>
          <w:lang w:val="en-US" w:eastAsia="es-ES"/>
        </w:rPr>
        <w:t xml:space="preserve">garding my </w:t>
      </w:r>
      <w:r w:rsidR="003B5B21" w:rsidRPr="00CF6765">
        <w:rPr>
          <w:rFonts w:eastAsia="Cambria" w:cs="Cambria"/>
          <w:b/>
          <w:i/>
          <w:color w:val="000000"/>
          <w:sz w:val="20"/>
          <w:szCs w:val="20"/>
          <w:u w:color="000000"/>
          <w:lang w:val="en-US" w:eastAsia="es-ES"/>
        </w:rPr>
        <w:t>support for</w:t>
      </w:r>
      <w:r w:rsidR="00930431" w:rsidRPr="00CF6765">
        <w:rPr>
          <w:rFonts w:eastAsia="Cambria" w:cs="Cambria"/>
          <w:b/>
          <w:i/>
          <w:color w:val="000000"/>
          <w:sz w:val="20"/>
          <w:szCs w:val="20"/>
          <w:u w:color="000000"/>
          <w:lang w:val="en-US" w:eastAsia="es-ES"/>
        </w:rPr>
        <w:t xml:space="preserve"> the declaration of </w:t>
      </w:r>
      <w:r w:rsidR="0088423A" w:rsidRPr="00CF6765">
        <w:rPr>
          <w:rFonts w:eastAsia="Cambria" w:cs="Cambria"/>
          <w:b/>
          <w:i/>
          <w:color w:val="000000"/>
          <w:sz w:val="20"/>
          <w:szCs w:val="20"/>
          <w:u w:color="000000"/>
          <w:lang w:val="en-US" w:eastAsia="es-ES"/>
        </w:rPr>
        <w:t>international responsibility</w:t>
      </w:r>
      <w:r w:rsidRPr="00CF6765">
        <w:rPr>
          <w:rFonts w:eastAsia="Cambria" w:cs="Cambria"/>
          <w:b/>
          <w:i/>
          <w:color w:val="000000"/>
          <w:sz w:val="20"/>
          <w:szCs w:val="20"/>
          <w:u w:color="000000"/>
          <w:lang w:val="en-US" w:eastAsia="es-ES"/>
        </w:rPr>
        <w:t xml:space="preserve"> </w:t>
      </w:r>
      <w:r w:rsidR="00930431" w:rsidRPr="00CF6765">
        <w:rPr>
          <w:rFonts w:eastAsia="Cambria" w:cs="Cambria"/>
          <w:b/>
          <w:i/>
          <w:color w:val="000000"/>
          <w:sz w:val="20"/>
          <w:szCs w:val="20"/>
          <w:u w:color="000000"/>
          <w:lang w:val="en-US" w:eastAsia="es-ES"/>
        </w:rPr>
        <w:t>for violation of the right to health</w:t>
      </w:r>
    </w:p>
    <w:p w14:paraId="58D93A64" w14:textId="77777777" w:rsidR="00B370D2" w:rsidRPr="00CF6765" w:rsidRDefault="00B370D2" w:rsidP="00B370D2">
      <w:pPr>
        <w:pStyle w:val="Prrafodelista"/>
        <w:ind w:left="0"/>
        <w:rPr>
          <w:sz w:val="20"/>
          <w:szCs w:val="20"/>
          <w:lang w:val="en-US"/>
        </w:rPr>
      </w:pPr>
    </w:p>
    <w:p w14:paraId="20A2023F" w14:textId="14012089" w:rsidR="00B370D2" w:rsidRPr="00CF6765" w:rsidRDefault="00930431" w:rsidP="00BE7922">
      <w:pPr>
        <w:pStyle w:val="Prrafodelista"/>
        <w:numPr>
          <w:ilvl w:val="0"/>
          <w:numId w:val="33"/>
        </w:numPr>
        <w:ind w:left="0" w:firstLine="0"/>
        <w:rPr>
          <w:sz w:val="20"/>
          <w:szCs w:val="20"/>
          <w:lang w:val="en-US"/>
        </w:rPr>
      </w:pPr>
      <w:r w:rsidRPr="00CF6765">
        <w:rPr>
          <w:sz w:val="20"/>
          <w:szCs w:val="20"/>
          <w:lang w:val="en-US"/>
        </w:rPr>
        <w:t>In this judgment</w:t>
      </w:r>
      <w:r w:rsidR="00B370D2" w:rsidRPr="00CF6765">
        <w:rPr>
          <w:sz w:val="20"/>
          <w:szCs w:val="20"/>
          <w:lang w:val="en-US"/>
        </w:rPr>
        <w:t xml:space="preserve">, </w:t>
      </w:r>
      <w:r w:rsidR="005C731C" w:rsidRPr="00CF6765">
        <w:rPr>
          <w:sz w:val="20"/>
          <w:szCs w:val="20"/>
          <w:lang w:val="en-US"/>
        </w:rPr>
        <w:t>the Court</w:t>
      </w:r>
      <w:r w:rsidR="00B370D2" w:rsidRPr="00CF6765">
        <w:rPr>
          <w:sz w:val="20"/>
          <w:szCs w:val="20"/>
          <w:lang w:val="en-US"/>
        </w:rPr>
        <w:t xml:space="preserve"> conclu</w:t>
      </w:r>
      <w:r w:rsidR="003B5B21" w:rsidRPr="00CF6765">
        <w:rPr>
          <w:sz w:val="20"/>
          <w:szCs w:val="20"/>
          <w:lang w:val="en-US"/>
        </w:rPr>
        <w:t xml:space="preserve">ded, in essence, that: </w:t>
      </w:r>
      <w:r w:rsidR="00B370D2" w:rsidRPr="00CF6765">
        <w:rPr>
          <w:sz w:val="20"/>
          <w:szCs w:val="20"/>
          <w:lang w:val="en-US"/>
        </w:rPr>
        <w:t>(</w:t>
      </w:r>
      <w:proofErr w:type="spellStart"/>
      <w:r w:rsidR="00B370D2" w:rsidRPr="00CF6765">
        <w:rPr>
          <w:sz w:val="20"/>
          <w:szCs w:val="20"/>
          <w:lang w:val="en-US"/>
        </w:rPr>
        <w:t>i</w:t>
      </w:r>
      <w:proofErr w:type="spellEnd"/>
      <w:r w:rsidR="00B370D2" w:rsidRPr="00CF6765">
        <w:rPr>
          <w:sz w:val="20"/>
          <w:szCs w:val="20"/>
          <w:lang w:val="en-US"/>
        </w:rPr>
        <w:t xml:space="preserve">) </w:t>
      </w:r>
      <w:r w:rsidR="003B5B21" w:rsidRPr="00CF6765">
        <w:rPr>
          <w:sz w:val="20"/>
          <w:szCs w:val="20"/>
          <w:lang w:val="en-US"/>
        </w:rPr>
        <w:t xml:space="preserve">the health care services provided </w:t>
      </w:r>
      <w:r w:rsidR="009339F5" w:rsidRPr="00CF6765">
        <w:rPr>
          <w:sz w:val="20"/>
          <w:szCs w:val="20"/>
          <w:lang w:val="en-US"/>
        </w:rPr>
        <w:t>to Mr. Poblete</w:t>
      </w:r>
      <w:r w:rsidR="00B370D2" w:rsidRPr="00CF6765">
        <w:rPr>
          <w:sz w:val="20"/>
          <w:szCs w:val="20"/>
          <w:lang w:val="en-US"/>
        </w:rPr>
        <w:t xml:space="preserve"> </w:t>
      </w:r>
      <w:proofErr w:type="spellStart"/>
      <w:r w:rsidR="00B370D2" w:rsidRPr="00CF6765">
        <w:rPr>
          <w:sz w:val="20"/>
          <w:szCs w:val="20"/>
          <w:lang w:val="en-US"/>
        </w:rPr>
        <w:t>Vilches</w:t>
      </w:r>
      <w:proofErr w:type="spellEnd"/>
      <w:r w:rsidR="00B370D2" w:rsidRPr="00CF6765">
        <w:rPr>
          <w:sz w:val="20"/>
          <w:szCs w:val="20"/>
          <w:lang w:val="en-US"/>
        </w:rPr>
        <w:t xml:space="preserve"> </w:t>
      </w:r>
      <w:r w:rsidR="003B5B21" w:rsidRPr="00CF6765">
        <w:rPr>
          <w:sz w:val="20"/>
          <w:szCs w:val="20"/>
          <w:lang w:val="en-US"/>
        </w:rPr>
        <w:t xml:space="preserve">did not meet the standards of availability, accessibility, quality and acceptability, </w:t>
      </w:r>
      <w:r w:rsidR="00F20B52" w:rsidRPr="00CF6765">
        <w:rPr>
          <w:sz w:val="20"/>
          <w:szCs w:val="20"/>
          <w:lang w:val="en-US"/>
        </w:rPr>
        <w:t>and this</w:t>
      </w:r>
      <w:r w:rsidR="003B5B21" w:rsidRPr="00CF6765">
        <w:rPr>
          <w:sz w:val="20"/>
          <w:szCs w:val="20"/>
          <w:lang w:val="en-US"/>
        </w:rPr>
        <w:t xml:space="preserve"> constituted a violation of his </w:t>
      </w:r>
      <w:r w:rsidR="007A3516" w:rsidRPr="00CF6765">
        <w:rPr>
          <w:sz w:val="20"/>
          <w:szCs w:val="20"/>
          <w:lang w:val="en-US"/>
        </w:rPr>
        <w:t>right to health</w:t>
      </w:r>
      <w:r w:rsidR="00B370D2" w:rsidRPr="00CF6765">
        <w:rPr>
          <w:sz w:val="20"/>
          <w:szCs w:val="20"/>
          <w:lang w:val="en-US"/>
        </w:rPr>
        <w:t xml:space="preserve">; (ii) </w:t>
      </w:r>
      <w:r w:rsidR="00EC50FC" w:rsidRPr="00CF6765">
        <w:rPr>
          <w:sz w:val="20"/>
          <w:szCs w:val="20"/>
          <w:lang w:val="en-US"/>
        </w:rPr>
        <w:t>the State</w:t>
      </w:r>
      <w:r w:rsidR="003B5B21" w:rsidRPr="00CF6765">
        <w:rPr>
          <w:sz w:val="20"/>
          <w:szCs w:val="20"/>
          <w:lang w:val="en-US"/>
        </w:rPr>
        <w:t xml:space="preserve"> failed to comply with its obligation to obtained the</w:t>
      </w:r>
      <w:r w:rsidR="00B370D2" w:rsidRPr="00CF6765">
        <w:rPr>
          <w:sz w:val="20"/>
          <w:szCs w:val="20"/>
          <w:lang w:val="en-US"/>
        </w:rPr>
        <w:t xml:space="preserve"> </w:t>
      </w:r>
      <w:r w:rsidR="003C3208" w:rsidRPr="00CF6765">
        <w:rPr>
          <w:sz w:val="20"/>
          <w:szCs w:val="20"/>
          <w:lang w:val="en-US"/>
        </w:rPr>
        <w:t>informed consent</w:t>
      </w:r>
      <w:r w:rsidR="00B370D2" w:rsidRPr="00CF6765">
        <w:rPr>
          <w:sz w:val="20"/>
          <w:szCs w:val="20"/>
          <w:lang w:val="en-US"/>
        </w:rPr>
        <w:t xml:space="preserve"> </w:t>
      </w:r>
      <w:r w:rsidR="003B5B21" w:rsidRPr="00CF6765">
        <w:rPr>
          <w:sz w:val="20"/>
          <w:szCs w:val="20"/>
          <w:lang w:val="en-US"/>
        </w:rPr>
        <w:t xml:space="preserve">of the victim’s family for the surgical procedure that was performed, and (iii) the State violated his </w:t>
      </w:r>
      <w:r w:rsidR="0077190E" w:rsidRPr="00CF6765">
        <w:rPr>
          <w:sz w:val="20"/>
          <w:szCs w:val="20"/>
          <w:lang w:val="en-US"/>
        </w:rPr>
        <w:t>right</w:t>
      </w:r>
      <w:r w:rsidR="003B5B21" w:rsidRPr="00CF6765">
        <w:rPr>
          <w:sz w:val="20"/>
          <w:szCs w:val="20"/>
          <w:lang w:val="en-US"/>
        </w:rPr>
        <w:t>s</w:t>
      </w:r>
      <w:r w:rsidR="0077190E" w:rsidRPr="00CF6765">
        <w:rPr>
          <w:sz w:val="20"/>
          <w:szCs w:val="20"/>
          <w:lang w:val="en-US"/>
        </w:rPr>
        <w:t xml:space="preserve"> to life</w:t>
      </w:r>
      <w:r w:rsidR="00EC50FC" w:rsidRPr="00CF6765">
        <w:rPr>
          <w:sz w:val="20"/>
          <w:szCs w:val="20"/>
          <w:lang w:val="en-US"/>
        </w:rPr>
        <w:t xml:space="preserve"> and </w:t>
      </w:r>
      <w:r w:rsidR="003B5B21" w:rsidRPr="00CF6765">
        <w:rPr>
          <w:sz w:val="20"/>
          <w:szCs w:val="20"/>
          <w:lang w:val="en-US"/>
        </w:rPr>
        <w:t>to</w:t>
      </w:r>
      <w:r w:rsidR="00B370D2" w:rsidRPr="00CF6765">
        <w:rPr>
          <w:sz w:val="20"/>
          <w:szCs w:val="20"/>
          <w:lang w:val="en-US"/>
        </w:rPr>
        <w:t xml:space="preserve"> </w:t>
      </w:r>
      <w:r w:rsidR="00925BAC" w:rsidRPr="00CF6765">
        <w:rPr>
          <w:sz w:val="20"/>
          <w:szCs w:val="20"/>
          <w:lang w:val="en-US"/>
        </w:rPr>
        <w:t>personal integrity</w:t>
      </w:r>
      <w:r w:rsidR="00B370D2" w:rsidRPr="00CF6765">
        <w:rPr>
          <w:sz w:val="20"/>
          <w:szCs w:val="20"/>
          <w:lang w:val="en-US"/>
        </w:rPr>
        <w:t xml:space="preserve">, </w:t>
      </w:r>
      <w:r w:rsidR="003B5B21" w:rsidRPr="00CF6765">
        <w:rPr>
          <w:sz w:val="20"/>
          <w:szCs w:val="20"/>
          <w:lang w:val="en-US"/>
        </w:rPr>
        <w:t xml:space="preserve">because the lack of adequate medical care had harmful results and, ultimately, caused his death </w:t>
      </w:r>
      <w:r w:rsidR="00B370D2" w:rsidRPr="00CF6765">
        <w:rPr>
          <w:sz w:val="20"/>
          <w:szCs w:val="20"/>
          <w:lang w:val="en-US"/>
        </w:rPr>
        <w:t>(</w:t>
      </w:r>
      <w:r w:rsidR="00EC50FC" w:rsidRPr="00CF6765">
        <w:rPr>
          <w:sz w:val="20"/>
          <w:szCs w:val="20"/>
          <w:lang w:val="en-US"/>
        </w:rPr>
        <w:t>paras.</w:t>
      </w:r>
      <w:r w:rsidR="00B370D2" w:rsidRPr="00CF6765">
        <w:rPr>
          <w:sz w:val="20"/>
          <w:szCs w:val="20"/>
          <w:lang w:val="en-US"/>
        </w:rPr>
        <w:t xml:space="preserve"> 174-175). </w:t>
      </w:r>
      <w:r w:rsidR="006D751F" w:rsidRPr="00CF6765">
        <w:rPr>
          <w:sz w:val="20"/>
          <w:szCs w:val="20"/>
          <w:lang w:val="en-US"/>
        </w:rPr>
        <w:t>Therefore</w:t>
      </w:r>
      <w:r w:rsidR="00B370D2" w:rsidRPr="00CF6765">
        <w:rPr>
          <w:sz w:val="20"/>
          <w:szCs w:val="20"/>
          <w:lang w:val="en-US"/>
        </w:rPr>
        <w:t xml:space="preserve">, </w:t>
      </w:r>
      <w:r w:rsidR="005C731C" w:rsidRPr="00CF6765">
        <w:rPr>
          <w:sz w:val="20"/>
          <w:szCs w:val="20"/>
          <w:lang w:val="en-US"/>
        </w:rPr>
        <w:t>the Court</w:t>
      </w:r>
      <w:r w:rsidR="00B370D2" w:rsidRPr="00CF6765">
        <w:rPr>
          <w:sz w:val="20"/>
          <w:szCs w:val="20"/>
          <w:lang w:val="en-US"/>
        </w:rPr>
        <w:t xml:space="preserve"> consider</w:t>
      </w:r>
      <w:r w:rsidR="006D751F" w:rsidRPr="00CF6765">
        <w:rPr>
          <w:sz w:val="20"/>
          <w:szCs w:val="20"/>
          <w:lang w:val="en-US"/>
        </w:rPr>
        <w:t>ed that</w:t>
      </w:r>
      <w:r w:rsidR="00B370D2" w:rsidRPr="00CF6765">
        <w:rPr>
          <w:sz w:val="20"/>
          <w:szCs w:val="20"/>
          <w:lang w:val="en-US"/>
        </w:rPr>
        <w:t xml:space="preserve"> </w:t>
      </w:r>
      <w:r w:rsidR="00EC50FC" w:rsidRPr="00CF6765">
        <w:rPr>
          <w:sz w:val="20"/>
          <w:szCs w:val="20"/>
          <w:lang w:val="en-US"/>
        </w:rPr>
        <w:t xml:space="preserve">the </w:t>
      </w:r>
      <w:r w:rsidR="00671A8C" w:rsidRPr="00CF6765">
        <w:rPr>
          <w:sz w:val="20"/>
          <w:szCs w:val="20"/>
          <w:lang w:val="en-US"/>
        </w:rPr>
        <w:t>Chilean State</w:t>
      </w:r>
      <w:r w:rsidR="00B370D2" w:rsidRPr="00CF6765">
        <w:rPr>
          <w:sz w:val="20"/>
          <w:szCs w:val="20"/>
          <w:lang w:val="en-US"/>
        </w:rPr>
        <w:t xml:space="preserve"> </w:t>
      </w:r>
      <w:r w:rsidR="006D751F" w:rsidRPr="00CF6765">
        <w:rPr>
          <w:sz w:val="20"/>
          <w:szCs w:val="20"/>
          <w:lang w:val="en-US"/>
        </w:rPr>
        <w:t xml:space="preserve">was </w:t>
      </w:r>
      <w:r w:rsidR="00FB2D33" w:rsidRPr="00CF6765">
        <w:rPr>
          <w:sz w:val="20"/>
          <w:szCs w:val="20"/>
          <w:lang w:val="en-US"/>
        </w:rPr>
        <w:t>responsible</w:t>
      </w:r>
      <w:r w:rsidR="006D751F" w:rsidRPr="00CF6765">
        <w:rPr>
          <w:sz w:val="20"/>
          <w:szCs w:val="20"/>
          <w:lang w:val="en-US"/>
        </w:rPr>
        <w:t xml:space="preserve"> for the violation of </w:t>
      </w:r>
      <w:r w:rsidR="005C731C" w:rsidRPr="00CF6765">
        <w:rPr>
          <w:sz w:val="20"/>
          <w:szCs w:val="20"/>
          <w:lang w:val="en-US"/>
        </w:rPr>
        <w:t>Articles</w:t>
      </w:r>
      <w:r w:rsidR="00B370D2" w:rsidRPr="00CF6765">
        <w:rPr>
          <w:sz w:val="20"/>
          <w:szCs w:val="20"/>
          <w:lang w:val="en-US"/>
        </w:rPr>
        <w:t xml:space="preserve"> 26, 4, 5, 13, 7</w:t>
      </w:r>
      <w:r w:rsidR="00EC50FC" w:rsidRPr="00CF6765">
        <w:rPr>
          <w:sz w:val="20"/>
          <w:szCs w:val="20"/>
          <w:lang w:val="en-US"/>
        </w:rPr>
        <w:t xml:space="preserve"> and </w:t>
      </w:r>
      <w:r w:rsidR="00B370D2" w:rsidRPr="00CF6765">
        <w:rPr>
          <w:sz w:val="20"/>
          <w:szCs w:val="20"/>
          <w:lang w:val="en-US"/>
        </w:rPr>
        <w:t>11</w:t>
      </w:r>
      <w:r w:rsidR="005C731C" w:rsidRPr="00CF6765">
        <w:rPr>
          <w:sz w:val="20"/>
          <w:szCs w:val="20"/>
          <w:lang w:val="en-US"/>
        </w:rPr>
        <w:t xml:space="preserve"> of the American Convention</w:t>
      </w:r>
      <w:r w:rsidR="00B370D2" w:rsidRPr="00CF6765">
        <w:rPr>
          <w:sz w:val="20"/>
          <w:szCs w:val="20"/>
          <w:lang w:val="en-US"/>
        </w:rPr>
        <w:t xml:space="preserve"> </w:t>
      </w:r>
      <w:r w:rsidR="006D751F" w:rsidRPr="00CF6765">
        <w:rPr>
          <w:sz w:val="20"/>
          <w:szCs w:val="20"/>
          <w:lang w:val="en-US"/>
        </w:rPr>
        <w:t xml:space="preserve">in relation to the obligation of non-discrimination established in </w:t>
      </w:r>
      <w:r w:rsidR="00EC50FC" w:rsidRPr="00CF6765">
        <w:rPr>
          <w:sz w:val="20"/>
          <w:szCs w:val="20"/>
          <w:lang w:val="en-US"/>
        </w:rPr>
        <w:t>Article 1(1)</w:t>
      </w:r>
      <w:r w:rsidR="00B370D2" w:rsidRPr="00CF6765">
        <w:rPr>
          <w:sz w:val="20"/>
          <w:szCs w:val="20"/>
          <w:lang w:val="en-US"/>
        </w:rPr>
        <w:t xml:space="preserve"> </w:t>
      </w:r>
      <w:r w:rsidR="00690D57" w:rsidRPr="00CF6765">
        <w:rPr>
          <w:sz w:val="20"/>
          <w:szCs w:val="20"/>
          <w:lang w:val="en-US"/>
        </w:rPr>
        <w:t>of this instrument</w:t>
      </w:r>
      <w:r w:rsidR="00B370D2" w:rsidRPr="00CF6765">
        <w:rPr>
          <w:sz w:val="20"/>
          <w:szCs w:val="20"/>
          <w:lang w:val="en-US"/>
        </w:rPr>
        <w:t>; as</w:t>
      </w:r>
      <w:r w:rsidR="006D751F" w:rsidRPr="00CF6765">
        <w:rPr>
          <w:sz w:val="20"/>
          <w:szCs w:val="20"/>
          <w:lang w:val="en-US"/>
        </w:rPr>
        <w:t xml:space="preserve"> well as the violation of Articles </w:t>
      </w:r>
      <w:r w:rsidR="00B370D2" w:rsidRPr="00CF6765">
        <w:rPr>
          <w:sz w:val="20"/>
          <w:szCs w:val="20"/>
          <w:lang w:val="en-US"/>
        </w:rPr>
        <w:t>26, 13, 7</w:t>
      </w:r>
      <w:r w:rsidR="00EC50FC" w:rsidRPr="00CF6765">
        <w:rPr>
          <w:sz w:val="20"/>
          <w:szCs w:val="20"/>
          <w:lang w:val="en-US"/>
        </w:rPr>
        <w:t xml:space="preserve"> and </w:t>
      </w:r>
      <w:r w:rsidR="00B370D2" w:rsidRPr="00CF6765">
        <w:rPr>
          <w:sz w:val="20"/>
          <w:szCs w:val="20"/>
          <w:lang w:val="en-US"/>
        </w:rPr>
        <w:t xml:space="preserve">11, </w:t>
      </w:r>
      <w:r w:rsidR="00690D57" w:rsidRPr="00CF6765">
        <w:rPr>
          <w:sz w:val="20"/>
          <w:szCs w:val="20"/>
          <w:lang w:val="en-US"/>
        </w:rPr>
        <w:t>to the detriment of</w:t>
      </w:r>
      <w:r w:rsidR="00B370D2" w:rsidRPr="00CF6765">
        <w:rPr>
          <w:sz w:val="20"/>
          <w:szCs w:val="20"/>
          <w:lang w:val="en-US"/>
        </w:rPr>
        <w:t xml:space="preserve"> </w:t>
      </w:r>
      <w:r w:rsidR="006D751F" w:rsidRPr="00CF6765">
        <w:rPr>
          <w:sz w:val="20"/>
          <w:szCs w:val="20"/>
          <w:lang w:val="en-US"/>
        </w:rPr>
        <w:t xml:space="preserve">his family </w:t>
      </w:r>
      <w:r w:rsidR="00B370D2" w:rsidRPr="00CF6765">
        <w:rPr>
          <w:sz w:val="20"/>
          <w:szCs w:val="20"/>
          <w:lang w:val="en-US"/>
        </w:rPr>
        <w:t>(</w:t>
      </w:r>
      <w:r w:rsidR="00EC50FC" w:rsidRPr="00CF6765">
        <w:rPr>
          <w:sz w:val="20"/>
          <w:szCs w:val="20"/>
          <w:lang w:val="en-US"/>
        </w:rPr>
        <w:t>para.</w:t>
      </w:r>
      <w:r w:rsidR="00B370D2" w:rsidRPr="00CF6765">
        <w:rPr>
          <w:sz w:val="20"/>
          <w:szCs w:val="20"/>
          <w:lang w:val="en-US"/>
        </w:rPr>
        <w:t xml:space="preserve"> 176).</w:t>
      </w:r>
    </w:p>
    <w:p w14:paraId="023CDE4B" w14:textId="77777777" w:rsidR="00B370D2" w:rsidRPr="00CF6765" w:rsidRDefault="00B370D2" w:rsidP="00B370D2">
      <w:pPr>
        <w:pStyle w:val="Prrafodelista"/>
        <w:ind w:left="0"/>
        <w:rPr>
          <w:sz w:val="20"/>
          <w:szCs w:val="20"/>
          <w:lang w:val="en-US"/>
        </w:rPr>
      </w:pPr>
    </w:p>
    <w:p w14:paraId="74288795" w14:textId="5D0E78B5" w:rsidR="00B370D2" w:rsidRPr="00CF6765" w:rsidRDefault="00F90897" w:rsidP="00F90897">
      <w:pPr>
        <w:pStyle w:val="Prrafodelista"/>
        <w:numPr>
          <w:ilvl w:val="0"/>
          <w:numId w:val="33"/>
        </w:numPr>
        <w:ind w:left="0" w:firstLine="0"/>
        <w:rPr>
          <w:sz w:val="20"/>
          <w:szCs w:val="20"/>
          <w:lang w:val="en-US"/>
        </w:rPr>
      </w:pPr>
      <w:r w:rsidRPr="00CF6765">
        <w:rPr>
          <w:sz w:val="20"/>
          <w:szCs w:val="20"/>
          <w:lang w:val="en-US"/>
        </w:rPr>
        <w:lastRenderedPageBreak/>
        <w:t xml:space="preserve">Although I share the opinion held by my colleagues, which is demonstrated by my support for their position in the operative paragraphs </w:t>
      </w:r>
      <w:r w:rsidR="002A0A64" w:rsidRPr="00CF6765">
        <w:rPr>
          <w:sz w:val="20"/>
          <w:szCs w:val="20"/>
          <w:lang w:val="en-US"/>
        </w:rPr>
        <w:t>of the judgment</w:t>
      </w:r>
      <w:r w:rsidR="00B370D2" w:rsidRPr="00CF6765">
        <w:rPr>
          <w:sz w:val="20"/>
          <w:szCs w:val="20"/>
          <w:lang w:val="en-US"/>
        </w:rPr>
        <w:t xml:space="preserve"> (</w:t>
      </w:r>
      <w:r w:rsidR="00B370D2" w:rsidRPr="00CF6765">
        <w:rPr>
          <w:i/>
          <w:sz w:val="20"/>
          <w:szCs w:val="20"/>
          <w:lang w:val="en-US"/>
        </w:rPr>
        <w:t>supra</w:t>
      </w:r>
      <w:r w:rsidR="00B370D2" w:rsidRPr="00CF6765">
        <w:rPr>
          <w:sz w:val="20"/>
          <w:szCs w:val="20"/>
          <w:lang w:val="en-US"/>
        </w:rPr>
        <w:t xml:space="preserve">, </w:t>
      </w:r>
      <w:r w:rsidRPr="00CF6765">
        <w:rPr>
          <w:sz w:val="20"/>
          <w:szCs w:val="20"/>
          <w:lang w:val="en-US"/>
        </w:rPr>
        <w:t>second operative paragraph</w:t>
      </w:r>
      <w:r w:rsidR="00B370D2" w:rsidRPr="00CF6765">
        <w:rPr>
          <w:sz w:val="20"/>
          <w:szCs w:val="20"/>
          <w:lang w:val="en-US"/>
        </w:rPr>
        <w:t>),</w:t>
      </w:r>
      <w:r w:rsidRPr="00CF6765">
        <w:rPr>
          <w:sz w:val="20"/>
          <w:szCs w:val="20"/>
          <w:lang w:val="en-US"/>
        </w:rPr>
        <w:t xml:space="preserve"> it is relevant to clarify that this does not mean that I am </w:t>
      </w:r>
      <w:r w:rsidR="00F20B52" w:rsidRPr="00CF6765">
        <w:rPr>
          <w:sz w:val="20"/>
          <w:szCs w:val="20"/>
          <w:lang w:val="en-US"/>
        </w:rPr>
        <w:t xml:space="preserve">diverging </w:t>
      </w:r>
      <w:r w:rsidRPr="00CF6765">
        <w:rPr>
          <w:sz w:val="20"/>
          <w:szCs w:val="20"/>
          <w:lang w:val="en-US"/>
        </w:rPr>
        <w:t xml:space="preserve">from </w:t>
      </w:r>
      <w:r w:rsidR="00F20B52" w:rsidRPr="00CF6765">
        <w:rPr>
          <w:sz w:val="20"/>
          <w:szCs w:val="20"/>
          <w:lang w:val="en-US"/>
        </w:rPr>
        <w:t>my position</w:t>
      </w:r>
      <w:r w:rsidRPr="00CF6765">
        <w:rPr>
          <w:sz w:val="20"/>
          <w:szCs w:val="20"/>
          <w:lang w:val="en-US"/>
        </w:rPr>
        <w:t xml:space="preserve"> in other previous dissenting and concurring opinions.</w:t>
      </w:r>
      <w:r w:rsidR="00B370D2" w:rsidRPr="00CF6765">
        <w:rPr>
          <w:rStyle w:val="Refdenotaalpie"/>
          <w:sz w:val="20"/>
          <w:szCs w:val="20"/>
          <w:lang w:val="en-US"/>
        </w:rPr>
        <w:footnoteReference w:id="341"/>
      </w:r>
      <w:r w:rsidRPr="00CF6765">
        <w:rPr>
          <w:sz w:val="20"/>
          <w:szCs w:val="20"/>
          <w:lang w:val="en-US"/>
        </w:rPr>
        <w:t xml:space="preserve"> I repeat that the justiciability of the ESCER</w:t>
      </w:r>
      <w:r w:rsidR="00B370D2" w:rsidRPr="00CF6765">
        <w:rPr>
          <w:sz w:val="20"/>
          <w:szCs w:val="20"/>
          <w:lang w:val="en-US"/>
        </w:rPr>
        <w:t xml:space="preserve">, </w:t>
      </w:r>
      <w:r w:rsidRPr="00CF6765">
        <w:rPr>
          <w:sz w:val="20"/>
          <w:szCs w:val="20"/>
          <w:lang w:val="en-US"/>
        </w:rPr>
        <w:t xml:space="preserve">by a direct application </w:t>
      </w:r>
      <w:r w:rsidR="0088423A" w:rsidRPr="00CF6765">
        <w:rPr>
          <w:sz w:val="20"/>
          <w:szCs w:val="20"/>
          <w:lang w:val="en-US"/>
        </w:rPr>
        <w:t>of Article</w:t>
      </w:r>
      <w:r w:rsidR="00B370D2" w:rsidRPr="00CF6765">
        <w:rPr>
          <w:sz w:val="20"/>
          <w:szCs w:val="20"/>
          <w:lang w:val="en-US"/>
        </w:rPr>
        <w:t xml:space="preserve"> 26</w:t>
      </w:r>
      <w:r w:rsidR="005C731C" w:rsidRPr="00CF6765">
        <w:rPr>
          <w:sz w:val="20"/>
          <w:szCs w:val="20"/>
          <w:lang w:val="en-US"/>
        </w:rPr>
        <w:t xml:space="preserve"> of the Convention</w:t>
      </w:r>
      <w:r w:rsidR="00B370D2" w:rsidRPr="00CF6765">
        <w:rPr>
          <w:sz w:val="20"/>
          <w:szCs w:val="20"/>
          <w:lang w:val="en-US"/>
        </w:rPr>
        <w:t xml:space="preserve">, </w:t>
      </w:r>
      <w:r w:rsidRPr="00CF6765">
        <w:rPr>
          <w:sz w:val="20"/>
          <w:szCs w:val="20"/>
          <w:lang w:val="en-US"/>
        </w:rPr>
        <w:t xml:space="preserve">has at least two major flaws: the first, that the said </w:t>
      </w:r>
      <w:r w:rsidR="005C731C" w:rsidRPr="00CF6765">
        <w:rPr>
          <w:sz w:val="20"/>
          <w:szCs w:val="20"/>
          <w:lang w:val="en-US"/>
        </w:rPr>
        <w:t>Article</w:t>
      </w:r>
      <w:r w:rsidR="00B370D2" w:rsidRPr="00CF6765">
        <w:rPr>
          <w:sz w:val="20"/>
          <w:szCs w:val="20"/>
          <w:lang w:val="en-US"/>
        </w:rPr>
        <w:t xml:space="preserve"> 26 </w:t>
      </w:r>
      <w:r w:rsidRPr="00CF6765">
        <w:rPr>
          <w:sz w:val="20"/>
          <w:szCs w:val="20"/>
          <w:lang w:val="en-US"/>
        </w:rPr>
        <w:t xml:space="preserve">does not contain a list of rights, but rather refers to the Charter of the Organization of American States </w:t>
      </w:r>
      <w:r w:rsidR="00B370D2" w:rsidRPr="00CF6765">
        <w:rPr>
          <w:sz w:val="20"/>
          <w:szCs w:val="20"/>
          <w:lang w:val="en-US"/>
        </w:rPr>
        <w:t>(</w:t>
      </w:r>
      <w:r w:rsidR="005C731C" w:rsidRPr="00CF6765">
        <w:rPr>
          <w:sz w:val="20"/>
          <w:szCs w:val="20"/>
          <w:lang w:val="en-US"/>
        </w:rPr>
        <w:t>hereinafter</w:t>
      </w:r>
      <w:r w:rsidR="00B370D2" w:rsidRPr="00CF6765">
        <w:rPr>
          <w:sz w:val="20"/>
          <w:szCs w:val="20"/>
          <w:lang w:val="en-US"/>
        </w:rPr>
        <w:t>, “</w:t>
      </w:r>
      <w:r w:rsidR="009A6727" w:rsidRPr="00CF6765">
        <w:rPr>
          <w:sz w:val="20"/>
          <w:szCs w:val="20"/>
          <w:lang w:val="en-US"/>
        </w:rPr>
        <w:t>the OAS Charter</w:t>
      </w:r>
      <w:r w:rsidR="00B370D2" w:rsidRPr="00CF6765">
        <w:rPr>
          <w:sz w:val="20"/>
          <w:szCs w:val="20"/>
          <w:lang w:val="en-US"/>
        </w:rPr>
        <w:t>”),</w:t>
      </w:r>
      <w:r w:rsidR="00EC50FC" w:rsidRPr="00CF6765">
        <w:rPr>
          <w:sz w:val="20"/>
          <w:szCs w:val="20"/>
          <w:lang w:val="en-US"/>
        </w:rPr>
        <w:t xml:space="preserve"> and</w:t>
      </w:r>
      <w:r w:rsidR="00EA52E7" w:rsidRPr="00CF6765">
        <w:rPr>
          <w:sz w:val="20"/>
          <w:szCs w:val="20"/>
          <w:lang w:val="en-US"/>
        </w:rPr>
        <w:t>, similarly</w:t>
      </w:r>
      <w:r w:rsidRPr="00CF6765">
        <w:rPr>
          <w:sz w:val="20"/>
          <w:szCs w:val="20"/>
          <w:lang w:val="en-US"/>
        </w:rPr>
        <w:t xml:space="preserve">, </w:t>
      </w:r>
      <w:r w:rsidR="00F20B52" w:rsidRPr="00CF6765">
        <w:rPr>
          <w:sz w:val="20"/>
          <w:szCs w:val="20"/>
          <w:lang w:val="en-US"/>
        </w:rPr>
        <w:t xml:space="preserve">neither does </w:t>
      </w:r>
      <w:r w:rsidR="009A6727" w:rsidRPr="00CF6765">
        <w:rPr>
          <w:sz w:val="20"/>
          <w:szCs w:val="20"/>
          <w:lang w:val="en-US"/>
        </w:rPr>
        <w:t>the OAS Charter</w:t>
      </w:r>
      <w:r w:rsidR="00B370D2" w:rsidRPr="00CF6765">
        <w:rPr>
          <w:sz w:val="20"/>
          <w:szCs w:val="20"/>
          <w:lang w:val="en-US"/>
        </w:rPr>
        <w:t xml:space="preserve"> </w:t>
      </w:r>
      <w:r w:rsidRPr="00CF6765">
        <w:rPr>
          <w:sz w:val="20"/>
          <w:szCs w:val="20"/>
          <w:lang w:val="en-US"/>
        </w:rPr>
        <w:t xml:space="preserve">contain a list of clear and precise </w:t>
      </w:r>
      <w:r w:rsidR="00F20B52" w:rsidRPr="00CF6765">
        <w:rPr>
          <w:sz w:val="20"/>
          <w:szCs w:val="20"/>
          <w:lang w:val="en-US"/>
        </w:rPr>
        <w:t xml:space="preserve">rights </w:t>
      </w:r>
      <w:r w:rsidRPr="00CF6765">
        <w:rPr>
          <w:sz w:val="20"/>
          <w:szCs w:val="20"/>
          <w:lang w:val="en-US"/>
        </w:rPr>
        <w:t xml:space="preserve">that </w:t>
      </w:r>
      <w:r w:rsidR="00F20B52" w:rsidRPr="00CF6765">
        <w:rPr>
          <w:sz w:val="20"/>
          <w:szCs w:val="20"/>
          <w:lang w:val="en-US"/>
        </w:rPr>
        <w:t xml:space="preserve">would </w:t>
      </w:r>
      <w:r w:rsidRPr="00CF6765">
        <w:rPr>
          <w:sz w:val="20"/>
          <w:szCs w:val="20"/>
          <w:lang w:val="en-US"/>
        </w:rPr>
        <w:t xml:space="preserve">allow </w:t>
      </w:r>
      <w:r w:rsidR="0077110E" w:rsidRPr="00CF6765">
        <w:rPr>
          <w:sz w:val="20"/>
          <w:szCs w:val="20"/>
          <w:lang w:val="en-US"/>
        </w:rPr>
        <w:t xml:space="preserve">deriving </w:t>
      </w:r>
      <w:r w:rsidRPr="00CF6765">
        <w:rPr>
          <w:sz w:val="20"/>
          <w:szCs w:val="20"/>
          <w:lang w:val="en-US"/>
        </w:rPr>
        <w:t>obligations</w:t>
      </w:r>
      <w:r w:rsidR="0077110E" w:rsidRPr="00CF6765">
        <w:rPr>
          <w:sz w:val="20"/>
          <w:szCs w:val="20"/>
          <w:lang w:val="en-US"/>
        </w:rPr>
        <w:t xml:space="preserve"> from them</w:t>
      </w:r>
      <w:r w:rsidRPr="00CF6765">
        <w:rPr>
          <w:sz w:val="20"/>
          <w:szCs w:val="20"/>
          <w:lang w:val="en-US"/>
        </w:rPr>
        <w:t xml:space="preserve"> that can be required of the States </w:t>
      </w:r>
      <w:r w:rsidR="00F20B52" w:rsidRPr="00CF6765">
        <w:rPr>
          <w:sz w:val="20"/>
          <w:szCs w:val="20"/>
          <w:lang w:val="en-US"/>
        </w:rPr>
        <w:t>u</w:t>
      </w:r>
      <w:r w:rsidR="0077110E" w:rsidRPr="00CF6765">
        <w:rPr>
          <w:sz w:val="20"/>
          <w:szCs w:val="20"/>
          <w:lang w:val="en-US"/>
        </w:rPr>
        <w:t>nder</w:t>
      </w:r>
      <w:r w:rsidRPr="00CF6765">
        <w:rPr>
          <w:sz w:val="20"/>
          <w:szCs w:val="20"/>
          <w:lang w:val="en-US"/>
        </w:rPr>
        <w:t xml:space="preserve"> the system of individual petitions</w:t>
      </w:r>
      <w:r w:rsidR="00E90614" w:rsidRPr="00CF6765">
        <w:rPr>
          <w:sz w:val="20"/>
          <w:szCs w:val="20"/>
          <w:lang w:val="en-US"/>
        </w:rPr>
        <w:t xml:space="preserve">; moreover, </w:t>
      </w:r>
      <w:r w:rsidR="0077110E" w:rsidRPr="00CF6765">
        <w:rPr>
          <w:sz w:val="20"/>
          <w:szCs w:val="20"/>
          <w:lang w:val="en-US"/>
        </w:rPr>
        <w:t>the</w:t>
      </w:r>
      <w:r w:rsidRPr="00CF6765">
        <w:rPr>
          <w:sz w:val="20"/>
          <w:szCs w:val="20"/>
          <w:lang w:val="en-US"/>
        </w:rPr>
        <w:t xml:space="preserve"> </w:t>
      </w:r>
      <w:r w:rsidR="00EA52E7" w:rsidRPr="00CF6765">
        <w:rPr>
          <w:sz w:val="20"/>
          <w:szCs w:val="20"/>
          <w:lang w:val="en-US"/>
        </w:rPr>
        <w:t>rights</w:t>
      </w:r>
      <w:r w:rsidR="0077110E" w:rsidRPr="00CF6765">
        <w:rPr>
          <w:sz w:val="20"/>
          <w:szCs w:val="20"/>
          <w:lang w:val="en-US"/>
        </w:rPr>
        <w:t xml:space="preserve"> it recognizes are</w:t>
      </w:r>
      <w:r w:rsidR="00EA52E7" w:rsidRPr="00CF6765">
        <w:rPr>
          <w:sz w:val="20"/>
          <w:szCs w:val="20"/>
          <w:lang w:val="en-US"/>
        </w:rPr>
        <w:t xml:space="preserve"> of a benefit-related nature</w:t>
      </w:r>
      <w:r w:rsidRPr="00CF6765">
        <w:rPr>
          <w:sz w:val="20"/>
          <w:szCs w:val="20"/>
          <w:lang w:val="en-US"/>
        </w:rPr>
        <w:t>.</w:t>
      </w:r>
      <w:r w:rsidRPr="00CF6765">
        <w:rPr>
          <w:rStyle w:val="Refdenotaalpie"/>
          <w:sz w:val="20"/>
          <w:szCs w:val="20"/>
          <w:lang w:val="en-US"/>
        </w:rPr>
        <w:footnoteReference w:id="342"/>
      </w:r>
      <w:r w:rsidRPr="00CF6765">
        <w:rPr>
          <w:sz w:val="20"/>
          <w:szCs w:val="20"/>
          <w:lang w:val="en-US"/>
        </w:rPr>
        <w:t xml:space="preserve"> The second, that the argument used in the judgment to justify the Court’s competence ignores the fact that the States agreed, in the Protocol of San Salvador,</w:t>
      </w:r>
      <w:r w:rsidRPr="00CF6765">
        <w:rPr>
          <w:rStyle w:val="Refdenotaalpie"/>
          <w:sz w:val="20"/>
          <w:szCs w:val="20"/>
          <w:lang w:val="en-US"/>
        </w:rPr>
        <w:footnoteReference w:id="343"/>
      </w:r>
      <w:r w:rsidRPr="00CF6765">
        <w:rPr>
          <w:sz w:val="20"/>
          <w:szCs w:val="20"/>
          <w:lang w:val="en-US"/>
        </w:rPr>
        <w:t xml:space="preserve"> that the Court’s competence to examine violations of the ESCR</w:t>
      </w:r>
      <w:r w:rsidR="0077110E" w:rsidRPr="00CF6765">
        <w:rPr>
          <w:sz w:val="20"/>
          <w:szCs w:val="20"/>
          <w:lang w:val="en-US"/>
        </w:rPr>
        <w:t xml:space="preserve"> </w:t>
      </w:r>
      <w:r w:rsidRPr="00CF6765">
        <w:rPr>
          <w:sz w:val="20"/>
          <w:szCs w:val="20"/>
          <w:lang w:val="en-US"/>
        </w:rPr>
        <w:t>under the system of individual petitions was restricted to some aspects of trade union rights and the right to education.</w:t>
      </w:r>
      <w:r w:rsidR="00B370D2" w:rsidRPr="00CF6765">
        <w:rPr>
          <w:rStyle w:val="Refdenotaalpie"/>
          <w:sz w:val="20"/>
          <w:szCs w:val="20"/>
          <w:lang w:val="en-US"/>
        </w:rPr>
        <w:footnoteReference w:id="344"/>
      </w:r>
    </w:p>
    <w:p w14:paraId="51E66301" w14:textId="77777777" w:rsidR="00B370D2" w:rsidRPr="00CF6765" w:rsidRDefault="00B370D2" w:rsidP="00B370D2">
      <w:pPr>
        <w:rPr>
          <w:sz w:val="16"/>
          <w:lang w:val="en-US"/>
        </w:rPr>
      </w:pPr>
    </w:p>
    <w:p w14:paraId="0E710225" w14:textId="5EFF0F2A" w:rsidR="00B370D2" w:rsidRPr="00CF6765" w:rsidRDefault="008547FC" w:rsidP="00B370D2">
      <w:pPr>
        <w:pStyle w:val="Prrafodelista"/>
        <w:numPr>
          <w:ilvl w:val="0"/>
          <w:numId w:val="33"/>
        </w:numPr>
        <w:ind w:left="0" w:firstLine="0"/>
        <w:rPr>
          <w:sz w:val="20"/>
          <w:szCs w:val="20"/>
          <w:lang w:val="en-US"/>
        </w:rPr>
      </w:pPr>
      <w:r w:rsidRPr="00CF6765">
        <w:rPr>
          <w:sz w:val="20"/>
          <w:szCs w:val="20"/>
          <w:lang w:val="en-US"/>
        </w:rPr>
        <w:t xml:space="preserve">Nevertheless, there is no doubt that the violations of the human rights </w:t>
      </w:r>
      <w:r w:rsidR="00D04694" w:rsidRPr="00CF6765">
        <w:rPr>
          <w:sz w:val="20"/>
          <w:szCs w:val="20"/>
          <w:lang w:val="en-US"/>
        </w:rPr>
        <w:t>of Mr.</w:t>
      </w:r>
      <w:r w:rsidR="00D2168F" w:rsidRPr="00CF6765">
        <w:rPr>
          <w:sz w:val="20"/>
          <w:szCs w:val="20"/>
          <w:lang w:val="en-US"/>
        </w:rPr>
        <w:t xml:space="preserve"> Poblete</w:t>
      </w:r>
      <w:r w:rsidR="00B370D2" w:rsidRPr="00CF6765">
        <w:rPr>
          <w:sz w:val="20"/>
          <w:szCs w:val="20"/>
          <w:lang w:val="en-US"/>
        </w:rPr>
        <w:t xml:space="preserve"> </w:t>
      </w:r>
      <w:proofErr w:type="spellStart"/>
      <w:r w:rsidR="00B370D2" w:rsidRPr="00CF6765">
        <w:rPr>
          <w:sz w:val="20"/>
          <w:szCs w:val="20"/>
          <w:lang w:val="en-US"/>
        </w:rPr>
        <w:t>Vi</w:t>
      </w:r>
      <w:r w:rsidR="00FB2D33" w:rsidRPr="00CF6765">
        <w:rPr>
          <w:sz w:val="20"/>
          <w:szCs w:val="20"/>
          <w:lang w:val="en-US"/>
        </w:rPr>
        <w:t>l</w:t>
      </w:r>
      <w:r w:rsidR="00B370D2" w:rsidRPr="00CF6765">
        <w:rPr>
          <w:sz w:val="20"/>
          <w:szCs w:val="20"/>
          <w:lang w:val="en-US"/>
        </w:rPr>
        <w:t>ches</w:t>
      </w:r>
      <w:proofErr w:type="spellEnd"/>
      <w:r w:rsidRPr="00CF6765">
        <w:rPr>
          <w:sz w:val="20"/>
          <w:szCs w:val="20"/>
          <w:lang w:val="en-US"/>
        </w:rPr>
        <w:t xml:space="preserve"> that have been declared in this judgment were the result of the deficient medical care he received</w:t>
      </w:r>
      <w:r w:rsidR="0077110E" w:rsidRPr="00CF6765">
        <w:rPr>
          <w:sz w:val="20"/>
          <w:szCs w:val="20"/>
          <w:lang w:val="en-US"/>
        </w:rPr>
        <w:t xml:space="preserve"> that</w:t>
      </w:r>
      <w:r w:rsidRPr="00CF6765">
        <w:rPr>
          <w:sz w:val="20"/>
          <w:szCs w:val="20"/>
          <w:lang w:val="en-US"/>
        </w:rPr>
        <w:t xml:space="preserve"> harmed his personal integrity and his life</w:t>
      </w:r>
      <w:r w:rsidR="00B370D2" w:rsidRPr="00CF6765">
        <w:rPr>
          <w:sz w:val="20"/>
          <w:szCs w:val="20"/>
          <w:lang w:val="en-US"/>
        </w:rPr>
        <w:t xml:space="preserve">. </w:t>
      </w:r>
      <w:r w:rsidR="005C731C" w:rsidRPr="00CF6765">
        <w:rPr>
          <w:sz w:val="20"/>
          <w:szCs w:val="20"/>
          <w:lang w:val="en-US"/>
        </w:rPr>
        <w:t>The Court</w:t>
      </w:r>
      <w:r w:rsidR="00B370D2" w:rsidRPr="00CF6765">
        <w:rPr>
          <w:sz w:val="20"/>
          <w:szCs w:val="20"/>
          <w:lang w:val="en-US"/>
        </w:rPr>
        <w:t xml:space="preserve"> </w:t>
      </w:r>
      <w:r w:rsidRPr="00CF6765">
        <w:rPr>
          <w:sz w:val="20"/>
          <w:szCs w:val="20"/>
          <w:lang w:val="en-US"/>
        </w:rPr>
        <w:t>found that</w:t>
      </w:r>
      <w:r w:rsidR="00B370D2" w:rsidRPr="00CF6765">
        <w:rPr>
          <w:sz w:val="20"/>
          <w:szCs w:val="20"/>
          <w:lang w:val="en-US"/>
        </w:rPr>
        <w:t xml:space="preserve"> </w:t>
      </w:r>
      <w:r w:rsidR="00EC50FC" w:rsidRPr="00CF6765">
        <w:rPr>
          <w:sz w:val="20"/>
          <w:szCs w:val="20"/>
          <w:lang w:val="en-US"/>
        </w:rPr>
        <w:t>the State</w:t>
      </w:r>
      <w:r w:rsidR="00B370D2" w:rsidRPr="00CF6765">
        <w:rPr>
          <w:sz w:val="20"/>
          <w:szCs w:val="20"/>
          <w:lang w:val="en-US"/>
        </w:rPr>
        <w:t xml:space="preserve"> </w:t>
      </w:r>
      <w:r w:rsidRPr="00CF6765">
        <w:rPr>
          <w:sz w:val="20"/>
          <w:szCs w:val="20"/>
          <w:lang w:val="en-US"/>
        </w:rPr>
        <w:t xml:space="preserve">had denied the victim emergency medical treatment, even though a risk existed, and therefore concluded that the State had not taken the necessary measures to ensure his </w:t>
      </w:r>
      <w:r w:rsidR="0077190E" w:rsidRPr="00CF6765">
        <w:rPr>
          <w:sz w:val="20"/>
          <w:szCs w:val="20"/>
          <w:lang w:val="en-US"/>
        </w:rPr>
        <w:t>right to life</w:t>
      </w:r>
      <w:r w:rsidR="00B370D2" w:rsidRPr="00CF6765">
        <w:rPr>
          <w:sz w:val="20"/>
          <w:szCs w:val="20"/>
          <w:lang w:val="en-US"/>
        </w:rPr>
        <w:t xml:space="preserve"> </w:t>
      </w:r>
      <w:r w:rsidRPr="00CF6765">
        <w:rPr>
          <w:sz w:val="20"/>
          <w:szCs w:val="20"/>
          <w:lang w:val="en-US"/>
        </w:rPr>
        <w:t>in violation of</w:t>
      </w:r>
      <w:r w:rsidR="00B370D2" w:rsidRPr="00CF6765">
        <w:rPr>
          <w:sz w:val="20"/>
          <w:szCs w:val="20"/>
          <w:lang w:val="en-US"/>
        </w:rPr>
        <w:t xml:space="preserve"> </w:t>
      </w:r>
      <w:r w:rsidR="005C731C" w:rsidRPr="00CF6765">
        <w:rPr>
          <w:sz w:val="20"/>
          <w:szCs w:val="20"/>
          <w:lang w:val="en-US"/>
        </w:rPr>
        <w:t>Article</w:t>
      </w:r>
      <w:r w:rsidR="00B370D2" w:rsidRPr="00CF6765">
        <w:rPr>
          <w:sz w:val="20"/>
          <w:szCs w:val="20"/>
          <w:lang w:val="en-US"/>
        </w:rPr>
        <w:t xml:space="preserve"> </w:t>
      </w:r>
      <w:r w:rsidR="00D2168F" w:rsidRPr="00CF6765">
        <w:rPr>
          <w:sz w:val="20"/>
          <w:szCs w:val="20"/>
          <w:lang w:val="en-US"/>
        </w:rPr>
        <w:t>4(1)</w:t>
      </w:r>
      <w:r w:rsidR="005C731C" w:rsidRPr="00CF6765">
        <w:rPr>
          <w:sz w:val="20"/>
          <w:szCs w:val="20"/>
          <w:lang w:val="en-US"/>
        </w:rPr>
        <w:t xml:space="preserve"> of the Convention</w:t>
      </w:r>
      <w:r w:rsidR="00B370D2" w:rsidRPr="00CF6765">
        <w:rPr>
          <w:sz w:val="20"/>
          <w:szCs w:val="20"/>
          <w:lang w:val="en-US"/>
        </w:rPr>
        <w:t xml:space="preserve"> </w:t>
      </w:r>
      <w:r w:rsidR="00690D57" w:rsidRPr="00CF6765">
        <w:rPr>
          <w:sz w:val="20"/>
          <w:szCs w:val="20"/>
          <w:lang w:val="en-US"/>
        </w:rPr>
        <w:t>in relation to Article</w:t>
      </w:r>
      <w:r w:rsidRPr="00CF6765">
        <w:rPr>
          <w:sz w:val="20"/>
          <w:szCs w:val="20"/>
          <w:lang w:val="en-US"/>
        </w:rPr>
        <w:t>s</w:t>
      </w:r>
      <w:r w:rsidR="00B370D2" w:rsidRPr="00CF6765">
        <w:rPr>
          <w:sz w:val="20"/>
          <w:szCs w:val="20"/>
          <w:lang w:val="en-US"/>
        </w:rPr>
        <w:t xml:space="preserve"> 26</w:t>
      </w:r>
      <w:r w:rsidR="00EC50FC" w:rsidRPr="00CF6765">
        <w:rPr>
          <w:sz w:val="20"/>
          <w:szCs w:val="20"/>
          <w:lang w:val="en-US"/>
        </w:rPr>
        <w:t xml:space="preserve"> and</w:t>
      </w:r>
      <w:r w:rsidR="009C2DEF" w:rsidRPr="00CF6765">
        <w:rPr>
          <w:sz w:val="20"/>
          <w:szCs w:val="20"/>
          <w:lang w:val="en-US"/>
        </w:rPr>
        <w:t xml:space="preserve"> 1(1)</w:t>
      </w:r>
      <w:r w:rsidR="00B370D2" w:rsidRPr="00CF6765">
        <w:rPr>
          <w:sz w:val="20"/>
          <w:szCs w:val="20"/>
          <w:lang w:val="en-US"/>
        </w:rPr>
        <w:t xml:space="preserve"> </w:t>
      </w:r>
      <w:r w:rsidR="00690D57" w:rsidRPr="00CF6765">
        <w:rPr>
          <w:sz w:val="20"/>
          <w:szCs w:val="20"/>
          <w:lang w:val="en-US"/>
        </w:rPr>
        <w:t>of this instrument</w:t>
      </w:r>
      <w:r w:rsidR="00B370D2" w:rsidRPr="00CF6765">
        <w:rPr>
          <w:sz w:val="20"/>
          <w:szCs w:val="20"/>
          <w:lang w:val="en-US"/>
        </w:rPr>
        <w:t xml:space="preserve"> (</w:t>
      </w:r>
      <w:r w:rsidR="00EC50FC" w:rsidRPr="00CF6765">
        <w:rPr>
          <w:sz w:val="20"/>
          <w:szCs w:val="20"/>
          <w:lang w:val="en-US"/>
        </w:rPr>
        <w:t>para.</w:t>
      </w:r>
      <w:r w:rsidR="00B370D2" w:rsidRPr="00CF6765">
        <w:rPr>
          <w:sz w:val="20"/>
          <w:szCs w:val="20"/>
          <w:lang w:val="en-US"/>
        </w:rPr>
        <w:t xml:space="preserve"> 150). </w:t>
      </w:r>
      <w:r w:rsidR="0077110E" w:rsidRPr="00CF6765">
        <w:rPr>
          <w:sz w:val="20"/>
          <w:szCs w:val="20"/>
          <w:lang w:val="en-US"/>
        </w:rPr>
        <w:t>The</w:t>
      </w:r>
      <w:r w:rsidR="005C731C" w:rsidRPr="00CF6765">
        <w:rPr>
          <w:sz w:val="20"/>
          <w:szCs w:val="20"/>
          <w:lang w:val="en-US"/>
        </w:rPr>
        <w:t xml:space="preserve"> Court</w:t>
      </w:r>
      <w:r w:rsidR="00B370D2" w:rsidRPr="00CF6765">
        <w:rPr>
          <w:sz w:val="20"/>
          <w:szCs w:val="20"/>
          <w:lang w:val="en-US"/>
        </w:rPr>
        <w:t xml:space="preserve"> </w:t>
      </w:r>
      <w:r w:rsidR="0077110E" w:rsidRPr="00CF6765">
        <w:rPr>
          <w:sz w:val="20"/>
          <w:szCs w:val="20"/>
          <w:lang w:val="en-US"/>
        </w:rPr>
        <w:t xml:space="preserve">also </w:t>
      </w:r>
      <w:r w:rsidR="00B370D2" w:rsidRPr="00CF6765">
        <w:rPr>
          <w:sz w:val="20"/>
          <w:szCs w:val="20"/>
          <w:lang w:val="en-US"/>
        </w:rPr>
        <w:t>consider</w:t>
      </w:r>
      <w:r w:rsidR="00355F02" w:rsidRPr="00CF6765">
        <w:rPr>
          <w:sz w:val="20"/>
          <w:szCs w:val="20"/>
          <w:lang w:val="en-US"/>
        </w:rPr>
        <w:t xml:space="preserve">ed that </w:t>
      </w:r>
      <w:r w:rsidR="006D751F" w:rsidRPr="00CF6765">
        <w:rPr>
          <w:sz w:val="20"/>
          <w:szCs w:val="20"/>
          <w:lang w:val="en-US"/>
        </w:rPr>
        <w:t xml:space="preserve">the </w:t>
      </w:r>
      <w:r w:rsidRPr="00CF6765">
        <w:rPr>
          <w:sz w:val="20"/>
          <w:szCs w:val="20"/>
          <w:lang w:val="en-US"/>
        </w:rPr>
        <w:t xml:space="preserve">different omissions </w:t>
      </w:r>
      <w:r w:rsidR="0077110E" w:rsidRPr="00CF6765">
        <w:rPr>
          <w:sz w:val="20"/>
          <w:szCs w:val="20"/>
          <w:lang w:val="en-US"/>
        </w:rPr>
        <w:t>incurred by</w:t>
      </w:r>
      <w:r w:rsidRPr="00CF6765">
        <w:rPr>
          <w:sz w:val="20"/>
          <w:szCs w:val="20"/>
          <w:lang w:val="en-US"/>
        </w:rPr>
        <w:t xml:space="preserve"> the medical personnel of the hospital contributed to the deterioration </w:t>
      </w:r>
      <w:r w:rsidR="005F49AB" w:rsidRPr="00CF6765">
        <w:rPr>
          <w:sz w:val="20"/>
          <w:szCs w:val="20"/>
          <w:lang w:val="en-US"/>
        </w:rPr>
        <w:t>of</w:t>
      </w:r>
      <w:r w:rsidRPr="00CF6765">
        <w:rPr>
          <w:sz w:val="20"/>
          <w:szCs w:val="20"/>
          <w:lang w:val="en-US"/>
        </w:rPr>
        <w:t xml:space="preserve"> Mr. Poblete’s health</w:t>
      </w:r>
      <w:r w:rsidR="00B370D2" w:rsidRPr="00CF6765">
        <w:rPr>
          <w:sz w:val="20"/>
          <w:szCs w:val="20"/>
          <w:lang w:val="en-US"/>
        </w:rPr>
        <w:t>,</w:t>
      </w:r>
      <w:r w:rsidR="00BE7922" w:rsidRPr="00CF6765">
        <w:rPr>
          <w:sz w:val="20"/>
          <w:szCs w:val="20"/>
          <w:lang w:val="en-US"/>
        </w:rPr>
        <w:t xml:space="preserve"> </w:t>
      </w:r>
      <w:r w:rsidRPr="00CF6765">
        <w:rPr>
          <w:sz w:val="20"/>
          <w:szCs w:val="20"/>
          <w:lang w:val="en-US"/>
        </w:rPr>
        <w:t xml:space="preserve">thus affecting his personal integrity </w:t>
      </w:r>
      <w:r w:rsidR="00355F02" w:rsidRPr="00CF6765">
        <w:rPr>
          <w:sz w:val="20"/>
          <w:szCs w:val="20"/>
          <w:lang w:val="en-US"/>
        </w:rPr>
        <w:t>in violation of</w:t>
      </w:r>
      <w:r w:rsidR="00B370D2" w:rsidRPr="00CF6765">
        <w:rPr>
          <w:sz w:val="20"/>
          <w:szCs w:val="20"/>
          <w:lang w:val="en-US"/>
        </w:rPr>
        <w:t xml:space="preserve"> </w:t>
      </w:r>
      <w:r w:rsidR="005C731C" w:rsidRPr="00CF6765">
        <w:rPr>
          <w:sz w:val="20"/>
          <w:szCs w:val="20"/>
          <w:lang w:val="en-US"/>
        </w:rPr>
        <w:t>Article</w:t>
      </w:r>
      <w:r w:rsidR="00B370D2" w:rsidRPr="00CF6765">
        <w:rPr>
          <w:sz w:val="20"/>
          <w:szCs w:val="20"/>
          <w:lang w:val="en-US"/>
        </w:rPr>
        <w:t xml:space="preserve"> </w:t>
      </w:r>
      <w:r w:rsidR="00D2168F" w:rsidRPr="00CF6765">
        <w:rPr>
          <w:sz w:val="20"/>
          <w:szCs w:val="20"/>
          <w:lang w:val="en-US"/>
        </w:rPr>
        <w:t>5(1)</w:t>
      </w:r>
      <w:r w:rsidR="005C731C" w:rsidRPr="00CF6765">
        <w:rPr>
          <w:sz w:val="20"/>
          <w:szCs w:val="20"/>
          <w:lang w:val="en-US"/>
        </w:rPr>
        <w:t xml:space="preserve"> of the Convention</w:t>
      </w:r>
      <w:r w:rsidR="00B370D2" w:rsidRPr="00CF6765">
        <w:rPr>
          <w:sz w:val="20"/>
          <w:szCs w:val="20"/>
          <w:lang w:val="en-US"/>
        </w:rPr>
        <w:t xml:space="preserve"> </w:t>
      </w:r>
      <w:r w:rsidR="00690D57" w:rsidRPr="00CF6765">
        <w:rPr>
          <w:sz w:val="20"/>
          <w:szCs w:val="20"/>
          <w:lang w:val="en-US"/>
        </w:rPr>
        <w:t>in relation</w:t>
      </w:r>
      <w:r w:rsidRPr="00CF6765">
        <w:rPr>
          <w:sz w:val="20"/>
          <w:szCs w:val="20"/>
          <w:lang w:val="en-US"/>
        </w:rPr>
        <w:t xml:space="preserve"> </w:t>
      </w:r>
      <w:r w:rsidR="00690D57" w:rsidRPr="00CF6765">
        <w:rPr>
          <w:sz w:val="20"/>
          <w:szCs w:val="20"/>
          <w:lang w:val="en-US"/>
        </w:rPr>
        <w:t>to Article</w:t>
      </w:r>
      <w:r w:rsidR="00B370D2" w:rsidRPr="00CF6765">
        <w:rPr>
          <w:sz w:val="20"/>
          <w:szCs w:val="20"/>
          <w:lang w:val="en-US"/>
        </w:rPr>
        <w:t xml:space="preserve"> 26</w:t>
      </w:r>
      <w:r w:rsidR="00EC50FC" w:rsidRPr="00CF6765">
        <w:rPr>
          <w:sz w:val="20"/>
          <w:szCs w:val="20"/>
          <w:lang w:val="en-US"/>
        </w:rPr>
        <w:t xml:space="preserve"> and</w:t>
      </w:r>
      <w:r w:rsidR="009C2DEF" w:rsidRPr="00CF6765">
        <w:rPr>
          <w:sz w:val="20"/>
          <w:szCs w:val="20"/>
          <w:lang w:val="en-US"/>
        </w:rPr>
        <w:t xml:space="preserve"> 1(1)</w:t>
      </w:r>
      <w:r w:rsidR="00B370D2" w:rsidRPr="00CF6765">
        <w:rPr>
          <w:sz w:val="20"/>
          <w:szCs w:val="20"/>
          <w:lang w:val="en-US"/>
        </w:rPr>
        <w:t xml:space="preserve"> </w:t>
      </w:r>
      <w:r w:rsidR="00690D57" w:rsidRPr="00CF6765">
        <w:rPr>
          <w:sz w:val="20"/>
          <w:szCs w:val="20"/>
          <w:lang w:val="en-US"/>
        </w:rPr>
        <w:t xml:space="preserve">of this </w:t>
      </w:r>
      <w:proofErr w:type="gramStart"/>
      <w:r w:rsidR="00690D57" w:rsidRPr="00CF6765">
        <w:rPr>
          <w:sz w:val="20"/>
          <w:szCs w:val="20"/>
          <w:lang w:val="en-US"/>
        </w:rPr>
        <w:t>instrument</w:t>
      </w:r>
      <w:proofErr w:type="gramEnd"/>
      <w:r w:rsidR="00B370D2" w:rsidRPr="00CF6765">
        <w:rPr>
          <w:sz w:val="20"/>
          <w:szCs w:val="20"/>
          <w:lang w:val="en-US"/>
        </w:rPr>
        <w:t xml:space="preserve">. </w:t>
      </w:r>
    </w:p>
    <w:p w14:paraId="206C04AF" w14:textId="77777777" w:rsidR="00B370D2" w:rsidRPr="00CF6765" w:rsidRDefault="00B370D2" w:rsidP="00B370D2">
      <w:pPr>
        <w:rPr>
          <w:sz w:val="20"/>
          <w:szCs w:val="20"/>
          <w:lang w:val="en-US"/>
        </w:rPr>
      </w:pPr>
    </w:p>
    <w:p w14:paraId="6AFC6CBD" w14:textId="6A831985" w:rsidR="00B370D2" w:rsidRPr="00CF6765" w:rsidRDefault="005C731C" w:rsidP="009D7F04">
      <w:pPr>
        <w:pStyle w:val="Prrafodelista"/>
        <w:numPr>
          <w:ilvl w:val="0"/>
          <w:numId w:val="33"/>
        </w:numPr>
        <w:ind w:left="0" w:firstLine="0"/>
        <w:rPr>
          <w:sz w:val="20"/>
          <w:szCs w:val="20"/>
          <w:lang w:val="en-US"/>
        </w:rPr>
      </w:pPr>
      <w:r w:rsidRPr="00CF6765">
        <w:rPr>
          <w:sz w:val="20"/>
          <w:szCs w:val="20"/>
          <w:lang w:val="en-US"/>
        </w:rPr>
        <w:t>The Court</w:t>
      </w:r>
      <w:r w:rsidR="009D7F04" w:rsidRPr="00CF6765">
        <w:rPr>
          <w:sz w:val="20"/>
          <w:szCs w:val="20"/>
          <w:lang w:val="en-US"/>
        </w:rPr>
        <w:t xml:space="preserve"> was correct in linking its analysis of the violation of the</w:t>
      </w:r>
      <w:r w:rsidR="00E836CE" w:rsidRPr="00CF6765">
        <w:rPr>
          <w:sz w:val="20"/>
          <w:szCs w:val="20"/>
          <w:lang w:val="en-US"/>
        </w:rPr>
        <w:t xml:space="preserve"> victim’s</w:t>
      </w:r>
      <w:r w:rsidR="009D7F04" w:rsidRPr="00CF6765">
        <w:rPr>
          <w:sz w:val="20"/>
          <w:szCs w:val="20"/>
          <w:lang w:val="en-US"/>
        </w:rPr>
        <w:t xml:space="preserve"> rights to life and to personal integrity in light of different </w:t>
      </w:r>
      <w:r w:rsidR="005F49AB" w:rsidRPr="00CF6765">
        <w:rPr>
          <w:sz w:val="20"/>
          <w:szCs w:val="20"/>
          <w:lang w:val="en-US"/>
        </w:rPr>
        <w:t>benefit-related</w:t>
      </w:r>
      <w:r w:rsidR="009D7F04" w:rsidRPr="00CF6765">
        <w:rPr>
          <w:sz w:val="20"/>
          <w:szCs w:val="20"/>
          <w:lang w:val="en-US"/>
        </w:rPr>
        <w:t xml:space="preserve"> aspects of the right to health. Regarding t</w:t>
      </w:r>
      <w:r w:rsidR="00E836CE" w:rsidRPr="00CF6765">
        <w:rPr>
          <w:sz w:val="20"/>
          <w:szCs w:val="20"/>
          <w:lang w:val="en-US"/>
        </w:rPr>
        <w:t>his</w:t>
      </w:r>
      <w:r w:rsidR="009D7F04" w:rsidRPr="00CF6765">
        <w:rPr>
          <w:sz w:val="20"/>
          <w:szCs w:val="20"/>
          <w:lang w:val="en-US"/>
        </w:rPr>
        <w:t xml:space="preserve"> analysi</w:t>
      </w:r>
      <w:r w:rsidR="00E836CE" w:rsidRPr="00CF6765">
        <w:rPr>
          <w:sz w:val="20"/>
          <w:szCs w:val="20"/>
          <w:lang w:val="en-US"/>
        </w:rPr>
        <w:t>s</w:t>
      </w:r>
      <w:r w:rsidR="009D7F04" w:rsidRPr="00CF6765">
        <w:rPr>
          <w:sz w:val="20"/>
          <w:szCs w:val="20"/>
          <w:lang w:val="en-US"/>
        </w:rPr>
        <w:t xml:space="preserve">, the Court </w:t>
      </w:r>
      <w:r w:rsidR="00E836CE" w:rsidRPr="00CF6765">
        <w:rPr>
          <w:sz w:val="20"/>
          <w:szCs w:val="20"/>
          <w:lang w:val="en-US"/>
        </w:rPr>
        <w:t>adhered to</w:t>
      </w:r>
      <w:r w:rsidR="009D7F04" w:rsidRPr="00CF6765">
        <w:rPr>
          <w:sz w:val="20"/>
          <w:szCs w:val="20"/>
          <w:lang w:val="en-US"/>
        </w:rPr>
        <w:t xml:space="preserve"> the thesis – correct, in my opinion – that it had held throughout its case law of analyzing the violations of the ESCER by connectivity.</w:t>
      </w:r>
      <w:r w:rsidR="00B370D2" w:rsidRPr="00CF6765">
        <w:rPr>
          <w:rStyle w:val="Refdenotaalpie"/>
          <w:sz w:val="20"/>
          <w:szCs w:val="20"/>
          <w:lang w:val="en-US"/>
        </w:rPr>
        <w:footnoteReference w:id="345"/>
      </w:r>
      <w:r w:rsidR="009D7F04" w:rsidRPr="00CF6765">
        <w:rPr>
          <w:sz w:val="20"/>
          <w:szCs w:val="20"/>
          <w:lang w:val="en-US"/>
        </w:rPr>
        <w:t xml:space="preserve"> The </w:t>
      </w:r>
      <w:r w:rsidR="00E836CE" w:rsidRPr="00CF6765">
        <w:rPr>
          <w:sz w:val="20"/>
          <w:szCs w:val="20"/>
          <w:lang w:val="en-US"/>
        </w:rPr>
        <w:t>analysis made in</w:t>
      </w:r>
      <w:r w:rsidR="009D7F04" w:rsidRPr="00CF6765">
        <w:rPr>
          <w:sz w:val="20"/>
          <w:szCs w:val="20"/>
          <w:lang w:val="en-US"/>
        </w:rPr>
        <w:t xml:space="preserve"> this case verified the pertinence of the Court’s </w:t>
      </w:r>
      <w:r w:rsidR="009D7F04" w:rsidRPr="00CF6765">
        <w:rPr>
          <w:sz w:val="20"/>
          <w:szCs w:val="20"/>
          <w:lang w:val="en-US"/>
        </w:rPr>
        <w:lastRenderedPageBreak/>
        <w:t xml:space="preserve">approach to this type of situation before the case of </w:t>
      </w:r>
      <w:r w:rsidR="009D7F04" w:rsidRPr="00CF6765">
        <w:rPr>
          <w:i/>
          <w:sz w:val="20"/>
          <w:szCs w:val="20"/>
          <w:lang w:val="en-US"/>
        </w:rPr>
        <w:t>Lagos del Campo</w:t>
      </w:r>
      <w:r w:rsidR="009D7F04" w:rsidRPr="00CF6765">
        <w:rPr>
          <w:sz w:val="20"/>
          <w:szCs w:val="20"/>
          <w:lang w:val="en-US"/>
        </w:rPr>
        <w:t xml:space="preserve">. Indeed, as I have mentioned on other occasions, the analysis of the ESCER by connectivity allows </w:t>
      </w:r>
      <w:r w:rsidR="005F49AB" w:rsidRPr="00CF6765">
        <w:rPr>
          <w:sz w:val="20"/>
          <w:szCs w:val="20"/>
          <w:lang w:val="en-US"/>
        </w:rPr>
        <w:t>t</w:t>
      </w:r>
      <w:r w:rsidR="00E836CE" w:rsidRPr="00CF6765">
        <w:rPr>
          <w:sz w:val="20"/>
          <w:szCs w:val="20"/>
          <w:lang w:val="en-US"/>
        </w:rPr>
        <w:t xml:space="preserve">he Court to define </w:t>
      </w:r>
      <w:r w:rsidR="009D7F04" w:rsidRPr="00CF6765">
        <w:rPr>
          <w:sz w:val="20"/>
          <w:szCs w:val="20"/>
          <w:lang w:val="en-US"/>
        </w:rPr>
        <w:t xml:space="preserve">the obligations </w:t>
      </w:r>
      <w:r w:rsidR="00E836CE" w:rsidRPr="00CF6765">
        <w:rPr>
          <w:sz w:val="20"/>
          <w:szCs w:val="20"/>
          <w:lang w:val="en-US"/>
        </w:rPr>
        <w:t>relating</w:t>
      </w:r>
      <w:r w:rsidR="009D7F04" w:rsidRPr="00CF6765">
        <w:rPr>
          <w:sz w:val="20"/>
          <w:szCs w:val="20"/>
          <w:lang w:val="en-US"/>
        </w:rPr>
        <w:t xml:space="preserve"> to the right to health without expanding </w:t>
      </w:r>
      <w:r w:rsidR="00E836CE" w:rsidRPr="00CF6765">
        <w:rPr>
          <w:sz w:val="20"/>
          <w:szCs w:val="20"/>
          <w:lang w:val="en-US"/>
        </w:rPr>
        <w:t>its</w:t>
      </w:r>
      <w:r w:rsidR="009D7F04" w:rsidRPr="00CF6765">
        <w:rPr>
          <w:sz w:val="20"/>
          <w:szCs w:val="20"/>
          <w:lang w:val="en-US"/>
        </w:rPr>
        <w:t xml:space="preserve"> competence beyond </w:t>
      </w:r>
      <w:r w:rsidR="005F49AB" w:rsidRPr="00CF6765">
        <w:rPr>
          <w:sz w:val="20"/>
          <w:szCs w:val="20"/>
          <w:lang w:val="en-US"/>
        </w:rPr>
        <w:t>what</w:t>
      </w:r>
      <w:r w:rsidR="009D7F04" w:rsidRPr="00CF6765">
        <w:rPr>
          <w:sz w:val="20"/>
          <w:szCs w:val="20"/>
          <w:lang w:val="en-US"/>
        </w:rPr>
        <w:t xml:space="preserve"> correspond</w:t>
      </w:r>
      <w:r w:rsidR="00E836CE" w:rsidRPr="00CF6765">
        <w:rPr>
          <w:sz w:val="20"/>
          <w:szCs w:val="20"/>
          <w:lang w:val="en-US"/>
        </w:rPr>
        <w:t>s</w:t>
      </w:r>
      <w:r w:rsidR="009D7F04" w:rsidRPr="00CF6765">
        <w:rPr>
          <w:sz w:val="20"/>
          <w:szCs w:val="20"/>
          <w:lang w:val="en-US"/>
        </w:rPr>
        <w:t xml:space="preserve"> to any court, and </w:t>
      </w:r>
      <w:r w:rsidR="005F49AB" w:rsidRPr="00CF6765">
        <w:rPr>
          <w:sz w:val="20"/>
          <w:szCs w:val="20"/>
          <w:lang w:val="en-US"/>
        </w:rPr>
        <w:t>what</w:t>
      </w:r>
      <w:r w:rsidR="009D7F04" w:rsidRPr="00CF6765">
        <w:rPr>
          <w:sz w:val="20"/>
          <w:szCs w:val="20"/>
          <w:lang w:val="en-US"/>
        </w:rPr>
        <w:t xml:space="preserve"> a strict reading</w:t>
      </w:r>
      <w:r w:rsidR="00E836CE" w:rsidRPr="00CF6765">
        <w:rPr>
          <w:sz w:val="20"/>
          <w:szCs w:val="20"/>
          <w:lang w:val="en-US"/>
        </w:rPr>
        <w:t>, based on the law,</w:t>
      </w:r>
      <w:r w:rsidR="009D7F04" w:rsidRPr="00CF6765">
        <w:rPr>
          <w:sz w:val="20"/>
          <w:szCs w:val="20"/>
          <w:lang w:val="en-US"/>
        </w:rPr>
        <w:t xml:space="preserve"> </w:t>
      </w:r>
      <w:r w:rsidRPr="00CF6765">
        <w:rPr>
          <w:sz w:val="20"/>
          <w:szCs w:val="20"/>
          <w:lang w:val="en-US"/>
        </w:rPr>
        <w:t>the American Convention</w:t>
      </w:r>
      <w:r w:rsidR="00B370D2" w:rsidRPr="00CF6765">
        <w:rPr>
          <w:sz w:val="20"/>
          <w:szCs w:val="20"/>
          <w:lang w:val="en-US"/>
        </w:rPr>
        <w:t xml:space="preserve">, </w:t>
      </w:r>
      <w:r w:rsidR="00355F02" w:rsidRPr="00CF6765">
        <w:rPr>
          <w:sz w:val="20"/>
          <w:szCs w:val="20"/>
          <w:lang w:val="en-US"/>
        </w:rPr>
        <w:t>the Protocol of San</w:t>
      </w:r>
      <w:r w:rsidR="00B370D2" w:rsidRPr="00CF6765">
        <w:rPr>
          <w:sz w:val="20"/>
          <w:szCs w:val="20"/>
          <w:lang w:val="en-US"/>
        </w:rPr>
        <w:t xml:space="preserve"> Salvador</w:t>
      </w:r>
      <w:r w:rsidR="00EC50FC" w:rsidRPr="00CF6765">
        <w:rPr>
          <w:sz w:val="20"/>
          <w:szCs w:val="20"/>
          <w:lang w:val="en-US"/>
        </w:rPr>
        <w:t xml:space="preserve"> and</w:t>
      </w:r>
      <w:r w:rsidR="00E836CE" w:rsidRPr="00CF6765">
        <w:rPr>
          <w:sz w:val="20"/>
          <w:szCs w:val="20"/>
          <w:lang w:val="en-US"/>
        </w:rPr>
        <w:t xml:space="preserve"> international law would permit.</w:t>
      </w:r>
    </w:p>
    <w:p w14:paraId="70E46D38" w14:textId="512B9311" w:rsidR="00B370D2" w:rsidRPr="00CF6765" w:rsidRDefault="00B370D2" w:rsidP="00B370D2">
      <w:pPr>
        <w:rPr>
          <w:sz w:val="20"/>
          <w:szCs w:val="20"/>
          <w:lang w:val="en-US"/>
        </w:rPr>
      </w:pPr>
    </w:p>
    <w:p w14:paraId="063EE007" w14:textId="124CB9AD" w:rsidR="00B370D2" w:rsidRPr="00CF6765" w:rsidRDefault="00E836CE" w:rsidP="00E836CE">
      <w:pPr>
        <w:pStyle w:val="Prrafodelista"/>
        <w:numPr>
          <w:ilvl w:val="0"/>
          <w:numId w:val="33"/>
        </w:numPr>
        <w:ind w:left="0" w:firstLine="0"/>
        <w:rPr>
          <w:sz w:val="20"/>
          <w:szCs w:val="20"/>
          <w:lang w:val="en-US"/>
        </w:rPr>
      </w:pPr>
      <w:r w:rsidRPr="00CF6765">
        <w:rPr>
          <w:sz w:val="20"/>
          <w:szCs w:val="20"/>
          <w:lang w:val="en-US"/>
        </w:rPr>
        <w:t xml:space="preserve">Having said this, I am not affirming that the analysis made in this case is correct at all levels. The judgment includes numerous explicit references to the approach taken by the Court </w:t>
      </w:r>
      <w:r w:rsidR="005F49AB" w:rsidRPr="00CF6765">
        <w:rPr>
          <w:sz w:val="20"/>
          <w:szCs w:val="20"/>
          <w:lang w:val="en-US"/>
        </w:rPr>
        <w:t>starting with</w:t>
      </w:r>
      <w:r w:rsidRPr="00CF6765">
        <w:rPr>
          <w:sz w:val="20"/>
          <w:szCs w:val="20"/>
          <w:lang w:val="en-US"/>
        </w:rPr>
        <w:t xml:space="preserve"> the case of </w:t>
      </w:r>
      <w:r w:rsidRPr="00CF6765">
        <w:rPr>
          <w:i/>
          <w:sz w:val="20"/>
          <w:szCs w:val="20"/>
          <w:lang w:val="en-US"/>
        </w:rPr>
        <w:t>Lagos del Campo</w:t>
      </w:r>
      <w:r w:rsidRPr="00CF6765">
        <w:rPr>
          <w:sz w:val="20"/>
          <w:szCs w:val="20"/>
          <w:lang w:val="en-US"/>
        </w:rPr>
        <w:t xml:space="preserve"> in relation to the possibility of declaring violations of Article 26 autonomously and owing to an “individual” violation (paras. 100-132), and declares the international responsibility of the State in those terms (para. 143). But, if one reads the judgment carefully, it is possible to observe that the analysis relating to the violation of the right to health is closely linked to the </w:t>
      </w:r>
      <w:r w:rsidR="002A2074" w:rsidRPr="00CF6765">
        <w:rPr>
          <w:sz w:val="20"/>
          <w:szCs w:val="20"/>
          <w:lang w:val="en-US"/>
        </w:rPr>
        <w:t>harm</w:t>
      </w:r>
      <w:r w:rsidRPr="00CF6765">
        <w:rPr>
          <w:sz w:val="20"/>
          <w:szCs w:val="20"/>
          <w:lang w:val="en-US"/>
        </w:rPr>
        <w:t xml:space="preserve"> that Mr. Poblete </w:t>
      </w:r>
      <w:proofErr w:type="spellStart"/>
      <w:r w:rsidRPr="00CF6765">
        <w:rPr>
          <w:sz w:val="20"/>
          <w:szCs w:val="20"/>
          <w:lang w:val="en-US"/>
        </w:rPr>
        <w:t>Vilches</w:t>
      </w:r>
      <w:proofErr w:type="spellEnd"/>
      <w:r w:rsidRPr="00CF6765">
        <w:rPr>
          <w:sz w:val="20"/>
          <w:szCs w:val="20"/>
          <w:lang w:val="en-US"/>
        </w:rPr>
        <w:t xml:space="preserve"> suffered to his life and his personal integrity.</w:t>
      </w:r>
      <w:r w:rsidR="00DE368A" w:rsidRPr="00CF6765">
        <w:rPr>
          <w:sz w:val="20"/>
          <w:szCs w:val="20"/>
          <w:lang w:val="en-US"/>
        </w:rPr>
        <w:t xml:space="preserve"> Indeed, it is quite difficult, if not impossible, to discern where the internationally wrongful act </w:t>
      </w:r>
      <w:r w:rsidR="002A2074" w:rsidRPr="00CF6765">
        <w:rPr>
          <w:sz w:val="20"/>
          <w:szCs w:val="20"/>
          <w:lang w:val="en-US"/>
        </w:rPr>
        <w:t>begins and ends in relation to</w:t>
      </w:r>
      <w:r w:rsidR="00DE368A" w:rsidRPr="00CF6765">
        <w:rPr>
          <w:sz w:val="20"/>
          <w:szCs w:val="20"/>
          <w:lang w:val="en-US"/>
        </w:rPr>
        <w:t xml:space="preserve"> each of the rights that are declared to have been violated. Thus, it can be affirmed that the considerations </w:t>
      </w:r>
      <w:r w:rsidR="002A2074" w:rsidRPr="00CF6765">
        <w:rPr>
          <w:sz w:val="20"/>
          <w:szCs w:val="20"/>
          <w:lang w:val="en-US"/>
        </w:rPr>
        <w:t>in the judgment on</w:t>
      </w:r>
      <w:r w:rsidR="00DE368A" w:rsidRPr="00CF6765">
        <w:rPr>
          <w:sz w:val="20"/>
          <w:szCs w:val="20"/>
          <w:lang w:val="en-US"/>
        </w:rPr>
        <w:t xml:space="preserve"> the obligations of the State in health-related matters acquire a practice meaning once they are reflected in the analysis of Articles 4(1) and 5(1) of the Convention. In my opinion, </w:t>
      </w:r>
      <w:r w:rsidR="002A2074" w:rsidRPr="00CF6765">
        <w:rPr>
          <w:sz w:val="20"/>
          <w:szCs w:val="20"/>
          <w:lang w:val="en-US"/>
        </w:rPr>
        <w:t>the analysis of</w:t>
      </w:r>
      <w:r w:rsidR="00DE368A" w:rsidRPr="00CF6765">
        <w:rPr>
          <w:sz w:val="20"/>
          <w:szCs w:val="20"/>
          <w:lang w:val="en-US"/>
        </w:rPr>
        <w:t xml:space="preserve"> Article 26 understood autonomously</w:t>
      </w:r>
      <w:r w:rsidR="002A2074" w:rsidRPr="00CF6765">
        <w:rPr>
          <w:sz w:val="20"/>
          <w:szCs w:val="20"/>
          <w:lang w:val="en-US"/>
        </w:rPr>
        <w:t xml:space="preserve"> is unnecessary</w:t>
      </w:r>
      <w:r w:rsidR="00DE368A" w:rsidRPr="00CF6765">
        <w:rPr>
          <w:sz w:val="20"/>
          <w:szCs w:val="20"/>
          <w:lang w:val="en-US"/>
        </w:rPr>
        <w:t xml:space="preserve">, </w:t>
      </w:r>
      <w:r w:rsidR="00FB2D33" w:rsidRPr="00CF6765">
        <w:rPr>
          <w:sz w:val="20"/>
          <w:szCs w:val="20"/>
          <w:lang w:val="en-US"/>
        </w:rPr>
        <w:t>even</w:t>
      </w:r>
      <w:r w:rsidR="00DE368A" w:rsidRPr="00CF6765">
        <w:rPr>
          <w:sz w:val="20"/>
          <w:szCs w:val="20"/>
          <w:lang w:val="en-US"/>
        </w:rPr>
        <w:t xml:space="preserve"> though it is extremely relevant when it is considered in connectivity with the </w:t>
      </w:r>
      <w:r w:rsidR="0077190E" w:rsidRPr="00CF6765">
        <w:rPr>
          <w:sz w:val="20"/>
          <w:szCs w:val="20"/>
          <w:lang w:val="en-US"/>
        </w:rPr>
        <w:t>right to life</w:t>
      </w:r>
      <w:r w:rsidR="00EC50FC" w:rsidRPr="00CF6765">
        <w:rPr>
          <w:sz w:val="20"/>
          <w:szCs w:val="20"/>
          <w:lang w:val="en-US"/>
        </w:rPr>
        <w:t xml:space="preserve"> and </w:t>
      </w:r>
      <w:r w:rsidR="00DE368A" w:rsidRPr="00CF6765">
        <w:rPr>
          <w:sz w:val="20"/>
          <w:szCs w:val="20"/>
          <w:lang w:val="en-US"/>
        </w:rPr>
        <w:t>to</w:t>
      </w:r>
      <w:r w:rsidR="00B370D2" w:rsidRPr="00CF6765">
        <w:rPr>
          <w:sz w:val="20"/>
          <w:szCs w:val="20"/>
          <w:lang w:val="en-US"/>
        </w:rPr>
        <w:t xml:space="preserve"> </w:t>
      </w:r>
      <w:r w:rsidR="00925BAC" w:rsidRPr="00CF6765">
        <w:rPr>
          <w:sz w:val="20"/>
          <w:szCs w:val="20"/>
          <w:lang w:val="en-US"/>
        </w:rPr>
        <w:t>personal integrity</w:t>
      </w:r>
      <w:r w:rsidR="00B370D2" w:rsidRPr="00CF6765">
        <w:rPr>
          <w:sz w:val="20"/>
          <w:szCs w:val="20"/>
          <w:lang w:val="en-US"/>
        </w:rPr>
        <w:t xml:space="preserve">. </w:t>
      </w:r>
      <w:r w:rsidR="00DE368A" w:rsidRPr="00CF6765">
        <w:rPr>
          <w:sz w:val="20"/>
          <w:szCs w:val="20"/>
          <w:lang w:val="en-US"/>
        </w:rPr>
        <w:t>In this specific case, this analysis entail</w:t>
      </w:r>
      <w:r w:rsidR="002A2074" w:rsidRPr="00CF6765">
        <w:rPr>
          <w:sz w:val="20"/>
          <w:szCs w:val="20"/>
          <w:lang w:val="en-US"/>
        </w:rPr>
        <w:t>s</w:t>
      </w:r>
      <w:r w:rsidR="00DE368A" w:rsidRPr="00CF6765">
        <w:rPr>
          <w:sz w:val="20"/>
          <w:szCs w:val="20"/>
          <w:lang w:val="en-US"/>
        </w:rPr>
        <w:t xml:space="preserve"> an </w:t>
      </w:r>
      <w:r w:rsidR="00FB2D33" w:rsidRPr="00CF6765">
        <w:rPr>
          <w:sz w:val="20"/>
          <w:szCs w:val="20"/>
          <w:lang w:val="en-US"/>
        </w:rPr>
        <w:t>unnecessary</w:t>
      </w:r>
      <w:r w:rsidR="00DE368A" w:rsidRPr="00CF6765">
        <w:rPr>
          <w:sz w:val="20"/>
          <w:szCs w:val="20"/>
          <w:lang w:val="en-US"/>
        </w:rPr>
        <w:t xml:space="preserve"> duplication as regards the declaration of the rights of the Convention that ha</w:t>
      </w:r>
      <w:r w:rsidR="002A2074" w:rsidRPr="00CF6765">
        <w:rPr>
          <w:sz w:val="20"/>
          <w:szCs w:val="20"/>
          <w:lang w:val="en-US"/>
        </w:rPr>
        <w:t>ve</w:t>
      </w:r>
      <w:r w:rsidR="00DE368A" w:rsidRPr="00CF6765">
        <w:rPr>
          <w:sz w:val="20"/>
          <w:szCs w:val="20"/>
          <w:lang w:val="en-US"/>
        </w:rPr>
        <w:t xml:space="preserve"> been violated, </w:t>
      </w:r>
      <w:r w:rsidR="002A2074" w:rsidRPr="00CF6765">
        <w:rPr>
          <w:sz w:val="20"/>
          <w:szCs w:val="20"/>
          <w:lang w:val="en-US"/>
        </w:rPr>
        <w:t xml:space="preserve">and this </w:t>
      </w:r>
      <w:r w:rsidR="00DE368A" w:rsidRPr="00CF6765">
        <w:rPr>
          <w:sz w:val="20"/>
          <w:szCs w:val="20"/>
          <w:lang w:val="en-US"/>
        </w:rPr>
        <w:t xml:space="preserve">is revealed </w:t>
      </w:r>
      <w:r w:rsidR="002A2074" w:rsidRPr="00CF6765">
        <w:rPr>
          <w:sz w:val="20"/>
          <w:szCs w:val="20"/>
          <w:lang w:val="en-US"/>
        </w:rPr>
        <w:t>because</w:t>
      </w:r>
      <w:r w:rsidR="00DE368A" w:rsidRPr="00CF6765">
        <w:rPr>
          <w:sz w:val="20"/>
          <w:szCs w:val="20"/>
          <w:lang w:val="en-US"/>
        </w:rPr>
        <w:t xml:space="preserve"> the </w:t>
      </w:r>
      <w:r w:rsidR="002A2074" w:rsidRPr="00CF6765">
        <w:rPr>
          <w:sz w:val="20"/>
          <w:szCs w:val="20"/>
          <w:lang w:val="en-US"/>
        </w:rPr>
        <w:t>acts</w:t>
      </w:r>
      <w:r w:rsidR="00DE368A" w:rsidRPr="00CF6765">
        <w:rPr>
          <w:sz w:val="20"/>
          <w:szCs w:val="20"/>
          <w:lang w:val="en-US"/>
        </w:rPr>
        <w:t xml:space="preserve"> and omissions attributed to the State as violati</w:t>
      </w:r>
      <w:r w:rsidR="002A2074" w:rsidRPr="00CF6765">
        <w:rPr>
          <w:sz w:val="20"/>
          <w:szCs w:val="20"/>
          <w:lang w:val="en-US"/>
        </w:rPr>
        <w:t>ons of</w:t>
      </w:r>
      <w:r w:rsidR="00DE368A" w:rsidRPr="00CF6765">
        <w:rPr>
          <w:sz w:val="20"/>
          <w:szCs w:val="20"/>
          <w:lang w:val="en-US"/>
        </w:rPr>
        <w:t xml:space="preserve"> the rights</w:t>
      </w:r>
      <w:r w:rsidR="00925BAC" w:rsidRPr="00CF6765">
        <w:rPr>
          <w:sz w:val="20"/>
          <w:szCs w:val="20"/>
          <w:lang w:val="en-US"/>
        </w:rPr>
        <w:t xml:space="preserve"> to health</w:t>
      </w:r>
      <w:r w:rsidR="00B370D2" w:rsidRPr="00CF6765">
        <w:rPr>
          <w:sz w:val="20"/>
          <w:szCs w:val="20"/>
          <w:lang w:val="en-US"/>
        </w:rPr>
        <w:t xml:space="preserve">, </w:t>
      </w:r>
      <w:r w:rsidR="00DE368A" w:rsidRPr="00CF6765">
        <w:rPr>
          <w:sz w:val="20"/>
          <w:szCs w:val="20"/>
          <w:lang w:val="en-US"/>
        </w:rPr>
        <w:t>life</w:t>
      </w:r>
      <w:r w:rsidR="00EC50FC" w:rsidRPr="00CF6765">
        <w:rPr>
          <w:sz w:val="20"/>
          <w:szCs w:val="20"/>
          <w:lang w:val="en-US"/>
        </w:rPr>
        <w:t xml:space="preserve"> and </w:t>
      </w:r>
      <w:r w:rsidR="00925BAC" w:rsidRPr="00CF6765">
        <w:rPr>
          <w:sz w:val="20"/>
          <w:szCs w:val="20"/>
          <w:lang w:val="en-US"/>
        </w:rPr>
        <w:t>personal integrity</w:t>
      </w:r>
      <w:r w:rsidR="00DE368A" w:rsidRPr="00CF6765">
        <w:rPr>
          <w:sz w:val="20"/>
          <w:szCs w:val="20"/>
          <w:lang w:val="en-US"/>
        </w:rPr>
        <w:t xml:space="preserve"> are, in essence, the same.</w:t>
      </w:r>
    </w:p>
    <w:p w14:paraId="35252890" w14:textId="77777777" w:rsidR="00B370D2" w:rsidRPr="00CF6765" w:rsidRDefault="00B370D2" w:rsidP="00B370D2">
      <w:pPr>
        <w:pStyle w:val="Prrafodelista"/>
        <w:rPr>
          <w:sz w:val="20"/>
          <w:szCs w:val="20"/>
          <w:lang w:val="en-US"/>
        </w:rPr>
      </w:pPr>
    </w:p>
    <w:p w14:paraId="6D91E2BE" w14:textId="3E8BE93B" w:rsidR="00B370D2" w:rsidRPr="00CF6765" w:rsidRDefault="00DE368A" w:rsidP="00B370D2">
      <w:pPr>
        <w:pStyle w:val="Prrafodelista"/>
        <w:numPr>
          <w:ilvl w:val="0"/>
          <w:numId w:val="33"/>
        </w:numPr>
        <w:ind w:left="0" w:firstLine="0"/>
        <w:rPr>
          <w:sz w:val="20"/>
          <w:szCs w:val="20"/>
          <w:lang w:val="en-US"/>
        </w:rPr>
      </w:pPr>
      <w:r w:rsidRPr="00CF6765">
        <w:rPr>
          <w:sz w:val="20"/>
          <w:szCs w:val="20"/>
          <w:lang w:val="en-US"/>
        </w:rPr>
        <w:t xml:space="preserve">Consequently, I should clarify that my vote in </w:t>
      </w:r>
      <w:r w:rsidR="00B370D2" w:rsidRPr="00CF6765">
        <w:rPr>
          <w:sz w:val="20"/>
          <w:szCs w:val="20"/>
          <w:lang w:val="en-US"/>
        </w:rPr>
        <w:t xml:space="preserve">favor </w:t>
      </w:r>
      <w:r w:rsidR="002A0A64" w:rsidRPr="00CF6765">
        <w:rPr>
          <w:sz w:val="20"/>
          <w:szCs w:val="20"/>
          <w:lang w:val="en-US"/>
        </w:rPr>
        <w:t>of the judgment</w:t>
      </w:r>
      <w:r w:rsidRPr="00CF6765">
        <w:rPr>
          <w:sz w:val="20"/>
          <w:szCs w:val="20"/>
          <w:lang w:val="en-US"/>
        </w:rPr>
        <w:t xml:space="preserve"> in the second operative paragraph should not be understood as acceptance of the thesis – erroneous, in my opinion – that the Court has upheld recently regarding the possibility of declaring autonomous violations of </w:t>
      </w:r>
      <w:r w:rsidR="005C731C" w:rsidRPr="00CF6765">
        <w:rPr>
          <w:sz w:val="20"/>
          <w:szCs w:val="20"/>
          <w:lang w:val="en-US"/>
        </w:rPr>
        <w:t>Article</w:t>
      </w:r>
      <w:r w:rsidR="00B370D2" w:rsidRPr="00CF6765">
        <w:rPr>
          <w:sz w:val="20"/>
          <w:szCs w:val="20"/>
          <w:lang w:val="en-US"/>
        </w:rPr>
        <w:t xml:space="preserve"> 26</w:t>
      </w:r>
      <w:r w:rsidR="005C731C" w:rsidRPr="00CF6765">
        <w:rPr>
          <w:sz w:val="20"/>
          <w:szCs w:val="20"/>
          <w:lang w:val="en-US"/>
        </w:rPr>
        <w:t xml:space="preserve"> of the American Convention</w:t>
      </w:r>
      <w:r w:rsidR="00B370D2" w:rsidRPr="00CF6765">
        <w:rPr>
          <w:sz w:val="20"/>
          <w:szCs w:val="20"/>
          <w:lang w:val="en-US"/>
        </w:rPr>
        <w:t>.</w:t>
      </w:r>
      <w:r w:rsidRPr="00CF6765">
        <w:rPr>
          <w:sz w:val="20"/>
          <w:szCs w:val="20"/>
          <w:lang w:val="en-US"/>
        </w:rPr>
        <w:t xml:space="preserve"> To the contrary, it should be understood as a vote in favor of the</w:t>
      </w:r>
      <w:r w:rsidR="00B370D2" w:rsidRPr="00CF6765">
        <w:rPr>
          <w:sz w:val="20"/>
          <w:szCs w:val="20"/>
          <w:lang w:val="en-US"/>
        </w:rPr>
        <w:t xml:space="preserve"> </w:t>
      </w:r>
      <w:r w:rsidR="0088423A" w:rsidRPr="00CF6765">
        <w:rPr>
          <w:sz w:val="20"/>
          <w:szCs w:val="20"/>
          <w:lang w:val="en-US"/>
        </w:rPr>
        <w:t>international responsibility</w:t>
      </w:r>
      <w:r w:rsidR="00B370D2" w:rsidRPr="00CF6765">
        <w:rPr>
          <w:sz w:val="20"/>
          <w:szCs w:val="20"/>
          <w:lang w:val="en-US"/>
        </w:rPr>
        <w:t xml:space="preserve"> </w:t>
      </w:r>
      <w:r w:rsidR="00671A8C" w:rsidRPr="00CF6765">
        <w:rPr>
          <w:sz w:val="20"/>
          <w:szCs w:val="20"/>
          <w:lang w:val="en-US"/>
        </w:rPr>
        <w:t>of Chile</w:t>
      </w:r>
      <w:r w:rsidR="00B370D2" w:rsidRPr="00CF6765">
        <w:rPr>
          <w:sz w:val="20"/>
          <w:szCs w:val="20"/>
          <w:lang w:val="en-US"/>
        </w:rPr>
        <w:t xml:space="preserve"> </w:t>
      </w:r>
      <w:r w:rsidRPr="00CF6765">
        <w:rPr>
          <w:sz w:val="20"/>
          <w:szCs w:val="20"/>
          <w:lang w:val="en-US"/>
        </w:rPr>
        <w:t xml:space="preserve">owing to the failure to provide medical care to </w:t>
      </w:r>
      <w:r w:rsidR="00D04694" w:rsidRPr="00CF6765">
        <w:rPr>
          <w:sz w:val="20"/>
          <w:szCs w:val="20"/>
          <w:lang w:val="en-US"/>
        </w:rPr>
        <w:t>Mr.</w:t>
      </w:r>
      <w:r w:rsidR="00D2168F" w:rsidRPr="00CF6765">
        <w:rPr>
          <w:sz w:val="20"/>
          <w:szCs w:val="20"/>
          <w:lang w:val="en-US"/>
        </w:rPr>
        <w:t xml:space="preserve"> Poblete</w:t>
      </w:r>
      <w:r w:rsidR="00B370D2" w:rsidRPr="00CF6765">
        <w:rPr>
          <w:sz w:val="20"/>
          <w:szCs w:val="20"/>
          <w:lang w:val="en-US"/>
        </w:rPr>
        <w:t xml:space="preserve"> </w:t>
      </w:r>
      <w:proofErr w:type="spellStart"/>
      <w:r w:rsidR="00B370D2" w:rsidRPr="00CF6765">
        <w:rPr>
          <w:sz w:val="20"/>
          <w:szCs w:val="20"/>
          <w:lang w:val="en-US"/>
        </w:rPr>
        <w:t>Vilches</w:t>
      </w:r>
      <w:proofErr w:type="spellEnd"/>
      <w:r w:rsidR="00B370D2" w:rsidRPr="00CF6765">
        <w:rPr>
          <w:sz w:val="20"/>
          <w:szCs w:val="20"/>
          <w:lang w:val="en-US"/>
        </w:rPr>
        <w:t xml:space="preserve">, </w:t>
      </w:r>
      <w:r w:rsidRPr="00CF6765">
        <w:rPr>
          <w:sz w:val="20"/>
          <w:szCs w:val="20"/>
          <w:lang w:val="en-US"/>
        </w:rPr>
        <w:t>which resulted in the violation of his rights to</w:t>
      </w:r>
      <w:r w:rsidR="00B370D2" w:rsidRPr="00CF6765">
        <w:rPr>
          <w:sz w:val="20"/>
          <w:szCs w:val="20"/>
          <w:lang w:val="en-US"/>
        </w:rPr>
        <w:t xml:space="preserve"> </w:t>
      </w:r>
      <w:r w:rsidR="00925BAC" w:rsidRPr="00CF6765">
        <w:rPr>
          <w:sz w:val="20"/>
          <w:szCs w:val="20"/>
          <w:lang w:val="en-US"/>
        </w:rPr>
        <w:t>personal integrity</w:t>
      </w:r>
      <w:r w:rsidR="00EC50FC" w:rsidRPr="00CF6765">
        <w:rPr>
          <w:sz w:val="20"/>
          <w:szCs w:val="20"/>
          <w:lang w:val="en-US"/>
        </w:rPr>
        <w:t xml:space="preserve"> an</w:t>
      </w:r>
      <w:r w:rsidR="00620284" w:rsidRPr="00CF6765">
        <w:rPr>
          <w:sz w:val="20"/>
          <w:szCs w:val="20"/>
          <w:lang w:val="en-US"/>
        </w:rPr>
        <w:t>d</w:t>
      </w:r>
      <w:r w:rsidRPr="00CF6765">
        <w:rPr>
          <w:sz w:val="20"/>
          <w:szCs w:val="20"/>
          <w:lang w:val="en-US"/>
        </w:rPr>
        <w:t xml:space="preserve"> life</w:t>
      </w:r>
      <w:r w:rsidR="00B370D2" w:rsidRPr="00CF6765">
        <w:rPr>
          <w:sz w:val="20"/>
          <w:szCs w:val="20"/>
          <w:lang w:val="en-US"/>
        </w:rPr>
        <w:t xml:space="preserve"> </w:t>
      </w:r>
      <w:r w:rsidR="009339F5" w:rsidRPr="00CF6765">
        <w:rPr>
          <w:sz w:val="20"/>
          <w:szCs w:val="20"/>
          <w:lang w:val="en-US"/>
        </w:rPr>
        <w:t>in relation to</w:t>
      </w:r>
      <w:r w:rsidR="00620284" w:rsidRPr="00CF6765">
        <w:rPr>
          <w:sz w:val="20"/>
          <w:szCs w:val="20"/>
          <w:lang w:val="en-US"/>
        </w:rPr>
        <w:t xml:space="preserve"> the</w:t>
      </w:r>
      <w:r w:rsidR="00B370D2" w:rsidRPr="00CF6765">
        <w:rPr>
          <w:sz w:val="20"/>
          <w:szCs w:val="20"/>
          <w:lang w:val="en-US"/>
        </w:rPr>
        <w:t xml:space="preserve"> </w:t>
      </w:r>
      <w:r w:rsidR="007A3516" w:rsidRPr="00CF6765">
        <w:rPr>
          <w:sz w:val="20"/>
          <w:szCs w:val="20"/>
          <w:lang w:val="en-US"/>
        </w:rPr>
        <w:t>right to health</w:t>
      </w:r>
      <w:r w:rsidR="00B370D2" w:rsidRPr="00CF6765">
        <w:rPr>
          <w:sz w:val="20"/>
          <w:szCs w:val="20"/>
          <w:lang w:val="en-US"/>
        </w:rPr>
        <w:t>.</w:t>
      </w:r>
    </w:p>
    <w:p w14:paraId="62483DB7" w14:textId="77777777" w:rsidR="00B370D2" w:rsidRPr="00CF6765" w:rsidRDefault="00B370D2" w:rsidP="00DE368A">
      <w:pPr>
        <w:rPr>
          <w:sz w:val="20"/>
          <w:szCs w:val="20"/>
          <w:lang w:val="en-US"/>
        </w:rPr>
      </w:pPr>
    </w:p>
    <w:p w14:paraId="08747ADD" w14:textId="67DB3B22" w:rsidR="00B370D2" w:rsidRPr="00CF6765" w:rsidRDefault="00B370D2" w:rsidP="00B370D2">
      <w:pPr>
        <w:rPr>
          <w:b/>
          <w:i/>
          <w:sz w:val="20"/>
          <w:szCs w:val="20"/>
          <w:lang w:val="en-US"/>
        </w:rPr>
      </w:pPr>
      <w:r w:rsidRPr="00CF6765">
        <w:rPr>
          <w:b/>
          <w:i/>
          <w:sz w:val="20"/>
          <w:szCs w:val="20"/>
          <w:lang w:val="en-US"/>
        </w:rPr>
        <w:t>III. Refle</w:t>
      </w:r>
      <w:r w:rsidR="00930431" w:rsidRPr="00CF6765">
        <w:rPr>
          <w:b/>
          <w:i/>
          <w:sz w:val="20"/>
          <w:szCs w:val="20"/>
          <w:lang w:val="en-US"/>
        </w:rPr>
        <w:t>ct</w:t>
      </w:r>
      <w:r w:rsidRPr="00CF6765">
        <w:rPr>
          <w:b/>
          <w:i/>
          <w:sz w:val="20"/>
          <w:szCs w:val="20"/>
          <w:lang w:val="en-US"/>
        </w:rPr>
        <w:t xml:space="preserve">ions </w:t>
      </w:r>
      <w:r w:rsidR="00930431" w:rsidRPr="00CF6765">
        <w:rPr>
          <w:b/>
          <w:i/>
          <w:sz w:val="20"/>
          <w:szCs w:val="20"/>
          <w:lang w:val="en-US"/>
        </w:rPr>
        <w:t>on the an</w:t>
      </w:r>
      <w:r w:rsidR="000139F3" w:rsidRPr="00CF6765">
        <w:rPr>
          <w:b/>
          <w:i/>
          <w:sz w:val="20"/>
          <w:szCs w:val="20"/>
          <w:lang w:val="en-US"/>
        </w:rPr>
        <w:t>alysis</w:t>
      </w:r>
      <w:r w:rsidR="00930431" w:rsidRPr="00CF6765">
        <w:rPr>
          <w:b/>
          <w:i/>
          <w:sz w:val="20"/>
          <w:szCs w:val="20"/>
          <w:lang w:val="en-US"/>
        </w:rPr>
        <w:t xml:space="preserve"> of the violation of the right to health in this case</w:t>
      </w:r>
    </w:p>
    <w:p w14:paraId="779A1A8B" w14:textId="47F9DB4A" w:rsidR="00B370D2" w:rsidRPr="00CF6765" w:rsidRDefault="00B370D2" w:rsidP="00B370D2">
      <w:pPr>
        <w:pStyle w:val="Prrafodelista"/>
        <w:ind w:left="0"/>
        <w:rPr>
          <w:sz w:val="20"/>
          <w:szCs w:val="20"/>
          <w:lang w:val="en-US"/>
        </w:rPr>
      </w:pPr>
    </w:p>
    <w:p w14:paraId="6DF9316B" w14:textId="4FF0AA9D" w:rsidR="00B370D2" w:rsidRPr="00CF6765" w:rsidRDefault="0053683D" w:rsidP="00620284">
      <w:pPr>
        <w:pStyle w:val="Prrafodelista"/>
        <w:numPr>
          <w:ilvl w:val="0"/>
          <w:numId w:val="33"/>
        </w:numPr>
        <w:ind w:left="0" w:firstLine="0"/>
        <w:rPr>
          <w:sz w:val="20"/>
          <w:szCs w:val="20"/>
          <w:lang w:val="en-US"/>
        </w:rPr>
      </w:pPr>
      <w:r w:rsidRPr="00CF6765">
        <w:rPr>
          <w:sz w:val="20"/>
          <w:szCs w:val="20"/>
          <w:lang w:val="en-US"/>
        </w:rPr>
        <w:t>This</w:t>
      </w:r>
      <w:r w:rsidR="00620284" w:rsidRPr="00CF6765">
        <w:rPr>
          <w:sz w:val="20"/>
          <w:szCs w:val="20"/>
          <w:lang w:val="en-US"/>
        </w:rPr>
        <w:t xml:space="preserve"> case also allows me to make some additional reflections to those I have expressed on other occasions on the problematic approach that the Court has decided to adopt in the analysis of the autonomous violation of </w:t>
      </w:r>
      <w:r w:rsidR="005C731C" w:rsidRPr="00CF6765">
        <w:rPr>
          <w:sz w:val="20"/>
          <w:szCs w:val="20"/>
          <w:lang w:val="en-US"/>
        </w:rPr>
        <w:t>Article</w:t>
      </w:r>
      <w:r w:rsidR="00B370D2" w:rsidRPr="00CF6765">
        <w:rPr>
          <w:sz w:val="20"/>
          <w:szCs w:val="20"/>
          <w:lang w:val="en-US"/>
        </w:rPr>
        <w:t xml:space="preserve"> 26</w:t>
      </w:r>
      <w:r w:rsidR="005C731C" w:rsidRPr="00CF6765">
        <w:rPr>
          <w:sz w:val="20"/>
          <w:szCs w:val="20"/>
          <w:lang w:val="en-US"/>
        </w:rPr>
        <w:t xml:space="preserve"> of the Convention</w:t>
      </w:r>
      <w:r w:rsidR="00B370D2" w:rsidRPr="00CF6765">
        <w:rPr>
          <w:sz w:val="20"/>
          <w:szCs w:val="20"/>
          <w:lang w:val="en-US"/>
        </w:rPr>
        <w:t xml:space="preserve">. </w:t>
      </w:r>
      <w:r w:rsidR="00620284" w:rsidRPr="00CF6765">
        <w:rPr>
          <w:sz w:val="20"/>
          <w:szCs w:val="20"/>
          <w:lang w:val="en-US"/>
        </w:rPr>
        <w:t xml:space="preserve">These reflections should be read in relation to the arguments that I have already set out in my dissenting and concurring </w:t>
      </w:r>
      <w:r w:rsidR="00FB2D33" w:rsidRPr="00CF6765">
        <w:rPr>
          <w:sz w:val="20"/>
          <w:szCs w:val="20"/>
          <w:lang w:val="en-US"/>
        </w:rPr>
        <w:t>opinions</w:t>
      </w:r>
      <w:r w:rsidR="00620284" w:rsidRPr="00CF6765">
        <w:rPr>
          <w:sz w:val="20"/>
          <w:szCs w:val="20"/>
          <w:lang w:val="en-US"/>
        </w:rPr>
        <w:t xml:space="preserve"> in recent cases.</w:t>
      </w:r>
      <w:r w:rsidR="00B370D2" w:rsidRPr="00CF6765">
        <w:rPr>
          <w:rStyle w:val="Refdenotaalpie"/>
          <w:sz w:val="20"/>
          <w:szCs w:val="20"/>
          <w:lang w:val="en-US"/>
        </w:rPr>
        <w:footnoteReference w:id="346"/>
      </w:r>
    </w:p>
    <w:p w14:paraId="0BE9B782" w14:textId="77777777" w:rsidR="00B370D2" w:rsidRPr="00CF6765" w:rsidRDefault="00B370D2" w:rsidP="00B370D2">
      <w:pPr>
        <w:pStyle w:val="Prrafodelista"/>
        <w:ind w:left="0"/>
        <w:rPr>
          <w:sz w:val="20"/>
          <w:szCs w:val="20"/>
          <w:lang w:val="en-US"/>
        </w:rPr>
      </w:pPr>
    </w:p>
    <w:p w14:paraId="20319D6B" w14:textId="71E656F4" w:rsidR="00B370D2" w:rsidRPr="00CF6765" w:rsidRDefault="00620284" w:rsidP="00820002">
      <w:pPr>
        <w:pStyle w:val="Prrafodelista"/>
        <w:numPr>
          <w:ilvl w:val="0"/>
          <w:numId w:val="33"/>
        </w:numPr>
        <w:ind w:left="0" w:firstLine="0"/>
        <w:rPr>
          <w:sz w:val="20"/>
          <w:szCs w:val="20"/>
          <w:lang w:val="en-US"/>
        </w:rPr>
      </w:pPr>
      <w:r w:rsidRPr="00CF6765">
        <w:rPr>
          <w:sz w:val="20"/>
          <w:szCs w:val="20"/>
          <w:lang w:val="en-US"/>
        </w:rPr>
        <w:lastRenderedPageBreak/>
        <w:t xml:space="preserve">First, and </w:t>
      </w:r>
      <w:r w:rsidR="0053683D" w:rsidRPr="00CF6765">
        <w:rPr>
          <w:sz w:val="20"/>
          <w:szCs w:val="20"/>
          <w:lang w:val="en-US"/>
        </w:rPr>
        <w:t>regarding</w:t>
      </w:r>
      <w:r w:rsidRPr="00CF6765">
        <w:rPr>
          <w:sz w:val="20"/>
          <w:szCs w:val="20"/>
          <w:lang w:val="en-US"/>
        </w:rPr>
        <w:t xml:space="preserve"> the remarks made in the preceding section, the practical</w:t>
      </w:r>
      <w:r w:rsidR="0053683D" w:rsidRPr="00CF6765">
        <w:rPr>
          <w:sz w:val="20"/>
          <w:szCs w:val="20"/>
          <w:lang w:val="en-US"/>
        </w:rPr>
        <w:t xml:space="preserve">ity </w:t>
      </w:r>
      <w:r w:rsidRPr="00CF6765">
        <w:rPr>
          <w:sz w:val="20"/>
          <w:szCs w:val="20"/>
          <w:lang w:val="en-US"/>
        </w:rPr>
        <w:t xml:space="preserve">of the Court’s action in declaring the violation of Article 26 autonomously should be questioned, when the violation that has been proved in this case is </w:t>
      </w:r>
      <w:r w:rsidR="0053683D" w:rsidRPr="00CF6765">
        <w:rPr>
          <w:sz w:val="20"/>
          <w:szCs w:val="20"/>
          <w:lang w:val="en-US"/>
        </w:rPr>
        <w:t xml:space="preserve">of </w:t>
      </w:r>
      <w:r w:rsidRPr="00CF6765">
        <w:rPr>
          <w:sz w:val="20"/>
          <w:szCs w:val="20"/>
          <w:lang w:val="en-US"/>
        </w:rPr>
        <w:t xml:space="preserve">the personal integrity and life of Mr. Poblete </w:t>
      </w:r>
      <w:proofErr w:type="spellStart"/>
      <w:r w:rsidRPr="00CF6765">
        <w:rPr>
          <w:sz w:val="20"/>
          <w:szCs w:val="20"/>
          <w:lang w:val="en-US"/>
        </w:rPr>
        <w:t>Vilches</w:t>
      </w:r>
      <w:proofErr w:type="spellEnd"/>
      <w:r w:rsidRPr="00CF6765">
        <w:rPr>
          <w:sz w:val="20"/>
          <w:szCs w:val="20"/>
          <w:lang w:val="en-US"/>
        </w:rPr>
        <w:t xml:space="preserve">. The analysis seems to </w:t>
      </w:r>
      <w:r w:rsidR="00FB2D33" w:rsidRPr="00CF6765">
        <w:rPr>
          <w:sz w:val="20"/>
          <w:szCs w:val="20"/>
          <w:lang w:val="en-US"/>
        </w:rPr>
        <w:t>suggest</w:t>
      </w:r>
      <w:r w:rsidRPr="00CF6765">
        <w:rPr>
          <w:sz w:val="20"/>
          <w:szCs w:val="20"/>
          <w:lang w:val="en-US"/>
        </w:rPr>
        <w:t xml:space="preserve"> that, when a person’s personal integrity or life is </w:t>
      </w:r>
      <w:r w:rsidR="00E27148" w:rsidRPr="00CF6765">
        <w:rPr>
          <w:sz w:val="20"/>
          <w:szCs w:val="20"/>
          <w:lang w:val="en-US"/>
        </w:rPr>
        <w:t>violated,</w:t>
      </w:r>
      <w:r w:rsidRPr="00CF6765">
        <w:rPr>
          <w:sz w:val="20"/>
          <w:szCs w:val="20"/>
          <w:lang w:val="en-US"/>
        </w:rPr>
        <w:t xml:space="preserve"> as the result of deficient medical care, there is an automatic violation of the right to health in its “individual” </w:t>
      </w:r>
      <w:r w:rsidR="00E27148" w:rsidRPr="00CF6765">
        <w:rPr>
          <w:sz w:val="20"/>
          <w:szCs w:val="20"/>
          <w:lang w:val="en-US"/>
        </w:rPr>
        <w:t>dimension (</w:t>
      </w:r>
      <w:r w:rsidRPr="00CF6765">
        <w:rPr>
          <w:sz w:val="20"/>
          <w:szCs w:val="20"/>
          <w:lang w:val="en-US"/>
        </w:rPr>
        <w:t>paras. 150 and 155)</w:t>
      </w:r>
      <w:r w:rsidR="0053683D" w:rsidRPr="00CF6765">
        <w:rPr>
          <w:sz w:val="20"/>
          <w:szCs w:val="20"/>
          <w:lang w:val="en-US"/>
        </w:rPr>
        <w:t>.</w:t>
      </w:r>
      <w:r w:rsidRPr="00CF6765">
        <w:rPr>
          <w:sz w:val="20"/>
          <w:szCs w:val="20"/>
          <w:lang w:val="en-US"/>
        </w:rPr>
        <w:t xml:space="preserve"> </w:t>
      </w:r>
      <w:r w:rsidR="0053683D" w:rsidRPr="00CF6765">
        <w:rPr>
          <w:sz w:val="20"/>
          <w:szCs w:val="20"/>
          <w:lang w:val="en-US"/>
        </w:rPr>
        <w:t>H</w:t>
      </w:r>
      <w:r w:rsidRPr="00CF6765">
        <w:rPr>
          <w:sz w:val="20"/>
          <w:szCs w:val="20"/>
          <w:lang w:val="en-US"/>
        </w:rPr>
        <w:t xml:space="preserve">owever, the </w:t>
      </w:r>
      <w:r w:rsidR="00FB2D33" w:rsidRPr="00CF6765">
        <w:rPr>
          <w:sz w:val="20"/>
          <w:szCs w:val="20"/>
          <w:lang w:val="en-US"/>
        </w:rPr>
        <w:t>judgment</w:t>
      </w:r>
      <w:r w:rsidRPr="00CF6765">
        <w:rPr>
          <w:sz w:val="20"/>
          <w:szCs w:val="20"/>
          <w:lang w:val="en-US"/>
        </w:rPr>
        <w:t xml:space="preserve"> does not establish clearly the specific violation of the victim’s right to health in that “individual” dimension, but focuses on establishing the reasons why the State failed to comply with its duties and obligations in relation to the adequate provision of health services and, on this basis, </w:t>
      </w:r>
      <w:r w:rsidR="00FB2D33" w:rsidRPr="00CF6765">
        <w:rPr>
          <w:sz w:val="20"/>
          <w:szCs w:val="20"/>
          <w:lang w:val="en-US"/>
        </w:rPr>
        <w:t>derives</w:t>
      </w:r>
      <w:r w:rsidRPr="00CF6765">
        <w:rPr>
          <w:sz w:val="20"/>
          <w:szCs w:val="20"/>
          <w:lang w:val="en-US"/>
        </w:rPr>
        <w:t xml:space="preserve"> that his health was affected (para. 138).</w:t>
      </w:r>
      <w:r w:rsidR="00820002" w:rsidRPr="00CF6765">
        <w:rPr>
          <w:sz w:val="20"/>
          <w:szCs w:val="20"/>
          <w:lang w:val="en-US"/>
        </w:rPr>
        <w:t xml:space="preserve"> In this way, t</w:t>
      </w:r>
      <w:r w:rsidR="005C731C" w:rsidRPr="00CF6765">
        <w:rPr>
          <w:sz w:val="20"/>
          <w:szCs w:val="20"/>
          <w:lang w:val="en-US"/>
        </w:rPr>
        <w:t>he Court</w:t>
      </w:r>
      <w:r w:rsidR="00820002" w:rsidRPr="00CF6765">
        <w:rPr>
          <w:sz w:val="20"/>
          <w:szCs w:val="20"/>
          <w:lang w:val="en-US"/>
        </w:rPr>
        <w:t xml:space="preserve"> assumes a</w:t>
      </w:r>
      <w:r w:rsidR="0053683D" w:rsidRPr="00CF6765">
        <w:rPr>
          <w:sz w:val="20"/>
          <w:szCs w:val="20"/>
          <w:lang w:val="en-US"/>
        </w:rPr>
        <w:t xml:space="preserve"> consequentialist</w:t>
      </w:r>
      <w:r w:rsidR="00820002" w:rsidRPr="00CF6765">
        <w:rPr>
          <w:sz w:val="20"/>
          <w:szCs w:val="20"/>
          <w:lang w:val="en-US"/>
        </w:rPr>
        <w:t xml:space="preserve"> position </w:t>
      </w:r>
      <w:r w:rsidR="00AD1407" w:rsidRPr="00CF6765">
        <w:rPr>
          <w:sz w:val="20"/>
          <w:szCs w:val="20"/>
          <w:lang w:val="en-US"/>
        </w:rPr>
        <w:t xml:space="preserve">that merges – and confuses – the violation of the integrity and the life </w:t>
      </w:r>
      <w:r w:rsidR="00D04694" w:rsidRPr="00CF6765">
        <w:rPr>
          <w:sz w:val="20"/>
          <w:szCs w:val="20"/>
          <w:lang w:val="en-US"/>
        </w:rPr>
        <w:t>of Mr.</w:t>
      </w:r>
      <w:r w:rsidR="00D2168F" w:rsidRPr="00CF6765">
        <w:rPr>
          <w:sz w:val="20"/>
          <w:szCs w:val="20"/>
          <w:lang w:val="en-US"/>
        </w:rPr>
        <w:t xml:space="preserve"> Poblete</w:t>
      </w:r>
      <w:r w:rsidR="00B370D2" w:rsidRPr="00CF6765">
        <w:rPr>
          <w:sz w:val="20"/>
          <w:szCs w:val="20"/>
          <w:lang w:val="en-US"/>
        </w:rPr>
        <w:t xml:space="preserve"> </w:t>
      </w:r>
      <w:proofErr w:type="spellStart"/>
      <w:r w:rsidR="00B370D2" w:rsidRPr="00CF6765">
        <w:rPr>
          <w:sz w:val="20"/>
          <w:szCs w:val="20"/>
          <w:lang w:val="en-US"/>
        </w:rPr>
        <w:t>Vilches</w:t>
      </w:r>
      <w:proofErr w:type="spellEnd"/>
      <w:r w:rsidR="00AD1407" w:rsidRPr="00CF6765">
        <w:rPr>
          <w:sz w:val="20"/>
          <w:szCs w:val="20"/>
          <w:lang w:val="en-US"/>
        </w:rPr>
        <w:t xml:space="preserve"> with the violation of his </w:t>
      </w:r>
      <w:r w:rsidR="007A3516" w:rsidRPr="00CF6765">
        <w:rPr>
          <w:sz w:val="20"/>
          <w:szCs w:val="20"/>
          <w:lang w:val="en-US"/>
        </w:rPr>
        <w:t>right to health</w:t>
      </w:r>
      <w:r w:rsidR="00B370D2" w:rsidRPr="00CF6765">
        <w:rPr>
          <w:sz w:val="20"/>
          <w:szCs w:val="20"/>
          <w:lang w:val="en-US"/>
        </w:rPr>
        <w:t xml:space="preserve">. </w:t>
      </w:r>
      <w:r w:rsidR="00AD1407" w:rsidRPr="00CF6765">
        <w:rPr>
          <w:sz w:val="20"/>
          <w:szCs w:val="20"/>
          <w:lang w:val="en-US"/>
        </w:rPr>
        <w:t xml:space="preserve">This is the same </w:t>
      </w:r>
      <w:r w:rsidR="00FB2D33" w:rsidRPr="00CF6765">
        <w:rPr>
          <w:sz w:val="20"/>
          <w:szCs w:val="20"/>
          <w:lang w:val="en-US"/>
        </w:rPr>
        <w:t>conceptual</w:t>
      </w:r>
      <w:r w:rsidR="00AD1407" w:rsidRPr="00CF6765">
        <w:rPr>
          <w:sz w:val="20"/>
          <w:szCs w:val="20"/>
          <w:lang w:val="en-US"/>
        </w:rPr>
        <w:t xml:space="preserve"> error in</w:t>
      </w:r>
      <w:r w:rsidR="0053683D" w:rsidRPr="00CF6765">
        <w:rPr>
          <w:sz w:val="20"/>
          <w:szCs w:val="20"/>
          <w:lang w:val="en-US"/>
        </w:rPr>
        <w:t>curred by</w:t>
      </w:r>
      <w:r w:rsidR="00AD1407" w:rsidRPr="00CF6765">
        <w:rPr>
          <w:sz w:val="20"/>
          <w:szCs w:val="20"/>
          <w:lang w:val="en-US"/>
        </w:rPr>
        <w:t xml:space="preserve"> the Court in the cases </w:t>
      </w:r>
      <w:r w:rsidR="00355F02" w:rsidRPr="00CF6765">
        <w:rPr>
          <w:sz w:val="20"/>
          <w:szCs w:val="20"/>
          <w:lang w:val="en-US"/>
        </w:rPr>
        <w:t>of</w:t>
      </w:r>
      <w:r w:rsidR="00B370D2" w:rsidRPr="00CF6765">
        <w:rPr>
          <w:sz w:val="20"/>
          <w:szCs w:val="20"/>
          <w:lang w:val="en-US"/>
        </w:rPr>
        <w:t xml:space="preserve"> </w:t>
      </w:r>
      <w:r w:rsidR="00B370D2" w:rsidRPr="00CF6765">
        <w:rPr>
          <w:i/>
          <w:sz w:val="20"/>
          <w:szCs w:val="20"/>
          <w:lang w:val="en-US"/>
        </w:rPr>
        <w:t>Lagos del Campo</w:t>
      </w:r>
      <w:r w:rsidR="00B370D2" w:rsidRPr="00CF6765">
        <w:rPr>
          <w:sz w:val="20"/>
          <w:szCs w:val="20"/>
          <w:lang w:val="en-US"/>
        </w:rPr>
        <w:t xml:space="preserve">, </w:t>
      </w:r>
      <w:r w:rsidR="00355F02" w:rsidRPr="00CF6765">
        <w:rPr>
          <w:i/>
          <w:sz w:val="20"/>
          <w:szCs w:val="20"/>
          <w:lang w:val="en-US"/>
        </w:rPr>
        <w:t>Disc</w:t>
      </w:r>
      <w:r w:rsidR="00AD1407" w:rsidRPr="00CF6765">
        <w:rPr>
          <w:i/>
          <w:sz w:val="20"/>
          <w:szCs w:val="20"/>
          <w:lang w:val="en-US"/>
        </w:rPr>
        <w:t>h</w:t>
      </w:r>
      <w:r w:rsidR="00355F02" w:rsidRPr="00CF6765">
        <w:rPr>
          <w:i/>
          <w:sz w:val="20"/>
          <w:szCs w:val="20"/>
          <w:lang w:val="en-US"/>
        </w:rPr>
        <w:t>arged Employees of</w:t>
      </w:r>
      <w:r w:rsidR="00B370D2" w:rsidRPr="00CF6765">
        <w:rPr>
          <w:i/>
          <w:sz w:val="20"/>
          <w:szCs w:val="20"/>
          <w:lang w:val="en-US"/>
        </w:rPr>
        <w:t xml:space="preserve"> </w:t>
      </w:r>
      <w:proofErr w:type="spellStart"/>
      <w:r w:rsidR="00B370D2" w:rsidRPr="00CF6765">
        <w:rPr>
          <w:i/>
          <w:sz w:val="20"/>
          <w:szCs w:val="20"/>
          <w:lang w:val="en-US"/>
        </w:rPr>
        <w:t>Petro</w:t>
      </w:r>
      <w:r w:rsidR="00930431" w:rsidRPr="00CF6765">
        <w:rPr>
          <w:i/>
          <w:sz w:val="20"/>
          <w:szCs w:val="20"/>
          <w:lang w:val="en-US"/>
        </w:rPr>
        <w:t>Peru</w:t>
      </w:r>
      <w:proofErr w:type="spellEnd"/>
      <w:r w:rsidR="00EC50FC" w:rsidRPr="00CF6765">
        <w:rPr>
          <w:i/>
          <w:sz w:val="20"/>
          <w:szCs w:val="20"/>
          <w:lang w:val="en-US"/>
        </w:rPr>
        <w:t xml:space="preserve"> </w:t>
      </w:r>
      <w:r w:rsidR="00355F02" w:rsidRPr="00CF6765">
        <w:rPr>
          <w:i/>
          <w:sz w:val="20"/>
          <w:szCs w:val="20"/>
          <w:lang w:val="en-US"/>
        </w:rPr>
        <w:t>et al.</w:t>
      </w:r>
      <w:r w:rsidR="00B370D2" w:rsidRPr="00CF6765">
        <w:rPr>
          <w:sz w:val="20"/>
          <w:szCs w:val="20"/>
          <w:lang w:val="en-US"/>
        </w:rPr>
        <w:t>,</w:t>
      </w:r>
      <w:r w:rsidR="00EC50FC" w:rsidRPr="00CF6765">
        <w:rPr>
          <w:sz w:val="20"/>
          <w:szCs w:val="20"/>
          <w:lang w:val="en-US"/>
        </w:rPr>
        <w:t xml:space="preserve"> and</w:t>
      </w:r>
      <w:r w:rsidR="00B370D2" w:rsidRPr="00CF6765">
        <w:rPr>
          <w:sz w:val="20"/>
          <w:szCs w:val="20"/>
          <w:lang w:val="en-US"/>
        </w:rPr>
        <w:t xml:space="preserve"> </w:t>
      </w:r>
      <w:r w:rsidR="00B370D2" w:rsidRPr="00CF6765">
        <w:rPr>
          <w:i/>
          <w:sz w:val="20"/>
          <w:szCs w:val="20"/>
          <w:lang w:val="en-US"/>
        </w:rPr>
        <w:t>San Miguel Sosa</w:t>
      </w:r>
      <w:r w:rsidR="00EC50FC" w:rsidRPr="00CF6765">
        <w:rPr>
          <w:i/>
          <w:sz w:val="20"/>
          <w:szCs w:val="20"/>
          <w:lang w:val="en-US"/>
        </w:rPr>
        <w:t xml:space="preserve"> </w:t>
      </w:r>
      <w:r w:rsidR="00355F02" w:rsidRPr="00CF6765">
        <w:rPr>
          <w:i/>
          <w:sz w:val="20"/>
          <w:szCs w:val="20"/>
          <w:lang w:val="en-US"/>
        </w:rPr>
        <w:t>et al.</w:t>
      </w:r>
    </w:p>
    <w:p w14:paraId="2A70C546" w14:textId="77777777" w:rsidR="00B370D2" w:rsidRPr="00CF6765" w:rsidRDefault="00B370D2" w:rsidP="00B370D2">
      <w:pPr>
        <w:pStyle w:val="Prrafodelista"/>
        <w:ind w:left="0"/>
        <w:rPr>
          <w:sz w:val="20"/>
          <w:szCs w:val="20"/>
          <w:lang w:val="en-US"/>
        </w:rPr>
      </w:pPr>
    </w:p>
    <w:p w14:paraId="53398972" w14:textId="5D3CD71A" w:rsidR="004A03FE" w:rsidRPr="00CF6765" w:rsidRDefault="004A03FE" w:rsidP="00B370D2">
      <w:pPr>
        <w:pStyle w:val="Prrafodelista"/>
        <w:numPr>
          <w:ilvl w:val="0"/>
          <w:numId w:val="33"/>
        </w:numPr>
        <w:ind w:left="0" w:firstLine="0"/>
        <w:rPr>
          <w:sz w:val="20"/>
          <w:szCs w:val="20"/>
          <w:lang w:val="en-US"/>
        </w:rPr>
      </w:pPr>
      <w:r w:rsidRPr="00CF6765">
        <w:rPr>
          <w:sz w:val="20"/>
          <w:szCs w:val="20"/>
          <w:lang w:val="en-US"/>
        </w:rPr>
        <w:t>I consider that this</w:t>
      </w:r>
      <w:r w:rsidR="00B370D2" w:rsidRPr="00CF6765">
        <w:rPr>
          <w:sz w:val="20"/>
          <w:szCs w:val="20"/>
          <w:lang w:val="en-US"/>
        </w:rPr>
        <w:t xml:space="preserve"> conceptual</w:t>
      </w:r>
      <w:r w:rsidRPr="00CF6765">
        <w:rPr>
          <w:sz w:val="20"/>
          <w:szCs w:val="20"/>
          <w:lang w:val="en-US"/>
        </w:rPr>
        <w:t xml:space="preserve"> omission has a direct effect on legal certainty, </w:t>
      </w:r>
      <w:r w:rsidR="0053683D" w:rsidRPr="00CF6765">
        <w:rPr>
          <w:sz w:val="20"/>
          <w:szCs w:val="20"/>
          <w:lang w:val="en-US"/>
        </w:rPr>
        <w:t xml:space="preserve">of </w:t>
      </w:r>
      <w:r w:rsidRPr="00CF6765">
        <w:rPr>
          <w:sz w:val="20"/>
          <w:szCs w:val="20"/>
          <w:lang w:val="en-US"/>
        </w:rPr>
        <w:t xml:space="preserve">which we are also the guardians, because it results in the impossibility of making an adequate </w:t>
      </w:r>
      <w:proofErr w:type="spellStart"/>
      <w:r w:rsidRPr="00CF6765">
        <w:rPr>
          <w:sz w:val="20"/>
          <w:szCs w:val="20"/>
          <w:lang w:val="en-US"/>
        </w:rPr>
        <w:t>subsumption</w:t>
      </w:r>
      <w:proofErr w:type="spellEnd"/>
      <w:r w:rsidRPr="00CF6765">
        <w:rPr>
          <w:sz w:val="20"/>
          <w:szCs w:val="20"/>
          <w:lang w:val="en-US"/>
        </w:rPr>
        <w:t xml:space="preserve"> of a specific fact in relation to a norm. Indeed, this approximation would appear to subsume the norm within a fact. Thus, it could be asked: What is the </w:t>
      </w:r>
      <w:r w:rsidR="0053683D" w:rsidRPr="00CF6765">
        <w:rPr>
          <w:sz w:val="20"/>
          <w:szCs w:val="20"/>
          <w:lang w:val="en-US"/>
        </w:rPr>
        <w:t xml:space="preserve">precise </w:t>
      </w:r>
      <w:r w:rsidRPr="00CF6765">
        <w:rPr>
          <w:sz w:val="20"/>
          <w:szCs w:val="20"/>
          <w:lang w:val="en-US"/>
        </w:rPr>
        <w:t xml:space="preserve">list of ESCER protected by the Convention? Where does this list begin and where does it end? This legal uncertainty affects not only the States, but also the victims of violations of their fundamental rights who seek to use the system of individual petitions. For example, the question arises as to: regarding which violation domestic remedies should be exhausted?  </w:t>
      </w:r>
      <w:r w:rsidR="00773423" w:rsidRPr="00CF6765">
        <w:rPr>
          <w:sz w:val="20"/>
          <w:szCs w:val="20"/>
          <w:lang w:val="en-US"/>
        </w:rPr>
        <w:t>A violation con</w:t>
      </w:r>
      <w:r w:rsidRPr="00CF6765">
        <w:rPr>
          <w:sz w:val="20"/>
          <w:szCs w:val="20"/>
          <w:lang w:val="en-US"/>
        </w:rPr>
        <w:t xml:space="preserve">stituted based on the “individual” dimension, or one that is constituted in the “collective” dimension, but that has effects on the individual dimension? From my perspective, the approach to the cases mentioned above does not provide an answer to any of the questions raised. As a court, we are obliged to </w:t>
      </w:r>
      <w:r w:rsidR="00034811" w:rsidRPr="00CF6765">
        <w:rPr>
          <w:sz w:val="20"/>
          <w:szCs w:val="20"/>
          <w:lang w:val="en-US"/>
        </w:rPr>
        <w:t>provide an answer that allows predictability; public trust</w:t>
      </w:r>
      <w:r w:rsidR="00773423" w:rsidRPr="00CF6765">
        <w:rPr>
          <w:sz w:val="20"/>
          <w:szCs w:val="20"/>
          <w:lang w:val="en-US"/>
        </w:rPr>
        <w:t xml:space="preserve"> in</w:t>
      </w:r>
      <w:r w:rsidR="00034811" w:rsidRPr="00CF6765">
        <w:rPr>
          <w:sz w:val="20"/>
          <w:szCs w:val="20"/>
          <w:lang w:val="en-US"/>
        </w:rPr>
        <w:t xml:space="preserve"> the inter-American institutional framework depends on this.</w:t>
      </w:r>
    </w:p>
    <w:p w14:paraId="7632CADC" w14:textId="77777777" w:rsidR="00B370D2" w:rsidRPr="00CF6765" w:rsidRDefault="00B370D2" w:rsidP="00B370D2">
      <w:pPr>
        <w:pStyle w:val="Prrafodelista"/>
        <w:ind w:left="0"/>
        <w:rPr>
          <w:sz w:val="20"/>
          <w:szCs w:val="20"/>
          <w:lang w:val="en-US"/>
        </w:rPr>
      </w:pPr>
    </w:p>
    <w:p w14:paraId="4ECB6410" w14:textId="1BAB3916" w:rsidR="00B370D2" w:rsidRPr="00CF6765" w:rsidRDefault="00034811" w:rsidP="00034811">
      <w:pPr>
        <w:pStyle w:val="Prrafodelista"/>
        <w:numPr>
          <w:ilvl w:val="0"/>
          <w:numId w:val="33"/>
        </w:numPr>
        <w:ind w:left="0" w:firstLine="0"/>
        <w:rPr>
          <w:sz w:val="20"/>
          <w:szCs w:val="20"/>
          <w:lang w:val="en-US"/>
        </w:rPr>
      </w:pPr>
      <w:r w:rsidRPr="00CF6765">
        <w:rPr>
          <w:sz w:val="20"/>
          <w:szCs w:val="20"/>
          <w:lang w:val="en-US"/>
        </w:rPr>
        <w:t xml:space="preserve">The reason for these reflections is not merely to generate a vigorous exchange of ideas, but also due to authentic concern about the </w:t>
      </w:r>
      <w:r w:rsidR="00773423" w:rsidRPr="00CF6765">
        <w:rPr>
          <w:sz w:val="20"/>
          <w:szCs w:val="20"/>
          <w:lang w:val="en-US"/>
        </w:rPr>
        <w:t xml:space="preserve">possible </w:t>
      </w:r>
      <w:r w:rsidRPr="00CF6765">
        <w:rPr>
          <w:sz w:val="20"/>
          <w:szCs w:val="20"/>
          <w:lang w:val="en-US"/>
        </w:rPr>
        <w:t xml:space="preserve">consequences and impact </w:t>
      </w:r>
      <w:r w:rsidR="00773423" w:rsidRPr="00CF6765">
        <w:rPr>
          <w:sz w:val="20"/>
          <w:szCs w:val="20"/>
          <w:lang w:val="en-US"/>
        </w:rPr>
        <w:t>of</w:t>
      </w:r>
      <w:r w:rsidRPr="00CF6765">
        <w:rPr>
          <w:sz w:val="20"/>
          <w:szCs w:val="20"/>
          <w:lang w:val="en-US"/>
        </w:rPr>
        <w:t xml:space="preserve"> our decisions. The current climate of legal uncertainty generated by the case of </w:t>
      </w:r>
      <w:r w:rsidRPr="00CF6765">
        <w:rPr>
          <w:i/>
          <w:sz w:val="20"/>
          <w:szCs w:val="20"/>
          <w:lang w:val="en-US"/>
        </w:rPr>
        <w:t>Lagos del Campo</w:t>
      </w:r>
      <w:r w:rsidRPr="00CF6765">
        <w:rPr>
          <w:sz w:val="20"/>
          <w:szCs w:val="20"/>
          <w:lang w:val="en-US"/>
        </w:rPr>
        <w:t xml:space="preserve">, opens the door to a wave of individual petitions based on presumed violations of the ESCER which could </w:t>
      </w:r>
      <w:r w:rsidR="00773423" w:rsidRPr="00CF6765">
        <w:rPr>
          <w:sz w:val="20"/>
          <w:szCs w:val="20"/>
          <w:lang w:val="en-US"/>
        </w:rPr>
        <w:t>exacerbate</w:t>
      </w:r>
      <w:r w:rsidRPr="00CF6765">
        <w:rPr>
          <w:sz w:val="20"/>
          <w:szCs w:val="20"/>
          <w:lang w:val="en-US"/>
        </w:rPr>
        <w:t xml:space="preserve"> the Commission’s problem of procedural backlog, </w:t>
      </w:r>
      <w:r w:rsidR="00773423" w:rsidRPr="00CF6765">
        <w:rPr>
          <w:sz w:val="20"/>
          <w:szCs w:val="20"/>
          <w:lang w:val="en-US"/>
        </w:rPr>
        <w:t>with the</w:t>
      </w:r>
      <w:r w:rsidRPr="00CF6765">
        <w:rPr>
          <w:sz w:val="20"/>
          <w:szCs w:val="20"/>
          <w:lang w:val="en-US"/>
        </w:rPr>
        <w:t xml:space="preserve"> resultin</w:t>
      </w:r>
      <w:r w:rsidR="00773423" w:rsidRPr="00CF6765">
        <w:rPr>
          <w:sz w:val="20"/>
          <w:szCs w:val="20"/>
          <w:lang w:val="en-US"/>
        </w:rPr>
        <w:t>g</w:t>
      </w:r>
      <w:r w:rsidRPr="00CF6765">
        <w:rPr>
          <w:sz w:val="20"/>
          <w:szCs w:val="20"/>
          <w:lang w:val="en-US"/>
        </w:rPr>
        <w:t xml:space="preserve"> harm</w:t>
      </w:r>
      <w:r w:rsidR="00773423" w:rsidRPr="00CF6765">
        <w:rPr>
          <w:sz w:val="20"/>
          <w:szCs w:val="20"/>
          <w:lang w:val="en-US"/>
        </w:rPr>
        <w:t xml:space="preserve"> to</w:t>
      </w:r>
      <w:r w:rsidRPr="00CF6765">
        <w:rPr>
          <w:sz w:val="20"/>
          <w:szCs w:val="20"/>
          <w:lang w:val="en-US"/>
        </w:rPr>
        <w:t xml:space="preserve"> the persons that the system is intended to protect. As a court, we have the responsibility and the obligation not to </w:t>
      </w:r>
      <w:r w:rsidR="00FB2D33" w:rsidRPr="00CF6765">
        <w:rPr>
          <w:sz w:val="20"/>
          <w:szCs w:val="20"/>
          <w:lang w:val="en-US"/>
        </w:rPr>
        <w:t>ignore</w:t>
      </w:r>
      <w:r w:rsidRPr="00CF6765">
        <w:rPr>
          <w:sz w:val="20"/>
          <w:szCs w:val="20"/>
          <w:lang w:val="en-US"/>
        </w:rPr>
        <w:t xml:space="preserve"> that reality, or many other realities in which our decisions will ultimately be applied.</w:t>
      </w:r>
    </w:p>
    <w:p w14:paraId="2685FC7A" w14:textId="77777777" w:rsidR="00FB2D33" w:rsidRPr="00CF6765" w:rsidRDefault="00FB2D33" w:rsidP="00FB2D33">
      <w:pPr>
        <w:pStyle w:val="Prrafodelista"/>
        <w:ind w:left="0"/>
        <w:rPr>
          <w:sz w:val="20"/>
          <w:szCs w:val="20"/>
          <w:lang w:val="en-US"/>
        </w:rPr>
      </w:pPr>
    </w:p>
    <w:p w14:paraId="6BCAA15C" w14:textId="78DF28EF" w:rsidR="00B370D2" w:rsidRPr="00CF6765" w:rsidRDefault="00034811" w:rsidP="00D03DD2">
      <w:pPr>
        <w:pStyle w:val="Prrafodelista"/>
        <w:numPr>
          <w:ilvl w:val="0"/>
          <w:numId w:val="33"/>
        </w:numPr>
        <w:ind w:left="0" w:firstLine="0"/>
        <w:rPr>
          <w:sz w:val="20"/>
          <w:szCs w:val="20"/>
          <w:lang w:val="en-US"/>
        </w:rPr>
      </w:pPr>
      <w:r w:rsidRPr="00CF6765">
        <w:rPr>
          <w:sz w:val="20"/>
          <w:szCs w:val="20"/>
          <w:lang w:val="en-US"/>
        </w:rPr>
        <w:t>In addition, this type of analysis makes</w:t>
      </w:r>
      <w:r w:rsidR="00B370D2" w:rsidRPr="00CF6765">
        <w:rPr>
          <w:sz w:val="20"/>
          <w:szCs w:val="20"/>
          <w:lang w:val="en-US"/>
        </w:rPr>
        <w:t xml:space="preserve"> </w:t>
      </w:r>
      <w:r w:rsidR="00355F02" w:rsidRPr="00CF6765">
        <w:rPr>
          <w:sz w:val="20"/>
          <w:szCs w:val="20"/>
          <w:lang w:val="en-US"/>
        </w:rPr>
        <w:t>the declaration of</w:t>
      </w:r>
      <w:r w:rsidRPr="00CF6765">
        <w:rPr>
          <w:sz w:val="20"/>
          <w:szCs w:val="20"/>
          <w:lang w:val="en-US"/>
        </w:rPr>
        <w:t xml:space="preserve"> the State’s</w:t>
      </w:r>
      <w:r w:rsidR="00B370D2" w:rsidRPr="00CF6765">
        <w:rPr>
          <w:sz w:val="20"/>
          <w:szCs w:val="20"/>
          <w:lang w:val="en-US"/>
        </w:rPr>
        <w:t xml:space="preserve"> </w:t>
      </w:r>
      <w:r w:rsidR="0088423A" w:rsidRPr="00CF6765">
        <w:rPr>
          <w:sz w:val="20"/>
          <w:szCs w:val="20"/>
          <w:lang w:val="en-US"/>
        </w:rPr>
        <w:t>international responsibility</w:t>
      </w:r>
      <w:r w:rsidR="00EC50FC" w:rsidRPr="00CF6765">
        <w:rPr>
          <w:sz w:val="20"/>
          <w:szCs w:val="20"/>
          <w:lang w:val="en-US"/>
        </w:rPr>
        <w:t xml:space="preserve"> </w:t>
      </w:r>
      <w:r w:rsidRPr="00CF6765">
        <w:rPr>
          <w:sz w:val="20"/>
          <w:szCs w:val="20"/>
          <w:lang w:val="en-US"/>
        </w:rPr>
        <w:t>for</w:t>
      </w:r>
      <w:r w:rsidR="00B370D2" w:rsidRPr="00CF6765">
        <w:rPr>
          <w:sz w:val="20"/>
          <w:szCs w:val="20"/>
          <w:lang w:val="en-US"/>
        </w:rPr>
        <w:t xml:space="preserve"> viola</w:t>
      </w:r>
      <w:r w:rsidRPr="00CF6765">
        <w:rPr>
          <w:sz w:val="20"/>
          <w:szCs w:val="20"/>
          <w:lang w:val="en-US"/>
        </w:rPr>
        <w:t>tion of</w:t>
      </w:r>
      <w:r w:rsidR="007A3516" w:rsidRPr="00CF6765">
        <w:rPr>
          <w:sz w:val="20"/>
          <w:szCs w:val="20"/>
          <w:lang w:val="en-US"/>
        </w:rPr>
        <w:t xml:space="preserve"> the right to health</w:t>
      </w:r>
      <w:r w:rsidRPr="00CF6765">
        <w:rPr>
          <w:sz w:val="20"/>
          <w:szCs w:val="20"/>
          <w:lang w:val="en-US"/>
        </w:rPr>
        <w:t xml:space="preserve"> appear futile, because, in reality, the rights affected – and proved before this Court – are </w:t>
      </w:r>
      <w:r w:rsidR="00057A11" w:rsidRPr="00CF6765">
        <w:rPr>
          <w:sz w:val="20"/>
          <w:szCs w:val="20"/>
          <w:lang w:val="en-US"/>
        </w:rPr>
        <w:t xml:space="preserve">Mr. Poblete </w:t>
      </w:r>
      <w:proofErr w:type="spellStart"/>
      <w:r w:rsidR="00057A11" w:rsidRPr="00CF6765">
        <w:rPr>
          <w:sz w:val="20"/>
          <w:szCs w:val="20"/>
          <w:lang w:val="en-US"/>
        </w:rPr>
        <w:t>Vilches’s</w:t>
      </w:r>
      <w:proofErr w:type="spellEnd"/>
      <w:r w:rsidR="00D03DD2" w:rsidRPr="00CF6765">
        <w:rPr>
          <w:sz w:val="20"/>
          <w:szCs w:val="20"/>
          <w:lang w:val="en-US"/>
        </w:rPr>
        <w:t xml:space="preserve"> rights to</w:t>
      </w:r>
      <w:r w:rsidRPr="00CF6765">
        <w:rPr>
          <w:sz w:val="20"/>
          <w:szCs w:val="20"/>
          <w:lang w:val="en-US"/>
        </w:rPr>
        <w:t xml:space="preserve"> personal integrity and life</w:t>
      </w:r>
      <w:r w:rsidR="00B370D2" w:rsidRPr="00CF6765">
        <w:rPr>
          <w:sz w:val="20"/>
          <w:szCs w:val="20"/>
          <w:lang w:val="en-US"/>
        </w:rPr>
        <w:t xml:space="preserve">. </w:t>
      </w:r>
      <w:r w:rsidR="00D03DD2" w:rsidRPr="00CF6765">
        <w:rPr>
          <w:sz w:val="20"/>
          <w:szCs w:val="20"/>
          <w:lang w:val="en-US"/>
        </w:rPr>
        <w:t xml:space="preserve">This reinforces the prudence of the </w:t>
      </w:r>
      <w:r w:rsidR="00FB2D33" w:rsidRPr="00CF6765">
        <w:rPr>
          <w:sz w:val="20"/>
          <w:szCs w:val="20"/>
          <w:lang w:val="en-US"/>
        </w:rPr>
        <w:t>thesis</w:t>
      </w:r>
      <w:r w:rsidR="00D03DD2" w:rsidRPr="00CF6765">
        <w:rPr>
          <w:sz w:val="20"/>
          <w:szCs w:val="20"/>
          <w:lang w:val="en-US"/>
        </w:rPr>
        <w:t xml:space="preserve"> that affirms that </w:t>
      </w:r>
      <w:r w:rsidR="00DE6950" w:rsidRPr="00CF6765">
        <w:rPr>
          <w:sz w:val="20"/>
          <w:szCs w:val="20"/>
          <w:lang w:val="en-US"/>
        </w:rPr>
        <w:t>the right</w:t>
      </w:r>
      <w:r w:rsidR="00925BAC" w:rsidRPr="00CF6765">
        <w:rPr>
          <w:sz w:val="20"/>
          <w:szCs w:val="20"/>
          <w:lang w:val="en-US"/>
        </w:rPr>
        <w:t xml:space="preserve"> to health</w:t>
      </w:r>
      <w:r w:rsidR="00D03DD2" w:rsidRPr="00CF6765">
        <w:rPr>
          <w:sz w:val="20"/>
          <w:szCs w:val="20"/>
          <w:lang w:val="en-US"/>
        </w:rPr>
        <w:t>, in its “individual” dimension,</w:t>
      </w:r>
      <w:r w:rsidR="00B370D2" w:rsidRPr="00CF6765">
        <w:rPr>
          <w:sz w:val="20"/>
          <w:szCs w:val="20"/>
          <w:lang w:val="en-US"/>
        </w:rPr>
        <w:t xml:space="preserve"> </w:t>
      </w:r>
      <w:r w:rsidR="00D03DD2" w:rsidRPr="00CF6765">
        <w:rPr>
          <w:sz w:val="20"/>
          <w:szCs w:val="20"/>
          <w:lang w:val="en-US"/>
        </w:rPr>
        <w:t xml:space="preserve">should be analyzed in relation to the right to personal integrity or to life and, in its “progressive” dimension, in relation to the sufficiency of the health services provided by the State. Focusing the analysis in this way would allow the Court to identify, on the one hand, when it is possible to link the State’s actions in the area of the provision of health services to the violation of the personal integrity or the life of a person. On the other hand, it would allow the Court to evaluate when the State’s public policies in the area of the ESCER, </w:t>
      </w:r>
      <w:r w:rsidR="00D03DD2" w:rsidRPr="00CF6765">
        <w:rPr>
          <w:i/>
          <w:iCs/>
          <w:sz w:val="20"/>
          <w:szCs w:val="20"/>
          <w:lang w:val="en-US"/>
        </w:rPr>
        <w:t>per se</w:t>
      </w:r>
      <w:r w:rsidR="00D03DD2" w:rsidRPr="00CF6765">
        <w:rPr>
          <w:sz w:val="20"/>
          <w:szCs w:val="20"/>
          <w:lang w:val="en-US"/>
        </w:rPr>
        <w:t xml:space="preserve">, violate the obligations of progressivity established in </w:t>
      </w:r>
      <w:r w:rsidR="005C731C" w:rsidRPr="00CF6765">
        <w:rPr>
          <w:sz w:val="20"/>
          <w:szCs w:val="20"/>
          <w:lang w:val="en-US"/>
        </w:rPr>
        <w:t>Article</w:t>
      </w:r>
      <w:r w:rsidR="00B370D2" w:rsidRPr="00CF6765">
        <w:rPr>
          <w:sz w:val="20"/>
          <w:szCs w:val="20"/>
          <w:lang w:val="en-US"/>
        </w:rPr>
        <w:t xml:space="preserve"> 26</w:t>
      </w:r>
      <w:r w:rsidR="005C731C" w:rsidRPr="00CF6765">
        <w:rPr>
          <w:sz w:val="20"/>
          <w:szCs w:val="20"/>
          <w:lang w:val="en-US"/>
        </w:rPr>
        <w:t xml:space="preserve"> of the Convention</w:t>
      </w:r>
      <w:r w:rsidR="00B370D2" w:rsidRPr="00CF6765">
        <w:rPr>
          <w:sz w:val="20"/>
          <w:szCs w:val="20"/>
          <w:lang w:val="en-US"/>
        </w:rPr>
        <w:t xml:space="preserve">. </w:t>
      </w:r>
      <w:r w:rsidR="00355F02" w:rsidRPr="00CF6765">
        <w:rPr>
          <w:sz w:val="20"/>
          <w:szCs w:val="20"/>
          <w:lang w:val="en-US"/>
        </w:rPr>
        <w:t>In the first hypothesis, the analysis would be made based on</w:t>
      </w:r>
      <w:r w:rsidR="0088423A" w:rsidRPr="00CF6765">
        <w:rPr>
          <w:sz w:val="20"/>
          <w:szCs w:val="20"/>
          <w:lang w:val="en-US"/>
        </w:rPr>
        <w:t xml:space="preserve"> Article</w:t>
      </w:r>
      <w:r w:rsidR="00B370D2" w:rsidRPr="00CF6765">
        <w:rPr>
          <w:sz w:val="20"/>
          <w:szCs w:val="20"/>
          <w:lang w:val="en-US"/>
        </w:rPr>
        <w:t xml:space="preserve"> 4 </w:t>
      </w:r>
      <w:r w:rsidR="00355F02" w:rsidRPr="00CF6765">
        <w:rPr>
          <w:sz w:val="20"/>
          <w:szCs w:val="20"/>
          <w:lang w:val="en-US"/>
        </w:rPr>
        <w:t>and/or</w:t>
      </w:r>
      <w:r w:rsidR="00B370D2" w:rsidRPr="00CF6765">
        <w:rPr>
          <w:sz w:val="20"/>
          <w:szCs w:val="20"/>
          <w:lang w:val="en-US"/>
        </w:rPr>
        <w:t xml:space="preserve"> 5 </w:t>
      </w:r>
      <w:r w:rsidR="00690D57" w:rsidRPr="00CF6765">
        <w:rPr>
          <w:sz w:val="20"/>
          <w:szCs w:val="20"/>
          <w:lang w:val="en-US"/>
        </w:rPr>
        <w:t>in relation to Article</w:t>
      </w:r>
      <w:r w:rsidR="00B370D2" w:rsidRPr="00CF6765">
        <w:rPr>
          <w:sz w:val="20"/>
          <w:szCs w:val="20"/>
          <w:lang w:val="en-US"/>
        </w:rPr>
        <w:t xml:space="preserve"> 26</w:t>
      </w:r>
      <w:r w:rsidR="00EC50FC" w:rsidRPr="00CF6765">
        <w:rPr>
          <w:sz w:val="20"/>
          <w:szCs w:val="20"/>
          <w:lang w:val="en-US"/>
        </w:rPr>
        <w:t xml:space="preserve"> and</w:t>
      </w:r>
      <w:r w:rsidR="009C2DEF" w:rsidRPr="00CF6765">
        <w:rPr>
          <w:sz w:val="20"/>
          <w:szCs w:val="20"/>
          <w:lang w:val="en-US"/>
        </w:rPr>
        <w:t xml:space="preserve"> 1(1)</w:t>
      </w:r>
      <w:r w:rsidR="00355F02" w:rsidRPr="00CF6765">
        <w:rPr>
          <w:sz w:val="20"/>
          <w:szCs w:val="20"/>
          <w:lang w:val="en-US"/>
        </w:rPr>
        <w:t xml:space="preserve"> </w:t>
      </w:r>
      <w:r w:rsidR="00355F02" w:rsidRPr="00CF6765">
        <w:rPr>
          <w:sz w:val="20"/>
          <w:szCs w:val="20"/>
          <w:lang w:val="en-US"/>
        </w:rPr>
        <w:lastRenderedPageBreak/>
        <w:t>and, in the second hypothesis, it would be made directly on the bas</w:t>
      </w:r>
      <w:r w:rsidR="00057A11" w:rsidRPr="00CF6765">
        <w:rPr>
          <w:sz w:val="20"/>
          <w:szCs w:val="20"/>
          <w:lang w:val="en-US"/>
        </w:rPr>
        <w:t>is</w:t>
      </w:r>
      <w:r w:rsidR="00355F02" w:rsidRPr="00CF6765">
        <w:rPr>
          <w:sz w:val="20"/>
          <w:szCs w:val="20"/>
          <w:lang w:val="en-US"/>
        </w:rPr>
        <w:t xml:space="preserve"> </w:t>
      </w:r>
      <w:r w:rsidR="0088423A" w:rsidRPr="00CF6765">
        <w:rPr>
          <w:sz w:val="20"/>
          <w:szCs w:val="20"/>
          <w:lang w:val="en-US"/>
        </w:rPr>
        <w:t>of Article</w:t>
      </w:r>
      <w:r w:rsidR="00B370D2" w:rsidRPr="00CF6765">
        <w:rPr>
          <w:sz w:val="20"/>
          <w:szCs w:val="20"/>
          <w:lang w:val="en-US"/>
        </w:rPr>
        <w:t xml:space="preserve"> 26 </w:t>
      </w:r>
      <w:r w:rsidR="00690D57" w:rsidRPr="00CF6765">
        <w:rPr>
          <w:sz w:val="20"/>
          <w:szCs w:val="20"/>
          <w:lang w:val="en-US"/>
        </w:rPr>
        <w:t>in relation to Article</w:t>
      </w:r>
      <w:r w:rsidR="00EC50FC" w:rsidRPr="00CF6765">
        <w:rPr>
          <w:sz w:val="20"/>
          <w:szCs w:val="20"/>
          <w:lang w:val="en-US"/>
        </w:rPr>
        <w:t xml:space="preserve"> 1(1)</w:t>
      </w:r>
      <w:r w:rsidR="005C731C" w:rsidRPr="00CF6765">
        <w:rPr>
          <w:sz w:val="20"/>
          <w:szCs w:val="20"/>
          <w:lang w:val="en-US"/>
        </w:rPr>
        <w:t xml:space="preserve"> of the Convention</w:t>
      </w:r>
      <w:r w:rsidR="00B370D2" w:rsidRPr="00CF6765">
        <w:rPr>
          <w:sz w:val="20"/>
          <w:szCs w:val="20"/>
          <w:lang w:val="en-US"/>
        </w:rPr>
        <w:t>.</w:t>
      </w:r>
    </w:p>
    <w:p w14:paraId="579D47AC" w14:textId="77777777" w:rsidR="00B370D2" w:rsidRPr="00CF6765" w:rsidRDefault="00B370D2" w:rsidP="00B370D2">
      <w:pPr>
        <w:rPr>
          <w:sz w:val="20"/>
          <w:szCs w:val="20"/>
          <w:lang w:val="en-US"/>
        </w:rPr>
      </w:pPr>
    </w:p>
    <w:p w14:paraId="47D37810" w14:textId="3A01C332" w:rsidR="00B370D2" w:rsidRPr="00CF6765" w:rsidRDefault="00D03DD2" w:rsidP="00D03DD2">
      <w:pPr>
        <w:pStyle w:val="Prrafodelista"/>
        <w:numPr>
          <w:ilvl w:val="0"/>
          <w:numId w:val="33"/>
        </w:numPr>
        <w:ind w:left="0" w:firstLine="0"/>
        <w:rPr>
          <w:sz w:val="20"/>
          <w:szCs w:val="20"/>
          <w:lang w:val="en-US"/>
        </w:rPr>
      </w:pPr>
      <w:r w:rsidRPr="00CF6765">
        <w:rPr>
          <w:sz w:val="20"/>
          <w:szCs w:val="20"/>
          <w:lang w:val="en-US"/>
        </w:rPr>
        <w:t>An approach of this nature would allow the Court to distinguish the cases in which the State is responsible for the violation of an individual right as the result of deficient medical care in a public hospital, and those in which</w:t>
      </w:r>
      <w:r w:rsidR="008000E7" w:rsidRPr="00CF6765">
        <w:rPr>
          <w:sz w:val="20"/>
          <w:szCs w:val="20"/>
          <w:lang w:val="en-US"/>
        </w:rPr>
        <w:t xml:space="preserve"> it is</w:t>
      </w:r>
      <w:r w:rsidRPr="00CF6765">
        <w:rPr>
          <w:sz w:val="20"/>
          <w:szCs w:val="20"/>
          <w:lang w:val="en-US"/>
        </w:rPr>
        <w:t xml:space="preserve"> the </w:t>
      </w:r>
      <w:r w:rsidR="008000E7" w:rsidRPr="00CF6765">
        <w:rPr>
          <w:sz w:val="20"/>
          <w:szCs w:val="20"/>
          <w:lang w:val="en-US"/>
        </w:rPr>
        <w:t xml:space="preserve">benefit-related </w:t>
      </w:r>
      <w:r w:rsidRPr="00CF6765">
        <w:rPr>
          <w:sz w:val="20"/>
          <w:szCs w:val="20"/>
          <w:lang w:val="en-US"/>
        </w:rPr>
        <w:t xml:space="preserve">elements of the health services, </w:t>
      </w:r>
      <w:r w:rsidRPr="00CF6765">
        <w:rPr>
          <w:i/>
          <w:iCs/>
          <w:sz w:val="20"/>
          <w:szCs w:val="20"/>
          <w:lang w:val="en-US"/>
        </w:rPr>
        <w:t>per se</w:t>
      </w:r>
      <w:r w:rsidRPr="00CF6765">
        <w:rPr>
          <w:sz w:val="20"/>
          <w:szCs w:val="20"/>
          <w:lang w:val="en-US"/>
        </w:rPr>
        <w:t xml:space="preserve">, </w:t>
      </w:r>
      <w:r w:rsidR="008000E7" w:rsidRPr="00CF6765">
        <w:rPr>
          <w:sz w:val="20"/>
          <w:szCs w:val="20"/>
          <w:lang w:val="en-US"/>
        </w:rPr>
        <w:t xml:space="preserve">that </w:t>
      </w:r>
      <w:r w:rsidRPr="00CF6765">
        <w:rPr>
          <w:sz w:val="20"/>
          <w:szCs w:val="20"/>
          <w:lang w:val="en-US"/>
        </w:rPr>
        <w:t xml:space="preserve">violate Article 26 of the Convention. Evidently, the analysis of </w:t>
      </w:r>
      <w:r w:rsidR="008000E7" w:rsidRPr="00CF6765">
        <w:rPr>
          <w:sz w:val="20"/>
          <w:szCs w:val="20"/>
          <w:lang w:val="en-US"/>
        </w:rPr>
        <w:t>the benefit-related</w:t>
      </w:r>
      <w:r w:rsidRPr="00CF6765">
        <w:rPr>
          <w:sz w:val="20"/>
          <w:szCs w:val="20"/>
          <w:lang w:val="en-US"/>
        </w:rPr>
        <w:t xml:space="preserve"> aspects requires </w:t>
      </w:r>
      <w:r w:rsidR="008000E7" w:rsidRPr="00CF6765">
        <w:rPr>
          <w:sz w:val="20"/>
          <w:szCs w:val="20"/>
          <w:lang w:val="en-US"/>
        </w:rPr>
        <w:t>a significant</w:t>
      </w:r>
      <w:r w:rsidRPr="00CF6765">
        <w:rPr>
          <w:sz w:val="20"/>
          <w:szCs w:val="20"/>
          <w:lang w:val="en-US"/>
        </w:rPr>
        <w:t xml:space="preserve"> methodological and conceptual effort, but it would </w:t>
      </w:r>
      <w:r w:rsidR="008000E7" w:rsidRPr="00CF6765">
        <w:rPr>
          <w:sz w:val="20"/>
          <w:szCs w:val="20"/>
          <w:lang w:val="en-US"/>
        </w:rPr>
        <w:t>accord</w:t>
      </w:r>
      <w:r w:rsidRPr="00CF6765">
        <w:rPr>
          <w:sz w:val="20"/>
          <w:szCs w:val="20"/>
          <w:lang w:val="en-US"/>
        </w:rPr>
        <w:t xml:space="preserve"> a certain rationality and objectivity to the attribution of responsibility to the State based on Article 26. It would also </w:t>
      </w:r>
      <w:r w:rsidR="00E27148" w:rsidRPr="00CF6765">
        <w:rPr>
          <w:sz w:val="20"/>
          <w:szCs w:val="20"/>
          <w:lang w:val="en-US"/>
        </w:rPr>
        <w:t>allow</w:t>
      </w:r>
      <w:r w:rsidRPr="00CF6765">
        <w:rPr>
          <w:sz w:val="20"/>
          <w:szCs w:val="20"/>
          <w:lang w:val="en-US"/>
        </w:rPr>
        <w:t xml:space="preserve"> a causal nexus to be established between the declaration of the violation of the right to health and the measures of reparation focused on improving the State’s public policies. However, in this case, the Court evaluat</w:t>
      </w:r>
      <w:r w:rsidR="000D2A44" w:rsidRPr="00CF6765">
        <w:rPr>
          <w:sz w:val="20"/>
          <w:szCs w:val="20"/>
          <w:lang w:val="en-US"/>
        </w:rPr>
        <w:t>e</w:t>
      </w:r>
      <w:r w:rsidRPr="00CF6765">
        <w:rPr>
          <w:sz w:val="20"/>
          <w:szCs w:val="20"/>
          <w:lang w:val="en-US"/>
        </w:rPr>
        <w:t xml:space="preserve">d the provision of a health care service in a public hospital and, on that basis, derived an “individual” violation </w:t>
      </w:r>
      <w:r w:rsidR="00D04694" w:rsidRPr="00CF6765">
        <w:rPr>
          <w:sz w:val="20"/>
          <w:szCs w:val="20"/>
          <w:lang w:val="en-US"/>
        </w:rPr>
        <w:t>of Mr.</w:t>
      </w:r>
      <w:r w:rsidR="00D2168F" w:rsidRPr="00CF6765">
        <w:rPr>
          <w:sz w:val="20"/>
          <w:szCs w:val="20"/>
          <w:lang w:val="en-US"/>
        </w:rPr>
        <w:t xml:space="preserve"> Poblete</w:t>
      </w:r>
      <w:r w:rsidR="00B370D2" w:rsidRPr="00CF6765">
        <w:rPr>
          <w:sz w:val="20"/>
          <w:szCs w:val="20"/>
          <w:lang w:val="en-US"/>
        </w:rPr>
        <w:t xml:space="preserve"> </w:t>
      </w:r>
      <w:proofErr w:type="spellStart"/>
      <w:r w:rsidR="00B370D2" w:rsidRPr="00CF6765">
        <w:rPr>
          <w:sz w:val="20"/>
          <w:szCs w:val="20"/>
          <w:lang w:val="en-US"/>
        </w:rPr>
        <w:t>Vilches</w:t>
      </w:r>
      <w:r w:rsidR="008000E7" w:rsidRPr="00CF6765">
        <w:rPr>
          <w:sz w:val="20"/>
          <w:szCs w:val="20"/>
          <w:lang w:val="en-US"/>
        </w:rPr>
        <w:t>’s</w:t>
      </w:r>
      <w:proofErr w:type="spellEnd"/>
      <w:r w:rsidR="008000E7" w:rsidRPr="00CF6765">
        <w:rPr>
          <w:sz w:val="20"/>
          <w:szCs w:val="20"/>
          <w:lang w:val="en-US"/>
        </w:rPr>
        <w:t xml:space="preserve"> right to health</w:t>
      </w:r>
      <w:r w:rsidR="00B370D2" w:rsidRPr="00CF6765">
        <w:rPr>
          <w:sz w:val="20"/>
          <w:szCs w:val="20"/>
          <w:lang w:val="en-US"/>
        </w:rPr>
        <w:t xml:space="preserve"> </w:t>
      </w:r>
      <w:r w:rsidR="000D2A44" w:rsidRPr="00CF6765">
        <w:rPr>
          <w:sz w:val="20"/>
          <w:szCs w:val="20"/>
          <w:lang w:val="en-US"/>
        </w:rPr>
        <w:t>based on</w:t>
      </w:r>
      <w:r w:rsidR="0088423A" w:rsidRPr="00CF6765">
        <w:rPr>
          <w:sz w:val="20"/>
          <w:szCs w:val="20"/>
          <w:lang w:val="en-US"/>
        </w:rPr>
        <w:t xml:space="preserve"> Article</w:t>
      </w:r>
      <w:r w:rsidR="00B370D2" w:rsidRPr="00CF6765">
        <w:rPr>
          <w:sz w:val="20"/>
          <w:szCs w:val="20"/>
          <w:lang w:val="en-US"/>
        </w:rPr>
        <w:t xml:space="preserve"> 26</w:t>
      </w:r>
      <w:r w:rsidR="005C731C" w:rsidRPr="00CF6765">
        <w:rPr>
          <w:sz w:val="20"/>
          <w:szCs w:val="20"/>
          <w:lang w:val="en-US"/>
        </w:rPr>
        <w:t xml:space="preserve"> of the Convention</w:t>
      </w:r>
      <w:r w:rsidR="00B370D2" w:rsidRPr="00CF6765">
        <w:rPr>
          <w:sz w:val="20"/>
          <w:szCs w:val="20"/>
          <w:lang w:val="en-US"/>
        </w:rPr>
        <w:t>.</w:t>
      </w:r>
    </w:p>
    <w:p w14:paraId="16B1CAD7" w14:textId="77777777" w:rsidR="00B370D2" w:rsidRPr="00CF6765" w:rsidRDefault="00B370D2" w:rsidP="00B370D2">
      <w:pPr>
        <w:pStyle w:val="Prrafodelista"/>
        <w:ind w:left="0"/>
        <w:rPr>
          <w:sz w:val="20"/>
          <w:szCs w:val="20"/>
          <w:lang w:val="en-US"/>
        </w:rPr>
      </w:pPr>
    </w:p>
    <w:p w14:paraId="733D6EB0" w14:textId="58AB6EA4" w:rsidR="00B370D2" w:rsidRPr="00CF6765" w:rsidRDefault="000D2A44" w:rsidP="000D2A44">
      <w:pPr>
        <w:pStyle w:val="Prrafodelista"/>
        <w:numPr>
          <w:ilvl w:val="0"/>
          <w:numId w:val="33"/>
        </w:numPr>
        <w:ind w:left="0" w:firstLine="0"/>
        <w:rPr>
          <w:sz w:val="20"/>
          <w:szCs w:val="20"/>
          <w:lang w:val="en-US"/>
        </w:rPr>
      </w:pPr>
      <w:r w:rsidRPr="00CF6765">
        <w:rPr>
          <w:sz w:val="20"/>
          <w:szCs w:val="20"/>
          <w:lang w:val="en-US"/>
        </w:rPr>
        <w:t xml:space="preserve">Nevertheless, the methodology used by the Court makes it difficult – or impossible in this case – to identify the causal nexus between the </w:t>
      </w:r>
      <w:r w:rsidR="00CA1B96" w:rsidRPr="00CF6765">
        <w:rPr>
          <w:sz w:val="20"/>
          <w:szCs w:val="20"/>
          <w:lang w:val="en-US"/>
        </w:rPr>
        <w:t xml:space="preserve">State’s </w:t>
      </w:r>
      <w:r w:rsidRPr="00CF6765">
        <w:rPr>
          <w:sz w:val="20"/>
          <w:szCs w:val="20"/>
          <w:lang w:val="en-US"/>
        </w:rPr>
        <w:t xml:space="preserve">acts and omissions and the violation of </w:t>
      </w:r>
      <w:r w:rsidR="00D04694" w:rsidRPr="00CF6765">
        <w:rPr>
          <w:sz w:val="20"/>
          <w:szCs w:val="20"/>
          <w:lang w:val="en-US"/>
        </w:rPr>
        <w:t>Mr.</w:t>
      </w:r>
      <w:r w:rsidR="00D2168F" w:rsidRPr="00CF6765">
        <w:rPr>
          <w:sz w:val="20"/>
          <w:szCs w:val="20"/>
          <w:lang w:val="en-US"/>
        </w:rPr>
        <w:t xml:space="preserve"> Poblete</w:t>
      </w:r>
      <w:r w:rsidR="00B370D2" w:rsidRPr="00CF6765">
        <w:rPr>
          <w:sz w:val="20"/>
          <w:szCs w:val="20"/>
          <w:lang w:val="en-US"/>
        </w:rPr>
        <w:t xml:space="preserve"> </w:t>
      </w:r>
      <w:proofErr w:type="spellStart"/>
      <w:r w:rsidR="00B370D2" w:rsidRPr="00CF6765">
        <w:rPr>
          <w:sz w:val="20"/>
          <w:szCs w:val="20"/>
          <w:lang w:val="en-US"/>
        </w:rPr>
        <w:t>Vilches</w:t>
      </w:r>
      <w:r w:rsidR="00392A9A">
        <w:rPr>
          <w:sz w:val="20"/>
          <w:szCs w:val="20"/>
          <w:lang w:val="en-US"/>
        </w:rPr>
        <w:t>’s</w:t>
      </w:r>
      <w:proofErr w:type="spellEnd"/>
      <w:r w:rsidR="00392A9A" w:rsidRPr="00392A9A">
        <w:rPr>
          <w:sz w:val="20"/>
          <w:szCs w:val="20"/>
          <w:lang w:val="en-US"/>
        </w:rPr>
        <w:t xml:space="preserve"> </w:t>
      </w:r>
      <w:r w:rsidR="00392A9A" w:rsidRPr="00CF6765">
        <w:rPr>
          <w:sz w:val="20"/>
          <w:szCs w:val="20"/>
          <w:lang w:val="en-US"/>
        </w:rPr>
        <w:t>the right to health</w:t>
      </w:r>
      <w:r w:rsidR="00B370D2" w:rsidRPr="00CF6765">
        <w:rPr>
          <w:sz w:val="20"/>
          <w:szCs w:val="20"/>
          <w:lang w:val="en-US"/>
        </w:rPr>
        <w:t xml:space="preserve">. </w:t>
      </w:r>
      <w:r w:rsidRPr="00CF6765">
        <w:rPr>
          <w:sz w:val="20"/>
          <w:szCs w:val="20"/>
          <w:lang w:val="en-US"/>
        </w:rPr>
        <w:t xml:space="preserve">It is true that </w:t>
      </w:r>
      <w:r w:rsidR="00E721B3" w:rsidRPr="00CF6765">
        <w:rPr>
          <w:sz w:val="20"/>
          <w:szCs w:val="20"/>
          <w:lang w:val="en-US"/>
        </w:rPr>
        <w:t>the judgment</w:t>
      </w:r>
      <w:r w:rsidR="00B370D2" w:rsidRPr="00CF6765">
        <w:rPr>
          <w:sz w:val="20"/>
          <w:szCs w:val="20"/>
          <w:lang w:val="en-US"/>
        </w:rPr>
        <w:t xml:space="preserve"> consider</w:t>
      </w:r>
      <w:r w:rsidRPr="00CF6765">
        <w:rPr>
          <w:sz w:val="20"/>
          <w:szCs w:val="20"/>
          <w:lang w:val="en-US"/>
        </w:rPr>
        <w:t xml:space="preserve">ed a series of acts that established </w:t>
      </w:r>
      <w:r w:rsidR="008F31F2" w:rsidRPr="00CF6765">
        <w:rPr>
          <w:sz w:val="20"/>
          <w:szCs w:val="20"/>
          <w:lang w:val="en-US"/>
        </w:rPr>
        <w:t>the violation</w:t>
      </w:r>
      <w:r w:rsidR="0077190E" w:rsidRPr="00CF6765">
        <w:rPr>
          <w:sz w:val="20"/>
          <w:szCs w:val="20"/>
          <w:lang w:val="en-US"/>
        </w:rPr>
        <w:t xml:space="preserve"> of the </w:t>
      </w:r>
      <w:r w:rsidR="007A3516" w:rsidRPr="00CF6765">
        <w:rPr>
          <w:sz w:val="20"/>
          <w:szCs w:val="20"/>
          <w:lang w:val="en-US"/>
        </w:rPr>
        <w:t>right to health</w:t>
      </w:r>
      <w:r w:rsidRPr="00CF6765">
        <w:rPr>
          <w:sz w:val="20"/>
          <w:szCs w:val="20"/>
          <w:lang w:val="en-US"/>
        </w:rPr>
        <w:t>.</w:t>
      </w:r>
      <w:r w:rsidR="00B370D2" w:rsidRPr="00CF6765">
        <w:rPr>
          <w:rStyle w:val="Refdenotaalpie"/>
          <w:sz w:val="20"/>
          <w:szCs w:val="20"/>
          <w:lang w:val="en-US"/>
        </w:rPr>
        <w:footnoteReference w:id="347"/>
      </w:r>
      <w:r w:rsidRPr="00CF6765">
        <w:rPr>
          <w:sz w:val="20"/>
          <w:szCs w:val="20"/>
          <w:lang w:val="en-US"/>
        </w:rPr>
        <w:t xml:space="preserve"> However, it is </w:t>
      </w:r>
      <w:r w:rsidR="00E27148" w:rsidRPr="00CF6765">
        <w:rPr>
          <w:sz w:val="20"/>
          <w:szCs w:val="20"/>
          <w:lang w:val="en-US"/>
        </w:rPr>
        <w:t>unclear</w:t>
      </w:r>
      <w:r w:rsidRPr="00CF6765">
        <w:rPr>
          <w:sz w:val="20"/>
          <w:szCs w:val="20"/>
          <w:lang w:val="en-US"/>
        </w:rPr>
        <w:t xml:space="preserve"> how those acts had repercussions on the victim’s health, and it would </w:t>
      </w:r>
      <w:r w:rsidR="00CA1B96" w:rsidRPr="00CF6765">
        <w:rPr>
          <w:sz w:val="20"/>
          <w:szCs w:val="20"/>
          <w:lang w:val="en-US"/>
        </w:rPr>
        <w:t>appear</w:t>
      </w:r>
      <w:r w:rsidRPr="00CF6765">
        <w:rPr>
          <w:sz w:val="20"/>
          <w:szCs w:val="20"/>
          <w:lang w:val="en-US"/>
        </w:rPr>
        <w:t xml:space="preserve"> that</w:t>
      </w:r>
      <w:r w:rsidR="00CA1B96" w:rsidRPr="00CF6765">
        <w:rPr>
          <w:sz w:val="20"/>
          <w:szCs w:val="20"/>
          <w:lang w:val="en-US"/>
        </w:rPr>
        <w:t>,</w:t>
      </w:r>
      <w:r w:rsidRPr="00CF6765">
        <w:rPr>
          <w:sz w:val="20"/>
          <w:szCs w:val="20"/>
          <w:lang w:val="en-US"/>
        </w:rPr>
        <w:t xml:space="preserve"> as there were a series of omissions in the provision of the service, this involved an automatic violation of the right to health. </w:t>
      </w:r>
      <w:r w:rsidR="00CA1B96" w:rsidRPr="00CF6765">
        <w:rPr>
          <w:sz w:val="20"/>
          <w:szCs w:val="20"/>
          <w:lang w:val="en-US"/>
        </w:rPr>
        <w:t>To</w:t>
      </w:r>
      <w:r w:rsidRPr="00CF6765">
        <w:rPr>
          <w:sz w:val="20"/>
          <w:szCs w:val="20"/>
          <w:lang w:val="en-US"/>
        </w:rPr>
        <w:t xml:space="preserve"> overcome this problem, it would </w:t>
      </w:r>
      <w:r w:rsidR="00CA1B96" w:rsidRPr="00CF6765">
        <w:rPr>
          <w:sz w:val="20"/>
          <w:szCs w:val="20"/>
          <w:lang w:val="en-US"/>
        </w:rPr>
        <w:t xml:space="preserve">perhaps </w:t>
      </w:r>
      <w:r w:rsidRPr="00CF6765">
        <w:rPr>
          <w:sz w:val="20"/>
          <w:szCs w:val="20"/>
          <w:lang w:val="en-US"/>
        </w:rPr>
        <w:t>have been necessary to determine clearly what the right to health in its “individual” dimensions consists</w:t>
      </w:r>
      <w:r w:rsidR="00CA1B96" w:rsidRPr="00CF6765">
        <w:rPr>
          <w:sz w:val="20"/>
          <w:szCs w:val="20"/>
          <w:lang w:val="en-US"/>
        </w:rPr>
        <w:t xml:space="preserve"> of</w:t>
      </w:r>
      <w:r w:rsidRPr="00CF6765">
        <w:rPr>
          <w:sz w:val="20"/>
          <w:szCs w:val="20"/>
          <w:lang w:val="en-US"/>
        </w:rPr>
        <w:t xml:space="preserve">, and to establish clearly how the State’s actions violated that right. But even in this case, the Court would have had to act as a legislator, because the right to health, as it is regulated in Article 26 of the Convention, </w:t>
      </w:r>
      <w:r w:rsidR="00CA1B96" w:rsidRPr="00CF6765">
        <w:rPr>
          <w:sz w:val="20"/>
          <w:szCs w:val="20"/>
          <w:lang w:val="en-US"/>
        </w:rPr>
        <w:t>is a benefit-related</w:t>
      </w:r>
      <w:r w:rsidRPr="00CF6765">
        <w:rPr>
          <w:sz w:val="20"/>
          <w:szCs w:val="20"/>
          <w:lang w:val="en-US"/>
        </w:rPr>
        <w:t xml:space="preserve"> right, so that declaring a State responsible for the violation of that right because a person did not have access to adequate medical care would mean that a system for the provision of health services is judged on the basis of one specific act.</w:t>
      </w:r>
    </w:p>
    <w:p w14:paraId="6B04FEC4" w14:textId="77777777" w:rsidR="000D2A44" w:rsidRPr="00CF6765" w:rsidRDefault="000D2A44" w:rsidP="000D2A44">
      <w:pPr>
        <w:pStyle w:val="Prrafodelista"/>
        <w:ind w:left="0"/>
        <w:rPr>
          <w:sz w:val="20"/>
          <w:szCs w:val="20"/>
          <w:lang w:val="en-US"/>
        </w:rPr>
      </w:pPr>
    </w:p>
    <w:p w14:paraId="3839B304" w14:textId="07F3694C" w:rsidR="00B370D2" w:rsidRPr="00CF6765" w:rsidRDefault="00E721B3" w:rsidP="003558F5">
      <w:pPr>
        <w:pStyle w:val="Prrafodelista"/>
        <w:numPr>
          <w:ilvl w:val="0"/>
          <w:numId w:val="33"/>
        </w:numPr>
        <w:ind w:left="0" w:firstLine="0"/>
        <w:contextualSpacing/>
        <w:rPr>
          <w:sz w:val="20"/>
          <w:szCs w:val="20"/>
          <w:lang w:val="en-US"/>
        </w:rPr>
      </w:pPr>
      <w:r w:rsidRPr="00CF6765">
        <w:rPr>
          <w:sz w:val="20"/>
          <w:szCs w:val="20"/>
          <w:lang w:val="en-US"/>
        </w:rPr>
        <w:t>Second, I repeat my dis</w:t>
      </w:r>
      <w:r w:rsidR="00CA1B96" w:rsidRPr="00CF6765">
        <w:rPr>
          <w:sz w:val="20"/>
          <w:szCs w:val="20"/>
          <w:lang w:val="en-US"/>
        </w:rPr>
        <w:t>agreement</w:t>
      </w:r>
      <w:r w:rsidRPr="00CF6765">
        <w:rPr>
          <w:sz w:val="20"/>
          <w:szCs w:val="20"/>
          <w:lang w:val="en-US"/>
        </w:rPr>
        <w:t xml:space="preserve"> with the scope that the judgment</w:t>
      </w:r>
      <w:r w:rsidR="00B370D2" w:rsidRPr="00CF6765">
        <w:rPr>
          <w:sz w:val="20"/>
          <w:szCs w:val="20"/>
          <w:lang w:val="en-US"/>
        </w:rPr>
        <w:t xml:space="preserve"> </w:t>
      </w:r>
      <w:r w:rsidRPr="00CF6765">
        <w:rPr>
          <w:sz w:val="20"/>
          <w:szCs w:val="20"/>
          <w:lang w:val="en-US"/>
        </w:rPr>
        <w:t xml:space="preserve">gives to the principle of interdependence and indivisibility in relation to its interpretation of </w:t>
      </w:r>
      <w:r w:rsidR="005C731C" w:rsidRPr="00CF6765">
        <w:rPr>
          <w:sz w:val="20"/>
          <w:szCs w:val="20"/>
          <w:lang w:val="en-US"/>
        </w:rPr>
        <w:t>Article</w:t>
      </w:r>
      <w:r w:rsidR="00B370D2" w:rsidRPr="00CF6765">
        <w:rPr>
          <w:sz w:val="20"/>
          <w:szCs w:val="20"/>
          <w:lang w:val="en-US"/>
        </w:rPr>
        <w:t xml:space="preserve"> 26</w:t>
      </w:r>
      <w:r w:rsidR="00B370D2" w:rsidRPr="00CF6765">
        <w:rPr>
          <w:rStyle w:val="Refdecomentario"/>
          <w:rFonts w:ascii="Calibri" w:eastAsia="Calibri" w:hAnsi="Calibri"/>
          <w:sz w:val="20"/>
          <w:szCs w:val="20"/>
          <w:lang w:val="en-US"/>
        </w:rPr>
        <w:t xml:space="preserve">. </w:t>
      </w:r>
      <w:r w:rsidRPr="00CF6765">
        <w:rPr>
          <w:sz w:val="20"/>
          <w:szCs w:val="20"/>
          <w:lang w:val="en-US"/>
        </w:rPr>
        <w:t>Indeed, this principle indicates that the enjoyment of a right depends for its existence on the realization of other</w:t>
      </w:r>
      <w:r w:rsidR="00CA1B96" w:rsidRPr="00CF6765">
        <w:rPr>
          <w:sz w:val="20"/>
          <w:szCs w:val="20"/>
          <w:lang w:val="en-US"/>
        </w:rPr>
        <w:t xml:space="preserve"> right</w:t>
      </w:r>
      <w:r w:rsidRPr="00CF6765">
        <w:rPr>
          <w:sz w:val="20"/>
          <w:szCs w:val="20"/>
          <w:lang w:val="en-US"/>
        </w:rPr>
        <w:t xml:space="preserve">s, but this does not mean that the ESCER should </w:t>
      </w:r>
      <w:r w:rsidR="00CA1B96" w:rsidRPr="00CF6765">
        <w:rPr>
          <w:sz w:val="20"/>
          <w:szCs w:val="20"/>
          <w:lang w:val="en-US"/>
        </w:rPr>
        <w:t xml:space="preserve">automatically </w:t>
      </w:r>
      <w:r w:rsidRPr="00CF6765">
        <w:rPr>
          <w:sz w:val="20"/>
          <w:szCs w:val="20"/>
          <w:lang w:val="en-US"/>
        </w:rPr>
        <w:t xml:space="preserve">be incorporated into the content </w:t>
      </w:r>
      <w:r w:rsidR="005C731C" w:rsidRPr="00CF6765">
        <w:rPr>
          <w:sz w:val="20"/>
          <w:szCs w:val="20"/>
          <w:lang w:val="en-US"/>
        </w:rPr>
        <w:t>of the Convention</w:t>
      </w:r>
      <w:r w:rsidR="00B370D2" w:rsidRPr="00CF6765">
        <w:rPr>
          <w:sz w:val="20"/>
          <w:szCs w:val="20"/>
          <w:lang w:val="en-US"/>
        </w:rPr>
        <w:t xml:space="preserve">. </w:t>
      </w:r>
      <w:r w:rsidR="00D8060F" w:rsidRPr="00CF6765">
        <w:rPr>
          <w:sz w:val="20"/>
          <w:szCs w:val="20"/>
          <w:lang w:val="en-US"/>
        </w:rPr>
        <w:t xml:space="preserve">Similarly, in relation to the principle of indivisibility, it is true that rights are intrinsically connected and should not be seen in isolation, but neither is the indivisibility of rights sufficient to modify the competence of a court, as proposed by those who claim direct justiciability using a broad interpretation </w:t>
      </w:r>
      <w:r w:rsidR="0088423A" w:rsidRPr="00CF6765">
        <w:rPr>
          <w:sz w:val="20"/>
          <w:szCs w:val="20"/>
          <w:lang w:val="en-US"/>
        </w:rPr>
        <w:t>of Article</w:t>
      </w:r>
      <w:r w:rsidR="00B370D2" w:rsidRPr="00CF6765">
        <w:rPr>
          <w:sz w:val="20"/>
          <w:szCs w:val="20"/>
          <w:lang w:val="en-US"/>
        </w:rPr>
        <w:t xml:space="preserve"> 26</w:t>
      </w:r>
      <w:r w:rsidR="005C731C" w:rsidRPr="00CF6765">
        <w:rPr>
          <w:sz w:val="20"/>
          <w:szCs w:val="20"/>
          <w:lang w:val="en-US"/>
        </w:rPr>
        <w:t xml:space="preserve"> of the Convention</w:t>
      </w:r>
      <w:r w:rsidR="00D8060F" w:rsidRPr="00CF6765">
        <w:rPr>
          <w:sz w:val="20"/>
          <w:szCs w:val="20"/>
          <w:lang w:val="en-US"/>
        </w:rPr>
        <w:t>.</w:t>
      </w:r>
      <w:r w:rsidR="00B370D2" w:rsidRPr="00CF6765">
        <w:rPr>
          <w:rStyle w:val="Refdenotaalpie"/>
          <w:sz w:val="20"/>
          <w:szCs w:val="20"/>
          <w:lang w:val="en-US"/>
        </w:rPr>
        <w:footnoteReference w:id="348"/>
      </w:r>
      <w:r w:rsidR="00D8060F" w:rsidRPr="00CF6765">
        <w:rPr>
          <w:sz w:val="20"/>
          <w:szCs w:val="20"/>
          <w:lang w:val="en-US"/>
        </w:rPr>
        <w:t xml:space="preserve"> Indeed, the principles of indivisibility and interdependence are congruent with an </w:t>
      </w:r>
      <w:r w:rsidR="00FB2D33" w:rsidRPr="00CF6765">
        <w:rPr>
          <w:sz w:val="20"/>
          <w:szCs w:val="20"/>
          <w:lang w:val="en-US"/>
        </w:rPr>
        <w:t>analysis</w:t>
      </w:r>
      <w:r w:rsidR="00D8060F" w:rsidRPr="00CF6765">
        <w:rPr>
          <w:sz w:val="20"/>
          <w:szCs w:val="20"/>
          <w:lang w:val="en-US"/>
        </w:rPr>
        <w:t xml:space="preserve"> of the ESCER from the perspective of connectivity, because their application does not imply an unlimited </w:t>
      </w:r>
      <w:r w:rsidR="00FB2D33" w:rsidRPr="00CF6765">
        <w:rPr>
          <w:sz w:val="20"/>
          <w:szCs w:val="20"/>
          <w:lang w:val="en-US"/>
        </w:rPr>
        <w:t>expansion</w:t>
      </w:r>
      <w:r w:rsidR="00D8060F" w:rsidRPr="00CF6765">
        <w:rPr>
          <w:sz w:val="20"/>
          <w:szCs w:val="20"/>
          <w:lang w:val="en-US"/>
        </w:rPr>
        <w:t xml:space="preserve"> of the Court’s competences, but does permit a broader understanding of the rights protected by</w:t>
      </w:r>
      <w:r w:rsidR="00B370D2" w:rsidRPr="00CF6765">
        <w:rPr>
          <w:sz w:val="20"/>
          <w:szCs w:val="20"/>
          <w:lang w:val="en-US"/>
        </w:rPr>
        <w:t xml:space="preserve"> </w:t>
      </w:r>
      <w:r w:rsidR="005C731C" w:rsidRPr="00CF6765">
        <w:rPr>
          <w:sz w:val="20"/>
          <w:szCs w:val="20"/>
          <w:lang w:val="en-US"/>
        </w:rPr>
        <w:t>the Convention</w:t>
      </w:r>
      <w:r w:rsidR="00B370D2" w:rsidRPr="00CF6765">
        <w:rPr>
          <w:sz w:val="20"/>
          <w:szCs w:val="20"/>
          <w:lang w:val="en-US"/>
        </w:rPr>
        <w:t>.</w:t>
      </w:r>
    </w:p>
    <w:p w14:paraId="4FAEEBBC" w14:textId="77777777" w:rsidR="00CA1B96" w:rsidRPr="00CF6765" w:rsidRDefault="00CA1B96" w:rsidP="00CA1B96">
      <w:pPr>
        <w:pStyle w:val="Prrafodelista"/>
        <w:rPr>
          <w:sz w:val="20"/>
          <w:szCs w:val="20"/>
          <w:lang w:val="en-US"/>
        </w:rPr>
      </w:pPr>
    </w:p>
    <w:p w14:paraId="18956D7B" w14:textId="6DBDA63B" w:rsidR="00B370D2" w:rsidRPr="00CF6765" w:rsidRDefault="00E721B3" w:rsidP="00CA1B96">
      <w:pPr>
        <w:pStyle w:val="Prrafodelista"/>
        <w:numPr>
          <w:ilvl w:val="0"/>
          <w:numId w:val="33"/>
        </w:numPr>
        <w:ind w:left="0" w:firstLine="0"/>
        <w:contextualSpacing/>
        <w:rPr>
          <w:sz w:val="20"/>
          <w:szCs w:val="20"/>
          <w:lang w:val="en-US"/>
        </w:rPr>
      </w:pPr>
      <w:r w:rsidRPr="00CF6765">
        <w:rPr>
          <w:sz w:val="20"/>
          <w:szCs w:val="20"/>
          <w:lang w:val="en-US"/>
        </w:rPr>
        <w:lastRenderedPageBreak/>
        <w:t>In addition, the judgment affirms that “</w:t>
      </w:r>
      <w:r w:rsidR="00CA1B96" w:rsidRPr="00CF6765">
        <w:rPr>
          <w:rFonts w:eastAsia="Calibri"/>
          <w:sz w:val="20"/>
          <w:szCs w:val="20"/>
          <w:lang w:val="en-US" w:eastAsia="en-US"/>
        </w:rPr>
        <w:t xml:space="preserve">it can clearly be interpreted that the American Convention incorporated into its list of protected rights the so-called economic, social, cultural and environmental rights </w:t>
      </w:r>
      <w:r w:rsidR="00B370D2" w:rsidRPr="00CF6765">
        <w:rPr>
          <w:sz w:val="20"/>
          <w:szCs w:val="20"/>
          <w:lang w:val="en-US"/>
        </w:rPr>
        <w:t>(</w:t>
      </w:r>
      <w:r w:rsidR="00930431" w:rsidRPr="00CF6765">
        <w:rPr>
          <w:sz w:val="20"/>
          <w:szCs w:val="20"/>
          <w:lang w:val="en-US"/>
        </w:rPr>
        <w:t>ESCER</w:t>
      </w:r>
      <w:r w:rsidR="00B370D2" w:rsidRPr="00CF6765">
        <w:rPr>
          <w:sz w:val="20"/>
          <w:szCs w:val="20"/>
          <w:lang w:val="en-US"/>
        </w:rPr>
        <w:t>)</w:t>
      </w:r>
      <w:r w:rsidR="000D2A44" w:rsidRPr="00CF6765">
        <w:rPr>
          <w:sz w:val="20"/>
          <w:szCs w:val="20"/>
          <w:lang w:val="en-US"/>
        </w:rPr>
        <w:t xml:space="preserve"> by derivation from the norms recognized in</w:t>
      </w:r>
      <w:r w:rsidR="00B370D2" w:rsidRPr="00CF6765">
        <w:rPr>
          <w:sz w:val="20"/>
          <w:szCs w:val="20"/>
          <w:lang w:val="en-US"/>
        </w:rPr>
        <w:t xml:space="preserve"> </w:t>
      </w:r>
      <w:r w:rsidRPr="00CF6765">
        <w:rPr>
          <w:sz w:val="20"/>
          <w:szCs w:val="20"/>
          <w:lang w:val="en-US"/>
        </w:rPr>
        <w:t>the Charter of the</w:t>
      </w:r>
      <w:r w:rsidR="00B370D2" w:rsidRPr="00CF6765">
        <w:rPr>
          <w:sz w:val="20"/>
          <w:szCs w:val="20"/>
          <w:lang w:val="en-US"/>
        </w:rPr>
        <w:t xml:space="preserve"> </w:t>
      </w:r>
      <w:r w:rsidR="007A3516" w:rsidRPr="00CF6765">
        <w:rPr>
          <w:sz w:val="20"/>
          <w:szCs w:val="20"/>
          <w:lang w:val="en-US"/>
        </w:rPr>
        <w:t>Organization of American States</w:t>
      </w:r>
      <w:r w:rsidR="00B370D2" w:rsidRPr="00CF6765">
        <w:rPr>
          <w:sz w:val="20"/>
          <w:szCs w:val="20"/>
          <w:lang w:val="en-US"/>
        </w:rPr>
        <w:t xml:space="preserve"> (</w:t>
      </w:r>
      <w:r w:rsidR="007A3516" w:rsidRPr="00CF6765">
        <w:rPr>
          <w:sz w:val="20"/>
          <w:szCs w:val="20"/>
          <w:lang w:val="en-US"/>
        </w:rPr>
        <w:t>OAS</w:t>
      </w:r>
      <w:r w:rsidR="00B370D2" w:rsidRPr="00CF6765">
        <w:rPr>
          <w:sz w:val="20"/>
          <w:szCs w:val="20"/>
          <w:lang w:val="en-US"/>
        </w:rPr>
        <w:t xml:space="preserve">), </w:t>
      </w:r>
      <w:r w:rsidR="00CA1B96" w:rsidRPr="00CF6765">
        <w:rPr>
          <w:sz w:val="20"/>
          <w:szCs w:val="20"/>
          <w:lang w:val="en-US"/>
        </w:rPr>
        <w:t>and also</w:t>
      </w:r>
      <w:r w:rsidR="00001E01" w:rsidRPr="00CF6765">
        <w:rPr>
          <w:sz w:val="20"/>
          <w:szCs w:val="20"/>
          <w:lang w:val="en-US"/>
        </w:rPr>
        <w:t xml:space="preserve"> the rules of interpretation established in</w:t>
      </w:r>
      <w:r w:rsidR="00B370D2" w:rsidRPr="00CF6765">
        <w:rPr>
          <w:sz w:val="20"/>
          <w:szCs w:val="20"/>
          <w:lang w:val="en-US"/>
        </w:rPr>
        <w:t xml:space="preserve"> </w:t>
      </w:r>
      <w:r w:rsidR="005C731C" w:rsidRPr="00CF6765">
        <w:rPr>
          <w:sz w:val="20"/>
          <w:szCs w:val="20"/>
          <w:lang w:val="en-US"/>
        </w:rPr>
        <w:t>Article</w:t>
      </w:r>
      <w:r w:rsidR="00B370D2" w:rsidRPr="00CF6765">
        <w:rPr>
          <w:sz w:val="20"/>
          <w:szCs w:val="20"/>
          <w:lang w:val="en-US"/>
        </w:rPr>
        <w:t xml:space="preserve"> 29</w:t>
      </w:r>
      <w:r w:rsidR="005C731C" w:rsidRPr="00CF6765">
        <w:rPr>
          <w:sz w:val="20"/>
          <w:szCs w:val="20"/>
          <w:lang w:val="en-US"/>
        </w:rPr>
        <w:t xml:space="preserve"> of the Convention</w:t>
      </w:r>
      <w:r w:rsidR="00CA1B96" w:rsidRPr="00CF6765">
        <w:rPr>
          <w:sz w:val="20"/>
          <w:szCs w:val="20"/>
          <w:lang w:val="en-US"/>
        </w:rPr>
        <w:t xml:space="preserve"> itself</w:t>
      </w:r>
      <w:r w:rsidR="00B370D2" w:rsidRPr="00CF6765">
        <w:rPr>
          <w:sz w:val="20"/>
          <w:szCs w:val="20"/>
          <w:lang w:val="en-US"/>
        </w:rPr>
        <w:t xml:space="preserve">; </w:t>
      </w:r>
      <w:r w:rsidR="00CA1B96" w:rsidRPr="00CF6765">
        <w:rPr>
          <w:rFonts w:eastAsia="Calibri"/>
          <w:sz w:val="20"/>
          <w:szCs w:val="20"/>
          <w:lang w:val="en-US" w:eastAsia="en-US"/>
        </w:rPr>
        <w:t>particularly, insofar as they prevent excluding or limiting the enjoyment of the rights established in the American Declaration and even those recognized by domestic law</w:t>
      </w:r>
      <w:r w:rsidR="00B370D2" w:rsidRPr="00CF6765">
        <w:rPr>
          <w:sz w:val="20"/>
          <w:szCs w:val="20"/>
          <w:lang w:val="en-US"/>
        </w:rPr>
        <w:t xml:space="preserve"> (</w:t>
      </w:r>
      <w:r w:rsidR="00EC50FC" w:rsidRPr="00CF6765">
        <w:rPr>
          <w:sz w:val="20"/>
          <w:szCs w:val="20"/>
          <w:lang w:val="en-US"/>
        </w:rPr>
        <w:t>para.</w:t>
      </w:r>
      <w:r w:rsidR="00B370D2" w:rsidRPr="00CF6765">
        <w:rPr>
          <w:sz w:val="20"/>
          <w:szCs w:val="20"/>
          <w:lang w:val="en-US"/>
        </w:rPr>
        <w:t xml:space="preserve"> 103). </w:t>
      </w:r>
      <w:r w:rsidR="00001E01" w:rsidRPr="00CF6765">
        <w:rPr>
          <w:sz w:val="20"/>
          <w:szCs w:val="20"/>
          <w:lang w:val="en-US"/>
        </w:rPr>
        <w:t xml:space="preserve">Based on this </w:t>
      </w:r>
      <w:r w:rsidR="00FB2D33" w:rsidRPr="00CF6765">
        <w:rPr>
          <w:sz w:val="20"/>
          <w:szCs w:val="20"/>
          <w:lang w:val="en-US"/>
        </w:rPr>
        <w:t>interpretation</w:t>
      </w:r>
      <w:r w:rsidR="00001E01" w:rsidRPr="00CF6765">
        <w:rPr>
          <w:sz w:val="20"/>
          <w:szCs w:val="20"/>
          <w:lang w:val="en-US"/>
        </w:rPr>
        <w:t xml:space="preserve">, </w:t>
      </w:r>
      <w:r w:rsidRPr="00CF6765">
        <w:rPr>
          <w:sz w:val="20"/>
          <w:szCs w:val="20"/>
          <w:lang w:val="en-US"/>
        </w:rPr>
        <w:t>the judgment</w:t>
      </w:r>
      <w:r w:rsidR="00B370D2" w:rsidRPr="00CF6765">
        <w:rPr>
          <w:sz w:val="20"/>
          <w:szCs w:val="20"/>
          <w:lang w:val="en-US"/>
        </w:rPr>
        <w:t xml:space="preserve"> </w:t>
      </w:r>
      <w:r w:rsidR="00001E01" w:rsidRPr="00CF6765">
        <w:rPr>
          <w:sz w:val="20"/>
          <w:szCs w:val="20"/>
          <w:lang w:val="en-US"/>
        </w:rPr>
        <w:t>suggests that the</w:t>
      </w:r>
      <w:r w:rsidR="00B370D2" w:rsidRPr="00CF6765">
        <w:rPr>
          <w:sz w:val="20"/>
          <w:szCs w:val="20"/>
          <w:lang w:val="en-US"/>
        </w:rPr>
        <w:t xml:space="preserve"> </w:t>
      </w:r>
      <w:r w:rsidR="00930431" w:rsidRPr="00CF6765">
        <w:rPr>
          <w:sz w:val="20"/>
          <w:szCs w:val="20"/>
          <w:lang w:val="en-US"/>
        </w:rPr>
        <w:t>ESCER</w:t>
      </w:r>
      <w:r w:rsidR="00001E01" w:rsidRPr="00CF6765">
        <w:rPr>
          <w:sz w:val="20"/>
          <w:szCs w:val="20"/>
          <w:lang w:val="en-US"/>
        </w:rPr>
        <w:t xml:space="preserve"> that could be analyzed under the system of individual petitions are those contained in the OAS Charter, those recognized in the American Declaration, those recognized in “domestic norms,” and those derived from the relevant national and international </w:t>
      </w:r>
      <w:r w:rsidR="00B370D2" w:rsidRPr="00CF6765">
        <w:rPr>
          <w:i/>
          <w:sz w:val="20"/>
          <w:szCs w:val="20"/>
          <w:lang w:val="en-US"/>
        </w:rPr>
        <w:t xml:space="preserve">corpus </w:t>
      </w:r>
      <w:proofErr w:type="spellStart"/>
      <w:r w:rsidR="00B370D2" w:rsidRPr="00CF6765">
        <w:rPr>
          <w:i/>
          <w:sz w:val="20"/>
          <w:szCs w:val="20"/>
          <w:lang w:val="en-US"/>
        </w:rPr>
        <w:t>iuris</w:t>
      </w:r>
      <w:proofErr w:type="spellEnd"/>
      <w:r w:rsidR="00001E01" w:rsidRPr="00CF6765">
        <w:rPr>
          <w:i/>
          <w:sz w:val="20"/>
          <w:szCs w:val="20"/>
          <w:lang w:val="en-US"/>
        </w:rPr>
        <w:t>.</w:t>
      </w:r>
    </w:p>
    <w:p w14:paraId="3795D709" w14:textId="77777777" w:rsidR="00B370D2" w:rsidRPr="00CF6765" w:rsidRDefault="00B370D2" w:rsidP="00CA1B96">
      <w:pPr>
        <w:rPr>
          <w:sz w:val="20"/>
          <w:szCs w:val="20"/>
          <w:lang w:val="en-US"/>
        </w:rPr>
      </w:pPr>
    </w:p>
    <w:p w14:paraId="0A673576" w14:textId="4C21209E" w:rsidR="00B370D2" w:rsidRPr="00CF6765" w:rsidRDefault="00001E01" w:rsidP="00001E01">
      <w:pPr>
        <w:pStyle w:val="Prrafodelista"/>
        <w:numPr>
          <w:ilvl w:val="0"/>
          <w:numId w:val="33"/>
        </w:numPr>
        <w:ind w:left="0" w:firstLine="0"/>
        <w:rPr>
          <w:sz w:val="20"/>
          <w:szCs w:val="20"/>
          <w:lang w:val="en-US"/>
        </w:rPr>
      </w:pPr>
      <w:r w:rsidRPr="00CF6765">
        <w:rPr>
          <w:sz w:val="20"/>
          <w:szCs w:val="20"/>
          <w:lang w:val="en-US"/>
        </w:rPr>
        <w:t xml:space="preserve">According to this approach, </w:t>
      </w:r>
      <w:r w:rsidR="005C731C" w:rsidRPr="00CF6765">
        <w:rPr>
          <w:sz w:val="20"/>
          <w:szCs w:val="20"/>
          <w:lang w:val="en-US"/>
        </w:rPr>
        <w:t>Article</w:t>
      </w:r>
      <w:r w:rsidR="00B370D2" w:rsidRPr="00CF6765">
        <w:rPr>
          <w:sz w:val="20"/>
          <w:szCs w:val="20"/>
          <w:lang w:val="en-US"/>
        </w:rPr>
        <w:t xml:space="preserve"> 26 </w:t>
      </w:r>
      <w:r w:rsidRPr="00CF6765">
        <w:rPr>
          <w:sz w:val="20"/>
          <w:szCs w:val="20"/>
          <w:lang w:val="en-US"/>
        </w:rPr>
        <w:t xml:space="preserve">is a type of norm </w:t>
      </w:r>
      <w:r w:rsidR="00E8302D" w:rsidRPr="00CF6765">
        <w:rPr>
          <w:sz w:val="20"/>
          <w:szCs w:val="20"/>
          <w:lang w:val="en-US"/>
        </w:rPr>
        <w:t>of referral to</w:t>
      </w:r>
      <w:r w:rsidR="00486AF1" w:rsidRPr="00CF6765">
        <w:rPr>
          <w:sz w:val="20"/>
          <w:szCs w:val="20"/>
          <w:lang w:val="en-US"/>
        </w:rPr>
        <w:t xml:space="preserve"> a</w:t>
      </w:r>
      <w:r w:rsidRPr="00CF6765">
        <w:rPr>
          <w:sz w:val="20"/>
          <w:szCs w:val="20"/>
          <w:lang w:val="en-US"/>
        </w:rPr>
        <w:t>ll the national and international norm</w:t>
      </w:r>
      <w:r w:rsidR="00486AF1" w:rsidRPr="00CF6765">
        <w:rPr>
          <w:sz w:val="20"/>
          <w:szCs w:val="20"/>
          <w:lang w:val="en-US"/>
        </w:rPr>
        <w:t>s</w:t>
      </w:r>
      <w:r w:rsidRPr="00CF6765">
        <w:rPr>
          <w:sz w:val="20"/>
          <w:szCs w:val="20"/>
          <w:lang w:val="en-US"/>
        </w:rPr>
        <w:t xml:space="preserve"> </w:t>
      </w:r>
      <w:r w:rsidR="00486AF1" w:rsidRPr="00CF6765">
        <w:rPr>
          <w:sz w:val="20"/>
          <w:szCs w:val="20"/>
          <w:lang w:val="en-US"/>
        </w:rPr>
        <w:t>on</w:t>
      </w:r>
      <w:r w:rsidRPr="00CF6765">
        <w:rPr>
          <w:sz w:val="20"/>
          <w:szCs w:val="20"/>
          <w:lang w:val="en-US"/>
        </w:rPr>
        <w:t xml:space="preserve"> the ESCER </w:t>
      </w:r>
      <w:r w:rsidR="00486AF1" w:rsidRPr="00CF6765">
        <w:rPr>
          <w:sz w:val="20"/>
          <w:szCs w:val="20"/>
          <w:lang w:val="en-US"/>
        </w:rPr>
        <w:t>and</w:t>
      </w:r>
      <w:r w:rsidRPr="00CF6765">
        <w:rPr>
          <w:sz w:val="20"/>
          <w:szCs w:val="20"/>
          <w:lang w:val="en-US"/>
        </w:rPr>
        <w:t xml:space="preserve">, </w:t>
      </w:r>
      <w:r w:rsidR="00486AF1" w:rsidRPr="00CF6765">
        <w:rPr>
          <w:sz w:val="20"/>
          <w:szCs w:val="20"/>
          <w:lang w:val="en-US"/>
        </w:rPr>
        <w:t>according to</w:t>
      </w:r>
      <w:r w:rsidRPr="00CF6765">
        <w:rPr>
          <w:sz w:val="20"/>
          <w:szCs w:val="20"/>
          <w:lang w:val="en-US"/>
        </w:rPr>
        <w:t xml:space="preserve"> a unique reading of Article 29 of the Convention, </w:t>
      </w:r>
      <w:r w:rsidR="00486AF1" w:rsidRPr="00CF6765">
        <w:rPr>
          <w:sz w:val="20"/>
          <w:szCs w:val="20"/>
          <w:lang w:val="en-US"/>
        </w:rPr>
        <w:t xml:space="preserve">this would potentially recognize that the Court had </w:t>
      </w:r>
      <w:r w:rsidRPr="00CF6765">
        <w:rPr>
          <w:sz w:val="20"/>
          <w:szCs w:val="20"/>
          <w:lang w:val="en-US"/>
        </w:rPr>
        <w:t xml:space="preserve">jurisdiction to declare violations of any right established in any national or international instrument that contained it, provided it could be classified as an ESCER. This interpretation is so far from the rules of the Vienna Convention on the Law of Treaties </w:t>
      </w:r>
      <w:r w:rsidR="00EC50FC" w:rsidRPr="00CF6765">
        <w:rPr>
          <w:sz w:val="20"/>
          <w:szCs w:val="20"/>
          <w:lang w:val="en-US"/>
        </w:rPr>
        <w:t xml:space="preserve">and </w:t>
      </w:r>
      <w:r w:rsidR="005C731C" w:rsidRPr="00CF6765">
        <w:rPr>
          <w:sz w:val="20"/>
          <w:szCs w:val="20"/>
          <w:lang w:val="en-US"/>
        </w:rPr>
        <w:t>of the American Convention</w:t>
      </w:r>
      <w:r w:rsidRPr="00CF6765">
        <w:rPr>
          <w:sz w:val="20"/>
          <w:szCs w:val="20"/>
          <w:lang w:val="en-US"/>
        </w:rPr>
        <w:t>,</w:t>
      </w:r>
      <w:r w:rsidR="00B370D2" w:rsidRPr="00CF6765">
        <w:rPr>
          <w:rStyle w:val="Refdenotaalpie"/>
          <w:sz w:val="20"/>
          <w:szCs w:val="20"/>
          <w:lang w:val="en-US"/>
        </w:rPr>
        <w:footnoteReference w:id="349"/>
      </w:r>
      <w:r w:rsidR="00EC50FC" w:rsidRPr="00CF6765">
        <w:rPr>
          <w:sz w:val="20"/>
          <w:szCs w:val="20"/>
          <w:lang w:val="en-US"/>
        </w:rPr>
        <w:t xml:space="preserve"> and </w:t>
      </w:r>
      <w:r w:rsidRPr="00CF6765">
        <w:rPr>
          <w:sz w:val="20"/>
          <w:szCs w:val="20"/>
          <w:lang w:val="en-US"/>
        </w:rPr>
        <w:t>so remote from the system of sources of law established by international law,</w:t>
      </w:r>
      <w:r w:rsidR="00B370D2" w:rsidRPr="00CF6765">
        <w:rPr>
          <w:rStyle w:val="Refdenotaalpie"/>
          <w:sz w:val="20"/>
          <w:szCs w:val="20"/>
          <w:lang w:val="en-US"/>
        </w:rPr>
        <w:footnoteReference w:id="350"/>
      </w:r>
      <w:r w:rsidRPr="00CF6765">
        <w:rPr>
          <w:sz w:val="20"/>
          <w:szCs w:val="20"/>
          <w:lang w:val="en-US"/>
        </w:rPr>
        <w:t xml:space="preserve"> that it becomes an act</w:t>
      </w:r>
      <w:r w:rsidR="00486AF1" w:rsidRPr="00CF6765">
        <w:rPr>
          <w:sz w:val="20"/>
          <w:szCs w:val="20"/>
          <w:lang w:val="en-US"/>
        </w:rPr>
        <w:t xml:space="preserve"> of</w:t>
      </w:r>
      <w:r w:rsidRPr="00CF6765">
        <w:rPr>
          <w:sz w:val="20"/>
          <w:szCs w:val="20"/>
          <w:lang w:val="en-US"/>
        </w:rPr>
        <w:t xml:space="preserve"> creating norms and expan</w:t>
      </w:r>
      <w:r w:rsidR="00486AF1" w:rsidRPr="00CF6765">
        <w:rPr>
          <w:sz w:val="20"/>
          <w:szCs w:val="20"/>
          <w:lang w:val="en-US"/>
        </w:rPr>
        <w:t>ding</w:t>
      </w:r>
      <w:r w:rsidRPr="00CF6765">
        <w:rPr>
          <w:sz w:val="20"/>
          <w:szCs w:val="20"/>
          <w:lang w:val="en-US"/>
        </w:rPr>
        <w:t xml:space="preserve"> jurisdiction never before see by the international community. </w:t>
      </w:r>
      <w:r w:rsidR="003D16AE" w:rsidRPr="00CF6765">
        <w:rPr>
          <w:sz w:val="20"/>
          <w:szCs w:val="20"/>
          <w:lang w:val="en-US"/>
        </w:rPr>
        <w:t>Following this maximalist logic, based on</w:t>
      </w:r>
      <w:r w:rsidR="0088423A" w:rsidRPr="00CF6765">
        <w:rPr>
          <w:sz w:val="20"/>
          <w:szCs w:val="20"/>
          <w:lang w:val="en-US"/>
        </w:rPr>
        <w:t xml:space="preserve"> Article</w:t>
      </w:r>
      <w:r w:rsidR="00B370D2" w:rsidRPr="00CF6765">
        <w:rPr>
          <w:sz w:val="20"/>
          <w:szCs w:val="20"/>
          <w:lang w:val="en-US"/>
        </w:rPr>
        <w:t xml:space="preserve"> 29</w:t>
      </w:r>
      <w:r w:rsidR="005C731C" w:rsidRPr="00CF6765">
        <w:rPr>
          <w:sz w:val="20"/>
          <w:szCs w:val="20"/>
          <w:lang w:val="en-US"/>
        </w:rPr>
        <w:t xml:space="preserve"> of the Convention</w:t>
      </w:r>
      <w:r w:rsidR="00B370D2" w:rsidRPr="00CF6765">
        <w:rPr>
          <w:sz w:val="20"/>
          <w:szCs w:val="20"/>
          <w:lang w:val="en-US"/>
        </w:rPr>
        <w:t xml:space="preserve">, </w:t>
      </w:r>
      <w:r w:rsidR="005C731C" w:rsidRPr="00CF6765">
        <w:rPr>
          <w:sz w:val="20"/>
          <w:szCs w:val="20"/>
          <w:lang w:val="en-US"/>
        </w:rPr>
        <w:t>the Court</w:t>
      </w:r>
      <w:r w:rsidR="00B370D2" w:rsidRPr="00CF6765">
        <w:rPr>
          <w:sz w:val="20"/>
          <w:szCs w:val="20"/>
          <w:lang w:val="en-US"/>
        </w:rPr>
        <w:t xml:space="preserve"> </w:t>
      </w:r>
      <w:r w:rsidR="003D16AE" w:rsidRPr="00CF6765">
        <w:rPr>
          <w:sz w:val="20"/>
          <w:szCs w:val="20"/>
          <w:lang w:val="en-US"/>
        </w:rPr>
        <w:t xml:space="preserve">would have competence to declare the </w:t>
      </w:r>
      <w:r w:rsidR="0088423A" w:rsidRPr="00CF6765">
        <w:rPr>
          <w:sz w:val="20"/>
          <w:szCs w:val="20"/>
          <w:lang w:val="en-US"/>
        </w:rPr>
        <w:t>international responsibility</w:t>
      </w:r>
      <w:r w:rsidR="00EC50FC" w:rsidRPr="00CF6765">
        <w:rPr>
          <w:sz w:val="20"/>
          <w:szCs w:val="20"/>
          <w:lang w:val="en-US"/>
        </w:rPr>
        <w:t xml:space="preserve"> of the State</w:t>
      </w:r>
      <w:r w:rsidR="00B370D2" w:rsidRPr="00CF6765">
        <w:rPr>
          <w:sz w:val="20"/>
          <w:szCs w:val="20"/>
          <w:lang w:val="en-US"/>
        </w:rPr>
        <w:t xml:space="preserve"> </w:t>
      </w:r>
      <w:r w:rsidR="003D16AE" w:rsidRPr="00CF6765">
        <w:rPr>
          <w:sz w:val="20"/>
          <w:szCs w:val="20"/>
          <w:lang w:val="en-US"/>
        </w:rPr>
        <w:t>when it consider</w:t>
      </w:r>
      <w:r w:rsidR="00486AF1" w:rsidRPr="00CF6765">
        <w:rPr>
          <w:sz w:val="20"/>
          <w:szCs w:val="20"/>
          <w:lang w:val="en-US"/>
        </w:rPr>
        <w:t>ed</w:t>
      </w:r>
      <w:r w:rsidR="003D16AE" w:rsidRPr="00CF6765">
        <w:rPr>
          <w:sz w:val="20"/>
          <w:szCs w:val="20"/>
          <w:lang w:val="en-US"/>
        </w:rPr>
        <w:t xml:space="preserve"> that it ha</w:t>
      </w:r>
      <w:r w:rsidR="00486AF1" w:rsidRPr="00CF6765">
        <w:rPr>
          <w:sz w:val="20"/>
          <w:szCs w:val="20"/>
          <w:lang w:val="en-US"/>
        </w:rPr>
        <w:t>d</w:t>
      </w:r>
      <w:r w:rsidR="003D16AE" w:rsidRPr="00CF6765">
        <w:rPr>
          <w:sz w:val="20"/>
          <w:szCs w:val="20"/>
          <w:lang w:val="en-US"/>
        </w:rPr>
        <w:t xml:space="preserve"> violated an </w:t>
      </w:r>
      <w:r w:rsidR="00930431" w:rsidRPr="00CF6765">
        <w:rPr>
          <w:sz w:val="20"/>
          <w:szCs w:val="20"/>
          <w:lang w:val="en-US"/>
        </w:rPr>
        <w:t>ESCER</w:t>
      </w:r>
      <w:r w:rsidR="00B370D2" w:rsidRPr="00CF6765">
        <w:rPr>
          <w:sz w:val="20"/>
          <w:szCs w:val="20"/>
          <w:lang w:val="en-US"/>
        </w:rPr>
        <w:t xml:space="preserve"> reco</w:t>
      </w:r>
      <w:r w:rsidR="003D16AE" w:rsidRPr="00CF6765">
        <w:rPr>
          <w:sz w:val="20"/>
          <w:szCs w:val="20"/>
          <w:lang w:val="en-US"/>
        </w:rPr>
        <w:t xml:space="preserve">gnized in some national or international legal norm, without any further formal </w:t>
      </w:r>
      <w:r w:rsidR="00FB2D33" w:rsidRPr="00CF6765">
        <w:rPr>
          <w:sz w:val="20"/>
          <w:szCs w:val="20"/>
          <w:lang w:val="en-US"/>
        </w:rPr>
        <w:t>consideration</w:t>
      </w:r>
      <w:r w:rsidR="00486AF1" w:rsidRPr="00CF6765">
        <w:rPr>
          <w:sz w:val="20"/>
          <w:szCs w:val="20"/>
          <w:lang w:val="en-US"/>
        </w:rPr>
        <w:t>s.</w:t>
      </w:r>
      <w:r w:rsidR="003D16AE" w:rsidRPr="00CF6765">
        <w:rPr>
          <w:sz w:val="20"/>
          <w:szCs w:val="20"/>
          <w:lang w:val="en-US"/>
        </w:rPr>
        <w:t xml:space="preserve"> In this regard, the majority opinion should be reminded that </w:t>
      </w:r>
      <w:r w:rsidR="005C731C" w:rsidRPr="00CF6765">
        <w:rPr>
          <w:sz w:val="20"/>
          <w:szCs w:val="20"/>
          <w:lang w:val="en-US"/>
        </w:rPr>
        <w:t>the Inter-American Court</w:t>
      </w:r>
      <w:r w:rsidR="00B370D2" w:rsidRPr="00CF6765">
        <w:rPr>
          <w:sz w:val="20"/>
          <w:szCs w:val="20"/>
          <w:lang w:val="en-US"/>
        </w:rPr>
        <w:t xml:space="preserve"> </w:t>
      </w:r>
      <w:r w:rsidR="003D16AE" w:rsidRPr="00CF6765">
        <w:rPr>
          <w:sz w:val="20"/>
          <w:szCs w:val="20"/>
          <w:lang w:val="en-US"/>
        </w:rPr>
        <w:t xml:space="preserve">is an international court, not a constitutional court, and that </w:t>
      </w:r>
      <w:r w:rsidR="005C731C" w:rsidRPr="00CF6765">
        <w:rPr>
          <w:sz w:val="20"/>
          <w:szCs w:val="20"/>
          <w:lang w:val="en-US"/>
        </w:rPr>
        <w:t>the American Convention</w:t>
      </w:r>
      <w:r w:rsidR="00B370D2" w:rsidRPr="00CF6765">
        <w:rPr>
          <w:sz w:val="20"/>
          <w:szCs w:val="20"/>
          <w:lang w:val="en-US"/>
        </w:rPr>
        <w:t xml:space="preserve"> </w:t>
      </w:r>
      <w:r w:rsidR="003D16AE" w:rsidRPr="00CF6765">
        <w:rPr>
          <w:sz w:val="20"/>
          <w:szCs w:val="20"/>
          <w:lang w:val="en-US"/>
        </w:rPr>
        <w:t>is an international treaty and not a national Constitution.</w:t>
      </w:r>
    </w:p>
    <w:p w14:paraId="347AA465" w14:textId="77777777" w:rsidR="00B370D2" w:rsidRPr="00CF6765" w:rsidRDefault="00B370D2" w:rsidP="00B370D2">
      <w:pPr>
        <w:rPr>
          <w:sz w:val="20"/>
          <w:szCs w:val="20"/>
          <w:lang w:val="en-US"/>
        </w:rPr>
      </w:pPr>
    </w:p>
    <w:p w14:paraId="01843BFC" w14:textId="2265CDDC" w:rsidR="000A2801" w:rsidRPr="00CF6765" w:rsidRDefault="000A2801" w:rsidP="00B370D2">
      <w:pPr>
        <w:pStyle w:val="Prrafodelista"/>
        <w:numPr>
          <w:ilvl w:val="0"/>
          <w:numId w:val="33"/>
        </w:numPr>
        <w:ind w:left="0" w:firstLine="0"/>
        <w:rPr>
          <w:sz w:val="20"/>
          <w:szCs w:val="20"/>
          <w:lang w:val="en-US"/>
        </w:rPr>
      </w:pPr>
      <w:r w:rsidRPr="00CF6765">
        <w:rPr>
          <w:sz w:val="20"/>
          <w:szCs w:val="20"/>
          <w:lang w:val="en-US"/>
        </w:rPr>
        <w:t xml:space="preserve">In this regard, even though they may seem obvious, it is essential to recall the meaning of some basic norms of international law. The first is article 26 of the Vienna Convention which establishes the obligation of the States to comply in good faith with the rules they have agreed on. This means that international obligations depend, above all, on their acceptance by the States that are signatories to  a treaty; thus, a norm that has not been accepted by a State as </w:t>
      </w:r>
      <w:r w:rsidR="00486AF1" w:rsidRPr="00CF6765">
        <w:rPr>
          <w:sz w:val="20"/>
          <w:szCs w:val="20"/>
          <w:lang w:val="en-US"/>
        </w:rPr>
        <w:t xml:space="preserve">a </w:t>
      </w:r>
      <w:r w:rsidRPr="00CF6765">
        <w:rPr>
          <w:sz w:val="20"/>
          <w:szCs w:val="20"/>
          <w:lang w:val="en-US"/>
        </w:rPr>
        <w:t xml:space="preserve">source of an international obligation (such as a norm contained in the domestic law of another State, or a norm contained in a treaty for which the Court does not have jurisdiction), cannot be enforced at the international level by the system of individual petitions of the inter-American system. It is true that international courts </w:t>
      </w:r>
      <w:r w:rsidR="00486AF1" w:rsidRPr="00CF6765">
        <w:rPr>
          <w:sz w:val="20"/>
          <w:szCs w:val="20"/>
          <w:lang w:val="en-US"/>
        </w:rPr>
        <w:t>play</w:t>
      </w:r>
      <w:r w:rsidRPr="00CF6765">
        <w:rPr>
          <w:sz w:val="20"/>
          <w:szCs w:val="20"/>
          <w:lang w:val="en-US"/>
        </w:rPr>
        <w:t xml:space="preserve"> a role in the development of law, but this role should be limited </w:t>
      </w:r>
      <w:r w:rsidRPr="00CF6765">
        <w:rPr>
          <w:sz w:val="20"/>
          <w:szCs w:val="20"/>
          <w:lang w:val="en-US"/>
        </w:rPr>
        <w:lastRenderedPageBreak/>
        <w:t xml:space="preserve">so that the Court does not become an </w:t>
      </w:r>
      <w:r w:rsidR="00A21A7F" w:rsidRPr="00CF6765">
        <w:rPr>
          <w:sz w:val="20"/>
          <w:szCs w:val="20"/>
          <w:lang w:val="en-US"/>
        </w:rPr>
        <w:t>unrestricted legislator, as</w:t>
      </w:r>
      <w:r w:rsidR="00E8302D" w:rsidRPr="00CF6765">
        <w:rPr>
          <w:sz w:val="20"/>
          <w:szCs w:val="20"/>
          <w:lang w:val="en-US"/>
        </w:rPr>
        <w:t xml:space="preserve"> entailed by</w:t>
      </w:r>
      <w:r w:rsidR="00A21A7F" w:rsidRPr="00CF6765">
        <w:rPr>
          <w:sz w:val="20"/>
          <w:szCs w:val="20"/>
          <w:lang w:val="en-US"/>
        </w:rPr>
        <w:t xml:space="preserve"> the position assumed by the majority</w:t>
      </w:r>
      <w:r w:rsidR="00E8302D" w:rsidRPr="00CF6765">
        <w:rPr>
          <w:sz w:val="20"/>
          <w:szCs w:val="20"/>
          <w:lang w:val="en-US"/>
        </w:rPr>
        <w:t xml:space="preserve"> </w:t>
      </w:r>
      <w:r w:rsidR="00A21A7F" w:rsidRPr="00CF6765">
        <w:rPr>
          <w:sz w:val="20"/>
          <w:szCs w:val="20"/>
          <w:lang w:val="en-US"/>
        </w:rPr>
        <w:t>in the case of the ESCER.</w:t>
      </w:r>
    </w:p>
    <w:p w14:paraId="33388F70" w14:textId="77777777" w:rsidR="00B370D2" w:rsidRPr="00CF6765" w:rsidRDefault="00B370D2" w:rsidP="00B370D2">
      <w:pPr>
        <w:pStyle w:val="Prrafodelista"/>
        <w:rPr>
          <w:sz w:val="20"/>
          <w:szCs w:val="20"/>
          <w:lang w:val="en-US"/>
        </w:rPr>
      </w:pPr>
    </w:p>
    <w:p w14:paraId="1BE38F29" w14:textId="318445E0" w:rsidR="00B370D2" w:rsidRPr="00CF6765" w:rsidRDefault="000139F3" w:rsidP="00B370D2">
      <w:pPr>
        <w:pStyle w:val="Prrafodelista"/>
        <w:numPr>
          <w:ilvl w:val="0"/>
          <w:numId w:val="33"/>
        </w:numPr>
        <w:ind w:left="0" w:firstLine="0"/>
        <w:rPr>
          <w:sz w:val="20"/>
          <w:szCs w:val="20"/>
          <w:lang w:val="en-US"/>
        </w:rPr>
      </w:pPr>
      <w:r w:rsidRPr="00CF6765">
        <w:rPr>
          <w:sz w:val="20"/>
          <w:szCs w:val="20"/>
          <w:lang w:val="en-US"/>
        </w:rPr>
        <w:t>The second norm is</w:t>
      </w:r>
      <w:r w:rsidR="00B370D2" w:rsidRPr="00CF6765">
        <w:rPr>
          <w:sz w:val="20"/>
          <w:szCs w:val="20"/>
          <w:lang w:val="en-US"/>
        </w:rPr>
        <w:t xml:space="preserve"> </w:t>
      </w:r>
      <w:r w:rsidR="005C731C" w:rsidRPr="00CF6765">
        <w:rPr>
          <w:sz w:val="20"/>
          <w:szCs w:val="20"/>
          <w:lang w:val="en-US"/>
        </w:rPr>
        <w:t>Article</w:t>
      </w:r>
      <w:r w:rsidR="00B370D2" w:rsidRPr="00CF6765">
        <w:rPr>
          <w:sz w:val="20"/>
          <w:szCs w:val="20"/>
          <w:lang w:val="en-US"/>
        </w:rPr>
        <w:t xml:space="preserve"> 29</w:t>
      </w:r>
      <w:r w:rsidR="005C731C" w:rsidRPr="00CF6765">
        <w:rPr>
          <w:sz w:val="20"/>
          <w:szCs w:val="20"/>
          <w:lang w:val="en-US"/>
        </w:rPr>
        <w:t xml:space="preserve"> of the American Convention</w:t>
      </w:r>
      <w:r w:rsidR="00B370D2" w:rsidRPr="00CF6765">
        <w:rPr>
          <w:sz w:val="20"/>
          <w:szCs w:val="20"/>
          <w:lang w:val="en-US"/>
        </w:rPr>
        <w:t xml:space="preserve">, </w:t>
      </w:r>
      <w:r w:rsidRPr="00CF6765">
        <w:rPr>
          <w:sz w:val="20"/>
          <w:szCs w:val="20"/>
          <w:lang w:val="en-US"/>
        </w:rPr>
        <w:t>which establishes –</w:t>
      </w:r>
      <w:r w:rsidR="00B370D2" w:rsidRPr="00CF6765">
        <w:rPr>
          <w:i/>
          <w:sz w:val="20"/>
          <w:szCs w:val="20"/>
          <w:lang w:val="en-US"/>
        </w:rPr>
        <w:t>inter alia</w:t>
      </w:r>
      <w:r w:rsidRPr="00CF6765">
        <w:rPr>
          <w:i/>
          <w:sz w:val="20"/>
          <w:szCs w:val="20"/>
          <w:lang w:val="en-US"/>
        </w:rPr>
        <w:t xml:space="preserve"> </w:t>
      </w:r>
      <w:r w:rsidR="00B370D2" w:rsidRPr="00CF6765">
        <w:rPr>
          <w:sz w:val="20"/>
          <w:szCs w:val="20"/>
          <w:lang w:val="en-US"/>
        </w:rPr>
        <w:t xml:space="preserve">– </w:t>
      </w:r>
      <w:r w:rsidRPr="00CF6765">
        <w:rPr>
          <w:sz w:val="20"/>
          <w:szCs w:val="20"/>
          <w:lang w:val="en-US"/>
        </w:rPr>
        <w:t xml:space="preserve">that no provision </w:t>
      </w:r>
      <w:r w:rsidR="005C731C" w:rsidRPr="00CF6765">
        <w:rPr>
          <w:sz w:val="20"/>
          <w:szCs w:val="20"/>
          <w:lang w:val="en-US"/>
        </w:rPr>
        <w:t>of the Convention</w:t>
      </w:r>
      <w:r w:rsidR="00B370D2" w:rsidRPr="00CF6765">
        <w:rPr>
          <w:sz w:val="20"/>
          <w:szCs w:val="20"/>
          <w:lang w:val="en-US"/>
        </w:rPr>
        <w:t xml:space="preserve"> </w:t>
      </w:r>
      <w:r w:rsidRPr="00CF6765">
        <w:rPr>
          <w:sz w:val="20"/>
          <w:szCs w:val="20"/>
          <w:lang w:val="en-US"/>
        </w:rPr>
        <w:t>may be interpreted as</w:t>
      </w:r>
      <w:r w:rsidR="00B370D2" w:rsidRPr="00CF6765">
        <w:rPr>
          <w:sz w:val="20"/>
          <w:szCs w:val="20"/>
          <w:lang w:val="en-US"/>
        </w:rPr>
        <w:t>:</w:t>
      </w:r>
    </w:p>
    <w:p w14:paraId="03F7D8B6" w14:textId="77777777" w:rsidR="00B370D2" w:rsidRPr="00CF6765" w:rsidRDefault="00B370D2" w:rsidP="000139F3">
      <w:pPr>
        <w:rPr>
          <w:sz w:val="20"/>
          <w:szCs w:val="20"/>
          <w:lang w:val="en-US"/>
        </w:rPr>
      </w:pPr>
    </w:p>
    <w:p w14:paraId="5641762A" w14:textId="0C7DCFE8" w:rsidR="00B370D2" w:rsidRPr="00CF6765" w:rsidRDefault="00E721B3" w:rsidP="00E8302D">
      <w:pPr>
        <w:pStyle w:val="Prrafodelista"/>
        <w:ind w:right="468"/>
        <w:rPr>
          <w:rFonts w:cs="Tahoma"/>
          <w:sz w:val="20"/>
          <w:szCs w:val="20"/>
          <w:lang w:val="en-US"/>
        </w:rPr>
      </w:pPr>
      <w:r w:rsidRPr="00CF6765">
        <w:rPr>
          <w:rFonts w:cs="Tahoma"/>
          <w:sz w:val="20"/>
          <w:szCs w:val="20"/>
          <w:lang w:val="en-US"/>
        </w:rPr>
        <w:t>(</w:t>
      </w:r>
      <w:r w:rsidR="00B370D2" w:rsidRPr="00CF6765">
        <w:rPr>
          <w:rFonts w:cs="Tahoma"/>
          <w:sz w:val="20"/>
          <w:szCs w:val="20"/>
          <w:lang w:val="en-US"/>
        </w:rPr>
        <w:t xml:space="preserve">b) </w:t>
      </w:r>
      <w:r w:rsidR="000139F3" w:rsidRPr="00CF6765">
        <w:rPr>
          <w:spacing w:val="-3"/>
          <w:sz w:val="20"/>
          <w:szCs w:val="20"/>
          <w:lang w:val="en-US"/>
        </w:rPr>
        <w:t>restricting the enjoyment or exercise of any right or freedom recognized by virtue of the laws of any State Party or by virtue of another convention to which one of the said states is a party</w:t>
      </w:r>
      <w:r w:rsidR="00B370D2" w:rsidRPr="00CF6765">
        <w:rPr>
          <w:rFonts w:cs="Tahoma"/>
          <w:sz w:val="20"/>
          <w:szCs w:val="20"/>
          <w:lang w:val="en-US"/>
        </w:rPr>
        <w:t>;</w:t>
      </w:r>
    </w:p>
    <w:p w14:paraId="120D034A" w14:textId="77777777" w:rsidR="00E721B3" w:rsidRPr="00CF6765" w:rsidRDefault="00E721B3" w:rsidP="00E8302D">
      <w:pPr>
        <w:pStyle w:val="Prrafodelista"/>
        <w:ind w:right="468"/>
        <w:rPr>
          <w:rFonts w:cs="Tahoma"/>
          <w:sz w:val="20"/>
          <w:szCs w:val="20"/>
          <w:lang w:val="en-US"/>
        </w:rPr>
      </w:pPr>
    </w:p>
    <w:p w14:paraId="285EFE01" w14:textId="7E014569" w:rsidR="00B370D2" w:rsidRPr="00CF6765" w:rsidRDefault="00E721B3" w:rsidP="00E8302D">
      <w:pPr>
        <w:pStyle w:val="Prrafodelista"/>
        <w:ind w:right="468"/>
        <w:rPr>
          <w:sz w:val="20"/>
          <w:szCs w:val="20"/>
          <w:lang w:val="en-US"/>
        </w:rPr>
      </w:pPr>
      <w:r w:rsidRPr="00CF6765">
        <w:rPr>
          <w:rFonts w:cs="Tahoma"/>
          <w:sz w:val="20"/>
          <w:szCs w:val="20"/>
          <w:lang w:val="en-US"/>
        </w:rPr>
        <w:t>(</w:t>
      </w:r>
      <w:r w:rsidR="00B370D2" w:rsidRPr="00CF6765">
        <w:rPr>
          <w:rFonts w:cs="Tahoma"/>
          <w:sz w:val="20"/>
          <w:szCs w:val="20"/>
          <w:lang w:val="en-US"/>
        </w:rPr>
        <w:t xml:space="preserve">d) </w:t>
      </w:r>
      <w:r w:rsidRPr="00CF6765">
        <w:rPr>
          <w:spacing w:val="-3"/>
          <w:sz w:val="20"/>
          <w:szCs w:val="20"/>
          <w:lang w:val="en-US"/>
        </w:rPr>
        <w:t>excluding or limiting the effect that the American Declaration of the Rights and Duties of Man and other international acts of the same nature may have</w:t>
      </w:r>
      <w:r w:rsidR="00B370D2" w:rsidRPr="00CF6765">
        <w:rPr>
          <w:rFonts w:cs="Tahoma"/>
          <w:sz w:val="20"/>
          <w:szCs w:val="20"/>
          <w:lang w:val="en-US"/>
        </w:rPr>
        <w:t>.</w:t>
      </w:r>
    </w:p>
    <w:p w14:paraId="5F43308C" w14:textId="77777777" w:rsidR="00B370D2" w:rsidRPr="00CF6765" w:rsidRDefault="00B370D2" w:rsidP="00B370D2">
      <w:pPr>
        <w:rPr>
          <w:sz w:val="20"/>
          <w:szCs w:val="20"/>
          <w:lang w:val="en-US"/>
        </w:rPr>
      </w:pPr>
    </w:p>
    <w:p w14:paraId="2FAA4FF0" w14:textId="79E8383A" w:rsidR="00B370D2" w:rsidRPr="00CF6765" w:rsidRDefault="004C0DAA" w:rsidP="00A21A7F">
      <w:pPr>
        <w:pStyle w:val="Prrafodelista"/>
        <w:numPr>
          <w:ilvl w:val="0"/>
          <w:numId w:val="33"/>
        </w:numPr>
        <w:ind w:left="0" w:firstLine="0"/>
        <w:rPr>
          <w:sz w:val="20"/>
          <w:szCs w:val="20"/>
          <w:lang w:val="en-US"/>
        </w:rPr>
      </w:pPr>
      <w:r w:rsidRPr="00CF6765">
        <w:rPr>
          <w:sz w:val="20"/>
          <w:szCs w:val="20"/>
          <w:lang w:val="en-US"/>
        </w:rPr>
        <w:t>Article</w:t>
      </w:r>
      <w:r w:rsidR="00B370D2" w:rsidRPr="00CF6765">
        <w:rPr>
          <w:sz w:val="20"/>
          <w:szCs w:val="20"/>
          <w:lang w:val="en-US"/>
        </w:rPr>
        <w:t xml:space="preserve"> 29</w:t>
      </w:r>
      <w:r w:rsidR="005C731C" w:rsidRPr="00CF6765">
        <w:rPr>
          <w:sz w:val="20"/>
          <w:szCs w:val="20"/>
          <w:lang w:val="en-US"/>
        </w:rPr>
        <w:t xml:space="preserve"> of the Convention</w:t>
      </w:r>
      <w:r w:rsidR="00A21A7F" w:rsidRPr="00CF6765">
        <w:rPr>
          <w:sz w:val="20"/>
          <w:szCs w:val="20"/>
          <w:lang w:val="en-US"/>
        </w:rPr>
        <w:t xml:space="preserve"> plays the important role of preventing the States from limiting the enjoyment or exercise of a right contained in domestic law or in international law by an interpretation </w:t>
      </w:r>
      <w:r w:rsidR="005C731C" w:rsidRPr="00CF6765">
        <w:rPr>
          <w:sz w:val="20"/>
          <w:szCs w:val="20"/>
          <w:lang w:val="en-US"/>
        </w:rPr>
        <w:t>of the American Co</w:t>
      </w:r>
      <w:r w:rsidR="00A21A7F" w:rsidRPr="00CF6765">
        <w:rPr>
          <w:sz w:val="20"/>
          <w:szCs w:val="20"/>
          <w:lang w:val="en-US"/>
        </w:rPr>
        <w:t>n</w:t>
      </w:r>
      <w:r w:rsidR="005C731C" w:rsidRPr="00CF6765">
        <w:rPr>
          <w:sz w:val="20"/>
          <w:szCs w:val="20"/>
          <w:lang w:val="en-US"/>
        </w:rPr>
        <w:t>vention</w:t>
      </w:r>
      <w:r w:rsidR="00A21A7F" w:rsidRPr="00CF6765">
        <w:rPr>
          <w:sz w:val="20"/>
          <w:szCs w:val="20"/>
          <w:lang w:val="en-US"/>
        </w:rPr>
        <w:t xml:space="preserve">. For the Inter-American Court, this article has served to interpret the clauses of the Convention in light of other national and international human rights instruments and, in this way, </w:t>
      </w:r>
      <w:r w:rsidR="00E8302D" w:rsidRPr="00CF6765">
        <w:rPr>
          <w:sz w:val="20"/>
          <w:szCs w:val="20"/>
          <w:lang w:val="en-US"/>
        </w:rPr>
        <w:t xml:space="preserve">to </w:t>
      </w:r>
      <w:r w:rsidR="00A21A7F" w:rsidRPr="00CF6765">
        <w:rPr>
          <w:sz w:val="20"/>
          <w:szCs w:val="20"/>
          <w:lang w:val="en-US"/>
        </w:rPr>
        <w:t>give them  greater content.</w:t>
      </w:r>
      <w:r w:rsidR="00B370D2" w:rsidRPr="00CF6765">
        <w:rPr>
          <w:rStyle w:val="Refdenotaalpie"/>
          <w:sz w:val="20"/>
          <w:szCs w:val="20"/>
          <w:lang w:val="en-US"/>
        </w:rPr>
        <w:footnoteReference w:id="351"/>
      </w:r>
      <w:r w:rsidR="00A21A7F" w:rsidRPr="00CF6765">
        <w:rPr>
          <w:sz w:val="20"/>
          <w:szCs w:val="20"/>
          <w:lang w:val="en-US"/>
        </w:rPr>
        <w:t xml:space="preserve"> But it is one matter to use</w:t>
      </w:r>
      <w:r w:rsidR="00B370D2" w:rsidRPr="00CF6765">
        <w:rPr>
          <w:sz w:val="20"/>
          <w:szCs w:val="20"/>
          <w:lang w:val="en-US"/>
        </w:rPr>
        <w:t xml:space="preserve"> </w:t>
      </w:r>
      <w:r w:rsidR="005C731C" w:rsidRPr="00CF6765">
        <w:rPr>
          <w:sz w:val="20"/>
          <w:szCs w:val="20"/>
          <w:lang w:val="en-US"/>
        </w:rPr>
        <w:t>Article</w:t>
      </w:r>
      <w:r w:rsidR="00B370D2" w:rsidRPr="00CF6765">
        <w:rPr>
          <w:sz w:val="20"/>
          <w:szCs w:val="20"/>
          <w:lang w:val="en-US"/>
        </w:rPr>
        <w:t xml:space="preserve"> 29</w:t>
      </w:r>
      <w:r w:rsidR="005C731C" w:rsidRPr="00CF6765">
        <w:rPr>
          <w:sz w:val="20"/>
          <w:szCs w:val="20"/>
          <w:lang w:val="en-US"/>
        </w:rPr>
        <w:t xml:space="preserve"> of the Convention</w:t>
      </w:r>
      <w:r w:rsidR="00B370D2" w:rsidRPr="00CF6765">
        <w:rPr>
          <w:sz w:val="20"/>
          <w:szCs w:val="20"/>
          <w:lang w:val="en-US"/>
        </w:rPr>
        <w:t xml:space="preserve"> </w:t>
      </w:r>
      <w:r w:rsidR="00A21A7F" w:rsidRPr="00CF6765">
        <w:rPr>
          <w:sz w:val="20"/>
          <w:szCs w:val="20"/>
          <w:lang w:val="en-US"/>
        </w:rPr>
        <w:t>to prevent the States</w:t>
      </w:r>
      <w:r w:rsidR="00E8302D" w:rsidRPr="00CF6765">
        <w:rPr>
          <w:sz w:val="20"/>
          <w:szCs w:val="20"/>
          <w:lang w:val="en-US"/>
        </w:rPr>
        <w:t xml:space="preserve"> from</w:t>
      </w:r>
      <w:r w:rsidR="00A21A7F" w:rsidRPr="00CF6765">
        <w:rPr>
          <w:sz w:val="20"/>
          <w:szCs w:val="20"/>
          <w:lang w:val="en-US"/>
        </w:rPr>
        <w:t xml:space="preserve"> limiting rights recognized in the domestic sphere or in other international instrument</w:t>
      </w:r>
      <w:r w:rsidR="00E8302D" w:rsidRPr="00CF6765">
        <w:rPr>
          <w:sz w:val="20"/>
          <w:szCs w:val="20"/>
          <w:lang w:val="en-US"/>
        </w:rPr>
        <w:t>s by</w:t>
      </w:r>
      <w:r w:rsidR="00A21A7F" w:rsidRPr="00CF6765">
        <w:rPr>
          <w:sz w:val="20"/>
          <w:szCs w:val="20"/>
          <w:lang w:val="en-US"/>
        </w:rPr>
        <w:t xml:space="preserve"> citing </w:t>
      </w:r>
      <w:r w:rsidR="005C731C" w:rsidRPr="00CF6765">
        <w:rPr>
          <w:sz w:val="20"/>
          <w:szCs w:val="20"/>
          <w:lang w:val="en-US"/>
        </w:rPr>
        <w:t>the Convention</w:t>
      </w:r>
      <w:r w:rsidR="00E8302D" w:rsidRPr="00CF6765">
        <w:rPr>
          <w:sz w:val="20"/>
          <w:szCs w:val="20"/>
          <w:lang w:val="en-US"/>
        </w:rPr>
        <w:t>,</w:t>
      </w:r>
      <w:r w:rsidR="00EC50FC" w:rsidRPr="00CF6765">
        <w:rPr>
          <w:sz w:val="20"/>
          <w:szCs w:val="20"/>
          <w:lang w:val="en-US"/>
        </w:rPr>
        <w:t xml:space="preserve"> and </w:t>
      </w:r>
      <w:r w:rsidR="00A21A7F" w:rsidRPr="00CF6765">
        <w:rPr>
          <w:sz w:val="20"/>
          <w:szCs w:val="20"/>
          <w:lang w:val="en-US"/>
        </w:rPr>
        <w:t xml:space="preserve">that </w:t>
      </w:r>
      <w:r w:rsidR="005C731C" w:rsidRPr="00CF6765">
        <w:rPr>
          <w:sz w:val="20"/>
          <w:szCs w:val="20"/>
          <w:lang w:val="en-US"/>
        </w:rPr>
        <w:t>the Court</w:t>
      </w:r>
      <w:r w:rsidR="00B370D2" w:rsidRPr="00CF6765">
        <w:rPr>
          <w:sz w:val="20"/>
          <w:szCs w:val="20"/>
          <w:lang w:val="en-US"/>
        </w:rPr>
        <w:t xml:space="preserve"> </w:t>
      </w:r>
      <w:r w:rsidR="00A21A7F" w:rsidRPr="00CF6765">
        <w:rPr>
          <w:sz w:val="20"/>
          <w:szCs w:val="20"/>
          <w:lang w:val="en-US"/>
        </w:rPr>
        <w:t>use</w:t>
      </w:r>
      <w:r w:rsidR="00E8302D" w:rsidRPr="00CF6765">
        <w:rPr>
          <w:sz w:val="20"/>
          <w:szCs w:val="20"/>
          <w:lang w:val="en-US"/>
        </w:rPr>
        <w:t>s</w:t>
      </w:r>
      <w:r w:rsidR="00A21A7F" w:rsidRPr="00CF6765">
        <w:rPr>
          <w:sz w:val="20"/>
          <w:szCs w:val="20"/>
          <w:lang w:val="en-US"/>
        </w:rPr>
        <w:t xml:space="preserve"> </w:t>
      </w:r>
      <w:r w:rsidR="00E8302D" w:rsidRPr="00CF6765">
        <w:rPr>
          <w:sz w:val="20"/>
          <w:szCs w:val="20"/>
          <w:lang w:val="en-US"/>
        </w:rPr>
        <w:t>it</w:t>
      </w:r>
      <w:r w:rsidR="00A21A7F" w:rsidRPr="00CF6765">
        <w:rPr>
          <w:sz w:val="20"/>
          <w:szCs w:val="20"/>
          <w:lang w:val="en-US"/>
        </w:rPr>
        <w:t xml:space="preserve"> a</w:t>
      </w:r>
      <w:r w:rsidR="00E8302D" w:rsidRPr="00CF6765">
        <w:rPr>
          <w:sz w:val="20"/>
          <w:szCs w:val="20"/>
          <w:lang w:val="en-US"/>
        </w:rPr>
        <w:t>s a</w:t>
      </w:r>
      <w:r w:rsidR="00A21A7F" w:rsidRPr="00CF6765">
        <w:rPr>
          <w:sz w:val="20"/>
          <w:szCs w:val="20"/>
          <w:lang w:val="en-US"/>
        </w:rPr>
        <w:t xml:space="preserve"> means of interpretation to update the normative content of the articles </w:t>
      </w:r>
      <w:r w:rsidR="005C731C" w:rsidRPr="00CF6765">
        <w:rPr>
          <w:sz w:val="20"/>
          <w:szCs w:val="20"/>
          <w:lang w:val="en-US"/>
        </w:rPr>
        <w:t>of the Convention</w:t>
      </w:r>
      <w:r w:rsidR="00B370D2" w:rsidRPr="00CF6765">
        <w:rPr>
          <w:sz w:val="20"/>
          <w:szCs w:val="20"/>
          <w:lang w:val="en-US"/>
        </w:rPr>
        <w:t>,</w:t>
      </w:r>
      <w:r w:rsidR="00EC50FC" w:rsidRPr="00CF6765">
        <w:rPr>
          <w:sz w:val="20"/>
          <w:szCs w:val="20"/>
          <w:lang w:val="en-US"/>
        </w:rPr>
        <w:t xml:space="preserve"> and </w:t>
      </w:r>
      <w:r w:rsidR="00A21A7F" w:rsidRPr="00CF6765">
        <w:rPr>
          <w:sz w:val="20"/>
          <w:szCs w:val="20"/>
          <w:lang w:val="en-US"/>
        </w:rPr>
        <w:t xml:space="preserve">it is quite another matter to use </w:t>
      </w:r>
      <w:r w:rsidR="005C731C" w:rsidRPr="00CF6765">
        <w:rPr>
          <w:sz w:val="20"/>
          <w:szCs w:val="20"/>
          <w:lang w:val="en-US"/>
        </w:rPr>
        <w:t>Article</w:t>
      </w:r>
      <w:r w:rsidR="00B370D2" w:rsidRPr="00CF6765">
        <w:rPr>
          <w:sz w:val="20"/>
          <w:szCs w:val="20"/>
          <w:lang w:val="en-US"/>
        </w:rPr>
        <w:t xml:space="preserve"> 29</w:t>
      </w:r>
      <w:r w:rsidR="005C731C" w:rsidRPr="00CF6765">
        <w:rPr>
          <w:sz w:val="20"/>
          <w:szCs w:val="20"/>
          <w:lang w:val="en-US"/>
        </w:rPr>
        <w:t xml:space="preserve"> of the Convention</w:t>
      </w:r>
      <w:r w:rsidR="00B370D2" w:rsidRPr="00CF6765">
        <w:rPr>
          <w:sz w:val="20"/>
          <w:szCs w:val="20"/>
          <w:lang w:val="en-US"/>
        </w:rPr>
        <w:t xml:space="preserve"> </w:t>
      </w:r>
      <w:r w:rsidR="00A21A7F" w:rsidRPr="00CF6765">
        <w:rPr>
          <w:sz w:val="20"/>
          <w:szCs w:val="20"/>
          <w:lang w:val="en-US"/>
        </w:rPr>
        <w:t>as a type of norm of referral to other norms of national and international law in order to, thus, “affirm” the Court’s competence to declare violations of rights established in national and international instruments for which the Court clearly lacks jurisdiction.</w:t>
      </w:r>
      <w:r w:rsidR="00B370D2" w:rsidRPr="00CF6765">
        <w:rPr>
          <w:sz w:val="20"/>
          <w:szCs w:val="20"/>
          <w:lang w:val="en-US"/>
        </w:rPr>
        <w:t xml:space="preserve"> </w:t>
      </w:r>
      <w:r w:rsidR="00A21A7F" w:rsidRPr="00CF6765">
        <w:rPr>
          <w:sz w:val="20"/>
          <w:szCs w:val="20"/>
          <w:lang w:val="en-US"/>
        </w:rPr>
        <w:t xml:space="preserve">Plainly, this interpretation is an abuse of the </w:t>
      </w:r>
      <w:r w:rsidR="00B370D2" w:rsidRPr="00CF6765">
        <w:rPr>
          <w:i/>
          <w:sz w:val="20"/>
          <w:szCs w:val="20"/>
          <w:lang w:val="en-US"/>
        </w:rPr>
        <w:t>pro persona</w:t>
      </w:r>
      <w:r w:rsidR="00EC50FC" w:rsidRPr="00CF6765">
        <w:rPr>
          <w:sz w:val="20"/>
          <w:szCs w:val="20"/>
          <w:lang w:val="en-US"/>
        </w:rPr>
        <w:t xml:space="preserve"> </w:t>
      </w:r>
      <w:r w:rsidR="00A21A7F" w:rsidRPr="00CF6765">
        <w:rPr>
          <w:sz w:val="20"/>
          <w:szCs w:val="20"/>
          <w:lang w:val="en-US"/>
        </w:rPr>
        <w:t>principle a</w:t>
      </w:r>
      <w:r w:rsidR="00EC50FC" w:rsidRPr="00CF6765">
        <w:rPr>
          <w:sz w:val="20"/>
          <w:szCs w:val="20"/>
          <w:lang w:val="en-US"/>
        </w:rPr>
        <w:t xml:space="preserve">nd </w:t>
      </w:r>
      <w:r w:rsidR="00A21A7F" w:rsidRPr="00CF6765">
        <w:rPr>
          <w:sz w:val="20"/>
          <w:szCs w:val="20"/>
          <w:lang w:val="en-US"/>
        </w:rPr>
        <w:t>a violation of the principle of legal certainty that would not allow the State to anticipate the type of conduct they should observe to comply with their international obligations</w:t>
      </w:r>
      <w:r w:rsidR="00B370D2" w:rsidRPr="00CF6765">
        <w:rPr>
          <w:sz w:val="20"/>
          <w:szCs w:val="20"/>
          <w:lang w:val="en-US"/>
        </w:rPr>
        <w:t>.</w:t>
      </w:r>
    </w:p>
    <w:p w14:paraId="33C9854D" w14:textId="77777777" w:rsidR="00B370D2" w:rsidRPr="00CF6765" w:rsidRDefault="00B370D2" w:rsidP="00B370D2">
      <w:pPr>
        <w:pStyle w:val="Prrafodelista"/>
        <w:ind w:left="0"/>
        <w:rPr>
          <w:sz w:val="20"/>
          <w:szCs w:val="20"/>
          <w:lang w:val="en-US"/>
        </w:rPr>
      </w:pPr>
    </w:p>
    <w:p w14:paraId="0A13D808" w14:textId="624E7E5B" w:rsidR="00D5302A" w:rsidRPr="00CF6765" w:rsidRDefault="00D5302A" w:rsidP="00B370D2">
      <w:pPr>
        <w:pStyle w:val="Prrafodelista"/>
        <w:numPr>
          <w:ilvl w:val="0"/>
          <w:numId w:val="33"/>
        </w:numPr>
        <w:ind w:left="0" w:firstLine="0"/>
        <w:rPr>
          <w:sz w:val="20"/>
          <w:szCs w:val="20"/>
          <w:lang w:val="en-US"/>
        </w:rPr>
      </w:pPr>
      <w:r w:rsidRPr="00CF6765">
        <w:rPr>
          <w:sz w:val="20"/>
          <w:szCs w:val="20"/>
          <w:lang w:val="en-US"/>
        </w:rPr>
        <w:t xml:space="preserve">Supplementing the above, it is important to point out that the human rights norms established in instruments such as </w:t>
      </w:r>
      <w:r w:rsidR="007A3516" w:rsidRPr="00CF6765">
        <w:rPr>
          <w:sz w:val="20"/>
          <w:szCs w:val="20"/>
          <w:lang w:val="en-US"/>
        </w:rPr>
        <w:t>the American Declaration</w:t>
      </w:r>
      <w:r w:rsidR="00B370D2" w:rsidRPr="00CF6765">
        <w:rPr>
          <w:sz w:val="20"/>
          <w:szCs w:val="20"/>
          <w:lang w:val="en-US"/>
        </w:rPr>
        <w:t xml:space="preserve"> </w:t>
      </w:r>
      <w:r w:rsidRPr="00CF6765">
        <w:rPr>
          <w:sz w:val="20"/>
          <w:szCs w:val="20"/>
          <w:lang w:val="en-US"/>
        </w:rPr>
        <w:t xml:space="preserve">of the Rights </w:t>
      </w:r>
      <w:r w:rsidR="00E27148" w:rsidRPr="00CF6765">
        <w:rPr>
          <w:sz w:val="20"/>
          <w:szCs w:val="20"/>
          <w:lang w:val="en-US"/>
        </w:rPr>
        <w:t>and</w:t>
      </w:r>
      <w:r w:rsidRPr="00CF6765">
        <w:rPr>
          <w:sz w:val="20"/>
          <w:szCs w:val="20"/>
          <w:lang w:val="en-US"/>
        </w:rPr>
        <w:t xml:space="preserve"> Duties of Man </w:t>
      </w:r>
      <w:r w:rsidR="00E8302D" w:rsidRPr="00CF6765">
        <w:rPr>
          <w:sz w:val="20"/>
          <w:szCs w:val="20"/>
          <w:lang w:val="en-US"/>
        </w:rPr>
        <w:t xml:space="preserve">and </w:t>
      </w:r>
      <w:r w:rsidRPr="00CF6765">
        <w:rPr>
          <w:sz w:val="20"/>
          <w:szCs w:val="20"/>
          <w:lang w:val="en-US"/>
        </w:rPr>
        <w:t>other instruments of this nature have a normative value that is relevant to identify the content of the international obligations established by the Convention.</w:t>
      </w:r>
      <w:r w:rsidRPr="00CF6765">
        <w:rPr>
          <w:rStyle w:val="Refdenotaalpie"/>
          <w:sz w:val="20"/>
          <w:szCs w:val="20"/>
          <w:lang w:val="en-US"/>
        </w:rPr>
        <w:footnoteReference w:id="352"/>
      </w:r>
      <w:r w:rsidRPr="00CF6765">
        <w:rPr>
          <w:sz w:val="20"/>
          <w:szCs w:val="20"/>
          <w:lang w:val="en-US"/>
        </w:rPr>
        <w:t xml:space="preserve"> However, this does not mean that these instruments enjoy the same </w:t>
      </w:r>
      <w:r w:rsidR="00E8302D" w:rsidRPr="00CF6765">
        <w:rPr>
          <w:sz w:val="20"/>
          <w:szCs w:val="20"/>
          <w:lang w:val="en-US"/>
        </w:rPr>
        <w:t>mandatory</w:t>
      </w:r>
      <w:r w:rsidRPr="00CF6765">
        <w:rPr>
          <w:sz w:val="20"/>
          <w:szCs w:val="20"/>
          <w:lang w:val="en-US"/>
        </w:rPr>
        <w:t xml:space="preserve"> nature as an international treaty; rather, they should be recognized as norms of soft law. This means that their </w:t>
      </w:r>
      <w:r w:rsidR="00E8302D" w:rsidRPr="00CF6765">
        <w:rPr>
          <w:sz w:val="20"/>
          <w:szCs w:val="20"/>
          <w:lang w:val="en-US"/>
        </w:rPr>
        <w:t xml:space="preserve">mandatory </w:t>
      </w:r>
      <w:r w:rsidRPr="00CF6765">
        <w:rPr>
          <w:sz w:val="20"/>
          <w:szCs w:val="20"/>
          <w:lang w:val="en-US"/>
        </w:rPr>
        <w:t xml:space="preserve">nature within the system of sources of international law is “relativized,” and that </w:t>
      </w:r>
      <w:r w:rsidR="00E8302D" w:rsidRPr="00CF6765">
        <w:rPr>
          <w:sz w:val="20"/>
          <w:szCs w:val="20"/>
          <w:lang w:val="en-US"/>
        </w:rPr>
        <w:t>they do</w:t>
      </w:r>
      <w:r w:rsidRPr="00CF6765">
        <w:rPr>
          <w:sz w:val="20"/>
          <w:szCs w:val="20"/>
          <w:lang w:val="en-US"/>
        </w:rPr>
        <w:t xml:space="preserve"> not constitute an autonomous source of rights and obligations that can result in the international responsibility of the State if they are not complied with. This is important because the Court must be particularly careful not to confuse the obligations that result for the States owing to articles of the Convention that recognize rights and obligations that are immediately enforceable</w:t>
      </w:r>
      <w:r w:rsidR="00E8302D" w:rsidRPr="00CF6765">
        <w:rPr>
          <w:sz w:val="20"/>
          <w:szCs w:val="20"/>
          <w:lang w:val="en-US"/>
        </w:rPr>
        <w:t xml:space="preserve"> </w:t>
      </w:r>
      <w:r w:rsidRPr="00CF6765">
        <w:rPr>
          <w:sz w:val="20"/>
          <w:szCs w:val="20"/>
          <w:lang w:val="en-US"/>
        </w:rPr>
        <w:t xml:space="preserve">and </w:t>
      </w:r>
      <w:r w:rsidR="00E8302D" w:rsidRPr="00CF6765">
        <w:rPr>
          <w:sz w:val="20"/>
          <w:szCs w:val="20"/>
          <w:lang w:val="en-US"/>
        </w:rPr>
        <w:lastRenderedPageBreak/>
        <w:t>for</w:t>
      </w:r>
      <w:r w:rsidRPr="00CF6765">
        <w:rPr>
          <w:sz w:val="20"/>
          <w:szCs w:val="20"/>
          <w:lang w:val="en-US"/>
        </w:rPr>
        <w:t xml:space="preserve"> which the Court has jurisdiction, with those norms or principles that serve for the interpretation of the said articles of the Convention.</w:t>
      </w:r>
    </w:p>
    <w:p w14:paraId="3C6C6983" w14:textId="0F75FF21" w:rsidR="00B370D2" w:rsidRPr="00CF6765" w:rsidRDefault="00B370D2" w:rsidP="00D5302A">
      <w:pPr>
        <w:pStyle w:val="Prrafodelista"/>
        <w:tabs>
          <w:tab w:val="left" w:pos="3818"/>
        </w:tabs>
        <w:ind w:left="0"/>
        <w:rPr>
          <w:sz w:val="20"/>
          <w:szCs w:val="20"/>
          <w:lang w:val="en-US"/>
        </w:rPr>
      </w:pPr>
    </w:p>
    <w:p w14:paraId="26189B30" w14:textId="252FD8D4" w:rsidR="00B370D2" w:rsidRPr="00CF6765" w:rsidRDefault="00D5302A" w:rsidP="00D5302A">
      <w:pPr>
        <w:pStyle w:val="Prrafodelista"/>
        <w:numPr>
          <w:ilvl w:val="0"/>
          <w:numId w:val="33"/>
        </w:numPr>
        <w:ind w:left="0" w:firstLine="0"/>
        <w:rPr>
          <w:sz w:val="20"/>
          <w:szCs w:val="20"/>
          <w:lang w:val="en-US"/>
        </w:rPr>
      </w:pPr>
      <w:r w:rsidRPr="00CF6765">
        <w:rPr>
          <w:sz w:val="20"/>
          <w:szCs w:val="20"/>
          <w:lang w:val="en-US"/>
        </w:rPr>
        <w:t xml:space="preserve">As I have stated on other occasions, it is important to recall that the use of norms other than those of </w:t>
      </w:r>
      <w:r w:rsidR="005C731C" w:rsidRPr="00CF6765">
        <w:rPr>
          <w:sz w:val="20"/>
          <w:szCs w:val="20"/>
          <w:lang w:val="en-US"/>
        </w:rPr>
        <w:t>the Convention</w:t>
      </w:r>
      <w:r w:rsidR="00B370D2" w:rsidRPr="00CF6765">
        <w:rPr>
          <w:sz w:val="20"/>
          <w:szCs w:val="20"/>
          <w:lang w:val="en-US"/>
        </w:rPr>
        <w:t xml:space="preserve"> </w:t>
      </w:r>
      <w:r w:rsidRPr="00CF6765">
        <w:rPr>
          <w:sz w:val="20"/>
          <w:szCs w:val="20"/>
          <w:lang w:val="en-US"/>
        </w:rPr>
        <w:t xml:space="preserve">for its interpretation should be </w:t>
      </w:r>
      <w:r w:rsidR="00E27148" w:rsidRPr="00CF6765">
        <w:rPr>
          <w:sz w:val="20"/>
          <w:szCs w:val="20"/>
          <w:lang w:val="en-US"/>
        </w:rPr>
        <w:t>based on</w:t>
      </w:r>
      <w:r w:rsidRPr="00CF6765">
        <w:rPr>
          <w:sz w:val="20"/>
          <w:szCs w:val="20"/>
          <w:lang w:val="en-US"/>
        </w:rPr>
        <w:t xml:space="preserve"> a series of presumptions concerning the normative value of both the norms and principles that are interpreted (for example, the Convention), and those that are used as parameters of interpretation (for example, </w:t>
      </w:r>
      <w:r w:rsidR="007A3516" w:rsidRPr="00CF6765">
        <w:rPr>
          <w:sz w:val="20"/>
          <w:szCs w:val="20"/>
          <w:lang w:val="en-US"/>
        </w:rPr>
        <w:t>the American Declaration</w:t>
      </w:r>
      <w:r w:rsidR="00B370D2" w:rsidRPr="00CF6765">
        <w:rPr>
          <w:rStyle w:val="Refdenotaalpie"/>
          <w:sz w:val="20"/>
          <w:szCs w:val="20"/>
          <w:lang w:val="en-US"/>
        </w:rPr>
        <w:footnoteReference w:id="353"/>
      </w:r>
      <w:r w:rsidR="00B370D2" w:rsidRPr="00CF6765">
        <w:rPr>
          <w:sz w:val="20"/>
          <w:szCs w:val="20"/>
          <w:lang w:val="en-US"/>
        </w:rPr>
        <w:t>).</w:t>
      </w:r>
      <w:r w:rsidRPr="00CF6765">
        <w:rPr>
          <w:sz w:val="20"/>
          <w:szCs w:val="20"/>
          <w:lang w:val="en-US"/>
        </w:rPr>
        <w:t xml:space="preserve"> In other words, the interpretation made by the Court is not – and should not – be absolutely free, but should be made within the framework of </w:t>
      </w:r>
      <w:r w:rsidR="008A611E" w:rsidRPr="00CF6765">
        <w:rPr>
          <w:sz w:val="20"/>
          <w:szCs w:val="20"/>
          <w:lang w:val="en-US"/>
        </w:rPr>
        <w:t xml:space="preserve">what is established by secondary rules of international law that determine the </w:t>
      </w:r>
      <w:r w:rsidR="00D210AD" w:rsidRPr="00CF6765">
        <w:rPr>
          <w:sz w:val="20"/>
          <w:szCs w:val="20"/>
          <w:lang w:val="en-US"/>
        </w:rPr>
        <w:t>compulsory</w:t>
      </w:r>
      <w:r w:rsidR="008A611E" w:rsidRPr="00CF6765">
        <w:rPr>
          <w:sz w:val="20"/>
          <w:szCs w:val="20"/>
          <w:lang w:val="en-US"/>
        </w:rPr>
        <w:t xml:space="preserve"> nature of the sources of law and the way in which these should be interpreted (such as article 38 of the Statute of </w:t>
      </w:r>
      <w:r w:rsidR="005C731C" w:rsidRPr="00CF6765">
        <w:rPr>
          <w:sz w:val="20"/>
          <w:szCs w:val="20"/>
          <w:lang w:val="en-US"/>
        </w:rPr>
        <w:t xml:space="preserve">the </w:t>
      </w:r>
      <w:r w:rsidR="00930431" w:rsidRPr="00CF6765">
        <w:rPr>
          <w:sz w:val="20"/>
          <w:szCs w:val="20"/>
          <w:lang w:val="en-US"/>
        </w:rPr>
        <w:t>International Court of Justice</w:t>
      </w:r>
      <w:r w:rsidR="00B370D2" w:rsidRPr="00CF6765">
        <w:rPr>
          <w:sz w:val="20"/>
          <w:szCs w:val="20"/>
          <w:lang w:val="en-US"/>
        </w:rPr>
        <w:t xml:space="preserve"> o</w:t>
      </w:r>
      <w:r w:rsidR="00E27148" w:rsidRPr="00CF6765">
        <w:rPr>
          <w:sz w:val="20"/>
          <w:szCs w:val="20"/>
          <w:lang w:val="en-US"/>
        </w:rPr>
        <w:t>r</w:t>
      </w:r>
      <w:r w:rsidR="00B370D2" w:rsidRPr="00CF6765">
        <w:rPr>
          <w:sz w:val="20"/>
          <w:szCs w:val="20"/>
          <w:lang w:val="en-US"/>
        </w:rPr>
        <w:t xml:space="preserve"> </w:t>
      </w:r>
      <w:r w:rsidR="008A611E" w:rsidRPr="00CF6765">
        <w:rPr>
          <w:sz w:val="20"/>
          <w:szCs w:val="20"/>
          <w:lang w:val="en-US"/>
        </w:rPr>
        <w:t>the</w:t>
      </w:r>
      <w:r w:rsidR="00B370D2" w:rsidRPr="00CF6765">
        <w:rPr>
          <w:sz w:val="20"/>
          <w:szCs w:val="20"/>
          <w:lang w:val="en-US"/>
        </w:rPr>
        <w:t xml:space="preserve"> </w:t>
      </w:r>
      <w:r w:rsidR="00D17426" w:rsidRPr="00CF6765">
        <w:rPr>
          <w:sz w:val="20"/>
          <w:szCs w:val="20"/>
          <w:lang w:val="en-US"/>
        </w:rPr>
        <w:t>Vienna Convention on the Law of Treaties</w:t>
      </w:r>
      <w:r w:rsidR="008A611E" w:rsidRPr="00CF6765">
        <w:rPr>
          <w:sz w:val="20"/>
          <w:szCs w:val="20"/>
          <w:lang w:val="en-US"/>
        </w:rPr>
        <w:t xml:space="preserve"> itself</w:t>
      </w:r>
      <w:r w:rsidR="00B370D2" w:rsidRPr="00CF6765">
        <w:rPr>
          <w:sz w:val="20"/>
          <w:szCs w:val="20"/>
          <w:lang w:val="en-US"/>
        </w:rPr>
        <w:t xml:space="preserve">). </w:t>
      </w:r>
      <w:r w:rsidR="005C731C" w:rsidRPr="00CF6765">
        <w:rPr>
          <w:sz w:val="20"/>
          <w:szCs w:val="20"/>
          <w:lang w:val="en-US"/>
        </w:rPr>
        <w:t>The Inter-American Court</w:t>
      </w:r>
      <w:r w:rsidR="00B370D2" w:rsidRPr="00CF6765">
        <w:rPr>
          <w:sz w:val="20"/>
          <w:szCs w:val="20"/>
          <w:lang w:val="en-US"/>
        </w:rPr>
        <w:t xml:space="preserve"> </w:t>
      </w:r>
      <w:r w:rsidR="008A611E" w:rsidRPr="00CF6765">
        <w:rPr>
          <w:sz w:val="20"/>
          <w:szCs w:val="20"/>
          <w:lang w:val="en-US"/>
        </w:rPr>
        <w:t xml:space="preserve">is an international </w:t>
      </w:r>
      <w:r w:rsidR="00FB2D33" w:rsidRPr="00CF6765">
        <w:rPr>
          <w:sz w:val="20"/>
          <w:szCs w:val="20"/>
          <w:lang w:val="en-US"/>
        </w:rPr>
        <w:t>court</w:t>
      </w:r>
      <w:r w:rsidR="008A611E" w:rsidRPr="00CF6765">
        <w:rPr>
          <w:sz w:val="20"/>
          <w:szCs w:val="20"/>
          <w:lang w:val="en-US"/>
        </w:rPr>
        <w:t xml:space="preserve"> and, therefore, it is reasonable to assume that it conducts itself as such. This work will be particularly relevant </w:t>
      </w:r>
      <w:r w:rsidR="00D210AD" w:rsidRPr="00CF6765">
        <w:rPr>
          <w:sz w:val="20"/>
          <w:szCs w:val="20"/>
          <w:lang w:val="en-US"/>
        </w:rPr>
        <w:t>to the extent that</w:t>
      </w:r>
      <w:r w:rsidR="008A611E" w:rsidRPr="00CF6765">
        <w:rPr>
          <w:sz w:val="20"/>
          <w:szCs w:val="20"/>
          <w:lang w:val="en-US"/>
        </w:rPr>
        <w:t xml:space="preserve"> the Court begins “to develop” the content of the ESCER in light of the interpretation that it has followed since the case of </w:t>
      </w:r>
      <w:r w:rsidR="00B370D2" w:rsidRPr="00CF6765">
        <w:rPr>
          <w:i/>
          <w:sz w:val="20"/>
          <w:szCs w:val="20"/>
          <w:lang w:val="en-US"/>
        </w:rPr>
        <w:t>Lagos del Campo</w:t>
      </w:r>
      <w:r w:rsidR="00EC50FC" w:rsidRPr="00CF6765">
        <w:rPr>
          <w:sz w:val="20"/>
          <w:szCs w:val="20"/>
          <w:lang w:val="en-US"/>
        </w:rPr>
        <w:t xml:space="preserve"> and </w:t>
      </w:r>
      <w:r w:rsidR="008A611E" w:rsidRPr="00CF6765">
        <w:rPr>
          <w:sz w:val="20"/>
          <w:szCs w:val="20"/>
          <w:lang w:val="en-US"/>
        </w:rPr>
        <w:t>with which I have expressed my discrepancy.</w:t>
      </w:r>
    </w:p>
    <w:p w14:paraId="622DFFCF" w14:textId="77777777" w:rsidR="00B370D2" w:rsidRPr="00CF6765" w:rsidRDefault="00B370D2" w:rsidP="008A611E">
      <w:pPr>
        <w:rPr>
          <w:sz w:val="16"/>
          <w:szCs w:val="20"/>
          <w:lang w:val="en-US"/>
        </w:rPr>
      </w:pPr>
    </w:p>
    <w:p w14:paraId="45DCECDF" w14:textId="77777777" w:rsidR="00D210AD" w:rsidRPr="00CF6765" w:rsidRDefault="00D210AD" w:rsidP="00B370D2">
      <w:pPr>
        <w:ind w:left="4248"/>
        <w:jc w:val="center"/>
        <w:rPr>
          <w:sz w:val="20"/>
          <w:lang w:val="en-US"/>
        </w:rPr>
      </w:pPr>
    </w:p>
    <w:p w14:paraId="5FCB93A0" w14:textId="77777777" w:rsidR="00D210AD" w:rsidRPr="00CF6765" w:rsidRDefault="00D210AD" w:rsidP="00B370D2">
      <w:pPr>
        <w:ind w:left="4248"/>
        <w:jc w:val="center"/>
        <w:rPr>
          <w:sz w:val="20"/>
          <w:lang w:val="en-US"/>
        </w:rPr>
      </w:pPr>
    </w:p>
    <w:p w14:paraId="19BBA3C2" w14:textId="4777F3AA" w:rsidR="00B370D2" w:rsidRPr="003558F5" w:rsidRDefault="00B370D2" w:rsidP="00B370D2">
      <w:pPr>
        <w:ind w:left="4248"/>
        <w:jc w:val="center"/>
        <w:rPr>
          <w:sz w:val="20"/>
        </w:rPr>
      </w:pPr>
      <w:r w:rsidRPr="003558F5">
        <w:rPr>
          <w:sz w:val="20"/>
        </w:rPr>
        <w:t>Humberto Antonio Sierra Porto</w:t>
      </w:r>
    </w:p>
    <w:p w14:paraId="742E317E" w14:textId="461BF779" w:rsidR="00B370D2" w:rsidRPr="003558F5" w:rsidRDefault="005C731C" w:rsidP="008A611E">
      <w:pPr>
        <w:ind w:left="4248"/>
        <w:jc w:val="center"/>
        <w:rPr>
          <w:sz w:val="20"/>
        </w:rPr>
      </w:pPr>
      <w:proofErr w:type="spellStart"/>
      <w:r w:rsidRPr="003558F5">
        <w:rPr>
          <w:sz w:val="20"/>
        </w:rPr>
        <w:t>Judge</w:t>
      </w:r>
      <w:proofErr w:type="spellEnd"/>
    </w:p>
    <w:p w14:paraId="39F1BEF7" w14:textId="0A37D3B0" w:rsidR="00D210AD" w:rsidRPr="003558F5" w:rsidRDefault="00D210AD" w:rsidP="008A611E">
      <w:pPr>
        <w:ind w:left="4248"/>
        <w:jc w:val="center"/>
        <w:rPr>
          <w:sz w:val="20"/>
        </w:rPr>
      </w:pPr>
    </w:p>
    <w:p w14:paraId="1AC0C521" w14:textId="705753AF" w:rsidR="00D210AD" w:rsidRPr="003558F5" w:rsidRDefault="00D210AD" w:rsidP="008A611E">
      <w:pPr>
        <w:ind w:left="4248"/>
        <w:jc w:val="center"/>
        <w:rPr>
          <w:sz w:val="20"/>
        </w:rPr>
      </w:pPr>
    </w:p>
    <w:p w14:paraId="61325277" w14:textId="62927CAA" w:rsidR="00D210AD" w:rsidRPr="003558F5" w:rsidRDefault="00D210AD" w:rsidP="008A611E">
      <w:pPr>
        <w:ind w:left="4248"/>
        <w:jc w:val="center"/>
        <w:rPr>
          <w:sz w:val="20"/>
        </w:rPr>
      </w:pPr>
    </w:p>
    <w:p w14:paraId="28C57301" w14:textId="77777777" w:rsidR="00D210AD" w:rsidRPr="003558F5" w:rsidRDefault="00D210AD" w:rsidP="008A611E">
      <w:pPr>
        <w:ind w:left="4248"/>
        <w:jc w:val="center"/>
        <w:rPr>
          <w:sz w:val="20"/>
        </w:rPr>
      </w:pPr>
    </w:p>
    <w:p w14:paraId="2B2D93B4" w14:textId="513A503F" w:rsidR="00B370D2" w:rsidRPr="003558F5" w:rsidRDefault="00B370D2" w:rsidP="00B370D2">
      <w:pPr>
        <w:tabs>
          <w:tab w:val="left" w:pos="1440"/>
        </w:tabs>
        <w:rPr>
          <w:sz w:val="20"/>
          <w:szCs w:val="20"/>
        </w:rPr>
      </w:pPr>
      <w:r w:rsidRPr="003558F5">
        <w:rPr>
          <w:sz w:val="20"/>
          <w:szCs w:val="20"/>
        </w:rPr>
        <w:t xml:space="preserve">        Emilia Segares Rodríguez</w:t>
      </w:r>
    </w:p>
    <w:p w14:paraId="0F878016" w14:textId="09604E62" w:rsidR="00D210AD" w:rsidRPr="00995B4D" w:rsidRDefault="00B370D2" w:rsidP="00D210AD">
      <w:pPr>
        <w:tabs>
          <w:tab w:val="left" w:pos="1440"/>
        </w:tabs>
        <w:rPr>
          <w:sz w:val="20"/>
          <w:szCs w:val="20"/>
          <w:lang w:val="en-US"/>
        </w:rPr>
      </w:pPr>
      <w:r w:rsidRPr="003558F5">
        <w:rPr>
          <w:sz w:val="20"/>
          <w:szCs w:val="20"/>
        </w:rPr>
        <w:t xml:space="preserve">            </w:t>
      </w:r>
      <w:r w:rsidR="009C3AF9" w:rsidRPr="00CF6765">
        <w:rPr>
          <w:sz w:val="20"/>
          <w:szCs w:val="20"/>
          <w:lang w:val="en-US"/>
        </w:rPr>
        <w:t>Deputy</w:t>
      </w:r>
      <w:r w:rsidRPr="00CF6765">
        <w:rPr>
          <w:sz w:val="20"/>
          <w:szCs w:val="20"/>
          <w:lang w:val="en-US"/>
        </w:rPr>
        <w:t xml:space="preserve"> </w:t>
      </w:r>
      <w:r w:rsidR="005C731C" w:rsidRPr="00CF6765">
        <w:rPr>
          <w:sz w:val="20"/>
          <w:szCs w:val="20"/>
          <w:lang w:val="en-US"/>
        </w:rPr>
        <w:t>Secretary</w:t>
      </w:r>
    </w:p>
    <w:sectPr w:rsidR="00D210AD" w:rsidRPr="00995B4D" w:rsidSect="00B370D2">
      <w:headerReference w:type="default" r:id="rId14"/>
      <w:footerReference w:type="default" r:id="rId15"/>
      <w:footnotePr>
        <w:numRestart w:val="eachSect"/>
      </w:footnotePr>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7CC27" w14:textId="77777777" w:rsidR="006A1E69" w:rsidRDefault="006A1E69" w:rsidP="00085BDD">
      <w:r>
        <w:separator/>
      </w:r>
    </w:p>
  </w:endnote>
  <w:endnote w:type="continuationSeparator" w:id="0">
    <w:p w14:paraId="781CCCF8" w14:textId="77777777" w:rsidR="006A1E69" w:rsidRDefault="006A1E69" w:rsidP="00085BDD">
      <w:r>
        <w:continuationSeparator/>
      </w:r>
    </w:p>
  </w:endnote>
  <w:endnote w:type="continuationNotice" w:id="1">
    <w:p w14:paraId="30504B31" w14:textId="77777777" w:rsidR="006A1E69" w:rsidRDefault="006A1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roman"/>
    <w:pitch w:val="default"/>
    <w:sig w:usb0="00000003" w:usb1="00000000" w:usb2="00000000" w:usb3="00000000" w:csb0="00000001"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BookAntiqua">
    <w:charset w:val="00"/>
    <w:family w:val="auto"/>
    <w:pitch w:val="variable"/>
    <w:sig w:usb0="00000287" w:usb1="00000000" w:usb2="00000000" w:usb3="00000000" w:csb0="0000009F" w:csb1="00000000"/>
  </w:font>
  <w:font w:name="Verdana-Italic">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4D"/>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AD926" w14:textId="77777777" w:rsidR="003558F5" w:rsidRDefault="003558F5" w:rsidP="00B824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8953E9" w14:textId="77777777" w:rsidR="003558F5" w:rsidRDefault="003558F5" w:rsidP="00B824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C73CB" w14:textId="77777777" w:rsidR="003558F5" w:rsidRDefault="003558F5">
    <w:pPr>
      <w:pStyle w:val="Piedepgina"/>
      <w:jc w:val="right"/>
    </w:pPr>
  </w:p>
  <w:p w14:paraId="34C320F7" w14:textId="77777777" w:rsidR="003558F5" w:rsidRDefault="003558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A6194" w14:textId="77777777" w:rsidR="006A1E69" w:rsidRDefault="006A1E69" w:rsidP="00085BDD">
      <w:r>
        <w:separator/>
      </w:r>
    </w:p>
  </w:footnote>
  <w:footnote w:type="continuationSeparator" w:id="0">
    <w:p w14:paraId="53262EE9" w14:textId="77777777" w:rsidR="006A1E69" w:rsidRDefault="006A1E69" w:rsidP="00085BDD">
      <w:r>
        <w:continuationSeparator/>
      </w:r>
    </w:p>
  </w:footnote>
  <w:footnote w:type="continuationNotice" w:id="1">
    <w:p w14:paraId="5C680564" w14:textId="77777777" w:rsidR="006A1E69" w:rsidRDefault="006A1E69"/>
  </w:footnote>
  <w:footnote w:id="2">
    <w:p w14:paraId="308A7494" w14:textId="45E7F616" w:rsidR="003558F5" w:rsidRPr="00CF6765" w:rsidRDefault="003558F5" w:rsidP="00002163">
      <w:pPr>
        <w:pStyle w:val="Textonotapie"/>
        <w:spacing w:after="60"/>
        <w:rPr>
          <w:sz w:val="16"/>
          <w:szCs w:val="16"/>
          <w:lang w:val="en-US"/>
        </w:rPr>
      </w:pPr>
      <w:r w:rsidRPr="00CF6765">
        <w:rPr>
          <w:rStyle w:val="Refdenotaalpie"/>
          <w:szCs w:val="16"/>
          <w:lang w:val="en-US"/>
        </w:rPr>
        <w:t>*</w:t>
      </w:r>
      <w:r w:rsidRPr="00CF6765">
        <w:rPr>
          <w:szCs w:val="16"/>
          <w:lang w:val="en-US"/>
        </w:rPr>
        <w:t xml:space="preserve"> </w:t>
      </w:r>
      <w:r w:rsidRPr="00CF6765">
        <w:rPr>
          <w:szCs w:val="16"/>
          <w:lang w:val="en-US"/>
        </w:rPr>
        <w:tab/>
      </w:r>
      <w:r w:rsidRPr="00CF6765">
        <w:rPr>
          <w:sz w:val="16"/>
          <w:szCs w:val="16"/>
          <w:lang w:val="en-US"/>
        </w:rPr>
        <w:t xml:space="preserve">In accordance with Article 19(1) of the Rules of Procedure of the Inter-American Court applicable to this case, Judge Eduardo </w:t>
      </w:r>
      <w:proofErr w:type="spellStart"/>
      <w:r w:rsidRPr="00CF6765">
        <w:rPr>
          <w:sz w:val="16"/>
          <w:szCs w:val="16"/>
          <w:lang w:val="en-US"/>
        </w:rPr>
        <w:t>Vio</w:t>
      </w:r>
      <w:proofErr w:type="spellEnd"/>
      <w:r w:rsidRPr="00CF6765">
        <w:rPr>
          <w:sz w:val="16"/>
          <w:szCs w:val="16"/>
          <w:lang w:val="en-US"/>
        </w:rPr>
        <w:t xml:space="preserve"> </w:t>
      </w:r>
      <w:proofErr w:type="spellStart"/>
      <w:r w:rsidRPr="00CF6765">
        <w:rPr>
          <w:sz w:val="16"/>
          <w:szCs w:val="16"/>
          <w:lang w:val="en-US"/>
        </w:rPr>
        <w:t>Grossi</w:t>
      </w:r>
      <w:proofErr w:type="spellEnd"/>
      <w:r w:rsidRPr="00CF6765">
        <w:rPr>
          <w:sz w:val="16"/>
          <w:szCs w:val="16"/>
          <w:lang w:val="en-US"/>
        </w:rPr>
        <w:t>, a Chilean national, did not take part in the deliberation of this judgment. In addition, Judge Roberto F. Caldas did not participate in the deliberation and signature of this judgment for reasons beyond his control that were accepted by the full Court.</w:t>
      </w:r>
    </w:p>
  </w:footnote>
  <w:footnote w:id="3">
    <w:p w14:paraId="4AA71F64" w14:textId="3A3FC0C2" w:rsidR="003558F5" w:rsidRPr="00CF6765" w:rsidRDefault="003558F5" w:rsidP="00002163">
      <w:pPr>
        <w:pStyle w:val="Textonotapie"/>
        <w:spacing w:after="60"/>
        <w:rPr>
          <w:szCs w:val="16"/>
          <w:lang w:val="en-US"/>
        </w:rPr>
      </w:pPr>
      <w:r w:rsidRPr="00CF6765">
        <w:rPr>
          <w:rStyle w:val="Refdenotaalpie"/>
          <w:szCs w:val="16"/>
          <w:lang w:val="en-US"/>
        </w:rPr>
        <w:t>**</w:t>
      </w:r>
      <w:r w:rsidRPr="00CF6765">
        <w:rPr>
          <w:szCs w:val="16"/>
          <w:lang w:val="en-US"/>
        </w:rPr>
        <w:t xml:space="preserve"> </w:t>
      </w:r>
      <w:r w:rsidRPr="00CF6765">
        <w:rPr>
          <w:szCs w:val="16"/>
          <w:lang w:val="en-US"/>
        </w:rPr>
        <w:tab/>
      </w:r>
      <w:r w:rsidRPr="00CF6765">
        <w:rPr>
          <w:sz w:val="16"/>
          <w:szCs w:val="16"/>
          <w:lang w:val="en-US"/>
        </w:rPr>
        <w:t xml:space="preserve">The Secretary, Pablo Saavedra </w:t>
      </w:r>
      <w:proofErr w:type="spellStart"/>
      <w:r w:rsidRPr="00CF6765">
        <w:rPr>
          <w:sz w:val="16"/>
          <w:szCs w:val="16"/>
          <w:lang w:val="en-US"/>
        </w:rPr>
        <w:t>Alessandri</w:t>
      </w:r>
      <w:proofErr w:type="spellEnd"/>
      <w:r w:rsidRPr="00CF6765">
        <w:rPr>
          <w:sz w:val="16"/>
          <w:szCs w:val="16"/>
          <w:lang w:val="en-US"/>
        </w:rPr>
        <w:t>, excused himself from taking part in this case. The Court accepted his excuses.</w:t>
      </w:r>
    </w:p>
  </w:footnote>
  <w:footnote w:id="4">
    <w:p w14:paraId="64D830B2" w14:textId="17630C64" w:rsidR="003558F5" w:rsidRPr="00CF6765" w:rsidRDefault="003558F5" w:rsidP="00002163">
      <w:pPr>
        <w:pStyle w:val="Textonotapie"/>
        <w:spacing w:after="60"/>
        <w:rPr>
          <w:szCs w:val="16"/>
          <w:lang w:val="en-US"/>
        </w:rPr>
      </w:pPr>
    </w:p>
  </w:footnote>
  <w:footnote w:id="5">
    <w:p w14:paraId="3716CC65" w14:textId="5F9BF8E6" w:rsidR="003558F5" w:rsidRPr="00CF6765" w:rsidRDefault="003558F5" w:rsidP="007D7158">
      <w:pPr>
        <w:tabs>
          <w:tab w:val="left" w:pos="567"/>
          <w:tab w:val="left" w:pos="4590"/>
        </w:tabs>
        <w:spacing w:after="60"/>
        <w:ind w:right="13"/>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In this report, the Commission decided that the petition was admissible with regard to the presumed violation of the rights recognized in Articles 4, 8, 24 and 25 of the American Convention, in relation to Article 1(1) of this instrument. IACHR</w:t>
      </w:r>
      <w:r w:rsidRPr="00CF6765">
        <w:rPr>
          <w:i/>
          <w:sz w:val="16"/>
          <w:szCs w:val="16"/>
          <w:lang w:val="en-US"/>
        </w:rPr>
        <w:t xml:space="preserve">. </w:t>
      </w:r>
      <w:r w:rsidRPr="00CF6765">
        <w:rPr>
          <w:rFonts w:cs="Verdana"/>
          <w:sz w:val="16"/>
          <w:szCs w:val="16"/>
          <w:lang w:val="en-US"/>
        </w:rPr>
        <w:t xml:space="preserve">Admissibility Report No. 13/09, Petition 339-02. </w:t>
      </w:r>
      <w:r w:rsidRPr="00CF6765">
        <w:rPr>
          <w:rFonts w:cs="Verdana"/>
          <w:i/>
          <w:sz w:val="16"/>
          <w:szCs w:val="16"/>
          <w:lang w:val="en-US"/>
        </w:rPr>
        <w:t xml:space="preserve">Case of Poblete </w:t>
      </w:r>
      <w:proofErr w:type="spellStart"/>
      <w:r w:rsidRPr="00CF6765">
        <w:rPr>
          <w:rFonts w:cs="Verdana"/>
          <w:i/>
          <w:sz w:val="16"/>
          <w:szCs w:val="16"/>
          <w:lang w:val="en-US"/>
        </w:rPr>
        <w:t>Vilches</w:t>
      </w:r>
      <w:proofErr w:type="spellEnd"/>
      <w:r w:rsidRPr="00CF6765">
        <w:rPr>
          <w:rFonts w:cs="Verdana"/>
          <w:i/>
          <w:sz w:val="16"/>
          <w:szCs w:val="16"/>
          <w:lang w:val="en-US"/>
        </w:rPr>
        <w:t xml:space="preserve"> et al. v. Chile</w:t>
      </w:r>
      <w:r w:rsidRPr="00CF6765">
        <w:rPr>
          <w:rFonts w:cs="Verdana"/>
          <w:sz w:val="16"/>
          <w:szCs w:val="16"/>
          <w:lang w:val="en-US"/>
        </w:rPr>
        <w:t>, March 19, 2009 (file of the procedure before the Commission, volume IV, folios 1310 to 1322).</w:t>
      </w:r>
    </w:p>
  </w:footnote>
  <w:footnote w:id="6">
    <w:p w14:paraId="00AC1C95" w14:textId="17521868" w:rsidR="003558F5" w:rsidRPr="00CF6765" w:rsidRDefault="003558F5" w:rsidP="00002163">
      <w:pPr>
        <w:pStyle w:val="Textonotapie"/>
        <w:tabs>
          <w:tab w:val="left" w:pos="567"/>
        </w:tabs>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The Commission appointed Commissioner Enrique Gil Botero and Executive Secretary Paulo </w:t>
      </w:r>
      <w:proofErr w:type="spellStart"/>
      <w:r w:rsidRPr="00CF6765">
        <w:rPr>
          <w:sz w:val="16"/>
          <w:szCs w:val="16"/>
          <w:lang w:val="en-US"/>
        </w:rPr>
        <w:t>Abrão</w:t>
      </w:r>
      <w:proofErr w:type="spellEnd"/>
      <w:r w:rsidRPr="00CF6765">
        <w:rPr>
          <w:sz w:val="16"/>
          <w:szCs w:val="16"/>
          <w:lang w:val="en-US"/>
        </w:rPr>
        <w:t xml:space="preserve"> as its delegates before the Court and Elizabeth Abi-</w:t>
      </w:r>
      <w:proofErr w:type="spellStart"/>
      <w:r w:rsidRPr="00CF6765">
        <w:rPr>
          <w:sz w:val="16"/>
          <w:szCs w:val="16"/>
          <w:lang w:val="en-US"/>
        </w:rPr>
        <w:t>Mershed</w:t>
      </w:r>
      <w:proofErr w:type="spellEnd"/>
      <w:r w:rsidRPr="00CF6765">
        <w:rPr>
          <w:sz w:val="16"/>
          <w:szCs w:val="16"/>
          <w:lang w:val="en-US"/>
        </w:rPr>
        <w:t>, Deputy Executive Secretary, and Silvia Serrano Guzmán, Executive Secretariat lawyer as legal advisers.</w:t>
      </w:r>
    </w:p>
  </w:footnote>
  <w:footnote w:id="7">
    <w:p w14:paraId="65D12418" w14:textId="4363FC65"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Case of </w:t>
      </w:r>
      <w:r w:rsidRPr="00CF6765">
        <w:rPr>
          <w:i/>
          <w:sz w:val="16"/>
          <w:szCs w:val="16"/>
          <w:lang w:val="en-US"/>
        </w:rPr>
        <w:t xml:space="preserve">Poblete </w:t>
      </w:r>
      <w:proofErr w:type="spellStart"/>
      <w:r w:rsidRPr="00CF6765">
        <w:rPr>
          <w:i/>
          <w:sz w:val="16"/>
          <w:szCs w:val="16"/>
          <w:lang w:val="en-US"/>
        </w:rPr>
        <w:t>Vilches</w:t>
      </w:r>
      <w:proofErr w:type="spellEnd"/>
      <w:r w:rsidRPr="00CF6765">
        <w:rPr>
          <w:i/>
          <w:sz w:val="16"/>
          <w:szCs w:val="16"/>
          <w:lang w:val="en-US"/>
        </w:rPr>
        <w:t xml:space="preserve"> et al. v. Chile.</w:t>
      </w:r>
      <w:r w:rsidRPr="00CF6765">
        <w:rPr>
          <w:sz w:val="16"/>
          <w:szCs w:val="16"/>
          <w:lang w:val="en-US"/>
        </w:rPr>
        <w:t xml:space="preserve"> Order of the President of the Inter-American Court of November 25, 2016. Available at: </w:t>
      </w:r>
      <w:hyperlink r:id="rId1" w:history="1">
        <w:r w:rsidRPr="00CF6765">
          <w:rPr>
            <w:rStyle w:val="Hipervnculo"/>
            <w:sz w:val="16"/>
            <w:szCs w:val="16"/>
            <w:lang w:val="en-US"/>
          </w:rPr>
          <w:t>http://www.corteidh.or.cr/docs/asuntos/poblete_25_11_16.pdf</w:t>
        </w:r>
      </w:hyperlink>
      <w:r w:rsidRPr="00CF6765">
        <w:rPr>
          <w:sz w:val="16"/>
          <w:szCs w:val="16"/>
          <w:lang w:val="en-US"/>
        </w:rPr>
        <w:t xml:space="preserve"> </w:t>
      </w:r>
    </w:p>
  </w:footnote>
  <w:footnote w:id="8">
    <w:p w14:paraId="23628DC1" w14:textId="5AC0BE7D" w:rsidR="003558F5" w:rsidRPr="00CF6765" w:rsidRDefault="003558F5" w:rsidP="00002163">
      <w:pPr>
        <w:pStyle w:val="Textonotapie"/>
        <w:tabs>
          <w:tab w:val="left" w:pos="567"/>
        </w:tabs>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The State appointed </w:t>
      </w:r>
      <w:proofErr w:type="spellStart"/>
      <w:r w:rsidRPr="00CF6765">
        <w:rPr>
          <w:sz w:val="16"/>
          <w:szCs w:val="16"/>
          <w:lang w:val="en-US"/>
        </w:rPr>
        <w:t>Hernán</w:t>
      </w:r>
      <w:proofErr w:type="spellEnd"/>
      <w:r w:rsidRPr="00CF6765">
        <w:rPr>
          <w:sz w:val="16"/>
          <w:szCs w:val="16"/>
          <w:lang w:val="en-US"/>
        </w:rPr>
        <w:t xml:space="preserve"> Quezada Cabrera, </w:t>
      </w:r>
      <w:proofErr w:type="spellStart"/>
      <w:r w:rsidRPr="00CF6765">
        <w:rPr>
          <w:sz w:val="16"/>
          <w:szCs w:val="16"/>
          <w:lang w:val="en-US"/>
        </w:rPr>
        <w:t>Óscar</w:t>
      </w:r>
      <w:proofErr w:type="spellEnd"/>
      <w:r w:rsidRPr="00CF6765">
        <w:rPr>
          <w:sz w:val="16"/>
          <w:szCs w:val="16"/>
          <w:lang w:val="en-US"/>
        </w:rPr>
        <w:t xml:space="preserve"> </w:t>
      </w:r>
      <w:proofErr w:type="spellStart"/>
      <w:r w:rsidRPr="00CF6765">
        <w:rPr>
          <w:sz w:val="16"/>
          <w:szCs w:val="16"/>
          <w:lang w:val="en-US"/>
        </w:rPr>
        <w:t>Alcamán</w:t>
      </w:r>
      <w:proofErr w:type="spellEnd"/>
      <w:r w:rsidRPr="00CF6765">
        <w:rPr>
          <w:sz w:val="16"/>
          <w:szCs w:val="16"/>
          <w:lang w:val="en-US"/>
        </w:rPr>
        <w:t xml:space="preserve"> </w:t>
      </w:r>
      <w:proofErr w:type="spellStart"/>
      <w:r w:rsidRPr="00CF6765">
        <w:rPr>
          <w:sz w:val="16"/>
          <w:szCs w:val="16"/>
          <w:lang w:val="en-US"/>
        </w:rPr>
        <w:t>Riffo</w:t>
      </w:r>
      <w:proofErr w:type="spellEnd"/>
      <w:r w:rsidRPr="00CF6765">
        <w:rPr>
          <w:sz w:val="16"/>
          <w:szCs w:val="16"/>
          <w:lang w:val="en-US"/>
        </w:rPr>
        <w:t xml:space="preserve"> and Diana </w:t>
      </w:r>
      <w:proofErr w:type="spellStart"/>
      <w:r w:rsidRPr="00CF6765">
        <w:rPr>
          <w:sz w:val="16"/>
          <w:szCs w:val="16"/>
          <w:lang w:val="en-US"/>
        </w:rPr>
        <w:t>Maquilon</w:t>
      </w:r>
      <w:proofErr w:type="spellEnd"/>
      <w:r w:rsidRPr="00CF6765">
        <w:rPr>
          <w:sz w:val="16"/>
          <w:szCs w:val="16"/>
          <w:lang w:val="en-US"/>
        </w:rPr>
        <w:t xml:space="preserve"> Tamayo as its Agents and Beatriz Contreras and </w:t>
      </w:r>
      <w:proofErr w:type="spellStart"/>
      <w:r w:rsidRPr="00CF6765">
        <w:rPr>
          <w:sz w:val="16"/>
          <w:szCs w:val="16"/>
          <w:lang w:val="en-US"/>
        </w:rPr>
        <w:t>Isidora</w:t>
      </w:r>
      <w:proofErr w:type="spellEnd"/>
      <w:r w:rsidRPr="00CF6765">
        <w:rPr>
          <w:sz w:val="16"/>
          <w:szCs w:val="16"/>
          <w:lang w:val="en-US"/>
        </w:rPr>
        <w:t xml:space="preserve"> Rojas </w:t>
      </w:r>
      <w:proofErr w:type="spellStart"/>
      <w:r w:rsidRPr="00CF6765">
        <w:rPr>
          <w:sz w:val="16"/>
          <w:szCs w:val="16"/>
          <w:lang w:val="en-US"/>
        </w:rPr>
        <w:t>Fermandois</w:t>
      </w:r>
      <w:proofErr w:type="spellEnd"/>
      <w:r w:rsidRPr="00CF6765">
        <w:rPr>
          <w:sz w:val="16"/>
          <w:szCs w:val="16"/>
          <w:lang w:val="en-US"/>
        </w:rPr>
        <w:t xml:space="preserve"> as Deputy Agents.</w:t>
      </w:r>
    </w:p>
  </w:footnote>
  <w:footnote w:id="9">
    <w:p w14:paraId="16E4ECAC" w14:textId="59D91FBC" w:rsidR="003558F5" w:rsidRPr="00CF6765" w:rsidRDefault="003558F5" w:rsidP="00002163">
      <w:pPr>
        <w:pStyle w:val="Textonotapie"/>
        <w:tabs>
          <w:tab w:val="left" w:pos="567"/>
        </w:tabs>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Case of </w:t>
      </w:r>
      <w:r w:rsidRPr="00CF6765">
        <w:rPr>
          <w:i/>
          <w:sz w:val="16"/>
          <w:szCs w:val="16"/>
          <w:lang w:val="en-US"/>
        </w:rPr>
        <w:t xml:space="preserve">Poblete </w:t>
      </w:r>
      <w:proofErr w:type="spellStart"/>
      <w:r w:rsidRPr="00CF6765">
        <w:rPr>
          <w:i/>
          <w:sz w:val="16"/>
          <w:szCs w:val="16"/>
          <w:lang w:val="en-US"/>
        </w:rPr>
        <w:t>Vilches</w:t>
      </w:r>
      <w:proofErr w:type="spellEnd"/>
      <w:r w:rsidRPr="00CF6765">
        <w:rPr>
          <w:i/>
          <w:sz w:val="16"/>
          <w:szCs w:val="16"/>
          <w:lang w:val="en-US"/>
        </w:rPr>
        <w:t xml:space="preserve"> et al. v. Chile.</w:t>
      </w:r>
      <w:r w:rsidRPr="00CF6765">
        <w:rPr>
          <w:sz w:val="16"/>
          <w:szCs w:val="16"/>
          <w:lang w:val="en-US"/>
        </w:rPr>
        <w:t xml:space="preserve"> Order of the President of the Inter-American Court of September 21, 2017. Available at: </w:t>
      </w:r>
      <w:hyperlink r:id="rId2" w:history="1">
        <w:r w:rsidRPr="00CF6765">
          <w:rPr>
            <w:rStyle w:val="Hipervnculo"/>
            <w:sz w:val="16"/>
            <w:szCs w:val="16"/>
            <w:lang w:val="en-US"/>
          </w:rPr>
          <w:t>http://www.corteidh.or.cr/docs/asuntos/poblete_21_09_17.pdf</w:t>
        </w:r>
      </w:hyperlink>
      <w:r w:rsidRPr="00CF6765">
        <w:rPr>
          <w:sz w:val="16"/>
          <w:szCs w:val="16"/>
          <w:lang w:val="en-US"/>
        </w:rPr>
        <w:t xml:space="preserve"> </w:t>
      </w:r>
    </w:p>
  </w:footnote>
  <w:footnote w:id="10">
    <w:p w14:paraId="675847DE" w14:textId="34DC3318" w:rsidR="003558F5" w:rsidRPr="00CF6765" w:rsidRDefault="003558F5" w:rsidP="00002163">
      <w:pPr>
        <w:tabs>
          <w:tab w:val="left" w:pos="567"/>
        </w:tabs>
        <w:spacing w:after="60"/>
        <w:ind w:right="-6"/>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There appeared at this hearing: (a) for the Inter-American Commission:</w:t>
      </w:r>
      <w:r w:rsidRPr="00CF6765">
        <w:rPr>
          <w:sz w:val="16"/>
          <w:szCs w:val="16"/>
          <w:lang w:val="en-US" w:eastAsia="es-ES"/>
        </w:rPr>
        <w:t xml:space="preserve"> Commissioner </w:t>
      </w:r>
      <w:r w:rsidRPr="00CF6765">
        <w:rPr>
          <w:sz w:val="16"/>
          <w:szCs w:val="16"/>
          <w:lang w:val="en-US"/>
        </w:rPr>
        <w:t xml:space="preserve">José de Jesús Orozco </w:t>
      </w:r>
      <w:proofErr w:type="spellStart"/>
      <w:r w:rsidRPr="00CF6765">
        <w:rPr>
          <w:sz w:val="16"/>
          <w:szCs w:val="16"/>
          <w:lang w:val="en-US"/>
        </w:rPr>
        <w:t>Henríquez</w:t>
      </w:r>
      <w:proofErr w:type="spellEnd"/>
      <w:r w:rsidRPr="00CF6765">
        <w:rPr>
          <w:sz w:val="16"/>
          <w:szCs w:val="16"/>
          <w:lang w:val="en-US"/>
        </w:rPr>
        <w:t xml:space="preserve">, and the Executive Secretariat lawyers, Silvia Serrano Guzmán and Selene Soto; (b) for the representatives of the presumed victims: the inter-American defenders, </w:t>
      </w:r>
      <w:proofErr w:type="spellStart"/>
      <w:r w:rsidRPr="00CF6765">
        <w:rPr>
          <w:sz w:val="16"/>
          <w:szCs w:val="16"/>
          <w:lang w:val="en-US"/>
        </w:rPr>
        <w:t>Rivana</w:t>
      </w:r>
      <w:proofErr w:type="spellEnd"/>
      <w:r w:rsidRPr="00CF6765">
        <w:rPr>
          <w:sz w:val="16"/>
          <w:szCs w:val="16"/>
          <w:lang w:val="en-US"/>
        </w:rPr>
        <w:t xml:space="preserve"> Barreto Ricarte de Olivera and Silvia Edith Martínez, and (c) for the State of Chile: the agents, </w:t>
      </w:r>
      <w:proofErr w:type="spellStart"/>
      <w:r w:rsidRPr="00CF6765">
        <w:rPr>
          <w:sz w:val="16"/>
          <w:szCs w:val="16"/>
          <w:lang w:val="en-US"/>
        </w:rPr>
        <w:t>Hernán</w:t>
      </w:r>
      <w:proofErr w:type="spellEnd"/>
      <w:r w:rsidRPr="00CF6765">
        <w:rPr>
          <w:sz w:val="16"/>
          <w:szCs w:val="16"/>
          <w:lang w:val="en-US"/>
        </w:rPr>
        <w:t xml:space="preserve"> Quezada Cabrera, Oscar </w:t>
      </w:r>
      <w:proofErr w:type="spellStart"/>
      <w:r w:rsidRPr="00CF6765">
        <w:rPr>
          <w:sz w:val="16"/>
          <w:szCs w:val="16"/>
          <w:lang w:val="en-US"/>
        </w:rPr>
        <w:t>Alcamán</w:t>
      </w:r>
      <w:proofErr w:type="spellEnd"/>
      <w:r w:rsidRPr="00CF6765">
        <w:rPr>
          <w:sz w:val="16"/>
          <w:szCs w:val="16"/>
          <w:lang w:val="en-US"/>
        </w:rPr>
        <w:t xml:space="preserve"> </w:t>
      </w:r>
      <w:proofErr w:type="spellStart"/>
      <w:r w:rsidRPr="00CF6765">
        <w:rPr>
          <w:sz w:val="16"/>
          <w:szCs w:val="16"/>
          <w:lang w:val="en-US"/>
        </w:rPr>
        <w:t>Riffo</w:t>
      </w:r>
      <w:proofErr w:type="spellEnd"/>
      <w:r w:rsidRPr="00CF6765">
        <w:rPr>
          <w:sz w:val="16"/>
          <w:szCs w:val="16"/>
          <w:lang w:val="en-US"/>
        </w:rPr>
        <w:t xml:space="preserve"> and Diana </w:t>
      </w:r>
      <w:proofErr w:type="spellStart"/>
      <w:r w:rsidRPr="00CF6765">
        <w:rPr>
          <w:sz w:val="16"/>
          <w:szCs w:val="16"/>
          <w:lang w:val="en-US"/>
        </w:rPr>
        <w:t>Maquilón</w:t>
      </w:r>
      <w:proofErr w:type="spellEnd"/>
      <w:r w:rsidRPr="00CF6765">
        <w:rPr>
          <w:sz w:val="16"/>
          <w:szCs w:val="16"/>
          <w:lang w:val="en-US"/>
        </w:rPr>
        <w:t xml:space="preserve"> Tamayo; the deputy agents Beatriz Contreras Reyes and </w:t>
      </w:r>
      <w:proofErr w:type="spellStart"/>
      <w:r w:rsidRPr="00CF6765">
        <w:rPr>
          <w:sz w:val="16"/>
          <w:szCs w:val="16"/>
          <w:lang w:val="en-US"/>
        </w:rPr>
        <w:t>Isidora</w:t>
      </w:r>
      <w:proofErr w:type="spellEnd"/>
      <w:r w:rsidRPr="00CF6765">
        <w:rPr>
          <w:sz w:val="16"/>
          <w:szCs w:val="16"/>
          <w:lang w:val="en-US"/>
        </w:rPr>
        <w:t xml:space="preserve"> Rojas </w:t>
      </w:r>
      <w:proofErr w:type="spellStart"/>
      <w:r w:rsidRPr="00CF6765">
        <w:rPr>
          <w:sz w:val="16"/>
          <w:szCs w:val="16"/>
          <w:lang w:val="en-US"/>
        </w:rPr>
        <w:t>Fermandois</w:t>
      </w:r>
      <w:proofErr w:type="spellEnd"/>
      <w:r w:rsidRPr="00CF6765">
        <w:rPr>
          <w:sz w:val="16"/>
          <w:szCs w:val="16"/>
          <w:lang w:val="en-US"/>
        </w:rPr>
        <w:t xml:space="preserve">; the representative of the  Under-Secretary for Human Rights, Juan Pablo Gómez, and the representative of the Judiciary, Jorge </w:t>
      </w:r>
      <w:proofErr w:type="spellStart"/>
      <w:r w:rsidRPr="00CF6765">
        <w:rPr>
          <w:sz w:val="16"/>
          <w:szCs w:val="16"/>
          <w:lang w:val="en-US"/>
        </w:rPr>
        <w:t>Sáenz</w:t>
      </w:r>
      <w:proofErr w:type="spellEnd"/>
      <w:r w:rsidRPr="00CF6765">
        <w:rPr>
          <w:sz w:val="16"/>
          <w:szCs w:val="16"/>
          <w:lang w:val="en-US"/>
        </w:rPr>
        <w:t xml:space="preserve"> Martin</w:t>
      </w:r>
      <w:r w:rsidRPr="00CF6765">
        <w:rPr>
          <w:sz w:val="16"/>
          <w:szCs w:val="16"/>
          <w:lang w:val="en-US" w:eastAsia="es-ES"/>
        </w:rPr>
        <w:t>.</w:t>
      </w:r>
    </w:p>
  </w:footnote>
  <w:footnote w:id="11">
    <w:p w14:paraId="40C9F121" w14:textId="62A24E59"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rPr>
        <w:footnoteRef/>
      </w:r>
      <w:r w:rsidRPr="00CF6765">
        <w:rPr>
          <w:sz w:val="16"/>
          <w:szCs w:val="16"/>
          <w:lang w:val="en-US"/>
        </w:rPr>
        <w:t xml:space="preserve"> </w:t>
      </w:r>
      <w:r w:rsidRPr="00CF6765">
        <w:rPr>
          <w:sz w:val="16"/>
          <w:szCs w:val="16"/>
          <w:lang w:val="en-US"/>
        </w:rPr>
        <w:tab/>
      </w:r>
      <w:r w:rsidRPr="00CF6765">
        <w:rPr>
          <w:i/>
          <w:iCs/>
          <w:sz w:val="16"/>
          <w:szCs w:val="16"/>
          <w:lang w:val="en-US"/>
        </w:rPr>
        <w:t xml:space="preserve">Cf. </w:t>
      </w:r>
      <w:r w:rsidRPr="00CF6765">
        <w:rPr>
          <w:i/>
          <w:sz w:val="16"/>
          <w:szCs w:val="16"/>
          <w:lang w:val="en-US"/>
        </w:rPr>
        <w:t xml:space="preserve">Case of Benavides </w:t>
      </w:r>
      <w:proofErr w:type="spellStart"/>
      <w:r w:rsidRPr="00CF6765">
        <w:rPr>
          <w:i/>
          <w:sz w:val="16"/>
          <w:szCs w:val="16"/>
          <w:lang w:val="en-US"/>
        </w:rPr>
        <w:t>Cevallos</w:t>
      </w:r>
      <w:proofErr w:type="spellEnd"/>
      <w:r w:rsidRPr="00CF6765">
        <w:rPr>
          <w:i/>
          <w:sz w:val="16"/>
          <w:szCs w:val="16"/>
          <w:lang w:val="en-US"/>
        </w:rPr>
        <w:t xml:space="preserve"> v. Ecuador. Merits, reparations and costs. </w:t>
      </w:r>
      <w:r w:rsidRPr="00CF6765">
        <w:rPr>
          <w:sz w:val="16"/>
          <w:szCs w:val="16"/>
          <w:lang w:val="en-US"/>
        </w:rPr>
        <w:t xml:space="preserve">Judgment of June 19, 1998. Series C No. 38, para. 57, and </w:t>
      </w:r>
      <w:r w:rsidRPr="00CF6765">
        <w:rPr>
          <w:bCs/>
          <w:i/>
          <w:sz w:val="16"/>
          <w:szCs w:val="16"/>
          <w:lang w:val="en-US"/>
        </w:rPr>
        <w:t xml:space="preserve">Case of </w:t>
      </w:r>
      <w:proofErr w:type="spellStart"/>
      <w:r w:rsidRPr="00CF6765">
        <w:rPr>
          <w:bCs/>
          <w:i/>
          <w:sz w:val="16"/>
          <w:szCs w:val="16"/>
          <w:lang w:val="en-US"/>
        </w:rPr>
        <w:t>Vereda</w:t>
      </w:r>
      <w:proofErr w:type="spellEnd"/>
      <w:r w:rsidRPr="00CF6765">
        <w:rPr>
          <w:bCs/>
          <w:i/>
          <w:sz w:val="16"/>
          <w:szCs w:val="16"/>
          <w:lang w:val="en-US"/>
        </w:rPr>
        <w:t xml:space="preserve"> La Esperanza v. Colombia. Preliminary objection, merits, reparations and costs. </w:t>
      </w:r>
      <w:r w:rsidRPr="00CF6765">
        <w:rPr>
          <w:bCs/>
          <w:sz w:val="16"/>
          <w:szCs w:val="16"/>
          <w:lang w:val="en-US"/>
        </w:rPr>
        <w:t>Judgment of August 31, 2017. Series C No. 341, para. 21.</w:t>
      </w:r>
      <w:r w:rsidRPr="00CF6765">
        <w:rPr>
          <w:bCs/>
          <w:i/>
          <w:sz w:val="16"/>
          <w:szCs w:val="16"/>
          <w:lang w:val="en-US"/>
        </w:rPr>
        <w:t xml:space="preserve"> </w:t>
      </w:r>
    </w:p>
  </w:footnote>
  <w:footnote w:id="12">
    <w:p w14:paraId="1E3464E5" w14:textId="4671312B"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Case of Acevedo Jaramillo et al. v. Peru. Preliminary objections, merits, reparations and costs</w:t>
      </w:r>
      <w:r w:rsidRPr="00CF6765">
        <w:rPr>
          <w:sz w:val="16"/>
          <w:szCs w:val="16"/>
          <w:lang w:val="en-US"/>
        </w:rPr>
        <w:t xml:space="preserve">. Judgment of February 7, 2006. Series C No. 144, paras. 176 to 180, and </w:t>
      </w:r>
      <w:r w:rsidRPr="00CF6765">
        <w:rPr>
          <w:bCs/>
          <w:i/>
          <w:sz w:val="16"/>
          <w:szCs w:val="16"/>
          <w:lang w:val="en-US"/>
        </w:rPr>
        <w:t xml:space="preserve">Case of Ortiz Hernández et al. v. Venezuela. Merits, reparations and costs. </w:t>
      </w:r>
      <w:r w:rsidRPr="00CF6765">
        <w:rPr>
          <w:bCs/>
          <w:sz w:val="16"/>
          <w:szCs w:val="16"/>
          <w:lang w:val="en-US"/>
        </w:rPr>
        <w:t xml:space="preserve">Judgment of August 22, 2017. Series C No. 338, para. 34. </w:t>
      </w:r>
    </w:p>
  </w:footnote>
  <w:footnote w:id="13">
    <w:p w14:paraId="5B0F59DD" w14:textId="63776EDC" w:rsidR="003558F5" w:rsidRPr="00CF6765" w:rsidRDefault="003558F5" w:rsidP="00002163">
      <w:pPr>
        <w:widowControl w:val="0"/>
        <w:autoSpaceDE w:val="0"/>
        <w:autoSpaceDN w:val="0"/>
        <w:adjustRightInd w:val="0"/>
        <w:spacing w:after="60"/>
        <w:rPr>
          <w:sz w:val="16"/>
          <w:szCs w:val="16"/>
          <w:lang w:val="en-US"/>
        </w:rPr>
      </w:pPr>
      <w:r w:rsidRPr="00CF6765">
        <w:rPr>
          <w:rStyle w:val="Refdenotaalpie"/>
          <w:rFonts w:eastAsia="Calibri"/>
          <w:sz w:val="16"/>
          <w:szCs w:val="16"/>
          <w:lang w:val="en-US"/>
        </w:rPr>
        <w:footnoteRef/>
      </w:r>
      <w:r w:rsidRPr="00CF6765">
        <w:rPr>
          <w:sz w:val="16"/>
          <w:szCs w:val="16"/>
          <w:lang w:val="en-US"/>
        </w:rPr>
        <w:t xml:space="preserve"> </w:t>
      </w:r>
      <w:r w:rsidRPr="00CF6765">
        <w:rPr>
          <w:sz w:val="16"/>
          <w:szCs w:val="16"/>
          <w:lang w:val="en-US"/>
        </w:rPr>
        <w:tab/>
        <w:t>Article 62. Acquiescence. If the respondent informs the Court of its acceptance of the facts or its total or partial acquiescence to the claims stated in the presentation of the case or the brief submitted by the alleged victims or their representatives, the Court shall decide, having heard the opinions of all those participating in the proceedings and at the appropriate procedural moment, whether to accept that acquiescence, and shall rule upon its juridical effects.</w:t>
      </w:r>
    </w:p>
  </w:footnote>
  <w:footnote w:id="14">
    <w:p w14:paraId="76F767B8" w14:textId="6183F1A5" w:rsidR="003558F5" w:rsidRPr="00CF6765" w:rsidRDefault="003558F5" w:rsidP="00002163">
      <w:pPr>
        <w:widowControl w:val="0"/>
        <w:autoSpaceDE w:val="0"/>
        <w:autoSpaceDN w:val="0"/>
        <w:adjustRightInd w:val="0"/>
        <w:spacing w:after="60"/>
        <w:rPr>
          <w:sz w:val="16"/>
          <w:szCs w:val="16"/>
          <w:lang w:val="en-US"/>
        </w:rPr>
      </w:pPr>
      <w:r w:rsidRPr="00CF6765">
        <w:rPr>
          <w:rStyle w:val="Refdenotaalpie"/>
          <w:rFonts w:eastAsia="Calibri"/>
          <w:sz w:val="16"/>
          <w:szCs w:val="16"/>
          <w:lang w:val="en-US"/>
        </w:rPr>
        <w:footnoteRef/>
      </w:r>
      <w:r w:rsidRPr="00CF6765">
        <w:rPr>
          <w:sz w:val="16"/>
          <w:szCs w:val="16"/>
          <w:lang w:val="en-US"/>
        </w:rPr>
        <w:t xml:space="preserve"> </w:t>
      </w:r>
      <w:r w:rsidRPr="00CF6765">
        <w:rPr>
          <w:sz w:val="16"/>
          <w:szCs w:val="16"/>
          <w:lang w:val="en-US"/>
        </w:rPr>
        <w:tab/>
        <w:t xml:space="preserve">Article 64. Continuation of the case. Bearing in mind its responsibility to protect human rights, the Court may decide to continue the consideration of a case notwithstanding the existence of the conditions indicated in the preceding articles. </w:t>
      </w:r>
    </w:p>
  </w:footnote>
  <w:footnote w:id="15">
    <w:p w14:paraId="44517CB3" w14:textId="002C63F9" w:rsidR="003558F5" w:rsidRPr="00CF6765" w:rsidRDefault="003558F5" w:rsidP="00002163">
      <w:pPr>
        <w:tabs>
          <w:tab w:val="left" w:pos="567"/>
          <w:tab w:val="left" w:pos="709"/>
        </w:tabs>
        <w:spacing w:after="60"/>
        <w:rPr>
          <w:rFonts w:cs="Courier New"/>
          <w:noProof/>
          <w:sz w:val="16"/>
          <w:szCs w:val="16"/>
          <w:lang w:val="en-US"/>
        </w:rPr>
      </w:pPr>
      <w:r w:rsidRPr="00CF6765">
        <w:rPr>
          <w:rStyle w:val="Refdenotaalpie"/>
          <w:rFonts w:eastAsia="Calibri"/>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b/>
          <w:i/>
          <w:sz w:val="16"/>
          <w:szCs w:val="16"/>
          <w:lang w:val="en-US"/>
        </w:rPr>
        <w:t xml:space="preserve"> </w:t>
      </w:r>
      <w:r w:rsidRPr="00CF6765">
        <w:rPr>
          <w:bCs/>
          <w:i/>
          <w:sz w:val="16"/>
          <w:szCs w:val="16"/>
          <w:lang w:val="en-US"/>
        </w:rPr>
        <w:t xml:space="preserve">Case of </w:t>
      </w:r>
      <w:proofErr w:type="spellStart"/>
      <w:r w:rsidRPr="00CF6765">
        <w:rPr>
          <w:bCs/>
          <w:i/>
          <w:sz w:val="16"/>
          <w:szCs w:val="16"/>
          <w:lang w:val="en-US"/>
        </w:rPr>
        <w:t>Kimel</w:t>
      </w:r>
      <w:proofErr w:type="spellEnd"/>
      <w:r w:rsidRPr="00CF6765">
        <w:rPr>
          <w:bCs/>
          <w:i/>
          <w:sz w:val="16"/>
          <w:szCs w:val="16"/>
          <w:lang w:val="en-US"/>
        </w:rPr>
        <w:t xml:space="preserve"> v. Argentina. </w:t>
      </w:r>
      <w:r w:rsidRPr="00CF6765">
        <w:rPr>
          <w:i/>
          <w:sz w:val="16"/>
          <w:szCs w:val="16"/>
          <w:lang w:val="en-US"/>
        </w:rPr>
        <w:t>Merits, reparations and costs.</w:t>
      </w:r>
      <w:r w:rsidRPr="00CF6765">
        <w:rPr>
          <w:sz w:val="16"/>
          <w:szCs w:val="16"/>
          <w:lang w:val="en-US"/>
        </w:rPr>
        <w:t xml:space="preserve"> Judgment of May 2, 2008. </w:t>
      </w:r>
      <w:r w:rsidRPr="00392A9A">
        <w:rPr>
          <w:sz w:val="16"/>
          <w:szCs w:val="16"/>
        </w:rPr>
        <w:t xml:space="preserve">Series C No. 177, para. 24, and </w:t>
      </w:r>
      <w:r w:rsidRPr="00392A9A">
        <w:rPr>
          <w:rFonts w:cs="Courier New"/>
          <w:bCs/>
          <w:i/>
          <w:noProof/>
          <w:sz w:val="16"/>
          <w:szCs w:val="16"/>
        </w:rPr>
        <w:t xml:space="preserve">Case of Vereda La Esperanza </w:t>
      </w:r>
      <w:r w:rsidRPr="00392A9A">
        <w:rPr>
          <w:bCs/>
          <w:i/>
          <w:sz w:val="16"/>
          <w:szCs w:val="16"/>
        </w:rPr>
        <w:t>v. Colombia.</w:t>
      </w:r>
      <w:r w:rsidRPr="00392A9A">
        <w:rPr>
          <w:rFonts w:cs="Courier New"/>
          <w:bCs/>
          <w:i/>
          <w:noProof/>
          <w:sz w:val="16"/>
          <w:szCs w:val="16"/>
        </w:rPr>
        <w:t>, supra</w:t>
      </w:r>
      <w:r w:rsidRPr="00392A9A">
        <w:rPr>
          <w:rFonts w:cs="Courier New"/>
          <w:bCs/>
          <w:noProof/>
          <w:sz w:val="16"/>
          <w:szCs w:val="16"/>
        </w:rPr>
        <w:t xml:space="preserve">, para. </w:t>
      </w:r>
      <w:r w:rsidRPr="00CF6765">
        <w:rPr>
          <w:rFonts w:cs="Courier New"/>
          <w:bCs/>
          <w:noProof/>
          <w:sz w:val="16"/>
          <w:szCs w:val="16"/>
          <w:lang w:val="en-US"/>
        </w:rPr>
        <w:t>21.</w:t>
      </w:r>
    </w:p>
  </w:footnote>
  <w:footnote w:id="16">
    <w:p w14:paraId="68759242" w14:textId="5D8E3FB7" w:rsidR="003558F5" w:rsidRPr="00CF6765" w:rsidRDefault="003558F5" w:rsidP="00002163">
      <w:pPr>
        <w:tabs>
          <w:tab w:val="left" w:pos="567"/>
        </w:tabs>
        <w:spacing w:after="60"/>
        <w:rPr>
          <w:sz w:val="16"/>
          <w:szCs w:val="16"/>
          <w:lang w:val="en-US"/>
        </w:rPr>
      </w:pPr>
      <w:r w:rsidRPr="00CF6765">
        <w:rPr>
          <w:rStyle w:val="Refdenotaalpie"/>
          <w:rFonts w:eastAsia="Calibri"/>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b/>
          <w:i/>
          <w:sz w:val="16"/>
          <w:szCs w:val="16"/>
          <w:lang w:val="en-US"/>
        </w:rPr>
        <w:t xml:space="preserve"> </w:t>
      </w:r>
      <w:r w:rsidRPr="00CF6765">
        <w:rPr>
          <w:bCs/>
          <w:i/>
          <w:sz w:val="16"/>
          <w:szCs w:val="16"/>
          <w:lang w:val="en-US"/>
        </w:rPr>
        <w:t xml:space="preserve">Case of Manuel Cepeda Vargas v. Colombia. </w:t>
      </w:r>
      <w:r w:rsidRPr="00CF6765">
        <w:rPr>
          <w:i/>
          <w:sz w:val="16"/>
          <w:szCs w:val="16"/>
          <w:lang w:val="en-US"/>
        </w:rPr>
        <w:t>Preliminary objections, merits, reparations and costs.</w:t>
      </w:r>
      <w:r w:rsidRPr="00CF6765">
        <w:rPr>
          <w:sz w:val="16"/>
          <w:szCs w:val="16"/>
          <w:lang w:val="en-US"/>
        </w:rPr>
        <w:t xml:space="preserve"> Judgment of May 26, 2010. Series C No. 213, para. 17, and </w:t>
      </w:r>
      <w:r w:rsidRPr="00CF6765">
        <w:rPr>
          <w:rFonts w:cs="Courier New"/>
          <w:bCs/>
          <w:i/>
          <w:noProof/>
          <w:sz w:val="16"/>
          <w:szCs w:val="16"/>
          <w:lang w:val="en-US"/>
        </w:rPr>
        <w:t xml:space="preserve">Case of Vereda La Esperanza </w:t>
      </w:r>
      <w:r w:rsidRPr="00CF6765">
        <w:rPr>
          <w:bCs/>
          <w:i/>
          <w:sz w:val="16"/>
          <w:szCs w:val="16"/>
          <w:lang w:val="en-US"/>
        </w:rPr>
        <w:t>v. Colombia</w:t>
      </w:r>
      <w:r w:rsidRPr="00CF6765">
        <w:rPr>
          <w:rFonts w:cs="Courier New"/>
          <w:bCs/>
          <w:noProof/>
          <w:sz w:val="16"/>
          <w:szCs w:val="16"/>
          <w:lang w:val="en-US"/>
        </w:rPr>
        <w:t xml:space="preserve">, </w:t>
      </w:r>
      <w:r w:rsidRPr="00CF6765">
        <w:rPr>
          <w:rFonts w:cs="Courier New"/>
          <w:bCs/>
          <w:i/>
          <w:noProof/>
          <w:sz w:val="16"/>
          <w:szCs w:val="16"/>
          <w:lang w:val="en-US"/>
        </w:rPr>
        <w:t>supra</w:t>
      </w:r>
      <w:r w:rsidRPr="00CF6765">
        <w:rPr>
          <w:rFonts w:cs="Courier New"/>
          <w:bCs/>
          <w:noProof/>
          <w:sz w:val="16"/>
          <w:szCs w:val="16"/>
          <w:lang w:val="en-US"/>
        </w:rPr>
        <w:t xml:space="preserve">, para. 21. </w:t>
      </w:r>
      <w:r w:rsidRPr="00CF6765">
        <w:rPr>
          <w:rFonts w:cs="Courier New"/>
          <w:bCs/>
          <w:i/>
          <w:noProof/>
          <w:sz w:val="16"/>
          <w:szCs w:val="16"/>
          <w:lang w:val="en-US"/>
        </w:rPr>
        <w:t xml:space="preserve"> </w:t>
      </w:r>
    </w:p>
  </w:footnote>
  <w:footnote w:id="17">
    <w:p w14:paraId="0178D515" w14:textId="74DD9E53" w:rsidR="003558F5" w:rsidRPr="00CF6765" w:rsidRDefault="003558F5" w:rsidP="00002163">
      <w:pPr>
        <w:pStyle w:val="Textonotapie"/>
        <w:tabs>
          <w:tab w:val="left" w:pos="567"/>
          <w:tab w:val="left" w:pos="709"/>
        </w:tabs>
        <w:spacing w:after="60"/>
        <w:rPr>
          <w:sz w:val="16"/>
          <w:szCs w:val="16"/>
          <w:lang w:val="en-US"/>
        </w:rPr>
      </w:pPr>
      <w:r w:rsidRPr="00CF6765">
        <w:rPr>
          <w:rStyle w:val="Refdenotaalpie"/>
          <w:rFonts w:eastAsia="Calibri"/>
          <w:sz w:val="16"/>
          <w:szCs w:val="16"/>
          <w:lang w:val="en-US"/>
        </w:rPr>
        <w:footnoteRef/>
      </w:r>
      <w:r w:rsidRPr="00CF6765">
        <w:rPr>
          <w:sz w:val="16"/>
          <w:szCs w:val="16"/>
          <w:lang w:val="en-US"/>
        </w:rPr>
        <w:t xml:space="preserve"> </w:t>
      </w:r>
      <w:r w:rsidRPr="00CF6765">
        <w:rPr>
          <w:sz w:val="16"/>
          <w:szCs w:val="16"/>
          <w:lang w:val="en-US"/>
        </w:rPr>
        <w:tab/>
        <w:t>Article 62(3) of the Convention establishes: “[t]</w:t>
      </w:r>
      <w:r w:rsidRPr="00CF6765">
        <w:rPr>
          <w:spacing w:val="-3"/>
          <w:sz w:val="16"/>
          <w:szCs w:val="16"/>
          <w:lang w:val="en-US"/>
        </w:rPr>
        <w:t>he jurisdiction of the Court shall comprise all cases concerning the interpretation and application of the provisions of this Convention that are submitted to it, provided that the States Parties to the case recognize or have recognized such jurisdiction, whether by special declaration pursuant to the preceding paragraphs, or by a special agreement.</w:t>
      </w:r>
      <w:r w:rsidRPr="00CF6765">
        <w:rPr>
          <w:sz w:val="16"/>
          <w:szCs w:val="16"/>
          <w:lang w:val="en-US"/>
        </w:rPr>
        <w:t>”</w:t>
      </w:r>
    </w:p>
  </w:footnote>
  <w:footnote w:id="18">
    <w:p w14:paraId="139337B6" w14:textId="58C76346" w:rsidR="003558F5" w:rsidRPr="00CF6765" w:rsidRDefault="003558F5" w:rsidP="00002163">
      <w:pPr>
        <w:pStyle w:val="Textonotapie"/>
        <w:tabs>
          <w:tab w:val="left" w:pos="567"/>
          <w:tab w:val="left" w:pos="709"/>
        </w:tabs>
        <w:spacing w:after="60"/>
        <w:rPr>
          <w:sz w:val="16"/>
          <w:szCs w:val="16"/>
          <w:lang w:val="en-US"/>
        </w:rPr>
      </w:pPr>
      <w:r w:rsidRPr="00CF6765">
        <w:rPr>
          <w:rStyle w:val="Refdenotaalpie"/>
          <w:rFonts w:eastAsia="Calibri"/>
          <w:sz w:val="16"/>
          <w:szCs w:val="16"/>
          <w:lang w:val="en-US"/>
        </w:rPr>
        <w:footnoteRef/>
      </w:r>
      <w:r w:rsidRPr="00CF6765">
        <w:rPr>
          <w:sz w:val="16"/>
          <w:szCs w:val="16"/>
          <w:lang w:val="en-US"/>
        </w:rPr>
        <w:t xml:space="preserve"> </w:t>
      </w:r>
      <w:r w:rsidRPr="00CF6765">
        <w:rPr>
          <w:sz w:val="16"/>
          <w:szCs w:val="16"/>
          <w:lang w:val="en-US"/>
        </w:rPr>
        <w:tab/>
        <w:t>Article 63(1) of the Convention.</w:t>
      </w:r>
    </w:p>
  </w:footnote>
  <w:footnote w:id="19">
    <w:p w14:paraId="11CCF3A0" w14:textId="209328EB" w:rsidR="003558F5" w:rsidRPr="00CF6765" w:rsidRDefault="003558F5" w:rsidP="00002163">
      <w:pPr>
        <w:tabs>
          <w:tab w:val="left" w:pos="567"/>
        </w:tabs>
        <w:spacing w:after="60"/>
        <w:rPr>
          <w:sz w:val="16"/>
          <w:szCs w:val="16"/>
          <w:lang w:val="en-US" w:bidi="en-US"/>
        </w:rPr>
      </w:pPr>
      <w:r w:rsidRPr="00CF6765">
        <w:rPr>
          <w:rStyle w:val="Refdenotaalpie"/>
          <w:rFonts w:eastAsia="Calibri"/>
          <w:sz w:val="16"/>
          <w:szCs w:val="16"/>
          <w:lang w:val="en-US"/>
        </w:rPr>
        <w:footnoteRef/>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rFonts w:cs="Verdana-Italic"/>
          <w:i/>
          <w:iCs/>
          <w:sz w:val="16"/>
          <w:szCs w:val="16"/>
          <w:lang w:val="en-US" w:bidi="en-US"/>
        </w:rPr>
        <w:t xml:space="preserve">Case of Myrna Mack Chang v. Guatemala. </w:t>
      </w:r>
      <w:r w:rsidRPr="00CF6765">
        <w:rPr>
          <w:sz w:val="16"/>
          <w:szCs w:val="16"/>
          <w:lang w:val="en-US" w:bidi="en-US"/>
        </w:rPr>
        <w:t>Judgment of November 25, 2003. Series C No. 101, para.</w:t>
      </w:r>
      <w:r w:rsidRPr="00CF6765">
        <w:rPr>
          <w:rFonts w:cs="Verdana-Italic"/>
          <w:i/>
          <w:iCs/>
          <w:sz w:val="16"/>
          <w:szCs w:val="16"/>
          <w:lang w:val="en-US" w:bidi="en-US"/>
        </w:rPr>
        <w:t xml:space="preserve"> </w:t>
      </w:r>
      <w:r w:rsidRPr="00392A9A">
        <w:rPr>
          <w:sz w:val="16"/>
          <w:szCs w:val="16"/>
          <w:lang w:bidi="en-US"/>
        </w:rPr>
        <w:t xml:space="preserve">105, and </w:t>
      </w:r>
      <w:r w:rsidRPr="00392A9A">
        <w:rPr>
          <w:i/>
          <w:sz w:val="16"/>
          <w:szCs w:val="16"/>
        </w:rPr>
        <w:t xml:space="preserve">Case </w:t>
      </w:r>
      <w:proofErr w:type="spellStart"/>
      <w:r w:rsidRPr="00392A9A">
        <w:rPr>
          <w:i/>
          <w:sz w:val="16"/>
          <w:szCs w:val="16"/>
        </w:rPr>
        <w:t>of</w:t>
      </w:r>
      <w:proofErr w:type="spellEnd"/>
      <w:r w:rsidRPr="00392A9A">
        <w:rPr>
          <w:i/>
          <w:sz w:val="16"/>
          <w:szCs w:val="16"/>
        </w:rPr>
        <w:t xml:space="preserve"> Ortiz Hernández et al. v. Venezuela, supra</w:t>
      </w:r>
      <w:r w:rsidRPr="00392A9A">
        <w:rPr>
          <w:sz w:val="16"/>
          <w:szCs w:val="16"/>
        </w:rPr>
        <w:t xml:space="preserve">, para. </w:t>
      </w:r>
      <w:r w:rsidRPr="00CF6765">
        <w:rPr>
          <w:sz w:val="16"/>
          <w:szCs w:val="16"/>
          <w:lang w:val="en-US"/>
        </w:rPr>
        <w:t>22.</w:t>
      </w:r>
    </w:p>
  </w:footnote>
  <w:footnote w:id="20">
    <w:p w14:paraId="7EAAEA12" w14:textId="29C270BA" w:rsidR="003558F5" w:rsidRPr="00CF6765" w:rsidRDefault="003558F5" w:rsidP="00002163">
      <w:pPr>
        <w:pStyle w:val="Textonotapie"/>
        <w:tabs>
          <w:tab w:val="left" w:pos="540"/>
        </w:tabs>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 Case of the “</w:t>
      </w:r>
      <w:proofErr w:type="spellStart"/>
      <w:r w:rsidRPr="00CF6765">
        <w:rPr>
          <w:i/>
          <w:sz w:val="16"/>
          <w:szCs w:val="16"/>
          <w:lang w:val="en-US"/>
        </w:rPr>
        <w:t>Mapiripán</w:t>
      </w:r>
      <w:proofErr w:type="spellEnd"/>
      <w:r w:rsidRPr="00CF6765">
        <w:rPr>
          <w:i/>
          <w:sz w:val="16"/>
          <w:szCs w:val="16"/>
          <w:lang w:val="en-US"/>
        </w:rPr>
        <w:t xml:space="preserve"> Massacre” v. Colombia. Merits, reparations and costs.</w:t>
      </w:r>
      <w:r w:rsidRPr="00CF6765">
        <w:rPr>
          <w:sz w:val="16"/>
          <w:szCs w:val="16"/>
          <w:lang w:val="en-US"/>
        </w:rPr>
        <w:t xml:space="preserve"> Judgment of September 15, 2005. Series C No. 134, para. 69, and </w:t>
      </w:r>
      <w:r w:rsidRPr="00CF6765">
        <w:rPr>
          <w:rStyle w:val="Textoennegrita"/>
          <w:rFonts w:eastAsia="MS ????"/>
          <w:b w:val="0"/>
          <w:i/>
          <w:color w:val="000000"/>
          <w:sz w:val="16"/>
          <w:szCs w:val="16"/>
          <w:shd w:val="clear" w:color="auto" w:fill="FFFFFF"/>
          <w:lang w:val="en-US"/>
        </w:rPr>
        <w:t>Case of Ortiz Hernández et al. v. Venezuela. supra</w:t>
      </w:r>
      <w:r w:rsidRPr="00CF6765">
        <w:rPr>
          <w:rStyle w:val="Textoennegrita"/>
          <w:rFonts w:eastAsia="MS ????"/>
          <w:b w:val="0"/>
          <w:color w:val="000000"/>
          <w:sz w:val="16"/>
          <w:szCs w:val="16"/>
          <w:shd w:val="clear" w:color="auto" w:fill="FFFFFF"/>
          <w:lang w:val="en-US"/>
        </w:rPr>
        <w:t>, para. 38.</w:t>
      </w:r>
    </w:p>
  </w:footnote>
  <w:footnote w:id="21">
    <w:p w14:paraId="7DE2ABC9" w14:textId="6A0B3A93" w:rsidR="003558F5" w:rsidRPr="00CF6765" w:rsidRDefault="003558F5" w:rsidP="00002163">
      <w:pPr>
        <w:pStyle w:val="Textonotapie"/>
        <w:tabs>
          <w:tab w:val="left" w:pos="540"/>
        </w:tabs>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Case of the La </w:t>
      </w:r>
      <w:proofErr w:type="spellStart"/>
      <w:r w:rsidRPr="00CF6765">
        <w:rPr>
          <w:i/>
          <w:sz w:val="16"/>
          <w:szCs w:val="16"/>
          <w:lang w:val="en-US"/>
        </w:rPr>
        <w:t>Rochela</w:t>
      </w:r>
      <w:proofErr w:type="spellEnd"/>
      <w:r w:rsidRPr="00CF6765">
        <w:rPr>
          <w:i/>
          <w:sz w:val="16"/>
          <w:szCs w:val="16"/>
          <w:lang w:val="en-US"/>
        </w:rPr>
        <w:t xml:space="preserve"> Massacre v. Colombia. Merits, reparations and costs. Judgment of May 11, 2007. </w:t>
      </w:r>
      <w:r w:rsidRPr="00392A9A">
        <w:rPr>
          <w:i/>
          <w:sz w:val="16"/>
          <w:szCs w:val="16"/>
          <w:lang w:val="es-CR"/>
        </w:rPr>
        <w:t>Series C No. 163</w:t>
      </w:r>
      <w:r w:rsidRPr="00392A9A">
        <w:rPr>
          <w:sz w:val="16"/>
          <w:szCs w:val="16"/>
          <w:lang w:val="es-CR"/>
        </w:rPr>
        <w:t xml:space="preserve">, para. 54, and </w:t>
      </w:r>
      <w:r w:rsidRPr="00392A9A">
        <w:rPr>
          <w:rStyle w:val="Textoennegrita"/>
          <w:rFonts w:eastAsia="MS ????"/>
          <w:b w:val="0"/>
          <w:i/>
          <w:color w:val="000000"/>
          <w:sz w:val="16"/>
          <w:szCs w:val="16"/>
          <w:shd w:val="clear" w:color="auto" w:fill="FFFFFF"/>
          <w:lang w:val="es-CR"/>
        </w:rPr>
        <w:t xml:space="preserve">Case </w:t>
      </w:r>
      <w:proofErr w:type="spellStart"/>
      <w:r w:rsidRPr="00392A9A">
        <w:rPr>
          <w:rStyle w:val="Textoennegrita"/>
          <w:rFonts w:eastAsia="MS ????"/>
          <w:b w:val="0"/>
          <w:i/>
          <w:color w:val="000000"/>
          <w:sz w:val="16"/>
          <w:szCs w:val="16"/>
          <w:shd w:val="clear" w:color="auto" w:fill="FFFFFF"/>
          <w:lang w:val="es-CR"/>
        </w:rPr>
        <w:t>of</w:t>
      </w:r>
      <w:proofErr w:type="spellEnd"/>
      <w:r w:rsidRPr="00392A9A">
        <w:rPr>
          <w:rStyle w:val="Textoennegrita"/>
          <w:rFonts w:eastAsia="MS ????"/>
          <w:b w:val="0"/>
          <w:i/>
          <w:color w:val="000000"/>
          <w:sz w:val="16"/>
          <w:szCs w:val="16"/>
          <w:shd w:val="clear" w:color="auto" w:fill="FFFFFF"/>
          <w:lang w:val="es-CR"/>
        </w:rPr>
        <w:t xml:space="preserve"> Ortiz Hernández et al. v. Venezuela. supra</w:t>
      </w:r>
      <w:r w:rsidRPr="00392A9A">
        <w:rPr>
          <w:rStyle w:val="Textoennegrita"/>
          <w:rFonts w:eastAsia="MS ????"/>
          <w:b w:val="0"/>
          <w:color w:val="000000"/>
          <w:sz w:val="16"/>
          <w:szCs w:val="16"/>
          <w:shd w:val="clear" w:color="auto" w:fill="FFFFFF"/>
          <w:lang w:val="es-CR"/>
        </w:rPr>
        <w:t xml:space="preserve">, para. </w:t>
      </w:r>
      <w:r w:rsidRPr="00CF6765">
        <w:rPr>
          <w:rStyle w:val="Textoennegrita"/>
          <w:rFonts w:eastAsia="MS ????"/>
          <w:b w:val="0"/>
          <w:color w:val="000000"/>
          <w:sz w:val="16"/>
          <w:szCs w:val="16"/>
          <w:shd w:val="clear" w:color="auto" w:fill="FFFFFF"/>
          <w:lang w:val="en-US"/>
        </w:rPr>
        <w:t>39.</w:t>
      </w:r>
    </w:p>
  </w:footnote>
  <w:footnote w:id="22">
    <w:p w14:paraId="3ADF8CF1" w14:textId="25858DAE" w:rsidR="003558F5" w:rsidRPr="00CF6765" w:rsidRDefault="003558F5" w:rsidP="00002163">
      <w:pPr>
        <w:pStyle w:val="Textonotapie"/>
        <w:tabs>
          <w:tab w:val="left" w:pos="540"/>
        </w:tabs>
        <w:spacing w:after="60"/>
        <w:rPr>
          <w:lang w:val="en-US"/>
        </w:rPr>
      </w:pPr>
      <w:r w:rsidRPr="00CF6765">
        <w:rPr>
          <w:rStyle w:val="Refdenotaalpie"/>
          <w:rFonts w:eastAsia="Calibri"/>
          <w:sz w:val="16"/>
          <w:lang w:val="en-US" w:eastAsia="es-CR"/>
        </w:rPr>
        <w:t>18</w:t>
      </w:r>
      <w:r w:rsidRPr="00CF6765">
        <w:rPr>
          <w:lang w:val="en-US"/>
        </w:rPr>
        <w:tab/>
      </w:r>
      <w:r w:rsidRPr="00CF6765">
        <w:rPr>
          <w:sz w:val="16"/>
          <w:lang w:val="en-US"/>
        </w:rPr>
        <w:t>Regarding the ruling of August 14, 2014, the State clarified that this corresponded to the ruling of August 25, 2014, based on a clerical error.</w:t>
      </w:r>
    </w:p>
  </w:footnote>
  <w:footnote w:id="23">
    <w:p w14:paraId="7BE52E2F" w14:textId="532E7771" w:rsidR="003558F5" w:rsidRPr="00CF6765" w:rsidRDefault="003558F5" w:rsidP="00002163">
      <w:pPr>
        <w:tabs>
          <w:tab w:val="left" w:pos="540"/>
        </w:tabs>
        <w:autoSpaceDE w:val="0"/>
        <w:autoSpaceDN w:val="0"/>
        <w:spacing w:after="60"/>
        <w:rPr>
          <w:sz w:val="16"/>
          <w:szCs w:val="16"/>
          <w:lang w:val="en-US"/>
        </w:rPr>
      </w:pPr>
      <w:r w:rsidRPr="00CF6765">
        <w:rPr>
          <w:rStyle w:val="Refdenotaalpie"/>
          <w:rFonts w:eastAsia="Calibri"/>
          <w:sz w:val="16"/>
          <w:szCs w:val="16"/>
          <w:lang w:val="en-US"/>
        </w:rPr>
        <w:footnoteRef/>
      </w:r>
      <w:r w:rsidRPr="00392A9A">
        <w:rPr>
          <w:sz w:val="16"/>
          <w:szCs w:val="16"/>
        </w:rPr>
        <w:tab/>
      </w:r>
      <w:r w:rsidRPr="00392A9A">
        <w:rPr>
          <w:i/>
          <w:sz w:val="16"/>
          <w:szCs w:val="16"/>
        </w:rPr>
        <w:t>Cf.</w:t>
      </w:r>
      <w:r w:rsidRPr="00392A9A">
        <w:rPr>
          <w:sz w:val="16"/>
          <w:szCs w:val="16"/>
        </w:rPr>
        <w:t xml:space="preserve"> </w:t>
      </w:r>
      <w:r w:rsidRPr="00392A9A">
        <w:rPr>
          <w:i/>
          <w:sz w:val="16"/>
          <w:szCs w:val="16"/>
        </w:rPr>
        <w:t xml:space="preserve">Case </w:t>
      </w:r>
      <w:proofErr w:type="spellStart"/>
      <w:r w:rsidRPr="00392A9A">
        <w:rPr>
          <w:i/>
          <w:sz w:val="16"/>
          <w:szCs w:val="16"/>
        </w:rPr>
        <w:t>of</w:t>
      </w:r>
      <w:proofErr w:type="spellEnd"/>
      <w:r w:rsidRPr="00392A9A">
        <w:rPr>
          <w:i/>
          <w:sz w:val="16"/>
          <w:szCs w:val="16"/>
        </w:rPr>
        <w:t xml:space="preserve"> Velásquez Rodríguez v. Honduras</w:t>
      </w:r>
      <w:r w:rsidRPr="00392A9A">
        <w:rPr>
          <w:sz w:val="16"/>
          <w:szCs w:val="16"/>
        </w:rPr>
        <w:t xml:space="preserve">. </w:t>
      </w:r>
      <w:r w:rsidRPr="00CF6765">
        <w:rPr>
          <w:i/>
          <w:sz w:val="16"/>
          <w:szCs w:val="16"/>
          <w:lang w:val="en-US"/>
        </w:rPr>
        <w:t xml:space="preserve">Merits, </w:t>
      </w:r>
      <w:r w:rsidRPr="00CF6765">
        <w:rPr>
          <w:sz w:val="16"/>
          <w:szCs w:val="16"/>
          <w:lang w:val="en-US"/>
        </w:rPr>
        <w:t xml:space="preserve">Judgment of July 29, 1988. Series C No. 4. para. 140, and </w:t>
      </w:r>
      <w:r w:rsidRPr="00CF6765">
        <w:rPr>
          <w:i/>
          <w:sz w:val="16"/>
          <w:szCs w:val="16"/>
          <w:lang w:val="en-US"/>
        </w:rPr>
        <w:t xml:space="preserve">Case of the Discharged Employees of </w:t>
      </w:r>
      <w:proofErr w:type="spellStart"/>
      <w:r w:rsidRPr="00CF6765">
        <w:rPr>
          <w:i/>
          <w:sz w:val="16"/>
          <w:szCs w:val="16"/>
          <w:lang w:val="en-US"/>
        </w:rPr>
        <w:t>PetroPeru</w:t>
      </w:r>
      <w:proofErr w:type="spellEnd"/>
      <w:r w:rsidRPr="00CF6765">
        <w:rPr>
          <w:bCs/>
          <w:i/>
          <w:sz w:val="16"/>
          <w:szCs w:val="16"/>
          <w:lang w:val="en-US"/>
        </w:rPr>
        <w:t xml:space="preserve"> v. Peru. Preliminary objections, merits, reparations and costs. </w:t>
      </w:r>
      <w:r w:rsidRPr="00CF6765">
        <w:rPr>
          <w:bCs/>
          <w:sz w:val="16"/>
          <w:szCs w:val="16"/>
          <w:lang w:val="en-US"/>
        </w:rPr>
        <w:t>Judgment of November 23, 2017. Series C No. 344, para. 74.</w:t>
      </w:r>
    </w:p>
  </w:footnote>
  <w:footnote w:id="24">
    <w:p w14:paraId="2229BE22" w14:textId="25DC2D8D" w:rsidR="003558F5" w:rsidRPr="00CF6765" w:rsidRDefault="003558F5" w:rsidP="00002163">
      <w:pPr>
        <w:pStyle w:val="Textonotapie"/>
        <w:tabs>
          <w:tab w:val="left" w:pos="540"/>
        </w:tabs>
        <w:spacing w:after="60"/>
        <w:rPr>
          <w:sz w:val="16"/>
          <w:szCs w:val="16"/>
          <w:lang w:val="en-US"/>
        </w:rPr>
      </w:pPr>
      <w:r w:rsidRPr="00CF6765">
        <w:rPr>
          <w:rStyle w:val="Refdenotaalpie"/>
          <w:rFonts w:eastAsia="Calibri"/>
          <w:sz w:val="16"/>
          <w:szCs w:val="16"/>
          <w:lang w:val="en-US"/>
        </w:rPr>
        <w:footnoteRef/>
      </w:r>
      <w:r w:rsidRPr="00CF6765">
        <w:rPr>
          <w:sz w:val="16"/>
          <w:szCs w:val="16"/>
          <w:lang w:val="en-US"/>
        </w:rPr>
        <w:t xml:space="preserve"> </w:t>
      </w:r>
      <w:r w:rsidRPr="00CF6765">
        <w:rPr>
          <w:sz w:val="16"/>
          <w:szCs w:val="16"/>
          <w:lang w:val="en-US"/>
        </w:rPr>
        <w:tab/>
        <w:t xml:space="preserve">The purpose of all these statements was established in the order of the President of the Court of September 21, 2017, first and fifth operative paragraphs, which can be consulted on the Court’s website at the following link: </w:t>
      </w:r>
      <w:hyperlink r:id="rId3" w:history="1">
        <w:r w:rsidRPr="00CF6765">
          <w:rPr>
            <w:rStyle w:val="Hipervnculo"/>
            <w:sz w:val="16"/>
            <w:szCs w:val="16"/>
            <w:lang w:val="en-US"/>
          </w:rPr>
          <w:t>http://www.corteidh.or.cr/docs/asuntos/poblete_21_09_17.pdf</w:t>
        </w:r>
      </w:hyperlink>
      <w:r w:rsidRPr="00CF6765">
        <w:rPr>
          <w:sz w:val="16"/>
          <w:szCs w:val="16"/>
          <w:lang w:val="en-US"/>
        </w:rPr>
        <w:t xml:space="preserve"> </w:t>
      </w:r>
    </w:p>
  </w:footnote>
  <w:footnote w:id="25">
    <w:p w14:paraId="366FD7F9" w14:textId="68824C09" w:rsidR="003558F5" w:rsidRPr="00CF6765" w:rsidRDefault="003558F5" w:rsidP="00002163">
      <w:pPr>
        <w:pStyle w:val="Textonotapie"/>
        <w:tabs>
          <w:tab w:val="left" w:pos="567"/>
        </w:tabs>
        <w:spacing w:after="60"/>
        <w:rPr>
          <w:sz w:val="16"/>
          <w:szCs w:val="16"/>
          <w:lang w:val="en-US"/>
        </w:rPr>
      </w:pPr>
      <w:r w:rsidRPr="00CF6765">
        <w:rPr>
          <w:rStyle w:val="Refdenotaalpie"/>
          <w:rFonts w:eastAsia="Calibri"/>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rFonts w:cs="Verdana-Bold"/>
          <w:bCs/>
          <w:i/>
          <w:sz w:val="16"/>
          <w:szCs w:val="16"/>
          <w:lang w:val="en-US" w:bidi="en-US"/>
        </w:rPr>
        <w:t xml:space="preserve">Case of </w:t>
      </w:r>
      <w:proofErr w:type="spellStart"/>
      <w:r w:rsidRPr="00CF6765">
        <w:rPr>
          <w:rFonts w:cs="Verdana-Bold"/>
          <w:bCs/>
          <w:i/>
          <w:sz w:val="16"/>
          <w:szCs w:val="16"/>
          <w:lang w:val="en-US" w:bidi="en-US"/>
        </w:rPr>
        <w:t>Barbani</w:t>
      </w:r>
      <w:proofErr w:type="spellEnd"/>
      <w:r w:rsidRPr="00CF6765">
        <w:rPr>
          <w:rFonts w:cs="Verdana-Bold"/>
          <w:bCs/>
          <w:i/>
          <w:sz w:val="16"/>
          <w:szCs w:val="16"/>
          <w:lang w:val="en-US" w:bidi="en-US"/>
        </w:rPr>
        <w:t xml:space="preserve"> Duarte et al. v. Uruguay. Merits, reparations and costs. </w:t>
      </w:r>
      <w:r w:rsidRPr="00CF6765">
        <w:rPr>
          <w:rFonts w:cs="Verdana-Bold"/>
          <w:bCs/>
          <w:sz w:val="16"/>
          <w:szCs w:val="16"/>
          <w:lang w:val="en-US" w:bidi="en-US"/>
        </w:rPr>
        <w:t xml:space="preserve">Judgment of October 13, 2011. Series C No. 234, para.22, and </w:t>
      </w:r>
      <w:r w:rsidRPr="00CF6765">
        <w:rPr>
          <w:bCs/>
          <w:i/>
          <w:sz w:val="16"/>
          <w:szCs w:val="16"/>
          <w:lang w:val="en-US"/>
        </w:rPr>
        <w:t xml:space="preserve">Case of the Discharged Employees of </w:t>
      </w:r>
      <w:proofErr w:type="spellStart"/>
      <w:r w:rsidRPr="00CF6765">
        <w:rPr>
          <w:bCs/>
          <w:i/>
          <w:sz w:val="16"/>
          <w:szCs w:val="16"/>
          <w:lang w:val="en-US"/>
        </w:rPr>
        <w:t>PetroPeru</w:t>
      </w:r>
      <w:proofErr w:type="spellEnd"/>
      <w:r w:rsidRPr="00CF6765">
        <w:rPr>
          <w:bCs/>
          <w:i/>
          <w:sz w:val="16"/>
          <w:szCs w:val="16"/>
          <w:lang w:val="en-US"/>
        </w:rPr>
        <w:t xml:space="preserve">, supra, </w:t>
      </w:r>
      <w:r w:rsidRPr="00CF6765">
        <w:rPr>
          <w:bCs/>
          <w:sz w:val="16"/>
          <w:szCs w:val="16"/>
          <w:lang w:val="en-US"/>
        </w:rPr>
        <w:t>para. 75.</w:t>
      </w:r>
    </w:p>
  </w:footnote>
  <w:footnote w:id="26">
    <w:p w14:paraId="7BBD3914" w14:textId="7E032AC8"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rPr>
        <w:footnoteRef/>
      </w:r>
      <w:r w:rsidRPr="00CF6765">
        <w:rPr>
          <w:rStyle w:val="Refdenotaalpie"/>
          <w:rFonts w:eastAsia="Calibri"/>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Case of Galindo Cárdenas et al. v. Peru</w:t>
      </w:r>
      <w:r w:rsidRPr="00CF6765">
        <w:rPr>
          <w:sz w:val="16"/>
          <w:szCs w:val="16"/>
          <w:lang w:val="en-US"/>
        </w:rPr>
        <w:t xml:space="preserve">. </w:t>
      </w:r>
      <w:r w:rsidRPr="00CF6765">
        <w:rPr>
          <w:i/>
          <w:sz w:val="16"/>
          <w:szCs w:val="16"/>
          <w:lang w:val="en-US"/>
        </w:rPr>
        <w:t>Preliminary objections, merits, reparations and costs</w:t>
      </w:r>
      <w:r w:rsidRPr="00CF6765">
        <w:rPr>
          <w:sz w:val="16"/>
          <w:szCs w:val="16"/>
          <w:lang w:val="en-US"/>
        </w:rPr>
        <w:t xml:space="preserve">. Judgment of October 2, 2015. Series C No. 301, para. 70, and </w:t>
      </w:r>
      <w:r w:rsidRPr="00CF6765">
        <w:rPr>
          <w:i/>
          <w:sz w:val="16"/>
          <w:szCs w:val="16"/>
          <w:lang w:val="en-US"/>
        </w:rPr>
        <w:t xml:space="preserve">Case of the Discharged Employees of </w:t>
      </w:r>
      <w:proofErr w:type="spellStart"/>
      <w:r w:rsidRPr="00CF6765">
        <w:rPr>
          <w:i/>
          <w:sz w:val="16"/>
          <w:szCs w:val="16"/>
          <w:lang w:val="en-US"/>
        </w:rPr>
        <w:t>PetroPeru</w:t>
      </w:r>
      <w:proofErr w:type="spellEnd"/>
      <w:r w:rsidRPr="00CF6765">
        <w:rPr>
          <w:bCs/>
          <w:i/>
          <w:sz w:val="16"/>
          <w:szCs w:val="16"/>
          <w:lang w:val="en-US"/>
        </w:rPr>
        <w:t xml:space="preserve">, supra, </w:t>
      </w:r>
      <w:r w:rsidRPr="00CF6765">
        <w:rPr>
          <w:bCs/>
          <w:sz w:val="16"/>
          <w:szCs w:val="16"/>
          <w:lang w:val="en-US"/>
        </w:rPr>
        <w:t>para. 75.</w:t>
      </w:r>
      <w:r w:rsidRPr="00CF6765">
        <w:rPr>
          <w:i/>
          <w:sz w:val="16"/>
          <w:szCs w:val="16"/>
          <w:lang w:val="en-US"/>
        </w:rPr>
        <w:t xml:space="preserve"> </w:t>
      </w:r>
    </w:p>
  </w:footnote>
  <w:footnote w:id="27">
    <w:p w14:paraId="2543BB5D" w14:textId="3E23AF62" w:rsidR="003558F5" w:rsidRPr="00CF6765" w:rsidRDefault="003558F5" w:rsidP="00002163">
      <w:pPr>
        <w:tabs>
          <w:tab w:val="left" w:pos="567"/>
        </w:tabs>
        <w:spacing w:after="60"/>
        <w:rPr>
          <w:i/>
          <w:sz w:val="16"/>
          <w:szCs w:val="16"/>
          <w:lang w:val="en-US"/>
        </w:rPr>
      </w:pPr>
      <w:r w:rsidRPr="00CF6765">
        <w:rPr>
          <w:rStyle w:val="Refdenotaalpie"/>
          <w:rFonts w:eastAsia="Calibri"/>
          <w:sz w:val="16"/>
          <w:szCs w:val="16"/>
          <w:lang w:val="en-US"/>
        </w:rPr>
        <w:footnoteRef/>
      </w:r>
      <w:r w:rsidRPr="00CF6765">
        <w:rPr>
          <w:sz w:val="16"/>
          <w:szCs w:val="16"/>
          <w:vertAlign w:val="superscript"/>
          <w:lang w:val="en-US"/>
        </w:rPr>
        <w:t xml:space="preserve"> </w:t>
      </w:r>
      <w:r w:rsidRPr="00CF6765">
        <w:rPr>
          <w:sz w:val="16"/>
          <w:szCs w:val="16"/>
          <w:lang w:val="en-US"/>
        </w:rPr>
        <w:tab/>
      </w:r>
      <w:r w:rsidRPr="00CF6765">
        <w:rPr>
          <w:i/>
          <w:sz w:val="16"/>
          <w:szCs w:val="16"/>
          <w:lang w:val="en-US"/>
        </w:rPr>
        <w:t>Cf.</w:t>
      </w:r>
      <w:r w:rsidRPr="00CF6765">
        <w:rPr>
          <w:bCs/>
          <w:i/>
          <w:sz w:val="16"/>
          <w:szCs w:val="16"/>
          <w:lang w:val="en-US"/>
        </w:rPr>
        <w:t xml:space="preserve"> </w:t>
      </w:r>
      <w:r w:rsidRPr="00CF6765">
        <w:rPr>
          <w:i/>
          <w:sz w:val="16"/>
          <w:szCs w:val="16"/>
          <w:lang w:val="en-US"/>
        </w:rPr>
        <w:t xml:space="preserve">Case of the “White Van” (Paniagua Morales et al.) v. Guatemala. Merits. </w:t>
      </w:r>
      <w:r w:rsidRPr="00CF6765">
        <w:rPr>
          <w:sz w:val="16"/>
          <w:szCs w:val="16"/>
          <w:lang w:val="en-US"/>
        </w:rPr>
        <w:t xml:space="preserve">Judgment of March 8, 1998. Series C No. 37, paras. 69 to 76, and </w:t>
      </w:r>
      <w:r w:rsidRPr="00CF6765">
        <w:rPr>
          <w:bCs/>
          <w:i/>
          <w:sz w:val="16"/>
          <w:szCs w:val="16"/>
          <w:lang w:val="en-US"/>
        </w:rPr>
        <w:t xml:space="preserve">Case of the Discharged Employees of </w:t>
      </w:r>
      <w:proofErr w:type="spellStart"/>
      <w:r w:rsidRPr="00CF6765">
        <w:rPr>
          <w:bCs/>
          <w:i/>
          <w:sz w:val="16"/>
          <w:szCs w:val="16"/>
          <w:lang w:val="en-US"/>
        </w:rPr>
        <w:t>PetroPeru</w:t>
      </w:r>
      <w:proofErr w:type="spellEnd"/>
      <w:r w:rsidRPr="00CF6765">
        <w:rPr>
          <w:bCs/>
          <w:i/>
          <w:sz w:val="16"/>
          <w:szCs w:val="16"/>
          <w:lang w:val="en-US"/>
        </w:rPr>
        <w:t xml:space="preserve">, supra, </w:t>
      </w:r>
      <w:r w:rsidRPr="00CF6765">
        <w:rPr>
          <w:bCs/>
          <w:sz w:val="16"/>
          <w:szCs w:val="16"/>
          <w:lang w:val="en-US"/>
        </w:rPr>
        <w:t>para. 79.</w:t>
      </w:r>
      <w:r w:rsidRPr="00CF6765">
        <w:rPr>
          <w:bCs/>
          <w:i/>
          <w:sz w:val="16"/>
          <w:szCs w:val="16"/>
          <w:lang w:val="en-US"/>
        </w:rPr>
        <w:t xml:space="preserve"> </w:t>
      </w:r>
    </w:p>
  </w:footnote>
  <w:footnote w:id="28">
    <w:p w14:paraId="3277A572" w14:textId="1003FD9C" w:rsidR="003558F5" w:rsidRPr="00CF6765" w:rsidRDefault="003558F5" w:rsidP="00002163">
      <w:pPr>
        <w:tabs>
          <w:tab w:val="left" w:pos="567"/>
        </w:tabs>
        <w:spacing w:after="60"/>
        <w:rPr>
          <w:sz w:val="16"/>
          <w:szCs w:val="16"/>
          <w:lang w:val="en-US"/>
        </w:rPr>
      </w:pPr>
      <w:r w:rsidRPr="00CF6765">
        <w:rPr>
          <w:rStyle w:val="Refdenotaalpie"/>
          <w:rFonts w:eastAsia="Calibri"/>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Case of </w:t>
      </w:r>
      <w:proofErr w:type="spellStart"/>
      <w:r w:rsidRPr="00CF6765">
        <w:rPr>
          <w:i/>
          <w:sz w:val="16"/>
          <w:szCs w:val="16"/>
          <w:lang w:val="en-US"/>
        </w:rPr>
        <w:t>Loayza</w:t>
      </w:r>
      <w:proofErr w:type="spellEnd"/>
      <w:r w:rsidRPr="00CF6765">
        <w:rPr>
          <w:i/>
          <w:sz w:val="16"/>
          <w:szCs w:val="16"/>
          <w:lang w:val="en-US"/>
        </w:rPr>
        <w:t xml:space="preserve"> Tamayo v. Peru. Merits. </w:t>
      </w:r>
      <w:r w:rsidRPr="00CF6765">
        <w:rPr>
          <w:sz w:val="16"/>
          <w:szCs w:val="16"/>
          <w:lang w:val="en-US"/>
        </w:rPr>
        <w:t xml:space="preserve">Judgment of September 17, 1997. </w:t>
      </w:r>
      <w:r w:rsidRPr="00392A9A">
        <w:rPr>
          <w:sz w:val="16"/>
          <w:szCs w:val="16"/>
        </w:rPr>
        <w:t xml:space="preserve">Series C No. 33, para. 43, and </w:t>
      </w:r>
      <w:r w:rsidRPr="00392A9A">
        <w:rPr>
          <w:bCs/>
          <w:i/>
          <w:sz w:val="16"/>
          <w:szCs w:val="16"/>
        </w:rPr>
        <w:t xml:space="preserve">Case </w:t>
      </w:r>
      <w:proofErr w:type="spellStart"/>
      <w:r w:rsidRPr="00392A9A">
        <w:rPr>
          <w:bCs/>
          <w:i/>
          <w:sz w:val="16"/>
          <w:szCs w:val="16"/>
        </w:rPr>
        <w:t>of</w:t>
      </w:r>
      <w:proofErr w:type="spellEnd"/>
      <w:r w:rsidRPr="00392A9A">
        <w:rPr>
          <w:bCs/>
          <w:i/>
          <w:sz w:val="16"/>
          <w:szCs w:val="16"/>
        </w:rPr>
        <w:t xml:space="preserve"> Lagos del Campo v. </w:t>
      </w:r>
      <w:proofErr w:type="spellStart"/>
      <w:r w:rsidRPr="00392A9A">
        <w:rPr>
          <w:bCs/>
          <w:i/>
          <w:sz w:val="16"/>
          <w:szCs w:val="16"/>
        </w:rPr>
        <w:t>Peru</w:t>
      </w:r>
      <w:proofErr w:type="spellEnd"/>
      <w:r w:rsidRPr="00392A9A">
        <w:rPr>
          <w:bCs/>
          <w:i/>
          <w:sz w:val="16"/>
          <w:szCs w:val="16"/>
        </w:rPr>
        <w:t xml:space="preserve">. </w:t>
      </w:r>
      <w:r w:rsidRPr="00CF6765">
        <w:rPr>
          <w:bCs/>
          <w:i/>
          <w:sz w:val="16"/>
          <w:szCs w:val="16"/>
          <w:lang w:val="en-US"/>
        </w:rPr>
        <w:t xml:space="preserve">Preliminary objections, merits, reparations and costs. </w:t>
      </w:r>
      <w:r w:rsidRPr="00CF6765">
        <w:rPr>
          <w:bCs/>
          <w:sz w:val="16"/>
          <w:szCs w:val="16"/>
          <w:lang w:val="en-US"/>
        </w:rPr>
        <w:t>Judgment of August 31, 2017. Series C No. 340, para. 35.</w:t>
      </w:r>
    </w:p>
  </w:footnote>
  <w:footnote w:id="29">
    <w:p w14:paraId="3312C4E8" w14:textId="1DC470AD"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 xml:space="preserve">Death certificate of Vinicio Antonio Poblete </w:t>
      </w:r>
      <w:proofErr w:type="spellStart"/>
      <w:r w:rsidRPr="00CF6765">
        <w:rPr>
          <w:sz w:val="16"/>
          <w:szCs w:val="16"/>
          <w:lang w:val="en-US"/>
        </w:rPr>
        <w:t>Vilches</w:t>
      </w:r>
      <w:proofErr w:type="spellEnd"/>
      <w:r w:rsidRPr="00CF6765">
        <w:rPr>
          <w:sz w:val="16"/>
          <w:szCs w:val="16"/>
          <w:lang w:val="en-US"/>
        </w:rPr>
        <w:t xml:space="preserve"> issued by the Chilean Civil Registry Service on March 9, 2001 (evidence file, annex 1 of the Merits Report, f. 7).</w:t>
      </w:r>
    </w:p>
  </w:footnote>
  <w:footnote w:id="30">
    <w:p w14:paraId="7218BE7D" w14:textId="4F8F9BB2" w:rsidR="003558F5" w:rsidRPr="00CF6765" w:rsidRDefault="003558F5" w:rsidP="00450250">
      <w:pPr>
        <w:pStyle w:val="Textoindependiente"/>
        <w:spacing w:after="60"/>
        <w:ind w:right="13"/>
        <w:rPr>
          <w:rFonts w:eastAsia="Calibri"/>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rFonts w:eastAsia="Calibri"/>
          <w:sz w:val="16"/>
          <w:szCs w:val="16"/>
          <w:lang w:val="en-US"/>
        </w:rPr>
        <w:t>Statement made by Vinicio Marco Antonio Poblete Tapia before the Court during the public hearing of October 19, 2017 (transcript of the public hearing on merits, and eventual reparations and costs; October 19, 2017, p. 96)</w:t>
      </w:r>
      <w:r w:rsidRPr="00CF6765">
        <w:rPr>
          <w:sz w:val="16"/>
          <w:szCs w:val="16"/>
          <w:lang w:val="en-US"/>
        </w:rPr>
        <w:t xml:space="preserve">, and 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(evidence file affidavits, f. 4462).</w:t>
      </w:r>
      <w:r w:rsidRPr="00CF6765">
        <w:rPr>
          <w:b/>
          <w:i/>
          <w:sz w:val="16"/>
          <w:szCs w:val="16"/>
          <w:lang w:val="en-US"/>
        </w:rPr>
        <w:t xml:space="preserve"> </w:t>
      </w:r>
      <w:r w:rsidRPr="00CF6765">
        <w:rPr>
          <w:sz w:val="16"/>
          <w:szCs w:val="16"/>
          <w:lang w:val="en-US"/>
        </w:rPr>
        <w:t xml:space="preserve">Blanca Tapia </w:t>
      </w:r>
      <w:proofErr w:type="spellStart"/>
      <w:r w:rsidRPr="00CF6765">
        <w:rPr>
          <w:sz w:val="16"/>
          <w:szCs w:val="16"/>
          <w:lang w:val="en-US"/>
        </w:rPr>
        <w:t>Encina</w:t>
      </w:r>
      <w:proofErr w:type="spellEnd"/>
      <w:r w:rsidRPr="00CF6765">
        <w:rPr>
          <w:sz w:val="16"/>
          <w:szCs w:val="16"/>
          <w:lang w:val="en-US"/>
        </w:rPr>
        <w:t xml:space="preserve"> died on January 13, 2003, due to septic shock and gallbladder cancer with multiple metastases, while Gonzalo Poblete Tapia had a brain injury and a physical disability and died on December 4, 2011. </w:t>
      </w:r>
      <w:r w:rsidRPr="00CF6765">
        <w:rPr>
          <w:i/>
          <w:sz w:val="16"/>
          <w:szCs w:val="16"/>
          <w:lang w:val="en-US"/>
        </w:rPr>
        <w:t xml:space="preserve">Cf. </w:t>
      </w:r>
      <w:r w:rsidRPr="00CF6765">
        <w:rPr>
          <w:sz w:val="16"/>
          <w:szCs w:val="16"/>
          <w:lang w:val="en-US"/>
        </w:rPr>
        <w:t xml:space="preserve">Death certificate of Blanca Margarita Tapia </w:t>
      </w:r>
      <w:proofErr w:type="spellStart"/>
      <w:r w:rsidRPr="00CF6765">
        <w:rPr>
          <w:sz w:val="16"/>
          <w:szCs w:val="16"/>
          <w:lang w:val="en-US"/>
        </w:rPr>
        <w:t>Encina</w:t>
      </w:r>
      <w:proofErr w:type="spellEnd"/>
      <w:r w:rsidRPr="00CF6765">
        <w:rPr>
          <w:sz w:val="16"/>
          <w:szCs w:val="16"/>
          <w:lang w:val="en-US"/>
        </w:rPr>
        <w:t xml:space="preserve"> issued by the Chilean Civil Registry Service on January 14, 2003 (evidence file, annex 17 of the Merits Report, f. 126), and Statement made by Vinicio Marco Antonio Poblete Tapia before the Court during the public hearing of October 19, 2017 ( </w:t>
      </w:r>
      <w:r w:rsidRPr="00CF6765">
        <w:rPr>
          <w:i/>
          <w:sz w:val="16"/>
          <w:szCs w:val="16"/>
          <w:lang w:val="en-US"/>
        </w:rPr>
        <w:t>supra</w:t>
      </w:r>
      <w:r w:rsidRPr="00CF6765">
        <w:rPr>
          <w:sz w:val="16"/>
          <w:szCs w:val="16"/>
          <w:lang w:val="en-US"/>
        </w:rPr>
        <w:t xml:space="preserve">, pp. 20 and 96), and 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w:t>
      </w:r>
      <w:r w:rsidRPr="00CF6765">
        <w:rPr>
          <w:i/>
          <w:sz w:val="16"/>
          <w:szCs w:val="16"/>
          <w:lang w:val="en-US"/>
        </w:rPr>
        <w:t>supra</w:t>
      </w:r>
      <w:r w:rsidRPr="00CF6765">
        <w:rPr>
          <w:sz w:val="16"/>
          <w:szCs w:val="16"/>
          <w:lang w:val="en-US"/>
        </w:rPr>
        <w:t>, evidence file,</w:t>
      </w:r>
      <w:r w:rsidRPr="00CF6765">
        <w:rPr>
          <w:i/>
          <w:sz w:val="16"/>
          <w:szCs w:val="16"/>
          <w:lang w:val="en-US"/>
        </w:rPr>
        <w:t xml:space="preserve"> </w:t>
      </w:r>
      <w:r w:rsidRPr="00CF6765">
        <w:rPr>
          <w:sz w:val="16"/>
          <w:szCs w:val="16"/>
          <w:lang w:val="en-US"/>
        </w:rPr>
        <w:t>f. 4467).</w:t>
      </w:r>
    </w:p>
  </w:footnote>
  <w:footnote w:id="31">
    <w:p w14:paraId="3A50A2D1" w14:textId="1F23FA0F"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Statement made by Vinicio Marco Antonio Poblete Tapia before the Court during the public hearing of October 19, 2017 (</w:t>
      </w:r>
      <w:r w:rsidRPr="00CF6765">
        <w:rPr>
          <w:i/>
          <w:sz w:val="16"/>
          <w:szCs w:val="16"/>
          <w:lang w:val="en-US"/>
        </w:rPr>
        <w:t>supra</w:t>
      </w:r>
      <w:r w:rsidRPr="00CF6765">
        <w:rPr>
          <w:sz w:val="16"/>
          <w:szCs w:val="16"/>
          <w:lang w:val="en-US"/>
        </w:rPr>
        <w:t>, pp. 4 and 12)</w:t>
      </w:r>
      <w:r w:rsidRPr="00CF6765">
        <w:rPr>
          <w:i/>
          <w:sz w:val="16"/>
          <w:szCs w:val="16"/>
          <w:lang w:val="en-US"/>
        </w:rPr>
        <w:t xml:space="preserve">, </w:t>
      </w:r>
      <w:r w:rsidRPr="00CF6765">
        <w:rPr>
          <w:sz w:val="16"/>
          <w:szCs w:val="16"/>
          <w:lang w:val="en-US"/>
        </w:rPr>
        <w:t xml:space="preserve">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w:t>
      </w:r>
      <w:r w:rsidRPr="00CF6765">
        <w:rPr>
          <w:i/>
          <w:sz w:val="16"/>
          <w:szCs w:val="16"/>
          <w:lang w:val="en-US"/>
        </w:rPr>
        <w:t xml:space="preserve"> (supra, </w:t>
      </w:r>
      <w:r w:rsidRPr="00CF6765">
        <w:rPr>
          <w:sz w:val="16"/>
          <w:szCs w:val="16"/>
          <w:lang w:val="en-US"/>
        </w:rPr>
        <w:t>evidence file f. 4462), and Affidavit made by Alejandra Marcela Fuentes Poblete on October 6, 2017 (evidence file affidavits, f. 4470).</w:t>
      </w:r>
    </w:p>
  </w:footnote>
  <w:footnote w:id="32">
    <w:p w14:paraId="42830ADC" w14:textId="735355FD" w:rsidR="003558F5" w:rsidRPr="00CF6765" w:rsidRDefault="003558F5" w:rsidP="00450250">
      <w:pPr>
        <w:pStyle w:val="Textonotapie"/>
        <w:spacing w:after="60"/>
        <w:ind w:right="13"/>
        <w:rPr>
          <w:rFonts w:eastAsia="Calibri" w:cs="Arial"/>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lang w:val="en-US"/>
        </w:rPr>
        <w:tab/>
        <w:t>“</w:t>
      </w:r>
      <w:r w:rsidRPr="00CF6765">
        <w:rPr>
          <w:rFonts w:eastAsia="Calibri"/>
          <w:sz w:val="16"/>
          <w:szCs w:val="16"/>
          <w:lang w:val="en-US"/>
        </w:rPr>
        <w:t xml:space="preserve">[…] Patient with history of DM2 in treatment with </w:t>
      </w:r>
      <w:proofErr w:type="spellStart"/>
      <w:r w:rsidRPr="00CF6765">
        <w:rPr>
          <w:rFonts w:eastAsia="Calibri"/>
          <w:sz w:val="16"/>
          <w:szCs w:val="16"/>
          <w:lang w:val="en-US"/>
        </w:rPr>
        <w:t>glibenclamide</w:t>
      </w:r>
      <w:proofErr w:type="spellEnd"/>
      <w:r w:rsidRPr="00CF6765">
        <w:rPr>
          <w:rFonts w:eastAsia="Calibri"/>
          <w:sz w:val="16"/>
          <w:szCs w:val="16"/>
          <w:lang w:val="en-US"/>
        </w:rPr>
        <w:t xml:space="preserve"> 5mg c/12 [illegible] and unspecified cardiac </w:t>
      </w:r>
      <w:r w:rsidRPr="00CF6765">
        <w:rPr>
          <w:sz w:val="16"/>
          <w:szCs w:val="16"/>
          <w:lang w:val="en-US"/>
        </w:rPr>
        <w:t>arrhythmia</w:t>
      </w:r>
      <w:r w:rsidRPr="00CF6765">
        <w:rPr>
          <w:rFonts w:eastAsia="Calibri"/>
          <w:sz w:val="16"/>
          <w:szCs w:val="16"/>
          <w:lang w:val="en-US"/>
        </w:rPr>
        <w:t xml:space="preserve"> [illegible], therefore uses amiodarone 200 mg/d</w:t>
      </w:r>
      <w:r w:rsidRPr="00CF6765">
        <w:rPr>
          <w:rFonts w:eastAsia="Calibri" w:cs="Arial"/>
          <w:sz w:val="16"/>
          <w:szCs w:val="16"/>
          <w:lang w:val="en-US"/>
        </w:rPr>
        <w:t xml:space="preserve">ay orally. Yesterday, started respiratory distress associated with more significant effects on his general condition. Temperature normal. Today, worsened and presented </w:t>
      </w:r>
      <w:r w:rsidRPr="00CF6765">
        <w:rPr>
          <w:sz w:val="16"/>
          <w:szCs w:val="16"/>
          <w:lang w:val="en-US"/>
        </w:rPr>
        <w:t xml:space="preserve">dyspnea at rest, so taken to the S.E. where [illegible] respiratory distress and irregular tachycardia between </w:t>
      </w:r>
      <w:r w:rsidRPr="00CF6765">
        <w:rPr>
          <w:rFonts w:eastAsia="Calibri" w:cs="Arial"/>
          <w:sz w:val="16"/>
          <w:szCs w:val="16"/>
          <w:lang w:val="en-US"/>
        </w:rPr>
        <w:t>130-100x</w:t>
      </w:r>
      <w:r w:rsidRPr="00CF6765">
        <w:rPr>
          <w:sz w:val="16"/>
          <w:szCs w:val="16"/>
          <w:lang w:val="en-US"/>
        </w:rPr>
        <w:t xml:space="preserve"> was noted […].” </w:t>
      </w:r>
      <w:r w:rsidRPr="00CF6765">
        <w:rPr>
          <w:rFonts w:eastAsia="Calibri"/>
          <w:sz w:val="16"/>
          <w:szCs w:val="16"/>
          <w:lang w:val="en-US"/>
        </w:rPr>
        <w:t xml:space="preserve">Medical record of Vinicio Poblete </w:t>
      </w:r>
      <w:proofErr w:type="spellStart"/>
      <w:r w:rsidRPr="00CF6765">
        <w:rPr>
          <w:rFonts w:eastAsia="Calibri"/>
          <w:sz w:val="16"/>
          <w:szCs w:val="16"/>
          <w:lang w:val="en-US"/>
        </w:rPr>
        <w:t>Vilches</w:t>
      </w:r>
      <w:proofErr w:type="spellEnd"/>
      <w:r w:rsidRPr="00CF6765">
        <w:rPr>
          <w:rFonts w:eastAsia="Calibri"/>
          <w:sz w:val="16"/>
          <w:szCs w:val="16"/>
          <w:lang w:val="en-US"/>
        </w:rPr>
        <w:t xml:space="preserve">. Document attached to confidential communication No. 026/09 of the Director, Southeastern Metropolitan Health Service, addressed to the Minister of Health, of August 31, 2009 (merits file, </w:t>
      </w:r>
      <w:r w:rsidRPr="00CF6765">
        <w:rPr>
          <w:sz w:val="16"/>
          <w:szCs w:val="16"/>
          <w:lang w:val="en-US"/>
        </w:rPr>
        <w:t xml:space="preserve">f. 1130). </w:t>
      </w:r>
    </w:p>
  </w:footnote>
  <w:footnote w:id="33">
    <w:p w14:paraId="38447915" w14:textId="3FBA7A89" w:rsidR="003558F5" w:rsidRPr="00CF6765" w:rsidRDefault="003558F5" w:rsidP="00450250">
      <w:pPr>
        <w:spacing w:after="60"/>
        <w:ind w:right="13"/>
        <w:rPr>
          <w:sz w:val="16"/>
          <w:szCs w:val="16"/>
          <w:lang w:val="en-US"/>
        </w:rPr>
      </w:pPr>
      <w:r w:rsidRPr="00CF6765">
        <w:rPr>
          <w:rStyle w:val="Refdenotaalpie"/>
          <w:sz w:val="16"/>
          <w:lang w:val="en-US"/>
        </w:rPr>
        <w:footnoteRef/>
      </w:r>
      <w:r w:rsidRPr="00CF6765">
        <w:rPr>
          <w:sz w:val="16"/>
          <w:lang w:val="en-US"/>
        </w:rPr>
        <w:t xml:space="preserve"> </w:t>
      </w:r>
      <w:r w:rsidRPr="00CF6765">
        <w:rPr>
          <w:sz w:val="16"/>
          <w:lang w:val="en-US"/>
        </w:rPr>
        <w:tab/>
      </w:r>
      <w:r w:rsidRPr="00CF6765">
        <w:rPr>
          <w:sz w:val="16"/>
          <w:szCs w:val="16"/>
          <w:lang w:val="en-US"/>
        </w:rPr>
        <w:t xml:space="preserve">Ministerial Audit Directorate, Confidential communication No. 024, signed by Dr. Sergio Valenzuela </w:t>
      </w:r>
      <w:proofErr w:type="spellStart"/>
      <w:r w:rsidRPr="00CF6765">
        <w:rPr>
          <w:sz w:val="16"/>
          <w:szCs w:val="16"/>
          <w:lang w:val="en-US"/>
        </w:rPr>
        <w:t>Estévez</w:t>
      </w:r>
      <w:proofErr w:type="spellEnd"/>
      <w:r w:rsidRPr="00CF6765">
        <w:rPr>
          <w:sz w:val="16"/>
          <w:szCs w:val="16"/>
          <w:lang w:val="en-US"/>
        </w:rPr>
        <w:t xml:space="preserve">, Department Head. Eastern Health Service Audit. Document attached to </w:t>
      </w:r>
      <w:r w:rsidRPr="00CF6765">
        <w:rPr>
          <w:rFonts w:eastAsia="Calibri"/>
          <w:sz w:val="16"/>
          <w:szCs w:val="16"/>
          <w:lang w:val="en-US"/>
        </w:rPr>
        <w:t xml:space="preserve">Confidential communication No. 026/09 of the Director, Southeastern Metropolitan Health Service, </w:t>
      </w:r>
      <w:r w:rsidRPr="00CF6765">
        <w:rPr>
          <w:rFonts w:eastAsia="Calibri"/>
          <w:i/>
          <w:sz w:val="16"/>
          <w:szCs w:val="16"/>
          <w:lang w:val="en-US"/>
        </w:rPr>
        <w:t>supra</w:t>
      </w:r>
      <w:r w:rsidRPr="00CF6765">
        <w:rPr>
          <w:rFonts w:eastAsia="Calibri"/>
          <w:sz w:val="16"/>
          <w:szCs w:val="16"/>
          <w:lang w:val="en-US"/>
        </w:rPr>
        <w:t xml:space="preserve">, and attached to communication No. 0812 of the Director [S], Dr. </w:t>
      </w:r>
      <w:proofErr w:type="spellStart"/>
      <w:r w:rsidRPr="00CF6765">
        <w:rPr>
          <w:rFonts w:eastAsia="Calibri"/>
          <w:sz w:val="16"/>
          <w:szCs w:val="16"/>
          <w:lang w:val="en-US"/>
        </w:rPr>
        <w:t>Sótero</w:t>
      </w:r>
      <w:proofErr w:type="spellEnd"/>
      <w:r w:rsidRPr="00CF6765">
        <w:rPr>
          <w:rFonts w:eastAsia="Calibri"/>
          <w:sz w:val="16"/>
          <w:szCs w:val="16"/>
          <w:lang w:val="en-US"/>
        </w:rPr>
        <w:t xml:space="preserve"> del Río Health Complex, addressed to the Director for Human Rights of the Ministry of Foreign Affairs, of May 19, 2010 (merits file </w:t>
      </w:r>
      <w:r w:rsidRPr="00CF6765">
        <w:rPr>
          <w:sz w:val="16"/>
          <w:szCs w:val="16"/>
          <w:lang w:val="en-US"/>
        </w:rPr>
        <w:t xml:space="preserve">f. 1108). </w:t>
      </w:r>
    </w:p>
  </w:footnote>
  <w:footnote w:id="34">
    <w:p w14:paraId="73A11141" w14:textId="78F88B62"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Statement made by Vinicio Marco Antonio Poblete Tapia before the Court during the public hearing of October 19, 2017, </w:t>
      </w:r>
      <w:r w:rsidRPr="00CF6765">
        <w:rPr>
          <w:i/>
          <w:sz w:val="16"/>
          <w:szCs w:val="16"/>
          <w:lang w:val="en-US"/>
        </w:rPr>
        <w:t>supra</w:t>
      </w:r>
      <w:r w:rsidRPr="00CF6765">
        <w:rPr>
          <w:sz w:val="16"/>
          <w:szCs w:val="16"/>
          <w:lang w:val="en-US"/>
        </w:rPr>
        <w:t xml:space="preserve">, p. 4, 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w:t>
      </w:r>
      <w:r w:rsidRPr="00CF6765">
        <w:rPr>
          <w:i/>
          <w:sz w:val="16"/>
          <w:szCs w:val="16"/>
          <w:lang w:val="en-US"/>
        </w:rPr>
        <w:t>supra</w:t>
      </w:r>
      <w:r w:rsidRPr="00CF6765">
        <w:rPr>
          <w:sz w:val="16"/>
          <w:szCs w:val="16"/>
          <w:lang w:val="en-US"/>
        </w:rPr>
        <w:t>, f. 4463, and Statement made by Alejandra Marcela Fuentes Poblete before the First Civil Court on June 15, 2007 (evidence file, annex 12 of the Merits Report, f. 110).</w:t>
      </w:r>
    </w:p>
  </w:footnote>
  <w:footnote w:id="35">
    <w:p w14:paraId="051FCEF2" w14:textId="30E683BD"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Statement made by Vinicio Marco Antonio Poblete Tapia before the Court during the public hearing of October 19, 2017, </w:t>
      </w:r>
      <w:r w:rsidRPr="00CF6765">
        <w:rPr>
          <w:i/>
          <w:sz w:val="16"/>
          <w:szCs w:val="16"/>
          <w:lang w:val="en-US"/>
        </w:rPr>
        <w:t>supra</w:t>
      </w:r>
      <w:r w:rsidRPr="00CF6765">
        <w:rPr>
          <w:sz w:val="16"/>
          <w:szCs w:val="16"/>
          <w:lang w:val="en-US"/>
        </w:rPr>
        <w:t xml:space="preserve">, pp. 13 and 14, and 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w:t>
      </w:r>
      <w:r w:rsidRPr="00CF6765">
        <w:rPr>
          <w:i/>
          <w:sz w:val="16"/>
          <w:szCs w:val="16"/>
          <w:lang w:val="en-US"/>
        </w:rPr>
        <w:t xml:space="preserve">supra, </w:t>
      </w:r>
      <w:r w:rsidRPr="00CF6765">
        <w:rPr>
          <w:sz w:val="16"/>
          <w:szCs w:val="16"/>
          <w:lang w:val="en-US"/>
        </w:rPr>
        <w:t xml:space="preserve">f. 4463. </w:t>
      </w:r>
    </w:p>
  </w:footnote>
  <w:footnote w:id="36">
    <w:p w14:paraId="0C721520" w14:textId="63CEA4FF" w:rsidR="003558F5" w:rsidRPr="00CF6765" w:rsidRDefault="003558F5" w:rsidP="00450250">
      <w:pPr>
        <w:pStyle w:val="Textonotapie"/>
        <w:spacing w:after="60"/>
        <w:rPr>
          <w:rStyle w:val="Refdenotaalpie"/>
          <w:rFonts w:eastAsia="MS Mincho"/>
          <w:sz w:val="16"/>
          <w:szCs w:val="16"/>
          <w:lang w:val="en-US"/>
        </w:rPr>
      </w:pPr>
      <w:r w:rsidRPr="00CF6765">
        <w:rPr>
          <w:rStyle w:val="Refdenotaalpie"/>
          <w:rFonts w:eastAsia="MS Mincho"/>
          <w:sz w:val="16"/>
          <w:szCs w:val="16"/>
          <w:lang w:val="en-US"/>
        </w:rPr>
        <w:footnoteRef/>
      </w:r>
      <w:r w:rsidRPr="00CF6765">
        <w:rPr>
          <w:rStyle w:val="Refdenotaalpie"/>
          <w:rFonts w:eastAsia="MS Mincho"/>
          <w:sz w:val="16"/>
          <w:szCs w:val="16"/>
          <w:lang w:val="en-US"/>
        </w:rPr>
        <w:t xml:space="preserve"> </w:t>
      </w:r>
      <w:r w:rsidRPr="00CF6765">
        <w:rPr>
          <w:rFonts w:eastAsia="MS Mincho"/>
          <w:sz w:val="16"/>
          <w:szCs w:val="16"/>
          <w:lang w:val="en-US"/>
        </w:rPr>
        <w:tab/>
        <w:t xml:space="preserve">Affidavit made by </w:t>
      </w:r>
      <w:proofErr w:type="spellStart"/>
      <w:r w:rsidRPr="00CF6765">
        <w:rPr>
          <w:rFonts w:eastAsia="MS Mincho"/>
          <w:sz w:val="16"/>
          <w:szCs w:val="16"/>
          <w:lang w:val="en-US"/>
        </w:rPr>
        <w:t>Cesia</w:t>
      </w:r>
      <w:proofErr w:type="spellEnd"/>
      <w:r w:rsidRPr="00CF6765">
        <w:rPr>
          <w:rFonts w:eastAsia="MS Mincho"/>
          <w:sz w:val="16"/>
          <w:szCs w:val="16"/>
          <w:lang w:val="en-US"/>
        </w:rPr>
        <w:t xml:space="preserve"> Leila Siria Poblete on October 6, 2017, </w:t>
      </w:r>
      <w:r w:rsidRPr="00CF6765">
        <w:rPr>
          <w:rFonts w:eastAsia="MS Mincho"/>
          <w:i/>
          <w:sz w:val="16"/>
          <w:szCs w:val="16"/>
          <w:lang w:val="en-US"/>
        </w:rPr>
        <w:t>supr</w:t>
      </w:r>
      <w:r w:rsidRPr="00CF6765">
        <w:rPr>
          <w:rFonts w:eastAsia="MS Mincho"/>
          <w:sz w:val="16"/>
          <w:szCs w:val="16"/>
          <w:lang w:val="en-US"/>
        </w:rPr>
        <w:t xml:space="preserve">a, (evidence file, f. 4464). </w:t>
      </w:r>
    </w:p>
  </w:footnote>
  <w:footnote w:id="37">
    <w:p w14:paraId="3052D5C8" w14:textId="4FE5F7B3" w:rsidR="003558F5" w:rsidRPr="00CF6765" w:rsidRDefault="003558F5" w:rsidP="00450250">
      <w:pPr>
        <w:pStyle w:val="Textonotapie"/>
        <w:spacing w:after="60"/>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Statement made by Vinicio Marco Antonio Poblete Tapia before the Court during the public hearing of October 19, 2017, </w:t>
      </w:r>
      <w:r w:rsidRPr="00CF6765">
        <w:rPr>
          <w:i/>
          <w:sz w:val="16"/>
          <w:szCs w:val="16"/>
          <w:lang w:val="en-US"/>
        </w:rPr>
        <w:t>supra</w:t>
      </w:r>
      <w:r w:rsidRPr="00CF6765">
        <w:rPr>
          <w:sz w:val="16"/>
          <w:szCs w:val="16"/>
          <w:lang w:val="en-US"/>
        </w:rPr>
        <w:t xml:space="preserve">, pp. 4 and 5, 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w:t>
      </w:r>
      <w:r w:rsidRPr="00CF6765">
        <w:rPr>
          <w:i/>
          <w:sz w:val="16"/>
          <w:szCs w:val="16"/>
          <w:lang w:val="en-US"/>
        </w:rPr>
        <w:t xml:space="preserve">supra, </w:t>
      </w:r>
      <w:r w:rsidRPr="00CF6765">
        <w:rPr>
          <w:sz w:val="16"/>
          <w:szCs w:val="16"/>
          <w:lang w:val="en-US"/>
        </w:rPr>
        <w:t xml:space="preserve">f. 4464, Criminal complaint filed by Blanca Margarita Tapia </w:t>
      </w:r>
      <w:proofErr w:type="spellStart"/>
      <w:r w:rsidRPr="00CF6765">
        <w:rPr>
          <w:sz w:val="16"/>
          <w:szCs w:val="16"/>
          <w:lang w:val="en-US"/>
        </w:rPr>
        <w:t>Encina</w:t>
      </w:r>
      <w:proofErr w:type="spellEnd"/>
      <w:r w:rsidRPr="00CF6765">
        <w:rPr>
          <w:sz w:val="16"/>
          <w:szCs w:val="16"/>
          <w:lang w:val="en-US"/>
        </w:rPr>
        <w:t xml:space="preserve"> and </w:t>
      </w:r>
      <w:proofErr w:type="spellStart"/>
      <w:r w:rsidRPr="00CF6765">
        <w:rPr>
          <w:sz w:val="16"/>
          <w:szCs w:val="16"/>
          <w:lang w:val="en-US"/>
        </w:rPr>
        <w:t>Cesia</w:t>
      </w:r>
      <w:proofErr w:type="spellEnd"/>
      <w:r w:rsidRPr="00CF6765">
        <w:rPr>
          <w:sz w:val="16"/>
          <w:szCs w:val="16"/>
          <w:lang w:val="en-US"/>
        </w:rPr>
        <w:t xml:space="preserve"> Leila Poblete Tapia before the First Civil Court on November 12, 2001 (evidence file, annex 6 to the Merits Report, f. 29), and Affidavit made by Alejandra Marcela Fuentes Poblete on October 6, 2017, </w:t>
      </w:r>
      <w:r w:rsidRPr="00CF6765">
        <w:rPr>
          <w:i/>
          <w:sz w:val="16"/>
          <w:szCs w:val="16"/>
          <w:lang w:val="en-US"/>
        </w:rPr>
        <w:t>supra</w:t>
      </w:r>
      <w:r w:rsidRPr="00CF6765">
        <w:rPr>
          <w:sz w:val="16"/>
          <w:szCs w:val="16"/>
          <w:lang w:val="en-US"/>
        </w:rPr>
        <w:t xml:space="preserve"> (merits file, f. 4471). </w:t>
      </w:r>
    </w:p>
  </w:footnote>
  <w:footnote w:id="38">
    <w:p w14:paraId="58E4F824" w14:textId="550380D5" w:rsidR="003558F5" w:rsidRPr="00CF6765" w:rsidRDefault="003558F5" w:rsidP="00450250">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Regarding the level of “unconsciousness” and/or “disorientation” of Mr. Poblete </w:t>
      </w:r>
      <w:proofErr w:type="spellStart"/>
      <w:r w:rsidRPr="00CF6765">
        <w:rPr>
          <w:sz w:val="16"/>
          <w:szCs w:val="16"/>
          <w:lang w:val="en-US"/>
        </w:rPr>
        <w:t>Vilches</w:t>
      </w:r>
      <w:proofErr w:type="spellEnd"/>
      <w:r w:rsidRPr="00CF6765">
        <w:rPr>
          <w:sz w:val="16"/>
          <w:szCs w:val="16"/>
          <w:lang w:val="en-US"/>
        </w:rPr>
        <w:t xml:space="preserve"> prior to the said surgical procedure,</w:t>
      </w:r>
      <w:r w:rsidRPr="00CF6765">
        <w:rPr>
          <w:rFonts w:ascii="Arial" w:hAnsi="Arial" w:cs="Arial"/>
          <w:sz w:val="24"/>
          <w:szCs w:val="24"/>
          <w:lang w:val="en-US"/>
        </w:rPr>
        <w:t xml:space="preserve"> </w:t>
      </w:r>
      <w:r w:rsidRPr="00CF6765">
        <w:rPr>
          <w:i/>
          <w:sz w:val="16"/>
          <w:szCs w:val="16"/>
          <w:lang w:val="en-US"/>
        </w:rPr>
        <w:t xml:space="preserve">cf. </w:t>
      </w:r>
      <w:r w:rsidRPr="00CF6765">
        <w:rPr>
          <w:sz w:val="16"/>
          <w:szCs w:val="16"/>
          <w:lang w:val="en-US"/>
        </w:rPr>
        <w:t xml:space="preserve">Medical report of April 19, 2006, signed by Dr. Jorge Godoy Gallardo, Head of the Critical Patients Unit, on the admission of Vinicio Poblete </w:t>
      </w:r>
      <w:proofErr w:type="spellStart"/>
      <w:r w:rsidRPr="00CF6765">
        <w:rPr>
          <w:sz w:val="16"/>
          <w:szCs w:val="16"/>
          <w:lang w:val="en-US"/>
        </w:rPr>
        <w:t>Vilches</w:t>
      </w:r>
      <w:proofErr w:type="spellEnd"/>
      <w:r w:rsidRPr="00CF6765">
        <w:rPr>
          <w:sz w:val="16"/>
          <w:szCs w:val="16"/>
          <w:lang w:val="en-US"/>
        </w:rPr>
        <w:t xml:space="preserve"> to the </w:t>
      </w:r>
      <w:proofErr w:type="spellStart"/>
      <w:r w:rsidRPr="00CF6765">
        <w:rPr>
          <w:sz w:val="16"/>
          <w:szCs w:val="16"/>
          <w:lang w:val="en-US"/>
        </w:rPr>
        <w:t>Sótero</w:t>
      </w:r>
      <w:proofErr w:type="spellEnd"/>
      <w:r w:rsidRPr="00CF6765">
        <w:rPr>
          <w:sz w:val="16"/>
          <w:szCs w:val="16"/>
          <w:lang w:val="en-US"/>
        </w:rPr>
        <w:t xml:space="preserve"> del Río Hospital on January 17, 2001. Document attached to Confidential communication No. 026/09, </w:t>
      </w:r>
      <w:r w:rsidRPr="00CF6765">
        <w:rPr>
          <w:i/>
          <w:sz w:val="16"/>
          <w:szCs w:val="16"/>
          <w:lang w:val="en-US"/>
        </w:rPr>
        <w:t xml:space="preserve">supra </w:t>
      </w:r>
      <w:r w:rsidRPr="00CF6765">
        <w:rPr>
          <w:sz w:val="16"/>
          <w:szCs w:val="16"/>
          <w:lang w:val="en-US"/>
        </w:rPr>
        <w:t>(merits file,</w:t>
      </w:r>
      <w:r w:rsidRPr="00CF6765">
        <w:rPr>
          <w:i/>
          <w:sz w:val="16"/>
          <w:szCs w:val="16"/>
          <w:lang w:val="en-US"/>
        </w:rPr>
        <w:t xml:space="preserve"> </w:t>
      </w:r>
      <w:r w:rsidRPr="00CF6765">
        <w:rPr>
          <w:sz w:val="16"/>
          <w:szCs w:val="16"/>
          <w:lang w:val="en-US"/>
        </w:rPr>
        <w:t xml:space="preserve">ff. 1110 and 1111). Regarding Mr. Poblete </w:t>
      </w:r>
      <w:proofErr w:type="spellStart"/>
      <w:r w:rsidRPr="00CF6765">
        <w:rPr>
          <w:sz w:val="16"/>
          <w:szCs w:val="16"/>
          <w:lang w:val="en-US"/>
        </w:rPr>
        <w:t>Vilches’s</w:t>
      </w:r>
      <w:proofErr w:type="spellEnd"/>
      <w:r w:rsidRPr="00CF6765">
        <w:rPr>
          <w:sz w:val="16"/>
          <w:szCs w:val="16"/>
          <w:lang w:val="en-US"/>
        </w:rPr>
        <w:t xml:space="preserve"> condition when he underwent the said procedure, the report states: “[…] Patient 76 years of age […]. History of: Diabetes Mellitus, Arterial hypertension and cardiac arrhythmia, admitted to the hospital due to respiratory distress. […] Connected to a mechanical ventilator until 20/01/01. […] Transferred to Medicine on 22/01/01 in stable conditions, monitored, disoriented but cooperating. During his time in Medicine an echocardiogram was carried out that showed moderate pericardial effusion. It was decided to perform a surgical drainage of his pericardial effusion and he was therefore asked for his informed consent. The procedure was carried out on 26/01, performing a </w:t>
      </w:r>
      <w:proofErr w:type="spellStart"/>
      <w:r w:rsidRPr="00CF6765">
        <w:rPr>
          <w:sz w:val="16"/>
          <w:szCs w:val="16"/>
          <w:lang w:val="en-US"/>
        </w:rPr>
        <w:t>videothorascopic</w:t>
      </w:r>
      <w:proofErr w:type="spellEnd"/>
      <w:r w:rsidRPr="00CF6765">
        <w:rPr>
          <w:sz w:val="16"/>
          <w:szCs w:val="16"/>
          <w:lang w:val="en-US"/>
        </w:rPr>
        <w:t xml:space="preserve"> pericardial window […].” </w:t>
      </w:r>
      <w:r w:rsidRPr="00CF6765">
        <w:rPr>
          <w:i/>
          <w:sz w:val="16"/>
          <w:szCs w:val="16"/>
          <w:lang w:val="en-US"/>
        </w:rPr>
        <w:t xml:space="preserve">Cf. </w:t>
      </w:r>
      <w:r w:rsidRPr="00CF6765">
        <w:rPr>
          <w:sz w:val="16"/>
          <w:szCs w:val="16"/>
          <w:lang w:val="en-US"/>
        </w:rPr>
        <w:t xml:space="preserve">Statement made by Javier Alejandro Santos before the Court during the public hearing of October 19, 2017 (transcript of the public hearing on merits, and eventual reparations and costs; October 19, 2017, pp. 50 and 51). </w:t>
      </w:r>
    </w:p>
  </w:footnote>
  <w:footnote w:id="39">
    <w:p w14:paraId="63107556" w14:textId="65D3384A" w:rsidR="003558F5" w:rsidRPr="00CF6765" w:rsidRDefault="003558F5" w:rsidP="00450250">
      <w:pPr>
        <w:pStyle w:val="Textonotapie"/>
        <w:spacing w:after="60"/>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Medical record of Vinicio Antonio Poblete Tapia (evidence file, annex 8 of the Merits Report, f. 79).</w:t>
      </w:r>
    </w:p>
  </w:footnote>
  <w:footnote w:id="40">
    <w:p w14:paraId="0972528A" w14:textId="73236D0F" w:rsidR="003558F5" w:rsidRPr="00CF6765" w:rsidRDefault="003558F5" w:rsidP="00450250">
      <w:pPr>
        <w:pStyle w:val="Textonotapie"/>
        <w:spacing w:after="60"/>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 xml:space="preserve">Private </w:t>
      </w:r>
      <w:r w:rsidRPr="00CF6765">
        <w:rPr>
          <w:rFonts w:eastAsia="Calibri"/>
          <w:sz w:val="16"/>
          <w:szCs w:val="16"/>
          <w:lang w:val="en-US"/>
        </w:rPr>
        <w:t xml:space="preserve">report on the handwriting analysis signed by the expert </w:t>
      </w:r>
      <w:r w:rsidRPr="00CF6765">
        <w:rPr>
          <w:sz w:val="16"/>
          <w:szCs w:val="16"/>
          <w:lang w:val="en-US"/>
        </w:rPr>
        <w:t>José María Buitrago, National Public Calligrapher, dated December 26, 2016 (evidence file, annex 13 of the pleadings and motions brief, f. 3225)</w:t>
      </w:r>
    </w:p>
  </w:footnote>
  <w:footnote w:id="41">
    <w:p w14:paraId="01D53A00" w14:textId="13A6D82D" w:rsidR="003558F5" w:rsidRPr="00CF6765" w:rsidRDefault="003558F5" w:rsidP="00450250">
      <w:pPr>
        <w:pStyle w:val="Textonotapie"/>
        <w:spacing w:after="60"/>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In this regard, in its answering brief, the State acknowledged that the supposed consent by the family members in the medical file “[…] raises doubts about the way it was obtained and its authenticity” (merits file, ff. 380 and 381).</w:t>
      </w:r>
    </w:p>
  </w:footnote>
  <w:footnote w:id="42">
    <w:p w14:paraId="6C1EB883" w14:textId="02C0016E" w:rsidR="003558F5" w:rsidRPr="00CF6765" w:rsidRDefault="003558F5" w:rsidP="00450250">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Statement made by Vinicio Marco Antonio Poblete Tapia before the Court during the public hearing of October 19, 2017, </w:t>
      </w:r>
      <w:r w:rsidRPr="00CF6765">
        <w:rPr>
          <w:i/>
          <w:sz w:val="16"/>
          <w:szCs w:val="16"/>
          <w:lang w:val="en-US"/>
        </w:rPr>
        <w:t>supra</w:t>
      </w:r>
      <w:r w:rsidRPr="00CF6765">
        <w:rPr>
          <w:sz w:val="16"/>
          <w:szCs w:val="16"/>
          <w:lang w:val="en-US"/>
        </w:rPr>
        <w:t>, pp. 5 and 14</w:t>
      </w:r>
      <w:r w:rsidRPr="00CF6765">
        <w:rPr>
          <w:i/>
          <w:sz w:val="16"/>
          <w:szCs w:val="16"/>
          <w:lang w:val="en-US"/>
        </w:rPr>
        <w:t xml:space="preserve">, </w:t>
      </w:r>
      <w:r w:rsidRPr="00CF6765">
        <w:rPr>
          <w:sz w:val="16"/>
          <w:szCs w:val="16"/>
          <w:lang w:val="en-US"/>
        </w:rPr>
        <w:t xml:space="preserve">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w:t>
      </w:r>
      <w:r w:rsidRPr="00CF6765">
        <w:rPr>
          <w:i/>
          <w:sz w:val="16"/>
          <w:szCs w:val="16"/>
          <w:lang w:val="en-US"/>
        </w:rPr>
        <w:t>supra,</w:t>
      </w:r>
      <w:r w:rsidRPr="00CF6765">
        <w:rPr>
          <w:sz w:val="16"/>
          <w:szCs w:val="16"/>
          <w:lang w:val="en-US"/>
        </w:rPr>
        <w:t xml:space="preserve"> (evidence file,  ff. 4464 and 4465), and Affidavit made by Alejandra Marcela Fuentes Poblete on October 6, 2017 (evidence file ff. 4471 and 4472). </w:t>
      </w:r>
    </w:p>
  </w:footnote>
  <w:footnote w:id="43">
    <w:p w14:paraId="7199615D" w14:textId="7235361A" w:rsidR="003558F5" w:rsidRPr="00CF6765" w:rsidRDefault="003558F5" w:rsidP="00450250">
      <w:pPr>
        <w:pStyle w:val="Textonotapie"/>
        <w:spacing w:after="60"/>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Statement made by Vinicio Marco Antonio Poblete Tapia before the Court during the public hearing of October 19, 2017,</w:t>
      </w:r>
      <w:r w:rsidRPr="00CF6765">
        <w:rPr>
          <w:i/>
          <w:sz w:val="16"/>
          <w:szCs w:val="16"/>
          <w:lang w:val="en-US"/>
        </w:rPr>
        <w:t xml:space="preserve"> supra, </w:t>
      </w:r>
      <w:r w:rsidRPr="00CF6765">
        <w:rPr>
          <w:sz w:val="16"/>
          <w:szCs w:val="16"/>
          <w:lang w:val="en-US"/>
        </w:rPr>
        <w:t>pp. 5, 8 and 14,</w:t>
      </w:r>
      <w:r w:rsidRPr="00CF6765">
        <w:rPr>
          <w:i/>
          <w:sz w:val="16"/>
          <w:szCs w:val="16"/>
          <w:lang w:val="en-US"/>
        </w:rPr>
        <w:t xml:space="preserve"> </w:t>
      </w:r>
      <w:r w:rsidRPr="00CF6765">
        <w:rPr>
          <w:sz w:val="16"/>
          <w:szCs w:val="16"/>
          <w:lang w:val="en-US"/>
        </w:rPr>
        <w:t xml:space="preserve">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w:t>
      </w:r>
      <w:r w:rsidRPr="00CF6765">
        <w:rPr>
          <w:i/>
          <w:sz w:val="16"/>
          <w:szCs w:val="16"/>
          <w:lang w:val="en-US"/>
        </w:rPr>
        <w:t>supra</w:t>
      </w:r>
      <w:r w:rsidRPr="00CF6765">
        <w:rPr>
          <w:sz w:val="16"/>
          <w:szCs w:val="16"/>
          <w:lang w:val="en-US"/>
        </w:rPr>
        <w:t xml:space="preserve"> (evidence file, f. 4465), and Affidavit made by Alejandra Marcela Fuentes Poblete on October 6, 2017, </w:t>
      </w:r>
      <w:r w:rsidRPr="00CF6765">
        <w:rPr>
          <w:i/>
          <w:sz w:val="16"/>
          <w:szCs w:val="16"/>
          <w:lang w:val="en-US"/>
        </w:rPr>
        <w:t>supra</w:t>
      </w:r>
      <w:r w:rsidRPr="00CF6765">
        <w:rPr>
          <w:sz w:val="16"/>
          <w:szCs w:val="16"/>
          <w:lang w:val="en-US"/>
        </w:rPr>
        <w:t xml:space="preserve"> (evidence file f. 4472).</w:t>
      </w:r>
    </w:p>
  </w:footnote>
  <w:footnote w:id="44">
    <w:p w14:paraId="24393395" w14:textId="23ECA6F1" w:rsidR="003558F5" w:rsidRPr="00CF6765" w:rsidRDefault="003558F5" w:rsidP="004A4CC9">
      <w:pPr>
        <w:pStyle w:val="Textonotapie"/>
        <w:spacing w:after="60"/>
        <w:ind w:right="-77"/>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Statement made by Vinicio Marco Antonio Poblete Tapia before the Court during the public hearing of October 19, 2017,</w:t>
      </w:r>
      <w:r w:rsidRPr="00CF6765">
        <w:rPr>
          <w:i/>
          <w:sz w:val="16"/>
          <w:szCs w:val="16"/>
          <w:lang w:val="en-US"/>
        </w:rPr>
        <w:t xml:space="preserve"> supra, </w:t>
      </w:r>
      <w:r w:rsidRPr="00CF6765">
        <w:rPr>
          <w:sz w:val="16"/>
          <w:szCs w:val="16"/>
          <w:lang w:val="en-US"/>
        </w:rPr>
        <w:t>pp. 2 and 5,</w:t>
      </w:r>
      <w:r w:rsidRPr="00CF6765">
        <w:rPr>
          <w:i/>
          <w:sz w:val="16"/>
          <w:szCs w:val="16"/>
          <w:lang w:val="en-US"/>
        </w:rPr>
        <w:t xml:space="preserve"> </w:t>
      </w:r>
      <w:r w:rsidRPr="00CF6765">
        <w:rPr>
          <w:sz w:val="16"/>
          <w:szCs w:val="16"/>
          <w:lang w:val="en-US"/>
        </w:rPr>
        <w:t xml:space="preserve">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w:t>
      </w:r>
      <w:r w:rsidRPr="00CF6765">
        <w:rPr>
          <w:i/>
          <w:sz w:val="16"/>
          <w:szCs w:val="16"/>
          <w:lang w:val="en-US"/>
        </w:rPr>
        <w:t xml:space="preserve">supra, </w:t>
      </w:r>
      <w:r w:rsidRPr="00CF6765">
        <w:rPr>
          <w:sz w:val="16"/>
          <w:szCs w:val="16"/>
          <w:lang w:val="en-US"/>
        </w:rPr>
        <w:t xml:space="preserve">f. 4465, and Affidavit made by Alejandra Marcela Fuentes Poblete on October 6, 2017, </w:t>
      </w:r>
      <w:r w:rsidRPr="00CF6765">
        <w:rPr>
          <w:i/>
          <w:sz w:val="16"/>
          <w:szCs w:val="16"/>
          <w:lang w:val="en-US"/>
        </w:rPr>
        <w:t>supra</w:t>
      </w:r>
      <w:r w:rsidRPr="00CF6765">
        <w:rPr>
          <w:sz w:val="16"/>
          <w:szCs w:val="16"/>
          <w:lang w:val="en-US"/>
        </w:rPr>
        <w:t>, f. 4471.</w:t>
      </w:r>
    </w:p>
  </w:footnote>
  <w:footnote w:id="45">
    <w:p w14:paraId="417CAC47" w14:textId="7145254C" w:rsidR="003558F5" w:rsidRPr="00CF6765" w:rsidRDefault="003558F5" w:rsidP="004A4CC9">
      <w:pPr>
        <w:pStyle w:val="Textonotapie"/>
        <w:spacing w:after="60"/>
        <w:ind w:right="-77"/>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 xml:space="preserve">Affidavit made by Sandra Castillo </w:t>
      </w:r>
      <w:proofErr w:type="spellStart"/>
      <w:r w:rsidRPr="00CF6765">
        <w:rPr>
          <w:sz w:val="16"/>
          <w:szCs w:val="16"/>
          <w:lang w:val="en-US"/>
        </w:rPr>
        <w:t>Montufar</w:t>
      </w:r>
      <w:proofErr w:type="spellEnd"/>
      <w:r w:rsidRPr="00CF6765">
        <w:rPr>
          <w:sz w:val="16"/>
          <w:szCs w:val="16"/>
          <w:lang w:val="en-US"/>
        </w:rPr>
        <w:t xml:space="preserve"> on October 11, 2017, </w:t>
      </w:r>
      <w:r w:rsidRPr="00CF6765">
        <w:rPr>
          <w:i/>
          <w:sz w:val="16"/>
          <w:szCs w:val="16"/>
          <w:lang w:val="en-US"/>
        </w:rPr>
        <w:t>supra</w:t>
      </w:r>
      <w:r w:rsidRPr="00CF6765">
        <w:rPr>
          <w:sz w:val="16"/>
          <w:szCs w:val="16"/>
          <w:lang w:val="en-US"/>
        </w:rPr>
        <w:t xml:space="preserve"> (evidence file,</w:t>
      </w:r>
      <w:r w:rsidRPr="00CF6765">
        <w:rPr>
          <w:i/>
          <w:sz w:val="16"/>
          <w:szCs w:val="16"/>
          <w:lang w:val="en-US"/>
        </w:rPr>
        <w:t xml:space="preserve"> </w:t>
      </w:r>
      <w:r w:rsidRPr="00CF6765">
        <w:rPr>
          <w:sz w:val="16"/>
          <w:szCs w:val="16"/>
          <w:lang w:val="en-US"/>
        </w:rPr>
        <w:t xml:space="preserve">f. 4475). </w:t>
      </w:r>
      <w:r w:rsidRPr="00CF6765">
        <w:rPr>
          <w:i/>
          <w:sz w:val="16"/>
          <w:szCs w:val="16"/>
          <w:lang w:val="en-US"/>
        </w:rPr>
        <w:t xml:space="preserve">Cf. </w:t>
      </w:r>
      <w:r w:rsidRPr="00CF6765">
        <w:rPr>
          <w:sz w:val="16"/>
          <w:szCs w:val="16"/>
          <w:lang w:val="en-US"/>
        </w:rPr>
        <w:t xml:space="preserve">Statement made by Vinicio Marco Antonio Poblete Tapia before the Court during the public hearing of October 19, 2017, </w:t>
      </w:r>
      <w:r w:rsidRPr="00CF6765">
        <w:rPr>
          <w:i/>
          <w:sz w:val="16"/>
          <w:szCs w:val="16"/>
          <w:lang w:val="en-US"/>
        </w:rPr>
        <w:t>supra</w:t>
      </w:r>
      <w:r w:rsidRPr="00CF6765">
        <w:rPr>
          <w:sz w:val="16"/>
          <w:szCs w:val="16"/>
          <w:lang w:val="en-US"/>
        </w:rPr>
        <w:t xml:space="preserve">, p. 16, and Affidavit made by Alejandra Marcela Fuentes Poblete on October 6, 2017, </w:t>
      </w:r>
      <w:r w:rsidRPr="00CF6765">
        <w:rPr>
          <w:i/>
          <w:sz w:val="16"/>
          <w:szCs w:val="16"/>
          <w:lang w:val="en-US"/>
        </w:rPr>
        <w:t>supra</w:t>
      </w:r>
      <w:r w:rsidRPr="00CF6765">
        <w:rPr>
          <w:sz w:val="16"/>
          <w:szCs w:val="16"/>
          <w:lang w:val="en-US"/>
        </w:rPr>
        <w:t xml:space="preserve"> (evidence file, f. 4472).</w:t>
      </w:r>
    </w:p>
  </w:footnote>
  <w:footnote w:id="46">
    <w:p w14:paraId="66E9EEC4" w14:textId="53257DE1" w:rsidR="003558F5" w:rsidRPr="00CF6765" w:rsidRDefault="003558F5" w:rsidP="004A4CC9">
      <w:pPr>
        <w:pStyle w:val="Textonotapie"/>
        <w:spacing w:after="60"/>
        <w:ind w:right="-77"/>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 xml:space="preserve">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(evidence file affidavits, folio 4466). </w:t>
      </w:r>
    </w:p>
  </w:footnote>
  <w:footnote w:id="47">
    <w:p w14:paraId="54D22CEC" w14:textId="1795629B" w:rsidR="003558F5" w:rsidRPr="00CF6765" w:rsidRDefault="003558F5" w:rsidP="004A4CC9">
      <w:pPr>
        <w:pStyle w:val="Textonotapie"/>
        <w:spacing w:after="60"/>
        <w:ind w:right="-77"/>
        <w:rPr>
          <w:i/>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 xml:space="preserve">Medical record of Vinicio Poblete </w:t>
      </w:r>
      <w:proofErr w:type="spellStart"/>
      <w:r w:rsidRPr="00CF6765">
        <w:rPr>
          <w:sz w:val="16"/>
          <w:szCs w:val="16"/>
          <w:lang w:val="en-US"/>
        </w:rPr>
        <w:t>Vilches</w:t>
      </w:r>
      <w:proofErr w:type="spellEnd"/>
      <w:r w:rsidRPr="00CF6765">
        <w:rPr>
          <w:sz w:val="16"/>
          <w:szCs w:val="16"/>
          <w:lang w:val="en-US"/>
        </w:rPr>
        <w:t xml:space="preserve"> for February 6, 2001 (evidence file, f. 815). </w:t>
      </w:r>
    </w:p>
  </w:footnote>
  <w:footnote w:id="48">
    <w:p w14:paraId="1E123E5E" w14:textId="6382ACD2" w:rsidR="003558F5" w:rsidRPr="00CF6765" w:rsidRDefault="003558F5" w:rsidP="004A4CC9">
      <w:pPr>
        <w:pStyle w:val="Textonotapie"/>
        <w:spacing w:after="60"/>
        <w:ind w:right="-77"/>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Statement made by Vinicio Marco Antonio Poblete Tapia before the Court during the public hearing of October 19, 2017, </w:t>
      </w:r>
      <w:r w:rsidRPr="00CF6765">
        <w:rPr>
          <w:i/>
          <w:sz w:val="16"/>
          <w:szCs w:val="16"/>
          <w:lang w:val="en-US"/>
        </w:rPr>
        <w:t>supra</w:t>
      </w:r>
      <w:r w:rsidRPr="00CF6765">
        <w:rPr>
          <w:sz w:val="16"/>
          <w:szCs w:val="16"/>
          <w:lang w:val="en-US"/>
        </w:rPr>
        <w:t xml:space="preserve">, p. 5, and 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w:t>
      </w:r>
      <w:r w:rsidRPr="00CF6765">
        <w:rPr>
          <w:i/>
          <w:sz w:val="16"/>
          <w:szCs w:val="16"/>
          <w:lang w:val="en-US"/>
        </w:rPr>
        <w:t xml:space="preserve"> supra, </w:t>
      </w:r>
      <w:r w:rsidRPr="00CF6765">
        <w:rPr>
          <w:sz w:val="16"/>
          <w:szCs w:val="16"/>
          <w:lang w:val="en-US"/>
        </w:rPr>
        <w:t xml:space="preserve">f. 4466.   </w:t>
      </w:r>
    </w:p>
  </w:footnote>
  <w:footnote w:id="49">
    <w:p w14:paraId="3CEF4D74" w14:textId="58495D04" w:rsidR="003558F5" w:rsidRPr="00CF6765" w:rsidRDefault="003558F5" w:rsidP="004A4CC9">
      <w:pPr>
        <w:pStyle w:val="Textonotapie"/>
        <w:spacing w:after="60"/>
        <w:ind w:right="-77"/>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Statement made by Vinicio Marco Antonio Poblete Tapia on April 6, 2006, before the First Criminal Court (evidence file, annex 4 of the Merits Report, f. 570).</w:t>
      </w:r>
    </w:p>
  </w:footnote>
  <w:footnote w:id="50">
    <w:p w14:paraId="437B228C" w14:textId="58F49EC9"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w:t>
      </w:r>
      <w:r w:rsidRPr="00CF6765">
        <w:rPr>
          <w:i/>
          <w:sz w:val="16"/>
          <w:szCs w:val="16"/>
          <w:lang w:val="en-US"/>
        </w:rPr>
        <w:t>supra</w:t>
      </w:r>
      <w:r w:rsidRPr="00CF6765">
        <w:rPr>
          <w:sz w:val="16"/>
          <w:szCs w:val="16"/>
          <w:lang w:val="en-US"/>
        </w:rPr>
        <w:t xml:space="preserve"> (evidence file, f. 4466). </w:t>
      </w:r>
    </w:p>
  </w:footnote>
  <w:footnote w:id="51">
    <w:p w14:paraId="65E932AB" w14:textId="7D261712"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w:t>
      </w:r>
      <w:r w:rsidRPr="00CF6765">
        <w:rPr>
          <w:i/>
          <w:sz w:val="16"/>
          <w:szCs w:val="16"/>
          <w:lang w:val="en-US"/>
        </w:rPr>
        <w:t>supra</w:t>
      </w:r>
      <w:r w:rsidRPr="00CF6765">
        <w:rPr>
          <w:sz w:val="16"/>
          <w:szCs w:val="16"/>
          <w:lang w:val="en-US"/>
        </w:rPr>
        <w:t>, f. 4466, and Statement made by Vinicio Marco Antonio Poblete Tapia before the Court during the public hearing of October 19, 2017,</w:t>
      </w:r>
      <w:r w:rsidRPr="00CF6765">
        <w:rPr>
          <w:i/>
          <w:sz w:val="16"/>
          <w:szCs w:val="16"/>
          <w:lang w:val="en-US"/>
        </w:rPr>
        <w:t xml:space="preserve"> supra, </w:t>
      </w:r>
      <w:r w:rsidRPr="00CF6765">
        <w:rPr>
          <w:sz w:val="16"/>
          <w:szCs w:val="16"/>
          <w:lang w:val="en-US"/>
        </w:rPr>
        <w:t>p. 5.</w:t>
      </w:r>
    </w:p>
  </w:footnote>
  <w:footnote w:id="52">
    <w:p w14:paraId="3E49B3D8" w14:textId="4E404E60"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 xml:space="preserve">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w:t>
      </w:r>
      <w:r w:rsidRPr="00CF6765">
        <w:rPr>
          <w:i/>
          <w:sz w:val="16"/>
          <w:szCs w:val="16"/>
          <w:lang w:val="en-US"/>
        </w:rPr>
        <w:t>supra</w:t>
      </w:r>
      <w:r w:rsidRPr="00CF6765">
        <w:rPr>
          <w:sz w:val="16"/>
          <w:szCs w:val="16"/>
          <w:lang w:val="en-US"/>
        </w:rPr>
        <w:t xml:space="preserve">, ff. 4466 and 4467. </w:t>
      </w:r>
      <w:r w:rsidRPr="00CF6765">
        <w:rPr>
          <w:i/>
          <w:sz w:val="16"/>
          <w:szCs w:val="16"/>
          <w:lang w:val="en-US"/>
        </w:rPr>
        <w:t>Cf.</w:t>
      </w:r>
      <w:r w:rsidRPr="00CF6765">
        <w:rPr>
          <w:sz w:val="16"/>
          <w:szCs w:val="16"/>
          <w:lang w:val="en-US"/>
        </w:rPr>
        <w:t xml:space="preserve"> Statement made by Vinicio Marco Antonio Poblete Tapia before the Court during the public hearing of October 19, 2017,</w:t>
      </w:r>
      <w:r w:rsidRPr="00CF6765">
        <w:rPr>
          <w:i/>
          <w:sz w:val="16"/>
          <w:szCs w:val="16"/>
          <w:lang w:val="en-US"/>
        </w:rPr>
        <w:t xml:space="preserve"> supra, </w:t>
      </w:r>
      <w:r w:rsidRPr="00CF6765">
        <w:rPr>
          <w:sz w:val="16"/>
          <w:szCs w:val="16"/>
          <w:lang w:val="en-US"/>
        </w:rPr>
        <w:t>p. 5.</w:t>
      </w:r>
    </w:p>
  </w:footnote>
  <w:footnote w:id="53">
    <w:p w14:paraId="2C854AA0" w14:textId="667F6D4E"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ff. 4466 and 4467. </w:t>
      </w:r>
      <w:r w:rsidRPr="00CF6765">
        <w:rPr>
          <w:i/>
          <w:sz w:val="16"/>
          <w:szCs w:val="16"/>
          <w:lang w:val="en-US"/>
        </w:rPr>
        <w:t>Cf.</w:t>
      </w:r>
      <w:r w:rsidRPr="00CF6765">
        <w:rPr>
          <w:sz w:val="16"/>
          <w:szCs w:val="16"/>
          <w:lang w:val="en-US"/>
        </w:rPr>
        <w:t xml:space="preserve"> Statement made by Vinicio Marco Antonio Poblete Tapia before the Court during the public hearing of October 19, 2017, p. 5.</w:t>
      </w:r>
    </w:p>
  </w:footnote>
  <w:footnote w:id="54">
    <w:p w14:paraId="108C97D9" w14:textId="242965FC"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 xml:space="preserve">Medical record of Vinicio Poblete </w:t>
      </w:r>
      <w:proofErr w:type="spellStart"/>
      <w:r w:rsidRPr="00CF6765">
        <w:rPr>
          <w:sz w:val="16"/>
          <w:szCs w:val="16"/>
          <w:lang w:val="en-US"/>
        </w:rPr>
        <w:t>Vilches</w:t>
      </w:r>
      <w:proofErr w:type="spellEnd"/>
      <w:r w:rsidRPr="00CF6765">
        <w:rPr>
          <w:sz w:val="16"/>
          <w:szCs w:val="16"/>
          <w:lang w:val="en-US"/>
        </w:rPr>
        <w:t xml:space="preserve">. Document attached to confidential communication No. 026/09, </w:t>
      </w:r>
      <w:r w:rsidRPr="00CF6765">
        <w:rPr>
          <w:i/>
          <w:sz w:val="16"/>
          <w:szCs w:val="16"/>
          <w:lang w:val="en-US"/>
        </w:rPr>
        <w:t xml:space="preserve">supra </w:t>
      </w:r>
      <w:r w:rsidRPr="00CF6765">
        <w:rPr>
          <w:sz w:val="16"/>
          <w:szCs w:val="16"/>
          <w:lang w:val="en-US"/>
        </w:rPr>
        <w:t>(merits file,</w:t>
      </w:r>
      <w:r w:rsidRPr="00CF6765">
        <w:rPr>
          <w:i/>
          <w:sz w:val="16"/>
          <w:szCs w:val="16"/>
          <w:lang w:val="en-US"/>
        </w:rPr>
        <w:t xml:space="preserve"> </w:t>
      </w:r>
      <w:r w:rsidRPr="00CF6765">
        <w:rPr>
          <w:sz w:val="16"/>
          <w:szCs w:val="16"/>
          <w:lang w:val="en-US"/>
        </w:rPr>
        <w:t xml:space="preserve">f. 1313). </w:t>
      </w:r>
    </w:p>
  </w:footnote>
  <w:footnote w:id="55">
    <w:p w14:paraId="7CAA0A63" w14:textId="08DCA4E3" w:rsidR="003558F5" w:rsidRPr="00CF6765" w:rsidRDefault="003558F5" w:rsidP="00450250">
      <w:pPr>
        <w:pStyle w:val="Textonotapie"/>
        <w:spacing w:after="60"/>
        <w:ind w:right="13"/>
        <w:rPr>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 xml:space="preserve">Communication No. [illegible] of Dr. Fernando </w:t>
      </w:r>
      <w:proofErr w:type="spellStart"/>
      <w:r w:rsidRPr="00CF6765">
        <w:rPr>
          <w:sz w:val="16"/>
          <w:szCs w:val="16"/>
          <w:lang w:val="en-US"/>
        </w:rPr>
        <w:t>Betanza</w:t>
      </w:r>
      <w:proofErr w:type="spellEnd"/>
      <w:r w:rsidRPr="00CF6765">
        <w:rPr>
          <w:sz w:val="16"/>
          <w:szCs w:val="16"/>
          <w:lang w:val="en-US"/>
        </w:rPr>
        <w:t xml:space="preserve"> </w:t>
      </w:r>
      <w:proofErr w:type="spellStart"/>
      <w:r w:rsidRPr="00CF6765">
        <w:rPr>
          <w:sz w:val="16"/>
          <w:szCs w:val="16"/>
          <w:lang w:val="en-US"/>
        </w:rPr>
        <w:t>Vallejos</w:t>
      </w:r>
      <w:proofErr w:type="spellEnd"/>
      <w:r w:rsidRPr="00CF6765">
        <w:rPr>
          <w:sz w:val="16"/>
          <w:szCs w:val="16"/>
          <w:lang w:val="en-US"/>
        </w:rPr>
        <w:t xml:space="preserve">, Director, Dr. </w:t>
      </w:r>
      <w:proofErr w:type="spellStart"/>
      <w:r w:rsidRPr="00CF6765">
        <w:rPr>
          <w:sz w:val="16"/>
          <w:szCs w:val="16"/>
          <w:lang w:val="en-US"/>
        </w:rPr>
        <w:t>Sótero</w:t>
      </w:r>
      <w:proofErr w:type="spellEnd"/>
      <w:r w:rsidRPr="00CF6765">
        <w:rPr>
          <w:sz w:val="16"/>
          <w:szCs w:val="16"/>
          <w:lang w:val="en-US"/>
        </w:rPr>
        <w:t xml:space="preserve"> del Río Health Complex, “forwarding history of medical care, case of Vinicio Poblete </w:t>
      </w:r>
      <w:proofErr w:type="spellStart"/>
      <w:r w:rsidRPr="00CF6765">
        <w:rPr>
          <w:sz w:val="16"/>
          <w:szCs w:val="16"/>
          <w:lang w:val="en-US"/>
        </w:rPr>
        <w:t>Vilches</w:t>
      </w:r>
      <w:proofErr w:type="spellEnd"/>
      <w:r w:rsidRPr="00CF6765">
        <w:rPr>
          <w:sz w:val="16"/>
          <w:szCs w:val="16"/>
          <w:lang w:val="en-US"/>
        </w:rPr>
        <w:t xml:space="preserve">,” and addressed to the Ministry of Health of the Government of Chile. September 1, 2009 (merits file, ff. 1119 and 1120). </w:t>
      </w:r>
    </w:p>
  </w:footnote>
  <w:footnote w:id="56">
    <w:p w14:paraId="225D7EC3" w14:textId="717214A7" w:rsidR="003558F5" w:rsidRPr="00CF6765" w:rsidRDefault="003558F5" w:rsidP="004A4CC9">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Forensic report No. 140-2005 issued by the Forensic Medicine Service of the Government of Chile on June 8, 2006 (evidence file, annex 48 of the Merits Report, f. 205).</w:t>
      </w:r>
    </w:p>
  </w:footnote>
  <w:footnote w:id="57">
    <w:p w14:paraId="77D4CFFC" w14:textId="76D81117" w:rsidR="003558F5" w:rsidRPr="00CF6765" w:rsidRDefault="003558F5" w:rsidP="004A4CC9">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 xml:space="preserve">Death certificate of Vinicio Antonio Poblete </w:t>
      </w:r>
      <w:proofErr w:type="spellStart"/>
      <w:r w:rsidRPr="00CF6765">
        <w:rPr>
          <w:sz w:val="16"/>
          <w:szCs w:val="16"/>
          <w:lang w:val="en-US"/>
        </w:rPr>
        <w:t>Vilches</w:t>
      </w:r>
      <w:proofErr w:type="spellEnd"/>
      <w:r w:rsidRPr="00CF6765">
        <w:rPr>
          <w:sz w:val="16"/>
          <w:szCs w:val="16"/>
          <w:lang w:val="en-US"/>
        </w:rPr>
        <w:t xml:space="preserve"> issued by the Chilean Civil Registry Service on March 9, 2001 (evidence file, annex 1 of the Merits Report, f. 7).</w:t>
      </w:r>
    </w:p>
  </w:footnote>
  <w:footnote w:id="58">
    <w:p w14:paraId="3A3BEBE3" w14:textId="48012985" w:rsidR="003558F5" w:rsidRPr="00CF6765" w:rsidRDefault="003558F5" w:rsidP="004A4CC9">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w:t>
      </w:r>
      <w:r w:rsidRPr="00CF6765">
        <w:rPr>
          <w:i/>
          <w:sz w:val="16"/>
          <w:szCs w:val="16"/>
          <w:lang w:val="en-US"/>
        </w:rPr>
        <w:t xml:space="preserve">supra </w:t>
      </w:r>
      <w:r w:rsidRPr="00CF6765">
        <w:rPr>
          <w:sz w:val="16"/>
          <w:szCs w:val="16"/>
          <w:lang w:val="en-US"/>
        </w:rPr>
        <w:t xml:space="preserve">(evidence file, f. 4467), and Statement made by Vinicio Marco Antonio Poblete Tapia before the Court during the public hearing on October 19, 2017, </w:t>
      </w:r>
      <w:r w:rsidRPr="00CF6765">
        <w:rPr>
          <w:i/>
          <w:sz w:val="16"/>
          <w:szCs w:val="16"/>
          <w:lang w:val="en-US"/>
        </w:rPr>
        <w:t xml:space="preserve">supra, </w:t>
      </w:r>
      <w:r w:rsidRPr="00CF6765">
        <w:rPr>
          <w:sz w:val="16"/>
          <w:szCs w:val="16"/>
          <w:lang w:val="en-US"/>
        </w:rPr>
        <w:t xml:space="preserve">p. 5.  </w:t>
      </w:r>
    </w:p>
  </w:footnote>
  <w:footnote w:id="59">
    <w:p w14:paraId="27D5282D" w14:textId="4732F206" w:rsidR="003558F5" w:rsidRPr="00CF6765" w:rsidRDefault="003558F5" w:rsidP="004A4CC9">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Statement made by Vinicio Marco Antonio Poblete Tapia before the First Civil Court of Puente Alto on April 6, 2006, </w:t>
      </w:r>
      <w:r w:rsidRPr="00CF6765">
        <w:rPr>
          <w:i/>
          <w:sz w:val="16"/>
          <w:szCs w:val="16"/>
          <w:lang w:val="en-US"/>
        </w:rPr>
        <w:t xml:space="preserve">supra, </w:t>
      </w:r>
      <w:r w:rsidRPr="00CF6765">
        <w:rPr>
          <w:sz w:val="16"/>
          <w:szCs w:val="16"/>
          <w:lang w:val="en-US"/>
        </w:rPr>
        <w:t>f. 570.</w:t>
      </w:r>
    </w:p>
  </w:footnote>
  <w:footnote w:id="60">
    <w:p w14:paraId="37730F7B" w14:textId="490D9E3F" w:rsidR="003558F5" w:rsidRPr="00CF6765" w:rsidRDefault="003558F5" w:rsidP="004A4CC9">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w:t>
      </w:r>
      <w:r w:rsidRPr="00CF6765">
        <w:rPr>
          <w:i/>
          <w:sz w:val="16"/>
          <w:szCs w:val="16"/>
          <w:lang w:val="en-US"/>
        </w:rPr>
        <w:t xml:space="preserve">supra, </w:t>
      </w:r>
      <w:r w:rsidRPr="00CF6765">
        <w:rPr>
          <w:sz w:val="16"/>
          <w:szCs w:val="16"/>
          <w:lang w:val="en-US"/>
        </w:rPr>
        <w:t xml:space="preserve">f. 4467, Statement made by Vinicio Marco Antonio Poblete Tapia before the First Civil Court of Puente Alto on April 6, 2006, </w:t>
      </w:r>
      <w:r w:rsidRPr="00CF6765">
        <w:rPr>
          <w:i/>
          <w:sz w:val="16"/>
          <w:szCs w:val="16"/>
          <w:lang w:val="en-US"/>
        </w:rPr>
        <w:t xml:space="preserve">supra </w:t>
      </w:r>
      <w:r w:rsidRPr="00CF6765">
        <w:rPr>
          <w:sz w:val="16"/>
          <w:szCs w:val="16"/>
          <w:lang w:val="en-US"/>
        </w:rPr>
        <w:t>(evidence file,</w:t>
      </w:r>
      <w:r w:rsidRPr="00CF6765">
        <w:rPr>
          <w:i/>
          <w:sz w:val="16"/>
          <w:szCs w:val="16"/>
          <w:lang w:val="en-US"/>
        </w:rPr>
        <w:t xml:space="preserve"> </w:t>
      </w:r>
      <w:r w:rsidRPr="00CF6765">
        <w:rPr>
          <w:sz w:val="16"/>
          <w:szCs w:val="16"/>
          <w:lang w:val="en-US"/>
        </w:rPr>
        <w:t xml:space="preserve">f. 570), and Statement made by Vinicio Marco Antonio Poblete Tapia before the Court during the public hearing on October 19, 2017, </w:t>
      </w:r>
      <w:r w:rsidRPr="00CF6765">
        <w:rPr>
          <w:i/>
          <w:sz w:val="16"/>
          <w:szCs w:val="16"/>
          <w:lang w:val="en-US"/>
        </w:rPr>
        <w:t>supra</w:t>
      </w:r>
      <w:r w:rsidRPr="00CF6765">
        <w:rPr>
          <w:sz w:val="16"/>
          <w:szCs w:val="16"/>
          <w:lang w:val="en-US"/>
        </w:rPr>
        <w:t>, p. 17.</w:t>
      </w:r>
    </w:p>
  </w:footnote>
  <w:footnote w:id="61">
    <w:p w14:paraId="54259FF3" w14:textId="480F7588" w:rsidR="003558F5" w:rsidRPr="00CF6765" w:rsidRDefault="003558F5" w:rsidP="004A4CC9">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 </w:t>
      </w:r>
      <w:r w:rsidRPr="00CF6765">
        <w:rPr>
          <w:i/>
          <w:sz w:val="16"/>
          <w:szCs w:val="16"/>
          <w:lang w:val="en-US"/>
        </w:rPr>
        <w:t xml:space="preserve">supra </w:t>
      </w:r>
      <w:r w:rsidRPr="00CF6765">
        <w:rPr>
          <w:sz w:val="16"/>
          <w:szCs w:val="16"/>
          <w:lang w:val="en-US"/>
        </w:rPr>
        <w:t xml:space="preserve">(evidence file, f. 4467), and Affidavit made by Alejandra Marcela Fuentes Poblete on October 6, 2017, </w:t>
      </w:r>
      <w:r w:rsidRPr="00CF6765">
        <w:rPr>
          <w:i/>
          <w:sz w:val="16"/>
          <w:szCs w:val="16"/>
          <w:lang w:val="en-US"/>
        </w:rPr>
        <w:t xml:space="preserve">supra </w:t>
      </w:r>
      <w:r w:rsidRPr="00CF6765">
        <w:rPr>
          <w:sz w:val="16"/>
          <w:szCs w:val="16"/>
          <w:lang w:val="en-US"/>
        </w:rPr>
        <w:t>(evidence file,</w:t>
      </w:r>
      <w:r w:rsidRPr="00CF6765">
        <w:rPr>
          <w:i/>
          <w:sz w:val="16"/>
          <w:szCs w:val="16"/>
          <w:lang w:val="en-US"/>
        </w:rPr>
        <w:t xml:space="preserve"> </w:t>
      </w:r>
      <w:r w:rsidRPr="00CF6765">
        <w:rPr>
          <w:sz w:val="16"/>
          <w:szCs w:val="16"/>
          <w:lang w:val="en-US"/>
        </w:rPr>
        <w:t>f. 4472).</w:t>
      </w:r>
    </w:p>
  </w:footnote>
  <w:footnote w:id="62">
    <w:p w14:paraId="427604F2" w14:textId="052190E2" w:rsidR="003558F5" w:rsidRPr="00CF6765" w:rsidRDefault="003558F5" w:rsidP="004A4CC9">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Affidavit made by </w:t>
      </w:r>
      <w:proofErr w:type="spellStart"/>
      <w:r w:rsidRPr="00CF6765">
        <w:rPr>
          <w:sz w:val="16"/>
          <w:szCs w:val="16"/>
          <w:lang w:val="en-US"/>
        </w:rPr>
        <w:t>Cesia</w:t>
      </w:r>
      <w:proofErr w:type="spellEnd"/>
      <w:r w:rsidRPr="00CF6765">
        <w:rPr>
          <w:sz w:val="16"/>
          <w:szCs w:val="16"/>
          <w:lang w:val="en-US"/>
        </w:rPr>
        <w:t xml:space="preserve"> Leila Siria Poblete Tapia on October 6, 2017</w:t>
      </w:r>
      <w:r w:rsidRPr="00CF6765">
        <w:rPr>
          <w:i/>
          <w:sz w:val="16"/>
          <w:szCs w:val="16"/>
          <w:lang w:val="en-US"/>
        </w:rPr>
        <w:t xml:space="preserve"> </w:t>
      </w:r>
      <w:r w:rsidRPr="00CF6765">
        <w:rPr>
          <w:sz w:val="16"/>
          <w:szCs w:val="16"/>
          <w:lang w:val="en-US"/>
        </w:rPr>
        <w:t>(evidence file, affidavits of the representatives,</w:t>
      </w:r>
      <w:r w:rsidRPr="00CF6765">
        <w:rPr>
          <w:i/>
          <w:sz w:val="16"/>
          <w:szCs w:val="16"/>
          <w:lang w:val="en-US"/>
        </w:rPr>
        <w:t xml:space="preserve"> </w:t>
      </w:r>
      <w:r w:rsidRPr="00CF6765">
        <w:rPr>
          <w:sz w:val="16"/>
          <w:szCs w:val="16"/>
          <w:lang w:val="en-US"/>
        </w:rPr>
        <w:t xml:space="preserve">f. 4467), and Criminal complaint filed by Blanca Tapia </w:t>
      </w:r>
      <w:proofErr w:type="spellStart"/>
      <w:r w:rsidRPr="00CF6765">
        <w:rPr>
          <w:sz w:val="16"/>
          <w:szCs w:val="16"/>
          <w:lang w:val="en-US"/>
        </w:rPr>
        <w:t>Encina</w:t>
      </w:r>
      <w:proofErr w:type="spellEnd"/>
      <w:r w:rsidRPr="00CF6765">
        <w:rPr>
          <w:sz w:val="16"/>
          <w:szCs w:val="16"/>
          <w:lang w:val="en-US"/>
        </w:rPr>
        <w:t xml:space="preserve"> and </w:t>
      </w:r>
      <w:proofErr w:type="spellStart"/>
      <w:r w:rsidRPr="00CF6765">
        <w:rPr>
          <w:sz w:val="16"/>
          <w:szCs w:val="16"/>
          <w:lang w:val="en-US"/>
        </w:rPr>
        <w:t>Cesia</w:t>
      </w:r>
      <w:proofErr w:type="spellEnd"/>
      <w:r w:rsidRPr="00CF6765">
        <w:rPr>
          <w:sz w:val="16"/>
          <w:szCs w:val="16"/>
          <w:lang w:val="en-US"/>
        </w:rPr>
        <w:t xml:space="preserve"> Leila Poblete Tapia before the First Civil Court of Puente Alto on November 12, 2001 (evidence file, annex 6 of the Merits Report, f. 27).</w:t>
      </w:r>
    </w:p>
  </w:footnote>
  <w:footnote w:id="63">
    <w:p w14:paraId="44A87F52" w14:textId="2071FCA4" w:rsidR="003558F5" w:rsidRPr="00CF6765" w:rsidRDefault="003558F5" w:rsidP="004A4CC9">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Criminal complaint filed by Blanca Tapia </w:t>
      </w:r>
      <w:proofErr w:type="spellStart"/>
      <w:r w:rsidRPr="00CF6765">
        <w:rPr>
          <w:sz w:val="16"/>
          <w:szCs w:val="16"/>
          <w:lang w:val="en-US"/>
        </w:rPr>
        <w:t>Encina</w:t>
      </w:r>
      <w:proofErr w:type="spellEnd"/>
      <w:r w:rsidRPr="00CF6765">
        <w:rPr>
          <w:sz w:val="16"/>
          <w:szCs w:val="16"/>
          <w:lang w:val="en-US"/>
        </w:rPr>
        <w:t xml:space="preserve"> and </w:t>
      </w:r>
      <w:proofErr w:type="spellStart"/>
      <w:r w:rsidRPr="00CF6765">
        <w:rPr>
          <w:sz w:val="16"/>
          <w:szCs w:val="16"/>
          <w:lang w:val="en-US"/>
        </w:rPr>
        <w:t>Cesia</w:t>
      </w:r>
      <w:proofErr w:type="spellEnd"/>
      <w:r w:rsidRPr="00CF6765">
        <w:rPr>
          <w:sz w:val="16"/>
          <w:szCs w:val="16"/>
          <w:lang w:val="en-US"/>
        </w:rPr>
        <w:t xml:space="preserve"> Poblete Tapia before the First Civil Court of Puente Alto on November 12, 2001</w:t>
      </w:r>
      <w:r w:rsidRPr="00CF6765">
        <w:rPr>
          <w:i/>
          <w:sz w:val="16"/>
          <w:szCs w:val="16"/>
          <w:lang w:val="en-US"/>
        </w:rPr>
        <w:t xml:space="preserve"> </w:t>
      </w:r>
      <w:r w:rsidRPr="00CF6765">
        <w:rPr>
          <w:sz w:val="16"/>
          <w:szCs w:val="16"/>
          <w:lang w:val="en-US"/>
        </w:rPr>
        <w:t>(evidence file, annex 6 of the Merits Report, f. 28).</w:t>
      </w:r>
    </w:p>
  </w:footnote>
  <w:footnote w:id="64">
    <w:p w14:paraId="0F294A9A" w14:textId="427E1359"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Criminal complaint filed by Blanca Tapia </w:t>
      </w:r>
      <w:proofErr w:type="spellStart"/>
      <w:r w:rsidRPr="00CF6765">
        <w:rPr>
          <w:sz w:val="16"/>
          <w:szCs w:val="16"/>
          <w:lang w:val="en-US"/>
        </w:rPr>
        <w:t>Encina</w:t>
      </w:r>
      <w:proofErr w:type="spellEnd"/>
      <w:r w:rsidRPr="00CF6765">
        <w:rPr>
          <w:sz w:val="16"/>
          <w:szCs w:val="16"/>
          <w:lang w:val="en-US"/>
        </w:rPr>
        <w:t xml:space="preserve"> and </w:t>
      </w:r>
      <w:proofErr w:type="spellStart"/>
      <w:r w:rsidRPr="00CF6765">
        <w:rPr>
          <w:sz w:val="16"/>
          <w:szCs w:val="16"/>
          <w:lang w:val="en-US"/>
        </w:rPr>
        <w:t>Cesia</w:t>
      </w:r>
      <w:proofErr w:type="spellEnd"/>
      <w:r w:rsidRPr="00CF6765">
        <w:rPr>
          <w:sz w:val="16"/>
          <w:szCs w:val="16"/>
          <w:lang w:val="en-US"/>
        </w:rPr>
        <w:t xml:space="preserve"> Poblete Tapia before the First Civil Court of Puente Alto on November 12, 2001 (evidence file, annex 6 of the Merits Report, ff. 32 to 34).</w:t>
      </w:r>
    </w:p>
  </w:footnote>
  <w:footnote w:id="65">
    <w:p w14:paraId="3E1FB94E" w14:textId="2D2DD109"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Ruling of the First Civil Court of Puente Alto of November 12, 2001 (evidence file, annex 18 of the Merits Report, f. 128).</w:t>
      </w:r>
    </w:p>
  </w:footnote>
  <w:footnote w:id="66">
    <w:p w14:paraId="6214CA7D" w14:textId="0A07A759"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Ruling of the Third Criminal Court of November 23, 2001 (evidence file, annex 19 of the Merits Report, f. 130).</w:t>
      </w:r>
    </w:p>
  </w:footnote>
  <w:footnote w:id="67">
    <w:p w14:paraId="52A8FF7E" w14:textId="1156E720"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Ruling of the First Civil Court of Puente Alto of December 11, 2001 (evidence file, annex 20 of the Merits Report, f. 132).</w:t>
      </w:r>
    </w:p>
  </w:footnote>
  <w:footnote w:id="68">
    <w:p w14:paraId="385E55B2" w14:textId="46D3E1FD"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Ruling of the First Civil Court of Puente Alto of December 11, 2001 (evidence file, annex 20 of the Merits Report,</w:t>
      </w:r>
      <w:r w:rsidRPr="00CF6765">
        <w:rPr>
          <w:i/>
          <w:sz w:val="16"/>
          <w:szCs w:val="16"/>
          <w:lang w:val="en-US"/>
        </w:rPr>
        <w:t xml:space="preserve"> </w:t>
      </w:r>
      <w:r w:rsidRPr="00CF6765">
        <w:rPr>
          <w:sz w:val="16"/>
          <w:szCs w:val="16"/>
          <w:lang w:val="en-US"/>
        </w:rPr>
        <w:t>f. 132), and Ruling of the First Civil Court of Puente Alto of December 24, 2001 (evidence file, annex 21 of the Merits Report, f. 134).</w:t>
      </w:r>
    </w:p>
  </w:footnote>
  <w:footnote w:id="69">
    <w:p w14:paraId="160A6E1A" w14:textId="412A95F3"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Ruling of the San Miguel Court of Appeal of February 6, 2002 (evidence file, annex 22 of the Merits Report, f. 136).</w:t>
      </w:r>
    </w:p>
  </w:footnote>
  <w:footnote w:id="70">
    <w:p w14:paraId="292E8628" w14:textId="545C26C7"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 of the First Civil Court of Puente Alto of February 13, 2002 (evidence file, annex 23 of the Merits Report, f. 138). Note: the order included the investigation order for the Homicide Brigade under Case No. 75821-M.</w:t>
      </w:r>
    </w:p>
  </w:footnote>
  <w:footnote w:id="71">
    <w:p w14:paraId="6F617EA7" w14:textId="676523C6" w:rsidR="003558F5" w:rsidRPr="00CF6765" w:rsidRDefault="003558F5" w:rsidP="00450250">
      <w:pPr>
        <w:pStyle w:val="Textonotapie"/>
        <w:spacing w:after="60"/>
        <w:ind w:right="13"/>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lang w:val="en-US"/>
        </w:rPr>
        <w:t>Order of the First Civil Court of Puente Alto of February 13, 2002 (evidence file, annex 23 of the Merits Report, f. 138).</w:t>
      </w:r>
    </w:p>
  </w:footnote>
  <w:footnote w:id="72">
    <w:p w14:paraId="78DD7489" w14:textId="565DB616"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Orders of the First Civil Court of Puente Alto of October 16, 2002, and November 14, 2002 (evidence file, annex 24 of the Merits Report, ff. 140 to 142).</w:t>
      </w:r>
    </w:p>
  </w:footnote>
  <w:footnote w:id="73">
    <w:p w14:paraId="62CC9AF6" w14:textId="0FC8F050"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Report of April 5, 2003, of the criminal forensic physician, Dr. José Balletic Barrera, of the Metropolitan Homicide Brigade of the Chilean Investigation Police (evidence file, file of the procedure before the Commission, ff. 2405 to 2408).</w:t>
      </w:r>
    </w:p>
  </w:footnote>
  <w:footnote w:id="74">
    <w:p w14:paraId="5E61BE7C" w14:textId="00BB2378"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Statement of Ximena del Pilar </w:t>
      </w:r>
      <w:proofErr w:type="spellStart"/>
      <w:r w:rsidRPr="00CF6765">
        <w:rPr>
          <w:sz w:val="16"/>
          <w:szCs w:val="16"/>
          <w:lang w:val="en-US"/>
        </w:rPr>
        <w:t>Echeverría</w:t>
      </w:r>
      <w:proofErr w:type="spellEnd"/>
      <w:r w:rsidRPr="00CF6765">
        <w:rPr>
          <w:sz w:val="16"/>
          <w:szCs w:val="16"/>
          <w:lang w:val="en-US"/>
        </w:rPr>
        <w:t xml:space="preserve"> </w:t>
      </w:r>
      <w:proofErr w:type="spellStart"/>
      <w:r w:rsidRPr="00CF6765">
        <w:rPr>
          <w:sz w:val="16"/>
          <w:szCs w:val="16"/>
          <w:lang w:val="en-US"/>
        </w:rPr>
        <w:t>Pezoa</w:t>
      </w:r>
      <w:proofErr w:type="spellEnd"/>
      <w:r w:rsidRPr="00CF6765">
        <w:rPr>
          <w:sz w:val="16"/>
          <w:szCs w:val="16"/>
          <w:lang w:val="en-US"/>
        </w:rPr>
        <w:t xml:space="preserve"> before the First Civil Court of Puente Alto on May 13, 2003 (evidence file, annex 27 of the Merits Report, f. 157).</w:t>
      </w:r>
    </w:p>
  </w:footnote>
  <w:footnote w:id="75">
    <w:p w14:paraId="66D58332" w14:textId="5B989659"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Statement of Humberto Reinaldo </w:t>
      </w:r>
      <w:proofErr w:type="spellStart"/>
      <w:r w:rsidRPr="00CF6765">
        <w:rPr>
          <w:sz w:val="16"/>
          <w:szCs w:val="16"/>
          <w:lang w:val="en-US"/>
        </w:rPr>
        <w:t>Montecinos</w:t>
      </w:r>
      <w:proofErr w:type="spellEnd"/>
      <w:r w:rsidRPr="00CF6765">
        <w:rPr>
          <w:sz w:val="16"/>
          <w:szCs w:val="16"/>
          <w:lang w:val="en-US"/>
        </w:rPr>
        <w:t xml:space="preserve"> </w:t>
      </w:r>
      <w:proofErr w:type="spellStart"/>
      <w:r w:rsidRPr="00CF6765">
        <w:rPr>
          <w:sz w:val="16"/>
          <w:szCs w:val="16"/>
          <w:lang w:val="en-US"/>
        </w:rPr>
        <w:t>Salucci</w:t>
      </w:r>
      <w:proofErr w:type="spellEnd"/>
      <w:r w:rsidRPr="00CF6765">
        <w:rPr>
          <w:sz w:val="16"/>
          <w:szCs w:val="16"/>
          <w:lang w:val="en-US"/>
        </w:rPr>
        <w:t xml:space="preserve"> before the First Civil Court of Puente Alto on May 20, 2003 (evidence file, annex 28 of the Merits Report, f. 159).</w:t>
      </w:r>
    </w:p>
  </w:footnote>
  <w:footnote w:id="76">
    <w:p w14:paraId="28170170" w14:textId="2D7324A5"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Statement of Sandra Zoraida Castillo </w:t>
      </w:r>
      <w:proofErr w:type="spellStart"/>
      <w:r w:rsidRPr="00CF6765">
        <w:rPr>
          <w:sz w:val="16"/>
          <w:szCs w:val="16"/>
          <w:lang w:val="en-US"/>
        </w:rPr>
        <w:t>Montufar</w:t>
      </w:r>
      <w:proofErr w:type="spellEnd"/>
      <w:r w:rsidRPr="00CF6765">
        <w:rPr>
          <w:sz w:val="16"/>
          <w:szCs w:val="16"/>
          <w:lang w:val="en-US"/>
        </w:rPr>
        <w:t xml:space="preserve"> before the First Civil Court of Puente Alto on December 3, 2003 (evidence file, annex 10 of the Merits Report, f. 104).</w:t>
      </w:r>
    </w:p>
  </w:footnote>
  <w:footnote w:id="77">
    <w:p w14:paraId="159EEB39" w14:textId="2FC340D6"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Order of the First Civil Court of Puente Alto of February 28, 2004 (evidence file, annex 30 of the Merits Report, f. 163); Order No. 261 of the First Civil Court of Puente Alto of February 28, 2004 (evidence file, annex 31 of the Merits Report, f. 165), Order of the First Civil Court of Puente Alto of December 20, 2004 (evidence file, annex 32 of the Merits Report, f. 167), and Arrest warrant issued by the First Civil Court of Puente Alto of October 31, 2005 (evidence file, annex 34 of the Merits Report, f. 169). </w:t>
      </w:r>
    </w:p>
  </w:footnote>
  <w:footnote w:id="78">
    <w:p w14:paraId="0CB2B2C4" w14:textId="24DD1ADA"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Arrest Warrant issued by the Nineteenth Criminal Court on April 6, 2004 (evidence file, annex 35 of the Merits Report, f. 171).</w:t>
      </w:r>
    </w:p>
  </w:footnote>
  <w:footnote w:id="79">
    <w:p w14:paraId="3E80C080" w14:textId="7C45B308"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Arrest Warrant issued by the Nineteenth Criminal Court on January 8, 2005 (evidence file, annex 36 of the Merits Report, f. 173).</w:t>
      </w:r>
    </w:p>
  </w:footnote>
  <w:footnote w:id="80">
    <w:p w14:paraId="6C65CA49" w14:textId="0074C23B"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 of the First Civil Court of Puente Alto of February 6, 2006 (evidence file, annex 37 of the Merits Report, f. 176).</w:t>
      </w:r>
    </w:p>
  </w:footnote>
  <w:footnote w:id="81">
    <w:p w14:paraId="180E3FEB" w14:textId="329F4C9B"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 of the First Civil Court of Puente Alto of May 23, 2007 (evidence file, annex 61 of the Merits Report, f. 239).</w:t>
      </w:r>
    </w:p>
  </w:footnote>
  <w:footnote w:id="82">
    <w:p w14:paraId="75B6D556" w14:textId="5401421E"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 No. 1363 of the First Civil Court of Puente Alto of July 19, 2005 (evidence file, annex 38 of the Merits Report, f. 178).</w:t>
      </w:r>
    </w:p>
  </w:footnote>
  <w:footnote w:id="83">
    <w:p w14:paraId="02234293" w14:textId="4AE67E71"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 of the First Civil Court of Puente Alto of September 15, 2005 (evidence file, annex 40 of the Merits Report, f. 182).</w:t>
      </w:r>
    </w:p>
  </w:footnote>
  <w:footnote w:id="84">
    <w:p w14:paraId="1DBDBE52" w14:textId="0ABF0E48"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 No. 2809-05 of the First Civil Court of Puente Alto of December 7, 2005 (evidence file, annex 41 of the Merits Report, f. 184).</w:t>
      </w:r>
    </w:p>
  </w:footnote>
  <w:footnote w:id="85">
    <w:p w14:paraId="133B1D1F" w14:textId="38F688A2"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Complaint filed by Vinicio Marco Antonio Poblete Tapia with the First Civil Court of Puente Alto on October 7, 2005 (evidence file, annex 7 of the Merits Report, ff. 42 and 43); </w:t>
      </w:r>
      <w:r w:rsidRPr="00CF6765">
        <w:rPr>
          <w:bCs/>
          <w:sz w:val="16"/>
          <w:szCs w:val="16"/>
          <w:lang w:val="en-US"/>
        </w:rPr>
        <w:t>Order of the First Civil Court of Puente Alto of October 7, 2005</w:t>
      </w:r>
      <w:r w:rsidRPr="00CF6765">
        <w:rPr>
          <w:rFonts w:asciiTheme="minorHAnsi" w:eastAsia="Batang" w:hAnsiTheme="minorHAnsi" w:cs="Arial"/>
          <w:bCs/>
          <w:i/>
          <w:sz w:val="16"/>
          <w:szCs w:val="16"/>
          <w:lang w:val="en-US" w:eastAsia="ko-KR"/>
        </w:rPr>
        <w:t xml:space="preserve"> </w:t>
      </w:r>
      <w:r w:rsidRPr="00CF6765">
        <w:rPr>
          <w:bCs/>
          <w:sz w:val="16"/>
          <w:szCs w:val="16"/>
          <w:lang w:val="en-US"/>
        </w:rPr>
        <w:t>(evidence file, annex 7 of the Merits Report, f. 44), and Order No. 2809-05 of the First Civil Court of Puente Alto of December 7, 2005 (evidence file, annex 41 of the Merits Report,</w:t>
      </w:r>
      <w:r w:rsidRPr="00CF6765">
        <w:rPr>
          <w:bCs/>
          <w:i/>
          <w:sz w:val="16"/>
          <w:szCs w:val="16"/>
          <w:lang w:val="en-US"/>
        </w:rPr>
        <w:t xml:space="preserve"> </w:t>
      </w:r>
      <w:r w:rsidRPr="00CF6765">
        <w:rPr>
          <w:bCs/>
          <w:sz w:val="16"/>
          <w:szCs w:val="16"/>
          <w:lang w:val="en-US"/>
        </w:rPr>
        <w:t>f. 184)</w:t>
      </w:r>
      <w:r w:rsidRPr="00CF6765">
        <w:rPr>
          <w:bCs/>
          <w:i/>
          <w:sz w:val="16"/>
          <w:szCs w:val="16"/>
          <w:lang w:val="en-US"/>
        </w:rPr>
        <w:t>.</w:t>
      </w:r>
    </w:p>
  </w:footnote>
  <w:footnote w:id="86">
    <w:p w14:paraId="5DD8E3C2" w14:textId="3D0946BE"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Statement before the First Civil Court of Puente Alto by Marcelo </w:t>
      </w:r>
      <w:proofErr w:type="spellStart"/>
      <w:r w:rsidRPr="00CF6765">
        <w:rPr>
          <w:sz w:val="16"/>
          <w:szCs w:val="16"/>
          <w:lang w:val="en-US"/>
        </w:rPr>
        <w:t>Adán</w:t>
      </w:r>
      <w:proofErr w:type="spellEnd"/>
      <w:r w:rsidRPr="00CF6765">
        <w:rPr>
          <w:sz w:val="16"/>
          <w:szCs w:val="16"/>
          <w:lang w:val="en-US"/>
        </w:rPr>
        <w:t xml:space="preserve"> Garrido Salvo on March 3, 2006 (evidence file, annex 2 of the Merits Report, f. 9); Statement before the First Civil Court of Puente Alto by María Carolina </w:t>
      </w:r>
      <w:proofErr w:type="spellStart"/>
      <w:r w:rsidRPr="00CF6765">
        <w:rPr>
          <w:sz w:val="16"/>
          <w:szCs w:val="16"/>
          <w:lang w:val="en-US"/>
        </w:rPr>
        <w:t>Chacón</w:t>
      </w:r>
      <w:proofErr w:type="spellEnd"/>
      <w:r w:rsidRPr="00CF6765">
        <w:rPr>
          <w:sz w:val="16"/>
          <w:szCs w:val="16"/>
          <w:lang w:val="en-US"/>
        </w:rPr>
        <w:t xml:space="preserve"> Fernández on March 7, 2006 (evidence file, annex 42 of the Merits Report, f. 186); Statement made before the First Criminal Court by Vinicio Marco Antonio Poblete on April 6, 2006 (evidence file, annex 4 of the Merits Report, ff. 17 to 22); Statement made before the First Civil Court of Puente Alto by </w:t>
      </w:r>
      <w:proofErr w:type="spellStart"/>
      <w:r w:rsidRPr="00CF6765">
        <w:rPr>
          <w:sz w:val="16"/>
          <w:szCs w:val="16"/>
          <w:lang w:val="en-US"/>
        </w:rPr>
        <w:t>Cesia</w:t>
      </w:r>
      <w:proofErr w:type="spellEnd"/>
      <w:r w:rsidRPr="00CF6765">
        <w:rPr>
          <w:sz w:val="16"/>
          <w:szCs w:val="16"/>
          <w:lang w:val="en-US"/>
        </w:rPr>
        <w:t xml:space="preserve"> Leila Siria Poblete Tapia on September 14, 2006 (evidence file, annex 3 of the Merits Report, f. 11); Statement made before the First Civil Court of Puente Alto by Lili Marlene Rojas Hernández on October 18, 2006 (evidence file, annex 53 of the Merits Report, f. 220); Statement made before the First Civil Court of Puente Alto by Jorge Alejandro Fuentes Poblete on June 12, 2007 (evidence file, annex 5 of the Merits Report, ff. 24 and 25), and Statement made before the First Civil Court of Puente Alto by Alejandra Marcela Fuentes Poblete on June 15, 2007 (evidence file, annex 12 of the Merits Report, ff. 110 and 111).</w:t>
      </w:r>
    </w:p>
  </w:footnote>
  <w:footnote w:id="87">
    <w:p w14:paraId="64A67DD7" w14:textId="24C38965"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Power of attorney of Vinicio Poblete Tapia submitted to the First Civil Court of Puente Alto on March 21, 2006 (evidence file, annex 43 of the Merits Report, ff. 188 and 189).</w:t>
      </w:r>
    </w:p>
  </w:footnote>
  <w:footnote w:id="88">
    <w:p w14:paraId="62367E51" w14:textId="7EAAD3D4"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t xml:space="preserve">Namely: those corresponding to Alejandra and Jorge Fuentes Poblete, Rosa </w:t>
      </w:r>
      <w:proofErr w:type="spellStart"/>
      <w:r w:rsidRPr="00CF6765">
        <w:rPr>
          <w:sz w:val="16"/>
          <w:szCs w:val="16"/>
          <w:lang w:val="en-US"/>
        </w:rPr>
        <w:t>Gazmuri</w:t>
      </w:r>
      <w:proofErr w:type="spellEnd"/>
      <w:r w:rsidRPr="00CF6765">
        <w:rPr>
          <w:sz w:val="16"/>
          <w:szCs w:val="16"/>
          <w:lang w:val="en-US"/>
        </w:rPr>
        <w:t xml:space="preserve"> M., Cecilia </w:t>
      </w:r>
      <w:proofErr w:type="spellStart"/>
      <w:r w:rsidRPr="00CF6765">
        <w:rPr>
          <w:sz w:val="16"/>
          <w:szCs w:val="16"/>
          <w:lang w:val="en-US"/>
        </w:rPr>
        <w:t>Caniqueo</w:t>
      </w:r>
      <w:proofErr w:type="spellEnd"/>
      <w:r w:rsidRPr="00CF6765">
        <w:rPr>
          <w:sz w:val="16"/>
          <w:szCs w:val="16"/>
          <w:lang w:val="en-US"/>
        </w:rPr>
        <w:t xml:space="preserve"> </w:t>
      </w:r>
      <w:proofErr w:type="spellStart"/>
      <w:r w:rsidRPr="00CF6765">
        <w:rPr>
          <w:sz w:val="16"/>
          <w:szCs w:val="16"/>
          <w:lang w:val="en-US"/>
        </w:rPr>
        <w:t>Ralil</w:t>
      </w:r>
      <w:proofErr w:type="spellEnd"/>
      <w:r w:rsidRPr="00CF6765">
        <w:rPr>
          <w:sz w:val="16"/>
          <w:szCs w:val="16"/>
          <w:lang w:val="en-US"/>
        </w:rPr>
        <w:t xml:space="preserve">, Lily Rojas and Cecilia </w:t>
      </w:r>
      <w:proofErr w:type="spellStart"/>
      <w:r w:rsidRPr="00CF6765">
        <w:rPr>
          <w:sz w:val="16"/>
          <w:szCs w:val="16"/>
          <w:lang w:val="en-US"/>
        </w:rPr>
        <w:t>Yañez</w:t>
      </w:r>
      <w:proofErr w:type="spellEnd"/>
      <w:r w:rsidRPr="00CF6765">
        <w:rPr>
          <w:sz w:val="16"/>
          <w:szCs w:val="16"/>
          <w:lang w:val="en-US"/>
        </w:rPr>
        <w:t xml:space="preserve">, nurses of the </w:t>
      </w:r>
      <w:proofErr w:type="spellStart"/>
      <w:r w:rsidRPr="00CF6765">
        <w:rPr>
          <w:sz w:val="16"/>
          <w:szCs w:val="16"/>
          <w:lang w:val="en-US"/>
        </w:rPr>
        <w:t>Sótero</w:t>
      </w:r>
      <w:proofErr w:type="spellEnd"/>
      <w:r w:rsidRPr="00CF6765">
        <w:rPr>
          <w:sz w:val="16"/>
          <w:szCs w:val="16"/>
          <w:lang w:val="en-US"/>
        </w:rPr>
        <w:t xml:space="preserve"> del Río Hospital, and Elizabeth Aviles, the surgeon who operated on Mr. Poblete </w:t>
      </w:r>
      <w:proofErr w:type="spellStart"/>
      <w:r w:rsidRPr="00CF6765">
        <w:rPr>
          <w:sz w:val="16"/>
          <w:szCs w:val="16"/>
          <w:lang w:val="en-US"/>
        </w:rPr>
        <w:t>Vilches</w:t>
      </w:r>
      <w:proofErr w:type="spellEnd"/>
      <w:r w:rsidRPr="00CF6765">
        <w:rPr>
          <w:sz w:val="16"/>
          <w:szCs w:val="16"/>
          <w:lang w:val="en-US"/>
        </w:rPr>
        <w:t xml:space="preserve">.  </w:t>
      </w:r>
      <w:r w:rsidRPr="00CF6765">
        <w:rPr>
          <w:i/>
          <w:sz w:val="16"/>
          <w:szCs w:val="16"/>
          <w:lang w:val="en-US"/>
        </w:rPr>
        <w:t xml:space="preserve">Cf. </w:t>
      </w:r>
      <w:r w:rsidRPr="00CF6765">
        <w:rPr>
          <w:sz w:val="16"/>
          <w:szCs w:val="16"/>
          <w:lang w:val="en-US"/>
        </w:rPr>
        <w:t xml:space="preserve">Brief of the representative of Vinicio Poblete Tapia filed with the First Civil Court of Puente Alto on April 18, 2006 (evidence file, annex 46 of the Merits Report, f. 197). </w:t>
      </w:r>
    </w:p>
  </w:footnote>
  <w:footnote w:id="89">
    <w:p w14:paraId="5F98C1C4" w14:textId="7280D142"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Forensic Report No. 140-2005 issued by the Forensic Medicine Service of the Government of Chile on June 8, 2006 (evidence file, annex 48 of the Merits Report, f. 203), signed by: Drs. Katherine Corcoran </w:t>
      </w:r>
      <w:proofErr w:type="spellStart"/>
      <w:r w:rsidRPr="00CF6765">
        <w:rPr>
          <w:sz w:val="16"/>
          <w:szCs w:val="16"/>
          <w:lang w:val="en-US"/>
        </w:rPr>
        <w:t>Ivelic</w:t>
      </w:r>
      <w:proofErr w:type="spellEnd"/>
      <w:r w:rsidRPr="00CF6765">
        <w:rPr>
          <w:sz w:val="16"/>
          <w:szCs w:val="16"/>
          <w:lang w:val="en-US"/>
        </w:rPr>
        <w:t>, Forensic Physician and Technical Coordinator of the Medical Liability Unit of the Clinical Forensic Medicine Department of the Forensic Medicine Service, and Rebeca Barahona Bustamante, Forensic Physician of the Clinical Forensic Department of the Forensic Medicine Service of the Government of Chile.</w:t>
      </w:r>
    </w:p>
  </w:footnote>
  <w:footnote w:id="90">
    <w:p w14:paraId="024E5BF7" w14:textId="1F01AC25" w:rsidR="003558F5" w:rsidRPr="00CF6765" w:rsidRDefault="003558F5" w:rsidP="00450250">
      <w:pPr>
        <w:pStyle w:val="Textonotapie"/>
        <w:spacing w:after="60"/>
        <w:ind w:right="13"/>
        <w:rPr>
          <w:rFonts w:cs="Arial"/>
          <w:sz w:val="16"/>
          <w:szCs w:val="16"/>
          <w:lang w:val="en-US" w:eastAsia="ko-KR"/>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Corresponding to the proceedings held under Case No. 75,821-M based on the complaint filed by Blanca Margarita Tapia </w:t>
      </w:r>
      <w:proofErr w:type="spellStart"/>
      <w:r w:rsidRPr="00CF6765">
        <w:rPr>
          <w:sz w:val="16"/>
          <w:szCs w:val="16"/>
          <w:lang w:val="en-US"/>
        </w:rPr>
        <w:t>Encina</w:t>
      </w:r>
      <w:proofErr w:type="spellEnd"/>
      <w:r w:rsidRPr="00CF6765">
        <w:rPr>
          <w:sz w:val="16"/>
          <w:szCs w:val="16"/>
          <w:lang w:val="en-US"/>
        </w:rPr>
        <w:t xml:space="preserve"> and </w:t>
      </w:r>
      <w:proofErr w:type="spellStart"/>
      <w:r w:rsidRPr="00CF6765">
        <w:rPr>
          <w:sz w:val="16"/>
          <w:szCs w:val="16"/>
          <w:lang w:val="en-US"/>
        </w:rPr>
        <w:t>Cesia</w:t>
      </w:r>
      <w:proofErr w:type="spellEnd"/>
      <w:r w:rsidRPr="00CF6765">
        <w:rPr>
          <w:sz w:val="16"/>
          <w:szCs w:val="16"/>
          <w:lang w:val="en-US"/>
        </w:rPr>
        <w:t xml:space="preserve"> Leila Siria Poblete Tapia with the First Civil Court of Puente Alto on November 12, 2001 (evidence file, annex 6 of the Merits Report, f. 27), to which was </w:t>
      </w:r>
      <w:proofErr w:type="spellStart"/>
      <w:r w:rsidRPr="00CF6765">
        <w:rPr>
          <w:sz w:val="16"/>
          <w:szCs w:val="16"/>
          <w:lang w:val="en-US"/>
        </w:rPr>
        <w:t>joindered</w:t>
      </w:r>
      <w:proofErr w:type="spellEnd"/>
      <w:r w:rsidRPr="00CF6765">
        <w:rPr>
          <w:sz w:val="16"/>
          <w:szCs w:val="16"/>
          <w:lang w:val="en-US"/>
        </w:rPr>
        <w:t xml:space="preserve"> Case No. </w:t>
      </w:r>
      <w:r w:rsidRPr="00CF6765">
        <w:rPr>
          <w:rFonts w:cs="Arial"/>
          <w:sz w:val="16"/>
          <w:szCs w:val="16"/>
          <w:lang w:val="en-US" w:eastAsia="ko-KR"/>
        </w:rPr>
        <w:t>94,393-M, processed in relation to the complaint filed by Vinicio Marco Antonio Poblete Tapia with the First Civil Court of Puente Alto on October 7, 2005 (evidence file, annex 7 of the Merits Report, ff. 36 to 43)</w:t>
      </w:r>
      <w:r w:rsidRPr="00CF6765">
        <w:rPr>
          <w:sz w:val="16"/>
          <w:lang w:val="en-US" w:eastAsia="ko-KR"/>
        </w:rPr>
        <w:t>.</w:t>
      </w:r>
    </w:p>
  </w:footnote>
  <w:footnote w:id="91">
    <w:p w14:paraId="132ACB74" w14:textId="4253652A"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Brief of the representative of María Carolina </w:t>
      </w:r>
      <w:proofErr w:type="spellStart"/>
      <w:r w:rsidRPr="00CF6765">
        <w:rPr>
          <w:sz w:val="16"/>
          <w:szCs w:val="16"/>
          <w:lang w:val="en-US"/>
        </w:rPr>
        <w:t>Chacón</w:t>
      </w:r>
      <w:proofErr w:type="spellEnd"/>
      <w:r w:rsidRPr="00CF6765">
        <w:rPr>
          <w:sz w:val="16"/>
          <w:szCs w:val="16"/>
          <w:lang w:val="en-US"/>
        </w:rPr>
        <w:t xml:space="preserve"> Fernández before the First Civil Court of Puente Alto, received on April 5, 2006, and Ruling of the First Civil Court of Puente Alto of April 6, 2006 (evidence file, annex 45 of the Merits Report, ff. 194 and 195); Brief of the representative of María Carolina </w:t>
      </w:r>
      <w:proofErr w:type="spellStart"/>
      <w:r w:rsidRPr="00CF6765">
        <w:rPr>
          <w:sz w:val="16"/>
          <w:szCs w:val="16"/>
          <w:lang w:val="en-US"/>
        </w:rPr>
        <w:t>Chacón</w:t>
      </w:r>
      <w:proofErr w:type="spellEnd"/>
      <w:r w:rsidRPr="00CF6765">
        <w:rPr>
          <w:sz w:val="16"/>
          <w:szCs w:val="16"/>
          <w:lang w:val="en-US"/>
        </w:rPr>
        <w:t xml:space="preserve"> Fernández before the First Civil Court of Puente Alto received on June 27, 2006 (evidence file, annex 49 of the Merits Report, ff. 209 and 210); Decision of the First Civil Court of Puente Alto of July 26, 2006 (evidence file, annex 50 of the Merits Report, f. 212); Brief of the representative of María Carolina </w:t>
      </w:r>
      <w:proofErr w:type="spellStart"/>
      <w:r w:rsidRPr="00CF6765">
        <w:rPr>
          <w:sz w:val="16"/>
          <w:szCs w:val="16"/>
          <w:lang w:val="en-US"/>
        </w:rPr>
        <w:t>Chacón</w:t>
      </w:r>
      <w:proofErr w:type="spellEnd"/>
      <w:r w:rsidRPr="00CF6765">
        <w:rPr>
          <w:sz w:val="16"/>
          <w:szCs w:val="16"/>
          <w:lang w:val="en-US"/>
        </w:rPr>
        <w:t xml:space="preserve"> Fernández before the First Civil Court of Puente Alto, received on September 5, 2006 (evidence file, annex 51 of the Merits Report, ff. 214 and 215), and Ruling of the First Civil Court of Puente Alto of September 14, 2006 (evidence file, annex 52 of the Merits Report, f. 218).</w:t>
      </w:r>
    </w:p>
  </w:footnote>
  <w:footnote w:id="92">
    <w:p w14:paraId="6BCBE7DF" w14:textId="02292A73"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Brief of the representative of María Carolina </w:t>
      </w:r>
      <w:proofErr w:type="spellStart"/>
      <w:r w:rsidRPr="00CF6765">
        <w:rPr>
          <w:sz w:val="16"/>
          <w:szCs w:val="16"/>
          <w:lang w:val="en-US"/>
        </w:rPr>
        <w:t>Chacón</w:t>
      </w:r>
      <w:proofErr w:type="spellEnd"/>
      <w:r w:rsidRPr="00CF6765">
        <w:rPr>
          <w:sz w:val="16"/>
          <w:szCs w:val="16"/>
          <w:lang w:val="en-US"/>
        </w:rPr>
        <w:t xml:space="preserve"> Fernández before the First Civil Court of Puente Alto, received on November 21, 2006 (evidence file, annex 54 of the Merits Report, f. 222 and 223), and Ruling of the First Civil Court of Puente Alto of November 22, 2006 (evidence file, annex 55 of the Merits Report, f. 225).</w:t>
      </w:r>
    </w:p>
  </w:footnote>
  <w:footnote w:id="93">
    <w:p w14:paraId="088B58D7" w14:textId="19CD9D7D"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Brief of the representative of María Carolina </w:t>
      </w:r>
      <w:proofErr w:type="spellStart"/>
      <w:r w:rsidRPr="00CF6765">
        <w:rPr>
          <w:sz w:val="16"/>
          <w:szCs w:val="16"/>
          <w:lang w:val="en-US"/>
        </w:rPr>
        <w:t>Chacón</w:t>
      </w:r>
      <w:proofErr w:type="spellEnd"/>
      <w:r w:rsidRPr="00CF6765">
        <w:rPr>
          <w:sz w:val="16"/>
          <w:szCs w:val="16"/>
          <w:lang w:val="en-US"/>
        </w:rPr>
        <w:t xml:space="preserve"> Fernández before the First Civil Court of Puente Alto, received on December 7, 2006 (evidence file, annex 56 of the Merits Report, f. 227).</w:t>
      </w:r>
      <w:r w:rsidRPr="00CF6765" w:rsidDel="00394B4C">
        <w:rPr>
          <w:sz w:val="16"/>
          <w:szCs w:val="16"/>
          <w:lang w:val="en-US"/>
        </w:rPr>
        <w:t xml:space="preserve"> </w:t>
      </w:r>
    </w:p>
  </w:footnote>
  <w:footnote w:id="94">
    <w:p w14:paraId="64DBE920" w14:textId="7F0C049A"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Order of the First Civil Court of Puente Alto of December 11, 2006 (evidence file, annex 57 of the Merits Report, f. 230). </w:t>
      </w:r>
    </w:p>
  </w:footnote>
  <w:footnote w:id="95">
    <w:p w14:paraId="638B533B" w14:textId="5EDA4C7D"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Brief of the representative of Vinicio Poblete Tapia filed before the First Civil Court of Puente Alto, received on January 29, 2007 (evidence file, annex 58 of the Merits Report, ff. 232 and 233).</w:t>
      </w:r>
    </w:p>
  </w:footnote>
  <w:footnote w:id="96">
    <w:p w14:paraId="7304D9C5" w14:textId="1C553B84"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 of the First Civil Court of Puente Alto of February 27, 2007 (evidence file, annex 59 of the Merits Report, f. 235), and Order of the First Civil Court of Puente Alto of April 17, 2007 (evidence file, annex 60 of the Merits Report, f. 237).</w:t>
      </w:r>
    </w:p>
  </w:footnote>
  <w:footnote w:id="97">
    <w:p w14:paraId="1C234484" w14:textId="68265632"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 of the First Civil Court of Puente Alto of January 21, 2008 (evidence file, annex 62 of the Merits Report, f. 241).</w:t>
      </w:r>
    </w:p>
  </w:footnote>
  <w:footnote w:id="98">
    <w:p w14:paraId="10084FA7" w14:textId="603B6B86"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 No. 10187 issued by the Forensic Medicine Service of the Government of Chile, addressed to the First Civil Court of Puente Alto on June 11, 2008 (evidence file, annex 63 of the Merits Report, f. 243).</w:t>
      </w:r>
    </w:p>
  </w:footnote>
  <w:footnote w:id="99">
    <w:p w14:paraId="29E46906" w14:textId="4D2EC66E"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 of the San Miguel Court of Appeal of May 3, 2008 (evidence file, annexes 65 and 66 of the Merits Report, ff. 247 and 249).</w:t>
      </w:r>
    </w:p>
  </w:footnote>
  <w:footnote w:id="100">
    <w:p w14:paraId="3A9DDD3A" w14:textId="6A888F88"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Order of June 11, 2008, of the First Civil Court of Puente Alto (evidence file, annex 67 of the Merits Report, f. 251).</w:t>
      </w:r>
    </w:p>
  </w:footnote>
  <w:footnote w:id="101">
    <w:p w14:paraId="553CCFF0" w14:textId="57BA0826"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 of June 30, 2008, of the First Civil Court of Puente Alto (evidence file, annex 69 of the Merits Report, f. 253).</w:t>
      </w:r>
    </w:p>
  </w:footnote>
  <w:footnote w:id="102">
    <w:p w14:paraId="7E4D079B" w14:textId="3DB61897" w:rsidR="003558F5" w:rsidRPr="00CF6765" w:rsidRDefault="003558F5" w:rsidP="00450250">
      <w:pPr>
        <w:pStyle w:val="Textonotapie"/>
        <w:spacing w:after="60"/>
        <w:ind w:right="13"/>
        <w:rPr>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Brief of the representative of Vinicio Poblete Tapia before the First Civil Court of Puente Alto, received on August 4, 2008 (evidence file, annex 70 of the Merits Report, f. 255).</w:t>
      </w:r>
    </w:p>
  </w:footnote>
  <w:footnote w:id="103">
    <w:p w14:paraId="6C29CC67" w14:textId="3728A188"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 of August 5, 2008, of the First Civil Court of Puente Alto (evidence file, annex 71 of the Merits Report, f. 257).</w:t>
      </w:r>
    </w:p>
  </w:footnote>
  <w:footnote w:id="104">
    <w:p w14:paraId="1A937871" w14:textId="22A3CFA8"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Ruling of the Supreme Court of Justice of Chile, communication 4824 of August 28, 2008, addressed to the First Civil Court of Puente Alto (evidence file, annex 72 of the Merits Report, f. 259).</w:t>
      </w:r>
    </w:p>
  </w:footnote>
  <w:footnote w:id="105">
    <w:p w14:paraId="2680459E" w14:textId="6DC024E0"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Order of September 9, 2008, of the First Civil Court of Puente Alto (evidence file, annex 73 of the Merits Report, f. 261).</w:t>
      </w:r>
    </w:p>
  </w:footnote>
  <w:footnote w:id="106">
    <w:p w14:paraId="21FB8B94" w14:textId="65D5F70D"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Rulings of the Supreme Court of Justice of March 6, 2008, July 8, 2011, August 20, 2012, March 14, 2013, and January 8, 2015 (evidence file, annex 64, f. 245; annex 74, ff. 263 and 264; annex 75, ff. 266 and 267; annex 76, ff. 269 and 270, and annex 77, f. 272, all of the Merits Report).</w:t>
      </w:r>
    </w:p>
  </w:footnote>
  <w:footnote w:id="107">
    <w:p w14:paraId="4A2663B0" w14:textId="1D602719"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Ruling of the Supreme Court of Justice of January 8, 2015 (evidence file, annex 77 of the Merits Report, f. 272), and Ruling of the Supreme Court of Justice of August 25, 2014 (merits file, helpful evidence submitted by the State, ff. 1399 to 1401).</w:t>
      </w:r>
    </w:p>
  </w:footnote>
  <w:footnote w:id="108">
    <w:p w14:paraId="3DCB363F" w14:textId="19F7C1EE"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Minutes of the first mediation hearing at the Mediation Unit of the State Defense Council on April 4, 2006 (evidence file, annex 78 of the Merits Report, f. 274).</w:t>
      </w:r>
    </w:p>
  </w:footnote>
  <w:footnote w:id="109">
    <w:p w14:paraId="37ECEA86" w14:textId="09EBC712"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Minutes of the first mediation hearing at the Mediation Unit of the State Defense Council (evidence file, annex 78 of the Merits Report, ff. 274 to 276).</w:t>
      </w:r>
    </w:p>
  </w:footnote>
  <w:footnote w:id="110">
    <w:p w14:paraId="16EDF624" w14:textId="44837B48"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Minutes of the second mediation hearing by the Mediation Unit of the State Defense Council on April 27, 2006 (evidence file, annex 79 of the Merits Report, f. 278).</w:t>
      </w:r>
    </w:p>
  </w:footnote>
  <w:footnote w:id="111">
    <w:p w14:paraId="4208864A" w14:textId="196736E5" w:rsidR="003558F5" w:rsidRPr="00CF6765" w:rsidRDefault="003558F5" w:rsidP="00450250">
      <w:pPr>
        <w:pStyle w:val="Textonotapie"/>
        <w:spacing w:after="60"/>
        <w:ind w:right="13"/>
        <w:rPr>
          <w:sz w:val="16"/>
          <w:szCs w:val="16"/>
          <w:lang w:val="en-US"/>
        </w:rPr>
      </w:pPr>
      <w:r w:rsidRPr="00CF6765">
        <w:rPr>
          <w:rStyle w:val="Refdenotaalpie"/>
          <w:rFonts w:eastAsia="Calibri"/>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Minutes of the second mediation hearing by the Mediation Unit of the State Defense Council on April 27, 2006 (evidence file, annex 79 of the Merits Report, f. 278).</w:t>
      </w:r>
    </w:p>
  </w:footnote>
  <w:footnote w:id="112">
    <w:p w14:paraId="5C149C19" w14:textId="0E4D8396"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Communication No. 005-10 of the Human Rights, Nationality and Citizenship Committee (evidence file, annex 80 of the Merits Report, f. 280); Communication of the Ministry of Health of the Government of Chile of October 30, 2009 (evidence file, annex 82 of the Merits Report, ff. 284 and 285), and Communication No. 4181 of the Minister of Health of December 15, 2009 (evidence file, annex 81 of the Merits Report, f. 282).</w:t>
      </w:r>
    </w:p>
  </w:footnote>
  <w:footnote w:id="113">
    <w:p w14:paraId="1DB55568" w14:textId="3DB2C038"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News article on Facebook of the </w:t>
      </w:r>
      <w:r w:rsidRPr="00CF6765">
        <w:rPr>
          <w:i/>
          <w:iCs/>
          <w:sz w:val="16"/>
          <w:szCs w:val="16"/>
          <w:lang w:val="en-US"/>
        </w:rPr>
        <w:t>Cambio 21</w:t>
      </w:r>
      <w:r w:rsidRPr="00CF6765">
        <w:rPr>
          <w:sz w:val="16"/>
          <w:szCs w:val="16"/>
          <w:lang w:val="en-US"/>
        </w:rPr>
        <w:t xml:space="preserve"> newspaper entitled “</w:t>
      </w:r>
      <w:proofErr w:type="spellStart"/>
      <w:r w:rsidRPr="00CF6765">
        <w:rPr>
          <w:i/>
          <w:iCs/>
          <w:sz w:val="16"/>
          <w:szCs w:val="16"/>
          <w:lang w:val="en-US"/>
        </w:rPr>
        <w:t>Presentan</w:t>
      </w:r>
      <w:proofErr w:type="spellEnd"/>
      <w:r w:rsidRPr="00CF6765">
        <w:rPr>
          <w:i/>
          <w:iCs/>
          <w:sz w:val="16"/>
          <w:szCs w:val="16"/>
          <w:lang w:val="en-US"/>
        </w:rPr>
        <w:t xml:space="preserve"> </w:t>
      </w:r>
      <w:proofErr w:type="spellStart"/>
      <w:r w:rsidRPr="00CF6765">
        <w:rPr>
          <w:i/>
          <w:iCs/>
          <w:sz w:val="16"/>
          <w:szCs w:val="16"/>
          <w:lang w:val="en-US"/>
        </w:rPr>
        <w:t>denuncia</w:t>
      </w:r>
      <w:proofErr w:type="spellEnd"/>
      <w:r w:rsidRPr="00CF6765">
        <w:rPr>
          <w:i/>
          <w:iCs/>
          <w:sz w:val="16"/>
          <w:szCs w:val="16"/>
          <w:lang w:val="en-US"/>
        </w:rPr>
        <w:t xml:space="preserve"> por </w:t>
      </w:r>
      <w:proofErr w:type="spellStart"/>
      <w:r w:rsidRPr="00CF6765">
        <w:rPr>
          <w:i/>
          <w:iCs/>
          <w:sz w:val="16"/>
          <w:szCs w:val="16"/>
          <w:lang w:val="en-US"/>
        </w:rPr>
        <w:t>negligencia</w:t>
      </w:r>
      <w:proofErr w:type="spellEnd"/>
      <w:r w:rsidRPr="00CF6765">
        <w:rPr>
          <w:i/>
          <w:iCs/>
          <w:sz w:val="16"/>
          <w:szCs w:val="16"/>
          <w:lang w:val="en-US"/>
        </w:rPr>
        <w:t xml:space="preserve"> </w:t>
      </w:r>
      <w:proofErr w:type="spellStart"/>
      <w:r w:rsidRPr="00CF6765">
        <w:rPr>
          <w:i/>
          <w:iCs/>
          <w:sz w:val="16"/>
          <w:szCs w:val="16"/>
          <w:lang w:val="en-US"/>
        </w:rPr>
        <w:t>médica</w:t>
      </w:r>
      <w:proofErr w:type="spellEnd"/>
      <w:r w:rsidRPr="00CF6765">
        <w:rPr>
          <w:i/>
          <w:iCs/>
          <w:sz w:val="16"/>
          <w:szCs w:val="16"/>
          <w:lang w:val="en-US"/>
        </w:rPr>
        <w:t xml:space="preserve"> contra hospital </w:t>
      </w:r>
      <w:proofErr w:type="spellStart"/>
      <w:r w:rsidRPr="00CF6765">
        <w:rPr>
          <w:i/>
          <w:iCs/>
          <w:sz w:val="16"/>
          <w:szCs w:val="16"/>
          <w:lang w:val="en-US"/>
        </w:rPr>
        <w:t>Sótero</w:t>
      </w:r>
      <w:proofErr w:type="spellEnd"/>
      <w:r w:rsidRPr="00CF6765">
        <w:rPr>
          <w:i/>
          <w:iCs/>
          <w:sz w:val="16"/>
          <w:szCs w:val="16"/>
          <w:lang w:val="en-US"/>
        </w:rPr>
        <w:t xml:space="preserve"> del Río </w:t>
      </w:r>
      <w:r w:rsidRPr="00CF6765">
        <w:rPr>
          <w:sz w:val="16"/>
          <w:szCs w:val="16"/>
          <w:lang w:val="en-US"/>
        </w:rPr>
        <w:t xml:space="preserve">[…]” [Complaint of medical negligence filed against </w:t>
      </w:r>
      <w:proofErr w:type="spellStart"/>
      <w:r w:rsidRPr="00CF6765">
        <w:rPr>
          <w:sz w:val="16"/>
          <w:szCs w:val="16"/>
          <w:lang w:val="en-US"/>
        </w:rPr>
        <w:t>Sótero</w:t>
      </w:r>
      <w:proofErr w:type="spellEnd"/>
      <w:r w:rsidRPr="00CF6765">
        <w:rPr>
          <w:sz w:val="16"/>
          <w:szCs w:val="16"/>
          <w:lang w:val="en-US"/>
        </w:rPr>
        <w:t xml:space="preserve"> del Rio Hospital] (evidence file, annex 13 of the Merits Report, f. 113); Newspaper article in </w:t>
      </w:r>
      <w:proofErr w:type="spellStart"/>
      <w:r w:rsidRPr="00CF6765">
        <w:rPr>
          <w:sz w:val="16"/>
          <w:szCs w:val="16"/>
          <w:lang w:val="en-US"/>
        </w:rPr>
        <w:t>MEGAtestigo</w:t>
      </w:r>
      <w:proofErr w:type="spellEnd"/>
      <w:r w:rsidRPr="00CF6765">
        <w:rPr>
          <w:sz w:val="16"/>
          <w:szCs w:val="16"/>
          <w:lang w:val="en-US"/>
        </w:rPr>
        <w:t xml:space="preserve"> of May 14, 2012, entitled “</w:t>
      </w:r>
      <w:r w:rsidRPr="00CF6765">
        <w:rPr>
          <w:i/>
          <w:iCs/>
          <w:sz w:val="16"/>
          <w:szCs w:val="16"/>
          <w:lang w:val="en-US"/>
        </w:rPr>
        <w:t xml:space="preserve">Familia </w:t>
      </w:r>
      <w:proofErr w:type="spellStart"/>
      <w:r w:rsidRPr="00CF6765">
        <w:rPr>
          <w:i/>
          <w:iCs/>
          <w:sz w:val="16"/>
          <w:szCs w:val="16"/>
          <w:lang w:val="en-US"/>
        </w:rPr>
        <w:t>denuncia</w:t>
      </w:r>
      <w:proofErr w:type="spellEnd"/>
      <w:r w:rsidRPr="00CF6765">
        <w:rPr>
          <w:i/>
          <w:iCs/>
          <w:sz w:val="16"/>
          <w:szCs w:val="16"/>
          <w:lang w:val="en-US"/>
        </w:rPr>
        <w:t xml:space="preserve"> </w:t>
      </w:r>
      <w:proofErr w:type="spellStart"/>
      <w:r w:rsidRPr="00CF6765">
        <w:rPr>
          <w:i/>
          <w:iCs/>
          <w:sz w:val="16"/>
          <w:szCs w:val="16"/>
          <w:lang w:val="en-US"/>
        </w:rPr>
        <w:t>negligencia</w:t>
      </w:r>
      <w:proofErr w:type="spellEnd"/>
      <w:r w:rsidRPr="00CF6765">
        <w:rPr>
          <w:i/>
          <w:iCs/>
          <w:sz w:val="16"/>
          <w:szCs w:val="16"/>
          <w:lang w:val="en-US"/>
        </w:rPr>
        <w:t xml:space="preserve"> </w:t>
      </w:r>
      <w:proofErr w:type="spellStart"/>
      <w:r w:rsidRPr="00CF6765">
        <w:rPr>
          <w:i/>
          <w:iCs/>
          <w:sz w:val="16"/>
          <w:szCs w:val="16"/>
          <w:lang w:val="en-US"/>
        </w:rPr>
        <w:t>médica</w:t>
      </w:r>
      <w:proofErr w:type="spellEnd"/>
      <w:r w:rsidRPr="00CF6765">
        <w:rPr>
          <w:i/>
          <w:iCs/>
          <w:sz w:val="16"/>
          <w:szCs w:val="16"/>
          <w:lang w:val="en-US"/>
        </w:rPr>
        <w:t xml:space="preserve"> Hospital </w:t>
      </w:r>
      <w:proofErr w:type="spellStart"/>
      <w:r w:rsidRPr="00CF6765">
        <w:rPr>
          <w:i/>
          <w:iCs/>
          <w:sz w:val="16"/>
          <w:szCs w:val="16"/>
          <w:lang w:val="en-US"/>
        </w:rPr>
        <w:t>Sótero</w:t>
      </w:r>
      <w:proofErr w:type="spellEnd"/>
      <w:r w:rsidRPr="00CF6765">
        <w:rPr>
          <w:i/>
          <w:iCs/>
          <w:sz w:val="16"/>
          <w:szCs w:val="16"/>
          <w:lang w:val="en-US"/>
        </w:rPr>
        <w:t xml:space="preserve"> del Rio</w:t>
      </w:r>
      <w:r w:rsidRPr="00CF6765">
        <w:rPr>
          <w:sz w:val="16"/>
          <w:szCs w:val="16"/>
          <w:lang w:val="en-US"/>
        </w:rPr>
        <w:t xml:space="preserve">” [Family denounces medical negligence in </w:t>
      </w:r>
      <w:proofErr w:type="spellStart"/>
      <w:r w:rsidRPr="00CF6765">
        <w:rPr>
          <w:sz w:val="16"/>
          <w:szCs w:val="16"/>
          <w:lang w:val="en-US"/>
        </w:rPr>
        <w:t>Sótero</w:t>
      </w:r>
      <w:proofErr w:type="spellEnd"/>
      <w:r w:rsidRPr="00CF6765">
        <w:rPr>
          <w:sz w:val="16"/>
          <w:szCs w:val="16"/>
          <w:lang w:val="en-US"/>
        </w:rPr>
        <w:t xml:space="preserve"> del Rio Hospital] (evidence file, annex 14 of the Merits Report, f. 115), and News article on Facebook of Radio Bio on October 27, 2010, entitled “</w:t>
      </w:r>
      <w:r w:rsidRPr="00CF6765">
        <w:rPr>
          <w:i/>
          <w:iCs/>
          <w:sz w:val="16"/>
          <w:szCs w:val="16"/>
          <w:lang w:val="en-US"/>
        </w:rPr>
        <w:t xml:space="preserve">Hospital </w:t>
      </w:r>
      <w:proofErr w:type="spellStart"/>
      <w:r w:rsidRPr="00CF6765">
        <w:rPr>
          <w:i/>
          <w:iCs/>
          <w:sz w:val="16"/>
          <w:szCs w:val="16"/>
          <w:lang w:val="en-US"/>
        </w:rPr>
        <w:t>Sótero</w:t>
      </w:r>
      <w:proofErr w:type="spellEnd"/>
      <w:r w:rsidRPr="00CF6765">
        <w:rPr>
          <w:i/>
          <w:iCs/>
          <w:sz w:val="16"/>
          <w:szCs w:val="16"/>
          <w:lang w:val="en-US"/>
        </w:rPr>
        <w:t xml:space="preserve"> del Río </w:t>
      </w:r>
      <w:proofErr w:type="spellStart"/>
      <w:r w:rsidRPr="00CF6765">
        <w:rPr>
          <w:i/>
          <w:iCs/>
          <w:sz w:val="16"/>
          <w:szCs w:val="16"/>
          <w:lang w:val="en-US"/>
        </w:rPr>
        <w:t>realizará</w:t>
      </w:r>
      <w:proofErr w:type="spellEnd"/>
      <w:r w:rsidRPr="00CF6765">
        <w:rPr>
          <w:i/>
          <w:iCs/>
          <w:sz w:val="16"/>
          <w:szCs w:val="16"/>
          <w:lang w:val="en-US"/>
        </w:rPr>
        <w:t xml:space="preserve"> </w:t>
      </w:r>
      <w:proofErr w:type="spellStart"/>
      <w:r w:rsidRPr="00CF6765">
        <w:rPr>
          <w:i/>
          <w:iCs/>
          <w:sz w:val="16"/>
          <w:szCs w:val="16"/>
          <w:lang w:val="en-US"/>
        </w:rPr>
        <w:t>sumario</w:t>
      </w:r>
      <w:proofErr w:type="spellEnd"/>
      <w:r w:rsidRPr="00CF6765">
        <w:rPr>
          <w:i/>
          <w:iCs/>
          <w:sz w:val="16"/>
          <w:szCs w:val="16"/>
          <w:lang w:val="en-US"/>
        </w:rPr>
        <w:t xml:space="preserve"> </w:t>
      </w:r>
      <w:proofErr w:type="spellStart"/>
      <w:r w:rsidRPr="00CF6765">
        <w:rPr>
          <w:i/>
          <w:iCs/>
          <w:sz w:val="16"/>
          <w:szCs w:val="16"/>
          <w:lang w:val="en-US"/>
        </w:rPr>
        <w:t>interno</w:t>
      </w:r>
      <w:proofErr w:type="spellEnd"/>
      <w:r w:rsidRPr="00CF6765">
        <w:rPr>
          <w:i/>
          <w:iCs/>
          <w:sz w:val="16"/>
          <w:szCs w:val="16"/>
          <w:lang w:val="en-US"/>
        </w:rPr>
        <w:t xml:space="preserve"> por </w:t>
      </w:r>
      <w:proofErr w:type="spellStart"/>
      <w:r w:rsidRPr="00CF6765">
        <w:rPr>
          <w:i/>
          <w:iCs/>
          <w:sz w:val="16"/>
          <w:szCs w:val="16"/>
          <w:lang w:val="en-US"/>
        </w:rPr>
        <w:t>muerte</w:t>
      </w:r>
      <w:proofErr w:type="spellEnd"/>
      <w:r w:rsidRPr="00CF6765">
        <w:rPr>
          <w:i/>
          <w:iCs/>
          <w:sz w:val="16"/>
          <w:szCs w:val="16"/>
          <w:lang w:val="en-US"/>
        </w:rPr>
        <w:t xml:space="preserve"> de </w:t>
      </w:r>
      <w:proofErr w:type="spellStart"/>
      <w:r w:rsidRPr="00CF6765">
        <w:rPr>
          <w:i/>
          <w:iCs/>
          <w:sz w:val="16"/>
          <w:szCs w:val="16"/>
          <w:lang w:val="en-US"/>
        </w:rPr>
        <w:t>bebé</w:t>
      </w:r>
      <w:proofErr w:type="spellEnd"/>
      <w:r w:rsidRPr="00CF6765">
        <w:rPr>
          <w:i/>
          <w:iCs/>
          <w:sz w:val="16"/>
          <w:szCs w:val="16"/>
          <w:lang w:val="en-US"/>
        </w:rPr>
        <w:t xml:space="preserve"> </w:t>
      </w:r>
      <w:proofErr w:type="spellStart"/>
      <w:r w:rsidRPr="00CF6765">
        <w:rPr>
          <w:i/>
          <w:iCs/>
          <w:sz w:val="16"/>
          <w:szCs w:val="16"/>
          <w:lang w:val="en-US"/>
        </w:rPr>
        <w:t>en</w:t>
      </w:r>
      <w:proofErr w:type="spellEnd"/>
      <w:r w:rsidRPr="00CF6765">
        <w:rPr>
          <w:i/>
          <w:iCs/>
          <w:sz w:val="16"/>
          <w:szCs w:val="16"/>
          <w:lang w:val="en-US"/>
        </w:rPr>
        <w:t xml:space="preserve"> </w:t>
      </w:r>
      <w:proofErr w:type="spellStart"/>
      <w:r w:rsidRPr="00CF6765">
        <w:rPr>
          <w:i/>
          <w:iCs/>
          <w:sz w:val="16"/>
          <w:szCs w:val="16"/>
          <w:lang w:val="en-US"/>
        </w:rPr>
        <w:t>vientre</w:t>
      </w:r>
      <w:proofErr w:type="spellEnd"/>
      <w:r w:rsidRPr="00CF6765">
        <w:rPr>
          <w:i/>
          <w:iCs/>
          <w:sz w:val="16"/>
          <w:szCs w:val="16"/>
          <w:lang w:val="en-US"/>
        </w:rPr>
        <w:t xml:space="preserve"> </w:t>
      </w:r>
      <w:proofErr w:type="spellStart"/>
      <w:r w:rsidRPr="00CF6765">
        <w:rPr>
          <w:i/>
          <w:iCs/>
          <w:sz w:val="16"/>
          <w:szCs w:val="16"/>
          <w:lang w:val="en-US"/>
        </w:rPr>
        <w:t>materno</w:t>
      </w:r>
      <w:proofErr w:type="spellEnd"/>
      <w:r w:rsidRPr="00CF6765">
        <w:rPr>
          <w:sz w:val="16"/>
          <w:szCs w:val="16"/>
          <w:lang w:val="en-US"/>
        </w:rPr>
        <w:t>” [</w:t>
      </w:r>
      <w:proofErr w:type="spellStart"/>
      <w:r w:rsidRPr="00CF6765">
        <w:rPr>
          <w:sz w:val="16"/>
          <w:szCs w:val="16"/>
          <w:lang w:val="en-US"/>
        </w:rPr>
        <w:t>Sótero</w:t>
      </w:r>
      <w:proofErr w:type="spellEnd"/>
      <w:r w:rsidRPr="00CF6765">
        <w:rPr>
          <w:sz w:val="16"/>
          <w:szCs w:val="16"/>
          <w:lang w:val="en-US"/>
        </w:rPr>
        <w:t xml:space="preserve"> del Rio Hospital will conduct internal investigation for death of unborn baby] (evidence file, annex 15 of the Merits Report, ff. 117 and 118).</w:t>
      </w:r>
    </w:p>
  </w:footnote>
  <w:footnote w:id="114">
    <w:p w14:paraId="509A46F4" w14:textId="0D84FF89" w:rsidR="003558F5" w:rsidRPr="00CF6765" w:rsidRDefault="003558F5" w:rsidP="00450250">
      <w:pPr>
        <w:pStyle w:val="Textonotapie"/>
        <w:spacing w:after="60"/>
        <w:ind w:right="13"/>
        <w:rPr>
          <w:sz w:val="16"/>
          <w:szCs w:val="16"/>
          <w:lang w:val="en-US"/>
        </w:rPr>
      </w:pPr>
      <w:r w:rsidRPr="00CF6765">
        <w:rPr>
          <w:rStyle w:val="Refdenotaalpie"/>
          <w:rFonts w:eastAsia="MS Mincho"/>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Complete list of complaints associated with the </w:t>
      </w:r>
      <w:proofErr w:type="spellStart"/>
      <w:r w:rsidRPr="00CF6765">
        <w:rPr>
          <w:sz w:val="16"/>
          <w:szCs w:val="16"/>
          <w:lang w:val="en-US"/>
        </w:rPr>
        <w:t>Sótero</w:t>
      </w:r>
      <w:proofErr w:type="spellEnd"/>
      <w:r w:rsidRPr="00CF6765">
        <w:rPr>
          <w:sz w:val="16"/>
          <w:szCs w:val="16"/>
          <w:lang w:val="en-US"/>
        </w:rPr>
        <w:t xml:space="preserve"> del Río Hospital (evidence file, annex 16 of the Merits Report, ff. 120 to 124). The constant complaints about irregularities and deficiencies in the said hospital continue up until the present and are added to this list; the most frequent are those related to poor medical care, lack of opportune treatment, lack of hospitalization beds and equipment, as well as erroneous diagnoses; the most recent occurred on January 28, 2018. </w:t>
      </w:r>
      <w:r w:rsidRPr="00CF6765">
        <w:rPr>
          <w:i/>
          <w:sz w:val="16"/>
          <w:szCs w:val="16"/>
          <w:lang w:val="en-US"/>
        </w:rPr>
        <w:t xml:space="preserve">Cf. </w:t>
      </w:r>
      <w:hyperlink r:id="rId4" w:history="1">
        <w:r w:rsidRPr="00CF6765">
          <w:rPr>
            <w:rStyle w:val="Hipervnculo"/>
            <w:sz w:val="16"/>
            <w:szCs w:val="16"/>
            <w:lang w:val="en-US"/>
          </w:rPr>
          <w:t>https://www.reclamos.cl/empresa/hospital_s_tero_del_r_o</w:t>
        </w:r>
      </w:hyperlink>
      <w:r w:rsidRPr="00CF6765">
        <w:rPr>
          <w:sz w:val="16"/>
          <w:szCs w:val="16"/>
          <w:lang w:val="en-US"/>
        </w:rPr>
        <w:t>.</w:t>
      </w:r>
    </w:p>
  </w:footnote>
  <w:footnote w:id="115">
    <w:p w14:paraId="4726E455" w14:textId="05949A5A" w:rsidR="003558F5" w:rsidRPr="00CF6765" w:rsidRDefault="003558F5" w:rsidP="00450250">
      <w:pPr>
        <w:pStyle w:val="Textonotapie"/>
        <w:spacing w:after="60"/>
        <w:ind w:right="13"/>
        <w:rPr>
          <w:sz w:val="16"/>
          <w:szCs w:val="16"/>
          <w:lang w:val="en-US"/>
        </w:rPr>
      </w:pPr>
      <w:r w:rsidRPr="00CF6765">
        <w:rPr>
          <w:rStyle w:val="Refdenotaalpie"/>
          <w:lang w:val="en-US"/>
        </w:rPr>
        <w:footnoteRef/>
      </w:r>
      <w:r w:rsidRPr="00CF6765">
        <w:rPr>
          <w:lang w:val="en-US"/>
        </w:rPr>
        <w:t xml:space="preserve"> </w:t>
      </w:r>
      <w:r w:rsidRPr="00CF6765">
        <w:rPr>
          <w:lang w:val="en-US"/>
        </w:rPr>
        <w:tab/>
      </w:r>
      <w:r w:rsidRPr="00CF6765">
        <w:rPr>
          <w:sz w:val="16"/>
          <w:szCs w:val="16"/>
          <w:lang w:val="en-US"/>
        </w:rPr>
        <w:t xml:space="preserve">The Court will use the expression “older person” in this judgment, since this was the terminology adopted in Article 2 of the Inter-American Convention on Protecting the Human Rights of Older Persons, adopted </w:t>
      </w:r>
      <w:r w:rsidRPr="00CF6765">
        <w:rPr>
          <w:rFonts w:eastAsia="Calibri"/>
          <w:sz w:val="16"/>
          <w:szCs w:val="16"/>
          <w:lang w:val="en-US" w:eastAsia="en-US"/>
        </w:rPr>
        <w:t>on June 15, 2015, by the OAS General Assembly. Entry into force on January 11, 2017. Nevertheless, owing to date of the violations, this instrument is not applicable to the facts of the instant case.</w:t>
      </w:r>
    </w:p>
  </w:footnote>
  <w:footnote w:id="116">
    <w:p w14:paraId="49A0E61E" w14:textId="20B9D752"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ab/>
        <w:t xml:space="preserve">Article 26.  Progressive Development. </w:t>
      </w:r>
      <w:r w:rsidRPr="00CF6765">
        <w:rPr>
          <w:spacing w:val="-3"/>
          <w:sz w:val="16"/>
          <w:szCs w:val="16"/>
          <w:lang w:val="en-US"/>
        </w:rPr>
        <w:t>The States Parties undertake to adopt measures, both internally and through international cooperation, especially those of an economic and technical nature, with a view to achieving progressively, subject to available resources, by legislation or other appropriate means, the full realization of the rights implicit in the economic, social, educational, scientific, and cultural standards set forth in the Charter of the Organization of American States as amended by the Protocol of Buenos Aires.</w:t>
      </w:r>
    </w:p>
  </w:footnote>
  <w:footnote w:id="117">
    <w:p w14:paraId="3CA8E0D2" w14:textId="733F02CC"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ab/>
        <w:t xml:space="preserve">Article 4. Right to Life. 1. </w:t>
      </w:r>
      <w:r w:rsidRPr="00CF6765">
        <w:rPr>
          <w:spacing w:val="-3"/>
          <w:sz w:val="16"/>
          <w:szCs w:val="16"/>
          <w:lang w:val="en-US"/>
        </w:rPr>
        <w:t>Every person has the right to have his life respected.  This right shall be protected by law and, in general, from the moment of conception.  No one shall be arbitrarily deprived of his life.</w:t>
      </w:r>
      <w:r w:rsidRPr="00CF6765">
        <w:rPr>
          <w:sz w:val="16"/>
          <w:szCs w:val="16"/>
          <w:lang w:val="en-US"/>
        </w:rPr>
        <w:t xml:space="preserve"> […].</w:t>
      </w:r>
    </w:p>
  </w:footnote>
  <w:footnote w:id="118">
    <w:p w14:paraId="35C59C8D" w14:textId="0A3A1EEA"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Article 5. Right to Humane Treatment. 1. </w:t>
      </w:r>
      <w:r w:rsidRPr="00CF6765">
        <w:rPr>
          <w:spacing w:val="-3"/>
          <w:sz w:val="16"/>
          <w:szCs w:val="16"/>
          <w:lang w:val="en-US"/>
        </w:rPr>
        <w:t>Every person has the right to have his physical, mental, and moral integrity respected.</w:t>
      </w:r>
      <w:r w:rsidRPr="00CF6765">
        <w:rPr>
          <w:sz w:val="16"/>
          <w:szCs w:val="16"/>
          <w:lang w:val="en-US"/>
        </w:rPr>
        <w:t xml:space="preserve"> […].</w:t>
      </w:r>
    </w:p>
  </w:footnote>
  <w:footnote w:id="119">
    <w:p w14:paraId="791392E7" w14:textId="4FE156D6"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Article 13. Freedom of Thought and Expression. 1. </w:t>
      </w:r>
      <w:r w:rsidRPr="00CF6765">
        <w:rPr>
          <w:spacing w:val="-3"/>
          <w:sz w:val="16"/>
          <w:szCs w:val="16"/>
          <w:lang w:val="en-US"/>
        </w:rPr>
        <w:t>Everyone has the right to freedom of thought and expression.  This right includes freedom to seek, receive, and impart information and ideas of all kinds, regardless of frontiers, either orally, in writing, in print, in the form of art, or through any other medium of one's choice.</w:t>
      </w:r>
      <w:r w:rsidRPr="00CF6765">
        <w:rPr>
          <w:sz w:val="16"/>
          <w:szCs w:val="16"/>
          <w:lang w:val="en-US"/>
        </w:rPr>
        <w:t xml:space="preserve"> […].</w:t>
      </w:r>
    </w:p>
  </w:footnote>
  <w:footnote w:id="120">
    <w:p w14:paraId="7EF7A545" w14:textId="699E2C49"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ab/>
      </w:r>
      <w:r w:rsidRPr="00CF6765">
        <w:rPr>
          <w:rFonts w:cs="Tahoma"/>
          <w:color w:val="000000"/>
          <w:sz w:val="16"/>
          <w:szCs w:val="16"/>
          <w:lang w:val="en-US"/>
        </w:rPr>
        <w:t xml:space="preserve">Article 11. Right to Privacy. 1. </w:t>
      </w:r>
      <w:r w:rsidRPr="00CF6765">
        <w:rPr>
          <w:spacing w:val="-3"/>
          <w:sz w:val="16"/>
          <w:szCs w:val="16"/>
          <w:lang w:val="en-US"/>
        </w:rPr>
        <w:t>Everyone has the right to have his honor respected and his dignity recognized</w:t>
      </w:r>
      <w:r w:rsidRPr="00CF6765">
        <w:rPr>
          <w:sz w:val="16"/>
          <w:szCs w:val="16"/>
          <w:lang w:val="en-US"/>
        </w:rPr>
        <w:t xml:space="preserve"> […].</w:t>
      </w:r>
    </w:p>
  </w:footnote>
  <w:footnote w:id="121">
    <w:p w14:paraId="7D8C43EB" w14:textId="30FC874E"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ab/>
        <w:t xml:space="preserve">Article 7. Right to Personal Liberty. 1. </w:t>
      </w:r>
      <w:r w:rsidRPr="00CF6765">
        <w:rPr>
          <w:spacing w:val="-3"/>
          <w:sz w:val="16"/>
          <w:szCs w:val="16"/>
          <w:lang w:val="en-US"/>
        </w:rPr>
        <w:t>Every person has the right to personal liberty and security</w:t>
      </w:r>
      <w:r w:rsidRPr="00CF6765">
        <w:rPr>
          <w:sz w:val="16"/>
          <w:szCs w:val="16"/>
          <w:lang w:val="en-US"/>
        </w:rPr>
        <w:t>. […].</w:t>
      </w:r>
    </w:p>
  </w:footnote>
  <w:footnote w:id="122">
    <w:p w14:paraId="09169851" w14:textId="4BF06C9C"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ab/>
        <w:t xml:space="preserve">Article 8. Right to a Fair Trial. 1. </w:t>
      </w:r>
      <w:r w:rsidRPr="00CF6765">
        <w:rPr>
          <w:spacing w:val="-3"/>
          <w:sz w:val="16"/>
          <w:szCs w:val="16"/>
          <w:lang w:val="en-US"/>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CF6765">
        <w:rPr>
          <w:sz w:val="16"/>
          <w:szCs w:val="16"/>
          <w:lang w:val="en-US"/>
        </w:rPr>
        <w:t>. […].</w:t>
      </w:r>
    </w:p>
  </w:footnote>
  <w:footnote w:id="123">
    <w:p w14:paraId="42DE1E56" w14:textId="4CAA2BCA"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ab/>
        <w:t xml:space="preserve">Article 25. Judicial Protection. 1. </w:t>
      </w:r>
      <w:r w:rsidRPr="00CF6765">
        <w:rPr>
          <w:spacing w:val="-3"/>
          <w:sz w:val="16"/>
          <w:szCs w:val="16"/>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CF6765">
        <w:rPr>
          <w:sz w:val="16"/>
          <w:szCs w:val="16"/>
          <w:lang w:val="en-US"/>
        </w:rPr>
        <w:t>. […].</w:t>
      </w:r>
    </w:p>
  </w:footnote>
  <w:footnote w:id="124">
    <w:p w14:paraId="5E3EAAF2" w14:textId="076152F9"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Article 1(1) of the Convention establishes that the States “</w:t>
      </w:r>
      <w:r w:rsidRPr="00CF6765">
        <w:rPr>
          <w:spacing w:val="-3"/>
          <w:sz w:val="16"/>
          <w:szCs w:val="16"/>
          <w:lang w:val="en-US"/>
        </w:rPr>
        <w:t>undertake to respect the rights and freedoms recognized herein and to ensure to all persons subject to their jurisdiction the free and full exercise of those rights and freedoms</w:t>
      </w:r>
      <w:r w:rsidRPr="00CF6765">
        <w:rPr>
          <w:sz w:val="16"/>
          <w:szCs w:val="16"/>
          <w:lang w:val="en-US"/>
        </w:rPr>
        <w:t xml:space="preserve"> […].”</w:t>
      </w:r>
    </w:p>
  </w:footnote>
  <w:footnote w:id="125">
    <w:p w14:paraId="253100B9" w14:textId="7C710A98"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ab/>
        <w:t xml:space="preserve">Such as: </w:t>
      </w:r>
      <w:proofErr w:type="gramStart"/>
      <w:r w:rsidRPr="00CF6765">
        <w:rPr>
          <w:sz w:val="16"/>
          <w:szCs w:val="16"/>
          <w:lang w:val="en-US"/>
        </w:rPr>
        <w:t>the</w:t>
      </w:r>
      <w:proofErr w:type="gramEnd"/>
      <w:r w:rsidRPr="00CF6765">
        <w:rPr>
          <w:sz w:val="16"/>
          <w:szCs w:val="16"/>
          <w:lang w:val="en-US"/>
        </w:rPr>
        <w:t xml:space="preserve"> Ethics Code of the Chilean Physicians’ Association; Supreme Decree No. 42, rescinded in 2005, and the “Charter of Patients’ Rights,” prepared by the National Health Foundation together with the </w:t>
      </w:r>
      <w:r w:rsidRPr="00CF6765">
        <w:rPr>
          <w:rFonts w:eastAsia="Calibri"/>
          <w:sz w:val="16"/>
          <w:szCs w:val="16"/>
          <w:lang w:val="en-US" w:eastAsia="en-US"/>
        </w:rPr>
        <w:t>Ministry of Health. These instruments include the obligation of doctors to obtain the express consent of patients or their families, which makes the omission of the doctors in this case inexcusable.</w:t>
      </w:r>
    </w:p>
  </w:footnote>
  <w:footnote w:id="126">
    <w:p w14:paraId="63F587E1" w14:textId="0B729BA5" w:rsidR="003558F5" w:rsidRPr="00CF6765" w:rsidRDefault="003558F5" w:rsidP="00002163">
      <w:pPr>
        <w:pStyle w:val="Textonotapie"/>
        <w:spacing w:after="60"/>
        <w:rPr>
          <w:color w:val="000000"/>
          <w:sz w:val="16"/>
          <w:szCs w:val="16"/>
          <w:lang w:val="en-US"/>
        </w:rPr>
      </w:pPr>
      <w:r w:rsidRPr="00CF6765">
        <w:rPr>
          <w:rStyle w:val="Refdenotaalpie"/>
          <w:color w:val="000000"/>
          <w:sz w:val="16"/>
          <w:szCs w:val="16"/>
          <w:lang w:val="en-US"/>
        </w:rPr>
        <w:footnoteRef/>
      </w:r>
      <w:r w:rsidRPr="00392A9A">
        <w:rPr>
          <w:color w:val="000000"/>
          <w:sz w:val="16"/>
          <w:szCs w:val="16"/>
          <w:lang w:val="es-CR"/>
        </w:rPr>
        <w:t xml:space="preserve"> </w:t>
      </w:r>
      <w:r w:rsidRPr="00392A9A">
        <w:rPr>
          <w:color w:val="000000"/>
          <w:sz w:val="16"/>
          <w:szCs w:val="16"/>
          <w:lang w:val="es-CR"/>
        </w:rPr>
        <w:tab/>
      </w:r>
      <w:r w:rsidRPr="00392A9A">
        <w:rPr>
          <w:i/>
          <w:sz w:val="16"/>
          <w:szCs w:val="16"/>
          <w:lang w:val="es-CR"/>
        </w:rPr>
        <w:t xml:space="preserve">Case </w:t>
      </w:r>
      <w:proofErr w:type="spellStart"/>
      <w:r w:rsidRPr="00392A9A">
        <w:rPr>
          <w:i/>
          <w:sz w:val="16"/>
          <w:szCs w:val="16"/>
          <w:lang w:val="es-CR"/>
        </w:rPr>
        <w:t>of</w:t>
      </w:r>
      <w:proofErr w:type="spellEnd"/>
      <w:r w:rsidRPr="00392A9A">
        <w:rPr>
          <w:i/>
          <w:sz w:val="16"/>
          <w:szCs w:val="16"/>
          <w:lang w:val="es-CR"/>
        </w:rPr>
        <w:t xml:space="preserve"> Lagos del Campo v. </w:t>
      </w:r>
      <w:proofErr w:type="spellStart"/>
      <w:r w:rsidRPr="00392A9A">
        <w:rPr>
          <w:i/>
          <w:sz w:val="16"/>
          <w:szCs w:val="16"/>
          <w:lang w:val="es-CR"/>
        </w:rPr>
        <w:t>Peru</w:t>
      </w:r>
      <w:proofErr w:type="spellEnd"/>
      <w:r w:rsidRPr="00392A9A">
        <w:rPr>
          <w:i/>
          <w:sz w:val="16"/>
          <w:szCs w:val="16"/>
          <w:lang w:val="es-CR"/>
        </w:rPr>
        <w:t xml:space="preserve">. </w:t>
      </w:r>
      <w:r w:rsidRPr="00CF6765">
        <w:rPr>
          <w:i/>
          <w:sz w:val="16"/>
          <w:szCs w:val="16"/>
          <w:lang w:val="en-US"/>
        </w:rPr>
        <w:t>Preliminary objections, merits, reparations and costs</w:t>
      </w:r>
      <w:r w:rsidRPr="00CF6765">
        <w:rPr>
          <w:sz w:val="16"/>
          <w:szCs w:val="16"/>
          <w:lang w:val="en-US"/>
        </w:rPr>
        <w:t>. Judgment of August 31, 2017. Series C No. 340, paras. 142 and 145.</w:t>
      </w:r>
      <w:r w:rsidRPr="00CF6765">
        <w:rPr>
          <w:i/>
          <w:color w:val="000000"/>
          <w:sz w:val="16"/>
          <w:szCs w:val="16"/>
          <w:lang w:val="en-US"/>
        </w:rPr>
        <w:t xml:space="preserve"> </w:t>
      </w:r>
    </w:p>
  </w:footnote>
  <w:footnote w:id="127">
    <w:p w14:paraId="0208DC25" w14:textId="46F767E5" w:rsidR="003558F5" w:rsidRPr="00392A9A" w:rsidRDefault="003558F5" w:rsidP="00855CAC">
      <w:pPr>
        <w:rPr>
          <w:lang w:eastAsia="x-none"/>
        </w:rPr>
      </w:pPr>
      <w:r w:rsidRPr="00CF6765">
        <w:rPr>
          <w:rStyle w:val="Refdenotaalpie"/>
          <w:color w:val="000000"/>
          <w:sz w:val="16"/>
          <w:szCs w:val="16"/>
          <w:lang w:val="en-US"/>
        </w:rPr>
        <w:footnoteRef/>
      </w:r>
      <w:r w:rsidRPr="00CF6765">
        <w:rPr>
          <w:rStyle w:val="Refdenotaalpie"/>
          <w:color w:val="000000"/>
          <w:sz w:val="16"/>
          <w:szCs w:val="16"/>
          <w:lang w:val="en-US"/>
        </w:rPr>
        <w:t xml:space="preserve"> </w:t>
      </w:r>
      <w:r w:rsidRPr="00CF6765">
        <w:rPr>
          <w:sz w:val="16"/>
          <w:szCs w:val="16"/>
          <w:lang w:val="en-US"/>
        </w:rPr>
        <w:t xml:space="preserve"> </w:t>
      </w:r>
      <w:r w:rsidRPr="00CF6765">
        <w:rPr>
          <w:sz w:val="16"/>
          <w:szCs w:val="16"/>
          <w:lang w:val="en-US"/>
        </w:rPr>
        <w:tab/>
      </w:r>
      <w:r w:rsidRPr="00CF6765">
        <w:rPr>
          <w:i/>
          <w:iCs/>
          <w:color w:val="000000"/>
          <w:sz w:val="16"/>
          <w:szCs w:val="16"/>
          <w:lang w:val="en-US"/>
        </w:rPr>
        <w:t>Cf.</w:t>
      </w:r>
      <w:r w:rsidRPr="00CF6765">
        <w:rPr>
          <w:i/>
          <w:iCs/>
          <w:sz w:val="16"/>
          <w:szCs w:val="16"/>
          <w:lang w:val="en-US"/>
        </w:rPr>
        <w:t xml:space="preserve"> </w:t>
      </w:r>
      <w:r w:rsidRPr="00CF6765">
        <w:rPr>
          <w:i/>
          <w:iCs/>
          <w:color w:val="000000"/>
          <w:sz w:val="16"/>
          <w:szCs w:val="16"/>
          <w:lang w:val="en-US"/>
        </w:rPr>
        <w:t xml:space="preserve">Case of Acevedo </w:t>
      </w:r>
      <w:proofErr w:type="spellStart"/>
      <w:r w:rsidRPr="00CF6765">
        <w:rPr>
          <w:i/>
          <w:iCs/>
          <w:color w:val="000000"/>
          <w:sz w:val="16"/>
          <w:szCs w:val="16"/>
          <w:lang w:val="en-US"/>
        </w:rPr>
        <w:t>Buendía</w:t>
      </w:r>
      <w:proofErr w:type="spellEnd"/>
      <w:r w:rsidRPr="00CF6765">
        <w:rPr>
          <w:i/>
          <w:iCs/>
          <w:color w:val="000000"/>
          <w:sz w:val="16"/>
          <w:szCs w:val="16"/>
          <w:lang w:val="en-US"/>
        </w:rPr>
        <w:t xml:space="preserve"> et al. (“Discharged and Retired Employees of the Comptroller’s Office”) v. Peru. Preliminary objection, merits, reparations and costs</w:t>
      </w:r>
      <w:r w:rsidRPr="00CF6765">
        <w:rPr>
          <w:color w:val="000000"/>
          <w:sz w:val="16"/>
          <w:szCs w:val="16"/>
          <w:lang w:val="en-US"/>
        </w:rPr>
        <w:t>. Judgment of July 1, 2009 Series C No 198</w:t>
      </w:r>
      <w:r w:rsidRPr="00CF6765">
        <w:rPr>
          <w:sz w:val="16"/>
          <w:szCs w:val="16"/>
          <w:lang w:val="en-US"/>
        </w:rPr>
        <w:t xml:space="preserve">, </w:t>
      </w:r>
      <w:r w:rsidRPr="00CF6765">
        <w:rPr>
          <w:color w:val="000000"/>
          <w:sz w:val="16"/>
          <w:szCs w:val="16"/>
          <w:lang w:val="en-US"/>
        </w:rPr>
        <w:t xml:space="preserve">para. </w:t>
      </w:r>
      <w:r w:rsidRPr="00392A9A">
        <w:rPr>
          <w:color w:val="000000"/>
          <w:sz w:val="16"/>
          <w:szCs w:val="16"/>
        </w:rPr>
        <w:t xml:space="preserve">16, 17 and 100, and </w:t>
      </w:r>
      <w:r w:rsidRPr="00392A9A">
        <w:rPr>
          <w:i/>
          <w:iCs/>
          <w:sz w:val="16"/>
          <w:szCs w:val="16"/>
        </w:rPr>
        <w:t xml:space="preserve">Case </w:t>
      </w:r>
      <w:proofErr w:type="spellStart"/>
      <w:r w:rsidRPr="00392A9A">
        <w:rPr>
          <w:i/>
          <w:iCs/>
          <w:sz w:val="16"/>
          <w:szCs w:val="16"/>
        </w:rPr>
        <w:t>of</w:t>
      </w:r>
      <w:proofErr w:type="spellEnd"/>
      <w:r w:rsidRPr="00392A9A">
        <w:rPr>
          <w:i/>
          <w:iCs/>
          <w:sz w:val="16"/>
          <w:szCs w:val="16"/>
        </w:rPr>
        <w:t xml:space="preserve"> Lagos del Campo v. </w:t>
      </w:r>
      <w:proofErr w:type="spellStart"/>
      <w:r w:rsidRPr="00392A9A">
        <w:rPr>
          <w:i/>
          <w:iCs/>
          <w:sz w:val="16"/>
          <w:szCs w:val="16"/>
        </w:rPr>
        <w:t>Peru</w:t>
      </w:r>
      <w:proofErr w:type="spellEnd"/>
      <w:r w:rsidRPr="00392A9A">
        <w:rPr>
          <w:i/>
          <w:iCs/>
          <w:sz w:val="16"/>
          <w:szCs w:val="16"/>
        </w:rPr>
        <w:t>, supra,</w:t>
      </w:r>
      <w:r w:rsidRPr="00392A9A">
        <w:rPr>
          <w:sz w:val="16"/>
          <w:szCs w:val="16"/>
        </w:rPr>
        <w:t xml:space="preserve"> para. 154. </w:t>
      </w:r>
    </w:p>
    <w:p w14:paraId="1BF3EC91" w14:textId="77777777" w:rsidR="003558F5" w:rsidRPr="00392A9A" w:rsidRDefault="003558F5" w:rsidP="00855CAC">
      <w:pPr>
        <w:rPr>
          <w:sz w:val="6"/>
          <w:szCs w:val="6"/>
          <w:lang w:eastAsia="x-none"/>
        </w:rPr>
      </w:pPr>
    </w:p>
  </w:footnote>
  <w:footnote w:id="128">
    <w:p w14:paraId="7C53CC9E" w14:textId="0C9C7314" w:rsidR="003558F5" w:rsidRPr="00392A9A" w:rsidRDefault="003558F5" w:rsidP="00BC3964">
      <w:pPr>
        <w:pStyle w:val="Ttulo3"/>
        <w:tabs>
          <w:tab w:val="clear" w:pos="567"/>
        </w:tabs>
        <w:spacing w:after="60"/>
        <w:ind w:left="0"/>
        <w:rPr>
          <w:i w:val="0"/>
          <w:sz w:val="16"/>
          <w:szCs w:val="16"/>
          <w:lang w:val="es-CR"/>
        </w:rPr>
      </w:pPr>
      <w:r w:rsidRPr="00CF6765">
        <w:rPr>
          <w:rStyle w:val="Refdenotaalpie"/>
          <w:i w:val="0"/>
          <w:color w:val="000000"/>
          <w:sz w:val="16"/>
          <w:szCs w:val="16"/>
          <w:lang w:val="en-US"/>
        </w:rPr>
        <w:footnoteRef/>
      </w:r>
      <w:r w:rsidRPr="00392A9A">
        <w:rPr>
          <w:rStyle w:val="Refdenotaalpie"/>
          <w:i w:val="0"/>
          <w:color w:val="000000"/>
          <w:sz w:val="16"/>
          <w:szCs w:val="16"/>
          <w:lang w:val="es-CR"/>
        </w:rPr>
        <w:t xml:space="preserve">  </w:t>
      </w:r>
      <w:r w:rsidRPr="00392A9A">
        <w:rPr>
          <w:sz w:val="16"/>
          <w:szCs w:val="16"/>
          <w:lang w:val="es-CR"/>
        </w:rPr>
        <w:t xml:space="preserve"> </w:t>
      </w:r>
      <w:r w:rsidRPr="00392A9A">
        <w:rPr>
          <w:sz w:val="16"/>
          <w:szCs w:val="16"/>
          <w:lang w:val="es-CR"/>
        </w:rPr>
        <w:tab/>
        <w:t xml:space="preserve">Cf. Case </w:t>
      </w:r>
      <w:proofErr w:type="spellStart"/>
      <w:r w:rsidRPr="00392A9A">
        <w:rPr>
          <w:sz w:val="16"/>
          <w:szCs w:val="16"/>
          <w:lang w:val="es-CR"/>
        </w:rPr>
        <w:t>of</w:t>
      </w:r>
      <w:proofErr w:type="spellEnd"/>
      <w:r w:rsidRPr="00392A9A">
        <w:rPr>
          <w:sz w:val="16"/>
          <w:szCs w:val="16"/>
          <w:lang w:val="es-CR"/>
        </w:rPr>
        <w:t xml:space="preserve"> Lagos del Campo v. </w:t>
      </w:r>
      <w:proofErr w:type="spellStart"/>
      <w:r w:rsidRPr="00392A9A">
        <w:rPr>
          <w:sz w:val="16"/>
          <w:szCs w:val="16"/>
          <w:lang w:val="es-CR"/>
        </w:rPr>
        <w:t>Peru</w:t>
      </w:r>
      <w:proofErr w:type="spellEnd"/>
      <w:r w:rsidRPr="00392A9A">
        <w:rPr>
          <w:sz w:val="16"/>
          <w:szCs w:val="16"/>
          <w:lang w:val="es-CR"/>
        </w:rPr>
        <w:t>,</w:t>
      </w:r>
      <w:r w:rsidRPr="00392A9A">
        <w:rPr>
          <w:i w:val="0"/>
          <w:sz w:val="16"/>
          <w:szCs w:val="16"/>
          <w:lang w:val="es-CR"/>
        </w:rPr>
        <w:t xml:space="preserve"> </w:t>
      </w:r>
      <w:r w:rsidRPr="00392A9A">
        <w:rPr>
          <w:bCs/>
          <w:sz w:val="16"/>
          <w:szCs w:val="16"/>
          <w:lang w:val="es-CR"/>
        </w:rPr>
        <w:t xml:space="preserve">supra, </w:t>
      </w:r>
      <w:r w:rsidRPr="00392A9A">
        <w:rPr>
          <w:i w:val="0"/>
          <w:sz w:val="16"/>
          <w:szCs w:val="16"/>
          <w:lang w:val="es-CR"/>
        </w:rPr>
        <w:t xml:space="preserve">paras. </w:t>
      </w:r>
      <w:r w:rsidRPr="00CF6765">
        <w:rPr>
          <w:i w:val="0"/>
          <w:sz w:val="16"/>
          <w:szCs w:val="16"/>
          <w:lang w:val="en-US"/>
        </w:rPr>
        <w:t xml:space="preserve">142 and 154.  Para. 142. “Thus, the Court has previously asserted that the broad terms in which the Convention was drafted signify that the Court exercises full jurisdiction over all its articles and provisions. It should also be noted that although Article 26 appears in Chapter III of the Convention, entitled ‘Economic, Social and Cultural Rights,’ it is also located in Part I of this instrument, entitled ‘State Obligations and Rights Protected’ and, consequently, it is subject to the general obligations contained in Articles 1(1) and 2 in Chapter I (entitled ‘General Obligations’), as  also are  Articles 3 to 25 that appear in Chapter II (entitled ‘Civil and Political Rights’).” </w:t>
      </w:r>
      <w:r w:rsidRPr="00CF6765">
        <w:rPr>
          <w:sz w:val="16"/>
          <w:szCs w:val="16"/>
          <w:lang w:val="en-US"/>
        </w:rPr>
        <w:t>Cf.</w:t>
      </w:r>
      <w:r w:rsidRPr="00CF6765">
        <w:rPr>
          <w:i w:val="0"/>
          <w:sz w:val="16"/>
          <w:szCs w:val="16"/>
          <w:lang w:val="en-US"/>
        </w:rPr>
        <w:t xml:space="preserve"> </w:t>
      </w:r>
      <w:r w:rsidRPr="00CF6765">
        <w:rPr>
          <w:sz w:val="16"/>
          <w:szCs w:val="16"/>
          <w:lang w:val="en-US"/>
        </w:rPr>
        <w:t xml:space="preserve">Case of Acevedo </w:t>
      </w:r>
      <w:proofErr w:type="spellStart"/>
      <w:r w:rsidRPr="00CF6765">
        <w:rPr>
          <w:sz w:val="16"/>
          <w:szCs w:val="16"/>
          <w:lang w:val="en-US"/>
        </w:rPr>
        <w:t>Buendía</w:t>
      </w:r>
      <w:proofErr w:type="spellEnd"/>
      <w:r w:rsidRPr="00CF6765">
        <w:rPr>
          <w:sz w:val="16"/>
          <w:szCs w:val="16"/>
          <w:lang w:val="en-US"/>
        </w:rPr>
        <w:t xml:space="preserve"> et al. (“Discharged and Retired Employees of the Comptroller’s Office”) v. Peru</w:t>
      </w:r>
      <w:r w:rsidRPr="00CF6765">
        <w:rPr>
          <w:i w:val="0"/>
          <w:sz w:val="16"/>
          <w:szCs w:val="16"/>
          <w:lang w:val="en-US"/>
        </w:rPr>
        <w:t xml:space="preserve">, </w:t>
      </w:r>
      <w:r w:rsidRPr="00CF6765">
        <w:rPr>
          <w:sz w:val="16"/>
          <w:szCs w:val="16"/>
          <w:lang w:val="en-US"/>
        </w:rPr>
        <w:t xml:space="preserve">supra, </w:t>
      </w:r>
      <w:r w:rsidRPr="00CF6765">
        <w:rPr>
          <w:i w:val="0"/>
          <w:sz w:val="16"/>
          <w:szCs w:val="16"/>
          <w:lang w:val="en-US"/>
        </w:rPr>
        <w:t>para. 100, and UN. Committee on Economic, Social and Cultural Rights,</w:t>
      </w:r>
      <w:r w:rsidRPr="00CF6765">
        <w:rPr>
          <w:sz w:val="16"/>
          <w:szCs w:val="16"/>
          <w:lang w:val="en-US"/>
        </w:rPr>
        <w:t xml:space="preserve"> General Comment No. 13: The right to education (art. 13 of the Covenant), </w:t>
      </w:r>
      <w:r w:rsidRPr="00CF6765">
        <w:rPr>
          <w:i w:val="0"/>
          <w:sz w:val="16"/>
          <w:szCs w:val="16"/>
          <w:lang w:val="en-US"/>
        </w:rPr>
        <w:t xml:space="preserve">UN Doc. </w:t>
      </w:r>
      <w:r w:rsidRPr="00392A9A">
        <w:rPr>
          <w:i w:val="0"/>
          <w:sz w:val="16"/>
          <w:szCs w:val="16"/>
          <w:lang w:val="es-CR"/>
        </w:rPr>
        <w:t>E/C.12/1999/10,</w:t>
      </w:r>
      <w:r w:rsidRPr="00392A9A">
        <w:rPr>
          <w:sz w:val="16"/>
          <w:szCs w:val="16"/>
          <w:lang w:val="es-CR"/>
        </w:rPr>
        <w:t xml:space="preserve"> </w:t>
      </w:r>
      <w:proofErr w:type="spellStart"/>
      <w:r w:rsidRPr="00392A9A">
        <w:rPr>
          <w:i w:val="0"/>
          <w:sz w:val="16"/>
          <w:szCs w:val="16"/>
          <w:lang w:val="es-CR"/>
        </w:rPr>
        <w:t>December</w:t>
      </w:r>
      <w:proofErr w:type="spellEnd"/>
      <w:r w:rsidRPr="00392A9A">
        <w:rPr>
          <w:i w:val="0"/>
          <w:sz w:val="16"/>
          <w:szCs w:val="16"/>
          <w:lang w:val="es-CR"/>
        </w:rPr>
        <w:t xml:space="preserve"> 8, 1999, para. 50.</w:t>
      </w:r>
    </w:p>
  </w:footnote>
  <w:footnote w:id="129">
    <w:p w14:paraId="35DDD584" w14:textId="7BFB6EFA" w:rsidR="003558F5" w:rsidRPr="00CF6765" w:rsidRDefault="003558F5" w:rsidP="00002163">
      <w:pPr>
        <w:pStyle w:val="Textonotapie"/>
        <w:spacing w:after="60"/>
        <w:rPr>
          <w:sz w:val="16"/>
          <w:szCs w:val="16"/>
          <w:lang w:val="en-US"/>
        </w:rPr>
      </w:pPr>
      <w:r w:rsidRPr="00CF6765">
        <w:rPr>
          <w:rStyle w:val="Refdenotaalpie"/>
          <w:rFonts w:eastAsia="Calibri"/>
          <w:color w:val="000000"/>
          <w:sz w:val="16"/>
          <w:szCs w:val="16"/>
          <w:lang w:val="en-US" w:eastAsia="en-US"/>
        </w:rPr>
        <w:footnoteRef/>
      </w:r>
      <w:r w:rsidRPr="00392A9A">
        <w:rPr>
          <w:sz w:val="16"/>
          <w:szCs w:val="16"/>
          <w:lang w:val="es-CR"/>
        </w:rPr>
        <w:t xml:space="preserve"> </w:t>
      </w:r>
      <w:r w:rsidRPr="00392A9A">
        <w:rPr>
          <w:sz w:val="16"/>
          <w:szCs w:val="16"/>
          <w:lang w:val="es-CR"/>
        </w:rPr>
        <w:tab/>
      </w:r>
      <w:r w:rsidRPr="00392A9A">
        <w:rPr>
          <w:i/>
          <w:sz w:val="16"/>
          <w:szCs w:val="16"/>
          <w:lang w:val="es-CR"/>
        </w:rPr>
        <w:t xml:space="preserve">Cf. Case </w:t>
      </w:r>
      <w:proofErr w:type="spellStart"/>
      <w:r w:rsidRPr="00392A9A">
        <w:rPr>
          <w:i/>
          <w:sz w:val="16"/>
          <w:szCs w:val="16"/>
          <w:lang w:val="es-CR"/>
        </w:rPr>
        <w:t>of</w:t>
      </w:r>
      <w:proofErr w:type="spellEnd"/>
      <w:r w:rsidRPr="00392A9A">
        <w:rPr>
          <w:i/>
          <w:sz w:val="16"/>
          <w:szCs w:val="16"/>
          <w:lang w:val="es-CR"/>
        </w:rPr>
        <w:t xml:space="preserve"> Lagos del Campo v. </w:t>
      </w:r>
      <w:proofErr w:type="spellStart"/>
      <w:r w:rsidRPr="00392A9A">
        <w:rPr>
          <w:i/>
          <w:sz w:val="16"/>
          <w:szCs w:val="16"/>
          <w:lang w:val="es-CR"/>
        </w:rPr>
        <w:t>Peru</w:t>
      </w:r>
      <w:proofErr w:type="spellEnd"/>
      <w:r w:rsidRPr="00392A9A">
        <w:rPr>
          <w:sz w:val="16"/>
          <w:szCs w:val="16"/>
          <w:lang w:val="es-CR"/>
        </w:rPr>
        <w:t xml:space="preserve">, </w:t>
      </w:r>
      <w:r w:rsidRPr="00392A9A">
        <w:rPr>
          <w:i/>
          <w:sz w:val="16"/>
          <w:szCs w:val="16"/>
          <w:lang w:val="es-CR"/>
        </w:rPr>
        <w:t>supra</w:t>
      </w:r>
      <w:r w:rsidRPr="00392A9A">
        <w:rPr>
          <w:sz w:val="16"/>
          <w:szCs w:val="16"/>
          <w:lang w:val="es-CR"/>
        </w:rPr>
        <w:t xml:space="preserve">, para. </w:t>
      </w:r>
      <w:r w:rsidRPr="00CF6765">
        <w:rPr>
          <w:sz w:val="16"/>
          <w:szCs w:val="16"/>
          <w:lang w:val="en-US"/>
        </w:rPr>
        <w:t xml:space="preserve">141; </w:t>
      </w:r>
      <w:r w:rsidRPr="00CF6765">
        <w:rPr>
          <w:i/>
          <w:sz w:val="16"/>
          <w:szCs w:val="16"/>
          <w:lang w:val="en-US"/>
        </w:rPr>
        <w:t xml:space="preserve">Case of Acevedo </w:t>
      </w:r>
      <w:proofErr w:type="spellStart"/>
      <w:r w:rsidRPr="00CF6765">
        <w:rPr>
          <w:i/>
          <w:sz w:val="16"/>
          <w:szCs w:val="16"/>
          <w:lang w:val="en-US"/>
        </w:rPr>
        <w:t>Buendía</w:t>
      </w:r>
      <w:proofErr w:type="spellEnd"/>
      <w:r w:rsidRPr="00CF6765">
        <w:rPr>
          <w:i/>
          <w:sz w:val="16"/>
          <w:szCs w:val="16"/>
          <w:lang w:val="en-US"/>
        </w:rPr>
        <w:t xml:space="preserve"> et al. (“Discharged and Retired Employees of the Comptroller’s Office”) v. Peru</w:t>
      </w:r>
      <w:r w:rsidRPr="00CF6765">
        <w:rPr>
          <w:sz w:val="16"/>
          <w:szCs w:val="16"/>
          <w:lang w:val="en-US"/>
        </w:rPr>
        <w:t xml:space="preserve">, </w:t>
      </w:r>
      <w:r w:rsidRPr="00CF6765">
        <w:rPr>
          <w:i/>
          <w:sz w:val="16"/>
          <w:szCs w:val="16"/>
          <w:lang w:val="en-US"/>
        </w:rPr>
        <w:t>supra</w:t>
      </w:r>
      <w:r w:rsidRPr="00CF6765">
        <w:rPr>
          <w:sz w:val="16"/>
          <w:szCs w:val="16"/>
          <w:lang w:val="en-US"/>
        </w:rPr>
        <w:t xml:space="preserve">, para. 101. See also </w:t>
      </w:r>
      <w:r w:rsidRPr="00CF6765">
        <w:rPr>
          <w:i/>
          <w:sz w:val="16"/>
          <w:szCs w:val="16"/>
          <w:lang w:val="en-US"/>
        </w:rPr>
        <w:t>Case of Suárez Peralta v. Ecuador. Preliminary objections, merits, reparations and costs.</w:t>
      </w:r>
      <w:r w:rsidRPr="00CF6765">
        <w:rPr>
          <w:sz w:val="16"/>
          <w:szCs w:val="16"/>
          <w:lang w:val="en-US"/>
        </w:rPr>
        <w:t xml:space="preserve"> Judgment of May 21, 2013. Series C No. 261, para. 131; </w:t>
      </w:r>
      <w:r w:rsidRPr="00CF6765">
        <w:rPr>
          <w:i/>
          <w:sz w:val="16"/>
          <w:szCs w:val="16"/>
          <w:lang w:val="en-US"/>
        </w:rPr>
        <w:t xml:space="preserve">Case of Gonzales </w:t>
      </w:r>
      <w:proofErr w:type="spellStart"/>
      <w:r w:rsidRPr="00CF6765">
        <w:rPr>
          <w:i/>
          <w:sz w:val="16"/>
          <w:szCs w:val="16"/>
          <w:lang w:val="en-US"/>
        </w:rPr>
        <w:t>Lluy</w:t>
      </w:r>
      <w:proofErr w:type="spellEnd"/>
      <w:r w:rsidRPr="00CF6765">
        <w:rPr>
          <w:i/>
          <w:sz w:val="16"/>
          <w:szCs w:val="16"/>
          <w:lang w:val="en-US"/>
        </w:rPr>
        <w:t xml:space="preserve"> et al. v. Ecuador. Preliminary objections, merits, reparations and costs</w:t>
      </w:r>
      <w:r w:rsidRPr="00CF6765">
        <w:rPr>
          <w:sz w:val="16"/>
          <w:szCs w:val="16"/>
          <w:lang w:val="en-US"/>
        </w:rPr>
        <w:t xml:space="preserve">. Judgment of September 1, 2015. Series C No. 298, para. 172; </w:t>
      </w:r>
      <w:r w:rsidRPr="00CF6765">
        <w:rPr>
          <w:i/>
          <w:sz w:val="16"/>
          <w:szCs w:val="16"/>
          <w:lang w:val="en-US"/>
        </w:rPr>
        <w:t>Advisory Opinion OC-23/17</w:t>
      </w:r>
      <w:r w:rsidRPr="00CF6765">
        <w:rPr>
          <w:sz w:val="16"/>
          <w:szCs w:val="16"/>
          <w:lang w:val="en-US"/>
        </w:rPr>
        <w:t xml:space="preserve"> of November 15, 2017. Series A No. 23, paras. 47, 51, 52, 54 and 57. Similarly, </w:t>
      </w:r>
      <w:r w:rsidRPr="00CF6765">
        <w:rPr>
          <w:i/>
          <w:sz w:val="16"/>
          <w:szCs w:val="16"/>
          <w:lang w:val="en-US"/>
        </w:rPr>
        <w:t>cf.</w:t>
      </w:r>
      <w:r w:rsidRPr="00CF6765">
        <w:rPr>
          <w:sz w:val="16"/>
          <w:szCs w:val="16"/>
          <w:lang w:val="en-US"/>
        </w:rPr>
        <w:t xml:space="preserve"> UN. Committee on Economic, Social and Cultural Rights, </w:t>
      </w:r>
      <w:r w:rsidRPr="00CF6765">
        <w:rPr>
          <w:i/>
          <w:sz w:val="16"/>
          <w:szCs w:val="16"/>
          <w:lang w:val="en-US"/>
        </w:rPr>
        <w:t xml:space="preserve">General Comment No. 9: “The domestic application of the Covenant,” </w:t>
      </w:r>
      <w:r w:rsidRPr="00CF6765">
        <w:rPr>
          <w:sz w:val="16"/>
          <w:szCs w:val="16"/>
          <w:lang w:val="en-US"/>
        </w:rPr>
        <w:t>UN Doc. E/C.12/1998/24, December 3, 1998, para. 10. See also: ECHR</w:t>
      </w:r>
      <w:r w:rsidRPr="00CF6765">
        <w:rPr>
          <w:i/>
          <w:sz w:val="16"/>
          <w:szCs w:val="16"/>
          <w:lang w:val="en-US"/>
        </w:rPr>
        <w:t>, Case of Airey v. Ireland</w:t>
      </w:r>
      <w:r w:rsidRPr="00CF6765">
        <w:rPr>
          <w:sz w:val="16"/>
          <w:szCs w:val="16"/>
          <w:lang w:val="en-US"/>
        </w:rPr>
        <w:t xml:space="preserve">, No. 6289/73. Judgment of October 9, 1979, para. 26, and </w:t>
      </w:r>
      <w:r w:rsidRPr="00CF6765">
        <w:rPr>
          <w:i/>
          <w:sz w:val="16"/>
          <w:szCs w:val="16"/>
          <w:lang w:val="en-US"/>
        </w:rPr>
        <w:t xml:space="preserve">Case of </w:t>
      </w:r>
      <w:proofErr w:type="spellStart"/>
      <w:r w:rsidRPr="00CF6765">
        <w:rPr>
          <w:i/>
          <w:sz w:val="16"/>
          <w:szCs w:val="16"/>
          <w:lang w:val="en-US"/>
        </w:rPr>
        <w:t>Sidabras</w:t>
      </w:r>
      <w:proofErr w:type="spellEnd"/>
      <w:r w:rsidRPr="00CF6765">
        <w:rPr>
          <w:i/>
          <w:sz w:val="16"/>
          <w:szCs w:val="16"/>
          <w:lang w:val="en-US"/>
        </w:rPr>
        <w:t xml:space="preserve"> and </w:t>
      </w:r>
      <w:proofErr w:type="spellStart"/>
      <w:r w:rsidRPr="00CF6765">
        <w:rPr>
          <w:i/>
          <w:sz w:val="16"/>
          <w:szCs w:val="16"/>
          <w:lang w:val="en-US"/>
        </w:rPr>
        <w:t>Dziautas</w:t>
      </w:r>
      <w:proofErr w:type="spellEnd"/>
      <w:r w:rsidRPr="00CF6765">
        <w:rPr>
          <w:i/>
          <w:sz w:val="16"/>
          <w:szCs w:val="16"/>
          <w:lang w:val="en-US"/>
        </w:rPr>
        <w:t xml:space="preserve"> v. Lithuania</w:t>
      </w:r>
      <w:r w:rsidRPr="00CF6765">
        <w:rPr>
          <w:sz w:val="16"/>
          <w:szCs w:val="16"/>
          <w:lang w:val="en-US"/>
        </w:rPr>
        <w:t>, Nos. 55480/00 and 59330/00. Judgment of July 27, 2004, para. 47.</w:t>
      </w:r>
      <w:r w:rsidRPr="00CF6765">
        <w:rPr>
          <w:b/>
          <w:sz w:val="16"/>
          <w:szCs w:val="16"/>
          <w:lang w:val="en-US"/>
        </w:rPr>
        <w:t xml:space="preserve"> </w:t>
      </w:r>
      <w:r w:rsidRPr="00CF6765">
        <w:rPr>
          <w:sz w:val="16"/>
          <w:szCs w:val="16"/>
          <w:lang w:val="en-US"/>
        </w:rPr>
        <w:t xml:space="preserve">See also: American Declaration of the Rights and Duties of Man (Arts. VI, VII, XI-XVI, XXI-XXIII); Vienna Declaration and </w:t>
      </w:r>
      <w:proofErr w:type="spellStart"/>
      <w:r w:rsidRPr="00CF6765">
        <w:rPr>
          <w:sz w:val="16"/>
          <w:szCs w:val="16"/>
          <w:lang w:val="en-US"/>
        </w:rPr>
        <w:t>Programme</w:t>
      </w:r>
      <w:proofErr w:type="spellEnd"/>
      <w:r w:rsidRPr="00CF6765">
        <w:rPr>
          <w:sz w:val="16"/>
          <w:szCs w:val="16"/>
          <w:lang w:val="en-US"/>
        </w:rPr>
        <w:t xml:space="preserve"> of Action adopted by the United Nations World Conference on Human Rights held in Vienna, Austria, from June 14 to 25, 1993; African Charter on Human and Peoples’ Rights, adopted on June 27, 1981, during the XVIII Assembly of Heads of State and Government of the Organization of African Unity; Optional Protocol to the International Covenant on Economic, Social and Cultural Rights, adopted by the United Nations General Assembly on December 10. 2008; 1997 Maastricht guidelines on violations of economic, social and cultural rights; 1986 Limburg Principles on the implementation of the International Covenant on Economic, Social and Cultural Rights.</w:t>
      </w:r>
    </w:p>
  </w:footnote>
  <w:footnote w:id="130">
    <w:p w14:paraId="06A0EA59" w14:textId="47FBA5D5" w:rsidR="003558F5" w:rsidRPr="00CF6765" w:rsidRDefault="003558F5" w:rsidP="00227142">
      <w:pPr>
        <w:rPr>
          <w:sz w:val="16"/>
          <w:szCs w:val="16"/>
          <w:lang w:val="en-US"/>
        </w:rPr>
      </w:pPr>
      <w:r w:rsidRPr="00CF6765">
        <w:rPr>
          <w:rStyle w:val="Refdenotaalpie"/>
          <w:rFonts w:eastAsia="Calibri"/>
          <w:color w:val="000000"/>
          <w:sz w:val="16"/>
          <w:szCs w:val="16"/>
          <w:lang w:val="en-US" w:eastAsia="en-US"/>
        </w:rPr>
        <w:footnoteRef/>
      </w:r>
      <w:r w:rsidRPr="00CF6765">
        <w:rPr>
          <w:sz w:val="16"/>
          <w:szCs w:val="16"/>
          <w:lang w:val="en-US"/>
        </w:rPr>
        <w:t xml:space="preserve"> </w:t>
      </w:r>
      <w:r w:rsidRPr="00CF6765">
        <w:rPr>
          <w:sz w:val="16"/>
          <w:szCs w:val="16"/>
          <w:lang w:val="en-US"/>
        </w:rPr>
        <w:tab/>
        <w:t xml:space="preserve">Specifically: </w:t>
      </w:r>
      <w:r w:rsidRPr="00CF6765">
        <w:rPr>
          <w:rFonts w:eastAsia="Calibri"/>
          <w:sz w:val="16"/>
          <w:szCs w:val="16"/>
          <w:lang w:val="en-US" w:eastAsia="en-US"/>
        </w:rPr>
        <w:t xml:space="preserve">“[…] </w:t>
      </w:r>
      <w:r w:rsidRPr="00CF6765">
        <w:rPr>
          <w:rFonts w:cs="Arial"/>
          <w:sz w:val="16"/>
          <w:szCs w:val="16"/>
          <w:lang w:val="en-US"/>
        </w:rPr>
        <w:t>In this sense, the Court notes that the content of Article 26 of the Convention was the subject of intense discussion in the preparatory work of the Convention, as a result of the States Parties' interest to include a ‘direct reference’ to the ‘economic, social and cultural rights’; ‘a provision establishing certain legal obligations […] to comply with them and their implementation’; and also ‘the [respective] mechanisms [for their] promotion and protection,’ since the preliminary draft of the treaty prepared by the Inter-American Commission referred to them in two articles that, according to some States, only ‘contemplated, in a merely declarative text, the conclusions established at the Buenos Aires Conference.’</w:t>
      </w:r>
      <w:r w:rsidRPr="00CF6765">
        <w:rPr>
          <w:rFonts w:eastAsia="Calibri"/>
          <w:sz w:val="16"/>
          <w:szCs w:val="16"/>
          <w:lang w:val="en-US" w:eastAsia="en-US"/>
        </w:rPr>
        <w:t xml:space="preserve"> </w:t>
      </w:r>
      <w:r w:rsidRPr="00CF6765">
        <w:rPr>
          <w:rFonts w:cs="Arial"/>
          <w:sz w:val="16"/>
          <w:szCs w:val="16"/>
          <w:lang w:val="en-US"/>
        </w:rPr>
        <w:t>A review of the said preparatory work of the Convention also shows that the main observations on which the approval of the Convention was based, placed special emphasis on ‘granting the economic, social and cultural rights the maximum protection compatible with the particular conditions of most of the American States.’ Thus, during the discussions of the preparatory work, it was also proposed ‘to make it possible to enforce [the said rights] by the action of the courts.’</w:t>
      </w:r>
      <w:r w:rsidRPr="00CF6765">
        <w:rPr>
          <w:rFonts w:eastAsia="Calibri"/>
          <w:sz w:val="16"/>
          <w:szCs w:val="16"/>
          <w:lang w:val="en-US" w:eastAsia="en-US"/>
        </w:rPr>
        <w:t xml:space="preserve">” </w:t>
      </w:r>
      <w:r w:rsidRPr="00CF6765">
        <w:rPr>
          <w:i/>
          <w:sz w:val="16"/>
          <w:szCs w:val="16"/>
          <w:lang w:val="en-US"/>
        </w:rPr>
        <w:t xml:space="preserve">Case of Acevedo </w:t>
      </w:r>
      <w:proofErr w:type="spellStart"/>
      <w:r w:rsidRPr="00CF6765">
        <w:rPr>
          <w:i/>
          <w:sz w:val="16"/>
          <w:szCs w:val="16"/>
          <w:lang w:val="en-US"/>
        </w:rPr>
        <w:t>Buendía</w:t>
      </w:r>
      <w:proofErr w:type="spellEnd"/>
      <w:r w:rsidRPr="00CF6765">
        <w:rPr>
          <w:i/>
          <w:sz w:val="16"/>
          <w:szCs w:val="16"/>
          <w:lang w:val="en-US"/>
        </w:rPr>
        <w:t xml:space="preserve"> et al. (“Discharged and Retired Employees of the Comptroller’s Office”) v. Peru</w:t>
      </w:r>
      <w:r w:rsidRPr="00CF6765">
        <w:rPr>
          <w:sz w:val="16"/>
          <w:szCs w:val="16"/>
          <w:lang w:val="en-US"/>
        </w:rPr>
        <w:t xml:space="preserve">, </w:t>
      </w:r>
      <w:r w:rsidRPr="00CF6765">
        <w:rPr>
          <w:i/>
          <w:sz w:val="16"/>
          <w:szCs w:val="16"/>
          <w:lang w:val="en-US"/>
        </w:rPr>
        <w:t>supra</w:t>
      </w:r>
      <w:r w:rsidRPr="00CF6765">
        <w:rPr>
          <w:sz w:val="16"/>
          <w:szCs w:val="16"/>
          <w:lang w:val="en-US"/>
        </w:rPr>
        <w:t xml:space="preserve">, para. 99. </w:t>
      </w:r>
    </w:p>
    <w:p w14:paraId="17564BDA" w14:textId="52B4024A" w:rsidR="003558F5" w:rsidRPr="00CF6765" w:rsidRDefault="003558F5" w:rsidP="00F167FA">
      <w:pPr>
        <w:rPr>
          <w:sz w:val="16"/>
          <w:szCs w:val="16"/>
          <w:lang w:val="en-US"/>
        </w:rPr>
      </w:pPr>
      <w:r w:rsidRPr="00CF6765">
        <w:rPr>
          <w:i/>
          <w:sz w:val="16"/>
          <w:szCs w:val="16"/>
          <w:lang w:val="en-US"/>
        </w:rPr>
        <w:t xml:space="preserve">Cf. </w:t>
      </w:r>
      <w:r w:rsidRPr="00CF6765">
        <w:rPr>
          <w:sz w:val="16"/>
          <w:szCs w:val="16"/>
          <w:lang w:val="en-US"/>
        </w:rPr>
        <w:t xml:space="preserve">OAS, </w:t>
      </w:r>
      <w:r w:rsidRPr="00CF6765">
        <w:rPr>
          <w:iCs/>
          <w:sz w:val="16"/>
          <w:szCs w:val="16"/>
          <w:lang w:val="en-US"/>
        </w:rPr>
        <w:t xml:space="preserve">Inter-American Specialized Conference on Human Rights. </w:t>
      </w:r>
      <w:r w:rsidRPr="00CF6765">
        <w:rPr>
          <w:i/>
          <w:sz w:val="16"/>
          <w:szCs w:val="16"/>
          <w:lang w:val="en-US"/>
        </w:rPr>
        <w:t xml:space="preserve">Actas y </w:t>
      </w:r>
      <w:proofErr w:type="spellStart"/>
      <w:r w:rsidRPr="00CF6765">
        <w:rPr>
          <w:i/>
          <w:sz w:val="16"/>
          <w:szCs w:val="16"/>
          <w:lang w:val="en-US"/>
        </w:rPr>
        <w:t>documentos</w:t>
      </w:r>
      <w:proofErr w:type="spellEnd"/>
      <w:r w:rsidRPr="00CF6765">
        <w:rPr>
          <w:i/>
          <w:sz w:val="16"/>
          <w:szCs w:val="16"/>
          <w:lang w:val="en-US"/>
        </w:rPr>
        <w:t xml:space="preserve">, </w:t>
      </w:r>
      <w:r w:rsidRPr="00CF6765">
        <w:rPr>
          <w:sz w:val="16"/>
          <w:szCs w:val="16"/>
          <w:lang w:val="en-US"/>
        </w:rPr>
        <w:t>OAS/</w:t>
      </w:r>
      <w:proofErr w:type="spellStart"/>
      <w:r w:rsidRPr="00CF6765">
        <w:rPr>
          <w:sz w:val="16"/>
          <w:szCs w:val="16"/>
          <w:lang w:val="en-US"/>
        </w:rPr>
        <w:t>Ser.K</w:t>
      </w:r>
      <w:proofErr w:type="spellEnd"/>
      <w:r w:rsidRPr="00CF6765">
        <w:rPr>
          <w:sz w:val="16"/>
          <w:szCs w:val="16"/>
          <w:lang w:val="en-US"/>
        </w:rPr>
        <w:t xml:space="preserve">/XVI/1.2 (B-32), held from November 7 to 22, 1969, in Washington, DC. The initial draft contained relevant articles on the economic, social and cultural rights, </w:t>
      </w:r>
      <w:r w:rsidRPr="00CF6765">
        <w:rPr>
          <w:i/>
          <w:sz w:val="16"/>
          <w:szCs w:val="16"/>
          <w:lang w:val="en-US"/>
        </w:rPr>
        <w:t>inter alia</w:t>
      </w:r>
      <w:r w:rsidRPr="00CF6765">
        <w:rPr>
          <w:sz w:val="16"/>
          <w:szCs w:val="16"/>
          <w:lang w:val="en-US"/>
        </w:rPr>
        <w:t>: Article 25: “[…] The States Parties also express their intention to establish and, as appropriate, to maintain and improve, in their domestic law, the most appropriate precepts […].” Also, its article 26 established: “The States Parties shall advise the Commission on Human Rights periodically of the measures they have adopted for the purposes indicated in the preceding article. The Commission shall make any appropriate recommendations […].” In this regard it is interesting to underscore the observations made by the State of Chile on the draft human rights convention (Document 7, September 26, 1969, para. 14). It observed that “[t]he articles on economic, social and cultural rights that have been kept in the draft are those that warrant most reservations as to their form and content. These are articles 25, 26 and 41. Any direct mention of these rights has been eliminated; indirectly, in article 25(1), there is an insufficient recognition of ‘the need for the States Parties to devote their greatest efforts to adopting in their domestic laws and, as appropriate, to guaranteeing the other rights established in the American Declaration of the Rights and Duties of Man that have not been included in the preceding articles. […] In any case, an article should be included on the economic, social and cultural rights establishing a certain legal obligation (to the extent permitted by the nature of those rights) to comply with and to implement them. To this end, it would be necessary to contemplate a clause similar to Article 2(1) of the relevant United Nations Covenant.”</w:t>
      </w:r>
    </w:p>
  </w:footnote>
  <w:footnote w:id="131">
    <w:p w14:paraId="13B41CF0" w14:textId="2C665B04" w:rsidR="003558F5" w:rsidRPr="00CF6765" w:rsidRDefault="003558F5" w:rsidP="00002163">
      <w:pPr>
        <w:pStyle w:val="Textonotapie"/>
        <w:spacing w:after="60"/>
        <w:rPr>
          <w:sz w:val="16"/>
          <w:lang w:val="en-US"/>
        </w:rPr>
      </w:pPr>
      <w:r w:rsidRPr="00CF6765">
        <w:rPr>
          <w:rStyle w:val="Refdenotaalpie"/>
          <w:sz w:val="16"/>
          <w:lang w:val="en-US"/>
        </w:rPr>
        <w:footnoteRef/>
      </w:r>
      <w:r w:rsidRPr="00CF6765">
        <w:rPr>
          <w:sz w:val="16"/>
          <w:lang w:val="en-US"/>
        </w:rPr>
        <w:t xml:space="preserve"> </w:t>
      </w:r>
      <w:r w:rsidRPr="00CF6765">
        <w:rPr>
          <w:sz w:val="16"/>
          <w:lang w:val="en-US"/>
        </w:rPr>
        <w:tab/>
        <w:t>Underlining added. Regarding the amendments to the OAS Charter, see also: OAS, 1948 Charter of the Organization of American States,</w:t>
      </w:r>
      <w:r w:rsidRPr="00CF6765">
        <w:rPr>
          <w:i/>
          <w:sz w:val="16"/>
          <w:szCs w:val="16"/>
          <w:lang w:val="en-US"/>
        </w:rPr>
        <w:t xml:space="preserve"> </w:t>
      </w:r>
      <w:r w:rsidRPr="00CF6765">
        <w:rPr>
          <w:iCs/>
          <w:sz w:val="16"/>
          <w:szCs w:val="16"/>
          <w:lang w:val="en-US"/>
        </w:rPr>
        <w:t>“[a]</w:t>
      </w:r>
      <w:r w:rsidRPr="00CF6765">
        <w:rPr>
          <w:sz w:val="16"/>
          <w:szCs w:val="16"/>
          <w:lang w:val="en-US"/>
        </w:rPr>
        <w:t xml:space="preserve">s amended by the Protocol of Amendment to the Charter of the Organization of American States "Protocol of Buenos Aires", signed on February 27, 1967, at the Third Special Inter-American Conference, by the Protocol of Amendment to the Charter of the Organization of American States "Protocol of Cartagena de </w:t>
      </w:r>
      <w:proofErr w:type="spellStart"/>
      <w:r w:rsidRPr="00CF6765">
        <w:rPr>
          <w:sz w:val="16"/>
          <w:szCs w:val="16"/>
          <w:lang w:val="en-US"/>
        </w:rPr>
        <w:t>Indias</w:t>
      </w:r>
      <w:proofErr w:type="spellEnd"/>
      <w:r w:rsidRPr="00CF6765">
        <w:rPr>
          <w:sz w:val="16"/>
          <w:szCs w:val="16"/>
          <w:lang w:val="en-US"/>
        </w:rPr>
        <w:t>", approved on December 5, 1985, at the Fourteenth Special Session of the General Assembly, by the Protocol of Amendment to the Charter of the Organization of American States "Protocol of Washington", approved on December 14, 1992, at the Sixteenth Special Session of the General Assembly, and by the Protocol of Amendment to the Charter of the Organization of American States "Protocol of Managua", adopted on June 10, 1993, at the Nineteenth Special Session of the General Assembly. OAS.</w:t>
      </w:r>
      <w:r w:rsidRPr="00CF6765">
        <w:rPr>
          <w:sz w:val="16"/>
          <w:lang w:val="en-US"/>
        </w:rPr>
        <w:t xml:space="preserve"> Available at:</w:t>
      </w:r>
      <w:r w:rsidRPr="00CF6765">
        <w:rPr>
          <w:lang w:val="en-US"/>
        </w:rPr>
        <w:t xml:space="preserve"> </w:t>
      </w:r>
      <w:hyperlink r:id="rId5" w:history="1">
        <w:r w:rsidRPr="00CF6765">
          <w:rPr>
            <w:rStyle w:val="Hipervnculo"/>
            <w:sz w:val="16"/>
            <w:lang w:val="en-US"/>
          </w:rPr>
          <w:t>http://www.oas.org/en/sla/dil/inter_american_treaties_A-41_charter_OAS.asp</w:t>
        </w:r>
      </w:hyperlink>
      <w:r w:rsidRPr="00CF6765">
        <w:rPr>
          <w:sz w:val="16"/>
          <w:lang w:val="en-US"/>
        </w:rPr>
        <w:t>.</w:t>
      </w:r>
    </w:p>
  </w:footnote>
  <w:footnote w:id="132">
    <w:p w14:paraId="64A89F18" w14:textId="0D6FA409" w:rsidR="003558F5" w:rsidRPr="00CF6765" w:rsidRDefault="003558F5" w:rsidP="00002163">
      <w:pPr>
        <w:pStyle w:val="Textonotapie"/>
        <w:spacing w:after="60"/>
        <w:rPr>
          <w:bCs/>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Gradually, the inter-American system has been consolidating this concept (ESCER). In 2014, the Inter-American Commission on Human Rights adopted the decision to create a “Special </w:t>
      </w:r>
      <w:proofErr w:type="spellStart"/>
      <w:r w:rsidRPr="00CF6765">
        <w:rPr>
          <w:sz w:val="16"/>
          <w:szCs w:val="16"/>
          <w:lang w:val="en-US"/>
        </w:rPr>
        <w:t>Rapporteurship</w:t>
      </w:r>
      <w:proofErr w:type="spellEnd"/>
      <w:r w:rsidRPr="00CF6765">
        <w:rPr>
          <w:sz w:val="16"/>
          <w:szCs w:val="16"/>
          <w:lang w:val="en-US"/>
        </w:rPr>
        <w:t xml:space="preserve"> on Economic, Social, Cultural and Environmental Rights” which became fully operational in August 2017. See also: Inter-American Commission on Human Rights, </w:t>
      </w:r>
      <w:r w:rsidRPr="00CF6765">
        <w:rPr>
          <w:i/>
          <w:sz w:val="16"/>
          <w:szCs w:val="16"/>
          <w:lang w:val="en-US"/>
        </w:rPr>
        <w:t>Report on poverty and human rights in the Americas</w:t>
      </w:r>
      <w:r w:rsidRPr="00CF6765">
        <w:rPr>
          <w:sz w:val="16"/>
          <w:szCs w:val="16"/>
          <w:lang w:val="en-US"/>
        </w:rPr>
        <w:t>, OAS/</w:t>
      </w:r>
      <w:proofErr w:type="spellStart"/>
      <w:r w:rsidRPr="00CF6765">
        <w:rPr>
          <w:sz w:val="16"/>
          <w:szCs w:val="16"/>
          <w:lang w:val="en-US"/>
        </w:rPr>
        <w:t>Ser.L</w:t>
      </w:r>
      <w:proofErr w:type="spellEnd"/>
      <w:r w:rsidRPr="00CF6765">
        <w:rPr>
          <w:sz w:val="16"/>
          <w:szCs w:val="16"/>
          <w:lang w:val="en-US"/>
        </w:rPr>
        <w:t>/V/II.164, September 7, 2017, para. 112, and “</w:t>
      </w:r>
      <w:r w:rsidRPr="00CF6765">
        <w:rPr>
          <w:i/>
          <w:sz w:val="16"/>
          <w:szCs w:val="16"/>
          <w:lang w:val="en-US"/>
        </w:rPr>
        <w:t xml:space="preserve">Environment and Human Rights (State </w:t>
      </w:r>
      <w:r w:rsidRPr="00CF6765">
        <w:rPr>
          <w:bCs/>
          <w:i/>
          <w:sz w:val="16"/>
          <w:szCs w:val="16"/>
          <w:lang w:val="en-US"/>
        </w:rPr>
        <w:t xml:space="preserve">obligations in relation to the environment in the context of the protection and guarantee of the rights to life and to personal integrity – interpretation and scope of Articles 4(1) and 5(1) of the American Convention on Human Rights). </w:t>
      </w:r>
      <w:r w:rsidRPr="00CF6765">
        <w:rPr>
          <w:bCs/>
          <w:sz w:val="16"/>
          <w:szCs w:val="16"/>
          <w:lang w:val="en-US"/>
        </w:rPr>
        <w:t>Advisory Opinion OC-23/17 of November 15, 2017. Series A No. 23</w:t>
      </w:r>
      <w:r w:rsidRPr="00CF6765">
        <w:rPr>
          <w:sz w:val="16"/>
          <w:szCs w:val="16"/>
          <w:lang w:val="en-US"/>
        </w:rPr>
        <w:t xml:space="preserve">, para. 57. </w:t>
      </w:r>
    </w:p>
  </w:footnote>
  <w:footnote w:id="133">
    <w:p w14:paraId="092E30D9" w14:textId="2C7722FC" w:rsidR="003558F5" w:rsidRPr="00CF6765" w:rsidRDefault="003558F5" w:rsidP="00002163">
      <w:pPr>
        <w:pStyle w:val="Textonotapie"/>
        <w:spacing w:after="60"/>
        <w:rPr>
          <w:sz w:val="16"/>
          <w:szCs w:val="16"/>
          <w:lang w:val="en-US"/>
        </w:rPr>
      </w:pPr>
      <w:r w:rsidRPr="00CF6765">
        <w:rPr>
          <w:rStyle w:val="Refdenotaalpie"/>
          <w:rFonts w:eastAsia="Calibri"/>
          <w:color w:val="000000"/>
          <w:sz w:val="16"/>
          <w:szCs w:val="16"/>
          <w:lang w:val="en-US" w:eastAsia="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Thus Article 29(b) and (d) of the Convention establishes that: “[n]</w:t>
      </w:r>
      <w:r w:rsidRPr="00CF6765">
        <w:rPr>
          <w:spacing w:val="-3"/>
          <w:sz w:val="16"/>
          <w:szCs w:val="16"/>
          <w:lang w:val="en-US"/>
        </w:rPr>
        <w:t>o provision of this Convention shall be interpreted as: […] (b) restricting the enjoyment or exercise of any right or freedom recognized by virtue of the laws of any State Party or by virtue of another convention to which one of the said states is a party; […] (d) excluding or limiting the effect that the American Declaration of the Rights and Duties of Man and other international acts of the same nature may have.”</w:t>
      </w:r>
      <w:r w:rsidRPr="00CF6765">
        <w:rPr>
          <w:sz w:val="16"/>
          <w:szCs w:val="16"/>
          <w:lang w:val="en-US"/>
        </w:rPr>
        <w:t xml:space="preserve"> Consequently, according to this article, the right to health recognized by the Chilean Constitution should be incorporated, for the purposes of this case, into the interpretation and scope of the right protected by Article 26 of the American Convention.</w:t>
      </w:r>
    </w:p>
  </w:footnote>
  <w:footnote w:id="134">
    <w:p w14:paraId="4C14A3D0" w14:textId="092DE397" w:rsidR="003558F5" w:rsidRPr="00CF6765" w:rsidRDefault="003558F5" w:rsidP="00002163">
      <w:pPr>
        <w:pStyle w:val="Textonotapie"/>
        <w:spacing w:after="60"/>
        <w:rPr>
          <w:sz w:val="16"/>
          <w:szCs w:val="16"/>
          <w:lang w:val="en-US"/>
        </w:rPr>
      </w:pPr>
      <w:r w:rsidRPr="00CF6765">
        <w:rPr>
          <w:rStyle w:val="Refdenotaalpie"/>
          <w:rFonts w:eastAsia="Calibri"/>
          <w:color w:val="000000"/>
          <w:sz w:val="16"/>
          <w:szCs w:val="16"/>
          <w:lang w:val="en-US" w:eastAsia="en-US"/>
        </w:rPr>
        <w:footnoteRef/>
      </w:r>
      <w:r w:rsidRPr="00CF6765">
        <w:rPr>
          <w:rStyle w:val="Refdenotaalpie"/>
          <w:rFonts w:eastAsia="Calibri"/>
          <w:color w:val="000000"/>
          <w:sz w:val="16"/>
          <w:szCs w:val="16"/>
          <w:lang w:val="en-US" w:eastAsia="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Vienna Convention on the Law of Treaties, 1969</w:t>
      </w:r>
      <w:r w:rsidRPr="00CF6765">
        <w:rPr>
          <w:sz w:val="16"/>
          <w:szCs w:val="16"/>
          <w:lang w:val="en-US" w:eastAsia="es-CR"/>
        </w:rPr>
        <w:t xml:space="preserve">, </w:t>
      </w:r>
      <w:r w:rsidRPr="00CF6765">
        <w:rPr>
          <w:sz w:val="16"/>
          <w:szCs w:val="16"/>
          <w:lang w:val="en-US"/>
        </w:rPr>
        <w:t>UN Doc A/CONF.39/27 (1969), 1155 U.N.T.S. 331. Entry into force on January 27, 1980. See also: the general rules of interpretation established in the Limburg Principles on the implementation of the International Covenant on Economic, Social and Cultural Rights (prior to General Comment No. 3 of the Committee on Economic, Social and Cultural Rights on the nature of States parties’ obligations) which in Principle 4 establish that: “[t]</w:t>
      </w:r>
      <w:r w:rsidRPr="00CF6765">
        <w:rPr>
          <w:rFonts w:cs="Courier New"/>
          <w:sz w:val="16"/>
          <w:szCs w:val="16"/>
          <w:lang w:val="en-US"/>
        </w:rPr>
        <w:t>he International Covenant on Economic, Social and Cultural Rights […] should, in accordance with the Vienna Convention on the Law of Treaties […] should be interpreted in good faith, taking into account the object and purpose, the ordinary meaning, the preparatory work and the relevant practice</w:t>
      </w:r>
      <w:r w:rsidRPr="00CF6765">
        <w:rPr>
          <w:sz w:val="16"/>
          <w:szCs w:val="16"/>
          <w:lang w:val="en-US"/>
        </w:rPr>
        <w:t xml:space="preserve">”. </w:t>
      </w:r>
    </w:p>
  </w:footnote>
  <w:footnote w:id="135">
    <w:p w14:paraId="4EDD3821" w14:textId="74183DE1" w:rsidR="003558F5" w:rsidRPr="00CF6765" w:rsidRDefault="003558F5" w:rsidP="00BF7287">
      <w:pPr>
        <w:tabs>
          <w:tab w:val="left" w:pos="567"/>
        </w:tabs>
        <w:spacing w:after="60"/>
        <w:rPr>
          <w:sz w:val="16"/>
          <w:szCs w:val="16"/>
          <w:lang w:val="en-US"/>
        </w:rPr>
      </w:pPr>
      <w:r w:rsidRPr="00CF6765">
        <w:rPr>
          <w:rStyle w:val="Refdenotaalpie"/>
          <w:rFonts w:eastAsia="Calibri"/>
          <w:color w:val="000000"/>
          <w:sz w:val="16"/>
          <w:szCs w:val="16"/>
          <w:lang w:val="en-US" w:eastAsia="en-US"/>
        </w:rPr>
        <w:footnoteRef/>
      </w:r>
      <w:r w:rsidRPr="00CF6765">
        <w:rPr>
          <w:sz w:val="16"/>
          <w:szCs w:val="16"/>
          <w:lang w:val="en-US"/>
        </w:rPr>
        <w:t xml:space="preserve"> </w:t>
      </w:r>
      <w:r w:rsidRPr="00CF6765">
        <w:rPr>
          <w:sz w:val="16"/>
          <w:szCs w:val="16"/>
          <w:lang w:val="en-US"/>
        </w:rPr>
        <w:tab/>
      </w:r>
      <w:r w:rsidRPr="00CF6765">
        <w:rPr>
          <w:i/>
          <w:sz w:val="16"/>
          <w:szCs w:val="16"/>
          <w:lang w:val="en-US"/>
        </w:rPr>
        <w:t>Inter alia</w:t>
      </w:r>
      <w:r w:rsidRPr="00CF6765">
        <w:rPr>
          <w:sz w:val="16"/>
          <w:szCs w:val="16"/>
          <w:lang w:val="en-US"/>
        </w:rPr>
        <w:t xml:space="preserve">, </w:t>
      </w:r>
      <w:r w:rsidRPr="00CF6765">
        <w:rPr>
          <w:i/>
          <w:sz w:val="16"/>
          <w:szCs w:val="16"/>
          <w:lang w:val="en-US"/>
        </w:rPr>
        <w:t xml:space="preserve">Cf. </w:t>
      </w:r>
      <w:hyperlink r:id="rId6" w:history="1">
        <w:r w:rsidRPr="00CF6765">
          <w:rPr>
            <w:i/>
            <w:sz w:val="16"/>
            <w:szCs w:val="16"/>
            <w:lang w:val="en-US"/>
          </w:rPr>
          <w:t>The Right to Information on Consular Assistance within the Framework of the Guarantees of the Due Process of Law</w:t>
        </w:r>
      </w:hyperlink>
      <w:r w:rsidRPr="00CF6765">
        <w:rPr>
          <w:i/>
          <w:sz w:val="16"/>
          <w:szCs w:val="16"/>
          <w:lang w:val="en-US"/>
        </w:rPr>
        <w:t xml:space="preserve">, </w:t>
      </w:r>
      <w:r w:rsidRPr="00CF6765">
        <w:rPr>
          <w:sz w:val="16"/>
          <w:szCs w:val="16"/>
          <w:lang w:val="en-US"/>
        </w:rPr>
        <w:t xml:space="preserve">Advisory Opinion OC-16/99, October 1, 1999. Series A No. 16, para. 115; </w:t>
      </w:r>
      <w:r w:rsidRPr="00CF6765">
        <w:rPr>
          <w:i/>
          <w:sz w:val="16"/>
          <w:szCs w:val="16"/>
          <w:lang w:val="en-US"/>
        </w:rPr>
        <w:t>Case of González et al. (“Cotton Field”) v. Mexico. Preliminary objection, merits, reparations and costs.</w:t>
      </w:r>
      <w:r w:rsidRPr="00CF6765">
        <w:rPr>
          <w:sz w:val="16"/>
          <w:szCs w:val="16"/>
          <w:lang w:val="en-US"/>
        </w:rPr>
        <w:t xml:space="preserve"> Judgment of November 16, 2009. Series C No. 205, paras. 32, 43 and 59; </w:t>
      </w:r>
      <w:r w:rsidRPr="00CF6765">
        <w:rPr>
          <w:i/>
          <w:sz w:val="16"/>
          <w:szCs w:val="16"/>
          <w:lang w:val="en-US"/>
        </w:rPr>
        <w:t xml:space="preserve">Case of Atala </w:t>
      </w:r>
      <w:proofErr w:type="spellStart"/>
      <w:r w:rsidRPr="00CF6765">
        <w:rPr>
          <w:i/>
          <w:sz w:val="16"/>
          <w:szCs w:val="16"/>
          <w:lang w:val="en-US"/>
        </w:rPr>
        <w:t>Riffo</w:t>
      </w:r>
      <w:proofErr w:type="spellEnd"/>
      <w:r w:rsidRPr="00CF6765">
        <w:rPr>
          <w:i/>
          <w:sz w:val="16"/>
          <w:szCs w:val="16"/>
          <w:lang w:val="en-US"/>
        </w:rPr>
        <w:t xml:space="preserve"> and daughters v. Chile. Merits, reparations and costs</w:t>
      </w:r>
      <w:r w:rsidRPr="00CF6765">
        <w:rPr>
          <w:sz w:val="16"/>
          <w:szCs w:val="16"/>
          <w:lang w:val="en-US"/>
        </w:rPr>
        <w:t xml:space="preserve">. Judgment of February 24, 2012. Series C No. 239, para. 83; and </w:t>
      </w:r>
      <w:bookmarkStart w:id="74" w:name="_Hlk515969767"/>
      <w:r w:rsidRPr="00CF6765">
        <w:rPr>
          <w:i/>
          <w:sz w:val="16"/>
          <w:szCs w:val="16"/>
          <w:lang w:val="en-US"/>
        </w:rPr>
        <w:fldChar w:fldCharType="begin"/>
      </w:r>
      <w:r w:rsidRPr="00CF6765">
        <w:rPr>
          <w:i/>
          <w:sz w:val="16"/>
          <w:szCs w:val="16"/>
          <w:lang w:val="en-US"/>
        </w:rPr>
        <w:instrText xml:space="preserve"> HYPERLINK "http://hrlibrary.umn.edu/iachr/b_11_4a.htm" </w:instrText>
      </w:r>
      <w:r w:rsidRPr="00CF6765">
        <w:rPr>
          <w:i/>
          <w:sz w:val="16"/>
          <w:szCs w:val="16"/>
          <w:lang w:val="en-US"/>
        </w:rPr>
        <w:fldChar w:fldCharType="separate"/>
      </w:r>
      <w:r w:rsidRPr="00CF6765">
        <w:rPr>
          <w:i/>
          <w:sz w:val="16"/>
          <w:szCs w:val="16"/>
          <w:lang w:val="en-US"/>
        </w:rPr>
        <w:t>"Other Treaties" Subject to the Advisory Jurisdiction of the Court (art. 64 American Convention on Human Rights)</w:t>
      </w:r>
      <w:r w:rsidRPr="00CF6765">
        <w:rPr>
          <w:i/>
          <w:sz w:val="16"/>
          <w:szCs w:val="16"/>
          <w:lang w:val="en-US"/>
        </w:rPr>
        <w:fldChar w:fldCharType="end"/>
      </w:r>
      <w:r w:rsidRPr="00CF6765">
        <w:rPr>
          <w:i/>
          <w:sz w:val="16"/>
          <w:szCs w:val="16"/>
          <w:lang w:val="en-US"/>
        </w:rPr>
        <w:t xml:space="preserve">, </w:t>
      </w:r>
      <w:bookmarkEnd w:id="74"/>
      <w:r w:rsidRPr="00CF6765">
        <w:rPr>
          <w:sz w:val="16"/>
          <w:szCs w:val="16"/>
          <w:lang w:val="en-US"/>
        </w:rPr>
        <w:t>Advisory Opinion OC-1/82, September 24, 1982. Series A No. 1, para. 41.</w:t>
      </w:r>
    </w:p>
  </w:footnote>
  <w:footnote w:id="136">
    <w:p w14:paraId="17BF3477" w14:textId="39D07DFA"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UN, Committee on Economic, Social and Cultural Rights, </w:t>
      </w:r>
      <w:r w:rsidRPr="00CF6765">
        <w:rPr>
          <w:i/>
          <w:sz w:val="16"/>
          <w:szCs w:val="16"/>
          <w:lang w:val="en-US"/>
        </w:rPr>
        <w:t xml:space="preserve">General Comment No. 14: The right to the highest attainable standard of health, </w:t>
      </w:r>
      <w:r w:rsidRPr="00CF6765">
        <w:rPr>
          <w:sz w:val="16"/>
          <w:szCs w:val="16"/>
          <w:lang w:val="en-US"/>
        </w:rPr>
        <w:t xml:space="preserve">E/C.12/2000/4, August 11, 2000, para. 31. </w:t>
      </w:r>
    </w:p>
  </w:footnote>
  <w:footnote w:id="137">
    <w:p w14:paraId="1D4C70FB" w14:textId="59BC1193" w:rsidR="003558F5" w:rsidRPr="00CF6765" w:rsidRDefault="003558F5" w:rsidP="00002163">
      <w:pPr>
        <w:pStyle w:val="Textonotapie"/>
        <w:spacing w:after="60"/>
        <w:rPr>
          <w:sz w:val="16"/>
          <w:szCs w:val="16"/>
          <w:lang w:val="en-US" w:eastAsia="es-CR"/>
        </w:rPr>
      </w:pPr>
      <w:r w:rsidRPr="00CF6765">
        <w:rPr>
          <w:rStyle w:val="Refdenotaalpie"/>
          <w:color w:val="000000"/>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 xml:space="preserve">Case of Acevedo </w:t>
      </w:r>
      <w:proofErr w:type="spellStart"/>
      <w:r w:rsidRPr="00CF6765">
        <w:rPr>
          <w:i/>
          <w:sz w:val="16"/>
          <w:szCs w:val="16"/>
          <w:lang w:val="en-US"/>
        </w:rPr>
        <w:t>Buendía</w:t>
      </w:r>
      <w:proofErr w:type="spellEnd"/>
      <w:r w:rsidRPr="00CF6765">
        <w:rPr>
          <w:i/>
          <w:sz w:val="16"/>
          <w:szCs w:val="16"/>
          <w:lang w:val="en-US"/>
        </w:rPr>
        <w:t xml:space="preserve"> et al. (“Discharged and Retired Employees of the Comptroller’s Office”) v. Peru</w:t>
      </w:r>
      <w:r w:rsidRPr="00CF6765">
        <w:rPr>
          <w:sz w:val="16"/>
          <w:szCs w:val="16"/>
          <w:lang w:val="en-US"/>
        </w:rPr>
        <w:t xml:space="preserve">, </w:t>
      </w:r>
      <w:r w:rsidRPr="00CF6765">
        <w:rPr>
          <w:i/>
          <w:sz w:val="16"/>
          <w:szCs w:val="16"/>
          <w:lang w:val="en-US"/>
        </w:rPr>
        <w:t>supra</w:t>
      </w:r>
      <w:r w:rsidRPr="00CF6765">
        <w:rPr>
          <w:sz w:val="16"/>
          <w:szCs w:val="16"/>
          <w:lang w:val="en-US"/>
        </w:rPr>
        <w:t xml:space="preserve">, paras. 102, 103. See also: “Working Group to </w:t>
      </w:r>
      <w:r w:rsidRPr="00CF6765">
        <w:rPr>
          <w:rFonts w:cs="Arial"/>
          <w:sz w:val="16"/>
          <w:szCs w:val="16"/>
          <w:lang w:val="en-US"/>
        </w:rPr>
        <w:t>Examine the National Reports envisioned in the Protocol of San Salvador</w:t>
      </w:r>
      <w:r w:rsidRPr="00CF6765">
        <w:rPr>
          <w:sz w:val="16"/>
          <w:szCs w:val="16"/>
          <w:lang w:val="en-US"/>
        </w:rPr>
        <w:t>.” Initially the Working Group prepared the document “</w:t>
      </w:r>
      <w:r w:rsidRPr="00CF6765">
        <w:rPr>
          <w:rFonts w:cs="Arial"/>
          <w:sz w:val="16"/>
          <w:szCs w:val="16"/>
          <w:lang w:val="en-US"/>
        </w:rPr>
        <w:t>Progress Indicators for Measuring Rights under the Protocol of San,”</w:t>
      </w:r>
      <w:r w:rsidRPr="00CF6765">
        <w:rPr>
          <w:sz w:val="16"/>
          <w:szCs w:val="16"/>
          <w:lang w:val="en-US"/>
        </w:rPr>
        <w:t xml:space="preserve"> OAS/</w:t>
      </w:r>
      <w:proofErr w:type="spellStart"/>
      <w:r w:rsidRPr="00CF6765">
        <w:rPr>
          <w:sz w:val="16"/>
          <w:szCs w:val="16"/>
          <w:lang w:val="en-US"/>
        </w:rPr>
        <w:t>Ser.L</w:t>
      </w:r>
      <w:proofErr w:type="spellEnd"/>
      <w:r w:rsidRPr="00CF6765">
        <w:rPr>
          <w:sz w:val="16"/>
          <w:szCs w:val="16"/>
          <w:lang w:val="en-US"/>
        </w:rPr>
        <w:t>/XXV.2.1; GT/PSS/doc.2/11 rev.2, of December 16, 2011, based on guidelines presented by the Inter-American Commission on Human Rights, which were presented to the States and civil society for their comments and adopted by the General Assembly at its forty-second regular session held in Cochabamba, Bolivia, in June 2012 (AG/RES. 2713 (XLII-O/12). On that occasion, the rights to social security, health and education were addressed (p.13). Subsequently, a second group of rights were examined and the Working Group issued the “</w:t>
      </w:r>
      <w:r w:rsidRPr="00CF6765">
        <w:rPr>
          <w:rFonts w:cs="Arial"/>
          <w:sz w:val="16"/>
          <w:szCs w:val="16"/>
          <w:lang w:val="en-US"/>
        </w:rPr>
        <w:t xml:space="preserve">Progress Indicators for Measuring Rights under the Protocol of San Salvador – second group of rights,” </w:t>
      </w:r>
      <w:r w:rsidRPr="00CF6765">
        <w:rPr>
          <w:sz w:val="16"/>
          <w:szCs w:val="16"/>
          <w:lang w:val="en-US"/>
        </w:rPr>
        <w:t>OAS/</w:t>
      </w:r>
      <w:proofErr w:type="spellStart"/>
      <w:r w:rsidRPr="00CF6765">
        <w:rPr>
          <w:sz w:val="16"/>
          <w:szCs w:val="16"/>
          <w:lang w:val="en-US"/>
        </w:rPr>
        <w:t>Ser.L</w:t>
      </w:r>
      <w:proofErr w:type="spellEnd"/>
      <w:r w:rsidRPr="00CF6765">
        <w:rPr>
          <w:sz w:val="16"/>
          <w:szCs w:val="16"/>
          <w:lang w:val="en-US"/>
        </w:rPr>
        <w:t>/XXV.2.1 GT/PSS/doc.9/13, adopted by the OAS General Assembly in Resolution AG/RES. 2823 (XLIV-O/14), at the second plenary session on June 4, 2014.</w:t>
      </w:r>
      <w:r w:rsidRPr="00CF6765">
        <w:rPr>
          <w:sz w:val="16"/>
          <w:szCs w:val="16"/>
          <w:lang w:val="en-US" w:eastAsia="es-CR"/>
        </w:rPr>
        <w:t xml:space="preserve"> Finally, in 2015, the Working Group combined the two groups of rights in a publication entitled </w:t>
      </w:r>
      <w:r w:rsidRPr="00CF6765">
        <w:rPr>
          <w:sz w:val="16"/>
          <w:szCs w:val="16"/>
          <w:lang w:val="en-US"/>
        </w:rPr>
        <w:t>“</w:t>
      </w:r>
      <w:r w:rsidRPr="00CF6765">
        <w:rPr>
          <w:rFonts w:cs="Arial"/>
          <w:sz w:val="16"/>
          <w:szCs w:val="16"/>
          <w:lang w:val="en-US"/>
        </w:rPr>
        <w:t xml:space="preserve">Progress Indicators for Measuring Rights under the Protocol of San Salvador,” </w:t>
      </w:r>
      <w:r w:rsidRPr="00CF6765">
        <w:rPr>
          <w:sz w:val="16"/>
          <w:szCs w:val="16"/>
          <w:lang w:val="en-US"/>
        </w:rPr>
        <w:t>OAS/</w:t>
      </w:r>
      <w:proofErr w:type="spellStart"/>
      <w:r w:rsidRPr="00CF6765">
        <w:rPr>
          <w:sz w:val="16"/>
          <w:szCs w:val="16"/>
          <w:lang w:val="en-US"/>
        </w:rPr>
        <w:t>Ser.D</w:t>
      </w:r>
      <w:proofErr w:type="spellEnd"/>
      <w:r w:rsidRPr="00CF6765">
        <w:rPr>
          <w:sz w:val="16"/>
          <w:szCs w:val="16"/>
          <w:lang w:val="en-US"/>
        </w:rPr>
        <w:t xml:space="preserve">/XXVI.11 (2015). On that occasion, the Working Group addressed the right to work and trade union rights, and the rights to adequate food, a healthy environment and the benefits of culture (p. 75). </w:t>
      </w:r>
    </w:p>
  </w:footnote>
  <w:footnote w:id="138">
    <w:p w14:paraId="5A5C2C6C" w14:textId="340834DD" w:rsidR="003558F5" w:rsidRPr="00CF6765" w:rsidRDefault="003558F5" w:rsidP="00002163">
      <w:pPr>
        <w:pStyle w:val="Textonotapie"/>
        <w:spacing w:after="60"/>
        <w:rPr>
          <w:sz w:val="16"/>
          <w:szCs w:val="16"/>
          <w:lang w:val="en-US"/>
        </w:rPr>
      </w:pPr>
      <w:r w:rsidRPr="00CF6765">
        <w:rPr>
          <w:rStyle w:val="Refdenotaalpie"/>
          <w:rFonts w:eastAsia="MS ????"/>
          <w:color w:val="000000"/>
          <w:sz w:val="16"/>
          <w:szCs w:val="16"/>
          <w:lang w:val="en-US"/>
        </w:rPr>
        <w:footnoteRef/>
      </w:r>
      <w:r w:rsidRPr="00CF6765">
        <w:rPr>
          <w:rStyle w:val="Refdenotaalpie"/>
          <w:rFonts w:eastAsia="MS ????"/>
          <w:color w:val="000000"/>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UN. Committee on Economic, Social and Cultural Rights, </w:t>
      </w:r>
      <w:r w:rsidRPr="00CF6765">
        <w:rPr>
          <w:i/>
          <w:sz w:val="16"/>
          <w:szCs w:val="16"/>
          <w:lang w:val="en-US"/>
        </w:rPr>
        <w:t>General Comment No. 3: T</w:t>
      </w:r>
      <w:r w:rsidRPr="00CF6765">
        <w:rPr>
          <w:i/>
          <w:iCs/>
          <w:sz w:val="16"/>
          <w:szCs w:val="16"/>
          <w:lang w:val="en-US"/>
        </w:rPr>
        <w:t xml:space="preserve">he nature of States Parties’ obligations </w:t>
      </w:r>
      <w:r w:rsidRPr="00CF6765">
        <w:rPr>
          <w:i/>
          <w:sz w:val="16"/>
          <w:szCs w:val="16"/>
          <w:lang w:val="en-US"/>
        </w:rPr>
        <w:t>(</w:t>
      </w:r>
      <w:r w:rsidRPr="00CF6765">
        <w:rPr>
          <w:sz w:val="16"/>
          <w:szCs w:val="16"/>
          <w:lang w:val="en-US"/>
        </w:rPr>
        <w:t>Art. 2, Para. 1, of the Covenant</w:t>
      </w:r>
      <w:r w:rsidRPr="00CF6765">
        <w:rPr>
          <w:i/>
          <w:sz w:val="16"/>
          <w:szCs w:val="16"/>
          <w:lang w:val="en-US"/>
        </w:rPr>
        <w:t>)</w:t>
      </w:r>
      <w:r w:rsidRPr="00CF6765">
        <w:rPr>
          <w:sz w:val="16"/>
          <w:szCs w:val="16"/>
          <w:lang w:val="en-US"/>
        </w:rPr>
        <w:t xml:space="preserve">, U.N. Doc. E/1991/23, December 14, 1990, para. 9, and </w:t>
      </w:r>
      <w:r w:rsidRPr="00CF6765">
        <w:rPr>
          <w:i/>
          <w:sz w:val="16"/>
          <w:szCs w:val="16"/>
          <w:lang w:val="en-US"/>
        </w:rPr>
        <w:t xml:space="preserve">General Comment No. 14: The right to the highest attainable standard of health, supra, </w:t>
      </w:r>
      <w:r w:rsidRPr="00CF6765">
        <w:rPr>
          <w:sz w:val="16"/>
          <w:szCs w:val="16"/>
          <w:lang w:val="en-US"/>
        </w:rPr>
        <w:t>para. 30. In particular, in the latter, the Committee commented that: “States parties have immediate obligations in relation to the right to health, such as the guarantee that the right will be exercised without discrimination of any kind (art. 2.2) and the obligation to take steps (art. 2.1) towards the full realization of article 12.” In paragraph 2, the Committee indicated that “article 12.2 enumerates, by way of illustration, a number of “steps to be taken by the States parties ... to achieve the full realization of this right.”</w:t>
      </w:r>
    </w:p>
  </w:footnote>
  <w:footnote w:id="139">
    <w:p w14:paraId="74D01BC1" w14:textId="1CF8F3B4"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color w:val="000000"/>
          <w:sz w:val="16"/>
          <w:szCs w:val="16"/>
          <w:lang w:val="en-US"/>
        </w:rPr>
        <w:t xml:space="preserve"> </w:t>
      </w:r>
      <w:r w:rsidRPr="00CF6765">
        <w:rPr>
          <w:color w:val="000000"/>
          <w:sz w:val="16"/>
          <w:szCs w:val="16"/>
          <w:lang w:val="en-US"/>
        </w:rPr>
        <w:tab/>
      </w:r>
      <w:r w:rsidRPr="00CF6765">
        <w:rPr>
          <w:sz w:val="16"/>
          <w:szCs w:val="16"/>
          <w:lang w:val="en-US"/>
        </w:rPr>
        <w:t>Article 34 of the OAS Charter. The 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 […] (</w:t>
      </w:r>
      <w:proofErr w:type="spellStart"/>
      <w:r w:rsidRPr="00CF6765">
        <w:rPr>
          <w:sz w:val="16"/>
          <w:szCs w:val="16"/>
          <w:lang w:val="en-US"/>
        </w:rPr>
        <w:t>i</w:t>
      </w:r>
      <w:proofErr w:type="spellEnd"/>
      <w:r w:rsidRPr="00CF6765">
        <w:rPr>
          <w:sz w:val="16"/>
          <w:szCs w:val="16"/>
          <w:lang w:val="en-US"/>
        </w:rPr>
        <w:t>) [p]</w:t>
      </w:r>
      <w:proofErr w:type="spellStart"/>
      <w:r w:rsidRPr="00CF6765">
        <w:rPr>
          <w:sz w:val="16"/>
          <w:szCs w:val="16"/>
          <w:lang w:val="en-US"/>
        </w:rPr>
        <w:t>rotection</w:t>
      </w:r>
      <w:proofErr w:type="spellEnd"/>
      <w:r w:rsidRPr="00CF6765">
        <w:rPr>
          <w:sz w:val="16"/>
          <w:szCs w:val="16"/>
          <w:lang w:val="en-US"/>
        </w:rPr>
        <w:t xml:space="preserve"> of man's potential through the extension and application of modern medical science [and] (l) [c]</w:t>
      </w:r>
      <w:proofErr w:type="spellStart"/>
      <w:r w:rsidRPr="00CF6765">
        <w:rPr>
          <w:sz w:val="16"/>
          <w:szCs w:val="16"/>
          <w:lang w:val="en-US"/>
        </w:rPr>
        <w:t>onditions</w:t>
      </w:r>
      <w:proofErr w:type="spellEnd"/>
      <w:r w:rsidRPr="00CF6765">
        <w:rPr>
          <w:sz w:val="16"/>
          <w:szCs w:val="16"/>
          <w:lang w:val="en-US"/>
        </w:rPr>
        <w:t xml:space="preserve"> that offer the opportunity for a healthful, productive, and full life. </w:t>
      </w:r>
    </w:p>
  </w:footnote>
  <w:footnote w:id="140">
    <w:p w14:paraId="2E65D594" w14:textId="0294C1EE" w:rsidR="003558F5" w:rsidRPr="00CF6765" w:rsidRDefault="003558F5" w:rsidP="00FE31C0">
      <w:pPr>
        <w:spacing w:after="60"/>
        <w:rPr>
          <w:sz w:val="16"/>
          <w:szCs w:val="16"/>
          <w:lang w:val="en-US"/>
        </w:rPr>
      </w:pPr>
      <w:r w:rsidRPr="00CF6765">
        <w:rPr>
          <w:rStyle w:val="Refdenotaalpie"/>
          <w:color w:val="000000"/>
          <w:sz w:val="16"/>
          <w:szCs w:val="16"/>
          <w:lang w:val="en-US"/>
        </w:rPr>
        <w:footnoteRef/>
      </w:r>
      <w:r w:rsidRPr="00CF6765">
        <w:rPr>
          <w:rStyle w:val="Refdenotaalpie"/>
          <w:color w:val="000000"/>
          <w:sz w:val="16"/>
          <w:szCs w:val="16"/>
          <w:lang w:val="en-US"/>
        </w:rPr>
        <w:t xml:space="preserve"> </w:t>
      </w:r>
      <w:r w:rsidRPr="00CF6765">
        <w:rPr>
          <w:sz w:val="16"/>
          <w:szCs w:val="16"/>
          <w:lang w:val="en-US"/>
        </w:rPr>
        <w:tab/>
        <w:t>Article 45 of the OAS Charter. The Member States, convinced that man can only achieve the full realization of his aspirations within a just social order, along with economic development and true peace, agree to dedicate every effort to the application of the following principles and mechanisms: […] h) Development of an efficient social security policy […].</w:t>
      </w:r>
    </w:p>
  </w:footnote>
  <w:footnote w:id="141">
    <w:p w14:paraId="13BF4A30" w14:textId="40AAEC26" w:rsidR="003558F5" w:rsidRPr="00CF6765" w:rsidRDefault="003558F5" w:rsidP="00537891">
      <w:pPr>
        <w:tabs>
          <w:tab w:val="left" w:pos="567"/>
        </w:tabs>
        <w:spacing w:after="60"/>
        <w:rPr>
          <w:sz w:val="16"/>
          <w:szCs w:val="16"/>
          <w:lang w:val="en-US"/>
        </w:rPr>
      </w:pPr>
      <w:r w:rsidRPr="00CF6765">
        <w:rPr>
          <w:rStyle w:val="Refdenotaalpie"/>
          <w:color w:val="000000"/>
          <w:sz w:val="16"/>
          <w:szCs w:val="16"/>
          <w:lang w:val="en-US"/>
        </w:rPr>
        <w:footnoteRef/>
      </w:r>
      <w:r w:rsidRPr="00CF6765">
        <w:rPr>
          <w:rStyle w:val="Refdenotaalpie"/>
          <w:color w:val="000000"/>
          <w:sz w:val="16"/>
          <w:szCs w:val="16"/>
          <w:lang w:val="en-US"/>
        </w:rPr>
        <w:t xml:space="preserve"> </w:t>
      </w:r>
      <w:r w:rsidRPr="00CF6765">
        <w:rPr>
          <w:color w:val="000000"/>
          <w:sz w:val="16"/>
          <w:szCs w:val="16"/>
          <w:lang w:val="en-US"/>
        </w:rPr>
        <w:tab/>
      </w:r>
      <w:r w:rsidRPr="00CF6765">
        <w:rPr>
          <w:i/>
          <w:color w:val="000000"/>
          <w:sz w:val="16"/>
          <w:szCs w:val="16"/>
          <w:lang w:val="en-US"/>
        </w:rPr>
        <w:t>Cf.</w:t>
      </w:r>
      <w:r w:rsidRPr="00CF6765">
        <w:rPr>
          <w:color w:val="000000"/>
          <w:sz w:val="16"/>
          <w:szCs w:val="16"/>
          <w:lang w:val="en-US"/>
        </w:rPr>
        <w:t xml:space="preserve"> </w:t>
      </w:r>
      <w:r w:rsidRPr="00CF6765">
        <w:rPr>
          <w:i/>
          <w:color w:val="000000"/>
          <w:sz w:val="16"/>
          <w:szCs w:val="16"/>
          <w:lang w:val="en-US"/>
        </w:rPr>
        <w:t>I</w:t>
      </w:r>
      <w:bookmarkStart w:id="75" w:name="_Hlk38106144"/>
      <w:r w:rsidRPr="00CF6765">
        <w:rPr>
          <w:rFonts w:eastAsiaTheme="minorHAnsi" w:cs="Verdana"/>
          <w:sz w:val="16"/>
          <w:szCs w:val="16"/>
          <w:lang w:val="en-US"/>
        </w:rPr>
        <w:fldChar w:fldCharType="begin"/>
      </w:r>
      <w:r w:rsidRPr="00CF6765">
        <w:rPr>
          <w:sz w:val="16"/>
          <w:szCs w:val="16"/>
          <w:lang w:val="en-US"/>
        </w:rPr>
        <w:instrText xml:space="preserve"> HYPERLINK "http://hrlibrary.umn.edu/iachr/b_11_4j.htm" </w:instrText>
      </w:r>
      <w:r w:rsidRPr="00CF6765">
        <w:rPr>
          <w:rFonts w:eastAsiaTheme="minorHAnsi" w:cs="Verdana"/>
          <w:sz w:val="16"/>
          <w:szCs w:val="16"/>
          <w:lang w:val="en-US"/>
        </w:rPr>
        <w:fldChar w:fldCharType="separate"/>
      </w:r>
      <w:r w:rsidRPr="00CF6765">
        <w:rPr>
          <w:i/>
          <w:sz w:val="16"/>
          <w:szCs w:val="16"/>
          <w:lang w:val="en-US"/>
        </w:rPr>
        <w:t>nterpretation of the American Declaration of the Rights and Duties of Man Within the Framework of Article 64 of the American Convention on Human Rights</w:t>
      </w:r>
      <w:r w:rsidRPr="00CF6765">
        <w:rPr>
          <w:i/>
          <w:sz w:val="16"/>
          <w:szCs w:val="16"/>
          <w:lang w:val="en-US"/>
        </w:rPr>
        <w:fldChar w:fldCharType="end"/>
      </w:r>
      <w:r w:rsidRPr="00CF6765">
        <w:rPr>
          <w:i/>
          <w:sz w:val="16"/>
          <w:szCs w:val="16"/>
          <w:lang w:val="en-US"/>
        </w:rPr>
        <w:t xml:space="preserve">, </w:t>
      </w:r>
      <w:r w:rsidRPr="00CF6765">
        <w:rPr>
          <w:sz w:val="16"/>
          <w:szCs w:val="16"/>
          <w:lang w:val="en-US"/>
        </w:rPr>
        <w:t xml:space="preserve">Advisory Opinion OC-10/89, July 14, 1989. </w:t>
      </w:r>
      <w:r w:rsidRPr="00392A9A">
        <w:rPr>
          <w:sz w:val="16"/>
          <w:szCs w:val="16"/>
        </w:rPr>
        <w:t>Series A No. 1</w:t>
      </w:r>
      <w:bookmarkEnd w:id="75"/>
      <w:r w:rsidRPr="00392A9A">
        <w:rPr>
          <w:sz w:val="16"/>
          <w:szCs w:val="16"/>
        </w:rPr>
        <w:t>,</w:t>
      </w:r>
      <w:r w:rsidRPr="00392A9A">
        <w:rPr>
          <w:color w:val="000000"/>
          <w:sz w:val="16"/>
          <w:szCs w:val="16"/>
        </w:rPr>
        <w:t xml:space="preserve"> </w:t>
      </w:r>
      <w:r w:rsidRPr="00392A9A">
        <w:rPr>
          <w:sz w:val="16"/>
          <w:szCs w:val="16"/>
        </w:rPr>
        <w:t xml:space="preserve">para. 43, and </w:t>
      </w:r>
      <w:r w:rsidRPr="00392A9A">
        <w:rPr>
          <w:i/>
          <w:sz w:val="16"/>
          <w:szCs w:val="16"/>
        </w:rPr>
        <w:t xml:space="preserve">Case </w:t>
      </w:r>
      <w:proofErr w:type="spellStart"/>
      <w:r w:rsidRPr="00392A9A">
        <w:rPr>
          <w:i/>
          <w:sz w:val="16"/>
          <w:szCs w:val="16"/>
        </w:rPr>
        <w:t>of</w:t>
      </w:r>
      <w:proofErr w:type="spellEnd"/>
      <w:r w:rsidRPr="00392A9A">
        <w:rPr>
          <w:i/>
          <w:sz w:val="16"/>
          <w:szCs w:val="16"/>
        </w:rPr>
        <w:t xml:space="preserve"> Lagos del Campo, supra,</w:t>
      </w:r>
      <w:r w:rsidRPr="00392A9A">
        <w:rPr>
          <w:sz w:val="16"/>
          <w:szCs w:val="16"/>
        </w:rPr>
        <w:t xml:space="preserve"> para. </w:t>
      </w:r>
      <w:r w:rsidRPr="00CF6765">
        <w:rPr>
          <w:sz w:val="16"/>
          <w:szCs w:val="16"/>
          <w:lang w:val="en-US"/>
        </w:rPr>
        <w:t>143.</w:t>
      </w:r>
    </w:p>
  </w:footnote>
  <w:footnote w:id="142">
    <w:p w14:paraId="2C8DC87D" w14:textId="3DC3EE30" w:rsidR="003558F5" w:rsidRPr="00CF6765" w:rsidRDefault="003558F5" w:rsidP="00B65BBE">
      <w:pPr>
        <w:tabs>
          <w:tab w:val="left" w:pos="567"/>
        </w:tabs>
        <w:spacing w:after="60"/>
        <w:rPr>
          <w:sz w:val="16"/>
          <w:szCs w:val="16"/>
          <w:lang w:val="en-US"/>
        </w:rPr>
      </w:pPr>
      <w:r w:rsidRPr="00CF6765">
        <w:rPr>
          <w:rStyle w:val="Refdenotaalpie"/>
          <w:color w:val="000000"/>
          <w:sz w:val="16"/>
          <w:szCs w:val="16"/>
          <w:lang w:val="en-US"/>
        </w:rPr>
        <w:footnoteRef/>
      </w:r>
      <w:r w:rsidRPr="00CF6765">
        <w:rPr>
          <w:rStyle w:val="Refdenotaalpie"/>
          <w:sz w:val="16"/>
          <w:szCs w:val="16"/>
          <w:lang w:val="en-US"/>
        </w:rPr>
        <w:t xml:space="preserve"> </w:t>
      </w:r>
      <w:r w:rsidRPr="00CF6765">
        <w:rPr>
          <w:color w:val="000000"/>
          <w:sz w:val="16"/>
          <w:szCs w:val="16"/>
          <w:lang w:val="en-US"/>
        </w:rPr>
        <w:tab/>
      </w:r>
      <w:r w:rsidRPr="00CF6765">
        <w:rPr>
          <w:i/>
          <w:sz w:val="16"/>
          <w:szCs w:val="16"/>
          <w:lang w:val="en-US"/>
        </w:rPr>
        <w:t>Cf.</w:t>
      </w:r>
      <w:r w:rsidRPr="00CF6765">
        <w:rPr>
          <w:sz w:val="16"/>
          <w:szCs w:val="16"/>
          <w:lang w:val="en-US"/>
        </w:rPr>
        <w:t xml:space="preserve"> </w:t>
      </w:r>
      <w:hyperlink r:id="rId7" w:history="1">
        <w:r w:rsidRPr="00CF6765">
          <w:rPr>
            <w:i/>
            <w:sz w:val="16"/>
            <w:szCs w:val="16"/>
            <w:lang w:val="en-US"/>
          </w:rPr>
          <w:t>Interpretation of the American Declaration of the Rights and Duties of Man Within the Framework of Article 64 of the American Convention on Human Rights</w:t>
        </w:r>
      </w:hyperlink>
      <w:r w:rsidRPr="00CF6765">
        <w:rPr>
          <w:i/>
          <w:sz w:val="16"/>
          <w:szCs w:val="16"/>
          <w:lang w:val="en-US"/>
        </w:rPr>
        <w:t xml:space="preserve">, </w:t>
      </w:r>
      <w:r w:rsidRPr="00CF6765">
        <w:rPr>
          <w:sz w:val="16"/>
          <w:szCs w:val="16"/>
          <w:lang w:val="en-US"/>
        </w:rPr>
        <w:t xml:space="preserve">Advisory Opinion OC-10/89, </w:t>
      </w:r>
      <w:r w:rsidRPr="00CF6765">
        <w:rPr>
          <w:i/>
          <w:sz w:val="16"/>
          <w:szCs w:val="16"/>
          <w:lang w:val="en-US"/>
        </w:rPr>
        <w:t>supra</w:t>
      </w:r>
      <w:r w:rsidRPr="00CF6765">
        <w:rPr>
          <w:sz w:val="16"/>
          <w:szCs w:val="16"/>
          <w:lang w:val="en-US"/>
        </w:rPr>
        <w:t>, paras. 43 and 45.</w:t>
      </w:r>
    </w:p>
  </w:footnote>
  <w:footnote w:id="143">
    <w:p w14:paraId="2879826E" w14:textId="5419BB6F"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rStyle w:val="Refdenotaalpie"/>
          <w:sz w:val="16"/>
          <w:szCs w:val="16"/>
          <w:lang w:val="en-US"/>
        </w:rPr>
        <w:t xml:space="preserve">  </w:t>
      </w:r>
      <w:r w:rsidRPr="00CF6765">
        <w:rPr>
          <w:sz w:val="16"/>
          <w:szCs w:val="16"/>
          <w:lang w:val="en-US"/>
        </w:rPr>
        <w:tab/>
        <w:t>Government of the Republic of Chile. Constitution of the Republic of Chile. Adopted by Decree Law No. 3464 of August 11, 1980, and promulgated by Decree No. 1150 of October 21, 1980. Article 19: The Constitution guarantees everyone: […] 9. The right to the protection of health. The State protects free and equal access to actions for the promotion, protection and recovery of health and for the rehabilitation of the individual. It shall also be responsible for coordination and control of health-related actions. The State has the special obligation to ensure the execution of health-related actions, whether they are provided by public or private institutions, in the manner and under the conditions determined by law, which may establish compulsory contributions. Everyone shall have the right to choose their preferred health care system, whether public or private […].</w:t>
      </w:r>
    </w:p>
  </w:footnote>
  <w:footnote w:id="144">
    <w:p w14:paraId="588D847C" w14:textId="3D647A87" w:rsidR="003558F5" w:rsidRPr="00CF6765" w:rsidRDefault="003558F5" w:rsidP="00002163">
      <w:pPr>
        <w:pStyle w:val="Textonotapie"/>
        <w:spacing w:after="60"/>
        <w:rPr>
          <w:sz w:val="16"/>
          <w:lang w:val="en-US"/>
        </w:rPr>
      </w:pPr>
      <w:r w:rsidRPr="00CF6765">
        <w:rPr>
          <w:rStyle w:val="Refdenotaalpie"/>
          <w:sz w:val="16"/>
          <w:lang w:val="en-US"/>
        </w:rPr>
        <w:footnoteRef/>
      </w:r>
      <w:r w:rsidRPr="00CF6765">
        <w:rPr>
          <w:sz w:val="16"/>
          <w:lang w:val="en-US"/>
        </w:rPr>
        <w:t xml:space="preserve"> </w:t>
      </w:r>
      <w:r w:rsidRPr="00CF6765">
        <w:rPr>
          <w:sz w:val="16"/>
          <w:lang w:val="en-US"/>
        </w:rPr>
        <w:tab/>
      </w:r>
      <w:r w:rsidRPr="00CF6765">
        <w:rPr>
          <w:i/>
          <w:sz w:val="16"/>
          <w:lang w:val="en-US"/>
        </w:rPr>
        <w:t xml:space="preserve">Cf. Inter alia: </w:t>
      </w:r>
      <w:r w:rsidRPr="00CF6765">
        <w:rPr>
          <w:sz w:val="16"/>
          <w:szCs w:val="16"/>
          <w:lang w:val="en-US"/>
        </w:rPr>
        <w:t xml:space="preserve">Ethics Code of the Chilean Physicians’ Association, adopted by the General Council in session No. 64, by Resolution No. 231 of November 22, </w:t>
      </w:r>
      <w:r w:rsidRPr="00CF6765">
        <w:rPr>
          <w:sz w:val="16"/>
          <w:lang w:val="en-US"/>
        </w:rPr>
        <w:t>1983, and in session No. 39, by Resolution No. 154 of May 7, 1985; Supreme Decree No. 42, entry into force on February 9, 1986, rescinded on April 21, 2005, and the Charter of Patients’ Rights, prepared in 1999 by the National Health Foundation (FONASA) together with the Ministry of Health (MINSAL).</w:t>
      </w:r>
    </w:p>
  </w:footnote>
  <w:footnote w:id="145">
    <w:p w14:paraId="482070AC" w14:textId="567AECA3" w:rsidR="003558F5" w:rsidRPr="00CF6765" w:rsidRDefault="003558F5" w:rsidP="00002163">
      <w:pPr>
        <w:pStyle w:val="Textonotapie"/>
        <w:spacing w:after="60"/>
        <w:rPr>
          <w:rStyle w:val="Refdenotaalpie"/>
          <w:lang w:val="en-US"/>
        </w:rPr>
      </w:pPr>
      <w:r w:rsidRPr="00CF6765">
        <w:rPr>
          <w:rStyle w:val="Refdenotaalpie"/>
          <w:sz w:val="16"/>
          <w:szCs w:val="16"/>
          <w:lang w:val="en-US"/>
        </w:rPr>
        <w:footnoteRef/>
      </w:r>
      <w:r w:rsidRPr="00CF6765">
        <w:rPr>
          <w:rStyle w:val="Refdenotaalpie"/>
          <w:sz w:val="16"/>
          <w:szCs w:val="16"/>
          <w:lang w:val="en-US"/>
        </w:rPr>
        <w:t xml:space="preserve"> </w:t>
      </w:r>
      <w:r w:rsidRPr="00CF6765">
        <w:rPr>
          <w:b/>
          <w:sz w:val="16"/>
          <w:szCs w:val="16"/>
          <w:lang w:val="en-US"/>
        </w:rPr>
        <w:tab/>
      </w:r>
      <w:r w:rsidRPr="00CF6765">
        <w:rPr>
          <w:rFonts w:eastAsia="Batang"/>
          <w:sz w:val="16"/>
          <w:szCs w:val="16"/>
          <w:lang w:val="en-US" w:eastAsia="es-ES"/>
        </w:rPr>
        <w:t xml:space="preserve">Included in the constitutional provisions of the following States Parties to the American Convention: Argentina (art. 42); Barbados (art. </w:t>
      </w:r>
      <w:r w:rsidRPr="00CF6765">
        <w:rPr>
          <w:rFonts w:eastAsia="Batang"/>
          <w:iCs/>
          <w:sz w:val="16"/>
          <w:szCs w:val="16"/>
          <w:lang w:val="en-US" w:eastAsia="es-ES"/>
        </w:rPr>
        <w:t xml:space="preserve">17.2.A); </w:t>
      </w:r>
      <w:r w:rsidRPr="00CF6765">
        <w:rPr>
          <w:rFonts w:eastAsia="Batang"/>
          <w:sz w:val="16"/>
          <w:szCs w:val="16"/>
          <w:lang w:val="en-US" w:eastAsia="es-ES"/>
        </w:rPr>
        <w:t>Bolivia (art. 35); Brazil (art. 196); Colombia (art. 49); Costa Rica (art. 46); Dominican Republic (art. 61); Ecuador (art. 32); El Salvador (art. 65); Guatemala (arts. 93 and 94); Haiti (art. 19); Honduras (art. 145); Mexico (art. 4); Nicaragua (art. 59); Panama (art. 109); Paraguay (art. 68); Peru (art. 70); Suriname (art. 36); Uruguay (art. 44) and Venezuela (art. 83).</w:t>
      </w:r>
    </w:p>
  </w:footnote>
  <w:footnote w:id="146">
    <w:p w14:paraId="3A053613" w14:textId="4B8569F4" w:rsidR="003558F5" w:rsidRPr="00CF6765" w:rsidRDefault="003558F5" w:rsidP="0044726D">
      <w:pPr>
        <w:rPr>
          <w:sz w:val="16"/>
          <w:szCs w:val="16"/>
          <w:lang w:val="en-US"/>
        </w:rPr>
      </w:pPr>
      <w:r w:rsidRPr="00CF6765">
        <w:rPr>
          <w:rStyle w:val="Refdenotaalpie"/>
          <w:sz w:val="16"/>
          <w:szCs w:val="16"/>
          <w:lang w:val="en-US"/>
        </w:rPr>
        <w:footnoteRef/>
      </w:r>
      <w:r w:rsidRPr="00CF6765">
        <w:rPr>
          <w:rStyle w:val="Refdenotaalpie"/>
          <w:sz w:val="16"/>
          <w:szCs w:val="16"/>
          <w:lang w:val="en-US"/>
        </w:rPr>
        <w:t xml:space="preserve"> </w:t>
      </w:r>
      <w:r w:rsidRPr="00CF6765">
        <w:rPr>
          <w:sz w:val="16"/>
          <w:szCs w:val="16"/>
          <w:lang w:val="en-US"/>
        </w:rPr>
        <w:tab/>
        <w:t xml:space="preserve">Adopted by the UN General Assembly in Resolution 217 A (III), on December 10, 1948, in Paris.  Article 25: (1) Everyone has the right to a standard of living adequate for the health and well-being of himself and of his family, including food, clothing, housing and medical care and necessary social services […]. </w:t>
      </w:r>
    </w:p>
    <w:p w14:paraId="39B731AE" w14:textId="77777777" w:rsidR="003558F5" w:rsidRPr="00CF6765" w:rsidRDefault="003558F5" w:rsidP="0044726D">
      <w:pPr>
        <w:rPr>
          <w:sz w:val="6"/>
          <w:szCs w:val="6"/>
          <w:lang w:val="en-US"/>
        </w:rPr>
      </w:pPr>
    </w:p>
  </w:footnote>
  <w:footnote w:id="147">
    <w:p w14:paraId="1F8F5858" w14:textId="254A6D7C"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rStyle w:val="Refdenotaalpie"/>
          <w:sz w:val="16"/>
          <w:szCs w:val="16"/>
          <w:lang w:val="en-US"/>
        </w:rPr>
        <w:t xml:space="preserve"> </w:t>
      </w:r>
      <w:r w:rsidRPr="00CF6765">
        <w:rPr>
          <w:sz w:val="16"/>
          <w:szCs w:val="16"/>
          <w:lang w:val="en-US"/>
        </w:rPr>
        <w:tab/>
        <w:t>Adopted by the UN General Assembly in Resolution 2200A (XXI), of December 16, 1966, and in force since January 3, 1976. Ratified by Chile on February 10, 1972. Its Article 12, “Right to the enjoyment of the highest attainable standard of health,” establishes the obligation to take the necessary steps to reduce stillbirth-rate and infant mortality; to ensure the health development of children; to improve all aspects of environmental and industrial hygiene; to prevent, treat and control epidemic, endemic, occupational and other diseases, and to assure to all medical service and medical attention in the event of sickness.</w:t>
      </w:r>
    </w:p>
  </w:footnote>
  <w:footnote w:id="148">
    <w:p w14:paraId="10032759" w14:textId="335702B8" w:rsidR="003558F5" w:rsidRPr="00CF6765" w:rsidRDefault="003558F5" w:rsidP="00002163">
      <w:pPr>
        <w:pStyle w:val="Textonotapie"/>
        <w:spacing w:after="60"/>
        <w:rPr>
          <w:rFonts w:cs="Arial"/>
          <w:color w:val="000000"/>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Adopted by the OAS General Assembly on November 17, 1988, in San Salvador. Entry into force on November 16, 1999. To date, this has not been ratified by the State of Chile. Article 10. Right to health. 1. </w:t>
      </w:r>
      <w:r w:rsidRPr="00CF6765">
        <w:rPr>
          <w:rFonts w:cs="Arial"/>
          <w:color w:val="000000"/>
          <w:sz w:val="16"/>
          <w:szCs w:val="16"/>
          <w:lang w:val="en-US"/>
        </w:rPr>
        <w:t>Everyone shall have the right to health, understood to mean the enjoyment of the highest level of physical, mental and social well-being.2. In order to ensure the exercise of the right to health. the States Parties agree to recognize health as a public good and, particularly, to adopt the following measures to ensure that right: (a) Primary health care, that is, essential health care made available to all individuals and families in the community; (b) Extension of the benefits of health services to all individuals subject to the State’s jurisdiction; (c) Universal immunization against the principal infectious diseases; (d) Prevention and treatment of endemic, occupational and other diseases; (e) Education of the population on the prevention and treatment of health problems, and (f) Satisfaction of the health needs of the highest risk groups and of those whose poverty makes them the most vulnerable.</w:t>
      </w:r>
    </w:p>
  </w:footnote>
  <w:footnote w:id="149">
    <w:p w14:paraId="422E3CD5" w14:textId="001B5448"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Adopted by the UN General Assembly in Resolution 2106 A (XX), of December 21, 1965. Entry into force on January 4, 1969. Entry into force for Chile on November 19, 1971. Article 5. In compliance with the fundamental obligations laid down in article 2 of this Convention, States Parties undertake to prohibit and to eliminate racial discrimination in all its forms and to guarantee the right of everyone, without distinction as to race, </w:t>
      </w:r>
      <w:proofErr w:type="spellStart"/>
      <w:r w:rsidRPr="00CF6765">
        <w:rPr>
          <w:sz w:val="16"/>
          <w:szCs w:val="16"/>
          <w:lang w:val="en-US"/>
        </w:rPr>
        <w:t>colour</w:t>
      </w:r>
      <w:proofErr w:type="spellEnd"/>
      <w:r w:rsidRPr="00CF6765">
        <w:rPr>
          <w:sz w:val="16"/>
          <w:szCs w:val="16"/>
          <w:lang w:val="en-US"/>
        </w:rPr>
        <w:t>, or national or ethnic origin, to equality before the law, notably in the enjoyment of the following rights: […] (e) The economic, social and cultural rights, in particular: […] (iv) The right to public health, medical care, social security and social services […].</w:t>
      </w:r>
    </w:p>
  </w:footnote>
  <w:footnote w:id="150">
    <w:p w14:paraId="02E0A0E2" w14:textId="00B0397A"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rStyle w:val="Refdenotaalpie"/>
          <w:sz w:val="16"/>
          <w:szCs w:val="16"/>
          <w:lang w:val="en-US"/>
        </w:rPr>
        <w:t xml:space="preserve"> </w:t>
      </w:r>
      <w:r w:rsidRPr="00CF6765">
        <w:rPr>
          <w:rStyle w:val="Refdenotaalpie"/>
          <w:sz w:val="16"/>
          <w:szCs w:val="16"/>
          <w:lang w:val="en-US"/>
        </w:rPr>
        <w:tab/>
      </w:r>
      <w:r w:rsidRPr="00CF6765">
        <w:rPr>
          <w:sz w:val="16"/>
          <w:szCs w:val="16"/>
          <w:lang w:val="en-US"/>
        </w:rPr>
        <w:t>Adopted by the UN General Assembly on December 18, 1979. Entry into force on September 3, 1981. Article 12. (1) States Parties shall take all appropriate measures to eliminate discrimination against women in the field of health care in order to ensure, on a basis of equality of men and women, access to health care services, including those related to family planning.</w:t>
      </w:r>
    </w:p>
  </w:footnote>
  <w:footnote w:id="151">
    <w:p w14:paraId="7E88A7FC" w14:textId="5C6A9A59"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Adopted by the UN General Assembly in Resolution 44/25, of November 20, 1989. Entry into force on September 2, 1990. Ratified by Chile August 14, 1990. Article 24. (1) States Parties recognize 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w:t>
      </w:r>
    </w:p>
  </w:footnote>
  <w:footnote w:id="152">
    <w:p w14:paraId="5BA15CFE" w14:textId="22A9D16E"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Adopted by the UN General Assembly in Resolution 45/158, on December 18, 1990. Ratified by Chile on April 12, 2005. Article 28. </w:t>
      </w:r>
      <w:r w:rsidRPr="00CF6765">
        <w:rPr>
          <w:rFonts w:cs="Arial"/>
          <w:sz w:val="16"/>
          <w:szCs w:val="16"/>
          <w:lang w:val="en-US"/>
        </w:rPr>
        <w:t>Migrant workers and members of their families shall have the right to receive any medical care that is urgently required for the preservation of their life or the avoidance of irreparable harm to their health on the basis of equality of treatment with nationals of the State concerned. Such emergency medical care shall not be refused them by reason of any irregularity with regard to stay or employment</w:t>
      </w:r>
    </w:p>
  </w:footnote>
  <w:footnote w:id="153">
    <w:p w14:paraId="58796300" w14:textId="3466D2EF"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Adopted by the UN General Assembly on December 13, 2006. Entry into force on May 3, 2008.  Ratified by Chile on August 25, 2008. Article 25. States Parties recognize that persons with disabilities have the right to the enjoyment of the highest attainable standard of health without discrimination on the basis of disability. States Parties shall take all appropriate measures to ensure access for persons with disabilities to health services that are gender-sensitive, including health-related rehabilitation.  </w:t>
      </w:r>
    </w:p>
  </w:footnote>
  <w:footnote w:id="154">
    <w:p w14:paraId="43D7D1F7" w14:textId="599E917A" w:rsidR="003558F5" w:rsidRPr="00CF6765" w:rsidRDefault="003558F5" w:rsidP="00002163">
      <w:pPr>
        <w:pStyle w:val="Textonotapie"/>
        <w:spacing w:after="60"/>
        <w:rPr>
          <w:sz w:val="22"/>
          <w:szCs w:val="22"/>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Adopted in the second plenary session of the OAS General Assembly held on June 4, 2012. Its Article 17 indicates that “Member States </w:t>
      </w:r>
      <w:r w:rsidRPr="00CF6765">
        <w:rPr>
          <w:noProof/>
          <w:sz w:val="16"/>
          <w:szCs w:val="16"/>
          <w:lang w:val="en-US"/>
        </w:rPr>
        <w:t xml:space="preserve">states reaffirm that the enjoyment of the highest attainable standard of health is a fundamental right of all persons without discrimination and recognize that health is an essential condition for social inclusion and cohesion, </w:t>
      </w:r>
      <w:r w:rsidRPr="00CF6765">
        <w:rPr>
          <w:sz w:val="16"/>
          <w:szCs w:val="16"/>
          <w:lang w:val="en-US"/>
        </w:rPr>
        <w:t>integral development and economic growth with equity.” In addition, regarding integral development, its Article 33(2) expressly mentions the field of health.</w:t>
      </w:r>
    </w:p>
  </w:footnote>
  <w:footnote w:id="155">
    <w:p w14:paraId="18B63D14" w14:textId="4CFA3ADC" w:rsidR="003558F5" w:rsidRPr="00CF6765" w:rsidRDefault="003558F5" w:rsidP="00A0754B">
      <w:pPr>
        <w:spacing w:after="60"/>
        <w:rPr>
          <w:sz w:val="16"/>
          <w:szCs w:val="16"/>
          <w:lang w:val="en-US"/>
        </w:rPr>
      </w:pPr>
      <w:r w:rsidRPr="00CF6765">
        <w:rPr>
          <w:rStyle w:val="Refdenotaalpie"/>
          <w:sz w:val="16"/>
          <w:lang w:val="en-US"/>
        </w:rPr>
        <w:footnoteRef/>
      </w:r>
      <w:r w:rsidRPr="00CF6765">
        <w:rPr>
          <w:lang w:val="en-US"/>
        </w:rPr>
        <w:t xml:space="preserve"> </w:t>
      </w:r>
      <w:r w:rsidRPr="00CF6765">
        <w:rPr>
          <w:lang w:val="en-US"/>
        </w:rPr>
        <w:tab/>
      </w:r>
      <w:r w:rsidRPr="00CF6765">
        <w:rPr>
          <w:sz w:val="16"/>
          <w:szCs w:val="16"/>
          <w:lang w:val="en-US"/>
        </w:rPr>
        <w:t xml:space="preserve">Council of Europe (Strasbourg). Adopted in Turin on October 18, 1961. Article 11: </w:t>
      </w:r>
      <w:r w:rsidRPr="00CF6765">
        <w:rPr>
          <w:rFonts w:cs="Arial"/>
          <w:sz w:val="16"/>
          <w:szCs w:val="16"/>
          <w:lang w:val="en-US"/>
        </w:rPr>
        <w:t xml:space="preserve">The right to protection of health. With a view to ensuring the effective exercise of the right to protection of health, the Parties undertake, either directly or in cooperation with public or private </w:t>
      </w:r>
      <w:proofErr w:type="spellStart"/>
      <w:r w:rsidRPr="00CF6765">
        <w:rPr>
          <w:rFonts w:cs="Arial"/>
          <w:sz w:val="16"/>
          <w:szCs w:val="16"/>
          <w:lang w:val="en-US"/>
        </w:rPr>
        <w:t>organisations</w:t>
      </w:r>
      <w:proofErr w:type="spellEnd"/>
      <w:r w:rsidRPr="00CF6765">
        <w:rPr>
          <w:rFonts w:cs="Arial"/>
          <w:sz w:val="16"/>
          <w:szCs w:val="16"/>
          <w:lang w:val="en-US"/>
        </w:rPr>
        <w:t>, to take appropriate measures designed inter alia: (1) to remove as far as possible the causes of ill-health; (2) to provide advisory and educational facilities for the promotion of health and the encouragement of individual responsibility in matters of health; (3) to prevent as far as possible epidemic, endemic and other diseases, as well as accidents.</w:t>
      </w:r>
    </w:p>
  </w:footnote>
  <w:footnote w:id="156">
    <w:p w14:paraId="68FF750A" w14:textId="5A4DB5FE" w:rsidR="003558F5" w:rsidRPr="00CF6765" w:rsidRDefault="003558F5" w:rsidP="00517D83">
      <w:pPr>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Adopted during the XVIII Assembly of Head of State and Government of the Organization of African Unity, in Nairobi, Kenya, on June 27, 1981. Article 16. 1. Every individual shall have the right to enjoy the best attainable state of physical and mental health. 2. States parties to the present Charter shall take the necessary measures to protect the health of their people and to ensure that they receive medical attention when they are sick.</w:t>
      </w:r>
    </w:p>
  </w:footnote>
  <w:footnote w:id="157">
    <w:p w14:paraId="02BFB534" w14:textId="184E71EE" w:rsidR="003558F5" w:rsidRPr="00CF6765" w:rsidRDefault="003558F5" w:rsidP="00B12004">
      <w:pPr>
        <w:pStyle w:val="Textonotapie"/>
        <w:spacing w:after="60"/>
        <w:rPr>
          <w:sz w:val="16"/>
          <w:szCs w:val="16"/>
          <w:lang w:val="en-US"/>
        </w:rPr>
      </w:pPr>
      <w:r w:rsidRPr="00CF6765">
        <w:rPr>
          <w:rStyle w:val="Refdenotaalpie"/>
          <w:sz w:val="16"/>
          <w:lang w:val="en-US"/>
        </w:rPr>
        <w:footnoteRef/>
      </w:r>
      <w:r w:rsidRPr="00CF6765">
        <w:rPr>
          <w:rStyle w:val="Refdenotaalpie"/>
          <w:lang w:val="en-US"/>
        </w:rPr>
        <w:t xml:space="preserve">  </w:t>
      </w:r>
      <w:r w:rsidRPr="00CF6765">
        <w:rPr>
          <w:lang w:val="en-US"/>
        </w:rPr>
        <w:t xml:space="preserve">  </w:t>
      </w:r>
      <w:r w:rsidRPr="00CF6765">
        <w:rPr>
          <w:sz w:val="16"/>
          <w:szCs w:val="16"/>
          <w:lang w:val="en-US"/>
        </w:rPr>
        <w:t xml:space="preserve"> </w:t>
      </w:r>
      <w:r w:rsidRPr="00CF6765">
        <w:rPr>
          <w:sz w:val="16"/>
          <w:szCs w:val="16"/>
          <w:lang w:val="en-US"/>
        </w:rPr>
        <w:tab/>
        <w:t>Adopted at the fifth regular session of the OAS General Assembly in Washington, D.C., on June 15, 2015. Entry into force on January 11, 2017. Ratified by Chile on November 7, 2017. Article 19. Right to health. Older persons have the right to physical and mental health without discrimination of any kind. States Parties shall design and implement comprehensive-care oriented intersectoral public health policies that include health promotion, prevention and care of disease at all stages, and rehabilitation and palliative care for older persons, in order to promote enjoyment of the highest level of physical, mental and social well-being. […]” In the case of the present analysis, it should be noted that this provision was not enforceable at the time of the facts of this case.</w:t>
      </w:r>
    </w:p>
  </w:footnote>
  <w:footnote w:id="158">
    <w:p w14:paraId="2B39FAD8" w14:textId="371D9477"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rStyle w:val="Refdenotaalpie"/>
          <w:sz w:val="16"/>
          <w:szCs w:val="16"/>
          <w:lang w:val="en-US"/>
        </w:rPr>
        <w:t xml:space="preserve">  </w:t>
      </w:r>
      <w:r w:rsidRPr="00CF6765">
        <w:rPr>
          <w:sz w:val="16"/>
          <w:szCs w:val="16"/>
          <w:lang w:val="en-US"/>
        </w:rPr>
        <w:t xml:space="preserve">   </w:t>
      </w:r>
      <w:r w:rsidRPr="00CF6765">
        <w:rPr>
          <w:sz w:val="16"/>
          <w:szCs w:val="16"/>
          <w:lang w:val="en-US"/>
        </w:rPr>
        <w:tab/>
        <w:t>Adopted by the World Conference on Human Rights in Vienna on June 25, 1993. Paragraph 41. The World Conference on Human Rights recognizes the importance of the enjoyment by women of the highest standard of physical and mental health throughout their life span. In the context of the World Conference on Women and the Convention on the Elimination of All Forms of Discrimination against Women, as well as the Proclamation of Tehran of 1968, the World Conference on Human Rights reaffirms, on the basis of equality between women and men, a woman's right to accessible and adequate health care and the widest range of family planning services, as well as equal access to education at all levels.</w:t>
      </w:r>
    </w:p>
  </w:footnote>
  <w:footnote w:id="159">
    <w:p w14:paraId="6A58EDC2" w14:textId="20F165D1"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rStyle w:val="Refdenotaalpie"/>
          <w:sz w:val="16"/>
          <w:szCs w:val="16"/>
          <w:lang w:val="en-US"/>
        </w:rPr>
        <w:t xml:space="preserve"> </w:t>
      </w:r>
      <w:r w:rsidRPr="00CF6765">
        <w:rPr>
          <w:sz w:val="16"/>
          <w:szCs w:val="16"/>
          <w:lang w:val="en-US"/>
        </w:rPr>
        <w:t xml:space="preserve">   </w:t>
      </w:r>
      <w:r w:rsidRPr="00CF6765">
        <w:rPr>
          <w:sz w:val="16"/>
          <w:szCs w:val="16"/>
          <w:lang w:val="en-US"/>
        </w:rPr>
        <w:tab/>
        <w:t xml:space="preserve">The following are relevant for the analysis of the right to health, </w:t>
      </w:r>
      <w:r w:rsidRPr="00CF6765">
        <w:rPr>
          <w:i/>
          <w:sz w:val="16"/>
          <w:szCs w:val="16"/>
          <w:lang w:val="en-US"/>
        </w:rPr>
        <w:t>General Comment No. 14: “The right to the highest attainable standard of health”</w:t>
      </w:r>
      <w:r w:rsidRPr="00CF6765">
        <w:rPr>
          <w:sz w:val="16"/>
          <w:szCs w:val="16"/>
          <w:lang w:val="en-US"/>
        </w:rPr>
        <w:t xml:space="preserve">, CESCR, which will be examined </w:t>
      </w:r>
      <w:r w:rsidRPr="00CF6765">
        <w:rPr>
          <w:i/>
          <w:sz w:val="16"/>
          <w:szCs w:val="16"/>
          <w:lang w:val="en-US"/>
        </w:rPr>
        <w:t>infra</w:t>
      </w:r>
      <w:r w:rsidRPr="00CF6765">
        <w:rPr>
          <w:sz w:val="16"/>
          <w:szCs w:val="16"/>
          <w:lang w:val="en-US"/>
        </w:rPr>
        <w:t xml:space="preserve">. The comments of the Committee on the Rights of the Child are also useful, in particular </w:t>
      </w:r>
      <w:r w:rsidRPr="00CF6765">
        <w:rPr>
          <w:i/>
          <w:sz w:val="16"/>
          <w:szCs w:val="16"/>
          <w:lang w:val="en-US"/>
        </w:rPr>
        <w:t>General Comment No. 3: “HIV/AIDS and the rights of the child,”</w:t>
      </w:r>
      <w:r w:rsidRPr="00CF6765">
        <w:rPr>
          <w:sz w:val="16"/>
          <w:szCs w:val="16"/>
          <w:lang w:val="en-US"/>
        </w:rPr>
        <w:t xml:space="preserve"> CRC/GC/2003/3 (2003), and </w:t>
      </w:r>
      <w:r w:rsidRPr="00CF6765">
        <w:rPr>
          <w:i/>
          <w:sz w:val="16"/>
          <w:szCs w:val="16"/>
          <w:lang w:val="en-US"/>
        </w:rPr>
        <w:t xml:space="preserve">General Comment No. 4: “Adolescent Health and Development in the context of the Convention on the Rights of the Child,” </w:t>
      </w:r>
      <w:r w:rsidRPr="00CF6765">
        <w:rPr>
          <w:sz w:val="16"/>
          <w:szCs w:val="16"/>
          <w:lang w:val="en-US"/>
        </w:rPr>
        <w:t xml:space="preserve">CRC/GC/2003/4 (2003). Also, </w:t>
      </w:r>
      <w:r w:rsidRPr="00CF6765">
        <w:rPr>
          <w:i/>
          <w:iCs/>
          <w:sz w:val="16"/>
          <w:szCs w:val="16"/>
          <w:lang w:val="en-US"/>
        </w:rPr>
        <w:t>General Recommendation</w:t>
      </w:r>
      <w:r w:rsidRPr="00CF6765">
        <w:rPr>
          <w:i/>
          <w:sz w:val="16"/>
          <w:szCs w:val="16"/>
          <w:lang w:val="en-US"/>
        </w:rPr>
        <w:t xml:space="preserve"> No. 24</w:t>
      </w:r>
      <w:r w:rsidRPr="00CF6765">
        <w:rPr>
          <w:sz w:val="16"/>
          <w:szCs w:val="16"/>
          <w:lang w:val="en-US"/>
        </w:rPr>
        <w:t xml:space="preserve"> of the Committee on the Elimination of Discrimination against Women, </w:t>
      </w:r>
      <w:r w:rsidRPr="00CF6765">
        <w:rPr>
          <w:i/>
          <w:sz w:val="16"/>
          <w:szCs w:val="16"/>
          <w:lang w:val="en-US"/>
        </w:rPr>
        <w:t xml:space="preserve">“Article 12 of the Convention on the Elimination of All Forms of Discrimination against Women – Women and Health,” </w:t>
      </w:r>
      <w:r w:rsidRPr="00CF6765">
        <w:rPr>
          <w:sz w:val="16"/>
          <w:szCs w:val="16"/>
          <w:lang w:val="en-US"/>
        </w:rPr>
        <w:t>of February 2, 1999, A/54/38/Rev.1, and the reports of the Special Rapporteur of the Human Rights Commission on the right to health. UN Commission on Human Rights,</w:t>
      </w:r>
      <w:r w:rsidRPr="00CF6765">
        <w:rPr>
          <w:rFonts w:eastAsia="Calibri"/>
          <w:sz w:val="16"/>
          <w:szCs w:val="16"/>
          <w:lang w:val="en-US" w:eastAsia="en-US"/>
        </w:rPr>
        <w:t xml:space="preserve"> “</w:t>
      </w:r>
      <w:r w:rsidRPr="00CF6765">
        <w:rPr>
          <w:i/>
          <w:sz w:val="16"/>
          <w:szCs w:val="16"/>
          <w:lang w:val="en-US"/>
        </w:rPr>
        <w:t xml:space="preserve">Non-discrimination in the field of health, </w:t>
      </w:r>
      <w:r w:rsidRPr="00CF6765">
        <w:rPr>
          <w:sz w:val="16"/>
          <w:szCs w:val="16"/>
          <w:lang w:val="en-US"/>
        </w:rPr>
        <w:t>Resolution 1989/11. Adopted at the 45</w:t>
      </w:r>
      <w:r w:rsidRPr="00CF6765">
        <w:rPr>
          <w:sz w:val="16"/>
          <w:szCs w:val="16"/>
          <w:vertAlign w:val="superscript"/>
          <w:lang w:val="en-US"/>
        </w:rPr>
        <w:t>th</w:t>
      </w:r>
      <w:r w:rsidRPr="00CF6765">
        <w:rPr>
          <w:sz w:val="16"/>
          <w:szCs w:val="16"/>
          <w:lang w:val="en-US"/>
        </w:rPr>
        <w:t xml:space="preserve"> session on March 2, 1989. </w:t>
      </w:r>
    </w:p>
  </w:footnote>
  <w:footnote w:id="160">
    <w:p w14:paraId="70A61BA4" w14:textId="734A3A66" w:rsidR="003558F5" w:rsidRPr="00CF6765" w:rsidRDefault="003558F5" w:rsidP="00002163">
      <w:pPr>
        <w:pStyle w:val="Textonotapie"/>
        <w:spacing w:after="60"/>
        <w:rPr>
          <w:color w:val="000000"/>
          <w:sz w:val="16"/>
          <w:szCs w:val="16"/>
          <w:lang w:val="en-US"/>
        </w:rPr>
      </w:pPr>
      <w:r w:rsidRPr="00CF6765">
        <w:rPr>
          <w:rStyle w:val="Refdenotaalpie"/>
          <w:rFonts w:eastAsia="Calibri"/>
          <w:sz w:val="16"/>
          <w:szCs w:val="16"/>
          <w:lang w:val="en-US" w:eastAsia="en-US"/>
        </w:rPr>
        <w:footnoteRef/>
      </w:r>
      <w:r w:rsidRPr="00CF6765">
        <w:rPr>
          <w:color w:val="000000"/>
          <w:sz w:val="16"/>
          <w:szCs w:val="16"/>
          <w:lang w:val="en-US"/>
        </w:rPr>
        <w:t xml:space="preserve"> </w:t>
      </w:r>
      <w:r w:rsidRPr="00CF6765">
        <w:rPr>
          <w:color w:val="000000"/>
          <w:sz w:val="16"/>
          <w:szCs w:val="16"/>
          <w:lang w:val="en-US"/>
        </w:rPr>
        <w:tab/>
      </w:r>
      <w:r w:rsidRPr="00CF6765">
        <w:rPr>
          <w:i/>
          <w:color w:val="000000"/>
          <w:sz w:val="16"/>
          <w:szCs w:val="16"/>
          <w:lang w:val="en-US"/>
        </w:rPr>
        <w:t xml:space="preserve">Cf. </w:t>
      </w:r>
      <w:r w:rsidRPr="00CF6765">
        <w:rPr>
          <w:color w:val="000000"/>
          <w:sz w:val="16"/>
          <w:szCs w:val="16"/>
          <w:lang w:val="en-US"/>
        </w:rPr>
        <w:t xml:space="preserve">UN. Committee on Economic, Social and Cultural Rights (CESCR), </w:t>
      </w:r>
      <w:r w:rsidRPr="00CF6765">
        <w:rPr>
          <w:i/>
          <w:color w:val="000000"/>
          <w:sz w:val="16"/>
          <w:szCs w:val="16"/>
          <w:lang w:val="en-US"/>
        </w:rPr>
        <w:t>General Comment (GC) No. 14:</w:t>
      </w:r>
      <w:r w:rsidRPr="00CF6765">
        <w:rPr>
          <w:color w:val="000000"/>
          <w:sz w:val="16"/>
          <w:szCs w:val="16"/>
          <w:lang w:val="en-US"/>
        </w:rPr>
        <w:t xml:space="preserve"> </w:t>
      </w:r>
      <w:r w:rsidRPr="00CF6765">
        <w:rPr>
          <w:i/>
          <w:color w:val="000000"/>
          <w:sz w:val="16"/>
          <w:szCs w:val="16"/>
          <w:lang w:val="en-US"/>
        </w:rPr>
        <w:t>“The right to the highest attainable standard of health”</w:t>
      </w:r>
      <w:r w:rsidRPr="00CF6765">
        <w:rPr>
          <w:color w:val="000000"/>
          <w:sz w:val="16"/>
          <w:szCs w:val="16"/>
          <w:lang w:val="en-US"/>
        </w:rPr>
        <w:t>, E/C.12/2000/4, August 11, 2000.</w:t>
      </w:r>
    </w:p>
  </w:footnote>
  <w:footnote w:id="161">
    <w:p w14:paraId="2F7F5F8F" w14:textId="75F3A3BB"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sz w:val="16"/>
          <w:szCs w:val="16"/>
          <w:lang w:val="en-US"/>
        </w:rPr>
        <w:t xml:space="preserve"> </w:t>
      </w:r>
      <w:r w:rsidRPr="00CF6765">
        <w:rPr>
          <w:color w:val="000000"/>
          <w:sz w:val="16"/>
          <w:szCs w:val="16"/>
          <w:lang w:val="en-US"/>
        </w:rPr>
        <w:t xml:space="preserve"> </w:t>
      </w:r>
      <w:r w:rsidRPr="00CF6765">
        <w:rPr>
          <w:color w:val="000000"/>
          <w:sz w:val="16"/>
          <w:szCs w:val="16"/>
          <w:lang w:val="en-US"/>
        </w:rPr>
        <w:tab/>
      </w:r>
      <w:r w:rsidRPr="00CF6765">
        <w:rPr>
          <w:i/>
          <w:color w:val="000000"/>
          <w:sz w:val="16"/>
          <w:szCs w:val="16"/>
          <w:lang w:val="en-US"/>
        </w:rPr>
        <w:t xml:space="preserve">Cf. </w:t>
      </w:r>
      <w:r w:rsidRPr="00CF6765">
        <w:rPr>
          <w:color w:val="000000"/>
          <w:sz w:val="16"/>
          <w:szCs w:val="16"/>
          <w:lang w:val="en-US"/>
        </w:rPr>
        <w:t xml:space="preserve">UN. CESCR, </w:t>
      </w:r>
      <w:r w:rsidRPr="00CF6765">
        <w:rPr>
          <w:i/>
          <w:color w:val="000000"/>
          <w:sz w:val="16"/>
          <w:szCs w:val="16"/>
          <w:lang w:val="en-US"/>
        </w:rPr>
        <w:t>GC-3: “</w:t>
      </w:r>
      <w:r w:rsidRPr="00CF6765">
        <w:rPr>
          <w:rStyle w:val="st"/>
          <w:rFonts w:eastAsia="Calibri"/>
          <w:i/>
          <w:iCs/>
          <w:sz w:val="16"/>
          <w:szCs w:val="16"/>
          <w:lang w:val="en-US"/>
        </w:rPr>
        <w:t>The nature of States parties' obligations (</w:t>
      </w:r>
      <w:r w:rsidRPr="00CF6765">
        <w:rPr>
          <w:rStyle w:val="st"/>
          <w:rFonts w:eastAsia="Calibri"/>
          <w:sz w:val="16"/>
          <w:szCs w:val="16"/>
          <w:lang w:val="en-US"/>
        </w:rPr>
        <w:t>art. 2, para. 1, of the Covenant).</w:t>
      </w:r>
      <w:r w:rsidRPr="00CF6765">
        <w:rPr>
          <w:i/>
          <w:color w:val="000000"/>
          <w:sz w:val="16"/>
          <w:szCs w:val="16"/>
          <w:lang w:val="en-US"/>
        </w:rPr>
        <w:t xml:space="preserve">” </w:t>
      </w:r>
      <w:r w:rsidRPr="00CF6765">
        <w:rPr>
          <w:color w:val="000000"/>
          <w:sz w:val="16"/>
          <w:szCs w:val="16"/>
          <w:lang w:val="en-US"/>
        </w:rPr>
        <w:t>E/1991/23, December 14, 1990, paras. 3 and 10.</w:t>
      </w:r>
    </w:p>
  </w:footnote>
  <w:footnote w:id="162">
    <w:p w14:paraId="4481C9E4" w14:textId="5E10BBDF"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color w:val="000000"/>
          <w:sz w:val="16"/>
          <w:szCs w:val="16"/>
          <w:lang w:val="en-US"/>
        </w:rPr>
        <w:t xml:space="preserve"> </w:t>
      </w:r>
      <w:r w:rsidRPr="00CF6765">
        <w:rPr>
          <w:color w:val="000000"/>
          <w:sz w:val="16"/>
          <w:szCs w:val="16"/>
          <w:lang w:val="en-US"/>
        </w:rPr>
        <w:tab/>
      </w:r>
      <w:r w:rsidRPr="00CF6765">
        <w:rPr>
          <w:i/>
          <w:color w:val="000000"/>
          <w:sz w:val="16"/>
          <w:szCs w:val="16"/>
          <w:lang w:val="en-US"/>
        </w:rPr>
        <w:t xml:space="preserve">Cf. </w:t>
      </w:r>
      <w:r w:rsidRPr="00CF6765">
        <w:rPr>
          <w:color w:val="000000"/>
          <w:sz w:val="16"/>
          <w:szCs w:val="16"/>
          <w:lang w:val="en-US"/>
        </w:rPr>
        <w:t xml:space="preserve">UN. CESCR, </w:t>
      </w:r>
      <w:r w:rsidRPr="00CF6765">
        <w:rPr>
          <w:i/>
          <w:color w:val="000000"/>
          <w:sz w:val="16"/>
          <w:szCs w:val="16"/>
          <w:lang w:val="en-US"/>
        </w:rPr>
        <w:t>GC-4: “The right to</w:t>
      </w:r>
      <w:r w:rsidRPr="00CF6765">
        <w:rPr>
          <w:color w:val="000000"/>
          <w:sz w:val="16"/>
          <w:szCs w:val="16"/>
          <w:lang w:val="en-US"/>
        </w:rPr>
        <w:t xml:space="preserve"> </w:t>
      </w:r>
      <w:r w:rsidRPr="00CF6765">
        <w:rPr>
          <w:i/>
          <w:iCs/>
          <w:color w:val="000000"/>
          <w:sz w:val="16"/>
          <w:szCs w:val="16"/>
          <w:lang w:val="en-US"/>
        </w:rPr>
        <w:t>adequate housing</w:t>
      </w:r>
      <w:r w:rsidRPr="00CF6765">
        <w:rPr>
          <w:color w:val="000000"/>
          <w:sz w:val="16"/>
          <w:szCs w:val="16"/>
          <w:lang w:val="en-US"/>
        </w:rPr>
        <w:t>,” E/1992/23, December 13, 1991, para. 8.</w:t>
      </w:r>
    </w:p>
  </w:footnote>
  <w:footnote w:id="163">
    <w:p w14:paraId="422AFA9B" w14:textId="5F5F5C99"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UN. CESCR, </w:t>
      </w:r>
      <w:r w:rsidRPr="00CF6765">
        <w:rPr>
          <w:i/>
          <w:color w:val="000000"/>
          <w:sz w:val="16"/>
          <w:szCs w:val="16"/>
          <w:lang w:val="en-US"/>
        </w:rPr>
        <w:t>GC-5:</w:t>
      </w:r>
      <w:r w:rsidRPr="00CF6765">
        <w:rPr>
          <w:i/>
          <w:sz w:val="16"/>
          <w:szCs w:val="16"/>
          <w:lang w:val="en-US"/>
        </w:rPr>
        <w:t xml:space="preserve"> </w:t>
      </w:r>
      <w:r w:rsidRPr="00CF6765">
        <w:rPr>
          <w:i/>
          <w:color w:val="000000"/>
          <w:sz w:val="16"/>
          <w:szCs w:val="16"/>
          <w:lang w:val="en-US"/>
        </w:rPr>
        <w:t>“Persons with disabilities”</w:t>
      </w:r>
      <w:r w:rsidRPr="00CF6765">
        <w:rPr>
          <w:color w:val="000000"/>
          <w:sz w:val="16"/>
          <w:szCs w:val="16"/>
          <w:lang w:val="en-US"/>
        </w:rPr>
        <w:t xml:space="preserve">, </w:t>
      </w:r>
      <w:r w:rsidRPr="00CF6765">
        <w:rPr>
          <w:bCs/>
          <w:color w:val="000000"/>
          <w:sz w:val="16"/>
          <w:szCs w:val="16"/>
          <w:lang w:val="en-US"/>
        </w:rPr>
        <w:t>E/C.12/1994/13</w:t>
      </w:r>
      <w:r w:rsidRPr="00CF6765">
        <w:rPr>
          <w:color w:val="000000"/>
          <w:sz w:val="16"/>
          <w:szCs w:val="16"/>
          <w:lang w:val="en-US"/>
        </w:rPr>
        <w:t>, 1994, para. 34.</w:t>
      </w:r>
    </w:p>
  </w:footnote>
  <w:footnote w:id="164">
    <w:p w14:paraId="05DCF0CB" w14:textId="69A23916" w:rsidR="003558F5" w:rsidRPr="00CF6765" w:rsidRDefault="003558F5" w:rsidP="00002163">
      <w:pPr>
        <w:pStyle w:val="Textonotapie"/>
        <w:spacing w:after="60"/>
        <w:rPr>
          <w:lang w:val="en-US"/>
        </w:rPr>
      </w:pPr>
      <w:r w:rsidRPr="00CF6765">
        <w:rPr>
          <w:rStyle w:val="Refdenotaalpie"/>
          <w:rFonts w:eastAsia="Calibri"/>
          <w:sz w:val="16"/>
          <w:szCs w:val="16"/>
          <w:lang w:val="en-US" w:eastAsia="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UN. CESCR,</w:t>
      </w:r>
      <w:r w:rsidRPr="00CF6765">
        <w:rPr>
          <w:color w:val="000000"/>
          <w:sz w:val="16"/>
          <w:szCs w:val="16"/>
          <w:lang w:val="en-US"/>
        </w:rPr>
        <w:t xml:space="preserve"> </w:t>
      </w:r>
      <w:r w:rsidRPr="00CF6765">
        <w:rPr>
          <w:i/>
          <w:color w:val="000000"/>
          <w:sz w:val="16"/>
          <w:szCs w:val="16"/>
          <w:lang w:val="en-US"/>
        </w:rPr>
        <w:t>GC-6: “The economic, social and cultural rights of older persons,”</w:t>
      </w:r>
      <w:r w:rsidRPr="00CF6765">
        <w:rPr>
          <w:color w:val="000000"/>
          <w:sz w:val="16"/>
          <w:szCs w:val="16"/>
          <w:lang w:val="en-US"/>
        </w:rPr>
        <w:t xml:space="preserve"> E/1996/22, December 8, 2015, paras. 5 and 34. </w:t>
      </w:r>
    </w:p>
  </w:footnote>
  <w:footnote w:id="165">
    <w:p w14:paraId="080E3F1E" w14:textId="3D2D88A1" w:rsidR="003558F5" w:rsidRPr="00CF6765" w:rsidRDefault="003558F5" w:rsidP="00002163">
      <w:pPr>
        <w:pStyle w:val="Textonotapie"/>
        <w:spacing w:after="60"/>
        <w:rPr>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rFonts w:eastAsia="Calibri"/>
          <w:sz w:val="16"/>
          <w:szCs w:val="16"/>
          <w:lang w:val="en-US" w:eastAsia="en-US"/>
        </w:rPr>
        <w:t xml:space="preserve"> </w:t>
      </w:r>
      <w:r w:rsidRPr="00CF6765">
        <w:rPr>
          <w:rFonts w:eastAsia="Calibri"/>
          <w:sz w:val="16"/>
          <w:szCs w:val="16"/>
          <w:lang w:val="en-US" w:eastAsia="en-US"/>
        </w:rPr>
        <w:tab/>
      </w:r>
      <w:r w:rsidRPr="00CF6765">
        <w:rPr>
          <w:rFonts w:eastAsia="Calibri"/>
          <w:i/>
          <w:sz w:val="16"/>
          <w:szCs w:val="16"/>
          <w:lang w:val="en-US" w:eastAsia="en-US"/>
        </w:rPr>
        <w:t xml:space="preserve">Cf. </w:t>
      </w:r>
      <w:r w:rsidRPr="00CF6765">
        <w:rPr>
          <w:rFonts w:eastAsia="Calibri"/>
          <w:sz w:val="16"/>
          <w:szCs w:val="16"/>
          <w:lang w:val="en-US" w:eastAsia="en-US"/>
        </w:rPr>
        <w:t xml:space="preserve">UN. CESCR, </w:t>
      </w:r>
      <w:r w:rsidRPr="00CF6765">
        <w:rPr>
          <w:i/>
          <w:color w:val="000000"/>
          <w:sz w:val="16"/>
          <w:szCs w:val="16"/>
          <w:lang w:val="en-US"/>
        </w:rPr>
        <w:t>GC-</w:t>
      </w:r>
      <w:r w:rsidRPr="00CF6765">
        <w:rPr>
          <w:rFonts w:eastAsia="Calibri"/>
          <w:i/>
          <w:sz w:val="16"/>
          <w:szCs w:val="16"/>
          <w:lang w:val="en-US" w:eastAsia="en-US"/>
        </w:rPr>
        <w:t>15: “The right to water,”</w:t>
      </w:r>
      <w:r w:rsidRPr="00CF6765">
        <w:rPr>
          <w:rFonts w:eastAsia="Calibri"/>
          <w:sz w:val="16"/>
          <w:szCs w:val="16"/>
          <w:lang w:val="en-US" w:eastAsia="en-US"/>
        </w:rPr>
        <w:t xml:space="preserve"> E/C.12/2002/11, January 20, 2003, paras. 3 and 8.</w:t>
      </w:r>
    </w:p>
  </w:footnote>
  <w:footnote w:id="166">
    <w:p w14:paraId="25980B30" w14:textId="6F4FA722"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rFonts w:eastAsia="Calibri"/>
          <w:sz w:val="16"/>
          <w:szCs w:val="16"/>
          <w:lang w:val="en-US" w:eastAsia="en-US"/>
        </w:rPr>
        <w:tab/>
      </w:r>
      <w:r w:rsidRPr="00CF6765">
        <w:rPr>
          <w:rFonts w:eastAsia="Calibri"/>
          <w:i/>
          <w:sz w:val="16"/>
          <w:szCs w:val="16"/>
          <w:lang w:val="en-US" w:eastAsia="en-US"/>
        </w:rPr>
        <w:t xml:space="preserve">Cf. </w:t>
      </w:r>
      <w:r w:rsidRPr="00CF6765">
        <w:rPr>
          <w:rFonts w:eastAsia="Calibri"/>
          <w:sz w:val="16"/>
          <w:szCs w:val="16"/>
          <w:lang w:val="en-US" w:eastAsia="en-US"/>
        </w:rPr>
        <w:t xml:space="preserve">UN. CESCR, </w:t>
      </w:r>
      <w:r w:rsidRPr="00CF6765">
        <w:rPr>
          <w:i/>
          <w:color w:val="000000"/>
          <w:sz w:val="16"/>
          <w:szCs w:val="16"/>
          <w:lang w:val="en-US"/>
        </w:rPr>
        <w:t>GC-</w:t>
      </w:r>
      <w:r w:rsidRPr="00CF6765">
        <w:rPr>
          <w:rFonts w:eastAsia="Calibri"/>
          <w:i/>
          <w:sz w:val="16"/>
          <w:szCs w:val="16"/>
          <w:lang w:val="en-US" w:eastAsia="en-US"/>
        </w:rPr>
        <w:t>16: “</w:t>
      </w:r>
      <w:r w:rsidRPr="00CF6765">
        <w:rPr>
          <w:rStyle w:val="st"/>
          <w:rFonts w:eastAsia="Calibri"/>
          <w:sz w:val="16"/>
          <w:szCs w:val="16"/>
          <w:lang w:val="en-US"/>
        </w:rPr>
        <w:t>The Equal Right of Men and Women to the Enjoyment of All Economic, Social and Cultural Rights</w:t>
      </w:r>
      <w:r w:rsidRPr="00CF6765">
        <w:rPr>
          <w:rFonts w:eastAsia="Calibri"/>
          <w:i/>
          <w:sz w:val="16"/>
          <w:szCs w:val="16"/>
          <w:lang w:val="en-US" w:eastAsia="en-US"/>
        </w:rPr>
        <w:t xml:space="preserve"> (Art. 3 of the Covenant)”,</w:t>
      </w:r>
      <w:r w:rsidRPr="00CF6765">
        <w:rPr>
          <w:rFonts w:eastAsia="Calibri"/>
          <w:sz w:val="16"/>
          <w:szCs w:val="16"/>
          <w:lang w:val="en-US" w:eastAsia="en-US"/>
        </w:rPr>
        <w:t xml:space="preserve"> E/C.12/2005/4, August 11, 2005, para. 29. </w:t>
      </w:r>
    </w:p>
  </w:footnote>
  <w:footnote w:id="167">
    <w:p w14:paraId="54F1E722" w14:textId="54B861F6"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UN. CESCR, </w:t>
      </w:r>
      <w:r w:rsidRPr="00CF6765">
        <w:rPr>
          <w:i/>
          <w:color w:val="000000"/>
          <w:sz w:val="16"/>
          <w:szCs w:val="16"/>
          <w:lang w:val="en-US"/>
        </w:rPr>
        <w:t>GC-</w:t>
      </w:r>
      <w:r w:rsidRPr="00CF6765">
        <w:rPr>
          <w:rFonts w:eastAsia="Calibri"/>
          <w:i/>
          <w:sz w:val="16"/>
          <w:szCs w:val="16"/>
          <w:lang w:val="en-US" w:eastAsia="en-US"/>
        </w:rPr>
        <w:t>18: “The right to work (Art. 6 of the Covenant)”</w:t>
      </w:r>
      <w:r w:rsidRPr="00CF6765">
        <w:rPr>
          <w:rFonts w:eastAsia="Calibri"/>
          <w:sz w:val="16"/>
          <w:szCs w:val="16"/>
          <w:lang w:val="en-US" w:eastAsia="en-US"/>
        </w:rPr>
        <w:t xml:space="preserve">, E/C.12/GC/18, February 6, 2006, para. 12. </w:t>
      </w:r>
    </w:p>
  </w:footnote>
  <w:footnote w:id="168">
    <w:p w14:paraId="5F3CF41E" w14:textId="2FAF1F23"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rFonts w:eastAsia="Calibri"/>
          <w:sz w:val="16"/>
          <w:szCs w:val="16"/>
          <w:lang w:val="en-US" w:eastAsia="en-US"/>
        </w:rPr>
        <w:tab/>
      </w:r>
      <w:r w:rsidRPr="00CF6765">
        <w:rPr>
          <w:rFonts w:eastAsia="Calibri"/>
          <w:i/>
          <w:sz w:val="16"/>
          <w:szCs w:val="16"/>
          <w:lang w:val="en-US" w:eastAsia="en-US"/>
        </w:rPr>
        <w:t xml:space="preserve">Cf. </w:t>
      </w:r>
      <w:r w:rsidRPr="00CF6765">
        <w:rPr>
          <w:sz w:val="16"/>
          <w:szCs w:val="16"/>
          <w:lang w:val="en-US"/>
        </w:rPr>
        <w:t xml:space="preserve">UN. CESCR, </w:t>
      </w:r>
      <w:r w:rsidRPr="00CF6765">
        <w:rPr>
          <w:i/>
          <w:color w:val="000000"/>
          <w:sz w:val="16"/>
          <w:szCs w:val="16"/>
          <w:lang w:val="en-US"/>
        </w:rPr>
        <w:t>GC-</w:t>
      </w:r>
      <w:r w:rsidRPr="00CF6765">
        <w:rPr>
          <w:rFonts w:eastAsia="Calibri"/>
          <w:i/>
          <w:sz w:val="16"/>
          <w:szCs w:val="16"/>
          <w:lang w:val="en-US" w:eastAsia="en-US"/>
        </w:rPr>
        <w:t xml:space="preserve">19: “The right to social security,” </w:t>
      </w:r>
      <w:r w:rsidRPr="00CF6765">
        <w:rPr>
          <w:rFonts w:eastAsia="Calibri"/>
          <w:sz w:val="16"/>
          <w:szCs w:val="16"/>
          <w:lang w:val="en-US" w:eastAsia="en-US"/>
        </w:rPr>
        <w:t xml:space="preserve">E/C.12/GC/19, February 4, 2008, paras. 13 and 14. </w:t>
      </w:r>
    </w:p>
  </w:footnote>
  <w:footnote w:id="169">
    <w:p w14:paraId="406E0AE6" w14:textId="188DFBD7"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UN. CESCR, </w:t>
      </w:r>
      <w:r w:rsidRPr="00CF6765">
        <w:rPr>
          <w:i/>
          <w:color w:val="000000"/>
          <w:sz w:val="16"/>
          <w:szCs w:val="16"/>
          <w:lang w:val="en-US"/>
        </w:rPr>
        <w:t>GC-</w:t>
      </w:r>
      <w:r w:rsidRPr="00CF6765">
        <w:rPr>
          <w:rFonts w:eastAsia="Calibri"/>
          <w:i/>
          <w:sz w:val="16"/>
          <w:szCs w:val="16"/>
          <w:lang w:val="en-US" w:eastAsia="en-US"/>
        </w:rPr>
        <w:t>20</w:t>
      </w:r>
      <w:r w:rsidRPr="00CF6765">
        <w:rPr>
          <w:i/>
          <w:sz w:val="16"/>
          <w:szCs w:val="16"/>
          <w:lang w:val="en-US"/>
        </w:rPr>
        <w:t xml:space="preserve">. </w:t>
      </w:r>
      <w:r w:rsidRPr="00CF6765">
        <w:rPr>
          <w:rFonts w:eastAsia="Calibri"/>
          <w:i/>
          <w:sz w:val="16"/>
          <w:szCs w:val="16"/>
          <w:lang w:val="en-US" w:eastAsia="en-US"/>
        </w:rPr>
        <w:t>“</w:t>
      </w:r>
      <w:r w:rsidRPr="00CF6765">
        <w:rPr>
          <w:rStyle w:val="st"/>
          <w:rFonts w:eastAsia="Calibri"/>
          <w:sz w:val="16"/>
          <w:szCs w:val="16"/>
          <w:lang w:val="en-US"/>
        </w:rPr>
        <w:t>Non-discrimination in economic, social and cultural rights,</w:t>
      </w:r>
      <w:r w:rsidRPr="00CF6765">
        <w:rPr>
          <w:rFonts w:eastAsia="Calibri"/>
          <w:i/>
          <w:sz w:val="16"/>
          <w:szCs w:val="16"/>
          <w:lang w:val="en-US" w:eastAsia="en-US"/>
        </w:rPr>
        <w:t xml:space="preserve">” </w:t>
      </w:r>
      <w:r w:rsidRPr="00CF6765">
        <w:rPr>
          <w:rFonts w:eastAsia="Calibri"/>
          <w:sz w:val="16"/>
          <w:szCs w:val="16"/>
          <w:lang w:val="en-US" w:eastAsia="en-US"/>
        </w:rPr>
        <w:t xml:space="preserve">E/C.12/GC/20, July 2, 2009, para. 33. </w:t>
      </w:r>
    </w:p>
  </w:footnote>
  <w:footnote w:id="170">
    <w:p w14:paraId="4BC6B39A" w14:textId="054A2B4F" w:rsidR="003558F5" w:rsidRPr="00CF6765" w:rsidRDefault="003558F5" w:rsidP="00002163">
      <w:pPr>
        <w:pStyle w:val="Textonotapie"/>
        <w:spacing w:after="60"/>
        <w:rPr>
          <w:sz w:val="16"/>
          <w:lang w:val="en-US"/>
        </w:rPr>
      </w:pPr>
      <w:r w:rsidRPr="00CF6765">
        <w:rPr>
          <w:rStyle w:val="Refdenotaalpie"/>
          <w:rFonts w:eastAsia="Calibri"/>
          <w:sz w:val="16"/>
          <w:szCs w:val="16"/>
          <w:lang w:val="en-US" w:eastAsia="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OAS. </w:t>
      </w:r>
      <w:r w:rsidRPr="00CF6765">
        <w:rPr>
          <w:rFonts w:cs="Arial"/>
          <w:sz w:val="16"/>
          <w:szCs w:val="16"/>
          <w:lang w:val="en-US"/>
        </w:rPr>
        <w:t>the Working Group to Examine the National Reports Envisioned in the Protocol of San Salvado</w:t>
      </w:r>
      <w:r w:rsidRPr="00CF6765">
        <w:rPr>
          <w:sz w:val="16"/>
          <w:szCs w:val="16"/>
          <w:lang w:val="en-US"/>
        </w:rPr>
        <w:t xml:space="preserve">r, </w:t>
      </w:r>
      <w:r w:rsidRPr="00CF6765">
        <w:rPr>
          <w:i/>
          <w:sz w:val="16"/>
          <w:szCs w:val="16"/>
          <w:lang w:val="en-US"/>
        </w:rPr>
        <w:t>“Progress indicators for measuring rights under the Protocol of San Salvador,”</w:t>
      </w:r>
      <w:r w:rsidRPr="00CF6765">
        <w:rPr>
          <w:sz w:val="16"/>
          <w:lang w:val="en-US"/>
        </w:rPr>
        <w:t xml:space="preserve"> OAS/</w:t>
      </w:r>
      <w:proofErr w:type="spellStart"/>
      <w:r w:rsidRPr="00CF6765">
        <w:rPr>
          <w:sz w:val="16"/>
          <w:lang w:val="en-US"/>
        </w:rPr>
        <w:t>Ser.L</w:t>
      </w:r>
      <w:proofErr w:type="spellEnd"/>
      <w:r w:rsidRPr="00CF6765">
        <w:rPr>
          <w:sz w:val="16"/>
          <w:lang w:val="en-US"/>
        </w:rPr>
        <w:t xml:space="preserve">/XXV.2.1; GT/PSS/doc.2/11 rev.2, of December 16, 2011. </w:t>
      </w:r>
      <w:r w:rsidRPr="00CF6765">
        <w:rPr>
          <w:i/>
          <w:sz w:val="16"/>
          <w:szCs w:val="16"/>
          <w:lang w:val="en-US"/>
        </w:rPr>
        <w:t>“Progress indicators for measuring rights under the Protocol of San Salvador</w:t>
      </w:r>
      <w:r w:rsidRPr="00CF6765">
        <w:rPr>
          <w:rFonts w:cs="Arial"/>
          <w:sz w:val="16"/>
          <w:szCs w:val="16"/>
          <w:lang w:val="en-US"/>
        </w:rPr>
        <w:t xml:space="preserve"> </w:t>
      </w:r>
      <w:r w:rsidRPr="00CF6765">
        <w:rPr>
          <w:rFonts w:cs="Arial"/>
          <w:i/>
          <w:iCs/>
          <w:sz w:val="16"/>
          <w:szCs w:val="16"/>
          <w:lang w:val="en-US"/>
        </w:rPr>
        <w:t>- Second group of rights,</w:t>
      </w:r>
      <w:r w:rsidRPr="00CF6765">
        <w:rPr>
          <w:i/>
          <w:sz w:val="16"/>
          <w:lang w:val="en-US"/>
        </w:rPr>
        <w:t>”</w:t>
      </w:r>
      <w:r w:rsidRPr="00CF6765">
        <w:rPr>
          <w:sz w:val="16"/>
          <w:lang w:val="en-US"/>
        </w:rPr>
        <w:t xml:space="preserve"> OAS/</w:t>
      </w:r>
      <w:proofErr w:type="spellStart"/>
      <w:r w:rsidRPr="00CF6765">
        <w:rPr>
          <w:sz w:val="16"/>
          <w:lang w:val="en-US"/>
        </w:rPr>
        <w:t>Ser.L</w:t>
      </w:r>
      <w:proofErr w:type="spellEnd"/>
      <w:r w:rsidRPr="00CF6765">
        <w:rPr>
          <w:sz w:val="16"/>
          <w:lang w:val="en-US"/>
        </w:rPr>
        <w:t xml:space="preserve">/XXV.2.1 GT/PSS/doc.9/13, and </w:t>
      </w:r>
      <w:r w:rsidRPr="00CF6765">
        <w:rPr>
          <w:i/>
          <w:sz w:val="16"/>
          <w:lang w:val="en-US"/>
        </w:rPr>
        <w:t>“</w:t>
      </w:r>
      <w:r w:rsidRPr="00CF6765">
        <w:rPr>
          <w:i/>
          <w:sz w:val="16"/>
          <w:szCs w:val="16"/>
          <w:lang w:val="en-US"/>
        </w:rPr>
        <w:t>Progress indicators for measuring rights under the Protocol of San Salvador</w:t>
      </w:r>
      <w:r w:rsidRPr="00CF6765">
        <w:rPr>
          <w:i/>
          <w:sz w:val="16"/>
          <w:lang w:val="en-US"/>
        </w:rPr>
        <w:t>,”</w:t>
      </w:r>
      <w:r w:rsidRPr="00CF6765">
        <w:rPr>
          <w:sz w:val="16"/>
          <w:lang w:val="en-US"/>
        </w:rPr>
        <w:t xml:space="preserve"> OAS/</w:t>
      </w:r>
      <w:proofErr w:type="spellStart"/>
      <w:r w:rsidRPr="00CF6765">
        <w:rPr>
          <w:sz w:val="16"/>
          <w:lang w:val="en-US"/>
        </w:rPr>
        <w:t>Ser.D</w:t>
      </w:r>
      <w:proofErr w:type="spellEnd"/>
      <w:r w:rsidRPr="00CF6765">
        <w:rPr>
          <w:sz w:val="16"/>
          <w:lang w:val="en-US"/>
        </w:rPr>
        <w:t xml:space="preserve">/XXVI.11 (2015), pp. 43 to 53. See </w:t>
      </w:r>
      <w:r w:rsidRPr="00CF6765">
        <w:rPr>
          <w:i/>
          <w:sz w:val="16"/>
          <w:lang w:val="en-US"/>
        </w:rPr>
        <w:t xml:space="preserve">supra, </w:t>
      </w:r>
      <w:r w:rsidRPr="00CF6765">
        <w:rPr>
          <w:sz w:val="16"/>
          <w:lang w:val="en-US"/>
        </w:rPr>
        <w:t>footnote 133. This instrument provides evidence to assess whether State programs and actions are aligned with human rights standards.</w:t>
      </w:r>
    </w:p>
  </w:footnote>
  <w:footnote w:id="171">
    <w:p w14:paraId="20E5099E" w14:textId="6C653A3A"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Cf.</w:t>
      </w:r>
      <w:r w:rsidRPr="00392A9A">
        <w:rPr>
          <w:sz w:val="16"/>
          <w:szCs w:val="16"/>
          <w:lang w:val="es-CR"/>
        </w:rPr>
        <w:t xml:space="preserve"> </w:t>
      </w:r>
      <w:r w:rsidRPr="00392A9A">
        <w:rPr>
          <w:color w:val="000000"/>
          <w:sz w:val="16"/>
          <w:szCs w:val="16"/>
          <w:lang w:val="es-CR" w:eastAsia="es-CR"/>
        </w:rPr>
        <w:t xml:space="preserve"> </w:t>
      </w:r>
      <w:r w:rsidRPr="00392A9A">
        <w:rPr>
          <w:sz w:val="16"/>
          <w:szCs w:val="16"/>
          <w:lang w:val="es-CR"/>
        </w:rPr>
        <w:t xml:space="preserve">UN, CESCR </w:t>
      </w:r>
      <w:r w:rsidRPr="00392A9A">
        <w:rPr>
          <w:i/>
          <w:sz w:val="16"/>
          <w:szCs w:val="16"/>
          <w:lang w:val="es-CR"/>
        </w:rPr>
        <w:t>GC-14</w:t>
      </w:r>
      <w:r w:rsidRPr="00392A9A">
        <w:rPr>
          <w:sz w:val="16"/>
          <w:szCs w:val="16"/>
          <w:lang w:val="es-CR"/>
        </w:rPr>
        <w:t xml:space="preserve">, </w:t>
      </w:r>
      <w:r w:rsidRPr="00392A9A">
        <w:rPr>
          <w:i/>
          <w:sz w:val="16"/>
          <w:szCs w:val="16"/>
          <w:lang w:val="es-CR"/>
        </w:rPr>
        <w:t xml:space="preserve">supra, </w:t>
      </w:r>
      <w:r w:rsidRPr="00392A9A">
        <w:rPr>
          <w:sz w:val="16"/>
          <w:szCs w:val="16"/>
          <w:lang w:val="es-CR"/>
        </w:rPr>
        <w:t xml:space="preserve">para. </w:t>
      </w:r>
      <w:r w:rsidRPr="00CF6765">
        <w:rPr>
          <w:sz w:val="16"/>
          <w:szCs w:val="16"/>
          <w:lang w:val="en-US"/>
        </w:rPr>
        <w:t xml:space="preserve">1. </w:t>
      </w:r>
    </w:p>
  </w:footnote>
  <w:footnote w:id="172">
    <w:p w14:paraId="2BCB965E" w14:textId="18BD5A96" w:rsidR="003558F5" w:rsidRPr="00CF6765" w:rsidRDefault="003558F5" w:rsidP="00002163">
      <w:pPr>
        <w:pStyle w:val="Textonotapie"/>
        <w:spacing w:after="60"/>
        <w:rPr>
          <w:sz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lang w:val="en-US"/>
        </w:rPr>
        <w:t>Cf. inter alia,</w:t>
      </w:r>
      <w:r w:rsidRPr="00CF6765">
        <w:rPr>
          <w:sz w:val="16"/>
          <w:lang w:val="en-US"/>
        </w:rPr>
        <w:t xml:space="preserve"> Preamble to the Constitution of the World Health Organization (WHO). Adopted by the International Health Conference held in New York from June 19 to July 22, 1946, signed on July 22, 1946, by the representatives of 61 States (Official Record, World Health Organization), and entered into force on April 7, 1948.</w:t>
      </w:r>
      <w:r w:rsidRPr="00CF6765">
        <w:rPr>
          <w:b/>
          <w:sz w:val="16"/>
          <w:lang w:val="en-US"/>
        </w:rPr>
        <w:t xml:space="preserve"> </w:t>
      </w:r>
      <w:r w:rsidRPr="00CF6765">
        <w:rPr>
          <w:sz w:val="16"/>
          <w:lang w:val="en-US"/>
        </w:rPr>
        <w:t>The amendments adopted by the 26th, 29th, 39th and 51st World Health Assemblies (Resolutions WHA26.37, WHA29.38, WHA39.6 and WHA51.23), which entered into force on February 3, 1977, January 20, 1984, July 11, 1994, and September 15, 2005, respectively, have been successively incorporated into its text.</w:t>
      </w:r>
    </w:p>
  </w:footnote>
  <w:footnote w:id="173">
    <w:p w14:paraId="0DAEB0BE" w14:textId="41904E25" w:rsidR="003558F5" w:rsidRPr="00392A9A" w:rsidRDefault="003558F5" w:rsidP="00002163">
      <w:pPr>
        <w:pStyle w:val="Textonotapie"/>
        <w:spacing w:after="60"/>
        <w:rPr>
          <w:sz w:val="16"/>
          <w:szCs w:val="16"/>
          <w:lang w:val="es-CR"/>
        </w:rPr>
      </w:pPr>
      <w:r w:rsidRPr="00CF6765">
        <w:rPr>
          <w:rStyle w:val="Refdenotaalpie"/>
          <w:color w:val="000000"/>
          <w:sz w:val="16"/>
          <w:szCs w:val="16"/>
          <w:lang w:val="en-US"/>
        </w:rPr>
        <w:footnoteRef/>
      </w:r>
      <w:r w:rsidRPr="00CF6765">
        <w:rPr>
          <w:rStyle w:val="Refdenotaalpie"/>
          <w:color w:val="000000"/>
          <w:sz w:val="16"/>
          <w:szCs w:val="16"/>
          <w:lang w:val="en-US"/>
        </w:rPr>
        <w:t xml:space="preserve"> </w:t>
      </w:r>
      <w:r w:rsidRPr="00CF6765">
        <w:rPr>
          <w:sz w:val="16"/>
          <w:szCs w:val="16"/>
          <w:lang w:val="en-US"/>
        </w:rPr>
        <w:t xml:space="preserve"> </w:t>
      </w:r>
      <w:r w:rsidRPr="00CF6765">
        <w:rPr>
          <w:sz w:val="16"/>
          <w:szCs w:val="16"/>
          <w:lang w:val="en-US"/>
        </w:rPr>
        <w:tab/>
      </w:r>
      <w:r w:rsidRPr="00CF6765">
        <w:rPr>
          <w:i/>
          <w:sz w:val="16"/>
          <w:szCs w:val="16"/>
          <w:lang w:val="en-US"/>
        </w:rPr>
        <w:t xml:space="preserve">Cf. Mutatis </w:t>
      </w:r>
      <w:proofErr w:type="spellStart"/>
      <w:r w:rsidRPr="00CF6765">
        <w:rPr>
          <w:i/>
          <w:sz w:val="16"/>
          <w:szCs w:val="16"/>
          <w:lang w:val="en-US"/>
        </w:rPr>
        <w:t>mutandi</w:t>
      </w:r>
      <w:proofErr w:type="spellEnd"/>
      <w:r w:rsidRPr="00CF6765">
        <w:rPr>
          <w:i/>
          <w:sz w:val="16"/>
          <w:szCs w:val="16"/>
          <w:lang w:val="en-US"/>
        </w:rPr>
        <w:t>, Case of</w:t>
      </w:r>
      <w:r w:rsidRPr="00CF6765">
        <w:rPr>
          <w:sz w:val="16"/>
          <w:szCs w:val="16"/>
          <w:lang w:val="en-US"/>
        </w:rPr>
        <w:t xml:space="preserve"> </w:t>
      </w:r>
      <w:r w:rsidRPr="00CF6765">
        <w:rPr>
          <w:i/>
          <w:sz w:val="16"/>
          <w:szCs w:val="16"/>
          <w:lang w:val="en-US"/>
        </w:rPr>
        <w:t>Ximenes Lopes v. Brazil</w:t>
      </w:r>
      <w:r w:rsidRPr="00CF6765">
        <w:rPr>
          <w:sz w:val="16"/>
          <w:szCs w:val="16"/>
          <w:lang w:val="en-US"/>
        </w:rPr>
        <w:t xml:space="preserve">. Judgment of July 4, 2006. Series C No. 149, para. </w:t>
      </w:r>
      <w:r w:rsidRPr="00392A9A">
        <w:rPr>
          <w:sz w:val="16"/>
          <w:szCs w:val="16"/>
          <w:lang w:val="es-CR"/>
        </w:rPr>
        <w:t>128.</w:t>
      </w:r>
    </w:p>
  </w:footnote>
  <w:footnote w:id="174">
    <w:p w14:paraId="01BF214C" w14:textId="276CA0E6"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 xml:space="preserve">Cf. Case </w:t>
      </w:r>
      <w:proofErr w:type="spellStart"/>
      <w:r w:rsidRPr="00392A9A">
        <w:rPr>
          <w:i/>
          <w:sz w:val="16"/>
          <w:szCs w:val="16"/>
          <w:lang w:val="es-CR"/>
        </w:rPr>
        <w:t>of</w:t>
      </w:r>
      <w:proofErr w:type="spellEnd"/>
      <w:r w:rsidRPr="00392A9A">
        <w:rPr>
          <w:i/>
          <w:sz w:val="16"/>
          <w:szCs w:val="16"/>
          <w:lang w:val="es-CR"/>
        </w:rPr>
        <w:t xml:space="preserve"> Suárez Peralta v. Ecuador, supra</w:t>
      </w:r>
      <w:r w:rsidRPr="00392A9A">
        <w:rPr>
          <w:sz w:val="16"/>
          <w:szCs w:val="16"/>
          <w:lang w:val="es-CR"/>
        </w:rPr>
        <w:t xml:space="preserve">, para. 134, and </w:t>
      </w:r>
      <w:r w:rsidRPr="00392A9A">
        <w:rPr>
          <w:bCs/>
          <w:sz w:val="16"/>
          <w:szCs w:val="16"/>
          <w:lang w:val="es-CR"/>
        </w:rPr>
        <w:t xml:space="preserve">Case </w:t>
      </w:r>
      <w:proofErr w:type="spellStart"/>
      <w:r w:rsidRPr="00392A9A">
        <w:rPr>
          <w:bCs/>
          <w:sz w:val="16"/>
          <w:szCs w:val="16"/>
          <w:lang w:val="es-CR"/>
        </w:rPr>
        <w:t>of</w:t>
      </w:r>
      <w:proofErr w:type="spellEnd"/>
      <w:r w:rsidRPr="00392A9A">
        <w:rPr>
          <w:bCs/>
          <w:sz w:val="16"/>
          <w:szCs w:val="16"/>
          <w:lang w:val="es-CR"/>
        </w:rPr>
        <w:t xml:space="preserve"> </w:t>
      </w:r>
      <w:proofErr w:type="spellStart"/>
      <w:r w:rsidRPr="00392A9A">
        <w:rPr>
          <w:bCs/>
          <w:i/>
          <w:sz w:val="16"/>
          <w:szCs w:val="16"/>
          <w:lang w:val="es-CR"/>
        </w:rPr>
        <w:t>Ximenes</w:t>
      </w:r>
      <w:proofErr w:type="spellEnd"/>
      <w:r w:rsidRPr="00392A9A">
        <w:rPr>
          <w:bCs/>
          <w:i/>
          <w:sz w:val="16"/>
          <w:szCs w:val="16"/>
          <w:lang w:val="es-CR"/>
        </w:rPr>
        <w:t xml:space="preserve"> </w:t>
      </w:r>
      <w:proofErr w:type="spellStart"/>
      <w:r w:rsidRPr="00392A9A">
        <w:rPr>
          <w:bCs/>
          <w:i/>
          <w:sz w:val="16"/>
          <w:szCs w:val="16"/>
          <w:lang w:val="es-CR"/>
        </w:rPr>
        <w:t>Lopes</w:t>
      </w:r>
      <w:proofErr w:type="spellEnd"/>
      <w:r w:rsidRPr="00392A9A">
        <w:rPr>
          <w:bCs/>
          <w:i/>
          <w:sz w:val="16"/>
          <w:szCs w:val="16"/>
          <w:lang w:val="es-CR"/>
        </w:rPr>
        <w:t xml:space="preserve"> v. </w:t>
      </w:r>
      <w:proofErr w:type="spellStart"/>
      <w:r w:rsidRPr="00392A9A">
        <w:rPr>
          <w:bCs/>
          <w:i/>
          <w:sz w:val="16"/>
          <w:szCs w:val="16"/>
          <w:lang w:val="es-CR"/>
        </w:rPr>
        <w:t>Brazil</w:t>
      </w:r>
      <w:proofErr w:type="spellEnd"/>
      <w:r w:rsidRPr="00392A9A">
        <w:rPr>
          <w:bCs/>
          <w:i/>
          <w:sz w:val="16"/>
          <w:szCs w:val="16"/>
          <w:lang w:val="es-CR"/>
        </w:rPr>
        <w:t>, supra</w:t>
      </w:r>
      <w:r w:rsidRPr="00392A9A">
        <w:rPr>
          <w:bCs/>
          <w:sz w:val="16"/>
          <w:szCs w:val="16"/>
          <w:lang w:val="es-CR"/>
        </w:rPr>
        <w:t xml:space="preserve">, para. </w:t>
      </w:r>
      <w:r w:rsidRPr="00CF6765">
        <w:rPr>
          <w:bCs/>
          <w:sz w:val="16"/>
          <w:szCs w:val="16"/>
          <w:lang w:val="en-US"/>
        </w:rPr>
        <w:t>99.</w:t>
      </w:r>
    </w:p>
  </w:footnote>
  <w:footnote w:id="175">
    <w:p w14:paraId="1C6D23E6" w14:textId="5FCC4FD8" w:rsidR="003558F5" w:rsidRPr="00CF6765" w:rsidRDefault="003558F5" w:rsidP="00BF01D8">
      <w:pPr>
        <w:rPr>
          <w:sz w:val="16"/>
          <w:szCs w:val="16"/>
          <w:lang w:val="en-US"/>
        </w:rPr>
      </w:pPr>
      <w:r w:rsidRPr="00CF6765">
        <w:rPr>
          <w:rStyle w:val="Refdenotaalpie"/>
          <w:rFonts w:eastAsia="Calibri"/>
          <w:sz w:val="16"/>
          <w:szCs w:val="16"/>
          <w:lang w:val="en-US" w:eastAsia="en-US"/>
        </w:rPr>
        <w:footnoteRef/>
      </w:r>
      <w:r w:rsidRPr="00CF6765">
        <w:rPr>
          <w:sz w:val="16"/>
          <w:szCs w:val="16"/>
          <w:lang w:val="en-US"/>
        </w:rPr>
        <w:t xml:space="preserve"> </w:t>
      </w:r>
      <w:r w:rsidRPr="00CF6765">
        <w:rPr>
          <w:color w:val="000000"/>
          <w:sz w:val="16"/>
          <w:szCs w:val="16"/>
          <w:lang w:val="en-US"/>
        </w:rPr>
        <w:tab/>
        <w:t xml:space="preserve">UN, CESCR, </w:t>
      </w:r>
      <w:r w:rsidRPr="00CF6765">
        <w:rPr>
          <w:iCs/>
          <w:color w:val="000000"/>
          <w:sz w:val="16"/>
          <w:szCs w:val="16"/>
          <w:lang w:val="en-US"/>
        </w:rPr>
        <w:t>GC-14</w:t>
      </w:r>
      <w:r w:rsidRPr="00CF6765">
        <w:rPr>
          <w:color w:val="000000"/>
          <w:sz w:val="16"/>
          <w:szCs w:val="16"/>
          <w:lang w:val="en-US"/>
        </w:rPr>
        <w:t xml:space="preserve">, </w:t>
      </w:r>
      <w:r w:rsidRPr="00CF6765">
        <w:rPr>
          <w:i/>
          <w:color w:val="000000"/>
          <w:sz w:val="16"/>
          <w:szCs w:val="16"/>
          <w:lang w:val="en-US"/>
        </w:rPr>
        <w:t>supra</w:t>
      </w:r>
      <w:r w:rsidRPr="00CF6765">
        <w:rPr>
          <w:color w:val="000000"/>
          <w:sz w:val="16"/>
          <w:szCs w:val="16"/>
          <w:lang w:val="en-US"/>
        </w:rPr>
        <w:t xml:space="preserve">, para. 12. In this regard, the Committee indicated that “[t]he </w:t>
      </w:r>
      <w:r w:rsidRPr="00CF6765">
        <w:rPr>
          <w:sz w:val="16"/>
          <w:szCs w:val="16"/>
          <w:lang w:val="en-US"/>
        </w:rPr>
        <w:t>right to health in all its forms and at all levels contains the following interrelated and essential elements, the precise application of which will depend on the conditions prevailing in a particular State party:</w:t>
      </w:r>
    </w:p>
    <w:p w14:paraId="7E5A099D" w14:textId="4881EA9E" w:rsidR="003558F5" w:rsidRPr="00CF6765" w:rsidRDefault="003558F5" w:rsidP="00002163">
      <w:pPr>
        <w:pStyle w:val="Textonotapie"/>
        <w:spacing w:after="60"/>
        <w:rPr>
          <w:sz w:val="16"/>
          <w:szCs w:val="16"/>
          <w:lang w:val="en-US"/>
        </w:rPr>
      </w:pPr>
      <w:r w:rsidRPr="00CF6765">
        <w:rPr>
          <w:sz w:val="16"/>
          <w:szCs w:val="16"/>
          <w:lang w:val="en-US"/>
        </w:rPr>
        <w:t xml:space="preserve">a) Availability. Functioning public health and health-care facilities, goods and services, as well as </w:t>
      </w:r>
      <w:proofErr w:type="spellStart"/>
      <w:r w:rsidRPr="00CF6765">
        <w:rPr>
          <w:sz w:val="16"/>
          <w:szCs w:val="16"/>
          <w:lang w:val="en-US"/>
        </w:rPr>
        <w:t>programmes</w:t>
      </w:r>
      <w:proofErr w:type="spellEnd"/>
      <w:r w:rsidRPr="00CF6765">
        <w:rPr>
          <w:sz w:val="16"/>
          <w:szCs w:val="16"/>
          <w:lang w:val="en-US"/>
        </w:rPr>
        <w:t>, have to be available in sufficient quantity within the State party. […] [These services] will include, […] the underlying determinants of health, such as safe and potable drinking water and adequate sanitation facilities, hospitals, clinics and other health-related buildings, trained medical and professional personnel […].</w:t>
      </w:r>
    </w:p>
    <w:p w14:paraId="7DC0EE14" w14:textId="45D47D1C" w:rsidR="003558F5" w:rsidRPr="00CF6765" w:rsidRDefault="003558F5" w:rsidP="00002163">
      <w:pPr>
        <w:pStyle w:val="Textonotapie"/>
        <w:spacing w:after="60"/>
        <w:rPr>
          <w:sz w:val="16"/>
          <w:szCs w:val="16"/>
          <w:lang w:val="en-US"/>
        </w:rPr>
      </w:pPr>
      <w:r w:rsidRPr="00CF6765">
        <w:rPr>
          <w:sz w:val="16"/>
          <w:szCs w:val="16"/>
          <w:lang w:val="en-US"/>
        </w:rPr>
        <w:t>b) Accessibility. Health facilities, goods and services have to be accessible to everyone without discrimination, within the jurisdiction of the State party […];</w:t>
      </w:r>
    </w:p>
    <w:p w14:paraId="6D7A631C" w14:textId="2393BCD6" w:rsidR="003558F5" w:rsidRPr="00CF6765" w:rsidRDefault="003558F5" w:rsidP="00002163">
      <w:pPr>
        <w:pStyle w:val="Textonotapie"/>
        <w:spacing w:after="60"/>
        <w:rPr>
          <w:sz w:val="16"/>
          <w:szCs w:val="16"/>
          <w:lang w:val="en-US"/>
        </w:rPr>
      </w:pPr>
      <w:r w:rsidRPr="00CF6765">
        <w:rPr>
          <w:sz w:val="16"/>
          <w:szCs w:val="16"/>
          <w:lang w:val="en-US"/>
        </w:rPr>
        <w:t>c) Acceptability. All health facilities, goods and services must be respectful of medical ethics and culturally appropriate […] as well as being designed to respect confidentiality and improve the health status of those concerned;</w:t>
      </w:r>
    </w:p>
    <w:p w14:paraId="0B390DF4" w14:textId="1DFA4F8C" w:rsidR="003558F5" w:rsidRPr="00CF6765" w:rsidRDefault="003558F5" w:rsidP="00BF01D8">
      <w:pPr>
        <w:spacing w:after="60"/>
        <w:contextualSpacing/>
        <w:rPr>
          <w:sz w:val="16"/>
          <w:szCs w:val="16"/>
          <w:lang w:val="en-US"/>
        </w:rPr>
      </w:pPr>
      <w:r w:rsidRPr="00CF6765">
        <w:rPr>
          <w:sz w:val="16"/>
          <w:szCs w:val="16"/>
          <w:lang w:val="en-US"/>
        </w:rPr>
        <w:t xml:space="preserve">d) Quality. As well as being culturally acceptable, health facilities, goods and services must also be scientifically and medically appropriate and of good quality. This requires, </w:t>
      </w:r>
      <w:r w:rsidRPr="00CF6765">
        <w:rPr>
          <w:i/>
          <w:iCs/>
          <w:sz w:val="16"/>
          <w:szCs w:val="16"/>
          <w:lang w:val="en-US"/>
        </w:rPr>
        <w:t>inter alia</w:t>
      </w:r>
      <w:r w:rsidRPr="00CF6765">
        <w:rPr>
          <w:sz w:val="16"/>
          <w:szCs w:val="16"/>
          <w:lang w:val="en-US"/>
        </w:rPr>
        <w:t>, skilled medical personnel, scientifically approved and unexpired drugs and hospital equipment, safe and potable water, and adequate sanitation.</w:t>
      </w:r>
    </w:p>
  </w:footnote>
  <w:footnote w:id="176">
    <w:p w14:paraId="26D908F5" w14:textId="0DA770EF" w:rsidR="003558F5" w:rsidRPr="00CF6765" w:rsidRDefault="003558F5" w:rsidP="00002163">
      <w:pPr>
        <w:pStyle w:val="Textonotapie"/>
        <w:spacing w:after="60"/>
        <w:rPr>
          <w:sz w:val="16"/>
          <w:szCs w:val="16"/>
          <w:lang w:val="en-US"/>
        </w:rPr>
      </w:pPr>
      <w:r w:rsidRPr="00CF6765">
        <w:rPr>
          <w:rStyle w:val="Refdenotaalpie"/>
          <w:rFonts w:eastAsia="MS ????"/>
          <w:color w:val="000000"/>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 xml:space="preserve">Cf. Case </w:t>
      </w:r>
      <w:proofErr w:type="spellStart"/>
      <w:r w:rsidRPr="00392A9A">
        <w:rPr>
          <w:i/>
          <w:sz w:val="16"/>
          <w:szCs w:val="16"/>
          <w:lang w:val="es-CR"/>
        </w:rPr>
        <w:t>of</w:t>
      </w:r>
      <w:proofErr w:type="spellEnd"/>
      <w:r w:rsidRPr="00392A9A">
        <w:rPr>
          <w:i/>
          <w:sz w:val="16"/>
          <w:szCs w:val="16"/>
          <w:lang w:val="es-CR"/>
        </w:rPr>
        <w:t xml:space="preserve"> Suárez Peralta v. Ecuador, supra</w:t>
      </w:r>
      <w:r w:rsidRPr="00392A9A">
        <w:rPr>
          <w:sz w:val="16"/>
          <w:szCs w:val="16"/>
          <w:lang w:val="es-CR"/>
        </w:rPr>
        <w:t xml:space="preserve">, para. 152, and </w:t>
      </w:r>
      <w:r w:rsidRPr="00392A9A">
        <w:rPr>
          <w:i/>
          <w:sz w:val="16"/>
          <w:szCs w:val="16"/>
          <w:lang w:val="es-CR"/>
        </w:rPr>
        <w:t xml:space="preserve">Case </w:t>
      </w:r>
      <w:proofErr w:type="spellStart"/>
      <w:r w:rsidRPr="00392A9A">
        <w:rPr>
          <w:i/>
          <w:sz w:val="16"/>
          <w:szCs w:val="16"/>
          <w:lang w:val="es-CR"/>
        </w:rPr>
        <w:t>of</w:t>
      </w:r>
      <w:proofErr w:type="spellEnd"/>
      <w:r w:rsidRPr="00392A9A">
        <w:rPr>
          <w:i/>
          <w:sz w:val="16"/>
          <w:szCs w:val="16"/>
          <w:lang w:val="es-CR"/>
        </w:rPr>
        <w:t xml:space="preserve"> Gonzales </w:t>
      </w:r>
      <w:proofErr w:type="spellStart"/>
      <w:r w:rsidRPr="00392A9A">
        <w:rPr>
          <w:i/>
          <w:sz w:val="16"/>
          <w:szCs w:val="16"/>
          <w:lang w:val="es-CR"/>
        </w:rPr>
        <w:t>Lluy</w:t>
      </w:r>
      <w:proofErr w:type="spellEnd"/>
      <w:r w:rsidRPr="00392A9A">
        <w:rPr>
          <w:i/>
          <w:sz w:val="16"/>
          <w:szCs w:val="16"/>
          <w:lang w:val="es-CR"/>
        </w:rPr>
        <w:t xml:space="preserve"> et al. v. Ecuador, supra, </w:t>
      </w:r>
      <w:r w:rsidRPr="00392A9A">
        <w:rPr>
          <w:sz w:val="16"/>
          <w:szCs w:val="16"/>
          <w:lang w:val="es-CR"/>
        </w:rPr>
        <w:t xml:space="preserve">para. </w:t>
      </w:r>
      <w:r w:rsidRPr="00CF6765">
        <w:rPr>
          <w:sz w:val="16"/>
          <w:szCs w:val="16"/>
          <w:lang w:val="en-US"/>
        </w:rPr>
        <w:t>235.</w:t>
      </w:r>
    </w:p>
  </w:footnote>
  <w:footnote w:id="177">
    <w:p w14:paraId="6F396522" w14:textId="174A8604" w:rsidR="003558F5" w:rsidRPr="00CF6765" w:rsidRDefault="003558F5" w:rsidP="00002163">
      <w:pPr>
        <w:pStyle w:val="Textonotapie"/>
        <w:spacing w:after="60"/>
        <w:rPr>
          <w:sz w:val="16"/>
          <w:szCs w:val="16"/>
          <w:lang w:val="en-US"/>
        </w:rPr>
      </w:pPr>
      <w:r w:rsidRPr="00CF6765">
        <w:rPr>
          <w:rStyle w:val="Refdenotaalpie"/>
          <w:rFonts w:eastAsia="MS ????"/>
          <w:sz w:val="16"/>
          <w:szCs w:val="16"/>
          <w:lang w:val="en-US"/>
        </w:rPr>
        <w:footnoteRef/>
      </w:r>
      <w:r w:rsidRPr="00CF6765">
        <w:rPr>
          <w:sz w:val="16"/>
          <w:szCs w:val="16"/>
          <w:lang w:val="en-US"/>
        </w:rPr>
        <w:t xml:space="preserve"> </w:t>
      </w:r>
      <w:r w:rsidRPr="00CF6765">
        <w:rPr>
          <w:sz w:val="16"/>
          <w:szCs w:val="16"/>
          <w:lang w:val="en-US"/>
        </w:rPr>
        <w:tab/>
        <w:t xml:space="preserve">The Court has indicated that States have the obligation to ensure everyone’s access to basic health care services. </w:t>
      </w:r>
      <w:r w:rsidRPr="00CF6765">
        <w:rPr>
          <w:i/>
          <w:sz w:val="16"/>
          <w:szCs w:val="16"/>
          <w:lang w:val="en-US"/>
        </w:rPr>
        <w:t xml:space="preserve">Cf. Case of Ximenes </w:t>
      </w:r>
      <w:proofErr w:type="spellStart"/>
      <w:r w:rsidRPr="00CF6765">
        <w:rPr>
          <w:i/>
          <w:sz w:val="16"/>
          <w:szCs w:val="16"/>
          <w:lang w:val="en-US"/>
        </w:rPr>
        <w:t>Lópes</w:t>
      </w:r>
      <w:proofErr w:type="spellEnd"/>
      <w:r w:rsidRPr="00CF6765">
        <w:rPr>
          <w:i/>
          <w:sz w:val="16"/>
          <w:szCs w:val="16"/>
          <w:lang w:val="en-US"/>
        </w:rPr>
        <w:t xml:space="preserve"> v. Brazil</w:t>
      </w:r>
      <w:r w:rsidRPr="00CF6765">
        <w:rPr>
          <w:sz w:val="16"/>
          <w:szCs w:val="16"/>
          <w:lang w:val="en-US"/>
        </w:rPr>
        <w:t xml:space="preserve">, </w:t>
      </w:r>
      <w:r w:rsidRPr="00CF6765">
        <w:rPr>
          <w:i/>
          <w:sz w:val="16"/>
          <w:szCs w:val="16"/>
          <w:lang w:val="en-US"/>
        </w:rPr>
        <w:t>supra</w:t>
      </w:r>
      <w:r w:rsidRPr="00CF6765">
        <w:rPr>
          <w:sz w:val="16"/>
          <w:szCs w:val="16"/>
          <w:lang w:val="en-US"/>
        </w:rPr>
        <w:t>, para. 128.</w:t>
      </w:r>
    </w:p>
  </w:footnote>
  <w:footnote w:id="178">
    <w:p w14:paraId="07E9CA28" w14:textId="5BE007D7" w:rsidR="003558F5" w:rsidRPr="00CF6765" w:rsidRDefault="003558F5" w:rsidP="00002163">
      <w:pPr>
        <w:pStyle w:val="Textonotapie"/>
        <w:spacing w:after="60"/>
        <w:rPr>
          <w:sz w:val="16"/>
          <w:szCs w:val="16"/>
          <w:lang w:val="en-US"/>
        </w:rPr>
      </w:pPr>
      <w:r w:rsidRPr="00CF6765">
        <w:rPr>
          <w:rStyle w:val="Refdenotaalpie"/>
          <w:rFonts w:eastAsia="MS ????"/>
          <w:color w:val="000000"/>
          <w:sz w:val="16"/>
          <w:szCs w:val="16"/>
          <w:lang w:val="en-US"/>
        </w:rPr>
        <w:footnoteRef/>
      </w:r>
      <w:r w:rsidRPr="00CF6765">
        <w:rPr>
          <w:rStyle w:val="Refdenotaalpie"/>
          <w:rFonts w:eastAsia="MS ????"/>
          <w:color w:val="000000"/>
          <w:sz w:val="16"/>
          <w:szCs w:val="16"/>
          <w:lang w:val="en-US"/>
        </w:rPr>
        <w:t xml:space="preserve"> </w:t>
      </w:r>
      <w:r w:rsidRPr="00CF6765">
        <w:rPr>
          <w:sz w:val="16"/>
          <w:szCs w:val="16"/>
          <w:lang w:val="en-US"/>
        </w:rPr>
        <w:tab/>
        <w:t xml:space="preserve">In this regard, in the document supplementing her expert opinion, expert witness Alicia Ely </w:t>
      </w:r>
      <w:proofErr w:type="spellStart"/>
      <w:r w:rsidRPr="00CF6765">
        <w:rPr>
          <w:sz w:val="16"/>
          <w:szCs w:val="16"/>
          <w:lang w:val="en-US"/>
        </w:rPr>
        <w:t>Yemin</w:t>
      </w:r>
      <w:proofErr w:type="spellEnd"/>
      <w:r w:rsidRPr="00CF6765">
        <w:rPr>
          <w:sz w:val="16"/>
          <w:szCs w:val="16"/>
          <w:lang w:val="en-US"/>
        </w:rPr>
        <w:t xml:space="preserve"> underscored that a human rights approach in health policies requires the health system to guarantee equal access to, and availability of, acceptable services together with quality care (merits file, f. 754). </w:t>
      </w:r>
    </w:p>
  </w:footnote>
  <w:footnote w:id="179">
    <w:p w14:paraId="2EFD1D4D" w14:textId="50D40282"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392A9A">
        <w:rPr>
          <w:sz w:val="16"/>
          <w:szCs w:val="16"/>
          <w:lang w:val="es-CR"/>
        </w:rPr>
        <w:t xml:space="preserve"> </w:t>
      </w:r>
      <w:r w:rsidRPr="00392A9A">
        <w:rPr>
          <w:sz w:val="16"/>
          <w:szCs w:val="16"/>
          <w:lang w:val="es-CR"/>
        </w:rPr>
        <w:tab/>
      </w:r>
      <w:proofErr w:type="spellStart"/>
      <w:r w:rsidRPr="00392A9A">
        <w:rPr>
          <w:sz w:val="16"/>
          <w:szCs w:val="16"/>
          <w:lang w:val="es-CR"/>
        </w:rPr>
        <w:t>See</w:t>
      </w:r>
      <w:proofErr w:type="spellEnd"/>
      <w:r w:rsidRPr="00392A9A">
        <w:rPr>
          <w:sz w:val="16"/>
          <w:szCs w:val="16"/>
          <w:lang w:val="es-CR"/>
        </w:rPr>
        <w:t xml:space="preserve">: UN. CESCR, </w:t>
      </w:r>
      <w:r w:rsidRPr="00392A9A">
        <w:rPr>
          <w:i/>
          <w:sz w:val="16"/>
          <w:szCs w:val="16"/>
          <w:lang w:val="es-CR"/>
        </w:rPr>
        <w:t xml:space="preserve">General </w:t>
      </w:r>
      <w:proofErr w:type="spellStart"/>
      <w:r w:rsidRPr="00392A9A">
        <w:rPr>
          <w:i/>
          <w:sz w:val="16"/>
          <w:szCs w:val="16"/>
          <w:lang w:val="es-CR"/>
        </w:rPr>
        <w:t>Comment</w:t>
      </w:r>
      <w:proofErr w:type="spellEnd"/>
      <w:r w:rsidRPr="00392A9A">
        <w:rPr>
          <w:i/>
          <w:sz w:val="16"/>
          <w:szCs w:val="16"/>
          <w:lang w:val="es-CR"/>
        </w:rPr>
        <w:t xml:space="preserve"> No. </w:t>
      </w:r>
      <w:r w:rsidRPr="00392A9A">
        <w:rPr>
          <w:i/>
          <w:color w:val="000000"/>
          <w:sz w:val="16"/>
          <w:szCs w:val="16"/>
          <w:lang w:val="es-CR"/>
        </w:rPr>
        <w:t>14</w:t>
      </w:r>
      <w:r w:rsidRPr="00392A9A">
        <w:rPr>
          <w:color w:val="000000"/>
          <w:sz w:val="16"/>
          <w:szCs w:val="16"/>
          <w:lang w:val="es-CR"/>
        </w:rPr>
        <w:t xml:space="preserve">, </w:t>
      </w:r>
      <w:r w:rsidRPr="00392A9A">
        <w:rPr>
          <w:i/>
          <w:color w:val="000000"/>
          <w:sz w:val="16"/>
          <w:szCs w:val="16"/>
          <w:lang w:val="es-CR"/>
        </w:rPr>
        <w:t>supra</w:t>
      </w:r>
      <w:r w:rsidRPr="00392A9A">
        <w:rPr>
          <w:sz w:val="16"/>
          <w:szCs w:val="16"/>
          <w:lang w:val="es-CR"/>
        </w:rPr>
        <w:t xml:space="preserve">, para. </w:t>
      </w:r>
      <w:r w:rsidRPr="00CF6765">
        <w:rPr>
          <w:sz w:val="16"/>
          <w:szCs w:val="16"/>
          <w:lang w:val="en-US"/>
        </w:rPr>
        <w:t>12. In this regard, it states that “accessibility has four overlapping dimensions.” One of these is “non-discrimination: health facilities, goods and services must be accessible to all especially the most vulnerable or marginalized sections of the population, in law and in fact, without discrimination on any of the prohibited grounds.”</w:t>
      </w:r>
    </w:p>
  </w:footnote>
  <w:footnote w:id="180">
    <w:p w14:paraId="3F78F5B6" w14:textId="2DCA6B26"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rFonts w:eastAsia="Calibri"/>
          <w:sz w:val="16"/>
          <w:szCs w:val="16"/>
          <w:lang w:val="en-US" w:eastAsia="en-US"/>
        </w:rPr>
        <w:t xml:space="preserve">  </w:t>
      </w:r>
      <w:r w:rsidRPr="00CF6765">
        <w:rPr>
          <w:rFonts w:eastAsia="Calibri"/>
          <w:sz w:val="16"/>
          <w:szCs w:val="16"/>
          <w:lang w:val="en-US" w:eastAsia="en-US"/>
        </w:rPr>
        <w:tab/>
      </w:r>
      <w:r w:rsidRPr="00CF6765">
        <w:rPr>
          <w:rFonts w:eastAsia="Calibri"/>
          <w:i/>
          <w:sz w:val="16"/>
          <w:szCs w:val="16"/>
          <w:lang w:val="en-US" w:eastAsia="en-US"/>
        </w:rPr>
        <w:t>Cf.</w:t>
      </w:r>
      <w:r w:rsidRPr="00CF6765">
        <w:rPr>
          <w:rFonts w:eastAsia="Calibri"/>
          <w:sz w:val="16"/>
          <w:szCs w:val="16"/>
          <w:lang w:val="en-US" w:eastAsia="en-US"/>
        </w:rPr>
        <w:t xml:space="preserve"> I</w:t>
      </w:r>
      <w:r w:rsidRPr="00CF6765">
        <w:rPr>
          <w:sz w:val="16"/>
          <w:szCs w:val="16"/>
          <w:lang w:val="en-US"/>
        </w:rPr>
        <w:t>nter-American Convention on Protecting the Human Rights of Older Persons</w:t>
      </w:r>
      <w:r w:rsidRPr="00CF6765">
        <w:rPr>
          <w:rFonts w:eastAsia="Calibri"/>
          <w:sz w:val="16"/>
          <w:szCs w:val="16"/>
          <w:lang w:val="en-US" w:eastAsia="en-US"/>
        </w:rPr>
        <w:t xml:space="preserve">, </w:t>
      </w:r>
      <w:r w:rsidRPr="00CF6765">
        <w:rPr>
          <w:rFonts w:eastAsia="Calibri"/>
          <w:i/>
          <w:sz w:val="16"/>
          <w:szCs w:val="16"/>
          <w:lang w:val="en-US" w:eastAsia="en-US"/>
        </w:rPr>
        <w:t>supra</w:t>
      </w:r>
      <w:r w:rsidRPr="00CF6765">
        <w:rPr>
          <w:rFonts w:eastAsia="Calibri"/>
          <w:sz w:val="16"/>
          <w:szCs w:val="16"/>
          <w:lang w:val="en-US" w:eastAsia="en-US"/>
        </w:rPr>
        <w:t xml:space="preserve">, Preamble and Article 5. </w:t>
      </w:r>
      <w:r w:rsidRPr="00CF6765">
        <w:rPr>
          <w:sz w:val="16"/>
          <w:szCs w:val="16"/>
          <w:lang w:val="en-US"/>
        </w:rPr>
        <w:t xml:space="preserve">See also, Preamble to the WHO Constitution, </w:t>
      </w:r>
      <w:r w:rsidRPr="00CF6765">
        <w:rPr>
          <w:i/>
          <w:sz w:val="16"/>
          <w:szCs w:val="16"/>
          <w:lang w:val="en-US"/>
        </w:rPr>
        <w:t xml:space="preserve">supra, </w:t>
      </w:r>
      <w:r w:rsidRPr="00CF6765">
        <w:rPr>
          <w:sz w:val="16"/>
          <w:szCs w:val="16"/>
          <w:lang w:val="en-US"/>
        </w:rPr>
        <w:t>para. 3, which establishes that “[t]he enjoyment of the highest attainable standard of health is one of the fundamental rights of every human being without distinction of race, religion, political belief, economic or social condition</w:t>
      </w:r>
      <w:r w:rsidRPr="00CF6765">
        <w:rPr>
          <w:sz w:val="16"/>
          <w:lang w:val="en-US"/>
        </w:rPr>
        <w:t>.”</w:t>
      </w:r>
    </w:p>
  </w:footnote>
  <w:footnote w:id="181">
    <w:p w14:paraId="1E771964" w14:textId="6CBDD44C" w:rsidR="003558F5" w:rsidRPr="00CF6765" w:rsidRDefault="003558F5" w:rsidP="00002163">
      <w:pPr>
        <w:pStyle w:val="Textonotapie"/>
        <w:spacing w:after="60"/>
        <w:rPr>
          <w:sz w:val="16"/>
          <w:szCs w:val="16"/>
          <w:lang w:val="en-US"/>
        </w:rPr>
      </w:pPr>
      <w:r w:rsidRPr="00CF6765">
        <w:rPr>
          <w:rStyle w:val="Refdenotaalpie"/>
          <w:rFonts w:eastAsia="MS ????"/>
          <w:sz w:val="16"/>
          <w:szCs w:val="16"/>
          <w:lang w:val="en-US"/>
        </w:rPr>
        <w:footnoteRef/>
      </w:r>
      <w:r w:rsidRPr="00CF6765">
        <w:rPr>
          <w:sz w:val="16"/>
          <w:szCs w:val="16"/>
          <w:lang w:val="en-US"/>
        </w:rPr>
        <w:t xml:space="preserve"> </w:t>
      </w:r>
      <w:r w:rsidRPr="00CF6765">
        <w:rPr>
          <w:lang w:val="en-US"/>
        </w:rPr>
        <w:tab/>
      </w:r>
      <w:r w:rsidRPr="00CF6765">
        <w:rPr>
          <w:i/>
          <w:sz w:val="16"/>
          <w:szCs w:val="16"/>
          <w:lang w:val="en-US"/>
        </w:rPr>
        <w:t>Cf. Inter alia:</w:t>
      </w:r>
      <w:r w:rsidRPr="00CF6765">
        <w:rPr>
          <w:sz w:val="16"/>
          <w:szCs w:val="16"/>
          <w:lang w:val="en-US"/>
        </w:rPr>
        <w:t xml:space="preserve"> </w:t>
      </w:r>
      <w:r w:rsidRPr="00CF6765">
        <w:rPr>
          <w:i/>
          <w:sz w:val="16"/>
          <w:szCs w:val="16"/>
          <w:lang w:val="en-US"/>
        </w:rPr>
        <w:t xml:space="preserve">Case of </w:t>
      </w:r>
      <w:proofErr w:type="spellStart"/>
      <w:r w:rsidRPr="00CF6765">
        <w:rPr>
          <w:i/>
          <w:sz w:val="16"/>
          <w:szCs w:val="16"/>
          <w:lang w:val="en-US"/>
        </w:rPr>
        <w:t>Veliz</w:t>
      </w:r>
      <w:proofErr w:type="spellEnd"/>
      <w:r w:rsidRPr="00CF6765">
        <w:rPr>
          <w:i/>
          <w:sz w:val="16"/>
          <w:szCs w:val="16"/>
          <w:lang w:val="en-US"/>
        </w:rPr>
        <w:t xml:space="preserve"> Franco et al. v. Guatemala. Preliminary objections, merits, reparations and costs. </w:t>
      </w:r>
      <w:r w:rsidRPr="00CF6765">
        <w:rPr>
          <w:sz w:val="16"/>
          <w:szCs w:val="16"/>
          <w:lang w:val="en-US"/>
        </w:rPr>
        <w:t xml:space="preserve">Judgment of May 19, 2014. Series C No. 277, para. 204; </w:t>
      </w:r>
      <w:r w:rsidRPr="00CF6765">
        <w:rPr>
          <w:i/>
          <w:sz w:val="16"/>
          <w:szCs w:val="16"/>
          <w:lang w:val="en-US"/>
        </w:rPr>
        <w:t xml:space="preserve">Case of Case of Gonzales </w:t>
      </w:r>
      <w:proofErr w:type="spellStart"/>
      <w:r w:rsidRPr="00CF6765">
        <w:rPr>
          <w:i/>
          <w:sz w:val="16"/>
          <w:szCs w:val="16"/>
          <w:lang w:val="en-US"/>
        </w:rPr>
        <w:t>Lluy</w:t>
      </w:r>
      <w:proofErr w:type="spellEnd"/>
      <w:r w:rsidRPr="00CF6765">
        <w:rPr>
          <w:i/>
          <w:sz w:val="16"/>
          <w:szCs w:val="16"/>
          <w:lang w:val="en-US"/>
        </w:rPr>
        <w:t xml:space="preserve"> et al. v. Ecuador, supra, </w:t>
      </w:r>
      <w:r w:rsidRPr="00CF6765">
        <w:rPr>
          <w:sz w:val="16"/>
          <w:szCs w:val="16"/>
          <w:lang w:val="en-US"/>
        </w:rPr>
        <w:t>para. 288;</w:t>
      </w:r>
      <w:r w:rsidRPr="00CF6765">
        <w:rPr>
          <w:i/>
          <w:sz w:val="16"/>
          <w:szCs w:val="16"/>
          <w:lang w:val="en-US"/>
        </w:rPr>
        <w:t xml:space="preserve"> Case of </w:t>
      </w:r>
      <w:proofErr w:type="spellStart"/>
      <w:r w:rsidRPr="00CF6765">
        <w:rPr>
          <w:i/>
          <w:sz w:val="16"/>
          <w:szCs w:val="16"/>
          <w:lang w:val="en-US"/>
        </w:rPr>
        <w:t>Velásquez</w:t>
      </w:r>
      <w:proofErr w:type="spellEnd"/>
      <w:r w:rsidRPr="00CF6765">
        <w:rPr>
          <w:i/>
          <w:sz w:val="16"/>
          <w:szCs w:val="16"/>
          <w:lang w:val="en-US"/>
        </w:rPr>
        <w:t xml:space="preserve"> </w:t>
      </w:r>
      <w:proofErr w:type="spellStart"/>
      <w:r w:rsidRPr="00CF6765">
        <w:rPr>
          <w:i/>
          <w:sz w:val="16"/>
          <w:szCs w:val="16"/>
          <w:lang w:val="en-US"/>
        </w:rPr>
        <w:t>Paiz</w:t>
      </w:r>
      <w:proofErr w:type="spellEnd"/>
      <w:r w:rsidRPr="00CF6765">
        <w:rPr>
          <w:i/>
          <w:sz w:val="16"/>
          <w:szCs w:val="16"/>
          <w:lang w:val="en-US"/>
        </w:rPr>
        <w:t xml:space="preserve"> et al. v. Guatemala. Preliminary objections, merits, reparations and costs. </w:t>
      </w:r>
      <w:r w:rsidRPr="00CF6765">
        <w:rPr>
          <w:sz w:val="16"/>
          <w:szCs w:val="16"/>
          <w:lang w:val="en-US"/>
        </w:rPr>
        <w:t xml:space="preserve">Judgment of November 19, 2015. Series C No. 307, paras. 173 and 174; </w:t>
      </w:r>
      <w:r w:rsidRPr="00CF6765">
        <w:rPr>
          <w:i/>
          <w:sz w:val="16"/>
          <w:szCs w:val="16"/>
          <w:lang w:val="en-US"/>
        </w:rPr>
        <w:t xml:space="preserve">Case of Duque v. Colombia. Preliminary objections, merits, reparations and costs. </w:t>
      </w:r>
      <w:r w:rsidRPr="00CF6765">
        <w:rPr>
          <w:sz w:val="16"/>
          <w:szCs w:val="16"/>
          <w:lang w:val="en-US"/>
        </w:rPr>
        <w:t xml:space="preserve">Judgment of February 26, 2016. Series C No. 310, para. 90; </w:t>
      </w:r>
      <w:r w:rsidRPr="00CF6765">
        <w:rPr>
          <w:i/>
          <w:sz w:val="16"/>
          <w:szCs w:val="16"/>
          <w:lang w:val="en-US"/>
        </w:rPr>
        <w:t xml:space="preserve">Case of Flor Freire v. Ecuador. Preliminary objection, merits, reparations and costs. </w:t>
      </w:r>
      <w:r w:rsidRPr="00CF6765">
        <w:rPr>
          <w:sz w:val="16"/>
          <w:szCs w:val="16"/>
          <w:lang w:val="en-US"/>
        </w:rPr>
        <w:t xml:space="preserve">Judgment of August 31, 2016. Series C No. 315, paras. 111 and 112; </w:t>
      </w:r>
      <w:r w:rsidRPr="00CF6765">
        <w:rPr>
          <w:i/>
          <w:sz w:val="16"/>
          <w:szCs w:val="16"/>
          <w:lang w:val="en-US"/>
        </w:rPr>
        <w:t xml:space="preserve">Case of the Hacienda </w:t>
      </w:r>
      <w:proofErr w:type="spellStart"/>
      <w:r w:rsidRPr="00CF6765">
        <w:rPr>
          <w:i/>
          <w:sz w:val="16"/>
          <w:szCs w:val="16"/>
          <w:lang w:val="en-US"/>
        </w:rPr>
        <w:t>Brasil</w:t>
      </w:r>
      <w:proofErr w:type="spellEnd"/>
      <w:r w:rsidRPr="00CF6765">
        <w:rPr>
          <w:i/>
          <w:sz w:val="16"/>
          <w:szCs w:val="16"/>
          <w:lang w:val="en-US"/>
        </w:rPr>
        <w:t xml:space="preserve"> Verde Workers v. Brazil. Preliminary objections, merits, reparations and costs. </w:t>
      </w:r>
      <w:r w:rsidRPr="00CF6765">
        <w:rPr>
          <w:sz w:val="16"/>
          <w:szCs w:val="16"/>
          <w:lang w:val="en-US"/>
        </w:rPr>
        <w:t xml:space="preserve">Judgment of October 20, 2016. Series C No. 318, para. 335; </w:t>
      </w:r>
      <w:r w:rsidRPr="00CF6765">
        <w:rPr>
          <w:i/>
          <w:sz w:val="16"/>
          <w:szCs w:val="16"/>
          <w:lang w:val="en-US"/>
        </w:rPr>
        <w:t xml:space="preserve">Case of I.V. v. Bolivia. Preliminary objections, merits, reparations and costs. </w:t>
      </w:r>
      <w:r w:rsidRPr="00CF6765">
        <w:rPr>
          <w:sz w:val="16"/>
          <w:szCs w:val="16"/>
          <w:lang w:val="en-US"/>
        </w:rPr>
        <w:t xml:space="preserve">Judgment of November 20, 2016. Series C No. 329, para. 240, and </w:t>
      </w:r>
      <w:r w:rsidRPr="00CF6765">
        <w:rPr>
          <w:bCs/>
          <w:i/>
          <w:sz w:val="16"/>
          <w:szCs w:val="16"/>
          <w:lang w:val="en-US"/>
        </w:rPr>
        <w:t xml:space="preserve">Gender Identity, and Equality and Non-Discrimination with regard to Same-Sex Couples. State Obligations in relation to Change of Name, Gender Identity, and Rights deriving from a relationship between Same-Sex Couples (Interpretation and scope of Articles 1(1), 3, 7, 11(2), 13, 17, 18 and 24, in relation to Article 1, of the American Convention on Human Rights). </w:t>
      </w:r>
      <w:r w:rsidRPr="00CF6765">
        <w:rPr>
          <w:bCs/>
          <w:sz w:val="16"/>
          <w:szCs w:val="16"/>
          <w:lang w:val="en-US"/>
        </w:rPr>
        <w:t>Advisory Opinion OC-24/17 of November 24, 2017. Series A No. 24</w:t>
      </w:r>
      <w:r w:rsidRPr="00CF6765">
        <w:rPr>
          <w:sz w:val="16"/>
          <w:szCs w:val="16"/>
          <w:lang w:val="en-US"/>
        </w:rPr>
        <w:t xml:space="preserve">, para. 67. </w:t>
      </w:r>
    </w:p>
  </w:footnote>
  <w:footnote w:id="182">
    <w:p w14:paraId="04E0001B" w14:textId="3D165DA1" w:rsidR="003558F5" w:rsidRPr="00CF6765" w:rsidRDefault="003558F5" w:rsidP="00002163">
      <w:pPr>
        <w:pStyle w:val="Textonotapie"/>
        <w:spacing w:after="60"/>
        <w:rPr>
          <w:lang w:val="en-US"/>
        </w:rPr>
      </w:pPr>
      <w:r w:rsidRPr="00CF6765">
        <w:rPr>
          <w:rStyle w:val="Refdenotaalpie"/>
          <w:rFonts w:eastAsia="MS ????"/>
          <w:sz w:val="16"/>
          <w:lang w:val="en-US"/>
        </w:rPr>
        <w:footnoteRef/>
      </w:r>
      <w:r w:rsidRPr="00CF6765">
        <w:rPr>
          <w:sz w:val="16"/>
          <w:lang w:val="en-US"/>
        </w:rPr>
        <w:t xml:space="preserve"> </w:t>
      </w:r>
      <w:r w:rsidRPr="00CF6765">
        <w:rPr>
          <w:sz w:val="16"/>
          <w:lang w:val="en-US"/>
        </w:rPr>
        <w:tab/>
      </w:r>
      <w:r w:rsidRPr="00CF6765">
        <w:rPr>
          <w:i/>
          <w:sz w:val="16"/>
          <w:lang w:val="en-US"/>
        </w:rPr>
        <w:t>Cf.</w:t>
      </w:r>
      <w:r w:rsidRPr="00CF6765">
        <w:rPr>
          <w:sz w:val="16"/>
          <w:lang w:val="en-US"/>
        </w:rPr>
        <w:t xml:space="preserve"> </w:t>
      </w:r>
      <w:r w:rsidRPr="00CF6765">
        <w:rPr>
          <w:bCs/>
          <w:sz w:val="16"/>
          <w:lang w:val="en-US"/>
        </w:rPr>
        <w:t xml:space="preserve">Case of </w:t>
      </w:r>
      <w:r w:rsidRPr="00CF6765">
        <w:rPr>
          <w:bCs/>
          <w:i/>
          <w:sz w:val="16"/>
          <w:lang w:val="en-US"/>
        </w:rPr>
        <w:t xml:space="preserve">Atala </w:t>
      </w:r>
      <w:proofErr w:type="spellStart"/>
      <w:r w:rsidRPr="00CF6765">
        <w:rPr>
          <w:bCs/>
          <w:i/>
          <w:sz w:val="16"/>
          <w:lang w:val="en-US"/>
        </w:rPr>
        <w:t>Riffo</w:t>
      </w:r>
      <w:proofErr w:type="spellEnd"/>
      <w:r w:rsidRPr="00CF6765">
        <w:rPr>
          <w:bCs/>
          <w:i/>
          <w:sz w:val="16"/>
          <w:lang w:val="en-US"/>
        </w:rPr>
        <w:t xml:space="preserve"> and daughters v. Chile</w:t>
      </w:r>
      <w:r w:rsidRPr="00CF6765">
        <w:rPr>
          <w:bCs/>
          <w:sz w:val="16"/>
          <w:lang w:val="en-US"/>
        </w:rPr>
        <w:t xml:space="preserve">, </w:t>
      </w:r>
      <w:r w:rsidRPr="00CF6765">
        <w:rPr>
          <w:bCs/>
          <w:i/>
          <w:sz w:val="16"/>
          <w:lang w:val="en-US"/>
        </w:rPr>
        <w:t xml:space="preserve">supra, </w:t>
      </w:r>
      <w:r w:rsidRPr="00CF6765">
        <w:rPr>
          <w:bCs/>
          <w:sz w:val="16"/>
          <w:lang w:val="en-US"/>
        </w:rPr>
        <w:t>para. 85</w:t>
      </w:r>
      <w:r w:rsidRPr="00CF6765">
        <w:rPr>
          <w:sz w:val="16"/>
          <w:lang w:val="en-US"/>
        </w:rPr>
        <w:t xml:space="preserve">. </w:t>
      </w:r>
    </w:p>
  </w:footnote>
  <w:footnote w:id="183">
    <w:p w14:paraId="6F7108B5" w14:textId="067FC5B8" w:rsidR="003558F5" w:rsidRPr="00CF6765" w:rsidRDefault="003558F5" w:rsidP="0087005D">
      <w:pPr>
        <w:spacing w:after="60"/>
        <w:rPr>
          <w:i/>
          <w:sz w:val="16"/>
          <w:szCs w:val="16"/>
          <w:lang w:val="en-US"/>
        </w:rPr>
      </w:pPr>
      <w:r w:rsidRPr="00CF6765">
        <w:rPr>
          <w:rStyle w:val="Refdenotaalpie"/>
          <w:rFonts w:eastAsia="MS ????"/>
          <w:sz w:val="16"/>
          <w:lang w:val="en-US"/>
        </w:rPr>
        <w:footnoteRef/>
      </w:r>
      <w:r w:rsidRPr="00CF6765">
        <w:rPr>
          <w:sz w:val="16"/>
          <w:lang w:val="en-US"/>
        </w:rPr>
        <w:t xml:space="preserve"> </w:t>
      </w:r>
      <w:r w:rsidRPr="00CF6765">
        <w:rPr>
          <w:sz w:val="16"/>
          <w:lang w:val="en-US"/>
        </w:rPr>
        <w:tab/>
      </w:r>
      <w:r w:rsidRPr="00CF6765">
        <w:rPr>
          <w:i/>
          <w:sz w:val="16"/>
          <w:lang w:val="en-US"/>
        </w:rPr>
        <w:t xml:space="preserve">Cf. </w:t>
      </w:r>
      <w:hyperlink r:id="rId8" w:history="1">
        <w:r w:rsidRPr="00CF6765">
          <w:rPr>
            <w:i/>
            <w:sz w:val="16"/>
            <w:szCs w:val="16"/>
            <w:lang w:val="en-US"/>
          </w:rPr>
          <w:t>Juridical Condition and Rights of the Undocumented Migrants</w:t>
        </w:r>
      </w:hyperlink>
      <w:r w:rsidRPr="00CF6765">
        <w:rPr>
          <w:i/>
          <w:sz w:val="16"/>
          <w:szCs w:val="16"/>
          <w:lang w:val="en-US"/>
        </w:rPr>
        <w:t xml:space="preserve">, </w:t>
      </w:r>
      <w:r w:rsidRPr="00CF6765">
        <w:rPr>
          <w:sz w:val="16"/>
          <w:szCs w:val="16"/>
          <w:lang w:val="en-US"/>
        </w:rPr>
        <w:t xml:space="preserve">Advisory Opinion OC-18, September 17, 2003. </w:t>
      </w:r>
      <w:r w:rsidRPr="00392A9A">
        <w:rPr>
          <w:sz w:val="16"/>
          <w:szCs w:val="16"/>
        </w:rPr>
        <w:t xml:space="preserve">Series A No. 18, para. 101, and CESCR. </w:t>
      </w:r>
      <w:r w:rsidRPr="00392A9A">
        <w:rPr>
          <w:i/>
          <w:sz w:val="16"/>
          <w:szCs w:val="16"/>
        </w:rPr>
        <w:t xml:space="preserve">General </w:t>
      </w:r>
      <w:proofErr w:type="spellStart"/>
      <w:r w:rsidRPr="00392A9A">
        <w:rPr>
          <w:i/>
          <w:sz w:val="16"/>
          <w:szCs w:val="16"/>
        </w:rPr>
        <w:t>Comment</w:t>
      </w:r>
      <w:proofErr w:type="spellEnd"/>
      <w:r w:rsidRPr="00392A9A">
        <w:rPr>
          <w:i/>
          <w:sz w:val="16"/>
          <w:szCs w:val="16"/>
        </w:rPr>
        <w:t xml:space="preserve"> No. 20</w:t>
      </w:r>
      <w:r w:rsidRPr="00392A9A">
        <w:rPr>
          <w:sz w:val="16"/>
          <w:szCs w:val="16"/>
        </w:rPr>
        <w:t xml:space="preserve">, </w:t>
      </w:r>
      <w:r w:rsidRPr="00392A9A">
        <w:rPr>
          <w:i/>
          <w:sz w:val="16"/>
          <w:szCs w:val="16"/>
        </w:rPr>
        <w:t xml:space="preserve">supra, paras. </w:t>
      </w:r>
      <w:r w:rsidRPr="00CF6765">
        <w:rPr>
          <w:i/>
          <w:sz w:val="16"/>
          <w:szCs w:val="16"/>
          <w:lang w:val="en-US"/>
        </w:rPr>
        <w:t>27 and 29</w:t>
      </w:r>
      <w:r w:rsidRPr="00CF6765">
        <w:rPr>
          <w:sz w:val="16"/>
          <w:szCs w:val="16"/>
          <w:lang w:val="en-US"/>
        </w:rPr>
        <w:t xml:space="preserve">. The CESCR has also included this category in the phrase “other social condition.” </w:t>
      </w:r>
    </w:p>
  </w:footnote>
  <w:footnote w:id="184">
    <w:p w14:paraId="73E806E2" w14:textId="6573583F"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 xml:space="preserve">Mutatis </w:t>
      </w:r>
      <w:proofErr w:type="spellStart"/>
      <w:r w:rsidRPr="00CF6765">
        <w:rPr>
          <w:i/>
          <w:sz w:val="16"/>
          <w:szCs w:val="16"/>
          <w:lang w:val="en-US"/>
        </w:rPr>
        <w:t>mutandi</w:t>
      </w:r>
      <w:proofErr w:type="spellEnd"/>
      <w:r w:rsidRPr="00CF6765">
        <w:rPr>
          <w:sz w:val="16"/>
          <w:szCs w:val="16"/>
          <w:lang w:val="en-US"/>
        </w:rPr>
        <w:t xml:space="preserve">, </w:t>
      </w:r>
      <w:r w:rsidRPr="00CF6765">
        <w:rPr>
          <w:i/>
          <w:sz w:val="16"/>
          <w:szCs w:val="16"/>
          <w:lang w:val="en-US"/>
        </w:rPr>
        <w:t xml:space="preserve">Case of the </w:t>
      </w:r>
      <w:proofErr w:type="spellStart"/>
      <w:r w:rsidRPr="00CF6765">
        <w:rPr>
          <w:i/>
          <w:sz w:val="16"/>
          <w:szCs w:val="16"/>
          <w:lang w:val="en-US"/>
        </w:rPr>
        <w:t>Yakye</w:t>
      </w:r>
      <w:proofErr w:type="spellEnd"/>
      <w:r w:rsidRPr="00CF6765">
        <w:rPr>
          <w:i/>
          <w:sz w:val="16"/>
          <w:szCs w:val="16"/>
          <w:lang w:val="en-US"/>
        </w:rPr>
        <w:t xml:space="preserve"> </w:t>
      </w:r>
      <w:proofErr w:type="spellStart"/>
      <w:r w:rsidRPr="00CF6765">
        <w:rPr>
          <w:i/>
          <w:sz w:val="16"/>
          <w:szCs w:val="16"/>
          <w:lang w:val="en-US"/>
        </w:rPr>
        <w:t>Axa</w:t>
      </w:r>
      <w:proofErr w:type="spellEnd"/>
      <w:r w:rsidRPr="00CF6765">
        <w:rPr>
          <w:i/>
          <w:sz w:val="16"/>
          <w:szCs w:val="16"/>
          <w:lang w:val="en-US"/>
        </w:rPr>
        <w:t xml:space="preserve"> Indigenous Community v. Paraguay. Merits, reparations and costs. </w:t>
      </w:r>
      <w:r w:rsidRPr="00CF6765">
        <w:rPr>
          <w:sz w:val="16"/>
          <w:szCs w:val="16"/>
          <w:lang w:val="en-US"/>
        </w:rPr>
        <w:t xml:space="preserve">Judgment of June 17, 2005. Series C No. 125, para. 164, and </w:t>
      </w:r>
      <w:r w:rsidRPr="00CF6765">
        <w:rPr>
          <w:i/>
          <w:sz w:val="16"/>
          <w:szCs w:val="16"/>
          <w:lang w:val="en-US"/>
        </w:rPr>
        <w:t xml:space="preserve">Case of the </w:t>
      </w:r>
      <w:proofErr w:type="spellStart"/>
      <w:r w:rsidRPr="00CF6765">
        <w:rPr>
          <w:i/>
          <w:sz w:val="16"/>
          <w:szCs w:val="16"/>
          <w:lang w:val="en-US"/>
        </w:rPr>
        <w:t>Xákmok</w:t>
      </w:r>
      <w:proofErr w:type="spellEnd"/>
      <w:r w:rsidRPr="00CF6765">
        <w:rPr>
          <w:i/>
          <w:sz w:val="16"/>
          <w:szCs w:val="16"/>
          <w:lang w:val="en-US"/>
        </w:rPr>
        <w:t xml:space="preserve"> </w:t>
      </w:r>
      <w:proofErr w:type="spellStart"/>
      <w:r w:rsidRPr="00CF6765">
        <w:rPr>
          <w:i/>
          <w:sz w:val="16"/>
          <w:szCs w:val="16"/>
          <w:lang w:val="en-US"/>
        </w:rPr>
        <w:t>Kásek</w:t>
      </w:r>
      <w:proofErr w:type="spellEnd"/>
      <w:r w:rsidRPr="00CF6765">
        <w:rPr>
          <w:i/>
          <w:sz w:val="16"/>
          <w:szCs w:val="16"/>
          <w:lang w:val="en-US"/>
        </w:rPr>
        <w:t xml:space="preserve"> Indigenous Community v. Paraguay. Merits, reparations and costs.</w:t>
      </w:r>
      <w:r w:rsidRPr="00CF6765">
        <w:rPr>
          <w:sz w:val="16"/>
          <w:szCs w:val="16"/>
          <w:lang w:val="en-US"/>
        </w:rPr>
        <w:t xml:space="preserve"> Judgment of August 24, 2010. Series C No. 214, para. 233.</w:t>
      </w:r>
    </w:p>
  </w:footnote>
  <w:footnote w:id="185">
    <w:p w14:paraId="275D08C9" w14:textId="3C80004E" w:rsidR="003558F5" w:rsidRPr="00392A9A" w:rsidRDefault="003558F5" w:rsidP="00002163">
      <w:pPr>
        <w:pStyle w:val="Textonotapie"/>
        <w:spacing w:after="60"/>
        <w:rPr>
          <w:sz w:val="16"/>
          <w:szCs w:val="16"/>
          <w:lang w:val="es-CR"/>
        </w:rPr>
      </w:pPr>
      <w:r w:rsidRPr="00CF6765">
        <w:rPr>
          <w:rStyle w:val="Refdenotaalpie"/>
          <w:rFonts w:eastAsia="Calibri"/>
          <w:sz w:val="16"/>
          <w:szCs w:val="16"/>
          <w:lang w:val="en-US" w:eastAsia="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 xml:space="preserve">Case of </w:t>
      </w:r>
      <w:proofErr w:type="spellStart"/>
      <w:r w:rsidRPr="00CF6765">
        <w:rPr>
          <w:i/>
          <w:sz w:val="16"/>
          <w:szCs w:val="16"/>
          <w:lang w:val="en-US"/>
        </w:rPr>
        <w:t>Furlan</w:t>
      </w:r>
      <w:proofErr w:type="spellEnd"/>
      <w:r w:rsidRPr="00CF6765">
        <w:rPr>
          <w:i/>
          <w:sz w:val="16"/>
          <w:szCs w:val="16"/>
          <w:lang w:val="en-US"/>
        </w:rPr>
        <w:t xml:space="preserve"> and family v. Argentina, supra, </w:t>
      </w:r>
      <w:r w:rsidRPr="00CF6765">
        <w:rPr>
          <w:sz w:val="16"/>
          <w:szCs w:val="16"/>
          <w:lang w:val="en-US"/>
        </w:rPr>
        <w:t xml:space="preserve">para. </w:t>
      </w:r>
      <w:r w:rsidRPr="00392A9A">
        <w:rPr>
          <w:sz w:val="16"/>
          <w:szCs w:val="16"/>
          <w:lang w:val="es-CR"/>
        </w:rPr>
        <w:t>267.</w:t>
      </w:r>
    </w:p>
  </w:footnote>
  <w:footnote w:id="186">
    <w:p w14:paraId="08EF9ACB" w14:textId="1598969E"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392A9A">
        <w:rPr>
          <w:rStyle w:val="Refdenotaalpie"/>
          <w:rFonts w:eastAsia="Calibri"/>
          <w:sz w:val="16"/>
          <w:szCs w:val="16"/>
          <w:lang w:val="es-CR" w:eastAsia="en-US"/>
        </w:rPr>
        <w:t xml:space="preserve"> </w:t>
      </w:r>
      <w:r w:rsidRPr="00392A9A">
        <w:rPr>
          <w:rFonts w:eastAsia="Calibri"/>
          <w:sz w:val="16"/>
          <w:szCs w:val="16"/>
          <w:lang w:val="es-CR" w:eastAsia="en-US"/>
        </w:rPr>
        <w:t xml:space="preserve"> </w:t>
      </w:r>
      <w:r w:rsidRPr="00392A9A">
        <w:rPr>
          <w:rFonts w:eastAsia="Calibri"/>
          <w:sz w:val="16"/>
          <w:szCs w:val="16"/>
          <w:lang w:val="es-CR" w:eastAsia="en-US"/>
        </w:rPr>
        <w:tab/>
      </w:r>
      <w:r w:rsidRPr="00392A9A">
        <w:rPr>
          <w:rFonts w:eastAsia="Calibri"/>
          <w:i/>
          <w:sz w:val="16"/>
          <w:szCs w:val="16"/>
          <w:lang w:val="es-CR" w:eastAsia="en-US"/>
        </w:rPr>
        <w:t>Cf.</w:t>
      </w:r>
      <w:r w:rsidRPr="00392A9A">
        <w:rPr>
          <w:rFonts w:eastAsia="Calibri"/>
          <w:sz w:val="16"/>
          <w:szCs w:val="16"/>
          <w:lang w:val="es-CR" w:eastAsia="en-US"/>
        </w:rPr>
        <w:t xml:space="preserve"> </w:t>
      </w:r>
      <w:r w:rsidRPr="00392A9A">
        <w:rPr>
          <w:i/>
          <w:sz w:val="16"/>
          <w:szCs w:val="16"/>
          <w:lang w:val="es-CR"/>
        </w:rPr>
        <w:t xml:space="preserve">Case </w:t>
      </w:r>
      <w:proofErr w:type="spellStart"/>
      <w:r w:rsidRPr="00392A9A">
        <w:rPr>
          <w:i/>
          <w:sz w:val="16"/>
          <w:szCs w:val="16"/>
          <w:lang w:val="es-CR"/>
        </w:rPr>
        <w:t>of</w:t>
      </w:r>
      <w:proofErr w:type="spellEnd"/>
      <w:r w:rsidRPr="00392A9A">
        <w:rPr>
          <w:i/>
          <w:sz w:val="16"/>
          <w:szCs w:val="16"/>
          <w:lang w:val="es-CR"/>
        </w:rPr>
        <w:t xml:space="preserve"> Suárez Peralta v. Ecuador</w:t>
      </w:r>
      <w:r w:rsidRPr="00392A9A">
        <w:rPr>
          <w:sz w:val="16"/>
          <w:szCs w:val="16"/>
          <w:lang w:val="es-CR"/>
        </w:rPr>
        <w:t xml:space="preserve">, </w:t>
      </w:r>
      <w:r w:rsidRPr="00392A9A">
        <w:rPr>
          <w:i/>
          <w:sz w:val="16"/>
          <w:szCs w:val="16"/>
          <w:lang w:val="es-CR"/>
        </w:rPr>
        <w:t>supra</w:t>
      </w:r>
      <w:r w:rsidRPr="00392A9A">
        <w:rPr>
          <w:sz w:val="16"/>
          <w:szCs w:val="16"/>
          <w:lang w:val="es-CR"/>
        </w:rPr>
        <w:t xml:space="preserve">, para. </w:t>
      </w:r>
      <w:r w:rsidRPr="00CF6765">
        <w:rPr>
          <w:sz w:val="16"/>
          <w:szCs w:val="16"/>
          <w:lang w:val="en-US"/>
        </w:rPr>
        <w:t xml:space="preserve">149, and </w:t>
      </w:r>
      <w:r w:rsidRPr="00CF6765">
        <w:rPr>
          <w:bCs/>
          <w:i/>
          <w:sz w:val="16"/>
          <w:szCs w:val="16"/>
          <w:lang w:val="en-US"/>
        </w:rPr>
        <w:t>Case of Ximenes Lopes v. Brazil, supra</w:t>
      </w:r>
      <w:r w:rsidRPr="00CF6765">
        <w:rPr>
          <w:bCs/>
          <w:sz w:val="16"/>
          <w:szCs w:val="16"/>
          <w:lang w:val="en-US"/>
        </w:rPr>
        <w:t>, para. 141.</w:t>
      </w:r>
    </w:p>
  </w:footnote>
  <w:footnote w:id="187">
    <w:p w14:paraId="6B1214D1" w14:textId="106F837D" w:rsidR="003558F5" w:rsidRPr="00392A9A" w:rsidRDefault="003558F5" w:rsidP="00002163">
      <w:pPr>
        <w:pStyle w:val="Textonotapie"/>
        <w:spacing w:after="60"/>
        <w:rPr>
          <w:bCs/>
          <w:sz w:val="16"/>
          <w:szCs w:val="16"/>
          <w:lang w:val="es-CR"/>
        </w:rPr>
      </w:pPr>
      <w:r w:rsidRPr="00CF6765">
        <w:rPr>
          <w:rStyle w:val="Refdenotaalpie"/>
          <w:rFonts w:eastAsia="Calibri"/>
          <w:sz w:val="16"/>
          <w:szCs w:val="16"/>
          <w:lang w:val="en-US" w:eastAsia="en-US"/>
        </w:rPr>
        <w:footnoteRef/>
      </w:r>
      <w:r w:rsidRPr="00CF6765">
        <w:rPr>
          <w:rFonts w:eastAsia="Calibri"/>
          <w:sz w:val="16"/>
          <w:szCs w:val="16"/>
          <w:lang w:val="en-US" w:eastAsia="en-US"/>
        </w:rPr>
        <w:t xml:space="preserve">  </w:t>
      </w:r>
      <w:r w:rsidRPr="00CF6765">
        <w:rPr>
          <w:rStyle w:val="Refdenotaalpie"/>
          <w:rFonts w:eastAsia="Calibri"/>
          <w:sz w:val="16"/>
          <w:szCs w:val="16"/>
          <w:lang w:val="en-US" w:eastAsia="en-US"/>
        </w:rPr>
        <w:t xml:space="preserve">  </w:t>
      </w:r>
      <w:r w:rsidRPr="00CF6765">
        <w:rPr>
          <w:rFonts w:eastAsia="Calibri"/>
          <w:sz w:val="16"/>
          <w:szCs w:val="16"/>
          <w:lang w:val="en-US" w:eastAsia="en-US"/>
        </w:rPr>
        <w:tab/>
      </w:r>
      <w:r w:rsidRPr="00CF6765">
        <w:rPr>
          <w:rFonts w:eastAsia="Calibri"/>
          <w:i/>
          <w:sz w:val="16"/>
          <w:szCs w:val="16"/>
          <w:lang w:val="en-US" w:eastAsia="en-US"/>
        </w:rPr>
        <w:t xml:space="preserve">Cf. </w:t>
      </w:r>
      <w:r w:rsidRPr="00CF6765">
        <w:rPr>
          <w:bCs/>
          <w:i/>
          <w:sz w:val="16"/>
          <w:szCs w:val="16"/>
          <w:lang w:val="en-US"/>
        </w:rPr>
        <w:t xml:space="preserve">Case of </w:t>
      </w:r>
      <w:proofErr w:type="spellStart"/>
      <w:r w:rsidRPr="00CF6765">
        <w:rPr>
          <w:bCs/>
          <w:i/>
          <w:sz w:val="16"/>
          <w:szCs w:val="16"/>
          <w:lang w:val="en-US"/>
        </w:rPr>
        <w:t>Albán</w:t>
      </w:r>
      <w:proofErr w:type="spellEnd"/>
      <w:r w:rsidRPr="00CF6765">
        <w:rPr>
          <w:bCs/>
          <w:i/>
          <w:sz w:val="16"/>
          <w:szCs w:val="16"/>
          <w:lang w:val="en-US"/>
        </w:rPr>
        <w:t xml:space="preserve"> Cornejo et al. v. Ecuador. Merits, reparations and costs. </w:t>
      </w:r>
      <w:proofErr w:type="spellStart"/>
      <w:r w:rsidRPr="00392A9A">
        <w:rPr>
          <w:bCs/>
          <w:sz w:val="16"/>
          <w:szCs w:val="16"/>
          <w:lang w:val="es-CR"/>
        </w:rPr>
        <w:t>Judgment</w:t>
      </w:r>
      <w:proofErr w:type="spellEnd"/>
      <w:r w:rsidRPr="00392A9A">
        <w:rPr>
          <w:bCs/>
          <w:sz w:val="16"/>
          <w:szCs w:val="16"/>
          <w:lang w:val="es-CR"/>
        </w:rPr>
        <w:t xml:space="preserve"> </w:t>
      </w:r>
      <w:proofErr w:type="spellStart"/>
      <w:r w:rsidRPr="00392A9A">
        <w:rPr>
          <w:bCs/>
          <w:sz w:val="16"/>
          <w:szCs w:val="16"/>
          <w:lang w:val="es-CR"/>
        </w:rPr>
        <w:t>of</w:t>
      </w:r>
      <w:proofErr w:type="spellEnd"/>
      <w:r w:rsidRPr="00392A9A">
        <w:rPr>
          <w:bCs/>
          <w:sz w:val="16"/>
          <w:szCs w:val="16"/>
          <w:lang w:val="es-CR"/>
        </w:rPr>
        <w:t xml:space="preserve"> </w:t>
      </w:r>
      <w:proofErr w:type="spellStart"/>
      <w:r w:rsidRPr="00392A9A">
        <w:rPr>
          <w:bCs/>
          <w:sz w:val="16"/>
          <w:szCs w:val="16"/>
          <w:lang w:val="es-CR"/>
        </w:rPr>
        <w:t>November</w:t>
      </w:r>
      <w:proofErr w:type="spellEnd"/>
      <w:r w:rsidRPr="00392A9A">
        <w:rPr>
          <w:bCs/>
          <w:sz w:val="16"/>
          <w:szCs w:val="16"/>
          <w:lang w:val="es-CR"/>
        </w:rPr>
        <w:t xml:space="preserve"> 22, 2007. Series C No. 171, para. 119. </w:t>
      </w:r>
    </w:p>
  </w:footnote>
  <w:footnote w:id="188">
    <w:p w14:paraId="2FB5832C" w14:textId="0FFBB25B" w:rsidR="003558F5" w:rsidRPr="00392A9A" w:rsidRDefault="003558F5" w:rsidP="00002163">
      <w:pPr>
        <w:pStyle w:val="Textonotapie"/>
        <w:spacing w:after="60"/>
        <w:rPr>
          <w:sz w:val="16"/>
          <w:szCs w:val="16"/>
          <w:lang w:val="es-CR"/>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 xml:space="preserve">Case </w:t>
      </w:r>
      <w:proofErr w:type="spellStart"/>
      <w:r w:rsidRPr="00392A9A">
        <w:rPr>
          <w:i/>
          <w:sz w:val="16"/>
          <w:szCs w:val="16"/>
          <w:lang w:val="es-CR"/>
        </w:rPr>
        <w:t>of</w:t>
      </w:r>
      <w:proofErr w:type="spellEnd"/>
      <w:r w:rsidRPr="00392A9A">
        <w:rPr>
          <w:i/>
          <w:sz w:val="16"/>
          <w:szCs w:val="16"/>
          <w:lang w:val="es-CR"/>
        </w:rPr>
        <w:t xml:space="preserve"> Suárez Peralta v. Ecuador</w:t>
      </w:r>
      <w:r w:rsidRPr="00392A9A">
        <w:rPr>
          <w:sz w:val="16"/>
          <w:szCs w:val="16"/>
          <w:lang w:val="es-CR"/>
        </w:rPr>
        <w:t xml:space="preserve">, </w:t>
      </w:r>
      <w:r w:rsidRPr="00392A9A">
        <w:rPr>
          <w:i/>
          <w:sz w:val="16"/>
          <w:szCs w:val="16"/>
          <w:lang w:val="es-CR"/>
        </w:rPr>
        <w:t>supra</w:t>
      </w:r>
      <w:r w:rsidRPr="00392A9A">
        <w:rPr>
          <w:sz w:val="16"/>
          <w:szCs w:val="16"/>
          <w:lang w:val="es-CR"/>
        </w:rPr>
        <w:t>, para. 149.</w:t>
      </w:r>
    </w:p>
  </w:footnote>
  <w:footnote w:id="189">
    <w:p w14:paraId="07462373" w14:textId="0B0927BA"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392A9A">
        <w:rPr>
          <w:i/>
          <w:sz w:val="16"/>
          <w:szCs w:val="16"/>
          <w:lang w:val="es-CR"/>
        </w:rPr>
        <w:t xml:space="preserve">   </w:t>
      </w:r>
      <w:r w:rsidRPr="00392A9A">
        <w:rPr>
          <w:i/>
          <w:sz w:val="16"/>
          <w:szCs w:val="16"/>
          <w:lang w:val="es-CR"/>
        </w:rPr>
        <w:tab/>
        <w:t xml:space="preserve">Cf. Case </w:t>
      </w:r>
      <w:proofErr w:type="spellStart"/>
      <w:r w:rsidRPr="00392A9A">
        <w:rPr>
          <w:i/>
          <w:sz w:val="16"/>
          <w:szCs w:val="16"/>
          <w:lang w:val="es-CR"/>
        </w:rPr>
        <w:t>of</w:t>
      </w:r>
      <w:proofErr w:type="spellEnd"/>
      <w:r w:rsidRPr="00392A9A">
        <w:rPr>
          <w:i/>
          <w:sz w:val="16"/>
          <w:szCs w:val="16"/>
          <w:lang w:val="es-CR"/>
        </w:rPr>
        <w:t xml:space="preserve"> Suárez Peralta v. Ecuador</w:t>
      </w:r>
      <w:r w:rsidRPr="00392A9A">
        <w:rPr>
          <w:sz w:val="16"/>
          <w:szCs w:val="16"/>
          <w:lang w:val="es-CR"/>
        </w:rPr>
        <w:t xml:space="preserve">, </w:t>
      </w:r>
      <w:r w:rsidRPr="00392A9A">
        <w:rPr>
          <w:i/>
          <w:sz w:val="16"/>
          <w:szCs w:val="16"/>
          <w:lang w:val="es-CR"/>
        </w:rPr>
        <w:t>supra</w:t>
      </w:r>
      <w:r w:rsidRPr="00392A9A">
        <w:rPr>
          <w:sz w:val="16"/>
          <w:szCs w:val="16"/>
          <w:lang w:val="es-CR"/>
        </w:rPr>
        <w:t xml:space="preserve">, para. </w:t>
      </w:r>
      <w:r w:rsidRPr="00CF6765">
        <w:rPr>
          <w:sz w:val="16"/>
          <w:szCs w:val="16"/>
          <w:lang w:val="en-US"/>
        </w:rPr>
        <w:t xml:space="preserve">152. </w:t>
      </w:r>
    </w:p>
  </w:footnote>
  <w:footnote w:id="190">
    <w:p w14:paraId="720BBC90" w14:textId="202FDC88"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Although Mr. Poblete </w:t>
      </w:r>
      <w:proofErr w:type="spellStart"/>
      <w:r w:rsidRPr="00CF6765">
        <w:rPr>
          <w:sz w:val="16"/>
          <w:szCs w:val="16"/>
          <w:lang w:val="en-US"/>
        </w:rPr>
        <w:t>Vilches</w:t>
      </w:r>
      <w:proofErr w:type="spellEnd"/>
      <w:r w:rsidRPr="00CF6765">
        <w:rPr>
          <w:sz w:val="16"/>
          <w:szCs w:val="16"/>
          <w:lang w:val="en-US"/>
        </w:rPr>
        <w:t xml:space="preserve"> was 76 years of age at the time of the facts, for illustrative purposes, the Court refers to the definition “older person” contained in Article 2 of the Inter-American Convention, </w:t>
      </w:r>
      <w:r w:rsidRPr="00CF6765">
        <w:rPr>
          <w:i/>
          <w:sz w:val="16"/>
          <w:szCs w:val="16"/>
          <w:lang w:val="en-US"/>
        </w:rPr>
        <w:t>supra</w:t>
      </w:r>
      <w:r w:rsidRPr="00CF6765">
        <w:rPr>
          <w:sz w:val="16"/>
          <w:szCs w:val="16"/>
          <w:lang w:val="en-US"/>
        </w:rPr>
        <w:t>:</w:t>
      </w:r>
      <w:r w:rsidRPr="00CF6765">
        <w:rPr>
          <w:i/>
          <w:sz w:val="16"/>
          <w:szCs w:val="16"/>
          <w:lang w:val="en-US"/>
        </w:rPr>
        <w:t xml:space="preserve"> “</w:t>
      </w:r>
      <w:r w:rsidRPr="00CF6765">
        <w:rPr>
          <w:sz w:val="16"/>
          <w:szCs w:val="16"/>
          <w:lang w:val="en-US"/>
        </w:rPr>
        <w:t>Article 2.</w:t>
      </w:r>
      <w:r w:rsidRPr="00CF6765">
        <w:rPr>
          <w:sz w:val="16"/>
          <w:szCs w:val="16"/>
          <w:lang w:val="en-US" w:eastAsia="es-CR"/>
        </w:rPr>
        <w:t xml:space="preserve"> </w:t>
      </w:r>
      <w:r w:rsidRPr="00CF6765">
        <w:rPr>
          <w:sz w:val="16"/>
          <w:szCs w:val="16"/>
          <w:lang w:val="en-US"/>
        </w:rPr>
        <w:t>Definitions. For the purposes of this Convention the following definitions shall apply: […] “Older person”: A person aged 60 or older, except where legislation has determined a minimum age that is lesser or greater, provided that it is not over 65 years. This concept includes, among others, elderly persons.”</w:t>
      </w:r>
    </w:p>
  </w:footnote>
  <w:footnote w:id="191">
    <w:p w14:paraId="7B619FA7" w14:textId="73602250" w:rsidR="003558F5" w:rsidRPr="00CF6765" w:rsidRDefault="003558F5" w:rsidP="00002163">
      <w:pPr>
        <w:pStyle w:val="Textonotapie"/>
        <w:spacing w:after="60"/>
        <w:rPr>
          <w:rFonts w:eastAsia="Calibri"/>
          <w:sz w:val="16"/>
          <w:szCs w:val="16"/>
          <w:lang w:val="en-US" w:eastAsia="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It should be noted that in the </w:t>
      </w:r>
      <w:r w:rsidRPr="00CF6765">
        <w:rPr>
          <w:i/>
          <w:sz w:val="16"/>
          <w:szCs w:val="16"/>
          <w:lang w:val="en-US"/>
        </w:rPr>
        <w:t xml:space="preserve">Case of the </w:t>
      </w:r>
      <w:proofErr w:type="spellStart"/>
      <w:r w:rsidRPr="00CF6765">
        <w:rPr>
          <w:i/>
          <w:sz w:val="16"/>
          <w:szCs w:val="16"/>
          <w:lang w:val="en-US"/>
        </w:rPr>
        <w:t>Yake</w:t>
      </w:r>
      <w:proofErr w:type="spellEnd"/>
      <w:r w:rsidRPr="00CF6765">
        <w:rPr>
          <w:i/>
          <w:sz w:val="16"/>
          <w:szCs w:val="16"/>
          <w:lang w:val="en-US"/>
        </w:rPr>
        <w:t xml:space="preserve"> </w:t>
      </w:r>
      <w:proofErr w:type="spellStart"/>
      <w:r w:rsidRPr="00CF6765">
        <w:rPr>
          <w:i/>
          <w:sz w:val="16"/>
          <w:szCs w:val="16"/>
          <w:lang w:val="en-US"/>
        </w:rPr>
        <w:t>Axa</w:t>
      </w:r>
      <w:proofErr w:type="spellEnd"/>
      <w:r w:rsidRPr="00CF6765">
        <w:rPr>
          <w:i/>
          <w:sz w:val="16"/>
          <w:szCs w:val="16"/>
          <w:lang w:val="en-US"/>
        </w:rPr>
        <w:t xml:space="preserve"> Indigenous Community v. Paraguay</w:t>
      </w:r>
      <w:r w:rsidRPr="00CF6765">
        <w:rPr>
          <w:sz w:val="16"/>
          <w:szCs w:val="16"/>
          <w:lang w:val="en-US"/>
        </w:rPr>
        <w:t>, the judgment mentioned briefly that “the health of older persons should be protected in case of chronic and terminal illnesses.</w:t>
      </w:r>
      <w:r w:rsidRPr="00CF6765">
        <w:rPr>
          <w:rFonts w:eastAsia="Calibri"/>
          <w:sz w:val="16"/>
          <w:szCs w:val="16"/>
          <w:lang w:val="en-US" w:eastAsia="en-US"/>
        </w:rPr>
        <w:t>” And, in the case of García</w:t>
      </w:r>
      <w:r w:rsidRPr="00CF6765">
        <w:rPr>
          <w:rFonts w:eastAsia="Calibri"/>
          <w:i/>
          <w:sz w:val="16"/>
          <w:szCs w:val="16"/>
          <w:lang w:val="en-US" w:eastAsia="en-US"/>
        </w:rPr>
        <w:t xml:space="preserve"> Lucero</w:t>
      </w:r>
      <w:r w:rsidRPr="00CF6765">
        <w:rPr>
          <w:rFonts w:eastAsia="Calibri"/>
          <w:sz w:val="16"/>
          <w:szCs w:val="16"/>
          <w:lang w:val="en-US" w:eastAsia="en-US"/>
        </w:rPr>
        <w:t xml:space="preserve"> et al.</w:t>
      </w:r>
      <w:r w:rsidRPr="00CF6765">
        <w:rPr>
          <w:rFonts w:eastAsia="Calibri"/>
          <w:i/>
          <w:sz w:val="16"/>
          <w:szCs w:val="16"/>
          <w:lang w:val="en-US" w:eastAsia="en-US"/>
        </w:rPr>
        <w:t xml:space="preserve"> v. Chile</w:t>
      </w:r>
      <w:r w:rsidRPr="00CF6765">
        <w:rPr>
          <w:rFonts w:eastAsia="Calibri"/>
          <w:sz w:val="16"/>
          <w:szCs w:val="16"/>
          <w:lang w:val="en-US" w:eastAsia="en-US"/>
        </w:rPr>
        <w:t xml:space="preserve">, under the heading of reparations, the Court recognized the victim’s situation of vulnerability owing to his condition as an older person. </w:t>
      </w:r>
      <w:r w:rsidRPr="00CF6765">
        <w:rPr>
          <w:rFonts w:eastAsia="Calibri"/>
          <w:i/>
          <w:sz w:val="16"/>
          <w:szCs w:val="16"/>
          <w:lang w:val="en-US" w:eastAsia="en-US"/>
        </w:rPr>
        <w:t>Cf.</w:t>
      </w:r>
      <w:r w:rsidRPr="00CF6765">
        <w:rPr>
          <w:rFonts w:eastAsia="Calibri"/>
          <w:sz w:val="16"/>
          <w:szCs w:val="16"/>
          <w:lang w:val="en-US" w:eastAsia="en-US"/>
        </w:rPr>
        <w:t xml:space="preserve"> </w:t>
      </w:r>
      <w:r w:rsidRPr="00CF6765">
        <w:rPr>
          <w:rFonts w:eastAsia="Calibri"/>
          <w:i/>
          <w:sz w:val="16"/>
          <w:szCs w:val="16"/>
          <w:lang w:val="en-US" w:eastAsia="en-US"/>
        </w:rPr>
        <w:t xml:space="preserve">Case of the </w:t>
      </w:r>
      <w:proofErr w:type="spellStart"/>
      <w:r w:rsidRPr="00CF6765">
        <w:rPr>
          <w:rFonts w:eastAsia="Calibri"/>
          <w:i/>
          <w:sz w:val="16"/>
          <w:szCs w:val="16"/>
          <w:lang w:val="en-US" w:eastAsia="en-US"/>
        </w:rPr>
        <w:t>Yake</w:t>
      </w:r>
      <w:proofErr w:type="spellEnd"/>
      <w:r w:rsidRPr="00CF6765">
        <w:rPr>
          <w:rFonts w:eastAsia="Calibri"/>
          <w:i/>
          <w:sz w:val="16"/>
          <w:szCs w:val="16"/>
          <w:lang w:val="en-US" w:eastAsia="en-US"/>
        </w:rPr>
        <w:t xml:space="preserve"> </w:t>
      </w:r>
      <w:proofErr w:type="spellStart"/>
      <w:r w:rsidRPr="00CF6765">
        <w:rPr>
          <w:rFonts w:eastAsia="Calibri"/>
          <w:i/>
          <w:sz w:val="16"/>
          <w:szCs w:val="16"/>
          <w:lang w:val="en-US" w:eastAsia="en-US"/>
        </w:rPr>
        <w:t>Axa</w:t>
      </w:r>
      <w:proofErr w:type="spellEnd"/>
      <w:r w:rsidRPr="00CF6765">
        <w:rPr>
          <w:i/>
          <w:sz w:val="16"/>
          <w:szCs w:val="16"/>
          <w:lang w:val="en-US"/>
        </w:rPr>
        <w:t xml:space="preserve"> Indigenous Community</w:t>
      </w:r>
      <w:r w:rsidRPr="00CF6765">
        <w:rPr>
          <w:rFonts w:eastAsia="Calibri"/>
          <w:i/>
          <w:sz w:val="16"/>
          <w:szCs w:val="16"/>
          <w:lang w:val="en-US" w:eastAsia="en-US"/>
        </w:rPr>
        <w:t xml:space="preserve"> v. Paraguay, supra, </w:t>
      </w:r>
      <w:r w:rsidRPr="00CF6765">
        <w:rPr>
          <w:rFonts w:eastAsia="Calibri"/>
          <w:sz w:val="16"/>
          <w:szCs w:val="16"/>
          <w:lang w:val="en-US" w:eastAsia="en-US"/>
        </w:rPr>
        <w:t xml:space="preserve">para. 175, and </w:t>
      </w:r>
      <w:r w:rsidRPr="00CF6765">
        <w:rPr>
          <w:rFonts w:eastAsia="Calibri"/>
          <w:i/>
          <w:sz w:val="16"/>
          <w:szCs w:val="16"/>
          <w:lang w:val="en-US" w:eastAsia="en-US"/>
        </w:rPr>
        <w:t>Case of García Lucero et al. v. Chile. Preliminary objection, merits and reparations.</w:t>
      </w:r>
      <w:r w:rsidRPr="00CF6765">
        <w:rPr>
          <w:rFonts w:eastAsia="Calibri"/>
          <w:sz w:val="16"/>
          <w:szCs w:val="16"/>
          <w:lang w:val="en-US" w:eastAsia="en-US"/>
        </w:rPr>
        <w:t xml:space="preserve"> Judgment of August 28, 2013. Series C No. 267, para. 231.</w:t>
      </w:r>
    </w:p>
  </w:footnote>
  <w:footnote w:id="192">
    <w:p w14:paraId="119F54AE" w14:textId="7EBE2E1C" w:rsidR="003558F5" w:rsidRPr="00CF6765" w:rsidRDefault="003558F5" w:rsidP="002F03DC">
      <w:pPr>
        <w:autoSpaceDE w:val="0"/>
        <w:autoSpaceDN w:val="0"/>
        <w:adjustRightInd w:val="0"/>
        <w:spacing w:after="60" w:line="191" w:lineRule="atLeast"/>
        <w:rPr>
          <w:rFonts w:eastAsiaTheme="minorHAnsi" w:cs="Arial"/>
          <w:color w:val="000000"/>
          <w:sz w:val="16"/>
          <w:szCs w:val="16"/>
          <w:lang w:val="en-US"/>
        </w:rPr>
      </w:pPr>
      <w:r w:rsidRPr="00CF6765">
        <w:rPr>
          <w:rStyle w:val="Refdenotaalpie"/>
          <w:sz w:val="16"/>
          <w:lang w:val="en-US"/>
        </w:rPr>
        <w:footnoteRef/>
      </w:r>
      <w:r w:rsidRPr="00CF6765">
        <w:rPr>
          <w:sz w:val="16"/>
          <w:lang w:val="en-US"/>
        </w:rPr>
        <w:t xml:space="preserve">      </w:t>
      </w:r>
      <w:r w:rsidRPr="00CF6765">
        <w:rPr>
          <w:sz w:val="16"/>
          <w:lang w:val="en-US"/>
        </w:rPr>
        <w:tab/>
        <w:t>OAS. Additional Protocol to the American Convention on Human Rights in the Area of Economic, Social and Cultural Rights “Protocol of San Salvador”. Adopted by the OAS General Assembly on November 17, 1988, in San Salvador. Entry into force on November 16, 1999. To date the State of Chile has not ratified it.</w:t>
      </w:r>
      <w:r w:rsidRPr="00CF6765">
        <w:rPr>
          <w:lang w:val="en-US"/>
        </w:rPr>
        <w:t xml:space="preserve"> </w:t>
      </w:r>
      <w:r w:rsidRPr="00CF6765">
        <w:rPr>
          <w:sz w:val="16"/>
          <w:lang w:val="en-US"/>
        </w:rPr>
        <w:t xml:space="preserve">“Article 17. </w:t>
      </w:r>
      <w:r w:rsidRPr="00CF6765">
        <w:rPr>
          <w:rFonts w:eastAsiaTheme="minorHAnsi" w:cs="Arial"/>
          <w:color w:val="000000"/>
          <w:sz w:val="16"/>
          <w:szCs w:val="16"/>
          <w:lang w:val="en-US"/>
        </w:rPr>
        <w:t>Everyone has the right to special protection in old age. With this in view the States Parties agree to take progressively the necessary steps to make this right a reality and, particularly, to: (a) provide suitable facilities, as well as food and specialized medical care, for elderly individuals who lack them and are unable to provide them for themselves; (b) undertake work programs specifically designed to give the elderly the opportunity to engage in a productive activity suited to their abilities and consistent with their vocations or desires, and (c) foster the establishment of social organizations aimed at improving the quality of life for the elderly.”</w:t>
      </w:r>
    </w:p>
  </w:footnote>
  <w:footnote w:id="193">
    <w:p w14:paraId="2880624A" w14:textId="6100CDD5"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lang w:val="en-US"/>
        </w:rPr>
        <w:t xml:space="preserve"> </w:t>
      </w:r>
      <w:r w:rsidRPr="00CF6765">
        <w:rPr>
          <w:lang w:val="en-US"/>
        </w:rPr>
        <w:tab/>
      </w:r>
      <w:r w:rsidRPr="00CF6765">
        <w:rPr>
          <w:sz w:val="16"/>
          <w:szCs w:val="16"/>
          <w:lang w:val="en-US"/>
        </w:rPr>
        <w:t>Adopted by the twenty-sixth ordinary session of the Assembly of the African Union held in Addis Ababa, Ethiopia, on January 31, 2016. Its article 15(1) establishes the obligation of the African States to “guarantee the rights of older persons to access health services that meet their specific needs.”</w:t>
      </w:r>
    </w:p>
  </w:footnote>
  <w:footnote w:id="194">
    <w:p w14:paraId="2993C449" w14:textId="5D8632FF" w:rsidR="003558F5" w:rsidRPr="00CF6765" w:rsidRDefault="003558F5" w:rsidP="00002163">
      <w:pPr>
        <w:pStyle w:val="Textonotapie"/>
        <w:spacing w:after="60"/>
        <w:rPr>
          <w:b/>
          <w:sz w:val="16"/>
          <w:szCs w:val="16"/>
          <w:lang w:val="en-US"/>
        </w:rPr>
      </w:pPr>
      <w:r w:rsidRPr="00CF6765">
        <w:rPr>
          <w:rStyle w:val="Refdenotaalpie"/>
          <w:rFonts w:eastAsia="MS ????"/>
          <w:color w:val="000000"/>
          <w:sz w:val="16"/>
          <w:szCs w:val="16"/>
          <w:lang w:val="en-US"/>
        </w:rPr>
        <w:footnoteRef/>
      </w:r>
      <w:r w:rsidRPr="00CF6765">
        <w:rPr>
          <w:b/>
          <w:lang w:val="en-US"/>
        </w:rPr>
        <w:t xml:space="preserve">  </w:t>
      </w:r>
      <w:r w:rsidRPr="00CF6765">
        <w:rPr>
          <w:b/>
          <w:lang w:val="en-US"/>
        </w:rPr>
        <w:tab/>
      </w:r>
      <w:r w:rsidRPr="00CF6765">
        <w:rPr>
          <w:sz w:val="16"/>
          <w:szCs w:val="16"/>
          <w:lang w:val="en-US"/>
        </w:rPr>
        <w:t>Council of Europe (Strasbourg</w:t>
      </w:r>
      <w:r w:rsidRPr="00CF6765">
        <w:rPr>
          <w:i/>
          <w:sz w:val="16"/>
          <w:szCs w:val="16"/>
          <w:lang w:val="en-US"/>
        </w:rPr>
        <w:t>). European Social Charter,</w:t>
      </w:r>
      <w:r w:rsidRPr="00CF6765">
        <w:rPr>
          <w:sz w:val="16"/>
          <w:szCs w:val="16"/>
          <w:lang w:val="en-US"/>
        </w:rPr>
        <w:t xml:space="preserve"> </w:t>
      </w:r>
      <w:r w:rsidRPr="00CF6765">
        <w:rPr>
          <w:i/>
          <w:sz w:val="16"/>
          <w:szCs w:val="16"/>
          <w:lang w:val="en-US"/>
        </w:rPr>
        <w:t>supra</w:t>
      </w:r>
      <w:r w:rsidRPr="00CF6765">
        <w:rPr>
          <w:sz w:val="16"/>
          <w:szCs w:val="16"/>
          <w:lang w:val="en-US"/>
        </w:rPr>
        <w:t>. Its Article 23 establishes the right of elderly persons to social protection and establishes the undertaking of the States Parties to adopt or promote appropriate measures to ensure the effective exercise of this right.</w:t>
      </w:r>
      <w:r w:rsidRPr="00CF6765">
        <w:rPr>
          <w:b/>
          <w:sz w:val="16"/>
          <w:szCs w:val="16"/>
          <w:lang w:val="en-US"/>
        </w:rPr>
        <w:t xml:space="preserve"> </w:t>
      </w:r>
    </w:p>
  </w:footnote>
  <w:footnote w:id="195">
    <w:p w14:paraId="33A76C9F" w14:textId="1DEDB16C" w:rsidR="003558F5" w:rsidRPr="00CF6765" w:rsidRDefault="003558F5" w:rsidP="00002163">
      <w:pPr>
        <w:pStyle w:val="Textonotapie"/>
        <w:spacing w:after="60"/>
        <w:rPr>
          <w:sz w:val="16"/>
          <w:szCs w:val="16"/>
          <w:lang w:val="en-US"/>
        </w:rPr>
      </w:pPr>
      <w:r w:rsidRPr="00CF6765">
        <w:rPr>
          <w:rStyle w:val="Refdenotaalpie"/>
          <w:sz w:val="16"/>
          <w:lang w:val="en-US"/>
        </w:rPr>
        <w:footnoteRef/>
      </w:r>
      <w:r w:rsidRPr="00CF6765">
        <w:rPr>
          <w:sz w:val="16"/>
          <w:szCs w:val="16"/>
          <w:lang w:val="en-US"/>
        </w:rPr>
        <w:t xml:space="preserve"> </w:t>
      </w:r>
      <w:r w:rsidRPr="00CF6765">
        <w:rPr>
          <w:sz w:val="16"/>
          <w:szCs w:val="16"/>
          <w:lang w:val="en-US"/>
        </w:rPr>
        <w:tab/>
        <w:t xml:space="preserve">OAS. Inter-American Convention on Protecting the Human Rights of Older Persons, </w:t>
      </w:r>
      <w:r w:rsidRPr="00CF6765">
        <w:rPr>
          <w:i/>
          <w:sz w:val="16"/>
          <w:szCs w:val="16"/>
          <w:lang w:val="en-US"/>
        </w:rPr>
        <w:t>supra</w:t>
      </w:r>
      <w:r w:rsidRPr="00CF6765">
        <w:rPr>
          <w:sz w:val="16"/>
          <w:szCs w:val="16"/>
          <w:lang w:val="en-US"/>
        </w:rPr>
        <w:t>. Ratified by Chile on November 7, 2017.</w:t>
      </w:r>
    </w:p>
  </w:footnote>
  <w:footnote w:id="196">
    <w:p w14:paraId="38FEE0E9" w14:textId="6AACAC9C" w:rsidR="003558F5" w:rsidRPr="00CF6765" w:rsidRDefault="003558F5" w:rsidP="00002163">
      <w:pPr>
        <w:pStyle w:val="Textonotapie"/>
        <w:spacing w:after="60"/>
        <w:rPr>
          <w:lang w:val="en-US"/>
        </w:rPr>
      </w:pPr>
      <w:r w:rsidRPr="00CF6765">
        <w:rPr>
          <w:rStyle w:val="Refdenotaalpie"/>
          <w:sz w:val="16"/>
          <w:lang w:val="en-US"/>
        </w:rPr>
        <w:footnoteRef/>
      </w:r>
      <w:r w:rsidRPr="00CF6765">
        <w:rPr>
          <w:lang w:val="en-US"/>
        </w:rPr>
        <w:t xml:space="preserve">    </w:t>
      </w:r>
      <w:r w:rsidRPr="00CF6765">
        <w:rPr>
          <w:sz w:val="16"/>
          <w:szCs w:val="16"/>
          <w:lang w:val="en-US"/>
        </w:rPr>
        <w:tab/>
        <w:t xml:space="preserve">Article 19. Right to health. Older persons have the right to physical and mental health without discrimination of any kind. </w:t>
      </w:r>
    </w:p>
  </w:footnote>
  <w:footnote w:id="197">
    <w:p w14:paraId="6F158C2E" w14:textId="40F6C368" w:rsidR="003558F5" w:rsidRPr="00CF6765" w:rsidRDefault="003558F5" w:rsidP="00823A66">
      <w:pPr>
        <w:pStyle w:val="Textonotapie"/>
        <w:spacing w:after="60"/>
        <w:rPr>
          <w:sz w:val="16"/>
          <w:szCs w:val="16"/>
          <w:lang w:val="en-US"/>
        </w:rPr>
      </w:pPr>
      <w:r w:rsidRPr="00CF6765">
        <w:rPr>
          <w:rStyle w:val="Refdenotaalpie"/>
          <w:color w:val="000000"/>
          <w:sz w:val="16"/>
          <w:szCs w:val="16"/>
          <w:lang w:val="en-US"/>
        </w:rPr>
        <w:footnoteRef/>
      </w:r>
      <w:r w:rsidRPr="00CF6765">
        <w:rPr>
          <w:sz w:val="16"/>
          <w:szCs w:val="16"/>
          <w:lang w:val="en-US"/>
        </w:rPr>
        <w:t xml:space="preserve">  </w:t>
      </w:r>
      <w:r w:rsidRPr="00CF6765">
        <w:rPr>
          <w:sz w:val="16"/>
          <w:szCs w:val="16"/>
          <w:lang w:val="en-US"/>
        </w:rPr>
        <w:tab/>
      </w:r>
      <w:r w:rsidRPr="00CF6765">
        <w:rPr>
          <w:color w:val="000000"/>
          <w:sz w:val="16"/>
          <w:szCs w:val="16"/>
          <w:lang w:val="en-US"/>
        </w:rPr>
        <w:t>UN. General Assembly</w:t>
      </w:r>
      <w:r w:rsidRPr="00CF6765">
        <w:rPr>
          <w:sz w:val="16"/>
          <w:szCs w:val="16"/>
          <w:lang w:val="en-US"/>
        </w:rPr>
        <w:t xml:space="preserve">, </w:t>
      </w:r>
      <w:r w:rsidRPr="00CF6765">
        <w:rPr>
          <w:i/>
          <w:sz w:val="16"/>
          <w:szCs w:val="16"/>
          <w:lang w:val="en-US"/>
        </w:rPr>
        <w:t>United Nations Principles for the Older Person.</w:t>
      </w:r>
      <w:r w:rsidRPr="00CF6765">
        <w:rPr>
          <w:sz w:val="16"/>
          <w:szCs w:val="16"/>
          <w:lang w:val="en-US"/>
        </w:rPr>
        <w:t xml:space="preserve"> Adopted by Resolution 46/91 of December 16, 1991.</w:t>
      </w:r>
    </w:p>
  </w:footnote>
  <w:footnote w:id="198">
    <w:p w14:paraId="1C6EAD79" w14:textId="64C2CCB4" w:rsidR="003558F5" w:rsidRPr="00CF6765" w:rsidRDefault="003558F5" w:rsidP="00002163">
      <w:pPr>
        <w:pStyle w:val="Textonotapie"/>
        <w:spacing w:after="60"/>
        <w:rPr>
          <w:lang w:val="en-US"/>
        </w:rPr>
      </w:pPr>
      <w:r w:rsidRPr="00CF6765">
        <w:rPr>
          <w:rStyle w:val="Refdenotaalpie"/>
          <w:color w:val="000000"/>
          <w:sz w:val="16"/>
          <w:szCs w:val="16"/>
          <w:lang w:val="en-US"/>
        </w:rPr>
        <w:footnoteRef/>
      </w:r>
      <w:r w:rsidRPr="00CF6765">
        <w:rPr>
          <w:rStyle w:val="Refdenotaalpie"/>
          <w:color w:val="000000"/>
          <w:sz w:val="16"/>
          <w:szCs w:val="16"/>
          <w:lang w:val="en-US"/>
        </w:rPr>
        <w:t xml:space="preserve"> </w:t>
      </w:r>
      <w:r w:rsidRPr="00CF6765">
        <w:rPr>
          <w:color w:val="000000"/>
          <w:sz w:val="16"/>
          <w:szCs w:val="16"/>
          <w:lang w:val="en-US"/>
        </w:rPr>
        <w:t xml:space="preserve">   </w:t>
      </w:r>
      <w:r w:rsidRPr="00CF6765">
        <w:rPr>
          <w:lang w:val="en-US"/>
        </w:rPr>
        <w:t xml:space="preserve"> </w:t>
      </w:r>
      <w:r w:rsidRPr="00CF6765">
        <w:rPr>
          <w:lang w:val="en-US"/>
        </w:rPr>
        <w:tab/>
      </w:r>
      <w:r w:rsidRPr="00CF6765">
        <w:rPr>
          <w:sz w:val="16"/>
          <w:szCs w:val="16"/>
          <w:lang w:val="en-US"/>
        </w:rPr>
        <w:t>Adopted at the “World Assembly on Ageing” on August 6, 1982, and endorsed by the United Nations General Assembly in Resolution 37/51.</w:t>
      </w:r>
    </w:p>
  </w:footnote>
  <w:footnote w:id="199">
    <w:p w14:paraId="5D01C416" w14:textId="6E6972C1"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rStyle w:val="Refdenotaalpie"/>
          <w:color w:val="000000"/>
          <w:sz w:val="16"/>
          <w:szCs w:val="16"/>
          <w:lang w:val="en-US"/>
        </w:rPr>
        <w:t xml:space="preserve"> </w:t>
      </w:r>
      <w:r w:rsidRPr="00CF6765">
        <w:rPr>
          <w:color w:val="000000"/>
          <w:sz w:val="16"/>
          <w:szCs w:val="16"/>
          <w:lang w:val="en-US"/>
        </w:rPr>
        <w:t xml:space="preserve">  </w:t>
      </w:r>
      <w:r w:rsidRPr="00CF6765">
        <w:rPr>
          <w:color w:val="000000"/>
          <w:sz w:val="16"/>
          <w:szCs w:val="16"/>
          <w:lang w:val="en-US"/>
        </w:rPr>
        <w:tab/>
        <w:t xml:space="preserve">UN. General Assembly, </w:t>
      </w:r>
      <w:r w:rsidRPr="00CF6765">
        <w:rPr>
          <w:i/>
          <w:sz w:val="16"/>
          <w:szCs w:val="16"/>
          <w:lang w:val="en-US"/>
        </w:rPr>
        <w:t>Proclamation on Ageing</w:t>
      </w:r>
      <w:r w:rsidRPr="00CF6765">
        <w:rPr>
          <w:sz w:val="16"/>
          <w:szCs w:val="16"/>
          <w:lang w:val="en-US"/>
        </w:rPr>
        <w:t>. Adopted by Resolution 47/5 of October 16, 1992.</w:t>
      </w:r>
    </w:p>
  </w:footnote>
  <w:footnote w:id="200">
    <w:p w14:paraId="27CC649F" w14:textId="4EA78D73"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sz w:val="16"/>
          <w:szCs w:val="16"/>
          <w:lang w:val="en-US"/>
        </w:rPr>
        <w:t xml:space="preserve">  </w:t>
      </w:r>
      <w:r w:rsidRPr="00CF6765">
        <w:rPr>
          <w:sz w:val="16"/>
          <w:szCs w:val="16"/>
          <w:lang w:val="en-US"/>
        </w:rPr>
        <w:tab/>
        <w:t>UN. General Assembly,</w:t>
      </w:r>
      <w:r w:rsidRPr="00CF6765">
        <w:rPr>
          <w:i/>
          <w:iCs/>
          <w:sz w:val="16"/>
          <w:szCs w:val="16"/>
          <w:lang w:val="en-US"/>
        </w:rPr>
        <w:t xml:space="preserve"> </w:t>
      </w:r>
      <w:r w:rsidRPr="00CF6765">
        <w:rPr>
          <w:rFonts w:eastAsia="Calibri"/>
          <w:i/>
          <w:iCs/>
          <w:sz w:val="16"/>
          <w:szCs w:val="16"/>
          <w:lang w:val="en-US" w:eastAsia="en-US"/>
        </w:rPr>
        <w:t>Political Statement and Madrid International Plan of Action on Ageing</w:t>
      </w:r>
      <w:r w:rsidRPr="00CF6765">
        <w:rPr>
          <w:i/>
          <w:iCs/>
          <w:sz w:val="16"/>
          <w:szCs w:val="16"/>
          <w:lang w:val="en-US"/>
        </w:rPr>
        <w:t>.</w:t>
      </w:r>
      <w:r w:rsidRPr="00CF6765">
        <w:rPr>
          <w:sz w:val="16"/>
          <w:szCs w:val="16"/>
          <w:lang w:val="en-US"/>
        </w:rPr>
        <w:t xml:space="preserve"> Report of the Second World Assembly on Ageing, A/CONF.197/9, April 12, 2002.</w:t>
      </w:r>
    </w:p>
  </w:footnote>
  <w:footnote w:id="201">
    <w:p w14:paraId="673CFF6D" w14:textId="7F7421A3"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sz w:val="16"/>
          <w:szCs w:val="16"/>
          <w:lang w:val="en-US"/>
        </w:rPr>
        <w:t xml:space="preserve">    </w:t>
      </w:r>
      <w:r w:rsidRPr="00CF6765">
        <w:rPr>
          <w:sz w:val="16"/>
          <w:szCs w:val="16"/>
          <w:lang w:val="en-US"/>
        </w:rPr>
        <w:tab/>
        <w:t xml:space="preserve">UN. ECLAC, </w:t>
      </w:r>
      <w:r w:rsidRPr="00CF6765">
        <w:rPr>
          <w:rFonts w:eastAsia="Calibri"/>
          <w:i/>
          <w:iCs/>
          <w:sz w:val="16"/>
          <w:szCs w:val="16"/>
          <w:lang w:val="en-US" w:eastAsia="en-US"/>
        </w:rPr>
        <w:t>Regional strategy for the implementation in Latin America and the Caribbean of the Madrid International Plan of Action on Ageing</w:t>
      </w:r>
      <w:r w:rsidRPr="00CF6765">
        <w:rPr>
          <w:sz w:val="16"/>
          <w:szCs w:val="16"/>
          <w:lang w:val="en-US"/>
        </w:rPr>
        <w:t>, LC/G.2228. Adopted at the Regional Inter-governmental Conference on Ageing on November 21, 2003.</w:t>
      </w:r>
    </w:p>
  </w:footnote>
  <w:footnote w:id="202">
    <w:p w14:paraId="2A1FE65F" w14:textId="01D8F3EE"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rStyle w:val="Refdenotaalpie"/>
          <w:color w:val="000000"/>
          <w:sz w:val="16"/>
          <w:szCs w:val="16"/>
          <w:lang w:val="en-US"/>
        </w:rPr>
        <w:t xml:space="preserve"> </w:t>
      </w:r>
      <w:r w:rsidRPr="00CF6765">
        <w:rPr>
          <w:color w:val="000000"/>
          <w:sz w:val="16"/>
          <w:szCs w:val="16"/>
          <w:lang w:val="en-US"/>
        </w:rPr>
        <w:t xml:space="preserve">   </w:t>
      </w:r>
      <w:r w:rsidRPr="00CF6765">
        <w:rPr>
          <w:color w:val="000000"/>
          <w:sz w:val="16"/>
          <w:szCs w:val="16"/>
          <w:lang w:val="en-US"/>
        </w:rPr>
        <w:tab/>
        <w:t xml:space="preserve">UN. ECLAC, </w:t>
      </w:r>
      <w:r w:rsidRPr="00CF6765">
        <w:rPr>
          <w:i/>
          <w:color w:val="000000"/>
          <w:sz w:val="16"/>
          <w:szCs w:val="16"/>
          <w:lang w:val="en-US"/>
        </w:rPr>
        <w:t>Brasilia Declaration</w:t>
      </w:r>
      <w:r w:rsidRPr="00CF6765">
        <w:rPr>
          <w:color w:val="000000"/>
          <w:sz w:val="16"/>
          <w:szCs w:val="16"/>
          <w:lang w:val="en-US"/>
        </w:rPr>
        <w:t xml:space="preserve">. Adopted at the Second Regional Intergovernmental Conference on Ageing in Latin America and the Caribbean, on December 6, </w:t>
      </w:r>
      <w:r w:rsidRPr="00CF6765">
        <w:rPr>
          <w:sz w:val="16"/>
          <w:szCs w:val="16"/>
          <w:lang w:val="en-US"/>
        </w:rPr>
        <w:t xml:space="preserve">2007, LC/G.2359/Rev.1. </w:t>
      </w:r>
    </w:p>
  </w:footnote>
  <w:footnote w:id="203">
    <w:p w14:paraId="24D581F6" w14:textId="0A05E278"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sz w:val="16"/>
          <w:szCs w:val="16"/>
          <w:lang w:val="en-US"/>
        </w:rPr>
        <w:t xml:space="preserve">    </w:t>
      </w:r>
      <w:r w:rsidRPr="00CF6765">
        <w:rPr>
          <w:sz w:val="16"/>
          <w:szCs w:val="16"/>
          <w:lang w:val="en-US"/>
        </w:rPr>
        <w:tab/>
      </w:r>
      <w:proofErr w:type="gramStart"/>
      <w:r w:rsidRPr="00CF6765">
        <w:rPr>
          <w:sz w:val="16"/>
          <w:szCs w:val="16"/>
          <w:lang w:val="en-US"/>
        </w:rPr>
        <w:t>WHO.</w:t>
      </w:r>
      <w:proofErr w:type="gramEnd"/>
      <w:r w:rsidRPr="00CF6765">
        <w:rPr>
          <w:sz w:val="16"/>
          <w:szCs w:val="16"/>
          <w:lang w:val="en-US"/>
        </w:rPr>
        <w:t xml:space="preserve"> Pan-American Health Organization. Final report of the 49th Directing Council, 61st Session of the Regional Committee, Res. CD49.R15, October 2, 2009.</w:t>
      </w:r>
    </w:p>
  </w:footnote>
  <w:footnote w:id="204">
    <w:p w14:paraId="2DE77DBB" w14:textId="40BC789B"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rStyle w:val="Refdenotaalpie"/>
          <w:color w:val="000000"/>
          <w:sz w:val="16"/>
          <w:szCs w:val="16"/>
          <w:lang w:val="en-US"/>
        </w:rPr>
        <w:t xml:space="preserve"> </w:t>
      </w:r>
      <w:r w:rsidRPr="00CF6765">
        <w:rPr>
          <w:color w:val="000000"/>
          <w:sz w:val="16"/>
          <w:szCs w:val="16"/>
          <w:lang w:val="en-US"/>
        </w:rPr>
        <w:t xml:space="preserve">   </w:t>
      </w:r>
      <w:r w:rsidRPr="00CF6765">
        <w:rPr>
          <w:color w:val="000000"/>
          <w:sz w:val="16"/>
          <w:szCs w:val="16"/>
          <w:lang w:val="en-US"/>
        </w:rPr>
        <w:tab/>
        <w:t xml:space="preserve">Adopted at the Fifth Summit of the Americas held in Port-of-Spain, </w:t>
      </w:r>
      <w:r w:rsidRPr="00CF6765">
        <w:rPr>
          <w:sz w:val="16"/>
          <w:szCs w:val="16"/>
          <w:lang w:val="en-US"/>
        </w:rPr>
        <w:t>Trinidad and Tobago, on April 19, 2009, OAS/</w:t>
      </w:r>
      <w:proofErr w:type="spellStart"/>
      <w:r w:rsidRPr="00CF6765">
        <w:rPr>
          <w:sz w:val="16"/>
          <w:szCs w:val="16"/>
          <w:lang w:val="en-US"/>
        </w:rPr>
        <w:t>Ser.E</w:t>
      </w:r>
      <w:proofErr w:type="spellEnd"/>
      <w:r w:rsidRPr="00CF6765">
        <w:rPr>
          <w:sz w:val="16"/>
          <w:szCs w:val="16"/>
          <w:lang w:val="en-US"/>
        </w:rPr>
        <w:t xml:space="preserve"> CA-V/DEC.1/09.</w:t>
      </w:r>
    </w:p>
  </w:footnote>
  <w:footnote w:id="205">
    <w:p w14:paraId="24CF2DBA" w14:textId="6C1D0C89"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sz w:val="16"/>
          <w:szCs w:val="16"/>
          <w:lang w:val="en-US"/>
        </w:rPr>
        <w:t xml:space="preserve">   </w:t>
      </w:r>
      <w:r w:rsidRPr="00CF6765">
        <w:rPr>
          <w:sz w:val="16"/>
          <w:szCs w:val="16"/>
          <w:lang w:val="en-US"/>
        </w:rPr>
        <w:tab/>
        <w:t xml:space="preserve">UN. ECLAC, </w:t>
      </w:r>
      <w:r w:rsidRPr="00CF6765">
        <w:rPr>
          <w:rFonts w:eastAsia="Calibri"/>
          <w:i/>
          <w:iCs/>
          <w:sz w:val="16"/>
          <w:szCs w:val="16"/>
          <w:lang w:val="en-US" w:eastAsia="en-US"/>
        </w:rPr>
        <w:t>San José Charter on the Rights of the Older Person of Latin American and the Caribbean</w:t>
      </w:r>
      <w:r w:rsidRPr="00CF6765">
        <w:rPr>
          <w:i/>
          <w:sz w:val="16"/>
          <w:szCs w:val="16"/>
          <w:lang w:val="en-US"/>
        </w:rPr>
        <w:t xml:space="preserve">. </w:t>
      </w:r>
      <w:r w:rsidRPr="00CF6765">
        <w:rPr>
          <w:sz w:val="16"/>
          <w:szCs w:val="16"/>
          <w:lang w:val="en-US"/>
        </w:rPr>
        <w:t>Adopted at the Third Regional Intergovernmental Conference on Ageing in Latin America and the Caribbean on May 11, 2012, LC/G.2537.</w:t>
      </w:r>
    </w:p>
  </w:footnote>
  <w:footnote w:id="206">
    <w:p w14:paraId="3B19F44A" w14:textId="2C1CE341" w:rsidR="003558F5" w:rsidRPr="00CF6765" w:rsidRDefault="003558F5" w:rsidP="00002163">
      <w:pPr>
        <w:pStyle w:val="Textonotapie"/>
        <w:spacing w:after="60"/>
        <w:rPr>
          <w:lang w:val="en-US"/>
        </w:rPr>
      </w:pPr>
      <w:r w:rsidRPr="00CF6765">
        <w:rPr>
          <w:rStyle w:val="Refdenotaalpie"/>
          <w:color w:val="000000"/>
          <w:sz w:val="16"/>
          <w:szCs w:val="16"/>
          <w:lang w:val="en-US"/>
        </w:rPr>
        <w:footnoteRef/>
      </w:r>
      <w:r w:rsidRPr="00CF6765">
        <w:rPr>
          <w:lang w:val="en-US"/>
        </w:rPr>
        <w:t xml:space="preserve"> </w:t>
      </w:r>
      <w:r w:rsidRPr="00CF6765">
        <w:rPr>
          <w:lang w:val="en-US"/>
        </w:rPr>
        <w:tab/>
      </w:r>
      <w:r w:rsidRPr="00CF6765">
        <w:rPr>
          <w:sz w:val="16"/>
          <w:szCs w:val="16"/>
          <w:lang w:val="en-US"/>
        </w:rPr>
        <w:t>Some of them are: the right to health, to life, to non-discrimination for reasons of age, to decent treatment, the prohibition of cruel or degrading treatment, and the right of access to personal information.</w:t>
      </w:r>
    </w:p>
  </w:footnote>
  <w:footnote w:id="207">
    <w:p w14:paraId="6DBD8BCE" w14:textId="0D9E5257"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lang w:val="en-US"/>
        </w:rPr>
        <w:t xml:space="preserve">  </w:t>
      </w:r>
      <w:r w:rsidRPr="00CF6765">
        <w:rPr>
          <w:lang w:val="en-US"/>
        </w:rPr>
        <w:tab/>
      </w:r>
      <w:r w:rsidRPr="00CF6765">
        <w:rPr>
          <w:sz w:val="16"/>
          <w:szCs w:val="16"/>
          <w:lang w:val="en-US"/>
        </w:rPr>
        <w:t xml:space="preserve">The international community began to emphasize the situation of the older person in the Vienna Declaration and </w:t>
      </w:r>
      <w:proofErr w:type="spellStart"/>
      <w:r w:rsidRPr="00CF6765">
        <w:rPr>
          <w:sz w:val="16"/>
          <w:szCs w:val="16"/>
          <w:lang w:val="en-US"/>
        </w:rPr>
        <w:t>Programme</w:t>
      </w:r>
      <w:proofErr w:type="spellEnd"/>
      <w:r w:rsidRPr="00CF6765">
        <w:rPr>
          <w:sz w:val="16"/>
          <w:szCs w:val="16"/>
          <w:lang w:val="en-US"/>
        </w:rPr>
        <w:t xml:space="preserve"> of Action and the following declarations continued to raise international awareness of the essential requirements for the well-being of older persons, and differentiated measures were adopted under both the universal system and the regional systems. In the case of the universal system, specific measures can be mentioned such as the promotion and protection of human rights and the elimination of discrimination, abandonment, abuse and violence against older persons; activities to promote health and universal and life-long access of older persons to health services as a pillar to support healthy ageing. In the case of the regional system, mention can be made of measures such as the promotion of universal coverage of health services for older persons, incorporating ageing as an essential component of national health policies and laws; the promotion of equal access to comprehensive, opportune and quality health services in accordance with the public policies of each country; the promotion of access to basic medicines of long-term use for older persons, and reinforcement of the prevention and treatment of chronic illnesses and other health problems of older persons.</w:t>
      </w:r>
    </w:p>
  </w:footnote>
  <w:footnote w:id="208">
    <w:p w14:paraId="1BA93E45" w14:textId="5FEFB664" w:rsidR="003558F5" w:rsidRPr="00CF6765" w:rsidRDefault="003558F5" w:rsidP="00002163">
      <w:pPr>
        <w:pStyle w:val="Textonotapie"/>
        <w:spacing w:after="60"/>
        <w:rPr>
          <w:lang w:val="en-US"/>
        </w:rPr>
      </w:pPr>
      <w:r w:rsidRPr="00CF6765">
        <w:rPr>
          <w:rStyle w:val="Refdenotaalpie"/>
          <w:color w:val="000000"/>
          <w:sz w:val="16"/>
          <w:szCs w:val="16"/>
          <w:lang w:val="en-US"/>
        </w:rPr>
        <w:footnoteRef/>
      </w:r>
      <w:r w:rsidRPr="00CF6765">
        <w:rPr>
          <w:lang w:val="en-US"/>
        </w:rPr>
        <w:t xml:space="preserve">   </w:t>
      </w:r>
      <w:r w:rsidRPr="00CF6765">
        <w:rPr>
          <w:lang w:val="en-US"/>
        </w:rPr>
        <w:tab/>
      </w:r>
      <w:r w:rsidRPr="00CF6765">
        <w:rPr>
          <w:i/>
          <w:sz w:val="16"/>
          <w:szCs w:val="16"/>
          <w:lang w:val="en-US"/>
        </w:rPr>
        <w:t xml:space="preserve">Cf. </w:t>
      </w:r>
      <w:r w:rsidRPr="00CF6765">
        <w:rPr>
          <w:sz w:val="16"/>
          <w:szCs w:val="16"/>
          <w:lang w:val="en-US"/>
        </w:rPr>
        <w:t>OAS. Inter-American Convention on Protecting the Human Rights of Older Persons</w:t>
      </w:r>
      <w:r w:rsidRPr="00CF6765">
        <w:rPr>
          <w:i/>
          <w:sz w:val="16"/>
          <w:szCs w:val="16"/>
          <w:lang w:val="en-US"/>
        </w:rPr>
        <w:t>,</w:t>
      </w:r>
      <w:r w:rsidRPr="00CF6765">
        <w:rPr>
          <w:sz w:val="16"/>
          <w:szCs w:val="16"/>
          <w:lang w:val="en-US"/>
        </w:rPr>
        <w:t xml:space="preserve"> </w:t>
      </w:r>
      <w:r w:rsidRPr="00CF6765">
        <w:rPr>
          <w:i/>
          <w:sz w:val="16"/>
          <w:szCs w:val="16"/>
          <w:lang w:val="en-US"/>
        </w:rPr>
        <w:t>supra</w:t>
      </w:r>
      <w:r w:rsidRPr="00CF6765">
        <w:rPr>
          <w:sz w:val="16"/>
          <w:szCs w:val="16"/>
          <w:lang w:val="en-US"/>
        </w:rPr>
        <w:t>. Ratified by Chile on November 7, 2017.</w:t>
      </w:r>
    </w:p>
  </w:footnote>
  <w:footnote w:id="209">
    <w:p w14:paraId="46C6AE37" w14:textId="4F06EF29"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lang w:val="en-US"/>
        </w:rPr>
        <w:t xml:space="preserve">  </w:t>
      </w:r>
      <w:r w:rsidRPr="00CF6765">
        <w:rPr>
          <w:lang w:val="en-US"/>
        </w:rPr>
        <w:tab/>
      </w:r>
      <w:r w:rsidRPr="00CF6765">
        <w:rPr>
          <w:sz w:val="16"/>
          <w:szCs w:val="16"/>
          <w:lang w:val="en-US"/>
        </w:rPr>
        <w:t xml:space="preserve">The Inter-American Convention on Protecting the Human Rights of Older Persons deserves special recognition in this regard; it standardizes guarantees of great relevance that no other binding international instrument had previously explicitly considered in the case of older persons, such as the relationship between the right to life and dignity in old age, or the right to independence and autonomy. </w:t>
      </w:r>
    </w:p>
  </w:footnote>
  <w:footnote w:id="210">
    <w:p w14:paraId="4F1642F4" w14:textId="601AAB2A" w:rsidR="003558F5" w:rsidRPr="00392A9A" w:rsidRDefault="003558F5" w:rsidP="00002163">
      <w:pPr>
        <w:pStyle w:val="Textonotapie"/>
        <w:spacing w:after="60"/>
        <w:rPr>
          <w:color w:val="000000"/>
          <w:sz w:val="16"/>
          <w:szCs w:val="16"/>
          <w:lang w:val="es-CR"/>
        </w:rPr>
      </w:pPr>
      <w:r w:rsidRPr="00CF6765">
        <w:rPr>
          <w:rStyle w:val="Refdenotaalpie"/>
          <w:color w:val="000000"/>
          <w:sz w:val="16"/>
          <w:szCs w:val="16"/>
          <w:lang w:val="en-US"/>
        </w:rPr>
        <w:footnoteRef/>
      </w:r>
      <w:r w:rsidRPr="00CF6765">
        <w:rPr>
          <w:color w:val="000000"/>
          <w:sz w:val="16"/>
          <w:szCs w:val="16"/>
          <w:lang w:val="en-US"/>
        </w:rPr>
        <w:t xml:space="preserve">  </w:t>
      </w:r>
      <w:r w:rsidRPr="00CF6765">
        <w:rPr>
          <w:rStyle w:val="Refdenotaalpie"/>
          <w:color w:val="000000"/>
          <w:sz w:val="16"/>
          <w:szCs w:val="16"/>
          <w:lang w:val="en-US"/>
        </w:rPr>
        <w:t xml:space="preserve"> </w:t>
      </w:r>
      <w:r w:rsidRPr="00CF6765">
        <w:rPr>
          <w:color w:val="000000"/>
          <w:sz w:val="16"/>
          <w:szCs w:val="16"/>
          <w:lang w:val="en-US"/>
        </w:rPr>
        <w:tab/>
        <w:t>The Southern Common Market (MERCOSUR) forms part of the Meeting of High-Level Human Rights Authorities and Foreign Ministries of MERCOSUR and Associated States. In 2016, the MERCOSUR Institute for Human Rights Public Policies (IPPDH) published a document entitled: “Older persons: towards a regional rights agenda,” which reveals the progress made by the members countries on consolidating the rights of older persons in the region.</w:t>
      </w:r>
      <w:r w:rsidRPr="00CF6765">
        <w:rPr>
          <w:sz w:val="16"/>
          <w:szCs w:val="16"/>
          <w:lang w:val="en-US"/>
        </w:rPr>
        <w:t xml:space="preserve"> </w:t>
      </w:r>
      <w:r w:rsidRPr="00392A9A">
        <w:rPr>
          <w:i/>
          <w:sz w:val="16"/>
          <w:szCs w:val="16"/>
          <w:lang w:val="es-CR"/>
        </w:rPr>
        <w:t>Cf.</w:t>
      </w:r>
      <w:r w:rsidRPr="00392A9A">
        <w:rPr>
          <w:sz w:val="16"/>
          <w:szCs w:val="16"/>
          <w:lang w:val="es-CR"/>
        </w:rPr>
        <w:t xml:space="preserve"> IPPDH-MERCOSUR, </w:t>
      </w:r>
      <w:r w:rsidRPr="00392A9A">
        <w:rPr>
          <w:i/>
          <w:sz w:val="16"/>
          <w:szCs w:val="16"/>
          <w:lang w:val="es-CR"/>
        </w:rPr>
        <w:t>“Personas mayores: hacia una agenda regional de derechos</w:t>
      </w:r>
      <w:r w:rsidRPr="00392A9A">
        <w:rPr>
          <w:sz w:val="16"/>
          <w:szCs w:val="16"/>
          <w:lang w:val="es-CR"/>
        </w:rPr>
        <w:t xml:space="preserve">”, </w:t>
      </w:r>
      <w:proofErr w:type="spellStart"/>
      <w:r w:rsidRPr="00392A9A">
        <w:rPr>
          <w:sz w:val="16"/>
          <w:szCs w:val="16"/>
          <w:lang w:val="es-CR"/>
        </w:rPr>
        <w:t>November</w:t>
      </w:r>
      <w:proofErr w:type="spellEnd"/>
      <w:r w:rsidRPr="00392A9A">
        <w:rPr>
          <w:sz w:val="16"/>
          <w:szCs w:val="16"/>
          <w:lang w:val="es-CR"/>
        </w:rPr>
        <w:t xml:space="preserve"> 2016, pp. 55 </w:t>
      </w:r>
      <w:proofErr w:type="spellStart"/>
      <w:r w:rsidRPr="00392A9A">
        <w:rPr>
          <w:sz w:val="16"/>
          <w:szCs w:val="16"/>
          <w:lang w:val="es-CR"/>
        </w:rPr>
        <w:t>to</w:t>
      </w:r>
      <w:proofErr w:type="spellEnd"/>
      <w:r w:rsidRPr="00392A9A">
        <w:rPr>
          <w:sz w:val="16"/>
          <w:szCs w:val="16"/>
          <w:lang w:val="es-CR"/>
        </w:rPr>
        <w:t xml:space="preserve"> 156.</w:t>
      </w:r>
    </w:p>
  </w:footnote>
  <w:footnote w:id="211">
    <w:p w14:paraId="3480D113" w14:textId="77777777" w:rsidR="003558F5" w:rsidRPr="00392A9A" w:rsidRDefault="003558F5" w:rsidP="00F412D6">
      <w:pPr>
        <w:pStyle w:val="Textonotapie"/>
        <w:spacing w:after="60"/>
        <w:rPr>
          <w:sz w:val="16"/>
          <w:szCs w:val="16"/>
          <w:lang w:val="es-CR"/>
        </w:rPr>
      </w:pPr>
      <w:r w:rsidRPr="00CF6765">
        <w:rPr>
          <w:rStyle w:val="Refdenotaalpie"/>
          <w:color w:val="000000"/>
          <w:sz w:val="16"/>
          <w:szCs w:val="16"/>
          <w:lang w:val="en-US"/>
        </w:rPr>
        <w:footnoteRef/>
      </w:r>
      <w:r w:rsidRPr="00392A9A">
        <w:rPr>
          <w:lang w:val="es-CR"/>
        </w:rPr>
        <w:t xml:space="preserve">  </w:t>
      </w:r>
      <w:r w:rsidRPr="00392A9A">
        <w:rPr>
          <w:lang w:val="es-CR"/>
        </w:rPr>
        <w:tab/>
      </w:r>
      <w:r w:rsidRPr="00392A9A">
        <w:rPr>
          <w:i/>
          <w:sz w:val="16"/>
          <w:szCs w:val="16"/>
          <w:lang w:val="es-CR"/>
        </w:rPr>
        <w:t xml:space="preserve">Cf. </w:t>
      </w:r>
      <w:r w:rsidRPr="00392A9A">
        <w:rPr>
          <w:sz w:val="16"/>
          <w:szCs w:val="16"/>
          <w:lang w:val="es-CR"/>
        </w:rPr>
        <w:t xml:space="preserve">UN. CESCR, </w:t>
      </w:r>
      <w:r w:rsidRPr="00392A9A">
        <w:rPr>
          <w:i/>
          <w:sz w:val="16"/>
          <w:szCs w:val="16"/>
          <w:lang w:val="es-CR"/>
        </w:rPr>
        <w:t xml:space="preserve">General </w:t>
      </w:r>
      <w:proofErr w:type="spellStart"/>
      <w:r w:rsidRPr="00392A9A">
        <w:rPr>
          <w:i/>
          <w:sz w:val="16"/>
          <w:szCs w:val="16"/>
          <w:lang w:val="es-CR"/>
        </w:rPr>
        <w:t>Comment</w:t>
      </w:r>
      <w:proofErr w:type="spellEnd"/>
      <w:r w:rsidRPr="00392A9A">
        <w:rPr>
          <w:i/>
          <w:sz w:val="16"/>
          <w:szCs w:val="16"/>
          <w:lang w:val="es-CR"/>
        </w:rPr>
        <w:t xml:space="preserve"> No. 6</w:t>
      </w:r>
      <w:r w:rsidRPr="00392A9A">
        <w:rPr>
          <w:sz w:val="16"/>
          <w:szCs w:val="16"/>
          <w:lang w:val="es-CR"/>
        </w:rPr>
        <w:t xml:space="preserve">, </w:t>
      </w:r>
      <w:r w:rsidRPr="00392A9A">
        <w:rPr>
          <w:i/>
          <w:sz w:val="16"/>
          <w:szCs w:val="16"/>
          <w:lang w:val="es-CR"/>
        </w:rPr>
        <w:t>supra</w:t>
      </w:r>
      <w:r w:rsidRPr="00392A9A">
        <w:rPr>
          <w:sz w:val="16"/>
          <w:szCs w:val="16"/>
          <w:lang w:val="es-CR"/>
        </w:rPr>
        <w:t>.</w:t>
      </w:r>
    </w:p>
  </w:footnote>
  <w:footnote w:id="212">
    <w:p w14:paraId="1997B69D" w14:textId="26A69D55" w:rsidR="003558F5" w:rsidRPr="00392A9A" w:rsidRDefault="003558F5" w:rsidP="00002163">
      <w:pPr>
        <w:pStyle w:val="Textonotapie"/>
        <w:spacing w:after="60"/>
        <w:rPr>
          <w:strike/>
          <w:lang w:val="es-CR"/>
        </w:rPr>
      </w:pPr>
      <w:r w:rsidRPr="00CF6765">
        <w:rPr>
          <w:rStyle w:val="Refdenotaalpie"/>
          <w:color w:val="000000"/>
          <w:sz w:val="16"/>
          <w:szCs w:val="16"/>
          <w:lang w:val="en-US"/>
        </w:rPr>
        <w:footnoteRef/>
      </w:r>
      <w:r w:rsidRPr="00392A9A">
        <w:rPr>
          <w:lang w:val="es-CR"/>
        </w:rPr>
        <w:t xml:space="preserve">  </w:t>
      </w:r>
      <w:r w:rsidRPr="00392A9A">
        <w:rPr>
          <w:lang w:val="es-CR"/>
        </w:rPr>
        <w:tab/>
      </w:r>
      <w:r w:rsidRPr="00392A9A">
        <w:rPr>
          <w:i/>
          <w:sz w:val="16"/>
          <w:szCs w:val="16"/>
          <w:lang w:val="es-CR"/>
        </w:rPr>
        <w:t xml:space="preserve">Cf. </w:t>
      </w:r>
      <w:r w:rsidRPr="00392A9A">
        <w:rPr>
          <w:sz w:val="16"/>
          <w:szCs w:val="16"/>
          <w:lang w:val="es-CR"/>
        </w:rPr>
        <w:t xml:space="preserve">UN. CESCR, </w:t>
      </w:r>
      <w:r w:rsidRPr="00392A9A">
        <w:rPr>
          <w:i/>
          <w:sz w:val="16"/>
          <w:szCs w:val="16"/>
          <w:lang w:val="es-CR"/>
        </w:rPr>
        <w:t xml:space="preserve">General </w:t>
      </w:r>
      <w:proofErr w:type="spellStart"/>
      <w:r w:rsidRPr="00392A9A">
        <w:rPr>
          <w:i/>
          <w:sz w:val="16"/>
          <w:szCs w:val="16"/>
          <w:lang w:val="es-CR"/>
        </w:rPr>
        <w:t>Comment</w:t>
      </w:r>
      <w:proofErr w:type="spellEnd"/>
      <w:r w:rsidRPr="00392A9A">
        <w:rPr>
          <w:i/>
          <w:sz w:val="16"/>
          <w:szCs w:val="16"/>
          <w:lang w:val="es-CR"/>
        </w:rPr>
        <w:t xml:space="preserve"> No. 6</w:t>
      </w:r>
      <w:r w:rsidRPr="00392A9A">
        <w:rPr>
          <w:sz w:val="16"/>
          <w:szCs w:val="16"/>
          <w:lang w:val="es-CR"/>
        </w:rPr>
        <w:t xml:space="preserve">, </w:t>
      </w:r>
      <w:r w:rsidRPr="00392A9A">
        <w:rPr>
          <w:i/>
          <w:sz w:val="16"/>
          <w:szCs w:val="16"/>
          <w:lang w:val="es-CR"/>
        </w:rPr>
        <w:t>supra</w:t>
      </w:r>
      <w:r w:rsidRPr="00392A9A">
        <w:rPr>
          <w:sz w:val="16"/>
          <w:szCs w:val="16"/>
          <w:lang w:val="es-CR"/>
        </w:rPr>
        <w:t>, para. 35.</w:t>
      </w:r>
    </w:p>
  </w:footnote>
  <w:footnote w:id="213">
    <w:p w14:paraId="6C45634C" w14:textId="383C6386" w:rsidR="003558F5" w:rsidRPr="00CF6765" w:rsidRDefault="003558F5" w:rsidP="00002163">
      <w:pPr>
        <w:pStyle w:val="Textonotapie"/>
        <w:spacing w:after="60"/>
        <w:rPr>
          <w:lang w:val="en-US"/>
        </w:rPr>
      </w:pPr>
      <w:r w:rsidRPr="00CF6765">
        <w:rPr>
          <w:rStyle w:val="Refdenotaalpie"/>
          <w:color w:val="000000"/>
          <w:sz w:val="16"/>
          <w:szCs w:val="16"/>
          <w:lang w:val="en-US"/>
        </w:rPr>
        <w:footnoteRef/>
      </w:r>
      <w:r w:rsidRPr="00392A9A">
        <w:rPr>
          <w:rStyle w:val="Refdenotaalpie"/>
          <w:color w:val="000000"/>
          <w:sz w:val="16"/>
          <w:szCs w:val="16"/>
          <w:lang w:val="es-CR"/>
        </w:rPr>
        <w:t xml:space="preserve"> </w:t>
      </w:r>
      <w:r w:rsidRPr="00392A9A">
        <w:rPr>
          <w:color w:val="000000"/>
          <w:sz w:val="16"/>
          <w:szCs w:val="16"/>
          <w:lang w:val="es-CR"/>
        </w:rPr>
        <w:t xml:space="preserve">  </w:t>
      </w:r>
      <w:r w:rsidRPr="00392A9A">
        <w:rPr>
          <w:color w:val="000000"/>
          <w:sz w:val="16"/>
          <w:szCs w:val="16"/>
          <w:lang w:val="es-CR"/>
        </w:rPr>
        <w:tab/>
      </w:r>
      <w:r w:rsidRPr="00392A9A">
        <w:rPr>
          <w:i/>
          <w:color w:val="000000"/>
          <w:sz w:val="16"/>
          <w:szCs w:val="16"/>
          <w:lang w:val="es-CR"/>
        </w:rPr>
        <w:t xml:space="preserve">Cf. </w:t>
      </w:r>
      <w:r w:rsidRPr="00392A9A">
        <w:rPr>
          <w:color w:val="000000"/>
          <w:sz w:val="16"/>
          <w:szCs w:val="16"/>
          <w:lang w:val="es-CR"/>
        </w:rPr>
        <w:t xml:space="preserve">UN. CESCR, </w:t>
      </w:r>
      <w:r w:rsidRPr="00392A9A">
        <w:rPr>
          <w:i/>
          <w:color w:val="000000"/>
          <w:sz w:val="16"/>
          <w:szCs w:val="16"/>
          <w:lang w:val="es-CR"/>
        </w:rPr>
        <w:t xml:space="preserve">General </w:t>
      </w:r>
      <w:proofErr w:type="spellStart"/>
      <w:r w:rsidRPr="00392A9A">
        <w:rPr>
          <w:i/>
          <w:color w:val="000000"/>
          <w:sz w:val="16"/>
          <w:szCs w:val="16"/>
          <w:lang w:val="es-CR"/>
        </w:rPr>
        <w:t>Comment</w:t>
      </w:r>
      <w:proofErr w:type="spellEnd"/>
      <w:r w:rsidRPr="00392A9A">
        <w:rPr>
          <w:i/>
          <w:color w:val="000000"/>
          <w:sz w:val="16"/>
          <w:szCs w:val="16"/>
          <w:lang w:val="es-CR"/>
        </w:rPr>
        <w:t xml:space="preserve"> No. 14</w:t>
      </w:r>
      <w:r w:rsidRPr="00392A9A">
        <w:rPr>
          <w:color w:val="000000"/>
          <w:sz w:val="16"/>
          <w:szCs w:val="16"/>
          <w:lang w:val="es-CR"/>
        </w:rPr>
        <w:t xml:space="preserve">, </w:t>
      </w:r>
      <w:r w:rsidRPr="00392A9A">
        <w:rPr>
          <w:i/>
          <w:color w:val="000000"/>
          <w:sz w:val="16"/>
          <w:szCs w:val="16"/>
          <w:lang w:val="es-CR"/>
        </w:rPr>
        <w:t>supra</w:t>
      </w:r>
      <w:r w:rsidRPr="00392A9A">
        <w:rPr>
          <w:color w:val="000000"/>
          <w:sz w:val="16"/>
          <w:szCs w:val="16"/>
          <w:lang w:val="es-CR"/>
        </w:rPr>
        <w:t xml:space="preserve">, para. </w:t>
      </w:r>
      <w:r w:rsidRPr="00CF6765">
        <w:rPr>
          <w:color w:val="000000"/>
          <w:sz w:val="16"/>
          <w:szCs w:val="16"/>
          <w:lang w:val="en-US"/>
        </w:rPr>
        <w:t>25.</w:t>
      </w:r>
    </w:p>
  </w:footnote>
  <w:footnote w:id="214">
    <w:p w14:paraId="2AF852FD" w14:textId="0388F552" w:rsidR="003558F5" w:rsidRPr="00CF6765" w:rsidRDefault="003558F5" w:rsidP="00002163">
      <w:pPr>
        <w:pStyle w:val="Textonotapie"/>
        <w:spacing w:after="60"/>
        <w:rPr>
          <w:i/>
          <w:color w:val="000000"/>
          <w:sz w:val="16"/>
          <w:szCs w:val="16"/>
          <w:lang w:val="en-US"/>
        </w:rPr>
      </w:pPr>
      <w:r w:rsidRPr="00CF6765">
        <w:rPr>
          <w:rStyle w:val="Refdenotaalpie"/>
          <w:color w:val="000000"/>
          <w:sz w:val="16"/>
          <w:szCs w:val="16"/>
          <w:lang w:val="en-US"/>
        </w:rPr>
        <w:footnoteRef/>
      </w:r>
      <w:r w:rsidRPr="00CF6765">
        <w:rPr>
          <w:rStyle w:val="Refdenotaalpie"/>
          <w:color w:val="000000"/>
          <w:sz w:val="16"/>
          <w:szCs w:val="16"/>
          <w:lang w:val="en-US"/>
        </w:rPr>
        <w:t xml:space="preserve"> </w:t>
      </w:r>
      <w:r w:rsidRPr="00CF6765">
        <w:rPr>
          <w:color w:val="000000"/>
          <w:sz w:val="16"/>
          <w:szCs w:val="16"/>
          <w:lang w:val="en-US"/>
        </w:rPr>
        <w:t xml:space="preserve">   </w:t>
      </w:r>
      <w:r w:rsidRPr="00CF6765">
        <w:rPr>
          <w:color w:val="000000"/>
          <w:sz w:val="16"/>
          <w:szCs w:val="16"/>
          <w:lang w:val="en-US"/>
        </w:rPr>
        <w:tab/>
      </w:r>
      <w:r w:rsidRPr="00CF6765">
        <w:rPr>
          <w:i/>
          <w:color w:val="000000"/>
          <w:sz w:val="16"/>
          <w:szCs w:val="16"/>
          <w:lang w:val="en-US"/>
        </w:rPr>
        <w:t xml:space="preserve">Cf. </w:t>
      </w:r>
      <w:r w:rsidRPr="00CF6765">
        <w:rPr>
          <w:color w:val="000000"/>
          <w:sz w:val="16"/>
          <w:szCs w:val="16"/>
          <w:lang w:val="en-US"/>
        </w:rPr>
        <w:t xml:space="preserve">ECHR, </w:t>
      </w:r>
      <w:r w:rsidRPr="00CF6765">
        <w:rPr>
          <w:i/>
          <w:color w:val="000000"/>
          <w:sz w:val="16"/>
          <w:szCs w:val="16"/>
          <w:lang w:val="en-US"/>
        </w:rPr>
        <w:t xml:space="preserve">Case of </w:t>
      </w:r>
      <w:proofErr w:type="spellStart"/>
      <w:r w:rsidRPr="00CF6765">
        <w:rPr>
          <w:i/>
          <w:color w:val="000000"/>
          <w:sz w:val="16"/>
          <w:szCs w:val="16"/>
          <w:lang w:val="en-US"/>
        </w:rPr>
        <w:t>Sawoniuk</w:t>
      </w:r>
      <w:proofErr w:type="spellEnd"/>
      <w:r w:rsidRPr="00CF6765">
        <w:rPr>
          <w:i/>
          <w:color w:val="000000"/>
          <w:sz w:val="16"/>
          <w:szCs w:val="16"/>
          <w:lang w:val="en-US"/>
        </w:rPr>
        <w:t xml:space="preserve"> v. The United Kingdom, </w:t>
      </w:r>
      <w:r w:rsidRPr="00CF6765">
        <w:rPr>
          <w:color w:val="000000"/>
          <w:sz w:val="16"/>
          <w:szCs w:val="16"/>
          <w:lang w:val="en-US"/>
        </w:rPr>
        <w:t>No. 63716/00. Judgment of May 20, 2001;</w:t>
      </w:r>
      <w:r w:rsidRPr="00CF6765">
        <w:rPr>
          <w:color w:val="000000"/>
          <w:sz w:val="16"/>
          <w:szCs w:val="16"/>
          <w:lang w:val="en-US" w:eastAsia="es-CR"/>
        </w:rPr>
        <w:t xml:space="preserve"> </w:t>
      </w:r>
      <w:r w:rsidRPr="00CF6765">
        <w:rPr>
          <w:i/>
          <w:color w:val="000000"/>
          <w:sz w:val="16"/>
          <w:szCs w:val="16"/>
          <w:lang w:val="en-US"/>
        </w:rPr>
        <w:t xml:space="preserve">Case of </w:t>
      </w:r>
      <w:proofErr w:type="spellStart"/>
      <w:r w:rsidRPr="00CF6765">
        <w:rPr>
          <w:i/>
          <w:color w:val="000000"/>
          <w:sz w:val="16"/>
          <w:szCs w:val="16"/>
          <w:lang w:val="en-US"/>
        </w:rPr>
        <w:t>Farbtuhs</w:t>
      </w:r>
      <w:proofErr w:type="spellEnd"/>
      <w:r w:rsidRPr="00CF6765">
        <w:rPr>
          <w:i/>
          <w:color w:val="000000"/>
          <w:sz w:val="16"/>
          <w:szCs w:val="16"/>
          <w:lang w:val="en-US"/>
        </w:rPr>
        <w:t xml:space="preserve"> v. Latvia (Just satisfaction), </w:t>
      </w:r>
      <w:r w:rsidRPr="00CF6765">
        <w:rPr>
          <w:color w:val="000000"/>
          <w:sz w:val="16"/>
          <w:szCs w:val="16"/>
          <w:lang w:val="en-US"/>
        </w:rPr>
        <w:t xml:space="preserve">No. 4672/02. Judgment of December 2, 2004, and </w:t>
      </w:r>
      <w:r w:rsidRPr="00CF6765">
        <w:rPr>
          <w:i/>
          <w:color w:val="000000"/>
          <w:sz w:val="16"/>
          <w:szCs w:val="16"/>
          <w:lang w:val="en-US"/>
        </w:rPr>
        <w:t xml:space="preserve">Case of </w:t>
      </w:r>
      <w:proofErr w:type="spellStart"/>
      <w:r w:rsidRPr="00CF6765">
        <w:rPr>
          <w:i/>
          <w:color w:val="000000"/>
          <w:sz w:val="16"/>
          <w:szCs w:val="16"/>
          <w:lang w:val="en-US"/>
        </w:rPr>
        <w:t>Dodov</w:t>
      </w:r>
      <w:proofErr w:type="spellEnd"/>
      <w:r w:rsidRPr="00CF6765">
        <w:rPr>
          <w:i/>
          <w:color w:val="000000"/>
          <w:sz w:val="16"/>
          <w:szCs w:val="16"/>
          <w:lang w:val="en-US"/>
        </w:rPr>
        <w:t xml:space="preserve"> v. Bulgaria</w:t>
      </w:r>
      <w:r w:rsidRPr="00CF6765">
        <w:rPr>
          <w:color w:val="000000"/>
          <w:sz w:val="16"/>
          <w:szCs w:val="16"/>
          <w:lang w:val="en-US"/>
        </w:rPr>
        <w:t xml:space="preserve">, No. 59548/00. Judgment of January 17, 2008, paras. 80 and 81. </w:t>
      </w:r>
    </w:p>
  </w:footnote>
  <w:footnote w:id="215">
    <w:p w14:paraId="03345A44" w14:textId="6DC9FF16"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rStyle w:val="Refdenotaalpie"/>
          <w:color w:val="000000"/>
          <w:sz w:val="16"/>
          <w:szCs w:val="16"/>
          <w:lang w:val="en-US"/>
        </w:rPr>
        <w:t xml:space="preserve"> </w:t>
      </w:r>
      <w:r w:rsidRPr="00CF6765">
        <w:rPr>
          <w:sz w:val="16"/>
          <w:szCs w:val="16"/>
          <w:lang w:val="en-US"/>
        </w:rPr>
        <w:tab/>
        <w:t xml:space="preserve">For example: Constitutional Court of Colombia. Judgment T-149 of March 1, 2002: “The scarcity of resources is not an argument that is constitutionally admissible to deny basic health care to individuals in a situation of evident vulnerability such as older persons […]. There is an obligation to provide special protection to the older person” […]; Judgment T-056 of February 12, 2015: “In relation to right to health of those who form part of a group that is subject to special protection, it is necessary to consider that, pursuant to the Constitution, greater effort is required to comply with the obligations of protection and guarantee by the authorities and by private individuals when treating their illnesses or health problems. Beneficiaries of such measures include […] older persons […] because older persons have the right to increased protection in relation to health, and health-care facilities are obliged to provide them with the medical care they require […]. Indeed, the increased protection is implemented with the guarantee of the continuing, permanent and effective health services that the user requires, which means, if necessary, the provision of medicines, inputs or services excluded from the Compulsory Health Plan.” Supreme Court of Justice of Costa Rica. Constitutional Chamber. Case file: 15-016089-0007-CO. Res. No: 2015017512. Judgment of November 6, 2015; Case file: 15-001311-0007-CO. Res. No: 2015002392. Judgment of February 20, 2015, and Case file: 15-015890-0007-CO. Res. No: 2015018610. Judgment of November 27, 2015. </w:t>
      </w:r>
    </w:p>
    <w:p w14:paraId="24261FBF" w14:textId="52E76A0D" w:rsidR="003558F5" w:rsidRPr="00CF6765" w:rsidRDefault="003558F5" w:rsidP="00002163">
      <w:pPr>
        <w:pStyle w:val="Textonotapie"/>
        <w:spacing w:after="60"/>
        <w:rPr>
          <w:sz w:val="16"/>
          <w:szCs w:val="16"/>
          <w:lang w:val="en-US"/>
        </w:rPr>
      </w:pPr>
      <w:r w:rsidRPr="00CF6765">
        <w:rPr>
          <w:i/>
          <w:sz w:val="16"/>
          <w:szCs w:val="16"/>
          <w:lang w:val="en-US"/>
        </w:rPr>
        <w:t>Cf.</w:t>
      </w:r>
      <w:r w:rsidRPr="00CF6765">
        <w:rPr>
          <w:sz w:val="16"/>
          <w:szCs w:val="16"/>
          <w:lang w:val="en-US"/>
        </w:rPr>
        <w:t xml:space="preserve"> </w:t>
      </w:r>
      <w:r w:rsidRPr="00CF6765">
        <w:rPr>
          <w:i/>
          <w:sz w:val="16"/>
          <w:szCs w:val="16"/>
          <w:lang w:val="en-US"/>
        </w:rPr>
        <w:t xml:space="preserve">Mutatis </w:t>
      </w:r>
      <w:proofErr w:type="spellStart"/>
      <w:r w:rsidRPr="00CF6765">
        <w:rPr>
          <w:i/>
          <w:sz w:val="16"/>
          <w:szCs w:val="16"/>
          <w:lang w:val="en-US"/>
        </w:rPr>
        <w:t>mutandi</w:t>
      </w:r>
      <w:proofErr w:type="spellEnd"/>
      <w:r w:rsidRPr="00CF6765">
        <w:rPr>
          <w:sz w:val="16"/>
          <w:szCs w:val="16"/>
          <w:lang w:val="en-US"/>
        </w:rPr>
        <w:t>, Constitutional Court of Colombia, Judgment T-716/17. In this case, when ruling on the protection of the minimum subsistence for an older person who was eliminated from the “Colombia Mayor’ assistance program, the Constitutional Court ordered that his real conditions of vulnerability be verified in order to determine the effects of the measure. Also, similar cases include: Judgment T- 010/17; Judgment T-025/16, and Judgment T-348/09, in which that Court emphasized that “owing to the reduction in physical abilities, the reduction in life expectancy, and the greater effects on their health [older persons] constitute one of the groups that are subject to special constitutional protection.”</w:t>
      </w:r>
    </w:p>
    <w:p w14:paraId="434C97A6" w14:textId="073F2527" w:rsidR="003558F5" w:rsidRPr="00CF6765" w:rsidRDefault="003558F5" w:rsidP="00002163">
      <w:pPr>
        <w:pStyle w:val="Textonotapie"/>
        <w:spacing w:after="60"/>
        <w:rPr>
          <w:sz w:val="16"/>
          <w:szCs w:val="16"/>
          <w:lang w:val="en-US"/>
        </w:rPr>
      </w:pPr>
      <w:r w:rsidRPr="00CF6765">
        <w:rPr>
          <w:i/>
          <w:sz w:val="16"/>
          <w:szCs w:val="16"/>
          <w:lang w:val="en-US"/>
        </w:rPr>
        <w:t>Cf.</w:t>
      </w:r>
      <w:r w:rsidRPr="00CF6765">
        <w:rPr>
          <w:sz w:val="16"/>
          <w:szCs w:val="16"/>
          <w:lang w:val="en-US"/>
        </w:rPr>
        <w:t xml:space="preserve"> Supreme Court of Justice of the Nation Argentina. Ruling: 329:1638. Judgment of May 16, 2006. </w:t>
      </w:r>
    </w:p>
    <w:p w14:paraId="323E3348" w14:textId="726417E4" w:rsidR="003558F5" w:rsidRPr="00CF6765" w:rsidRDefault="003558F5" w:rsidP="00002163">
      <w:pPr>
        <w:pStyle w:val="Textonotapie"/>
        <w:spacing w:after="60"/>
        <w:rPr>
          <w:sz w:val="16"/>
          <w:szCs w:val="16"/>
          <w:lang w:val="en-US"/>
        </w:rPr>
      </w:pPr>
      <w:r w:rsidRPr="00CF6765">
        <w:rPr>
          <w:sz w:val="16"/>
          <w:szCs w:val="16"/>
          <w:lang w:val="en-US"/>
        </w:rPr>
        <w:t>Meanwhile, in Mexico, the First Chamber of the Supreme Court of Justice of the Nation, in the judgment on the review of a direct amparo No. 1399/2013, determined that older persons “owing to [their] vulnerability merit special protection, and this is increased by the fact that international instruments and modern legal systems have been establishing guidelines [for their] protection, to improve their situation within the social fabric, and it is intended to achieve this by ensuring the right to: […] iii) non-discrimination in employment, access to housing, health care and social services; (iv) health services” […].</w:t>
      </w:r>
      <w:r w:rsidRPr="00CF6765">
        <w:rPr>
          <w:i/>
          <w:sz w:val="16"/>
          <w:szCs w:val="16"/>
          <w:lang w:val="en-US"/>
        </w:rPr>
        <w:t xml:space="preserve">  Cf. </w:t>
      </w:r>
      <w:r w:rsidRPr="00CF6765">
        <w:rPr>
          <w:sz w:val="16"/>
          <w:szCs w:val="16"/>
          <w:lang w:val="en-US"/>
        </w:rPr>
        <w:t>Supreme Court of Justice of the Nation (Mexico), Ruling 1. CXXXIV/2016, Tenth period. Book 29, Volume II, April 2016.</w:t>
      </w:r>
    </w:p>
  </w:footnote>
  <w:footnote w:id="216">
    <w:p w14:paraId="17422215" w14:textId="6A629AB7" w:rsidR="003558F5" w:rsidRPr="00CF6765" w:rsidRDefault="003558F5" w:rsidP="00643F52">
      <w:pPr>
        <w:autoSpaceDE w:val="0"/>
        <w:autoSpaceDN w:val="0"/>
        <w:adjustRightInd w:val="0"/>
        <w:spacing w:after="100" w:line="191" w:lineRule="atLeast"/>
        <w:rPr>
          <w:rFonts w:eastAsiaTheme="minorHAnsi" w:cs="Arial"/>
          <w:color w:val="000000"/>
          <w:sz w:val="16"/>
          <w:szCs w:val="16"/>
          <w:lang w:val="en-US"/>
        </w:rPr>
      </w:pPr>
      <w:r w:rsidRPr="00CF6765">
        <w:rPr>
          <w:rStyle w:val="Refdenotaalpie"/>
          <w:color w:val="000000"/>
          <w:sz w:val="16"/>
          <w:szCs w:val="16"/>
          <w:lang w:val="en-US"/>
        </w:rPr>
        <w:footnoteRef/>
      </w:r>
      <w:r w:rsidRPr="00CF6765">
        <w:rPr>
          <w:lang w:val="en-US"/>
        </w:rPr>
        <w:t xml:space="preserve"> </w:t>
      </w:r>
      <w:r w:rsidRPr="00CF6765">
        <w:rPr>
          <w:lang w:val="en-US"/>
        </w:rPr>
        <w:tab/>
      </w:r>
      <w:r w:rsidRPr="00CF6765">
        <w:rPr>
          <w:i/>
          <w:sz w:val="16"/>
          <w:szCs w:val="16"/>
          <w:lang w:val="en-US"/>
        </w:rPr>
        <w:t>Cf.</w:t>
      </w:r>
      <w:r w:rsidRPr="00CF6765">
        <w:rPr>
          <w:sz w:val="16"/>
          <w:szCs w:val="16"/>
          <w:lang w:val="en-US"/>
        </w:rPr>
        <w:t xml:space="preserve"> </w:t>
      </w:r>
      <w:r w:rsidRPr="00CF6765">
        <w:rPr>
          <w:sz w:val="16"/>
          <w:lang w:val="en-US"/>
        </w:rPr>
        <w:t xml:space="preserve">UN. United Nations High Commissioner for Human Rights, </w:t>
      </w:r>
      <w:r w:rsidRPr="00CF6765">
        <w:rPr>
          <w:i/>
          <w:sz w:val="16"/>
          <w:lang w:val="en-US"/>
        </w:rPr>
        <w:t xml:space="preserve">“Normative standards in international human rights law in relation to older persons,” </w:t>
      </w:r>
      <w:r w:rsidRPr="00CF6765">
        <w:rPr>
          <w:iCs/>
          <w:sz w:val="16"/>
          <w:lang w:val="en-US"/>
        </w:rPr>
        <w:t xml:space="preserve">Analytical Outcome Paper, August 2012. In this regard, the Special Rapporteur underlines that “the ageing world’s most important challenge was to ensure the enjoyment of human rights of older persons, and this made it essential to take measures to eradicate discrimination and exclusion. </w:t>
      </w:r>
      <w:r w:rsidRPr="00CF6765">
        <w:rPr>
          <w:sz w:val="16"/>
          <w:szCs w:val="16"/>
          <w:lang w:val="en-US"/>
        </w:rPr>
        <w:t>Thematic study on the realization of the right to health of older persons by the Special Rapporteur on the right of everyone to the enjoyment of the highest attainable standard of physical and mental health, Anand Grover,</w:t>
      </w:r>
      <w:r w:rsidRPr="00CF6765">
        <w:rPr>
          <w:iCs/>
          <w:sz w:val="16"/>
          <w:lang w:val="en-US"/>
        </w:rPr>
        <w:t xml:space="preserve"> </w:t>
      </w:r>
      <w:r w:rsidRPr="00CF6765">
        <w:rPr>
          <w:sz w:val="16"/>
          <w:lang w:val="en-US"/>
        </w:rPr>
        <w:t xml:space="preserve">A/HRC/18/37, July 4, 2011, para. 9.  </w:t>
      </w:r>
    </w:p>
  </w:footnote>
  <w:footnote w:id="217">
    <w:p w14:paraId="5F2239B2" w14:textId="4885FF41" w:rsidR="003558F5" w:rsidRPr="00CF6765" w:rsidRDefault="003558F5" w:rsidP="00002163">
      <w:pPr>
        <w:pStyle w:val="Textonotapie"/>
        <w:spacing w:after="60"/>
        <w:rPr>
          <w:lang w:val="en-US"/>
        </w:rPr>
      </w:pPr>
      <w:r w:rsidRPr="00CF6765">
        <w:rPr>
          <w:rStyle w:val="Refdenotaalpie"/>
          <w:color w:val="000000"/>
          <w:sz w:val="16"/>
          <w:szCs w:val="16"/>
          <w:lang w:val="en-US"/>
        </w:rPr>
        <w:footnoteRef/>
      </w:r>
      <w:r w:rsidRPr="00CF6765">
        <w:rPr>
          <w:lang w:val="en-US"/>
        </w:rPr>
        <w:t xml:space="preserve"> </w:t>
      </w:r>
      <w:r w:rsidRPr="00CF6765">
        <w:rPr>
          <w:lang w:val="en-US"/>
        </w:rPr>
        <w:tab/>
      </w:r>
      <w:r w:rsidRPr="00CF6765">
        <w:rPr>
          <w:i/>
          <w:sz w:val="16"/>
          <w:szCs w:val="16"/>
          <w:lang w:val="en-US"/>
        </w:rPr>
        <w:t xml:space="preserve">Cf. </w:t>
      </w:r>
      <w:r w:rsidRPr="00CF6765">
        <w:rPr>
          <w:sz w:val="16"/>
          <w:lang w:val="en-US"/>
        </w:rPr>
        <w:t>WHO,</w:t>
      </w:r>
      <w:r w:rsidRPr="00CF6765">
        <w:rPr>
          <w:i/>
          <w:sz w:val="16"/>
          <w:lang w:val="en-US"/>
        </w:rPr>
        <w:t xml:space="preserve"> “Social Development and Ageing: Crisis or Opportunity.”</w:t>
      </w:r>
      <w:r w:rsidRPr="00CF6765">
        <w:rPr>
          <w:sz w:val="16"/>
          <w:lang w:val="en-US"/>
        </w:rPr>
        <w:t xml:space="preserve"> Special panel at Geneva 2000, p. 4, and UN. CESCR, </w:t>
      </w:r>
      <w:r w:rsidRPr="00CF6765">
        <w:rPr>
          <w:i/>
          <w:sz w:val="16"/>
          <w:lang w:val="en-US"/>
        </w:rPr>
        <w:t>GC- 6</w:t>
      </w:r>
      <w:r w:rsidRPr="00CF6765">
        <w:rPr>
          <w:sz w:val="16"/>
          <w:lang w:val="en-US"/>
        </w:rPr>
        <w:t xml:space="preserve">, </w:t>
      </w:r>
      <w:r w:rsidRPr="00CF6765">
        <w:rPr>
          <w:i/>
          <w:sz w:val="16"/>
          <w:lang w:val="en-US"/>
        </w:rPr>
        <w:t>supra</w:t>
      </w:r>
      <w:r w:rsidRPr="00CF6765">
        <w:rPr>
          <w:sz w:val="16"/>
          <w:lang w:val="en-US"/>
        </w:rPr>
        <w:t>, para. 1.</w:t>
      </w:r>
    </w:p>
  </w:footnote>
  <w:footnote w:id="218">
    <w:p w14:paraId="3F0C591A" w14:textId="6A5434F0"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lang w:val="en-US"/>
        </w:rPr>
        <w:t xml:space="preserve"> </w:t>
      </w:r>
      <w:r w:rsidRPr="00CF6765">
        <w:rPr>
          <w:lang w:val="en-US"/>
        </w:rPr>
        <w:tab/>
      </w:r>
      <w:r w:rsidRPr="00CF6765">
        <w:rPr>
          <w:i/>
          <w:sz w:val="16"/>
          <w:szCs w:val="16"/>
          <w:lang w:val="en-US"/>
        </w:rPr>
        <w:t xml:space="preserve">Cf. </w:t>
      </w:r>
      <w:r w:rsidRPr="00CF6765">
        <w:rPr>
          <w:sz w:val="16"/>
          <w:szCs w:val="16"/>
          <w:lang w:val="en-US"/>
        </w:rPr>
        <w:t xml:space="preserve">UN Population Division, </w:t>
      </w:r>
      <w:r w:rsidRPr="00CF6765">
        <w:rPr>
          <w:i/>
          <w:sz w:val="16"/>
          <w:szCs w:val="16"/>
          <w:lang w:val="en-US"/>
        </w:rPr>
        <w:t>“World Population Prospects: The 2015 Revision, Key Findings and Advance Tables”</w:t>
      </w:r>
      <w:r w:rsidRPr="00CF6765">
        <w:rPr>
          <w:sz w:val="16"/>
          <w:szCs w:val="16"/>
          <w:lang w:val="en-US"/>
        </w:rPr>
        <w:t xml:space="preserve">, Working Paper, No. 241. ESA/P/WP.241, 2015. Available at: </w:t>
      </w:r>
      <w:hyperlink r:id="rId9" w:history="1">
        <w:r w:rsidRPr="00CF6765">
          <w:rPr>
            <w:rStyle w:val="Hipervnculo"/>
            <w:sz w:val="16"/>
            <w:szCs w:val="16"/>
            <w:lang w:val="en-US"/>
          </w:rPr>
          <w:t>http://esa.un.org/unpd/wpp/</w:t>
        </w:r>
      </w:hyperlink>
      <w:r w:rsidRPr="00CF6765">
        <w:rPr>
          <w:rStyle w:val="Hipervnculo"/>
          <w:sz w:val="16"/>
          <w:szCs w:val="16"/>
          <w:lang w:val="en-US"/>
        </w:rPr>
        <w:t>.</w:t>
      </w:r>
      <w:r w:rsidRPr="00CF6765">
        <w:rPr>
          <w:sz w:val="16"/>
          <w:szCs w:val="16"/>
          <w:lang w:val="en-US"/>
        </w:rPr>
        <w:t xml:space="preserve"> Also: UN. ECLAC, </w:t>
      </w:r>
      <w:r w:rsidRPr="00CF6765">
        <w:rPr>
          <w:i/>
          <w:sz w:val="16"/>
          <w:szCs w:val="16"/>
          <w:lang w:val="en-US"/>
        </w:rPr>
        <w:t>“Challenges to the autonomy and interdependent rights of older persons,”</w:t>
      </w:r>
      <w:r w:rsidRPr="00CF6765">
        <w:rPr>
          <w:sz w:val="16"/>
          <w:szCs w:val="16"/>
          <w:lang w:val="en-US"/>
        </w:rPr>
        <w:t xml:space="preserve"> LC/CRE.4/3, 2017, pp. 15 to 50.</w:t>
      </w:r>
    </w:p>
  </w:footnote>
  <w:footnote w:id="219">
    <w:p w14:paraId="57C30273" w14:textId="756BA1C9" w:rsidR="003558F5" w:rsidRPr="00CF6765" w:rsidRDefault="003558F5" w:rsidP="00002163">
      <w:pPr>
        <w:pStyle w:val="Textonotapie"/>
        <w:spacing w:after="60"/>
        <w:rPr>
          <w:lang w:val="en-US"/>
        </w:rPr>
      </w:pPr>
      <w:r w:rsidRPr="00CF6765">
        <w:rPr>
          <w:rStyle w:val="Refdenotaalpie"/>
          <w:rFonts w:eastAsia="Calibri"/>
          <w:sz w:val="16"/>
          <w:lang w:val="en-US" w:eastAsia="en-US"/>
        </w:rPr>
        <w:footnoteRef/>
      </w:r>
      <w:r w:rsidRPr="00CF6765">
        <w:rPr>
          <w:lang w:val="en-US"/>
        </w:rPr>
        <w:t xml:space="preserve"> </w:t>
      </w:r>
      <w:r w:rsidRPr="00CF6765">
        <w:rPr>
          <w:lang w:val="en-US"/>
        </w:rPr>
        <w:tab/>
      </w:r>
      <w:r w:rsidRPr="00CF6765">
        <w:rPr>
          <w:sz w:val="16"/>
          <w:lang w:val="en-US"/>
        </w:rPr>
        <w:t>Opinion of expert witness, Dr. Javier Alejandro Santos, specialist in geriatrics and gerontology, before the Court during the public hearing of the</w:t>
      </w:r>
      <w:r w:rsidRPr="00CF6765">
        <w:rPr>
          <w:i/>
          <w:sz w:val="16"/>
          <w:lang w:val="en-US"/>
        </w:rPr>
        <w:t xml:space="preserve"> Case of Poblete </w:t>
      </w:r>
      <w:proofErr w:type="spellStart"/>
      <w:r w:rsidRPr="00CF6765">
        <w:rPr>
          <w:i/>
          <w:sz w:val="16"/>
          <w:lang w:val="en-US"/>
        </w:rPr>
        <w:t>Vilches</w:t>
      </w:r>
      <w:proofErr w:type="spellEnd"/>
      <w:r w:rsidRPr="00CF6765">
        <w:rPr>
          <w:i/>
          <w:sz w:val="16"/>
          <w:lang w:val="en-US"/>
        </w:rPr>
        <w:t xml:space="preserve"> v. Chile</w:t>
      </w:r>
      <w:r w:rsidRPr="00CF6765">
        <w:rPr>
          <w:sz w:val="16"/>
          <w:lang w:val="en-US"/>
        </w:rPr>
        <w:t>, on October 19, 2017 (transcript of public hearing, p. 96).</w:t>
      </w:r>
    </w:p>
  </w:footnote>
  <w:footnote w:id="220">
    <w:p w14:paraId="6F41E4F8" w14:textId="0BEFA151" w:rsidR="003558F5" w:rsidRPr="00CF6765" w:rsidRDefault="003558F5" w:rsidP="00002163">
      <w:pPr>
        <w:pStyle w:val="Textonotapie"/>
        <w:spacing w:after="60"/>
        <w:rPr>
          <w:lang w:val="en-US"/>
        </w:rPr>
      </w:pPr>
      <w:r w:rsidRPr="00CF6765">
        <w:rPr>
          <w:rStyle w:val="Refdenotaalpie"/>
          <w:color w:val="000000"/>
          <w:sz w:val="16"/>
          <w:szCs w:val="16"/>
          <w:lang w:val="en-US"/>
        </w:rPr>
        <w:footnoteRef/>
      </w:r>
      <w:r w:rsidRPr="00CF6765">
        <w:rPr>
          <w:lang w:val="en-US"/>
        </w:rPr>
        <w:t xml:space="preserve"> </w:t>
      </w:r>
      <w:r w:rsidRPr="00CF6765">
        <w:rPr>
          <w:lang w:val="en-US"/>
        </w:rPr>
        <w:tab/>
      </w:r>
      <w:r w:rsidRPr="00CF6765">
        <w:rPr>
          <w:sz w:val="16"/>
          <w:lang w:val="en-US"/>
        </w:rPr>
        <w:t xml:space="preserve">Opinion of expert witness, Dr. Javier Alejandro Santos, </w:t>
      </w:r>
      <w:r w:rsidRPr="00CF6765">
        <w:rPr>
          <w:i/>
          <w:sz w:val="16"/>
          <w:lang w:val="en-US"/>
        </w:rPr>
        <w:t>supra</w:t>
      </w:r>
      <w:r w:rsidRPr="00CF6765">
        <w:rPr>
          <w:sz w:val="16"/>
          <w:lang w:val="en-US"/>
        </w:rPr>
        <w:t xml:space="preserve">, pp. 55 and 60. </w:t>
      </w:r>
    </w:p>
  </w:footnote>
  <w:footnote w:id="221">
    <w:p w14:paraId="53C17210" w14:textId="78B73F3D"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rStyle w:val="Refdenotaalpie"/>
          <w:sz w:val="16"/>
          <w:szCs w:val="16"/>
          <w:lang w:val="en-US"/>
        </w:rPr>
        <w:t xml:space="preserve"> </w:t>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Document supplementing the opinion of expert witness Alicia Ely </w:t>
      </w:r>
      <w:proofErr w:type="spellStart"/>
      <w:r w:rsidRPr="00CF6765">
        <w:rPr>
          <w:sz w:val="16"/>
          <w:szCs w:val="16"/>
          <w:lang w:val="en-US"/>
        </w:rPr>
        <w:t>Yemin</w:t>
      </w:r>
      <w:proofErr w:type="spellEnd"/>
      <w:r w:rsidRPr="00CF6765">
        <w:rPr>
          <w:sz w:val="16"/>
          <w:szCs w:val="16"/>
          <w:lang w:val="en-US"/>
        </w:rPr>
        <w:t xml:space="preserve">, </w:t>
      </w:r>
      <w:r w:rsidRPr="00CF6765">
        <w:rPr>
          <w:i/>
          <w:sz w:val="16"/>
          <w:szCs w:val="16"/>
          <w:lang w:val="en-US"/>
        </w:rPr>
        <w:t>supra</w:t>
      </w:r>
      <w:r w:rsidRPr="00CF6765">
        <w:rPr>
          <w:sz w:val="16"/>
          <w:szCs w:val="16"/>
          <w:lang w:val="en-US"/>
        </w:rPr>
        <w:t xml:space="preserve"> (merits file, f. 762). In it, the expert emphasized that “[…] the power imbalance in the relationship between doctor and patient may be exacerbated by the power imbalances that have historically contributed to marginalization, exclusion and/or discrimination against vulnerable groups owing to their social or economic status or situation. These structural power relationships have the potential to reinforce the position of the patient as dependent and subordinate, rather than a human being with autonomy and dignity […].”  See also, </w:t>
      </w:r>
      <w:r w:rsidRPr="00CF6765">
        <w:rPr>
          <w:rStyle w:val="Textoennegrita"/>
          <w:b w:val="0"/>
          <w:i/>
          <w:color w:val="000000"/>
          <w:sz w:val="16"/>
          <w:szCs w:val="16"/>
          <w:shd w:val="clear" w:color="auto" w:fill="FFFFFF"/>
          <w:lang w:val="en-US"/>
        </w:rPr>
        <w:t xml:space="preserve">Case of I.V. v. Bolivia, Preliminary objections, merits, reparations and costs. </w:t>
      </w:r>
      <w:r w:rsidRPr="00CF6765">
        <w:rPr>
          <w:rStyle w:val="Textoennegrita"/>
          <w:b w:val="0"/>
          <w:iCs/>
          <w:color w:val="000000"/>
          <w:sz w:val="16"/>
          <w:szCs w:val="16"/>
          <w:shd w:val="clear" w:color="auto" w:fill="FFFFFF"/>
          <w:lang w:val="en-US"/>
        </w:rPr>
        <w:t>Judgement of November 30, 2016. Series C No. 329</w:t>
      </w:r>
      <w:r w:rsidRPr="00CF6765">
        <w:rPr>
          <w:rStyle w:val="Textoennegrita"/>
          <w:b w:val="0"/>
          <w:i/>
          <w:color w:val="000000"/>
          <w:sz w:val="16"/>
          <w:szCs w:val="16"/>
          <w:shd w:val="clear" w:color="auto" w:fill="FFFFFF"/>
          <w:lang w:val="en-US"/>
        </w:rPr>
        <w:t xml:space="preserve">, </w:t>
      </w:r>
      <w:r w:rsidRPr="00CF6765">
        <w:rPr>
          <w:rStyle w:val="Textoennegrita"/>
          <w:b w:val="0"/>
          <w:color w:val="000000"/>
          <w:sz w:val="16"/>
          <w:szCs w:val="16"/>
          <w:shd w:val="clear" w:color="auto" w:fill="FFFFFF"/>
          <w:lang w:val="en-US"/>
        </w:rPr>
        <w:t>para. 160.</w:t>
      </w:r>
    </w:p>
  </w:footnote>
  <w:footnote w:id="222">
    <w:p w14:paraId="3F41BD5C" w14:textId="1992850E" w:rsidR="003558F5" w:rsidRPr="00CF6765" w:rsidRDefault="003558F5" w:rsidP="00002163">
      <w:pPr>
        <w:pStyle w:val="Textonotapie"/>
        <w:spacing w:after="60"/>
        <w:rPr>
          <w:sz w:val="16"/>
          <w:szCs w:val="16"/>
          <w:lang w:val="en-US"/>
        </w:rPr>
      </w:pPr>
      <w:r w:rsidRPr="00CF6765">
        <w:rPr>
          <w:rStyle w:val="Refdenotaalpie"/>
          <w:color w:val="000000"/>
          <w:sz w:val="16"/>
          <w:szCs w:val="16"/>
          <w:lang w:val="en-US"/>
        </w:rPr>
        <w:footnoteRef/>
      </w:r>
      <w:r w:rsidRPr="00CF6765">
        <w:rPr>
          <w:lang w:val="en-US"/>
        </w:rPr>
        <w:t xml:space="preserve">   </w:t>
      </w:r>
      <w:r w:rsidRPr="00CF6765">
        <w:rPr>
          <w:lang w:val="en-US"/>
        </w:rPr>
        <w:tab/>
      </w:r>
      <w:r w:rsidRPr="00CF6765">
        <w:rPr>
          <w:i/>
          <w:sz w:val="16"/>
          <w:szCs w:val="16"/>
          <w:lang w:val="en-US"/>
        </w:rPr>
        <w:t xml:space="preserve">Cf. </w:t>
      </w:r>
      <w:r w:rsidRPr="00CF6765">
        <w:rPr>
          <w:sz w:val="16"/>
          <w:szCs w:val="16"/>
          <w:lang w:val="en-US"/>
        </w:rPr>
        <w:t xml:space="preserve">MERCOSUR. Permanent Commission on Older Persons, </w:t>
      </w:r>
      <w:r w:rsidRPr="00CF6765">
        <w:rPr>
          <w:i/>
          <w:sz w:val="16"/>
          <w:szCs w:val="16"/>
          <w:lang w:val="en-US"/>
        </w:rPr>
        <w:t>“</w:t>
      </w:r>
      <w:proofErr w:type="spellStart"/>
      <w:r w:rsidRPr="00CF6765">
        <w:rPr>
          <w:i/>
          <w:sz w:val="16"/>
          <w:szCs w:val="16"/>
          <w:lang w:val="en-US"/>
        </w:rPr>
        <w:t>Campaña</w:t>
      </w:r>
      <w:proofErr w:type="spellEnd"/>
      <w:r w:rsidRPr="00CF6765">
        <w:rPr>
          <w:i/>
          <w:sz w:val="16"/>
          <w:szCs w:val="16"/>
          <w:lang w:val="en-US"/>
        </w:rPr>
        <w:t xml:space="preserve"> Regional: </w:t>
      </w:r>
      <w:proofErr w:type="spellStart"/>
      <w:r w:rsidRPr="00CF6765">
        <w:rPr>
          <w:i/>
          <w:sz w:val="16"/>
          <w:szCs w:val="16"/>
          <w:lang w:val="en-US"/>
        </w:rPr>
        <w:t>Vivir</w:t>
      </w:r>
      <w:proofErr w:type="spellEnd"/>
      <w:r w:rsidRPr="00CF6765">
        <w:rPr>
          <w:i/>
          <w:sz w:val="16"/>
          <w:szCs w:val="16"/>
          <w:lang w:val="en-US"/>
        </w:rPr>
        <w:t xml:space="preserve"> con </w:t>
      </w:r>
      <w:proofErr w:type="spellStart"/>
      <w:r w:rsidRPr="00CF6765">
        <w:rPr>
          <w:i/>
          <w:sz w:val="16"/>
          <w:szCs w:val="16"/>
          <w:lang w:val="en-US"/>
        </w:rPr>
        <w:t>dignidad</w:t>
      </w:r>
      <w:proofErr w:type="spellEnd"/>
      <w:r w:rsidRPr="00CF6765">
        <w:rPr>
          <w:i/>
          <w:sz w:val="16"/>
          <w:szCs w:val="16"/>
          <w:lang w:val="en-US"/>
        </w:rPr>
        <w:t xml:space="preserve"> and derechos a </w:t>
      </w:r>
      <w:proofErr w:type="spellStart"/>
      <w:r w:rsidRPr="00CF6765">
        <w:rPr>
          <w:i/>
          <w:sz w:val="16"/>
          <w:szCs w:val="16"/>
          <w:lang w:val="en-US"/>
        </w:rPr>
        <w:t>todas</w:t>
      </w:r>
      <w:proofErr w:type="spellEnd"/>
      <w:r w:rsidRPr="00CF6765">
        <w:rPr>
          <w:i/>
          <w:sz w:val="16"/>
          <w:szCs w:val="16"/>
          <w:lang w:val="en-US"/>
        </w:rPr>
        <w:t xml:space="preserve"> las </w:t>
      </w:r>
      <w:proofErr w:type="spellStart"/>
      <w:r w:rsidRPr="00CF6765">
        <w:rPr>
          <w:i/>
          <w:sz w:val="16"/>
          <w:szCs w:val="16"/>
          <w:lang w:val="en-US"/>
        </w:rPr>
        <w:t>edades</w:t>
      </w:r>
      <w:proofErr w:type="spellEnd"/>
      <w:r w:rsidRPr="00CF6765">
        <w:rPr>
          <w:i/>
          <w:sz w:val="16"/>
          <w:szCs w:val="16"/>
          <w:lang w:val="en-US"/>
        </w:rPr>
        <w:t>”</w:t>
      </w:r>
      <w:r w:rsidRPr="00CF6765">
        <w:rPr>
          <w:sz w:val="16"/>
          <w:szCs w:val="16"/>
          <w:lang w:val="en-US"/>
        </w:rPr>
        <w:t xml:space="preserve"> [Regional Campaign: Living with dignity and rights at every age]. Proceedings of the XXX Plenary session, MERCOSUR/RAADH/ACTA No. 02/17.</w:t>
      </w:r>
    </w:p>
  </w:footnote>
  <w:footnote w:id="223">
    <w:p w14:paraId="580A3B53" w14:textId="3D1FDC3E"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rStyle w:val="Refdenotaalpie"/>
          <w:sz w:val="16"/>
          <w:szCs w:val="16"/>
          <w:lang w:val="en-US"/>
        </w:rPr>
        <w:t xml:space="preserve"> </w:t>
      </w:r>
      <w:r w:rsidRPr="00CF6765">
        <w:rPr>
          <w:sz w:val="16"/>
          <w:szCs w:val="16"/>
          <w:lang w:val="en-US"/>
        </w:rPr>
        <w:t xml:space="preserve"> </w:t>
      </w:r>
      <w:r w:rsidRPr="00CF6765">
        <w:rPr>
          <w:rStyle w:val="Refdenotaalpie"/>
          <w:sz w:val="16"/>
          <w:szCs w:val="16"/>
          <w:lang w:val="en-US"/>
        </w:rPr>
        <w:t xml:space="preserve"> </w:t>
      </w:r>
      <w:r w:rsidRPr="00CF6765">
        <w:rPr>
          <w:sz w:val="16"/>
          <w:szCs w:val="16"/>
          <w:lang w:val="en-US"/>
        </w:rPr>
        <w:tab/>
      </w:r>
      <w:r w:rsidRPr="00CF6765">
        <w:rPr>
          <w:i/>
          <w:sz w:val="16"/>
          <w:szCs w:val="16"/>
          <w:lang w:val="en-US"/>
        </w:rPr>
        <w:t xml:space="preserve">Case of the </w:t>
      </w:r>
      <w:proofErr w:type="spellStart"/>
      <w:r w:rsidRPr="00CF6765">
        <w:rPr>
          <w:i/>
          <w:sz w:val="16"/>
          <w:szCs w:val="16"/>
          <w:lang w:val="en-US"/>
        </w:rPr>
        <w:t>Yake</w:t>
      </w:r>
      <w:proofErr w:type="spellEnd"/>
      <w:r w:rsidRPr="00CF6765">
        <w:rPr>
          <w:i/>
          <w:sz w:val="16"/>
          <w:szCs w:val="16"/>
          <w:lang w:val="en-US"/>
        </w:rPr>
        <w:t xml:space="preserve"> </w:t>
      </w:r>
      <w:proofErr w:type="spellStart"/>
      <w:r w:rsidRPr="00CF6765">
        <w:rPr>
          <w:i/>
          <w:sz w:val="16"/>
          <w:szCs w:val="16"/>
          <w:lang w:val="en-US"/>
        </w:rPr>
        <w:t>Axa</w:t>
      </w:r>
      <w:proofErr w:type="spellEnd"/>
      <w:r w:rsidRPr="00CF6765">
        <w:rPr>
          <w:i/>
          <w:sz w:val="16"/>
          <w:szCs w:val="16"/>
          <w:lang w:val="en-US"/>
        </w:rPr>
        <w:t xml:space="preserve"> Indigenous Community v. Paraguay, supra, </w:t>
      </w:r>
      <w:r w:rsidRPr="00CF6765">
        <w:rPr>
          <w:sz w:val="16"/>
          <w:szCs w:val="16"/>
          <w:lang w:val="en-US"/>
        </w:rPr>
        <w:t>para. 175.</w:t>
      </w:r>
    </w:p>
  </w:footnote>
  <w:footnote w:id="224">
    <w:p w14:paraId="1B92D53E" w14:textId="12CA8E32"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lang w:val="en-US"/>
        </w:rPr>
        <w:t xml:space="preserve">Mutatis </w:t>
      </w:r>
      <w:proofErr w:type="spellStart"/>
      <w:r w:rsidRPr="00CF6765">
        <w:rPr>
          <w:i/>
          <w:sz w:val="16"/>
          <w:lang w:val="en-US"/>
        </w:rPr>
        <w:t>mutandi</w:t>
      </w:r>
      <w:proofErr w:type="spellEnd"/>
      <w:r w:rsidRPr="00CF6765">
        <w:rPr>
          <w:sz w:val="16"/>
          <w:szCs w:val="16"/>
          <w:lang w:val="en-US"/>
        </w:rPr>
        <w:t xml:space="preserve">, </w:t>
      </w:r>
      <w:r w:rsidRPr="00CF6765">
        <w:rPr>
          <w:i/>
          <w:sz w:val="16"/>
          <w:szCs w:val="16"/>
          <w:lang w:val="en-US"/>
        </w:rPr>
        <w:t xml:space="preserve">Case of </w:t>
      </w:r>
      <w:proofErr w:type="spellStart"/>
      <w:r w:rsidRPr="00CF6765">
        <w:rPr>
          <w:i/>
          <w:sz w:val="16"/>
          <w:szCs w:val="16"/>
          <w:lang w:val="en-US"/>
        </w:rPr>
        <w:t>Furlan</w:t>
      </w:r>
      <w:proofErr w:type="spellEnd"/>
      <w:r w:rsidRPr="00CF6765">
        <w:rPr>
          <w:i/>
          <w:sz w:val="16"/>
          <w:szCs w:val="16"/>
          <w:lang w:val="en-US"/>
        </w:rPr>
        <w:t xml:space="preserve"> and family v. Argentina, supra, </w:t>
      </w:r>
      <w:r w:rsidRPr="00CF6765">
        <w:rPr>
          <w:sz w:val="16"/>
          <w:szCs w:val="16"/>
          <w:lang w:val="en-US"/>
        </w:rPr>
        <w:t xml:space="preserve">para. </w:t>
      </w:r>
      <w:r w:rsidRPr="00392A9A">
        <w:rPr>
          <w:sz w:val="16"/>
          <w:szCs w:val="16"/>
          <w:lang w:val="es-CR"/>
        </w:rPr>
        <w:t xml:space="preserve">201, and </w:t>
      </w:r>
      <w:r w:rsidRPr="00392A9A">
        <w:rPr>
          <w:i/>
          <w:sz w:val="16"/>
          <w:szCs w:val="16"/>
          <w:lang w:val="es-CR"/>
        </w:rPr>
        <w:t xml:space="preserve">Case </w:t>
      </w:r>
      <w:proofErr w:type="spellStart"/>
      <w:r w:rsidRPr="00392A9A">
        <w:rPr>
          <w:i/>
          <w:sz w:val="16"/>
          <w:szCs w:val="16"/>
          <w:lang w:val="es-CR"/>
        </w:rPr>
        <w:t>of</w:t>
      </w:r>
      <w:proofErr w:type="spellEnd"/>
      <w:r w:rsidRPr="00392A9A">
        <w:rPr>
          <w:i/>
          <w:sz w:val="16"/>
          <w:szCs w:val="16"/>
          <w:lang w:val="es-CR"/>
        </w:rPr>
        <w:t xml:space="preserve"> Gonzales </w:t>
      </w:r>
      <w:proofErr w:type="spellStart"/>
      <w:r w:rsidRPr="00392A9A">
        <w:rPr>
          <w:i/>
          <w:sz w:val="16"/>
          <w:szCs w:val="16"/>
          <w:lang w:val="es-CR"/>
        </w:rPr>
        <w:t>Lluy</w:t>
      </w:r>
      <w:proofErr w:type="spellEnd"/>
      <w:r w:rsidRPr="00392A9A">
        <w:rPr>
          <w:i/>
          <w:sz w:val="16"/>
          <w:szCs w:val="16"/>
          <w:lang w:val="es-CR"/>
        </w:rPr>
        <w:t xml:space="preserve"> et al. v. Ecuador, supra, </w:t>
      </w:r>
      <w:r w:rsidRPr="00392A9A">
        <w:rPr>
          <w:sz w:val="16"/>
          <w:szCs w:val="16"/>
          <w:lang w:val="es-CR"/>
        </w:rPr>
        <w:t xml:space="preserve">para. </w:t>
      </w:r>
      <w:r w:rsidRPr="00CF6765">
        <w:rPr>
          <w:sz w:val="16"/>
          <w:szCs w:val="16"/>
          <w:lang w:val="en-US"/>
        </w:rPr>
        <w:t>311.</w:t>
      </w:r>
    </w:p>
  </w:footnote>
  <w:footnote w:id="225">
    <w:p w14:paraId="6B0B6930" w14:textId="000990BD"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rFonts w:eastAsia="Calibri"/>
          <w:sz w:val="16"/>
          <w:szCs w:val="16"/>
          <w:lang w:val="en-US" w:eastAsia="en-US"/>
        </w:rPr>
        <w:t xml:space="preserve">  </w:t>
      </w:r>
      <w:r w:rsidRPr="00CF6765">
        <w:rPr>
          <w:rFonts w:eastAsia="Calibri"/>
          <w:sz w:val="16"/>
          <w:szCs w:val="16"/>
          <w:lang w:val="en-US" w:eastAsia="en-US"/>
        </w:rPr>
        <w:tab/>
      </w:r>
      <w:r w:rsidRPr="00CF6765">
        <w:rPr>
          <w:rFonts w:eastAsia="Calibri"/>
          <w:i/>
          <w:sz w:val="16"/>
          <w:szCs w:val="16"/>
          <w:lang w:val="en-US" w:eastAsia="en-US"/>
        </w:rPr>
        <w:t xml:space="preserve">Cf. </w:t>
      </w:r>
      <w:r w:rsidRPr="00CF6765">
        <w:rPr>
          <w:rFonts w:eastAsia="Calibri"/>
          <w:sz w:val="16"/>
          <w:szCs w:val="16"/>
          <w:lang w:val="en-US" w:eastAsia="en-US"/>
        </w:rPr>
        <w:t xml:space="preserve">Opinion of expert witness, Dr. Javier Alejandro Santos, </w:t>
      </w:r>
      <w:r w:rsidRPr="00CF6765">
        <w:rPr>
          <w:rFonts w:eastAsia="Calibri"/>
          <w:i/>
          <w:sz w:val="16"/>
          <w:szCs w:val="16"/>
          <w:lang w:val="en-US" w:eastAsia="en-US"/>
        </w:rPr>
        <w:t>supra</w:t>
      </w:r>
      <w:r w:rsidRPr="00CF6765">
        <w:rPr>
          <w:rFonts w:eastAsia="Calibri"/>
          <w:sz w:val="16"/>
          <w:szCs w:val="16"/>
          <w:lang w:val="en-US" w:eastAsia="en-US"/>
        </w:rPr>
        <w:t xml:space="preserve">, p. 47. </w:t>
      </w:r>
      <w:r w:rsidRPr="00CF6765">
        <w:rPr>
          <w:sz w:val="16"/>
          <w:szCs w:val="16"/>
          <w:lang w:val="en-US"/>
        </w:rPr>
        <w:t>The expert witness added in this regard that “he was a very vulnerable patient [and he was discharged] 72 hours [after the first admission].” The expert witness also indicated that “the patient was discharged in very basic health conditions […]; he should not have been discharged.”</w:t>
      </w:r>
    </w:p>
  </w:footnote>
  <w:footnote w:id="226">
    <w:p w14:paraId="4F92634F" w14:textId="39624B60" w:rsidR="003558F5" w:rsidRPr="00CF6765" w:rsidRDefault="003558F5" w:rsidP="006B5B69">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rFonts w:eastAsia="Calibri"/>
          <w:sz w:val="16"/>
          <w:szCs w:val="16"/>
          <w:lang w:val="en-US" w:eastAsia="en-US"/>
        </w:rPr>
        <w:t xml:space="preserve">  </w:t>
      </w:r>
      <w:r w:rsidRPr="00CF6765">
        <w:rPr>
          <w:rFonts w:eastAsia="Calibri"/>
          <w:sz w:val="16"/>
          <w:szCs w:val="16"/>
          <w:lang w:val="en-US" w:eastAsia="en-US"/>
        </w:rPr>
        <w:tab/>
      </w:r>
      <w:r w:rsidRPr="00CF6765">
        <w:rPr>
          <w:rFonts w:eastAsia="Calibri"/>
          <w:i/>
          <w:sz w:val="16"/>
          <w:szCs w:val="16"/>
          <w:lang w:val="en-US" w:eastAsia="en-US"/>
        </w:rPr>
        <w:t xml:space="preserve">Cf. </w:t>
      </w:r>
      <w:r w:rsidRPr="00CF6765">
        <w:rPr>
          <w:rFonts w:eastAsia="Calibri"/>
          <w:sz w:val="16"/>
          <w:szCs w:val="16"/>
          <w:lang w:val="en-US" w:eastAsia="en-US"/>
        </w:rPr>
        <w:t xml:space="preserve">Opinion of expert witness, Dr. Javier Alejandro Santos, </w:t>
      </w:r>
      <w:r w:rsidRPr="00CF6765">
        <w:rPr>
          <w:rFonts w:eastAsia="Calibri"/>
          <w:i/>
          <w:sz w:val="16"/>
          <w:szCs w:val="16"/>
          <w:lang w:val="en-US" w:eastAsia="en-US"/>
        </w:rPr>
        <w:t>supra</w:t>
      </w:r>
      <w:r w:rsidRPr="00CF6765">
        <w:rPr>
          <w:rFonts w:eastAsia="Calibri"/>
          <w:sz w:val="16"/>
          <w:szCs w:val="16"/>
          <w:lang w:val="en-US" w:eastAsia="en-US"/>
        </w:rPr>
        <w:t xml:space="preserve">, p. 48. Regarding the second admission to the </w:t>
      </w:r>
      <w:proofErr w:type="spellStart"/>
      <w:r w:rsidRPr="00CF6765">
        <w:rPr>
          <w:rFonts w:eastAsia="Calibri"/>
          <w:sz w:val="16"/>
          <w:szCs w:val="16"/>
          <w:lang w:val="en-US" w:eastAsia="en-US"/>
        </w:rPr>
        <w:t>Sótero</w:t>
      </w:r>
      <w:proofErr w:type="spellEnd"/>
      <w:r w:rsidRPr="00CF6765">
        <w:rPr>
          <w:rFonts w:eastAsia="Calibri"/>
          <w:sz w:val="16"/>
          <w:szCs w:val="16"/>
          <w:lang w:val="en-US" w:eastAsia="en-US"/>
        </w:rPr>
        <w:t xml:space="preserve"> del Río Hospital, when referring to the health of Mr. Poblete </w:t>
      </w:r>
      <w:proofErr w:type="spellStart"/>
      <w:r w:rsidRPr="00CF6765">
        <w:rPr>
          <w:rFonts w:eastAsia="Calibri"/>
          <w:sz w:val="16"/>
          <w:szCs w:val="16"/>
          <w:lang w:val="en-US" w:eastAsia="en-US"/>
        </w:rPr>
        <w:t>Vilches</w:t>
      </w:r>
      <w:proofErr w:type="spellEnd"/>
      <w:r w:rsidRPr="00CF6765">
        <w:rPr>
          <w:rFonts w:eastAsia="Calibri"/>
          <w:sz w:val="16"/>
          <w:szCs w:val="16"/>
          <w:lang w:val="en-US" w:eastAsia="en-US"/>
        </w:rPr>
        <w:t>, the expert witness indicated: “</w:t>
      </w:r>
      <w:r w:rsidRPr="00CF6765">
        <w:rPr>
          <w:sz w:val="16"/>
          <w:szCs w:val="16"/>
          <w:lang w:val="en-US"/>
        </w:rPr>
        <w:t>he was a vulnerable patient who was discharged after 72 hours; therefore, it was not just any infection, it was an in-hospital infection.”</w:t>
      </w:r>
    </w:p>
  </w:footnote>
  <w:footnote w:id="227">
    <w:p w14:paraId="3D4D6501" w14:textId="69B799D4" w:rsidR="003558F5" w:rsidRPr="00CF6765" w:rsidRDefault="003558F5" w:rsidP="00002163">
      <w:pPr>
        <w:pStyle w:val="Textonotapie"/>
        <w:spacing w:after="60"/>
        <w:rPr>
          <w:lang w:val="en-US"/>
        </w:rPr>
      </w:pPr>
      <w:r w:rsidRPr="00CF6765">
        <w:rPr>
          <w:rStyle w:val="Refdenotaalpie"/>
          <w:sz w:val="16"/>
          <w:szCs w:val="16"/>
          <w:lang w:val="en-US"/>
        </w:rPr>
        <w:footnoteRef/>
      </w:r>
      <w:r w:rsidRPr="00CF6765">
        <w:rPr>
          <w:sz w:val="16"/>
          <w:szCs w:val="16"/>
          <w:lang w:val="en-US"/>
        </w:rPr>
        <w:t xml:space="preserve"> </w:t>
      </w:r>
      <w:r w:rsidRPr="00CF6765">
        <w:rPr>
          <w:lang w:val="en-US"/>
        </w:rPr>
        <w:tab/>
      </w:r>
      <w:r w:rsidRPr="00CF6765">
        <w:rPr>
          <w:i/>
          <w:sz w:val="16"/>
          <w:szCs w:val="16"/>
          <w:lang w:val="en-US"/>
        </w:rPr>
        <w:t>Cf.</w:t>
      </w:r>
      <w:r w:rsidRPr="00CF6765">
        <w:rPr>
          <w:i/>
          <w:lang w:val="en-US"/>
        </w:rPr>
        <w:t xml:space="preserve"> </w:t>
      </w:r>
      <w:r w:rsidRPr="00CF6765">
        <w:rPr>
          <w:i/>
          <w:sz w:val="16"/>
          <w:szCs w:val="16"/>
          <w:lang w:val="en-US"/>
        </w:rPr>
        <w:t xml:space="preserve">Mutatis </w:t>
      </w:r>
      <w:proofErr w:type="spellStart"/>
      <w:r w:rsidRPr="00CF6765">
        <w:rPr>
          <w:i/>
          <w:sz w:val="16"/>
          <w:szCs w:val="16"/>
          <w:lang w:val="en-US"/>
        </w:rPr>
        <w:t>mutandi</w:t>
      </w:r>
      <w:proofErr w:type="spellEnd"/>
      <w:r w:rsidRPr="00CF6765">
        <w:rPr>
          <w:i/>
          <w:sz w:val="16"/>
          <w:szCs w:val="16"/>
          <w:lang w:val="en-US"/>
        </w:rPr>
        <w:t>,</w:t>
      </w:r>
      <w:r w:rsidRPr="00CF6765">
        <w:rPr>
          <w:sz w:val="16"/>
          <w:szCs w:val="16"/>
          <w:lang w:val="en-US"/>
        </w:rPr>
        <w:t xml:space="preserve"> </w:t>
      </w:r>
      <w:r w:rsidRPr="00CF6765">
        <w:rPr>
          <w:i/>
          <w:sz w:val="16"/>
          <w:szCs w:val="16"/>
          <w:lang w:val="en-US"/>
        </w:rPr>
        <w:t>Case of Vera et al. v. Ecuador. Preliminary objection, merits, reparations and costs.</w:t>
      </w:r>
      <w:r w:rsidRPr="00CF6765">
        <w:rPr>
          <w:sz w:val="16"/>
          <w:szCs w:val="16"/>
          <w:lang w:val="en-US"/>
        </w:rPr>
        <w:t xml:space="preserve"> Judgment of May 19, 2011. Series C No. 226, paras. 54, 65, 74 and 78, and </w:t>
      </w:r>
      <w:r w:rsidRPr="00CF6765">
        <w:rPr>
          <w:i/>
          <w:sz w:val="16"/>
          <w:szCs w:val="16"/>
          <w:lang w:val="en-US"/>
        </w:rPr>
        <w:t>Case of Suárez Peralta v. Ecuador, supra</w:t>
      </w:r>
      <w:r w:rsidRPr="00CF6765">
        <w:rPr>
          <w:sz w:val="16"/>
          <w:szCs w:val="16"/>
          <w:lang w:val="en-US"/>
        </w:rPr>
        <w:t>, para. 154.</w:t>
      </w:r>
    </w:p>
  </w:footnote>
  <w:footnote w:id="228">
    <w:p w14:paraId="5D28B22D" w14:textId="5254B21B"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Opinion of expert witness, Dr. Javier Alejandro Santos, </w:t>
      </w:r>
      <w:r w:rsidRPr="00CF6765">
        <w:rPr>
          <w:i/>
          <w:sz w:val="16"/>
          <w:szCs w:val="16"/>
          <w:lang w:val="en-US"/>
        </w:rPr>
        <w:t>supra</w:t>
      </w:r>
      <w:r w:rsidRPr="00CF6765">
        <w:rPr>
          <w:sz w:val="16"/>
          <w:szCs w:val="16"/>
          <w:lang w:val="en-US"/>
        </w:rPr>
        <w:t>, pp. 48 and 56. When referring to the antibiotic treatment provided during the second admission, the expert witness stated: “treatment must be prompt, powerful, because we don’t know if there will be another opportunity […], in my opinion, the antibiotic treatment was not correct. As I mentioned previously, the choice of antibiotic is important, because there will not be another opportunity, and that is was happened […].”</w:t>
      </w:r>
    </w:p>
  </w:footnote>
  <w:footnote w:id="229">
    <w:p w14:paraId="1C70E144" w14:textId="14706285" w:rsidR="003558F5" w:rsidRPr="00392A9A" w:rsidRDefault="003558F5" w:rsidP="00002163">
      <w:pPr>
        <w:pStyle w:val="Textonotapie"/>
        <w:spacing w:after="60"/>
        <w:ind w:right="-35"/>
        <w:rPr>
          <w:sz w:val="16"/>
          <w:szCs w:val="16"/>
          <w:lang w:val="es-CR"/>
        </w:rPr>
      </w:pPr>
      <w:r w:rsidRPr="00CF6765">
        <w:rPr>
          <w:rStyle w:val="Refdenotaalpie"/>
          <w:sz w:val="16"/>
          <w:lang w:val="en-US"/>
        </w:rPr>
        <w:footnoteRef/>
      </w:r>
      <w:r w:rsidRPr="00CF6765">
        <w:rPr>
          <w:sz w:val="16"/>
          <w:lang w:val="en-US"/>
        </w:rPr>
        <w:t xml:space="preserve"> </w:t>
      </w:r>
      <w:r w:rsidRPr="00CF6765">
        <w:rPr>
          <w:sz w:val="16"/>
          <w:lang w:val="en-US"/>
        </w:rPr>
        <w:tab/>
      </w:r>
      <w:r w:rsidRPr="00CF6765">
        <w:rPr>
          <w:sz w:val="16"/>
          <w:szCs w:val="16"/>
          <w:lang w:val="en-US"/>
        </w:rPr>
        <w:t xml:space="preserve">Expert witness Javier Alejandro Santos pointed out that it was essential that Mr. Poblete </w:t>
      </w:r>
      <w:proofErr w:type="spellStart"/>
      <w:r w:rsidRPr="00CF6765">
        <w:rPr>
          <w:sz w:val="16"/>
          <w:szCs w:val="16"/>
          <w:lang w:val="en-US"/>
        </w:rPr>
        <w:t>Vilches</w:t>
      </w:r>
      <w:proofErr w:type="spellEnd"/>
      <w:r w:rsidRPr="00CF6765">
        <w:rPr>
          <w:sz w:val="16"/>
          <w:szCs w:val="16"/>
          <w:lang w:val="en-US"/>
        </w:rPr>
        <w:t xml:space="preserve"> be treated in an ICU and it was not viable that he be treated with intermediate therapy following his first discharge and subsequent re-admission to the </w:t>
      </w:r>
      <w:proofErr w:type="spellStart"/>
      <w:r w:rsidRPr="00CF6765">
        <w:rPr>
          <w:sz w:val="16"/>
          <w:szCs w:val="16"/>
          <w:lang w:val="en-US"/>
        </w:rPr>
        <w:t>Sótero</w:t>
      </w:r>
      <w:proofErr w:type="spellEnd"/>
      <w:r w:rsidRPr="00CF6765">
        <w:rPr>
          <w:sz w:val="16"/>
          <w:szCs w:val="16"/>
          <w:lang w:val="en-US"/>
        </w:rPr>
        <w:t xml:space="preserve"> del Río Hospital. Such therapy is provided in the “Intermediate Treatment Unit” or simply the “Intermediate Unit” in hospitals, which consists of “the part of the hospital for stable critical patients whose care calls for non-invasive monitoring, surveillance, and permanent nursing services in additional to medical treatment,” that “can be offered in any requested Service or Unit […] once the patient is stable, without a significant need for invasive monitoring, and does not require procedures and/or care that only exists in that unit [the ICU], such as mechanical ventilation.”</w:t>
      </w:r>
      <w:r w:rsidRPr="00CF6765">
        <w:rPr>
          <w:i/>
          <w:sz w:val="16"/>
          <w:szCs w:val="16"/>
          <w:lang w:val="en-US"/>
        </w:rPr>
        <w:t xml:space="preserve"> </w:t>
      </w:r>
      <w:r w:rsidRPr="00392A9A">
        <w:rPr>
          <w:i/>
          <w:sz w:val="16"/>
          <w:szCs w:val="16"/>
          <w:lang w:val="es-CR"/>
        </w:rPr>
        <w:t xml:space="preserve">Cf. </w:t>
      </w:r>
      <w:proofErr w:type="spellStart"/>
      <w:r w:rsidRPr="00392A9A">
        <w:rPr>
          <w:sz w:val="16"/>
          <w:szCs w:val="16"/>
          <w:lang w:val="es-CR"/>
        </w:rPr>
        <w:t>Opinion</w:t>
      </w:r>
      <w:proofErr w:type="spellEnd"/>
      <w:r w:rsidRPr="00392A9A">
        <w:rPr>
          <w:sz w:val="16"/>
          <w:szCs w:val="16"/>
          <w:lang w:val="es-CR"/>
        </w:rPr>
        <w:t xml:space="preserve"> </w:t>
      </w:r>
      <w:proofErr w:type="spellStart"/>
      <w:r w:rsidRPr="00392A9A">
        <w:rPr>
          <w:sz w:val="16"/>
          <w:szCs w:val="16"/>
          <w:lang w:val="es-CR"/>
        </w:rPr>
        <w:t>of</w:t>
      </w:r>
      <w:proofErr w:type="spellEnd"/>
      <w:r w:rsidRPr="00392A9A">
        <w:rPr>
          <w:sz w:val="16"/>
          <w:szCs w:val="16"/>
          <w:lang w:val="es-CR"/>
        </w:rPr>
        <w:t xml:space="preserve"> </w:t>
      </w:r>
      <w:proofErr w:type="spellStart"/>
      <w:r w:rsidRPr="00392A9A">
        <w:rPr>
          <w:sz w:val="16"/>
          <w:szCs w:val="16"/>
          <w:lang w:val="es-CR"/>
        </w:rPr>
        <w:t>expert</w:t>
      </w:r>
      <w:proofErr w:type="spellEnd"/>
      <w:r w:rsidRPr="00392A9A">
        <w:rPr>
          <w:sz w:val="16"/>
          <w:szCs w:val="16"/>
          <w:lang w:val="es-CR"/>
        </w:rPr>
        <w:t xml:space="preserve"> </w:t>
      </w:r>
      <w:proofErr w:type="spellStart"/>
      <w:r w:rsidRPr="00392A9A">
        <w:rPr>
          <w:sz w:val="16"/>
          <w:szCs w:val="16"/>
          <w:lang w:val="es-CR"/>
        </w:rPr>
        <w:t>witness</w:t>
      </w:r>
      <w:proofErr w:type="spellEnd"/>
      <w:r w:rsidRPr="00392A9A">
        <w:rPr>
          <w:sz w:val="16"/>
          <w:szCs w:val="16"/>
          <w:lang w:val="es-CR"/>
        </w:rPr>
        <w:t>, Dr. Javier Alejandro Santos</w:t>
      </w:r>
      <w:r w:rsidRPr="00392A9A">
        <w:rPr>
          <w:i/>
          <w:sz w:val="16"/>
          <w:szCs w:val="16"/>
          <w:lang w:val="es-CR"/>
        </w:rPr>
        <w:t xml:space="preserve">, supra, </w:t>
      </w:r>
      <w:r w:rsidRPr="00392A9A">
        <w:rPr>
          <w:sz w:val="16"/>
          <w:szCs w:val="16"/>
          <w:lang w:val="es-CR"/>
        </w:rPr>
        <w:t>p.</w:t>
      </w:r>
      <w:r w:rsidRPr="00392A9A">
        <w:rPr>
          <w:i/>
          <w:sz w:val="16"/>
          <w:szCs w:val="16"/>
          <w:lang w:val="es-CR"/>
        </w:rPr>
        <w:t xml:space="preserve"> </w:t>
      </w:r>
      <w:r w:rsidRPr="00392A9A">
        <w:rPr>
          <w:sz w:val="16"/>
          <w:szCs w:val="16"/>
          <w:lang w:val="es-CR"/>
        </w:rPr>
        <w:t>48.</w:t>
      </w:r>
    </w:p>
    <w:p w14:paraId="58FA7348" w14:textId="722379AA" w:rsidR="003558F5" w:rsidRPr="00392A9A" w:rsidRDefault="003558F5" w:rsidP="00002163">
      <w:pPr>
        <w:pStyle w:val="Textonotapie"/>
        <w:spacing w:after="60"/>
        <w:ind w:right="-35"/>
        <w:rPr>
          <w:sz w:val="16"/>
          <w:szCs w:val="16"/>
          <w:lang w:val="es-CR"/>
        </w:rPr>
      </w:pPr>
      <w:r w:rsidRPr="00392A9A">
        <w:rPr>
          <w:sz w:val="16"/>
          <w:szCs w:val="16"/>
          <w:lang w:val="es-CR"/>
        </w:rPr>
        <w:t>E. Páez y col</w:t>
      </w:r>
      <w:r w:rsidRPr="00392A9A">
        <w:rPr>
          <w:i/>
          <w:sz w:val="16"/>
          <w:szCs w:val="16"/>
          <w:lang w:val="es-CR"/>
        </w:rPr>
        <w:t>., “Guías 2004 de organización y funcionamiento de unidades de pacientes críticos”</w:t>
      </w:r>
      <w:r w:rsidRPr="00392A9A">
        <w:rPr>
          <w:sz w:val="16"/>
          <w:szCs w:val="16"/>
          <w:lang w:val="es-CR"/>
        </w:rPr>
        <w:t xml:space="preserve">, Revista Chilena de Medicina Intensiva, 2004, Vol. 19 (4), p. 211, and C. de la Hoz and R. Riofrio, </w:t>
      </w:r>
      <w:r w:rsidRPr="00392A9A">
        <w:rPr>
          <w:i/>
          <w:sz w:val="16"/>
          <w:szCs w:val="16"/>
          <w:lang w:val="es-CR"/>
        </w:rPr>
        <w:t>“Criterios de Ingreso y Egreso de la Unidad de Paciente Crítico. Unidad de Paciente Crítico: Unidad de Cuidados Intensivos (ICU) y Unidad de Tratamiento Intermedio (UTI)”</w:t>
      </w:r>
      <w:r w:rsidRPr="00392A9A">
        <w:rPr>
          <w:sz w:val="16"/>
          <w:szCs w:val="16"/>
          <w:lang w:val="es-CR"/>
        </w:rPr>
        <w:t xml:space="preserve">, Clínica Mayor, Chile, March 2015, p. 7. </w:t>
      </w:r>
      <w:proofErr w:type="spellStart"/>
      <w:r w:rsidRPr="00392A9A">
        <w:rPr>
          <w:sz w:val="16"/>
          <w:szCs w:val="16"/>
          <w:lang w:val="es-CR"/>
        </w:rPr>
        <w:t>Regarding</w:t>
      </w:r>
      <w:proofErr w:type="spellEnd"/>
      <w:r w:rsidRPr="00392A9A">
        <w:rPr>
          <w:sz w:val="16"/>
          <w:szCs w:val="16"/>
          <w:lang w:val="es-CR"/>
        </w:rPr>
        <w:t xml:space="preserve"> </w:t>
      </w:r>
      <w:proofErr w:type="spellStart"/>
      <w:r w:rsidRPr="00392A9A">
        <w:rPr>
          <w:sz w:val="16"/>
          <w:szCs w:val="16"/>
          <w:lang w:val="es-CR"/>
        </w:rPr>
        <w:t>the</w:t>
      </w:r>
      <w:proofErr w:type="spellEnd"/>
      <w:r w:rsidRPr="00392A9A">
        <w:rPr>
          <w:sz w:val="16"/>
          <w:szCs w:val="16"/>
          <w:lang w:val="es-CR"/>
        </w:rPr>
        <w:t xml:space="preserve"> general </w:t>
      </w:r>
      <w:proofErr w:type="spellStart"/>
      <w:r w:rsidRPr="00392A9A">
        <w:rPr>
          <w:sz w:val="16"/>
          <w:szCs w:val="16"/>
          <w:lang w:val="es-CR"/>
        </w:rPr>
        <w:t>nature</w:t>
      </w:r>
      <w:proofErr w:type="spellEnd"/>
      <w:r w:rsidRPr="00392A9A">
        <w:rPr>
          <w:sz w:val="16"/>
          <w:szCs w:val="16"/>
          <w:lang w:val="es-CR"/>
        </w:rPr>
        <w:t xml:space="preserve"> </w:t>
      </w:r>
      <w:proofErr w:type="spellStart"/>
      <w:r w:rsidRPr="00392A9A">
        <w:rPr>
          <w:sz w:val="16"/>
          <w:szCs w:val="16"/>
          <w:lang w:val="es-CR"/>
        </w:rPr>
        <w:t>of</w:t>
      </w:r>
      <w:proofErr w:type="spellEnd"/>
      <w:r w:rsidRPr="00392A9A">
        <w:rPr>
          <w:sz w:val="16"/>
          <w:szCs w:val="16"/>
          <w:lang w:val="es-CR"/>
        </w:rPr>
        <w:t xml:space="preserve"> </w:t>
      </w:r>
      <w:proofErr w:type="spellStart"/>
      <w:r w:rsidRPr="00392A9A">
        <w:rPr>
          <w:sz w:val="16"/>
          <w:szCs w:val="16"/>
          <w:lang w:val="es-CR"/>
        </w:rPr>
        <w:t>the</w:t>
      </w:r>
      <w:proofErr w:type="spellEnd"/>
      <w:r w:rsidRPr="00392A9A">
        <w:rPr>
          <w:sz w:val="16"/>
          <w:szCs w:val="16"/>
          <w:lang w:val="es-CR"/>
        </w:rPr>
        <w:t xml:space="preserve"> </w:t>
      </w:r>
      <w:proofErr w:type="spellStart"/>
      <w:r w:rsidRPr="00392A9A">
        <w:rPr>
          <w:sz w:val="16"/>
          <w:szCs w:val="16"/>
          <w:lang w:val="es-CR"/>
        </w:rPr>
        <w:t>specialized</w:t>
      </w:r>
      <w:proofErr w:type="spellEnd"/>
      <w:r w:rsidRPr="00392A9A">
        <w:rPr>
          <w:sz w:val="16"/>
          <w:szCs w:val="16"/>
          <w:lang w:val="es-CR"/>
        </w:rPr>
        <w:t xml:space="preserve"> medical </w:t>
      </w:r>
      <w:proofErr w:type="spellStart"/>
      <w:r w:rsidRPr="00392A9A">
        <w:rPr>
          <w:sz w:val="16"/>
          <w:szCs w:val="16"/>
          <w:lang w:val="es-CR"/>
        </w:rPr>
        <w:t>care</w:t>
      </w:r>
      <w:proofErr w:type="spellEnd"/>
      <w:r w:rsidRPr="00392A9A">
        <w:rPr>
          <w:sz w:val="16"/>
          <w:szCs w:val="16"/>
          <w:lang w:val="es-CR"/>
        </w:rPr>
        <w:t xml:space="preserve"> </w:t>
      </w:r>
      <w:proofErr w:type="spellStart"/>
      <w:r w:rsidRPr="00392A9A">
        <w:rPr>
          <w:sz w:val="16"/>
          <w:szCs w:val="16"/>
          <w:lang w:val="es-CR"/>
        </w:rPr>
        <w:t>provided</w:t>
      </w:r>
      <w:proofErr w:type="spellEnd"/>
      <w:r w:rsidRPr="00392A9A">
        <w:rPr>
          <w:sz w:val="16"/>
          <w:szCs w:val="16"/>
          <w:lang w:val="es-CR"/>
        </w:rPr>
        <w:t xml:space="preserve"> in hospital </w:t>
      </w:r>
      <w:proofErr w:type="spellStart"/>
      <w:r w:rsidRPr="00392A9A">
        <w:rPr>
          <w:sz w:val="16"/>
          <w:szCs w:val="16"/>
          <w:lang w:val="es-CR"/>
        </w:rPr>
        <w:t>intensive</w:t>
      </w:r>
      <w:proofErr w:type="spellEnd"/>
      <w:r w:rsidRPr="00392A9A">
        <w:rPr>
          <w:sz w:val="16"/>
          <w:szCs w:val="16"/>
          <w:lang w:val="es-CR"/>
        </w:rPr>
        <w:t xml:space="preserve"> </w:t>
      </w:r>
      <w:proofErr w:type="spellStart"/>
      <w:r w:rsidRPr="00392A9A">
        <w:rPr>
          <w:sz w:val="16"/>
          <w:szCs w:val="16"/>
          <w:lang w:val="es-CR"/>
        </w:rPr>
        <w:t>care</w:t>
      </w:r>
      <w:proofErr w:type="spellEnd"/>
      <w:r w:rsidRPr="00392A9A">
        <w:rPr>
          <w:sz w:val="16"/>
          <w:szCs w:val="16"/>
          <w:lang w:val="es-CR"/>
        </w:rPr>
        <w:t xml:space="preserve"> </w:t>
      </w:r>
      <w:proofErr w:type="spellStart"/>
      <w:r w:rsidRPr="00392A9A">
        <w:rPr>
          <w:sz w:val="16"/>
          <w:szCs w:val="16"/>
          <w:lang w:val="es-CR"/>
        </w:rPr>
        <w:t>units</w:t>
      </w:r>
      <w:proofErr w:type="spellEnd"/>
      <w:r w:rsidRPr="00392A9A">
        <w:rPr>
          <w:sz w:val="16"/>
          <w:szCs w:val="16"/>
          <w:lang w:val="es-CR"/>
        </w:rPr>
        <w:t xml:space="preserve">, </w:t>
      </w:r>
      <w:proofErr w:type="spellStart"/>
      <w:r w:rsidRPr="00392A9A">
        <w:rPr>
          <w:sz w:val="16"/>
          <w:szCs w:val="16"/>
          <w:lang w:val="es-CR"/>
        </w:rPr>
        <w:t>see</w:t>
      </w:r>
      <w:proofErr w:type="spellEnd"/>
      <w:r w:rsidRPr="00392A9A">
        <w:rPr>
          <w:sz w:val="16"/>
          <w:szCs w:val="16"/>
          <w:lang w:val="es-CR"/>
        </w:rPr>
        <w:t xml:space="preserve"> E. Páez y col., </w:t>
      </w:r>
      <w:r w:rsidRPr="00392A9A">
        <w:rPr>
          <w:i/>
          <w:sz w:val="16"/>
          <w:szCs w:val="16"/>
          <w:lang w:val="es-CR"/>
        </w:rPr>
        <w:t>“Guías 2004 de organización y funcionamiento de unidades de pacientes críticos,”</w:t>
      </w:r>
      <w:r w:rsidRPr="00392A9A">
        <w:rPr>
          <w:sz w:val="16"/>
          <w:szCs w:val="16"/>
          <w:lang w:val="es-CR"/>
        </w:rPr>
        <w:t xml:space="preserve"> </w:t>
      </w:r>
      <w:r w:rsidRPr="00392A9A">
        <w:rPr>
          <w:i/>
          <w:sz w:val="16"/>
          <w:szCs w:val="16"/>
          <w:lang w:val="es-CR"/>
        </w:rPr>
        <w:t>supra</w:t>
      </w:r>
      <w:r w:rsidRPr="00392A9A">
        <w:rPr>
          <w:sz w:val="16"/>
          <w:szCs w:val="16"/>
          <w:lang w:val="es-CR"/>
        </w:rPr>
        <w:t>.</w:t>
      </w:r>
    </w:p>
  </w:footnote>
  <w:footnote w:id="230">
    <w:p w14:paraId="1B256441" w14:textId="6E5CB968"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Opinion of expert witness, Dr. Javier Alejandro Santos,</w:t>
      </w:r>
      <w:r w:rsidRPr="00CF6765">
        <w:rPr>
          <w:i/>
          <w:sz w:val="16"/>
          <w:szCs w:val="16"/>
          <w:lang w:val="en-US"/>
        </w:rPr>
        <w:t xml:space="preserve"> supra,</w:t>
      </w:r>
      <w:r w:rsidRPr="00CF6765">
        <w:rPr>
          <w:sz w:val="16"/>
          <w:szCs w:val="16"/>
          <w:lang w:val="en-US"/>
        </w:rPr>
        <w:t xml:space="preserve"> p. 54. In this regard, he stated: “if the patient had had any chance of recovering, it was with its assistance […].”</w:t>
      </w:r>
    </w:p>
  </w:footnote>
  <w:footnote w:id="231">
    <w:p w14:paraId="0483D5F4" w14:textId="71E693E9" w:rsidR="003558F5" w:rsidRPr="00CF6765" w:rsidRDefault="003558F5" w:rsidP="00002163">
      <w:pPr>
        <w:pStyle w:val="Textonotapie"/>
        <w:spacing w:after="60"/>
        <w:rPr>
          <w:sz w:val="16"/>
          <w:lang w:val="en-US"/>
        </w:rPr>
      </w:pPr>
      <w:r w:rsidRPr="00CF6765">
        <w:rPr>
          <w:rStyle w:val="Refdenotaalpie"/>
          <w:rFonts w:eastAsia="Calibri"/>
          <w:sz w:val="16"/>
          <w:szCs w:val="16"/>
          <w:lang w:val="en-US" w:eastAsia="en-US"/>
        </w:rPr>
        <w:footnoteRef/>
      </w:r>
      <w:r w:rsidRPr="00CF6765">
        <w:rPr>
          <w:rStyle w:val="Refdenotaalpie"/>
          <w:rFonts w:eastAsia="Calibri"/>
          <w:szCs w:val="16"/>
          <w:lang w:val="en-US" w:eastAsia="en-US"/>
        </w:rPr>
        <w:t xml:space="preserve"> </w:t>
      </w:r>
      <w:r w:rsidRPr="00CF6765">
        <w:rPr>
          <w:sz w:val="16"/>
          <w:lang w:val="en-US"/>
        </w:rPr>
        <w:t xml:space="preserve"> </w:t>
      </w:r>
      <w:r w:rsidRPr="00CF6765">
        <w:rPr>
          <w:sz w:val="16"/>
          <w:lang w:val="en-US"/>
        </w:rPr>
        <w:tab/>
      </w:r>
      <w:r w:rsidRPr="00CF6765">
        <w:rPr>
          <w:i/>
          <w:sz w:val="16"/>
          <w:lang w:val="en-US"/>
        </w:rPr>
        <w:t xml:space="preserve">Cf. </w:t>
      </w:r>
      <w:r w:rsidRPr="00CF6765">
        <w:rPr>
          <w:sz w:val="16"/>
          <w:lang w:val="en-US"/>
        </w:rPr>
        <w:t>Opinion of expert witness, Dr. Javier Alejandro Santos</w:t>
      </w:r>
      <w:r w:rsidRPr="00CF6765">
        <w:rPr>
          <w:i/>
          <w:sz w:val="16"/>
          <w:lang w:val="en-US"/>
        </w:rPr>
        <w:t>, supra,</w:t>
      </w:r>
      <w:r w:rsidRPr="00CF6765">
        <w:rPr>
          <w:sz w:val="16"/>
          <w:lang w:val="en-US"/>
        </w:rPr>
        <w:t xml:space="preserve"> p. 60. The expert witness stated: “[…] I could build 30 hospitals and I would never have enough beds; what I have to do is see how I can provide a person in need with what they require. If I have to obtain it from somewhere else, I will take him where he needs to go, but I cannot simply not treat him because I have not got what is required.”</w:t>
      </w:r>
    </w:p>
  </w:footnote>
  <w:footnote w:id="232">
    <w:p w14:paraId="50B397EE" w14:textId="1EC180A1"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sz w:val="16"/>
          <w:szCs w:val="16"/>
          <w:lang w:val="en-US"/>
        </w:rPr>
        <w:t xml:space="preserve">Affidavit made by </w:t>
      </w:r>
      <w:proofErr w:type="spellStart"/>
      <w:r w:rsidRPr="00CF6765">
        <w:rPr>
          <w:sz w:val="16"/>
          <w:szCs w:val="16"/>
          <w:lang w:val="en-US"/>
        </w:rPr>
        <w:t>Cesia</w:t>
      </w:r>
      <w:proofErr w:type="spellEnd"/>
      <w:r w:rsidRPr="00CF6765">
        <w:rPr>
          <w:sz w:val="16"/>
          <w:szCs w:val="16"/>
          <w:lang w:val="en-US"/>
        </w:rPr>
        <w:t xml:space="preserve"> Leila Siria Poblete Tapia, </w:t>
      </w:r>
      <w:r w:rsidRPr="00CF6765">
        <w:rPr>
          <w:i/>
          <w:sz w:val="16"/>
          <w:szCs w:val="16"/>
          <w:lang w:val="en-US"/>
        </w:rPr>
        <w:t>supra</w:t>
      </w:r>
      <w:r w:rsidRPr="00CF6765">
        <w:rPr>
          <w:sz w:val="16"/>
          <w:szCs w:val="16"/>
          <w:lang w:val="en-US"/>
        </w:rPr>
        <w:t xml:space="preserve"> (evidence file affidavits, f. 4466).</w:t>
      </w:r>
    </w:p>
  </w:footnote>
  <w:footnote w:id="233">
    <w:p w14:paraId="509981F9" w14:textId="71B05E43"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lang w:val="en-US"/>
        </w:rPr>
        <w:t xml:space="preserve"> </w:t>
      </w:r>
      <w:r w:rsidRPr="00CF6765">
        <w:rPr>
          <w:lang w:val="en-US"/>
        </w:rPr>
        <w:tab/>
      </w:r>
      <w:r w:rsidRPr="00CF6765">
        <w:rPr>
          <w:i/>
          <w:sz w:val="16"/>
          <w:szCs w:val="16"/>
          <w:lang w:val="en-US"/>
        </w:rPr>
        <w:t>Cf.</w:t>
      </w:r>
      <w:r w:rsidRPr="00CF6765">
        <w:rPr>
          <w:i/>
          <w:lang w:val="en-US"/>
        </w:rPr>
        <w:t xml:space="preserve"> </w:t>
      </w:r>
      <w:r w:rsidRPr="00CF6765">
        <w:rPr>
          <w:sz w:val="16"/>
          <w:szCs w:val="16"/>
          <w:lang w:val="en-US"/>
        </w:rPr>
        <w:t xml:space="preserve">Statement made by of Vinicio Marco Antonio Poblete Tapia before the Court during the public hearing of October 19, 2017, </w:t>
      </w:r>
      <w:r w:rsidRPr="00CF6765">
        <w:rPr>
          <w:i/>
          <w:sz w:val="16"/>
          <w:szCs w:val="16"/>
          <w:lang w:val="en-US"/>
        </w:rPr>
        <w:t>supra</w:t>
      </w:r>
      <w:r w:rsidRPr="00CF6765">
        <w:rPr>
          <w:sz w:val="16"/>
          <w:szCs w:val="16"/>
          <w:lang w:val="en-US"/>
        </w:rPr>
        <w:t xml:space="preserve">, p. 16. Mr. Poblete Tapia stated: “Dr. </w:t>
      </w:r>
      <w:proofErr w:type="spellStart"/>
      <w:r w:rsidRPr="00CF6765">
        <w:rPr>
          <w:sz w:val="16"/>
          <w:szCs w:val="16"/>
          <w:lang w:val="en-US"/>
        </w:rPr>
        <w:t>Montecinos</w:t>
      </w:r>
      <w:proofErr w:type="spellEnd"/>
      <w:r w:rsidRPr="00CF6765">
        <w:rPr>
          <w:sz w:val="16"/>
          <w:szCs w:val="16"/>
          <w:lang w:val="en-US"/>
        </w:rPr>
        <w:t xml:space="preserve"> said ‘your father was already given a chance to live’ – as if he was a supernatural being who had power over life – ‘I gave him the opportunity to live’ he said […] ‘the first time he was admitted to the </w:t>
      </w:r>
      <w:proofErr w:type="spellStart"/>
      <w:r w:rsidRPr="00CF6765">
        <w:rPr>
          <w:sz w:val="16"/>
          <w:szCs w:val="16"/>
          <w:lang w:val="en-US"/>
        </w:rPr>
        <w:t>Sótero</w:t>
      </w:r>
      <w:proofErr w:type="spellEnd"/>
      <w:r w:rsidRPr="00CF6765">
        <w:rPr>
          <w:sz w:val="16"/>
          <w:szCs w:val="16"/>
          <w:lang w:val="en-US"/>
        </w:rPr>
        <w:t xml:space="preserve"> del Río; I am not going to give him another opportunity to live, your father must now die […].”</w:t>
      </w:r>
    </w:p>
  </w:footnote>
  <w:footnote w:id="234">
    <w:p w14:paraId="7DF1C17F" w14:textId="0F5E2046"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sz w:val="16"/>
          <w:szCs w:val="16"/>
          <w:lang w:val="en-US"/>
        </w:rPr>
        <w:t xml:space="preserve">   </w:t>
      </w:r>
      <w:r w:rsidRPr="00CF6765">
        <w:rPr>
          <w:i/>
          <w:sz w:val="16"/>
          <w:szCs w:val="16"/>
          <w:lang w:val="en-US"/>
        </w:rPr>
        <w:tab/>
      </w:r>
      <w:r w:rsidRPr="00CF6765">
        <w:rPr>
          <w:sz w:val="16"/>
          <w:szCs w:val="16"/>
          <w:lang w:val="en-US"/>
        </w:rPr>
        <w:t>Opinion of expert witness, Dr. Javier Alejandro Santos,</w:t>
      </w:r>
      <w:r w:rsidRPr="00CF6765">
        <w:rPr>
          <w:i/>
          <w:sz w:val="16"/>
          <w:szCs w:val="16"/>
          <w:lang w:val="en-US"/>
        </w:rPr>
        <w:t xml:space="preserve"> supra,</w:t>
      </w:r>
      <w:r w:rsidRPr="00CF6765">
        <w:rPr>
          <w:sz w:val="16"/>
          <w:szCs w:val="16"/>
          <w:lang w:val="en-US"/>
        </w:rPr>
        <w:t xml:space="preserve"> p. 51. In this regard, the expert indicated: “regarding individual shortcomings, there were no professionals who could understand what the patient was indicating,” and he added: “regarding structural deficiencies, these related to the need for a service organized by the State, or the institution in which it has been set up, with the specialists able to treat this type of medical condition.” </w:t>
      </w:r>
    </w:p>
  </w:footnote>
  <w:footnote w:id="235">
    <w:p w14:paraId="3E991D3F" w14:textId="3A06B1C2" w:rsidR="003558F5" w:rsidRPr="00CF6765" w:rsidRDefault="003558F5" w:rsidP="00002163">
      <w:pPr>
        <w:pStyle w:val="Textonotapie"/>
        <w:spacing w:after="60"/>
        <w:rPr>
          <w:lang w:val="en-US"/>
        </w:rPr>
      </w:pPr>
      <w:r w:rsidRPr="00CF6765">
        <w:rPr>
          <w:rStyle w:val="Refdenotaalpie"/>
          <w:rFonts w:eastAsia="Calibri"/>
          <w:sz w:val="16"/>
          <w:szCs w:val="16"/>
          <w:lang w:val="en-US" w:eastAsia="en-US"/>
        </w:rPr>
        <w:footnoteRef/>
      </w:r>
      <w:r w:rsidRPr="00CF6765">
        <w:rPr>
          <w:lang w:val="en-US"/>
        </w:rPr>
        <w:t xml:space="preserve">  </w:t>
      </w:r>
      <w:r w:rsidRPr="00CF6765">
        <w:rPr>
          <w:lang w:val="en-US"/>
        </w:rPr>
        <w:tab/>
      </w:r>
      <w:r w:rsidRPr="00CF6765">
        <w:rPr>
          <w:i/>
          <w:sz w:val="16"/>
          <w:szCs w:val="16"/>
          <w:lang w:val="en-US"/>
        </w:rPr>
        <w:t xml:space="preserve">Cf. </w:t>
      </w:r>
      <w:r w:rsidRPr="00CF6765">
        <w:rPr>
          <w:sz w:val="16"/>
          <w:szCs w:val="16"/>
          <w:lang w:val="en-US"/>
        </w:rPr>
        <w:t>Opinion of expert witness, Dr. Javier Alejandro Santos,</w:t>
      </w:r>
      <w:r w:rsidRPr="00CF6765">
        <w:rPr>
          <w:i/>
          <w:sz w:val="16"/>
          <w:szCs w:val="16"/>
          <w:lang w:val="en-US"/>
        </w:rPr>
        <w:t xml:space="preserve"> supra,</w:t>
      </w:r>
      <w:r w:rsidRPr="00CF6765">
        <w:rPr>
          <w:sz w:val="16"/>
          <w:szCs w:val="16"/>
          <w:lang w:val="en-US"/>
        </w:rPr>
        <w:t xml:space="preserve"> p. 46, In it, he stated: “patient, 76 years of age, with history of Type 2 diabetes, hypertension, arrhythmia […].”</w:t>
      </w:r>
    </w:p>
  </w:footnote>
  <w:footnote w:id="236">
    <w:p w14:paraId="1303DA53" w14:textId="14BB629F"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sz w:val="16"/>
          <w:szCs w:val="16"/>
          <w:lang w:val="en-US"/>
        </w:rPr>
        <w:t xml:space="preserve"> </w:t>
      </w:r>
      <w:r w:rsidRPr="00CF6765">
        <w:rPr>
          <w:sz w:val="16"/>
          <w:szCs w:val="16"/>
          <w:lang w:val="en-US"/>
        </w:rPr>
        <w:tab/>
      </w:r>
      <w:bookmarkStart w:id="80" w:name="_Hlk501390093"/>
      <w:r w:rsidRPr="00CF6765">
        <w:rPr>
          <w:i/>
          <w:sz w:val="16"/>
          <w:szCs w:val="16"/>
          <w:lang w:val="en-US"/>
        </w:rPr>
        <w:t xml:space="preserve">Case of </w:t>
      </w:r>
      <w:r w:rsidRPr="00CF6765">
        <w:rPr>
          <w:bCs/>
          <w:i/>
          <w:sz w:val="16"/>
          <w:szCs w:val="16"/>
          <w:lang w:val="en-US"/>
        </w:rPr>
        <w:t>Ximenes Lopes v. Brazil</w:t>
      </w:r>
      <w:r w:rsidRPr="00CF6765">
        <w:rPr>
          <w:bCs/>
          <w:sz w:val="16"/>
          <w:szCs w:val="16"/>
          <w:lang w:val="en-US"/>
        </w:rPr>
        <w:t xml:space="preserve">, </w:t>
      </w:r>
      <w:r w:rsidRPr="00CF6765">
        <w:rPr>
          <w:bCs/>
          <w:i/>
          <w:sz w:val="16"/>
          <w:szCs w:val="16"/>
          <w:lang w:val="en-US"/>
        </w:rPr>
        <w:t>supra</w:t>
      </w:r>
      <w:r w:rsidRPr="00CF6765">
        <w:rPr>
          <w:bCs/>
          <w:sz w:val="16"/>
          <w:szCs w:val="16"/>
          <w:lang w:val="en-US"/>
        </w:rPr>
        <w:t>, para. 124;</w:t>
      </w:r>
      <w:r w:rsidRPr="00CF6765">
        <w:rPr>
          <w:sz w:val="16"/>
          <w:szCs w:val="16"/>
          <w:lang w:val="en-US"/>
        </w:rPr>
        <w:t xml:space="preserve"> Case of </w:t>
      </w:r>
      <w:proofErr w:type="spellStart"/>
      <w:r w:rsidRPr="00CF6765">
        <w:rPr>
          <w:i/>
          <w:sz w:val="16"/>
          <w:szCs w:val="16"/>
          <w:lang w:val="en-US"/>
        </w:rPr>
        <w:t>Artavia</w:t>
      </w:r>
      <w:proofErr w:type="spellEnd"/>
      <w:r w:rsidRPr="00CF6765">
        <w:rPr>
          <w:i/>
          <w:sz w:val="16"/>
          <w:szCs w:val="16"/>
          <w:lang w:val="en-US"/>
        </w:rPr>
        <w:t xml:space="preserve"> Murillo et al. (In vitro fertilization) v. Costa Rica</w:t>
      </w:r>
      <w:r w:rsidRPr="00CF6765">
        <w:rPr>
          <w:sz w:val="16"/>
          <w:szCs w:val="16"/>
          <w:lang w:val="en-US"/>
        </w:rPr>
        <w:t xml:space="preserve">. </w:t>
      </w:r>
      <w:r w:rsidRPr="00CF6765">
        <w:rPr>
          <w:i/>
          <w:sz w:val="16"/>
          <w:szCs w:val="16"/>
          <w:lang w:val="en-US"/>
        </w:rPr>
        <w:t>Preliminary objections, merits, reparations and costs</w:t>
      </w:r>
      <w:r w:rsidRPr="00CF6765">
        <w:rPr>
          <w:sz w:val="16"/>
          <w:szCs w:val="16"/>
          <w:lang w:val="en-US"/>
        </w:rPr>
        <w:t xml:space="preserve">. Judgment of November 28, 2012 Series C No. 257, para. 172, and </w:t>
      </w:r>
      <w:r w:rsidRPr="00CF6765">
        <w:rPr>
          <w:i/>
          <w:sz w:val="16"/>
          <w:szCs w:val="16"/>
          <w:lang w:val="en-US"/>
        </w:rPr>
        <w:t>Case of the Punta Piedra Garifuna Community and its members v. Honduras</w:t>
      </w:r>
      <w:r w:rsidRPr="00CF6765">
        <w:rPr>
          <w:sz w:val="16"/>
          <w:szCs w:val="16"/>
          <w:lang w:val="en-US"/>
        </w:rPr>
        <w:t xml:space="preserve">, </w:t>
      </w:r>
      <w:r w:rsidRPr="00CF6765">
        <w:rPr>
          <w:i/>
          <w:sz w:val="16"/>
          <w:szCs w:val="16"/>
          <w:lang w:val="en-US"/>
        </w:rPr>
        <w:t>Preliminary objections, merits, reparations and costs</w:t>
      </w:r>
      <w:r w:rsidRPr="00CF6765">
        <w:rPr>
          <w:sz w:val="16"/>
          <w:szCs w:val="16"/>
          <w:lang w:val="en-US"/>
        </w:rPr>
        <w:t xml:space="preserve">. Judgment of October 8, 2015. Series C No. 304, </w:t>
      </w:r>
      <w:bookmarkEnd w:id="80"/>
      <w:r w:rsidRPr="00CF6765">
        <w:rPr>
          <w:sz w:val="16"/>
          <w:szCs w:val="16"/>
          <w:lang w:val="en-US"/>
        </w:rPr>
        <w:t xml:space="preserve">para. 262. </w:t>
      </w:r>
    </w:p>
  </w:footnote>
  <w:footnote w:id="237">
    <w:p w14:paraId="15DB4CDD" w14:textId="4E6603A2"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sz w:val="16"/>
          <w:szCs w:val="16"/>
          <w:lang w:val="en-US"/>
        </w:rPr>
        <w:t xml:space="preserve"> </w:t>
      </w:r>
      <w:r w:rsidRPr="00CF6765">
        <w:rPr>
          <w:sz w:val="16"/>
          <w:szCs w:val="16"/>
          <w:lang w:val="en-US"/>
        </w:rPr>
        <w:tab/>
      </w:r>
      <w:r w:rsidRPr="00CF6765">
        <w:rPr>
          <w:i/>
          <w:sz w:val="16"/>
          <w:szCs w:val="16"/>
          <w:lang w:val="en-US"/>
        </w:rPr>
        <w:t>Case of Suarez Peralta v. Ecuador, supra</w:t>
      </w:r>
      <w:r w:rsidRPr="00CF6765">
        <w:rPr>
          <w:sz w:val="16"/>
          <w:szCs w:val="16"/>
          <w:lang w:val="en-US"/>
        </w:rPr>
        <w:t xml:space="preserve">, para. 135. </w:t>
      </w:r>
    </w:p>
  </w:footnote>
  <w:footnote w:id="238">
    <w:p w14:paraId="3A7839C9" w14:textId="35349EE7" w:rsidR="003558F5" w:rsidRPr="00CF6765" w:rsidRDefault="003558F5" w:rsidP="00DA157F">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sz w:val="16"/>
          <w:szCs w:val="16"/>
          <w:lang w:val="en-US"/>
        </w:rPr>
        <w:t xml:space="preserve"> </w:t>
      </w:r>
      <w:r w:rsidRPr="00CF6765">
        <w:rPr>
          <w:sz w:val="16"/>
          <w:szCs w:val="16"/>
          <w:lang w:val="en-US"/>
        </w:rPr>
        <w:tab/>
        <w:t xml:space="preserve">UN, Economic and Social Council, CESCR. GC-14, </w:t>
      </w:r>
      <w:r w:rsidRPr="00CF6765">
        <w:rPr>
          <w:i/>
          <w:sz w:val="16"/>
          <w:szCs w:val="16"/>
          <w:lang w:val="en-US"/>
        </w:rPr>
        <w:t>supra</w:t>
      </w:r>
      <w:r w:rsidRPr="00CF6765">
        <w:rPr>
          <w:sz w:val="16"/>
          <w:szCs w:val="16"/>
          <w:lang w:val="en-US"/>
        </w:rPr>
        <w:t>, paras. 35 and 51: “[o]</w:t>
      </w:r>
      <w:proofErr w:type="spellStart"/>
      <w:r w:rsidRPr="00CF6765">
        <w:rPr>
          <w:sz w:val="16"/>
          <w:szCs w:val="16"/>
          <w:lang w:val="en-US"/>
        </w:rPr>
        <w:t>bligations</w:t>
      </w:r>
      <w:proofErr w:type="spellEnd"/>
      <w:r w:rsidRPr="00CF6765">
        <w:rPr>
          <w:sz w:val="16"/>
          <w:szCs w:val="16"/>
          <w:lang w:val="en-US"/>
        </w:rPr>
        <w:t xml:space="preserve"> to protect include […] the duties of States to adopt legislation or to take other measures ensuring […] quality of health facilities […] and to ensure that medical practitioners and other health professionals meet appropriate standards of education, skill and ethical codes of conduct.” “Violations of the obligation to protect follow from the failure of a State to take all necessary measures to safeguard persons within their jurisdiction from infringements of the right to health by third parties,” which include, for example, “such omissions as the failure to regulate the activities of individuals, groups or corporations so as to prevent them from violating the right to health of others.”</w:t>
      </w:r>
    </w:p>
  </w:footnote>
  <w:footnote w:id="239">
    <w:p w14:paraId="29F5D101" w14:textId="2588DC1C" w:rsidR="003558F5" w:rsidRPr="00CF6765" w:rsidRDefault="003558F5" w:rsidP="00DA157F">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rStyle w:val="Refdenotaalpie"/>
          <w:rFonts w:eastAsia="Calibri"/>
          <w:sz w:val="16"/>
          <w:szCs w:val="16"/>
          <w:lang w:val="en-US" w:eastAsia="en-US"/>
        </w:rPr>
        <w:tab/>
      </w:r>
      <w:r w:rsidRPr="00CF6765">
        <w:rPr>
          <w:sz w:val="16"/>
          <w:szCs w:val="16"/>
          <w:lang w:val="en-US"/>
        </w:rPr>
        <w:t xml:space="preserve">The ECHR has indicated that: “[among] the fundamental provisions of the Convention [States are required to comply with] the obligation [… to adopt] the necessary measures to protect the lives of the persons under their jurisdiction […]. These principles also apply in the sphere of public health, where positive obligations […] require the State to establish a framework of regulated entities, either public or private, adopting appropriate measures for the protection of their patients’ lives.” See also, </w:t>
      </w:r>
      <w:r w:rsidRPr="00CF6765">
        <w:rPr>
          <w:i/>
          <w:sz w:val="16"/>
          <w:szCs w:val="16"/>
          <w:lang w:val="en-US"/>
        </w:rPr>
        <w:t xml:space="preserve">Case of Lazar v. Romania, </w:t>
      </w:r>
      <w:r w:rsidRPr="00CF6765">
        <w:rPr>
          <w:sz w:val="16"/>
          <w:szCs w:val="16"/>
          <w:lang w:val="en-US"/>
        </w:rPr>
        <w:t xml:space="preserve">No. 32146/05. Third Section. Judgment of May 16, 2010, para. 66; </w:t>
      </w:r>
      <w:r w:rsidRPr="00CF6765">
        <w:rPr>
          <w:i/>
          <w:sz w:val="16"/>
          <w:szCs w:val="16"/>
          <w:lang w:val="en-US"/>
        </w:rPr>
        <w:t>Case of Z v. Poland</w:t>
      </w:r>
      <w:r w:rsidRPr="00CF6765">
        <w:rPr>
          <w:sz w:val="16"/>
          <w:szCs w:val="16"/>
          <w:lang w:val="en-US"/>
        </w:rPr>
        <w:t xml:space="preserve">, </w:t>
      </w:r>
      <w:r w:rsidRPr="00CF6765">
        <w:rPr>
          <w:i/>
          <w:sz w:val="16"/>
          <w:szCs w:val="16"/>
          <w:lang w:val="en-US"/>
        </w:rPr>
        <w:t>supra</w:t>
      </w:r>
      <w:r w:rsidRPr="00CF6765">
        <w:rPr>
          <w:sz w:val="16"/>
          <w:szCs w:val="16"/>
          <w:lang w:val="en-US"/>
        </w:rPr>
        <w:t xml:space="preserve">, para. 76, </w:t>
      </w:r>
      <w:r w:rsidRPr="00CF6765">
        <w:rPr>
          <w:i/>
          <w:iCs/>
          <w:sz w:val="16"/>
          <w:szCs w:val="16"/>
          <w:lang w:val="en-US"/>
        </w:rPr>
        <w:t>Case of</w:t>
      </w:r>
      <w:r w:rsidRPr="00CF6765">
        <w:rPr>
          <w:sz w:val="16"/>
          <w:szCs w:val="16"/>
          <w:lang w:val="en-US"/>
        </w:rPr>
        <w:t xml:space="preserve"> </w:t>
      </w:r>
      <w:proofErr w:type="spellStart"/>
      <w:r w:rsidRPr="00CF6765">
        <w:rPr>
          <w:i/>
          <w:sz w:val="16"/>
          <w:szCs w:val="16"/>
          <w:lang w:val="en-US"/>
        </w:rPr>
        <w:t>Calvelli</w:t>
      </w:r>
      <w:proofErr w:type="spellEnd"/>
      <w:r w:rsidRPr="00CF6765">
        <w:rPr>
          <w:i/>
          <w:sz w:val="16"/>
          <w:szCs w:val="16"/>
          <w:lang w:val="en-US"/>
        </w:rPr>
        <w:t xml:space="preserve"> and </w:t>
      </w:r>
      <w:proofErr w:type="spellStart"/>
      <w:r w:rsidRPr="00CF6765">
        <w:rPr>
          <w:i/>
          <w:sz w:val="16"/>
          <w:szCs w:val="16"/>
          <w:lang w:val="en-US"/>
        </w:rPr>
        <w:t>Ciglio</w:t>
      </w:r>
      <w:proofErr w:type="spellEnd"/>
      <w:r w:rsidRPr="00CF6765">
        <w:rPr>
          <w:i/>
          <w:sz w:val="16"/>
          <w:szCs w:val="16"/>
          <w:lang w:val="en-US"/>
        </w:rPr>
        <w:t xml:space="preserve"> v. Italy</w:t>
      </w:r>
      <w:r w:rsidRPr="00CF6765">
        <w:rPr>
          <w:sz w:val="16"/>
          <w:szCs w:val="16"/>
          <w:lang w:val="en-US"/>
        </w:rPr>
        <w:t xml:space="preserve">. No. 32967/96. Judgment of January 17, 2002, para. 49, </w:t>
      </w:r>
      <w:r w:rsidRPr="00CF6765">
        <w:rPr>
          <w:i/>
          <w:iCs/>
          <w:sz w:val="16"/>
          <w:szCs w:val="16"/>
          <w:lang w:val="en-US"/>
        </w:rPr>
        <w:t>Case of</w:t>
      </w:r>
      <w:r w:rsidRPr="00CF6765">
        <w:rPr>
          <w:sz w:val="16"/>
          <w:szCs w:val="16"/>
          <w:lang w:val="en-US"/>
        </w:rPr>
        <w:t xml:space="preserve"> </w:t>
      </w:r>
      <w:proofErr w:type="spellStart"/>
      <w:r w:rsidRPr="00CF6765">
        <w:rPr>
          <w:i/>
          <w:sz w:val="16"/>
          <w:szCs w:val="16"/>
          <w:lang w:val="en-US"/>
        </w:rPr>
        <w:t>Byrzykowski</w:t>
      </w:r>
      <w:proofErr w:type="spellEnd"/>
      <w:r w:rsidRPr="00CF6765">
        <w:rPr>
          <w:i/>
          <w:sz w:val="16"/>
          <w:szCs w:val="16"/>
          <w:lang w:val="en-US"/>
        </w:rPr>
        <w:t xml:space="preserve"> v. Poland</w:t>
      </w:r>
      <w:r w:rsidRPr="00CF6765">
        <w:rPr>
          <w:sz w:val="16"/>
          <w:szCs w:val="16"/>
          <w:lang w:val="en-US"/>
        </w:rPr>
        <w:t xml:space="preserve">. No 11562/05. Fourth Section. Judgment of June 27, 2006, para. 104, and </w:t>
      </w:r>
      <w:r w:rsidRPr="00CF6765">
        <w:rPr>
          <w:i/>
          <w:iCs/>
          <w:sz w:val="16"/>
          <w:szCs w:val="16"/>
          <w:lang w:val="en-US"/>
        </w:rPr>
        <w:t>Case of</w:t>
      </w:r>
      <w:r w:rsidRPr="00CF6765">
        <w:rPr>
          <w:sz w:val="16"/>
          <w:szCs w:val="16"/>
          <w:lang w:val="en-US"/>
        </w:rPr>
        <w:t xml:space="preserve"> </w:t>
      </w:r>
      <w:proofErr w:type="spellStart"/>
      <w:r w:rsidRPr="00CF6765">
        <w:rPr>
          <w:i/>
          <w:sz w:val="16"/>
          <w:szCs w:val="16"/>
          <w:lang w:val="en-US"/>
        </w:rPr>
        <w:t>Silih</w:t>
      </w:r>
      <w:proofErr w:type="spellEnd"/>
      <w:r w:rsidRPr="00CF6765">
        <w:rPr>
          <w:i/>
          <w:sz w:val="16"/>
          <w:szCs w:val="16"/>
          <w:lang w:val="en-US"/>
        </w:rPr>
        <w:t xml:space="preserve"> v. Slovenia</w:t>
      </w:r>
      <w:r w:rsidRPr="00CF6765">
        <w:rPr>
          <w:sz w:val="16"/>
          <w:szCs w:val="16"/>
          <w:lang w:val="en-US"/>
        </w:rPr>
        <w:t>. No. 71463/014. Judgment of April 9, 2009, para. 192.</w:t>
      </w:r>
    </w:p>
  </w:footnote>
  <w:footnote w:id="240">
    <w:p w14:paraId="3C2E0806" w14:textId="10C25A51"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rFonts w:eastAsia="Calibri"/>
          <w:sz w:val="16"/>
          <w:szCs w:val="16"/>
          <w:lang w:val="en-US" w:eastAsia="en-US"/>
        </w:rPr>
        <w:t xml:space="preserve"> </w:t>
      </w:r>
      <w:r w:rsidRPr="00CF6765">
        <w:rPr>
          <w:rFonts w:eastAsia="Calibri"/>
          <w:sz w:val="16"/>
          <w:szCs w:val="16"/>
          <w:lang w:val="en-US" w:eastAsia="en-US"/>
        </w:rPr>
        <w:tab/>
      </w:r>
      <w:r w:rsidRPr="00CF6765">
        <w:rPr>
          <w:sz w:val="16"/>
          <w:szCs w:val="16"/>
          <w:lang w:val="en-US"/>
        </w:rPr>
        <w:t xml:space="preserve">ECHR, </w:t>
      </w:r>
      <w:r w:rsidRPr="00CF6765">
        <w:rPr>
          <w:i/>
          <w:sz w:val="16"/>
          <w:szCs w:val="16"/>
          <w:lang w:val="en-US"/>
        </w:rPr>
        <w:t>Case of Lopes de Sousa Fernandes v. Portugal</w:t>
      </w:r>
      <w:r w:rsidRPr="00CF6765">
        <w:rPr>
          <w:sz w:val="16"/>
          <w:szCs w:val="16"/>
          <w:lang w:val="en-US"/>
        </w:rPr>
        <w:t>, No. 56080/13. Judgment of December 19, 2017, paras. 194, 195 and 196.</w:t>
      </w:r>
    </w:p>
  </w:footnote>
  <w:footnote w:id="241">
    <w:p w14:paraId="4CF68FF7" w14:textId="2AEE3CE0"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lang w:val="en-US"/>
        </w:rPr>
        <w:t xml:space="preserve"> </w:t>
      </w:r>
      <w:r w:rsidRPr="00CF6765">
        <w:rPr>
          <w:sz w:val="16"/>
          <w:szCs w:val="16"/>
          <w:lang w:val="en-US"/>
        </w:rPr>
        <w:tab/>
      </w:r>
      <w:r w:rsidRPr="00CF6765">
        <w:rPr>
          <w:i/>
          <w:sz w:val="16"/>
          <w:szCs w:val="16"/>
          <w:lang w:val="en-US"/>
        </w:rPr>
        <w:t>Case of Ximenes Lopes v. Brazil</w:t>
      </w:r>
      <w:r w:rsidRPr="00CF6765">
        <w:rPr>
          <w:sz w:val="16"/>
          <w:szCs w:val="16"/>
          <w:lang w:val="en-US"/>
        </w:rPr>
        <w:t xml:space="preserve">, </w:t>
      </w:r>
      <w:r w:rsidRPr="00CF6765">
        <w:rPr>
          <w:i/>
          <w:sz w:val="16"/>
          <w:szCs w:val="16"/>
          <w:lang w:val="en-US"/>
        </w:rPr>
        <w:t>supra</w:t>
      </w:r>
      <w:r w:rsidRPr="00CF6765">
        <w:rPr>
          <w:sz w:val="16"/>
          <w:szCs w:val="16"/>
          <w:lang w:val="en-US"/>
        </w:rPr>
        <w:t xml:space="preserve">, paras. 120 to 122, 146 and 150. and Case of </w:t>
      </w:r>
      <w:r w:rsidRPr="00CF6765">
        <w:rPr>
          <w:i/>
          <w:sz w:val="16"/>
          <w:szCs w:val="16"/>
          <w:lang w:val="en-US"/>
        </w:rPr>
        <w:t xml:space="preserve">Vera </w:t>
      </w:r>
      <w:proofErr w:type="spellStart"/>
      <w:r w:rsidRPr="00CF6765">
        <w:rPr>
          <w:i/>
          <w:sz w:val="16"/>
          <w:szCs w:val="16"/>
          <w:lang w:val="en-US"/>
        </w:rPr>
        <w:t>Vera</w:t>
      </w:r>
      <w:proofErr w:type="spellEnd"/>
      <w:r w:rsidRPr="00CF6765">
        <w:rPr>
          <w:i/>
          <w:sz w:val="16"/>
          <w:szCs w:val="16"/>
          <w:lang w:val="en-US"/>
        </w:rPr>
        <w:t xml:space="preserve"> et al. v. Ecuador</w:t>
      </w:r>
      <w:r w:rsidRPr="00CF6765">
        <w:rPr>
          <w:sz w:val="16"/>
          <w:szCs w:val="16"/>
          <w:lang w:val="en-US"/>
        </w:rPr>
        <w:t xml:space="preserve">, </w:t>
      </w:r>
      <w:r w:rsidRPr="00CF6765">
        <w:rPr>
          <w:i/>
          <w:sz w:val="16"/>
          <w:szCs w:val="16"/>
          <w:lang w:val="en-US"/>
        </w:rPr>
        <w:t>supra</w:t>
      </w:r>
      <w:r w:rsidRPr="00CF6765">
        <w:rPr>
          <w:sz w:val="16"/>
          <w:szCs w:val="16"/>
          <w:lang w:val="en-US"/>
        </w:rPr>
        <w:t xml:space="preserve">, paras. 54 and 65. </w:t>
      </w:r>
    </w:p>
  </w:footnote>
  <w:footnote w:id="242">
    <w:p w14:paraId="29FDE301" w14:textId="53EAA038"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rStyle w:val="Refdenotaalpie"/>
          <w:rFonts w:eastAsia="Calibri"/>
          <w:sz w:val="16"/>
          <w:szCs w:val="16"/>
          <w:lang w:val="en-US" w:eastAsia="en-US"/>
        </w:rPr>
        <w:t xml:space="preserve"> </w:t>
      </w:r>
      <w:r w:rsidRPr="00CF6765">
        <w:rPr>
          <w:sz w:val="16"/>
          <w:szCs w:val="16"/>
          <w:lang w:val="en-US"/>
        </w:rPr>
        <w:t xml:space="preserve"> </w:t>
      </w:r>
      <w:r w:rsidRPr="00CF6765">
        <w:rPr>
          <w:i/>
          <w:sz w:val="16"/>
          <w:szCs w:val="16"/>
          <w:lang w:val="en-US"/>
        </w:rPr>
        <w:tab/>
        <w:t>Cf.</w:t>
      </w:r>
      <w:r w:rsidRPr="00CF6765">
        <w:rPr>
          <w:sz w:val="16"/>
          <w:szCs w:val="16"/>
          <w:lang w:val="en-US"/>
        </w:rPr>
        <w:t xml:space="preserve"> </w:t>
      </w:r>
      <w:r w:rsidRPr="00CF6765">
        <w:rPr>
          <w:i/>
          <w:sz w:val="16"/>
          <w:szCs w:val="16"/>
          <w:lang w:val="en-US"/>
        </w:rPr>
        <w:t xml:space="preserve">Mutatis </w:t>
      </w:r>
      <w:proofErr w:type="spellStart"/>
      <w:r w:rsidRPr="00CF6765">
        <w:rPr>
          <w:i/>
          <w:sz w:val="16"/>
          <w:szCs w:val="16"/>
          <w:lang w:val="en-US"/>
        </w:rPr>
        <w:t>mutandi</w:t>
      </w:r>
      <w:proofErr w:type="spellEnd"/>
      <w:r w:rsidRPr="00CF6765">
        <w:rPr>
          <w:sz w:val="16"/>
          <w:szCs w:val="16"/>
          <w:lang w:val="en-US"/>
        </w:rPr>
        <w:t xml:space="preserve">, ECHR, </w:t>
      </w:r>
      <w:r w:rsidRPr="00CF6765">
        <w:rPr>
          <w:i/>
          <w:sz w:val="16"/>
          <w:szCs w:val="16"/>
          <w:lang w:val="en-US"/>
        </w:rPr>
        <w:t>Case of Lopes de Sousa Fernandes v. Portugal</w:t>
      </w:r>
      <w:r w:rsidRPr="00CF6765">
        <w:rPr>
          <w:sz w:val="16"/>
          <w:szCs w:val="16"/>
          <w:lang w:val="en-US"/>
        </w:rPr>
        <w:t xml:space="preserve">, </w:t>
      </w:r>
      <w:r w:rsidRPr="00CF6765">
        <w:rPr>
          <w:i/>
          <w:sz w:val="16"/>
          <w:szCs w:val="16"/>
          <w:lang w:val="en-US"/>
        </w:rPr>
        <w:t>supra</w:t>
      </w:r>
      <w:r w:rsidRPr="00CF6765">
        <w:rPr>
          <w:sz w:val="16"/>
          <w:szCs w:val="16"/>
          <w:lang w:val="en-US"/>
        </w:rPr>
        <w:t>, para. 195.</w:t>
      </w:r>
    </w:p>
  </w:footnote>
  <w:footnote w:id="243">
    <w:p w14:paraId="0BFA62E6" w14:textId="3C0C1848" w:rsidR="003558F5" w:rsidRPr="00CF6765" w:rsidRDefault="003558F5" w:rsidP="00002163">
      <w:pPr>
        <w:pStyle w:val="Textonotapie"/>
        <w:spacing w:after="60"/>
        <w:rPr>
          <w:sz w:val="16"/>
          <w:szCs w:val="16"/>
          <w:lang w:val="en-US"/>
        </w:rPr>
      </w:pPr>
      <w:r w:rsidRPr="00CF6765">
        <w:rPr>
          <w:rStyle w:val="Refdenotaalpie"/>
          <w:rFonts w:eastAsia="Calibri"/>
          <w:sz w:val="16"/>
          <w:szCs w:val="16"/>
          <w:lang w:val="en-US" w:eastAsia="en-US"/>
        </w:rPr>
        <w:footnoteRef/>
      </w:r>
      <w:r w:rsidRPr="00CF6765">
        <w:rPr>
          <w:rStyle w:val="Refdenotaalpie"/>
          <w:rFonts w:eastAsia="Calibri"/>
          <w:sz w:val="16"/>
          <w:szCs w:val="16"/>
          <w:lang w:val="en-US" w:eastAsia="en-US"/>
        </w:rPr>
        <w:t xml:space="preserve">  </w:t>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 xml:space="preserve">Case of the </w:t>
      </w:r>
      <w:proofErr w:type="spellStart"/>
      <w:r w:rsidRPr="00CF6765">
        <w:rPr>
          <w:i/>
          <w:sz w:val="16"/>
          <w:szCs w:val="16"/>
          <w:lang w:val="en-US"/>
        </w:rPr>
        <w:t>Xákmok</w:t>
      </w:r>
      <w:proofErr w:type="spellEnd"/>
      <w:r w:rsidRPr="00CF6765">
        <w:rPr>
          <w:i/>
          <w:sz w:val="16"/>
          <w:szCs w:val="16"/>
          <w:lang w:val="en-US"/>
        </w:rPr>
        <w:t xml:space="preserve"> </w:t>
      </w:r>
      <w:proofErr w:type="spellStart"/>
      <w:r w:rsidRPr="00CF6765">
        <w:rPr>
          <w:i/>
          <w:sz w:val="16"/>
          <w:szCs w:val="16"/>
          <w:lang w:val="en-US"/>
        </w:rPr>
        <w:t>Kásek</w:t>
      </w:r>
      <w:proofErr w:type="spellEnd"/>
      <w:r w:rsidRPr="00CF6765">
        <w:rPr>
          <w:i/>
          <w:sz w:val="16"/>
          <w:szCs w:val="16"/>
          <w:lang w:val="en-US"/>
        </w:rPr>
        <w:t xml:space="preserve"> Indigenous Community v. Paraguay. Merits, reparations and costs</w:t>
      </w:r>
      <w:r w:rsidRPr="00CF6765">
        <w:rPr>
          <w:iCs/>
          <w:sz w:val="16"/>
          <w:szCs w:val="16"/>
          <w:lang w:val="en-US"/>
        </w:rPr>
        <w:t>. Judgment of August 24, 2010. Series C No. 214.</w:t>
      </w:r>
      <w:r w:rsidRPr="00CF6765">
        <w:rPr>
          <w:i/>
          <w:sz w:val="16"/>
          <w:szCs w:val="16"/>
          <w:lang w:val="en-US"/>
        </w:rPr>
        <w:t xml:space="preserve"> </w:t>
      </w:r>
      <w:r w:rsidRPr="00CF6765">
        <w:rPr>
          <w:sz w:val="16"/>
          <w:szCs w:val="16"/>
          <w:lang w:val="en-US"/>
        </w:rPr>
        <w:t xml:space="preserve">para. 227, and </w:t>
      </w:r>
      <w:r w:rsidRPr="00CF6765">
        <w:rPr>
          <w:i/>
          <w:sz w:val="16"/>
          <w:szCs w:val="16"/>
          <w:lang w:val="en-US"/>
        </w:rPr>
        <w:t xml:space="preserve">Case of </w:t>
      </w:r>
      <w:proofErr w:type="spellStart"/>
      <w:r w:rsidRPr="00CF6765">
        <w:rPr>
          <w:i/>
          <w:sz w:val="16"/>
          <w:szCs w:val="16"/>
          <w:lang w:val="en-US"/>
        </w:rPr>
        <w:t>Furlan</w:t>
      </w:r>
      <w:proofErr w:type="spellEnd"/>
      <w:r w:rsidRPr="00CF6765">
        <w:rPr>
          <w:i/>
          <w:sz w:val="16"/>
          <w:szCs w:val="16"/>
          <w:lang w:val="en-US"/>
        </w:rPr>
        <w:t xml:space="preserve"> and family v. Argentina</w:t>
      </w:r>
      <w:r w:rsidRPr="00CF6765">
        <w:rPr>
          <w:sz w:val="16"/>
          <w:szCs w:val="16"/>
          <w:lang w:val="en-US"/>
        </w:rPr>
        <w:t xml:space="preserve">, </w:t>
      </w:r>
      <w:r w:rsidRPr="00CF6765">
        <w:rPr>
          <w:i/>
          <w:sz w:val="16"/>
          <w:szCs w:val="16"/>
          <w:lang w:val="en-US"/>
        </w:rPr>
        <w:t>supra</w:t>
      </w:r>
      <w:r w:rsidRPr="00CF6765">
        <w:rPr>
          <w:sz w:val="16"/>
          <w:szCs w:val="16"/>
          <w:lang w:val="en-US"/>
        </w:rPr>
        <w:t xml:space="preserve">, para. 134.  </w:t>
      </w:r>
    </w:p>
  </w:footnote>
  <w:footnote w:id="244">
    <w:p w14:paraId="1FB0DA9D" w14:textId="5D2C51F0"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Case of Ximenes Lopes v. Brazil, supra, </w:t>
      </w:r>
      <w:r w:rsidRPr="00CF6765">
        <w:rPr>
          <w:sz w:val="16"/>
          <w:szCs w:val="16"/>
          <w:lang w:val="en-US"/>
        </w:rPr>
        <w:t>para. 125.</w:t>
      </w:r>
      <w:r w:rsidRPr="00CF6765">
        <w:rPr>
          <w:i/>
          <w:sz w:val="16"/>
          <w:szCs w:val="16"/>
          <w:lang w:val="en-US"/>
        </w:rPr>
        <w:t xml:space="preserve"> </w:t>
      </w:r>
    </w:p>
  </w:footnote>
  <w:footnote w:id="245">
    <w:p w14:paraId="5EBF7055" w14:textId="06FA4B39" w:rsidR="003558F5" w:rsidRPr="00CF6765" w:rsidRDefault="003558F5" w:rsidP="00002163">
      <w:pPr>
        <w:pStyle w:val="Textonotapie"/>
        <w:spacing w:after="60"/>
        <w:rPr>
          <w:sz w:val="16"/>
          <w:lang w:val="en-US"/>
        </w:rPr>
      </w:pPr>
      <w:r w:rsidRPr="00CF6765">
        <w:rPr>
          <w:rStyle w:val="Refdenotaalpie"/>
          <w:rFonts w:eastAsia="Calibri"/>
          <w:sz w:val="16"/>
          <w:szCs w:val="16"/>
          <w:lang w:val="en-US" w:eastAsia="en-US"/>
        </w:rPr>
        <w:footnoteRef/>
      </w:r>
      <w:r w:rsidRPr="00CF6765">
        <w:rPr>
          <w:lang w:val="en-US"/>
        </w:rPr>
        <w:t xml:space="preserve"> </w:t>
      </w:r>
      <w:r w:rsidRPr="00CF6765">
        <w:rPr>
          <w:lang w:val="en-US"/>
        </w:rPr>
        <w:tab/>
      </w:r>
      <w:r w:rsidRPr="00CF6765">
        <w:rPr>
          <w:sz w:val="16"/>
          <w:lang w:val="en-US"/>
        </w:rPr>
        <w:t xml:space="preserve">In this regard, at the time of the facts, the </w:t>
      </w:r>
      <w:proofErr w:type="spellStart"/>
      <w:r w:rsidRPr="00CF6765">
        <w:rPr>
          <w:sz w:val="16"/>
          <w:lang w:val="en-US"/>
        </w:rPr>
        <w:t>Sótero</w:t>
      </w:r>
      <w:proofErr w:type="spellEnd"/>
      <w:r w:rsidRPr="00CF6765">
        <w:rPr>
          <w:sz w:val="16"/>
          <w:lang w:val="en-US"/>
        </w:rPr>
        <w:t xml:space="preserve"> del Río Hospital did not have the infrastructure and basic elements to provide adequate medical care to the patient. This is exemplified by, for example, the unavailability of beds in the appropriate medical unit, the failure to transfer him and the lack of a mechanical ventilator, together with the lack of ambulances and the failure to provide clear and transparent information to the family members. Furthermore, the medical staff who intervened did not ensure the patient’s vital needs, due particularly to the early discharge, the antibiotic used, the numerous versions of the cause of death, and the treatment provided given his condition as an older person (</w:t>
      </w:r>
      <w:r w:rsidRPr="00CF6765">
        <w:rPr>
          <w:i/>
          <w:sz w:val="16"/>
          <w:lang w:val="en-US"/>
        </w:rPr>
        <w:t>supra</w:t>
      </w:r>
      <w:r w:rsidRPr="00CF6765">
        <w:rPr>
          <w:sz w:val="16"/>
          <w:lang w:val="en-US"/>
        </w:rPr>
        <w:t>, paras. 136 and 137).</w:t>
      </w:r>
    </w:p>
  </w:footnote>
  <w:footnote w:id="246">
    <w:p w14:paraId="2C649EF0" w14:textId="606EDF94"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Case of </w:t>
      </w:r>
      <w:proofErr w:type="spellStart"/>
      <w:r w:rsidRPr="00CF6765">
        <w:rPr>
          <w:i/>
          <w:sz w:val="16"/>
          <w:szCs w:val="16"/>
          <w:lang w:val="en-US"/>
        </w:rPr>
        <w:t>Albán</w:t>
      </w:r>
      <w:proofErr w:type="spellEnd"/>
      <w:r w:rsidRPr="00CF6765">
        <w:rPr>
          <w:i/>
          <w:sz w:val="16"/>
          <w:szCs w:val="16"/>
          <w:lang w:val="en-US"/>
        </w:rPr>
        <w:t xml:space="preserve"> Cornejo et al., supra</w:t>
      </w:r>
      <w:r w:rsidRPr="00CF6765">
        <w:rPr>
          <w:sz w:val="16"/>
          <w:szCs w:val="16"/>
          <w:lang w:val="en-US"/>
        </w:rPr>
        <w:t xml:space="preserve">, para. </w:t>
      </w:r>
      <w:r w:rsidRPr="00392A9A">
        <w:rPr>
          <w:sz w:val="16"/>
          <w:szCs w:val="16"/>
          <w:lang w:val="es-CR"/>
        </w:rPr>
        <w:t>117</w:t>
      </w:r>
      <w:r w:rsidRPr="00392A9A">
        <w:rPr>
          <w:i/>
          <w:sz w:val="16"/>
          <w:szCs w:val="16"/>
          <w:lang w:val="es-CR"/>
        </w:rPr>
        <w:t xml:space="preserve">, and Case </w:t>
      </w:r>
      <w:proofErr w:type="spellStart"/>
      <w:r w:rsidRPr="00392A9A">
        <w:rPr>
          <w:i/>
          <w:sz w:val="16"/>
          <w:szCs w:val="16"/>
          <w:lang w:val="es-CR"/>
        </w:rPr>
        <w:t>of</w:t>
      </w:r>
      <w:proofErr w:type="spellEnd"/>
      <w:r w:rsidRPr="00392A9A">
        <w:rPr>
          <w:i/>
          <w:sz w:val="16"/>
          <w:szCs w:val="16"/>
          <w:lang w:val="es-CR"/>
        </w:rPr>
        <w:t xml:space="preserve"> Vera </w:t>
      </w:r>
      <w:proofErr w:type="spellStart"/>
      <w:r w:rsidRPr="00392A9A">
        <w:rPr>
          <w:i/>
          <w:sz w:val="16"/>
          <w:szCs w:val="16"/>
          <w:lang w:val="es-CR"/>
        </w:rPr>
        <w:t>Vera</w:t>
      </w:r>
      <w:proofErr w:type="spellEnd"/>
      <w:r w:rsidRPr="00392A9A">
        <w:rPr>
          <w:i/>
          <w:sz w:val="16"/>
          <w:szCs w:val="16"/>
          <w:lang w:val="es-CR"/>
        </w:rPr>
        <w:t xml:space="preserve"> et al. v. Ecuador</w:t>
      </w:r>
      <w:r w:rsidRPr="00392A9A">
        <w:rPr>
          <w:sz w:val="16"/>
          <w:szCs w:val="16"/>
          <w:lang w:val="es-CR"/>
        </w:rPr>
        <w:t xml:space="preserve">, </w:t>
      </w:r>
      <w:r w:rsidRPr="00392A9A">
        <w:rPr>
          <w:i/>
          <w:sz w:val="16"/>
          <w:szCs w:val="16"/>
          <w:lang w:val="es-CR"/>
        </w:rPr>
        <w:t>supra</w:t>
      </w:r>
      <w:r w:rsidRPr="00392A9A">
        <w:rPr>
          <w:sz w:val="16"/>
          <w:szCs w:val="16"/>
          <w:lang w:val="es-CR"/>
        </w:rPr>
        <w:t xml:space="preserve">, para. </w:t>
      </w:r>
      <w:r w:rsidRPr="00CF6765">
        <w:rPr>
          <w:sz w:val="16"/>
          <w:szCs w:val="16"/>
          <w:lang w:val="en-US"/>
        </w:rPr>
        <w:t>43.</w:t>
      </w:r>
    </w:p>
  </w:footnote>
  <w:footnote w:id="247">
    <w:p w14:paraId="2B322352" w14:textId="55F5E89D" w:rsidR="003558F5" w:rsidRPr="00CF6765" w:rsidRDefault="003558F5" w:rsidP="00002163">
      <w:pPr>
        <w:pStyle w:val="Textonotapie"/>
        <w:spacing w:after="60"/>
        <w:rPr>
          <w:b/>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b/>
          <w:sz w:val="16"/>
          <w:szCs w:val="16"/>
          <w:lang w:val="en-US"/>
        </w:rPr>
        <w:tab/>
      </w:r>
      <w:r w:rsidRPr="00CF6765">
        <w:rPr>
          <w:i/>
          <w:sz w:val="16"/>
          <w:szCs w:val="16"/>
          <w:lang w:val="en-US"/>
        </w:rPr>
        <w:t xml:space="preserve">Cf. Case of Montero </w:t>
      </w:r>
      <w:proofErr w:type="spellStart"/>
      <w:r w:rsidRPr="00CF6765">
        <w:rPr>
          <w:i/>
          <w:sz w:val="16"/>
          <w:szCs w:val="16"/>
          <w:lang w:val="en-US"/>
        </w:rPr>
        <w:t>Aranguren</w:t>
      </w:r>
      <w:proofErr w:type="spellEnd"/>
      <w:r w:rsidRPr="00CF6765">
        <w:rPr>
          <w:i/>
          <w:sz w:val="16"/>
          <w:szCs w:val="16"/>
          <w:lang w:val="en-US"/>
        </w:rPr>
        <w:t xml:space="preserve"> et al. (</w:t>
      </w:r>
      <w:proofErr w:type="spellStart"/>
      <w:r w:rsidRPr="00CF6765">
        <w:rPr>
          <w:i/>
          <w:sz w:val="16"/>
          <w:szCs w:val="16"/>
          <w:lang w:val="en-US"/>
        </w:rPr>
        <w:t>Retén</w:t>
      </w:r>
      <w:proofErr w:type="spellEnd"/>
      <w:r w:rsidRPr="00CF6765">
        <w:rPr>
          <w:i/>
          <w:sz w:val="16"/>
          <w:szCs w:val="16"/>
          <w:lang w:val="en-US"/>
        </w:rPr>
        <w:t xml:space="preserve"> de Catia) v. Venezuela (Preliminary objection, merits, reparations and costs).  </w:t>
      </w:r>
      <w:r w:rsidRPr="00CF6765">
        <w:rPr>
          <w:sz w:val="16"/>
          <w:szCs w:val="16"/>
          <w:lang w:val="en-US"/>
        </w:rPr>
        <w:t xml:space="preserve">Judgment of July 5, 2006. Series C No. 150, para. 103, and </w:t>
      </w:r>
      <w:r w:rsidRPr="00CF6765">
        <w:rPr>
          <w:bCs/>
          <w:i/>
          <w:sz w:val="16"/>
          <w:szCs w:val="16"/>
          <w:lang w:val="en-US"/>
        </w:rPr>
        <w:t xml:space="preserve">Case of Vera </w:t>
      </w:r>
      <w:proofErr w:type="spellStart"/>
      <w:r w:rsidRPr="00CF6765">
        <w:rPr>
          <w:bCs/>
          <w:i/>
          <w:sz w:val="16"/>
          <w:szCs w:val="16"/>
          <w:lang w:val="en-US"/>
        </w:rPr>
        <w:t>Vera</w:t>
      </w:r>
      <w:proofErr w:type="spellEnd"/>
      <w:r w:rsidRPr="00CF6765">
        <w:rPr>
          <w:bCs/>
          <w:i/>
          <w:sz w:val="16"/>
          <w:szCs w:val="16"/>
          <w:lang w:val="en-US"/>
        </w:rPr>
        <w:t xml:space="preserve"> et al., supra</w:t>
      </w:r>
      <w:r w:rsidRPr="00CF6765">
        <w:rPr>
          <w:sz w:val="16"/>
          <w:szCs w:val="16"/>
          <w:lang w:val="en-US"/>
        </w:rPr>
        <w:t>, para. 44.</w:t>
      </w:r>
    </w:p>
  </w:footnote>
  <w:footnote w:id="248">
    <w:p w14:paraId="07DB2F06" w14:textId="7FCCAD5F" w:rsidR="003558F5" w:rsidRPr="00392A9A" w:rsidRDefault="003558F5" w:rsidP="00002163">
      <w:pPr>
        <w:pStyle w:val="Textonotapie"/>
        <w:spacing w:after="60"/>
        <w:rPr>
          <w:sz w:val="16"/>
          <w:szCs w:val="16"/>
          <w:lang w:val="es-CR"/>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i/>
          <w:iCs/>
          <w:sz w:val="16"/>
          <w:szCs w:val="16"/>
          <w:lang w:val="en-US"/>
        </w:rPr>
        <w:t xml:space="preserve">Case of Gonzales </w:t>
      </w:r>
      <w:proofErr w:type="spellStart"/>
      <w:r w:rsidRPr="00CF6765">
        <w:rPr>
          <w:i/>
          <w:iCs/>
          <w:sz w:val="16"/>
          <w:szCs w:val="16"/>
          <w:lang w:val="en-US"/>
        </w:rPr>
        <w:t>Lluy</w:t>
      </w:r>
      <w:proofErr w:type="spellEnd"/>
      <w:r w:rsidRPr="00CF6765">
        <w:rPr>
          <w:i/>
          <w:iCs/>
          <w:sz w:val="16"/>
          <w:szCs w:val="16"/>
          <w:lang w:val="en-US"/>
        </w:rPr>
        <w:t xml:space="preserve"> v. Ecuador, supra</w:t>
      </w:r>
      <w:r w:rsidRPr="00CF6765">
        <w:rPr>
          <w:iCs/>
          <w:sz w:val="16"/>
          <w:szCs w:val="16"/>
          <w:lang w:val="en-US"/>
        </w:rPr>
        <w:t xml:space="preserve">, paras. 171, and </w:t>
      </w:r>
      <w:r w:rsidRPr="00CF6765">
        <w:rPr>
          <w:bCs/>
          <w:i/>
          <w:sz w:val="16"/>
          <w:szCs w:val="16"/>
          <w:lang w:val="en-US"/>
        </w:rPr>
        <w:t xml:space="preserve">Case of </w:t>
      </w:r>
      <w:proofErr w:type="spellStart"/>
      <w:r w:rsidRPr="00CF6765">
        <w:rPr>
          <w:bCs/>
          <w:i/>
          <w:sz w:val="16"/>
          <w:szCs w:val="16"/>
          <w:lang w:val="en-US"/>
        </w:rPr>
        <w:t>Albán</w:t>
      </w:r>
      <w:proofErr w:type="spellEnd"/>
      <w:r w:rsidRPr="00CF6765">
        <w:rPr>
          <w:bCs/>
          <w:i/>
          <w:sz w:val="16"/>
          <w:szCs w:val="16"/>
          <w:lang w:val="en-US"/>
        </w:rPr>
        <w:t xml:space="preserve"> Cornejo et al., supra</w:t>
      </w:r>
      <w:r w:rsidRPr="00CF6765">
        <w:rPr>
          <w:sz w:val="16"/>
          <w:szCs w:val="16"/>
          <w:lang w:val="en-US"/>
        </w:rPr>
        <w:t xml:space="preserve">, para. 121; See also: ECHR. </w:t>
      </w:r>
      <w:r w:rsidRPr="00CF6765">
        <w:rPr>
          <w:i/>
          <w:sz w:val="16"/>
          <w:szCs w:val="16"/>
          <w:lang w:val="en-US"/>
        </w:rPr>
        <w:t xml:space="preserve">Case of Lazar v. Romania, </w:t>
      </w:r>
      <w:r w:rsidRPr="00CF6765">
        <w:rPr>
          <w:i/>
          <w:iCs/>
          <w:sz w:val="16"/>
          <w:szCs w:val="16"/>
          <w:lang w:val="en-US"/>
        </w:rPr>
        <w:t>supra</w:t>
      </w:r>
      <w:r w:rsidRPr="00CF6765">
        <w:rPr>
          <w:sz w:val="16"/>
          <w:szCs w:val="16"/>
          <w:lang w:val="en-US"/>
        </w:rPr>
        <w:t xml:space="preserve">, para. 66; </w:t>
      </w:r>
      <w:r w:rsidRPr="00CF6765">
        <w:rPr>
          <w:i/>
          <w:sz w:val="16"/>
          <w:szCs w:val="16"/>
          <w:lang w:val="en-US"/>
        </w:rPr>
        <w:t>Case of Z v. Poland</w:t>
      </w:r>
      <w:r w:rsidRPr="00CF6765">
        <w:rPr>
          <w:sz w:val="16"/>
          <w:szCs w:val="16"/>
          <w:lang w:val="en-US"/>
        </w:rPr>
        <w:t xml:space="preserve">, No. 46132/08. Fourth Section. Judgment of November 13, 2012, </w:t>
      </w:r>
      <w:r w:rsidRPr="00CF6765">
        <w:rPr>
          <w:rFonts w:cs="Lucida Grande"/>
          <w:sz w:val="16"/>
          <w:szCs w:val="16"/>
          <w:lang w:val="en-US"/>
        </w:rPr>
        <w:t>para.</w:t>
      </w:r>
      <w:r w:rsidRPr="00CF6765">
        <w:rPr>
          <w:sz w:val="16"/>
          <w:szCs w:val="16"/>
          <w:lang w:val="en-US"/>
        </w:rPr>
        <w:t xml:space="preserve"> 76, and UN, CESCR, GC-14, </w:t>
      </w:r>
      <w:r w:rsidRPr="00CF6765">
        <w:rPr>
          <w:i/>
          <w:sz w:val="16"/>
          <w:szCs w:val="16"/>
          <w:lang w:val="en-US"/>
        </w:rPr>
        <w:t>supra</w:t>
      </w:r>
      <w:r w:rsidRPr="00CF6765">
        <w:rPr>
          <w:sz w:val="16"/>
          <w:szCs w:val="16"/>
          <w:lang w:val="en-US"/>
        </w:rPr>
        <w:t xml:space="preserve">, para. </w:t>
      </w:r>
      <w:r w:rsidRPr="00392A9A">
        <w:rPr>
          <w:sz w:val="16"/>
          <w:szCs w:val="16"/>
          <w:lang w:val="es-CR"/>
        </w:rPr>
        <w:t xml:space="preserve">12, 33, 35, 36 and 51. </w:t>
      </w:r>
    </w:p>
  </w:footnote>
  <w:footnote w:id="249">
    <w:p w14:paraId="6EAD2762" w14:textId="1DDBEF28"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 xml:space="preserve">Cf. Case </w:t>
      </w:r>
      <w:proofErr w:type="spellStart"/>
      <w:r w:rsidRPr="00392A9A">
        <w:rPr>
          <w:i/>
          <w:sz w:val="16"/>
          <w:szCs w:val="16"/>
          <w:lang w:val="es-CR"/>
        </w:rPr>
        <w:t>of</w:t>
      </w:r>
      <w:proofErr w:type="spellEnd"/>
      <w:r w:rsidRPr="00392A9A">
        <w:rPr>
          <w:i/>
          <w:sz w:val="16"/>
          <w:szCs w:val="16"/>
          <w:lang w:val="es-CR"/>
        </w:rPr>
        <w:t xml:space="preserve"> Suárez Peralta v. Ecuador,</w:t>
      </w:r>
      <w:r w:rsidRPr="00392A9A">
        <w:rPr>
          <w:sz w:val="16"/>
          <w:szCs w:val="16"/>
          <w:lang w:val="es-CR"/>
        </w:rPr>
        <w:t xml:space="preserve"> </w:t>
      </w:r>
      <w:r w:rsidRPr="00392A9A">
        <w:rPr>
          <w:i/>
          <w:sz w:val="16"/>
          <w:szCs w:val="16"/>
          <w:lang w:val="es-CR"/>
        </w:rPr>
        <w:t>supra</w:t>
      </w:r>
      <w:r w:rsidRPr="00392A9A">
        <w:rPr>
          <w:sz w:val="16"/>
          <w:szCs w:val="16"/>
          <w:lang w:val="es-CR"/>
        </w:rPr>
        <w:t>,</w:t>
      </w:r>
      <w:r w:rsidRPr="00392A9A">
        <w:rPr>
          <w:i/>
          <w:sz w:val="16"/>
          <w:szCs w:val="16"/>
          <w:lang w:val="es-CR"/>
        </w:rPr>
        <w:t xml:space="preserve"> </w:t>
      </w:r>
      <w:r w:rsidRPr="00392A9A">
        <w:rPr>
          <w:sz w:val="16"/>
          <w:szCs w:val="16"/>
          <w:lang w:val="es-CR"/>
        </w:rPr>
        <w:t xml:space="preserve">para. </w:t>
      </w:r>
      <w:r w:rsidRPr="00CF6765">
        <w:rPr>
          <w:sz w:val="16"/>
          <w:szCs w:val="16"/>
          <w:lang w:val="en-US"/>
        </w:rPr>
        <w:t>132.</w:t>
      </w:r>
    </w:p>
  </w:footnote>
  <w:footnote w:id="250">
    <w:p w14:paraId="384C6C10" w14:textId="5F95C061" w:rsidR="003558F5" w:rsidRPr="00CF6765" w:rsidRDefault="003558F5" w:rsidP="00002163">
      <w:pPr>
        <w:pStyle w:val="Textonotapie"/>
        <w:spacing w:after="60"/>
        <w:rPr>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Affidavit made by Sandra Castillo </w:t>
      </w:r>
      <w:proofErr w:type="spellStart"/>
      <w:r w:rsidRPr="00CF6765">
        <w:rPr>
          <w:sz w:val="16"/>
          <w:szCs w:val="16"/>
          <w:lang w:val="en-US"/>
        </w:rPr>
        <w:t>Montufar</w:t>
      </w:r>
      <w:proofErr w:type="spellEnd"/>
      <w:r w:rsidRPr="00CF6765">
        <w:rPr>
          <w:sz w:val="16"/>
          <w:szCs w:val="16"/>
          <w:lang w:val="en-US"/>
        </w:rPr>
        <w:t xml:space="preserve"> on October 11, 2017 (evidence file affidavits, ff. 4475 and 4476).</w:t>
      </w:r>
    </w:p>
  </w:footnote>
  <w:footnote w:id="251">
    <w:p w14:paraId="5A225D7B" w14:textId="140888DC" w:rsidR="003558F5" w:rsidRPr="00CF6765" w:rsidRDefault="003558F5" w:rsidP="00002163">
      <w:pPr>
        <w:pStyle w:val="Textonotapie"/>
        <w:spacing w:after="60"/>
        <w:rPr>
          <w:lang w:val="en-US"/>
        </w:rPr>
      </w:pPr>
      <w:r w:rsidRPr="00CF6765">
        <w:rPr>
          <w:rStyle w:val="Refdenotaalpie"/>
          <w:sz w:val="16"/>
          <w:szCs w:val="16"/>
          <w:lang w:val="en-US"/>
        </w:rPr>
        <w:footnoteRef/>
      </w:r>
      <w:r w:rsidRPr="00CF6765">
        <w:rPr>
          <w:i/>
          <w:sz w:val="16"/>
          <w:szCs w:val="16"/>
          <w:lang w:val="en-US"/>
        </w:rPr>
        <w:t xml:space="preserve"> </w:t>
      </w:r>
      <w:r w:rsidRPr="00CF6765">
        <w:rPr>
          <w:i/>
          <w:sz w:val="16"/>
          <w:szCs w:val="16"/>
          <w:lang w:val="en-US"/>
        </w:rPr>
        <w:tab/>
        <w:t>Cf.</w:t>
      </w:r>
      <w:r w:rsidRPr="00CF6765">
        <w:rPr>
          <w:sz w:val="16"/>
          <w:lang w:val="en-US"/>
        </w:rPr>
        <w:t xml:space="preserve"> Affidavit made by </w:t>
      </w:r>
      <w:proofErr w:type="spellStart"/>
      <w:r w:rsidRPr="00CF6765">
        <w:rPr>
          <w:sz w:val="16"/>
          <w:lang w:val="en-US"/>
        </w:rPr>
        <w:t>Cesia</w:t>
      </w:r>
      <w:proofErr w:type="spellEnd"/>
      <w:r w:rsidRPr="00CF6765">
        <w:rPr>
          <w:sz w:val="16"/>
          <w:lang w:val="en-US"/>
        </w:rPr>
        <w:t xml:space="preserve"> Leila Siria Poblete Tapia on October 6, 2017 (evidence file affidavits, f. 4466), and Affidavit made by Alejandra Marcela Fuentes Poblete on October 6, 2017 (evidence file affidavits, f. 4472).</w:t>
      </w:r>
    </w:p>
  </w:footnote>
  <w:footnote w:id="252">
    <w:p w14:paraId="09341707" w14:textId="34B884FC" w:rsidR="003558F5" w:rsidRPr="00CF6765" w:rsidRDefault="003558F5" w:rsidP="00002163">
      <w:pPr>
        <w:pStyle w:val="Textonotapie"/>
        <w:spacing w:after="60"/>
        <w:rPr>
          <w:lang w:val="en-US"/>
        </w:rPr>
      </w:pPr>
      <w:r w:rsidRPr="00CF6765">
        <w:rPr>
          <w:rStyle w:val="Refdenotaalpie"/>
          <w:sz w:val="16"/>
          <w:szCs w:val="16"/>
          <w:lang w:val="en-US"/>
        </w:rPr>
        <w:footnoteRef/>
      </w:r>
      <w:r w:rsidRPr="00CF6765">
        <w:rPr>
          <w:rStyle w:val="Refdenotaalpie"/>
          <w:sz w:val="16"/>
          <w:szCs w:val="16"/>
          <w:lang w:val="en-US"/>
        </w:rPr>
        <w:t xml:space="preserve"> </w:t>
      </w:r>
      <w:r w:rsidRPr="00CF6765">
        <w:rPr>
          <w:sz w:val="16"/>
          <w:szCs w:val="16"/>
          <w:lang w:val="en-US"/>
        </w:rPr>
        <w:tab/>
      </w:r>
      <w:r w:rsidRPr="00CF6765">
        <w:rPr>
          <w:i/>
          <w:sz w:val="16"/>
          <w:szCs w:val="16"/>
          <w:lang w:val="en-US"/>
        </w:rPr>
        <w:t xml:space="preserve">Cf. </w:t>
      </w:r>
      <w:r w:rsidRPr="00CF6765">
        <w:rPr>
          <w:i/>
          <w:sz w:val="16"/>
          <w:lang w:val="en-US"/>
        </w:rPr>
        <w:t>Advisory Opinion OC-23/17,</w:t>
      </w:r>
      <w:r w:rsidRPr="00CF6765">
        <w:rPr>
          <w:sz w:val="16"/>
          <w:lang w:val="en-US"/>
        </w:rPr>
        <w:t xml:space="preserve"> </w:t>
      </w:r>
      <w:r w:rsidRPr="00CF6765">
        <w:rPr>
          <w:i/>
          <w:sz w:val="16"/>
          <w:lang w:val="en-US"/>
        </w:rPr>
        <w:t>supra</w:t>
      </w:r>
      <w:r w:rsidRPr="00CF6765">
        <w:rPr>
          <w:sz w:val="16"/>
          <w:lang w:val="en-US"/>
        </w:rPr>
        <w:t>, para. 211. “Also, inter-American case law has recognized the instrumental nature of certain rights of the American Convention, such as the right of access to information, insofar as they allow the realization of other rights of the Convention, including the rights to health, to life and to personal integrity […].”</w:t>
      </w:r>
    </w:p>
  </w:footnote>
  <w:footnote w:id="253">
    <w:p w14:paraId="714548AA" w14:textId="1C7B7CC0"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 Case of “The Last Temptation of Christ” (Olmedo Bustos et al.) v. Chile. Merits, reparations and costs.</w:t>
      </w:r>
      <w:r w:rsidRPr="00CF6765">
        <w:rPr>
          <w:sz w:val="16"/>
          <w:szCs w:val="16"/>
          <w:lang w:val="en-US"/>
        </w:rPr>
        <w:t xml:space="preserve"> Judgment of February 5, 2001. Series C No. 73, para. </w:t>
      </w:r>
      <w:r w:rsidRPr="00392A9A">
        <w:rPr>
          <w:sz w:val="16"/>
          <w:szCs w:val="16"/>
          <w:lang w:val="es-CR"/>
        </w:rPr>
        <w:t xml:space="preserve">64, and </w:t>
      </w:r>
      <w:r w:rsidRPr="00392A9A">
        <w:rPr>
          <w:rStyle w:val="Textoennegrita"/>
          <w:b w:val="0"/>
          <w:i/>
          <w:color w:val="000000"/>
          <w:sz w:val="16"/>
          <w:szCs w:val="16"/>
          <w:shd w:val="clear" w:color="auto" w:fill="FFFFFF"/>
          <w:lang w:val="es-CR"/>
        </w:rPr>
        <w:t xml:space="preserve">Case </w:t>
      </w:r>
      <w:proofErr w:type="spellStart"/>
      <w:r w:rsidRPr="00392A9A">
        <w:rPr>
          <w:rStyle w:val="Textoennegrita"/>
          <w:b w:val="0"/>
          <w:i/>
          <w:color w:val="000000"/>
          <w:sz w:val="16"/>
          <w:szCs w:val="16"/>
          <w:shd w:val="clear" w:color="auto" w:fill="FFFFFF"/>
          <w:lang w:val="es-CR"/>
        </w:rPr>
        <w:t>of</w:t>
      </w:r>
      <w:proofErr w:type="spellEnd"/>
      <w:r w:rsidRPr="00392A9A">
        <w:rPr>
          <w:rStyle w:val="Textoennegrita"/>
          <w:b w:val="0"/>
          <w:i/>
          <w:color w:val="000000"/>
          <w:sz w:val="16"/>
          <w:szCs w:val="16"/>
          <w:shd w:val="clear" w:color="auto" w:fill="FFFFFF"/>
          <w:lang w:val="es-CR"/>
        </w:rPr>
        <w:t xml:space="preserve"> Lagos del Campo v. </w:t>
      </w:r>
      <w:proofErr w:type="spellStart"/>
      <w:r w:rsidRPr="00392A9A">
        <w:rPr>
          <w:rStyle w:val="Textoennegrita"/>
          <w:b w:val="0"/>
          <w:i/>
          <w:color w:val="000000"/>
          <w:sz w:val="16"/>
          <w:szCs w:val="16"/>
          <w:shd w:val="clear" w:color="auto" w:fill="FFFFFF"/>
          <w:lang w:val="es-CR"/>
        </w:rPr>
        <w:t>Peru</w:t>
      </w:r>
      <w:proofErr w:type="spellEnd"/>
      <w:r w:rsidRPr="00392A9A">
        <w:rPr>
          <w:rStyle w:val="Textoennegrita"/>
          <w:b w:val="0"/>
          <w:i/>
          <w:color w:val="000000"/>
          <w:sz w:val="16"/>
          <w:szCs w:val="16"/>
          <w:shd w:val="clear" w:color="auto" w:fill="FFFFFF"/>
          <w:lang w:val="es-CR"/>
        </w:rPr>
        <w:t xml:space="preserve">, supra, </w:t>
      </w:r>
      <w:r w:rsidRPr="00392A9A">
        <w:rPr>
          <w:rStyle w:val="Textoennegrita"/>
          <w:b w:val="0"/>
          <w:color w:val="000000"/>
          <w:sz w:val="16"/>
          <w:szCs w:val="16"/>
          <w:shd w:val="clear" w:color="auto" w:fill="FFFFFF"/>
          <w:lang w:val="es-CR"/>
        </w:rPr>
        <w:t xml:space="preserve">para. </w:t>
      </w:r>
      <w:r w:rsidRPr="00CF6765">
        <w:rPr>
          <w:rStyle w:val="Textoennegrita"/>
          <w:b w:val="0"/>
          <w:color w:val="000000"/>
          <w:sz w:val="16"/>
          <w:szCs w:val="16"/>
          <w:shd w:val="clear" w:color="auto" w:fill="FFFFFF"/>
          <w:lang w:val="en-US"/>
        </w:rPr>
        <w:t>89.</w:t>
      </w:r>
    </w:p>
  </w:footnote>
  <w:footnote w:id="254">
    <w:p w14:paraId="0A018F28" w14:textId="60BC67FA" w:rsidR="003558F5" w:rsidRPr="00392A9A" w:rsidRDefault="003558F5" w:rsidP="00002163">
      <w:pPr>
        <w:pStyle w:val="Textonotapie"/>
        <w:spacing w:after="60"/>
        <w:rPr>
          <w:sz w:val="16"/>
          <w:szCs w:val="16"/>
          <w:lang w:val="es-CR"/>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 Case of Claude Reyes et al. v. Chile. Merits, reparations and costs</w:t>
      </w:r>
      <w:r w:rsidRPr="00CF6765">
        <w:rPr>
          <w:sz w:val="16"/>
          <w:szCs w:val="16"/>
          <w:lang w:val="en-US"/>
        </w:rPr>
        <w:t xml:space="preserve">. Judgment of September 19, 2006. Series C No. 151, para. 77, and </w:t>
      </w:r>
      <w:r w:rsidRPr="00CF6765">
        <w:rPr>
          <w:rStyle w:val="Textoennegrita"/>
          <w:b w:val="0"/>
          <w:i/>
          <w:color w:val="000000"/>
          <w:sz w:val="16"/>
          <w:szCs w:val="16"/>
          <w:shd w:val="clear" w:color="auto" w:fill="FFFFFF"/>
          <w:lang w:val="en-US"/>
        </w:rPr>
        <w:t xml:space="preserve">Case of I.V. v. Bolivia, supra, </w:t>
      </w:r>
      <w:r w:rsidRPr="00CF6765">
        <w:rPr>
          <w:rStyle w:val="Textoennegrita"/>
          <w:b w:val="0"/>
          <w:color w:val="000000"/>
          <w:sz w:val="16"/>
          <w:szCs w:val="16"/>
          <w:shd w:val="clear" w:color="auto" w:fill="FFFFFF"/>
          <w:lang w:val="en-US"/>
        </w:rPr>
        <w:t>para. 156</w:t>
      </w:r>
      <w:r w:rsidRPr="00CF6765">
        <w:rPr>
          <w:sz w:val="16"/>
          <w:szCs w:val="16"/>
          <w:lang w:val="en-US"/>
        </w:rPr>
        <w:t xml:space="preserve">. See also, UN, CESCR, GC-14, </w:t>
      </w:r>
      <w:r w:rsidRPr="00CF6765">
        <w:rPr>
          <w:i/>
          <w:sz w:val="16"/>
          <w:szCs w:val="16"/>
          <w:lang w:val="en-US"/>
        </w:rPr>
        <w:t>The right to the highest attainable standard of health</w:t>
      </w:r>
      <w:r w:rsidRPr="00CF6765">
        <w:rPr>
          <w:sz w:val="16"/>
          <w:szCs w:val="16"/>
          <w:lang w:val="en-US"/>
        </w:rPr>
        <w:t xml:space="preserve">, </w:t>
      </w:r>
      <w:r w:rsidRPr="00CF6765">
        <w:rPr>
          <w:i/>
          <w:sz w:val="16"/>
          <w:szCs w:val="16"/>
          <w:lang w:val="en-US"/>
        </w:rPr>
        <w:t>supra</w:t>
      </w:r>
      <w:r w:rsidRPr="00CF6765">
        <w:rPr>
          <w:sz w:val="16"/>
          <w:szCs w:val="16"/>
          <w:lang w:val="en-US"/>
        </w:rPr>
        <w:t xml:space="preserve">, para. </w:t>
      </w:r>
      <w:r w:rsidRPr="00392A9A">
        <w:rPr>
          <w:sz w:val="16"/>
          <w:szCs w:val="16"/>
          <w:lang w:val="es-CR"/>
        </w:rPr>
        <w:t>12.</w:t>
      </w:r>
    </w:p>
  </w:footnote>
  <w:footnote w:id="255">
    <w:p w14:paraId="78DDAC7F" w14:textId="7D35E5FC" w:rsidR="003558F5" w:rsidRPr="00392A9A" w:rsidRDefault="003558F5" w:rsidP="00002163">
      <w:pPr>
        <w:pStyle w:val="Textonotapie"/>
        <w:spacing w:after="60"/>
        <w:rPr>
          <w:sz w:val="16"/>
          <w:szCs w:val="16"/>
          <w:lang w:val="es-CR"/>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Cf.</w:t>
      </w:r>
      <w:r w:rsidRPr="00392A9A">
        <w:rPr>
          <w:sz w:val="16"/>
          <w:szCs w:val="16"/>
          <w:lang w:val="es-CR"/>
        </w:rPr>
        <w:t xml:space="preserve"> </w:t>
      </w:r>
      <w:r w:rsidRPr="00392A9A">
        <w:rPr>
          <w:rStyle w:val="Textoennegrita"/>
          <w:b w:val="0"/>
          <w:i/>
          <w:color w:val="000000"/>
          <w:sz w:val="16"/>
          <w:szCs w:val="16"/>
          <w:shd w:val="clear" w:color="auto" w:fill="FFFFFF"/>
          <w:lang w:val="es-CR"/>
        </w:rPr>
        <w:t xml:space="preserve">Case </w:t>
      </w:r>
      <w:proofErr w:type="spellStart"/>
      <w:r w:rsidRPr="00392A9A">
        <w:rPr>
          <w:rStyle w:val="Textoennegrita"/>
          <w:b w:val="0"/>
          <w:i/>
          <w:color w:val="000000"/>
          <w:sz w:val="16"/>
          <w:szCs w:val="16"/>
          <w:shd w:val="clear" w:color="auto" w:fill="FFFFFF"/>
          <w:lang w:val="es-CR"/>
        </w:rPr>
        <w:t>of</w:t>
      </w:r>
      <w:proofErr w:type="spellEnd"/>
      <w:r w:rsidRPr="00392A9A">
        <w:rPr>
          <w:rStyle w:val="Textoennegrita"/>
          <w:b w:val="0"/>
          <w:i/>
          <w:color w:val="000000"/>
          <w:sz w:val="16"/>
          <w:szCs w:val="16"/>
          <w:shd w:val="clear" w:color="auto" w:fill="FFFFFF"/>
          <w:lang w:val="es-CR"/>
        </w:rPr>
        <w:t xml:space="preserve"> I.V. v. Bolivia</w:t>
      </w:r>
      <w:r w:rsidRPr="00392A9A">
        <w:rPr>
          <w:rStyle w:val="Textoennegrita"/>
          <w:b w:val="0"/>
          <w:color w:val="000000"/>
          <w:sz w:val="16"/>
          <w:szCs w:val="16"/>
          <w:shd w:val="clear" w:color="auto" w:fill="FFFFFF"/>
          <w:lang w:val="es-CR"/>
        </w:rPr>
        <w:t xml:space="preserve">, </w:t>
      </w:r>
      <w:r w:rsidRPr="00392A9A">
        <w:rPr>
          <w:rStyle w:val="Textoennegrita"/>
          <w:b w:val="0"/>
          <w:i/>
          <w:color w:val="000000"/>
          <w:sz w:val="16"/>
          <w:szCs w:val="16"/>
          <w:shd w:val="clear" w:color="auto" w:fill="FFFFFF"/>
          <w:lang w:val="es-CR"/>
        </w:rPr>
        <w:t>supra</w:t>
      </w:r>
      <w:r w:rsidRPr="00392A9A">
        <w:rPr>
          <w:rStyle w:val="Textoennegrita"/>
          <w:b w:val="0"/>
          <w:color w:val="000000"/>
          <w:sz w:val="16"/>
          <w:szCs w:val="16"/>
          <w:shd w:val="clear" w:color="auto" w:fill="FFFFFF"/>
          <w:lang w:val="es-CR"/>
        </w:rPr>
        <w:t>, para. 166.</w:t>
      </w:r>
    </w:p>
  </w:footnote>
  <w:footnote w:id="256">
    <w:p w14:paraId="30CAE040" w14:textId="737DDD83" w:rsidR="003558F5" w:rsidRPr="00CF6765" w:rsidRDefault="003558F5" w:rsidP="00002163">
      <w:pPr>
        <w:pStyle w:val="Textonotapie"/>
        <w:spacing w:after="60"/>
        <w:rPr>
          <w:sz w:val="16"/>
          <w:lang w:val="en-US"/>
        </w:rPr>
      </w:pPr>
      <w:r w:rsidRPr="00CF6765">
        <w:rPr>
          <w:rStyle w:val="Refdenotaalpie"/>
          <w:sz w:val="16"/>
          <w:szCs w:val="16"/>
          <w:lang w:val="en-US"/>
        </w:rPr>
        <w:footnoteRef/>
      </w:r>
      <w:r w:rsidRPr="00392A9A">
        <w:rPr>
          <w:b/>
          <w:lang w:val="es-CR"/>
        </w:rPr>
        <w:t xml:space="preserve"> </w:t>
      </w:r>
      <w:r w:rsidRPr="00392A9A">
        <w:rPr>
          <w:b/>
          <w:lang w:val="es-CR"/>
        </w:rPr>
        <w:tab/>
      </w:r>
      <w:r w:rsidRPr="00392A9A">
        <w:rPr>
          <w:i/>
          <w:sz w:val="16"/>
          <w:lang w:val="es-CR"/>
        </w:rPr>
        <w:t xml:space="preserve">Cf. Case </w:t>
      </w:r>
      <w:proofErr w:type="spellStart"/>
      <w:r w:rsidRPr="00392A9A">
        <w:rPr>
          <w:i/>
          <w:sz w:val="16"/>
          <w:lang w:val="es-CR"/>
        </w:rPr>
        <w:t>of</w:t>
      </w:r>
      <w:proofErr w:type="spellEnd"/>
      <w:r w:rsidRPr="00392A9A">
        <w:rPr>
          <w:i/>
          <w:sz w:val="16"/>
          <w:lang w:val="es-CR"/>
        </w:rPr>
        <w:t xml:space="preserve"> I.V. v. Bolivia</w:t>
      </w:r>
      <w:r w:rsidRPr="00392A9A">
        <w:rPr>
          <w:sz w:val="16"/>
          <w:lang w:val="es-CR"/>
        </w:rPr>
        <w:t xml:space="preserve">, </w:t>
      </w:r>
      <w:r w:rsidRPr="00392A9A">
        <w:rPr>
          <w:i/>
          <w:sz w:val="16"/>
          <w:lang w:val="es-CR"/>
        </w:rPr>
        <w:t>supra</w:t>
      </w:r>
      <w:r w:rsidRPr="00392A9A">
        <w:rPr>
          <w:sz w:val="16"/>
          <w:lang w:val="es-CR"/>
        </w:rPr>
        <w:t xml:space="preserve">, para. </w:t>
      </w:r>
      <w:r w:rsidRPr="00CF6765">
        <w:rPr>
          <w:sz w:val="16"/>
          <w:lang w:val="en-US"/>
        </w:rPr>
        <w:t xml:space="preserve">182. </w:t>
      </w:r>
      <w:r w:rsidRPr="00CF6765">
        <w:rPr>
          <w:i/>
          <w:sz w:val="16"/>
          <w:lang w:val="en-US"/>
        </w:rPr>
        <w:t>Cf.</w:t>
      </w:r>
      <w:r w:rsidRPr="00CF6765">
        <w:rPr>
          <w:sz w:val="16"/>
          <w:lang w:val="en-US"/>
        </w:rPr>
        <w:t xml:space="preserve"> Indeed, only the patient may agree to undergo a medical procedure according to the World Medical Association Declaration of Helsinki, Ethical Principles for Medical Research involving Human Subjects, Helsinki, Finland, June 1964, and amended by the 59</w:t>
      </w:r>
      <w:r w:rsidRPr="00CF6765">
        <w:rPr>
          <w:sz w:val="16"/>
          <w:vertAlign w:val="superscript"/>
          <w:lang w:val="en-US"/>
        </w:rPr>
        <w:t>th</w:t>
      </w:r>
      <w:r w:rsidRPr="00CF6765">
        <w:rPr>
          <w:sz w:val="16"/>
          <w:lang w:val="en-US"/>
        </w:rPr>
        <w:t xml:space="preserve"> General Assembly, Seoul, Republic of Korea, October 2008), Principle 25, and the World Medical Association Declaration of Lisbon on the Rights of the Patient, adopted by the 34</w:t>
      </w:r>
      <w:r w:rsidRPr="00CF6765">
        <w:rPr>
          <w:sz w:val="16"/>
          <w:vertAlign w:val="superscript"/>
          <w:lang w:val="en-US"/>
        </w:rPr>
        <w:t>th</w:t>
      </w:r>
      <w:r w:rsidRPr="00CF6765">
        <w:rPr>
          <w:sz w:val="16"/>
          <w:lang w:val="en-US"/>
        </w:rPr>
        <w:t xml:space="preserve"> World Medical Association Assembly in Lisbon, Portugal, September/October 1981, and amended by the 47</w:t>
      </w:r>
      <w:r w:rsidRPr="00CF6765">
        <w:rPr>
          <w:sz w:val="16"/>
          <w:vertAlign w:val="superscript"/>
          <w:lang w:val="en-US"/>
        </w:rPr>
        <w:t>th</w:t>
      </w:r>
      <w:r w:rsidRPr="00CF6765">
        <w:rPr>
          <w:sz w:val="16"/>
          <w:lang w:val="en-US"/>
        </w:rPr>
        <w:t xml:space="preserve"> WMA General Assembly, Bali, Indonesia, September 1995, and editorially revised by the 171</w:t>
      </w:r>
      <w:r w:rsidRPr="00CF6765">
        <w:rPr>
          <w:sz w:val="16"/>
          <w:vertAlign w:val="superscript"/>
          <w:lang w:val="en-US"/>
        </w:rPr>
        <w:t>st</w:t>
      </w:r>
      <w:r w:rsidRPr="00CF6765">
        <w:rPr>
          <w:sz w:val="16"/>
          <w:lang w:val="en-US"/>
        </w:rPr>
        <w:t xml:space="preserve"> WMA Council Session, Santiago, Chile, October 2005, Principle 3. </w:t>
      </w:r>
    </w:p>
  </w:footnote>
  <w:footnote w:id="257">
    <w:p w14:paraId="6B2F8277" w14:textId="43CFDCFC"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 xml:space="preserve">Cf. </w:t>
      </w:r>
      <w:r w:rsidRPr="00392A9A">
        <w:rPr>
          <w:rStyle w:val="Textoennegrita"/>
          <w:b w:val="0"/>
          <w:i/>
          <w:color w:val="000000"/>
          <w:sz w:val="16"/>
          <w:szCs w:val="16"/>
          <w:shd w:val="clear" w:color="auto" w:fill="FFFFFF"/>
          <w:lang w:val="es-CR"/>
        </w:rPr>
        <w:t xml:space="preserve">Case </w:t>
      </w:r>
      <w:proofErr w:type="spellStart"/>
      <w:r w:rsidRPr="00392A9A">
        <w:rPr>
          <w:rStyle w:val="Textoennegrita"/>
          <w:b w:val="0"/>
          <w:i/>
          <w:color w:val="000000"/>
          <w:sz w:val="16"/>
          <w:szCs w:val="16"/>
          <w:shd w:val="clear" w:color="auto" w:fill="FFFFFF"/>
          <w:lang w:val="es-CR"/>
        </w:rPr>
        <w:t>of</w:t>
      </w:r>
      <w:proofErr w:type="spellEnd"/>
      <w:r w:rsidRPr="00392A9A">
        <w:rPr>
          <w:rStyle w:val="Textoennegrita"/>
          <w:i/>
          <w:color w:val="000000"/>
          <w:sz w:val="16"/>
          <w:szCs w:val="16"/>
          <w:shd w:val="clear" w:color="auto" w:fill="FFFFFF"/>
          <w:lang w:val="es-CR"/>
        </w:rPr>
        <w:t xml:space="preserve"> </w:t>
      </w:r>
      <w:r w:rsidRPr="00392A9A">
        <w:rPr>
          <w:rStyle w:val="Textoennegrita"/>
          <w:b w:val="0"/>
          <w:i/>
          <w:color w:val="000000"/>
          <w:sz w:val="16"/>
          <w:szCs w:val="16"/>
          <w:shd w:val="clear" w:color="auto" w:fill="FFFFFF"/>
          <w:lang w:val="es-CR"/>
        </w:rPr>
        <w:t xml:space="preserve">I.V. v. Bolivia, supra, </w:t>
      </w:r>
      <w:r w:rsidRPr="00392A9A">
        <w:rPr>
          <w:rStyle w:val="Textoennegrita"/>
          <w:b w:val="0"/>
          <w:color w:val="000000"/>
          <w:sz w:val="16"/>
          <w:szCs w:val="16"/>
          <w:shd w:val="clear" w:color="auto" w:fill="FFFFFF"/>
          <w:lang w:val="es-CR"/>
        </w:rPr>
        <w:t xml:space="preserve">para. </w:t>
      </w:r>
      <w:r w:rsidRPr="00CF6765">
        <w:rPr>
          <w:rStyle w:val="Textoennegrita"/>
          <w:b w:val="0"/>
          <w:color w:val="000000"/>
          <w:sz w:val="16"/>
          <w:szCs w:val="16"/>
          <w:shd w:val="clear" w:color="auto" w:fill="FFFFFF"/>
          <w:lang w:val="en-US"/>
        </w:rPr>
        <w:t>189.</w:t>
      </w:r>
    </w:p>
  </w:footnote>
  <w:footnote w:id="258">
    <w:p w14:paraId="6207BDD4" w14:textId="0D6397EF" w:rsidR="003558F5" w:rsidRPr="00CF6765" w:rsidRDefault="003558F5" w:rsidP="00002163">
      <w:pPr>
        <w:pStyle w:val="Textonotapie"/>
        <w:spacing w:after="60"/>
        <w:rPr>
          <w:sz w:val="16"/>
          <w:lang w:val="en-US"/>
        </w:rPr>
      </w:pPr>
      <w:r w:rsidRPr="00CF6765">
        <w:rPr>
          <w:rStyle w:val="Refdenotaalpie"/>
          <w:sz w:val="16"/>
          <w:szCs w:val="16"/>
          <w:lang w:val="en-US"/>
        </w:rPr>
        <w:footnoteRef/>
      </w:r>
      <w:r w:rsidRPr="00CF6765">
        <w:rPr>
          <w:lang w:val="en-US"/>
        </w:rPr>
        <w:t xml:space="preserve">  </w:t>
      </w:r>
      <w:r w:rsidRPr="00CF6765">
        <w:rPr>
          <w:i/>
          <w:sz w:val="16"/>
          <w:lang w:val="en-US"/>
        </w:rPr>
        <w:t>Cf.</w:t>
      </w:r>
      <w:r w:rsidRPr="00CF6765">
        <w:rPr>
          <w:i/>
          <w:lang w:val="en-US"/>
        </w:rPr>
        <w:t xml:space="preserve"> </w:t>
      </w:r>
      <w:r w:rsidRPr="00CF6765">
        <w:rPr>
          <w:sz w:val="16"/>
          <w:lang w:val="en-US"/>
        </w:rPr>
        <w:t xml:space="preserve">Affidavit made by </w:t>
      </w:r>
      <w:proofErr w:type="spellStart"/>
      <w:r w:rsidRPr="00CF6765">
        <w:rPr>
          <w:sz w:val="16"/>
          <w:lang w:val="en-US"/>
        </w:rPr>
        <w:t>Cesia</w:t>
      </w:r>
      <w:proofErr w:type="spellEnd"/>
      <w:r w:rsidRPr="00CF6765">
        <w:rPr>
          <w:sz w:val="16"/>
          <w:lang w:val="en-US"/>
        </w:rPr>
        <w:t xml:space="preserve"> Leila Siria Poblete Tapia on October 6, 2017 (evidence file, f. 4465); Affidavit made by Alejandra Marcela Fuentes Poblete on October 6, 2017 (evidence file, f. 4472);  Statement made by Vinicio Marco Antonio Poblete Tapia before the Court during the public hearing on October 19, 2017, </w:t>
      </w:r>
      <w:r w:rsidRPr="00CF6765">
        <w:rPr>
          <w:i/>
          <w:iCs/>
          <w:sz w:val="16"/>
          <w:lang w:val="en-US"/>
        </w:rPr>
        <w:t>supra,</w:t>
      </w:r>
      <w:r w:rsidRPr="00CF6765">
        <w:rPr>
          <w:sz w:val="16"/>
          <w:lang w:val="en-US"/>
        </w:rPr>
        <w:t xml:space="preserve"> pp. 5, 6. 8 and 14).</w:t>
      </w:r>
    </w:p>
  </w:footnote>
  <w:footnote w:id="259">
    <w:p w14:paraId="25FA551D" w14:textId="711F6729" w:rsidR="003558F5" w:rsidRPr="00CF6765" w:rsidRDefault="003558F5" w:rsidP="00002163">
      <w:pPr>
        <w:spacing w:after="60"/>
        <w:rPr>
          <w:rFonts w:eastAsia="Calibri"/>
          <w:sz w:val="16"/>
          <w:szCs w:val="16"/>
          <w:lang w:val="en-US"/>
        </w:rPr>
      </w:pPr>
      <w:r w:rsidRPr="00CF6765">
        <w:rPr>
          <w:rStyle w:val="Refdenotaalpie"/>
          <w:sz w:val="16"/>
          <w:szCs w:val="16"/>
          <w:lang w:val="en-US" w:eastAsia="x-none"/>
        </w:rPr>
        <w:footnoteRef/>
      </w:r>
      <w:r w:rsidRPr="00CF6765">
        <w:rPr>
          <w:lang w:val="en-US"/>
        </w:rPr>
        <w:t xml:space="preserve">   </w:t>
      </w:r>
      <w:r w:rsidRPr="00CF6765">
        <w:rPr>
          <w:sz w:val="16"/>
          <w:szCs w:val="16"/>
          <w:lang w:val="en-US"/>
        </w:rPr>
        <w:t xml:space="preserve">Ethics Code of the Chilean Physicians’ Association; </w:t>
      </w:r>
      <w:r w:rsidRPr="00CF6765">
        <w:rPr>
          <w:rFonts w:eastAsia="Calibri"/>
          <w:sz w:val="16"/>
          <w:szCs w:val="16"/>
          <w:lang w:val="en-US"/>
        </w:rPr>
        <w:t xml:space="preserve">A.G, Reprinted 2013, Article 27 (updated in 2013): "If the patient is not in conditions to give his consent because he is a minor, incapacitated, or due to the urgency of the situation, and it is not possible to obtain the consent of the family, the doctor shall provide the care dictated by his professional conscience. The opinion of a minor shall be considered based on age and level of maturity.” </w:t>
      </w:r>
      <w:r w:rsidRPr="00CF6765">
        <w:rPr>
          <w:rFonts w:eastAsia="Calibri" w:cs="Arial"/>
          <w:sz w:val="16"/>
          <w:szCs w:val="16"/>
          <w:lang w:val="en-US"/>
        </w:rPr>
        <w:t>Article 28 (updated in 2013):</w:t>
      </w:r>
      <w:r w:rsidRPr="00CF6765">
        <w:rPr>
          <w:rFonts w:eastAsia="Calibri"/>
          <w:sz w:val="16"/>
          <w:szCs w:val="16"/>
          <w:lang w:val="en-US"/>
        </w:rPr>
        <w:t xml:space="preserve"> "The right of the patient to reject, totally or partially, a diagnostic test or a treatment shall be respected and, in all cases, the doctor must inform the patient, in such a way that it is understandable, of the possible consequences of his refusal. In this circumstance, the doctor will not abandon the patient, and should ensure that he is provided with the necessary general care. In cases of imperative medical emergency, the doctor shall act in accordance with this conscience, protecting the right to life of the patient.” Ministry of Health, Public Health Department, </w:t>
      </w:r>
      <w:r w:rsidRPr="00CF6765">
        <w:rPr>
          <w:rFonts w:eastAsia="Calibri"/>
          <w:bCs/>
          <w:sz w:val="16"/>
          <w:szCs w:val="16"/>
          <w:lang w:val="en-US"/>
        </w:rPr>
        <w:t xml:space="preserve">Law 20584 of April 24, 2012. </w:t>
      </w:r>
      <w:r w:rsidRPr="00CF6765">
        <w:rPr>
          <w:rFonts w:eastAsia="Calibri"/>
          <w:sz w:val="16"/>
          <w:szCs w:val="16"/>
          <w:lang w:val="en-US"/>
        </w:rPr>
        <w:t xml:space="preserve">Regulating the rights and obligations of individuals in relation to actions involving their health care. Article 10: In the case of urgent or emergency medical care; that is, when the lack of an imperative and immediate intervention involves a risk to life or severe functional consequences for the person and they are not in a condition to receive and understand the information, this shall be provided to their representative or the person who is caring for them, ensuring that the information is limited to the situation described. Nevertheless, the person shall be informed, as indicated in the preceding paragraphs when, in the opinion of the attending physician, his condition allows this, provided this does not endanger his life. The impossibility of providing information may never delay or postpone urgent or emergency health care. Ministry of Health, Department of Health Service Networks, </w:t>
      </w:r>
      <w:r w:rsidRPr="00CF6765">
        <w:rPr>
          <w:rFonts w:eastAsia="Calibri"/>
          <w:bCs/>
          <w:sz w:val="16"/>
          <w:szCs w:val="16"/>
          <w:lang w:val="en-US"/>
        </w:rPr>
        <w:t>Decree No 31 of November 26, 2012</w:t>
      </w:r>
      <w:r w:rsidRPr="00CF6765">
        <w:rPr>
          <w:rFonts w:eastAsia="Calibri"/>
          <w:sz w:val="16"/>
          <w:szCs w:val="16"/>
          <w:lang w:val="en-US"/>
        </w:rPr>
        <w:t>. Adoption of Regulations on delivery of information and expression of informed consent in health care. Article 4: “If the patient, according to the professional who is treating him, is not in conditions to receive the information on his health condition directly, for reasons of an emotional nature or if he has difficulties to understand, or is unconscious, the information shall be given to his legal representative and, in the absence of the latter, to the person who is caring for him. Nevertheless, once he has recovered his ability to understand, if this occurs, he shall be provided with the information directly. The same procedure shall be adopted in situations of medical urgency or emergency; that is, when the lack of immediate medical care signifies a risk to the patient’s life or of severe functional consequences and the person is not in conditions to receive and understand the information. In such cases, the information provided shall be limited to the situation in question.”</w:t>
      </w:r>
    </w:p>
  </w:footnote>
  <w:footnote w:id="260">
    <w:p w14:paraId="3A74698B" w14:textId="429EA1A0" w:rsidR="003558F5" w:rsidRPr="00CF6765" w:rsidRDefault="003558F5" w:rsidP="00002163">
      <w:pPr>
        <w:pStyle w:val="Textonotapie"/>
        <w:spacing w:after="60"/>
        <w:rPr>
          <w:sz w:val="16"/>
          <w:lang w:val="en-US"/>
        </w:rPr>
      </w:pPr>
      <w:r w:rsidRPr="00CF6765">
        <w:rPr>
          <w:rStyle w:val="Refdenotaalpie"/>
          <w:sz w:val="16"/>
          <w:szCs w:val="16"/>
          <w:lang w:val="en-US"/>
        </w:rPr>
        <w:footnoteRef/>
      </w:r>
      <w:r w:rsidRPr="00CF6765">
        <w:rPr>
          <w:sz w:val="16"/>
          <w:szCs w:val="16"/>
          <w:lang w:val="en-US"/>
        </w:rPr>
        <w:t xml:space="preserve">  </w:t>
      </w:r>
      <w:r w:rsidRPr="00CF6765">
        <w:rPr>
          <w:rStyle w:val="Refdenotaalpie"/>
          <w:sz w:val="16"/>
          <w:szCs w:val="16"/>
          <w:lang w:val="en-US"/>
        </w:rPr>
        <w:t xml:space="preserve"> </w:t>
      </w:r>
      <w:r w:rsidRPr="00CF6765">
        <w:rPr>
          <w:sz w:val="16"/>
          <w:szCs w:val="16"/>
          <w:lang w:val="en-US"/>
        </w:rPr>
        <w:tab/>
      </w:r>
      <w:r w:rsidRPr="00CF6765">
        <w:rPr>
          <w:sz w:val="16"/>
          <w:lang w:val="en-US"/>
        </w:rPr>
        <w:t>The State’s answering brief (merits file, ff. 384 to 386).</w:t>
      </w:r>
    </w:p>
  </w:footnote>
  <w:footnote w:id="261">
    <w:p w14:paraId="18ACF283" w14:textId="6190CB3C"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Expert opinion of Alicia Ely </w:t>
      </w:r>
      <w:proofErr w:type="spellStart"/>
      <w:r w:rsidRPr="00CF6765">
        <w:rPr>
          <w:sz w:val="16"/>
          <w:szCs w:val="16"/>
          <w:lang w:val="en-US"/>
        </w:rPr>
        <w:t>Yemin</w:t>
      </w:r>
      <w:proofErr w:type="spellEnd"/>
      <w:r w:rsidRPr="00CF6765">
        <w:rPr>
          <w:sz w:val="16"/>
          <w:szCs w:val="16"/>
          <w:lang w:val="en-US"/>
        </w:rPr>
        <w:t xml:space="preserve"> (evidence file, f. 761). The ECHR has determined that the violation of the right of the family to give their consent may affect other rights relating to the omission to provide clear and precise information on the procedure to be applied to the patient. ECHR, </w:t>
      </w:r>
      <w:r w:rsidRPr="00CF6765">
        <w:rPr>
          <w:i/>
          <w:sz w:val="16"/>
          <w:szCs w:val="16"/>
          <w:lang w:val="en-US"/>
        </w:rPr>
        <w:t xml:space="preserve">Case of </w:t>
      </w:r>
      <w:proofErr w:type="spellStart"/>
      <w:r w:rsidRPr="00CF6765">
        <w:rPr>
          <w:i/>
          <w:sz w:val="16"/>
          <w:szCs w:val="16"/>
          <w:lang w:val="en-US"/>
        </w:rPr>
        <w:t>Petrova</w:t>
      </w:r>
      <w:proofErr w:type="spellEnd"/>
      <w:r w:rsidRPr="00CF6765">
        <w:rPr>
          <w:i/>
          <w:sz w:val="16"/>
          <w:szCs w:val="16"/>
          <w:lang w:val="en-US"/>
        </w:rPr>
        <w:t xml:space="preserve"> v. Latvia</w:t>
      </w:r>
      <w:r w:rsidRPr="00CF6765">
        <w:rPr>
          <w:sz w:val="16"/>
          <w:szCs w:val="16"/>
          <w:lang w:val="en-US"/>
        </w:rPr>
        <w:t xml:space="preserve">, No. 4605/05. Judgment of June 24, 2014, para. 87. ECHR, </w:t>
      </w:r>
      <w:r w:rsidRPr="00CF6765">
        <w:rPr>
          <w:i/>
          <w:sz w:val="16"/>
          <w:szCs w:val="16"/>
          <w:lang w:val="en-US"/>
        </w:rPr>
        <w:t>Case of Glass v. The United Kingdom</w:t>
      </w:r>
      <w:r w:rsidRPr="00CF6765">
        <w:rPr>
          <w:sz w:val="16"/>
          <w:szCs w:val="16"/>
          <w:lang w:val="en-US"/>
        </w:rPr>
        <w:t xml:space="preserve">, No. 61827/09. Judgment of March 9, 2004, para. 72. </w:t>
      </w:r>
    </w:p>
  </w:footnote>
  <w:footnote w:id="262">
    <w:p w14:paraId="1896CDF8" w14:textId="4D03F691" w:rsidR="003558F5" w:rsidRPr="00CF6765" w:rsidRDefault="003558F5" w:rsidP="00345FF2">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color w:val="161616"/>
          <w:sz w:val="16"/>
          <w:szCs w:val="16"/>
          <w:shd w:val="clear" w:color="auto" w:fill="FFFFFF"/>
          <w:lang w:val="en-US"/>
        </w:rPr>
        <w:t>Convention for the Protection of Human Rights and Dignity of the Human Being with regard to the Application of Biology and Medicine</w:t>
      </w:r>
      <w:r w:rsidRPr="00CF6765">
        <w:rPr>
          <w:sz w:val="16"/>
          <w:szCs w:val="16"/>
          <w:lang w:val="en-US"/>
        </w:rPr>
        <w:t xml:space="preserve">, Article 6(4), Available at: </w:t>
      </w:r>
      <w:hyperlink r:id="rId10" w:history="1">
        <w:r w:rsidRPr="00CF6765">
          <w:rPr>
            <w:rStyle w:val="Hipervnculo"/>
            <w:sz w:val="16"/>
            <w:szCs w:val="16"/>
            <w:lang w:val="en-US"/>
          </w:rPr>
          <w:t>https://www.coe.int/en/web/conventions/full-list/-/conventions/ treaty/ 164</w:t>
        </w:r>
      </w:hyperlink>
      <w:r w:rsidRPr="00CF6765">
        <w:rPr>
          <w:sz w:val="16"/>
          <w:szCs w:val="16"/>
          <w:lang w:val="en-US"/>
        </w:rPr>
        <w:t xml:space="preserve">, Declaration on the promotion of patient´s rights in Europe, WHO Regional Office for Europe, 1994, 3.4 and UN, Report of the Special Rapporteur on the right of everyone to the enjoyment of the highest attainable standard of physical and mental health, Anand Grover, submitted in accordance with Human Rights Council Resolution 6/29, A/64/272 of August 10, 2009. Summary. Available at: </w:t>
      </w:r>
      <w:hyperlink r:id="rId11" w:history="1">
        <w:r w:rsidRPr="00CF6765">
          <w:rPr>
            <w:rStyle w:val="Hipervnculo"/>
            <w:rFonts w:eastAsia="Calibri"/>
            <w:sz w:val="16"/>
            <w:szCs w:val="16"/>
            <w:lang w:val="en-US"/>
          </w:rPr>
          <w:t>https://undocs.org/A/64/272</w:t>
        </w:r>
      </w:hyperlink>
      <w:r w:rsidRPr="00CF6765">
        <w:rPr>
          <w:sz w:val="16"/>
          <w:szCs w:val="16"/>
          <w:lang w:val="en-US"/>
        </w:rPr>
        <w:t>.</w:t>
      </w:r>
    </w:p>
  </w:footnote>
  <w:footnote w:id="263">
    <w:p w14:paraId="674FBC64" w14:textId="46A39CC5"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rStyle w:val="Textoennegrita"/>
          <w:b w:val="0"/>
          <w:i/>
          <w:color w:val="000000"/>
          <w:sz w:val="16"/>
          <w:szCs w:val="16"/>
          <w:shd w:val="clear" w:color="auto" w:fill="FFFFFF"/>
          <w:lang w:val="en-US"/>
        </w:rPr>
        <w:t xml:space="preserve">Case of I.V. v. Bolivia, supra, </w:t>
      </w:r>
      <w:r w:rsidRPr="00CF6765">
        <w:rPr>
          <w:rStyle w:val="Textoennegrita"/>
          <w:b w:val="0"/>
          <w:color w:val="000000"/>
          <w:sz w:val="16"/>
          <w:szCs w:val="16"/>
          <w:shd w:val="clear" w:color="auto" w:fill="FFFFFF"/>
          <w:lang w:val="en-US"/>
        </w:rPr>
        <w:t>para. 177</w:t>
      </w:r>
      <w:r w:rsidRPr="00CF6765">
        <w:rPr>
          <w:sz w:val="16"/>
          <w:szCs w:val="16"/>
          <w:lang w:val="en-US"/>
        </w:rPr>
        <w:t>.</w:t>
      </w:r>
    </w:p>
  </w:footnote>
  <w:footnote w:id="264">
    <w:p w14:paraId="072F43D7" w14:textId="73AFB2A6" w:rsidR="003558F5" w:rsidRPr="00CF6765" w:rsidRDefault="003558F5" w:rsidP="00002163">
      <w:pPr>
        <w:pStyle w:val="Textonotapie"/>
        <w:spacing w:after="60"/>
        <w:rPr>
          <w:sz w:val="16"/>
          <w:lang w:val="en-US"/>
        </w:rPr>
      </w:pPr>
      <w:r w:rsidRPr="00CF6765">
        <w:rPr>
          <w:rStyle w:val="Refdenotaalpie"/>
          <w:rFonts w:eastAsia="MS ????"/>
          <w:sz w:val="16"/>
          <w:lang w:val="en-US"/>
        </w:rPr>
        <w:footnoteRef/>
      </w:r>
      <w:r w:rsidRPr="00CF6765">
        <w:rPr>
          <w:sz w:val="16"/>
          <w:lang w:val="en-US"/>
        </w:rPr>
        <w:t xml:space="preserve">   </w:t>
      </w:r>
      <w:r w:rsidRPr="00CF6765">
        <w:rPr>
          <w:sz w:val="16"/>
          <w:lang w:val="en-US"/>
        </w:rPr>
        <w:tab/>
        <w:t>Statement of expert witness Dr. Javier Alejandro Santos, specialist in geriatrics and gerontology, during the public hearing held in this case on October 19, 2017, in Panama City, Panama, p. 53. According to the opinion of Dr. Santos, this was a necessary procedure that had to be performed. “Evidently, urgent does not mean that it can be performed 48 hours later or that the patient did not require this surgical procedure as soon as possible.” “Yes, this is routine, a routine control in a patient admitted with a coronary or pulmonary edema, it is a procedure that must be performed.”</w:t>
      </w:r>
    </w:p>
  </w:footnote>
  <w:footnote w:id="265">
    <w:p w14:paraId="2A16FDB2" w14:textId="25888CD8"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bCs/>
          <w:i/>
          <w:color w:val="000000"/>
          <w:sz w:val="16"/>
          <w:szCs w:val="16"/>
          <w:lang w:val="en-US"/>
        </w:rPr>
        <w:t xml:space="preserve">Case of Atala </w:t>
      </w:r>
      <w:proofErr w:type="spellStart"/>
      <w:r w:rsidRPr="00CF6765">
        <w:rPr>
          <w:bCs/>
          <w:i/>
          <w:color w:val="000000"/>
          <w:sz w:val="16"/>
          <w:szCs w:val="16"/>
          <w:lang w:val="en-US"/>
        </w:rPr>
        <w:t>Riffo</w:t>
      </w:r>
      <w:proofErr w:type="spellEnd"/>
      <w:r w:rsidRPr="00CF6765">
        <w:rPr>
          <w:bCs/>
          <w:i/>
          <w:color w:val="000000"/>
          <w:sz w:val="16"/>
          <w:szCs w:val="16"/>
          <w:lang w:val="en-US"/>
        </w:rPr>
        <w:t xml:space="preserve"> and daughters v. Chile, </w:t>
      </w:r>
      <w:r w:rsidRPr="00CF6765">
        <w:rPr>
          <w:rStyle w:val="Textoennegrita"/>
          <w:b w:val="0"/>
          <w:i/>
          <w:color w:val="000000"/>
          <w:sz w:val="16"/>
          <w:szCs w:val="16"/>
          <w:shd w:val="clear" w:color="auto" w:fill="FFFFFF"/>
          <w:lang w:val="en-US"/>
        </w:rPr>
        <w:t xml:space="preserve">supra, </w:t>
      </w:r>
      <w:r w:rsidRPr="00CF6765">
        <w:rPr>
          <w:rStyle w:val="Textoennegrita"/>
          <w:b w:val="0"/>
          <w:color w:val="000000"/>
          <w:sz w:val="16"/>
          <w:szCs w:val="16"/>
          <w:shd w:val="clear" w:color="auto" w:fill="FFFFFF"/>
          <w:lang w:val="en-US"/>
        </w:rPr>
        <w:t>para. 150.</w:t>
      </w:r>
    </w:p>
  </w:footnote>
  <w:footnote w:id="266">
    <w:p w14:paraId="75EDBE04" w14:textId="22B10C44" w:rsidR="003558F5" w:rsidRPr="00392A9A" w:rsidRDefault="003558F5" w:rsidP="008E5FEC">
      <w:pPr>
        <w:pStyle w:val="Textonotapie"/>
        <w:spacing w:after="60"/>
        <w:rPr>
          <w:sz w:val="16"/>
          <w:szCs w:val="16"/>
          <w:lang w:val="es-CR"/>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bCs/>
          <w:i/>
          <w:color w:val="000000"/>
          <w:sz w:val="16"/>
          <w:szCs w:val="16"/>
          <w:lang w:val="en-US"/>
        </w:rPr>
        <w:t xml:space="preserve">Case of Atala </w:t>
      </w:r>
      <w:proofErr w:type="spellStart"/>
      <w:r w:rsidRPr="00CF6765">
        <w:rPr>
          <w:bCs/>
          <w:i/>
          <w:color w:val="000000"/>
          <w:sz w:val="16"/>
          <w:szCs w:val="16"/>
          <w:lang w:val="en-US"/>
        </w:rPr>
        <w:t>Riffo</w:t>
      </w:r>
      <w:proofErr w:type="spellEnd"/>
      <w:r w:rsidRPr="00CF6765">
        <w:rPr>
          <w:bCs/>
          <w:i/>
          <w:color w:val="000000"/>
          <w:sz w:val="16"/>
          <w:szCs w:val="16"/>
          <w:lang w:val="en-US"/>
        </w:rPr>
        <w:t xml:space="preserve"> and daughters v. Chile, supra</w:t>
      </w:r>
      <w:r w:rsidRPr="00CF6765">
        <w:rPr>
          <w:color w:val="000000"/>
          <w:sz w:val="16"/>
          <w:szCs w:val="16"/>
          <w:lang w:val="en-US"/>
        </w:rPr>
        <w:t xml:space="preserve">, </w:t>
      </w:r>
      <w:r w:rsidRPr="00CF6765">
        <w:rPr>
          <w:sz w:val="16"/>
          <w:szCs w:val="16"/>
          <w:lang w:val="en-US"/>
        </w:rPr>
        <w:t xml:space="preserve">para. </w:t>
      </w:r>
      <w:r w:rsidRPr="00392A9A">
        <w:rPr>
          <w:sz w:val="16"/>
          <w:szCs w:val="16"/>
          <w:lang w:val="es-CR"/>
        </w:rPr>
        <w:t xml:space="preserve">169 and </w:t>
      </w:r>
      <w:r w:rsidRPr="00392A9A">
        <w:rPr>
          <w:rFonts w:cs="Courier New"/>
          <w:i/>
          <w:noProof/>
          <w:sz w:val="16"/>
          <w:szCs w:val="16"/>
          <w:lang w:val="es-CR"/>
        </w:rPr>
        <w:t>I.V. v. Bolivia, supra</w:t>
      </w:r>
      <w:r w:rsidRPr="00392A9A">
        <w:rPr>
          <w:color w:val="000000"/>
          <w:sz w:val="16"/>
          <w:szCs w:val="16"/>
          <w:lang w:val="es-CR"/>
        </w:rPr>
        <w:t>, para. 153</w:t>
      </w:r>
      <w:r w:rsidRPr="00392A9A">
        <w:rPr>
          <w:sz w:val="16"/>
          <w:szCs w:val="16"/>
          <w:lang w:val="es-CR"/>
        </w:rPr>
        <w:t>.</w:t>
      </w:r>
    </w:p>
  </w:footnote>
  <w:footnote w:id="267">
    <w:p w14:paraId="3C9F9F6E" w14:textId="7D304293" w:rsidR="003558F5" w:rsidRPr="00392A9A" w:rsidRDefault="003558F5" w:rsidP="008E5FEC">
      <w:pPr>
        <w:pStyle w:val="Textonotapie"/>
        <w:spacing w:after="60"/>
        <w:rPr>
          <w:sz w:val="16"/>
          <w:szCs w:val="16"/>
          <w:lang w:val="es-CR"/>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 xml:space="preserve">Cf. </w:t>
      </w:r>
      <w:r w:rsidRPr="00392A9A">
        <w:rPr>
          <w:bCs/>
          <w:i/>
          <w:color w:val="000000"/>
          <w:sz w:val="16"/>
          <w:szCs w:val="16"/>
          <w:lang w:val="es-CR"/>
        </w:rPr>
        <w:t xml:space="preserve">Case </w:t>
      </w:r>
      <w:proofErr w:type="spellStart"/>
      <w:r w:rsidRPr="00392A9A">
        <w:rPr>
          <w:bCs/>
          <w:i/>
          <w:color w:val="000000"/>
          <w:sz w:val="16"/>
          <w:szCs w:val="16"/>
          <w:lang w:val="es-CR"/>
        </w:rPr>
        <w:t>of</w:t>
      </w:r>
      <w:proofErr w:type="spellEnd"/>
      <w:r w:rsidRPr="00392A9A">
        <w:rPr>
          <w:bCs/>
          <w:i/>
          <w:color w:val="000000"/>
          <w:sz w:val="16"/>
          <w:szCs w:val="16"/>
          <w:lang w:val="es-CR"/>
        </w:rPr>
        <w:t xml:space="preserve"> Artavia Murillo et al. (In vitro </w:t>
      </w:r>
      <w:proofErr w:type="spellStart"/>
      <w:r w:rsidRPr="00392A9A">
        <w:rPr>
          <w:bCs/>
          <w:i/>
          <w:color w:val="000000"/>
          <w:sz w:val="16"/>
          <w:szCs w:val="16"/>
          <w:lang w:val="es-CR"/>
        </w:rPr>
        <w:t>fertilization</w:t>
      </w:r>
      <w:proofErr w:type="spellEnd"/>
      <w:r w:rsidRPr="00392A9A">
        <w:rPr>
          <w:bCs/>
          <w:i/>
          <w:color w:val="000000"/>
          <w:sz w:val="16"/>
          <w:szCs w:val="16"/>
          <w:lang w:val="es-CR"/>
        </w:rPr>
        <w:t>) v. Costa Rica, supra</w:t>
      </w:r>
      <w:r w:rsidRPr="00392A9A">
        <w:rPr>
          <w:color w:val="000000"/>
          <w:sz w:val="16"/>
          <w:szCs w:val="16"/>
          <w:lang w:val="es-CR"/>
        </w:rPr>
        <w:t xml:space="preserve">, para. 145, and </w:t>
      </w:r>
      <w:r w:rsidRPr="00392A9A">
        <w:rPr>
          <w:rFonts w:cs="Courier New"/>
          <w:i/>
          <w:noProof/>
          <w:sz w:val="16"/>
          <w:szCs w:val="16"/>
          <w:lang w:val="es-CR"/>
        </w:rPr>
        <w:t>I.V. v. Bolivia, supra</w:t>
      </w:r>
      <w:r w:rsidRPr="00392A9A">
        <w:rPr>
          <w:color w:val="000000"/>
          <w:sz w:val="16"/>
          <w:szCs w:val="16"/>
          <w:lang w:val="es-CR"/>
        </w:rPr>
        <w:t>, para. 153.</w:t>
      </w:r>
    </w:p>
  </w:footnote>
  <w:footnote w:id="268">
    <w:p w14:paraId="03522B4B" w14:textId="3F76F23F" w:rsidR="003558F5" w:rsidRPr="00CF6765" w:rsidRDefault="003558F5" w:rsidP="00002163">
      <w:pPr>
        <w:pStyle w:val="Textonotapie"/>
        <w:spacing w:after="60"/>
        <w:rPr>
          <w:lang w:val="en-US"/>
        </w:rPr>
      </w:pPr>
      <w:r w:rsidRPr="00CF6765">
        <w:rPr>
          <w:sz w:val="16"/>
          <w:szCs w:val="16"/>
          <w:vertAlign w:val="subscript"/>
          <w:lang w:val="en-US" w:eastAsia="es-CR"/>
        </w:rPr>
        <w:footnoteRef/>
      </w:r>
      <w:r w:rsidRPr="00392A9A">
        <w:rPr>
          <w:sz w:val="16"/>
          <w:szCs w:val="16"/>
          <w:vertAlign w:val="subscript"/>
          <w:lang w:val="es-CR" w:eastAsia="es-CR"/>
        </w:rPr>
        <w:t xml:space="preserve"> </w:t>
      </w:r>
      <w:r w:rsidRPr="00392A9A">
        <w:rPr>
          <w:vertAlign w:val="subscript"/>
          <w:lang w:val="es-CR"/>
        </w:rPr>
        <w:t xml:space="preserve">   </w:t>
      </w:r>
      <w:r w:rsidRPr="00392A9A">
        <w:rPr>
          <w:vertAlign w:val="subscript"/>
          <w:lang w:val="es-CR"/>
        </w:rPr>
        <w:tab/>
      </w:r>
      <w:r w:rsidRPr="00392A9A">
        <w:rPr>
          <w:rStyle w:val="Textoennegrita"/>
          <w:b w:val="0"/>
          <w:i/>
          <w:color w:val="000000"/>
          <w:sz w:val="16"/>
          <w:szCs w:val="16"/>
          <w:shd w:val="clear" w:color="auto" w:fill="FFFFFF"/>
          <w:lang w:val="es-CR"/>
        </w:rPr>
        <w:t xml:space="preserve">Case </w:t>
      </w:r>
      <w:proofErr w:type="spellStart"/>
      <w:r w:rsidRPr="00392A9A">
        <w:rPr>
          <w:rStyle w:val="Textoennegrita"/>
          <w:b w:val="0"/>
          <w:i/>
          <w:color w:val="000000"/>
          <w:sz w:val="16"/>
          <w:szCs w:val="16"/>
          <w:shd w:val="clear" w:color="auto" w:fill="FFFFFF"/>
          <w:lang w:val="es-CR"/>
        </w:rPr>
        <w:t>of</w:t>
      </w:r>
      <w:proofErr w:type="spellEnd"/>
      <w:r w:rsidRPr="00392A9A">
        <w:rPr>
          <w:rStyle w:val="Textoennegrita"/>
          <w:b w:val="0"/>
          <w:i/>
          <w:color w:val="000000"/>
          <w:sz w:val="16"/>
          <w:szCs w:val="16"/>
          <w:shd w:val="clear" w:color="auto" w:fill="FFFFFF"/>
          <w:lang w:val="es-CR"/>
        </w:rPr>
        <w:t xml:space="preserve"> I.V. v. Bolivia, supra, </w:t>
      </w:r>
      <w:r w:rsidRPr="00392A9A">
        <w:rPr>
          <w:rStyle w:val="Textoennegrita"/>
          <w:b w:val="0"/>
          <w:color w:val="000000"/>
          <w:sz w:val="16"/>
          <w:szCs w:val="16"/>
          <w:shd w:val="clear" w:color="auto" w:fill="FFFFFF"/>
          <w:lang w:val="es-CR"/>
        </w:rPr>
        <w:t xml:space="preserve">para. </w:t>
      </w:r>
      <w:r w:rsidRPr="00CF6765">
        <w:rPr>
          <w:rStyle w:val="Textoennegrita"/>
          <w:b w:val="0"/>
          <w:color w:val="000000"/>
          <w:sz w:val="16"/>
          <w:szCs w:val="16"/>
          <w:shd w:val="clear" w:color="auto" w:fill="FFFFFF"/>
          <w:lang w:val="en-US"/>
        </w:rPr>
        <w:t>151 and 155.</w:t>
      </w:r>
    </w:p>
  </w:footnote>
  <w:footnote w:id="269">
    <w:p w14:paraId="49CA4FBB" w14:textId="12CE2515" w:rsidR="003558F5" w:rsidRPr="00CF6765" w:rsidRDefault="003558F5" w:rsidP="00002163">
      <w:pPr>
        <w:pStyle w:val="Textonotapie"/>
        <w:spacing w:after="60"/>
        <w:rPr>
          <w:sz w:val="16"/>
          <w:szCs w:val="16"/>
          <w:lang w:val="en-US"/>
        </w:rPr>
      </w:pPr>
      <w:r w:rsidRPr="00CF6765">
        <w:rPr>
          <w:sz w:val="16"/>
          <w:szCs w:val="16"/>
          <w:vertAlign w:val="subscript"/>
          <w:lang w:val="en-US" w:eastAsia="es-CR"/>
        </w:rPr>
        <w:footnoteRef/>
      </w:r>
      <w:r w:rsidRPr="00CF6765">
        <w:rPr>
          <w:sz w:val="16"/>
          <w:szCs w:val="16"/>
          <w:vertAlign w:val="subscript"/>
          <w:lang w:val="en-US" w:eastAsia="es-CR"/>
        </w:rPr>
        <w:t xml:space="preserve"> </w:t>
      </w:r>
      <w:r w:rsidRPr="00CF6765">
        <w:rPr>
          <w:vertAlign w:val="subscript"/>
          <w:lang w:val="en-US"/>
        </w:rPr>
        <w:t xml:space="preserve"> </w:t>
      </w:r>
      <w:r w:rsidRPr="00CF6765">
        <w:rPr>
          <w:lang w:val="en-US"/>
        </w:rPr>
        <w:t xml:space="preserve">  </w:t>
      </w:r>
      <w:r w:rsidRPr="00CF6765">
        <w:rPr>
          <w:lang w:val="en-US"/>
        </w:rPr>
        <w:tab/>
      </w:r>
      <w:r w:rsidRPr="00CF6765">
        <w:rPr>
          <w:i/>
          <w:sz w:val="16"/>
          <w:szCs w:val="16"/>
          <w:lang w:val="en-US"/>
        </w:rPr>
        <w:t>Case of I.V. v. Bolivia</w:t>
      </w:r>
      <w:r w:rsidRPr="00CF6765">
        <w:rPr>
          <w:sz w:val="16"/>
          <w:szCs w:val="16"/>
          <w:lang w:val="en-US"/>
        </w:rPr>
        <w:t xml:space="preserve">, </w:t>
      </w:r>
      <w:r w:rsidRPr="00CF6765">
        <w:rPr>
          <w:i/>
          <w:sz w:val="16"/>
          <w:szCs w:val="16"/>
          <w:lang w:val="en-US"/>
        </w:rPr>
        <w:t>supra</w:t>
      </w:r>
      <w:r w:rsidRPr="00CF6765">
        <w:rPr>
          <w:sz w:val="16"/>
          <w:szCs w:val="16"/>
          <w:lang w:val="en-US"/>
        </w:rPr>
        <w:t xml:space="preserve">, paras. 165. </w:t>
      </w:r>
    </w:p>
  </w:footnote>
  <w:footnote w:id="270">
    <w:p w14:paraId="64CB7826" w14:textId="3B3849A2" w:rsidR="003558F5" w:rsidRPr="00CF6765" w:rsidRDefault="003558F5" w:rsidP="008E5FEC">
      <w:pPr>
        <w:spacing w:after="60"/>
        <w:rPr>
          <w:rFonts w:eastAsia="Calibri"/>
          <w:sz w:val="20"/>
          <w:szCs w:val="20"/>
          <w:lang w:val="en-US" w:eastAsia="en-US"/>
        </w:rPr>
      </w:pPr>
      <w:r w:rsidRPr="00CF6765">
        <w:rPr>
          <w:sz w:val="16"/>
          <w:szCs w:val="16"/>
          <w:vertAlign w:val="superscript"/>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Mutatis </w:t>
      </w:r>
      <w:proofErr w:type="spellStart"/>
      <w:r w:rsidRPr="00CF6765">
        <w:rPr>
          <w:i/>
          <w:sz w:val="16"/>
          <w:szCs w:val="16"/>
          <w:lang w:val="en-US"/>
        </w:rPr>
        <w:t>mutandi</w:t>
      </w:r>
      <w:proofErr w:type="spellEnd"/>
      <w:r w:rsidRPr="00CF6765">
        <w:rPr>
          <w:i/>
          <w:sz w:val="16"/>
          <w:szCs w:val="16"/>
          <w:lang w:val="en-US"/>
        </w:rPr>
        <w:t xml:space="preserve">, </w:t>
      </w:r>
      <w:r w:rsidRPr="00CF6765">
        <w:rPr>
          <w:bCs/>
          <w:i/>
          <w:color w:val="000000"/>
          <w:sz w:val="16"/>
          <w:szCs w:val="16"/>
          <w:lang w:val="en-US"/>
        </w:rPr>
        <w:t xml:space="preserve">Case of </w:t>
      </w:r>
      <w:proofErr w:type="spellStart"/>
      <w:r w:rsidRPr="00CF6765">
        <w:rPr>
          <w:bCs/>
          <w:i/>
          <w:color w:val="000000"/>
          <w:sz w:val="16"/>
          <w:szCs w:val="16"/>
          <w:lang w:val="en-US"/>
        </w:rPr>
        <w:t>Furlan</w:t>
      </w:r>
      <w:proofErr w:type="spellEnd"/>
      <w:r w:rsidRPr="00CF6765">
        <w:rPr>
          <w:bCs/>
          <w:i/>
          <w:color w:val="000000"/>
          <w:sz w:val="16"/>
          <w:szCs w:val="16"/>
          <w:lang w:val="en-US"/>
        </w:rPr>
        <w:t xml:space="preserve"> and Family v. Argentina, supra</w:t>
      </w:r>
      <w:r w:rsidRPr="00CF6765">
        <w:rPr>
          <w:color w:val="000000"/>
          <w:sz w:val="16"/>
          <w:szCs w:val="16"/>
          <w:lang w:val="en-US"/>
        </w:rPr>
        <w:t xml:space="preserve">, para. 294, and </w:t>
      </w:r>
      <w:r w:rsidRPr="00CF6765">
        <w:rPr>
          <w:i/>
          <w:color w:val="000000"/>
          <w:sz w:val="16"/>
          <w:szCs w:val="16"/>
          <w:lang w:val="en-US"/>
        </w:rPr>
        <w:t>Case of I.V. v. Bolivia</w:t>
      </w:r>
      <w:r w:rsidRPr="00CF6765">
        <w:rPr>
          <w:color w:val="000000"/>
          <w:sz w:val="16"/>
          <w:szCs w:val="16"/>
          <w:lang w:val="en-US"/>
        </w:rPr>
        <w:t xml:space="preserve">, </w:t>
      </w:r>
      <w:r w:rsidRPr="00CF6765">
        <w:rPr>
          <w:i/>
          <w:color w:val="000000"/>
          <w:sz w:val="16"/>
          <w:szCs w:val="16"/>
          <w:lang w:val="en-US"/>
        </w:rPr>
        <w:t>supra</w:t>
      </w:r>
      <w:r w:rsidRPr="00CF6765">
        <w:rPr>
          <w:color w:val="000000"/>
          <w:sz w:val="16"/>
          <w:szCs w:val="16"/>
          <w:lang w:val="en-US"/>
        </w:rPr>
        <w:t>, para. 155</w:t>
      </w:r>
      <w:r w:rsidRPr="00CF6765">
        <w:rPr>
          <w:sz w:val="16"/>
          <w:szCs w:val="16"/>
          <w:lang w:val="en-US"/>
        </w:rPr>
        <w:t xml:space="preserve">. </w:t>
      </w:r>
    </w:p>
    <w:p w14:paraId="4CF962D8" w14:textId="583783E3" w:rsidR="003558F5" w:rsidRPr="00CF6765" w:rsidRDefault="003558F5" w:rsidP="00002163">
      <w:pPr>
        <w:pStyle w:val="Textonotapie"/>
        <w:tabs>
          <w:tab w:val="left" w:pos="567"/>
        </w:tabs>
        <w:spacing w:after="60"/>
        <w:rPr>
          <w:sz w:val="16"/>
          <w:szCs w:val="16"/>
          <w:lang w:val="en-US"/>
        </w:rPr>
      </w:pPr>
    </w:p>
  </w:footnote>
  <w:footnote w:id="271">
    <w:p w14:paraId="30012B9C" w14:textId="17FD38B8" w:rsidR="003558F5" w:rsidRPr="00CF6765" w:rsidRDefault="003558F5" w:rsidP="00002163">
      <w:pPr>
        <w:pStyle w:val="Sinespaciado"/>
        <w:spacing w:after="60"/>
        <w:rPr>
          <w:rFonts w:ascii="Verdana" w:eastAsiaTheme="minorHAnsi" w:hAnsi="Verdana"/>
          <w:i/>
          <w:iCs/>
          <w:sz w:val="16"/>
          <w:szCs w:val="16"/>
        </w:rPr>
      </w:pPr>
      <w:r w:rsidRPr="00CF6765">
        <w:rPr>
          <w:rStyle w:val="Refdenotaalpie"/>
          <w:rFonts w:ascii="Verdana" w:hAnsi="Verdana"/>
          <w:sz w:val="16"/>
          <w:szCs w:val="16"/>
        </w:rPr>
        <w:footnoteRef/>
      </w:r>
      <w:r w:rsidRPr="00CF6765">
        <w:rPr>
          <w:rFonts w:ascii="Verdana" w:eastAsiaTheme="minorHAnsi" w:hAnsi="Verdana"/>
          <w:sz w:val="16"/>
          <w:szCs w:val="16"/>
        </w:rPr>
        <w:t xml:space="preserve"> </w:t>
      </w:r>
      <w:r w:rsidRPr="00CF6765">
        <w:rPr>
          <w:rFonts w:ascii="Verdana" w:eastAsiaTheme="minorHAnsi" w:hAnsi="Verdana"/>
          <w:sz w:val="16"/>
          <w:szCs w:val="16"/>
        </w:rPr>
        <w:tab/>
      </w:r>
      <w:r w:rsidRPr="00CF6765">
        <w:rPr>
          <w:rFonts w:ascii="Verdana" w:eastAsiaTheme="minorHAnsi" w:hAnsi="Verdana"/>
          <w:i/>
          <w:sz w:val="16"/>
          <w:szCs w:val="16"/>
        </w:rPr>
        <w:t>Cf.</w:t>
      </w:r>
      <w:r w:rsidRPr="00CF6765">
        <w:rPr>
          <w:rFonts w:ascii="Verdana" w:eastAsiaTheme="minorHAnsi" w:hAnsi="Verdana"/>
          <w:sz w:val="16"/>
          <w:szCs w:val="16"/>
        </w:rPr>
        <w:t xml:space="preserve"> </w:t>
      </w:r>
      <w:r w:rsidRPr="00CF6765">
        <w:rPr>
          <w:rFonts w:ascii="Verdana" w:eastAsiaTheme="minorHAnsi" w:hAnsi="Verdana"/>
          <w:i/>
          <w:iCs/>
          <w:sz w:val="16"/>
          <w:szCs w:val="16"/>
        </w:rPr>
        <w:t xml:space="preserve">Case of Castillo </w:t>
      </w:r>
      <w:proofErr w:type="spellStart"/>
      <w:r w:rsidRPr="00CF6765">
        <w:rPr>
          <w:rFonts w:ascii="Verdana" w:eastAsiaTheme="minorHAnsi" w:hAnsi="Verdana"/>
          <w:i/>
          <w:iCs/>
          <w:sz w:val="16"/>
          <w:szCs w:val="16"/>
        </w:rPr>
        <w:t>Páez</w:t>
      </w:r>
      <w:proofErr w:type="spellEnd"/>
      <w:r w:rsidRPr="00CF6765">
        <w:rPr>
          <w:rFonts w:ascii="Verdana" w:eastAsiaTheme="minorHAnsi" w:hAnsi="Verdana"/>
          <w:i/>
          <w:iCs/>
          <w:sz w:val="16"/>
          <w:szCs w:val="16"/>
        </w:rPr>
        <w:t xml:space="preserve"> v. Peru</w:t>
      </w:r>
      <w:r w:rsidRPr="00CF6765">
        <w:rPr>
          <w:rFonts w:ascii="Verdana" w:eastAsiaTheme="minorHAnsi" w:hAnsi="Verdana"/>
          <w:i/>
          <w:sz w:val="16"/>
          <w:szCs w:val="16"/>
        </w:rPr>
        <w:t>. Merits.</w:t>
      </w:r>
      <w:r w:rsidRPr="00CF6765">
        <w:rPr>
          <w:rFonts w:ascii="Verdana" w:eastAsiaTheme="minorHAnsi" w:hAnsi="Verdana"/>
          <w:sz w:val="16"/>
          <w:szCs w:val="16"/>
        </w:rPr>
        <w:t xml:space="preserve"> Judgment of November 3, 1997. Series C No. 34, para. </w:t>
      </w:r>
      <w:r w:rsidRPr="00392A9A">
        <w:rPr>
          <w:rFonts w:ascii="Verdana" w:eastAsiaTheme="minorHAnsi" w:hAnsi="Verdana"/>
          <w:sz w:val="16"/>
          <w:szCs w:val="16"/>
          <w:lang w:val="es-CR"/>
        </w:rPr>
        <w:t xml:space="preserve">82, and </w:t>
      </w:r>
      <w:r w:rsidRPr="00392A9A">
        <w:rPr>
          <w:rFonts w:ascii="Verdana" w:hAnsi="Verdana"/>
          <w:i/>
          <w:sz w:val="16"/>
          <w:szCs w:val="16"/>
          <w:lang w:val="es-CR"/>
        </w:rPr>
        <w:t xml:space="preserve">Case </w:t>
      </w:r>
      <w:proofErr w:type="spellStart"/>
      <w:r w:rsidRPr="00392A9A">
        <w:rPr>
          <w:rFonts w:ascii="Verdana" w:hAnsi="Verdana"/>
          <w:i/>
          <w:sz w:val="16"/>
          <w:szCs w:val="16"/>
          <w:lang w:val="es-CR"/>
        </w:rPr>
        <w:t>of</w:t>
      </w:r>
      <w:proofErr w:type="spellEnd"/>
      <w:r w:rsidRPr="00392A9A">
        <w:rPr>
          <w:rFonts w:ascii="Verdana" w:hAnsi="Verdana"/>
          <w:i/>
          <w:sz w:val="16"/>
          <w:szCs w:val="16"/>
          <w:lang w:val="es-CR"/>
        </w:rPr>
        <w:t xml:space="preserve"> Lagos del Campo v. </w:t>
      </w:r>
      <w:proofErr w:type="spellStart"/>
      <w:r w:rsidRPr="00392A9A">
        <w:rPr>
          <w:rFonts w:ascii="Verdana" w:hAnsi="Verdana"/>
          <w:i/>
          <w:sz w:val="16"/>
          <w:szCs w:val="16"/>
          <w:lang w:val="es-CR"/>
        </w:rPr>
        <w:t>Peru</w:t>
      </w:r>
      <w:proofErr w:type="spellEnd"/>
      <w:r w:rsidRPr="00392A9A">
        <w:rPr>
          <w:rFonts w:ascii="Verdana" w:hAnsi="Verdana"/>
          <w:sz w:val="16"/>
          <w:szCs w:val="16"/>
          <w:lang w:val="es-CR"/>
        </w:rPr>
        <w:t xml:space="preserve">, </w:t>
      </w:r>
      <w:r w:rsidRPr="00392A9A">
        <w:rPr>
          <w:rFonts w:ascii="Verdana" w:hAnsi="Verdana"/>
          <w:i/>
          <w:sz w:val="16"/>
          <w:szCs w:val="16"/>
          <w:lang w:val="es-CR"/>
        </w:rPr>
        <w:t>supra</w:t>
      </w:r>
      <w:r w:rsidRPr="00392A9A">
        <w:rPr>
          <w:rFonts w:ascii="Verdana" w:hAnsi="Verdana"/>
          <w:sz w:val="16"/>
          <w:szCs w:val="16"/>
          <w:lang w:val="es-CR"/>
        </w:rPr>
        <w:t xml:space="preserve">, para. </w:t>
      </w:r>
      <w:r w:rsidRPr="00CF6765">
        <w:rPr>
          <w:rFonts w:ascii="Verdana" w:hAnsi="Verdana"/>
          <w:sz w:val="16"/>
          <w:szCs w:val="16"/>
        </w:rPr>
        <w:t xml:space="preserve">174. </w:t>
      </w:r>
    </w:p>
  </w:footnote>
  <w:footnote w:id="272">
    <w:p w14:paraId="37F2C907" w14:textId="026B17AC" w:rsidR="003558F5" w:rsidRPr="00CF6765" w:rsidRDefault="003558F5" w:rsidP="00002163">
      <w:pPr>
        <w:pStyle w:val="Sinespaciado"/>
        <w:spacing w:after="60"/>
        <w:rPr>
          <w:rFonts w:ascii="Verdana" w:eastAsiaTheme="minorHAnsi" w:hAnsi="Verdana"/>
          <w:i/>
          <w:iCs/>
          <w:sz w:val="16"/>
          <w:szCs w:val="16"/>
        </w:rPr>
      </w:pPr>
      <w:r w:rsidRPr="00CF6765">
        <w:rPr>
          <w:rStyle w:val="Refdenotaalpie"/>
          <w:rFonts w:ascii="Verdana" w:hAnsi="Verdana"/>
          <w:sz w:val="16"/>
          <w:szCs w:val="16"/>
        </w:rPr>
        <w:footnoteRef/>
      </w:r>
      <w:r w:rsidRPr="00CF6765">
        <w:rPr>
          <w:rFonts w:ascii="Verdana" w:eastAsiaTheme="minorHAnsi" w:hAnsi="Verdana"/>
          <w:sz w:val="16"/>
          <w:szCs w:val="16"/>
        </w:rPr>
        <w:t xml:space="preserve"> </w:t>
      </w:r>
      <w:r w:rsidRPr="00CF6765">
        <w:rPr>
          <w:rFonts w:ascii="Verdana" w:eastAsiaTheme="minorHAnsi" w:hAnsi="Verdana"/>
          <w:sz w:val="16"/>
          <w:szCs w:val="16"/>
        </w:rPr>
        <w:tab/>
      </w:r>
      <w:r w:rsidRPr="00CF6765">
        <w:rPr>
          <w:rFonts w:ascii="Verdana" w:eastAsiaTheme="minorHAnsi" w:hAnsi="Verdana"/>
          <w:i/>
          <w:sz w:val="16"/>
          <w:szCs w:val="16"/>
        </w:rPr>
        <w:t>Cf.</w:t>
      </w:r>
      <w:r w:rsidRPr="00CF6765">
        <w:rPr>
          <w:rFonts w:ascii="Verdana" w:eastAsiaTheme="minorHAnsi" w:hAnsi="Verdana"/>
          <w:sz w:val="16"/>
          <w:szCs w:val="16"/>
        </w:rPr>
        <w:t xml:space="preserve"> </w:t>
      </w:r>
      <w:r w:rsidRPr="00CF6765">
        <w:rPr>
          <w:rFonts w:ascii="Verdana" w:eastAsiaTheme="minorHAnsi" w:hAnsi="Verdana"/>
          <w:i/>
          <w:iCs/>
          <w:sz w:val="16"/>
          <w:szCs w:val="16"/>
        </w:rPr>
        <w:t xml:space="preserve">Case of </w:t>
      </w:r>
      <w:proofErr w:type="spellStart"/>
      <w:r w:rsidRPr="00CF6765">
        <w:rPr>
          <w:rFonts w:ascii="Verdana" w:eastAsiaTheme="minorHAnsi" w:hAnsi="Verdana"/>
          <w:i/>
          <w:iCs/>
          <w:sz w:val="16"/>
          <w:szCs w:val="16"/>
        </w:rPr>
        <w:t>Goiburú</w:t>
      </w:r>
      <w:proofErr w:type="spellEnd"/>
      <w:r w:rsidRPr="00CF6765">
        <w:rPr>
          <w:rFonts w:ascii="Verdana" w:eastAsiaTheme="minorHAnsi" w:hAnsi="Verdana"/>
          <w:i/>
          <w:iCs/>
          <w:sz w:val="16"/>
          <w:szCs w:val="16"/>
        </w:rPr>
        <w:t xml:space="preserve"> et al. v. Paraguay</w:t>
      </w:r>
      <w:r w:rsidRPr="00CF6765">
        <w:rPr>
          <w:rFonts w:ascii="Verdana" w:eastAsiaTheme="minorHAnsi" w:hAnsi="Verdana"/>
          <w:sz w:val="16"/>
          <w:szCs w:val="16"/>
        </w:rPr>
        <w:t xml:space="preserve">. </w:t>
      </w:r>
      <w:r w:rsidRPr="00CF6765">
        <w:rPr>
          <w:rFonts w:ascii="Verdana" w:eastAsiaTheme="minorHAnsi" w:hAnsi="Verdana"/>
          <w:i/>
          <w:sz w:val="16"/>
          <w:szCs w:val="16"/>
        </w:rPr>
        <w:t>Merits, reparations and costs.</w:t>
      </w:r>
      <w:r w:rsidRPr="00CF6765">
        <w:rPr>
          <w:rFonts w:ascii="Verdana" w:eastAsiaTheme="minorHAnsi" w:hAnsi="Verdana"/>
          <w:sz w:val="16"/>
          <w:szCs w:val="16"/>
        </w:rPr>
        <w:t xml:space="preserve"> Judgment of September 22, 2006. Series C No. 153, para. 131, and </w:t>
      </w:r>
      <w:r w:rsidRPr="00CF6765">
        <w:rPr>
          <w:rFonts w:ascii="Verdana" w:hAnsi="Verdana"/>
          <w:i/>
          <w:sz w:val="16"/>
          <w:szCs w:val="16"/>
        </w:rPr>
        <w:t>Case of Lagos del Campo v. Peru</w:t>
      </w:r>
      <w:r w:rsidRPr="00CF6765">
        <w:rPr>
          <w:rFonts w:ascii="Verdana" w:hAnsi="Verdana"/>
          <w:sz w:val="16"/>
          <w:szCs w:val="16"/>
        </w:rPr>
        <w:t xml:space="preserve">, </w:t>
      </w:r>
      <w:r w:rsidRPr="00CF6765">
        <w:rPr>
          <w:rFonts w:ascii="Verdana" w:hAnsi="Verdana"/>
          <w:i/>
          <w:sz w:val="16"/>
          <w:szCs w:val="16"/>
        </w:rPr>
        <w:t>supra</w:t>
      </w:r>
      <w:r w:rsidRPr="00CF6765">
        <w:rPr>
          <w:rFonts w:ascii="Verdana" w:hAnsi="Verdana"/>
          <w:sz w:val="16"/>
          <w:szCs w:val="16"/>
        </w:rPr>
        <w:t>, para.</w:t>
      </w:r>
      <w:r w:rsidRPr="00CF6765">
        <w:rPr>
          <w:rFonts w:ascii="Verdana" w:hAnsi="Verdana"/>
          <w:i/>
          <w:sz w:val="16"/>
          <w:szCs w:val="16"/>
        </w:rPr>
        <w:t xml:space="preserve"> </w:t>
      </w:r>
      <w:r w:rsidRPr="00CF6765">
        <w:rPr>
          <w:rFonts w:ascii="Verdana" w:hAnsi="Verdana"/>
          <w:sz w:val="16"/>
          <w:szCs w:val="16"/>
        </w:rPr>
        <w:t>174</w:t>
      </w:r>
      <w:r w:rsidRPr="00CF6765">
        <w:rPr>
          <w:rFonts w:ascii="Verdana" w:hAnsi="Verdana"/>
          <w:i/>
          <w:sz w:val="16"/>
          <w:szCs w:val="16"/>
        </w:rPr>
        <w:t xml:space="preserve">. </w:t>
      </w:r>
    </w:p>
  </w:footnote>
  <w:footnote w:id="273">
    <w:p w14:paraId="7816E4B6" w14:textId="4489E6A7" w:rsidR="003558F5" w:rsidRPr="00392A9A" w:rsidRDefault="003558F5" w:rsidP="00002163">
      <w:pPr>
        <w:pStyle w:val="Sinespaciado"/>
        <w:spacing w:after="60"/>
        <w:rPr>
          <w:rFonts w:ascii="Verdana" w:eastAsiaTheme="minorHAnsi" w:hAnsi="Verdana"/>
          <w:i/>
          <w:iCs/>
          <w:sz w:val="16"/>
          <w:szCs w:val="16"/>
          <w:lang w:val="es-CR"/>
        </w:rPr>
      </w:pPr>
      <w:r w:rsidRPr="00CF6765">
        <w:rPr>
          <w:rStyle w:val="Refdenotaalpie"/>
          <w:rFonts w:ascii="Verdana" w:hAnsi="Verdana"/>
          <w:sz w:val="16"/>
          <w:szCs w:val="16"/>
        </w:rPr>
        <w:footnoteRef/>
      </w:r>
      <w:r w:rsidRPr="00CF6765">
        <w:rPr>
          <w:rFonts w:ascii="Verdana" w:eastAsiaTheme="minorHAnsi" w:hAnsi="Verdana"/>
          <w:sz w:val="16"/>
          <w:szCs w:val="16"/>
        </w:rPr>
        <w:t xml:space="preserve"> </w:t>
      </w:r>
      <w:r w:rsidRPr="00CF6765">
        <w:rPr>
          <w:rFonts w:ascii="Verdana" w:eastAsiaTheme="minorHAnsi" w:hAnsi="Verdana"/>
          <w:sz w:val="16"/>
          <w:szCs w:val="16"/>
        </w:rPr>
        <w:tab/>
      </w:r>
      <w:r w:rsidRPr="00CF6765">
        <w:rPr>
          <w:rFonts w:ascii="Verdana" w:eastAsiaTheme="minorHAnsi" w:hAnsi="Verdana"/>
          <w:i/>
          <w:sz w:val="16"/>
          <w:szCs w:val="16"/>
        </w:rPr>
        <w:t>Cf.</w:t>
      </w:r>
      <w:r w:rsidRPr="00CF6765">
        <w:rPr>
          <w:rFonts w:ascii="Verdana" w:eastAsiaTheme="minorHAnsi" w:hAnsi="Verdana"/>
          <w:sz w:val="16"/>
          <w:szCs w:val="16"/>
        </w:rPr>
        <w:t xml:space="preserve"> </w:t>
      </w:r>
      <w:r w:rsidRPr="00CF6765">
        <w:rPr>
          <w:rFonts w:ascii="Verdana" w:eastAsiaTheme="minorHAnsi" w:hAnsi="Verdana"/>
          <w:i/>
          <w:iCs/>
          <w:sz w:val="16"/>
          <w:szCs w:val="16"/>
        </w:rPr>
        <w:t xml:space="preserve">Case of </w:t>
      </w:r>
      <w:proofErr w:type="spellStart"/>
      <w:r w:rsidRPr="00CF6765">
        <w:rPr>
          <w:rFonts w:ascii="Verdana" w:eastAsiaTheme="minorHAnsi" w:hAnsi="Verdana"/>
          <w:i/>
          <w:iCs/>
          <w:sz w:val="16"/>
          <w:szCs w:val="16"/>
        </w:rPr>
        <w:t>Mejía</w:t>
      </w:r>
      <w:proofErr w:type="spellEnd"/>
      <w:r w:rsidRPr="00CF6765">
        <w:rPr>
          <w:rFonts w:ascii="Verdana" w:eastAsiaTheme="minorHAnsi" w:hAnsi="Verdana"/>
          <w:i/>
          <w:iCs/>
          <w:sz w:val="16"/>
          <w:szCs w:val="16"/>
        </w:rPr>
        <w:t xml:space="preserve"> </w:t>
      </w:r>
      <w:proofErr w:type="spellStart"/>
      <w:r w:rsidRPr="00CF6765">
        <w:rPr>
          <w:rFonts w:ascii="Verdana" w:eastAsiaTheme="minorHAnsi" w:hAnsi="Verdana"/>
          <w:i/>
          <w:iCs/>
          <w:sz w:val="16"/>
          <w:szCs w:val="16"/>
        </w:rPr>
        <w:t>Idrovo</w:t>
      </w:r>
      <w:proofErr w:type="spellEnd"/>
      <w:r w:rsidRPr="00CF6765">
        <w:rPr>
          <w:rFonts w:ascii="Verdana" w:eastAsiaTheme="minorHAnsi" w:hAnsi="Verdana"/>
          <w:i/>
          <w:iCs/>
          <w:sz w:val="16"/>
          <w:szCs w:val="16"/>
        </w:rPr>
        <w:t xml:space="preserve"> v. Ecuador</w:t>
      </w:r>
      <w:r w:rsidRPr="00CF6765">
        <w:rPr>
          <w:rFonts w:ascii="Verdana" w:eastAsiaTheme="minorHAnsi" w:hAnsi="Verdana"/>
          <w:sz w:val="16"/>
          <w:szCs w:val="16"/>
        </w:rPr>
        <w:t xml:space="preserve">. </w:t>
      </w:r>
      <w:r w:rsidRPr="00CF6765">
        <w:rPr>
          <w:rFonts w:ascii="Verdana" w:eastAsiaTheme="minorHAnsi" w:hAnsi="Verdana"/>
          <w:i/>
          <w:sz w:val="16"/>
          <w:szCs w:val="16"/>
        </w:rPr>
        <w:t>Preliminary objections, merits, reparations and costs</w:t>
      </w:r>
      <w:r w:rsidRPr="00CF6765">
        <w:rPr>
          <w:rFonts w:ascii="Verdana" w:eastAsiaTheme="minorHAnsi" w:hAnsi="Verdana"/>
          <w:sz w:val="16"/>
          <w:szCs w:val="16"/>
        </w:rPr>
        <w:t xml:space="preserve">. </w:t>
      </w:r>
      <w:proofErr w:type="spellStart"/>
      <w:r w:rsidRPr="00392A9A">
        <w:rPr>
          <w:rFonts w:ascii="Verdana" w:eastAsiaTheme="minorHAnsi" w:hAnsi="Verdana"/>
          <w:sz w:val="16"/>
          <w:szCs w:val="16"/>
          <w:lang w:val="es-CR"/>
        </w:rPr>
        <w:t>Judgment</w:t>
      </w:r>
      <w:proofErr w:type="spellEnd"/>
      <w:r w:rsidRPr="00392A9A">
        <w:rPr>
          <w:rFonts w:ascii="Verdana" w:eastAsiaTheme="minorHAnsi" w:hAnsi="Verdana"/>
          <w:sz w:val="16"/>
          <w:szCs w:val="16"/>
          <w:lang w:val="es-CR"/>
        </w:rPr>
        <w:t xml:space="preserve"> </w:t>
      </w:r>
      <w:proofErr w:type="spellStart"/>
      <w:r w:rsidRPr="00392A9A">
        <w:rPr>
          <w:rFonts w:ascii="Verdana" w:eastAsiaTheme="minorHAnsi" w:hAnsi="Verdana"/>
          <w:sz w:val="16"/>
          <w:szCs w:val="16"/>
          <w:lang w:val="es-CR"/>
        </w:rPr>
        <w:t>of</w:t>
      </w:r>
      <w:proofErr w:type="spellEnd"/>
      <w:r w:rsidRPr="00392A9A">
        <w:rPr>
          <w:rFonts w:ascii="Verdana" w:eastAsiaTheme="minorHAnsi" w:hAnsi="Verdana"/>
          <w:sz w:val="16"/>
          <w:szCs w:val="16"/>
          <w:lang w:val="es-CR"/>
        </w:rPr>
        <w:t xml:space="preserve"> </w:t>
      </w:r>
      <w:proofErr w:type="spellStart"/>
      <w:r w:rsidRPr="00392A9A">
        <w:rPr>
          <w:rFonts w:ascii="Verdana" w:eastAsiaTheme="minorHAnsi" w:hAnsi="Verdana"/>
          <w:sz w:val="16"/>
          <w:szCs w:val="16"/>
          <w:lang w:val="es-CR"/>
        </w:rPr>
        <w:t>July</w:t>
      </w:r>
      <w:proofErr w:type="spellEnd"/>
      <w:r w:rsidRPr="00392A9A">
        <w:rPr>
          <w:rFonts w:ascii="Verdana" w:eastAsiaTheme="minorHAnsi" w:hAnsi="Verdana"/>
          <w:sz w:val="16"/>
          <w:szCs w:val="16"/>
          <w:lang w:val="es-CR"/>
        </w:rPr>
        <w:t xml:space="preserve"> 5, 2011. Series </w:t>
      </w:r>
      <w:r w:rsidRPr="00392A9A">
        <w:rPr>
          <w:rFonts w:ascii="Verdana" w:eastAsiaTheme="minorHAnsi" w:hAnsi="Verdana"/>
          <w:iCs/>
          <w:sz w:val="16"/>
          <w:szCs w:val="16"/>
          <w:lang w:val="es-CR"/>
        </w:rPr>
        <w:t>C No.228</w:t>
      </w:r>
      <w:r w:rsidRPr="00392A9A">
        <w:rPr>
          <w:rFonts w:ascii="Verdana" w:eastAsiaTheme="minorHAnsi" w:hAnsi="Verdana"/>
          <w:i/>
          <w:iCs/>
          <w:sz w:val="16"/>
          <w:szCs w:val="16"/>
          <w:lang w:val="es-CR"/>
        </w:rPr>
        <w:t xml:space="preserve">, </w:t>
      </w:r>
      <w:r w:rsidRPr="00392A9A">
        <w:rPr>
          <w:rFonts w:ascii="Verdana" w:eastAsiaTheme="minorHAnsi" w:hAnsi="Verdana"/>
          <w:sz w:val="16"/>
          <w:szCs w:val="16"/>
          <w:lang w:val="es-CR"/>
        </w:rPr>
        <w:t xml:space="preserve">para. 106, and </w:t>
      </w:r>
      <w:r w:rsidRPr="00392A9A">
        <w:rPr>
          <w:rFonts w:ascii="Verdana" w:hAnsi="Verdana"/>
          <w:i/>
          <w:sz w:val="16"/>
          <w:szCs w:val="16"/>
          <w:lang w:val="es-CR"/>
        </w:rPr>
        <w:t xml:space="preserve">Case </w:t>
      </w:r>
      <w:proofErr w:type="spellStart"/>
      <w:r w:rsidRPr="00392A9A">
        <w:rPr>
          <w:rFonts w:ascii="Verdana" w:hAnsi="Verdana"/>
          <w:i/>
          <w:sz w:val="16"/>
          <w:szCs w:val="16"/>
          <w:lang w:val="es-CR"/>
        </w:rPr>
        <w:t>of</w:t>
      </w:r>
      <w:proofErr w:type="spellEnd"/>
      <w:r w:rsidRPr="00392A9A">
        <w:rPr>
          <w:rFonts w:ascii="Verdana" w:hAnsi="Verdana"/>
          <w:i/>
          <w:sz w:val="16"/>
          <w:szCs w:val="16"/>
          <w:lang w:val="es-CR"/>
        </w:rPr>
        <w:t xml:space="preserve"> Lagos del Campo v. </w:t>
      </w:r>
      <w:proofErr w:type="spellStart"/>
      <w:r w:rsidRPr="00392A9A">
        <w:rPr>
          <w:rFonts w:ascii="Verdana" w:hAnsi="Verdana"/>
          <w:i/>
          <w:sz w:val="16"/>
          <w:szCs w:val="16"/>
          <w:lang w:val="es-CR"/>
        </w:rPr>
        <w:t>Peru</w:t>
      </w:r>
      <w:proofErr w:type="spellEnd"/>
      <w:r w:rsidRPr="00392A9A">
        <w:rPr>
          <w:rFonts w:ascii="Verdana" w:hAnsi="Verdana"/>
          <w:sz w:val="16"/>
          <w:szCs w:val="16"/>
          <w:lang w:val="es-CR"/>
        </w:rPr>
        <w:t xml:space="preserve">, </w:t>
      </w:r>
      <w:r w:rsidRPr="00392A9A">
        <w:rPr>
          <w:rFonts w:ascii="Verdana" w:hAnsi="Verdana"/>
          <w:i/>
          <w:sz w:val="16"/>
          <w:szCs w:val="16"/>
          <w:lang w:val="es-CR"/>
        </w:rPr>
        <w:t>supra</w:t>
      </w:r>
      <w:r w:rsidRPr="00392A9A">
        <w:rPr>
          <w:rFonts w:ascii="Verdana" w:hAnsi="Verdana"/>
          <w:sz w:val="16"/>
          <w:szCs w:val="16"/>
          <w:lang w:val="es-CR"/>
        </w:rPr>
        <w:t>, para.</w:t>
      </w:r>
      <w:r w:rsidRPr="00392A9A">
        <w:rPr>
          <w:rFonts w:ascii="Verdana" w:hAnsi="Verdana"/>
          <w:i/>
          <w:sz w:val="16"/>
          <w:szCs w:val="16"/>
          <w:lang w:val="es-CR"/>
        </w:rPr>
        <w:t xml:space="preserve"> </w:t>
      </w:r>
      <w:r w:rsidRPr="00392A9A">
        <w:rPr>
          <w:rFonts w:ascii="Verdana" w:hAnsi="Verdana"/>
          <w:sz w:val="16"/>
          <w:szCs w:val="16"/>
          <w:lang w:val="es-CR"/>
        </w:rPr>
        <w:t>174</w:t>
      </w:r>
      <w:r w:rsidRPr="00392A9A">
        <w:rPr>
          <w:rFonts w:ascii="Verdana" w:hAnsi="Verdana"/>
          <w:i/>
          <w:sz w:val="16"/>
          <w:szCs w:val="16"/>
          <w:lang w:val="es-CR"/>
        </w:rPr>
        <w:t xml:space="preserve">. </w:t>
      </w:r>
    </w:p>
  </w:footnote>
  <w:footnote w:id="274">
    <w:p w14:paraId="21510BC9" w14:textId="0F45A88E" w:rsidR="003558F5" w:rsidRPr="00CF6765" w:rsidRDefault="003558F5" w:rsidP="00002163">
      <w:pPr>
        <w:pStyle w:val="Sinespaciado"/>
        <w:spacing w:after="60"/>
        <w:rPr>
          <w:rFonts w:ascii="Verdana" w:eastAsiaTheme="minorHAnsi" w:hAnsi="Verdana"/>
          <w:i/>
          <w:iCs/>
          <w:sz w:val="16"/>
          <w:szCs w:val="16"/>
        </w:rPr>
      </w:pPr>
      <w:r w:rsidRPr="00CF6765">
        <w:rPr>
          <w:rStyle w:val="Refdenotaalpie"/>
          <w:rFonts w:ascii="Verdana" w:hAnsi="Verdana"/>
          <w:sz w:val="16"/>
          <w:szCs w:val="16"/>
        </w:rPr>
        <w:footnoteRef/>
      </w:r>
      <w:r w:rsidRPr="00392A9A">
        <w:rPr>
          <w:rFonts w:ascii="Verdana" w:eastAsiaTheme="minorHAnsi" w:hAnsi="Verdana"/>
          <w:sz w:val="16"/>
          <w:szCs w:val="16"/>
          <w:lang w:val="es-CR"/>
        </w:rPr>
        <w:t xml:space="preserve"> </w:t>
      </w:r>
      <w:r w:rsidRPr="00392A9A">
        <w:rPr>
          <w:rFonts w:ascii="Verdana" w:eastAsiaTheme="minorHAnsi" w:hAnsi="Verdana"/>
          <w:sz w:val="16"/>
          <w:szCs w:val="16"/>
          <w:lang w:val="es-CR"/>
        </w:rPr>
        <w:tab/>
      </w:r>
      <w:r w:rsidRPr="00392A9A">
        <w:rPr>
          <w:rFonts w:ascii="Verdana" w:eastAsiaTheme="minorHAnsi" w:hAnsi="Verdana"/>
          <w:i/>
          <w:sz w:val="16"/>
          <w:szCs w:val="16"/>
          <w:lang w:val="es-CR"/>
        </w:rPr>
        <w:t xml:space="preserve">Cf. </w:t>
      </w:r>
      <w:r w:rsidRPr="00392A9A">
        <w:rPr>
          <w:rFonts w:ascii="Verdana" w:eastAsiaTheme="minorHAnsi" w:hAnsi="Verdana"/>
          <w:bCs/>
          <w:i/>
          <w:sz w:val="16"/>
          <w:szCs w:val="16"/>
          <w:lang w:val="es-CR"/>
        </w:rPr>
        <w:t xml:space="preserve">Case </w:t>
      </w:r>
      <w:proofErr w:type="spellStart"/>
      <w:r w:rsidRPr="00392A9A">
        <w:rPr>
          <w:rFonts w:ascii="Verdana" w:eastAsiaTheme="minorHAnsi" w:hAnsi="Verdana"/>
          <w:bCs/>
          <w:i/>
          <w:sz w:val="16"/>
          <w:szCs w:val="16"/>
          <w:lang w:val="es-CR"/>
        </w:rPr>
        <w:t>of</w:t>
      </w:r>
      <w:proofErr w:type="spellEnd"/>
      <w:r w:rsidRPr="00392A9A">
        <w:rPr>
          <w:rFonts w:ascii="Verdana" w:eastAsiaTheme="minorHAnsi" w:hAnsi="Verdana"/>
          <w:bCs/>
          <w:i/>
          <w:sz w:val="16"/>
          <w:szCs w:val="16"/>
          <w:lang w:val="es-CR"/>
        </w:rPr>
        <w:t xml:space="preserve"> Velásquez Rodríguez v. Honduras, </w:t>
      </w:r>
      <w:proofErr w:type="spellStart"/>
      <w:r w:rsidRPr="00392A9A">
        <w:rPr>
          <w:rFonts w:ascii="Verdana" w:eastAsiaTheme="minorHAnsi" w:hAnsi="Verdana"/>
          <w:bCs/>
          <w:i/>
          <w:sz w:val="16"/>
          <w:szCs w:val="16"/>
          <w:lang w:val="es-CR"/>
        </w:rPr>
        <w:t>Merits</w:t>
      </w:r>
      <w:proofErr w:type="spellEnd"/>
      <w:r w:rsidRPr="00392A9A">
        <w:rPr>
          <w:rFonts w:ascii="Verdana" w:eastAsiaTheme="minorHAnsi" w:hAnsi="Verdana"/>
          <w:bCs/>
          <w:i/>
          <w:sz w:val="16"/>
          <w:szCs w:val="16"/>
          <w:lang w:val="es-CR"/>
        </w:rPr>
        <w:t>, supra,</w:t>
      </w:r>
      <w:r w:rsidRPr="00392A9A">
        <w:rPr>
          <w:rFonts w:ascii="Verdana" w:eastAsiaTheme="minorHAnsi" w:hAnsi="Verdana"/>
          <w:bCs/>
          <w:sz w:val="16"/>
          <w:szCs w:val="16"/>
          <w:lang w:val="es-CR"/>
        </w:rPr>
        <w:t xml:space="preserve"> para. 219, and </w:t>
      </w:r>
      <w:r w:rsidRPr="00392A9A">
        <w:rPr>
          <w:rFonts w:ascii="Verdana" w:hAnsi="Verdana"/>
          <w:i/>
          <w:sz w:val="16"/>
          <w:szCs w:val="16"/>
          <w:lang w:val="es-CR"/>
        </w:rPr>
        <w:t xml:space="preserve">Case </w:t>
      </w:r>
      <w:proofErr w:type="spellStart"/>
      <w:r w:rsidRPr="00392A9A">
        <w:rPr>
          <w:rFonts w:ascii="Verdana" w:hAnsi="Verdana"/>
          <w:i/>
          <w:sz w:val="16"/>
          <w:szCs w:val="16"/>
          <w:lang w:val="es-CR"/>
        </w:rPr>
        <w:t>of</w:t>
      </w:r>
      <w:proofErr w:type="spellEnd"/>
      <w:r w:rsidRPr="00392A9A">
        <w:rPr>
          <w:rFonts w:ascii="Verdana" w:hAnsi="Verdana"/>
          <w:i/>
          <w:sz w:val="16"/>
          <w:szCs w:val="16"/>
          <w:lang w:val="es-CR"/>
        </w:rPr>
        <w:t xml:space="preserve"> Lagos del Campo v. </w:t>
      </w:r>
      <w:proofErr w:type="spellStart"/>
      <w:r w:rsidRPr="00392A9A">
        <w:rPr>
          <w:rFonts w:ascii="Verdana" w:hAnsi="Verdana"/>
          <w:i/>
          <w:sz w:val="16"/>
          <w:szCs w:val="16"/>
          <w:lang w:val="es-CR"/>
        </w:rPr>
        <w:t>Peru</w:t>
      </w:r>
      <w:proofErr w:type="spellEnd"/>
      <w:r w:rsidRPr="00392A9A">
        <w:rPr>
          <w:rFonts w:ascii="Verdana" w:hAnsi="Verdana"/>
          <w:sz w:val="16"/>
          <w:szCs w:val="16"/>
          <w:lang w:val="es-CR"/>
        </w:rPr>
        <w:t xml:space="preserve">, </w:t>
      </w:r>
      <w:r w:rsidRPr="00392A9A">
        <w:rPr>
          <w:rFonts w:ascii="Verdana" w:hAnsi="Verdana"/>
          <w:i/>
          <w:sz w:val="16"/>
          <w:szCs w:val="16"/>
          <w:lang w:val="es-CR"/>
        </w:rPr>
        <w:t>supra</w:t>
      </w:r>
      <w:r w:rsidRPr="00392A9A">
        <w:rPr>
          <w:rFonts w:ascii="Verdana" w:hAnsi="Verdana"/>
          <w:sz w:val="16"/>
          <w:szCs w:val="16"/>
          <w:lang w:val="es-CR"/>
        </w:rPr>
        <w:t>, para.</w:t>
      </w:r>
      <w:r w:rsidRPr="00392A9A">
        <w:rPr>
          <w:rFonts w:ascii="Verdana" w:hAnsi="Verdana"/>
          <w:i/>
          <w:sz w:val="16"/>
          <w:szCs w:val="16"/>
          <w:lang w:val="es-CR"/>
        </w:rPr>
        <w:t xml:space="preserve"> </w:t>
      </w:r>
      <w:r w:rsidRPr="00CF6765">
        <w:rPr>
          <w:rFonts w:ascii="Verdana" w:hAnsi="Verdana"/>
          <w:sz w:val="16"/>
          <w:szCs w:val="16"/>
        </w:rPr>
        <w:t>174.</w:t>
      </w:r>
      <w:r w:rsidRPr="00CF6765">
        <w:rPr>
          <w:rFonts w:ascii="Verdana" w:hAnsi="Verdana"/>
          <w:i/>
          <w:sz w:val="16"/>
          <w:szCs w:val="16"/>
        </w:rPr>
        <w:t xml:space="preserve"> </w:t>
      </w:r>
    </w:p>
  </w:footnote>
  <w:footnote w:id="275">
    <w:p w14:paraId="3D3DE6A0" w14:textId="59DB9CF7" w:rsidR="003558F5" w:rsidRPr="00392A9A" w:rsidRDefault="003558F5" w:rsidP="00002163">
      <w:pPr>
        <w:pStyle w:val="Sinespaciado"/>
        <w:spacing w:after="60"/>
        <w:rPr>
          <w:rFonts w:ascii="Verdana" w:eastAsiaTheme="minorHAnsi" w:hAnsi="Verdana"/>
          <w:sz w:val="16"/>
          <w:szCs w:val="16"/>
          <w:lang w:val="es-CR"/>
        </w:rPr>
      </w:pPr>
      <w:r w:rsidRPr="00CF6765">
        <w:rPr>
          <w:rStyle w:val="Refdenotaalpie"/>
          <w:rFonts w:ascii="Verdana" w:hAnsi="Verdana"/>
          <w:sz w:val="16"/>
          <w:szCs w:val="16"/>
        </w:rPr>
        <w:footnoteRef/>
      </w:r>
      <w:r w:rsidRPr="00CF6765">
        <w:rPr>
          <w:rFonts w:ascii="Verdana" w:eastAsiaTheme="minorHAnsi" w:hAnsi="Verdana"/>
          <w:sz w:val="16"/>
          <w:szCs w:val="16"/>
        </w:rPr>
        <w:t xml:space="preserve"> </w:t>
      </w:r>
      <w:r w:rsidRPr="00CF6765">
        <w:rPr>
          <w:rFonts w:ascii="Verdana" w:eastAsiaTheme="minorHAnsi" w:hAnsi="Verdana"/>
          <w:sz w:val="16"/>
          <w:szCs w:val="16"/>
        </w:rPr>
        <w:tab/>
      </w:r>
      <w:r w:rsidRPr="00CF6765">
        <w:rPr>
          <w:rFonts w:ascii="Verdana" w:eastAsiaTheme="minorHAnsi" w:hAnsi="Verdana"/>
          <w:i/>
          <w:sz w:val="16"/>
          <w:szCs w:val="16"/>
        </w:rPr>
        <w:t>Cf.</w:t>
      </w:r>
      <w:r w:rsidRPr="00CF6765">
        <w:rPr>
          <w:rFonts w:ascii="Verdana" w:eastAsiaTheme="minorHAnsi" w:hAnsi="Verdana"/>
          <w:sz w:val="16"/>
          <w:szCs w:val="16"/>
        </w:rPr>
        <w:t xml:space="preserve"> </w:t>
      </w:r>
      <w:r w:rsidRPr="00CF6765">
        <w:rPr>
          <w:rFonts w:ascii="Verdana" w:eastAsiaTheme="minorHAnsi" w:hAnsi="Verdana"/>
          <w:i/>
          <w:sz w:val="16"/>
          <w:szCs w:val="16"/>
        </w:rPr>
        <w:t xml:space="preserve">Case of </w:t>
      </w:r>
      <w:proofErr w:type="spellStart"/>
      <w:r w:rsidRPr="00CF6765">
        <w:rPr>
          <w:rFonts w:ascii="Verdana" w:eastAsiaTheme="minorHAnsi" w:hAnsi="Verdana"/>
          <w:i/>
          <w:sz w:val="16"/>
          <w:szCs w:val="16"/>
        </w:rPr>
        <w:t>Baena</w:t>
      </w:r>
      <w:proofErr w:type="spellEnd"/>
      <w:r w:rsidRPr="00CF6765">
        <w:rPr>
          <w:rFonts w:ascii="Verdana" w:eastAsiaTheme="minorHAnsi" w:hAnsi="Verdana"/>
          <w:i/>
          <w:sz w:val="16"/>
          <w:szCs w:val="16"/>
        </w:rPr>
        <w:t xml:space="preserve"> Ricardo et al. v. Panama. Jurisdiction.</w:t>
      </w:r>
      <w:r w:rsidRPr="00CF6765">
        <w:rPr>
          <w:rFonts w:ascii="Verdana" w:eastAsiaTheme="minorHAnsi" w:hAnsi="Verdana"/>
          <w:sz w:val="16"/>
          <w:szCs w:val="16"/>
        </w:rPr>
        <w:t xml:space="preserve"> Judgment of November 28, 2003. </w:t>
      </w:r>
      <w:r w:rsidRPr="00392A9A">
        <w:rPr>
          <w:rFonts w:ascii="Verdana" w:eastAsiaTheme="minorHAnsi" w:hAnsi="Verdana"/>
          <w:sz w:val="16"/>
          <w:szCs w:val="16"/>
          <w:lang w:val="es-CR"/>
        </w:rPr>
        <w:t xml:space="preserve">Series C No 104. para. 73; </w:t>
      </w:r>
      <w:r w:rsidRPr="00392A9A">
        <w:rPr>
          <w:rFonts w:ascii="Verdana" w:eastAsiaTheme="minorHAnsi" w:hAnsi="Verdana"/>
          <w:i/>
          <w:sz w:val="16"/>
          <w:szCs w:val="16"/>
          <w:lang w:val="es-CR"/>
        </w:rPr>
        <w:t xml:space="preserve">Case </w:t>
      </w:r>
      <w:proofErr w:type="spellStart"/>
      <w:r w:rsidRPr="00392A9A">
        <w:rPr>
          <w:rFonts w:ascii="Verdana" w:eastAsiaTheme="minorHAnsi" w:hAnsi="Verdana"/>
          <w:i/>
          <w:sz w:val="16"/>
          <w:szCs w:val="16"/>
          <w:lang w:val="es-CR"/>
        </w:rPr>
        <w:t>of</w:t>
      </w:r>
      <w:proofErr w:type="spellEnd"/>
      <w:r w:rsidRPr="00392A9A">
        <w:rPr>
          <w:rFonts w:ascii="Verdana" w:eastAsiaTheme="minorHAnsi" w:hAnsi="Verdana"/>
          <w:i/>
          <w:sz w:val="16"/>
          <w:szCs w:val="16"/>
          <w:lang w:val="es-CR"/>
        </w:rPr>
        <w:t xml:space="preserve"> Acevedo Buendía et al. </w:t>
      </w:r>
      <w:r w:rsidRPr="00CF6765">
        <w:rPr>
          <w:rFonts w:ascii="Verdana" w:eastAsiaTheme="minorHAnsi" w:hAnsi="Verdana"/>
          <w:i/>
          <w:sz w:val="16"/>
          <w:szCs w:val="16"/>
        </w:rPr>
        <w:t>(“Discharged and Retired Employees of the Comptroller’s Office”) v. Peru,</w:t>
      </w:r>
      <w:r w:rsidRPr="00CF6765">
        <w:rPr>
          <w:rFonts w:ascii="Verdana" w:eastAsiaTheme="minorHAnsi" w:hAnsi="Verdana"/>
          <w:sz w:val="16"/>
          <w:szCs w:val="16"/>
        </w:rPr>
        <w:t xml:space="preserve"> </w:t>
      </w:r>
      <w:r w:rsidRPr="00CF6765">
        <w:rPr>
          <w:rFonts w:ascii="Verdana" w:eastAsiaTheme="minorHAnsi" w:hAnsi="Verdana"/>
          <w:i/>
          <w:sz w:val="16"/>
          <w:szCs w:val="16"/>
        </w:rPr>
        <w:t>supra</w:t>
      </w:r>
      <w:r w:rsidRPr="00CF6765">
        <w:rPr>
          <w:rFonts w:ascii="Verdana" w:eastAsiaTheme="minorHAnsi" w:hAnsi="Verdana"/>
          <w:sz w:val="16"/>
          <w:szCs w:val="16"/>
        </w:rPr>
        <w:t xml:space="preserve">, para. </w:t>
      </w:r>
      <w:r w:rsidRPr="00392A9A">
        <w:rPr>
          <w:rFonts w:ascii="Verdana" w:eastAsiaTheme="minorHAnsi" w:hAnsi="Verdana"/>
          <w:sz w:val="16"/>
          <w:szCs w:val="16"/>
          <w:lang w:val="es-CR"/>
        </w:rPr>
        <w:t xml:space="preserve">69, and </w:t>
      </w:r>
      <w:r w:rsidRPr="00392A9A">
        <w:rPr>
          <w:rStyle w:val="Textoennegrita"/>
          <w:rFonts w:ascii="Verdana" w:hAnsi="Verdana"/>
          <w:b w:val="0"/>
          <w:i/>
          <w:color w:val="000000"/>
          <w:sz w:val="16"/>
          <w:szCs w:val="16"/>
          <w:shd w:val="clear" w:color="auto" w:fill="FFFFFF"/>
          <w:lang w:val="es-CR"/>
        </w:rPr>
        <w:t xml:space="preserve">Case </w:t>
      </w:r>
      <w:proofErr w:type="spellStart"/>
      <w:r w:rsidRPr="00392A9A">
        <w:rPr>
          <w:rStyle w:val="Textoennegrita"/>
          <w:rFonts w:ascii="Verdana" w:hAnsi="Verdana"/>
          <w:b w:val="0"/>
          <w:i/>
          <w:color w:val="000000"/>
          <w:sz w:val="16"/>
          <w:szCs w:val="16"/>
          <w:shd w:val="clear" w:color="auto" w:fill="FFFFFF"/>
          <w:lang w:val="es-CR"/>
        </w:rPr>
        <w:t>of</w:t>
      </w:r>
      <w:proofErr w:type="spellEnd"/>
      <w:r w:rsidRPr="00392A9A">
        <w:rPr>
          <w:rStyle w:val="Textoennegrita"/>
          <w:rFonts w:ascii="Verdana" w:hAnsi="Verdana"/>
          <w:b w:val="0"/>
          <w:i/>
          <w:color w:val="000000"/>
          <w:sz w:val="16"/>
          <w:szCs w:val="16"/>
          <w:shd w:val="clear" w:color="auto" w:fill="FFFFFF"/>
          <w:lang w:val="es-CR"/>
        </w:rPr>
        <w:t xml:space="preserve"> Vereda La Esperanza v. Colombia. supra</w:t>
      </w:r>
      <w:r w:rsidRPr="00392A9A">
        <w:rPr>
          <w:rStyle w:val="Textoennegrita"/>
          <w:rFonts w:ascii="Verdana" w:hAnsi="Verdana"/>
          <w:b w:val="0"/>
          <w:color w:val="000000"/>
          <w:sz w:val="16"/>
          <w:szCs w:val="16"/>
          <w:shd w:val="clear" w:color="auto" w:fill="FFFFFF"/>
          <w:lang w:val="es-CR"/>
        </w:rPr>
        <w:t xml:space="preserve">, para. 185. </w:t>
      </w:r>
    </w:p>
  </w:footnote>
  <w:footnote w:id="276">
    <w:p w14:paraId="0AC56258" w14:textId="57B1AEEB" w:rsidR="003558F5" w:rsidRPr="00CF6765" w:rsidRDefault="003558F5" w:rsidP="00002163">
      <w:pPr>
        <w:pStyle w:val="Sinespaciado"/>
        <w:spacing w:after="60"/>
        <w:rPr>
          <w:rFonts w:ascii="Verdana" w:eastAsiaTheme="minorHAnsi" w:hAnsi="Verdana"/>
          <w:spacing w:val="-2"/>
          <w:sz w:val="16"/>
          <w:szCs w:val="16"/>
        </w:rPr>
      </w:pPr>
      <w:r w:rsidRPr="00CF6765">
        <w:rPr>
          <w:rStyle w:val="Smbolodenotaalpie"/>
          <w:rFonts w:ascii="Verdana" w:eastAsiaTheme="minorHAnsi" w:hAnsi="Verdana"/>
          <w:sz w:val="16"/>
          <w:szCs w:val="16"/>
        </w:rPr>
        <w:footnoteRef/>
      </w:r>
      <w:r w:rsidRPr="00392A9A">
        <w:rPr>
          <w:rFonts w:ascii="Verdana" w:eastAsiaTheme="minorHAnsi" w:hAnsi="Verdana"/>
          <w:i/>
          <w:spacing w:val="-4"/>
          <w:sz w:val="16"/>
          <w:szCs w:val="16"/>
          <w:lang w:val="es-CR"/>
        </w:rPr>
        <w:t xml:space="preserve"> </w:t>
      </w:r>
      <w:r w:rsidRPr="00392A9A">
        <w:rPr>
          <w:rFonts w:ascii="Verdana" w:eastAsiaTheme="minorHAnsi" w:hAnsi="Verdana"/>
          <w:i/>
          <w:spacing w:val="-4"/>
          <w:sz w:val="16"/>
          <w:szCs w:val="16"/>
          <w:lang w:val="es-CR"/>
        </w:rPr>
        <w:tab/>
        <w:t xml:space="preserve">Cf. </w:t>
      </w:r>
      <w:r w:rsidRPr="00392A9A">
        <w:rPr>
          <w:rFonts w:ascii="Verdana" w:eastAsiaTheme="minorHAnsi" w:hAnsi="Verdana"/>
          <w:i/>
          <w:sz w:val="16"/>
          <w:szCs w:val="16"/>
          <w:lang w:val="es-CR"/>
        </w:rPr>
        <w:t xml:space="preserve">Case </w:t>
      </w:r>
      <w:proofErr w:type="spellStart"/>
      <w:r w:rsidRPr="00392A9A">
        <w:rPr>
          <w:rFonts w:ascii="Verdana" w:eastAsiaTheme="minorHAnsi" w:hAnsi="Verdana"/>
          <w:i/>
          <w:sz w:val="16"/>
          <w:szCs w:val="16"/>
          <w:lang w:val="es-CR"/>
        </w:rPr>
        <w:t>of</w:t>
      </w:r>
      <w:proofErr w:type="spellEnd"/>
      <w:r w:rsidRPr="00392A9A">
        <w:rPr>
          <w:rFonts w:ascii="Verdana" w:eastAsiaTheme="minorHAnsi" w:hAnsi="Verdana" w:cs="Arial"/>
          <w:spacing w:val="-4"/>
          <w:sz w:val="16"/>
          <w:szCs w:val="16"/>
          <w:lang w:val="es-CR"/>
        </w:rPr>
        <w:t xml:space="preserve"> </w:t>
      </w:r>
      <w:r w:rsidRPr="00392A9A">
        <w:rPr>
          <w:rFonts w:ascii="Verdana" w:eastAsiaTheme="minorHAnsi" w:hAnsi="Verdana" w:cs="Arial"/>
          <w:i/>
          <w:spacing w:val="-4"/>
          <w:sz w:val="16"/>
          <w:szCs w:val="16"/>
          <w:lang w:val="es-CR"/>
        </w:rPr>
        <w:t xml:space="preserve">Velásquez Rodríguez v. Honduras. </w:t>
      </w:r>
      <w:proofErr w:type="spellStart"/>
      <w:r w:rsidRPr="00392A9A">
        <w:rPr>
          <w:rFonts w:ascii="Verdana" w:eastAsiaTheme="minorHAnsi" w:hAnsi="Verdana" w:cs="Arial"/>
          <w:i/>
          <w:spacing w:val="-4"/>
          <w:sz w:val="16"/>
          <w:szCs w:val="16"/>
          <w:lang w:val="es-CR"/>
        </w:rPr>
        <w:t>Merits</w:t>
      </w:r>
      <w:proofErr w:type="spellEnd"/>
      <w:r w:rsidRPr="00392A9A">
        <w:rPr>
          <w:rFonts w:ascii="Verdana" w:eastAsiaTheme="minorHAnsi" w:hAnsi="Verdana" w:cs="Arial"/>
          <w:spacing w:val="-4"/>
          <w:sz w:val="16"/>
          <w:szCs w:val="16"/>
          <w:lang w:val="es-CR"/>
        </w:rPr>
        <w:t xml:space="preserve">, </w:t>
      </w:r>
      <w:r w:rsidRPr="00392A9A">
        <w:rPr>
          <w:rFonts w:ascii="Verdana" w:eastAsiaTheme="minorHAnsi" w:hAnsi="Verdana" w:cs="Verdana"/>
          <w:spacing w:val="-4"/>
          <w:sz w:val="16"/>
          <w:szCs w:val="16"/>
          <w:lang w:val="es-CR"/>
        </w:rPr>
        <w:t>para. 177</w:t>
      </w:r>
      <w:r w:rsidRPr="00392A9A">
        <w:rPr>
          <w:rFonts w:ascii="Verdana" w:eastAsiaTheme="minorHAnsi" w:hAnsi="Verdana"/>
          <w:spacing w:val="-2"/>
          <w:sz w:val="16"/>
          <w:szCs w:val="16"/>
          <w:lang w:val="es-CR"/>
        </w:rPr>
        <w:t xml:space="preserve">, and </w:t>
      </w:r>
      <w:r w:rsidRPr="00392A9A">
        <w:rPr>
          <w:rFonts w:ascii="Verdana" w:eastAsiaTheme="minorHAnsi" w:hAnsi="Verdana"/>
          <w:i/>
          <w:spacing w:val="-2"/>
          <w:sz w:val="16"/>
          <w:szCs w:val="16"/>
          <w:lang w:val="es-CR"/>
        </w:rPr>
        <w:t xml:space="preserve">Case </w:t>
      </w:r>
      <w:proofErr w:type="spellStart"/>
      <w:r w:rsidRPr="00392A9A">
        <w:rPr>
          <w:rFonts w:ascii="Verdana" w:eastAsiaTheme="minorHAnsi" w:hAnsi="Verdana"/>
          <w:i/>
          <w:spacing w:val="-2"/>
          <w:sz w:val="16"/>
          <w:szCs w:val="16"/>
          <w:lang w:val="es-CR"/>
        </w:rPr>
        <w:t>of</w:t>
      </w:r>
      <w:proofErr w:type="spellEnd"/>
      <w:r w:rsidRPr="00392A9A">
        <w:rPr>
          <w:rFonts w:ascii="Verdana" w:eastAsiaTheme="minorHAnsi" w:hAnsi="Verdana"/>
          <w:i/>
          <w:spacing w:val="-2"/>
          <w:sz w:val="16"/>
          <w:szCs w:val="16"/>
          <w:lang w:val="es-CR"/>
        </w:rPr>
        <w:t xml:space="preserve"> Vereda la Esperanza v. Colombia, supra,</w:t>
      </w:r>
      <w:r w:rsidRPr="00392A9A">
        <w:rPr>
          <w:rFonts w:ascii="Verdana" w:eastAsiaTheme="minorHAnsi" w:hAnsi="Verdana"/>
          <w:spacing w:val="-2"/>
          <w:sz w:val="16"/>
          <w:szCs w:val="16"/>
          <w:lang w:val="es-CR"/>
        </w:rPr>
        <w:t xml:space="preserve"> para. </w:t>
      </w:r>
      <w:r w:rsidRPr="00CF6765">
        <w:rPr>
          <w:rFonts w:ascii="Verdana" w:eastAsiaTheme="minorHAnsi" w:hAnsi="Verdana"/>
          <w:spacing w:val="-2"/>
          <w:sz w:val="16"/>
          <w:szCs w:val="16"/>
        </w:rPr>
        <w:t xml:space="preserve">185. </w:t>
      </w:r>
    </w:p>
  </w:footnote>
  <w:footnote w:id="277">
    <w:p w14:paraId="515A71C1" w14:textId="3B07BFD8" w:rsidR="003558F5" w:rsidRPr="00CF6765" w:rsidRDefault="003558F5" w:rsidP="00002163">
      <w:pPr>
        <w:pStyle w:val="Sinespaciado"/>
        <w:spacing w:after="60"/>
        <w:rPr>
          <w:rFonts w:ascii="Verdana" w:eastAsiaTheme="minorHAnsi" w:hAnsi="Verdana"/>
          <w:spacing w:val="-2"/>
          <w:sz w:val="16"/>
          <w:szCs w:val="16"/>
        </w:rPr>
      </w:pPr>
      <w:r w:rsidRPr="00CF6765">
        <w:rPr>
          <w:rStyle w:val="Smbolodenotaalpie"/>
          <w:rFonts w:ascii="Verdana" w:eastAsiaTheme="minorHAnsi" w:hAnsi="Verdana"/>
          <w:sz w:val="16"/>
          <w:szCs w:val="16"/>
        </w:rPr>
        <w:footnoteRef/>
      </w:r>
      <w:r w:rsidRPr="00CF6765">
        <w:rPr>
          <w:rFonts w:ascii="Verdana" w:eastAsiaTheme="minorHAnsi" w:hAnsi="Verdana"/>
          <w:spacing w:val="-4"/>
          <w:sz w:val="16"/>
          <w:szCs w:val="16"/>
        </w:rPr>
        <w:t xml:space="preserve"> </w:t>
      </w:r>
      <w:r w:rsidRPr="00CF6765">
        <w:rPr>
          <w:rFonts w:ascii="Verdana" w:eastAsiaTheme="minorHAnsi" w:hAnsi="Verdana"/>
          <w:spacing w:val="-4"/>
          <w:sz w:val="16"/>
          <w:szCs w:val="16"/>
        </w:rPr>
        <w:tab/>
      </w:r>
      <w:r w:rsidRPr="00CF6765">
        <w:rPr>
          <w:rFonts w:ascii="Verdana" w:eastAsiaTheme="minorHAnsi" w:hAnsi="Verdana"/>
          <w:i/>
          <w:spacing w:val="-4"/>
          <w:sz w:val="16"/>
          <w:szCs w:val="16"/>
        </w:rPr>
        <w:t xml:space="preserve">Cf. Case of Juan Humberto Sánchez v. Honduras. Preliminary objection, merits, reparations and costs. </w:t>
      </w:r>
      <w:proofErr w:type="spellStart"/>
      <w:r w:rsidRPr="00392A9A">
        <w:rPr>
          <w:rFonts w:ascii="Verdana" w:eastAsiaTheme="minorHAnsi" w:hAnsi="Verdana"/>
          <w:spacing w:val="-4"/>
          <w:sz w:val="16"/>
          <w:szCs w:val="16"/>
          <w:lang w:val="es-CR"/>
        </w:rPr>
        <w:t>Judgment</w:t>
      </w:r>
      <w:proofErr w:type="spellEnd"/>
      <w:r w:rsidRPr="00392A9A">
        <w:rPr>
          <w:rFonts w:ascii="Verdana" w:eastAsiaTheme="minorHAnsi" w:hAnsi="Verdana"/>
          <w:spacing w:val="-4"/>
          <w:sz w:val="16"/>
          <w:szCs w:val="16"/>
          <w:lang w:val="es-CR"/>
        </w:rPr>
        <w:t xml:space="preserve"> </w:t>
      </w:r>
      <w:proofErr w:type="spellStart"/>
      <w:r w:rsidRPr="00392A9A">
        <w:rPr>
          <w:rFonts w:ascii="Verdana" w:eastAsiaTheme="minorHAnsi" w:hAnsi="Verdana"/>
          <w:spacing w:val="-4"/>
          <w:sz w:val="16"/>
          <w:szCs w:val="16"/>
          <w:lang w:val="es-CR"/>
        </w:rPr>
        <w:t>of</w:t>
      </w:r>
      <w:proofErr w:type="spellEnd"/>
      <w:r w:rsidRPr="00392A9A">
        <w:rPr>
          <w:rFonts w:ascii="Verdana" w:eastAsiaTheme="minorHAnsi" w:hAnsi="Verdana"/>
          <w:spacing w:val="-4"/>
          <w:sz w:val="16"/>
          <w:szCs w:val="16"/>
          <w:lang w:val="es-CR"/>
        </w:rPr>
        <w:t xml:space="preserve"> June 7, 2003. Series C No. 99, </w:t>
      </w:r>
      <w:r w:rsidRPr="00392A9A">
        <w:rPr>
          <w:rFonts w:ascii="Verdana" w:eastAsiaTheme="minorHAnsi" w:hAnsi="Verdana" w:cs="Verdana"/>
          <w:spacing w:val="-4"/>
          <w:sz w:val="16"/>
          <w:szCs w:val="16"/>
          <w:lang w:val="es-CR"/>
        </w:rPr>
        <w:t>para. 127,</w:t>
      </w:r>
      <w:r w:rsidRPr="00392A9A">
        <w:rPr>
          <w:rFonts w:ascii="Verdana" w:eastAsiaTheme="minorHAnsi" w:hAnsi="Verdana"/>
          <w:spacing w:val="-4"/>
          <w:sz w:val="16"/>
          <w:szCs w:val="16"/>
          <w:lang w:val="es-CR"/>
        </w:rPr>
        <w:t xml:space="preserve"> and </w:t>
      </w:r>
      <w:r w:rsidRPr="00392A9A">
        <w:rPr>
          <w:rFonts w:ascii="Verdana" w:eastAsiaTheme="minorHAnsi" w:hAnsi="Verdana"/>
          <w:i/>
          <w:spacing w:val="-2"/>
          <w:sz w:val="16"/>
          <w:szCs w:val="16"/>
          <w:lang w:val="es-CR"/>
        </w:rPr>
        <w:t xml:space="preserve">Case </w:t>
      </w:r>
      <w:proofErr w:type="spellStart"/>
      <w:r w:rsidRPr="00392A9A">
        <w:rPr>
          <w:rFonts w:ascii="Verdana" w:eastAsiaTheme="minorHAnsi" w:hAnsi="Verdana"/>
          <w:i/>
          <w:spacing w:val="-2"/>
          <w:sz w:val="16"/>
          <w:szCs w:val="16"/>
          <w:lang w:val="es-CR"/>
        </w:rPr>
        <w:t>of</w:t>
      </w:r>
      <w:proofErr w:type="spellEnd"/>
      <w:r w:rsidRPr="00392A9A">
        <w:rPr>
          <w:rFonts w:ascii="Verdana" w:eastAsiaTheme="minorHAnsi" w:hAnsi="Verdana"/>
          <w:i/>
          <w:spacing w:val="-2"/>
          <w:sz w:val="16"/>
          <w:szCs w:val="16"/>
          <w:lang w:val="es-CR"/>
        </w:rPr>
        <w:t xml:space="preserve"> Vereda la Esperanza v. Colombia, supra, </w:t>
      </w:r>
      <w:r w:rsidRPr="00392A9A">
        <w:rPr>
          <w:rFonts w:ascii="Verdana" w:eastAsiaTheme="minorHAnsi" w:hAnsi="Verdana"/>
          <w:spacing w:val="-2"/>
          <w:sz w:val="16"/>
          <w:szCs w:val="16"/>
          <w:lang w:val="es-CR"/>
        </w:rPr>
        <w:t xml:space="preserve">para. </w:t>
      </w:r>
      <w:r w:rsidRPr="00CF6765">
        <w:rPr>
          <w:rFonts w:ascii="Verdana" w:eastAsiaTheme="minorHAnsi" w:hAnsi="Verdana"/>
          <w:spacing w:val="-2"/>
          <w:sz w:val="16"/>
          <w:szCs w:val="16"/>
        </w:rPr>
        <w:t xml:space="preserve">185. </w:t>
      </w:r>
    </w:p>
  </w:footnote>
  <w:footnote w:id="278">
    <w:p w14:paraId="15CAE443" w14:textId="29DA8192" w:rsidR="003558F5" w:rsidRPr="00CF6765" w:rsidRDefault="003558F5" w:rsidP="00002163">
      <w:pPr>
        <w:pStyle w:val="Sinespaciado"/>
        <w:spacing w:after="60"/>
        <w:rPr>
          <w:rFonts w:ascii="Verdana" w:eastAsiaTheme="minorHAnsi" w:hAnsi="Verdana"/>
          <w:spacing w:val="-2"/>
          <w:sz w:val="16"/>
          <w:szCs w:val="16"/>
        </w:rPr>
      </w:pPr>
      <w:r w:rsidRPr="00CF6765">
        <w:rPr>
          <w:rStyle w:val="Smbolodenotaalpie"/>
          <w:rFonts w:ascii="Verdana" w:eastAsiaTheme="minorHAnsi" w:hAnsi="Verdana"/>
          <w:sz w:val="16"/>
          <w:szCs w:val="16"/>
        </w:rPr>
        <w:footnoteRef/>
      </w:r>
      <w:r w:rsidRPr="00CF6765">
        <w:rPr>
          <w:rFonts w:ascii="Verdana" w:eastAsiaTheme="minorHAnsi" w:hAnsi="Verdana"/>
          <w:i/>
          <w:spacing w:val="-4"/>
          <w:sz w:val="16"/>
          <w:szCs w:val="16"/>
        </w:rPr>
        <w:t xml:space="preserve"> </w:t>
      </w:r>
      <w:r w:rsidRPr="00CF6765">
        <w:rPr>
          <w:rFonts w:ascii="Verdana" w:eastAsiaTheme="minorHAnsi" w:hAnsi="Verdana"/>
          <w:i/>
          <w:spacing w:val="-4"/>
          <w:sz w:val="16"/>
          <w:szCs w:val="16"/>
        </w:rPr>
        <w:tab/>
        <w:t xml:space="preserve">Cf. </w:t>
      </w:r>
      <w:r w:rsidRPr="00CF6765">
        <w:rPr>
          <w:rFonts w:ascii="Verdana" w:eastAsiaTheme="minorHAnsi" w:hAnsi="Verdana"/>
          <w:bCs/>
          <w:i/>
          <w:spacing w:val="-4"/>
          <w:sz w:val="16"/>
          <w:szCs w:val="16"/>
        </w:rPr>
        <w:t xml:space="preserve">Case of </w:t>
      </w:r>
      <w:r w:rsidRPr="00CF6765">
        <w:rPr>
          <w:rFonts w:ascii="Verdana" w:eastAsiaTheme="minorHAnsi" w:hAnsi="Verdana"/>
          <w:i/>
          <w:spacing w:val="-4"/>
          <w:sz w:val="16"/>
          <w:szCs w:val="16"/>
        </w:rPr>
        <w:t xml:space="preserve">the </w:t>
      </w:r>
      <w:r w:rsidRPr="00CF6765">
        <w:rPr>
          <w:rFonts w:ascii="Verdana" w:eastAsiaTheme="minorHAnsi" w:hAnsi="Verdana"/>
          <w:bCs/>
          <w:i/>
          <w:spacing w:val="-4"/>
          <w:sz w:val="16"/>
          <w:szCs w:val="16"/>
        </w:rPr>
        <w:t xml:space="preserve">Serrano Cruz Sisters v. El Salvador. Merits, reparations and costs. </w:t>
      </w:r>
      <w:r w:rsidRPr="00CF6765">
        <w:rPr>
          <w:rFonts w:ascii="Verdana" w:eastAsiaTheme="minorHAnsi" w:hAnsi="Verdana"/>
          <w:bCs/>
          <w:spacing w:val="-4"/>
          <w:sz w:val="16"/>
          <w:szCs w:val="16"/>
        </w:rPr>
        <w:t>Judgment of March 1, 2005. Series C No. 120</w:t>
      </w:r>
      <w:r w:rsidRPr="00CF6765">
        <w:rPr>
          <w:rFonts w:ascii="Verdana" w:eastAsiaTheme="minorHAnsi" w:hAnsi="Verdana"/>
          <w:bCs/>
          <w:i/>
          <w:spacing w:val="-4"/>
          <w:sz w:val="16"/>
          <w:szCs w:val="16"/>
        </w:rPr>
        <w:t xml:space="preserve">, </w:t>
      </w:r>
      <w:r w:rsidRPr="00CF6765">
        <w:rPr>
          <w:rFonts w:ascii="Verdana" w:eastAsiaTheme="minorHAnsi" w:hAnsi="Verdana"/>
          <w:spacing w:val="-4"/>
          <w:sz w:val="16"/>
          <w:szCs w:val="16"/>
        </w:rPr>
        <w:t xml:space="preserve">para. 83, and </w:t>
      </w:r>
      <w:r w:rsidRPr="00CF6765">
        <w:rPr>
          <w:rStyle w:val="Textoennegrita"/>
          <w:rFonts w:ascii="Verdana" w:eastAsiaTheme="minorHAnsi" w:hAnsi="Verdana"/>
          <w:b w:val="0"/>
          <w:i/>
          <w:color w:val="000000"/>
          <w:sz w:val="16"/>
          <w:szCs w:val="16"/>
        </w:rPr>
        <w:t xml:space="preserve">Case of </w:t>
      </w:r>
      <w:proofErr w:type="spellStart"/>
      <w:r w:rsidRPr="00CF6765">
        <w:rPr>
          <w:rStyle w:val="Textoennegrita"/>
          <w:rFonts w:ascii="Verdana" w:eastAsiaTheme="minorHAnsi" w:hAnsi="Verdana"/>
          <w:b w:val="0"/>
          <w:i/>
          <w:color w:val="000000"/>
          <w:sz w:val="16"/>
          <w:szCs w:val="16"/>
        </w:rPr>
        <w:t>Vereda</w:t>
      </w:r>
      <w:proofErr w:type="spellEnd"/>
      <w:r w:rsidRPr="00CF6765">
        <w:rPr>
          <w:rStyle w:val="Textoennegrita"/>
          <w:rFonts w:ascii="Verdana" w:eastAsiaTheme="minorHAnsi" w:hAnsi="Verdana"/>
          <w:b w:val="0"/>
          <w:i/>
          <w:color w:val="000000"/>
          <w:sz w:val="16"/>
          <w:szCs w:val="16"/>
        </w:rPr>
        <w:t xml:space="preserve"> la Esperanza v. Colombia, supra,</w:t>
      </w:r>
      <w:r w:rsidRPr="00CF6765">
        <w:rPr>
          <w:rStyle w:val="Textoennegrita"/>
          <w:rFonts w:ascii="Verdana" w:eastAsiaTheme="minorHAnsi" w:hAnsi="Verdana"/>
          <w:b w:val="0"/>
          <w:color w:val="000000"/>
          <w:sz w:val="16"/>
          <w:szCs w:val="16"/>
        </w:rPr>
        <w:t xml:space="preserve"> para. 185.</w:t>
      </w:r>
    </w:p>
  </w:footnote>
  <w:footnote w:id="279">
    <w:p w14:paraId="23A3AE71" w14:textId="22AB3CB8" w:rsidR="003558F5" w:rsidRPr="00392A9A" w:rsidRDefault="003558F5" w:rsidP="00002163">
      <w:pPr>
        <w:pStyle w:val="Sinespaciado"/>
        <w:spacing w:after="60"/>
        <w:rPr>
          <w:rFonts w:ascii="Verdana" w:eastAsiaTheme="minorHAnsi" w:hAnsi="Verdana"/>
          <w:sz w:val="16"/>
          <w:szCs w:val="16"/>
          <w:lang w:val="es-CR"/>
        </w:rPr>
      </w:pPr>
      <w:r w:rsidRPr="00CF6765">
        <w:rPr>
          <w:rStyle w:val="Smbolodenotaalpie"/>
          <w:rFonts w:ascii="Verdana" w:eastAsiaTheme="minorHAnsi" w:hAnsi="Verdana"/>
          <w:sz w:val="16"/>
          <w:szCs w:val="16"/>
        </w:rPr>
        <w:footnoteRef/>
      </w:r>
      <w:r w:rsidRPr="00CF6765">
        <w:rPr>
          <w:rFonts w:ascii="Verdana" w:eastAsiaTheme="minorHAnsi" w:hAnsi="Verdana"/>
          <w:sz w:val="16"/>
          <w:szCs w:val="16"/>
        </w:rPr>
        <w:t xml:space="preserve"> </w:t>
      </w:r>
      <w:r w:rsidRPr="00CF6765">
        <w:rPr>
          <w:rFonts w:ascii="Verdana" w:eastAsiaTheme="minorHAnsi" w:hAnsi="Verdana"/>
          <w:sz w:val="16"/>
          <w:szCs w:val="16"/>
        </w:rPr>
        <w:tab/>
      </w:r>
      <w:r w:rsidRPr="00CF6765">
        <w:rPr>
          <w:rFonts w:ascii="Verdana" w:eastAsiaTheme="minorHAnsi" w:hAnsi="Verdana"/>
          <w:i/>
          <w:sz w:val="16"/>
          <w:szCs w:val="16"/>
        </w:rPr>
        <w:t>Cf. Case of the “Street Children” (</w:t>
      </w:r>
      <w:proofErr w:type="spellStart"/>
      <w:r w:rsidRPr="00CF6765">
        <w:rPr>
          <w:rFonts w:ascii="Verdana" w:eastAsiaTheme="minorHAnsi" w:hAnsi="Verdana"/>
          <w:i/>
          <w:sz w:val="16"/>
          <w:szCs w:val="16"/>
        </w:rPr>
        <w:t>Villagrán</w:t>
      </w:r>
      <w:proofErr w:type="spellEnd"/>
      <w:r w:rsidRPr="00CF6765">
        <w:rPr>
          <w:rFonts w:ascii="Verdana" w:eastAsiaTheme="minorHAnsi" w:hAnsi="Verdana"/>
          <w:i/>
          <w:sz w:val="16"/>
          <w:szCs w:val="16"/>
        </w:rPr>
        <w:t xml:space="preserve"> Morales et al.) v. Guatemala. </w:t>
      </w:r>
      <w:proofErr w:type="spellStart"/>
      <w:r w:rsidRPr="00392A9A">
        <w:rPr>
          <w:rFonts w:ascii="Verdana" w:eastAsiaTheme="minorHAnsi" w:hAnsi="Verdana"/>
          <w:i/>
          <w:sz w:val="16"/>
          <w:szCs w:val="16"/>
          <w:lang w:val="es-CR"/>
        </w:rPr>
        <w:t>Merits</w:t>
      </w:r>
      <w:proofErr w:type="spellEnd"/>
      <w:r w:rsidRPr="00392A9A">
        <w:rPr>
          <w:rFonts w:ascii="Verdana" w:eastAsiaTheme="minorHAnsi" w:hAnsi="Verdana"/>
          <w:sz w:val="16"/>
          <w:szCs w:val="16"/>
          <w:lang w:val="es-CR"/>
        </w:rPr>
        <w:t xml:space="preserve">. </w:t>
      </w:r>
      <w:proofErr w:type="spellStart"/>
      <w:r w:rsidRPr="00392A9A">
        <w:rPr>
          <w:rFonts w:ascii="Verdana" w:eastAsiaTheme="minorHAnsi" w:hAnsi="Verdana"/>
          <w:sz w:val="16"/>
          <w:szCs w:val="16"/>
          <w:lang w:val="es-CR"/>
        </w:rPr>
        <w:t>Judgment</w:t>
      </w:r>
      <w:proofErr w:type="spellEnd"/>
      <w:r w:rsidRPr="00392A9A">
        <w:rPr>
          <w:rFonts w:ascii="Verdana" w:eastAsiaTheme="minorHAnsi" w:hAnsi="Verdana"/>
          <w:sz w:val="16"/>
          <w:szCs w:val="16"/>
          <w:lang w:val="es-CR"/>
        </w:rPr>
        <w:t xml:space="preserve"> </w:t>
      </w:r>
      <w:proofErr w:type="spellStart"/>
      <w:r w:rsidRPr="00392A9A">
        <w:rPr>
          <w:rFonts w:ascii="Verdana" w:eastAsiaTheme="minorHAnsi" w:hAnsi="Verdana"/>
          <w:sz w:val="16"/>
          <w:szCs w:val="16"/>
          <w:lang w:val="es-CR"/>
        </w:rPr>
        <w:t>of</w:t>
      </w:r>
      <w:proofErr w:type="spellEnd"/>
      <w:r w:rsidRPr="00392A9A">
        <w:rPr>
          <w:rFonts w:ascii="Verdana" w:eastAsiaTheme="minorHAnsi" w:hAnsi="Verdana"/>
          <w:sz w:val="16"/>
          <w:szCs w:val="16"/>
          <w:lang w:val="es-CR"/>
        </w:rPr>
        <w:t xml:space="preserve"> </w:t>
      </w:r>
      <w:proofErr w:type="spellStart"/>
      <w:r w:rsidRPr="00392A9A">
        <w:rPr>
          <w:rFonts w:ascii="Verdana" w:eastAsiaTheme="minorHAnsi" w:hAnsi="Verdana"/>
          <w:sz w:val="16"/>
          <w:szCs w:val="16"/>
          <w:lang w:val="es-CR"/>
        </w:rPr>
        <w:t>November</w:t>
      </w:r>
      <w:proofErr w:type="spellEnd"/>
      <w:r w:rsidRPr="00392A9A">
        <w:rPr>
          <w:rFonts w:ascii="Verdana" w:eastAsiaTheme="minorHAnsi" w:hAnsi="Verdana"/>
          <w:sz w:val="16"/>
          <w:szCs w:val="16"/>
          <w:lang w:val="es-CR"/>
        </w:rPr>
        <w:t xml:space="preserve"> 19, 1999. Series C No. 63, para. 222, and </w:t>
      </w:r>
      <w:r w:rsidRPr="00392A9A">
        <w:rPr>
          <w:rFonts w:ascii="Verdana" w:eastAsiaTheme="minorHAnsi" w:hAnsi="Verdana"/>
          <w:i/>
          <w:sz w:val="16"/>
          <w:szCs w:val="16"/>
          <w:lang w:val="es-CR"/>
        </w:rPr>
        <w:t xml:space="preserve">Case </w:t>
      </w:r>
      <w:proofErr w:type="spellStart"/>
      <w:r w:rsidRPr="00392A9A">
        <w:rPr>
          <w:rFonts w:ascii="Verdana" w:eastAsiaTheme="minorHAnsi" w:hAnsi="Verdana"/>
          <w:i/>
          <w:sz w:val="16"/>
          <w:szCs w:val="16"/>
          <w:lang w:val="es-CR"/>
        </w:rPr>
        <w:t>of</w:t>
      </w:r>
      <w:proofErr w:type="spellEnd"/>
      <w:r w:rsidRPr="00392A9A">
        <w:rPr>
          <w:rFonts w:ascii="Verdana" w:eastAsiaTheme="minorHAnsi" w:hAnsi="Verdana"/>
          <w:i/>
          <w:sz w:val="16"/>
          <w:szCs w:val="16"/>
          <w:lang w:val="es-CR"/>
        </w:rPr>
        <w:t xml:space="preserve"> Vereda la Esperanza v. Colombia, supra,</w:t>
      </w:r>
      <w:r w:rsidRPr="00392A9A">
        <w:rPr>
          <w:rFonts w:ascii="Verdana" w:eastAsiaTheme="minorHAnsi" w:hAnsi="Verdana"/>
          <w:sz w:val="16"/>
          <w:szCs w:val="16"/>
          <w:lang w:val="es-CR"/>
        </w:rPr>
        <w:t xml:space="preserve"> para. 186.</w:t>
      </w:r>
    </w:p>
  </w:footnote>
  <w:footnote w:id="280">
    <w:p w14:paraId="5967DF32" w14:textId="39D2FAFA" w:rsidR="003558F5" w:rsidRPr="00CF6765" w:rsidRDefault="003558F5" w:rsidP="00002163">
      <w:pPr>
        <w:pStyle w:val="Sinespaciado"/>
        <w:spacing w:after="60"/>
        <w:rPr>
          <w:rFonts w:ascii="Verdana" w:hAnsi="Verdana"/>
          <w:sz w:val="16"/>
          <w:szCs w:val="16"/>
        </w:rPr>
      </w:pPr>
      <w:r w:rsidRPr="00CF6765">
        <w:rPr>
          <w:rStyle w:val="Refdenotaalpie"/>
          <w:rFonts w:ascii="Verdana" w:eastAsiaTheme="majorEastAsia" w:hAnsi="Verdana"/>
          <w:sz w:val="16"/>
          <w:szCs w:val="16"/>
        </w:rPr>
        <w:footnoteRef/>
      </w:r>
      <w:r w:rsidRPr="00392A9A">
        <w:rPr>
          <w:rFonts w:ascii="Verdana" w:eastAsiaTheme="minorHAnsi" w:hAnsi="Verdana"/>
          <w:sz w:val="16"/>
          <w:szCs w:val="16"/>
          <w:lang w:val="es-CR"/>
        </w:rPr>
        <w:t xml:space="preserve"> </w:t>
      </w:r>
      <w:r w:rsidRPr="00392A9A">
        <w:rPr>
          <w:rFonts w:ascii="Verdana" w:eastAsiaTheme="minorHAnsi" w:hAnsi="Verdana"/>
          <w:sz w:val="16"/>
          <w:szCs w:val="16"/>
          <w:lang w:val="es-CR"/>
        </w:rPr>
        <w:tab/>
      </w:r>
      <w:r w:rsidRPr="00392A9A">
        <w:rPr>
          <w:rFonts w:ascii="Verdana" w:eastAsiaTheme="minorHAnsi" w:hAnsi="Verdana"/>
          <w:i/>
          <w:sz w:val="16"/>
          <w:szCs w:val="16"/>
          <w:lang w:val="es-CR"/>
        </w:rPr>
        <w:t xml:space="preserve">Cf. Case </w:t>
      </w:r>
      <w:proofErr w:type="spellStart"/>
      <w:r w:rsidRPr="00392A9A">
        <w:rPr>
          <w:rFonts w:ascii="Verdana" w:eastAsiaTheme="minorHAnsi" w:hAnsi="Verdana"/>
          <w:i/>
          <w:sz w:val="16"/>
          <w:szCs w:val="16"/>
          <w:lang w:val="es-CR"/>
        </w:rPr>
        <w:t>of</w:t>
      </w:r>
      <w:proofErr w:type="spellEnd"/>
      <w:r w:rsidRPr="00392A9A">
        <w:rPr>
          <w:rFonts w:ascii="Verdana" w:eastAsiaTheme="minorHAnsi" w:hAnsi="Verdana"/>
          <w:sz w:val="16"/>
          <w:szCs w:val="16"/>
          <w:lang w:val="es-CR"/>
        </w:rPr>
        <w:t xml:space="preserve"> </w:t>
      </w:r>
      <w:r w:rsidRPr="00392A9A">
        <w:rPr>
          <w:rFonts w:ascii="Verdana" w:eastAsiaTheme="minorHAnsi" w:hAnsi="Verdana"/>
          <w:bCs/>
          <w:i/>
          <w:spacing w:val="-4"/>
          <w:sz w:val="16"/>
          <w:szCs w:val="16"/>
          <w:lang w:val="es-CR"/>
        </w:rPr>
        <w:t xml:space="preserve">Yarce et al. v. Colombia, </w:t>
      </w:r>
      <w:r w:rsidRPr="00392A9A">
        <w:rPr>
          <w:rFonts w:ascii="Verdana" w:eastAsiaTheme="minorHAnsi" w:hAnsi="Verdana"/>
          <w:bCs/>
          <w:spacing w:val="-4"/>
          <w:sz w:val="16"/>
          <w:szCs w:val="16"/>
          <w:lang w:val="es-CR"/>
        </w:rPr>
        <w:t>para.</w:t>
      </w:r>
      <w:r w:rsidRPr="00392A9A">
        <w:rPr>
          <w:rFonts w:ascii="Verdana" w:eastAsiaTheme="minorHAnsi" w:hAnsi="Verdana"/>
          <w:sz w:val="16"/>
          <w:szCs w:val="16"/>
          <w:lang w:val="es-CR"/>
        </w:rPr>
        <w:t xml:space="preserve"> 282, and </w:t>
      </w:r>
      <w:r w:rsidRPr="00392A9A">
        <w:rPr>
          <w:rFonts w:ascii="Verdana" w:eastAsiaTheme="minorHAnsi" w:hAnsi="Verdana"/>
          <w:i/>
          <w:sz w:val="16"/>
          <w:szCs w:val="16"/>
          <w:lang w:val="es-CR"/>
        </w:rPr>
        <w:t xml:space="preserve">Case </w:t>
      </w:r>
      <w:proofErr w:type="spellStart"/>
      <w:r w:rsidRPr="00392A9A">
        <w:rPr>
          <w:rFonts w:ascii="Verdana" w:eastAsiaTheme="minorHAnsi" w:hAnsi="Verdana"/>
          <w:i/>
          <w:sz w:val="16"/>
          <w:szCs w:val="16"/>
          <w:lang w:val="es-CR"/>
        </w:rPr>
        <w:t>of</w:t>
      </w:r>
      <w:proofErr w:type="spellEnd"/>
      <w:r w:rsidRPr="00392A9A">
        <w:rPr>
          <w:rFonts w:ascii="Verdana" w:eastAsiaTheme="minorHAnsi" w:hAnsi="Verdana"/>
          <w:i/>
          <w:sz w:val="16"/>
          <w:szCs w:val="16"/>
          <w:lang w:val="es-CR"/>
        </w:rPr>
        <w:t xml:space="preserve"> Vereda la Esperanza v. Colombia, supra,</w:t>
      </w:r>
      <w:r w:rsidRPr="00392A9A">
        <w:rPr>
          <w:rFonts w:ascii="Verdana" w:eastAsiaTheme="minorHAnsi" w:hAnsi="Verdana"/>
          <w:sz w:val="16"/>
          <w:szCs w:val="16"/>
          <w:lang w:val="es-CR"/>
        </w:rPr>
        <w:t xml:space="preserve"> para. </w:t>
      </w:r>
      <w:r w:rsidRPr="00CF6765">
        <w:rPr>
          <w:rFonts w:ascii="Verdana" w:eastAsiaTheme="minorHAnsi" w:hAnsi="Verdana"/>
          <w:sz w:val="16"/>
          <w:szCs w:val="16"/>
        </w:rPr>
        <w:t>186.</w:t>
      </w:r>
    </w:p>
  </w:footnote>
  <w:footnote w:id="281">
    <w:p w14:paraId="00EA5935" w14:textId="731B7906" w:rsidR="003558F5" w:rsidRPr="00CF6765" w:rsidRDefault="003558F5" w:rsidP="00002163">
      <w:pPr>
        <w:pStyle w:val="Textonotapie"/>
        <w:spacing w:after="60"/>
        <w:rPr>
          <w:spacing w:val="-4"/>
          <w:sz w:val="16"/>
          <w:szCs w:val="16"/>
          <w:lang w:val="en-US"/>
        </w:rPr>
      </w:pPr>
      <w:r w:rsidRPr="00CF6765">
        <w:rPr>
          <w:rStyle w:val="Smbolodenotaalpie"/>
          <w:rFonts w:ascii="Verdana" w:hAnsi="Verdana"/>
          <w:sz w:val="16"/>
          <w:szCs w:val="16"/>
          <w:lang w:val="en-US"/>
        </w:rPr>
        <w:footnoteRef/>
      </w:r>
      <w:r w:rsidRPr="00CF6765">
        <w:rPr>
          <w:i/>
          <w:spacing w:val="-4"/>
          <w:sz w:val="16"/>
          <w:szCs w:val="16"/>
          <w:lang w:val="en-US"/>
        </w:rPr>
        <w:t xml:space="preserve"> </w:t>
      </w:r>
      <w:r w:rsidRPr="00CF6765">
        <w:rPr>
          <w:i/>
          <w:spacing w:val="-4"/>
          <w:sz w:val="16"/>
          <w:szCs w:val="16"/>
          <w:lang w:val="en-US"/>
        </w:rPr>
        <w:tab/>
        <w:t>Cf.</w:t>
      </w:r>
      <w:r w:rsidRPr="00CF6765">
        <w:rPr>
          <w:spacing w:val="-4"/>
          <w:sz w:val="16"/>
          <w:szCs w:val="16"/>
          <w:lang w:val="en-US"/>
        </w:rPr>
        <w:t xml:space="preserve"> </w:t>
      </w:r>
      <w:r w:rsidRPr="00CF6765">
        <w:rPr>
          <w:rFonts w:cs="Arial"/>
          <w:i/>
          <w:spacing w:val="-4"/>
          <w:sz w:val="16"/>
          <w:szCs w:val="16"/>
          <w:lang w:val="en-US"/>
        </w:rPr>
        <w:t xml:space="preserve">Case of Ibsen </w:t>
      </w:r>
      <w:r w:rsidRPr="00CF6765">
        <w:rPr>
          <w:rFonts w:cstheme="minorBidi"/>
          <w:bCs/>
          <w:i/>
          <w:spacing w:val="-4"/>
          <w:sz w:val="16"/>
          <w:szCs w:val="16"/>
          <w:lang w:val="en-US"/>
        </w:rPr>
        <w:t>Cárdenas</w:t>
      </w:r>
      <w:r w:rsidRPr="00CF6765">
        <w:rPr>
          <w:rFonts w:cs="Arial"/>
          <w:i/>
          <w:spacing w:val="-4"/>
          <w:sz w:val="16"/>
          <w:szCs w:val="16"/>
          <w:lang w:val="en-US"/>
        </w:rPr>
        <w:t xml:space="preserve"> and Ibsen Peña v. Bolivia. Merits, reparations and costs.</w:t>
      </w:r>
      <w:r w:rsidRPr="00CF6765">
        <w:rPr>
          <w:rFonts w:cs="Arial"/>
          <w:spacing w:val="-4"/>
          <w:sz w:val="16"/>
          <w:szCs w:val="16"/>
          <w:lang w:val="en-US"/>
        </w:rPr>
        <w:t xml:space="preserve"> Judgment of September 1, 2010. </w:t>
      </w:r>
      <w:r w:rsidRPr="00392A9A">
        <w:rPr>
          <w:rFonts w:cs="Arial"/>
          <w:spacing w:val="-4"/>
          <w:sz w:val="16"/>
          <w:szCs w:val="16"/>
          <w:lang w:val="es-CR"/>
        </w:rPr>
        <w:t>Series C No. 217</w:t>
      </w:r>
      <w:r w:rsidRPr="00392A9A">
        <w:rPr>
          <w:spacing w:val="-4"/>
          <w:sz w:val="16"/>
          <w:szCs w:val="16"/>
          <w:lang w:val="es-CR"/>
        </w:rPr>
        <w:t xml:space="preserve">, para. 172, and </w:t>
      </w:r>
      <w:r w:rsidRPr="00392A9A">
        <w:rPr>
          <w:i/>
          <w:sz w:val="16"/>
          <w:szCs w:val="16"/>
          <w:lang w:val="es-CR"/>
        </w:rPr>
        <w:t xml:space="preserve">Case </w:t>
      </w:r>
      <w:proofErr w:type="spellStart"/>
      <w:r w:rsidRPr="00392A9A">
        <w:rPr>
          <w:i/>
          <w:sz w:val="16"/>
          <w:szCs w:val="16"/>
          <w:lang w:val="es-CR"/>
        </w:rPr>
        <w:t>of</w:t>
      </w:r>
      <w:proofErr w:type="spellEnd"/>
      <w:r w:rsidRPr="00392A9A">
        <w:rPr>
          <w:i/>
          <w:sz w:val="16"/>
          <w:szCs w:val="16"/>
          <w:lang w:val="es-CR"/>
        </w:rPr>
        <w:t xml:space="preserve"> Vereda la Esperanza v. Colombia, supra,</w:t>
      </w:r>
      <w:r w:rsidRPr="00392A9A">
        <w:rPr>
          <w:sz w:val="16"/>
          <w:szCs w:val="16"/>
          <w:lang w:val="es-CR"/>
        </w:rPr>
        <w:t xml:space="preserve"> para. </w:t>
      </w:r>
      <w:r w:rsidRPr="00CF6765">
        <w:rPr>
          <w:sz w:val="16"/>
          <w:szCs w:val="16"/>
          <w:lang w:val="en-US"/>
        </w:rPr>
        <w:t>186.</w:t>
      </w:r>
    </w:p>
  </w:footnote>
  <w:footnote w:id="282">
    <w:p w14:paraId="396D0A24" w14:textId="17124481" w:rsidR="003558F5" w:rsidRPr="00CF6765" w:rsidRDefault="003558F5" w:rsidP="00002163">
      <w:pPr>
        <w:pStyle w:val="Textonotapie"/>
        <w:spacing w:after="60"/>
        <w:rPr>
          <w:sz w:val="16"/>
          <w:szCs w:val="16"/>
          <w:lang w:val="en-US"/>
        </w:rPr>
      </w:pPr>
      <w:r w:rsidRPr="00CF6765">
        <w:rPr>
          <w:rStyle w:val="Refdenotaalpie"/>
          <w:rFonts w:eastAsiaTheme="majorEastAsia"/>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w:t>
      </w:r>
      <w:r w:rsidRPr="00CF6765">
        <w:rPr>
          <w:bCs/>
          <w:i/>
          <w:spacing w:val="-4"/>
          <w:sz w:val="16"/>
          <w:szCs w:val="16"/>
          <w:lang w:val="en-US"/>
        </w:rPr>
        <w:t>Case of Luna López v. Honduras.</w:t>
      </w:r>
      <w:r w:rsidRPr="00CF6765">
        <w:rPr>
          <w:bCs/>
          <w:spacing w:val="-4"/>
          <w:sz w:val="16"/>
          <w:szCs w:val="16"/>
          <w:lang w:val="en-US"/>
        </w:rPr>
        <w:t xml:space="preserve"> </w:t>
      </w:r>
      <w:r w:rsidRPr="00CF6765">
        <w:rPr>
          <w:bCs/>
          <w:i/>
          <w:spacing w:val="-4"/>
          <w:sz w:val="16"/>
          <w:szCs w:val="16"/>
          <w:lang w:val="en-US"/>
        </w:rPr>
        <w:t>Merits, reparations and costs.</w:t>
      </w:r>
      <w:r w:rsidRPr="00CF6765">
        <w:rPr>
          <w:bCs/>
          <w:spacing w:val="-4"/>
          <w:sz w:val="16"/>
          <w:szCs w:val="16"/>
          <w:lang w:val="en-US"/>
        </w:rPr>
        <w:t xml:space="preserve"> Judgment of October 10, 2013. Series C No. 269,</w:t>
      </w:r>
      <w:r w:rsidRPr="00CF6765">
        <w:rPr>
          <w:bCs/>
          <w:i/>
          <w:spacing w:val="-4"/>
          <w:sz w:val="16"/>
          <w:szCs w:val="16"/>
          <w:lang w:val="en-US"/>
        </w:rPr>
        <w:t xml:space="preserve"> </w:t>
      </w:r>
      <w:r w:rsidRPr="00CF6765">
        <w:rPr>
          <w:sz w:val="16"/>
          <w:szCs w:val="16"/>
          <w:lang w:val="en-US"/>
        </w:rPr>
        <w:t xml:space="preserve">para. 167, and </w:t>
      </w:r>
      <w:r w:rsidRPr="00CF6765">
        <w:rPr>
          <w:i/>
          <w:sz w:val="16"/>
          <w:szCs w:val="16"/>
          <w:lang w:val="en-US"/>
        </w:rPr>
        <w:t>Case of</w:t>
      </w:r>
      <w:r w:rsidRPr="00CF6765">
        <w:rPr>
          <w:sz w:val="16"/>
          <w:szCs w:val="16"/>
          <w:lang w:val="en-US"/>
        </w:rPr>
        <w:t xml:space="preserve"> </w:t>
      </w:r>
      <w:proofErr w:type="spellStart"/>
      <w:r w:rsidRPr="00CF6765">
        <w:rPr>
          <w:bCs/>
          <w:i/>
          <w:spacing w:val="-4"/>
          <w:sz w:val="16"/>
          <w:szCs w:val="16"/>
          <w:lang w:val="en-US"/>
        </w:rPr>
        <w:t>Yarce</w:t>
      </w:r>
      <w:proofErr w:type="spellEnd"/>
      <w:r w:rsidRPr="00CF6765">
        <w:rPr>
          <w:bCs/>
          <w:i/>
          <w:spacing w:val="-4"/>
          <w:sz w:val="16"/>
          <w:szCs w:val="16"/>
          <w:lang w:val="en-US"/>
        </w:rPr>
        <w:t xml:space="preserve"> et al. v. Colombia. supra, </w:t>
      </w:r>
      <w:r w:rsidRPr="00CF6765">
        <w:rPr>
          <w:sz w:val="16"/>
          <w:szCs w:val="16"/>
          <w:lang w:val="en-US"/>
        </w:rPr>
        <w:t xml:space="preserve">para. 282. </w:t>
      </w:r>
    </w:p>
  </w:footnote>
  <w:footnote w:id="283">
    <w:p w14:paraId="272AD049" w14:textId="15F46FBB"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 Case of Luna López v. Honduras. Merits, reparations and costs.</w:t>
      </w:r>
      <w:r w:rsidRPr="00CF6765">
        <w:rPr>
          <w:sz w:val="16"/>
          <w:szCs w:val="16"/>
          <w:lang w:val="en-US"/>
        </w:rPr>
        <w:t xml:space="preserve"> Judgment of October 10, 2013. Series C No. 269, para. 164, and </w:t>
      </w:r>
      <w:r w:rsidRPr="00CF6765">
        <w:rPr>
          <w:i/>
          <w:sz w:val="16"/>
          <w:szCs w:val="16"/>
          <w:lang w:val="en-US"/>
        </w:rPr>
        <w:t xml:space="preserve">Case of the </w:t>
      </w:r>
      <w:proofErr w:type="spellStart"/>
      <w:r w:rsidRPr="00CF6765">
        <w:rPr>
          <w:i/>
          <w:sz w:val="16"/>
          <w:szCs w:val="16"/>
          <w:lang w:val="en-US"/>
        </w:rPr>
        <w:t>Landaeta</w:t>
      </w:r>
      <w:proofErr w:type="spellEnd"/>
      <w:r w:rsidRPr="00CF6765">
        <w:rPr>
          <w:i/>
          <w:sz w:val="16"/>
          <w:szCs w:val="16"/>
          <w:lang w:val="en-US"/>
        </w:rPr>
        <w:t xml:space="preserve"> </w:t>
      </w:r>
      <w:proofErr w:type="spellStart"/>
      <w:r w:rsidRPr="00CF6765">
        <w:rPr>
          <w:i/>
          <w:sz w:val="16"/>
          <w:szCs w:val="16"/>
          <w:lang w:val="en-US"/>
        </w:rPr>
        <w:t>Mejías</w:t>
      </w:r>
      <w:proofErr w:type="spellEnd"/>
      <w:r w:rsidRPr="00CF6765">
        <w:rPr>
          <w:i/>
          <w:sz w:val="16"/>
          <w:szCs w:val="16"/>
          <w:lang w:val="en-US"/>
        </w:rPr>
        <w:t xml:space="preserve"> Brothers et al. v. Venezuela. Preliminary objections, merits, reparations and costs.</w:t>
      </w:r>
      <w:r w:rsidRPr="00CF6765">
        <w:rPr>
          <w:sz w:val="16"/>
          <w:szCs w:val="16"/>
          <w:lang w:val="en-US"/>
        </w:rPr>
        <w:t xml:space="preserve"> Judgment of August 27, 2014. Series C No. 281, para. 227. </w:t>
      </w:r>
    </w:p>
  </w:footnote>
  <w:footnote w:id="284">
    <w:p w14:paraId="30855138" w14:textId="01C0DFE2" w:rsidR="003558F5" w:rsidRPr="00CF6765" w:rsidRDefault="003558F5" w:rsidP="00002163">
      <w:pPr>
        <w:pStyle w:val="Sinespaciado"/>
        <w:spacing w:after="60"/>
        <w:rPr>
          <w:rFonts w:ascii="Verdana" w:eastAsiaTheme="minorHAnsi" w:hAnsi="Verdana"/>
          <w:sz w:val="16"/>
          <w:szCs w:val="16"/>
        </w:rPr>
      </w:pPr>
      <w:r w:rsidRPr="00CF6765">
        <w:rPr>
          <w:rStyle w:val="Refdenotaalpie"/>
          <w:rFonts w:ascii="Verdana" w:eastAsiaTheme="minorHAnsi" w:hAnsi="Verdana"/>
          <w:sz w:val="16"/>
          <w:szCs w:val="16"/>
        </w:rPr>
        <w:footnoteRef/>
      </w:r>
      <w:r w:rsidRPr="00CF6765">
        <w:rPr>
          <w:rFonts w:ascii="Verdana" w:eastAsiaTheme="minorHAnsi" w:hAnsi="Verdana"/>
          <w:sz w:val="16"/>
          <w:szCs w:val="16"/>
        </w:rPr>
        <w:t xml:space="preserve"> </w:t>
      </w:r>
      <w:r w:rsidRPr="00CF6765">
        <w:rPr>
          <w:rFonts w:ascii="Verdana" w:eastAsiaTheme="minorHAnsi" w:hAnsi="Verdana"/>
          <w:sz w:val="16"/>
          <w:szCs w:val="16"/>
        </w:rPr>
        <w:tab/>
      </w:r>
      <w:r w:rsidRPr="00CF6765">
        <w:rPr>
          <w:rFonts w:ascii="Verdana" w:eastAsiaTheme="minorHAnsi" w:hAnsi="Verdana"/>
          <w:i/>
          <w:sz w:val="16"/>
          <w:szCs w:val="16"/>
        </w:rPr>
        <w:t xml:space="preserve">Cf. Case of </w:t>
      </w:r>
      <w:r w:rsidRPr="00CF6765">
        <w:rPr>
          <w:rFonts w:ascii="Verdana" w:hAnsi="Verdana"/>
          <w:i/>
          <w:sz w:val="16"/>
          <w:szCs w:val="16"/>
        </w:rPr>
        <w:t xml:space="preserve">the </w:t>
      </w:r>
      <w:proofErr w:type="spellStart"/>
      <w:r w:rsidRPr="00CF6765">
        <w:rPr>
          <w:rFonts w:ascii="Verdana" w:hAnsi="Verdana"/>
          <w:i/>
          <w:sz w:val="16"/>
          <w:szCs w:val="16"/>
        </w:rPr>
        <w:t>Landaeta</w:t>
      </w:r>
      <w:proofErr w:type="spellEnd"/>
      <w:r w:rsidRPr="00CF6765">
        <w:rPr>
          <w:rFonts w:ascii="Verdana" w:hAnsi="Verdana"/>
          <w:i/>
          <w:sz w:val="16"/>
          <w:szCs w:val="16"/>
        </w:rPr>
        <w:t xml:space="preserve"> </w:t>
      </w:r>
      <w:proofErr w:type="spellStart"/>
      <w:r w:rsidRPr="00CF6765">
        <w:rPr>
          <w:rFonts w:ascii="Verdana" w:hAnsi="Verdana"/>
          <w:i/>
          <w:sz w:val="16"/>
          <w:szCs w:val="16"/>
        </w:rPr>
        <w:t>Mejías</w:t>
      </w:r>
      <w:proofErr w:type="spellEnd"/>
      <w:r w:rsidRPr="00CF6765">
        <w:rPr>
          <w:rFonts w:ascii="Verdana" w:hAnsi="Verdana"/>
          <w:i/>
          <w:sz w:val="16"/>
          <w:szCs w:val="16"/>
        </w:rPr>
        <w:t xml:space="preserve"> Brothers </w:t>
      </w:r>
      <w:r w:rsidRPr="00CF6765">
        <w:rPr>
          <w:rFonts w:ascii="Verdana" w:eastAsiaTheme="minorHAnsi" w:hAnsi="Verdana"/>
          <w:i/>
          <w:sz w:val="16"/>
          <w:szCs w:val="16"/>
        </w:rPr>
        <w:t>et al. v. Venezuela. Preliminary objections, merits, reparations and costs.</w:t>
      </w:r>
      <w:r w:rsidRPr="00CF6765">
        <w:rPr>
          <w:rFonts w:ascii="Verdana" w:eastAsiaTheme="minorHAnsi" w:hAnsi="Verdana"/>
          <w:sz w:val="16"/>
          <w:szCs w:val="16"/>
        </w:rPr>
        <w:t xml:space="preserve"> Judgment of August 27, 2014. Series C No. 281, para. 227. </w:t>
      </w:r>
    </w:p>
  </w:footnote>
  <w:footnote w:id="285">
    <w:p w14:paraId="2454E27F" w14:textId="5FB3EC8F" w:rsidR="003558F5" w:rsidRPr="00CF6765" w:rsidRDefault="003558F5" w:rsidP="00002163">
      <w:pPr>
        <w:pStyle w:val="Sinespaciado"/>
        <w:spacing w:after="60"/>
        <w:rPr>
          <w:rFonts w:ascii="Verdana" w:eastAsiaTheme="minorHAnsi" w:hAnsi="Verdana"/>
          <w:sz w:val="16"/>
          <w:szCs w:val="16"/>
        </w:rPr>
      </w:pPr>
      <w:r w:rsidRPr="00CF6765">
        <w:rPr>
          <w:rStyle w:val="Refdenotaalpie"/>
          <w:rFonts w:ascii="Verdana" w:eastAsiaTheme="minorHAnsi" w:hAnsi="Verdana"/>
          <w:sz w:val="16"/>
          <w:szCs w:val="16"/>
        </w:rPr>
        <w:footnoteRef/>
      </w:r>
      <w:r w:rsidRPr="00CF6765">
        <w:rPr>
          <w:rFonts w:ascii="Verdana" w:eastAsiaTheme="minorHAnsi" w:hAnsi="Verdana"/>
          <w:sz w:val="16"/>
          <w:szCs w:val="16"/>
        </w:rPr>
        <w:t xml:space="preserve"> </w:t>
      </w:r>
      <w:r w:rsidRPr="00CF6765">
        <w:rPr>
          <w:rFonts w:ascii="Verdana" w:eastAsiaTheme="minorHAnsi" w:hAnsi="Verdana"/>
          <w:sz w:val="16"/>
          <w:szCs w:val="16"/>
        </w:rPr>
        <w:tab/>
        <w:t xml:space="preserve">In this regard, the Court noted that on December 11, 2006, the First Court ruled that, “during the proceedings, it was found that the existence of the offense denounced had not been sufficiently justified” and declared that “the case was provisionally dismissed until new and better information has been obtained by the investigation.” However, on January 29, 2007, Mr. Poblete Tapia’s representatives requested the reopening of the preliminary investigation, and on February 17, 2007, the First Civil Court reopened the case and on April 17, 2007, returned the case to the preliminary investigation stage. Similarly, on June 11, 2008, the First Civil Court again declared the preliminary investigation closed and on June 30, 2008, it once again determined the dismissal “provisionally of the case, until new and better evidence is gathered by the investigation.” Thus, on August 4, 2008, based on new and better evidence, the representatives of Mr. Poblete </w:t>
      </w:r>
      <w:proofErr w:type="spellStart"/>
      <w:r w:rsidRPr="00CF6765">
        <w:rPr>
          <w:rFonts w:ascii="Verdana" w:eastAsiaTheme="minorHAnsi" w:hAnsi="Verdana"/>
          <w:sz w:val="16"/>
          <w:szCs w:val="16"/>
        </w:rPr>
        <w:t>Vilches’s</w:t>
      </w:r>
      <w:proofErr w:type="spellEnd"/>
      <w:r w:rsidRPr="00CF6765">
        <w:rPr>
          <w:rFonts w:ascii="Verdana" w:eastAsiaTheme="minorHAnsi" w:hAnsi="Verdana"/>
          <w:sz w:val="16"/>
          <w:szCs w:val="16"/>
        </w:rPr>
        <w:t xml:space="preserve"> family requested the reopening of the case and, on August 5, 2008, the First Civil Court ordered the reopening of the case (</w:t>
      </w:r>
      <w:r w:rsidRPr="00CF6765">
        <w:rPr>
          <w:rFonts w:ascii="Verdana" w:eastAsiaTheme="minorHAnsi" w:hAnsi="Verdana"/>
          <w:i/>
          <w:sz w:val="16"/>
          <w:szCs w:val="16"/>
        </w:rPr>
        <w:t>supra</w:t>
      </w:r>
      <w:r w:rsidRPr="00CF6765">
        <w:rPr>
          <w:rFonts w:ascii="Verdana" w:eastAsiaTheme="minorHAnsi" w:hAnsi="Verdana"/>
          <w:sz w:val="16"/>
          <w:szCs w:val="16"/>
        </w:rPr>
        <w:t xml:space="preserve"> paras. 71 to 79).</w:t>
      </w:r>
    </w:p>
  </w:footnote>
  <w:footnote w:id="286">
    <w:p w14:paraId="0B53F473" w14:textId="4B0A282C" w:rsidR="003558F5" w:rsidRPr="00CF6765" w:rsidRDefault="003558F5" w:rsidP="00002163">
      <w:pPr>
        <w:pStyle w:val="Textonotapie"/>
        <w:spacing w:after="60"/>
        <w:rPr>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rFonts w:eastAsiaTheme="minorHAnsi"/>
          <w:i/>
          <w:sz w:val="16"/>
          <w:szCs w:val="16"/>
          <w:lang w:val="en-US"/>
        </w:rPr>
        <w:t xml:space="preserve">Cf. </w:t>
      </w:r>
      <w:r w:rsidRPr="00CF6765">
        <w:rPr>
          <w:i/>
          <w:sz w:val="16"/>
          <w:szCs w:val="16"/>
          <w:lang w:val="en-US"/>
        </w:rPr>
        <w:t>Case of Osorio Rivera and family v. Peru</w:t>
      </w:r>
      <w:r w:rsidRPr="00CF6765">
        <w:rPr>
          <w:sz w:val="16"/>
          <w:szCs w:val="16"/>
          <w:lang w:val="en-US"/>
        </w:rPr>
        <w:t xml:space="preserve">, </w:t>
      </w:r>
      <w:r w:rsidRPr="00CF6765">
        <w:rPr>
          <w:i/>
          <w:sz w:val="16"/>
          <w:szCs w:val="16"/>
          <w:lang w:val="en-US"/>
        </w:rPr>
        <w:t>supra</w:t>
      </w:r>
      <w:r w:rsidRPr="00CF6765">
        <w:rPr>
          <w:sz w:val="16"/>
          <w:szCs w:val="16"/>
          <w:lang w:val="en-US"/>
        </w:rPr>
        <w:t xml:space="preserve">, para. 184, and </w:t>
      </w:r>
      <w:r w:rsidRPr="00CF6765">
        <w:rPr>
          <w:i/>
          <w:sz w:val="16"/>
          <w:szCs w:val="16"/>
          <w:lang w:val="en-US"/>
        </w:rPr>
        <w:t xml:space="preserve">Case of Tenorio Roca et al. v. Peru. Preliminary objections, merits, reparations and costs. </w:t>
      </w:r>
      <w:r w:rsidRPr="00CF6765">
        <w:rPr>
          <w:sz w:val="16"/>
          <w:szCs w:val="16"/>
          <w:lang w:val="en-US"/>
        </w:rPr>
        <w:t>Judgment of June 22, 2016. Series C No. 314, para. 182.</w:t>
      </w:r>
    </w:p>
  </w:footnote>
  <w:footnote w:id="287">
    <w:p w14:paraId="2ED5A6A9" w14:textId="1675A5F1" w:rsidR="003558F5" w:rsidRPr="00392A9A" w:rsidRDefault="003558F5" w:rsidP="00002163">
      <w:pPr>
        <w:pStyle w:val="Sinespaciado"/>
        <w:spacing w:after="60"/>
        <w:rPr>
          <w:rFonts w:ascii="Verdana" w:eastAsiaTheme="minorHAnsi" w:hAnsi="Verdana"/>
          <w:sz w:val="16"/>
          <w:szCs w:val="16"/>
          <w:lang w:val="es-CR"/>
        </w:rPr>
      </w:pPr>
      <w:r w:rsidRPr="00CF6765">
        <w:rPr>
          <w:rStyle w:val="Refdenotaalpie"/>
          <w:rFonts w:ascii="Verdana" w:eastAsiaTheme="minorHAnsi" w:hAnsi="Verdana"/>
          <w:sz w:val="16"/>
          <w:szCs w:val="16"/>
        </w:rPr>
        <w:footnoteRef/>
      </w:r>
      <w:r w:rsidRPr="00CF6765">
        <w:rPr>
          <w:rFonts w:ascii="Verdana" w:eastAsiaTheme="minorHAnsi" w:hAnsi="Verdana"/>
          <w:sz w:val="16"/>
          <w:szCs w:val="16"/>
        </w:rPr>
        <w:t xml:space="preserve"> </w:t>
      </w:r>
      <w:r w:rsidRPr="00CF6765">
        <w:rPr>
          <w:rFonts w:ascii="Verdana" w:eastAsiaTheme="minorHAnsi" w:hAnsi="Verdana"/>
          <w:sz w:val="16"/>
          <w:szCs w:val="16"/>
        </w:rPr>
        <w:tab/>
      </w:r>
      <w:r w:rsidRPr="00CF6765">
        <w:rPr>
          <w:rFonts w:ascii="Verdana" w:eastAsiaTheme="minorHAnsi" w:hAnsi="Verdana"/>
          <w:i/>
          <w:sz w:val="16"/>
          <w:szCs w:val="16"/>
        </w:rPr>
        <w:t xml:space="preserve">Cf. Case of the Supreme Court of Justice (Quintana </w:t>
      </w:r>
      <w:proofErr w:type="spellStart"/>
      <w:r w:rsidRPr="00CF6765">
        <w:rPr>
          <w:rFonts w:ascii="Verdana" w:eastAsiaTheme="minorHAnsi" w:hAnsi="Verdana"/>
          <w:i/>
          <w:sz w:val="16"/>
          <w:szCs w:val="16"/>
        </w:rPr>
        <w:t>Coello</w:t>
      </w:r>
      <w:proofErr w:type="spellEnd"/>
      <w:r w:rsidRPr="00CF6765">
        <w:rPr>
          <w:rFonts w:ascii="Verdana" w:eastAsiaTheme="minorHAnsi" w:hAnsi="Verdana"/>
          <w:i/>
          <w:sz w:val="16"/>
          <w:szCs w:val="16"/>
        </w:rPr>
        <w:t xml:space="preserve"> et al.) v. Ecuador. Preliminary objection, merits, reparations and costs. </w:t>
      </w:r>
      <w:r w:rsidRPr="00CF6765">
        <w:rPr>
          <w:rFonts w:ascii="Verdana" w:eastAsiaTheme="minorHAnsi" w:hAnsi="Verdana"/>
          <w:sz w:val="16"/>
          <w:szCs w:val="16"/>
        </w:rPr>
        <w:t xml:space="preserve">Judgment of August 23, 2013. Series C No. 266, para. </w:t>
      </w:r>
      <w:r w:rsidRPr="00392A9A">
        <w:rPr>
          <w:rFonts w:ascii="Verdana" w:eastAsiaTheme="minorHAnsi" w:hAnsi="Verdana"/>
          <w:sz w:val="16"/>
          <w:szCs w:val="16"/>
          <w:lang w:val="es-CR"/>
        </w:rPr>
        <w:t xml:space="preserve">158, and </w:t>
      </w:r>
      <w:r w:rsidRPr="00392A9A">
        <w:rPr>
          <w:rFonts w:ascii="Verdana" w:eastAsiaTheme="minorHAnsi" w:hAnsi="Verdana"/>
          <w:i/>
          <w:sz w:val="16"/>
          <w:szCs w:val="16"/>
          <w:lang w:val="es-CR"/>
        </w:rPr>
        <w:t xml:space="preserve">Case </w:t>
      </w:r>
      <w:proofErr w:type="spellStart"/>
      <w:r w:rsidRPr="00392A9A">
        <w:rPr>
          <w:rFonts w:ascii="Verdana" w:eastAsiaTheme="minorHAnsi" w:hAnsi="Verdana"/>
          <w:i/>
          <w:sz w:val="16"/>
          <w:szCs w:val="16"/>
          <w:lang w:val="es-CR"/>
        </w:rPr>
        <w:t>of</w:t>
      </w:r>
      <w:proofErr w:type="spellEnd"/>
      <w:r w:rsidRPr="00392A9A">
        <w:rPr>
          <w:rFonts w:ascii="Verdana" w:eastAsiaTheme="minorHAnsi" w:hAnsi="Verdana"/>
          <w:i/>
          <w:sz w:val="16"/>
          <w:szCs w:val="16"/>
          <w:lang w:val="es-CR"/>
        </w:rPr>
        <w:t xml:space="preserve"> Duque v. Colombia, supra,</w:t>
      </w:r>
      <w:r w:rsidRPr="00392A9A">
        <w:rPr>
          <w:rFonts w:ascii="Verdana" w:eastAsiaTheme="minorHAnsi" w:hAnsi="Verdana"/>
          <w:sz w:val="16"/>
          <w:szCs w:val="16"/>
          <w:lang w:val="es-CR"/>
        </w:rPr>
        <w:t xml:space="preserve"> para. 159.</w:t>
      </w:r>
    </w:p>
  </w:footnote>
  <w:footnote w:id="288">
    <w:p w14:paraId="556774CA" w14:textId="2D72803A" w:rsidR="003558F5" w:rsidRPr="00392A9A" w:rsidRDefault="003558F5" w:rsidP="00002163">
      <w:pPr>
        <w:pStyle w:val="Sinespaciado"/>
        <w:spacing w:after="60"/>
        <w:rPr>
          <w:rFonts w:ascii="Verdana" w:eastAsiaTheme="minorHAnsi" w:hAnsi="Verdana"/>
          <w:sz w:val="16"/>
          <w:szCs w:val="16"/>
          <w:lang w:val="es-CR"/>
        </w:rPr>
      </w:pPr>
      <w:r w:rsidRPr="00CF6765">
        <w:rPr>
          <w:rStyle w:val="Refdenotaalpie"/>
          <w:rFonts w:ascii="Verdana" w:eastAsiaTheme="minorHAnsi" w:hAnsi="Verdana"/>
          <w:sz w:val="16"/>
          <w:szCs w:val="16"/>
        </w:rPr>
        <w:footnoteRef/>
      </w:r>
      <w:r w:rsidRPr="00392A9A">
        <w:rPr>
          <w:rFonts w:ascii="Verdana" w:eastAsiaTheme="minorHAnsi" w:hAnsi="Verdana"/>
          <w:sz w:val="16"/>
          <w:szCs w:val="16"/>
          <w:lang w:val="es-CR"/>
        </w:rPr>
        <w:t xml:space="preserve"> </w:t>
      </w:r>
      <w:r w:rsidRPr="00392A9A">
        <w:rPr>
          <w:rFonts w:ascii="Verdana" w:eastAsiaTheme="minorHAnsi" w:hAnsi="Verdana"/>
          <w:sz w:val="16"/>
          <w:szCs w:val="16"/>
          <w:lang w:val="es-CR"/>
        </w:rPr>
        <w:tab/>
      </w:r>
      <w:r w:rsidRPr="00392A9A">
        <w:rPr>
          <w:rFonts w:ascii="Verdana" w:eastAsiaTheme="minorHAnsi" w:hAnsi="Verdana"/>
          <w:i/>
          <w:sz w:val="16"/>
          <w:szCs w:val="16"/>
          <w:lang w:val="es-CR"/>
        </w:rPr>
        <w:t xml:space="preserve">Cf. Case </w:t>
      </w:r>
      <w:proofErr w:type="spellStart"/>
      <w:r w:rsidRPr="00392A9A">
        <w:rPr>
          <w:rFonts w:ascii="Verdana" w:eastAsiaTheme="minorHAnsi" w:hAnsi="Verdana"/>
          <w:i/>
          <w:sz w:val="16"/>
          <w:szCs w:val="16"/>
          <w:lang w:val="es-CR"/>
        </w:rPr>
        <w:t>of</w:t>
      </w:r>
      <w:proofErr w:type="spellEnd"/>
      <w:r w:rsidRPr="00392A9A">
        <w:rPr>
          <w:rFonts w:ascii="Verdana" w:eastAsiaTheme="minorHAnsi" w:hAnsi="Verdana"/>
          <w:i/>
          <w:sz w:val="16"/>
          <w:szCs w:val="16"/>
          <w:lang w:val="es-CR"/>
        </w:rPr>
        <w:t xml:space="preserve"> Duque v. Colombia</w:t>
      </w:r>
      <w:r w:rsidRPr="00392A9A">
        <w:rPr>
          <w:rFonts w:ascii="Verdana" w:eastAsiaTheme="minorHAnsi" w:hAnsi="Verdana"/>
          <w:sz w:val="16"/>
          <w:szCs w:val="16"/>
          <w:lang w:val="es-CR"/>
        </w:rPr>
        <w:t xml:space="preserve">, </w:t>
      </w:r>
      <w:r w:rsidRPr="00392A9A">
        <w:rPr>
          <w:rFonts w:ascii="Verdana" w:eastAsiaTheme="minorHAnsi" w:hAnsi="Verdana"/>
          <w:i/>
          <w:sz w:val="16"/>
          <w:szCs w:val="16"/>
          <w:lang w:val="es-CR"/>
        </w:rPr>
        <w:t>supra,</w:t>
      </w:r>
      <w:r w:rsidRPr="00392A9A">
        <w:rPr>
          <w:rFonts w:ascii="Verdana" w:eastAsiaTheme="minorHAnsi" w:hAnsi="Verdana"/>
          <w:sz w:val="16"/>
          <w:szCs w:val="16"/>
          <w:lang w:val="es-CR"/>
        </w:rPr>
        <w:t xml:space="preserve"> para. 159.</w:t>
      </w:r>
    </w:p>
  </w:footnote>
  <w:footnote w:id="289">
    <w:p w14:paraId="7CF84996" w14:textId="458FCE1A" w:rsidR="003558F5" w:rsidRPr="00392A9A" w:rsidRDefault="003558F5" w:rsidP="00002163">
      <w:pPr>
        <w:pStyle w:val="Sinespaciado"/>
        <w:spacing w:after="60"/>
        <w:rPr>
          <w:rStyle w:val="Refdenotaalpie"/>
          <w:rFonts w:eastAsia="Calibri"/>
          <w:lang w:val="es-CR"/>
        </w:rPr>
      </w:pPr>
      <w:r w:rsidRPr="00CF6765">
        <w:rPr>
          <w:rStyle w:val="Refdenotaalpie"/>
          <w:rFonts w:ascii="Verdana" w:eastAsiaTheme="majorEastAsia" w:hAnsi="Verdana"/>
          <w:sz w:val="16"/>
          <w:szCs w:val="16"/>
        </w:rPr>
        <w:footnoteRef/>
      </w:r>
      <w:r w:rsidRPr="00392A9A">
        <w:rPr>
          <w:rFonts w:ascii="Verdana" w:eastAsiaTheme="minorHAnsi" w:hAnsi="Verdana"/>
          <w:sz w:val="16"/>
          <w:szCs w:val="16"/>
          <w:lang w:val="es-CR"/>
        </w:rPr>
        <w:t xml:space="preserve"> </w:t>
      </w:r>
      <w:r w:rsidRPr="00392A9A">
        <w:rPr>
          <w:rFonts w:ascii="Verdana" w:eastAsiaTheme="minorHAnsi" w:hAnsi="Verdana"/>
          <w:sz w:val="16"/>
          <w:szCs w:val="16"/>
          <w:lang w:val="es-CR"/>
        </w:rPr>
        <w:tab/>
      </w:r>
      <w:r w:rsidRPr="00392A9A">
        <w:rPr>
          <w:rFonts w:ascii="Verdana" w:eastAsiaTheme="minorHAnsi" w:hAnsi="Verdana" w:cs="Arial"/>
          <w:i/>
          <w:iCs/>
          <w:sz w:val="16"/>
          <w:szCs w:val="16"/>
          <w:lang w:val="es-CR"/>
        </w:rPr>
        <w:t xml:space="preserve">Cf. Case </w:t>
      </w:r>
      <w:proofErr w:type="spellStart"/>
      <w:r w:rsidRPr="00392A9A">
        <w:rPr>
          <w:rFonts w:ascii="Verdana" w:eastAsiaTheme="minorHAnsi" w:hAnsi="Verdana" w:cs="Arial"/>
          <w:i/>
          <w:iCs/>
          <w:sz w:val="16"/>
          <w:szCs w:val="16"/>
          <w:lang w:val="es-CR"/>
        </w:rPr>
        <w:t>of</w:t>
      </w:r>
      <w:proofErr w:type="spellEnd"/>
      <w:r w:rsidRPr="00392A9A">
        <w:rPr>
          <w:rFonts w:ascii="Verdana" w:eastAsiaTheme="minorHAnsi" w:hAnsi="Verdana" w:cs="Arial"/>
          <w:i/>
          <w:iCs/>
          <w:sz w:val="16"/>
          <w:szCs w:val="16"/>
          <w:lang w:val="es-CR"/>
        </w:rPr>
        <w:t xml:space="preserve"> Herrera Ulloa v. Costa Rica</w:t>
      </w:r>
      <w:r w:rsidRPr="00392A9A">
        <w:rPr>
          <w:rFonts w:ascii="Verdana" w:eastAsiaTheme="minorHAnsi" w:hAnsi="Verdana" w:cs="Arial"/>
          <w:iCs/>
          <w:sz w:val="16"/>
          <w:szCs w:val="16"/>
          <w:lang w:val="es-CR"/>
        </w:rPr>
        <w:t xml:space="preserve">, para. 171, and </w:t>
      </w:r>
      <w:r w:rsidRPr="00392A9A">
        <w:rPr>
          <w:rFonts w:ascii="Verdana" w:eastAsiaTheme="minorHAnsi" w:hAnsi="Verdana" w:cs="Arial"/>
          <w:i/>
          <w:iCs/>
          <w:sz w:val="16"/>
          <w:szCs w:val="16"/>
          <w:lang w:val="es-CR"/>
        </w:rPr>
        <w:t xml:space="preserve">Case </w:t>
      </w:r>
      <w:proofErr w:type="spellStart"/>
      <w:r w:rsidRPr="00392A9A">
        <w:rPr>
          <w:rFonts w:ascii="Verdana" w:eastAsiaTheme="minorHAnsi" w:hAnsi="Verdana" w:cs="Arial"/>
          <w:i/>
          <w:iCs/>
          <w:sz w:val="16"/>
          <w:szCs w:val="16"/>
          <w:lang w:val="es-CR"/>
        </w:rPr>
        <w:t>of</w:t>
      </w:r>
      <w:proofErr w:type="spellEnd"/>
      <w:r w:rsidRPr="00392A9A">
        <w:rPr>
          <w:rFonts w:ascii="Verdana" w:eastAsiaTheme="minorHAnsi" w:hAnsi="Verdana" w:cs="Arial"/>
          <w:i/>
          <w:iCs/>
          <w:sz w:val="16"/>
          <w:szCs w:val="16"/>
          <w:lang w:val="es-CR"/>
        </w:rPr>
        <w:t xml:space="preserve"> Duque v. Colombia, supra, </w:t>
      </w:r>
      <w:r w:rsidRPr="00392A9A">
        <w:rPr>
          <w:rFonts w:ascii="Verdana" w:eastAsiaTheme="minorHAnsi" w:hAnsi="Verdana" w:cs="Arial"/>
          <w:iCs/>
          <w:sz w:val="16"/>
          <w:szCs w:val="16"/>
          <w:lang w:val="es-CR"/>
        </w:rPr>
        <w:t>para. 162.</w:t>
      </w:r>
    </w:p>
  </w:footnote>
  <w:footnote w:id="290">
    <w:p w14:paraId="5C2C0863" w14:textId="64FC406B" w:rsidR="003558F5" w:rsidRPr="00CF6765" w:rsidRDefault="003558F5" w:rsidP="00002163">
      <w:pPr>
        <w:pStyle w:val="Sinespaciado"/>
        <w:spacing w:after="60"/>
        <w:rPr>
          <w:rFonts w:ascii="Verdana" w:hAnsi="Verdana"/>
          <w:sz w:val="16"/>
          <w:szCs w:val="16"/>
        </w:rPr>
      </w:pPr>
      <w:r w:rsidRPr="00CF6765">
        <w:rPr>
          <w:rStyle w:val="Refdenotaalpie"/>
          <w:rFonts w:ascii="Verdana" w:eastAsia="Calibri" w:hAnsi="Verdana"/>
          <w:sz w:val="16"/>
          <w:szCs w:val="16"/>
        </w:rPr>
        <w:footnoteRef/>
      </w:r>
      <w:r w:rsidRPr="00392A9A">
        <w:rPr>
          <w:rFonts w:ascii="Verdana" w:eastAsiaTheme="minorHAnsi" w:hAnsi="Verdana"/>
          <w:sz w:val="16"/>
          <w:szCs w:val="16"/>
          <w:lang w:val="es-CR"/>
        </w:rPr>
        <w:t xml:space="preserve"> </w:t>
      </w:r>
      <w:r w:rsidRPr="00392A9A">
        <w:rPr>
          <w:rFonts w:ascii="Verdana" w:eastAsiaTheme="minorHAnsi" w:hAnsi="Verdana"/>
          <w:sz w:val="16"/>
          <w:szCs w:val="16"/>
          <w:lang w:val="es-CR"/>
        </w:rPr>
        <w:tab/>
      </w:r>
      <w:r w:rsidRPr="00392A9A">
        <w:rPr>
          <w:rFonts w:ascii="Verdana" w:eastAsiaTheme="minorHAnsi" w:hAnsi="Verdana"/>
          <w:i/>
          <w:sz w:val="16"/>
          <w:szCs w:val="16"/>
          <w:lang w:val="es-CR"/>
        </w:rPr>
        <w:t xml:space="preserve">Cf. </w:t>
      </w:r>
      <w:r w:rsidRPr="00392A9A">
        <w:rPr>
          <w:rFonts w:ascii="Verdana" w:eastAsiaTheme="minorHAnsi" w:hAnsi="Verdana"/>
          <w:sz w:val="16"/>
          <w:szCs w:val="16"/>
          <w:lang w:val="es-CR"/>
        </w:rPr>
        <w:t xml:space="preserve">Case </w:t>
      </w:r>
      <w:proofErr w:type="spellStart"/>
      <w:r w:rsidRPr="00392A9A">
        <w:rPr>
          <w:rFonts w:ascii="Verdana" w:eastAsiaTheme="minorHAnsi" w:hAnsi="Verdana"/>
          <w:sz w:val="16"/>
          <w:szCs w:val="16"/>
          <w:lang w:val="es-CR"/>
        </w:rPr>
        <w:t>of</w:t>
      </w:r>
      <w:proofErr w:type="spellEnd"/>
      <w:r w:rsidRPr="00392A9A">
        <w:rPr>
          <w:rFonts w:ascii="Verdana" w:eastAsiaTheme="minorHAnsi" w:hAnsi="Verdana"/>
          <w:sz w:val="16"/>
          <w:szCs w:val="16"/>
          <w:lang w:val="es-CR"/>
        </w:rPr>
        <w:t xml:space="preserve"> Herrera</w:t>
      </w:r>
      <w:r w:rsidRPr="00392A9A">
        <w:rPr>
          <w:rFonts w:ascii="Verdana" w:eastAsiaTheme="minorHAnsi" w:hAnsi="Verdana"/>
          <w:i/>
          <w:sz w:val="16"/>
          <w:szCs w:val="16"/>
          <w:lang w:val="es-CR"/>
        </w:rPr>
        <w:t xml:space="preserve"> Ulloa v. Costa Rica</w:t>
      </w:r>
      <w:r w:rsidRPr="00392A9A">
        <w:rPr>
          <w:rFonts w:ascii="Verdana" w:eastAsiaTheme="minorHAnsi" w:hAnsi="Verdana"/>
          <w:sz w:val="16"/>
          <w:szCs w:val="16"/>
          <w:lang w:val="es-CR"/>
        </w:rPr>
        <w:t xml:space="preserve">, para. </w:t>
      </w:r>
      <w:r w:rsidRPr="00CF6765">
        <w:rPr>
          <w:rFonts w:ascii="Verdana" w:eastAsiaTheme="minorHAnsi" w:hAnsi="Verdana"/>
          <w:sz w:val="16"/>
          <w:szCs w:val="16"/>
        </w:rPr>
        <w:t xml:space="preserve">171, and </w:t>
      </w:r>
      <w:r w:rsidRPr="00CF6765">
        <w:rPr>
          <w:rFonts w:ascii="Verdana" w:eastAsiaTheme="minorHAnsi" w:hAnsi="Verdana"/>
          <w:i/>
          <w:sz w:val="16"/>
          <w:szCs w:val="16"/>
        </w:rPr>
        <w:t xml:space="preserve">Case of Duque v. Colombia, </w:t>
      </w:r>
      <w:r w:rsidRPr="00CF6765">
        <w:rPr>
          <w:rFonts w:ascii="Verdana" w:eastAsiaTheme="minorHAnsi" w:hAnsi="Verdana"/>
          <w:sz w:val="16"/>
          <w:szCs w:val="16"/>
        </w:rPr>
        <w:t>supra, para. 162.</w:t>
      </w:r>
    </w:p>
  </w:footnote>
  <w:footnote w:id="291">
    <w:p w14:paraId="204A9269" w14:textId="7EE0666D" w:rsidR="003558F5" w:rsidRPr="00CF6765" w:rsidRDefault="003558F5" w:rsidP="00002163">
      <w:pPr>
        <w:pStyle w:val="Textonotapie"/>
        <w:spacing w:after="60"/>
        <w:rPr>
          <w:rFonts w:cs="Arial"/>
          <w:sz w:val="16"/>
          <w:szCs w:val="16"/>
          <w:lang w:val="en-US"/>
        </w:rPr>
      </w:pPr>
      <w:r w:rsidRPr="00CF6765">
        <w:rPr>
          <w:rStyle w:val="Refdenotaalpie"/>
          <w:rFonts w:eastAsiaTheme="majorEastAsia"/>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rFonts w:cs="Arial"/>
          <w:i/>
          <w:iCs/>
          <w:sz w:val="16"/>
          <w:szCs w:val="16"/>
          <w:lang w:val="en-US"/>
        </w:rPr>
        <w:t xml:space="preserve"> Case of </w:t>
      </w:r>
      <w:proofErr w:type="spellStart"/>
      <w:r w:rsidRPr="00CF6765">
        <w:rPr>
          <w:rFonts w:cs="Arial"/>
          <w:i/>
          <w:iCs/>
          <w:sz w:val="16"/>
          <w:szCs w:val="16"/>
          <w:lang w:val="en-US"/>
        </w:rPr>
        <w:t>Palamara</w:t>
      </w:r>
      <w:proofErr w:type="spellEnd"/>
      <w:r w:rsidRPr="00CF6765">
        <w:rPr>
          <w:rFonts w:cs="Arial"/>
          <w:i/>
          <w:iCs/>
          <w:sz w:val="16"/>
          <w:szCs w:val="16"/>
          <w:lang w:val="en-US"/>
        </w:rPr>
        <w:t xml:space="preserve"> </w:t>
      </w:r>
      <w:proofErr w:type="spellStart"/>
      <w:r w:rsidRPr="00CF6765">
        <w:rPr>
          <w:rFonts w:cs="Arial"/>
          <w:i/>
          <w:iCs/>
          <w:sz w:val="16"/>
          <w:szCs w:val="16"/>
          <w:lang w:val="en-US"/>
        </w:rPr>
        <w:t>Iribarne</w:t>
      </w:r>
      <w:proofErr w:type="spellEnd"/>
      <w:r w:rsidRPr="00CF6765">
        <w:rPr>
          <w:rFonts w:cs="Arial"/>
          <w:i/>
          <w:iCs/>
          <w:sz w:val="16"/>
          <w:szCs w:val="16"/>
          <w:lang w:val="en-US"/>
        </w:rPr>
        <w:t xml:space="preserve"> v. Chile. Merits, reparations and costs. </w:t>
      </w:r>
      <w:r w:rsidRPr="00CF6765">
        <w:rPr>
          <w:rFonts w:cs="Arial"/>
          <w:iCs/>
          <w:sz w:val="16"/>
          <w:szCs w:val="16"/>
          <w:lang w:val="en-US"/>
        </w:rPr>
        <w:t xml:space="preserve">Judgment of November 22, 2005. </w:t>
      </w:r>
      <w:r w:rsidRPr="00392A9A">
        <w:rPr>
          <w:rFonts w:cs="Arial"/>
          <w:iCs/>
          <w:sz w:val="16"/>
          <w:szCs w:val="16"/>
          <w:lang w:val="es-CR"/>
        </w:rPr>
        <w:t>Series C No. 135,</w:t>
      </w:r>
      <w:r w:rsidRPr="00392A9A">
        <w:rPr>
          <w:rFonts w:cs="Arial"/>
          <w:sz w:val="16"/>
          <w:szCs w:val="16"/>
          <w:lang w:val="es-CR"/>
        </w:rPr>
        <w:t xml:space="preserve"> para. 146, and </w:t>
      </w:r>
      <w:r w:rsidRPr="00392A9A">
        <w:rPr>
          <w:rFonts w:cs="Arial"/>
          <w:i/>
          <w:sz w:val="16"/>
          <w:szCs w:val="16"/>
          <w:lang w:val="es-CR"/>
        </w:rPr>
        <w:t xml:space="preserve">Case </w:t>
      </w:r>
      <w:proofErr w:type="spellStart"/>
      <w:r w:rsidRPr="00392A9A">
        <w:rPr>
          <w:rFonts w:cs="Arial"/>
          <w:i/>
          <w:sz w:val="16"/>
          <w:szCs w:val="16"/>
          <w:lang w:val="es-CR"/>
        </w:rPr>
        <w:t>of</w:t>
      </w:r>
      <w:proofErr w:type="spellEnd"/>
      <w:r w:rsidRPr="00392A9A">
        <w:rPr>
          <w:rFonts w:cs="Arial"/>
          <w:i/>
          <w:sz w:val="16"/>
          <w:szCs w:val="16"/>
          <w:lang w:val="es-CR"/>
        </w:rPr>
        <w:t xml:space="preserve"> Duque v. Colombia, supra,</w:t>
      </w:r>
      <w:r w:rsidRPr="00392A9A">
        <w:rPr>
          <w:rFonts w:cs="Arial"/>
          <w:sz w:val="16"/>
          <w:szCs w:val="16"/>
          <w:lang w:val="es-CR"/>
        </w:rPr>
        <w:t xml:space="preserve"> para. </w:t>
      </w:r>
      <w:r w:rsidRPr="00CF6765">
        <w:rPr>
          <w:rFonts w:cs="Arial"/>
          <w:sz w:val="16"/>
          <w:szCs w:val="16"/>
          <w:lang w:val="en-US"/>
        </w:rPr>
        <w:t>162.</w:t>
      </w:r>
    </w:p>
  </w:footnote>
  <w:footnote w:id="292">
    <w:p w14:paraId="67DF94D1" w14:textId="22ECA9E7" w:rsidR="003558F5" w:rsidRPr="00CF6765" w:rsidRDefault="003558F5" w:rsidP="00002163">
      <w:pPr>
        <w:pStyle w:val="Textonotapie"/>
        <w:spacing w:after="60"/>
        <w:rPr>
          <w:sz w:val="16"/>
          <w:szCs w:val="16"/>
          <w:lang w:val="en-US"/>
        </w:rPr>
      </w:pPr>
      <w:r w:rsidRPr="00CF6765">
        <w:rPr>
          <w:rStyle w:val="Refdenotaalpie"/>
          <w:rFonts w:eastAsiaTheme="majorEastAsia"/>
          <w:sz w:val="16"/>
          <w:szCs w:val="16"/>
          <w:lang w:val="en-US"/>
        </w:rPr>
        <w:footnoteRef/>
      </w:r>
      <w:r w:rsidRPr="00CF6765">
        <w:rPr>
          <w:sz w:val="16"/>
          <w:szCs w:val="16"/>
          <w:lang w:val="en-US"/>
        </w:rPr>
        <w:t xml:space="preserve"> </w:t>
      </w:r>
      <w:r w:rsidRPr="00CF6765">
        <w:rPr>
          <w:sz w:val="16"/>
          <w:szCs w:val="16"/>
          <w:lang w:val="en-US"/>
        </w:rPr>
        <w:tab/>
        <w:t>Principle 2 of the UN Basic Principles on the Independence of the Judiciary.</w:t>
      </w:r>
    </w:p>
  </w:footnote>
  <w:footnote w:id="293">
    <w:p w14:paraId="075D0B7E" w14:textId="31BCF28E" w:rsidR="003558F5" w:rsidRPr="00CF6765" w:rsidRDefault="003558F5" w:rsidP="00002163">
      <w:pPr>
        <w:pStyle w:val="Textonotapie"/>
        <w:spacing w:after="60"/>
        <w:rPr>
          <w:sz w:val="16"/>
          <w:szCs w:val="16"/>
          <w:lang w:val="en-US"/>
        </w:rPr>
      </w:pPr>
      <w:r w:rsidRPr="00CF6765">
        <w:rPr>
          <w:rStyle w:val="Refdenotaalpie"/>
          <w:rFonts w:eastAsiaTheme="majorEastAsia"/>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 xml:space="preserve">Case of Case of </w:t>
      </w:r>
      <w:proofErr w:type="spellStart"/>
      <w:r w:rsidRPr="00CF6765">
        <w:rPr>
          <w:i/>
          <w:sz w:val="16"/>
          <w:szCs w:val="16"/>
          <w:lang w:val="en-US"/>
        </w:rPr>
        <w:t>Apitz</w:t>
      </w:r>
      <w:proofErr w:type="spellEnd"/>
      <w:r w:rsidRPr="00CF6765">
        <w:rPr>
          <w:i/>
          <w:sz w:val="16"/>
          <w:szCs w:val="16"/>
          <w:lang w:val="en-US"/>
        </w:rPr>
        <w:t xml:space="preserve"> Barbera et al. (“First Contentious Administrative Court”) v. Venezuela. Preliminary objection, merits, reparations and costs. </w:t>
      </w:r>
      <w:r w:rsidRPr="00CF6765">
        <w:rPr>
          <w:sz w:val="16"/>
          <w:szCs w:val="16"/>
          <w:lang w:val="en-US"/>
        </w:rPr>
        <w:t xml:space="preserve">Judgment of August 5, 2008. Series C No. 182, para. 56, and </w:t>
      </w:r>
      <w:r w:rsidRPr="00CF6765">
        <w:rPr>
          <w:i/>
          <w:sz w:val="16"/>
          <w:szCs w:val="16"/>
          <w:lang w:val="en-US"/>
        </w:rPr>
        <w:t>Case of Duque v. Colombia, supra,</w:t>
      </w:r>
      <w:r w:rsidRPr="00CF6765">
        <w:rPr>
          <w:sz w:val="16"/>
          <w:szCs w:val="16"/>
          <w:lang w:val="en-US"/>
        </w:rPr>
        <w:t xml:space="preserve"> para. 162.</w:t>
      </w:r>
    </w:p>
  </w:footnote>
  <w:footnote w:id="294">
    <w:p w14:paraId="2926F574" w14:textId="4C2C6740" w:rsidR="003558F5" w:rsidRPr="00CF6765" w:rsidRDefault="003558F5" w:rsidP="00002163">
      <w:pPr>
        <w:pStyle w:val="Textonotapie"/>
        <w:spacing w:after="60"/>
        <w:rPr>
          <w:sz w:val="16"/>
          <w:szCs w:val="16"/>
          <w:lang w:val="en-US"/>
        </w:rPr>
      </w:pPr>
      <w:r w:rsidRPr="00CF6765">
        <w:rPr>
          <w:rStyle w:val="Refdenotaalpie"/>
          <w:rFonts w:eastAsiaTheme="majorEastAsia"/>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 xml:space="preserve">Case of Atala </w:t>
      </w:r>
      <w:proofErr w:type="spellStart"/>
      <w:r w:rsidRPr="00CF6765">
        <w:rPr>
          <w:i/>
          <w:sz w:val="16"/>
          <w:szCs w:val="16"/>
          <w:lang w:val="en-US"/>
        </w:rPr>
        <w:t>Riffo</w:t>
      </w:r>
      <w:proofErr w:type="spellEnd"/>
      <w:r w:rsidRPr="00CF6765">
        <w:rPr>
          <w:i/>
          <w:sz w:val="16"/>
          <w:szCs w:val="16"/>
          <w:lang w:val="en-US"/>
        </w:rPr>
        <w:t xml:space="preserve"> and daughters v. Chile. Merits, reparations and costs.</w:t>
      </w:r>
      <w:r w:rsidRPr="00CF6765">
        <w:rPr>
          <w:sz w:val="16"/>
          <w:szCs w:val="16"/>
          <w:lang w:val="en-US"/>
        </w:rPr>
        <w:t xml:space="preserve"> Judgment of February 24, 2012. Series C No. 239, para. 234.</w:t>
      </w:r>
    </w:p>
  </w:footnote>
  <w:footnote w:id="295">
    <w:p w14:paraId="56A3303E" w14:textId="33BA12B9"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 xml:space="preserve">Case of Atala </w:t>
      </w:r>
      <w:proofErr w:type="spellStart"/>
      <w:r w:rsidRPr="00CF6765">
        <w:rPr>
          <w:i/>
          <w:sz w:val="16"/>
          <w:szCs w:val="16"/>
          <w:lang w:val="en-US"/>
        </w:rPr>
        <w:t>Riffo</w:t>
      </w:r>
      <w:proofErr w:type="spellEnd"/>
      <w:r w:rsidRPr="00CF6765">
        <w:rPr>
          <w:i/>
          <w:sz w:val="16"/>
          <w:szCs w:val="16"/>
          <w:lang w:val="en-US"/>
        </w:rPr>
        <w:t xml:space="preserve"> and daughters v. Chile. supra,</w:t>
      </w:r>
      <w:r w:rsidRPr="00CF6765">
        <w:rPr>
          <w:sz w:val="16"/>
          <w:szCs w:val="16"/>
          <w:lang w:val="en-US"/>
        </w:rPr>
        <w:t xml:space="preserve"> para. 190, and </w:t>
      </w:r>
      <w:r w:rsidRPr="00CF6765">
        <w:rPr>
          <w:i/>
          <w:sz w:val="16"/>
          <w:szCs w:val="16"/>
          <w:lang w:val="en-US"/>
        </w:rPr>
        <w:t>Case of Duque v. Colombia, supra,</w:t>
      </w:r>
      <w:r w:rsidRPr="00CF6765">
        <w:rPr>
          <w:sz w:val="16"/>
          <w:szCs w:val="16"/>
          <w:lang w:val="en-US"/>
        </w:rPr>
        <w:t xml:space="preserve"> para. 165.</w:t>
      </w:r>
    </w:p>
  </w:footnote>
  <w:footnote w:id="296">
    <w:p w14:paraId="4D7E90D7" w14:textId="5926CE90" w:rsidR="003558F5" w:rsidRPr="00CF6765" w:rsidRDefault="003558F5" w:rsidP="000207FC">
      <w:pPr>
        <w:pStyle w:val="Textonotapie"/>
        <w:spacing w:after="60"/>
        <w:ind w:right="13"/>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In their opinion, the mistreatment and humiliation suffered by the family of Mr. Poblete </w:t>
      </w:r>
      <w:proofErr w:type="spellStart"/>
      <w:r w:rsidRPr="00CF6765">
        <w:rPr>
          <w:sz w:val="16"/>
          <w:szCs w:val="16"/>
          <w:lang w:val="en-US"/>
        </w:rPr>
        <w:t>Vilches</w:t>
      </w:r>
      <w:proofErr w:type="spellEnd"/>
      <w:r w:rsidRPr="00CF6765">
        <w:rPr>
          <w:sz w:val="16"/>
          <w:szCs w:val="16"/>
          <w:lang w:val="en-US"/>
        </w:rPr>
        <w:t xml:space="preserve"> during his hospitalization  at the hands of the medical personnel of the </w:t>
      </w:r>
      <w:proofErr w:type="spellStart"/>
      <w:r w:rsidRPr="00CF6765">
        <w:rPr>
          <w:sz w:val="16"/>
          <w:szCs w:val="16"/>
          <w:lang w:val="en-US"/>
        </w:rPr>
        <w:t>Sótero</w:t>
      </w:r>
      <w:proofErr w:type="spellEnd"/>
      <w:r w:rsidRPr="00CF6765">
        <w:rPr>
          <w:sz w:val="16"/>
          <w:szCs w:val="16"/>
          <w:lang w:val="en-US"/>
        </w:rPr>
        <w:t xml:space="preserve"> del Río Hospital was also revealed by the statements of Jorge Alejandro Fuentes Poblete, Alejandra M. Fuentes Poblete and Teresa del Carmen Campos </w:t>
      </w:r>
      <w:proofErr w:type="spellStart"/>
      <w:r w:rsidRPr="00CF6765">
        <w:rPr>
          <w:sz w:val="16"/>
          <w:szCs w:val="16"/>
          <w:lang w:val="en-US"/>
        </w:rPr>
        <w:t>Quinteros</w:t>
      </w:r>
      <w:proofErr w:type="spellEnd"/>
      <w:r w:rsidRPr="00CF6765">
        <w:rPr>
          <w:sz w:val="16"/>
          <w:szCs w:val="16"/>
          <w:lang w:val="en-US"/>
        </w:rPr>
        <w:t>, “[…] and were explained bluntly by Vinicio Poblete Tapia during the public hearing.”</w:t>
      </w:r>
    </w:p>
  </w:footnote>
  <w:footnote w:id="297">
    <w:p w14:paraId="22B5A7C8" w14:textId="262431BF" w:rsidR="003558F5" w:rsidRPr="00392A9A" w:rsidRDefault="003558F5" w:rsidP="000207FC">
      <w:pPr>
        <w:pStyle w:val="Textonotapie"/>
        <w:spacing w:after="60"/>
        <w:ind w:right="13"/>
        <w:rPr>
          <w:sz w:val="16"/>
          <w:szCs w:val="16"/>
          <w:lang w:val="es-CR"/>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Case of Blake v. Guatemala. Merits.</w:t>
      </w:r>
      <w:r w:rsidRPr="00CF6765">
        <w:rPr>
          <w:sz w:val="16"/>
          <w:szCs w:val="16"/>
          <w:lang w:val="en-US"/>
        </w:rPr>
        <w:t xml:space="preserve"> Judgment of January 24, 1998. Series C No. 36, para. 114, and </w:t>
      </w:r>
      <w:r w:rsidRPr="00CF6765">
        <w:rPr>
          <w:i/>
          <w:sz w:val="16"/>
          <w:szCs w:val="16"/>
          <w:lang w:val="en-US"/>
        </w:rPr>
        <w:t>Case of Favela Nova Brasília v. Brazil. Preliminary objections, merits, reparations and costs.</w:t>
      </w:r>
      <w:r w:rsidRPr="00CF6765">
        <w:rPr>
          <w:sz w:val="16"/>
          <w:szCs w:val="16"/>
          <w:lang w:val="en-US"/>
        </w:rPr>
        <w:t xml:space="preserve"> </w:t>
      </w:r>
      <w:proofErr w:type="spellStart"/>
      <w:r w:rsidRPr="00392A9A">
        <w:rPr>
          <w:sz w:val="16"/>
          <w:szCs w:val="16"/>
          <w:lang w:val="es-CR"/>
        </w:rPr>
        <w:t>Judgment</w:t>
      </w:r>
      <w:proofErr w:type="spellEnd"/>
      <w:r w:rsidRPr="00392A9A">
        <w:rPr>
          <w:sz w:val="16"/>
          <w:szCs w:val="16"/>
          <w:lang w:val="es-CR"/>
        </w:rPr>
        <w:t xml:space="preserve"> </w:t>
      </w:r>
      <w:proofErr w:type="spellStart"/>
      <w:r w:rsidRPr="00392A9A">
        <w:rPr>
          <w:sz w:val="16"/>
          <w:szCs w:val="16"/>
          <w:lang w:val="es-CR"/>
        </w:rPr>
        <w:t>of</w:t>
      </w:r>
      <w:proofErr w:type="spellEnd"/>
      <w:r w:rsidRPr="00392A9A">
        <w:rPr>
          <w:sz w:val="16"/>
          <w:szCs w:val="16"/>
          <w:lang w:val="es-CR"/>
        </w:rPr>
        <w:t xml:space="preserve"> </w:t>
      </w:r>
      <w:proofErr w:type="spellStart"/>
      <w:r w:rsidRPr="00392A9A">
        <w:rPr>
          <w:sz w:val="16"/>
          <w:szCs w:val="16"/>
          <w:lang w:val="es-CR"/>
        </w:rPr>
        <w:t>February</w:t>
      </w:r>
      <w:proofErr w:type="spellEnd"/>
      <w:r w:rsidRPr="00392A9A">
        <w:rPr>
          <w:sz w:val="16"/>
          <w:szCs w:val="16"/>
          <w:lang w:val="es-CR"/>
        </w:rPr>
        <w:t xml:space="preserve"> 16, 2017. Series C No. 333, para. 67. </w:t>
      </w:r>
    </w:p>
  </w:footnote>
  <w:footnote w:id="298">
    <w:p w14:paraId="65354208" w14:textId="490CDA52" w:rsidR="003558F5" w:rsidRPr="00CF6765" w:rsidRDefault="003558F5" w:rsidP="000207FC">
      <w:pPr>
        <w:pStyle w:val="Textonotapie"/>
        <w:spacing w:after="60"/>
        <w:ind w:right="13"/>
        <w:rPr>
          <w:sz w:val="16"/>
          <w:szCs w:val="16"/>
          <w:lang w:val="en-US"/>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 xml:space="preserve">Case </w:t>
      </w:r>
      <w:proofErr w:type="spellStart"/>
      <w:r w:rsidRPr="00392A9A">
        <w:rPr>
          <w:i/>
          <w:sz w:val="16"/>
          <w:szCs w:val="16"/>
          <w:lang w:val="es-CR"/>
        </w:rPr>
        <w:t>of</w:t>
      </w:r>
      <w:proofErr w:type="spellEnd"/>
      <w:r w:rsidRPr="00392A9A">
        <w:rPr>
          <w:i/>
          <w:sz w:val="16"/>
          <w:szCs w:val="16"/>
          <w:lang w:val="es-CR"/>
        </w:rPr>
        <w:t xml:space="preserve"> Suárez Peralta v. Ecuador, supra</w:t>
      </w:r>
      <w:r w:rsidRPr="00392A9A">
        <w:rPr>
          <w:sz w:val="16"/>
          <w:szCs w:val="16"/>
          <w:lang w:val="es-CR"/>
        </w:rPr>
        <w:t xml:space="preserve"> para. </w:t>
      </w:r>
      <w:r w:rsidRPr="00CF6765">
        <w:rPr>
          <w:sz w:val="16"/>
          <w:szCs w:val="16"/>
          <w:lang w:val="en-US"/>
        </w:rPr>
        <w:t xml:space="preserve">158, and </w:t>
      </w:r>
      <w:r w:rsidRPr="00CF6765">
        <w:rPr>
          <w:i/>
          <w:sz w:val="16"/>
          <w:szCs w:val="16"/>
          <w:lang w:val="en-US"/>
        </w:rPr>
        <w:t>Case of Valencia Hinojosa et al. v. Ecuador. Preliminary objections, merits, reparations and costs.</w:t>
      </w:r>
      <w:r w:rsidRPr="00CF6765">
        <w:rPr>
          <w:sz w:val="16"/>
          <w:szCs w:val="16"/>
          <w:lang w:val="en-US"/>
        </w:rPr>
        <w:t xml:space="preserve"> Judgment of November 29, 2016. Series C No. 327, para. 142. </w:t>
      </w:r>
    </w:p>
  </w:footnote>
  <w:footnote w:id="299">
    <w:p w14:paraId="47330FE3" w14:textId="1190F2B0" w:rsidR="003558F5" w:rsidRPr="00CF6765" w:rsidRDefault="003558F5" w:rsidP="000207FC">
      <w:pPr>
        <w:pStyle w:val="Textonotapie"/>
        <w:spacing w:after="60"/>
        <w:ind w:right="13"/>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iCs/>
          <w:sz w:val="16"/>
          <w:szCs w:val="16"/>
          <w:lang w:val="en-US"/>
        </w:rPr>
        <w:t xml:space="preserve">Case of the Yean and </w:t>
      </w:r>
      <w:proofErr w:type="spellStart"/>
      <w:r w:rsidRPr="00CF6765">
        <w:rPr>
          <w:i/>
          <w:iCs/>
          <w:sz w:val="16"/>
          <w:szCs w:val="16"/>
          <w:lang w:val="en-US"/>
        </w:rPr>
        <w:t>Bosico</w:t>
      </w:r>
      <w:proofErr w:type="spellEnd"/>
      <w:r w:rsidRPr="00CF6765">
        <w:rPr>
          <w:i/>
          <w:iCs/>
          <w:sz w:val="16"/>
          <w:szCs w:val="16"/>
          <w:lang w:val="en-US"/>
        </w:rPr>
        <w:t xml:space="preserve"> Girls v. Dominican Republic</w:t>
      </w:r>
      <w:r w:rsidRPr="00CF6765">
        <w:rPr>
          <w:sz w:val="16"/>
          <w:szCs w:val="16"/>
          <w:lang w:val="en-US"/>
        </w:rPr>
        <w:t xml:space="preserve">. </w:t>
      </w:r>
      <w:r w:rsidRPr="00CF6765">
        <w:rPr>
          <w:i/>
          <w:sz w:val="16"/>
          <w:szCs w:val="16"/>
          <w:lang w:val="en-US"/>
        </w:rPr>
        <w:t>Preliminary objections, merits, reparations and costs.</w:t>
      </w:r>
      <w:r w:rsidRPr="00CF6765">
        <w:rPr>
          <w:sz w:val="16"/>
          <w:szCs w:val="16"/>
          <w:lang w:val="en-US"/>
        </w:rPr>
        <w:t xml:space="preserve"> Judgment of September 8, 2005. Series C No 130, para. 204.  </w:t>
      </w:r>
    </w:p>
  </w:footnote>
  <w:footnote w:id="300">
    <w:p w14:paraId="20C6108F" w14:textId="4A21B20F" w:rsidR="003558F5" w:rsidRPr="00CF6765" w:rsidRDefault="003558F5" w:rsidP="00BF6F86">
      <w:pPr>
        <w:pStyle w:val="Textonotapie"/>
        <w:spacing w:after="60"/>
        <w:ind w:right="-3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iCs/>
          <w:sz w:val="16"/>
          <w:szCs w:val="16"/>
          <w:lang w:val="en-US"/>
        </w:rPr>
        <w:t xml:space="preserve">Cf. Case of Vera </w:t>
      </w:r>
      <w:proofErr w:type="spellStart"/>
      <w:r w:rsidRPr="00CF6765">
        <w:rPr>
          <w:i/>
          <w:iCs/>
          <w:sz w:val="16"/>
          <w:szCs w:val="16"/>
          <w:lang w:val="en-US"/>
        </w:rPr>
        <w:t>Vera</w:t>
      </w:r>
      <w:proofErr w:type="spellEnd"/>
      <w:r w:rsidRPr="00CF6765">
        <w:rPr>
          <w:i/>
          <w:iCs/>
          <w:sz w:val="16"/>
          <w:szCs w:val="16"/>
          <w:lang w:val="en-US"/>
        </w:rPr>
        <w:t xml:space="preserve"> et al. v. Ecuador, supra</w:t>
      </w:r>
      <w:r w:rsidRPr="00CF6765">
        <w:rPr>
          <w:sz w:val="16"/>
          <w:szCs w:val="16"/>
          <w:lang w:val="en-US"/>
        </w:rPr>
        <w:t xml:space="preserve"> para. 104.  </w:t>
      </w:r>
    </w:p>
  </w:footnote>
  <w:footnote w:id="301">
    <w:p w14:paraId="39EF5280" w14:textId="2D8A4DFA" w:rsidR="003558F5" w:rsidRPr="00CF6765" w:rsidRDefault="003558F5" w:rsidP="000207FC">
      <w:pPr>
        <w:pStyle w:val="Textonotapie"/>
        <w:spacing w:after="60"/>
        <w:ind w:right="13"/>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iCs/>
          <w:sz w:val="16"/>
          <w:szCs w:val="16"/>
          <w:lang w:val="en-US"/>
        </w:rPr>
        <w:t xml:space="preserve">Cf. Case of Blake v. Guatemala. Merits. supra </w:t>
      </w:r>
      <w:r w:rsidRPr="00CF6765">
        <w:rPr>
          <w:sz w:val="16"/>
          <w:szCs w:val="16"/>
          <w:lang w:val="en-US"/>
        </w:rPr>
        <w:t>para. 114,</w:t>
      </w:r>
      <w:r w:rsidRPr="00CF6765">
        <w:rPr>
          <w:i/>
          <w:iCs/>
          <w:sz w:val="16"/>
          <w:szCs w:val="16"/>
          <w:lang w:val="en-US"/>
        </w:rPr>
        <w:t xml:space="preserve"> and Case of the Members of the Village of </w:t>
      </w:r>
      <w:proofErr w:type="spellStart"/>
      <w:r w:rsidRPr="00CF6765">
        <w:rPr>
          <w:i/>
          <w:iCs/>
          <w:sz w:val="16"/>
          <w:szCs w:val="16"/>
          <w:lang w:val="en-US"/>
        </w:rPr>
        <w:t>Chichupac</w:t>
      </w:r>
      <w:proofErr w:type="spellEnd"/>
      <w:r w:rsidRPr="00CF6765">
        <w:rPr>
          <w:i/>
          <w:iCs/>
          <w:sz w:val="16"/>
          <w:szCs w:val="16"/>
          <w:lang w:val="en-US"/>
        </w:rPr>
        <w:t xml:space="preserve"> and neighboring communities of the municipality of </w:t>
      </w:r>
      <w:proofErr w:type="spellStart"/>
      <w:r w:rsidRPr="00CF6765">
        <w:rPr>
          <w:i/>
          <w:iCs/>
          <w:sz w:val="16"/>
          <w:szCs w:val="16"/>
          <w:lang w:val="en-US"/>
        </w:rPr>
        <w:t>Rabinal</w:t>
      </w:r>
      <w:proofErr w:type="spellEnd"/>
      <w:r w:rsidRPr="00CF6765">
        <w:rPr>
          <w:i/>
          <w:iCs/>
          <w:sz w:val="16"/>
          <w:szCs w:val="16"/>
          <w:lang w:val="en-US"/>
        </w:rPr>
        <w:t xml:space="preserve"> v. Guatemala. Preliminary objections, merits, reparations and costs. </w:t>
      </w:r>
      <w:r w:rsidRPr="00CF6765">
        <w:rPr>
          <w:sz w:val="16"/>
          <w:szCs w:val="16"/>
          <w:lang w:val="en-US"/>
        </w:rPr>
        <w:t>Judgment of November 30, 2016, para</w:t>
      </w:r>
      <w:r w:rsidRPr="00CF6765">
        <w:rPr>
          <w:iCs/>
          <w:sz w:val="16"/>
          <w:szCs w:val="16"/>
          <w:lang w:val="en-US"/>
        </w:rPr>
        <w:t>. 161.</w:t>
      </w:r>
    </w:p>
  </w:footnote>
  <w:footnote w:id="302">
    <w:p w14:paraId="2D3CCE12" w14:textId="28653854" w:rsidR="003558F5" w:rsidRPr="00CF6765" w:rsidRDefault="003558F5" w:rsidP="000207FC">
      <w:pPr>
        <w:pStyle w:val="Textonotapie"/>
        <w:spacing w:after="60"/>
        <w:ind w:right="13"/>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iCs/>
          <w:sz w:val="16"/>
          <w:szCs w:val="16"/>
          <w:lang w:val="en-US"/>
        </w:rPr>
        <w:t xml:space="preserve">Cf. Case of </w:t>
      </w:r>
      <w:proofErr w:type="spellStart"/>
      <w:r w:rsidRPr="00CF6765">
        <w:rPr>
          <w:i/>
          <w:iCs/>
          <w:sz w:val="16"/>
          <w:szCs w:val="16"/>
          <w:lang w:val="en-US"/>
        </w:rPr>
        <w:t>Bámaca</w:t>
      </w:r>
      <w:proofErr w:type="spellEnd"/>
      <w:r w:rsidRPr="00CF6765">
        <w:rPr>
          <w:i/>
          <w:iCs/>
          <w:sz w:val="16"/>
          <w:szCs w:val="16"/>
          <w:lang w:val="en-US"/>
        </w:rPr>
        <w:t xml:space="preserve"> </w:t>
      </w:r>
      <w:proofErr w:type="spellStart"/>
      <w:r w:rsidRPr="00CF6765">
        <w:rPr>
          <w:i/>
          <w:iCs/>
          <w:sz w:val="16"/>
          <w:szCs w:val="16"/>
          <w:lang w:val="en-US"/>
        </w:rPr>
        <w:t>Velásquez</w:t>
      </w:r>
      <w:proofErr w:type="spellEnd"/>
      <w:r w:rsidRPr="00CF6765">
        <w:rPr>
          <w:i/>
          <w:iCs/>
          <w:sz w:val="16"/>
          <w:szCs w:val="16"/>
          <w:lang w:val="en-US"/>
        </w:rPr>
        <w:t xml:space="preserve"> v. Guatemala. Merits. </w:t>
      </w:r>
      <w:r w:rsidRPr="00CF6765">
        <w:rPr>
          <w:sz w:val="16"/>
          <w:szCs w:val="16"/>
          <w:lang w:val="en-US"/>
        </w:rPr>
        <w:t>Judgment of November 25, 2000, paras</w:t>
      </w:r>
      <w:r w:rsidRPr="00CF6765">
        <w:rPr>
          <w:iCs/>
          <w:sz w:val="16"/>
          <w:szCs w:val="16"/>
          <w:lang w:val="en-US"/>
        </w:rPr>
        <w:t>. 162 and 163,</w:t>
      </w:r>
      <w:r w:rsidRPr="00CF6765">
        <w:rPr>
          <w:i/>
          <w:iCs/>
          <w:sz w:val="16"/>
          <w:szCs w:val="16"/>
          <w:lang w:val="en-US"/>
        </w:rPr>
        <w:t xml:space="preserve"> and Case of Vásquez Durand et al. v. Ecuador. Preliminary objections, merits, reparations and costs. </w:t>
      </w:r>
      <w:r w:rsidRPr="00CF6765">
        <w:rPr>
          <w:sz w:val="16"/>
          <w:szCs w:val="16"/>
          <w:lang w:val="en-US"/>
        </w:rPr>
        <w:t>Judgment of February 15, 2017. Series C No. 332, para</w:t>
      </w:r>
      <w:r w:rsidRPr="00CF6765">
        <w:rPr>
          <w:iCs/>
          <w:sz w:val="16"/>
          <w:szCs w:val="16"/>
          <w:lang w:val="en-US"/>
        </w:rPr>
        <w:t>. 182.</w:t>
      </w:r>
    </w:p>
  </w:footnote>
  <w:footnote w:id="303">
    <w:p w14:paraId="10BA4CA7" w14:textId="7F13F9C5"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Article 63(1) of the American Convention establishes: “</w:t>
      </w:r>
      <w:r w:rsidRPr="00CF6765">
        <w:rPr>
          <w:spacing w:val="-3"/>
          <w:sz w:val="16"/>
          <w:szCs w:val="16"/>
          <w:lang w:val="en-US"/>
        </w:rPr>
        <w:t>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CF6765">
        <w:rPr>
          <w:sz w:val="16"/>
          <w:szCs w:val="16"/>
          <w:lang w:val="en-US"/>
        </w:rPr>
        <w:t>”</w:t>
      </w:r>
    </w:p>
  </w:footnote>
  <w:footnote w:id="304">
    <w:p w14:paraId="561B5A6A" w14:textId="37D8EEE4"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 xml:space="preserve">Cf. Case </w:t>
      </w:r>
      <w:proofErr w:type="spellStart"/>
      <w:r w:rsidRPr="00392A9A">
        <w:rPr>
          <w:i/>
          <w:sz w:val="16"/>
          <w:szCs w:val="16"/>
          <w:lang w:val="es-CR"/>
        </w:rPr>
        <w:t>of</w:t>
      </w:r>
      <w:proofErr w:type="spellEnd"/>
      <w:r w:rsidRPr="00392A9A">
        <w:rPr>
          <w:i/>
          <w:sz w:val="16"/>
          <w:szCs w:val="16"/>
          <w:lang w:val="es-CR"/>
        </w:rPr>
        <w:t xml:space="preserve"> Velásquez Rodríguez v. Honduras. </w:t>
      </w:r>
      <w:r w:rsidRPr="00CF6765">
        <w:rPr>
          <w:i/>
          <w:sz w:val="16"/>
          <w:szCs w:val="16"/>
          <w:lang w:val="en-US"/>
        </w:rPr>
        <w:t>Reparations and costs.</w:t>
      </w:r>
      <w:r w:rsidRPr="00CF6765">
        <w:rPr>
          <w:sz w:val="16"/>
          <w:szCs w:val="16"/>
          <w:lang w:val="en-US"/>
        </w:rPr>
        <w:t xml:space="preserve"> Judgment of July 21, 1989. Series C No. 7, para. 25, and </w:t>
      </w:r>
      <w:r w:rsidRPr="00CF6765">
        <w:rPr>
          <w:i/>
          <w:sz w:val="16"/>
          <w:szCs w:val="16"/>
          <w:lang w:val="en-US"/>
        </w:rPr>
        <w:t xml:space="preserve">Case of the </w:t>
      </w:r>
      <w:proofErr w:type="spellStart"/>
      <w:r w:rsidRPr="00CF6765">
        <w:rPr>
          <w:i/>
          <w:sz w:val="16"/>
          <w:szCs w:val="16"/>
          <w:lang w:val="en-US"/>
        </w:rPr>
        <w:t>Xucuru</w:t>
      </w:r>
      <w:proofErr w:type="spellEnd"/>
      <w:r w:rsidRPr="00CF6765">
        <w:rPr>
          <w:i/>
          <w:sz w:val="16"/>
          <w:szCs w:val="16"/>
          <w:lang w:val="en-US"/>
        </w:rPr>
        <w:t xml:space="preserve"> Indigenous People and its members v. Brazil</w:t>
      </w:r>
      <w:r w:rsidRPr="00CF6765">
        <w:rPr>
          <w:sz w:val="16"/>
          <w:szCs w:val="16"/>
          <w:lang w:val="en-US"/>
        </w:rPr>
        <w:t xml:space="preserve">, </w:t>
      </w:r>
      <w:r w:rsidRPr="00CF6765">
        <w:rPr>
          <w:i/>
          <w:sz w:val="16"/>
          <w:szCs w:val="16"/>
          <w:lang w:val="en-US"/>
        </w:rPr>
        <w:t>supra</w:t>
      </w:r>
      <w:r w:rsidRPr="00CF6765">
        <w:rPr>
          <w:sz w:val="16"/>
          <w:szCs w:val="16"/>
          <w:lang w:val="en-US"/>
        </w:rPr>
        <w:t>, para. 182.</w:t>
      </w:r>
    </w:p>
  </w:footnote>
  <w:footnote w:id="305">
    <w:p w14:paraId="726873BD" w14:textId="1F74BD43"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Case of </w:t>
      </w:r>
      <w:proofErr w:type="spellStart"/>
      <w:r w:rsidRPr="00CF6765">
        <w:rPr>
          <w:i/>
          <w:sz w:val="16"/>
          <w:szCs w:val="16"/>
          <w:lang w:val="en-US"/>
        </w:rPr>
        <w:t>Ticona</w:t>
      </w:r>
      <w:proofErr w:type="spellEnd"/>
      <w:r w:rsidRPr="00CF6765">
        <w:rPr>
          <w:i/>
          <w:sz w:val="16"/>
          <w:szCs w:val="16"/>
          <w:lang w:val="en-US"/>
        </w:rPr>
        <w:t xml:space="preserve"> Estrada et al. v. Bolivia. Merits, reparations and costs.</w:t>
      </w:r>
      <w:r w:rsidRPr="00CF6765">
        <w:rPr>
          <w:sz w:val="16"/>
          <w:szCs w:val="16"/>
          <w:lang w:val="en-US"/>
        </w:rPr>
        <w:t xml:space="preserve"> Judgment of November 27, 2008. Series C No. 191, para. 110, and </w:t>
      </w:r>
      <w:r w:rsidRPr="00CF6765">
        <w:rPr>
          <w:i/>
          <w:sz w:val="16"/>
          <w:szCs w:val="16"/>
          <w:lang w:val="en-US"/>
        </w:rPr>
        <w:t xml:space="preserve">Case of the </w:t>
      </w:r>
      <w:proofErr w:type="spellStart"/>
      <w:r w:rsidRPr="00CF6765">
        <w:rPr>
          <w:i/>
          <w:sz w:val="16"/>
          <w:szCs w:val="16"/>
          <w:lang w:val="en-US"/>
        </w:rPr>
        <w:t>Xucuru</w:t>
      </w:r>
      <w:proofErr w:type="spellEnd"/>
      <w:r w:rsidRPr="00CF6765">
        <w:rPr>
          <w:i/>
          <w:sz w:val="16"/>
          <w:szCs w:val="16"/>
          <w:lang w:val="en-US"/>
        </w:rPr>
        <w:t xml:space="preserve"> Indigenous People and its members v. Brazil, supra</w:t>
      </w:r>
      <w:r w:rsidRPr="00CF6765">
        <w:rPr>
          <w:sz w:val="16"/>
          <w:szCs w:val="16"/>
          <w:lang w:val="en-US"/>
        </w:rPr>
        <w:t>, para.184.</w:t>
      </w:r>
    </w:p>
  </w:footnote>
  <w:footnote w:id="306">
    <w:p w14:paraId="2C2D14B2" w14:textId="41C9C5FF"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 xml:space="preserve">Cf. Case </w:t>
      </w:r>
      <w:proofErr w:type="spellStart"/>
      <w:r w:rsidRPr="00392A9A">
        <w:rPr>
          <w:i/>
          <w:sz w:val="16"/>
          <w:szCs w:val="16"/>
          <w:lang w:val="es-CR"/>
        </w:rPr>
        <w:t>of</w:t>
      </w:r>
      <w:proofErr w:type="spellEnd"/>
      <w:r w:rsidRPr="00392A9A">
        <w:rPr>
          <w:i/>
          <w:sz w:val="16"/>
          <w:szCs w:val="16"/>
          <w:lang w:val="es-CR"/>
        </w:rPr>
        <w:t xml:space="preserve"> Velásquez Rodríguez v. Honduras. </w:t>
      </w:r>
      <w:r w:rsidRPr="00CF6765">
        <w:rPr>
          <w:i/>
          <w:sz w:val="16"/>
          <w:szCs w:val="16"/>
          <w:lang w:val="en-US"/>
        </w:rPr>
        <w:t>Reparations, supra</w:t>
      </w:r>
      <w:r w:rsidRPr="00CF6765">
        <w:rPr>
          <w:sz w:val="16"/>
          <w:szCs w:val="16"/>
          <w:lang w:val="en-US"/>
        </w:rPr>
        <w:t xml:space="preserve">, para. 26, and </w:t>
      </w:r>
      <w:r w:rsidRPr="00CF6765">
        <w:rPr>
          <w:i/>
          <w:sz w:val="16"/>
          <w:szCs w:val="16"/>
          <w:lang w:val="en-US"/>
        </w:rPr>
        <w:t xml:space="preserve">Case of the </w:t>
      </w:r>
      <w:proofErr w:type="spellStart"/>
      <w:r w:rsidRPr="00CF6765">
        <w:rPr>
          <w:i/>
          <w:sz w:val="16"/>
          <w:szCs w:val="16"/>
          <w:lang w:val="en-US"/>
        </w:rPr>
        <w:t>Xucuru</w:t>
      </w:r>
      <w:proofErr w:type="spellEnd"/>
      <w:r w:rsidRPr="00CF6765">
        <w:rPr>
          <w:i/>
          <w:sz w:val="16"/>
          <w:szCs w:val="16"/>
          <w:lang w:val="en-US"/>
        </w:rPr>
        <w:t xml:space="preserve"> Indigenous People and its members v. Brazil, supra</w:t>
      </w:r>
      <w:r w:rsidRPr="00CF6765">
        <w:rPr>
          <w:sz w:val="16"/>
          <w:szCs w:val="16"/>
          <w:lang w:val="en-US"/>
        </w:rPr>
        <w:t>, para. 183.</w:t>
      </w:r>
    </w:p>
  </w:footnote>
  <w:footnote w:id="307">
    <w:p w14:paraId="587FADE1" w14:textId="1B5D426A" w:rsidR="003558F5" w:rsidRPr="00392A9A" w:rsidRDefault="003558F5" w:rsidP="00002163">
      <w:pPr>
        <w:pStyle w:val="Textonotapie"/>
        <w:spacing w:after="60"/>
        <w:rPr>
          <w:sz w:val="16"/>
          <w:szCs w:val="16"/>
          <w:lang w:val="es-CR"/>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Case of </w:t>
      </w:r>
      <w:proofErr w:type="spellStart"/>
      <w:r w:rsidRPr="00CF6765">
        <w:rPr>
          <w:i/>
          <w:sz w:val="16"/>
          <w:szCs w:val="16"/>
          <w:lang w:val="en-US"/>
        </w:rPr>
        <w:t>Velásquez</w:t>
      </w:r>
      <w:proofErr w:type="spellEnd"/>
      <w:r w:rsidRPr="00CF6765">
        <w:rPr>
          <w:i/>
          <w:sz w:val="16"/>
          <w:szCs w:val="16"/>
          <w:lang w:val="en-US"/>
        </w:rPr>
        <w:t xml:space="preserve"> Rodríguez. Reparations, supra</w:t>
      </w:r>
      <w:r w:rsidRPr="00CF6765">
        <w:rPr>
          <w:sz w:val="16"/>
          <w:szCs w:val="16"/>
          <w:lang w:val="en-US"/>
        </w:rPr>
        <w:t xml:space="preserve">, para. 189, and </w:t>
      </w:r>
      <w:r w:rsidRPr="00CF6765">
        <w:rPr>
          <w:i/>
          <w:sz w:val="16"/>
          <w:szCs w:val="16"/>
          <w:lang w:val="en-US"/>
        </w:rPr>
        <w:t xml:space="preserve">Case of the </w:t>
      </w:r>
      <w:proofErr w:type="spellStart"/>
      <w:r w:rsidRPr="00CF6765">
        <w:rPr>
          <w:i/>
          <w:sz w:val="16"/>
          <w:szCs w:val="16"/>
          <w:lang w:val="en-US"/>
        </w:rPr>
        <w:t>Xucuru</w:t>
      </w:r>
      <w:proofErr w:type="spellEnd"/>
      <w:r w:rsidRPr="00CF6765">
        <w:rPr>
          <w:i/>
          <w:sz w:val="16"/>
          <w:szCs w:val="16"/>
          <w:lang w:val="en-US"/>
        </w:rPr>
        <w:t xml:space="preserve"> Indigenous People and its members v. Brazil, supra</w:t>
      </w:r>
      <w:r w:rsidRPr="00CF6765">
        <w:rPr>
          <w:sz w:val="16"/>
          <w:szCs w:val="16"/>
          <w:lang w:val="en-US"/>
        </w:rPr>
        <w:t xml:space="preserve">, para. </w:t>
      </w:r>
      <w:r w:rsidRPr="00392A9A">
        <w:rPr>
          <w:sz w:val="16"/>
          <w:szCs w:val="16"/>
          <w:lang w:val="es-CR"/>
        </w:rPr>
        <w:t>185.</w:t>
      </w:r>
    </w:p>
  </w:footnote>
  <w:footnote w:id="308">
    <w:p w14:paraId="353E79F0" w14:textId="724B3B7E"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Cf.</w:t>
      </w:r>
      <w:r w:rsidRPr="00392A9A">
        <w:rPr>
          <w:sz w:val="16"/>
          <w:szCs w:val="16"/>
          <w:lang w:val="es-CR"/>
        </w:rPr>
        <w:t xml:space="preserve"> </w:t>
      </w:r>
      <w:r w:rsidRPr="00392A9A">
        <w:rPr>
          <w:i/>
          <w:sz w:val="16"/>
          <w:szCs w:val="16"/>
          <w:lang w:val="es-CR"/>
        </w:rPr>
        <w:t xml:space="preserve">Case </w:t>
      </w:r>
      <w:proofErr w:type="spellStart"/>
      <w:r w:rsidRPr="00392A9A">
        <w:rPr>
          <w:i/>
          <w:sz w:val="16"/>
          <w:szCs w:val="16"/>
          <w:lang w:val="es-CR"/>
        </w:rPr>
        <w:t>of</w:t>
      </w:r>
      <w:proofErr w:type="spellEnd"/>
      <w:r w:rsidRPr="00392A9A">
        <w:rPr>
          <w:i/>
          <w:sz w:val="16"/>
          <w:szCs w:val="16"/>
          <w:lang w:val="es-CR"/>
        </w:rPr>
        <w:t xml:space="preserve"> Albán Cornejo v. Ecuador</w:t>
      </w:r>
      <w:r w:rsidRPr="00392A9A">
        <w:rPr>
          <w:sz w:val="16"/>
          <w:szCs w:val="16"/>
          <w:lang w:val="es-CR"/>
        </w:rPr>
        <w:t xml:space="preserve">, </w:t>
      </w:r>
      <w:r w:rsidRPr="00392A9A">
        <w:rPr>
          <w:i/>
          <w:sz w:val="16"/>
          <w:szCs w:val="16"/>
          <w:lang w:val="es-CR"/>
        </w:rPr>
        <w:t>supra,</w:t>
      </w:r>
      <w:r w:rsidRPr="00392A9A">
        <w:rPr>
          <w:sz w:val="16"/>
          <w:szCs w:val="16"/>
          <w:lang w:val="es-CR"/>
        </w:rPr>
        <w:t xml:space="preserve"> para. 111;</w:t>
      </w:r>
      <w:r w:rsidRPr="00392A9A">
        <w:rPr>
          <w:i/>
          <w:sz w:val="16"/>
          <w:szCs w:val="16"/>
          <w:lang w:val="es-CR"/>
        </w:rPr>
        <w:t xml:space="preserve"> Case </w:t>
      </w:r>
      <w:proofErr w:type="spellStart"/>
      <w:r w:rsidRPr="00392A9A">
        <w:rPr>
          <w:i/>
          <w:sz w:val="16"/>
          <w:szCs w:val="16"/>
          <w:lang w:val="es-CR"/>
        </w:rPr>
        <w:t>of</w:t>
      </w:r>
      <w:proofErr w:type="spellEnd"/>
      <w:r w:rsidRPr="00392A9A">
        <w:rPr>
          <w:i/>
          <w:sz w:val="16"/>
          <w:szCs w:val="16"/>
          <w:lang w:val="es-CR"/>
        </w:rPr>
        <w:t xml:space="preserve"> Suárez Peralta v. Ecuador, supra, </w:t>
      </w:r>
      <w:r w:rsidRPr="00392A9A">
        <w:rPr>
          <w:sz w:val="16"/>
          <w:szCs w:val="16"/>
          <w:lang w:val="es-CR"/>
        </w:rPr>
        <w:t>para. 176</w:t>
      </w:r>
      <w:r w:rsidRPr="00392A9A">
        <w:rPr>
          <w:i/>
          <w:sz w:val="16"/>
          <w:szCs w:val="16"/>
          <w:lang w:val="es-CR"/>
        </w:rPr>
        <w:t xml:space="preserve"> and Case </w:t>
      </w:r>
      <w:proofErr w:type="spellStart"/>
      <w:r w:rsidRPr="00392A9A">
        <w:rPr>
          <w:i/>
          <w:sz w:val="16"/>
          <w:szCs w:val="16"/>
          <w:lang w:val="es-CR"/>
        </w:rPr>
        <w:t>of</w:t>
      </w:r>
      <w:proofErr w:type="spellEnd"/>
      <w:r w:rsidRPr="00392A9A">
        <w:rPr>
          <w:i/>
          <w:sz w:val="16"/>
          <w:szCs w:val="16"/>
          <w:lang w:val="es-CR"/>
        </w:rPr>
        <w:t xml:space="preserve"> Vera </w:t>
      </w:r>
      <w:proofErr w:type="spellStart"/>
      <w:r w:rsidRPr="00392A9A">
        <w:rPr>
          <w:i/>
          <w:sz w:val="16"/>
          <w:szCs w:val="16"/>
          <w:lang w:val="es-CR"/>
        </w:rPr>
        <w:t>Vera</w:t>
      </w:r>
      <w:proofErr w:type="spellEnd"/>
      <w:r w:rsidRPr="00392A9A">
        <w:rPr>
          <w:i/>
          <w:sz w:val="16"/>
          <w:szCs w:val="16"/>
          <w:lang w:val="es-CR"/>
        </w:rPr>
        <w:t xml:space="preserve"> et al. v. Ecuador, supra, </w:t>
      </w:r>
      <w:r w:rsidRPr="00392A9A">
        <w:rPr>
          <w:sz w:val="16"/>
          <w:szCs w:val="16"/>
          <w:lang w:val="es-CR"/>
        </w:rPr>
        <w:t xml:space="preserve">para. </w:t>
      </w:r>
      <w:r w:rsidRPr="00CF6765">
        <w:rPr>
          <w:sz w:val="16"/>
          <w:szCs w:val="16"/>
          <w:lang w:val="en-US"/>
        </w:rPr>
        <w:t>117.</w:t>
      </w:r>
    </w:p>
  </w:footnote>
  <w:footnote w:id="309">
    <w:p w14:paraId="38D8C6ED" w14:textId="5F556D4E"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Case of </w:t>
      </w:r>
      <w:proofErr w:type="spellStart"/>
      <w:r w:rsidRPr="00CF6765">
        <w:rPr>
          <w:i/>
          <w:sz w:val="16"/>
          <w:szCs w:val="16"/>
          <w:lang w:val="en-US"/>
        </w:rPr>
        <w:t>Ruano</w:t>
      </w:r>
      <w:proofErr w:type="spellEnd"/>
      <w:r w:rsidRPr="00CF6765">
        <w:rPr>
          <w:i/>
          <w:sz w:val="16"/>
          <w:szCs w:val="16"/>
          <w:lang w:val="en-US"/>
        </w:rPr>
        <w:t xml:space="preserve"> Torres et al. v. El Salvador. Merits, reparations and costs.</w:t>
      </w:r>
      <w:r w:rsidRPr="00CF6765">
        <w:rPr>
          <w:sz w:val="16"/>
          <w:szCs w:val="16"/>
          <w:lang w:val="en-US"/>
        </w:rPr>
        <w:t xml:space="preserve"> Judgment of October 5, 2015. Series C No. 303, para. 225.</w:t>
      </w:r>
    </w:p>
  </w:footnote>
  <w:footnote w:id="310">
    <w:p w14:paraId="6F544AA9" w14:textId="3CB88637"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 xml:space="preserve">Case of </w:t>
      </w:r>
      <w:proofErr w:type="spellStart"/>
      <w:r w:rsidRPr="00CF6765">
        <w:rPr>
          <w:i/>
          <w:sz w:val="16"/>
          <w:szCs w:val="16"/>
          <w:lang w:val="en-US"/>
        </w:rPr>
        <w:t>Cantoral</w:t>
      </w:r>
      <w:proofErr w:type="spellEnd"/>
      <w:r w:rsidRPr="00CF6765">
        <w:rPr>
          <w:i/>
          <w:sz w:val="16"/>
          <w:szCs w:val="16"/>
          <w:lang w:val="en-US"/>
        </w:rPr>
        <w:t xml:space="preserve"> Benavides v. Peru. Reparations and costs</w:t>
      </w:r>
      <w:r w:rsidRPr="00CF6765">
        <w:rPr>
          <w:sz w:val="16"/>
          <w:szCs w:val="16"/>
          <w:lang w:val="en-US"/>
        </w:rPr>
        <w:t xml:space="preserve">. Judgment of December 3, 2001. Series C No. 88, para. 79, and </w:t>
      </w:r>
      <w:r w:rsidRPr="00CF6765">
        <w:rPr>
          <w:i/>
          <w:sz w:val="16"/>
          <w:szCs w:val="16"/>
          <w:lang w:val="en-US"/>
        </w:rPr>
        <w:t xml:space="preserve">Case of the </w:t>
      </w:r>
      <w:proofErr w:type="spellStart"/>
      <w:r w:rsidRPr="00CF6765">
        <w:rPr>
          <w:i/>
          <w:sz w:val="16"/>
          <w:szCs w:val="16"/>
          <w:lang w:val="en-US"/>
        </w:rPr>
        <w:t>Xucuru</w:t>
      </w:r>
      <w:proofErr w:type="spellEnd"/>
      <w:r w:rsidRPr="00CF6765">
        <w:rPr>
          <w:i/>
          <w:sz w:val="16"/>
          <w:szCs w:val="16"/>
          <w:lang w:val="en-US"/>
        </w:rPr>
        <w:t xml:space="preserve"> Indigenous People and its members v. Brazil, supra</w:t>
      </w:r>
      <w:r w:rsidRPr="00CF6765">
        <w:rPr>
          <w:sz w:val="16"/>
          <w:szCs w:val="16"/>
          <w:lang w:val="en-US"/>
        </w:rPr>
        <w:t xml:space="preserve">, para. 199. </w:t>
      </w:r>
    </w:p>
  </w:footnote>
  <w:footnote w:id="311">
    <w:p w14:paraId="7BDBEE2D" w14:textId="0FC334C4" w:rsidR="003558F5" w:rsidRPr="00CF6765" w:rsidRDefault="003558F5" w:rsidP="00002163">
      <w:pPr>
        <w:pStyle w:val="Textonotapie"/>
        <w:spacing w:after="60"/>
        <w:rPr>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b/>
          <w:sz w:val="16"/>
          <w:szCs w:val="16"/>
          <w:lang w:val="en-US"/>
        </w:rPr>
        <w:t xml:space="preserve"> </w:t>
      </w:r>
      <w:r w:rsidRPr="00CF6765">
        <w:rPr>
          <w:i/>
          <w:sz w:val="16"/>
          <w:lang w:val="en-US"/>
        </w:rPr>
        <w:t xml:space="preserve">Case of </w:t>
      </w:r>
      <w:proofErr w:type="spellStart"/>
      <w:r w:rsidRPr="00CF6765">
        <w:rPr>
          <w:i/>
          <w:sz w:val="16"/>
          <w:lang w:val="en-US"/>
        </w:rPr>
        <w:t>Cantoral</w:t>
      </w:r>
      <w:proofErr w:type="spellEnd"/>
      <w:r w:rsidRPr="00CF6765">
        <w:rPr>
          <w:i/>
          <w:sz w:val="16"/>
          <w:lang w:val="en-US"/>
        </w:rPr>
        <w:t xml:space="preserve"> Benavides v. Peru. Reparations and costs, supra, </w:t>
      </w:r>
      <w:r w:rsidRPr="00CF6765">
        <w:rPr>
          <w:sz w:val="16"/>
          <w:lang w:val="en-US"/>
        </w:rPr>
        <w:t xml:space="preserve">para. </w:t>
      </w:r>
      <w:r w:rsidRPr="00392A9A">
        <w:rPr>
          <w:sz w:val="16"/>
          <w:lang w:val="es-CR"/>
        </w:rPr>
        <w:t xml:space="preserve">81; </w:t>
      </w:r>
      <w:r w:rsidRPr="00392A9A">
        <w:rPr>
          <w:i/>
          <w:sz w:val="16"/>
          <w:lang w:val="es-CR"/>
        </w:rPr>
        <w:t xml:space="preserve">Case </w:t>
      </w:r>
      <w:proofErr w:type="spellStart"/>
      <w:r w:rsidRPr="00392A9A">
        <w:rPr>
          <w:i/>
          <w:sz w:val="16"/>
          <w:lang w:val="es-CR"/>
        </w:rPr>
        <w:t>of</w:t>
      </w:r>
      <w:proofErr w:type="spellEnd"/>
      <w:r w:rsidRPr="00392A9A">
        <w:rPr>
          <w:i/>
          <w:sz w:val="16"/>
          <w:lang w:val="es-CR"/>
        </w:rPr>
        <w:t xml:space="preserve"> I.V. v. Bolivia, supra</w:t>
      </w:r>
      <w:r w:rsidRPr="00392A9A">
        <w:rPr>
          <w:sz w:val="16"/>
          <w:lang w:val="es-CR"/>
        </w:rPr>
        <w:t xml:space="preserve">, para. 336, and </w:t>
      </w:r>
      <w:r w:rsidRPr="00392A9A">
        <w:rPr>
          <w:i/>
          <w:sz w:val="16"/>
          <w:lang w:val="es-CR"/>
        </w:rPr>
        <w:t xml:space="preserve">Case </w:t>
      </w:r>
      <w:proofErr w:type="spellStart"/>
      <w:r w:rsidRPr="00392A9A">
        <w:rPr>
          <w:i/>
          <w:sz w:val="16"/>
          <w:lang w:val="es-CR"/>
        </w:rPr>
        <w:t>of</w:t>
      </w:r>
      <w:proofErr w:type="spellEnd"/>
      <w:r w:rsidRPr="00392A9A">
        <w:rPr>
          <w:i/>
          <w:sz w:val="16"/>
          <w:lang w:val="es-CR"/>
        </w:rPr>
        <w:t xml:space="preserve"> Gonzales </w:t>
      </w:r>
      <w:proofErr w:type="spellStart"/>
      <w:r w:rsidRPr="00392A9A">
        <w:rPr>
          <w:i/>
          <w:sz w:val="16"/>
          <w:lang w:val="es-CR"/>
        </w:rPr>
        <w:t>Lluy</w:t>
      </w:r>
      <w:proofErr w:type="spellEnd"/>
      <w:r w:rsidRPr="00392A9A">
        <w:rPr>
          <w:i/>
          <w:sz w:val="16"/>
          <w:lang w:val="es-CR"/>
        </w:rPr>
        <w:t xml:space="preserve"> et al. v. Ecuador, supra</w:t>
      </w:r>
      <w:r w:rsidRPr="00392A9A">
        <w:rPr>
          <w:sz w:val="16"/>
          <w:lang w:val="es-CR"/>
        </w:rPr>
        <w:t xml:space="preserve">, para. </w:t>
      </w:r>
      <w:r w:rsidRPr="00CF6765">
        <w:rPr>
          <w:sz w:val="16"/>
          <w:lang w:val="en-US"/>
        </w:rPr>
        <w:t>368.</w:t>
      </w:r>
      <w:r w:rsidRPr="00CF6765">
        <w:rPr>
          <w:sz w:val="16"/>
          <w:szCs w:val="16"/>
          <w:lang w:val="en-US"/>
        </w:rPr>
        <w:t xml:space="preserve"> </w:t>
      </w:r>
    </w:p>
  </w:footnote>
  <w:footnote w:id="312">
    <w:p w14:paraId="4E5376B4" w14:textId="0B521D8F" w:rsidR="003558F5" w:rsidRPr="00CF6765" w:rsidRDefault="003558F5" w:rsidP="00002163">
      <w:pPr>
        <w:pStyle w:val="Textonotapie"/>
        <w:spacing w:after="60"/>
        <w:rPr>
          <w:rFonts w:eastAsia="Calibri"/>
          <w:sz w:val="16"/>
          <w:szCs w:val="16"/>
          <w:lang w:val="en-US" w:eastAsia="es-ES"/>
        </w:rPr>
      </w:pPr>
      <w:r w:rsidRPr="00CF6765">
        <w:rPr>
          <w:rStyle w:val="Refdenotaalpie"/>
          <w:sz w:val="16"/>
          <w:szCs w:val="16"/>
          <w:lang w:val="en-US"/>
        </w:rPr>
        <w:footnoteRef/>
      </w:r>
      <w:r w:rsidRPr="00CF6765">
        <w:rPr>
          <w:rStyle w:val="Refdenotaalpie"/>
          <w:sz w:val="16"/>
          <w:szCs w:val="16"/>
          <w:lang w:val="en-US"/>
        </w:rPr>
        <w:t xml:space="preserve"> </w:t>
      </w:r>
      <w:r w:rsidRPr="00CF6765">
        <w:rPr>
          <w:lang w:val="en-US"/>
        </w:rPr>
        <w:tab/>
      </w:r>
      <w:r w:rsidRPr="00CF6765">
        <w:rPr>
          <w:sz w:val="16"/>
          <w:szCs w:val="16"/>
          <w:lang w:val="en-US"/>
        </w:rPr>
        <w:t xml:space="preserve">Regarding beds, the State advised that they increased from </w:t>
      </w:r>
      <w:r w:rsidRPr="00CF6765">
        <w:rPr>
          <w:rFonts w:eastAsia="Calibri"/>
          <w:sz w:val="16"/>
          <w:szCs w:val="16"/>
          <w:lang w:val="en-US" w:eastAsia="es-ES"/>
        </w:rPr>
        <w:t xml:space="preserve">1234 in 2006 to 2839 in 2016, owing to the efforts of the Ministry of Health (f. 856). </w:t>
      </w:r>
      <w:r w:rsidRPr="00CF6765">
        <w:rPr>
          <w:rFonts w:eastAsia="Calibri"/>
          <w:i/>
          <w:sz w:val="16"/>
          <w:szCs w:val="16"/>
          <w:lang w:val="en-US" w:eastAsia="es-ES"/>
        </w:rPr>
        <w:t>Cf.</w:t>
      </w:r>
      <w:r w:rsidRPr="00CF6765">
        <w:rPr>
          <w:rFonts w:eastAsia="Calibri"/>
          <w:sz w:val="16"/>
          <w:szCs w:val="16"/>
          <w:lang w:val="en-US" w:eastAsia="es-ES"/>
        </w:rPr>
        <w:t xml:space="preserve"> Affidavit of Dr. Osvaldo Salgado Cepeda, (evidence file, f. 4641).</w:t>
      </w:r>
    </w:p>
  </w:footnote>
  <w:footnote w:id="313">
    <w:p w14:paraId="2A3641D1" w14:textId="4935EAC3"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Level of Complexity in Closed Care. Department of Hospital Processes and Renovation, 2012, (evidence file, f. 5312). In the comparative analysis of bed types in high complexity hospitals, it indicates: 12% critical care beds, 8% intensive care beds, and 80% basic care beds. This imbalance between the demand and the type of offer increases the lack of access to timely hospitalization adapted to the needs of the patient, and produces a delay in the flow of patients from the critical care units. </w:t>
      </w:r>
      <w:r w:rsidRPr="00CF6765">
        <w:rPr>
          <w:i/>
          <w:sz w:val="16"/>
          <w:szCs w:val="16"/>
          <w:lang w:val="en-US"/>
        </w:rPr>
        <w:t>Cf.</w:t>
      </w:r>
      <w:r w:rsidRPr="00CF6765">
        <w:rPr>
          <w:sz w:val="16"/>
          <w:szCs w:val="16"/>
          <w:lang w:val="en-US"/>
        </w:rPr>
        <w:t xml:space="preserve"> Organization and Operations Manual, Adult Critical Patient Units, Ministry of Health, 2004, (evidence file, f. 5196). This describes the actual situation of critical care beds for adults in the country.</w:t>
      </w:r>
    </w:p>
  </w:footnote>
  <w:footnote w:id="314">
    <w:p w14:paraId="72E4DFF3" w14:textId="4DA1186D" w:rsidR="003558F5" w:rsidRPr="00CF6765" w:rsidRDefault="003558F5" w:rsidP="00002163">
      <w:pPr>
        <w:pStyle w:val="Textonotapie"/>
        <w:spacing w:after="60"/>
        <w:rPr>
          <w:spacing w:val="-3"/>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lang w:val="en-US"/>
        </w:rPr>
        <w:tab/>
      </w:r>
      <w:r w:rsidRPr="00CF6765">
        <w:rPr>
          <w:sz w:val="16"/>
          <w:lang w:val="en-US"/>
        </w:rPr>
        <w:t>Pursuant to Article 63(1), the guarantees of non-repetition have traditionally been addressed at remedying “</w:t>
      </w:r>
      <w:r w:rsidRPr="00CF6765">
        <w:rPr>
          <w:spacing w:val="-3"/>
          <w:sz w:val="16"/>
          <w:szCs w:val="16"/>
          <w:lang w:val="en-US"/>
        </w:rPr>
        <w:t>the consequences of the measure or situation that constituted the breach of such rights.”</w:t>
      </w:r>
    </w:p>
  </w:footnote>
  <w:footnote w:id="315">
    <w:p w14:paraId="7CE7C3B5" w14:textId="54AF66DA"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 xml:space="preserve">Cf. Case </w:t>
      </w:r>
      <w:proofErr w:type="spellStart"/>
      <w:r w:rsidRPr="00392A9A">
        <w:rPr>
          <w:i/>
          <w:sz w:val="16"/>
          <w:szCs w:val="16"/>
          <w:lang w:val="es-CR"/>
        </w:rPr>
        <w:t>of</w:t>
      </w:r>
      <w:proofErr w:type="spellEnd"/>
      <w:r w:rsidRPr="00392A9A">
        <w:rPr>
          <w:i/>
          <w:sz w:val="16"/>
          <w:szCs w:val="16"/>
          <w:lang w:val="es-CR"/>
        </w:rPr>
        <w:t xml:space="preserve"> Albán Cornejo et al. v. Ecuador, supra</w:t>
      </w:r>
      <w:r w:rsidRPr="00392A9A">
        <w:rPr>
          <w:sz w:val="16"/>
          <w:szCs w:val="16"/>
          <w:lang w:val="es-CR"/>
        </w:rPr>
        <w:t xml:space="preserve">, para. 164, and </w:t>
      </w:r>
      <w:r w:rsidRPr="00392A9A">
        <w:rPr>
          <w:i/>
          <w:sz w:val="16"/>
          <w:szCs w:val="16"/>
          <w:lang w:val="es-CR"/>
        </w:rPr>
        <w:t xml:space="preserve">Case </w:t>
      </w:r>
      <w:proofErr w:type="spellStart"/>
      <w:r w:rsidRPr="00392A9A">
        <w:rPr>
          <w:i/>
          <w:sz w:val="16"/>
          <w:szCs w:val="16"/>
          <w:lang w:val="es-CR"/>
        </w:rPr>
        <w:t>of</w:t>
      </w:r>
      <w:proofErr w:type="spellEnd"/>
      <w:r w:rsidRPr="00392A9A">
        <w:rPr>
          <w:i/>
          <w:sz w:val="16"/>
          <w:szCs w:val="16"/>
          <w:lang w:val="es-CR"/>
        </w:rPr>
        <w:t xml:space="preserve"> Gonzales </w:t>
      </w:r>
      <w:proofErr w:type="spellStart"/>
      <w:r w:rsidRPr="00392A9A">
        <w:rPr>
          <w:i/>
          <w:sz w:val="16"/>
          <w:szCs w:val="16"/>
          <w:lang w:val="es-CR"/>
        </w:rPr>
        <w:t>Lluy</w:t>
      </w:r>
      <w:proofErr w:type="spellEnd"/>
      <w:r w:rsidRPr="00392A9A">
        <w:rPr>
          <w:i/>
          <w:sz w:val="16"/>
          <w:szCs w:val="16"/>
          <w:lang w:val="es-CR"/>
        </w:rPr>
        <w:t xml:space="preserve"> et al. v. Ecuador, supra</w:t>
      </w:r>
      <w:r w:rsidRPr="00392A9A">
        <w:rPr>
          <w:sz w:val="16"/>
          <w:szCs w:val="16"/>
          <w:lang w:val="es-CR"/>
        </w:rPr>
        <w:t xml:space="preserve">, para. </w:t>
      </w:r>
      <w:r w:rsidRPr="00CF6765">
        <w:rPr>
          <w:sz w:val="16"/>
          <w:szCs w:val="16"/>
          <w:lang w:val="en-US"/>
        </w:rPr>
        <w:t>368.</w:t>
      </w:r>
    </w:p>
  </w:footnote>
  <w:footnote w:id="316">
    <w:p w14:paraId="624BFA41" w14:textId="6F48D146" w:rsidR="003558F5" w:rsidRPr="00CF6765" w:rsidRDefault="003558F5" w:rsidP="00002163">
      <w:pPr>
        <w:pStyle w:val="Textonotapie"/>
        <w:spacing w:after="60"/>
        <w:rPr>
          <w:sz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Case of the “</w:t>
      </w:r>
      <w:proofErr w:type="spellStart"/>
      <w:r w:rsidRPr="00CF6765">
        <w:rPr>
          <w:i/>
          <w:sz w:val="16"/>
          <w:szCs w:val="16"/>
          <w:lang w:val="en-US"/>
        </w:rPr>
        <w:t>Mapiripán</w:t>
      </w:r>
      <w:proofErr w:type="spellEnd"/>
      <w:r w:rsidRPr="00CF6765">
        <w:rPr>
          <w:i/>
          <w:sz w:val="16"/>
          <w:szCs w:val="16"/>
          <w:lang w:val="en-US"/>
        </w:rPr>
        <w:t xml:space="preserve"> Massacre” v. Colombia, supra</w:t>
      </w:r>
      <w:r w:rsidRPr="00CF6765">
        <w:rPr>
          <w:sz w:val="16"/>
          <w:szCs w:val="16"/>
          <w:lang w:val="en-US"/>
        </w:rPr>
        <w:t xml:space="preserve"> para. 316, and </w:t>
      </w:r>
      <w:r w:rsidRPr="00CF6765">
        <w:rPr>
          <w:i/>
          <w:sz w:val="16"/>
          <w:szCs w:val="16"/>
          <w:lang w:val="en-US"/>
        </w:rPr>
        <w:t>Case of I.V. v. Bolivia, supra</w:t>
      </w:r>
      <w:r w:rsidRPr="00CF6765">
        <w:rPr>
          <w:sz w:val="16"/>
          <w:szCs w:val="16"/>
          <w:lang w:val="en-US"/>
        </w:rPr>
        <w:t>, para. 342.</w:t>
      </w:r>
    </w:p>
  </w:footnote>
  <w:footnote w:id="317">
    <w:p w14:paraId="3F8DDFCA" w14:textId="4FBCB115"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iCs/>
          <w:sz w:val="16"/>
          <w:szCs w:val="16"/>
          <w:lang w:val="en-US"/>
        </w:rPr>
        <w:t xml:space="preserve">Cf. Case of </w:t>
      </w:r>
      <w:proofErr w:type="spellStart"/>
      <w:r w:rsidRPr="00CF6765">
        <w:rPr>
          <w:i/>
          <w:iCs/>
          <w:sz w:val="16"/>
          <w:szCs w:val="16"/>
          <w:lang w:val="en-US"/>
        </w:rPr>
        <w:t>Furlan</w:t>
      </w:r>
      <w:proofErr w:type="spellEnd"/>
      <w:r w:rsidRPr="00CF6765">
        <w:rPr>
          <w:i/>
          <w:iCs/>
          <w:sz w:val="16"/>
          <w:szCs w:val="16"/>
          <w:lang w:val="en-US"/>
        </w:rPr>
        <w:t xml:space="preserve"> and Family v. Argentina, supra</w:t>
      </w:r>
      <w:r w:rsidRPr="00CF6765">
        <w:rPr>
          <w:sz w:val="16"/>
          <w:szCs w:val="16"/>
          <w:lang w:val="en-US"/>
        </w:rPr>
        <w:t xml:space="preserve">, para. 295. and </w:t>
      </w:r>
      <w:r w:rsidRPr="00CF6765">
        <w:rPr>
          <w:rFonts w:eastAsia="Calibri"/>
          <w:i/>
          <w:sz w:val="16"/>
          <w:szCs w:val="16"/>
          <w:lang w:val="en-US" w:eastAsia="en-US"/>
        </w:rPr>
        <w:t xml:space="preserve">Case of I.V. v. Bolivia, supra, </w:t>
      </w:r>
      <w:r w:rsidRPr="00CF6765">
        <w:rPr>
          <w:rFonts w:eastAsia="Calibri"/>
          <w:sz w:val="16"/>
          <w:szCs w:val="16"/>
          <w:lang w:val="en-US" w:eastAsia="en-US"/>
        </w:rPr>
        <w:t>para. 341</w:t>
      </w:r>
      <w:r w:rsidRPr="00CF6765">
        <w:rPr>
          <w:rFonts w:eastAsia="Calibri"/>
          <w:i/>
          <w:sz w:val="16"/>
          <w:szCs w:val="16"/>
          <w:lang w:val="en-US" w:eastAsia="en-US"/>
        </w:rPr>
        <w:t>.</w:t>
      </w:r>
    </w:p>
  </w:footnote>
  <w:footnote w:id="318">
    <w:p w14:paraId="17CC6C74" w14:textId="77777777"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http://www.sii.cl/pagina/valores/dolar/dolar2001.htm</w:t>
      </w:r>
    </w:p>
  </w:footnote>
  <w:footnote w:id="319">
    <w:p w14:paraId="186953A4" w14:textId="77777777"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http://www.sii.cl/pagina/valores/dolar/dolar2001.htm</w:t>
      </w:r>
    </w:p>
  </w:footnote>
  <w:footnote w:id="320">
    <w:p w14:paraId="1BBA8895" w14:textId="095035DF"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lang w:val="en-US"/>
        </w:rPr>
        <w:t xml:space="preserve"> </w:t>
      </w:r>
      <w:r w:rsidRPr="00CF6765">
        <w:rPr>
          <w:lang w:val="en-US"/>
        </w:rPr>
        <w:tab/>
      </w:r>
      <w:r w:rsidRPr="00CF6765">
        <w:rPr>
          <w:sz w:val="16"/>
          <w:szCs w:val="16"/>
          <w:lang w:val="en-US"/>
        </w:rPr>
        <w:t xml:space="preserve"> Regarding Gonzalo Tapia, (4) Expenses incurred as a result of the funeral of Gonzalo Poblete Tapia: 110,000 Chilean pesos (brief with pleadings, motions and arguments, f. 275 and 276).</w:t>
      </w:r>
    </w:p>
  </w:footnote>
  <w:footnote w:id="321">
    <w:p w14:paraId="5E1672FA" w14:textId="652330AB" w:rsidR="003558F5" w:rsidRPr="00CF6765" w:rsidRDefault="003558F5" w:rsidP="00002163">
      <w:pPr>
        <w:spacing w:after="60"/>
        <w:rPr>
          <w:b/>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To arrive at this amount, the representatives listed the following expenses: (</w:t>
      </w:r>
      <w:proofErr w:type="spellStart"/>
      <w:r w:rsidRPr="00CF6765">
        <w:rPr>
          <w:sz w:val="16"/>
          <w:szCs w:val="16"/>
          <w:lang w:val="en-US"/>
        </w:rPr>
        <w:t>i</w:t>
      </w:r>
      <w:proofErr w:type="spellEnd"/>
      <w:r w:rsidRPr="00CF6765">
        <w:rPr>
          <w:sz w:val="16"/>
          <w:szCs w:val="16"/>
          <w:lang w:val="en-US"/>
        </w:rPr>
        <w:t xml:space="preserve">) 12,000 Chilean pesos: transfer in private ambulance (approximately US$21 in February 2001); (ii) 469,851 Chilean pesos: funeral expenses of Mr. Poblete </w:t>
      </w:r>
      <w:proofErr w:type="spellStart"/>
      <w:r w:rsidRPr="00CF6765">
        <w:rPr>
          <w:sz w:val="16"/>
          <w:szCs w:val="16"/>
          <w:lang w:val="en-US"/>
        </w:rPr>
        <w:t>Vilches</w:t>
      </w:r>
      <w:proofErr w:type="spellEnd"/>
      <w:r w:rsidRPr="00CF6765">
        <w:rPr>
          <w:sz w:val="16"/>
          <w:szCs w:val="16"/>
          <w:lang w:val="en-US"/>
        </w:rPr>
        <w:t xml:space="preserve"> (approximately US$834 in February 2001); (iii)</w:t>
      </w:r>
      <w:r w:rsidRPr="00CF6765">
        <w:rPr>
          <w:b/>
          <w:sz w:val="16"/>
          <w:szCs w:val="16"/>
          <w:lang w:val="en-US"/>
        </w:rPr>
        <w:t xml:space="preserve"> </w:t>
      </w:r>
      <w:r w:rsidRPr="00CF6765">
        <w:rPr>
          <w:sz w:val="16"/>
          <w:szCs w:val="16"/>
          <w:lang w:val="en-US"/>
        </w:rPr>
        <w:t xml:space="preserve">627,600 Chilean pesos: funeral expenses of Blanca Tapia (approximately US$1,114 in January 2003); (iv) 110.000 Chilean pesos: funeral expenses of Gonzalo Poblete Tapia (approximately US$195 in December 2011); (v) </w:t>
      </w:r>
      <w:r w:rsidRPr="00CF6765" w:rsidDel="00C8410B">
        <w:rPr>
          <w:sz w:val="16"/>
          <w:szCs w:val="16"/>
          <w:lang w:val="en-US"/>
        </w:rPr>
        <w:t xml:space="preserve"> </w:t>
      </w:r>
      <w:r w:rsidRPr="00CF6765">
        <w:rPr>
          <w:sz w:val="16"/>
          <w:szCs w:val="16"/>
          <w:lang w:val="en-US"/>
        </w:rPr>
        <w:t xml:space="preserve">33,777,341 Chilean pesos: medical services during the first admission to the </w:t>
      </w:r>
      <w:proofErr w:type="spellStart"/>
      <w:r w:rsidRPr="00CF6765">
        <w:rPr>
          <w:sz w:val="16"/>
          <w:szCs w:val="16"/>
          <w:lang w:val="en-US"/>
        </w:rPr>
        <w:t>Clínica</w:t>
      </w:r>
      <w:proofErr w:type="spellEnd"/>
      <w:r w:rsidRPr="00CF6765">
        <w:rPr>
          <w:sz w:val="16"/>
          <w:szCs w:val="16"/>
          <w:lang w:val="en-US"/>
        </w:rPr>
        <w:t xml:space="preserve"> </w:t>
      </w:r>
      <w:proofErr w:type="spellStart"/>
      <w:r w:rsidRPr="00CF6765">
        <w:rPr>
          <w:sz w:val="16"/>
          <w:szCs w:val="16"/>
          <w:lang w:val="en-US"/>
        </w:rPr>
        <w:t>Dávila</w:t>
      </w:r>
      <w:proofErr w:type="spellEnd"/>
      <w:r w:rsidRPr="00CF6765">
        <w:rPr>
          <w:sz w:val="16"/>
          <w:szCs w:val="16"/>
          <w:lang w:val="en-US"/>
        </w:rPr>
        <w:t xml:space="preserve"> of </w:t>
      </w:r>
      <w:proofErr w:type="spellStart"/>
      <w:r w:rsidRPr="00CF6765">
        <w:rPr>
          <w:sz w:val="16"/>
          <w:szCs w:val="16"/>
          <w:lang w:val="en-US"/>
        </w:rPr>
        <w:t>Cesia</w:t>
      </w:r>
      <w:proofErr w:type="spellEnd"/>
      <w:r w:rsidRPr="00CF6765">
        <w:rPr>
          <w:sz w:val="16"/>
          <w:szCs w:val="16"/>
          <w:lang w:val="en-US"/>
        </w:rPr>
        <w:t xml:space="preserve"> Poblete Tapia following her attempted suicide (approximately US$59 [sic] currently); (vi) 21,179,310 Chilean pesos: medical services during the second admission to the </w:t>
      </w:r>
      <w:proofErr w:type="spellStart"/>
      <w:r w:rsidRPr="00CF6765">
        <w:rPr>
          <w:sz w:val="16"/>
          <w:szCs w:val="16"/>
          <w:lang w:val="en-US"/>
        </w:rPr>
        <w:t>Clínica</w:t>
      </w:r>
      <w:proofErr w:type="spellEnd"/>
      <w:r w:rsidRPr="00CF6765">
        <w:rPr>
          <w:sz w:val="16"/>
          <w:szCs w:val="16"/>
          <w:lang w:val="en-US"/>
        </w:rPr>
        <w:t xml:space="preserve"> </w:t>
      </w:r>
      <w:proofErr w:type="spellStart"/>
      <w:r w:rsidRPr="00CF6765">
        <w:rPr>
          <w:sz w:val="16"/>
          <w:szCs w:val="16"/>
          <w:lang w:val="en-US"/>
        </w:rPr>
        <w:t>Dávila</w:t>
      </w:r>
      <w:proofErr w:type="spellEnd"/>
      <w:r w:rsidRPr="00CF6765">
        <w:rPr>
          <w:sz w:val="16"/>
          <w:szCs w:val="16"/>
          <w:lang w:val="en-US"/>
        </w:rPr>
        <w:t xml:space="preserve"> of </w:t>
      </w:r>
      <w:proofErr w:type="spellStart"/>
      <w:r w:rsidRPr="00CF6765">
        <w:rPr>
          <w:sz w:val="16"/>
          <w:szCs w:val="16"/>
          <w:lang w:val="en-US"/>
        </w:rPr>
        <w:t>Cesia</w:t>
      </w:r>
      <w:proofErr w:type="spellEnd"/>
      <w:r w:rsidRPr="00CF6765">
        <w:rPr>
          <w:sz w:val="16"/>
          <w:szCs w:val="16"/>
          <w:lang w:val="en-US"/>
        </w:rPr>
        <w:t xml:space="preserve"> Poblete Tapia following her attempted suicide (approximately US$37,609 currently); (vii) 6,000 Chilean pesos: medical services of Dr. Sandra </w:t>
      </w:r>
      <w:proofErr w:type="spellStart"/>
      <w:r w:rsidRPr="00CF6765">
        <w:rPr>
          <w:sz w:val="16"/>
          <w:szCs w:val="16"/>
          <w:lang w:val="en-US"/>
        </w:rPr>
        <w:t>Montufar</w:t>
      </w:r>
      <w:proofErr w:type="spellEnd"/>
      <w:r w:rsidRPr="00CF6765">
        <w:rPr>
          <w:sz w:val="16"/>
          <w:szCs w:val="16"/>
          <w:lang w:val="en-US"/>
        </w:rPr>
        <w:t xml:space="preserve"> Castillo (approximately US$10,654 in February 2001) (brief with pleadings, motions and arguments, ff. 277 and 278).</w:t>
      </w:r>
    </w:p>
  </w:footnote>
  <w:footnote w:id="322">
    <w:p w14:paraId="73DD39A6" w14:textId="48244E0A"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 xml:space="preserve">Case of </w:t>
      </w:r>
      <w:proofErr w:type="spellStart"/>
      <w:r w:rsidRPr="00CF6765">
        <w:rPr>
          <w:i/>
          <w:sz w:val="16"/>
          <w:szCs w:val="16"/>
          <w:lang w:val="en-US"/>
        </w:rPr>
        <w:t>Bámaca</w:t>
      </w:r>
      <w:proofErr w:type="spellEnd"/>
      <w:r w:rsidRPr="00CF6765">
        <w:rPr>
          <w:i/>
          <w:sz w:val="16"/>
          <w:szCs w:val="16"/>
          <w:lang w:val="en-US"/>
        </w:rPr>
        <w:t xml:space="preserve"> </w:t>
      </w:r>
      <w:proofErr w:type="spellStart"/>
      <w:r w:rsidRPr="00CF6765">
        <w:rPr>
          <w:i/>
          <w:sz w:val="16"/>
          <w:szCs w:val="16"/>
          <w:lang w:val="en-US"/>
        </w:rPr>
        <w:t>Velásquez</w:t>
      </w:r>
      <w:proofErr w:type="spellEnd"/>
      <w:r w:rsidRPr="00CF6765">
        <w:rPr>
          <w:i/>
          <w:sz w:val="16"/>
          <w:szCs w:val="16"/>
          <w:lang w:val="en-US"/>
        </w:rPr>
        <w:t xml:space="preserve"> v. Guatemala. Reparations, supra</w:t>
      </w:r>
      <w:r w:rsidRPr="00CF6765">
        <w:rPr>
          <w:sz w:val="16"/>
          <w:szCs w:val="16"/>
          <w:lang w:val="en-US"/>
        </w:rPr>
        <w:t xml:space="preserve">, para. 43, and </w:t>
      </w:r>
      <w:r w:rsidRPr="00CF6765">
        <w:rPr>
          <w:i/>
          <w:sz w:val="16"/>
          <w:szCs w:val="16"/>
          <w:lang w:val="en-US"/>
        </w:rPr>
        <w:t xml:space="preserve">Case of Pacheco León et al. v. Honduras. Merits, reparations and costs. </w:t>
      </w:r>
      <w:r w:rsidRPr="00CF6765">
        <w:rPr>
          <w:sz w:val="16"/>
          <w:szCs w:val="16"/>
          <w:lang w:val="en-US"/>
        </w:rPr>
        <w:t>Judgment of November 15, 2017. Series No. 342, para. 217.</w:t>
      </w:r>
    </w:p>
  </w:footnote>
  <w:footnote w:id="323">
    <w:p w14:paraId="08F99AC1" w14:textId="2A25C83D"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The representatives indicated that the expenses corresponding to the transfer by ambulance from the </w:t>
      </w:r>
      <w:proofErr w:type="spellStart"/>
      <w:r w:rsidRPr="00CF6765">
        <w:rPr>
          <w:sz w:val="16"/>
          <w:szCs w:val="16"/>
          <w:lang w:val="en-US"/>
        </w:rPr>
        <w:t>Sótero</w:t>
      </w:r>
      <w:proofErr w:type="spellEnd"/>
      <w:r w:rsidRPr="00CF6765">
        <w:rPr>
          <w:sz w:val="16"/>
          <w:szCs w:val="16"/>
          <w:lang w:val="en-US"/>
        </w:rPr>
        <w:t xml:space="preserve"> del Río Hospital to the family home following the first admission amounted to $12,000 Chilean pesos, according to the voucher presented in annex 16 of the pleadings, motions and arguments brief, and the expenses relating to the funeral of Mr. Poblete </w:t>
      </w:r>
      <w:proofErr w:type="spellStart"/>
      <w:r w:rsidRPr="00CF6765">
        <w:rPr>
          <w:sz w:val="16"/>
          <w:szCs w:val="16"/>
          <w:lang w:val="en-US"/>
        </w:rPr>
        <w:t>Vilches</w:t>
      </w:r>
      <w:proofErr w:type="spellEnd"/>
      <w:r w:rsidRPr="00CF6765">
        <w:rPr>
          <w:sz w:val="16"/>
          <w:szCs w:val="16"/>
          <w:lang w:val="en-US"/>
        </w:rPr>
        <w:t xml:space="preserve"> amounted to $469,851 Chilean pesos, as shown by the vouchers attached to annex 72 of the pleadings, motions and arguments brief (brief with pleadings, motions and arguments, f.277).</w:t>
      </w:r>
    </w:p>
  </w:footnote>
  <w:footnote w:id="324">
    <w:p w14:paraId="6AB2A4EB" w14:textId="3EA0F359"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i/>
          <w:sz w:val="16"/>
          <w:szCs w:val="16"/>
          <w:lang w:val="en-US"/>
        </w:rPr>
        <w:t xml:space="preserve"> </w:t>
      </w:r>
      <w:r w:rsidRPr="00CF6765">
        <w:rPr>
          <w:i/>
          <w:sz w:val="16"/>
          <w:szCs w:val="16"/>
          <w:lang w:val="en-US"/>
        </w:rPr>
        <w:tab/>
        <w:t>Case of the “Street Children” (</w:t>
      </w:r>
      <w:proofErr w:type="spellStart"/>
      <w:r w:rsidRPr="00CF6765">
        <w:rPr>
          <w:i/>
          <w:sz w:val="16"/>
          <w:szCs w:val="16"/>
          <w:lang w:val="en-US"/>
        </w:rPr>
        <w:t>Villagrán</w:t>
      </w:r>
      <w:proofErr w:type="spellEnd"/>
      <w:r w:rsidRPr="00CF6765">
        <w:rPr>
          <w:i/>
          <w:sz w:val="16"/>
          <w:szCs w:val="16"/>
          <w:lang w:val="en-US"/>
        </w:rPr>
        <w:t xml:space="preserve"> Morales et al.) v. Guatemala. Reparations and costs</w:t>
      </w:r>
      <w:r w:rsidRPr="00CF6765">
        <w:rPr>
          <w:sz w:val="16"/>
          <w:szCs w:val="16"/>
          <w:lang w:val="en-US"/>
        </w:rPr>
        <w:t xml:space="preserve">. Judgment of May 26, 2001. Series C No. 77, para. 84 and </w:t>
      </w:r>
      <w:r w:rsidRPr="00CF6765">
        <w:rPr>
          <w:i/>
          <w:sz w:val="16"/>
          <w:szCs w:val="16"/>
          <w:lang w:val="en-US"/>
        </w:rPr>
        <w:t>Case of Pacheco León et al. v. Honduras, supra</w:t>
      </w:r>
      <w:r w:rsidRPr="00CF6765">
        <w:rPr>
          <w:sz w:val="16"/>
          <w:szCs w:val="16"/>
          <w:lang w:val="en-US"/>
        </w:rPr>
        <w:t>, para. 217.</w:t>
      </w:r>
    </w:p>
  </w:footnote>
  <w:footnote w:id="325">
    <w:p w14:paraId="626DBE29" w14:textId="6185C887"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i/>
          <w:sz w:val="16"/>
          <w:szCs w:val="16"/>
          <w:lang w:val="en-US"/>
        </w:rPr>
        <w:t>Cf.</w:t>
      </w:r>
      <w:r w:rsidRPr="00CF6765">
        <w:rPr>
          <w:sz w:val="16"/>
          <w:szCs w:val="16"/>
          <w:lang w:val="en-US"/>
        </w:rPr>
        <w:t xml:space="preserve"> </w:t>
      </w:r>
      <w:r w:rsidRPr="00CF6765">
        <w:rPr>
          <w:i/>
          <w:sz w:val="16"/>
          <w:szCs w:val="16"/>
          <w:lang w:val="en-US"/>
        </w:rPr>
        <w:t>Case of the “Street Children” (</w:t>
      </w:r>
      <w:proofErr w:type="spellStart"/>
      <w:r w:rsidRPr="00CF6765">
        <w:rPr>
          <w:i/>
          <w:sz w:val="16"/>
          <w:szCs w:val="16"/>
          <w:lang w:val="en-US"/>
        </w:rPr>
        <w:t>Villagrán</w:t>
      </w:r>
      <w:proofErr w:type="spellEnd"/>
      <w:r w:rsidRPr="00CF6765">
        <w:rPr>
          <w:i/>
          <w:sz w:val="16"/>
          <w:szCs w:val="16"/>
          <w:lang w:val="en-US"/>
        </w:rPr>
        <w:t xml:space="preserve"> Morales et al.) v. Guatemala. Reparations and costs,</w:t>
      </w:r>
      <w:r w:rsidRPr="00CF6765">
        <w:rPr>
          <w:sz w:val="16"/>
          <w:szCs w:val="16"/>
          <w:lang w:val="en-US"/>
        </w:rPr>
        <w:t xml:space="preserve"> </w:t>
      </w:r>
      <w:r w:rsidRPr="00CF6765">
        <w:rPr>
          <w:i/>
          <w:sz w:val="16"/>
          <w:szCs w:val="16"/>
          <w:lang w:val="en-US"/>
        </w:rPr>
        <w:t>supra</w:t>
      </w:r>
      <w:r w:rsidRPr="00CF6765">
        <w:rPr>
          <w:sz w:val="16"/>
          <w:szCs w:val="16"/>
          <w:lang w:val="en-US"/>
        </w:rPr>
        <w:t xml:space="preserve">, para. 84. and </w:t>
      </w:r>
      <w:r w:rsidRPr="00CF6765">
        <w:rPr>
          <w:i/>
          <w:sz w:val="16"/>
          <w:szCs w:val="16"/>
          <w:lang w:val="en-US"/>
        </w:rPr>
        <w:t>Case of Pacheco León et al. v. Honduras, supra</w:t>
      </w:r>
      <w:r w:rsidRPr="00CF6765">
        <w:rPr>
          <w:sz w:val="16"/>
          <w:szCs w:val="16"/>
          <w:lang w:val="en-US"/>
        </w:rPr>
        <w:t>, para. 217.</w:t>
      </w:r>
    </w:p>
  </w:footnote>
  <w:footnote w:id="326">
    <w:p w14:paraId="27250F3A" w14:textId="207D4E6B" w:rsidR="003558F5" w:rsidRPr="00392A9A" w:rsidRDefault="003558F5" w:rsidP="00002163">
      <w:pPr>
        <w:pStyle w:val="Textonotapie"/>
        <w:spacing w:after="60"/>
        <w:rPr>
          <w:sz w:val="16"/>
          <w:szCs w:val="16"/>
          <w:lang w:val="es-CR"/>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r w:rsidRPr="00CF6765">
        <w:rPr>
          <w:i/>
          <w:sz w:val="16"/>
          <w:szCs w:val="16"/>
          <w:lang w:val="en-US"/>
        </w:rPr>
        <w:t xml:space="preserve">Case of </w:t>
      </w:r>
      <w:proofErr w:type="spellStart"/>
      <w:r w:rsidRPr="00CF6765">
        <w:rPr>
          <w:i/>
          <w:sz w:val="16"/>
          <w:szCs w:val="16"/>
          <w:lang w:val="en-US"/>
        </w:rPr>
        <w:t>Albán</w:t>
      </w:r>
      <w:proofErr w:type="spellEnd"/>
      <w:r w:rsidRPr="00CF6765">
        <w:rPr>
          <w:i/>
          <w:sz w:val="16"/>
          <w:szCs w:val="16"/>
          <w:lang w:val="en-US"/>
        </w:rPr>
        <w:t xml:space="preserve"> Cornejo v. Ecuador, supra, </w:t>
      </w:r>
      <w:r w:rsidRPr="00CF6765">
        <w:rPr>
          <w:sz w:val="16"/>
          <w:szCs w:val="16"/>
          <w:lang w:val="en-US"/>
        </w:rPr>
        <w:t xml:space="preserve">para. </w:t>
      </w:r>
      <w:r w:rsidRPr="00392A9A">
        <w:rPr>
          <w:sz w:val="16"/>
          <w:szCs w:val="16"/>
          <w:lang w:val="es-CR"/>
        </w:rPr>
        <w:t>153;</w:t>
      </w:r>
      <w:r w:rsidRPr="00392A9A">
        <w:rPr>
          <w:i/>
          <w:sz w:val="16"/>
          <w:szCs w:val="16"/>
          <w:lang w:val="es-CR"/>
        </w:rPr>
        <w:t xml:space="preserve"> Case </w:t>
      </w:r>
      <w:proofErr w:type="spellStart"/>
      <w:r w:rsidRPr="00392A9A">
        <w:rPr>
          <w:i/>
          <w:sz w:val="16"/>
          <w:szCs w:val="16"/>
          <w:lang w:val="es-CR"/>
        </w:rPr>
        <w:t>of</w:t>
      </w:r>
      <w:proofErr w:type="spellEnd"/>
      <w:r w:rsidRPr="00392A9A">
        <w:rPr>
          <w:i/>
          <w:sz w:val="16"/>
          <w:szCs w:val="16"/>
          <w:lang w:val="es-CR"/>
        </w:rPr>
        <w:t xml:space="preserve"> </w:t>
      </w:r>
      <w:proofErr w:type="spellStart"/>
      <w:r w:rsidRPr="00392A9A">
        <w:rPr>
          <w:i/>
          <w:sz w:val="16"/>
          <w:szCs w:val="16"/>
          <w:lang w:val="es-CR"/>
        </w:rPr>
        <w:t>Ximénes</w:t>
      </w:r>
      <w:proofErr w:type="spellEnd"/>
      <w:r w:rsidRPr="00392A9A">
        <w:rPr>
          <w:i/>
          <w:sz w:val="16"/>
          <w:szCs w:val="16"/>
          <w:lang w:val="es-CR"/>
        </w:rPr>
        <w:t xml:space="preserve"> </w:t>
      </w:r>
      <w:proofErr w:type="spellStart"/>
      <w:r w:rsidRPr="00392A9A">
        <w:rPr>
          <w:i/>
          <w:sz w:val="16"/>
          <w:szCs w:val="16"/>
          <w:lang w:val="es-CR"/>
        </w:rPr>
        <w:t>Lopes</w:t>
      </w:r>
      <w:proofErr w:type="spellEnd"/>
      <w:r w:rsidRPr="00392A9A">
        <w:rPr>
          <w:i/>
          <w:sz w:val="16"/>
          <w:szCs w:val="16"/>
          <w:lang w:val="es-CR"/>
        </w:rPr>
        <w:t xml:space="preserve"> v. </w:t>
      </w:r>
      <w:proofErr w:type="spellStart"/>
      <w:r w:rsidRPr="00392A9A">
        <w:rPr>
          <w:i/>
          <w:sz w:val="16"/>
          <w:szCs w:val="16"/>
          <w:lang w:val="es-CR"/>
        </w:rPr>
        <w:t>Brazil</w:t>
      </w:r>
      <w:proofErr w:type="spellEnd"/>
      <w:r w:rsidRPr="00392A9A">
        <w:rPr>
          <w:i/>
          <w:sz w:val="16"/>
          <w:szCs w:val="16"/>
          <w:lang w:val="es-CR"/>
        </w:rPr>
        <w:t>, supra</w:t>
      </w:r>
      <w:r w:rsidRPr="00392A9A">
        <w:rPr>
          <w:sz w:val="16"/>
          <w:szCs w:val="16"/>
          <w:lang w:val="es-CR"/>
        </w:rPr>
        <w:t>,</w:t>
      </w:r>
      <w:r w:rsidRPr="00392A9A">
        <w:rPr>
          <w:i/>
          <w:sz w:val="16"/>
          <w:szCs w:val="16"/>
          <w:lang w:val="es-CR"/>
        </w:rPr>
        <w:t xml:space="preserve"> </w:t>
      </w:r>
      <w:r w:rsidRPr="00392A9A">
        <w:rPr>
          <w:sz w:val="16"/>
          <w:szCs w:val="16"/>
          <w:lang w:val="es-CR"/>
        </w:rPr>
        <w:t>para. 238,</w:t>
      </w:r>
      <w:r w:rsidRPr="00392A9A">
        <w:rPr>
          <w:i/>
          <w:sz w:val="16"/>
          <w:szCs w:val="16"/>
          <w:lang w:val="es-CR"/>
        </w:rPr>
        <w:t xml:space="preserve"> </w:t>
      </w:r>
      <w:r w:rsidRPr="00392A9A">
        <w:rPr>
          <w:iCs/>
          <w:sz w:val="16"/>
          <w:szCs w:val="16"/>
          <w:lang w:val="es-CR"/>
        </w:rPr>
        <w:t xml:space="preserve">and </w:t>
      </w:r>
      <w:r w:rsidRPr="00392A9A">
        <w:rPr>
          <w:i/>
          <w:sz w:val="16"/>
          <w:szCs w:val="16"/>
          <w:lang w:val="es-CR"/>
        </w:rPr>
        <w:t xml:space="preserve">Case </w:t>
      </w:r>
      <w:proofErr w:type="spellStart"/>
      <w:r w:rsidRPr="00392A9A">
        <w:rPr>
          <w:i/>
          <w:sz w:val="16"/>
          <w:szCs w:val="16"/>
          <w:lang w:val="es-CR"/>
        </w:rPr>
        <w:t>of</w:t>
      </w:r>
      <w:proofErr w:type="spellEnd"/>
      <w:r w:rsidRPr="00392A9A">
        <w:rPr>
          <w:i/>
          <w:sz w:val="16"/>
          <w:szCs w:val="16"/>
          <w:lang w:val="es-CR"/>
        </w:rPr>
        <w:t xml:space="preserve"> Suárez Peralta v. Ecuador, supra, </w:t>
      </w:r>
      <w:r w:rsidRPr="00392A9A">
        <w:rPr>
          <w:sz w:val="16"/>
          <w:szCs w:val="16"/>
          <w:lang w:val="es-CR"/>
        </w:rPr>
        <w:t xml:space="preserve">para. 214. </w:t>
      </w:r>
    </w:p>
  </w:footnote>
  <w:footnote w:id="327">
    <w:p w14:paraId="6929F92D" w14:textId="734CB392" w:rsidR="003558F5" w:rsidRPr="00CF6765" w:rsidRDefault="003558F5" w:rsidP="00002163">
      <w:pPr>
        <w:pStyle w:val="Textonotapie"/>
        <w:spacing w:after="60"/>
        <w:rPr>
          <w:bCs/>
          <w:sz w:val="16"/>
          <w:szCs w:val="16"/>
          <w:lang w:val="en-US"/>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i/>
          <w:sz w:val="16"/>
          <w:szCs w:val="16"/>
          <w:lang w:val="es-CR"/>
        </w:rPr>
        <w:t xml:space="preserve">Cf. Case </w:t>
      </w:r>
      <w:proofErr w:type="spellStart"/>
      <w:r w:rsidRPr="00392A9A">
        <w:rPr>
          <w:i/>
          <w:sz w:val="16"/>
          <w:szCs w:val="16"/>
          <w:lang w:val="es-CR"/>
        </w:rPr>
        <w:t>of</w:t>
      </w:r>
      <w:proofErr w:type="spellEnd"/>
      <w:r w:rsidRPr="00392A9A">
        <w:rPr>
          <w:i/>
          <w:sz w:val="16"/>
          <w:szCs w:val="16"/>
          <w:lang w:val="es-CR"/>
        </w:rPr>
        <w:t xml:space="preserve"> Velásquez Rodríguez v. Honduras. </w:t>
      </w:r>
      <w:proofErr w:type="spellStart"/>
      <w:r w:rsidRPr="00392A9A">
        <w:rPr>
          <w:i/>
          <w:sz w:val="16"/>
          <w:szCs w:val="16"/>
          <w:lang w:val="es-CR"/>
        </w:rPr>
        <w:t>Reparations</w:t>
      </w:r>
      <w:proofErr w:type="spellEnd"/>
      <w:r w:rsidRPr="00392A9A">
        <w:rPr>
          <w:i/>
          <w:sz w:val="16"/>
          <w:szCs w:val="16"/>
          <w:lang w:val="es-CR"/>
        </w:rPr>
        <w:t>, supra,</w:t>
      </w:r>
      <w:r w:rsidRPr="00392A9A">
        <w:rPr>
          <w:sz w:val="16"/>
          <w:szCs w:val="16"/>
          <w:lang w:val="es-CR"/>
        </w:rPr>
        <w:t xml:space="preserve"> para. </w:t>
      </w:r>
      <w:r w:rsidRPr="00CF6765">
        <w:rPr>
          <w:sz w:val="16"/>
          <w:szCs w:val="16"/>
          <w:lang w:val="en-US"/>
        </w:rPr>
        <w:t xml:space="preserve">42, and </w:t>
      </w:r>
      <w:r w:rsidRPr="00CF6765">
        <w:rPr>
          <w:bCs/>
          <w:i/>
          <w:sz w:val="16"/>
          <w:szCs w:val="16"/>
          <w:lang w:val="en-US"/>
        </w:rPr>
        <w:t xml:space="preserve">Case of the </w:t>
      </w:r>
      <w:proofErr w:type="spellStart"/>
      <w:r w:rsidRPr="00CF6765">
        <w:rPr>
          <w:bCs/>
          <w:i/>
          <w:sz w:val="16"/>
          <w:szCs w:val="16"/>
          <w:lang w:val="en-US"/>
        </w:rPr>
        <w:t>Xucuru</w:t>
      </w:r>
      <w:proofErr w:type="spellEnd"/>
      <w:r w:rsidRPr="00CF6765">
        <w:rPr>
          <w:bCs/>
          <w:i/>
          <w:sz w:val="16"/>
          <w:szCs w:val="16"/>
          <w:lang w:val="en-US"/>
        </w:rPr>
        <w:t xml:space="preserve"> Indigenous People and their members v. Brazil, supra</w:t>
      </w:r>
      <w:r w:rsidRPr="00CF6765">
        <w:rPr>
          <w:bCs/>
          <w:sz w:val="16"/>
          <w:szCs w:val="16"/>
          <w:lang w:val="en-US"/>
        </w:rPr>
        <w:t>, para. 214.</w:t>
      </w:r>
    </w:p>
  </w:footnote>
  <w:footnote w:id="328">
    <w:p w14:paraId="0A490FAA" w14:textId="54CA2F69" w:rsidR="003558F5" w:rsidRPr="00CF6765" w:rsidRDefault="003558F5" w:rsidP="00002163">
      <w:pPr>
        <w:pStyle w:val="Textonotapie"/>
        <w:spacing w:after="60"/>
        <w:rPr>
          <w:bCs/>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Case of Garrido and </w:t>
      </w:r>
      <w:proofErr w:type="spellStart"/>
      <w:r w:rsidRPr="00CF6765">
        <w:rPr>
          <w:i/>
          <w:sz w:val="16"/>
          <w:szCs w:val="16"/>
          <w:lang w:val="en-US"/>
        </w:rPr>
        <w:t>Baigorria</w:t>
      </w:r>
      <w:proofErr w:type="spellEnd"/>
      <w:r w:rsidRPr="00CF6765">
        <w:rPr>
          <w:i/>
          <w:sz w:val="16"/>
          <w:szCs w:val="16"/>
          <w:lang w:val="en-US"/>
        </w:rPr>
        <w:t xml:space="preserve"> v. Argentina. Reparations and costs.</w:t>
      </w:r>
      <w:r w:rsidRPr="00CF6765">
        <w:rPr>
          <w:sz w:val="16"/>
          <w:szCs w:val="16"/>
          <w:lang w:val="en-US"/>
        </w:rPr>
        <w:t xml:space="preserve"> Judgment of August 27, 1998. Series C No. 39, para. 82, and </w:t>
      </w:r>
      <w:r w:rsidRPr="00CF6765">
        <w:rPr>
          <w:bCs/>
          <w:i/>
          <w:sz w:val="16"/>
          <w:szCs w:val="16"/>
          <w:lang w:val="en-US"/>
        </w:rPr>
        <w:t xml:space="preserve">Case of the </w:t>
      </w:r>
      <w:proofErr w:type="spellStart"/>
      <w:r w:rsidRPr="00CF6765">
        <w:rPr>
          <w:bCs/>
          <w:i/>
          <w:sz w:val="16"/>
          <w:szCs w:val="16"/>
          <w:lang w:val="en-US"/>
        </w:rPr>
        <w:t>Xucuru</w:t>
      </w:r>
      <w:proofErr w:type="spellEnd"/>
      <w:r w:rsidRPr="00CF6765">
        <w:rPr>
          <w:bCs/>
          <w:i/>
          <w:sz w:val="16"/>
          <w:szCs w:val="16"/>
          <w:lang w:val="en-US"/>
        </w:rPr>
        <w:t xml:space="preserve"> Indigenous People and their members v. Brazil, supra, </w:t>
      </w:r>
      <w:r w:rsidRPr="00CF6765">
        <w:rPr>
          <w:bCs/>
          <w:sz w:val="16"/>
          <w:szCs w:val="16"/>
          <w:lang w:val="en-US"/>
        </w:rPr>
        <w:t>para. 214</w:t>
      </w:r>
      <w:r w:rsidRPr="00CF6765">
        <w:rPr>
          <w:bCs/>
          <w:color w:val="000000"/>
          <w:sz w:val="16"/>
          <w:szCs w:val="16"/>
          <w:shd w:val="clear" w:color="auto" w:fill="FFFFFF"/>
          <w:lang w:val="en-US"/>
        </w:rPr>
        <w:t>.</w:t>
      </w:r>
    </w:p>
  </w:footnote>
  <w:footnote w:id="329">
    <w:p w14:paraId="2FEA97D8" w14:textId="101940B3" w:rsidR="003558F5" w:rsidRPr="00CF6765" w:rsidRDefault="003558F5" w:rsidP="00002163">
      <w:pPr>
        <w:pStyle w:val="Textonotapie"/>
        <w:spacing w:after="60"/>
        <w:rPr>
          <w:bCs/>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 xml:space="preserve">Cf. Case of Garrido and </w:t>
      </w:r>
      <w:proofErr w:type="spellStart"/>
      <w:r w:rsidRPr="00CF6765">
        <w:rPr>
          <w:i/>
          <w:sz w:val="16"/>
          <w:szCs w:val="16"/>
          <w:lang w:val="en-US"/>
        </w:rPr>
        <w:t>Baigorria</w:t>
      </w:r>
      <w:proofErr w:type="spellEnd"/>
      <w:r w:rsidRPr="00CF6765">
        <w:rPr>
          <w:i/>
          <w:sz w:val="16"/>
          <w:szCs w:val="16"/>
          <w:lang w:val="en-US"/>
        </w:rPr>
        <w:t xml:space="preserve"> v. Argentina. Reparations,</w:t>
      </w:r>
      <w:r w:rsidRPr="00CF6765">
        <w:rPr>
          <w:sz w:val="16"/>
          <w:szCs w:val="16"/>
          <w:lang w:val="en-US"/>
        </w:rPr>
        <w:t xml:space="preserve"> </w:t>
      </w:r>
      <w:r w:rsidRPr="00CF6765">
        <w:rPr>
          <w:i/>
          <w:sz w:val="16"/>
          <w:szCs w:val="16"/>
          <w:lang w:val="en-US"/>
        </w:rPr>
        <w:t>supra,</w:t>
      </w:r>
      <w:r w:rsidRPr="00CF6765">
        <w:rPr>
          <w:sz w:val="16"/>
          <w:szCs w:val="16"/>
          <w:lang w:val="en-US"/>
        </w:rPr>
        <w:t xml:space="preserve"> para.</w:t>
      </w:r>
      <w:r w:rsidRPr="00CF6765">
        <w:rPr>
          <w:spacing w:val="-1"/>
          <w:sz w:val="16"/>
          <w:szCs w:val="16"/>
          <w:lang w:val="en-US"/>
        </w:rPr>
        <w:t>7</w:t>
      </w:r>
      <w:r w:rsidRPr="00CF6765">
        <w:rPr>
          <w:spacing w:val="1"/>
          <w:sz w:val="16"/>
          <w:szCs w:val="16"/>
          <w:lang w:val="en-US"/>
        </w:rPr>
        <w:t>9</w:t>
      </w:r>
      <w:r w:rsidRPr="00CF6765">
        <w:rPr>
          <w:sz w:val="16"/>
          <w:szCs w:val="16"/>
          <w:lang w:val="en-US"/>
        </w:rPr>
        <w:t>, and</w:t>
      </w:r>
      <w:r w:rsidRPr="00CF6765">
        <w:rPr>
          <w:spacing w:val="36"/>
          <w:sz w:val="16"/>
          <w:szCs w:val="16"/>
          <w:lang w:val="en-US"/>
        </w:rPr>
        <w:t xml:space="preserve"> </w:t>
      </w:r>
      <w:r w:rsidRPr="00CF6765">
        <w:rPr>
          <w:bCs/>
          <w:i/>
          <w:sz w:val="16"/>
          <w:szCs w:val="16"/>
          <w:lang w:val="en-US"/>
        </w:rPr>
        <w:t xml:space="preserve">Case of </w:t>
      </w:r>
      <w:proofErr w:type="spellStart"/>
      <w:r w:rsidRPr="00CF6765">
        <w:rPr>
          <w:bCs/>
          <w:i/>
          <w:sz w:val="16"/>
          <w:szCs w:val="16"/>
          <w:lang w:val="en-US"/>
        </w:rPr>
        <w:t>Zegarra</w:t>
      </w:r>
      <w:proofErr w:type="spellEnd"/>
      <w:r w:rsidRPr="00CF6765">
        <w:rPr>
          <w:bCs/>
          <w:i/>
          <w:sz w:val="16"/>
          <w:szCs w:val="16"/>
          <w:lang w:val="en-US"/>
        </w:rPr>
        <w:t xml:space="preserve"> Marín v. Peru, supra,</w:t>
      </w:r>
      <w:r w:rsidRPr="00CF6765">
        <w:rPr>
          <w:bCs/>
          <w:sz w:val="16"/>
          <w:szCs w:val="16"/>
          <w:lang w:val="en-US"/>
        </w:rPr>
        <w:t xml:space="preserve"> para. 230.</w:t>
      </w:r>
    </w:p>
  </w:footnote>
  <w:footnote w:id="330">
    <w:p w14:paraId="55CFFDF4" w14:textId="53CC89D7" w:rsidR="003558F5" w:rsidRPr="00CF6765" w:rsidRDefault="003558F5" w:rsidP="00002163">
      <w:pPr>
        <w:pStyle w:val="Textonotapie"/>
        <w:spacing w:after="60"/>
        <w:rPr>
          <w:bCs/>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i/>
          <w:spacing w:val="15"/>
          <w:sz w:val="16"/>
          <w:szCs w:val="16"/>
          <w:lang w:val="en-US"/>
        </w:rPr>
        <w:t xml:space="preserve"> </w:t>
      </w:r>
      <w:r w:rsidRPr="00CF6765">
        <w:rPr>
          <w:i/>
          <w:sz w:val="16"/>
          <w:szCs w:val="16"/>
          <w:lang w:val="en-US"/>
        </w:rPr>
        <w:t>Case of</w:t>
      </w:r>
      <w:r w:rsidRPr="00CF6765">
        <w:rPr>
          <w:i/>
          <w:spacing w:val="16"/>
          <w:sz w:val="16"/>
          <w:szCs w:val="16"/>
          <w:lang w:val="en-US"/>
        </w:rPr>
        <w:t xml:space="preserve"> </w:t>
      </w:r>
      <w:r w:rsidRPr="00CF6765">
        <w:rPr>
          <w:sz w:val="16"/>
          <w:szCs w:val="16"/>
          <w:lang w:val="en-US"/>
        </w:rPr>
        <w:t>C</w:t>
      </w:r>
      <w:r w:rsidRPr="00CF6765">
        <w:rPr>
          <w:spacing w:val="-1"/>
          <w:sz w:val="16"/>
          <w:szCs w:val="16"/>
          <w:lang w:val="en-US"/>
        </w:rPr>
        <w:t>h</w:t>
      </w:r>
      <w:r w:rsidRPr="00CF6765">
        <w:rPr>
          <w:spacing w:val="-3"/>
          <w:sz w:val="16"/>
          <w:szCs w:val="16"/>
          <w:lang w:val="en-US"/>
        </w:rPr>
        <w:t>a</w:t>
      </w:r>
      <w:r w:rsidRPr="00CF6765">
        <w:rPr>
          <w:sz w:val="16"/>
          <w:szCs w:val="16"/>
          <w:lang w:val="en-US"/>
        </w:rPr>
        <w:t>p</w:t>
      </w:r>
      <w:r w:rsidRPr="00CF6765">
        <w:rPr>
          <w:spacing w:val="-1"/>
          <w:sz w:val="16"/>
          <w:szCs w:val="16"/>
          <w:lang w:val="en-US"/>
        </w:rPr>
        <w:t>ar</w:t>
      </w:r>
      <w:r w:rsidRPr="00CF6765">
        <w:rPr>
          <w:sz w:val="16"/>
          <w:szCs w:val="16"/>
          <w:lang w:val="en-US"/>
        </w:rPr>
        <w:t>ro</w:t>
      </w:r>
      <w:r w:rsidRPr="00CF6765">
        <w:rPr>
          <w:i/>
          <w:spacing w:val="14"/>
          <w:sz w:val="16"/>
          <w:szCs w:val="16"/>
          <w:lang w:val="en-US"/>
        </w:rPr>
        <w:t xml:space="preserve"> </w:t>
      </w:r>
      <w:r w:rsidRPr="00CF6765">
        <w:rPr>
          <w:i/>
          <w:sz w:val="16"/>
          <w:szCs w:val="16"/>
          <w:lang w:val="en-US"/>
        </w:rPr>
        <w:t>Á</w:t>
      </w:r>
      <w:r w:rsidRPr="00CF6765">
        <w:rPr>
          <w:i/>
          <w:spacing w:val="-1"/>
          <w:sz w:val="16"/>
          <w:szCs w:val="16"/>
          <w:lang w:val="en-US"/>
        </w:rPr>
        <w:t>l</w:t>
      </w:r>
      <w:r w:rsidRPr="00CF6765">
        <w:rPr>
          <w:i/>
          <w:sz w:val="16"/>
          <w:szCs w:val="16"/>
          <w:lang w:val="en-US"/>
        </w:rPr>
        <w:t>v</w:t>
      </w:r>
      <w:r w:rsidRPr="00CF6765">
        <w:rPr>
          <w:i/>
          <w:spacing w:val="-3"/>
          <w:sz w:val="16"/>
          <w:szCs w:val="16"/>
          <w:lang w:val="en-US"/>
        </w:rPr>
        <w:t>a</w:t>
      </w:r>
      <w:r w:rsidRPr="00CF6765">
        <w:rPr>
          <w:i/>
          <w:sz w:val="16"/>
          <w:szCs w:val="16"/>
          <w:lang w:val="en-US"/>
        </w:rPr>
        <w:t>rez</w:t>
      </w:r>
      <w:r w:rsidRPr="00CF6765">
        <w:rPr>
          <w:i/>
          <w:spacing w:val="13"/>
          <w:sz w:val="16"/>
          <w:szCs w:val="16"/>
          <w:lang w:val="en-US"/>
        </w:rPr>
        <w:t xml:space="preserve"> and </w:t>
      </w:r>
      <w:proofErr w:type="spellStart"/>
      <w:r w:rsidRPr="00CF6765">
        <w:rPr>
          <w:i/>
          <w:spacing w:val="-1"/>
          <w:sz w:val="16"/>
          <w:szCs w:val="16"/>
          <w:lang w:val="en-US"/>
        </w:rPr>
        <w:t>La</w:t>
      </w:r>
      <w:r w:rsidRPr="00CF6765">
        <w:rPr>
          <w:i/>
          <w:sz w:val="16"/>
          <w:szCs w:val="16"/>
          <w:lang w:val="en-US"/>
        </w:rPr>
        <w:t>po</w:t>
      </w:r>
      <w:proofErr w:type="spellEnd"/>
      <w:r w:rsidRPr="00CF6765">
        <w:rPr>
          <w:i/>
          <w:spacing w:val="16"/>
          <w:sz w:val="16"/>
          <w:szCs w:val="16"/>
          <w:lang w:val="en-US"/>
        </w:rPr>
        <w:t xml:space="preserve"> </w:t>
      </w:r>
      <w:r w:rsidRPr="00CF6765">
        <w:rPr>
          <w:i/>
          <w:sz w:val="16"/>
          <w:szCs w:val="16"/>
          <w:lang w:val="en-US"/>
        </w:rPr>
        <w:t>Í</w:t>
      </w:r>
      <w:r w:rsidRPr="00CF6765">
        <w:rPr>
          <w:i/>
          <w:spacing w:val="-1"/>
          <w:sz w:val="16"/>
          <w:szCs w:val="16"/>
          <w:lang w:val="en-US"/>
        </w:rPr>
        <w:t>ñi</w:t>
      </w:r>
      <w:r w:rsidRPr="00CF6765">
        <w:rPr>
          <w:i/>
          <w:sz w:val="16"/>
          <w:szCs w:val="16"/>
          <w:lang w:val="en-US"/>
        </w:rPr>
        <w:t>g</w:t>
      </w:r>
      <w:r w:rsidRPr="00CF6765">
        <w:rPr>
          <w:i/>
          <w:spacing w:val="-1"/>
          <w:sz w:val="16"/>
          <w:szCs w:val="16"/>
          <w:lang w:val="en-US"/>
        </w:rPr>
        <w:t>u</w:t>
      </w:r>
      <w:r w:rsidRPr="00CF6765">
        <w:rPr>
          <w:i/>
          <w:sz w:val="16"/>
          <w:szCs w:val="16"/>
          <w:lang w:val="en-US"/>
        </w:rPr>
        <w:t>ez</w:t>
      </w:r>
      <w:r w:rsidRPr="00CF6765">
        <w:rPr>
          <w:i/>
          <w:spacing w:val="13"/>
          <w:sz w:val="16"/>
          <w:szCs w:val="16"/>
          <w:lang w:val="en-US"/>
        </w:rPr>
        <w:t xml:space="preserve"> </w:t>
      </w:r>
      <w:r w:rsidRPr="00CF6765">
        <w:rPr>
          <w:i/>
          <w:sz w:val="16"/>
          <w:szCs w:val="16"/>
          <w:lang w:val="en-US"/>
        </w:rPr>
        <w:t>v.</w:t>
      </w:r>
      <w:r w:rsidRPr="00CF6765">
        <w:rPr>
          <w:i/>
          <w:spacing w:val="15"/>
          <w:sz w:val="16"/>
          <w:szCs w:val="16"/>
          <w:lang w:val="en-US"/>
        </w:rPr>
        <w:t xml:space="preserve"> </w:t>
      </w:r>
      <w:r w:rsidRPr="00CF6765">
        <w:rPr>
          <w:i/>
          <w:spacing w:val="-1"/>
          <w:sz w:val="16"/>
          <w:szCs w:val="16"/>
          <w:lang w:val="en-US"/>
        </w:rPr>
        <w:t>E</w:t>
      </w:r>
      <w:r w:rsidRPr="00CF6765">
        <w:rPr>
          <w:i/>
          <w:sz w:val="16"/>
          <w:szCs w:val="16"/>
          <w:lang w:val="en-US"/>
        </w:rPr>
        <w:t>c</w:t>
      </w:r>
      <w:r w:rsidRPr="00CF6765">
        <w:rPr>
          <w:i/>
          <w:spacing w:val="-1"/>
          <w:sz w:val="16"/>
          <w:szCs w:val="16"/>
          <w:lang w:val="en-US"/>
        </w:rPr>
        <w:t>u</w:t>
      </w:r>
      <w:r w:rsidRPr="00CF6765">
        <w:rPr>
          <w:i/>
          <w:spacing w:val="-3"/>
          <w:sz w:val="16"/>
          <w:szCs w:val="16"/>
          <w:lang w:val="en-US"/>
        </w:rPr>
        <w:t>a</w:t>
      </w:r>
      <w:r w:rsidRPr="00CF6765">
        <w:rPr>
          <w:i/>
          <w:sz w:val="16"/>
          <w:szCs w:val="16"/>
          <w:lang w:val="en-US"/>
        </w:rPr>
        <w:t>d</w:t>
      </w:r>
      <w:r w:rsidRPr="00CF6765">
        <w:rPr>
          <w:i/>
          <w:spacing w:val="-2"/>
          <w:sz w:val="16"/>
          <w:szCs w:val="16"/>
          <w:lang w:val="en-US"/>
        </w:rPr>
        <w:t>o</w:t>
      </w:r>
      <w:r w:rsidRPr="00CF6765">
        <w:rPr>
          <w:i/>
          <w:sz w:val="16"/>
          <w:szCs w:val="16"/>
          <w:lang w:val="en-US"/>
        </w:rPr>
        <w:t>r. Preliminary objections, merits, reparations and costs.</w:t>
      </w:r>
      <w:r w:rsidRPr="00CF6765">
        <w:rPr>
          <w:sz w:val="16"/>
          <w:szCs w:val="16"/>
          <w:lang w:val="en-US"/>
        </w:rPr>
        <w:t xml:space="preserve"> Judgment of November 21, 2007. Series C No. 170, </w:t>
      </w:r>
      <w:r w:rsidRPr="00CF6765">
        <w:rPr>
          <w:spacing w:val="-2"/>
          <w:sz w:val="16"/>
          <w:szCs w:val="16"/>
          <w:lang w:val="en-US"/>
        </w:rPr>
        <w:t xml:space="preserve">para. </w:t>
      </w:r>
      <w:r w:rsidRPr="00CF6765">
        <w:rPr>
          <w:spacing w:val="-1"/>
          <w:sz w:val="16"/>
          <w:szCs w:val="16"/>
          <w:lang w:val="en-US"/>
        </w:rPr>
        <w:t>2</w:t>
      </w:r>
      <w:r w:rsidRPr="00CF6765">
        <w:rPr>
          <w:sz w:val="16"/>
          <w:szCs w:val="16"/>
          <w:lang w:val="en-US"/>
        </w:rPr>
        <w:t xml:space="preserve">77, and </w:t>
      </w:r>
      <w:r w:rsidRPr="00CF6765">
        <w:rPr>
          <w:bCs/>
          <w:i/>
          <w:sz w:val="16"/>
          <w:szCs w:val="16"/>
          <w:lang w:val="en-US"/>
        </w:rPr>
        <w:t xml:space="preserve">Case of the </w:t>
      </w:r>
      <w:proofErr w:type="spellStart"/>
      <w:r w:rsidRPr="00CF6765">
        <w:rPr>
          <w:bCs/>
          <w:i/>
          <w:sz w:val="16"/>
          <w:szCs w:val="16"/>
          <w:lang w:val="en-US"/>
        </w:rPr>
        <w:t>Xucuru</w:t>
      </w:r>
      <w:proofErr w:type="spellEnd"/>
      <w:r w:rsidRPr="00CF6765">
        <w:rPr>
          <w:bCs/>
          <w:i/>
          <w:sz w:val="16"/>
          <w:szCs w:val="16"/>
          <w:lang w:val="en-US"/>
        </w:rPr>
        <w:t xml:space="preserve"> Indigenous People and their members v. Brazil, supra, </w:t>
      </w:r>
      <w:r w:rsidRPr="00CF6765">
        <w:rPr>
          <w:bCs/>
          <w:sz w:val="16"/>
          <w:szCs w:val="16"/>
          <w:lang w:val="en-US"/>
        </w:rPr>
        <w:t>para. 215</w:t>
      </w:r>
      <w:r w:rsidRPr="00CF6765">
        <w:rPr>
          <w:bCs/>
          <w:color w:val="000000"/>
          <w:sz w:val="16"/>
          <w:szCs w:val="16"/>
          <w:shd w:val="clear" w:color="auto" w:fill="FFFFFF"/>
          <w:lang w:val="en-US"/>
        </w:rPr>
        <w:t>.</w:t>
      </w:r>
    </w:p>
  </w:footnote>
  <w:footnote w:id="331">
    <w:p w14:paraId="274E543B" w14:textId="4A4920CA" w:rsidR="003558F5" w:rsidRPr="00CF6765" w:rsidRDefault="003558F5" w:rsidP="00002163">
      <w:pPr>
        <w:pStyle w:val="Textonotapie"/>
        <w:spacing w:after="60"/>
        <w:ind w:right="-144"/>
        <w:rPr>
          <w:rFonts w:cs="Verdana"/>
          <w:sz w:val="16"/>
          <w:szCs w:val="16"/>
          <w:lang w:val="en-US" w:eastAsia="es-CR"/>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AG/RES. 2426 (XXXVIII-O/08), </w:t>
      </w:r>
      <w:r w:rsidRPr="00CF6765">
        <w:rPr>
          <w:sz w:val="16"/>
          <w:szCs w:val="16"/>
          <w:lang w:val="en-US" w:eastAsia="es-CR"/>
        </w:rPr>
        <w:t xml:space="preserve">Resolution adopted by the General Assembly of the OAS during its </w:t>
      </w:r>
      <w:r w:rsidRPr="00CF6765">
        <w:rPr>
          <w:rFonts w:cs="Verdana"/>
          <w:sz w:val="16"/>
          <w:szCs w:val="16"/>
          <w:lang w:val="en-US" w:eastAsia="es-CR"/>
        </w:rPr>
        <w:t xml:space="preserve">XXXVIII Period of Regular Sessions, in the fourth plenary session, held on June 3, </w:t>
      </w:r>
      <w:r w:rsidRPr="00CF6765">
        <w:rPr>
          <w:sz w:val="16"/>
          <w:szCs w:val="16"/>
          <w:lang w:val="en-US" w:eastAsia="es-CR"/>
        </w:rPr>
        <w:t xml:space="preserve">2008, </w:t>
      </w:r>
      <w:r w:rsidRPr="00CF6765">
        <w:rPr>
          <w:iCs/>
          <w:sz w:val="16"/>
          <w:szCs w:val="16"/>
          <w:lang w:val="en-US" w:eastAsia="es-CR"/>
        </w:rPr>
        <w:t>“Establishment of the Legal Assistance Fund of the Inter-American Human Rights System</w:t>
      </w:r>
      <w:r w:rsidRPr="00CF6765">
        <w:rPr>
          <w:i/>
          <w:sz w:val="16"/>
          <w:szCs w:val="16"/>
          <w:lang w:val="en-US" w:eastAsia="es-CR"/>
        </w:rPr>
        <w:t xml:space="preserve">,” </w:t>
      </w:r>
      <w:r w:rsidRPr="00CF6765">
        <w:rPr>
          <w:sz w:val="16"/>
          <w:szCs w:val="16"/>
          <w:lang w:val="en-US" w:eastAsia="es-CR"/>
        </w:rPr>
        <w:t>operative paragraph 2(a)</w:t>
      </w:r>
      <w:r w:rsidRPr="00CF6765">
        <w:rPr>
          <w:rFonts w:cs="Verdana"/>
          <w:sz w:val="16"/>
          <w:szCs w:val="16"/>
          <w:lang w:val="en-US" w:eastAsia="es-CR"/>
        </w:rPr>
        <w:t xml:space="preserve">, and </w:t>
      </w:r>
      <w:r w:rsidRPr="00CF6765">
        <w:rPr>
          <w:sz w:val="16"/>
          <w:szCs w:val="16"/>
          <w:lang w:val="en-US"/>
        </w:rPr>
        <w:t>CP/RES. 963 (1728/09), Resolution adopted on November 11, 2009, by the OAS Permanent Commission, “Rules of Procedure for the Operation of the Legal Assistance Fund of the Inter-American Human Rights System,” Article 1(1).</w:t>
      </w:r>
    </w:p>
  </w:footnote>
  <w:footnote w:id="332">
    <w:p w14:paraId="03022611" w14:textId="7DEA76D4"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bCs/>
          <w:i/>
          <w:sz w:val="16"/>
          <w:szCs w:val="16"/>
          <w:lang w:val="en-US"/>
        </w:rPr>
        <w:t>Cf.</w:t>
      </w:r>
      <w:r w:rsidRPr="00CF6765">
        <w:rPr>
          <w:bCs/>
          <w:sz w:val="16"/>
          <w:szCs w:val="16"/>
          <w:lang w:val="en-US"/>
        </w:rPr>
        <w:t xml:space="preserve"> </w:t>
      </w:r>
      <w:r w:rsidRPr="00CF6765">
        <w:rPr>
          <w:bCs/>
          <w:i/>
          <w:sz w:val="16"/>
          <w:szCs w:val="16"/>
          <w:lang w:val="en-US"/>
        </w:rPr>
        <w:t xml:space="preserve">Case of Poblete </w:t>
      </w:r>
      <w:proofErr w:type="spellStart"/>
      <w:r w:rsidRPr="00CF6765">
        <w:rPr>
          <w:bCs/>
          <w:i/>
          <w:sz w:val="16"/>
          <w:szCs w:val="16"/>
          <w:lang w:val="en-US"/>
        </w:rPr>
        <w:t>Vilches</w:t>
      </w:r>
      <w:proofErr w:type="spellEnd"/>
      <w:r w:rsidRPr="00CF6765">
        <w:rPr>
          <w:bCs/>
          <w:i/>
          <w:sz w:val="16"/>
          <w:szCs w:val="16"/>
          <w:lang w:val="en-US"/>
        </w:rPr>
        <w:t xml:space="preserve"> et al. v. Chile.</w:t>
      </w:r>
      <w:r w:rsidRPr="00CF6765">
        <w:rPr>
          <w:bCs/>
          <w:sz w:val="16"/>
          <w:szCs w:val="16"/>
          <w:lang w:val="en-US"/>
        </w:rPr>
        <w:t xml:space="preserve"> Call to a hearing. Order of the President of the Inter-American Court of Human Rights of September 21, 2017, para. 21.</w:t>
      </w:r>
    </w:p>
  </w:footnote>
  <w:footnote w:id="333">
    <w:p w14:paraId="47935A91" w14:textId="44623322" w:rsidR="003558F5" w:rsidRPr="00CF6765" w:rsidRDefault="003558F5" w:rsidP="00002163">
      <w:pPr>
        <w:pStyle w:val="Textonotapie"/>
        <w:spacing w:after="60"/>
        <w:rPr>
          <w:lang w:val="en-US"/>
        </w:rPr>
      </w:pPr>
      <w:r w:rsidRPr="00CF6765">
        <w:rPr>
          <w:rStyle w:val="Refdenotaalpie"/>
          <w:sz w:val="16"/>
          <w:szCs w:val="16"/>
          <w:lang w:val="en-US"/>
        </w:rPr>
        <w:footnoteRef/>
      </w:r>
      <w:r w:rsidRPr="00CF6765">
        <w:rPr>
          <w:rStyle w:val="Refdenotaalpie"/>
          <w:sz w:val="16"/>
          <w:szCs w:val="16"/>
          <w:lang w:val="en-US"/>
        </w:rPr>
        <w:t xml:space="preserve"> </w:t>
      </w:r>
      <w:r w:rsidRPr="00CF6765">
        <w:rPr>
          <w:sz w:val="16"/>
          <w:szCs w:val="16"/>
          <w:lang w:val="en-US"/>
        </w:rPr>
        <w:t xml:space="preserve">        (Merits file, ff. 1327 to 1328).</w:t>
      </w:r>
    </w:p>
  </w:footnote>
  <w:footnote w:id="334">
    <w:p w14:paraId="047B0A5C" w14:textId="6E47301C"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The amount requested corresponds to: (</w:t>
      </w:r>
      <w:proofErr w:type="spellStart"/>
      <w:r w:rsidRPr="00CF6765">
        <w:rPr>
          <w:sz w:val="16"/>
          <w:szCs w:val="16"/>
          <w:lang w:val="en-US"/>
        </w:rPr>
        <w:t>i</w:t>
      </w:r>
      <w:proofErr w:type="spellEnd"/>
      <w:r w:rsidRPr="00CF6765">
        <w:rPr>
          <w:sz w:val="16"/>
          <w:szCs w:val="16"/>
          <w:lang w:val="en-US"/>
        </w:rPr>
        <w:t xml:space="preserve">) plane tickets for the defenders and deponents to attend the hearing: US$6,977.45 (six thousand nine hundred and seventy-seven United States dollars and forty-five cents), (ii) per diems: US$2,893.00 (two thousand eight hundred and ninety-three United States dollars), (iii) terminal transport expenses: US$570 (five hundred and seventy United States dollars), and (iv) </w:t>
      </w:r>
      <w:r w:rsidRPr="00CF6765">
        <w:rPr>
          <w:iCs/>
          <w:sz w:val="16"/>
          <w:szCs w:val="16"/>
          <w:lang w:val="en-US"/>
        </w:rPr>
        <w:t xml:space="preserve">affidavit: </w:t>
      </w:r>
      <w:r w:rsidRPr="00CF6765">
        <w:rPr>
          <w:sz w:val="16"/>
          <w:szCs w:val="16"/>
          <w:lang w:val="en-US"/>
        </w:rPr>
        <w:t>US$499.48 (four hundred and ninety-nine United States dollars and forty-eight cents).</w:t>
      </w:r>
    </w:p>
  </w:footnote>
  <w:footnote w:id="335">
    <w:p w14:paraId="7F491707" w14:textId="70D91D1B"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The amount requested corresponds to: (</w:t>
      </w:r>
      <w:proofErr w:type="spellStart"/>
      <w:r w:rsidRPr="00CF6765">
        <w:rPr>
          <w:sz w:val="16"/>
          <w:szCs w:val="16"/>
          <w:lang w:val="en-US"/>
        </w:rPr>
        <w:t>i</w:t>
      </w:r>
      <w:proofErr w:type="spellEnd"/>
      <w:r w:rsidRPr="00CF6765">
        <w:rPr>
          <w:sz w:val="16"/>
          <w:szCs w:val="16"/>
          <w:lang w:val="en-US"/>
        </w:rPr>
        <w:t xml:space="preserve">) plane tickets: $6,977.45 (six thousand nine hundred and seventy-seven United States dollars and forty-five cents), (ii) per diems: US$2,893.00 (two thousand eight hundred and ninety-three United States dollars), (iii) terminal transport expenses: US$570 (five hundred and seventy United States dollars), and (iv) </w:t>
      </w:r>
      <w:r w:rsidRPr="00CF6765">
        <w:rPr>
          <w:iCs/>
          <w:sz w:val="16"/>
          <w:szCs w:val="16"/>
          <w:lang w:val="en-US"/>
        </w:rPr>
        <w:t xml:space="preserve">affidavit: </w:t>
      </w:r>
      <w:r w:rsidRPr="00CF6765">
        <w:rPr>
          <w:sz w:val="16"/>
          <w:szCs w:val="16"/>
          <w:lang w:val="en-US"/>
        </w:rPr>
        <w:t>US$499.48 (four hundred and ninety-nine United States dollars and forty-eight cents) (merits file, f. 1328).</w:t>
      </w:r>
    </w:p>
  </w:footnote>
  <w:footnote w:id="336">
    <w:p w14:paraId="320573CE" w14:textId="0D102CCA" w:rsidR="003558F5" w:rsidRPr="00CF6765" w:rsidRDefault="003558F5" w:rsidP="00002163">
      <w:pPr>
        <w:pStyle w:val="Textonotapie"/>
        <w:spacing w:after="60"/>
        <w:rPr>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In a communication of February 6, 2018, the State indicated that it had no comments to make on the disbursement report of the Victims’ Assistance Fund (merits file, f. 1382).</w:t>
      </w:r>
    </w:p>
  </w:footnote>
  <w:footnote w:id="337">
    <w:p w14:paraId="194BD0D6" w14:textId="5C88B69E" w:rsidR="003558F5" w:rsidRPr="00CF6765" w:rsidRDefault="003558F5" w:rsidP="00002163">
      <w:pPr>
        <w:pStyle w:val="Textonotapie"/>
        <w:spacing w:after="60"/>
        <w:rPr>
          <w:b/>
          <w:bCs/>
          <w:color w:val="000000"/>
          <w:sz w:val="16"/>
          <w:szCs w:val="16"/>
          <w:shd w:val="clear" w:color="auto" w:fill="FFFFFF"/>
          <w:lang w:val="en-US"/>
        </w:rPr>
      </w:pPr>
      <w:r w:rsidRPr="00CF6765">
        <w:rPr>
          <w:rStyle w:val="Refdenotaalpie"/>
          <w:sz w:val="16"/>
          <w:szCs w:val="16"/>
          <w:lang w:val="en-US"/>
        </w:rPr>
        <w:footnoteRef/>
      </w:r>
      <w:r w:rsidRPr="00392A9A">
        <w:rPr>
          <w:sz w:val="16"/>
          <w:szCs w:val="16"/>
          <w:lang w:val="es-CR"/>
        </w:rPr>
        <w:t xml:space="preserve"> </w:t>
      </w:r>
      <w:r w:rsidRPr="00392A9A">
        <w:rPr>
          <w:b/>
          <w:sz w:val="16"/>
          <w:szCs w:val="16"/>
          <w:lang w:val="es-CR"/>
        </w:rPr>
        <w:tab/>
      </w:r>
      <w:r w:rsidRPr="00392A9A">
        <w:rPr>
          <w:rStyle w:val="Textoennegrita"/>
          <w:b w:val="0"/>
          <w:i/>
          <w:color w:val="000000"/>
          <w:sz w:val="16"/>
          <w:szCs w:val="16"/>
          <w:shd w:val="clear" w:color="auto" w:fill="FFFFFF"/>
          <w:lang w:val="es-CR"/>
        </w:rPr>
        <w:t xml:space="preserve">Case </w:t>
      </w:r>
      <w:proofErr w:type="spellStart"/>
      <w:r w:rsidRPr="00392A9A">
        <w:rPr>
          <w:rStyle w:val="Textoennegrita"/>
          <w:b w:val="0"/>
          <w:i/>
          <w:color w:val="000000"/>
          <w:sz w:val="16"/>
          <w:szCs w:val="16"/>
          <w:shd w:val="clear" w:color="auto" w:fill="FFFFFF"/>
          <w:lang w:val="es-CR"/>
        </w:rPr>
        <w:t>of</w:t>
      </w:r>
      <w:proofErr w:type="spellEnd"/>
      <w:r w:rsidRPr="00392A9A">
        <w:rPr>
          <w:rStyle w:val="Textoennegrita"/>
          <w:b w:val="0"/>
          <w:i/>
          <w:color w:val="000000"/>
          <w:sz w:val="16"/>
          <w:szCs w:val="16"/>
          <w:shd w:val="clear" w:color="auto" w:fill="FFFFFF"/>
          <w:lang w:val="es-CR"/>
        </w:rPr>
        <w:t xml:space="preserve"> Lagos del Campo v. </w:t>
      </w:r>
      <w:proofErr w:type="spellStart"/>
      <w:r w:rsidRPr="00392A9A">
        <w:rPr>
          <w:rStyle w:val="Textoennegrita"/>
          <w:b w:val="0"/>
          <w:i/>
          <w:color w:val="000000"/>
          <w:sz w:val="16"/>
          <w:szCs w:val="16"/>
          <w:shd w:val="clear" w:color="auto" w:fill="FFFFFF"/>
          <w:lang w:val="es-CR"/>
        </w:rPr>
        <w:t>Peru</w:t>
      </w:r>
      <w:proofErr w:type="spellEnd"/>
      <w:r w:rsidRPr="00392A9A">
        <w:rPr>
          <w:rStyle w:val="Textoennegrita"/>
          <w:b w:val="0"/>
          <w:i/>
          <w:color w:val="000000"/>
          <w:sz w:val="16"/>
          <w:szCs w:val="16"/>
          <w:shd w:val="clear" w:color="auto" w:fill="FFFFFF"/>
          <w:lang w:val="es-CR"/>
        </w:rPr>
        <w:t>.</w:t>
      </w:r>
      <w:r w:rsidRPr="00392A9A">
        <w:rPr>
          <w:rStyle w:val="Textoennegrita"/>
          <w:i/>
          <w:color w:val="000000"/>
          <w:sz w:val="16"/>
          <w:szCs w:val="16"/>
          <w:shd w:val="clear" w:color="auto" w:fill="FFFFFF"/>
          <w:lang w:val="es-CR"/>
        </w:rPr>
        <w:t xml:space="preserve"> </w:t>
      </w:r>
      <w:r w:rsidRPr="00CF6765">
        <w:rPr>
          <w:bCs/>
          <w:i/>
          <w:color w:val="000000"/>
          <w:sz w:val="16"/>
          <w:szCs w:val="16"/>
          <w:shd w:val="clear" w:color="auto" w:fill="FFFFFF"/>
          <w:lang w:val="en-US"/>
        </w:rPr>
        <w:t xml:space="preserve">Preliminary objections, merits, reparations and costs. </w:t>
      </w:r>
      <w:r w:rsidRPr="00CF6765">
        <w:rPr>
          <w:bCs/>
          <w:color w:val="000000"/>
          <w:sz w:val="16"/>
          <w:szCs w:val="16"/>
          <w:shd w:val="clear" w:color="auto" w:fill="FFFFFF"/>
          <w:lang w:val="en-US"/>
        </w:rPr>
        <w:t>Judgment of August 31, 2017. Series C No. 340</w:t>
      </w:r>
      <w:r w:rsidRPr="00CF6765">
        <w:rPr>
          <w:b/>
          <w:bCs/>
          <w:color w:val="000000"/>
          <w:sz w:val="16"/>
          <w:szCs w:val="16"/>
          <w:shd w:val="clear" w:color="auto" w:fill="FFFFFF"/>
          <w:lang w:val="en-US"/>
        </w:rPr>
        <w:t>.</w:t>
      </w:r>
      <w:r w:rsidRPr="00CF6765">
        <w:rPr>
          <w:b/>
          <w:bCs/>
          <w:i/>
          <w:color w:val="000000"/>
          <w:sz w:val="16"/>
          <w:szCs w:val="16"/>
          <w:shd w:val="clear" w:color="auto" w:fill="FFFFFF"/>
          <w:lang w:val="en-US"/>
        </w:rPr>
        <w:t xml:space="preserve"> </w:t>
      </w:r>
      <w:r w:rsidRPr="00CF6765">
        <w:rPr>
          <w:rStyle w:val="Textoennegrita"/>
          <w:b w:val="0"/>
          <w:color w:val="000000"/>
          <w:sz w:val="16"/>
          <w:szCs w:val="16"/>
          <w:shd w:val="clear" w:color="auto" w:fill="FFFFFF"/>
          <w:lang w:val="en-US"/>
        </w:rPr>
        <w:t xml:space="preserve">Partially dissenting opinion of Judge Antonio Humberto Sierra Porto. </w:t>
      </w:r>
    </w:p>
  </w:footnote>
  <w:footnote w:id="338">
    <w:p w14:paraId="0C975692" w14:textId="1D9AEB47" w:rsidR="003558F5" w:rsidRPr="00CF6765" w:rsidRDefault="003558F5" w:rsidP="00002163">
      <w:pPr>
        <w:pStyle w:val="Textonotapie"/>
        <w:spacing w:after="60"/>
        <w:rPr>
          <w:rFonts w:eastAsia="Calibri"/>
          <w:b/>
          <w:bCs/>
          <w:color w:val="000000"/>
          <w:sz w:val="16"/>
          <w:szCs w:val="16"/>
          <w:shd w:val="clear" w:color="auto" w:fill="FFFFFF"/>
          <w:lang w:val="en-US"/>
        </w:rPr>
      </w:pPr>
      <w:r w:rsidRPr="00CF6765">
        <w:rPr>
          <w:rStyle w:val="Refdenotaalpie"/>
          <w:sz w:val="16"/>
          <w:szCs w:val="16"/>
          <w:lang w:val="en-US"/>
        </w:rPr>
        <w:footnoteRef/>
      </w:r>
      <w:r w:rsidRPr="00CF6765">
        <w:rPr>
          <w:sz w:val="16"/>
          <w:szCs w:val="16"/>
          <w:lang w:val="en-US"/>
        </w:rPr>
        <w:t xml:space="preserve"> </w:t>
      </w:r>
      <w:r w:rsidRPr="00CF6765">
        <w:rPr>
          <w:i/>
          <w:sz w:val="16"/>
          <w:szCs w:val="16"/>
          <w:lang w:val="en-US"/>
        </w:rPr>
        <w:tab/>
      </w:r>
      <w:r w:rsidRPr="00CF6765">
        <w:rPr>
          <w:bCs/>
          <w:i/>
          <w:sz w:val="16"/>
          <w:szCs w:val="16"/>
          <w:lang w:val="en-US"/>
        </w:rPr>
        <w:t xml:space="preserve">Case of the Discharged Employees of </w:t>
      </w:r>
      <w:proofErr w:type="spellStart"/>
      <w:r w:rsidRPr="00CF6765">
        <w:rPr>
          <w:bCs/>
          <w:i/>
          <w:sz w:val="16"/>
          <w:szCs w:val="16"/>
          <w:lang w:val="en-US"/>
        </w:rPr>
        <w:t>PetroPeru</w:t>
      </w:r>
      <w:proofErr w:type="spellEnd"/>
      <w:r w:rsidRPr="00CF6765">
        <w:rPr>
          <w:bCs/>
          <w:i/>
          <w:sz w:val="16"/>
          <w:szCs w:val="16"/>
          <w:lang w:val="en-US"/>
        </w:rPr>
        <w:t xml:space="preserve"> et al. v. Peru. Preliminary objections, merits, reparations and costs. </w:t>
      </w:r>
      <w:r w:rsidRPr="00CF6765">
        <w:rPr>
          <w:bCs/>
          <w:sz w:val="16"/>
          <w:szCs w:val="16"/>
          <w:lang w:val="en-US"/>
        </w:rPr>
        <w:t>Judgment of November 23, 2017. Series C No. 344</w:t>
      </w:r>
      <w:r w:rsidRPr="00CF6765">
        <w:rPr>
          <w:b/>
          <w:bCs/>
          <w:i/>
          <w:sz w:val="16"/>
          <w:szCs w:val="16"/>
          <w:lang w:val="en-US"/>
        </w:rPr>
        <w:t>.</w:t>
      </w:r>
      <w:r w:rsidRPr="00CF6765">
        <w:rPr>
          <w:b/>
          <w:bCs/>
          <w:sz w:val="16"/>
          <w:szCs w:val="16"/>
          <w:lang w:val="en-US"/>
        </w:rPr>
        <w:t xml:space="preserve"> </w:t>
      </w:r>
      <w:r w:rsidRPr="00CF6765">
        <w:rPr>
          <w:rStyle w:val="Textoennegrita"/>
          <w:b w:val="0"/>
          <w:color w:val="000000"/>
          <w:sz w:val="16"/>
          <w:szCs w:val="16"/>
          <w:shd w:val="clear" w:color="auto" w:fill="FFFFFF"/>
          <w:lang w:val="en-US"/>
        </w:rPr>
        <w:t xml:space="preserve">Partially dissenting opinion of Judge Antonio Humberto Sierra Porto. </w:t>
      </w:r>
    </w:p>
  </w:footnote>
  <w:footnote w:id="339">
    <w:p w14:paraId="24E0D4B1" w14:textId="310B6807" w:rsidR="003558F5" w:rsidRPr="00CF6765" w:rsidRDefault="003558F5" w:rsidP="00002163">
      <w:pPr>
        <w:pStyle w:val="Textonotapie"/>
        <w:spacing w:after="60"/>
        <w:rPr>
          <w:b/>
          <w:sz w:val="16"/>
          <w:szCs w:val="16"/>
          <w:lang w:val="en-US"/>
        </w:rPr>
      </w:pPr>
      <w:r w:rsidRPr="00CF6765">
        <w:rPr>
          <w:rStyle w:val="Refdenotaalpie"/>
          <w:b/>
          <w:sz w:val="16"/>
          <w:szCs w:val="16"/>
          <w:lang w:val="en-US"/>
        </w:rPr>
        <w:footnoteRef/>
      </w:r>
      <w:r w:rsidRPr="00CF6765">
        <w:rPr>
          <w:b/>
          <w:sz w:val="16"/>
          <w:szCs w:val="16"/>
          <w:lang w:val="en-US"/>
        </w:rPr>
        <w:t xml:space="preserve"> </w:t>
      </w:r>
      <w:r w:rsidRPr="00CF6765">
        <w:rPr>
          <w:b/>
          <w:sz w:val="16"/>
          <w:szCs w:val="16"/>
          <w:lang w:val="en-US"/>
        </w:rPr>
        <w:tab/>
      </w:r>
      <w:r w:rsidRPr="00CF6765">
        <w:rPr>
          <w:rStyle w:val="Textoennegrita"/>
          <w:b w:val="0"/>
          <w:i/>
          <w:color w:val="000000"/>
          <w:sz w:val="16"/>
          <w:szCs w:val="16"/>
          <w:shd w:val="clear" w:color="auto" w:fill="FFFFFF"/>
          <w:lang w:val="en-US"/>
        </w:rPr>
        <w:t>Case of San Miguel Sosa et al. v. Venezuela. Merits, reparations and costs.</w:t>
      </w:r>
      <w:r w:rsidRPr="00CF6765">
        <w:rPr>
          <w:rStyle w:val="Textoennegrita"/>
          <w:b w:val="0"/>
          <w:color w:val="000000"/>
          <w:sz w:val="16"/>
          <w:szCs w:val="16"/>
          <w:shd w:val="clear" w:color="auto" w:fill="FFFFFF"/>
          <w:lang w:val="en-US"/>
        </w:rPr>
        <w:t xml:space="preserve"> Judgment of February 8, 2018. Series C No. 348. Partially dissenting opinion of Judge Humberto A. Sierra Porto.</w:t>
      </w:r>
    </w:p>
  </w:footnote>
  <w:footnote w:id="340">
    <w:p w14:paraId="604C3FDF" w14:textId="1D8923C3" w:rsidR="003558F5" w:rsidRPr="00CF6765" w:rsidRDefault="003558F5" w:rsidP="00002163">
      <w:pPr>
        <w:pStyle w:val="Textonotapie"/>
        <w:spacing w:after="60"/>
        <w:rPr>
          <w:b/>
          <w:bCs/>
          <w:color w:val="000000"/>
          <w:sz w:val="16"/>
          <w:szCs w:val="16"/>
          <w:shd w:val="clear" w:color="auto" w:fill="FFFFFF"/>
          <w:lang w:val="en-US"/>
        </w:rPr>
      </w:pPr>
      <w:r w:rsidRPr="00CF6765">
        <w:rPr>
          <w:rStyle w:val="Refdenotaalpie"/>
          <w:sz w:val="16"/>
          <w:szCs w:val="16"/>
          <w:lang w:val="en-US"/>
        </w:rPr>
        <w:footnoteRef/>
      </w:r>
      <w:r w:rsidRPr="00392A9A">
        <w:rPr>
          <w:b/>
          <w:sz w:val="16"/>
          <w:szCs w:val="16"/>
          <w:lang w:val="es-CR"/>
        </w:rPr>
        <w:t xml:space="preserve"> </w:t>
      </w:r>
      <w:r w:rsidRPr="00392A9A">
        <w:rPr>
          <w:b/>
          <w:sz w:val="16"/>
          <w:szCs w:val="16"/>
          <w:lang w:val="es-CR"/>
        </w:rPr>
        <w:tab/>
      </w:r>
      <w:r w:rsidRPr="00392A9A">
        <w:rPr>
          <w:rStyle w:val="Textoennegrita"/>
          <w:b w:val="0"/>
          <w:i/>
          <w:color w:val="000000"/>
          <w:sz w:val="16"/>
          <w:szCs w:val="16"/>
          <w:shd w:val="clear" w:color="auto" w:fill="FFFFFF"/>
          <w:lang w:val="es-CR"/>
        </w:rPr>
        <w:t xml:space="preserve">Case </w:t>
      </w:r>
      <w:proofErr w:type="spellStart"/>
      <w:r w:rsidRPr="00392A9A">
        <w:rPr>
          <w:rStyle w:val="Textoennegrita"/>
          <w:b w:val="0"/>
          <w:i/>
          <w:color w:val="000000"/>
          <w:sz w:val="16"/>
          <w:szCs w:val="16"/>
          <w:shd w:val="clear" w:color="auto" w:fill="FFFFFF"/>
          <w:lang w:val="es-CR"/>
        </w:rPr>
        <w:t>of</w:t>
      </w:r>
      <w:proofErr w:type="spellEnd"/>
      <w:r w:rsidRPr="00392A9A">
        <w:rPr>
          <w:rStyle w:val="Textoennegrita"/>
          <w:b w:val="0"/>
          <w:i/>
          <w:color w:val="000000"/>
          <w:sz w:val="16"/>
          <w:szCs w:val="16"/>
          <w:shd w:val="clear" w:color="auto" w:fill="FFFFFF"/>
          <w:lang w:val="es-CR"/>
        </w:rPr>
        <w:t xml:space="preserve"> Gonzales </w:t>
      </w:r>
      <w:proofErr w:type="spellStart"/>
      <w:r w:rsidRPr="00392A9A">
        <w:rPr>
          <w:rStyle w:val="Textoennegrita"/>
          <w:b w:val="0"/>
          <w:i/>
          <w:color w:val="000000"/>
          <w:sz w:val="16"/>
          <w:szCs w:val="16"/>
          <w:shd w:val="clear" w:color="auto" w:fill="FFFFFF"/>
          <w:lang w:val="es-CR"/>
        </w:rPr>
        <w:t>Lluy</w:t>
      </w:r>
      <w:proofErr w:type="spellEnd"/>
      <w:r w:rsidRPr="00392A9A">
        <w:rPr>
          <w:rStyle w:val="Textoennegrita"/>
          <w:b w:val="0"/>
          <w:i/>
          <w:color w:val="000000"/>
          <w:sz w:val="16"/>
          <w:szCs w:val="16"/>
          <w:shd w:val="clear" w:color="auto" w:fill="FFFFFF"/>
          <w:lang w:val="es-CR"/>
        </w:rPr>
        <w:t xml:space="preserve"> et al. v. Ecuador.</w:t>
      </w:r>
      <w:r w:rsidRPr="00392A9A">
        <w:rPr>
          <w:rStyle w:val="Textoennegrita"/>
          <w:i/>
          <w:color w:val="000000"/>
          <w:sz w:val="16"/>
          <w:szCs w:val="16"/>
          <w:shd w:val="clear" w:color="auto" w:fill="FFFFFF"/>
          <w:lang w:val="es-CR"/>
        </w:rPr>
        <w:t xml:space="preserve"> </w:t>
      </w:r>
      <w:r w:rsidRPr="00CF6765">
        <w:rPr>
          <w:bCs/>
          <w:i/>
          <w:color w:val="000000"/>
          <w:sz w:val="16"/>
          <w:szCs w:val="16"/>
          <w:shd w:val="clear" w:color="auto" w:fill="FFFFFF"/>
          <w:lang w:val="en-US"/>
        </w:rPr>
        <w:t xml:space="preserve">Preliminary objections, merits, reparations and costs. </w:t>
      </w:r>
      <w:r w:rsidRPr="00CF6765">
        <w:rPr>
          <w:bCs/>
          <w:color w:val="000000"/>
          <w:sz w:val="16"/>
          <w:szCs w:val="16"/>
          <w:shd w:val="clear" w:color="auto" w:fill="FFFFFF"/>
          <w:lang w:val="en-US"/>
        </w:rPr>
        <w:t>Judgment of September 1, 2015. Series C No. 298</w:t>
      </w:r>
      <w:r w:rsidRPr="00CF6765">
        <w:rPr>
          <w:b/>
          <w:bCs/>
          <w:color w:val="000000"/>
          <w:sz w:val="16"/>
          <w:szCs w:val="16"/>
          <w:shd w:val="clear" w:color="auto" w:fill="FFFFFF"/>
          <w:lang w:val="en-US"/>
        </w:rPr>
        <w:t>.</w:t>
      </w:r>
      <w:r w:rsidRPr="00CF6765">
        <w:rPr>
          <w:rStyle w:val="Textoennegrita"/>
          <w:b w:val="0"/>
          <w:color w:val="000000"/>
          <w:sz w:val="16"/>
          <w:szCs w:val="16"/>
          <w:shd w:val="clear" w:color="auto" w:fill="FFFFFF"/>
          <w:lang w:val="en-US"/>
        </w:rPr>
        <w:t xml:space="preserve"> Concurring opinion of Judge Humberto Antonio Sierra Porto. </w:t>
      </w:r>
    </w:p>
  </w:footnote>
  <w:footnote w:id="341">
    <w:p w14:paraId="683B4957" w14:textId="4231B72A"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rStyle w:val="Textoennegrita"/>
          <w:b w:val="0"/>
          <w:i/>
          <w:color w:val="000000"/>
          <w:sz w:val="16"/>
          <w:szCs w:val="16"/>
          <w:shd w:val="clear" w:color="auto" w:fill="FFFFFF"/>
          <w:lang w:val="es-CR"/>
        </w:rPr>
        <w:t xml:space="preserve">Case </w:t>
      </w:r>
      <w:proofErr w:type="spellStart"/>
      <w:r w:rsidRPr="00392A9A">
        <w:rPr>
          <w:rStyle w:val="Textoennegrita"/>
          <w:b w:val="0"/>
          <w:i/>
          <w:color w:val="000000"/>
          <w:sz w:val="16"/>
          <w:szCs w:val="16"/>
          <w:shd w:val="clear" w:color="auto" w:fill="FFFFFF"/>
          <w:lang w:val="es-CR"/>
        </w:rPr>
        <w:t>of</w:t>
      </w:r>
      <w:proofErr w:type="spellEnd"/>
      <w:r w:rsidRPr="00392A9A">
        <w:rPr>
          <w:rStyle w:val="Textoennegrita"/>
          <w:b w:val="0"/>
          <w:i/>
          <w:color w:val="000000"/>
          <w:sz w:val="16"/>
          <w:szCs w:val="16"/>
          <w:shd w:val="clear" w:color="auto" w:fill="FFFFFF"/>
          <w:lang w:val="es-CR"/>
        </w:rPr>
        <w:t xml:space="preserve"> Lagos del Campo v. </w:t>
      </w:r>
      <w:proofErr w:type="spellStart"/>
      <w:r w:rsidRPr="00392A9A">
        <w:rPr>
          <w:rStyle w:val="Textoennegrita"/>
          <w:b w:val="0"/>
          <w:i/>
          <w:color w:val="000000"/>
          <w:sz w:val="16"/>
          <w:szCs w:val="16"/>
          <w:shd w:val="clear" w:color="auto" w:fill="FFFFFF"/>
          <w:lang w:val="es-CR"/>
        </w:rPr>
        <w:t>Peru</w:t>
      </w:r>
      <w:proofErr w:type="spellEnd"/>
      <w:r w:rsidRPr="00392A9A">
        <w:rPr>
          <w:rStyle w:val="Textoennegrita"/>
          <w:b w:val="0"/>
          <w:i/>
          <w:color w:val="000000"/>
          <w:sz w:val="16"/>
          <w:szCs w:val="16"/>
          <w:shd w:val="clear" w:color="auto" w:fill="FFFFFF"/>
          <w:lang w:val="es-CR"/>
        </w:rPr>
        <w:t>.</w:t>
      </w:r>
      <w:r w:rsidRPr="00392A9A">
        <w:rPr>
          <w:rStyle w:val="Textoennegrita"/>
          <w:i/>
          <w:color w:val="000000"/>
          <w:sz w:val="16"/>
          <w:szCs w:val="16"/>
          <w:shd w:val="clear" w:color="auto" w:fill="FFFFFF"/>
          <w:lang w:val="es-CR"/>
        </w:rPr>
        <w:t xml:space="preserve"> </w:t>
      </w:r>
      <w:r w:rsidRPr="00CF6765">
        <w:rPr>
          <w:bCs/>
          <w:i/>
          <w:color w:val="000000"/>
          <w:sz w:val="16"/>
          <w:szCs w:val="16"/>
          <w:shd w:val="clear" w:color="auto" w:fill="FFFFFF"/>
          <w:lang w:val="en-US"/>
        </w:rPr>
        <w:t xml:space="preserve">Preliminary objections, merits, reparations and costs. </w:t>
      </w:r>
      <w:r w:rsidRPr="00CF6765">
        <w:rPr>
          <w:bCs/>
          <w:color w:val="000000"/>
          <w:sz w:val="16"/>
          <w:szCs w:val="16"/>
          <w:shd w:val="clear" w:color="auto" w:fill="FFFFFF"/>
          <w:lang w:val="en-US"/>
        </w:rPr>
        <w:t>Judgment of August 31, 2017. Series C No. 340. Partially dissenting opinion of Judge Humberto A. Sierra Porto</w:t>
      </w:r>
      <w:r w:rsidRPr="00CF6765">
        <w:rPr>
          <w:bCs/>
          <w:i/>
          <w:color w:val="000000"/>
          <w:sz w:val="16"/>
          <w:szCs w:val="16"/>
          <w:shd w:val="clear" w:color="auto" w:fill="FFFFFF"/>
          <w:lang w:val="en-US"/>
        </w:rPr>
        <w:t>,</w:t>
      </w:r>
      <w:r w:rsidRPr="00CF6765">
        <w:rPr>
          <w:bCs/>
          <w:iCs/>
          <w:color w:val="000000"/>
          <w:sz w:val="16"/>
          <w:szCs w:val="16"/>
          <w:shd w:val="clear" w:color="auto" w:fill="FFFFFF"/>
          <w:lang w:val="en-US"/>
        </w:rPr>
        <w:t xml:space="preserve"> and</w:t>
      </w:r>
      <w:r w:rsidRPr="00CF6765">
        <w:rPr>
          <w:bCs/>
          <w:i/>
          <w:color w:val="000000"/>
          <w:sz w:val="16"/>
          <w:szCs w:val="16"/>
          <w:shd w:val="clear" w:color="auto" w:fill="FFFFFF"/>
          <w:lang w:val="en-US"/>
        </w:rPr>
        <w:t xml:space="preserve"> Case of the Discharged Employees of </w:t>
      </w:r>
      <w:proofErr w:type="spellStart"/>
      <w:r w:rsidRPr="00CF6765">
        <w:rPr>
          <w:bCs/>
          <w:i/>
          <w:color w:val="000000"/>
          <w:sz w:val="16"/>
          <w:szCs w:val="16"/>
          <w:shd w:val="clear" w:color="auto" w:fill="FFFFFF"/>
          <w:lang w:val="en-US"/>
        </w:rPr>
        <w:t>PetroPeru</w:t>
      </w:r>
      <w:proofErr w:type="spellEnd"/>
      <w:r w:rsidRPr="00CF6765">
        <w:rPr>
          <w:bCs/>
          <w:i/>
          <w:color w:val="000000"/>
          <w:sz w:val="16"/>
          <w:szCs w:val="16"/>
          <w:shd w:val="clear" w:color="auto" w:fill="FFFFFF"/>
          <w:lang w:val="en-US"/>
        </w:rPr>
        <w:t xml:space="preserve"> et al. v. Peru. Preliminary objections, merits, reparations and costs. </w:t>
      </w:r>
      <w:r w:rsidRPr="00CF6765">
        <w:rPr>
          <w:bCs/>
          <w:color w:val="000000"/>
          <w:sz w:val="16"/>
          <w:szCs w:val="16"/>
          <w:shd w:val="clear" w:color="auto" w:fill="FFFFFF"/>
          <w:lang w:val="en-US"/>
        </w:rPr>
        <w:t>Judgment of November 23, 2017. Series C No. 344. Partially dissenting opinion of Judge Humberto A. Sierra Porto.</w:t>
      </w:r>
    </w:p>
  </w:footnote>
  <w:footnote w:id="342">
    <w:p w14:paraId="0517A4C6" w14:textId="77777777" w:rsidR="003558F5" w:rsidRPr="00CF6765" w:rsidRDefault="003558F5" w:rsidP="00F90897">
      <w:pPr>
        <w:pStyle w:val="Textonotapie"/>
        <w:spacing w:after="60"/>
        <w:rPr>
          <w:b/>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rStyle w:val="Textoennegrita"/>
          <w:b w:val="0"/>
          <w:i/>
          <w:color w:val="000000"/>
          <w:sz w:val="16"/>
          <w:szCs w:val="16"/>
          <w:shd w:val="clear" w:color="auto" w:fill="FFFFFF"/>
          <w:lang w:val="en-US"/>
        </w:rPr>
        <w:t xml:space="preserve">Case of Lagos del Campo v. Peru. </w:t>
      </w:r>
      <w:r w:rsidRPr="00CF6765">
        <w:rPr>
          <w:bCs/>
          <w:i/>
          <w:color w:val="000000"/>
          <w:sz w:val="16"/>
          <w:szCs w:val="16"/>
          <w:shd w:val="clear" w:color="auto" w:fill="FFFFFF"/>
          <w:lang w:val="en-US"/>
        </w:rPr>
        <w:t xml:space="preserve">Preliminary objections, merits, reparations and costs. </w:t>
      </w:r>
      <w:r w:rsidRPr="00CF6765">
        <w:rPr>
          <w:bCs/>
          <w:color w:val="000000"/>
          <w:sz w:val="16"/>
          <w:szCs w:val="16"/>
          <w:shd w:val="clear" w:color="auto" w:fill="FFFFFF"/>
          <w:lang w:val="en-US"/>
        </w:rPr>
        <w:t>Judgment of August 31, 2017. Series C No. 340</w:t>
      </w:r>
      <w:r w:rsidRPr="00CF6765">
        <w:rPr>
          <w:b/>
          <w:bCs/>
          <w:color w:val="000000"/>
          <w:sz w:val="16"/>
          <w:szCs w:val="16"/>
          <w:shd w:val="clear" w:color="auto" w:fill="FFFFFF"/>
          <w:lang w:val="en-US"/>
        </w:rPr>
        <w:t>.</w:t>
      </w:r>
      <w:r w:rsidRPr="00CF6765">
        <w:rPr>
          <w:b/>
          <w:bCs/>
          <w:i/>
          <w:color w:val="000000"/>
          <w:sz w:val="16"/>
          <w:szCs w:val="16"/>
          <w:shd w:val="clear" w:color="auto" w:fill="FFFFFF"/>
          <w:lang w:val="en-US"/>
        </w:rPr>
        <w:t xml:space="preserve"> </w:t>
      </w:r>
      <w:r w:rsidRPr="00CF6765">
        <w:rPr>
          <w:rStyle w:val="Textoennegrita"/>
          <w:b w:val="0"/>
          <w:color w:val="000000"/>
          <w:sz w:val="16"/>
          <w:szCs w:val="16"/>
          <w:shd w:val="clear" w:color="auto" w:fill="FFFFFF"/>
          <w:lang w:val="en-US"/>
        </w:rPr>
        <w:t xml:space="preserve">Partially dissenting opinion of Judge Antonio Humberto Sierra Porto, para. 9, and </w:t>
      </w:r>
      <w:r w:rsidRPr="00CF6765">
        <w:rPr>
          <w:bCs/>
          <w:i/>
          <w:sz w:val="16"/>
          <w:szCs w:val="16"/>
          <w:lang w:val="en-US"/>
        </w:rPr>
        <w:t xml:space="preserve">Case of Gonzales </w:t>
      </w:r>
      <w:proofErr w:type="spellStart"/>
      <w:r w:rsidRPr="00CF6765">
        <w:rPr>
          <w:bCs/>
          <w:i/>
          <w:sz w:val="16"/>
          <w:szCs w:val="16"/>
          <w:lang w:val="en-US"/>
        </w:rPr>
        <w:t>Lluy</w:t>
      </w:r>
      <w:proofErr w:type="spellEnd"/>
      <w:r w:rsidRPr="00CF6765">
        <w:rPr>
          <w:bCs/>
          <w:i/>
          <w:sz w:val="16"/>
          <w:szCs w:val="16"/>
          <w:lang w:val="en-US"/>
        </w:rPr>
        <w:t xml:space="preserve"> et al. v. Ecuador. Preliminary objections, merits, reparations and costs.</w:t>
      </w:r>
      <w:r w:rsidRPr="00CF6765">
        <w:rPr>
          <w:bCs/>
          <w:sz w:val="16"/>
          <w:szCs w:val="16"/>
          <w:lang w:val="en-US"/>
        </w:rPr>
        <w:t xml:space="preserve"> Judgment of September 1, 2015. Series C No. 298</w:t>
      </w:r>
      <w:r w:rsidRPr="00CF6765">
        <w:rPr>
          <w:b/>
          <w:bCs/>
          <w:sz w:val="16"/>
          <w:szCs w:val="16"/>
          <w:lang w:val="en-US"/>
        </w:rPr>
        <w:t xml:space="preserve">. </w:t>
      </w:r>
      <w:r w:rsidRPr="00CF6765">
        <w:rPr>
          <w:rStyle w:val="Textoennegrita"/>
          <w:b w:val="0"/>
          <w:color w:val="000000"/>
          <w:sz w:val="16"/>
          <w:szCs w:val="16"/>
          <w:shd w:val="clear" w:color="auto" w:fill="FFFFFF"/>
          <w:lang w:val="en-US"/>
        </w:rPr>
        <w:t>Partially dissenting opinion of Judge Antonio Humberto Sierra Porto, paras. 7 to 9</w:t>
      </w:r>
      <w:r w:rsidRPr="00CF6765">
        <w:rPr>
          <w:b/>
          <w:bCs/>
          <w:sz w:val="16"/>
          <w:szCs w:val="16"/>
          <w:lang w:val="en-US"/>
        </w:rPr>
        <w:t>.</w:t>
      </w:r>
    </w:p>
  </w:footnote>
  <w:footnote w:id="343">
    <w:p w14:paraId="79EF5EE9" w14:textId="77777777" w:rsidR="003558F5" w:rsidRPr="00CF6765" w:rsidRDefault="003558F5" w:rsidP="00F90897">
      <w:pPr>
        <w:autoSpaceDE w:val="0"/>
        <w:autoSpaceDN w:val="0"/>
        <w:adjustRightInd w:val="0"/>
        <w:rPr>
          <w:rFonts w:eastAsiaTheme="minorHAnsi" w:cs="Garamond"/>
          <w:sz w:val="16"/>
          <w:szCs w:val="16"/>
          <w:lang w:val="en-US" w:eastAsia="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 xml:space="preserve">The Additional Protocol to the </w:t>
      </w:r>
      <w:r w:rsidRPr="00CF6765">
        <w:rPr>
          <w:iCs/>
          <w:sz w:val="16"/>
          <w:szCs w:val="16"/>
          <w:lang w:val="en-US"/>
        </w:rPr>
        <w:t xml:space="preserve">American Convention on Human Rights in the Area of Economic, Social and Cultural Rights “Protocol of San Salvador” establishes the following in </w:t>
      </w:r>
      <w:r w:rsidRPr="00CF6765">
        <w:rPr>
          <w:sz w:val="16"/>
          <w:szCs w:val="16"/>
          <w:lang w:val="en-US"/>
        </w:rPr>
        <w:t>Article 19(6): “</w:t>
      </w:r>
      <w:r w:rsidRPr="00CF6765">
        <w:rPr>
          <w:rFonts w:eastAsiaTheme="minorHAnsi" w:cs="Garamond"/>
          <w:sz w:val="16"/>
          <w:szCs w:val="16"/>
          <w:lang w:val="en-US" w:eastAsia="en-US"/>
        </w:rPr>
        <w:t>Any</w:t>
      </w:r>
      <w:r w:rsidRPr="00CF6765">
        <w:rPr>
          <w:rFonts w:ascii="Garamond" w:eastAsiaTheme="minorHAnsi" w:hAnsi="Garamond" w:cs="Garamond"/>
          <w:lang w:val="en-US" w:eastAsia="en-US"/>
        </w:rPr>
        <w:t xml:space="preserve"> </w:t>
      </w:r>
      <w:r w:rsidRPr="00CF6765">
        <w:rPr>
          <w:rFonts w:eastAsiaTheme="minorHAnsi" w:cs="Garamond"/>
          <w:sz w:val="16"/>
          <w:szCs w:val="16"/>
          <w:lang w:val="en-US" w:eastAsia="en-US"/>
        </w:rPr>
        <w:t>instance in which the rights established in paragraph (a) of Article 8 and in Article 13 are violated by action directly attributable to a State Party to this Protocol may give rise, through participation of the Inter-American Commission on Human Rights and, when applicable, of the Inter-American Court of Human Rights, to application of the system of individual petitions governed by Article 44 through 51 and 61 through 69 of the American Convention on Human Rights.</w:t>
      </w:r>
      <w:r w:rsidRPr="00CF6765">
        <w:rPr>
          <w:sz w:val="16"/>
          <w:szCs w:val="16"/>
          <w:lang w:val="en-US"/>
        </w:rPr>
        <w:t>”</w:t>
      </w:r>
    </w:p>
  </w:footnote>
  <w:footnote w:id="344">
    <w:p w14:paraId="69655D7E" w14:textId="105CF9B5" w:rsidR="003558F5" w:rsidRPr="00CF6765" w:rsidRDefault="003558F5" w:rsidP="00002163">
      <w:pPr>
        <w:pStyle w:val="Textonotapie"/>
        <w:spacing w:after="60"/>
        <w:rPr>
          <w:b/>
          <w:sz w:val="14"/>
          <w:szCs w:val="16"/>
          <w:lang w:val="en-US"/>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rStyle w:val="Textoennegrita"/>
          <w:b w:val="0"/>
          <w:i/>
          <w:color w:val="000000"/>
          <w:sz w:val="16"/>
          <w:szCs w:val="16"/>
          <w:shd w:val="clear" w:color="auto" w:fill="FFFFFF"/>
          <w:lang w:val="es-CR"/>
        </w:rPr>
        <w:t xml:space="preserve">Case </w:t>
      </w:r>
      <w:proofErr w:type="spellStart"/>
      <w:r w:rsidRPr="00392A9A">
        <w:rPr>
          <w:rStyle w:val="Textoennegrita"/>
          <w:b w:val="0"/>
          <w:i/>
          <w:color w:val="000000"/>
          <w:sz w:val="16"/>
          <w:szCs w:val="16"/>
          <w:shd w:val="clear" w:color="auto" w:fill="FFFFFF"/>
          <w:lang w:val="es-CR"/>
        </w:rPr>
        <w:t>of</w:t>
      </w:r>
      <w:proofErr w:type="spellEnd"/>
      <w:r w:rsidRPr="00392A9A">
        <w:rPr>
          <w:rStyle w:val="Textoennegrita"/>
          <w:b w:val="0"/>
          <w:i/>
          <w:color w:val="000000"/>
          <w:sz w:val="16"/>
          <w:szCs w:val="16"/>
          <w:shd w:val="clear" w:color="auto" w:fill="FFFFFF"/>
          <w:lang w:val="es-CR"/>
        </w:rPr>
        <w:t xml:space="preserve"> Lagos del Campo v. </w:t>
      </w:r>
      <w:proofErr w:type="spellStart"/>
      <w:r w:rsidRPr="00392A9A">
        <w:rPr>
          <w:rStyle w:val="Textoennegrita"/>
          <w:b w:val="0"/>
          <w:i/>
          <w:color w:val="000000"/>
          <w:sz w:val="16"/>
          <w:szCs w:val="16"/>
          <w:shd w:val="clear" w:color="auto" w:fill="FFFFFF"/>
          <w:lang w:val="es-CR"/>
        </w:rPr>
        <w:t>Peru</w:t>
      </w:r>
      <w:proofErr w:type="spellEnd"/>
      <w:r w:rsidRPr="00392A9A">
        <w:rPr>
          <w:rStyle w:val="Textoennegrita"/>
          <w:b w:val="0"/>
          <w:i/>
          <w:color w:val="000000"/>
          <w:sz w:val="16"/>
          <w:szCs w:val="16"/>
          <w:shd w:val="clear" w:color="auto" w:fill="FFFFFF"/>
          <w:lang w:val="es-CR"/>
        </w:rPr>
        <w:t>.</w:t>
      </w:r>
      <w:r w:rsidRPr="00392A9A">
        <w:rPr>
          <w:rStyle w:val="Textoennegrita"/>
          <w:i/>
          <w:color w:val="000000"/>
          <w:sz w:val="16"/>
          <w:szCs w:val="16"/>
          <w:shd w:val="clear" w:color="auto" w:fill="FFFFFF"/>
          <w:lang w:val="es-CR"/>
        </w:rPr>
        <w:t xml:space="preserve"> </w:t>
      </w:r>
      <w:r w:rsidRPr="00CF6765">
        <w:rPr>
          <w:bCs/>
          <w:i/>
          <w:color w:val="000000"/>
          <w:sz w:val="16"/>
          <w:szCs w:val="16"/>
          <w:shd w:val="clear" w:color="auto" w:fill="FFFFFF"/>
          <w:lang w:val="en-US"/>
        </w:rPr>
        <w:t xml:space="preserve">Preliminary objections, merits, reparations and costs. </w:t>
      </w:r>
      <w:r w:rsidRPr="00CF6765">
        <w:rPr>
          <w:bCs/>
          <w:color w:val="000000"/>
          <w:sz w:val="16"/>
          <w:szCs w:val="16"/>
          <w:shd w:val="clear" w:color="auto" w:fill="FFFFFF"/>
          <w:lang w:val="en-US"/>
        </w:rPr>
        <w:t>Judgment of August 31, 2017. Series C No. 340</w:t>
      </w:r>
      <w:r w:rsidRPr="00CF6765">
        <w:rPr>
          <w:bCs/>
          <w:i/>
          <w:color w:val="000000"/>
          <w:sz w:val="16"/>
          <w:szCs w:val="16"/>
          <w:shd w:val="clear" w:color="auto" w:fill="FFFFFF"/>
          <w:lang w:val="en-US"/>
        </w:rPr>
        <w:t xml:space="preserve">. </w:t>
      </w:r>
      <w:r w:rsidRPr="00CF6765">
        <w:rPr>
          <w:rStyle w:val="Textoennegrita"/>
          <w:b w:val="0"/>
          <w:color w:val="000000"/>
          <w:sz w:val="16"/>
          <w:szCs w:val="16"/>
          <w:shd w:val="clear" w:color="auto" w:fill="FFFFFF"/>
          <w:lang w:val="en-US"/>
        </w:rPr>
        <w:t>Partially dissenting opinion of Judge Antonio Humberto Sierra Porto, paras. 15 to 17</w:t>
      </w:r>
      <w:r w:rsidRPr="00CF6765">
        <w:rPr>
          <w:rStyle w:val="Textoennegrita"/>
          <w:b w:val="0"/>
          <w:color w:val="000000"/>
          <w:sz w:val="14"/>
          <w:szCs w:val="16"/>
          <w:shd w:val="clear" w:color="auto" w:fill="FFFFFF"/>
          <w:lang w:val="en-US"/>
        </w:rPr>
        <w:t>.</w:t>
      </w:r>
    </w:p>
  </w:footnote>
  <w:footnote w:id="345">
    <w:p w14:paraId="70C09B9D" w14:textId="7A9EFD65"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bCs/>
          <w:i/>
          <w:sz w:val="16"/>
          <w:szCs w:val="16"/>
          <w:lang w:val="en-US"/>
        </w:rPr>
        <w:t xml:space="preserve">Case of Gonzales </w:t>
      </w:r>
      <w:proofErr w:type="spellStart"/>
      <w:r w:rsidRPr="00CF6765">
        <w:rPr>
          <w:bCs/>
          <w:i/>
          <w:sz w:val="16"/>
          <w:szCs w:val="16"/>
          <w:lang w:val="en-US"/>
        </w:rPr>
        <w:t>Lluy</w:t>
      </w:r>
      <w:proofErr w:type="spellEnd"/>
      <w:r w:rsidRPr="00CF6765">
        <w:rPr>
          <w:bCs/>
          <w:i/>
          <w:sz w:val="16"/>
          <w:szCs w:val="16"/>
          <w:lang w:val="en-US"/>
        </w:rPr>
        <w:t xml:space="preserve"> et al. v. Ecuador. Preliminary objections, merits, reparations and costs.</w:t>
      </w:r>
      <w:r w:rsidRPr="00CF6765">
        <w:rPr>
          <w:bCs/>
          <w:sz w:val="16"/>
          <w:szCs w:val="16"/>
          <w:lang w:val="en-US"/>
        </w:rPr>
        <w:t xml:space="preserve"> Judgment of September 1, 2015. Series C No. 298, paras. 191 and 229; </w:t>
      </w:r>
      <w:r w:rsidRPr="00CF6765">
        <w:rPr>
          <w:rStyle w:val="Textoennegrita"/>
          <w:b w:val="0"/>
          <w:i/>
          <w:color w:val="000000"/>
          <w:sz w:val="16"/>
          <w:szCs w:val="16"/>
          <w:shd w:val="clear" w:color="auto" w:fill="FFFFFF"/>
          <w:lang w:val="en-US"/>
        </w:rPr>
        <w:t>Case of Suárez Peralta v. Ecuador. Preliminary objections, merits, reparations and costs.</w:t>
      </w:r>
      <w:r w:rsidRPr="00CF6765">
        <w:rPr>
          <w:rStyle w:val="Textoennegrita"/>
          <w:b w:val="0"/>
          <w:color w:val="000000"/>
          <w:sz w:val="16"/>
          <w:szCs w:val="16"/>
          <w:shd w:val="clear" w:color="auto" w:fill="FFFFFF"/>
          <w:lang w:val="en-US"/>
        </w:rPr>
        <w:t xml:space="preserve"> Judgment of May 21, 2013. Series C No. 57, 89 and 90; </w:t>
      </w:r>
      <w:r w:rsidRPr="00CF6765">
        <w:rPr>
          <w:rStyle w:val="Textoennegrita"/>
          <w:b w:val="0"/>
          <w:i/>
          <w:color w:val="000000"/>
          <w:sz w:val="16"/>
          <w:szCs w:val="16"/>
          <w:shd w:val="clear" w:color="auto" w:fill="FFFFFF"/>
          <w:lang w:val="en-US"/>
        </w:rPr>
        <w:t>Case of</w:t>
      </w:r>
      <w:r w:rsidRPr="00CF6765">
        <w:rPr>
          <w:bCs/>
          <w:i/>
          <w:color w:val="000000"/>
          <w:sz w:val="16"/>
          <w:szCs w:val="16"/>
          <w:shd w:val="clear" w:color="auto" w:fill="FFFFFF"/>
          <w:lang w:val="en-US"/>
        </w:rPr>
        <w:t xml:space="preserve"> Lagos del Campo v. Peru. Preliminary objections, merits, reparations and costs.</w:t>
      </w:r>
      <w:r w:rsidRPr="00CF6765">
        <w:rPr>
          <w:bCs/>
          <w:color w:val="000000"/>
          <w:sz w:val="16"/>
          <w:szCs w:val="16"/>
          <w:shd w:val="clear" w:color="auto" w:fill="FFFFFF"/>
          <w:lang w:val="en-US"/>
        </w:rPr>
        <w:t xml:space="preserve"> Judgment of August 31, 2017. Series C No. 340</w:t>
      </w:r>
      <w:r w:rsidRPr="00CF6765">
        <w:rPr>
          <w:rStyle w:val="Textoennegrita"/>
          <w:b w:val="0"/>
          <w:color w:val="000000"/>
          <w:sz w:val="16"/>
          <w:szCs w:val="16"/>
          <w:shd w:val="clear" w:color="auto" w:fill="FFFFFF"/>
          <w:lang w:val="en-US"/>
        </w:rPr>
        <w:t>, para. 154</w:t>
      </w:r>
      <w:r w:rsidRPr="00CF6765">
        <w:rPr>
          <w:b/>
          <w:bCs/>
          <w:color w:val="000000"/>
          <w:sz w:val="16"/>
          <w:szCs w:val="16"/>
          <w:shd w:val="clear" w:color="auto" w:fill="FFFFFF"/>
          <w:lang w:val="en-US"/>
        </w:rPr>
        <w:t>.</w:t>
      </w:r>
    </w:p>
  </w:footnote>
  <w:footnote w:id="346">
    <w:p w14:paraId="3F7891A7" w14:textId="1CCC5BF9" w:rsidR="003558F5" w:rsidRPr="00CF6765" w:rsidRDefault="003558F5" w:rsidP="001247D2">
      <w:pPr>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rStyle w:val="Textoennegrita"/>
          <w:b w:val="0"/>
          <w:i/>
          <w:color w:val="000000"/>
          <w:sz w:val="16"/>
          <w:szCs w:val="16"/>
          <w:shd w:val="clear" w:color="auto" w:fill="FFFFFF"/>
          <w:lang w:val="en-US"/>
        </w:rPr>
        <w:t>Case of Lagos del Campo v. Peru.</w:t>
      </w:r>
      <w:r w:rsidRPr="00CF6765">
        <w:rPr>
          <w:rStyle w:val="Textoennegrita"/>
          <w:i/>
          <w:color w:val="000000"/>
          <w:sz w:val="16"/>
          <w:szCs w:val="16"/>
          <w:shd w:val="clear" w:color="auto" w:fill="FFFFFF"/>
          <w:lang w:val="en-US"/>
        </w:rPr>
        <w:t xml:space="preserve"> </w:t>
      </w:r>
      <w:r w:rsidRPr="00CF6765">
        <w:rPr>
          <w:bCs/>
          <w:i/>
          <w:color w:val="000000"/>
          <w:sz w:val="16"/>
          <w:szCs w:val="16"/>
          <w:shd w:val="clear" w:color="auto" w:fill="FFFFFF"/>
          <w:lang w:val="en-US"/>
        </w:rPr>
        <w:t xml:space="preserve">Preliminary objections, merits, reparations and costs. </w:t>
      </w:r>
      <w:r w:rsidRPr="00CF6765">
        <w:rPr>
          <w:bCs/>
          <w:color w:val="000000"/>
          <w:sz w:val="16"/>
          <w:szCs w:val="16"/>
          <w:shd w:val="clear" w:color="auto" w:fill="FFFFFF"/>
          <w:lang w:val="en-US"/>
        </w:rPr>
        <w:t>Judgment of August 31, 2017. Series C No. 340</w:t>
      </w:r>
      <w:r w:rsidRPr="00CF6765">
        <w:rPr>
          <w:b/>
          <w:bCs/>
          <w:i/>
          <w:color w:val="000000"/>
          <w:sz w:val="16"/>
          <w:szCs w:val="16"/>
          <w:shd w:val="clear" w:color="auto" w:fill="FFFFFF"/>
          <w:lang w:val="en-US"/>
        </w:rPr>
        <w:t xml:space="preserve"> </w:t>
      </w:r>
      <w:r w:rsidRPr="00CF6765">
        <w:rPr>
          <w:rStyle w:val="Textoennegrita"/>
          <w:b w:val="0"/>
          <w:color w:val="000000"/>
          <w:sz w:val="16"/>
          <w:szCs w:val="16"/>
          <w:shd w:val="clear" w:color="auto" w:fill="FFFFFF"/>
          <w:lang w:val="en-US"/>
        </w:rPr>
        <w:t>Partially dissenting opinion of Judge Antonio Humberto Sierra Porto.</w:t>
      </w:r>
      <w:r w:rsidRPr="00CF6765">
        <w:rPr>
          <w:rStyle w:val="Textoennegrita"/>
          <w:color w:val="000000"/>
          <w:sz w:val="16"/>
          <w:szCs w:val="16"/>
          <w:shd w:val="clear" w:color="auto" w:fill="FFFFFF"/>
          <w:lang w:val="en-US"/>
        </w:rPr>
        <w:t xml:space="preserve"> </w:t>
      </w:r>
      <w:r w:rsidRPr="00CF6765">
        <w:rPr>
          <w:bCs/>
          <w:i/>
          <w:sz w:val="16"/>
          <w:szCs w:val="16"/>
          <w:lang w:val="en-US"/>
        </w:rPr>
        <w:t xml:space="preserve">Case of the Discharged Employees of </w:t>
      </w:r>
      <w:proofErr w:type="spellStart"/>
      <w:r w:rsidRPr="00CF6765">
        <w:rPr>
          <w:bCs/>
          <w:i/>
          <w:sz w:val="16"/>
          <w:szCs w:val="16"/>
          <w:lang w:val="en-US"/>
        </w:rPr>
        <w:t>PetroPeru</w:t>
      </w:r>
      <w:proofErr w:type="spellEnd"/>
      <w:r w:rsidRPr="00CF6765">
        <w:rPr>
          <w:bCs/>
          <w:i/>
          <w:sz w:val="16"/>
          <w:szCs w:val="16"/>
          <w:lang w:val="en-US"/>
        </w:rPr>
        <w:t xml:space="preserve"> et al. v. Peru. Preliminary objections, merits, reparations and costs. </w:t>
      </w:r>
      <w:r w:rsidRPr="00CF6765">
        <w:rPr>
          <w:bCs/>
          <w:sz w:val="16"/>
          <w:szCs w:val="16"/>
          <w:lang w:val="en-US"/>
        </w:rPr>
        <w:t>Judgment of November 23, 2017. Series C No. 344</w:t>
      </w:r>
      <w:r w:rsidRPr="00CF6765">
        <w:rPr>
          <w:bCs/>
          <w:i/>
          <w:sz w:val="16"/>
          <w:szCs w:val="16"/>
          <w:lang w:val="en-US"/>
        </w:rPr>
        <w:t>.</w:t>
      </w:r>
      <w:r w:rsidRPr="00CF6765">
        <w:rPr>
          <w:bCs/>
          <w:sz w:val="16"/>
          <w:szCs w:val="16"/>
          <w:lang w:val="en-US"/>
        </w:rPr>
        <w:t xml:space="preserve"> </w:t>
      </w:r>
      <w:r w:rsidRPr="00CF6765">
        <w:rPr>
          <w:rStyle w:val="Textoennegrita"/>
          <w:b w:val="0"/>
          <w:color w:val="000000"/>
          <w:sz w:val="16"/>
          <w:szCs w:val="16"/>
          <w:shd w:val="clear" w:color="auto" w:fill="FFFFFF"/>
          <w:lang w:val="en-US"/>
        </w:rPr>
        <w:t>Partially dissenting opinion of Judge Antonio Humberto Sierra Porto;</w:t>
      </w:r>
      <w:r w:rsidRPr="00CF6765">
        <w:rPr>
          <w:rStyle w:val="Textoennegrita"/>
          <w:color w:val="000000"/>
          <w:sz w:val="16"/>
          <w:szCs w:val="16"/>
          <w:shd w:val="clear" w:color="auto" w:fill="FFFFFF"/>
          <w:lang w:val="en-US"/>
        </w:rPr>
        <w:t xml:space="preserve"> </w:t>
      </w:r>
      <w:r w:rsidRPr="00CF6765">
        <w:rPr>
          <w:i/>
          <w:sz w:val="16"/>
          <w:szCs w:val="16"/>
          <w:lang w:val="en-US"/>
        </w:rPr>
        <w:t>Case of San Miguel Sosa et al. v. Venezuela.</w:t>
      </w:r>
      <w:r w:rsidRPr="00CF6765">
        <w:rPr>
          <w:sz w:val="16"/>
          <w:szCs w:val="16"/>
          <w:lang w:val="en-US"/>
        </w:rPr>
        <w:t xml:space="preserve"> </w:t>
      </w:r>
      <w:r w:rsidRPr="00CF6765">
        <w:rPr>
          <w:bCs/>
          <w:i/>
          <w:sz w:val="16"/>
          <w:szCs w:val="16"/>
          <w:lang w:val="en-US"/>
        </w:rPr>
        <w:t xml:space="preserve">Preliminary objections, merits, reparations and costs. </w:t>
      </w:r>
      <w:r w:rsidRPr="00CF6765">
        <w:rPr>
          <w:bCs/>
          <w:sz w:val="16"/>
          <w:szCs w:val="16"/>
          <w:lang w:val="en-US"/>
        </w:rPr>
        <w:t xml:space="preserve">Judgment of </w:t>
      </w:r>
      <w:r w:rsidRPr="00CF6765">
        <w:rPr>
          <w:sz w:val="16"/>
          <w:szCs w:val="16"/>
          <w:lang w:val="en-US"/>
        </w:rPr>
        <w:t>February 8, 2018. Series C. No. 348, and</w:t>
      </w:r>
      <w:r w:rsidRPr="00CF6765">
        <w:rPr>
          <w:b/>
          <w:sz w:val="16"/>
          <w:szCs w:val="16"/>
          <w:lang w:val="en-US"/>
        </w:rPr>
        <w:t xml:space="preserve"> </w:t>
      </w:r>
      <w:r w:rsidRPr="00CF6765">
        <w:rPr>
          <w:rStyle w:val="Textoennegrita"/>
          <w:b w:val="0"/>
          <w:i/>
          <w:color w:val="000000"/>
          <w:sz w:val="16"/>
          <w:szCs w:val="16"/>
          <w:shd w:val="clear" w:color="auto" w:fill="FFFFFF"/>
          <w:lang w:val="en-US"/>
        </w:rPr>
        <w:t>Case of</w:t>
      </w:r>
      <w:r w:rsidRPr="00CF6765">
        <w:rPr>
          <w:rStyle w:val="Textoennegrita"/>
          <w:i/>
          <w:color w:val="000000"/>
          <w:sz w:val="16"/>
          <w:szCs w:val="16"/>
          <w:shd w:val="clear" w:color="auto" w:fill="FFFFFF"/>
          <w:lang w:val="en-US"/>
        </w:rPr>
        <w:t xml:space="preserve"> </w:t>
      </w:r>
      <w:r w:rsidRPr="00CF6765">
        <w:rPr>
          <w:rStyle w:val="Textoennegrita"/>
          <w:b w:val="0"/>
          <w:i/>
          <w:color w:val="000000"/>
          <w:sz w:val="16"/>
          <w:szCs w:val="16"/>
          <w:shd w:val="clear" w:color="auto" w:fill="FFFFFF"/>
          <w:lang w:val="en-US"/>
        </w:rPr>
        <w:t xml:space="preserve">Gonzales </w:t>
      </w:r>
      <w:proofErr w:type="spellStart"/>
      <w:r w:rsidRPr="00CF6765">
        <w:rPr>
          <w:rStyle w:val="Textoennegrita"/>
          <w:b w:val="0"/>
          <w:i/>
          <w:color w:val="000000"/>
          <w:sz w:val="16"/>
          <w:szCs w:val="16"/>
          <w:shd w:val="clear" w:color="auto" w:fill="FFFFFF"/>
          <w:lang w:val="en-US"/>
        </w:rPr>
        <w:t>Lluy</w:t>
      </w:r>
      <w:proofErr w:type="spellEnd"/>
      <w:r w:rsidRPr="00CF6765">
        <w:rPr>
          <w:rStyle w:val="Textoennegrita"/>
          <w:b w:val="0"/>
          <w:i/>
          <w:color w:val="000000"/>
          <w:sz w:val="16"/>
          <w:szCs w:val="16"/>
          <w:shd w:val="clear" w:color="auto" w:fill="FFFFFF"/>
          <w:lang w:val="en-US"/>
        </w:rPr>
        <w:t xml:space="preserve"> et al. v. Ecuador.</w:t>
      </w:r>
      <w:r w:rsidRPr="00CF6765">
        <w:rPr>
          <w:rStyle w:val="Textoennegrita"/>
          <w:i/>
          <w:color w:val="000000"/>
          <w:sz w:val="16"/>
          <w:szCs w:val="16"/>
          <w:shd w:val="clear" w:color="auto" w:fill="FFFFFF"/>
          <w:lang w:val="en-US"/>
        </w:rPr>
        <w:t xml:space="preserve"> </w:t>
      </w:r>
      <w:r w:rsidRPr="00CF6765">
        <w:rPr>
          <w:bCs/>
          <w:i/>
          <w:color w:val="000000"/>
          <w:sz w:val="16"/>
          <w:szCs w:val="16"/>
          <w:shd w:val="clear" w:color="auto" w:fill="FFFFFF"/>
          <w:lang w:val="en-US"/>
        </w:rPr>
        <w:t xml:space="preserve">Preliminary objections, merits, reparations and costs. </w:t>
      </w:r>
      <w:r w:rsidRPr="00CF6765">
        <w:rPr>
          <w:bCs/>
          <w:color w:val="000000"/>
          <w:sz w:val="16"/>
          <w:szCs w:val="16"/>
          <w:shd w:val="clear" w:color="auto" w:fill="FFFFFF"/>
          <w:lang w:val="en-US"/>
        </w:rPr>
        <w:t>Judgment of September 1, 2015. Series C No. 298.</w:t>
      </w:r>
      <w:r w:rsidRPr="00CF6765">
        <w:rPr>
          <w:rStyle w:val="Textoennegrita"/>
          <w:b w:val="0"/>
          <w:color w:val="000000"/>
          <w:sz w:val="16"/>
          <w:szCs w:val="16"/>
          <w:shd w:val="clear" w:color="auto" w:fill="FFFFFF"/>
          <w:lang w:val="en-US"/>
        </w:rPr>
        <w:t xml:space="preserve"> Concurring opinion of Judge Humberto Antonio Sierra Porto.</w:t>
      </w:r>
      <w:r w:rsidRPr="00CF6765">
        <w:rPr>
          <w:rStyle w:val="Textoennegrita"/>
          <w:color w:val="000000"/>
          <w:sz w:val="16"/>
          <w:szCs w:val="16"/>
          <w:shd w:val="clear" w:color="auto" w:fill="FFFFFF"/>
          <w:lang w:val="en-US"/>
        </w:rPr>
        <w:t xml:space="preserve"> </w:t>
      </w:r>
    </w:p>
  </w:footnote>
  <w:footnote w:id="347">
    <w:p w14:paraId="0F7888CA" w14:textId="12C2E1E9"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For example, the judgment mentions the following: (</w:t>
      </w:r>
      <w:proofErr w:type="spellStart"/>
      <w:r w:rsidRPr="00CF6765">
        <w:rPr>
          <w:sz w:val="16"/>
          <w:szCs w:val="16"/>
          <w:lang w:val="en-US"/>
        </w:rPr>
        <w:t>i</w:t>
      </w:r>
      <w:proofErr w:type="spellEnd"/>
      <w:r w:rsidRPr="00CF6765">
        <w:rPr>
          <w:sz w:val="16"/>
          <w:szCs w:val="16"/>
          <w:lang w:val="en-US"/>
        </w:rPr>
        <w:t>) lack of information to the family with regard to the patient’s condition and treatment; (ii) performance of a surgical procedure without informed consent; (iii) precipitated discharge from the hospital; (iv) failure to provide the required intensive treatment in the Medical ICU; (v) unavailability of beds; (vi) lack of assistance with a mechanical ventilator, and (v) failure to order the patient’s transfer to another medical center with the necessary facilities.</w:t>
      </w:r>
    </w:p>
  </w:footnote>
  <w:footnote w:id="348">
    <w:p w14:paraId="1E246E0C" w14:textId="1ECAAD6B" w:rsidR="003558F5" w:rsidRPr="00CF6765" w:rsidRDefault="003558F5" w:rsidP="00002163">
      <w:pPr>
        <w:pStyle w:val="Textonotapie"/>
        <w:spacing w:after="60"/>
        <w:rPr>
          <w:sz w:val="16"/>
          <w:szCs w:val="16"/>
          <w:lang w:val="en-US"/>
        </w:rPr>
      </w:pPr>
      <w:r w:rsidRPr="00CF6765">
        <w:rPr>
          <w:rStyle w:val="Refdenotaalpie"/>
          <w:sz w:val="16"/>
          <w:szCs w:val="16"/>
          <w:lang w:val="en-US"/>
        </w:rPr>
        <w:footnoteRef/>
      </w:r>
      <w:r w:rsidRPr="00392A9A">
        <w:rPr>
          <w:sz w:val="16"/>
          <w:szCs w:val="16"/>
          <w:lang w:val="es-CR"/>
        </w:rPr>
        <w:t xml:space="preserve"> </w:t>
      </w:r>
      <w:r w:rsidRPr="00392A9A">
        <w:rPr>
          <w:sz w:val="16"/>
          <w:szCs w:val="16"/>
          <w:lang w:val="es-CR"/>
        </w:rPr>
        <w:tab/>
      </w:r>
      <w:r w:rsidRPr="00392A9A">
        <w:rPr>
          <w:rStyle w:val="Textoennegrita"/>
          <w:b w:val="0"/>
          <w:i/>
          <w:color w:val="000000"/>
          <w:sz w:val="16"/>
          <w:szCs w:val="16"/>
          <w:shd w:val="clear" w:color="auto" w:fill="FFFFFF"/>
          <w:lang w:val="es-CR"/>
        </w:rPr>
        <w:t xml:space="preserve">Case </w:t>
      </w:r>
      <w:proofErr w:type="spellStart"/>
      <w:r w:rsidRPr="00392A9A">
        <w:rPr>
          <w:rStyle w:val="Textoennegrita"/>
          <w:b w:val="0"/>
          <w:i/>
          <w:color w:val="000000"/>
          <w:sz w:val="16"/>
          <w:szCs w:val="16"/>
          <w:shd w:val="clear" w:color="auto" w:fill="FFFFFF"/>
          <w:lang w:val="es-CR"/>
        </w:rPr>
        <w:t>of</w:t>
      </w:r>
      <w:proofErr w:type="spellEnd"/>
      <w:r w:rsidRPr="00392A9A">
        <w:rPr>
          <w:rStyle w:val="Textoennegrita"/>
          <w:b w:val="0"/>
          <w:i/>
          <w:color w:val="000000"/>
          <w:sz w:val="16"/>
          <w:szCs w:val="16"/>
          <w:shd w:val="clear" w:color="auto" w:fill="FFFFFF"/>
          <w:lang w:val="es-CR"/>
        </w:rPr>
        <w:t xml:space="preserve"> Gonzales </w:t>
      </w:r>
      <w:proofErr w:type="spellStart"/>
      <w:r w:rsidRPr="00392A9A">
        <w:rPr>
          <w:rStyle w:val="Textoennegrita"/>
          <w:b w:val="0"/>
          <w:i/>
          <w:color w:val="000000"/>
          <w:sz w:val="16"/>
          <w:szCs w:val="16"/>
          <w:shd w:val="clear" w:color="auto" w:fill="FFFFFF"/>
          <w:lang w:val="es-CR"/>
        </w:rPr>
        <w:t>Lluy</w:t>
      </w:r>
      <w:proofErr w:type="spellEnd"/>
      <w:r w:rsidRPr="00392A9A">
        <w:rPr>
          <w:rStyle w:val="Textoennegrita"/>
          <w:b w:val="0"/>
          <w:i/>
          <w:color w:val="000000"/>
          <w:sz w:val="16"/>
          <w:szCs w:val="16"/>
          <w:shd w:val="clear" w:color="auto" w:fill="FFFFFF"/>
          <w:lang w:val="es-CR"/>
        </w:rPr>
        <w:t xml:space="preserve"> et al. v. Ecuador.</w:t>
      </w:r>
      <w:r w:rsidRPr="00392A9A">
        <w:rPr>
          <w:rStyle w:val="Textoennegrita"/>
          <w:i/>
          <w:color w:val="000000"/>
          <w:sz w:val="16"/>
          <w:szCs w:val="16"/>
          <w:shd w:val="clear" w:color="auto" w:fill="FFFFFF"/>
          <w:lang w:val="es-CR"/>
        </w:rPr>
        <w:t xml:space="preserve"> </w:t>
      </w:r>
      <w:r w:rsidRPr="00CF6765">
        <w:rPr>
          <w:bCs/>
          <w:i/>
          <w:color w:val="000000"/>
          <w:sz w:val="16"/>
          <w:szCs w:val="16"/>
          <w:shd w:val="clear" w:color="auto" w:fill="FFFFFF"/>
          <w:lang w:val="en-US"/>
        </w:rPr>
        <w:t xml:space="preserve">Preliminary objections, merits, reparations and costs. </w:t>
      </w:r>
      <w:r w:rsidRPr="00CF6765">
        <w:rPr>
          <w:bCs/>
          <w:color w:val="000000"/>
          <w:sz w:val="16"/>
          <w:szCs w:val="16"/>
          <w:shd w:val="clear" w:color="auto" w:fill="FFFFFF"/>
          <w:lang w:val="en-US"/>
        </w:rPr>
        <w:t>Judgment of September 1, 2015. Series C No. 298</w:t>
      </w:r>
      <w:r w:rsidRPr="00CF6765">
        <w:rPr>
          <w:b/>
          <w:bCs/>
          <w:i/>
          <w:color w:val="000000"/>
          <w:sz w:val="16"/>
          <w:szCs w:val="16"/>
          <w:shd w:val="clear" w:color="auto" w:fill="FFFFFF"/>
          <w:lang w:val="en-US"/>
        </w:rPr>
        <w:t>.</w:t>
      </w:r>
      <w:r w:rsidRPr="00CF6765">
        <w:rPr>
          <w:rStyle w:val="Textoennegrita"/>
          <w:b w:val="0"/>
          <w:color w:val="000000"/>
          <w:sz w:val="16"/>
          <w:szCs w:val="16"/>
          <w:shd w:val="clear" w:color="auto" w:fill="FFFFFF"/>
          <w:lang w:val="en-US"/>
        </w:rPr>
        <w:t xml:space="preserve"> Concurring opinion of Judge Humberto Antonio Sierra Porto, </w:t>
      </w:r>
      <w:r w:rsidRPr="00CF6765">
        <w:rPr>
          <w:bCs/>
          <w:color w:val="000000"/>
          <w:sz w:val="16"/>
          <w:szCs w:val="16"/>
          <w:shd w:val="clear" w:color="auto" w:fill="FFFFFF"/>
          <w:lang w:val="en-US"/>
        </w:rPr>
        <w:t xml:space="preserve">para. 4. </w:t>
      </w:r>
    </w:p>
  </w:footnote>
  <w:footnote w:id="349">
    <w:p w14:paraId="769E92D4" w14:textId="7B4FBACD" w:rsidR="003558F5" w:rsidRPr="00CF6765" w:rsidRDefault="003558F5" w:rsidP="003D16AE">
      <w:pPr>
        <w:pStyle w:val="Prrafodelista"/>
        <w:spacing w:after="60"/>
        <w:ind w:left="0"/>
        <w:contextualSpacing/>
        <w:rPr>
          <w:rFonts w:cs="Arial"/>
          <w:sz w:val="20"/>
          <w:szCs w:val="20"/>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In the</w:t>
      </w:r>
      <w:r w:rsidRPr="00CF6765">
        <w:rPr>
          <w:b/>
          <w:sz w:val="16"/>
          <w:szCs w:val="16"/>
          <w:lang w:val="en-US"/>
        </w:rPr>
        <w:t xml:space="preserve"> </w:t>
      </w:r>
      <w:r w:rsidRPr="00CF6765">
        <w:rPr>
          <w:rStyle w:val="Textoennegrita"/>
          <w:b w:val="0"/>
          <w:i/>
          <w:color w:val="000000"/>
          <w:sz w:val="16"/>
          <w:szCs w:val="16"/>
          <w:shd w:val="clear" w:color="auto" w:fill="FFFFFF"/>
          <w:lang w:val="en-US"/>
        </w:rPr>
        <w:t>Case of Lagos del Campo v. Peru.</w:t>
      </w:r>
      <w:r w:rsidRPr="00CF6765">
        <w:rPr>
          <w:rStyle w:val="Textoennegrita"/>
          <w:i/>
          <w:color w:val="000000"/>
          <w:sz w:val="16"/>
          <w:szCs w:val="16"/>
          <w:shd w:val="clear" w:color="auto" w:fill="FFFFFF"/>
          <w:lang w:val="en-US"/>
        </w:rPr>
        <w:t xml:space="preserve"> </w:t>
      </w:r>
      <w:r w:rsidRPr="00CF6765">
        <w:rPr>
          <w:bCs/>
          <w:i/>
          <w:color w:val="000000"/>
          <w:sz w:val="16"/>
          <w:szCs w:val="16"/>
          <w:shd w:val="clear" w:color="auto" w:fill="FFFFFF"/>
          <w:lang w:val="en-US"/>
        </w:rPr>
        <w:t xml:space="preserve">Preliminary objections, merits, reparations and costs. </w:t>
      </w:r>
      <w:r w:rsidRPr="00CF6765">
        <w:rPr>
          <w:bCs/>
          <w:color w:val="000000"/>
          <w:sz w:val="16"/>
          <w:szCs w:val="16"/>
          <w:shd w:val="clear" w:color="auto" w:fill="FFFFFF"/>
          <w:lang w:val="en-US"/>
        </w:rPr>
        <w:t>Judgment of August 31, 2017</w:t>
      </w:r>
      <w:r w:rsidRPr="00CF6765">
        <w:rPr>
          <w:bCs/>
          <w:i/>
          <w:color w:val="000000"/>
          <w:sz w:val="16"/>
          <w:szCs w:val="16"/>
          <w:shd w:val="clear" w:color="auto" w:fill="FFFFFF"/>
          <w:lang w:val="en-US"/>
        </w:rPr>
        <w:t xml:space="preserve">. </w:t>
      </w:r>
      <w:r w:rsidRPr="00CF6765">
        <w:rPr>
          <w:bCs/>
          <w:color w:val="000000"/>
          <w:sz w:val="16"/>
          <w:szCs w:val="16"/>
          <w:shd w:val="clear" w:color="auto" w:fill="FFFFFF"/>
          <w:lang w:val="en-US"/>
        </w:rPr>
        <w:t>Series C No. 340.</w:t>
      </w:r>
      <w:r w:rsidRPr="00CF6765">
        <w:rPr>
          <w:b/>
          <w:bCs/>
          <w:i/>
          <w:color w:val="000000"/>
          <w:sz w:val="16"/>
          <w:szCs w:val="16"/>
          <w:shd w:val="clear" w:color="auto" w:fill="FFFFFF"/>
          <w:lang w:val="en-US"/>
        </w:rPr>
        <w:t xml:space="preserve"> </w:t>
      </w:r>
      <w:r w:rsidRPr="00CF6765">
        <w:rPr>
          <w:rStyle w:val="Textoennegrita"/>
          <w:b w:val="0"/>
          <w:color w:val="000000"/>
          <w:sz w:val="16"/>
          <w:szCs w:val="16"/>
          <w:shd w:val="clear" w:color="auto" w:fill="FFFFFF"/>
          <w:lang w:val="en-US"/>
        </w:rPr>
        <w:t>Partially dissenting opinion of Judge Antonio Humberto Sierra Porto. In this opinion, I stated the following:</w:t>
      </w:r>
      <w:r w:rsidRPr="00CF6765">
        <w:rPr>
          <w:rStyle w:val="Textoennegrita"/>
          <w:color w:val="000000"/>
          <w:sz w:val="16"/>
          <w:szCs w:val="16"/>
          <w:shd w:val="clear" w:color="auto" w:fill="FFFFFF"/>
          <w:lang w:val="en-US"/>
        </w:rPr>
        <w:t xml:space="preserve"> “</w:t>
      </w:r>
      <w:r w:rsidRPr="00CF6765">
        <w:rPr>
          <w:sz w:val="16"/>
          <w:szCs w:val="16"/>
          <w:lang w:val="en-US"/>
        </w:rPr>
        <w:t xml:space="preserve">If trying to construct a list of ESCR based on the Charter is a complex interpretive task, using every existing human rights treaties to give content to Article 26 of the ACHR can only create a dynamic of </w:t>
      </w:r>
      <w:r w:rsidRPr="00CF6765">
        <w:rPr>
          <w:rFonts w:cs="Arial"/>
          <w:sz w:val="16"/>
          <w:szCs w:val="16"/>
          <w:lang w:val="en-US"/>
        </w:rPr>
        <w:t>“</w:t>
      </w:r>
      <w:r w:rsidRPr="00CF6765">
        <w:rPr>
          <w:rFonts w:cs="Arial"/>
          <w:i/>
          <w:sz w:val="16"/>
          <w:szCs w:val="16"/>
          <w:lang w:val="en-US"/>
        </w:rPr>
        <w:t xml:space="preserve">vis </w:t>
      </w:r>
      <w:proofErr w:type="spellStart"/>
      <w:r w:rsidRPr="00CF6765">
        <w:rPr>
          <w:rFonts w:cs="Arial"/>
          <w:i/>
          <w:sz w:val="16"/>
          <w:szCs w:val="16"/>
          <w:lang w:val="en-US"/>
        </w:rPr>
        <w:t>expansiva</w:t>
      </w:r>
      <w:proofErr w:type="spellEnd"/>
      <w:r w:rsidRPr="00CF6765">
        <w:rPr>
          <w:rFonts w:cs="Arial"/>
          <w:sz w:val="16"/>
          <w:szCs w:val="16"/>
          <w:lang w:val="en-US"/>
        </w:rPr>
        <w:t>” [“expansive force”] of the international responsibility of the States. In other words, since there is no definitive list of the ESCR the violation of which generates State responsibility, the States are unable to prevent or redress such violations in the domestic sphere because, simply put, the Inter-American Court may amend the list of rights depending on the case.”</w:t>
      </w:r>
    </w:p>
  </w:footnote>
  <w:footnote w:id="350">
    <w:p w14:paraId="3C73D25E" w14:textId="382A9188" w:rsidR="003558F5" w:rsidRPr="00CF6765" w:rsidRDefault="003558F5" w:rsidP="000A2801">
      <w:pPr>
        <w:pStyle w:val="NormalWeb"/>
        <w:spacing w:line="240" w:lineRule="auto"/>
        <w:jc w:val="both"/>
        <w:rPr>
          <w:rFonts w:ascii="Verdana" w:eastAsia="Times New Roman" w:hAnsi="Verdana"/>
          <w:sz w:val="16"/>
          <w:szCs w:val="16"/>
        </w:rPr>
      </w:pPr>
      <w:r w:rsidRPr="00CF6765">
        <w:rPr>
          <w:rStyle w:val="Refdenotaalpie"/>
          <w:rFonts w:ascii="Verdana" w:hAnsi="Verdana"/>
          <w:sz w:val="16"/>
          <w:szCs w:val="16"/>
        </w:rPr>
        <w:footnoteRef/>
      </w:r>
      <w:r w:rsidRPr="00CF6765">
        <w:rPr>
          <w:rFonts w:ascii="Verdana" w:hAnsi="Verdana"/>
          <w:sz w:val="16"/>
          <w:szCs w:val="16"/>
        </w:rPr>
        <w:t xml:space="preserve"> </w:t>
      </w:r>
      <w:r w:rsidRPr="00CF6765">
        <w:rPr>
          <w:rFonts w:ascii="Verdana" w:hAnsi="Verdana"/>
          <w:sz w:val="16"/>
          <w:szCs w:val="16"/>
        </w:rPr>
        <w:tab/>
        <w:t xml:space="preserve">It should be recalled that Article 38(a) of the Statute of the International Court of Justice indicates: “1. </w:t>
      </w:r>
      <w:r w:rsidRPr="00CF6765">
        <w:rPr>
          <w:rFonts w:ascii="Verdana" w:eastAsia="Times New Roman" w:hAnsi="Verdana"/>
          <w:sz w:val="16"/>
          <w:szCs w:val="16"/>
        </w:rPr>
        <w:t xml:space="preserve">The Court, whose function is to decide in accordance with international law such disputes as are submitted to it, shall apply: (a) </w:t>
      </w:r>
      <w:r w:rsidRPr="00CF6765">
        <w:rPr>
          <w:rFonts w:ascii="Verdana" w:hAnsi="Verdana"/>
          <w:sz w:val="16"/>
          <w:szCs w:val="16"/>
        </w:rPr>
        <w:t>international conventions, whether general or particular, establishing rules expressly recognized by the contesting states; (</w:t>
      </w:r>
      <w:r w:rsidRPr="00CF6765">
        <w:rPr>
          <w:rFonts w:ascii="Verdana" w:eastAsia="Times New Roman" w:hAnsi="Verdana"/>
          <w:sz w:val="16"/>
          <w:szCs w:val="16"/>
        </w:rPr>
        <w:t>b) international custom, as evidence of a general practice accepted as law; (c)  the general principles of law recognized by civilized nations; (d) subject to the provisions of Article 59, judicial decisions and the teachings of the most highly qualified publicists of the various nations, as subsidiary means for the determination of rules of law.”</w:t>
      </w:r>
    </w:p>
  </w:footnote>
  <w:footnote w:id="351">
    <w:p w14:paraId="425A23A9" w14:textId="6CEA2DA8" w:rsidR="003558F5" w:rsidRPr="00CF6765" w:rsidRDefault="003558F5" w:rsidP="00002163">
      <w:pPr>
        <w:pStyle w:val="Textonotapie"/>
        <w:spacing w:after="60"/>
        <w:rPr>
          <w:bCs/>
          <w:color w:val="000000"/>
          <w:sz w:val="16"/>
          <w:szCs w:val="16"/>
          <w:shd w:val="clear" w:color="auto" w:fill="FFFFFF"/>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bCs/>
          <w:i/>
          <w:sz w:val="16"/>
          <w:szCs w:val="16"/>
          <w:lang w:val="en-US"/>
        </w:rPr>
        <w:t xml:space="preserve">Case of the Discharged Employees of </w:t>
      </w:r>
      <w:proofErr w:type="spellStart"/>
      <w:r w:rsidRPr="00CF6765">
        <w:rPr>
          <w:bCs/>
          <w:i/>
          <w:sz w:val="16"/>
          <w:szCs w:val="16"/>
          <w:lang w:val="en-US"/>
        </w:rPr>
        <w:t>PetroPeru</w:t>
      </w:r>
      <w:proofErr w:type="spellEnd"/>
      <w:r w:rsidRPr="00CF6765">
        <w:rPr>
          <w:bCs/>
          <w:i/>
          <w:sz w:val="16"/>
          <w:szCs w:val="16"/>
          <w:lang w:val="en-US"/>
        </w:rPr>
        <w:t xml:space="preserve"> et al. v. Peru. Preliminary objections, merits, reparations and costs. </w:t>
      </w:r>
      <w:r w:rsidRPr="00CF6765">
        <w:rPr>
          <w:bCs/>
          <w:sz w:val="16"/>
          <w:szCs w:val="16"/>
          <w:lang w:val="en-US"/>
        </w:rPr>
        <w:t>Judgment of November 23, 2017. Series C No. 344</w:t>
      </w:r>
      <w:r w:rsidRPr="00CF6765">
        <w:rPr>
          <w:bCs/>
          <w:i/>
          <w:sz w:val="16"/>
          <w:szCs w:val="16"/>
          <w:lang w:val="en-US"/>
        </w:rPr>
        <w:t>.</w:t>
      </w:r>
      <w:r w:rsidRPr="00CF6765">
        <w:rPr>
          <w:bCs/>
          <w:sz w:val="16"/>
          <w:szCs w:val="16"/>
          <w:lang w:val="en-US"/>
        </w:rPr>
        <w:t xml:space="preserve"> </w:t>
      </w:r>
      <w:r w:rsidRPr="00CF6765">
        <w:rPr>
          <w:rStyle w:val="Textoennegrita"/>
          <w:b w:val="0"/>
          <w:color w:val="000000"/>
          <w:sz w:val="16"/>
          <w:szCs w:val="16"/>
          <w:shd w:val="clear" w:color="auto" w:fill="FFFFFF"/>
          <w:lang w:val="en-US"/>
        </w:rPr>
        <w:t>Partially dissenting opinion of Judge Antonio Humberto Sierra Porto</w:t>
      </w:r>
      <w:r w:rsidRPr="00CF6765">
        <w:rPr>
          <w:bCs/>
          <w:color w:val="000000"/>
          <w:sz w:val="16"/>
          <w:szCs w:val="16"/>
          <w:shd w:val="clear" w:color="auto" w:fill="FFFFFF"/>
          <w:lang w:val="en-US"/>
        </w:rPr>
        <w:t xml:space="preserve">, paras. 14 to 20. </w:t>
      </w:r>
      <w:r w:rsidRPr="00CF6765">
        <w:rPr>
          <w:bCs/>
          <w:i/>
          <w:color w:val="000000"/>
          <w:sz w:val="16"/>
          <w:szCs w:val="16"/>
          <w:shd w:val="clear" w:color="auto" w:fill="FFFFFF"/>
          <w:lang w:val="en-US"/>
        </w:rPr>
        <w:t xml:space="preserve">Case of the Pacheco </w:t>
      </w:r>
      <w:proofErr w:type="spellStart"/>
      <w:r w:rsidRPr="00CF6765">
        <w:rPr>
          <w:bCs/>
          <w:i/>
          <w:color w:val="000000"/>
          <w:sz w:val="16"/>
          <w:szCs w:val="16"/>
          <w:shd w:val="clear" w:color="auto" w:fill="FFFFFF"/>
          <w:lang w:val="en-US"/>
        </w:rPr>
        <w:t>Tineo</w:t>
      </w:r>
      <w:proofErr w:type="spellEnd"/>
      <w:r w:rsidRPr="00CF6765">
        <w:rPr>
          <w:bCs/>
          <w:i/>
          <w:color w:val="000000"/>
          <w:sz w:val="16"/>
          <w:szCs w:val="16"/>
          <w:shd w:val="clear" w:color="auto" w:fill="FFFFFF"/>
          <w:lang w:val="en-US"/>
        </w:rPr>
        <w:t xml:space="preserve"> family v. Bolivia. Preliminary objections, merits, reparations and costs. </w:t>
      </w:r>
      <w:r w:rsidRPr="00CF6765">
        <w:rPr>
          <w:bCs/>
          <w:color w:val="000000"/>
          <w:sz w:val="16"/>
          <w:szCs w:val="16"/>
          <w:shd w:val="clear" w:color="auto" w:fill="FFFFFF"/>
          <w:lang w:val="en-US"/>
        </w:rPr>
        <w:t>Judgment of November 25, 2013. Series C No. 272, para. 143.</w:t>
      </w:r>
    </w:p>
  </w:footnote>
  <w:footnote w:id="352">
    <w:p w14:paraId="4642E7F2" w14:textId="2EB73DE0" w:rsidR="003558F5" w:rsidRPr="00CF6765" w:rsidRDefault="003558F5" w:rsidP="00D5302A">
      <w:pPr>
        <w:pStyle w:val="Textonotapie"/>
        <w:spacing w:after="60"/>
        <w:rPr>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t>Sergio García Ramírez, who was a judge of the Inter-American Court at the time, in an article entitled “</w:t>
      </w:r>
      <w:r w:rsidRPr="00CF6765">
        <w:rPr>
          <w:i/>
          <w:iCs/>
          <w:sz w:val="16"/>
          <w:szCs w:val="16"/>
          <w:lang w:val="en-US"/>
        </w:rPr>
        <w:t xml:space="preserve">El control judicial </w:t>
      </w:r>
      <w:proofErr w:type="spellStart"/>
      <w:r w:rsidRPr="00CF6765">
        <w:rPr>
          <w:i/>
          <w:iCs/>
          <w:sz w:val="16"/>
          <w:szCs w:val="16"/>
          <w:lang w:val="en-US"/>
        </w:rPr>
        <w:t>interno</w:t>
      </w:r>
      <w:proofErr w:type="spellEnd"/>
      <w:r w:rsidRPr="00CF6765">
        <w:rPr>
          <w:i/>
          <w:iCs/>
          <w:sz w:val="16"/>
          <w:szCs w:val="16"/>
          <w:lang w:val="en-US"/>
        </w:rPr>
        <w:t xml:space="preserve"> de </w:t>
      </w:r>
      <w:proofErr w:type="spellStart"/>
      <w:r w:rsidRPr="00CF6765">
        <w:rPr>
          <w:i/>
          <w:iCs/>
          <w:sz w:val="16"/>
          <w:szCs w:val="16"/>
          <w:lang w:val="en-US"/>
        </w:rPr>
        <w:t>convencionalidad</w:t>
      </w:r>
      <w:proofErr w:type="spellEnd"/>
      <w:r w:rsidRPr="00CF6765">
        <w:rPr>
          <w:sz w:val="16"/>
          <w:szCs w:val="16"/>
          <w:lang w:val="en-US"/>
        </w:rPr>
        <w:t xml:space="preserve">” published in IUS, </w:t>
      </w:r>
      <w:proofErr w:type="spellStart"/>
      <w:r w:rsidRPr="00CF6765">
        <w:rPr>
          <w:sz w:val="16"/>
          <w:szCs w:val="16"/>
          <w:lang w:val="en-US"/>
        </w:rPr>
        <w:t>Revista</w:t>
      </w:r>
      <w:proofErr w:type="spellEnd"/>
      <w:r w:rsidRPr="00CF6765">
        <w:rPr>
          <w:sz w:val="16"/>
          <w:szCs w:val="16"/>
          <w:lang w:val="en-US"/>
        </w:rPr>
        <w:t xml:space="preserve"> del Instituto de </w:t>
      </w:r>
      <w:proofErr w:type="spellStart"/>
      <w:r w:rsidRPr="00CF6765">
        <w:rPr>
          <w:sz w:val="16"/>
          <w:szCs w:val="16"/>
          <w:lang w:val="en-US"/>
        </w:rPr>
        <w:t>Ciencias</w:t>
      </w:r>
      <w:proofErr w:type="spellEnd"/>
      <w:r w:rsidRPr="00CF6765">
        <w:rPr>
          <w:sz w:val="16"/>
          <w:szCs w:val="16"/>
          <w:lang w:val="en-US"/>
        </w:rPr>
        <w:t xml:space="preserve"> </w:t>
      </w:r>
      <w:proofErr w:type="spellStart"/>
      <w:r w:rsidRPr="00CF6765">
        <w:rPr>
          <w:sz w:val="16"/>
          <w:szCs w:val="16"/>
          <w:lang w:val="en-US"/>
        </w:rPr>
        <w:t>Jurídicas</w:t>
      </w:r>
      <w:proofErr w:type="spellEnd"/>
      <w:r w:rsidRPr="00CF6765">
        <w:rPr>
          <w:sz w:val="16"/>
          <w:szCs w:val="16"/>
          <w:lang w:val="en-US"/>
        </w:rPr>
        <w:t xml:space="preserve"> de Puebla, Mexico, No. 28, July-December 2011, pp. 123-159, indicated that international human rights law includes, in addition to the treaties and protocols referred to as “hard” law, which are binding and peremptory, other sources of a different nature such as declarations, statutes and regulations, advisory opinions, judgments, other jurisdictional decisions, recommendations, reports, principles, </w:t>
      </w:r>
      <w:proofErr w:type="spellStart"/>
      <w:r w:rsidRPr="00CF6765">
        <w:rPr>
          <w:sz w:val="16"/>
          <w:szCs w:val="16"/>
          <w:lang w:val="en-US"/>
        </w:rPr>
        <w:t>rapporteurships</w:t>
      </w:r>
      <w:proofErr w:type="spellEnd"/>
      <w:r w:rsidRPr="00CF6765">
        <w:rPr>
          <w:sz w:val="16"/>
          <w:szCs w:val="16"/>
          <w:lang w:val="en-US"/>
        </w:rPr>
        <w:t>, conclusions of international meetings, and so on, which constitute “soft” law that does not have the same binding and peremptory nature. There is a strong tendency to endow this soft law with increasing force.</w:t>
      </w:r>
    </w:p>
  </w:footnote>
  <w:footnote w:id="353">
    <w:p w14:paraId="62479A19" w14:textId="02BC11FE" w:rsidR="003558F5" w:rsidRPr="00995B4D" w:rsidRDefault="003558F5" w:rsidP="00D419FC">
      <w:pPr>
        <w:tabs>
          <w:tab w:val="left" w:pos="567"/>
        </w:tabs>
        <w:rPr>
          <w:i/>
          <w:sz w:val="16"/>
          <w:szCs w:val="16"/>
          <w:lang w:val="en-US"/>
        </w:rPr>
      </w:pPr>
      <w:r w:rsidRPr="00CF6765">
        <w:rPr>
          <w:rStyle w:val="Refdenotaalpie"/>
          <w:sz w:val="16"/>
          <w:szCs w:val="16"/>
          <w:lang w:val="en-US"/>
        </w:rPr>
        <w:footnoteRef/>
      </w:r>
      <w:r w:rsidRPr="00CF6765">
        <w:rPr>
          <w:sz w:val="16"/>
          <w:szCs w:val="16"/>
          <w:lang w:val="en-US"/>
        </w:rPr>
        <w:t xml:space="preserve"> </w:t>
      </w:r>
      <w:r w:rsidRPr="00CF6765">
        <w:rPr>
          <w:sz w:val="16"/>
          <w:szCs w:val="16"/>
          <w:lang w:val="en-US"/>
        </w:rPr>
        <w:tab/>
      </w:r>
      <w:r w:rsidRPr="00CF6765">
        <w:rPr>
          <w:i/>
          <w:sz w:val="16"/>
          <w:szCs w:val="16"/>
          <w:lang w:val="en-US"/>
        </w:rPr>
        <w:t>Cf.</w:t>
      </w:r>
      <w:r w:rsidRPr="00CF6765">
        <w:rPr>
          <w:sz w:val="16"/>
          <w:szCs w:val="16"/>
          <w:lang w:val="en-US"/>
        </w:rPr>
        <w:t xml:space="preserve"> </w:t>
      </w:r>
      <w:bookmarkStart w:id="133" w:name="_Hlk515969584"/>
      <w:bookmarkStart w:id="134" w:name="_Hlk38106265"/>
      <w:r w:rsidRPr="00CF6765">
        <w:rPr>
          <w:i/>
          <w:sz w:val="16"/>
          <w:szCs w:val="16"/>
          <w:lang w:val="en-US"/>
        </w:rPr>
        <w:fldChar w:fldCharType="begin"/>
      </w:r>
      <w:r w:rsidRPr="00CF6765">
        <w:rPr>
          <w:i/>
          <w:sz w:val="16"/>
          <w:szCs w:val="16"/>
          <w:lang w:val="en-US"/>
        </w:rPr>
        <w:instrText xml:space="preserve"> HYPERLINK "http://hrlibrary.umn.edu/iachr/A/OC-16ingles-sinfirmas.html" </w:instrText>
      </w:r>
      <w:r w:rsidRPr="00CF6765">
        <w:rPr>
          <w:i/>
          <w:sz w:val="16"/>
          <w:szCs w:val="16"/>
          <w:lang w:val="en-US"/>
        </w:rPr>
        <w:fldChar w:fldCharType="separate"/>
      </w:r>
      <w:r w:rsidRPr="00CF6765">
        <w:rPr>
          <w:i/>
          <w:sz w:val="16"/>
          <w:szCs w:val="16"/>
          <w:lang w:val="en-US"/>
        </w:rPr>
        <w:t>The Right to Information on Consular Assistance in the Framework of the Guarantees of the Due Process of Law</w:t>
      </w:r>
      <w:r w:rsidRPr="00CF6765">
        <w:rPr>
          <w:i/>
          <w:sz w:val="16"/>
          <w:szCs w:val="16"/>
          <w:lang w:val="en-US"/>
        </w:rPr>
        <w:fldChar w:fldCharType="end"/>
      </w:r>
      <w:bookmarkEnd w:id="133"/>
      <w:r w:rsidRPr="00CF6765">
        <w:rPr>
          <w:i/>
          <w:sz w:val="16"/>
          <w:szCs w:val="16"/>
          <w:lang w:val="en-US"/>
        </w:rPr>
        <w:t xml:space="preserve">, </w:t>
      </w:r>
      <w:r w:rsidRPr="00CF6765">
        <w:rPr>
          <w:sz w:val="16"/>
          <w:szCs w:val="16"/>
          <w:lang w:val="en-US"/>
        </w:rPr>
        <w:t>Advisory Opinion OC-16/99, October 1, 1999. Series A No. 16</w:t>
      </w:r>
      <w:bookmarkEnd w:id="134"/>
      <w:r w:rsidRPr="00CF6765">
        <w:rPr>
          <w:sz w:val="16"/>
          <w:szCs w:val="16"/>
          <w:lang w:val="en-US"/>
        </w:rPr>
        <w:t xml:space="preserve">, para. 114, and </w:t>
      </w:r>
      <w:r w:rsidRPr="00CF6765">
        <w:rPr>
          <w:bCs/>
          <w:i/>
          <w:sz w:val="16"/>
          <w:szCs w:val="16"/>
          <w:lang w:val="en-US"/>
        </w:rPr>
        <w:t xml:space="preserve">Entitlement of Legal Entities to Hold Rights under the Inter-American Human Rights System (Interpretation and scope of Article 1(2), in relation to Articles 1(2), 8, 11(2), 13, 16, 21, 24, 25, 29, 30, 44, 46 And 62(3) of the American Convention on Human Rights, as well as of Article 8(1)(A) And (B) of the Protocol of San Salvador). </w:t>
      </w:r>
      <w:r w:rsidRPr="00CF6765">
        <w:rPr>
          <w:bCs/>
          <w:sz w:val="16"/>
          <w:szCs w:val="16"/>
          <w:lang w:val="en-US"/>
        </w:rPr>
        <w:t>Advisory Opinion OC-22/16 of February 26, 2016. Series A No. 22</w:t>
      </w:r>
      <w:r w:rsidRPr="00CF6765">
        <w:rPr>
          <w:sz w:val="16"/>
          <w:szCs w:val="16"/>
          <w:lang w:val="en-US"/>
        </w:rPr>
        <w:t>, para. 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15418"/>
      <w:docPartObj>
        <w:docPartGallery w:val="Page Numbers (Top of Page)"/>
        <w:docPartUnique/>
      </w:docPartObj>
    </w:sdtPr>
    <w:sdtEndPr>
      <w:rPr>
        <w:rFonts w:ascii="Verdana" w:hAnsi="Verdana"/>
        <w:noProof/>
        <w:sz w:val="20"/>
        <w:szCs w:val="20"/>
      </w:rPr>
    </w:sdtEndPr>
    <w:sdtContent>
      <w:p w14:paraId="51514B28" w14:textId="77777777" w:rsidR="003558F5" w:rsidRDefault="003558F5" w:rsidP="00383565">
        <w:pPr>
          <w:pStyle w:val="Encabezado"/>
          <w:jc w:val="center"/>
        </w:pPr>
        <w:r w:rsidRPr="000214BA">
          <w:rPr>
            <w:rFonts w:ascii="Verdana" w:hAnsi="Verdana"/>
            <w:sz w:val="20"/>
            <w:szCs w:val="20"/>
          </w:rPr>
          <w:fldChar w:fldCharType="begin"/>
        </w:r>
        <w:r w:rsidRPr="000214BA">
          <w:rPr>
            <w:rFonts w:ascii="Verdana" w:hAnsi="Verdana"/>
            <w:sz w:val="20"/>
            <w:szCs w:val="20"/>
          </w:rPr>
          <w:instrText xml:space="preserve"> PAGE   \* MERGEFORMAT </w:instrText>
        </w:r>
        <w:r w:rsidRPr="000214BA">
          <w:rPr>
            <w:rFonts w:ascii="Verdana" w:hAnsi="Verdana"/>
            <w:sz w:val="20"/>
            <w:szCs w:val="20"/>
          </w:rPr>
          <w:fldChar w:fldCharType="separate"/>
        </w:r>
        <w:r>
          <w:rPr>
            <w:rFonts w:ascii="Verdana" w:hAnsi="Verdana"/>
            <w:noProof/>
            <w:sz w:val="20"/>
            <w:szCs w:val="20"/>
          </w:rPr>
          <w:t>81</w:t>
        </w:r>
        <w:r w:rsidRPr="000214BA">
          <w:rPr>
            <w:rFonts w:ascii="Verdana" w:hAnsi="Verdana"/>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13E4E" w14:textId="44DFDE80" w:rsidR="003558F5" w:rsidRPr="000214BA" w:rsidRDefault="003558F5" w:rsidP="005415CD">
    <w:pPr>
      <w:pStyle w:val="Encabezado"/>
      <w:tabs>
        <w:tab w:val="center" w:pos="8931"/>
        <w:tab w:val="left" w:pos="9498"/>
        <w:tab w:val="left" w:pos="9639"/>
        <w:tab w:val="right" w:pos="10065"/>
      </w:tabs>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rPr>
      <w:id w:val="1820299137"/>
      <w:docPartObj>
        <w:docPartGallery w:val="Page Numbers (Top of Page)"/>
        <w:docPartUnique/>
      </w:docPartObj>
    </w:sdtPr>
    <w:sdtEndPr>
      <w:rPr>
        <w:noProof/>
      </w:rPr>
    </w:sdtEndPr>
    <w:sdtContent>
      <w:p w14:paraId="6FEFA91D" w14:textId="77777777" w:rsidR="003558F5" w:rsidRPr="008F2B34" w:rsidRDefault="003558F5">
        <w:pPr>
          <w:pStyle w:val="Encabezado"/>
          <w:jc w:val="center"/>
          <w:rPr>
            <w:rFonts w:ascii="Verdana" w:hAnsi="Verdana"/>
          </w:rPr>
        </w:pPr>
        <w:r>
          <w:rPr>
            <w:rFonts w:ascii="Verdana" w:hAnsi="Verdana"/>
          </w:rPr>
          <w:t>-</w:t>
        </w:r>
        <w:r w:rsidRPr="008F2B34">
          <w:rPr>
            <w:rFonts w:ascii="Verdana" w:hAnsi="Verdana"/>
          </w:rPr>
          <w:fldChar w:fldCharType="begin"/>
        </w:r>
        <w:r w:rsidRPr="008F2B34">
          <w:rPr>
            <w:rFonts w:ascii="Verdana" w:hAnsi="Verdana"/>
          </w:rPr>
          <w:instrText xml:space="preserve"> PAGE   \* MERGEFORMAT </w:instrText>
        </w:r>
        <w:r w:rsidRPr="008F2B34">
          <w:rPr>
            <w:rFonts w:ascii="Verdana" w:hAnsi="Verdana"/>
          </w:rPr>
          <w:fldChar w:fldCharType="separate"/>
        </w:r>
        <w:r>
          <w:rPr>
            <w:rFonts w:ascii="Verdana" w:hAnsi="Verdana"/>
            <w:noProof/>
          </w:rPr>
          <w:t>2</w:t>
        </w:r>
        <w:r w:rsidRPr="008F2B34">
          <w:rPr>
            <w:rFonts w:ascii="Verdana" w:hAnsi="Verdana"/>
            <w:noProof/>
          </w:rPr>
          <w:fldChar w:fldCharType="end"/>
        </w:r>
        <w:r>
          <w:rPr>
            <w:rFonts w:ascii="Verdana" w:hAnsi="Verdana"/>
            <w:noProof/>
          </w:rPr>
          <w:t>-</w:t>
        </w:r>
      </w:p>
    </w:sdtContent>
  </w:sdt>
  <w:p w14:paraId="5837BD49" w14:textId="77777777" w:rsidR="003558F5" w:rsidRDefault="003558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320B"/>
    <w:multiLevelType w:val="hybridMultilevel"/>
    <w:tmpl w:val="95FC487E"/>
    <w:lvl w:ilvl="0" w:tplc="94809758">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0E973D3"/>
    <w:multiLevelType w:val="hybridMultilevel"/>
    <w:tmpl w:val="6128D9BA"/>
    <w:lvl w:ilvl="0" w:tplc="140A0013">
      <w:start w:val="1"/>
      <w:numFmt w:val="upperRoman"/>
      <w:lvlText w:val="%1."/>
      <w:lvlJc w:val="righ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2" w15:restartNumberingAfterBreak="0">
    <w:nsid w:val="136F3EA2"/>
    <w:multiLevelType w:val="hybridMultilevel"/>
    <w:tmpl w:val="D00E4D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592333A"/>
    <w:multiLevelType w:val="hybridMultilevel"/>
    <w:tmpl w:val="5D5C0794"/>
    <w:lvl w:ilvl="0" w:tplc="9FFE7D72">
      <w:start w:val="1"/>
      <w:numFmt w:val="decimal"/>
      <w:lvlText w:val="%1."/>
      <w:lvlJc w:val="left"/>
      <w:pPr>
        <w:ind w:left="360" w:hanging="360"/>
      </w:pPr>
      <w:rPr>
        <w:b w:val="0"/>
        <w:color w:val="auto"/>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B7775"/>
    <w:multiLevelType w:val="hybridMultilevel"/>
    <w:tmpl w:val="0860B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146EE"/>
    <w:multiLevelType w:val="hybridMultilevel"/>
    <w:tmpl w:val="BF50F62E"/>
    <w:lvl w:ilvl="0" w:tplc="ECB22588">
      <w:start w:val="42"/>
      <w:numFmt w:val="decimal"/>
      <w:lvlText w:val="%1."/>
      <w:lvlJc w:val="left"/>
      <w:pPr>
        <w:ind w:left="825" w:hanging="825"/>
      </w:pPr>
      <w:rPr>
        <w:rFonts w:ascii="Verdana" w:eastAsia="Verdana" w:hAnsi="Verdana"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A74DB"/>
    <w:multiLevelType w:val="hybridMultilevel"/>
    <w:tmpl w:val="94ECBB18"/>
    <w:lvl w:ilvl="0" w:tplc="140A000F">
      <w:start w:val="1"/>
      <w:numFmt w:val="decimal"/>
      <w:lvlText w:val="%1."/>
      <w:lvlJc w:val="left"/>
      <w:pPr>
        <w:ind w:left="2407" w:hanging="360"/>
      </w:pPr>
    </w:lvl>
    <w:lvl w:ilvl="1" w:tplc="140A0019" w:tentative="1">
      <w:start w:val="1"/>
      <w:numFmt w:val="lowerLetter"/>
      <w:lvlText w:val="%2."/>
      <w:lvlJc w:val="left"/>
      <w:pPr>
        <w:ind w:left="3127" w:hanging="360"/>
      </w:pPr>
    </w:lvl>
    <w:lvl w:ilvl="2" w:tplc="140A001B" w:tentative="1">
      <w:start w:val="1"/>
      <w:numFmt w:val="lowerRoman"/>
      <w:lvlText w:val="%3."/>
      <w:lvlJc w:val="right"/>
      <w:pPr>
        <w:ind w:left="3847" w:hanging="180"/>
      </w:pPr>
    </w:lvl>
    <w:lvl w:ilvl="3" w:tplc="140A000F" w:tentative="1">
      <w:start w:val="1"/>
      <w:numFmt w:val="decimal"/>
      <w:lvlText w:val="%4."/>
      <w:lvlJc w:val="left"/>
      <w:pPr>
        <w:ind w:left="4567" w:hanging="360"/>
      </w:pPr>
    </w:lvl>
    <w:lvl w:ilvl="4" w:tplc="140A0019" w:tentative="1">
      <w:start w:val="1"/>
      <w:numFmt w:val="lowerLetter"/>
      <w:lvlText w:val="%5."/>
      <w:lvlJc w:val="left"/>
      <w:pPr>
        <w:ind w:left="5287" w:hanging="360"/>
      </w:pPr>
    </w:lvl>
    <w:lvl w:ilvl="5" w:tplc="140A001B" w:tentative="1">
      <w:start w:val="1"/>
      <w:numFmt w:val="lowerRoman"/>
      <w:lvlText w:val="%6."/>
      <w:lvlJc w:val="right"/>
      <w:pPr>
        <w:ind w:left="6007" w:hanging="180"/>
      </w:pPr>
    </w:lvl>
    <w:lvl w:ilvl="6" w:tplc="140A000F" w:tentative="1">
      <w:start w:val="1"/>
      <w:numFmt w:val="decimal"/>
      <w:lvlText w:val="%7."/>
      <w:lvlJc w:val="left"/>
      <w:pPr>
        <w:ind w:left="6727" w:hanging="360"/>
      </w:pPr>
    </w:lvl>
    <w:lvl w:ilvl="7" w:tplc="140A0019" w:tentative="1">
      <w:start w:val="1"/>
      <w:numFmt w:val="lowerLetter"/>
      <w:lvlText w:val="%8."/>
      <w:lvlJc w:val="left"/>
      <w:pPr>
        <w:ind w:left="7447" w:hanging="360"/>
      </w:pPr>
    </w:lvl>
    <w:lvl w:ilvl="8" w:tplc="140A001B" w:tentative="1">
      <w:start w:val="1"/>
      <w:numFmt w:val="lowerRoman"/>
      <w:lvlText w:val="%9."/>
      <w:lvlJc w:val="right"/>
      <w:pPr>
        <w:ind w:left="8167" w:hanging="180"/>
      </w:pPr>
    </w:lvl>
  </w:abstractNum>
  <w:abstractNum w:abstractNumId="7" w15:restartNumberingAfterBreak="0">
    <w:nsid w:val="2D095EE0"/>
    <w:multiLevelType w:val="hybridMultilevel"/>
    <w:tmpl w:val="EAE0492E"/>
    <w:lvl w:ilvl="0" w:tplc="140A0017">
      <w:start w:val="1"/>
      <w:numFmt w:val="lowerLetter"/>
      <w:lvlText w:val="%1)"/>
      <w:lvlJc w:val="left"/>
      <w:pPr>
        <w:ind w:left="630" w:hanging="360"/>
      </w:pPr>
    </w:lvl>
    <w:lvl w:ilvl="1" w:tplc="140A0019" w:tentative="1">
      <w:start w:val="1"/>
      <w:numFmt w:val="lowerLetter"/>
      <w:lvlText w:val="%2."/>
      <w:lvlJc w:val="left"/>
      <w:pPr>
        <w:ind w:left="1350" w:hanging="360"/>
      </w:pPr>
    </w:lvl>
    <w:lvl w:ilvl="2" w:tplc="140A001B" w:tentative="1">
      <w:start w:val="1"/>
      <w:numFmt w:val="lowerRoman"/>
      <w:lvlText w:val="%3."/>
      <w:lvlJc w:val="right"/>
      <w:pPr>
        <w:ind w:left="2070" w:hanging="180"/>
      </w:pPr>
    </w:lvl>
    <w:lvl w:ilvl="3" w:tplc="140A000F" w:tentative="1">
      <w:start w:val="1"/>
      <w:numFmt w:val="decimal"/>
      <w:lvlText w:val="%4."/>
      <w:lvlJc w:val="left"/>
      <w:pPr>
        <w:ind w:left="2790" w:hanging="360"/>
      </w:pPr>
    </w:lvl>
    <w:lvl w:ilvl="4" w:tplc="140A0019" w:tentative="1">
      <w:start w:val="1"/>
      <w:numFmt w:val="lowerLetter"/>
      <w:lvlText w:val="%5."/>
      <w:lvlJc w:val="left"/>
      <w:pPr>
        <w:ind w:left="3510" w:hanging="360"/>
      </w:pPr>
    </w:lvl>
    <w:lvl w:ilvl="5" w:tplc="140A001B" w:tentative="1">
      <w:start w:val="1"/>
      <w:numFmt w:val="lowerRoman"/>
      <w:lvlText w:val="%6."/>
      <w:lvlJc w:val="right"/>
      <w:pPr>
        <w:ind w:left="4230" w:hanging="180"/>
      </w:pPr>
    </w:lvl>
    <w:lvl w:ilvl="6" w:tplc="140A000F" w:tentative="1">
      <w:start w:val="1"/>
      <w:numFmt w:val="decimal"/>
      <w:lvlText w:val="%7."/>
      <w:lvlJc w:val="left"/>
      <w:pPr>
        <w:ind w:left="4950" w:hanging="360"/>
      </w:pPr>
    </w:lvl>
    <w:lvl w:ilvl="7" w:tplc="140A0019" w:tentative="1">
      <w:start w:val="1"/>
      <w:numFmt w:val="lowerLetter"/>
      <w:lvlText w:val="%8."/>
      <w:lvlJc w:val="left"/>
      <w:pPr>
        <w:ind w:left="5670" w:hanging="360"/>
      </w:pPr>
    </w:lvl>
    <w:lvl w:ilvl="8" w:tplc="140A001B" w:tentative="1">
      <w:start w:val="1"/>
      <w:numFmt w:val="lowerRoman"/>
      <w:lvlText w:val="%9."/>
      <w:lvlJc w:val="right"/>
      <w:pPr>
        <w:ind w:left="6390" w:hanging="180"/>
      </w:pPr>
    </w:lvl>
  </w:abstractNum>
  <w:abstractNum w:abstractNumId="8" w15:restartNumberingAfterBreak="0">
    <w:nsid w:val="2E872B63"/>
    <w:multiLevelType w:val="hybridMultilevel"/>
    <w:tmpl w:val="77C43ED4"/>
    <w:lvl w:ilvl="0" w:tplc="140A000F">
      <w:start w:val="1"/>
      <w:numFmt w:val="decimal"/>
      <w:lvlText w:val="%1."/>
      <w:lvlJc w:val="left"/>
      <w:pPr>
        <w:ind w:left="2136" w:hanging="360"/>
      </w:pPr>
    </w:lvl>
    <w:lvl w:ilvl="1" w:tplc="140A0019" w:tentative="1">
      <w:start w:val="1"/>
      <w:numFmt w:val="lowerLetter"/>
      <w:lvlText w:val="%2."/>
      <w:lvlJc w:val="left"/>
      <w:pPr>
        <w:ind w:left="2856" w:hanging="360"/>
      </w:pPr>
    </w:lvl>
    <w:lvl w:ilvl="2" w:tplc="140A001B" w:tentative="1">
      <w:start w:val="1"/>
      <w:numFmt w:val="lowerRoman"/>
      <w:lvlText w:val="%3."/>
      <w:lvlJc w:val="right"/>
      <w:pPr>
        <w:ind w:left="3576" w:hanging="180"/>
      </w:pPr>
    </w:lvl>
    <w:lvl w:ilvl="3" w:tplc="140A000F" w:tentative="1">
      <w:start w:val="1"/>
      <w:numFmt w:val="decimal"/>
      <w:lvlText w:val="%4."/>
      <w:lvlJc w:val="left"/>
      <w:pPr>
        <w:ind w:left="4296" w:hanging="360"/>
      </w:pPr>
    </w:lvl>
    <w:lvl w:ilvl="4" w:tplc="140A0019" w:tentative="1">
      <w:start w:val="1"/>
      <w:numFmt w:val="lowerLetter"/>
      <w:lvlText w:val="%5."/>
      <w:lvlJc w:val="left"/>
      <w:pPr>
        <w:ind w:left="5016" w:hanging="360"/>
      </w:pPr>
    </w:lvl>
    <w:lvl w:ilvl="5" w:tplc="140A001B" w:tentative="1">
      <w:start w:val="1"/>
      <w:numFmt w:val="lowerRoman"/>
      <w:lvlText w:val="%6."/>
      <w:lvlJc w:val="right"/>
      <w:pPr>
        <w:ind w:left="5736" w:hanging="180"/>
      </w:pPr>
    </w:lvl>
    <w:lvl w:ilvl="6" w:tplc="140A000F" w:tentative="1">
      <w:start w:val="1"/>
      <w:numFmt w:val="decimal"/>
      <w:lvlText w:val="%7."/>
      <w:lvlJc w:val="left"/>
      <w:pPr>
        <w:ind w:left="6456" w:hanging="360"/>
      </w:pPr>
    </w:lvl>
    <w:lvl w:ilvl="7" w:tplc="140A0019" w:tentative="1">
      <w:start w:val="1"/>
      <w:numFmt w:val="lowerLetter"/>
      <w:lvlText w:val="%8."/>
      <w:lvlJc w:val="left"/>
      <w:pPr>
        <w:ind w:left="7176" w:hanging="360"/>
      </w:pPr>
    </w:lvl>
    <w:lvl w:ilvl="8" w:tplc="140A001B" w:tentative="1">
      <w:start w:val="1"/>
      <w:numFmt w:val="lowerRoman"/>
      <w:lvlText w:val="%9."/>
      <w:lvlJc w:val="right"/>
      <w:pPr>
        <w:ind w:left="7896" w:hanging="180"/>
      </w:pPr>
    </w:lvl>
  </w:abstractNum>
  <w:abstractNum w:abstractNumId="9" w15:restartNumberingAfterBreak="0">
    <w:nsid w:val="2F994D82"/>
    <w:multiLevelType w:val="multilevel"/>
    <w:tmpl w:val="0D7EE0DA"/>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10" w15:restartNumberingAfterBreak="0">
    <w:nsid w:val="305866C9"/>
    <w:multiLevelType w:val="hybridMultilevel"/>
    <w:tmpl w:val="6B120C9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34237BB"/>
    <w:multiLevelType w:val="hybridMultilevel"/>
    <w:tmpl w:val="6B120C9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7160282"/>
    <w:multiLevelType w:val="hybridMultilevel"/>
    <w:tmpl w:val="05A02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46AB7"/>
    <w:multiLevelType w:val="hybridMultilevel"/>
    <w:tmpl w:val="744046D6"/>
    <w:lvl w:ilvl="0" w:tplc="E0B63F4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957786C"/>
    <w:multiLevelType w:val="hybridMultilevel"/>
    <w:tmpl w:val="59464F3A"/>
    <w:lvl w:ilvl="0" w:tplc="E5103F26">
      <w:start w:val="1"/>
      <w:numFmt w:val="lowerLetter"/>
      <w:lvlText w:val="%1)"/>
      <w:lvlJc w:val="left"/>
      <w:pPr>
        <w:ind w:left="786" w:hanging="360"/>
      </w:pPr>
      <w:rPr>
        <w:rFonts w:hint="default"/>
        <w: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BBA7DE2"/>
    <w:multiLevelType w:val="hybridMultilevel"/>
    <w:tmpl w:val="3C9ED844"/>
    <w:lvl w:ilvl="0" w:tplc="1FA8D8CA">
      <w:start w:val="1"/>
      <w:numFmt w:val="decimal"/>
      <w:lvlText w:val="%1."/>
      <w:lvlJc w:val="left"/>
      <w:pPr>
        <w:tabs>
          <w:tab w:val="num" w:pos="1260"/>
        </w:tabs>
        <w:ind w:left="1260" w:hanging="360"/>
      </w:pPr>
      <w:rPr>
        <w:rFonts w:asciiTheme="majorHAnsi" w:hAnsiTheme="majorHAnsi" w:cs="Times New Roman" w:hint="default"/>
        <w:b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E144EC"/>
    <w:multiLevelType w:val="hybridMultilevel"/>
    <w:tmpl w:val="22D6D010"/>
    <w:lvl w:ilvl="0" w:tplc="88C44CC4">
      <w:start w:val="1"/>
      <w:numFmt w:val="upperLetter"/>
      <w:pStyle w:val="Ttulo2"/>
      <w:lvlText w:val="%1."/>
      <w:lvlJc w:val="left"/>
      <w:pPr>
        <w:ind w:left="1068" w:hanging="360"/>
      </w:pPr>
      <w:rPr>
        <w:b/>
      </w:rPr>
    </w:lvl>
    <w:lvl w:ilvl="1" w:tplc="140A000F">
      <w:start w:val="1"/>
      <w:numFmt w:val="decimal"/>
      <w:lvlText w:val="%2."/>
      <w:lvlJc w:val="left"/>
      <w:pPr>
        <w:ind w:left="1788" w:hanging="360"/>
      </w:pPr>
    </w:lvl>
    <w:lvl w:ilvl="2" w:tplc="750811A8">
      <w:start w:val="1"/>
      <w:numFmt w:val="lowerRoman"/>
      <w:lvlText w:val="%3."/>
      <w:lvlJc w:val="right"/>
      <w:pPr>
        <w:ind w:left="2508" w:hanging="180"/>
      </w:pPr>
    </w:lvl>
    <w:lvl w:ilvl="3" w:tplc="140A0015">
      <w:start w:val="1"/>
      <w:numFmt w:val="upperLetter"/>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7" w15:restartNumberingAfterBreak="0">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80830A9"/>
    <w:multiLevelType w:val="hybridMultilevel"/>
    <w:tmpl w:val="59464F3A"/>
    <w:lvl w:ilvl="0" w:tplc="E5103F26">
      <w:start w:val="1"/>
      <w:numFmt w:val="lowerLetter"/>
      <w:lvlText w:val="%1)"/>
      <w:lvlJc w:val="left"/>
      <w:pPr>
        <w:ind w:left="2484" w:hanging="360"/>
      </w:pPr>
      <w:rPr>
        <w:rFonts w:hint="default"/>
        <w:i/>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9" w15:restartNumberingAfterBreak="0">
    <w:nsid w:val="56164B7C"/>
    <w:multiLevelType w:val="hybridMultilevel"/>
    <w:tmpl w:val="8CC26DFC"/>
    <w:lvl w:ilvl="0" w:tplc="CF9AFCBE">
      <w:start w:val="1"/>
      <w:numFmt w:val="lowerLetter"/>
      <w:lvlText w:val="%1)"/>
      <w:lvlJc w:val="left"/>
      <w:pPr>
        <w:ind w:left="818" w:hanging="360"/>
      </w:pPr>
      <w:rPr>
        <w:color w:val="auto"/>
      </w:rPr>
    </w:lvl>
    <w:lvl w:ilvl="1" w:tplc="140A0019">
      <w:start w:val="1"/>
      <w:numFmt w:val="lowerLetter"/>
      <w:lvlText w:val="%2."/>
      <w:lvlJc w:val="left"/>
      <w:pPr>
        <w:ind w:left="1538" w:hanging="360"/>
      </w:pPr>
    </w:lvl>
    <w:lvl w:ilvl="2" w:tplc="140A001B">
      <w:start w:val="1"/>
      <w:numFmt w:val="lowerRoman"/>
      <w:lvlText w:val="%3."/>
      <w:lvlJc w:val="right"/>
      <w:pPr>
        <w:ind w:left="2258" w:hanging="180"/>
      </w:pPr>
    </w:lvl>
    <w:lvl w:ilvl="3" w:tplc="140A000F">
      <w:start w:val="1"/>
      <w:numFmt w:val="decimal"/>
      <w:lvlText w:val="%4."/>
      <w:lvlJc w:val="left"/>
      <w:pPr>
        <w:ind w:left="2978" w:hanging="360"/>
      </w:pPr>
    </w:lvl>
    <w:lvl w:ilvl="4" w:tplc="140A0019">
      <w:start w:val="1"/>
      <w:numFmt w:val="lowerLetter"/>
      <w:lvlText w:val="%5."/>
      <w:lvlJc w:val="left"/>
      <w:pPr>
        <w:ind w:left="3698" w:hanging="360"/>
      </w:pPr>
    </w:lvl>
    <w:lvl w:ilvl="5" w:tplc="140A001B">
      <w:start w:val="1"/>
      <w:numFmt w:val="lowerRoman"/>
      <w:lvlText w:val="%6."/>
      <w:lvlJc w:val="right"/>
      <w:pPr>
        <w:ind w:left="4418" w:hanging="180"/>
      </w:pPr>
    </w:lvl>
    <w:lvl w:ilvl="6" w:tplc="140A000F">
      <w:start w:val="1"/>
      <w:numFmt w:val="decimal"/>
      <w:lvlText w:val="%7."/>
      <w:lvlJc w:val="left"/>
      <w:pPr>
        <w:ind w:left="5138" w:hanging="360"/>
      </w:pPr>
    </w:lvl>
    <w:lvl w:ilvl="7" w:tplc="140A0019">
      <w:start w:val="1"/>
      <w:numFmt w:val="lowerLetter"/>
      <w:lvlText w:val="%8."/>
      <w:lvlJc w:val="left"/>
      <w:pPr>
        <w:ind w:left="5858" w:hanging="360"/>
      </w:pPr>
    </w:lvl>
    <w:lvl w:ilvl="8" w:tplc="140A001B">
      <w:start w:val="1"/>
      <w:numFmt w:val="lowerRoman"/>
      <w:lvlText w:val="%9."/>
      <w:lvlJc w:val="right"/>
      <w:pPr>
        <w:ind w:left="6578" w:hanging="180"/>
      </w:pPr>
    </w:lvl>
  </w:abstractNum>
  <w:abstractNum w:abstractNumId="20" w15:restartNumberingAfterBreak="0">
    <w:nsid w:val="590E2BBA"/>
    <w:multiLevelType w:val="hybridMultilevel"/>
    <w:tmpl w:val="663C65EC"/>
    <w:lvl w:ilvl="0" w:tplc="140A000F">
      <w:start w:val="1"/>
      <w:numFmt w:val="decimal"/>
      <w:lvlText w:val="%1."/>
      <w:lvlJc w:val="left"/>
      <w:pPr>
        <w:ind w:left="2407" w:hanging="360"/>
      </w:pPr>
    </w:lvl>
    <w:lvl w:ilvl="1" w:tplc="140A0019" w:tentative="1">
      <w:start w:val="1"/>
      <w:numFmt w:val="lowerLetter"/>
      <w:lvlText w:val="%2."/>
      <w:lvlJc w:val="left"/>
      <w:pPr>
        <w:ind w:left="3127" w:hanging="360"/>
      </w:pPr>
    </w:lvl>
    <w:lvl w:ilvl="2" w:tplc="140A001B" w:tentative="1">
      <w:start w:val="1"/>
      <w:numFmt w:val="lowerRoman"/>
      <w:lvlText w:val="%3."/>
      <w:lvlJc w:val="right"/>
      <w:pPr>
        <w:ind w:left="3847" w:hanging="180"/>
      </w:pPr>
    </w:lvl>
    <w:lvl w:ilvl="3" w:tplc="140A000F" w:tentative="1">
      <w:start w:val="1"/>
      <w:numFmt w:val="decimal"/>
      <w:lvlText w:val="%4."/>
      <w:lvlJc w:val="left"/>
      <w:pPr>
        <w:ind w:left="4567" w:hanging="360"/>
      </w:pPr>
    </w:lvl>
    <w:lvl w:ilvl="4" w:tplc="140A0019" w:tentative="1">
      <w:start w:val="1"/>
      <w:numFmt w:val="lowerLetter"/>
      <w:lvlText w:val="%5."/>
      <w:lvlJc w:val="left"/>
      <w:pPr>
        <w:ind w:left="5287" w:hanging="360"/>
      </w:pPr>
    </w:lvl>
    <w:lvl w:ilvl="5" w:tplc="140A001B" w:tentative="1">
      <w:start w:val="1"/>
      <w:numFmt w:val="lowerRoman"/>
      <w:lvlText w:val="%6."/>
      <w:lvlJc w:val="right"/>
      <w:pPr>
        <w:ind w:left="6007" w:hanging="180"/>
      </w:pPr>
    </w:lvl>
    <w:lvl w:ilvl="6" w:tplc="140A000F" w:tentative="1">
      <w:start w:val="1"/>
      <w:numFmt w:val="decimal"/>
      <w:lvlText w:val="%7."/>
      <w:lvlJc w:val="left"/>
      <w:pPr>
        <w:ind w:left="6727" w:hanging="360"/>
      </w:pPr>
    </w:lvl>
    <w:lvl w:ilvl="7" w:tplc="140A0019" w:tentative="1">
      <w:start w:val="1"/>
      <w:numFmt w:val="lowerLetter"/>
      <w:lvlText w:val="%8."/>
      <w:lvlJc w:val="left"/>
      <w:pPr>
        <w:ind w:left="7447" w:hanging="360"/>
      </w:pPr>
    </w:lvl>
    <w:lvl w:ilvl="8" w:tplc="140A001B" w:tentative="1">
      <w:start w:val="1"/>
      <w:numFmt w:val="lowerRoman"/>
      <w:lvlText w:val="%9."/>
      <w:lvlJc w:val="right"/>
      <w:pPr>
        <w:ind w:left="8167" w:hanging="180"/>
      </w:pPr>
    </w:lvl>
  </w:abstractNum>
  <w:abstractNum w:abstractNumId="21" w15:restartNumberingAfterBreak="0">
    <w:nsid w:val="5A204743"/>
    <w:multiLevelType w:val="hybridMultilevel"/>
    <w:tmpl w:val="77C43ED4"/>
    <w:lvl w:ilvl="0" w:tplc="140A000F">
      <w:start w:val="1"/>
      <w:numFmt w:val="decimal"/>
      <w:lvlText w:val="%1."/>
      <w:lvlJc w:val="left"/>
      <w:pPr>
        <w:ind w:left="2136" w:hanging="360"/>
      </w:pPr>
    </w:lvl>
    <w:lvl w:ilvl="1" w:tplc="140A0019" w:tentative="1">
      <w:start w:val="1"/>
      <w:numFmt w:val="lowerLetter"/>
      <w:lvlText w:val="%2."/>
      <w:lvlJc w:val="left"/>
      <w:pPr>
        <w:ind w:left="2856" w:hanging="360"/>
      </w:pPr>
    </w:lvl>
    <w:lvl w:ilvl="2" w:tplc="140A001B" w:tentative="1">
      <w:start w:val="1"/>
      <w:numFmt w:val="lowerRoman"/>
      <w:lvlText w:val="%3."/>
      <w:lvlJc w:val="right"/>
      <w:pPr>
        <w:ind w:left="3576" w:hanging="180"/>
      </w:pPr>
    </w:lvl>
    <w:lvl w:ilvl="3" w:tplc="140A000F" w:tentative="1">
      <w:start w:val="1"/>
      <w:numFmt w:val="decimal"/>
      <w:lvlText w:val="%4."/>
      <w:lvlJc w:val="left"/>
      <w:pPr>
        <w:ind w:left="4296" w:hanging="360"/>
      </w:pPr>
    </w:lvl>
    <w:lvl w:ilvl="4" w:tplc="140A0019" w:tentative="1">
      <w:start w:val="1"/>
      <w:numFmt w:val="lowerLetter"/>
      <w:lvlText w:val="%5."/>
      <w:lvlJc w:val="left"/>
      <w:pPr>
        <w:ind w:left="5016" w:hanging="360"/>
      </w:pPr>
    </w:lvl>
    <w:lvl w:ilvl="5" w:tplc="140A001B" w:tentative="1">
      <w:start w:val="1"/>
      <w:numFmt w:val="lowerRoman"/>
      <w:lvlText w:val="%6."/>
      <w:lvlJc w:val="right"/>
      <w:pPr>
        <w:ind w:left="5736" w:hanging="180"/>
      </w:pPr>
    </w:lvl>
    <w:lvl w:ilvl="6" w:tplc="140A000F" w:tentative="1">
      <w:start w:val="1"/>
      <w:numFmt w:val="decimal"/>
      <w:lvlText w:val="%7."/>
      <w:lvlJc w:val="left"/>
      <w:pPr>
        <w:ind w:left="6456" w:hanging="360"/>
      </w:pPr>
    </w:lvl>
    <w:lvl w:ilvl="7" w:tplc="140A0019" w:tentative="1">
      <w:start w:val="1"/>
      <w:numFmt w:val="lowerLetter"/>
      <w:lvlText w:val="%8."/>
      <w:lvlJc w:val="left"/>
      <w:pPr>
        <w:ind w:left="7176" w:hanging="360"/>
      </w:pPr>
    </w:lvl>
    <w:lvl w:ilvl="8" w:tplc="140A001B" w:tentative="1">
      <w:start w:val="1"/>
      <w:numFmt w:val="lowerRoman"/>
      <w:lvlText w:val="%9."/>
      <w:lvlJc w:val="right"/>
      <w:pPr>
        <w:ind w:left="7896" w:hanging="180"/>
      </w:pPr>
    </w:lvl>
  </w:abstractNum>
  <w:abstractNum w:abstractNumId="22" w15:restartNumberingAfterBreak="0">
    <w:nsid w:val="71DC4AB1"/>
    <w:multiLevelType w:val="multilevel"/>
    <w:tmpl w:val="7DD6F9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2487B29"/>
    <w:multiLevelType w:val="hybridMultilevel"/>
    <w:tmpl w:val="7F7EAB72"/>
    <w:lvl w:ilvl="0" w:tplc="B85EA086">
      <w:start w:val="1"/>
      <w:numFmt w:val="decimal"/>
      <w:lvlText w:val="%1)"/>
      <w:lvlJc w:val="left"/>
      <w:pPr>
        <w:ind w:left="1080" w:hanging="360"/>
      </w:pPr>
      <w:rPr>
        <w:rFonts w:hint="default"/>
        <w:vanish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6753A80"/>
    <w:multiLevelType w:val="hybridMultilevel"/>
    <w:tmpl w:val="82E06D80"/>
    <w:lvl w:ilvl="0" w:tplc="5126705A">
      <w:start w:val="1"/>
      <w:numFmt w:val="decimal"/>
      <w:pStyle w:val="PrrafodeSentencia"/>
      <w:lvlText w:val="%1."/>
      <w:lvlJc w:val="left"/>
      <w:pPr>
        <w:ind w:left="0" w:firstLine="0"/>
      </w:pPr>
      <w:rPr>
        <w:rFonts w:ascii="Verdana" w:hAnsi="Verdana" w:hint="default"/>
        <w:b w:val="0"/>
        <w:i w:val="0"/>
        <w:strike w:val="0"/>
        <w:color w:val="auto"/>
        <w:sz w:val="20"/>
        <w:szCs w:val="20"/>
        <w:lang w:val="es-ES"/>
      </w:rPr>
    </w:lvl>
    <w:lvl w:ilvl="1" w:tplc="2C0A0019">
      <w:start w:val="1"/>
      <w:numFmt w:val="lowerLetter"/>
      <w:lvlText w:val="%2."/>
      <w:lvlJc w:val="left"/>
      <w:pPr>
        <w:ind w:left="1298" w:hanging="360"/>
      </w:pPr>
      <w:rPr>
        <w:rFonts w:hint="default"/>
        <w:lang w:val="es-CR"/>
      </w:rPr>
    </w:lvl>
    <w:lvl w:ilvl="2" w:tplc="4202A1AC">
      <w:start w:val="1"/>
      <w:numFmt w:val="lowerRoman"/>
      <w:lvlText w:val="%3."/>
      <w:lvlJc w:val="right"/>
      <w:pPr>
        <w:ind w:left="2018" w:hanging="180"/>
      </w:pPr>
      <w:rPr>
        <w:i/>
      </w:rPr>
    </w:lvl>
    <w:lvl w:ilvl="3" w:tplc="68C6F5F2">
      <w:start w:val="1"/>
      <w:numFmt w:val="upperLetter"/>
      <w:lvlText w:val="%4."/>
      <w:lvlJc w:val="left"/>
      <w:pPr>
        <w:ind w:left="3083" w:hanging="705"/>
      </w:pPr>
      <w:rPr>
        <w:rFonts w:hint="default"/>
      </w:r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25" w15:restartNumberingAfterBreak="0">
    <w:nsid w:val="79354707"/>
    <w:multiLevelType w:val="hybridMultilevel"/>
    <w:tmpl w:val="A6E41CB0"/>
    <w:lvl w:ilvl="0" w:tplc="D406991C">
      <w:start w:val="1"/>
      <w:numFmt w:val="decimal"/>
      <w:lvlText w:val="%1."/>
      <w:lvlJc w:val="left"/>
      <w:pPr>
        <w:ind w:left="825" w:hanging="825"/>
      </w:pPr>
      <w:rPr>
        <w:rFonts w:ascii="Verdana" w:eastAsia="Verdana" w:hAnsi="Verdana" w:cs="Times New Roman" w:hint="default"/>
        <w:b w:val="0"/>
        <w:i w:val="0"/>
        <w:color w:val="auto"/>
        <w:sz w:val="20"/>
        <w:szCs w:val="20"/>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6" w15:restartNumberingAfterBreak="0">
    <w:nsid w:val="7C2D1FE5"/>
    <w:multiLevelType w:val="hybridMultilevel"/>
    <w:tmpl w:val="8EF6EB3C"/>
    <w:lvl w:ilvl="0" w:tplc="399A4540">
      <w:start w:val="1"/>
      <w:numFmt w:val="decimal"/>
      <w:lvlText w:val="%1."/>
      <w:lvlJc w:val="left"/>
      <w:pPr>
        <w:ind w:left="360" w:hanging="360"/>
      </w:pPr>
      <w:rPr>
        <w:rFonts w:ascii="Verdana" w:hAnsi="Verdana" w:hint="default"/>
        <w:b w:val="0"/>
        <w:i w:val="0"/>
        <w:strike w:val="0"/>
        <w:dstrike w:val="0"/>
        <w:color w:val="auto"/>
        <w:sz w:val="20"/>
        <w:szCs w:val="20"/>
        <w:u w:val="none"/>
        <w:effect w:val="none"/>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7" w15:restartNumberingAfterBreak="0">
    <w:nsid w:val="7CE64D32"/>
    <w:multiLevelType w:val="hybridMultilevel"/>
    <w:tmpl w:val="9F8AF72C"/>
    <w:lvl w:ilvl="0" w:tplc="B09255D8">
      <w:start w:val="1"/>
      <w:numFmt w:val="decimal"/>
      <w:lvlText w:val="%1."/>
      <w:lvlJc w:val="left"/>
      <w:pPr>
        <w:tabs>
          <w:tab w:val="num" w:pos="0"/>
        </w:tabs>
        <w:ind w:left="0" w:firstLine="0"/>
      </w:pPr>
      <w:rPr>
        <w:rFonts w:ascii="Verdana" w:eastAsia="Times New Roman" w:hAnsi="Verdana" w:cs="Times New Roman" w:hint="default"/>
        <w:b w:val="0"/>
        <w:i w:val="0"/>
        <w:strike w:val="0"/>
        <w:dstrike w:val="0"/>
        <w:color w:val="auto"/>
        <w:sz w:val="20"/>
        <w:u w:val="none"/>
        <w:effect w:val="none"/>
        <w:lang w:val="es-CO"/>
      </w:rPr>
    </w:lvl>
    <w:lvl w:ilvl="1" w:tplc="3AAA13E2">
      <w:start w:val="1"/>
      <w:numFmt w:val="decimal"/>
      <w:lvlText w:val="%2."/>
      <w:lvlJc w:val="left"/>
      <w:pPr>
        <w:tabs>
          <w:tab w:val="num" w:pos="0"/>
        </w:tabs>
        <w:ind w:left="0" w:firstLine="0"/>
      </w:pPr>
      <w:rPr>
        <w:rFonts w:ascii="Verdana" w:eastAsia="Times New Roman" w:hAnsi="Verdana" w:cs="Times New Roman" w:hint="default"/>
        <w:b/>
        <w:i w:val="0"/>
        <w:strike w:val="0"/>
        <w:dstrike w:val="0"/>
        <w:color w:val="auto"/>
        <w:sz w:val="20"/>
        <w:u w:val="none"/>
        <w:effect w:val="none"/>
        <w:lang w:val="es-C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F5652C1"/>
    <w:multiLevelType w:val="hybridMultilevel"/>
    <w:tmpl w:val="FCBA338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F611009"/>
    <w:multiLevelType w:val="hybridMultilevel"/>
    <w:tmpl w:val="5E009AE8"/>
    <w:lvl w:ilvl="0" w:tplc="0114A58C">
      <w:start w:val="29"/>
      <w:numFmt w:val="bullet"/>
      <w:lvlText w:val="-"/>
      <w:lvlJc w:val="left"/>
      <w:pPr>
        <w:ind w:left="360" w:hanging="360"/>
      </w:pPr>
      <w:rPr>
        <w:rFonts w:ascii="Verdana" w:eastAsia="Times New Roman" w:hAnsi="Verdana"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24"/>
  </w:num>
  <w:num w:numId="2">
    <w:abstractNumId w:val="2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num>
  <w:num w:numId="6">
    <w:abstractNumId w:val="1"/>
  </w:num>
  <w:num w:numId="7">
    <w:abstractNumId w:val="16"/>
  </w:num>
  <w:num w:numId="8">
    <w:abstractNumId w:val="4"/>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7"/>
  </w:num>
  <w:num w:numId="15">
    <w:abstractNumId w:val="9"/>
  </w:num>
  <w:num w:numId="16">
    <w:abstractNumId w:val="14"/>
  </w:num>
  <w:num w:numId="17">
    <w:abstractNumId w:val="7"/>
  </w:num>
  <w:num w:numId="18">
    <w:abstractNumId w:val="16"/>
    <w:lvlOverride w:ilvl="0">
      <w:startOverride w:val="1"/>
    </w:lvlOverride>
  </w:num>
  <w:num w:numId="19">
    <w:abstractNumId w:val="8"/>
  </w:num>
  <w:num w:numId="20">
    <w:abstractNumId w:val="21"/>
  </w:num>
  <w:num w:numId="21">
    <w:abstractNumId w:val="16"/>
    <w:lvlOverride w:ilvl="0">
      <w:startOverride w:val="1"/>
    </w:lvlOverride>
  </w:num>
  <w:num w:numId="22">
    <w:abstractNumId w:val="18"/>
  </w:num>
  <w:num w:numId="23">
    <w:abstractNumId w:val="3"/>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1"/>
  </w:num>
  <w:num w:numId="27">
    <w:abstractNumId w:val="10"/>
  </w:num>
  <w:num w:numId="28">
    <w:abstractNumId w:val="5"/>
  </w:num>
  <w:num w:numId="29">
    <w:abstractNumId w:val="13"/>
  </w:num>
  <w:num w:numId="30">
    <w:abstractNumId w:val="29"/>
  </w:num>
  <w:num w:numId="31">
    <w:abstractNumId w:val="1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5"/>
  </w:num>
  <w:num w:numId="35">
    <w:abstractNumId w:val="23"/>
  </w:num>
  <w:num w:numId="36">
    <w:abstractNumId w:val="12"/>
  </w:num>
  <w:num w:numId="37">
    <w:abstractNumId w:val="2"/>
  </w:num>
  <w:num w:numId="3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DD"/>
    <w:rsid w:val="00000131"/>
    <w:rsid w:val="00000220"/>
    <w:rsid w:val="0000041A"/>
    <w:rsid w:val="00000433"/>
    <w:rsid w:val="0000057A"/>
    <w:rsid w:val="000005DD"/>
    <w:rsid w:val="000006B6"/>
    <w:rsid w:val="00000D64"/>
    <w:rsid w:val="000012D8"/>
    <w:rsid w:val="000013E8"/>
    <w:rsid w:val="00001866"/>
    <w:rsid w:val="00001E01"/>
    <w:rsid w:val="0000214E"/>
    <w:rsid w:val="00002163"/>
    <w:rsid w:val="000026ED"/>
    <w:rsid w:val="00002BD1"/>
    <w:rsid w:val="000041B7"/>
    <w:rsid w:val="0000442C"/>
    <w:rsid w:val="00004B34"/>
    <w:rsid w:val="00004B71"/>
    <w:rsid w:val="00004CCB"/>
    <w:rsid w:val="000055DC"/>
    <w:rsid w:val="000064FD"/>
    <w:rsid w:val="00007977"/>
    <w:rsid w:val="00007D98"/>
    <w:rsid w:val="0001019C"/>
    <w:rsid w:val="00010CFA"/>
    <w:rsid w:val="00011112"/>
    <w:rsid w:val="00011543"/>
    <w:rsid w:val="0001173B"/>
    <w:rsid w:val="00011740"/>
    <w:rsid w:val="00011A06"/>
    <w:rsid w:val="00011DD0"/>
    <w:rsid w:val="00012235"/>
    <w:rsid w:val="000122E9"/>
    <w:rsid w:val="00012B33"/>
    <w:rsid w:val="00012D32"/>
    <w:rsid w:val="000136CC"/>
    <w:rsid w:val="000136CD"/>
    <w:rsid w:val="00013978"/>
    <w:rsid w:val="000139F3"/>
    <w:rsid w:val="00014157"/>
    <w:rsid w:val="000147D2"/>
    <w:rsid w:val="00014DDD"/>
    <w:rsid w:val="0001567D"/>
    <w:rsid w:val="00015E21"/>
    <w:rsid w:val="00016122"/>
    <w:rsid w:val="00016220"/>
    <w:rsid w:val="0001661C"/>
    <w:rsid w:val="000166FA"/>
    <w:rsid w:val="00016B6D"/>
    <w:rsid w:val="000170FA"/>
    <w:rsid w:val="00017359"/>
    <w:rsid w:val="000173E2"/>
    <w:rsid w:val="000174AE"/>
    <w:rsid w:val="00017C10"/>
    <w:rsid w:val="000203F0"/>
    <w:rsid w:val="000207FC"/>
    <w:rsid w:val="00020A9A"/>
    <w:rsid w:val="000214BA"/>
    <w:rsid w:val="000219C5"/>
    <w:rsid w:val="00021BE1"/>
    <w:rsid w:val="00022FA6"/>
    <w:rsid w:val="00023342"/>
    <w:rsid w:val="00023643"/>
    <w:rsid w:val="00023660"/>
    <w:rsid w:val="00024439"/>
    <w:rsid w:val="00024506"/>
    <w:rsid w:val="000251CE"/>
    <w:rsid w:val="00025E57"/>
    <w:rsid w:val="000262AD"/>
    <w:rsid w:val="000272DF"/>
    <w:rsid w:val="000277A2"/>
    <w:rsid w:val="000279A8"/>
    <w:rsid w:val="00030828"/>
    <w:rsid w:val="00030D94"/>
    <w:rsid w:val="00030E2E"/>
    <w:rsid w:val="00030FED"/>
    <w:rsid w:val="000315FE"/>
    <w:rsid w:val="0003189C"/>
    <w:rsid w:val="00031D84"/>
    <w:rsid w:val="00031DB1"/>
    <w:rsid w:val="0003268B"/>
    <w:rsid w:val="00032981"/>
    <w:rsid w:val="00032C84"/>
    <w:rsid w:val="00032E6D"/>
    <w:rsid w:val="000339A2"/>
    <w:rsid w:val="00033DD8"/>
    <w:rsid w:val="00034811"/>
    <w:rsid w:val="00034C26"/>
    <w:rsid w:val="000360B5"/>
    <w:rsid w:val="000364C5"/>
    <w:rsid w:val="00036856"/>
    <w:rsid w:val="0003709D"/>
    <w:rsid w:val="00037611"/>
    <w:rsid w:val="000376AF"/>
    <w:rsid w:val="00037A15"/>
    <w:rsid w:val="000403BA"/>
    <w:rsid w:val="00040B26"/>
    <w:rsid w:val="00040BA7"/>
    <w:rsid w:val="000412C5"/>
    <w:rsid w:val="000423C6"/>
    <w:rsid w:val="00042C39"/>
    <w:rsid w:val="00042D8A"/>
    <w:rsid w:val="000435D5"/>
    <w:rsid w:val="0004360F"/>
    <w:rsid w:val="00043B83"/>
    <w:rsid w:val="000442D9"/>
    <w:rsid w:val="00044325"/>
    <w:rsid w:val="00045B83"/>
    <w:rsid w:val="000470EB"/>
    <w:rsid w:val="00047A3B"/>
    <w:rsid w:val="0005049A"/>
    <w:rsid w:val="00050799"/>
    <w:rsid w:val="000511AD"/>
    <w:rsid w:val="0005131A"/>
    <w:rsid w:val="00051707"/>
    <w:rsid w:val="00051985"/>
    <w:rsid w:val="00051F3F"/>
    <w:rsid w:val="000525AA"/>
    <w:rsid w:val="00053076"/>
    <w:rsid w:val="00053475"/>
    <w:rsid w:val="00053B96"/>
    <w:rsid w:val="00053DEB"/>
    <w:rsid w:val="000542BC"/>
    <w:rsid w:val="0005490E"/>
    <w:rsid w:val="0005494C"/>
    <w:rsid w:val="00055759"/>
    <w:rsid w:val="00055993"/>
    <w:rsid w:val="000565E4"/>
    <w:rsid w:val="0005710F"/>
    <w:rsid w:val="000572F7"/>
    <w:rsid w:val="00057A11"/>
    <w:rsid w:val="00057F48"/>
    <w:rsid w:val="00057F8B"/>
    <w:rsid w:val="00060589"/>
    <w:rsid w:val="00060FFF"/>
    <w:rsid w:val="00061AE6"/>
    <w:rsid w:val="00062285"/>
    <w:rsid w:val="00062586"/>
    <w:rsid w:val="0006464E"/>
    <w:rsid w:val="000650AB"/>
    <w:rsid w:val="000651D7"/>
    <w:rsid w:val="0006522F"/>
    <w:rsid w:val="000663FA"/>
    <w:rsid w:val="00066D4A"/>
    <w:rsid w:val="00067E98"/>
    <w:rsid w:val="000700F9"/>
    <w:rsid w:val="000704CD"/>
    <w:rsid w:val="00070941"/>
    <w:rsid w:val="00071A93"/>
    <w:rsid w:val="00071FF3"/>
    <w:rsid w:val="00072121"/>
    <w:rsid w:val="000723CB"/>
    <w:rsid w:val="000732AE"/>
    <w:rsid w:val="00073A86"/>
    <w:rsid w:val="00073ECE"/>
    <w:rsid w:val="0007433C"/>
    <w:rsid w:val="00074D55"/>
    <w:rsid w:val="00074DBF"/>
    <w:rsid w:val="0007552A"/>
    <w:rsid w:val="00075585"/>
    <w:rsid w:val="00075931"/>
    <w:rsid w:val="00075B12"/>
    <w:rsid w:val="00075E9A"/>
    <w:rsid w:val="000775B9"/>
    <w:rsid w:val="000776E8"/>
    <w:rsid w:val="000804BE"/>
    <w:rsid w:val="00080C65"/>
    <w:rsid w:val="00080CCE"/>
    <w:rsid w:val="0008155F"/>
    <w:rsid w:val="00082225"/>
    <w:rsid w:val="00082283"/>
    <w:rsid w:val="00082399"/>
    <w:rsid w:val="000826E8"/>
    <w:rsid w:val="00082A67"/>
    <w:rsid w:val="00082AC3"/>
    <w:rsid w:val="0008385B"/>
    <w:rsid w:val="00084003"/>
    <w:rsid w:val="00084D8C"/>
    <w:rsid w:val="000852DF"/>
    <w:rsid w:val="00085704"/>
    <w:rsid w:val="00085A2F"/>
    <w:rsid w:val="00085BDD"/>
    <w:rsid w:val="00085C23"/>
    <w:rsid w:val="00085FE6"/>
    <w:rsid w:val="00086920"/>
    <w:rsid w:val="00086B49"/>
    <w:rsid w:val="00086B4C"/>
    <w:rsid w:val="00086DFF"/>
    <w:rsid w:val="00090580"/>
    <w:rsid w:val="00090F6D"/>
    <w:rsid w:val="00091418"/>
    <w:rsid w:val="00091F07"/>
    <w:rsid w:val="00092361"/>
    <w:rsid w:val="00092CBD"/>
    <w:rsid w:val="00092D2F"/>
    <w:rsid w:val="000932A6"/>
    <w:rsid w:val="000935B9"/>
    <w:rsid w:val="000937EB"/>
    <w:rsid w:val="00094003"/>
    <w:rsid w:val="0009464E"/>
    <w:rsid w:val="00094BE6"/>
    <w:rsid w:val="000951AE"/>
    <w:rsid w:val="00097021"/>
    <w:rsid w:val="000977B9"/>
    <w:rsid w:val="000A0FEB"/>
    <w:rsid w:val="000A19C2"/>
    <w:rsid w:val="000A1D79"/>
    <w:rsid w:val="000A257A"/>
    <w:rsid w:val="000A2801"/>
    <w:rsid w:val="000A2B07"/>
    <w:rsid w:val="000A30A9"/>
    <w:rsid w:val="000A373E"/>
    <w:rsid w:val="000A4835"/>
    <w:rsid w:val="000A5483"/>
    <w:rsid w:val="000A5C9B"/>
    <w:rsid w:val="000A5E7C"/>
    <w:rsid w:val="000A6094"/>
    <w:rsid w:val="000A6BEC"/>
    <w:rsid w:val="000A6D89"/>
    <w:rsid w:val="000A701A"/>
    <w:rsid w:val="000A72F5"/>
    <w:rsid w:val="000A7774"/>
    <w:rsid w:val="000A7866"/>
    <w:rsid w:val="000A7CBB"/>
    <w:rsid w:val="000B0801"/>
    <w:rsid w:val="000B08FF"/>
    <w:rsid w:val="000B0D9C"/>
    <w:rsid w:val="000B12F8"/>
    <w:rsid w:val="000B18D8"/>
    <w:rsid w:val="000B1D4F"/>
    <w:rsid w:val="000B1E30"/>
    <w:rsid w:val="000B2169"/>
    <w:rsid w:val="000B252B"/>
    <w:rsid w:val="000B285B"/>
    <w:rsid w:val="000B2DC8"/>
    <w:rsid w:val="000B3AE3"/>
    <w:rsid w:val="000B40E9"/>
    <w:rsid w:val="000B4230"/>
    <w:rsid w:val="000B4EF1"/>
    <w:rsid w:val="000B50C1"/>
    <w:rsid w:val="000B5902"/>
    <w:rsid w:val="000B5D06"/>
    <w:rsid w:val="000B641A"/>
    <w:rsid w:val="000B6B01"/>
    <w:rsid w:val="000B6E81"/>
    <w:rsid w:val="000B7373"/>
    <w:rsid w:val="000B747A"/>
    <w:rsid w:val="000C0406"/>
    <w:rsid w:val="000C1B19"/>
    <w:rsid w:val="000C1CA9"/>
    <w:rsid w:val="000C1FFD"/>
    <w:rsid w:val="000C2265"/>
    <w:rsid w:val="000C2E18"/>
    <w:rsid w:val="000C3041"/>
    <w:rsid w:val="000C307C"/>
    <w:rsid w:val="000C3436"/>
    <w:rsid w:val="000C3D54"/>
    <w:rsid w:val="000C3DF5"/>
    <w:rsid w:val="000C44D9"/>
    <w:rsid w:val="000C49C6"/>
    <w:rsid w:val="000C4D4F"/>
    <w:rsid w:val="000C54B0"/>
    <w:rsid w:val="000C5821"/>
    <w:rsid w:val="000C5D8A"/>
    <w:rsid w:val="000C69ED"/>
    <w:rsid w:val="000C7C05"/>
    <w:rsid w:val="000D021C"/>
    <w:rsid w:val="000D0359"/>
    <w:rsid w:val="000D080E"/>
    <w:rsid w:val="000D0AE0"/>
    <w:rsid w:val="000D11D5"/>
    <w:rsid w:val="000D1638"/>
    <w:rsid w:val="000D1F26"/>
    <w:rsid w:val="000D1FDF"/>
    <w:rsid w:val="000D230F"/>
    <w:rsid w:val="000D264C"/>
    <w:rsid w:val="000D2734"/>
    <w:rsid w:val="000D2A44"/>
    <w:rsid w:val="000D2B4C"/>
    <w:rsid w:val="000D2D98"/>
    <w:rsid w:val="000D309F"/>
    <w:rsid w:val="000D3303"/>
    <w:rsid w:val="000D4A1F"/>
    <w:rsid w:val="000D4F2A"/>
    <w:rsid w:val="000D4F90"/>
    <w:rsid w:val="000D5CD4"/>
    <w:rsid w:val="000D627F"/>
    <w:rsid w:val="000D6F86"/>
    <w:rsid w:val="000D7067"/>
    <w:rsid w:val="000D7768"/>
    <w:rsid w:val="000D7769"/>
    <w:rsid w:val="000D77F2"/>
    <w:rsid w:val="000E01D3"/>
    <w:rsid w:val="000E0902"/>
    <w:rsid w:val="000E0C09"/>
    <w:rsid w:val="000E117B"/>
    <w:rsid w:val="000E14C2"/>
    <w:rsid w:val="000E210B"/>
    <w:rsid w:val="000E307E"/>
    <w:rsid w:val="000E33C8"/>
    <w:rsid w:val="000E37CE"/>
    <w:rsid w:val="000E43D8"/>
    <w:rsid w:val="000E47C8"/>
    <w:rsid w:val="000E4E75"/>
    <w:rsid w:val="000E53C9"/>
    <w:rsid w:val="000E6B1F"/>
    <w:rsid w:val="000E6E63"/>
    <w:rsid w:val="000E73D9"/>
    <w:rsid w:val="000E7866"/>
    <w:rsid w:val="000E7C80"/>
    <w:rsid w:val="000F05BA"/>
    <w:rsid w:val="000F072D"/>
    <w:rsid w:val="000F113F"/>
    <w:rsid w:val="000F14B8"/>
    <w:rsid w:val="000F1A26"/>
    <w:rsid w:val="000F2206"/>
    <w:rsid w:val="000F26A4"/>
    <w:rsid w:val="000F2AAB"/>
    <w:rsid w:val="000F30E7"/>
    <w:rsid w:val="000F35F9"/>
    <w:rsid w:val="000F37C9"/>
    <w:rsid w:val="000F4170"/>
    <w:rsid w:val="000F44C5"/>
    <w:rsid w:val="000F49A2"/>
    <w:rsid w:val="000F5205"/>
    <w:rsid w:val="000F5ADD"/>
    <w:rsid w:val="000F6163"/>
    <w:rsid w:val="000F6179"/>
    <w:rsid w:val="000F7278"/>
    <w:rsid w:val="000F78D0"/>
    <w:rsid w:val="000F7EA2"/>
    <w:rsid w:val="0010034A"/>
    <w:rsid w:val="001008EF"/>
    <w:rsid w:val="00100ACF"/>
    <w:rsid w:val="0010100E"/>
    <w:rsid w:val="001016A7"/>
    <w:rsid w:val="00101845"/>
    <w:rsid w:val="00104B22"/>
    <w:rsid w:val="00107455"/>
    <w:rsid w:val="0010746C"/>
    <w:rsid w:val="00107649"/>
    <w:rsid w:val="001106B6"/>
    <w:rsid w:val="00110716"/>
    <w:rsid w:val="00110B3D"/>
    <w:rsid w:val="00111B66"/>
    <w:rsid w:val="001123F2"/>
    <w:rsid w:val="0011342A"/>
    <w:rsid w:val="001135DA"/>
    <w:rsid w:val="001137DA"/>
    <w:rsid w:val="0011383A"/>
    <w:rsid w:val="00113FF5"/>
    <w:rsid w:val="0011447C"/>
    <w:rsid w:val="00114577"/>
    <w:rsid w:val="0011473D"/>
    <w:rsid w:val="00114CB6"/>
    <w:rsid w:val="00115056"/>
    <w:rsid w:val="0011543E"/>
    <w:rsid w:val="0011659B"/>
    <w:rsid w:val="001165F9"/>
    <w:rsid w:val="00116807"/>
    <w:rsid w:val="00117E41"/>
    <w:rsid w:val="0012025F"/>
    <w:rsid w:val="00120592"/>
    <w:rsid w:val="00120E41"/>
    <w:rsid w:val="001216F5"/>
    <w:rsid w:val="001218A0"/>
    <w:rsid w:val="00121AA0"/>
    <w:rsid w:val="00122A38"/>
    <w:rsid w:val="0012335E"/>
    <w:rsid w:val="001242D0"/>
    <w:rsid w:val="00124478"/>
    <w:rsid w:val="001247D2"/>
    <w:rsid w:val="00124A33"/>
    <w:rsid w:val="00125A17"/>
    <w:rsid w:val="00125F25"/>
    <w:rsid w:val="0012612E"/>
    <w:rsid w:val="00126389"/>
    <w:rsid w:val="00126DBA"/>
    <w:rsid w:val="00126F91"/>
    <w:rsid w:val="00127556"/>
    <w:rsid w:val="00130531"/>
    <w:rsid w:val="001307D1"/>
    <w:rsid w:val="0013081F"/>
    <w:rsid w:val="00130944"/>
    <w:rsid w:val="00130A02"/>
    <w:rsid w:val="00131356"/>
    <w:rsid w:val="001317E8"/>
    <w:rsid w:val="001320B0"/>
    <w:rsid w:val="001320D4"/>
    <w:rsid w:val="0013235D"/>
    <w:rsid w:val="00132C26"/>
    <w:rsid w:val="00133B67"/>
    <w:rsid w:val="00134BEC"/>
    <w:rsid w:val="00134D64"/>
    <w:rsid w:val="00135580"/>
    <w:rsid w:val="00135E0A"/>
    <w:rsid w:val="00135E3E"/>
    <w:rsid w:val="00136108"/>
    <w:rsid w:val="0013738C"/>
    <w:rsid w:val="0013799D"/>
    <w:rsid w:val="00140DF0"/>
    <w:rsid w:val="0014134B"/>
    <w:rsid w:val="0014155F"/>
    <w:rsid w:val="00141692"/>
    <w:rsid w:val="00142649"/>
    <w:rsid w:val="00142E20"/>
    <w:rsid w:val="00143DF2"/>
    <w:rsid w:val="00144010"/>
    <w:rsid w:val="001445DA"/>
    <w:rsid w:val="0014496A"/>
    <w:rsid w:val="00145A34"/>
    <w:rsid w:val="00145EDA"/>
    <w:rsid w:val="00146F77"/>
    <w:rsid w:val="00147721"/>
    <w:rsid w:val="00147909"/>
    <w:rsid w:val="00150189"/>
    <w:rsid w:val="00150806"/>
    <w:rsid w:val="00150C25"/>
    <w:rsid w:val="00150FD5"/>
    <w:rsid w:val="001512CA"/>
    <w:rsid w:val="001515F6"/>
    <w:rsid w:val="00151E4D"/>
    <w:rsid w:val="00151EBB"/>
    <w:rsid w:val="001521C3"/>
    <w:rsid w:val="001526DB"/>
    <w:rsid w:val="00152B77"/>
    <w:rsid w:val="00152F4C"/>
    <w:rsid w:val="00152FBF"/>
    <w:rsid w:val="001532C0"/>
    <w:rsid w:val="00153315"/>
    <w:rsid w:val="00153436"/>
    <w:rsid w:val="001535F8"/>
    <w:rsid w:val="001544FC"/>
    <w:rsid w:val="00154AB0"/>
    <w:rsid w:val="00154FE3"/>
    <w:rsid w:val="00155E8E"/>
    <w:rsid w:val="00156A04"/>
    <w:rsid w:val="001575F7"/>
    <w:rsid w:val="00157698"/>
    <w:rsid w:val="001579D1"/>
    <w:rsid w:val="00157A8F"/>
    <w:rsid w:val="00160819"/>
    <w:rsid w:val="00161694"/>
    <w:rsid w:val="001617ED"/>
    <w:rsid w:val="001620F7"/>
    <w:rsid w:val="00162310"/>
    <w:rsid w:val="00162D62"/>
    <w:rsid w:val="00162DF3"/>
    <w:rsid w:val="00163ADF"/>
    <w:rsid w:val="00164083"/>
    <w:rsid w:val="0016488D"/>
    <w:rsid w:val="00164C05"/>
    <w:rsid w:val="00164F7B"/>
    <w:rsid w:val="001656F7"/>
    <w:rsid w:val="00165999"/>
    <w:rsid w:val="0016638B"/>
    <w:rsid w:val="001667A9"/>
    <w:rsid w:val="00166D6F"/>
    <w:rsid w:val="00166F3E"/>
    <w:rsid w:val="001705C2"/>
    <w:rsid w:val="001710B8"/>
    <w:rsid w:val="001713A1"/>
    <w:rsid w:val="00171A5D"/>
    <w:rsid w:val="00171B4B"/>
    <w:rsid w:val="00171F67"/>
    <w:rsid w:val="001721BD"/>
    <w:rsid w:val="00172F23"/>
    <w:rsid w:val="00172FE0"/>
    <w:rsid w:val="001736E4"/>
    <w:rsid w:val="0017482E"/>
    <w:rsid w:val="00174941"/>
    <w:rsid w:val="00174D2D"/>
    <w:rsid w:val="0017539B"/>
    <w:rsid w:val="001754D4"/>
    <w:rsid w:val="0017602D"/>
    <w:rsid w:val="001760C9"/>
    <w:rsid w:val="001763B2"/>
    <w:rsid w:val="00176A21"/>
    <w:rsid w:val="001770EA"/>
    <w:rsid w:val="00177292"/>
    <w:rsid w:val="00177399"/>
    <w:rsid w:val="001773EF"/>
    <w:rsid w:val="00177495"/>
    <w:rsid w:val="00177605"/>
    <w:rsid w:val="00177D3C"/>
    <w:rsid w:val="00180117"/>
    <w:rsid w:val="00180AD7"/>
    <w:rsid w:val="00180D4D"/>
    <w:rsid w:val="001826D8"/>
    <w:rsid w:val="00182A7C"/>
    <w:rsid w:val="00183265"/>
    <w:rsid w:val="00183A4E"/>
    <w:rsid w:val="00183FBB"/>
    <w:rsid w:val="001841C5"/>
    <w:rsid w:val="0018429A"/>
    <w:rsid w:val="001860D1"/>
    <w:rsid w:val="00186404"/>
    <w:rsid w:val="001871B8"/>
    <w:rsid w:val="00187538"/>
    <w:rsid w:val="001878A1"/>
    <w:rsid w:val="00187EAB"/>
    <w:rsid w:val="00190CCC"/>
    <w:rsid w:val="00190E75"/>
    <w:rsid w:val="0019170F"/>
    <w:rsid w:val="0019187D"/>
    <w:rsid w:val="00191950"/>
    <w:rsid w:val="00191991"/>
    <w:rsid w:val="001925E9"/>
    <w:rsid w:val="00192CF7"/>
    <w:rsid w:val="001932EF"/>
    <w:rsid w:val="001938D9"/>
    <w:rsid w:val="00193FA9"/>
    <w:rsid w:val="00194FF1"/>
    <w:rsid w:val="00195333"/>
    <w:rsid w:val="0019584C"/>
    <w:rsid w:val="00195867"/>
    <w:rsid w:val="00196410"/>
    <w:rsid w:val="00196E41"/>
    <w:rsid w:val="001975E2"/>
    <w:rsid w:val="0019790E"/>
    <w:rsid w:val="00197D5A"/>
    <w:rsid w:val="001A113C"/>
    <w:rsid w:val="001A230F"/>
    <w:rsid w:val="001A2AC7"/>
    <w:rsid w:val="001A2BBA"/>
    <w:rsid w:val="001A2E32"/>
    <w:rsid w:val="001A3986"/>
    <w:rsid w:val="001A5114"/>
    <w:rsid w:val="001A5C40"/>
    <w:rsid w:val="001A6076"/>
    <w:rsid w:val="001A60FB"/>
    <w:rsid w:val="001A622B"/>
    <w:rsid w:val="001A65F9"/>
    <w:rsid w:val="001A751D"/>
    <w:rsid w:val="001A76EC"/>
    <w:rsid w:val="001A7A8E"/>
    <w:rsid w:val="001A7B45"/>
    <w:rsid w:val="001A7D7F"/>
    <w:rsid w:val="001B0177"/>
    <w:rsid w:val="001B02F1"/>
    <w:rsid w:val="001B0324"/>
    <w:rsid w:val="001B156F"/>
    <w:rsid w:val="001B222D"/>
    <w:rsid w:val="001B334A"/>
    <w:rsid w:val="001B5224"/>
    <w:rsid w:val="001B53DF"/>
    <w:rsid w:val="001B5AD7"/>
    <w:rsid w:val="001B6272"/>
    <w:rsid w:val="001B6A44"/>
    <w:rsid w:val="001B7255"/>
    <w:rsid w:val="001B7433"/>
    <w:rsid w:val="001B7E69"/>
    <w:rsid w:val="001C013B"/>
    <w:rsid w:val="001C02D8"/>
    <w:rsid w:val="001C03B7"/>
    <w:rsid w:val="001C0876"/>
    <w:rsid w:val="001C1F1A"/>
    <w:rsid w:val="001C2FCF"/>
    <w:rsid w:val="001C30F9"/>
    <w:rsid w:val="001C43D1"/>
    <w:rsid w:val="001C4462"/>
    <w:rsid w:val="001C44C4"/>
    <w:rsid w:val="001C46AD"/>
    <w:rsid w:val="001C4977"/>
    <w:rsid w:val="001C4AA5"/>
    <w:rsid w:val="001C4D75"/>
    <w:rsid w:val="001C4FBC"/>
    <w:rsid w:val="001C5850"/>
    <w:rsid w:val="001C5E14"/>
    <w:rsid w:val="001C5F7B"/>
    <w:rsid w:val="001C7633"/>
    <w:rsid w:val="001D0395"/>
    <w:rsid w:val="001D0D75"/>
    <w:rsid w:val="001D1448"/>
    <w:rsid w:val="001D19C7"/>
    <w:rsid w:val="001D2174"/>
    <w:rsid w:val="001D21F5"/>
    <w:rsid w:val="001D33AE"/>
    <w:rsid w:val="001D3801"/>
    <w:rsid w:val="001D3E76"/>
    <w:rsid w:val="001D3F0C"/>
    <w:rsid w:val="001D4863"/>
    <w:rsid w:val="001D498B"/>
    <w:rsid w:val="001D523B"/>
    <w:rsid w:val="001D5D80"/>
    <w:rsid w:val="001D5D94"/>
    <w:rsid w:val="001D5FD5"/>
    <w:rsid w:val="001D6B4F"/>
    <w:rsid w:val="001D7B6D"/>
    <w:rsid w:val="001E06A6"/>
    <w:rsid w:val="001E0790"/>
    <w:rsid w:val="001E145A"/>
    <w:rsid w:val="001E1CBD"/>
    <w:rsid w:val="001E1D73"/>
    <w:rsid w:val="001E272C"/>
    <w:rsid w:val="001E299B"/>
    <w:rsid w:val="001E454A"/>
    <w:rsid w:val="001E5513"/>
    <w:rsid w:val="001E55C3"/>
    <w:rsid w:val="001E5AFC"/>
    <w:rsid w:val="001E651F"/>
    <w:rsid w:val="001F033C"/>
    <w:rsid w:val="001F0787"/>
    <w:rsid w:val="001F0C1C"/>
    <w:rsid w:val="001F1858"/>
    <w:rsid w:val="001F313A"/>
    <w:rsid w:val="001F3E25"/>
    <w:rsid w:val="001F4D0D"/>
    <w:rsid w:val="001F56F1"/>
    <w:rsid w:val="001F570C"/>
    <w:rsid w:val="001F604C"/>
    <w:rsid w:val="001F67C0"/>
    <w:rsid w:val="001F770D"/>
    <w:rsid w:val="001F7B33"/>
    <w:rsid w:val="00200019"/>
    <w:rsid w:val="00201341"/>
    <w:rsid w:val="00201CC4"/>
    <w:rsid w:val="00202430"/>
    <w:rsid w:val="002035CD"/>
    <w:rsid w:val="00203A6C"/>
    <w:rsid w:val="00203B8D"/>
    <w:rsid w:val="00204323"/>
    <w:rsid w:val="00204724"/>
    <w:rsid w:val="00204D29"/>
    <w:rsid w:val="00204F1E"/>
    <w:rsid w:val="0020515E"/>
    <w:rsid w:val="0020518D"/>
    <w:rsid w:val="002052F4"/>
    <w:rsid w:val="00206079"/>
    <w:rsid w:val="0020728F"/>
    <w:rsid w:val="0020768A"/>
    <w:rsid w:val="00210616"/>
    <w:rsid w:val="002108C0"/>
    <w:rsid w:val="00210DF6"/>
    <w:rsid w:val="0021162F"/>
    <w:rsid w:val="0021178D"/>
    <w:rsid w:val="00211D81"/>
    <w:rsid w:val="00211E7C"/>
    <w:rsid w:val="00212E7A"/>
    <w:rsid w:val="002143A9"/>
    <w:rsid w:val="00214553"/>
    <w:rsid w:val="00215790"/>
    <w:rsid w:val="002169EE"/>
    <w:rsid w:val="00216D7B"/>
    <w:rsid w:val="002175A2"/>
    <w:rsid w:val="002179E6"/>
    <w:rsid w:val="002179F7"/>
    <w:rsid w:val="00217C59"/>
    <w:rsid w:val="002201C8"/>
    <w:rsid w:val="00220512"/>
    <w:rsid w:val="00221042"/>
    <w:rsid w:val="0022111B"/>
    <w:rsid w:val="00221693"/>
    <w:rsid w:val="002217FA"/>
    <w:rsid w:val="00221D93"/>
    <w:rsid w:val="00221FF8"/>
    <w:rsid w:val="002220BD"/>
    <w:rsid w:val="00223B9F"/>
    <w:rsid w:val="00223CAB"/>
    <w:rsid w:val="00223DC5"/>
    <w:rsid w:val="002249D7"/>
    <w:rsid w:val="00224CF6"/>
    <w:rsid w:val="00225483"/>
    <w:rsid w:val="0022594B"/>
    <w:rsid w:val="00225E59"/>
    <w:rsid w:val="00225F9C"/>
    <w:rsid w:val="00226E9B"/>
    <w:rsid w:val="00227142"/>
    <w:rsid w:val="0022762E"/>
    <w:rsid w:val="00227D85"/>
    <w:rsid w:val="00227F83"/>
    <w:rsid w:val="002304F8"/>
    <w:rsid w:val="0023074A"/>
    <w:rsid w:val="002309D8"/>
    <w:rsid w:val="00231052"/>
    <w:rsid w:val="00231122"/>
    <w:rsid w:val="0023255C"/>
    <w:rsid w:val="00232B5E"/>
    <w:rsid w:val="00232EE0"/>
    <w:rsid w:val="00232FE2"/>
    <w:rsid w:val="0023392F"/>
    <w:rsid w:val="002345C0"/>
    <w:rsid w:val="0023528D"/>
    <w:rsid w:val="00236127"/>
    <w:rsid w:val="0023635B"/>
    <w:rsid w:val="002365F6"/>
    <w:rsid w:val="00236C13"/>
    <w:rsid w:val="002377D6"/>
    <w:rsid w:val="00240276"/>
    <w:rsid w:val="00241F19"/>
    <w:rsid w:val="00243925"/>
    <w:rsid w:val="0024408F"/>
    <w:rsid w:val="00244799"/>
    <w:rsid w:val="00244879"/>
    <w:rsid w:val="00244A5E"/>
    <w:rsid w:val="002450E6"/>
    <w:rsid w:val="002454A1"/>
    <w:rsid w:val="00245D81"/>
    <w:rsid w:val="00246255"/>
    <w:rsid w:val="00246782"/>
    <w:rsid w:val="00246FD5"/>
    <w:rsid w:val="002475C1"/>
    <w:rsid w:val="002476ED"/>
    <w:rsid w:val="0024788F"/>
    <w:rsid w:val="00247CE6"/>
    <w:rsid w:val="002504A1"/>
    <w:rsid w:val="00250769"/>
    <w:rsid w:val="00250809"/>
    <w:rsid w:val="00250B81"/>
    <w:rsid w:val="002517F2"/>
    <w:rsid w:val="00251DEC"/>
    <w:rsid w:val="00252231"/>
    <w:rsid w:val="002536C1"/>
    <w:rsid w:val="0025438E"/>
    <w:rsid w:val="00255B98"/>
    <w:rsid w:val="002570D1"/>
    <w:rsid w:val="00257B0D"/>
    <w:rsid w:val="00257B56"/>
    <w:rsid w:val="00257C75"/>
    <w:rsid w:val="002600F6"/>
    <w:rsid w:val="002606EA"/>
    <w:rsid w:val="00260F52"/>
    <w:rsid w:val="00261285"/>
    <w:rsid w:val="00261E01"/>
    <w:rsid w:val="00261FCE"/>
    <w:rsid w:val="0026263B"/>
    <w:rsid w:val="00262786"/>
    <w:rsid w:val="002628BF"/>
    <w:rsid w:val="00262AE4"/>
    <w:rsid w:val="00262E5D"/>
    <w:rsid w:val="00263423"/>
    <w:rsid w:val="00263BD6"/>
    <w:rsid w:val="00263E42"/>
    <w:rsid w:val="0026400F"/>
    <w:rsid w:val="0026404B"/>
    <w:rsid w:val="00264C26"/>
    <w:rsid w:val="0026509B"/>
    <w:rsid w:val="00265B04"/>
    <w:rsid w:val="00266D66"/>
    <w:rsid w:val="00267054"/>
    <w:rsid w:val="002675AE"/>
    <w:rsid w:val="002707FC"/>
    <w:rsid w:val="00271050"/>
    <w:rsid w:val="0027107F"/>
    <w:rsid w:val="0027127F"/>
    <w:rsid w:val="002726E0"/>
    <w:rsid w:val="002728CB"/>
    <w:rsid w:val="002729B7"/>
    <w:rsid w:val="00272E30"/>
    <w:rsid w:val="002730F1"/>
    <w:rsid w:val="002740DF"/>
    <w:rsid w:val="0027467C"/>
    <w:rsid w:val="002755C3"/>
    <w:rsid w:val="002756CE"/>
    <w:rsid w:val="002758B6"/>
    <w:rsid w:val="00275B80"/>
    <w:rsid w:val="00275D74"/>
    <w:rsid w:val="0027661C"/>
    <w:rsid w:val="00276A87"/>
    <w:rsid w:val="00277001"/>
    <w:rsid w:val="00277354"/>
    <w:rsid w:val="002773E7"/>
    <w:rsid w:val="002774BE"/>
    <w:rsid w:val="00277C1E"/>
    <w:rsid w:val="00277EBB"/>
    <w:rsid w:val="00280180"/>
    <w:rsid w:val="0028033B"/>
    <w:rsid w:val="0028036A"/>
    <w:rsid w:val="002807C6"/>
    <w:rsid w:val="00281FD8"/>
    <w:rsid w:val="00282A5A"/>
    <w:rsid w:val="00283330"/>
    <w:rsid w:val="002850E6"/>
    <w:rsid w:val="00285F49"/>
    <w:rsid w:val="00286054"/>
    <w:rsid w:val="0028766B"/>
    <w:rsid w:val="002878EC"/>
    <w:rsid w:val="00287A07"/>
    <w:rsid w:val="00287FC4"/>
    <w:rsid w:val="0029043A"/>
    <w:rsid w:val="002908C0"/>
    <w:rsid w:val="002908D6"/>
    <w:rsid w:val="00290CED"/>
    <w:rsid w:val="00291E55"/>
    <w:rsid w:val="002925AA"/>
    <w:rsid w:val="00292FD2"/>
    <w:rsid w:val="00294152"/>
    <w:rsid w:val="002953DB"/>
    <w:rsid w:val="00295906"/>
    <w:rsid w:val="00295CFC"/>
    <w:rsid w:val="00295FF0"/>
    <w:rsid w:val="00296777"/>
    <w:rsid w:val="00296802"/>
    <w:rsid w:val="0029691A"/>
    <w:rsid w:val="002977A8"/>
    <w:rsid w:val="002A02FD"/>
    <w:rsid w:val="002A0A51"/>
    <w:rsid w:val="002A0A64"/>
    <w:rsid w:val="002A17D5"/>
    <w:rsid w:val="002A188F"/>
    <w:rsid w:val="002A2074"/>
    <w:rsid w:val="002A22B8"/>
    <w:rsid w:val="002A26F6"/>
    <w:rsid w:val="002A285B"/>
    <w:rsid w:val="002A2A62"/>
    <w:rsid w:val="002A41C4"/>
    <w:rsid w:val="002A4265"/>
    <w:rsid w:val="002A4402"/>
    <w:rsid w:val="002A45EC"/>
    <w:rsid w:val="002A463B"/>
    <w:rsid w:val="002A47A3"/>
    <w:rsid w:val="002A488F"/>
    <w:rsid w:val="002A4CAB"/>
    <w:rsid w:val="002A4E66"/>
    <w:rsid w:val="002A50DB"/>
    <w:rsid w:val="002A5123"/>
    <w:rsid w:val="002A51CA"/>
    <w:rsid w:val="002A5452"/>
    <w:rsid w:val="002A5941"/>
    <w:rsid w:val="002A5D01"/>
    <w:rsid w:val="002A605E"/>
    <w:rsid w:val="002A61EB"/>
    <w:rsid w:val="002A63FD"/>
    <w:rsid w:val="002A64C9"/>
    <w:rsid w:val="002A698E"/>
    <w:rsid w:val="002A74C9"/>
    <w:rsid w:val="002A75B3"/>
    <w:rsid w:val="002A78EE"/>
    <w:rsid w:val="002B0772"/>
    <w:rsid w:val="002B0943"/>
    <w:rsid w:val="002B0D2F"/>
    <w:rsid w:val="002B1C33"/>
    <w:rsid w:val="002B2180"/>
    <w:rsid w:val="002B240B"/>
    <w:rsid w:val="002B3EE6"/>
    <w:rsid w:val="002B3F67"/>
    <w:rsid w:val="002B460F"/>
    <w:rsid w:val="002B4969"/>
    <w:rsid w:val="002B5243"/>
    <w:rsid w:val="002B5548"/>
    <w:rsid w:val="002B5619"/>
    <w:rsid w:val="002B5B79"/>
    <w:rsid w:val="002B7B3B"/>
    <w:rsid w:val="002B7BCD"/>
    <w:rsid w:val="002B7BEC"/>
    <w:rsid w:val="002C0526"/>
    <w:rsid w:val="002C11BA"/>
    <w:rsid w:val="002C199F"/>
    <w:rsid w:val="002C2235"/>
    <w:rsid w:val="002C2258"/>
    <w:rsid w:val="002C350A"/>
    <w:rsid w:val="002C3546"/>
    <w:rsid w:val="002C3F2F"/>
    <w:rsid w:val="002C4226"/>
    <w:rsid w:val="002C4EDE"/>
    <w:rsid w:val="002C5668"/>
    <w:rsid w:val="002C5AE0"/>
    <w:rsid w:val="002C646D"/>
    <w:rsid w:val="002C672D"/>
    <w:rsid w:val="002C6D1C"/>
    <w:rsid w:val="002C78D7"/>
    <w:rsid w:val="002C7F70"/>
    <w:rsid w:val="002D0041"/>
    <w:rsid w:val="002D0B3A"/>
    <w:rsid w:val="002D1A1A"/>
    <w:rsid w:val="002D20D9"/>
    <w:rsid w:val="002D219E"/>
    <w:rsid w:val="002D2D7E"/>
    <w:rsid w:val="002D3464"/>
    <w:rsid w:val="002D3E5E"/>
    <w:rsid w:val="002D4428"/>
    <w:rsid w:val="002D481C"/>
    <w:rsid w:val="002D48AE"/>
    <w:rsid w:val="002D5393"/>
    <w:rsid w:val="002D53C7"/>
    <w:rsid w:val="002D54E6"/>
    <w:rsid w:val="002D5950"/>
    <w:rsid w:val="002D64C1"/>
    <w:rsid w:val="002D6AC1"/>
    <w:rsid w:val="002D6C48"/>
    <w:rsid w:val="002D729E"/>
    <w:rsid w:val="002D740D"/>
    <w:rsid w:val="002D74EC"/>
    <w:rsid w:val="002D755D"/>
    <w:rsid w:val="002D76C1"/>
    <w:rsid w:val="002E0259"/>
    <w:rsid w:val="002E06CD"/>
    <w:rsid w:val="002E1325"/>
    <w:rsid w:val="002E13BB"/>
    <w:rsid w:val="002E1C87"/>
    <w:rsid w:val="002E1E62"/>
    <w:rsid w:val="002E1F02"/>
    <w:rsid w:val="002E3DEB"/>
    <w:rsid w:val="002E41A8"/>
    <w:rsid w:val="002E51A7"/>
    <w:rsid w:val="002E54E5"/>
    <w:rsid w:val="002E5AE5"/>
    <w:rsid w:val="002E620D"/>
    <w:rsid w:val="002E6439"/>
    <w:rsid w:val="002E6629"/>
    <w:rsid w:val="002E6860"/>
    <w:rsid w:val="002E6E7D"/>
    <w:rsid w:val="002F009E"/>
    <w:rsid w:val="002F03DC"/>
    <w:rsid w:val="002F0436"/>
    <w:rsid w:val="002F05BB"/>
    <w:rsid w:val="002F13EB"/>
    <w:rsid w:val="002F2481"/>
    <w:rsid w:val="002F278F"/>
    <w:rsid w:val="002F2869"/>
    <w:rsid w:val="002F2FB1"/>
    <w:rsid w:val="002F381E"/>
    <w:rsid w:val="002F4501"/>
    <w:rsid w:val="002F5E37"/>
    <w:rsid w:val="002F5F28"/>
    <w:rsid w:val="002F63BF"/>
    <w:rsid w:val="002F67EC"/>
    <w:rsid w:val="002F7F68"/>
    <w:rsid w:val="00300233"/>
    <w:rsid w:val="00300424"/>
    <w:rsid w:val="00300432"/>
    <w:rsid w:val="00300A42"/>
    <w:rsid w:val="00300D33"/>
    <w:rsid w:val="0030107B"/>
    <w:rsid w:val="0030109D"/>
    <w:rsid w:val="0030145D"/>
    <w:rsid w:val="003017F3"/>
    <w:rsid w:val="00301C6B"/>
    <w:rsid w:val="00302950"/>
    <w:rsid w:val="0030381D"/>
    <w:rsid w:val="003041C3"/>
    <w:rsid w:val="0030498F"/>
    <w:rsid w:val="00304E3D"/>
    <w:rsid w:val="00305AD4"/>
    <w:rsid w:val="00305C47"/>
    <w:rsid w:val="00306A29"/>
    <w:rsid w:val="0030716C"/>
    <w:rsid w:val="00307E6C"/>
    <w:rsid w:val="00307E84"/>
    <w:rsid w:val="00307EF1"/>
    <w:rsid w:val="00310187"/>
    <w:rsid w:val="003108B8"/>
    <w:rsid w:val="00310FF1"/>
    <w:rsid w:val="00311A9C"/>
    <w:rsid w:val="00311B5D"/>
    <w:rsid w:val="00312217"/>
    <w:rsid w:val="00312262"/>
    <w:rsid w:val="00312276"/>
    <w:rsid w:val="00312D11"/>
    <w:rsid w:val="00313124"/>
    <w:rsid w:val="0031423F"/>
    <w:rsid w:val="00315090"/>
    <w:rsid w:val="003155AD"/>
    <w:rsid w:val="00315C5F"/>
    <w:rsid w:val="003160E8"/>
    <w:rsid w:val="003163B7"/>
    <w:rsid w:val="00316FBC"/>
    <w:rsid w:val="0031710B"/>
    <w:rsid w:val="0031725D"/>
    <w:rsid w:val="003172E0"/>
    <w:rsid w:val="003176B8"/>
    <w:rsid w:val="00317E0D"/>
    <w:rsid w:val="00320BB4"/>
    <w:rsid w:val="00320EF8"/>
    <w:rsid w:val="003220CE"/>
    <w:rsid w:val="00322175"/>
    <w:rsid w:val="00322D69"/>
    <w:rsid w:val="0032362E"/>
    <w:rsid w:val="00323A17"/>
    <w:rsid w:val="00323B3A"/>
    <w:rsid w:val="003245A9"/>
    <w:rsid w:val="0032498A"/>
    <w:rsid w:val="00324D89"/>
    <w:rsid w:val="003258E8"/>
    <w:rsid w:val="003270BD"/>
    <w:rsid w:val="00327657"/>
    <w:rsid w:val="00327F49"/>
    <w:rsid w:val="00327F5D"/>
    <w:rsid w:val="00330396"/>
    <w:rsid w:val="00332034"/>
    <w:rsid w:val="003326A2"/>
    <w:rsid w:val="003326E6"/>
    <w:rsid w:val="0033298B"/>
    <w:rsid w:val="00332EA1"/>
    <w:rsid w:val="00334425"/>
    <w:rsid w:val="003354BF"/>
    <w:rsid w:val="00335B72"/>
    <w:rsid w:val="00335C32"/>
    <w:rsid w:val="00335CEB"/>
    <w:rsid w:val="00335E6E"/>
    <w:rsid w:val="00336B84"/>
    <w:rsid w:val="00337078"/>
    <w:rsid w:val="00337C65"/>
    <w:rsid w:val="00337F39"/>
    <w:rsid w:val="00340404"/>
    <w:rsid w:val="0034044A"/>
    <w:rsid w:val="0034078E"/>
    <w:rsid w:val="00340849"/>
    <w:rsid w:val="00340F58"/>
    <w:rsid w:val="00341BF1"/>
    <w:rsid w:val="00341C5A"/>
    <w:rsid w:val="00341CDC"/>
    <w:rsid w:val="00342270"/>
    <w:rsid w:val="00342D38"/>
    <w:rsid w:val="003437A0"/>
    <w:rsid w:val="0034410C"/>
    <w:rsid w:val="0034439B"/>
    <w:rsid w:val="00345FF2"/>
    <w:rsid w:val="00346477"/>
    <w:rsid w:val="00346688"/>
    <w:rsid w:val="00346A60"/>
    <w:rsid w:val="0035061C"/>
    <w:rsid w:val="00350A3F"/>
    <w:rsid w:val="0035139B"/>
    <w:rsid w:val="0035188F"/>
    <w:rsid w:val="0035263A"/>
    <w:rsid w:val="00352643"/>
    <w:rsid w:val="00352A6D"/>
    <w:rsid w:val="0035348F"/>
    <w:rsid w:val="003539BE"/>
    <w:rsid w:val="00353A88"/>
    <w:rsid w:val="00354417"/>
    <w:rsid w:val="003555F3"/>
    <w:rsid w:val="003558F5"/>
    <w:rsid w:val="00355F02"/>
    <w:rsid w:val="003564F3"/>
    <w:rsid w:val="003568FC"/>
    <w:rsid w:val="00356C7F"/>
    <w:rsid w:val="00356E2C"/>
    <w:rsid w:val="00356E5D"/>
    <w:rsid w:val="00356F43"/>
    <w:rsid w:val="00357DE8"/>
    <w:rsid w:val="00357E5B"/>
    <w:rsid w:val="0036020D"/>
    <w:rsid w:val="00360357"/>
    <w:rsid w:val="0036056E"/>
    <w:rsid w:val="00360579"/>
    <w:rsid w:val="00360666"/>
    <w:rsid w:val="003608F6"/>
    <w:rsid w:val="00360D48"/>
    <w:rsid w:val="00360DAD"/>
    <w:rsid w:val="00360E36"/>
    <w:rsid w:val="00360F95"/>
    <w:rsid w:val="003617F1"/>
    <w:rsid w:val="00361B6A"/>
    <w:rsid w:val="003626CB"/>
    <w:rsid w:val="00362A2A"/>
    <w:rsid w:val="00362CC1"/>
    <w:rsid w:val="00362DB2"/>
    <w:rsid w:val="00363BEE"/>
    <w:rsid w:val="00364B77"/>
    <w:rsid w:val="00366326"/>
    <w:rsid w:val="00366709"/>
    <w:rsid w:val="0036691F"/>
    <w:rsid w:val="00366CB9"/>
    <w:rsid w:val="003670DF"/>
    <w:rsid w:val="003700C4"/>
    <w:rsid w:val="00370FCA"/>
    <w:rsid w:val="00371AE2"/>
    <w:rsid w:val="00371F4B"/>
    <w:rsid w:val="003730AC"/>
    <w:rsid w:val="003731BA"/>
    <w:rsid w:val="003737A1"/>
    <w:rsid w:val="00373CD6"/>
    <w:rsid w:val="00374633"/>
    <w:rsid w:val="00374897"/>
    <w:rsid w:val="00374D79"/>
    <w:rsid w:val="00374DA6"/>
    <w:rsid w:val="00374EE5"/>
    <w:rsid w:val="00376276"/>
    <w:rsid w:val="003765A7"/>
    <w:rsid w:val="003801F3"/>
    <w:rsid w:val="003810C4"/>
    <w:rsid w:val="0038230F"/>
    <w:rsid w:val="00382384"/>
    <w:rsid w:val="003827FB"/>
    <w:rsid w:val="0038290B"/>
    <w:rsid w:val="00383565"/>
    <w:rsid w:val="00383F64"/>
    <w:rsid w:val="00384158"/>
    <w:rsid w:val="00384386"/>
    <w:rsid w:val="00384CD3"/>
    <w:rsid w:val="003852C8"/>
    <w:rsid w:val="003859F3"/>
    <w:rsid w:val="00385F97"/>
    <w:rsid w:val="00386BA9"/>
    <w:rsid w:val="00386E16"/>
    <w:rsid w:val="003871DE"/>
    <w:rsid w:val="003876F1"/>
    <w:rsid w:val="003878F0"/>
    <w:rsid w:val="00391572"/>
    <w:rsid w:val="0039254B"/>
    <w:rsid w:val="003929C3"/>
    <w:rsid w:val="00392A25"/>
    <w:rsid w:val="00392A9A"/>
    <w:rsid w:val="00393690"/>
    <w:rsid w:val="00393931"/>
    <w:rsid w:val="003946BF"/>
    <w:rsid w:val="003947F3"/>
    <w:rsid w:val="00394B9A"/>
    <w:rsid w:val="00395325"/>
    <w:rsid w:val="003961CE"/>
    <w:rsid w:val="0039676A"/>
    <w:rsid w:val="003974CE"/>
    <w:rsid w:val="00397EA9"/>
    <w:rsid w:val="003A00EF"/>
    <w:rsid w:val="003A09FD"/>
    <w:rsid w:val="003A15F8"/>
    <w:rsid w:val="003A1E47"/>
    <w:rsid w:val="003A1EE9"/>
    <w:rsid w:val="003A2292"/>
    <w:rsid w:val="003A236A"/>
    <w:rsid w:val="003A2812"/>
    <w:rsid w:val="003A30FF"/>
    <w:rsid w:val="003A33FF"/>
    <w:rsid w:val="003A4487"/>
    <w:rsid w:val="003A45E0"/>
    <w:rsid w:val="003A46E0"/>
    <w:rsid w:val="003A6303"/>
    <w:rsid w:val="003A63EB"/>
    <w:rsid w:val="003A6657"/>
    <w:rsid w:val="003A72C1"/>
    <w:rsid w:val="003A7633"/>
    <w:rsid w:val="003A7739"/>
    <w:rsid w:val="003B0185"/>
    <w:rsid w:val="003B0ACE"/>
    <w:rsid w:val="003B1465"/>
    <w:rsid w:val="003B1BB9"/>
    <w:rsid w:val="003B2665"/>
    <w:rsid w:val="003B274A"/>
    <w:rsid w:val="003B2FED"/>
    <w:rsid w:val="003B3B17"/>
    <w:rsid w:val="003B481B"/>
    <w:rsid w:val="003B4BAE"/>
    <w:rsid w:val="003B52C8"/>
    <w:rsid w:val="003B532A"/>
    <w:rsid w:val="003B547B"/>
    <w:rsid w:val="003B5861"/>
    <w:rsid w:val="003B5AE5"/>
    <w:rsid w:val="003B5B21"/>
    <w:rsid w:val="003B6F74"/>
    <w:rsid w:val="003B7367"/>
    <w:rsid w:val="003B78A0"/>
    <w:rsid w:val="003B7E40"/>
    <w:rsid w:val="003C0075"/>
    <w:rsid w:val="003C025E"/>
    <w:rsid w:val="003C0CC7"/>
    <w:rsid w:val="003C0DF9"/>
    <w:rsid w:val="003C122A"/>
    <w:rsid w:val="003C2506"/>
    <w:rsid w:val="003C2B4C"/>
    <w:rsid w:val="003C3208"/>
    <w:rsid w:val="003C3E42"/>
    <w:rsid w:val="003C4534"/>
    <w:rsid w:val="003C4D6C"/>
    <w:rsid w:val="003C69E7"/>
    <w:rsid w:val="003C7B72"/>
    <w:rsid w:val="003D03EA"/>
    <w:rsid w:val="003D06CF"/>
    <w:rsid w:val="003D0D9C"/>
    <w:rsid w:val="003D1148"/>
    <w:rsid w:val="003D148B"/>
    <w:rsid w:val="003D16AE"/>
    <w:rsid w:val="003D1BAB"/>
    <w:rsid w:val="003D1DC1"/>
    <w:rsid w:val="003D1DED"/>
    <w:rsid w:val="003D221D"/>
    <w:rsid w:val="003D2912"/>
    <w:rsid w:val="003D2C15"/>
    <w:rsid w:val="003D34BB"/>
    <w:rsid w:val="003D366C"/>
    <w:rsid w:val="003D36BF"/>
    <w:rsid w:val="003D3A4A"/>
    <w:rsid w:val="003D51CA"/>
    <w:rsid w:val="003D55AD"/>
    <w:rsid w:val="003D5699"/>
    <w:rsid w:val="003D592C"/>
    <w:rsid w:val="003D5C15"/>
    <w:rsid w:val="003D5EFF"/>
    <w:rsid w:val="003D7674"/>
    <w:rsid w:val="003E0087"/>
    <w:rsid w:val="003E1017"/>
    <w:rsid w:val="003E1128"/>
    <w:rsid w:val="003E1D49"/>
    <w:rsid w:val="003E1ECD"/>
    <w:rsid w:val="003E2646"/>
    <w:rsid w:val="003E2F69"/>
    <w:rsid w:val="003E3DD0"/>
    <w:rsid w:val="003E42C5"/>
    <w:rsid w:val="003E49CC"/>
    <w:rsid w:val="003E4F6F"/>
    <w:rsid w:val="003E676B"/>
    <w:rsid w:val="003E74F4"/>
    <w:rsid w:val="003E7BB0"/>
    <w:rsid w:val="003E7CFD"/>
    <w:rsid w:val="003E7F63"/>
    <w:rsid w:val="003F01F0"/>
    <w:rsid w:val="003F0556"/>
    <w:rsid w:val="003F0801"/>
    <w:rsid w:val="003F0817"/>
    <w:rsid w:val="003F0C20"/>
    <w:rsid w:val="003F107B"/>
    <w:rsid w:val="003F15C8"/>
    <w:rsid w:val="003F1D7C"/>
    <w:rsid w:val="003F1E3C"/>
    <w:rsid w:val="003F27B2"/>
    <w:rsid w:val="003F3006"/>
    <w:rsid w:val="003F35D0"/>
    <w:rsid w:val="003F402C"/>
    <w:rsid w:val="003F4368"/>
    <w:rsid w:val="003F43EC"/>
    <w:rsid w:val="003F4CF6"/>
    <w:rsid w:val="003F59FE"/>
    <w:rsid w:val="003F5C05"/>
    <w:rsid w:val="003F5FC6"/>
    <w:rsid w:val="003F7439"/>
    <w:rsid w:val="003F760A"/>
    <w:rsid w:val="004000F2"/>
    <w:rsid w:val="004001C4"/>
    <w:rsid w:val="00400469"/>
    <w:rsid w:val="0040047C"/>
    <w:rsid w:val="00401AC4"/>
    <w:rsid w:val="0040215C"/>
    <w:rsid w:val="00402215"/>
    <w:rsid w:val="004034AA"/>
    <w:rsid w:val="004041EE"/>
    <w:rsid w:val="0040464C"/>
    <w:rsid w:val="00404D7D"/>
    <w:rsid w:val="00404FD1"/>
    <w:rsid w:val="0040507C"/>
    <w:rsid w:val="004060AF"/>
    <w:rsid w:val="004068BC"/>
    <w:rsid w:val="0040799E"/>
    <w:rsid w:val="00407E71"/>
    <w:rsid w:val="00407F47"/>
    <w:rsid w:val="00410B28"/>
    <w:rsid w:val="00410DB8"/>
    <w:rsid w:val="004111C3"/>
    <w:rsid w:val="0041169A"/>
    <w:rsid w:val="00411921"/>
    <w:rsid w:val="00411D22"/>
    <w:rsid w:val="004128B3"/>
    <w:rsid w:val="004135D6"/>
    <w:rsid w:val="004136F9"/>
    <w:rsid w:val="00413F6D"/>
    <w:rsid w:val="00414F4D"/>
    <w:rsid w:val="0041557F"/>
    <w:rsid w:val="004155AB"/>
    <w:rsid w:val="00415836"/>
    <w:rsid w:val="00416DFA"/>
    <w:rsid w:val="00416EC0"/>
    <w:rsid w:val="00417925"/>
    <w:rsid w:val="004203FF"/>
    <w:rsid w:val="0042042C"/>
    <w:rsid w:val="00420BB7"/>
    <w:rsid w:val="004214E3"/>
    <w:rsid w:val="0042225E"/>
    <w:rsid w:val="004222DC"/>
    <w:rsid w:val="0042308A"/>
    <w:rsid w:val="0042344A"/>
    <w:rsid w:val="00423651"/>
    <w:rsid w:val="004236FA"/>
    <w:rsid w:val="00424B63"/>
    <w:rsid w:val="004254C4"/>
    <w:rsid w:val="00426DDF"/>
    <w:rsid w:val="004307E1"/>
    <w:rsid w:val="00430983"/>
    <w:rsid w:val="00430EB8"/>
    <w:rsid w:val="0043100B"/>
    <w:rsid w:val="004311FD"/>
    <w:rsid w:val="00431327"/>
    <w:rsid w:val="0043175A"/>
    <w:rsid w:val="00431F9F"/>
    <w:rsid w:val="00432C15"/>
    <w:rsid w:val="00432D8A"/>
    <w:rsid w:val="0043433B"/>
    <w:rsid w:val="00434483"/>
    <w:rsid w:val="004345DD"/>
    <w:rsid w:val="00434B81"/>
    <w:rsid w:val="00435259"/>
    <w:rsid w:val="00435F46"/>
    <w:rsid w:val="004364A5"/>
    <w:rsid w:val="004367F6"/>
    <w:rsid w:val="004368CD"/>
    <w:rsid w:val="00436C13"/>
    <w:rsid w:val="00436D11"/>
    <w:rsid w:val="0043704C"/>
    <w:rsid w:val="00437918"/>
    <w:rsid w:val="00437A56"/>
    <w:rsid w:val="00437B83"/>
    <w:rsid w:val="00437EB8"/>
    <w:rsid w:val="0044053E"/>
    <w:rsid w:val="004408F1"/>
    <w:rsid w:val="00441D3D"/>
    <w:rsid w:val="00442BB2"/>
    <w:rsid w:val="00442CC5"/>
    <w:rsid w:val="00442F78"/>
    <w:rsid w:val="00443691"/>
    <w:rsid w:val="004437D1"/>
    <w:rsid w:val="00444091"/>
    <w:rsid w:val="00444319"/>
    <w:rsid w:val="00444526"/>
    <w:rsid w:val="00444715"/>
    <w:rsid w:val="004448A5"/>
    <w:rsid w:val="00444B4C"/>
    <w:rsid w:val="004450BE"/>
    <w:rsid w:val="0044516E"/>
    <w:rsid w:val="00445339"/>
    <w:rsid w:val="004456F1"/>
    <w:rsid w:val="00445E28"/>
    <w:rsid w:val="00446D11"/>
    <w:rsid w:val="0044726D"/>
    <w:rsid w:val="00447A8B"/>
    <w:rsid w:val="00450250"/>
    <w:rsid w:val="00450D62"/>
    <w:rsid w:val="004515D5"/>
    <w:rsid w:val="00451625"/>
    <w:rsid w:val="004523E0"/>
    <w:rsid w:val="0045242E"/>
    <w:rsid w:val="00452EE0"/>
    <w:rsid w:val="00453423"/>
    <w:rsid w:val="0045413E"/>
    <w:rsid w:val="00454BB3"/>
    <w:rsid w:val="00454EEA"/>
    <w:rsid w:val="00454FD5"/>
    <w:rsid w:val="00454FEF"/>
    <w:rsid w:val="0045566B"/>
    <w:rsid w:val="004568E1"/>
    <w:rsid w:val="00456F5F"/>
    <w:rsid w:val="00457162"/>
    <w:rsid w:val="004575DE"/>
    <w:rsid w:val="00457742"/>
    <w:rsid w:val="00457766"/>
    <w:rsid w:val="00460078"/>
    <w:rsid w:val="004605F3"/>
    <w:rsid w:val="00460FE6"/>
    <w:rsid w:val="0046175B"/>
    <w:rsid w:val="0046240C"/>
    <w:rsid w:val="0046269E"/>
    <w:rsid w:val="004628B6"/>
    <w:rsid w:val="00462AA4"/>
    <w:rsid w:val="0046460D"/>
    <w:rsid w:val="00464D65"/>
    <w:rsid w:val="00465B7D"/>
    <w:rsid w:val="00465B8C"/>
    <w:rsid w:val="00465FCF"/>
    <w:rsid w:val="00466488"/>
    <w:rsid w:val="004669FF"/>
    <w:rsid w:val="0046731A"/>
    <w:rsid w:val="004704A9"/>
    <w:rsid w:val="004707E3"/>
    <w:rsid w:val="00470F52"/>
    <w:rsid w:val="00470F9C"/>
    <w:rsid w:val="0047130D"/>
    <w:rsid w:val="00471A10"/>
    <w:rsid w:val="00471B72"/>
    <w:rsid w:val="00472103"/>
    <w:rsid w:val="00472794"/>
    <w:rsid w:val="00472FC5"/>
    <w:rsid w:val="00473343"/>
    <w:rsid w:val="0047367F"/>
    <w:rsid w:val="004738DD"/>
    <w:rsid w:val="00473CF8"/>
    <w:rsid w:val="00473D19"/>
    <w:rsid w:val="004747B9"/>
    <w:rsid w:val="00474932"/>
    <w:rsid w:val="00474B8B"/>
    <w:rsid w:val="0047501D"/>
    <w:rsid w:val="00475387"/>
    <w:rsid w:val="00476690"/>
    <w:rsid w:val="004766A7"/>
    <w:rsid w:val="00476F42"/>
    <w:rsid w:val="00476F87"/>
    <w:rsid w:val="004773AB"/>
    <w:rsid w:val="00477BFF"/>
    <w:rsid w:val="0048005A"/>
    <w:rsid w:val="00481778"/>
    <w:rsid w:val="004817B0"/>
    <w:rsid w:val="00481C3B"/>
    <w:rsid w:val="00481CEF"/>
    <w:rsid w:val="0048229F"/>
    <w:rsid w:val="004822DA"/>
    <w:rsid w:val="00482E11"/>
    <w:rsid w:val="00483013"/>
    <w:rsid w:val="0048379C"/>
    <w:rsid w:val="00483945"/>
    <w:rsid w:val="00483CE1"/>
    <w:rsid w:val="00483E0B"/>
    <w:rsid w:val="00484C68"/>
    <w:rsid w:val="004854EF"/>
    <w:rsid w:val="004863BE"/>
    <w:rsid w:val="00486490"/>
    <w:rsid w:val="00486AF1"/>
    <w:rsid w:val="00486AF7"/>
    <w:rsid w:val="00490AC3"/>
    <w:rsid w:val="00491724"/>
    <w:rsid w:val="0049199F"/>
    <w:rsid w:val="00491B37"/>
    <w:rsid w:val="004920F4"/>
    <w:rsid w:val="0049258D"/>
    <w:rsid w:val="004926CE"/>
    <w:rsid w:val="0049291B"/>
    <w:rsid w:val="00492CDA"/>
    <w:rsid w:val="004931B5"/>
    <w:rsid w:val="0049429D"/>
    <w:rsid w:val="00494FB0"/>
    <w:rsid w:val="0049542D"/>
    <w:rsid w:val="004959F0"/>
    <w:rsid w:val="00496573"/>
    <w:rsid w:val="00496EE1"/>
    <w:rsid w:val="00497952"/>
    <w:rsid w:val="00497BFB"/>
    <w:rsid w:val="004A03FE"/>
    <w:rsid w:val="004A0636"/>
    <w:rsid w:val="004A078F"/>
    <w:rsid w:val="004A0B57"/>
    <w:rsid w:val="004A0BDC"/>
    <w:rsid w:val="004A116E"/>
    <w:rsid w:val="004A1175"/>
    <w:rsid w:val="004A1210"/>
    <w:rsid w:val="004A1B11"/>
    <w:rsid w:val="004A1B76"/>
    <w:rsid w:val="004A1FCA"/>
    <w:rsid w:val="004A27D9"/>
    <w:rsid w:val="004A2CE4"/>
    <w:rsid w:val="004A2E72"/>
    <w:rsid w:val="004A4192"/>
    <w:rsid w:val="004A424B"/>
    <w:rsid w:val="004A4B3D"/>
    <w:rsid w:val="004A4CC9"/>
    <w:rsid w:val="004A4E15"/>
    <w:rsid w:val="004A4FA6"/>
    <w:rsid w:val="004A51E5"/>
    <w:rsid w:val="004A5218"/>
    <w:rsid w:val="004A5897"/>
    <w:rsid w:val="004A5A15"/>
    <w:rsid w:val="004A6440"/>
    <w:rsid w:val="004A647D"/>
    <w:rsid w:val="004A6780"/>
    <w:rsid w:val="004A6E03"/>
    <w:rsid w:val="004A6FC7"/>
    <w:rsid w:val="004A71AF"/>
    <w:rsid w:val="004A781B"/>
    <w:rsid w:val="004B1140"/>
    <w:rsid w:val="004B20F8"/>
    <w:rsid w:val="004B227E"/>
    <w:rsid w:val="004B2395"/>
    <w:rsid w:val="004B2A92"/>
    <w:rsid w:val="004B32A6"/>
    <w:rsid w:val="004B3DE8"/>
    <w:rsid w:val="004B441B"/>
    <w:rsid w:val="004B47EE"/>
    <w:rsid w:val="004B50F2"/>
    <w:rsid w:val="004B58EC"/>
    <w:rsid w:val="004B69B5"/>
    <w:rsid w:val="004B6A6E"/>
    <w:rsid w:val="004B6D26"/>
    <w:rsid w:val="004B7B1D"/>
    <w:rsid w:val="004C02A8"/>
    <w:rsid w:val="004C0DAA"/>
    <w:rsid w:val="004C0DCF"/>
    <w:rsid w:val="004C15EA"/>
    <w:rsid w:val="004C1BC0"/>
    <w:rsid w:val="004C2302"/>
    <w:rsid w:val="004C24DE"/>
    <w:rsid w:val="004C2823"/>
    <w:rsid w:val="004C2A62"/>
    <w:rsid w:val="004C341F"/>
    <w:rsid w:val="004C3A8C"/>
    <w:rsid w:val="004C3B57"/>
    <w:rsid w:val="004C45AC"/>
    <w:rsid w:val="004C4759"/>
    <w:rsid w:val="004C5B8B"/>
    <w:rsid w:val="004C5E16"/>
    <w:rsid w:val="004C6DE2"/>
    <w:rsid w:val="004C6FE6"/>
    <w:rsid w:val="004C7691"/>
    <w:rsid w:val="004C7CBA"/>
    <w:rsid w:val="004D073D"/>
    <w:rsid w:val="004D0BDF"/>
    <w:rsid w:val="004D0D5D"/>
    <w:rsid w:val="004D1873"/>
    <w:rsid w:val="004D1969"/>
    <w:rsid w:val="004D1DCA"/>
    <w:rsid w:val="004D1EA5"/>
    <w:rsid w:val="004D1EF8"/>
    <w:rsid w:val="004D2954"/>
    <w:rsid w:val="004D2BDB"/>
    <w:rsid w:val="004D3B73"/>
    <w:rsid w:val="004D3CD9"/>
    <w:rsid w:val="004D4585"/>
    <w:rsid w:val="004D4E43"/>
    <w:rsid w:val="004D5718"/>
    <w:rsid w:val="004D659E"/>
    <w:rsid w:val="004D67BE"/>
    <w:rsid w:val="004D6D4D"/>
    <w:rsid w:val="004D7592"/>
    <w:rsid w:val="004D7E7A"/>
    <w:rsid w:val="004E0261"/>
    <w:rsid w:val="004E03F6"/>
    <w:rsid w:val="004E1443"/>
    <w:rsid w:val="004E179E"/>
    <w:rsid w:val="004E28D5"/>
    <w:rsid w:val="004E38EA"/>
    <w:rsid w:val="004E3DCA"/>
    <w:rsid w:val="004E3FE8"/>
    <w:rsid w:val="004E43C0"/>
    <w:rsid w:val="004E4EB7"/>
    <w:rsid w:val="004E5057"/>
    <w:rsid w:val="004E5082"/>
    <w:rsid w:val="004E51D0"/>
    <w:rsid w:val="004E5810"/>
    <w:rsid w:val="004E5D37"/>
    <w:rsid w:val="004E6620"/>
    <w:rsid w:val="004E6AF1"/>
    <w:rsid w:val="004F0A13"/>
    <w:rsid w:val="004F1888"/>
    <w:rsid w:val="004F1F09"/>
    <w:rsid w:val="004F2A0A"/>
    <w:rsid w:val="004F32C5"/>
    <w:rsid w:val="004F459F"/>
    <w:rsid w:val="004F523B"/>
    <w:rsid w:val="004F53BF"/>
    <w:rsid w:val="004F5B3D"/>
    <w:rsid w:val="004F5C3E"/>
    <w:rsid w:val="004F62EF"/>
    <w:rsid w:val="004F64D1"/>
    <w:rsid w:val="004F68AF"/>
    <w:rsid w:val="004F6AD0"/>
    <w:rsid w:val="004F7705"/>
    <w:rsid w:val="004F7AF2"/>
    <w:rsid w:val="0050012E"/>
    <w:rsid w:val="005006C3"/>
    <w:rsid w:val="0050125C"/>
    <w:rsid w:val="00501509"/>
    <w:rsid w:val="00502B43"/>
    <w:rsid w:val="00502C5F"/>
    <w:rsid w:val="0050312F"/>
    <w:rsid w:val="00503639"/>
    <w:rsid w:val="005039E4"/>
    <w:rsid w:val="00505D00"/>
    <w:rsid w:val="00506815"/>
    <w:rsid w:val="005073A4"/>
    <w:rsid w:val="00510578"/>
    <w:rsid w:val="005108A8"/>
    <w:rsid w:val="00510A23"/>
    <w:rsid w:val="00510A90"/>
    <w:rsid w:val="00511A03"/>
    <w:rsid w:val="00512C11"/>
    <w:rsid w:val="00512E12"/>
    <w:rsid w:val="00512FDD"/>
    <w:rsid w:val="0051442A"/>
    <w:rsid w:val="00514AD5"/>
    <w:rsid w:val="00514B47"/>
    <w:rsid w:val="005155B4"/>
    <w:rsid w:val="0051570D"/>
    <w:rsid w:val="00515FB4"/>
    <w:rsid w:val="00516FA0"/>
    <w:rsid w:val="0051702C"/>
    <w:rsid w:val="00517B6B"/>
    <w:rsid w:val="00517D83"/>
    <w:rsid w:val="00517E1A"/>
    <w:rsid w:val="005213C8"/>
    <w:rsid w:val="0052281A"/>
    <w:rsid w:val="00522E88"/>
    <w:rsid w:val="00522F92"/>
    <w:rsid w:val="00523160"/>
    <w:rsid w:val="00523226"/>
    <w:rsid w:val="0052367E"/>
    <w:rsid w:val="005238FD"/>
    <w:rsid w:val="00523A91"/>
    <w:rsid w:val="00523FA6"/>
    <w:rsid w:val="00524176"/>
    <w:rsid w:val="00524DB5"/>
    <w:rsid w:val="00525E92"/>
    <w:rsid w:val="00525ED8"/>
    <w:rsid w:val="00525F0E"/>
    <w:rsid w:val="00525FDC"/>
    <w:rsid w:val="00527856"/>
    <w:rsid w:val="00527C83"/>
    <w:rsid w:val="00530CA7"/>
    <w:rsid w:val="00530E99"/>
    <w:rsid w:val="00531741"/>
    <w:rsid w:val="00531D0E"/>
    <w:rsid w:val="00531D45"/>
    <w:rsid w:val="005326B4"/>
    <w:rsid w:val="00532A07"/>
    <w:rsid w:val="00532DA9"/>
    <w:rsid w:val="00533480"/>
    <w:rsid w:val="00533BCD"/>
    <w:rsid w:val="00533DE9"/>
    <w:rsid w:val="00534252"/>
    <w:rsid w:val="00534769"/>
    <w:rsid w:val="00534E55"/>
    <w:rsid w:val="00534EB4"/>
    <w:rsid w:val="0053528C"/>
    <w:rsid w:val="0053539A"/>
    <w:rsid w:val="00535808"/>
    <w:rsid w:val="0053642E"/>
    <w:rsid w:val="0053683D"/>
    <w:rsid w:val="00536EF6"/>
    <w:rsid w:val="005371E4"/>
    <w:rsid w:val="00537891"/>
    <w:rsid w:val="00537C69"/>
    <w:rsid w:val="0054061E"/>
    <w:rsid w:val="00540684"/>
    <w:rsid w:val="0054087F"/>
    <w:rsid w:val="00541592"/>
    <w:rsid w:val="005415CD"/>
    <w:rsid w:val="005419F8"/>
    <w:rsid w:val="005422B7"/>
    <w:rsid w:val="00542381"/>
    <w:rsid w:val="00542AD4"/>
    <w:rsid w:val="005430FF"/>
    <w:rsid w:val="00543A0D"/>
    <w:rsid w:val="00543A87"/>
    <w:rsid w:val="00543B5C"/>
    <w:rsid w:val="00543E84"/>
    <w:rsid w:val="0054438D"/>
    <w:rsid w:val="00545693"/>
    <w:rsid w:val="00545820"/>
    <w:rsid w:val="00545ADD"/>
    <w:rsid w:val="00545E1D"/>
    <w:rsid w:val="00546701"/>
    <w:rsid w:val="0054681A"/>
    <w:rsid w:val="0054712C"/>
    <w:rsid w:val="005474C2"/>
    <w:rsid w:val="00550480"/>
    <w:rsid w:val="0055158C"/>
    <w:rsid w:val="00551907"/>
    <w:rsid w:val="00552DD8"/>
    <w:rsid w:val="00553091"/>
    <w:rsid w:val="00553514"/>
    <w:rsid w:val="00553D1C"/>
    <w:rsid w:val="005555BA"/>
    <w:rsid w:val="00555DF5"/>
    <w:rsid w:val="00556339"/>
    <w:rsid w:val="005568FD"/>
    <w:rsid w:val="00556BEA"/>
    <w:rsid w:val="0055703C"/>
    <w:rsid w:val="005570C8"/>
    <w:rsid w:val="0056036F"/>
    <w:rsid w:val="005616BE"/>
    <w:rsid w:val="005617C7"/>
    <w:rsid w:val="005624D3"/>
    <w:rsid w:val="00562EF2"/>
    <w:rsid w:val="005644EC"/>
    <w:rsid w:val="00564842"/>
    <w:rsid w:val="00565413"/>
    <w:rsid w:val="00565870"/>
    <w:rsid w:val="005661A9"/>
    <w:rsid w:val="0056695D"/>
    <w:rsid w:val="00567CD2"/>
    <w:rsid w:val="00570A37"/>
    <w:rsid w:val="00570EA8"/>
    <w:rsid w:val="005715BA"/>
    <w:rsid w:val="00572128"/>
    <w:rsid w:val="00572657"/>
    <w:rsid w:val="00572831"/>
    <w:rsid w:val="00572F3A"/>
    <w:rsid w:val="005730BA"/>
    <w:rsid w:val="00573141"/>
    <w:rsid w:val="0057415B"/>
    <w:rsid w:val="005747CB"/>
    <w:rsid w:val="00574A9C"/>
    <w:rsid w:val="00574CEA"/>
    <w:rsid w:val="005750AB"/>
    <w:rsid w:val="00575B8D"/>
    <w:rsid w:val="00575BC2"/>
    <w:rsid w:val="00577C10"/>
    <w:rsid w:val="00577C37"/>
    <w:rsid w:val="0058113B"/>
    <w:rsid w:val="005813EC"/>
    <w:rsid w:val="0058155A"/>
    <w:rsid w:val="0058236F"/>
    <w:rsid w:val="005829B2"/>
    <w:rsid w:val="00582C07"/>
    <w:rsid w:val="00582F88"/>
    <w:rsid w:val="005836B4"/>
    <w:rsid w:val="00583824"/>
    <w:rsid w:val="00583A77"/>
    <w:rsid w:val="00583DD6"/>
    <w:rsid w:val="00583E86"/>
    <w:rsid w:val="005847E3"/>
    <w:rsid w:val="00585774"/>
    <w:rsid w:val="00586518"/>
    <w:rsid w:val="00586523"/>
    <w:rsid w:val="00586679"/>
    <w:rsid w:val="00586752"/>
    <w:rsid w:val="00586FF1"/>
    <w:rsid w:val="00587043"/>
    <w:rsid w:val="00587934"/>
    <w:rsid w:val="00587BD6"/>
    <w:rsid w:val="0059016D"/>
    <w:rsid w:val="00590559"/>
    <w:rsid w:val="00590618"/>
    <w:rsid w:val="00590C03"/>
    <w:rsid w:val="00590D49"/>
    <w:rsid w:val="0059117C"/>
    <w:rsid w:val="005918A0"/>
    <w:rsid w:val="00591941"/>
    <w:rsid w:val="00591A35"/>
    <w:rsid w:val="00592420"/>
    <w:rsid w:val="00593BF7"/>
    <w:rsid w:val="0059400B"/>
    <w:rsid w:val="0059400D"/>
    <w:rsid w:val="005946A6"/>
    <w:rsid w:val="005946CD"/>
    <w:rsid w:val="0059470B"/>
    <w:rsid w:val="00594717"/>
    <w:rsid w:val="00594726"/>
    <w:rsid w:val="00594B2E"/>
    <w:rsid w:val="00594CE1"/>
    <w:rsid w:val="005955E5"/>
    <w:rsid w:val="00596771"/>
    <w:rsid w:val="0059696D"/>
    <w:rsid w:val="00596E5A"/>
    <w:rsid w:val="00597361"/>
    <w:rsid w:val="0059795E"/>
    <w:rsid w:val="005A0B77"/>
    <w:rsid w:val="005A0BBA"/>
    <w:rsid w:val="005A16FB"/>
    <w:rsid w:val="005A17F7"/>
    <w:rsid w:val="005A1A34"/>
    <w:rsid w:val="005A21B2"/>
    <w:rsid w:val="005A2370"/>
    <w:rsid w:val="005A27AA"/>
    <w:rsid w:val="005A34F9"/>
    <w:rsid w:val="005A39DD"/>
    <w:rsid w:val="005A3CF5"/>
    <w:rsid w:val="005A48FE"/>
    <w:rsid w:val="005A4CC5"/>
    <w:rsid w:val="005A53BF"/>
    <w:rsid w:val="005A5704"/>
    <w:rsid w:val="005A5C10"/>
    <w:rsid w:val="005A5E7B"/>
    <w:rsid w:val="005A65DF"/>
    <w:rsid w:val="005A66B7"/>
    <w:rsid w:val="005A6FC7"/>
    <w:rsid w:val="005A730E"/>
    <w:rsid w:val="005A75E7"/>
    <w:rsid w:val="005A79EA"/>
    <w:rsid w:val="005A7BE9"/>
    <w:rsid w:val="005B01ED"/>
    <w:rsid w:val="005B0906"/>
    <w:rsid w:val="005B1698"/>
    <w:rsid w:val="005B1C54"/>
    <w:rsid w:val="005B283C"/>
    <w:rsid w:val="005B28E1"/>
    <w:rsid w:val="005B2D4A"/>
    <w:rsid w:val="005B2D83"/>
    <w:rsid w:val="005B306E"/>
    <w:rsid w:val="005B33CE"/>
    <w:rsid w:val="005B384D"/>
    <w:rsid w:val="005B3B3D"/>
    <w:rsid w:val="005B3EAC"/>
    <w:rsid w:val="005B4304"/>
    <w:rsid w:val="005B4670"/>
    <w:rsid w:val="005B4AC8"/>
    <w:rsid w:val="005B4C57"/>
    <w:rsid w:val="005B4D59"/>
    <w:rsid w:val="005B52E1"/>
    <w:rsid w:val="005B54DA"/>
    <w:rsid w:val="005B5EE0"/>
    <w:rsid w:val="005B5FE7"/>
    <w:rsid w:val="005B62B6"/>
    <w:rsid w:val="005B65C4"/>
    <w:rsid w:val="005B681C"/>
    <w:rsid w:val="005B718C"/>
    <w:rsid w:val="005B72D0"/>
    <w:rsid w:val="005B7901"/>
    <w:rsid w:val="005B7EA5"/>
    <w:rsid w:val="005C0418"/>
    <w:rsid w:val="005C1A24"/>
    <w:rsid w:val="005C1E49"/>
    <w:rsid w:val="005C233B"/>
    <w:rsid w:val="005C3110"/>
    <w:rsid w:val="005C42AB"/>
    <w:rsid w:val="005C5213"/>
    <w:rsid w:val="005C5479"/>
    <w:rsid w:val="005C5516"/>
    <w:rsid w:val="005C564E"/>
    <w:rsid w:val="005C56F6"/>
    <w:rsid w:val="005C58FB"/>
    <w:rsid w:val="005C6133"/>
    <w:rsid w:val="005C63B8"/>
    <w:rsid w:val="005C6661"/>
    <w:rsid w:val="005C731C"/>
    <w:rsid w:val="005C76FF"/>
    <w:rsid w:val="005C7B93"/>
    <w:rsid w:val="005D003D"/>
    <w:rsid w:val="005D04FF"/>
    <w:rsid w:val="005D083B"/>
    <w:rsid w:val="005D0C7A"/>
    <w:rsid w:val="005D0E21"/>
    <w:rsid w:val="005D202F"/>
    <w:rsid w:val="005D236B"/>
    <w:rsid w:val="005D2883"/>
    <w:rsid w:val="005D3093"/>
    <w:rsid w:val="005D30A2"/>
    <w:rsid w:val="005D382F"/>
    <w:rsid w:val="005D383C"/>
    <w:rsid w:val="005D3C07"/>
    <w:rsid w:val="005D402A"/>
    <w:rsid w:val="005D459B"/>
    <w:rsid w:val="005D46F8"/>
    <w:rsid w:val="005D4761"/>
    <w:rsid w:val="005D4AAE"/>
    <w:rsid w:val="005D5050"/>
    <w:rsid w:val="005D55C1"/>
    <w:rsid w:val="005D5CFE"/>
    <w:rsid w:val="005D64A7"/>
    <w:rsid w:val="005D657F"/>
    <w:rsid w:val="005D68AD"/>
    <w:rsid w:val="005D7460"/>
    <w:rsid w:val="005D7628"/>
    <w:rsid w:val="005E01C8"/>
    <w:rsid w:val="005E0B32"/>
    <w:rsid w:val="005E0C64"/>
    <w:rsid w:val="005E11F1"/>
    <w:rsid w:val="005E1605"/>
    <w:rsid w:val="005E18C3"/>
    <w:rsid w:val="005E18C4"/>
    <w:rsid w:val="005E206C"/>
    <w:rsid w:val="005E23C4"/>
    <w:rsid w:val="005E365A"/>
    <w:rsid w:val="005E3877"/>
    <w:rsid w:val="005E4241"/>
    <w:rsid w:val="005E45C2"/>
    <w:rsid w:val="005E4FAA"/>
    <w:rsid w:val="005E505F"/>
    <w:rsid w:val="005E6643"/>
    <w:rsid w:val="005E7B72"/>
    <w:rsid w:val="005F0632"/>
    <w:rsid w:val="005F0942"/>
    <w:rsid w:val="005F0AE5"/>
    <w:rsid w:val="005F14CE"/>
    <w:rsid w:val="005F1B06"/>
    <w:rsid w:val="005F2442"/>
    <w:rsid w:val="005F2639"/>
    <w:rsid w:val="005F2EFA"/>
    <w:rsid w:val="005F34DA"/>
    <w:rsid w:val="005F3969"/>
    <w:rsid w:val="005F3EE7"/>
    <w:rsid w:val="005F3F45"/>
    <w:rsid w:val="005F4369"/>
    <w:rsid w:val="005F49AB"/>
    <w:rsid w:val="005F5171"/>
    <w:rsid w:val="005F5AFD"/>
    <w:rsid w:val="005F5D90"/>
    <w:rsid w:val="005F687F"/>
    <w:rsid w:val="005F6CC5"/>
    <w:rsid w:val="005F6F63"/>
    <w:rsid w:val="005F719C"/>
    <w:rsid w:val="005F7362"/>
    <w:rsid w:val="005F76BB"/>
    <w:rsid w:val="005F7B3D"/>
    <w:rsid w:val="005F7E29"/>
    <w:rsid w:val="005F7EB5"/>
    <w:rsid w:val="00600DD9"/>
    <w:rsid w:val="00601124"/>
    <w:rsid w:val="00601D88"/>
    <w:rsid w:val="006021A4"/>
    <w:rsid w:val="00602517"/>
    <w:rsid w:val="00602A58"/>
    <w:rsid w:val="006036FE"/>
    <w:rsid w:val="006046C8"/>
    <w:rsid w:val="00604E4C"/>
    <w:rsid w:val="0060530D"/>
    <w:rsid w:val="0060562F"/>
    <w:rsid w:val="006060D6"/>
    <w:rsid w:val="00606CAB"/>
    <w:rsid w:val="00606F0D"/>
    <w:rsid w:val="006078F8"/>
    <w:rsid w:val="00607FEE"/>
    <w:rsid w:val="00610C08"/>
    <w:rsid w:val="006118FE"/>
    <w:rsid w:val="00611ED2"/>
    <w:rsid w:val="00612B35"/>
    <w:rsid w:val="00612C39"/>
    <w:rsid w:val="00612DC3"/>
    <w:rsid w:val="00612ECC"/>
    <w:rsid w:val="006137ED"/>
    <w:rsid w:val="00613C00"/>
    <w:rsid w:val="006145CE"/>
    <w:rsid w:val="006158E5"/>
    <w:rsid w:val="006160FD"/>
    <w:rsid w:val="006168D5"/>
    <w:rsid w:val="00616DDA"/>
    <w:rsid w:val="00617031"/>
    <w:rsid w:val="0061771F"/>
    <w:rsid w:val="00617BCD"/>
    <w:rsid w:val="00617CE8"/>
    <w:rsid w:val="00620284"/>
    <w:rsid w:val="006206B7"/>
    <w:rsid w:val="00621499"/>
    <w:rsid w:val="006219A3"/>
    <w:rsid w:val="0062306D"/>
    <w:rsid w:val="006234FE"/>
    <w:rsid w:val="00623889"/>
    <w:rsid w:val="00623C22"/>
    <w:rsid w:val="006247BB"/>
    <w:rsid w:val="006256C3"/>
    <w:rsid w:val="0062647A"/>
    <w:rsid w:val="0062664E"/>
    <w:rsid w:val="00626BE4"/>
    <w:rsid w:val="00626E28"/>
    <w:rsid w:val="00627007"/>
    <w:rsid w:val="00627657"/>
    <w:rsid w:val="00630070"/>
    <w:rsid w:val="0063023F"/>
    <w:rsid w:val="006309C6"/>
    <w:rsid w:val="006312D4"/>
    <w:rsid w:val="006314EA"/>
    <w:rsid w:val="00631F52"/>
    <w:rsid w:val="006320D8"/>
    <w:rsid w:val="006323AD"/>
    <w:rsid w:val="006324DE"/>
    <w:rsid w:val="006327C6"/>
    <w:rsid w:val="00632D6E"/>
    <w:rsid w:val="00632DC0"/>
    <w:rsid w:val="006344B6"/>
    <w:rsid w:val="00634EC2"/>
    <w:rsid w:val="00635183"/>
    <w:rsid w:val="00635B7F"/>
    <w:rsid w:val="00635E15"/>
    <w:rsid w:val="0063655F"/>
    <w:rsid w:val="00636C77"/>
    <w:rsid w:val="00636E55"/>
    <w:rsid w:val="006377B0"/>
    <w:rsid w:val="0063790F"/>
    <w:rsid w:val="006401ED"/>
    <w:rsid w:val="00640364"/>
    <w:rsid w:val="0064057A"/>
    <w:rsid w:val="00640E30"/>
    <w:rsid w:val="00641088"/>
    <w:rsid w:val="00641350"/>
    <w:rsid w:val="00641553"/>
    <w:rsid w:val="00641CEB"/>
    <w:rsid w:val="00642B69"/>
    <w:rsid w:val="00642B95"/>
    <w:rsid w:val="0064345D"/>
    <w:rsid w:val="00643664"/>
    <w:rsid w:val="00643CDD"/>
    <w:rsid w:val="00643F52"/>
    <w:rsid w:val="00646A09"/>
    <w:rsid w:val="00646DAF"/>
    <w:rsid w:val="00646DFC"/>
    <w:rsid w:val="00647808"/>
    <w:rsid w:val="00647C76"/>
    <w:rsid w:val="00647F1E"/>
    <w:rsid w:val="0065099B"/>
    <w:rsid w:val="00650CBF"/>
    <w:rsid w:val="00650E38"/>
    <w:rsid w:val="00651FFD"/>
    <w:rsid w:val="00653816"/>
    <w:rsid w:val="00653864"/>
    <w:rsid w:val="00654175"/>
    <w:rsid w:val="006546A6"/>
    <w:rsid w:val="00654917"/>
    <w:rsid w:val="00654AB8"/>
    <w:rsid w:val="00654B3D"/>
    <w:rsid w:val="0065542C"/>
    <w:rsid w:val="00655E16"/>
    <w:rsid w:val="0065621C"/>
    <w:rsid w:val="0065705B"/>
    <w:rsid w:val="00657861"/>
    <w:rsid w:val="006601BF"/>
    <w:rsid w:val="006610FD"/>
    <w:rsid w:val="00661E6A"/>
    <w:rsid w:val="00662CFA"/>
    <w:rsid w:val="00662D92"/>
    <w:rsid w:val="00664146"/>
    <w:rsid w:val="006655E4"/>
    <w:rsid w:val="006656A6"/>
    <w:rsid w:val="0066579C"/>
    <w:rsid w:val="00665D45"/>
    <w:rsid w:val="00665FA7"/>
    <w:rsid w:val="006664B2"/>
    <w:rsid w:val="00666D5B"/>
    <w:rsid w:val="00666EB0"/>
    <w:rsid w:val="0067116F"/>
    <w:rsid w:val="00671A8C"/>
    <w:rsid w:val="00672166"/>
    <w:rsid w:val="006725E2"/>
    <w:rsid w:val="00672A28"/>
    <w:rsid w:val="0067422A"/>
    <w:rsid w:val="00674531"/>
    <w:rsid w:val="0067469B"/>
    <w:rsid w:val="00674700"/>
    <w:rsid w:val="006754AC"/>
    <w:rsid w:val="0067571B"/>
    <w:rsid w:val="006758BF"/>
    <w:rsid w:val="00676CC2"/>
    <w:rsid w:val="00676FAA"/>
    <w:rsid w:val="00677745"/>
    <w:rsid w:val="006779B5"/>
    <w:rsid w:val="00677C4E"/>
    <w:rsid w:val="006801CD"/>
    <w:rsid w:val="0068091F"/>
    <w:rsid w:val="006815BD"/>
    <w:rsid w:val="0068183F"/>
    <w:rsid w:val="006823B8"/>
    <w:rsid w:val="00682723"/>
    <w:rsid w:val="006833AF"/>
    <w:rsid w:val="00683734"/>
    <w:rsid w:val="00684042"/>
    <w:rsid w:val="00684B38"/>
    <w:rsid w:val="00684EE0"/>
    <w:rsid w:val="00685AA1"/>
    <w:rsid w:val="00685E58"/>
    <w:rsid w:val="00685F27"/>
    <w:rsid w:val="006862FC"/>
    <w:rsid w:val="00686A8C"/>
    <w:rsid w:val="00687A07"/>
    <w:rsid w:val="00687A15"/>
    <w:rsid w:val="006905D0"/>
    <w:rsid w:val="006908F5"/>
    <w:rsid w:val="00690D57"/>
    <w:rsid w:val="0069199E"/>
    <w:rsid w:val="00692A3A"/>
    <w:rsid w:val="00692FAE"/>
    <w:rsid w:val="00693023"/>
    <w:rsid w:val="00693029"/>
    <w:rsid w:val="006930C3"/>
    <w:rsid w:val="00693379"/>
    <w:rsid w:val="00693F02"/>
    <w:rsid w:val="00694053"/>
    <w:rsid w:val="0069453F"/>
    <w:rsid w:val="00694610"/>
    <w:rsid w:val="00695168"/>
    <w:rsid w:val="006954EE"/>
    <w:rsid w:val="00695A9E"/>
    <w:rsid w:val="0069615D"/>
    <w:rsid w:val="00696506"/>
    <w:rsid w:val="00696E4E"/>
    <w:rsid w:val="0069764D"/>
    <w:rsid w:val="006A0692"/>
    <w:rsid w:val="006A08E5"/>
    <w:rsid w:val="006A0957"/>
    <w:rsid w:val="006A0B0C"/>
    <w:rsid w:val="006A0FF4"/>
    <w:rsid w:val="006A1285"/>
    <w:rsid w:val="006A16C8"/>
    <w:rsid w:val="006A1E69"/>
    <w:rsid w:val="006A2301"/>
    <w:rsid w:val="006A302D"/>
    <w:rsid w:val="006A4045"/>
    <w:rsid w:val="006A46F9"/>
    <w:rsid w:val="006A4C68"/>
    <w:rsid w:val="006A4F6B"/>
    <w:rsid w:val="006A552C"/>
    <w:rsid w:val="006A671B"/>
    <w:rsid w:val="006A6F80"/>
    <w:rsid w:val="006A725F"/>
    <w:rsid w:val="006A73DF"/>
    <w:rsid w:val="006A770C"/>
    <w:rsid w:val="006A7984"/>
    <w:rsid w:val="006B0A71"/>
    <w:rsid w:val="006B0DAE"/>
    <w:rsid w:val="006B17E0"/>
    <w:rsid w:val="006B1865"/>
    <w:rsid w:val="006B18E9"/>
    <w:rsid w:val="006B1BC8"/>
    <w:rsid w:val="006B2309"/>
    <w:rsid w:val="006B25F3"/>
    <w:rsid w:val="006B28C3"/>
    <w:rsid w:val="006B2A4D"/>
    <w:rsid w:val="006B31A2"/>
    <w:rsid w:val="006B33AD"/>
    <w:rsid w:val="006B4191"/>
    <w:rsid w:val="006B458C"/>
    <w:rsid w:val="006B4745"/>
    <w:rsid w:val="006B54EE"/>
    <w:rsid w:val="006B59AA"/>
    <w:rsid w:val="006B5AEE"/>
    <w:rsid w:val="006B5B69"/>
    <w:rsid w:val="006B6580"/>
    <w:rsid w:val="006B6A49"/>
    <w:rsid w:val="006B7316"/>
    <w:rsid w:val="006B7390"/>
    <w:rsid w:val="006B7531"/>
    <w:rsid w:val="006B77A4"/>
    <w:rsid w:val="006B7AB5"/>
    <w:rsid w:val="006B7DAC"/>
    <w:rsid w:val="006C0820"/>
    <w:rsid w:val="006C0F76"/>
    <w:rsid w:val="006C1013"/>
    <w:rsid w:val="006C128C"/>
    <w:rsid w:val="006C2581"/>
    <w:rsid w:val="006C2C6C"/>
    <w:rsid w:val="006C32D0"/>
    <w:rsid w:val="006C37C9"/>
    <w:rsid w:val="006C39CC"/>
    <w:rsid w:val="006C3E33"/>
    <w:rsid w:val="006C45F1"/>
    <w:rsid w:val="006C51D1"/>
    <w:rsid w:val="006C53E7"/>
    <w:rsid w:val="006C564D"/>
    <w:rsid w:val="006C5CE7"/>
    <w:rsid w:val="006C5D5C"/>
    <w:rsid w:val="006C6A15"/>
    <w:rsid w:val="006C6F9D"/>
    <w:rsid w:val="006C7362"/>
    <w:rsid w:val="006C7606"/>
    <w:rsid w:val="006D0111"/>
    <w:rsid w:val="006D0864"/>
    <w:rsid w:val="006D0C07"/>
    <w:rsid w:val="006D14B8"/>
    <w:rsid w:val="006D1797"/>
    <w:rsid w:val="006D2029"/>
    <w:rsid w:val="006D3097"/>
    <w:rsid w:val="006D3C42"/>
    <w:rsid w:val="006D3F9E"/>
    <w:rsid w:val="006D45C2"/>
    <w:rsid w:val="006D45DD"/>
    <w:rsid w:val="006D484D"/>
    <w:rsid w:val="006D4C33"/>
    <w:rsid w:val="006D5706"/>
    <w:rsid w:val="006D5C94"/>
    <w:rsid w:val="006D6467"/>
    <w:rsid w:val="006D69CD"/>
    <w:rsid w:val="006D751F"/>
    <w:rsid w:val="006D754E"/>
    <w:rsid w:val="006D75F7"/>
    <w:rsid w:val="006D7709"/>
    <w:rsid w:val="006D787F"/>
    <w:rsid w:val="006D78F3"/>
    <w:rsid w:val="006D7ECE"/>
    <w:rsid w:val="006E0894"/>
    <w:rsid w:val="006E0CC2"/>
    <w:rsid w:val="006E1049"/>
    <w:rsid w:val="006E114C"/>
    <w:rsid w:val="006E2468"/>
    <w:rsid w:val="006E25EC"/>
    <w:rsid w:val="006E2875"/>
    <w:rsid w:val="006E2E6F"/>
    <w:rsid w:val="006E33C5"/>
    <w:rsid w:val="006E34A3"/>
    <w:rsid w:val="006E3876"/>
    <w:rsid w:val="006E44F6"/>
    <w:rsid w:val="006E452C"/>
    <w:rsid w:val="006E472A"/>
    <w:rsid w:val="006E5661"/>
    <w:rsid w:val="006E579E"/>
    <w:rsid w:val="006E5F5E"/>
    <w:rsid w:val="006E61E1"/>
    <w:rsid w:val="006E671C"/>
    <w:rsid w:val="006E6AEE"/>
    <w:rsid w:val="006E71D6"/>
    <w:rsid w:val="006E74B8"/>
    <w:rsid w:val="006E754A"/>
    <w:rsid w:val="006E7F35"/>
    <w:rsid w:val="006F10C3"/>
    <w:rsid w:val="006F1294"/>
    <w:rsid w:val="006F12CB"/>
    <w:rsid w:val="006F1855"/>
    <w:rsid w:val="006F1EDE"/>
    <w:rsid w:val="006F43CE"/>
    <w:rsid w:val="006F4DEC"/>
    <w:rsid w:val="006F5048"/>
    <w:rsid w:val="006F54B8"/>
    <w:rsid w:val="006F5B8D"/>
    <w:rsid w:val="006F6796"/>
    <w:rsid w:val="006F6C66"/>
    <w:rsid w:val="006F6F8F"/>
    <w:rsid w:val="006F777D"/>
    <w:rsid w:val="006F77C0"/>
    <w:rsid w:val="006F7C7E"/>
    <w:rsid w:val="00700536"/>
    <w:rsid w:val="007016EF"/>
    <w:rsid w:val="007020DF"/>
    <w:rsid w:val="00702B1D"/>
    <w:rsid w:val="0070330E"/>
    <w:rsid w:val="00703805"/>
    <w:rsid w:val="0070441D"/>
    <w:rsid w:val="00704856"/>
    <w:rsid w:val="0070497A"/>
    <w:rsid w:val="007057F7"/>
    <w:rsid w:val="00705A0B"/>
    <w:rsid w:val="0070614B"/>
    <w:rsid w:val="007065C5"/>
    <w:rsid w:val="00706BB3"/>
    <w:rsid w:val="00706CE6"/>
    <w:rsid w:val="0070729A"/>
    <w:rsid w:val="0070743B"/>
    <w:rsid w:val="00707C6F"/>
    <w:rsid w:val="00710780"/>
    <w:rsid w:val="0071118D"/>
    <w:rsid w:val="007113F5"/>
    <w:rsid w:val="00711488"/>
    <w:rsid w:val="00711774"/>
    <w:rsid w:val="00711ED9"/>
    <w:rsid w:val="0071233F"/>
    <w:rsid w:val="0071238B"/>
    <w:rsid w:val="00713261"/>
    <w:rsid w:val="007135E3"/>
    <w:rsid w:val="00713D68"/>
    <w:rsid w:val="007143B1"/>
    <w:rsid w:val="007145A9"/>
    <w:rsid w:val="00714692"/>
    <w:rsid w:val="007147FC"/>
    <w:rsid w:val="0071485A"/>
    <w:rsid w:val="0071582F"/>
    <w:rsid w:val="007158CA"/>
    <w:rsid w:val="00715CEA"/>
    <w:rsid w:val="007161A8"/>
    <w:rsid w:val="007162F0"/>
    <w:rsid w:val="00716C30"/>
    <w:rsid w:val="007173C5"/>
    <w:rsid w:val="0071797D"/>
    <w:rsid w:val="00720C15"/>
    <w:rsid w:val="00721176"/>
    <w:rsid w:val="00721955"/>
    <w:rsid w:val="0072265A"/>
    <w:rsid w:val="00722D08"/>
    <w:rsid w:val="00722FC1"/>
    <w:rsid w:val="0072329F"/>
    <w:rsid w:val="00724CA8"/>
    <w:rsid w:val="00724CF8"/>
    <w:rsid w:val="00726590"/>
    <w:rsid w:val="00727570"/>
    <w:rsid w:val="007276BD"/>
    <w:rsid w:val="00727880"/>
    <w:rsid w:val="00727911"/>
    <w:rsid w:val="0073006E"/>
    <w:rsid w:val="0073045D"/>
    <w:rsid w:val="007305A3"/>
    <w:rsid w:val="0073067B"/>
    <w:rsid w:val="00730CA7"/>
    <w:rsid w:val="00730FFA"/>
    <w:rsid w:val="00731210"/>
    <w:rsid w:val="007331BA"/>
    <w:rsid w:val="007334E5"/>
    <w:rsid w:val="007343E9"/>
    <w:rsid w:val="00735197"/>
    <w:rsid w:val="00735C7C"/>
    <w:rsid w:val="00736AA2"/>
    <w:rsid w:val="007379EB"/>
    <w:rsid w:val="007401E6"/>
    <w:rsid w:val="00740376"/>
    <w:rsid w:val="007416CA"/>
    <w:rsid w:val="00742CEC"/>
    <w:rsid w:val="007435D7"/>
    <w:rsid w:val="00743CE3"/>
    <w:rsid w:val="00744CDD"/>
    <w:rsid w:val="00744FDE"/>
    <w:rsid w:val="0074553C"/>
    <w:rsid w:val="0074598D"/>
    <w:rsid w:val="00746759"/>
    <w:rsid w:val="007470FF"/>
    <w:rsid w:val="00747194"/>
    <w:rsid w:val="007474B0"/>
    <w:rsid w:val="007501BB"/>
    <w:rsid w:val="00751BB7"/>
    <w:rsid w:val="007526A9"/>
    <w:rsid w:val="00752710"/>
    <w:rsid w:val="00753606"/>
    <w:rsid w:val="0075448B"/>
    <w:rsid w:val="00755164"/>
    <w:rsid w:val="00755620"/>
    <w:rsid w:val="00756801"/>
    <w:rsid w:val="00756AA2"/>
    <w:rsid w:val="00757329"/>
    <w:rsid w:val="00757422"/>
    <w:rsid w:val="00757999"/>
    <w:rsid w:val="00757AA1"/>
    <w:rsid w:val="00757B12"/>
    <w:rsid w:val="007603A1"/>
    <w:rsid w:val="00760507"/>
    <w:rsid w:val="00760A6C"/>
    <w:rsid w:val="00760B51"/>
    <w:rsid w:val="00761234"/>
    <w:rsid w:val="007615EA"/>
    <w:rsid w:val="00761801"/>
    <w:rsid w:val="00761F3B"/>
    <w:rsid w:val="00761FF9"/>
    <w:rsid w:val="00762119"/>
    <w:rsid w:val="007626CD"/>
    <w:rsid w:val="007642D5"/>
    <w:rsid w:val="00764440"/>
    <w:rsid w:val="007646F9"/>
    <w:rsid w:val="0076525E"/>
    <w:rsid w:val="00765481"/>
    <w:rsid w:val="00765681"/>
    <w:rsid w:val="00765E3D"/>
    <w:rsid w:val="0076661A"/>
    <w:rsid w:val="0076681C"/>
    <w:rsid w:val="00767D07"/>
    <w:rsid w:val="00767D21"/>
    <w:rsid w:val="0077038C"/>
    <w:rsid w:val="007708BD"/>
    <w:rsid w:val="00770FA4"/>
    <w:rsid w:val="0077110E"/>
    <w:rsid w:val="0077190E"/>
    <w:rsid w:val="00771E3B"/>
    <w:rsid w:val="00771FA4"/>
    <w:rsid w:val="00772812"/>
    <w:rsid w:val="00772C29"/>
    <w:rsid w:val="00773423"/>
    <w:rsid w:val="0077554A"/>
    <w:rsid w:val="007763C9"/>
    <w:rsid w:val="00777CBF"/>
    <w:rsid w:val="00780558"/>
    <w:rsid w:val="00780C33"/>
    <w:rsid w:val="00780C9B"/>
    <w:rsid w:val="00781759"/>
    <w:rsid w:val="007819B5"/>
    <w:rsid w:val="00781D9B"/>
    <w:rsid w:val="00782FF7"/>
    <w:rsid w:val="00783461"/>
    <w:rsid w:val="00784296"/>
    <w:rsid w:val="00785188"/>
    <w:rsid w:val="007851C5"/>
    <w:rsid w:val="00785BBD"/>
    <w:rsid w:val="00785D5B"/>
    <w:rsid w:val="007864DA"/>
    <w:rsid w:val="00787014"/>
    <w:rsid w:val="0078709C"/>
    <w:rsid w:val="007870CF"/>
    <w:rsid w:val="00787D9C"/>
    <w:rsid w:val="00790FEF"/>
    <w:rsid w:val="00791071"/>
    <w:rsid w:val="00791118"/>
    <w:rsid w:val="00791285"/>
    <w:rsid w:val="00791D28"/>
    <w:rsid w:val="00791DD6"/>
    <w:rsid w:val="0079326E"/>
    <w:rsid w:val="00794CC2"/>
    <w:rsid w:val="00795461"/>
    <w:rsid w:val="007958BC"/>
    <w:rsid w:val="007959D8"/>
    <w:rsid w:val="00796F18"/>
    <w:rsid w:val="00797662"/>
    <w:rsid w:val="007A0443"/>
    <w:rsid w:val="007A0F0B"/>
    <w:rsid w:val="007A10F3"/>
    <w:rsid w:val="007A111F"/>
    <w:rsid w:val="007A17A3"/>
    <w:rsid w:val="007A17DE"/>
    <w:rsid w:val="007A1A14"/>
    <w:rsid w:val="007A1D73"/>
    <w:rsid w:val="007A2416"/>
    <w:rsid w:val="007A2A90"/>
    <w:rsid w:val="007A3516"/>
    <w:rsid w:val="007A3D65"/>
    <w:rsid w:val="007A42E1"/>
    <w:rsid w:val="007A48A3"/>
    <w:rsid w:val="007A4BD8"/>
    <w:rsid w:val="007A632E"/>
    <w:rsid w:val="007A6CEA"/>
    <w:rsid w:val="007A6F15"/>
    <w:rsid w:val="007A7252"/>
    <w:rsid w:val="007A73F7"/>
    <w:rsid w:val="007A74DF"/>
    <w:rsid w:val="007A7B2C"/>
    <w:rsid w:val="007B1148"/>
    <w:rsid w:val="007B230B"/>
    <w:rsid w:val="007B23E9"/>
    <w:rsid w:val="007B29AE"/>
    <w:rsid w:val="007B389A"/>
    <w:rsid w:val="007B4CF3"/>
    <w:rsid w:val="007B4E6C"/>
    <w:rsid w:val="007B60BD"/>
    <w:rsid w:val="007B6452"/>
    <w:rsid w:val="007B6AF3"/>
    <w:rsid w:val="007B788A"/>
    <w:rsid w:val="007B7A6A"/>
    <w:rsid w:val="007B7F69"/>
    <w:rsid w:val="007C128C"/>
    <w:rsid w:val="007C196E"/>
    <w:rsid w:val="007C1F73"/>
    <w:rsid w:val="007C28D2"/>
    <w:rsid w:val="007C2917"/>
    <w:rsid w:val="007C30DE"/>
    <w:rsid w:val="007C3787"/>
    <w:rsid w:val="007C37B3"/>
    <w:rsid w:val="007C43EF"/>
    <w:rsid w:val="007C5A47"/>
    <w:rsid w:val="007C6211"/>
    <w:rsid w:val="007C71EB"/>
    <w:rsid w:val="007C75A0"/>
    <w:rsid w:val="007C7624"/>
    <w:rsid w:val="007C763D"/>
    <w:rsid w:val="007C786B"/>
    <w:rsid w:val="007D00D9"/>
    <w:rsid w:val="007D08D3"/>
    <w:rsid w:val="007D09EC"/>
    <w:rsid w:val="007D1C3E"/>
    <w:rsid w:val="007D2815"/>
    <w:rsid w:val="007D2A94"/>
    <w:rsid w:val="007D3121"/>
    <w:rsid w:val="007D37D5"/>
    <w:rsid w:val="007D42DC"/>
    <w:rsid w:val="007D493C"/>
    <w:rsid w:val="007D496D"/>
    <w:rsid w:val="007D61D6"/>
    <w:rsid w:val="007D6301"/>
    <w:rsid w:val="007D7158"/>
    <w:rsid w:val="007D7D81"/>
    <w:rsid w:val="007E023E"/>
    <w:rsid w:val="007E08D6"/>
    <w:rsid w:val="007E0EC1"/>
    <w:rsid w:val="007E0F4E"/>
    <w:rsid w:val="007E11FE"/>
    <w:rsid w:val="007E2412"/>
    <w:rsid w:val="007E2554"/>
    <w:rsid w:val="007E2FB5"/>
    <w:rsid w:val="007E3026"/>
    <w:rsid w:val="007E472C"/>
    <w:rsid w:val="007E52FE"/>
    <w:rsid w:val="007E5683"/>
    <w:rsid w:val="007E5CD5"/>
    <w:rsid w:val="007E5DD8"/>
    <w:rsid w:val="007E7824"/>
    <w:rsid w:val="007E7BCF"/>
    <w:rsid w:val="007F108A"/>
    <w:rsid w:val="007F1D5B"/>
    <w:rsid w:val="007F313F"/>
    <w:rsid w:val="007F348D"/>
    <w:rsid w:val="007F3A86"/>
    <w:rsid w:val="007F3F8A"/>
    <w:rsid w:val="007F4A16"/>
    <w:rsid w:val="007F4C0F"/>
    <w:rsid w:val="007F5673"/>
    <w:rsid w:val="007F57F9"/>
    <w:rsid w:val="007F5A87"/>
    <w:rsid w:val="007F6915"/>
    <w:rsid w:val="007F6D85"/>
    <w:rsid w:val="00800077"/>
    <w:rsid w:val="008000E7"/>
    <w:rsid w:val="008008A5"/>
    <w:rsid w:val="008016C2"/>
    <w:rsid w:val="00801887"/>
    <w:rsid w:val="0080260D"/>
    <w:rsid w:val="00803C26"/>
    <w:rsid w:val="00804282"/>
    <w:rsid w:val="0080462A"/>
    <w:rsid w:val="008057AA"/>
    <w:rsid w:val="00805F6A"/>
    <w:rsid w:val="0080616B"/>
    <w:rsid w:val="00806365"/>
    <w:rsid w:val="008063D2"/>
    <w:rsid w:val="00806688"/>
    <w:rsid w:val="00807287"/>
    <w:rsid w:val="008079FB"/>
    <w:rsid w:val="00807D42"/>
    <w:rsid w:val="00810637"/>
    <w:rsid w:val="008108C4"/>
    <w:rsid w:val="00810C63"/>
    <w:rsid w:val="00811717"/>
    <w:rsid w:val="00812345"/>
    <w:rsid w:val="008126CE"/>
    <w:rsid w:val="00812D0C"/>
    <w:rsid w:val="00812EC2"/>
    <w:rsid w:val="008134CF"/>
    <w:rsid w:val="0081403F"/>
    <w:rsid w:val="00814600"/>
    <w:rsid w:val="00814768"/>
    <w:rsid w:val="00814C6C"/>
    <w:rsid w:val="00816170"/>
    <w:rsid w:val="00817F8F"/>
    <w:rsid w:val="00820002"/>
    <w:rsid w:val="00820CEC"/>
    <w:rsid w:val="00821074"/>
    <w:rsid w:val="00822883"/>
    <w:rsid w:val="0082342A"/>
    <w:rsid w:val="008236DF"/>
    <w:rsid w:val="00823735"/>
    <w:rsid w:val="00823A66"/>
    <w:rsid w:val="00823AB0"/>
    <w:rsid w:val="00824008"/>
    <w:rsid w:val="008240FF"/>
    <w:rsid w:val="0082425E"/>
    <w:rsid w:val="0082496B"/>
    <w:rsid w:val="0082541B"/>
    <w:rsid w:val="008264B6"/>
    <w:rsid w:val="00826773"/>
    <w:rsid w:val="00827A1E"/>
    <w:rsid w:val="00827BF9"/>
    <w:rsid w:val="00827DEC"/>
    <w:rsid w:val="00830298"/>
    <w:rsid w:val="00830A32"/>
    <w:rsid w:val="008311E2"/>
    <w:rsid w:val="00832A80"/>
    <w:rsid w:val="00832AF9"/>
    <w:rsid w:val="00832D31"/>
    <w:rsid w:val="00832F9D"/>
    <w:rsid w:val="00832FF9"/>
    <w:rsid w:val="00834A2E"/>
    <w:rsid w:val="00834A64"/>
    <w:rsid w:val="00834C0D"/>
    <w:rsid w:val="00834D6C"/>
    <w:rsid w:val="00835CE9"/>
    <w:rsid w:val="00836B35"/>
    <w:rsid w:val="00836D38"/>
    <w:rsid w:val="008374C7"/>
    <w:rsid w:val="00840233"/>
    <w:rsid w:val="008408AA"/>
    <w:rsid w:val="00840E52"/>
    <w:rsid w:val="00840E72"/>
    <w:rsid w:val="00841FF6"/>
    <w:rsid w:val="00842057"/>
    <w:rsid w:val="00842188"/>
    <w:rsid w:val="00842328"/>
    <w:rsid w:val="0084234E"/>
    <w:rsid w:val="0084267C"/>
    <w:rsid w:val="00842932"/>
    <w:rsid w:val="00842B31"/>
    <w:rsid w:val="00842B58"/>
    <w:rsid w:val="00843450"/>
    <w:rsid w:val="00843F40"/>
    <w:rsid w:val="0084418C"/>
    <w:rsid w:val="008442F7"/>
    <w:rsid w:val="008446C9"/>
    <w:rsid w:val="00845187"/>
    <w:rsid w:val="00845737"/>
    <w:rsid w:val="008466E0"/>
    <w:rsid w:val="00846785"/>
    <w:rsid w:val="0084691F"/>
    <w:rsid w:val="00847C4A"/>
    <w:rsid w:val="00847ED2"/>
    <w:rsid w:val="00850630"/>
    <w:rsid w:val="00850E99"/>
    <w:rsid w:val="00850EF9"/>
    <w:rsid w:val="00851A12"/>
    <w:rsid w:val="00851DA7"/>
    <w:rsid w:val="00851E39"/>
    <w:rsid w:val="008520C6"/>
    <w:rsid w:val="00852B4B"/>
    <w:rsid w:val="00853F33"/>
    <w:rsid w:val="0085451F"/>
    <w:rsid w:val="008547FC"/>
    <w:rsid w:val="00854F1A"/>
    <w:rsid w:val="00855665"/>
    <w:rsid w:val="008557E8"/>
    <w:rsid w:val="00855904"/>
    <w:rsid w:val="00855CAC"/>
    <w:rsid w:val="00855D08"/>
    <w:rsid w:val="00856042"/>
    <w:rsid w:val="008562EA"/>
    <w:rsid w:val="00856442"/>
    <w:rsid w:val="00856608"/>
    <w:rsid w:val="0086090E"/>
    <w:rsid w:val="00860B19"/>
    <w:rsid w:val="00860FAC"/>
    <w:rsid w:val="00861B53"/>
    <w:rsid w:val="00861D72"/>
    <w:rsid w:val="0086210B"/>
    <w:rsid w:val="008636CA"/>
    <w:rsid w:val="0086435F"/>
    <w:rsid w:val="0086493F"/>
    <w:rsid w:val="008651FD"/>
    <w:rsid w:val="00865B4E"/>
    <w:rsid w:val="008660E9"/>
    <w:rsid w:val="008669D2"/>
    <w:rsid w:val="00866BDE"/>
    <w:rsid w:val="00867066"/>
    <w:rsid w:val="00867138"/>
    <w:rsid w:val="00867830"/>
    <w:rsid w:val="00867E7F"/>
    <w:rsid w:val="00867F2F"/>
    <w:rsid w:val="00870022"/>
    <w:rsid w:val="0087005D"/>
    <w:rsid w:val="008701B5"/>
    <w:rsid w:val="008704CD"/>
    <w:rsid w:val="008719A8"/>
    <w:rsid w:val="00871AD7"/>
    <w:rsid w:val="00871DD7"/>
    <w:rsid w:val="00871EF3"/>
    <w:rsid w:val="00873335"/>
    <w:rsid w:val="00874200"/>
    <w:rsid w:val="00874307"/>
    <w:rsid w:val="00874DF5"/>
    <w:rsid w:val="00875C8A"/>
    <w:rsid w:val="00875D6F"/>
    <w:rsid w:val="0087641E"/>
    <w:rsid w:val="008765C0"/>
    <w:rsid w:val="008801AE"/>
    <w:rsid w:val="0088079E"/>
    <w:rsid w:val="00880D4E"/>
    <w:rsid w:val="008815C2"/>
    <w:rsid w:val="008826DF"/>
    <w:rsid w:val="0088289F"/>
    <w:rsid w:val="00882938"/>
    <w:rsid w:val="008834E4"/>
    <w:rsid w:val="008840C9"/>
    <w:rsid w:val="0088423A"/>
    <w:rsid w:val="00884289"/>
    <w:rsid w:val="008849DA"/>
    <w:rsid w:val="0088537F"/>
    <w:rsid w:val="00885D58"/>
    <w:rsid w:val="00885EE8"/>
    <w:rsid w:val="008867EC"/>
    <w:rsid w:val="008873C4"/>
    <w:rsid w:val="0088767D"/>
    <w:rsid w:val="00887822"/>
    <w:rsid w:val="00890389"/>
    <w:rsid w:val="00890857"/>
    <w:rsid w:val="00890EB6"/>
    <w:rsid w:val="00891108"/>
    <w:rsid w:val="008920BF"/>
    <w:rsid w:val="0089259F"/>
    <w:rsid w:val="00893F02"/>
    <w:rsid w:val="00894628"/>
    <w:rsid w:val="008952D9"/>
    <w:rsid w:val="008958F4"/>
    <w:rsid w:val="00895A39"/>
    <w:rsid w:val="00895BF1"/>
    <w:rsid w:val="00897895"/>
    <w:rsid w:val="00897ABB"/>
    <w:rsid w:val="008A0188"/>
    <w:rsid w:val="008A0768"/>
    <w:rsid w:val="008A0C5E"/>
    <w:rsid w:val="008A1115"/>
    <w:rsid w:val="008A113A"/>
    <w:rsid w:val="008A114C"/>
    <w:rsid w:val="008A1467"/>
    <w:rsid w:val="008A187A"/>
    <w:rsid w:val="008A1B7C"/>
    <w:rsid w:val="008A2242"/>
    <w:rsid w:val="008A36C6"/>
    <w:rsid w:val="008A43A5"/>
    <w:rsid w:val="008A5119"/>
    <w:rsid w:val="008A610E"/>
    <w:rsid w:val="008A611E"/>
    <w:rsid w:val="008A6487"/>
    <w:rsid w:val="008A7995"/>
    <w:rsid w:val="008A7A6F"/>
    <w:rsid w:val="008B0574"/>
    <w:rsid w:val="008B06CE"/>
    <w:rsid w:val="008B11A2"/>
    <w:rsid w:val="008B1A12"/>
    <w:rsid w:val="008B1E81"/>
    <w:rsid w:val="008B35F7"/>
    <w:rsid w:val="008B393D"/>
    <w:rsid w:val="008B3984"/>
    <w:rsid w:val="008B3AF7"/>
    <w:rsid w:val="008B46FE"/>
    <w:rsid w:val="008B4865"/>
    <w:rsid w:val="008B4F67"/>
    <w:rsid w:val="008B5F35"/>
    <w:rsid w:val="008B60C4"/>
    <w:rsid w:val="008B617C"/>
    <w:rsid w:val="008B6294"/>
    <w:rsid w:val="008B6676"/>
    <w:rsid w:val="008B75B0"/>
    <w:rsid w:val="008C0049"/>
    <w:rsid w:val="008C033C"/>
    <w:rsid w:val="008C0723"/>
    <w:rsid w:val="008C15F9"/>
    <w:rsid w:val="008C24E5"/>
    <w:rsid w:val="008C29B5"/>
    <w:rsid w:val="008C3321"/>
    <w:rsid w:val="008C358C"/>
    <w:rsid w:val="008C35B3"/>
    <w:rsid w:val="008C38A5"/>
    <w:rsid w:val="008C3DBC"/>
    <w:rsid w:val="008C453D"/>
    <w:rsid w:val="008C576D"/>
    <w:rsid w:val="008C5DA0"/>
    <w:rsid w:val="008C5F52"/>
    <w:rsid w:val="008C6226"/>
    <w:rsid w:val="008C750D"/>
    <w:rsid w:val="008C7E07"/>
    <w:rsid w:val="008C7FE4"/>
    <w:rsid w:val="008D0202"/>
    <w:rsid w:val="008D03CA"/>
    <w:rsid w:val="008D0691"/>
    <w:rsid w:val="008D0B77"/>
    <w:rsid w:val="008D0DAC"/>
    <w:rsid w:val="008D0F8E"/>
    <w:rsid w:val="008D1152"/>
    <w:rsid w:val="008D14D4"/>
    <w:rsid w:val="008D1A20"/>
    <w:rsid w:val="008D21C1"/>
    <w:rsid w:val="008D2C24"/>
    <w:rsid w:val="008D3189"/>
    <w:rsid w:val="008D3BF2"/>
    <w:rsid w:val="008D4EB8"/>
    <w:rsid w:val="008D5A60"/>
    <w:rsid w:val="008D5BE4"/>
    <w:rsid w:val="008D5BE8"/>
    <w:rsid w:val="008D609E"/>
    <w:rsid w:val="008D6508"/>
    <w:rsid w:val="008D6B5C"/>
    <w:rsid w:val="008D6DBF"/>
    <w:rsid w:val="008D6F8B"/>
    <w:rsid w:val="008D74EE"/>
    <w:rsid w:val="008D7968"/>
    <w:rsid w:val="008E0570"/>
    <w:rsid w:val="008E2178"/>
    <w:rsid w:val="008E2676"/>
    <w:rsid w:val="008E2FAF"/>
    <w:rsid w:val="008E3012"/>
    <w:rsid w:val="008E33B8"/>
    <w:rsid w:val="008E3C9D"/>
    <w:rsid w:val="008E3E41"/>
    <w:rsid w:val="008E3F5D"/>
    <w:rsid w:val="008E4584"/>
    <w:rsid w:val="008E467A"/>
    <w:rsid w:val="008E50CD"/>
    <w:rsid w:val="008E5458"/>
    <w:rsid w:val="008E5FEC"/>
    <w:rsid w:val="008E6A18"/>
    <w:rsid w:val="008E7378"/>
    <w:rsid w:val="008E756E"/>
    <w:rsid w:val="008E769B"/>
    <w:rsid w:val="008E7915"/>
    <w:rsid w:val="008E7B8D"/>
    <w:rsid w:val="008E7DC3"/>
    <w:rsid w:val="008F0341"/>
    <w:rsid w:val="008F1192"/>
    <w:rsid w:val="008F1A1F"/>
    <w:rsid w:val="008F1F44"/>
    <w:rsid w:val="008F2376"/>
    <w:rsid w:val="008F281D"/>
    <w:rsid w:val="008F31F2"/>
    <w:rsid w:val="008F36CB"/>
    <w:rsid w:val="008F470D"/>
    <w:rsid w:val="008F499B"/>
    <w:rsid w:val="008F5D50"/>
    <w:rsid w:val="008F60B6"/>
    <w:rsid w:val="008F60E3"/>
    <w:rsid w:val="008F6D80"/>
    <w:rsid w:val="008F6F5D"/>
    <w:rsid w:val="008F7034"/>
    <w:rsid w:val="008F7091"/>
    <w:rsid w:val="008F7B38"/>
    <w:rsid w:val="008F7DD9"/>
    <w:rsid w:val="008F7EA5"/>
    <w:rsid w:val="00901426"/>
    <w:rsid w:val="009014AF"/>
    <w:rsid w:val="0090190B"/>
    <w:rsid w:val="009020F5"/>
    <w:rsid w:val="00902B4C"/>
    <w:rsid w:val="00902D92"/>
    <w:rsid w:val="009034D7"/>
    <w:rsid w:val="009050E8"/>
    <w:rsid w:val="009066F0"/>
    <w:rsid w:val="00906B4E"/>
    <w:rsid w:val="00906ED3"/>
    <w:rsid w:val="0090722C"/>
    <w:rsid w:val="00907338"/>
    <w:rsid w:val="0090740B"/>
    <w:rsid w:val="00907AE0"/>
    <w:rsid w:val="00910053"/>
    <w:rsid w:val="00910C78"/>
    <w:rsid w:val="00910CC0"/>
    <w:rsid w:val="00910EA7"/>
    <w:rsid w:val="00910F6C"/>
    <w:rsid w:val="00911089"/>
    <w:rsid w:val="00911143"/>
    <w:rsid w:val="00911489"/>
    <w:rsid w:val="009117BE"/>
    <w:rsid w:val="009120B4"/>
    <w:rsid w:val="009123CB"/>
    <w:rsid w:val="009124DA"/>
    <w:rsid w:val="00913524"/>
    <w:rsid w:val="00913694"/>
    <w:rsid w:val="009137CF"/>
    <w:rsid w:val="00914889"/>
    <w:rsid w:val="00915653"/>
    <w:rsid w:val="00915C50"/>
    <w:rsid w:val="00915FF6"/>
    <w:rsid w:val="00916853"/>
    <w:rsid w:val="009169F4"/>
    <w:rsid w:val="00916B75"/>
    <w:rsid w:val="00916C0C"/>
    <w:rsid w:val="00916EC3"/>
    <w:rsid w:val="00916FDC"/>
    <w:rsid w:val="00917939"/>
    <w:rsid w:val="00917B15"/>
    <w:rsid w:val="009209EC"/>
    <w:rsid w:val="00920CDE"/>
    <w:rsid w:val="00920D09"/>
    <w:rsid w:val="009213AE"/>
    <w:rsid w:val="00921596"/>
    <w:rsid w:val="009243C1"/>
    <w:rsid w:val="00925BAC"/>
    <w:rsid w:val="00925FAA"/>
    <w:rsid w:val="0092696D"/>
    <w:rsid w:val="00926D1B"/>
    <w:rsid w:val="00926D33"/>
    <w:rsid w:val="009278B1"/>
    <w:rsid w:val="00927C16"/>
    <w:rsid w:val="00927C7A"/>
    <w:rsid w:val="00927FDF"/>
    <w:rsid w:val="00930431"/>
    <w:rsid w:val="00930629"/>
    <w:rsid w:val="00930D2E"/>
    <w:rsid w:val="0093104D"/>
    <w:rsid w:val="00931092"/>
    <w:rsid w:val="0093117B"/>
    <w:rsid w:val="0093185C"/>
    <w:rsid w:val="00932AC2"/>
    <w:rsid w:val="00932F9E"/>
    <w:rsid w:val="009339F5"/>
    <w:rsid w:val="00933E5E"/>
    <w:rsid w:val="00933FD4"/>
    <w:rsid w:val="00934883"/>
    <w:rsid w:val="00934E4C"/>
    <w:rsid w:val="009351CD"/>
    <w:rsid w:val="009358A0"/>
    <w:rsid w:val="00937877"/>
    <w:rsid w:val="00937D84"/>
    <w:rsid w:val="00940884"/>
    <w:rsid w:val="00940E4E"/>
    <w:rsid w:val="00941167"/>
    <w:rsid w:val="009417B7"/>
    <w:rsid w:val="00942DFB"/>
    <w:rsid w:val="009436CF"/>
    <w:rsid w:val="0094375A"/>
    <w:rsid w:val="009444F8"/>
    <w:rsid w:val="009446BC"/>
    <w:rsid w:val="0094544B"/>
    <w:rsid w:val="0094554D"/>
    <w:rsid w:val="009455C8"/>
    <w:rsid w:val="00945A37"/>
    <w:rsid w:val="00945A6E"/>
    <w:rsid w:val="00945CB6"/>
    <w:rsid w:val="00945DAA"/>
    <w:rsid w:val="009468B2"/>
    <w:rsid w:val="00951017"/>
    <w:rsid w:val="00953023"/>
    <w:rsid w:val="009536AC"/>
    <w:rsid w:val="00953A44"/>
    <w:rsid w:val="00953AA3"/>
    <w:rsid w:val="00954685"/>
    <w:rsid w:val="00954736"/>
    <w:rsid w:val="009547CB"/>
    <w:rsid w:val="00954835"/>
    <w:rsid w:val="0095485C"/>
    <w:rsid w:val="00955D19"/>
    <w:rsid w:val="00955F4A"/>
    <w:rsid w:val="00956078"/>
    <w:rsid w:val="0095623E"/>
    <w:rsid w:val="00957D73"/>
    <w:rsid w:val="00960D43"/>
    <w:rsid w:val="00961E6A"/>
    <w:rsid w:val="0096292E"/>
    <w:rsid w:val="00962981"/>
    <w:rsid w:val="00963653"/>
    <w:rsid w:val="009638AB"/>
    <w:rsid w:val="00963929"/>
    <w:rsid w:val="0096482D"/>
    <w:rsid w:val="0096489E"/>
    <w:rsid w:val="00965111"/>
    <w:rsid w:val="00965668"/>
    <w:rsid w:val="00965E4A"/>
    <w:rsid w:val="009661C1"/>
    <w:rsid w:val="00966BDF"/>
    <w:rsid w:val="00967A2C"/>
    <w:rsid w:val="00967B67"/>
    <w:rsid w:val="00967ED8"/>
    <w:rsid w:val="00967FCB"/>
    <w:rsid w:val="009713B7"/>
    <w:rsid w:val="0097177B"/>
    <w:rsid w:val="00973D32"/>
    <w:rsid w:val="00973F87"/>
    <w:rsid w:val="00973FE6"/>
    <w:rsid w:val="00974664"/>
    <w:rsid w:val="0097487C"/>
    <w:rsid w:val="00974B49"/>
    <w:rsid w:val="00974D1E"/>
    <w:rsid w:val="00974E1B"/>
    <w:rsid w:val="00975E30"/>
    <w:rsid w:val="0097657E"/>
    <w:rsid w:val="00976656"/>
    <w:rsid w:val="00976759"/>
    <w:rsid w:val="00976DFC"/>
    <w:rsid w:val="00977A63"/>
    <w:rsid w:val="00980B14"/>
    <w:rsid w:val="00980D1A"/>
    <w:rsid w:val="009810B5"/>
    <w:rsid w:val="009814F8"/>
    <w:rsid w:val="009815A9"/>
    <w:rsid w:val="0098165A"/>
    <w:rsid w:val="009816FB"/>
    <w:rsid w:val="00981872"/>
    <w:rsid w:val="00982A11"/>
    <w:rsid w:val="00983973"/>
    <w:rsid w:val="00983B8A"/>
    <w:rsid w:val="00984ACC"/>
    <w:rsid w:val="0098569D"/>
    <w:rsid w:val="00985A98"/>
    <w:rsid w:val="00985C83"/>
    <w:rsid w:val="00985E20"/>
    <w:rsid w:val="0098635C"/>
    <w:rsid w:val="009867D6"/>
    <w:rsid w:val="00987714"/>
    <w:rsid w:val="00987F91"/>
    <w:rsid w:val="009900CF"/>
    <w:rsid w:val="009908FD"/>
    <w:rsid w:val="009910C4"/>
    <w:rsid w:val="00991597"/>
    <w:rsid w:val="0099287A"/>
    <w:rsid w:val="0099348C"/>
    <w:rsid w:val="009943EE"/>
    <w:rsid w:val="009945AE"/>
    <w:rsid w:val="0099485F"/>
    <w:rsid w:val="00994879"/>
    <w:rsid w:val="00994B32"/>
    <w:rsid w:val="00994C8A"/>
    <w:rsid w:val="00995340"/>
    <w:rsid w:val="00995B44"/>
    <w:rsid w:val="00995B4D"/>
    <w:rsid w:val="00995C8E"/>
    <w:rsid w:val="00995F87"/>
    <w:rsid w:val="00996363"/>
    <w:rsid w:val="009963BB"/>
    <w:rsid w:val="00996B40"/>
    <w:rsid w:val="00996C8C"/>
    <w:rsid w:val="00997CF0"/>
    <w:rsid w:val="009A0060"/>
    <w:rsid w:val="009A04A2"/>
    <w:rsid w:val="009A0520"/>
    <w:rsid w:val="009A08AB"/>
    <w:rsid w:val="009A0C93"/>
    <w:rsid w:val="009A1370"/>
    <w:rsid w:val="009A160C"/>
    <w:rsid w:val="009A2250"/>
    <w:rsid w:val="009A27E4"/>
    <w:rsid w:val="009A2BCC"/>
    <w:rsid w:val="009A38EB"/>
    <w:rsid w:val="009A3CB2"/>
    <w:rsid w:val="009A4044"/>
    <w:rsid w:val="009A4445"/>
    <w:rsid w:val="009A51A6"/>
    <w:rsid w:val="009A6727"/>
    <w:rsid w:val="009A6892"/>
    <w:rsid w:val="009A7037"/>
    <w:rsid w:val="009A7607"/>
    <w:rsid w:val="009A7BFF"/>
    <w:rsid w:val="009B04EC"/>
    <w:rsid w:val="009B0534"/>
    <w:rsid w:val="009B0EAA"/>
    <w:rsid w:val="009B0EC4"/>
    <w:rsid w:val="009B1767"/>
    <w:rsid w:val="009B190B"/>
    <w:rsid w:val="009B220F"/>
    <w:rsid w:val="009B27E0"/>
    <w:rsid w:val="009B28C6"/>
    <w:rsid w:val="009B2C99"/>
    <w:rsid w:val="009B2DB7"/>
    <w:rsid w:val="009B2FB2"/>
    <w:rsid w:val="009B320D"/>
    <w:rsid w:val="009B3B3C"/>
    <w:rsid w:val="009B607B"/>
    <w:rsid w:val="009B6633"/>
    <w:rsid w:val="009B67CE"/>
    <w:rsid w:val="009B69C9"/>
    <w:rsid w:val="009B6C09"/>
    <w:rsid w:val="009B6C85"/>
    <w:rsid w:val="009B7FFA"/>
    <w:rsid w:val="009C054F"/>
    <w:rsid w:val="009C137E"/>
    <w:rsid w:val="009C1C2E"/>
    <w:rsid w:val="009C1FCF"/>
    <w:rsid w:val="009C22FA"/>
    <w:rsid w:val="009C2DEF"/>
    <w:rsid w:val="009C34A2"/>
    <w:rsid w:val="009C3AF9"/>
    <w:rsid w:val="009C3B6E"/>
    <w:rsid w:val="009C3B9F"/>
    <w:rsid w:val="009C4178"/>
    <w:rsid w:val="009C473D"/>
    <w:rsid w:val="009C51B9"/>
    <w:rsid w:val="009C5FE9"/>
    <w:rsid w:val="009C76BC"/>
    <w:rsid w:val="009C7793"/>
    <w:rsid w:val="009C7A84"/>
    <w:rsid w:val="009D01BA"/>
    <w:rsid w:val="009D09AA"/>
    <w:rsid w:val="009D11EF"/>
    <w:rsid w:val="009D12A7"/>
    <w:rsid w:val="009D12D6"/>
    <w:rsid w:val="009D242C"/>
    <w:rsid w:val="009D2DB9"/>
    <w:rsid w:val="009D420B"/>
    <w:rsid w:val="009D4913"/>
    <w:rsid w:val="009D546A"/>
    <w:rsid w:val="009D5B46"/>
    <w:rsid w:val="009D5E29"/>
    <w:rsid w:val="009D6205"/>
    <w:rsid w:val="009D6B92"/>
    <w:rsid w:val="009D7F04"/>
    <w:rsid w:val="009E064A"/>
    <w:rsid w:val="009E0B39"/>
    <w:rsid w:val="009E0B68"/>
    <w:rsid w:val="009E12B4"/>
    <w:rsid w:val="009E1C36"/>
    <w:rsid w:val="009E1E15"/>
    <w:rsid w:val="009E259D"/>
    <w:rsid w:val="009E2D35"/>
    <w:rsid w:val="009E32F3"/>
    <w:rsid w:val="009E38AD"/>
    <w:rsid w:val="009E3966"/>
    <w:rsid w:val="009E543A"/>
    <w:rsid w:val="009E59B2"/>
    <w:rsid w:val="009E5AD1"/>
    <w:rsid w:val="009E5D7F"/>
    <w:rsid w:val="009E6277"/>
    <w:rsid w:val="009E6D8D"/>
    <w:rsid w:val="009E6E53"/>
    <w:rsid w:val="009F015A"/>
    <w:rsid w:val="009F0D62"/>
    <w:rsid w:val="009F0E23"/>
    <w:rsid w:val="009F0F61"/>
    <w:rsid w:val="009F0FC8"/>
    <w:rsid w:val="009F112A"/>
    <w:rsid w:val="009F199B"/>
    <w:rsid w:val="009F1A09"/>
    <w:rsid w:val="009F1F26"/>
    <w:rsid w:val="009F2AFF"/>
    <w:rsid w:val="009F30EC"/>
    <w:rsid w:val="009F3187"/>
    <w:rsid w:val="009F3E15"/>
    <w:rsid w:val="009F4015"/>
    <w:rsid w:val="009F41B8"/>
    <w:rsid w:val="009F4886"/>
    <w:rsid w:val="009F48CA"/>
    <w:rsid w:val="009F637A"/>
    <w:rsid w:val="009F6426"/>
    <w:rsid w:val="009F687B"/>
    <w:rsid w:val="009F6E7D"/>
    <w:rsid w:val="009F7D42"/>
    <w:rsid w:val="009F7EBE"/>
    <w:rsid w:val="009F7F67"/>
    <w:rsid w:val="009F7FDD"/>
    <w:rsid w:val="00A01AA9"/>
    <w:rsid w:val="00A032F9"/>
    <w:rsid w:val="00A03804"/>
    <w:rsid w:val="00A03C5B"/>
    <w:rsid w:val="00A053F1"/>
    <w:rsid w:val="00A055CB"/>
    <w:rsid w:val="00A05606"/>
    <w:rsid w:val="00A063FD"/>
    <w:rsid w:val="00A069FC"/>
    <w:rsid w:val="00A074F3"/>
    <w:rsid w:val="00A0754B"/>
    <w:rsid w:val="00A07555"/>
    <w:rsid w:val="00A075FC"/>
    <w:rsid w:val="00A07DDA"/>
    <w:rsid w:val="00A1071C"/>
    <w:rsid w:val="00A11333"/>
    <w:rsid w:val="00A12BA9"/>
    <w:rsid w:val="00A132A2"/>
    <w:rsid w:val="00A1332B"/>
    <w:rsid w:val="00A145A0"/>
    <w:rsid w:val="00A14B91"/>
    <w:rsid w:val="00A15504"/>
    <w:rsid w:val="00A1637E"/>
    <w:rsid w:val="00A163D6"/>
    <w:rsid w:val="00A166A7"/>
    <w:rsid w:val="00A169C0"/>
    <w:rsid w:val="00A174AD"/>
    <w:rsid w:val="00A17650"/>
    <w:rsid w:val="00A176E2"/>
    <w:rsid w:val="00A178A8"/>
    <w:rsid w:val="00A17AB4"/>
    <w:rsid w:val="00A20D88"/>
    <w:rsid w:val="00A21978"/>
    <w:rsid w:val="00A21A7F"/>
    <w:rsid w:val="00A22A01"/>
    <w:rsid w:val="00A22E8D"/>
    <w:rsid w:val="00A23CC0"/>
    <w:rsid w:val="00A23D78"/>
    <w:rsid w:val="00A24269"/>
    <w:rsid w:val="00A24670"/>
    <w:rsid w:val="00A246A1"/>
    <w:rsid w:val="00A24B7F"/>
    <w:rsid w:val="00A24BA7"/>
    <w:rsid w:val="00A2502B"/>
    <w:rsid w:val="00A256D4"/>
    <w:rsid w:val="00A2587C"/>
    <w:rsid w:val="00A26522"/>
    <w:rsid w:val="00A26F4E"/>
    <w:rsid w:val="00A26FFD"/>
    <w:rsid w:val="00A2783A"/>
    <w:rsid w:val="00A279EB"/>
    <w:rsid w:val="00A27BE6"/>
    <w:rsid w:val="00A30348"/>
    <w:rsid w:val="00A303F0"/>
    <w:rsid w:val="00A307E5"/>
    <w:rsid w:val="00A309F3"/>
    <w:rsid w:val="00A30E34"/>
    <w:rsid w:val="00A3172B"/>
    <w:rsid w:val="00A31DCD"/>
    <w:rsid w:val="00A32354"/>
    <w:rsid w:val="00A328F6"/>
    <w:rsid w:val="00A32E83"/>
    <w:rsid w:val="00A32EB1"/>
    <w:rsid w:val="00A340D0"/>
    <w:rsid w:val="00A34109"/>
    <w:rsid w:val="00A344B1"/>
    <w:rsid w:val="00A34C6F"/>
    <w:rsid w:val="00A34D22"/>
    <w:rsid w:val="00A34F70"/>
    <w:rsid w:val="00A3578B"/>
    <w:rsid w:val="00A3617C"/>
    <w:rsid w:val="00A36D68"/>
    <w:rsid w:val="00A371D3"/>
    <w:rsid w:val="00A37590"/>
    <w:rsid w:val="00A37648"/>
    <w:rsid w:val="00A37C03"/>
    <w:rsid w:val="00A37E3B"/>
    <w:rsid w:val="00A40487"/>
    <w:rsid w:val="00A40E5D"/>
    <w:rsid w:val="00A4114A"/>
    <w:rsid w:val="00A4129C"/>
    <w:rsid w:val="00A4181C"/>
    <w:rsid w:val="00A4184D"/>
    <w:rsid w:val="00A42106"/>
    <w:rsid w:val="00A42854"/>
    <w:rsid w:val="00A42EDD"/>
    <w:rsid w:val="00A431D7"/>
    <w:rsid w:val="00A43FE8"/>
    <w:rsid w:val="00A44AC1"/>
    <w:rsid w:val="00A44E87"/>
    <w:rsid w:val="00A44FD8"/>
    <w:rsid w:val="00A45DF0"/>
    <w:rsid w:val="00A464D8"/>
    <w:rsid w:val="00A46AD1"/>
    <w:rsid w:val="00A4703B"/>
    <w:rsid w:val="00A470D3"/>
    <w:rsid w:val="00A473DF"/>
    <w:rsid w:val="00A501E1"/>
    <w:rsid w:val="00A50544"/>
    <w:rsid w:val="00A507E2"/>
    <w:rsid w:val="00A50B06"/>
    <w:rsid w:val="00A52297"/>
    <w:rsid w:val="00A524E0"/>
    <w:rsid w:val="00A52E82"/>
    <w:rsid w:val="00A536F2"/>
    <w:rsid w:val="00A538B5"/>
    <w:rsid w:val="00A53D37"/>
    <w:rsid w:val="00A5404C"/>
    <w:rsid w:val="00A54114"/>
    <w:rsid w:val="00A54761"/>
    <w:rsid w:val="00A5486E"/>
    <w:rsid w:val="00A54B13"/>
    <w:rsid w:val="00A558B0"/>
    <w:rsid w:val="00A60103"/>
    <w:rsid w:val="00A60538"/>
    <w:rsid w:val="00A60A35"/>
    <w:rsid w:val="00A61050"/>
    <w:rsid w:val="00A62420"/>
    <w:rsid w:val="00A6246E"/>
    <w:rsid w:val="00A62899"/>
    <w:rsid w:val="00A62F04"/>
    <w:rsid w:val="00A632AB"/>
    <w:rsid w:val="00A636B1"/>
    <w:rsid w:val="00A637AA"/>
    <w:rsid w:val="00A63BDD"/>
    <w:rsid w:val="00A6468A"/>
    <w:rsid w:val="00A647F5"/>
    <w:rsid w:val="00A65D81"/>
    <w:rsid w:val="00A66A43"/>
    <w:rsid w:val="00A66D5D"/>
    <w:rsid w:val="00A66E47"/>
    <w:rsid w:val="00A67061"/>
    <w:rsid w:val="00A67230"/>
    <w:rsid w:val="00A6746A"/>
    <w:rsid w:val="00A675BC"/>
    <w:rsid w:val="00A67D93"/>
    <w:rsid w:val="00A70429"/>
    <w:rsid w:val="00A7133E"/>
    <w:rsid w:val="00A71482"/>
    <w:rsid w:val="00A72108"/>
    <w:rsid w:val="00A7222D"/>
    <w:rsid w:val="00A7242E"/>
    <w:rsid w:val="00A72628"/>
    <w:rsid w:val="00A727EC"/>
    <w:rsid w:val="00A72BD7"/>
    <w:rsid w:val="00A7309A"/>
    <w:rsid w:val="00A7363F"/>
    <w:rsid w:val="00A73EE4"/>
    <w:rsid w:val="00A740DF"/>
    <w:rsid w:val="00A7431C"/>
    <w:rsid w:val="00A74954"/>
    <w:rsid w:val="00A749C5"/>
    <w:rsid w:val="00A7540B"/>
    <w:rsid w:val="00A75652"/>
    <w:rsid w:val="00A7669A"/>
    <w:rsid w:val="00A767BE"/>
    <w:rsid w:val="00A76F9F"/>
    <w:rsid w:val="00A77311"/>
    <w:rsid w:val="00A7751F"/>
    <w:rsid w:val="00A777D4"/>
    <w:rsid w:val="00A809A6"/>
    <w:rsid w:val="00A81049"/>
    <w:rsid w:val="00A82826"/>
    <w:rsid w:val="00A8292F"/>
    <w:rsid w:val="00A83854"/>
    <w:rsid w:val="00A83894"/>
    <w:rsid w:val="00A85178"/>
    <w:rsid w:val="00A85909"/>
    <w:rsid w:val="00A86D37"/>
    <w:rsid w:val="00A878DB"/>
    <w:rsid w:val="00A87F65"/>
    <w:rsid w:val="00A90211"/>
    <w:rsid w:val="00A90265"/>
    <w:rsid w:val="00A903C7"/>
    <w:rsid w:val="00A90433"/>
    <w:rsid w:val="00A90C28"/>
    <w:rsid w:val="00A91D4F"/>
    <w:rsid w:val="00A92F2B"/>
    <w:rsid w:val="00A93182"/>
    <w:rsid w:val="00A93967"/>
    <w:rsid w:val="00A9444B"/>
    <w:rsid w:val="00A9450C"/>
    <w:rsid w:val="00A94D8D"/>
    <w:rsid w:val="00A94E12"/>
    <w:rsid w:val="00A9508D"/>
    <w:rsid w:val="00A95AEB"/>
    <w:rsid w:val="00A95E0D"/>
    <w:rsid w:val="00A96991"/>
    <w:rsid w:val="00A9708C"/>
    <w:rsid w:val="00A9765D"/>
    <w:rsid w:val="00A97EE0"/>
    <w:rsid w:val="00AA1A44"/>
    <w:rsid w:val="00AA21E1"/>
    <w:rsid w:val="00AA34D5"/>
    <w:rsid w:val="00AA380D"/>
    <w:rsid w:val="00AA413F"/>
    <w:rsid w:val="00AA4CD3"/>
    <w:rsid w:val="00AA4F53"/>
    <w:rsid w:val="00AA4FE7"/>
    <w:rsid w:val="00AA539D"/>
    <w:rsid w:val="00AA56B4"/>
    <w:rsid w:val="00AA62BF"/>
    <w:rsid w:val="00AA65C5"/>
    <w:rsid w:val="00AA6BC0"/>
    <w:rsid w:val="00AA6CD7"/>
    <w:rsid w:val="00AA7440"/>
    <w:rsid w:val="00AA7ACB"/>
    <w:rsid w:val="00AA7EA3"/>
    <w:rsid w:val="00AB084F"/>
    <w:rsid w:val="00AB1550"/>
    <w:rsid w:val="00AB19C1"/>
    <w:rsid w:val="00AB1E03"/>
    <w:rsid w:val="00AB1E05"/>
    <w:rsid w:val="00AB2D60"/>
    <w:rsid w:val="00AB34B8"/>
    <w:rsid w:val="00AB3639"/>
    <w:rsid w:val="00AB3988"/>
    <w:rsid w:val="00AB3C21"/>
    <w:rsid w:val="00AB49CB"/>
    <w:rsid w:val="00AB5703"/>
    <w:rsid w:val="00AB57AC"/>
    <w:rsid w:val="00AB5813"/>
    <w:rsid w:val="00AB5AB5"/>
    <w:rsid w:val="00AB5B55"/>
    <w:rsid w:val="00AB5E1D"/>
    <w:rsid w:val="00AC0B60"/>
    <w:rsid w:val="00AC11E1"/>
    <w:rsid w:val="00AC1B2A"/>
    <w:rsid w:val="00AC1CA9"/>
    <w:rsid w:val="00AC1D2D"/>
    <w:rsid w:val="00AC2794"/>
    <w:rsid w:val="00AC2B1C"/>
    <w:rsid w:val="00AC3521"/>
    <w:rsid w:val="00AC39CD"/>
    <w:rsid w:val="00AC3AB3"/>
    <w:rsid w:val="00AC3BF8"/>
    <w:rsid w:val="00AC4993"/>
    <w:rsid w:val="00AC4CED"/>
    <w:rsid w:val="00AC5C45"/>
    <w:rsid w:val="00AC5EE8"/>
    <w:rsid w:val="00AC6062"/>
    <w:rsid w:val="00AC63AE"/>
    <w:rsid w:val="00AC693E"/>
    <w:rsid w:val="00AC6BF4"/>
    <w:rsid w:val="00AC6D4E"/>
    <w:rsid w:val="00AC6EF8"/>
    <w:rsid w:val="00AC6F62"/>
    <w:rsid w:val="00AC78B6"/>
    <w:rsid w:val="00AC78D0"/>
    <w:rsid w:val="00AC7939"/>
    <w:rsid w:val="00AD0116"/>
    <w:rsid w:val="00AD0192"/>
    <w:rsid w:val="00AD04D4"/>
    <w:rsid w:val="00AD07BD"/>
    <w:rsid w:val="00AD0A94"/>
    <w:rsid w:val="00AD1189"/>
    <w:rsid w:val="00AD1407"/>
    <w:rsid w:val="00AD18F3"/>
    <w:rsid w:val="00AD1D5F"/>
    <w:rsid w:val="00AD1E2B"/>
    <w:rsid w:val="00AD229D"/>
    <w:rsid w:val="00AD27F6"/>
    <w:rsid w:val="00AD29A3"/>
    <w:rsid w:val="00AD2AD3"/>
    <w:rsid w:val="00AD3B94"/>
    <w:rsid w:val="00AD41C1"/>
    <w:rsid w:val="00AD61CE"/>
    <w:rsid w:val="00AD627C"/>
    <w:rsid w:val="00AD6B91"/>
    <w:rsid w:val="00AD6DF0"/>
    <w:rsid w:val="00AD750C"/>
    <w:rsid w:val="00AD76A2"/>
    <w:rsid w:val="00AE04A9"/>
    <w:rsid w:val="00AE0661"/>
    <w:rsid w:val="00AE0729"/>
    <w:rsid w:val="00AE1683"/>
    <w:rsid w:val="00AE16A7"/>
    <w:rsid w:val="00AE192D"/>
    <w:rsid w:val="00AE270B"/>
    <w:rsid w:val="00AE33E5"/>
    <w:rsid w:val="00AE3D63"/>
    <w:rsid w:val="00AE3F0D"/>
    <w:rsid w:val="00AE46EF"/>
    <w:rsid w:val="00AE47C6"/>
    <w:rsid w:val="00AE58F8"/>
    <w:rsid w:val="00AE6754"/>
    <w:rsid w:val="00AE6FAB"/>
    <w:rsid w:val="00AE766F"/>
    <w:rsid w:val="00AF015C"/>
    <w:rsid w:val="00AF0800"/>
    <w:rsid w:val="00AF0C20"/>
    <w:rsid w:val="00AF1623"/>
    <w:rsid w:val="00AF24CB"/>
    <w:rsid w:val="00AF2FF9"/>
    <w:rsid w:val="00AF471C"/>
    <w:rsid w:val="00AF5D4C"/>
    <w:rsid w:val="00AF6019"/>
    <w:rsid w:val="00AF621D"/>
    <w:rsid w:val="00AF6616"/>
    <w:rsid w:val="00AF6914"/>
    <w:rsid w:val="00AF6D0B"/>
    <w:rsid w:val="00AF7166"/>
    <w:rsid w:val="00AF7A40"/>
    <w:rsid w:val="00AF7A50"/>
    <w:rsid w:val="00AF7CB6"/>
    <w:rsid w:val="00B000F3"/>
    <w:rsid w:val="00B00201"/>
    <w:rsid w:val="00B00242"/>
    <w:rsid w:val="00B00256"/>
    <w:rsid w:val="00B00294"/>
    <w:rsid w:val="00B00C4C"/>
    <w:rsid w:val="00B02163"/>
    <w:rsid w:val="00B033E2"/>
    <w:rsid w:val="00B04DD4"/>
    <w:rsid w:val="00B05B1D"/>
    <w:rsid w:val="00B0601C"/>
    <w:rsid w:val="00B06735"/>
    <w:rsid w:val="00B07BE0"/>
    <w:rsid w:val="00B07C9D"/>
    <w:rsid w:val="00B07EAF"/>
    <w:rsid w:val="00B10EF8"/>
    <w:rsid w:val="00B11479"/>
    <w:rsid w:val="00B11851"/>
    <w:rsid w:val="00B12004"/>
    <w:rsid w:val="00B129C7"/>
    <w:rsid w:val="00B12F32"/>
    <w:rsid w:val="00B13687"/>
    <w:rsid w:val="00B138CE"/>
    <w:rsid w:val="00B145FE"/>
    <w:rsid w:val="00B14AA8"/>
    <w:rsid w:val="00B14DC5"/>
    <w:rsid w:val="00B1523A"/>
    <w:rsid w:val="00B1566A"/>
    <w:rsid w:val="00B15C34"/>
    <w:rsid w:val="00B15F5A"/>
    <w:rsid w:val="00B16387"/>
    <w:rsid w:val="00B164A2"/>
    <w:rsid w:val="00B1690B"/>
    <w:rsid w:val="00B170AF"/>
    <w:rsid w:val="00B176AB"/>
    <w:rsid w:val="00B17B1F"/>
    <w:rsid w:val="00B202C3"/>
    <w:rsid w:val="00B207A2"/>
    <w:rsid w:val="00B20F91"/>
    <w:rsid w:val="00B211B4"/>
    <w:rsid w:val="00B21652"/>
    <w:rsid w:val="00B22112"/>
    <w:rsid w:val="00B2290C"/>
    <w:rsid w:val="00B22EFB"/>
    <w:rsid w:val="00B22FA0"/>
    <w:rsid w:val="00B231B0"/>
    <w:rsid w:val="00B23B66"/>
    <w:rsid w:val="00B2417E"/>
    <w:rsid w:val="00B24384"/>
    <w:rsid w:val="00B24FAD"/>
    <w:rsid w:val="00B2546F"/>
    <w:rsid w:val="00B25807"/>
    <w:rsid w:val="00B25D97"/>
    <w:rsid w:val="00B26051"/>
    <w:rsid w:val="00B263FD"/>
    <w:rsid w:val="00B3091C"/>
    <w:rsid w:val="00B324CA"/>
    <w:rsid w:val="00B32622"/>
    <w:rsid w:val="00B328D7"/>
    <w:rsid w:val="00B332C0"/>
    <w:rsid w:val="00B33907"/>
    <w:rsid w:val="00B34F9D"/>
    <w:rsid w:val="00B35A2A"/>
    <w:rsid w:val="00B36506"/>
    <w:rsid w:val="00B36594"/>
    <w:rsid w:val="00B365AA"/>
    <w:rsid w:val="00B36C9B"/>
    <w:rsid w:val="00B37096"/>
    <w:rsid w:val="00B370D2"/>
    <w:rsid w:val="00B376A4"/>
    <w:rsid w:val="00B37825"/>
    <w:rsid w:val="00B41F76"/>
    <w:rsid w:val="00B43E7D"/>
    <w:rsid w:val="00B4445F"/>
    <w:rsid w:val="00B445A4"/>
    <w:rsid w:val="00B4498E"/>
    <w:rsid w:val="00B44EE9"/>
    <w:rsid w:val="00B45977"/>
    <w:rsid w:val="00B45E0B"/>
    <w:rsid w:val="00B460C6"/>
    <w:rsid w:val="00B46168"/>
    <w:rsid w:val="00B46338"/>
    <w:rsid w:val="00B469FE"/>
    <w:rsid w:val="00B47BE3"/>
    <w:rsid w:val="00B47F2F"/>
    <w:rsid w:val="00B47F91"/>
    <w:rsid w:val="00B5001E"/>
    <w:rsid w:val="00B50F1E"/>
    <w:rsid w:val="00B51135"/>
    <w:rsid w:val="00B51167"/>
    <w:rsid w:val="00B5139E"/>
    <w:rsid w:val="00B51700"/>
    <w:rsid w:val="00B51763"/>
    <w:rsid w:val="00B5183E"/>
    <w:rsid w:val="00B51D0B"/>
    <w:rsid w:val="00B51D8E"/>
    <w:rsid w:val="00B51E3C"/>
    <w:rsid w:val="00B5213F"/>
    <w:rsid w:val="00B524B7"/>
    <w:rsid w:val="00B528F7"/>
    <w:rsid w:val="00B5312C"/>
    <w:rsid w:val="00B531FC"/>
    <w:rsid w:val="00B537B8"/>
    <w:rsid w:val="00B556AE"/>
    <w:rsid w:val="00B55DA8"/>
    <w:rsid w:val="00B55FE3"/>
    <w:rsid w:val="00B5630E"/>
    <w:rsid w:val="00B56809"/>
    <w:rsid w:val="00B56AF1"/>
    <w:rsid w:val="00B5705B"/>
    <w:rsid w:val="00B57B64"/>
    <w:rsid w:val="00B57D59"/>
    <w:rsid w:val="00B60C6A"/>
    <w:rsid w:val="00B60E2D"/>
    <w:rsid w:val="00B612CF"/>
    <w:rsid w:val="00B62957"/>
    <w:rsid w:val="00B631DD"/>
    <w:rsid w:val="00B635D2"/>
    <w:rsid w:val="00B646E3"/>
    <w:rsid w:val="00B64B3F"/>
    <w:rsid w:val="00B655DD"/>
    <w:rsid w:val="00B658A3"/>
    <w:rsid w:val="00B65BBE"/>
    <w:rsid w:val="00B661F1"/>
    <w:rsid w:val="00B6666B"/>
    <w:rsid w:val="00B67758"/>
    <w:rsid w:val="00B67BFE"/>
    <w:rsid w:val="00B67C86"/>
    <w:rsid w:val="00B701EA"/>
    <w:rsid w:val="00B70704"/>
    <w:rsid w:val="00B70973"/>
    <w:rsid w:val="00B71BC9"/>
    <w:rsid w:val="00B71D6B"/>
    <w:rsid w:val="00B72C0C"/>
    <w:rsid w:val="00B732EB"/>
    <w:rsid w:val="00B7376E"/>
    <w:rsid w:val="00B73C14"/>
    <w:rsid w:val="00B73D96"/>
    <w:rsid w:val="00B73DC6"/>
    <w:rsid w:val="00B74197"/>
    <w:rsid w:val="00B74230"/>
    <w:rsid w:val="00B7476C"/>
    <w:rsid w:val="00B75431"/>
    <w:rsid w:val="00B75AF4"/>
    <w:rsid w:val="00B7767F"/>
    <w:rsid w:val="00B801A3"/>
    <w:rsid w:val="00B8023F"/>
    <w:rsid w:val="00B80E69"/>
    <w:rsid w:val="00B81479"/>
    <w:rsid w:val="00B820DD"/>
    <w:rsid w:val="00B822B3"/>
    <w:rsid w:val="00B824B2"/>
    <w:rsid w:val="00B825BC"/>
    <w:rsid w:val="00B82C2E"/>
    <w:rsid w:val="00B82F55"/>
    <w:rsid w:val="00B837A4"/>
    <w:rsid w:val="00B84989"/>
    <w:rsid w:val="00B8529E"/>
    <w:rsid w:val="00B85930"/>
    <w:rsid w:val="00B85D56"/>
    <w:rsid w:val="00B85E44"/>
    <w:rsid w:val="00B863E2"/>
    <w:rsid w:val="00B868EF"/>
    <w:rsid w:val="00B86E15"/>
    <w:rsid w:val="00B86FF9"/>
    <w:rsid w:val="00B870E9"/>
    <w:rsid w:val="00B8717A"/>
    <w:rsid w:val="00B90EBE"/>
    <w:rsid w:val="00B91459"/>
    <w:rsid w:val="00B917D4"/>
    <w:rsid w:val="00B9271C"/>
    <w:rsid w:val="00B92A72"/>
    <w:rsid w:val="00B92B58"/>
    <w:rsid w:val="00B93913"/>
    <w:rsid w:val="00B942EC"/>
    <w:rsid w:val="00B94478"/>
    <w:rsid w:val="00B95978"/>
    <w:rsid w:val="00B960C1"/>
    <w:rsid w:val="00B96624"/>
    <w:rsid w:val="00B969DD"/>
    <w:rsid w:val="00B97516"/>
    <w:rsid w:val="00B97993"/>
    <w:rsid w:val="00BA08D8"/>
    <w:rsid w:val="00BA0FC3"/>
    <w:rsid w:val="00BA1884"/>
    <w:rsid w:val="00BA2DC8"/>
    <w:rsid w:val="00BA457D"/>
    <w:rsid w:val="00BA47CA"/>
    <w:rsid w:val="00BA499D"/>
    <w:rsid w:val="00BA4E1E"/>
    <w:rsid w:val="00BA51D6"/>
    <w:rsid w:val="00BA5356"/>
    <w:rsid w:val="00BA5BD2"/>
    <w:rsid w:val="00BA6900"/>
    <w:rsid w:val="00BA7301"/>
    <w:rsid w:val="00BA74D6"/>
    <w:rsid w:val="00BA7D11"/>
    <w:rsid w:val="00BB086D"/>
    <w:rsid w:val="00BB0C1D"/>
    <w:rsid w:val="00BB0DBE"/>
    <w:rsid w:val="00BB0E16"/>
    <w:rsid w:val="00BB15B5"/>
    <w:rsid w:val="00BB16C3"/>
    <w:rsid w:val="00BB25CB"/>
    <w:rsid w:val="00BB27BE"/>
    <w:rsid w:val="00BB29CB"/>
    <w:rsid w:val="00BB369A"/>
    <w:rsid w:val="00BB388F"/>
    <w:rsid w:val="00BB38AF"/>
    <w:rsid w:val="00BB4040"/>
    <w:rsid w:val="00BB480A"/>
    <w:rsid w:val="00BB4919"/>
    <w:rsid w:val="00BB4D06"/>
    <w:rsid w:val="00BB4DD1"/>
    <w:rsid w:val="00BB6542"/>
    <w:rsid w:val="00BB6A71"/>
    <w:rsid w:val="00BB748D"/>
    <w:rsid w:val="00BB74B0"/>
    <w:rsid w:val="00BB7957"/>
    <w:rsid w:val="00BB7AE2"/>
    <w:rsid w:val="00BC0288"/>
    <w:rsid w:val="00BC0687"/>
    <w:rsid w:val="00BC17B7"/>
    <w:rsid w:val="00BC1D77"/>
    <w:rsid w:val="00BC2DF3"/>
    <w:rsid w:val="00BC32E7"/>
    <w:rsid w:val="00BC3964"/>
    <w:rsid w:val="00BC39AD"/>
    <w:rsid w:val="00BC3DB4"/>
    <w:rsid w:val="00BC3E69"/>
    <w:rsid w:val="00BC4020"/>
    <w:rsid w:val="00BC48F3"/>
    <w:rsid w:val="00BC5592"/>
    <w:rsid w:val="00BC55F6"/>
    <w:rsid w:val="00BC5600"/>
    <w:rsid w:val="00BC5B4D"/>
    <w:rsid w:val="00BC60E3"/>
    <w:rsid w:val="00BC64B4"/>
    <w:rsid w:val="00BC65F7"/>
    <w:rsid w:val="00BC72F7"/>
    <w:rsid w:val="00BC7398"/>
    <w:rsid w:val="00BC74DD"/>
    <w:rsid w:val="00BD0179"/>
    <w:rsid w:val="00BD26CD"/>
    <w:rsid w:val="00BD2E79"/>
    <w:rsid w:val="00BD5858"/>
    <w:rsid w:val="00BD5F93"/>
    <w:rsid w:val="00BD6078"/>
    <w:rsid w:val="00BD6763"/>
    <w:rsid w:val="00BD7A99"/>
    <w:rsid w:val="00BD7B3F"/>
    <w:rsid w:val="00BD7FA2"/>
    <w:rsid w:val="00BE0170"/>
    <w:rsid w:val="00BE0E01"/>
    <w:rsid w:val="00BE1197"/>
    <w:rsid w:val="00BE17ED"/>
    <w:rsid w:val="00BE1C1B"/>
    <w:rsid w:val="00BE20C1"/>
    <w:rsid w:val="00BE23A5"/>
    <w:rsid w:val="00BE3FB3"/>
    <w:rsid w:val="00BE45B8"/>
    <w:rsid w:val="00BE48BC"/>
    <w:rsid w:val="00BE4A81"/>
    <w:rsid w:val="00BE4EA2"/>
    <w:rsid w:val="00BE5699"/>
    <w:rsid w:val="00BE5A0C"/>
    <w:rsid w:val="00BE6634"/>
    <w:rsid w:val="00BE6F31"/>
    <w:rsid w:val="00BE6FB0"/>
    <w:rsid w:val="00BE73F0"/>
    <w:rsid w:val="00BE7893"/>
    <w:rsid w:val="00BE7922"/>
    <w:rsid w:val="00BF01D8"/>
    <w:rsid w:val="00BF024D"/>
    <w:rsid w:val="00BF02DA"/>
    <w:rsid w:val="00BF0F73"/>
    <w:rsid w:val="00BF180E"/>
    <w:rsid w:val="00BF248D"/>
    <w:rsid w:val="00BF32D6"/>
    <w:rsid w:val="00BF3F1D"/>
    <w:rsid w:val="00BF5271"/>
    <w:rsid w:val="00BF5612"/>
    <w:rsid w:val="00BF56F2"/>
    <w:rsid w:val="00BF62C7"/>
    <w:rsid w:val="00BF689D"/>
    <w:rsid w:val="00BF6A57"/>
    <w:rsid w:val="00BF6F86"/>
    <w:rsid w:val="00BF7065"/>
    <w:rsid w:val="00BF7287"/>
    <w:rsid w:val="00BF798C"/>
    <w:rsid w:val="00BF7C39"/>
    <w:rsid w:val="00C004B1"/>
    <w:rsid w:val="00C00A35"/>
    <w:rsid w:val="00C01C52"/>
    <w:rsid w:val="00C02390"/>
    <w:rsid w:val="00C0261D"/>
    <w:rsid w:val="00C0273E"/>
    <w:rsid w:val="00C02811"/>
    <w:rsid w:val="00C031E6"/>
    <w:rsid w:val="00C0349E"/>
    <w:rsid w:val="00C041B6"/>
    <w:rsid w:val="00C04CA6"/>
    <w:rsid w:val="00C04D19"/>
    <w:rsid w:val="00C04DE1"/>
    <w:rsid w:val="00C063ED"/>
    <w:rsid w:val="00C07280"/>
    <w:rsid w:val="00C075B4"/>
    <w:rsid w:val="00C079F5"/>
    <w:rsid w:val="00C07F65"/>
    <w:rsid w:val="00C103E7"/>
    <w:rsid w:val="00C10979"/>
    <w:rsid w:val="00C114B8"/>
    <w:rsid w:val="00C11707"/>
    <w:rsid w:val="00C11747"/>
    <w:rsid w:val="00C11D2D"/>
    <w:rsid w:val="00C11DEB"/>
    <w:rsid w:val="00C11E77"/>
    <w:rsid w:val="00C12427"/>
    <w:rsid w:val="00C12B14"/>
    <w:rsid w:val="00C12C66"/>
    <w:rsid w:val="00C12FEB"/>
    <w:rsid w:val="00C133E5"/>
    <w:rsid w:val="00C13AFF"/>
    <w:rsid w:val="00C13CC1"/>
    <w:rsid w:val="00C145B4"/>
    <w:rsid w:val="00C151E3"/>
    <w:rsid w:val="00C156F6"/>
    <w:rsid w:val="00C16683"/>
    <w:rsid w:val="00C2038D"/>
    <w:rsid w:val="00C2076C"/>
    <w:rsid w:val="00C20994"/>
    <w:rsid w:val="00C20EB7"/>
    <w:rsid w:val="00C21120"/>
    <w:rsid w:val="00C22646"/>
    <w:rsid w:val="00C22D74"/>
    <w:rsid w:val="00C22ECC"/>
    <w:rsid w:val="00C23301"/>
    <w:rsid w:val="00C23D09"/>
    <w:rsid w:val="00C23D9C"/>
    <w:rsid w:val="00C23DB1"/>
    <w:rsid w:val="00C2427A"/>
    <w:rsid w:val="00C24A33"/>
    <w:rsid w:val="00C25B75"/>
    <w:rsid w:val="00C25E27"/>
    <w:rsid w:val="00C26032"/>
    <w:rsid w:val="00C26AC2"/>
    <w:rsid w:val="00C26B30"/>
    <w:rsid w:val="00C26D7A"/>
    <w:rsid w:val="00C26F98"/>
    <w:rsid w:val="00C2705B"/>
    <w:rsid w:val="00C27684"/>
    <w:rsid w:val="00C27685"/>
    <w:rsid w:val="00C27894"/>
    <w:rsid w:val="00C27B86"/>
    <w:rsid w:val="00C302EE"/>
    <w:rsid w:val="00C303D1"/>
    <w:rsid w:val="00C3050C"/>
    <w:rsid w:val="00C32944"/>
    <w:rsid w:val="00C32C1D"/>
    <w:rsid w:val="00C33609"/>
    <w:rsid w:val="00C33D5B"/>
    <w:rsid w:val="00C340FB"/>
    <w:rsid w:val="00C3414B"/>
    <w:rsid w:val="00C3479F"/>
    <w:rsid w:val="00C35068"/>
    <w:rsid w:val="00C35975"/>
    <w:rsid w:val="00C362F2"/>
    <w:rsid w:val="00C36C4A"/>
    <w:rsid w:val="00C375FD"/>
    <w:rsid w:val="00C37B3C"/>
    <w:rsid w:val="00C37B59"/>
    <w:rsid w:val="00C400F0"/>
    <w:rsid w:val="00C409CE"/>
    <w:rsid w:val="00C409F9"/>
    <w:rsid w:val="00C4122C"/>
    <w:rsid w:val="00C4126C"/>
    <w:rsid w:val="00C41375"/>
    <w:rsid w:val="00C426E9"/>
    <w:rsid w:val="00C429EB"/>
    <w:rsid w:val="00C434C9"/>
    <w:rsid w:val="00C46E0A"/>
    <w:rsid w:val="00C470A3"/>
    <w:rsid w:val="00C47603"/>
    <w:rsid w:val="00C47906"/>
    <w:rsid w:val="00C505AD"/>
    <w:rsid w:val="00C50746"/>
    <w:rsid w:val="00C50795"/>
    <w:rsid w:val="00C5084D"/>
    <w:rsid w:val="00C50A0B"/>
    <w:rsid w:val="00C50FCB"/>
    <w:rsid w:val="00C51805"/>
    <w:rsid w:val="00C51B54"/>
    <w:rsid w:val="00C52428"/>
    <w:rsid w:val="00C527BA"/>
    <w:rsid w:val="00C52914"/>
    <w:rsid w:val="00C53ACE"/>
    <w:rsid w:val="00C5553A"/>
    <w:rsid w:val="00C556FE"/>
    <w:rsid w:val="00C564CF"/>
    <w:rsid w:val="00C569AC"/>
    <w:rsid w:val="00C569E5"/>
    <w:rsid w:val="00C56A67"/>
    <w:rsid w:val="00C56E9D"/>
    <w:rsid w:val="00C57B53"/>
    <w:rsid w:val="00C57E28"/>
    <w:rsid w:val="00C60132"/>
    <w:rsid w:val="00C60C6C"/>
    <w:rsid w:val="00C61523"/>
    <w:rsid w:val="00C615E7"/>
    <w:rsid w:val="00C63081"/>
    <w:rsid w:val="00C6358A"/>
    <w:rsid w:val="00C641E9"/>
    <w:rsid w:val="00C65BBE"/>
    <w:rsid w:val="00C662A6"/>
    <w:rsid w:val="00C663AB"/>
    <w:rsid w:val="00C663C3"/>
    <w:rsid w:val="00C667C8"/>
    <w:rsid w:val="00C67B5D"/>
    <w:rsid w:val="00C67F3A"/>
    <w:rsid w:val="00C70798"/>
    <w:rsid w:val="00C71C72"/>
    <w:rsid w:val="00C72634"/>
    <w:rsid w:val="00C7277C"/>
    <w:rsid w:val="00C72F93"/>
    <w:rsid w:val="00C73387"/>
    <w:rsid w:val="00C734EA"/>
    <w:rsid w:val="00C73AD8"/>
    <w:rsid w:val="00C73C3E"/>
    <w:rsid w:val="00C743BA"/>
    <w:rsid w:val="00C74A03"/>
    <w:rsid w:val="00C74C0D"/>
    <w:rsid w:val="00C751E0"/>
    <w:rsid w:val="00C75417"/>
    <w:rsid w:val="00C768EB"/>
    <w:rsid w:val="00C801B7"/>
    <w:rsid w:val="00C80870"/>
    <w:rsid w:val="00C8154C"/>
    <w:rsid w:val="00C82C41"/>
    <w:rsid w:val="00C82E2C"/>
    <w:rsid w:val="00C831E9"/>
    <w:rsid w:val="00C835DC"/>
    <w:rsid w:val="00C83B56"/>
    <w:rsid w:val="00C83C5F"/>
    <w:rsid w:val="00C84707"/>
    <w:rsid w:val="00C847D6"/>
    <w:rsid w:val="00C850E0"/>
    <w:rsid w:val="00C85E4C"/>
    <w:rsid w:val="00C86320"/>
    <w:rsid w:val="00C870C0"/>
    <w:rsid w:val="00C8740F"/>
    <w:rsid w:val="00C876A2"/>
    <w:rsid w:val="00C900A2"/>
    <w:rsid w:val="00C901F0"/>
    <w:rsid w:val="00C91358"/>
    <w:rsid w:val="00C9138B"/>
    <w:rsid w:val="00C91555"/>
    <w:rsid w:val="00C9237C"/>
    <w:rsid w:val="00C92904"/>
    <w:rsid w:val="00C929DE"/>
    <w:rsid w:val="00C9313A"/>
    <w:rsid w:val="00C93405"/>
    <w:rsid w:val="00C93FB2"/>
    <w:rsid w:val="00C960DE"/>
    <w:rsid w:val="00C9641E"/>
    <w:rsid w:val="00C96765"/>
    <w:rsid w:val="00C96FD1"/>
    <w:rsid w:val="00C975C7"/>
    <w:rsid w:val="00C97666"/>
    <w:rsid w:val="00C9777B"/>
    <w:rsid w:val="00CA0D9D"/>
    <w:rsid w:val="00CA16B2"/>
    <w:rsid w:val="00CA1B96"/>
    <w:rsid w:val="00CA1C71"/>
    <w:rsid w:val="00CA2395"/>
    <w:rsid w:val="00CA2E2D"/>
    <w:rsid w:val="00CA41E9"/>
    <w:rsid w:val="00CA42A1"/>
    <w:rsid w:val="00CA4D91"/>
    <w:rsid w:val="00CA4F20"/>
    <w:rsid w:val="00CA5AD2"/>
    <w:rsid w:val="00CA5F6C"/>
    <w:rsid w:val="00CA62B2"/>
    <w:rsid w:val="00CA6420"/>
    <w:rsid w:val="00CA683F"/>
    <w:rsid w:val="00CA6E47"/>
    <w:rsid w:val="00CA76E0"/>
    <w:rsid w:val="00CA78D6"/>
    <w:rsid w:val="00CA7981"/>
    <w:rsid w:val="00CB145D"/>
    <w:rsid w:val="00CB178D"/>
    <w:rsid w:val="00CB2028"/>
    <w:rsid w:val="00CB4186"/>
    <w:rsid w:val="00CB4D44"/>
    <w:rsid w:val="00CB4DCB"/>
    <w:rsid w:val="00CB5329"/>
    <w:rsid w:val="00CB5947"/>
    <w:rsid w:val="00CB5D1D"/>
    <w:rsid w:val="00CB635A"/>
    <w:rsid w:val="00CB6E8D"/>
    <w:rsid w:val="00CB7970"/>
    <w:rsid w:val="00CB79E4"/>
    <w:rsid w:val="00CC17C6"/>
    <w:rsid w:val="00CC261A"/>
    <w:rsid w:val="00CC28FC"/>
    <w:rsid w:val="00CC3098"/>
    <w:rsid w:val="00CC3523"/>
    <w:rsid w:val="00CC363B"/>
    <w:rsid w:val="00CC3CAA"/>
    <w:rsid w:val="00CC4A5D"/>
    <w:rsid w:val="00CC6780"/>
    <w:rsid w:val="00CC67AB"/>
    <w:rsid w:val="00CC6BE8"/>
    <w:rsid w:val="00CC7BE2"/>
    <w:rsid w:val="00CD0E2F"/>
    <w:rsid w:val="00CD0EB9"/>
    <w:rsid w:val="00CD12A3"/>
    <w:rsid w:val="00CD12BD"/>
    <w:rsid w:val="00CD15E7"/>
    <w:rsid w:val="00CD2303"/>
    <w:rsid w:val="00CD3A50"/>
    <w:rsid w:val="00CD3B6C"/>
    <w:rsid w:val="00CD3FD7"/>
    <w:rsid w:val="00CD4459"/>
    <w:rsid w:val="00CD5738"/>
    <w:rsid w:val="00CD5C6F"/>
    <w:rsid w:val="00CD5E53"/>
    <w:rsid w:val="00CD7682"/>
    <w:rsid w:val="00CE03DC"/>
    <w:rsid w:val="00CE084F"/>
    <w:rsid w:val="00CE17F9"/>
    <w:rsid w:val="00CE1A84"/>
    <w:rsid w:val="00CE26F0"/>
    <w:rsid w:val="00CE2959"/>
    <w:rsid w:val="00CE2C34"/>
    <w:rsid w:val="00CE3291"/>
    <w:rsid w:val="00CE3358"/>
    <w:rsid w:val="00CE4313"/>
    <w:rsid w:val="00CE447E"/>
    <w:rsid w:val="00CE44B6"/>
    <w:rsid w:val="00CE4A79"/>
    <w:rsid w:val="00CE5858"/>
    <w:rsid w:val="00CE64F8"/>
    <w:rsid w:val="00CE6832"/>
    <w:rsid w:val="00CE77BD"/>
    <w:rsid w:val="00CE7971"/>
    <w:rsid w:val="00CE7F66"/>
    <w:rsid w:val="00CF0022"/>
    <w:rsid w:val="00CF068B"/>
    <w:rsid w:val="00CF17F1"/>
    <w:rsid w:val="00CF1A0B"/>
    <w:rsid w:val="00CF1A5D"/>
    <w:rsid w:val="00CF1CA2"/>
    <w:rsid w:val="00CF1DD9"/>
    <w:rsid w:val="00CF2358"/>
    <w:rsid w:val="00CF2541"/>
    <w:rsid w:val="00CF308B"/>
    <w:rsid w:val="00CF39D1"/>
    <w:rsid w:val="00CF3F2F"/>
    <w:rsid w:val="00CF40BA"/>
    <w:rsid w:val="00CF45A7"/>
    <w:rsid w:val="00CF5623"/>
    <w:rsid w:val="00CF585F"/>
    <w:rsid w:val="00CF63E8"/>
    <w:rsid w:val="00CF6765"/>
    <w:rsid w:val="00CF67E1"/>
    <w:rsid w:val="00CF770D"/>
    <w:rsid w:val="00CF7D0F"/>
    <w:rsid w:val="00D00161"/>
    <w:rsid w:val="00D00965"/>
    <w:rsid w:val="00D017AF"/>
    <w:rsid w:val="00D0228E"/>
    <w:rsid w:val="00D02439"/>
    <w:rsid w:val="00D0265F"/>
    <w:rsid w:val="00D02881"/>
    <w:rsid w:val="00D03060"/>
    <w:rsid w:val="00D032B2"/>
    <w:rsid w:val="00D039BD"/>
    <w:rsid w:val="00D03A38"/>
    <w:rsid w:val="00D03DD2"/>
    <w:rsid w:val="00D04478"/>
    <w:rsid w:val="00D04694"/>
    <w:rsid w:val="00D04CCC"/>
    <w:rsid w:val="00D04F1B"/>
    <w:rsid w:val="00D053B7"/>
    <w:rsid w:val="00D05E7B"/>
    <w:rsid w:val="00D0617F"/>
    <w:rsid w:val="00D06231"/>
    <w:rsid w:val="00D0629F"/>
    <w:rsid w:val="00D071F6"/>
    <w:rsid w:val="00D074A1"/>
    <w:rsid w:val="00D07B06"/>
    <w:rsid w:val="00D10EE8"/>
    <w:rsid w:val="00D11C66"/>
    <w:rsid w:val="00D12002"/>
    <w:rsid w:val="00D12AAB"/>
    <w:rsid w:val="00D12BF7"/>
    <w:rsid w:val="00D12C87"/>
    <w:rsid w:val="00D13227"/>
    <w:rsid w:val="00D13792"/>
    <w:rsid w:val="00D1439C"/>
    <w:rsid w:val="00D15268"/>
    <w:rsid w:val="00D15315"/>
    <w:rsid w:val="00D159BA"/>
    <w:rsid w:val="00D16272"/>
    <w:rsid w:val="00D167CF"/>
    <w:rsid w:val="00D17186"/>
    <w:rsid w:val="00D17426"/>
    <w:rsid w:val="00D205DE"/>
    <w:rsid w:val="00D2066E"/>
    <w:rsid w:val="00D20AA9"/>
    <w:rsid w:val="00D210AD"/>
    <w:rsid w:val="00D210EE"/>
    <w:rsid w:val="00D2168F"/>
    <w:rsid w:val="00D21815"/>
    <w:rsid w:val="00D21D21"/>
    <w:rsid w:val="00D22445"/>
    <w:rsid w:val="00D22E25"/>
    <w:rsid w:val="00D241B8"/>
    <w:rsid w:val="00D249A9"/>
    <w:rsid w:val="00D24D12"/>
    <w:rsid w:val="00D24E24"/>
    <w:rsid w:val="00D24E5A"/>
    <w:rsid w:val="00D2540E"/>
    <w:rsid w:val="00D25F41"/>
    <w:rsid w:val="00D25FD2"/>
    <w:rsid w:val="00D2636D"/>
    <w:rsid w:val="00D26619"/>
    <w:rsid w:val="00D2737A"/>
    <w:rsid w:val="00D27A9B"/>
    <w:rsid w:val="00D3147C"/>
    <w:rsid w:val="00D315EA"/>
    <w:rsid w:val="00D319E1"/>
    <w:rsid w:val="00D31A7D"/>
    <w:rsid w:val="00D31E95"/>
    <w:rsid w:val="00D32E7F"/>
    <w:rsid w:val="00D33504"/>
    <w:rsid w:val="00D33554"/>
    <w:rsid w:val="00D34E7C"/>
    <w:rsid w:val="00D3538B"/>
    <w:rsid w:val="00D35A57"/>
    <w:rsid w:val="00D35F28"/>
    <w:rsid w:val="00D37B9D"/>
    <w:rsid w:val="00D37F43"/>
    <w:rsid w:val="00D40284"/>
    <w:rsid w:val="00D405C1"/>
    <w:rsid w:val="00D407D4"/>
    <w:rsid w:val="00D40864"/>
    <w:rsid w:val="00D408FE"/>
    <w:rsid w:val="00D417DB"/>
    <w:rsid w:val="00D419FC"/>
    <w:rsid w:val="00D4215C"/>
    <w:rsid w:val="00D4236F"/>
    <w:rsid w:val="00D42D55"/>
    <w:rsid w:val="00D43115"/>
    <w:rsid w:val="00D43723"/>
    <w:rsid w:val="00D438CB"/>
    <w:rsid w:val="00D43941"/>
    <w:rsid w:val="00D447CF"/>
    <w:rsid w:val="00D44AA2"/>
    <w:rsid w:val="00D44F80"/>
    <w:rsid w:val="00D4593C"/>
    <w:rsid w:val="00D459E1"/>
    <w:rsid w:val="00D46AC3"/>
    <w:rsid w:val="00D47630"/>
    <w:rsid w:val="00D506FE"/>
    <w:rsid w:val="00D50978"/>
    <w:rsid w:val="00D50AE7"/>
    <w:rsid w:val="00D52374"/>
    <w:rsid w:val="00D52794"/>
    <w:rsid w:val="00D52EFD"/>
    <w:rsid w:val="00D5302A"/>
    <w:rsid w:val="00D53260"/>
    <w:rsid w:val="00D532F2"/>
    <w:rsid w:val="00D534AF"/>
    <w:rsid w:val="00D539BA"/>
    <w:rsid w:val="00D53F28"/>
    <w:rsid w:val="00D55A94"/>
    <w:rsid w:val="00D55F24"/>
    <w:rsid w:val="00D56902"/>
    <w:rsid w:val="00D57336"/>
    <w:rsid w:val="00D60621"/>
    <w:rsid w:val="00D61933"/>
    <w:rsid w:val="00D61CF0"/>
    <w:rsid w:val="00D61D4C"/>
    <w:rsid w:val="00D62756"/>
    <w:rsid w:val="00D630CE"/>
    <w:rsid w:val="00D64073"/>
    <w:rsid w:val="00D643D2"/>
    <w:rsid w:val="00D6468B"/>
    <w:rsid w:val="00D64E12"/>
    <w:rsid w:val="00D66264"/>
    <w:rsid w:val="00D66C80"/>
    <w:rsid w:val="00D674A1"/>
    <w:rsid w:val="00D67B15"/>
    <w:rsid w:val="00D67F92"/>
    <w:rsid w:val="00D710F4"/>
    <w:rsid w:val="00D715C8"/>
    <w:rsid w:val="00D715D6"/>
    <w:rsid w:val="00D71968"/>
    <w:rsid w:val="00D7241F"/>
    <w:rsid w:val="00D727A2"/>
    <w:rsid w:val="00D7299F"/>
    <w:rsid w:val="00D72D2D"/>
    <w:rsid w:val="00D72D96"/>
    <w:rsid w:val="00D72F7F"/>
    <w:rsid w:val="00D7367A"/>
    <w:rsid w:val="00D73C44"/>
    <w:rsid w:val="00D7436F"/>
    <w:rsid w:val="00D74921"/>
    <w:rsid w:val="00D7533F"/>
    <w:rsid w:val="00D75455"/>
    <w:rsid w:val="00D75459"/>
    <w:rsid w:val="00D7634E"/>
    <w:rsid w:val="00D76542"/>
    <w:rsid w:val="00D76766"/>
    <w:rsid w:val="00D76A23"/>
    <w:rsid w:val="00D771B7"/>
    <w:rsid w:val="00D77368"/>
    <w:rsid w:val="00D800FD"/>
    <w:rsid w:val="00D8020C"/>
    <w:rsid w:val="00D80311"/>
    <w:rsid w:val="00D8060F"/>
    <w:rsid w:val="00D80DE7"/>
    <w:rsid w:val="00D8179B"/>
    <w:rsid w:val="00D81A86"/>
    <w:rsid w:val="00D823EA"/>
    <w:rsid w:val="00D83467"/>
    <w:rsid w:val="00D83D35"/>
    <w:rsid w:val="00D849EA"/>
    <w:rsid w:val="00D85261"/>
    <w:rsid w:val="00D866E6"/>
    <w:rsid w:val="00D86A9A"/>
    <w:rsid w:val="00D86BE0"/>
    <w:rsid w:val="00D86C41"/>
    <w:rsid w:val="00D871D2"/>
    <w:rsid w:val="00D87AE4"/>
    <w:rsid w:val="00D87D5F"/>
    <w:rsid w:val="00D90ADF"/>
    <w:rsid w:val="00D90AFD"/>
    <w:rsid w:val="00D913A8"/>
    <w:rsid w:val="00D915A5"/>
    <w:rsid w:val="00D916D5"/>
    <w:rsid w:val="00D91C02"/>
    <w:rsid w:val="00D921A7"/>
    <w:rsid w:val="00D925AB"/>
    <w:rsid w:val="00D927DC"/>
    <w:rsid w:val="00D92C77"/>
    <w:rsid w:val="00D92FA6"/>
    <w:rsid w:val="00D9340B"/>
    <w:rsid w:val="00D935C5"/>
    <w:rsid w:val="00D9381C"/>
    <w:rsid w:val="00D9393D"/>
    <w:rsid w:val="00D941A0"/>
    <w:rsid w:val="00D94E84"/>
    <w:rsid w:val="00D95ABC"/>
    <w:rsid w:val="00D95C67"/>
    <w:rsid w:val="00D963B6"/>
    <w:rsid w:val="00D96547"/>
    <w:rsid w:val="00D968D8"/>
    <w:rsid w:val="00D97344"/>
    <w:rsid w:val="00D97424"/>
    <w:rsid w:val="00D97A51"/>
    <w:rsid w:val="00D97BC2"/>
    <w:rsid w:val="00D97C20"/>
    <w:rsid w:val="00DA01A2"/>
    <w:rsid w:val="00DA05D5"/>
    <w:rsid w:val="00DA0BC4"/>
    <w:rsid w:val="00DA0E76"/>
    <w:rsid w:val="00DA157F"/>
    <w:rsid w:val="00DA1A27"/>
    <w:rsid w:val="00DA2738"/>
    <w:rsid w:val="00DA29DD"/>
    <w:rsid w:val="00DA2B84"/>
    <w:rsid w:val="00DA3BE8"/>
    <w:rsid w:val="00DA4B2F"/>
    <w:rsid w:val="00DA4F12"/>
    <w:rsid w:val="00DA512C"/>
    <w:rsid w:val="00DA5641"/>
    <w:rsid w:val="00DA575F"/>
    <w:rsid w:val="00DA5A79"/>
    <w:rsid w:val="00DA5ACC"/>
    <w:rsid w:val="00DA5AE7"/>
    <w:rsid w:val="00DA5CF5"/>
    <w:rsid w:val="00DA6A54"/>
    <w:rsid w:val="00DA72C1"/>
    <w:rsid w:val="00DB07A7"/>
    <w:rsid w:val="00DB08E9"/>
    <w:rsid w:val="00DB0BF0"/>
    <w:rsid w:val="00DB1744"/>
    <w:rsid w:val="00DB27D5"/>
    <w:rsid w:val="00DB28C0"/>
    <w:rsid w:val="00DB2D18"/>
    <w:rsid w:val="00DB2DCF"/>
    <w:rsid w:val="00DB2FE6"/>
    <w:rsid w:val="00DB3AAC"/>
    <w:rsid w:val="00DB4615"/>
    <w:rsid w:val="00DB4A77"/>
    <w:rsid w:val="00DB4CD3"/>
    <w:rsid w:val="00DB5B6B"/>
    <w:rsid w:val="00DB5E05"/>
    <w:rsid w:val="00DB5EC3"/>
    <w:rsid w:val="00DB607D"/>
    <w:rsid w:val="00DB6542"/>
    <w:rsid w:val="00DB67A0"/>
    <w:rsid w:val="00DB6B4D"/>
    <w:rsid w:val="00DB6F2C"/>
    <w:rsid w:val="00DB7022"/>
    <w:rsid w:val="00DB72D6"/>
    <w:rsid w:val="00DB7AFF"/>
    <w:rsid w:val="00DC01BC"/>
    <w:rsid w:val="00DC0857"/>
    <w:rsid w:val="00DC0E63"/>
    <w:rsid w:val="00DC111A"/>
    <w:rsid w:val="00DC1C97"/>
    <w:rsid w:val="00DC1DD6"/>
    <w:rsid w:val="00DC241A"/>
    <w:rsid w:val="00DC2B5B"/>
    <w:rsid w:val="00DC2BED"/>
    <w:rsid w:val="00DC33DB"/>
    <w:rsid w:val="00DC3943"/>
    <w:rsid w:val="00DC4DC6"/>
    <w:rsid w:val="00DC51FE"/>
    <w:rsid w:val="00DC5AED"/>
    <w:rsid w:val="00DC5FC2"/>
    <w:rsid w:val="00DC60A4"/>
    <w:rsid w:val="00DC7A53"/>
    <w:rsid w:val="00DC7B28"/>
    <w:rsid w:val="00DC7D35"/>
    <w:rsid w:val="00DD0F9E"/>
    <w:rsid w:val="00DD2367"/>
    <w:rsid w:val="00DD2A3F"/>
    <w:rsid w:val="00DD2D75"/>
    <w:rsid w:val="00DD3C94"/>
    <w:rsid w:val="00DD404C"/>
    <w:rsid w:val="00DD47CA"/>
    <w:rsid w:val="00DD49DF"/>
    <w:rsid w:val="00DD4BDB"/>
    <w:rsid w:val="00DD4EAA"/>
    <w:rsid w:val="00DD5414"/>
    <w:rsid w:val="00DD577D"/>
    <w:rsid w:val="00DD5A9A"/>
    <w:rsid w:val="00DD6DB7"/>
    <w:rsid w:val="00DD6E95"/>
    <w:rsid w:val="00DE0AE2"/>
    <w:rsid w:val="00DE16C3"/>
    <w:rsid w:val="00DE1DE3"/>
    <w:rsid w:val="00DE3428"/>
    <w:rsid w:val="00DE368A"/>
    <w:rsid w:val="00DE38DD"/>
    <w:rsid w:val="00DE419B"/>
    <w:rsid w:val="00DE4E2F"/>
    <w:rsid w:val="00DE5616"/>
    <w:rsid w:val="00DE5BA1"/>
    <w:rsid w:val="00DE5E83"/>
    <w:rsid w:val="00DE6240"/>
    <w:rsid w:val="00DE6893"/>
    <w:rsid w:val="00DE6950"/>
    <w:rsid w:val="00DE728A"/>
    <w:rsid w:val="00DE7305"/>
    <w:rsid w:val="00DE732C"/>
    <w:rsid w:val="00DE7EDB"/>
    <w:rsid w:val="00DF0B51"/>
    <w:rsid w:val="00DF0C3D"/>
    <w:rsid w:val="00DF1FBB"/>
    <w:rsid w:val="00DF233B"/>
    <w:rsid w:val="00DF33CC"/>
    <w:rsid w:val="00DF39DA"/>
    <w:rsid w:val="00DF4998"/>
    <w:rsid w:val="00DF4CDE"/>
    <w:rsid w:val="00DF5943"/>
    <w:rsid w:val="00DF695C"/>
    <w:rsid w:val="00DF7411"/>
    <w:rsid w:val="00E0027A"/>
    <w:rsid w:val="00E00BA5"/>
    <w:rsid w:val="00E00F6E"/>
    <w:rsid w:val="00E01147"/>
    <w:rsid w:val="00E017B9"/>
    <w:rsid w:val="00E020C8"/>
    <w:rsid w:val="00E02CDE"/>
    <w:rsid w:val="00E03098"/>
    <w:rsid w:val="00E03C26"/>
    <w:rsid w:val="00E03F6D"/>
    <w:rsid w:val="00E0457C"/>
    <w:rsid w:val="00E05AF0"/>
    <w:rsid w:val="00E06043"/>
    <w:rsid w:val="00E06A16"/>
    <w:rsid w:val="00E077B6"/>
    <w:rsid w:val="00E101E2"/>
    <w:rsid w:val="00E10AF3"/>
    <w:rsid w:val="00E10E63"/>
    <w:rsid w:val="00E1123D"/>
    <w:rsid w:val="00E112EF"/>
    <w:rsid w:val="00E11C1F"/>
    <w:rsid w:val="00E11CD9"/>
    <w:rsid w:val="00E126B7"/>
    <w:rsid w:val="00E12888"/>
    <w:rsid w:val="00E1299C"/>
    <w:rsid w:val="00E12B07"/>
    <w:rsid w:val="00E12C3F"/>
    <w:rsid w:val="00E12FCE"/>
    <w:rsid w:val="00E131F6"/>
    <w:rsid w:val="00E13CC6"/>
    <w:rsid w:val="00E13E33"/>
    <w:rsid w:val="00E143D3"/>
    <w:rsid w:val="00E14FA3"/>
    <w:rsid w:val="00E1505B"/>
    <w:rsid w:val="00E15A19"/>
    <w:rsid w:val="00E15A35"/>
    <w:rsid w:val="00E16176"/>
    <w:rsid w:val="00E16178"/>
    <w:rsid w:val="00E16F0C"/>
    <w:rsid w:val="00E17499"/>
    <w:rsid w:val="00E178C6"/>
    <w:rsid w:val="00E17AF2"/>
    <w:rsid w:val="00E20B3F"/>
    <w:rsid w:val="00E20C60"/>
    <w:rsid w:val="00E21370"/>
    <w:rsid w:val="00E220E0"/>
    <w:rsid w:val="00E22400"/>
    <w:rsid w:val="00E2242C"/>
    <w:rsid w:val="00E22963"/>
    <w:rsid w:val="00E22A7F"/>
    <w:rsid w:val="00E22B60"/>
    <w:rsid w:val="00E2329B"/>
    <w:rsid w:val="00E23408"/>
    <w:rsid w:val="00E234BF"/>
    <w:rsid w:val="00E235D4"/>
    <w:rsid w:val="00E23D00"/>
    <w:rsid w:val="00E25004"/>
    <w:rsid w:val="00E25B0F"/>
    <w:rsid w:val="00E27148"/>
    <w:rsid w:val="00E27856"/>
    <w:rsid w:val="00E279BB"/>
    <w:rsid w:val="00E27C29"/>
    <w:rsid w:val="00E27F3A"/>
    <w:rsid w:val="00E3057D"/>
    <w:rsid w:val="00E31DDC"/>
    <w:rsid w:val="00E32190"/>
    <w:rsid w:val="00E3242A"/>
    <w:rsid w:val="00E32A7F"/>
    <w:rsid w:val="00E32C76"/>
    <w:rsid w:val="00E32C7B"/>
    <w:rsid w:val="00E33046"/>
    <w:rsid w:val="00E33221"/>
    <w:rsid w:val="00E33A8C"/>
    <w:rsid w:val="00E3447E"/>
    <w:rsid w:val="00E34C1A"/>
    <w:rsid w:val="00E35E14"/>
    <w:rsid w:val="00E363D6"/>
    <w:rsid w:val="00E365E0"/>
    <w:rsid w:val="00E36D0E"/>
    <w:rsid w:val="00E36E0B"/>
    <w:rsid w:val="00E37695"/>
    <w:rsid w:val="00E37ADF"/>
    <w:rsid w:val="00E37F0D"/>
    <w:rsid w:val="00E40761"/>
    <w:rsid w:val="00E41098"/>
    <w:rsid w:val="00E41204"/>
    <w:rsid w:val="00E41319"/>
    <w:rsid w:val="00E41546"/>
    <w:rsid w:val="00E41A00"/>
    <w:rsid w:val="00E41BF1"/>
    <w:rsid w:val="00E430CE"/>
    <w:rsid w:val="00E439BB"/>
    <w:rsid w:val="00E44B9B"/>
    <w:rsid w:val="00E459D5"/>
    <w:rsid w:val="00E4673A"/>
    <w:rsid w:val="00E46E5A"/>
    <w:rsid w:val="00E50443"/>
    <w:rsid w:val="00E50F99"/>
    <w:rsid w:val="00E51FFF"/>
    <w:rsid w:val="00E535D5"/>
    <w:rsid w:val="00E53758"/>
    <w:rsid w:val="00E53F07"/>
    <w:rsid w:val="00E54588"/>
    <w:rsid w:val="00E55228"/>
    <w:rsid w:val="00E55354"/>
    <w:rsid w:val="00E55458"/>
    <w:rsid w:val="00E5581F"/>
    <w:rsid w:val="00E55BFB"/>
    <w:rsid w:val="00E56A72"/>
    <w:rsid w:val="00E57AC2"/>
    <w:rsid w:val="00E57DF5"/>
    <w:rsid w:val="00E600F5"/>
    <w:rsid w:val="00E605A9"/>
    <w:rsid w:val="00E60972"/>
    <w:rsid w:val="00E60DB4"/>
    <w:rsid w:val="00E61ABE"/>
    <w:rsid w:val="00E61C06"/>
    <w:rsid w:val="00E61ED7"/>
    <w:rsid w:val="00E6268D"/>
    <w:rsid w:val="00E6297A"/>
    <w:rsid w:val="00E62A87"/>
    <w:rsid w:val="00E631AA"/>
    <w:rsid w:val="00E63A75"/>
    <w:rsid w:val="00E63AB5"/>
    <w:rsid w:val="00E63E9D"/>
    <w:rsid w:val="00E6413F"/>
    <w:rsid w:val="00E6421C"/>
    <w:rsid w:val="00E648A2"/>
    <w:rsid w:val="00E65D23"/>
    <w:rsid w:val="00E663C7"/>
    <w:rsid w:val="00E67349"/>
    <w:rsid w:val="00E70C0B"/>
    <w:rsid w:val="00E70C54"/>
    <w:rsid w:val="00E714E5"/>
    <w:rsid w:val="00E71553"/>
    <w:rsid w:val="00E7177E"/>
    <w:rsid w:val="00E71A37"/>
    <w:rsid w:val="00E71B21"/>
    <w:rsid w:val="00E720DF"/>
    <w:rsid w:val="00E721B3"/>
    <w:rsid w:val="00E721D9"/>
    <w:rsid w:val="00E7256E"/>
    <w:rsid w:val="00E7264D"/>
    <w:rsid w:val="00E72F0A"/>
    <w:rsid w:val="00E730BD"/>
    <w:rsid w:val="00E73984"/>
    <w:rsid w:val="00E74281"/>
    <w:rsid w:val="00E7432A"/>
    <w:rsid w:val="00E7432D"/>
    <w:rsid w:val="00E74E07"/>
    <w:rsid w:val="00E75F4D"/>
    <w:rsid w:val="00E76F78"/>
    <w:rsid w:val="00E77961"/>
    <w:rsid w:val="00E77CA5"/>
    <w:rsid w:val="00E80123"/>
    <w:rsid w:val="00E802B2"/>
    <w:rsid w:val="00E804B0"/>
    <w:rsid w:val="00E804B5"/>
    <w:rsid w:val="00E804DE"/>
    <w:rsid w:val="00E80585"/>
    <w:rsid w:val="00E80778"/>
    <w:rsid w:val="00E80907"/>
    <w:rsid w:val="00E80A9D"/>
    <w:rsid w:val="00E812B6"/>
    <w:rsid w:val="00E81743"/>
    <w:rsid w:val="00E819C1"/>
    <w:rsid w:val="00E81E82"/>
    <w:rsid w:val="00E82269"/>
    <w:rsid w:val="00E82480"/>
    <w:rsid w:val="00E826CE"/>
    <w:rsid w:val="00E82A22"/>
    <w:rsid w:val="00E8302D"/>
    <w:rsid w:val="00E8345B"/>
    <w:rsid w:val="00E836CE"/>
    <w:rsid w:val="00E83EA1"/>
    <w:rsid w:val="00E84BA9"/>
    <w:rsid w:val="00E85806"/>
    <w:rsid w:val="00E87DE3"/>
    <w:rsid w:val="00E90614"/>
    <w:rsid w:val="00E90C39"/>
    <w:rsid w:val="00E90EA4"/>
    <w:rsid w:val="00E92D45"/>
    <w:rsid w:val="00E92E84"/>
    <w:rsid w:val="00E931DA"/>
    <w:rsid w:val="00E936EE"/>
    <w:rsid w:val="00E93930"/>
    <w:rsid w:val="00E9455A"/>
    <w:rsid w:val="00E94DD6"/>
    <w:rsid w:val="00E94E06"/>
    <w:rsid w:val="00E9513C"/>
    <w:rsid w:val="00E957B9"/>
    <w:rsid w:val="00E96629"/>
    <w:rsid w:val="00E96A8C"/>
    <w:rsid w:val="00E972F2"/>
    <w:rsid w:val="00E97B58"/>
    <w:rsid w:val="00EA0BA8"/>
    <w:rsid w:val="00EA0EC5"/>
    <w:rsid w:val="00EA1BC2"/>
    <w:rsid w:val="00EA24FB"/>
    <w:rsid w:val="00EA25B1"/>
    <w:rsid w:val="00EA2746"/>
    <w:rsid w:val="00EA385D"/>
    <w:rsid w:val="00EA52E7"/>
    <w:rsid w:val="00EA7091"/>
    <w:rsid w:val="00EA74FE"/>
    <w:rsid w:val="00EA7B4F"/>
    <w:rsid w:val="00EA7C40"/>
    <w:rsid w:val="00EB0077"/>
    <w:rsid w:val="00EB007F"/>
    <w:rsid w:val="00EB1D96"/>
    <w:rsid w:val="00EB1E64"/>
    <w:rsid w:val="00EB2046"/>
    <w:rsid w:val="00EB29D7"/>
    <w:rsid w:val="00EB2C98"/>
    <w:rsid w:val="00EB31AC"/>
    <w:rsid w:val="00EB31C8"/>
    <w:rsid w:val="00EB34D2"/>
    <w:rsid w:val="00EB3F3D"/>
    <w:rsid w:val="00EB41E3"/>
    <w:rsid w:val="00EB4290"/>
    <w:rsid w:val="00EB440E"/>
    <w:rsid w:val="00EB49EB"/>
    <w:rsid w:val="00EB5B7C"/>
    <w:rsid w:val="00EB5C06"/>
    <w:rsid w:val="00EB5FDD"/>
    <w:rsid w:val="00EB676C"/>
    <w:rsid w:val="00EB79BD"/>
    <w:rsid w:val="00EB7C9B"/>
    <w:rsid w:val="00EB7DFC"/>
    <w:rsid w:val="00EC161E"/>
    <w:rsid w:val="00EC1907"/>
    <w:rsid w:val="00EC35D8"/>
    <w:rsid w:val="00EC38BB"/>
    <w:rsid w:val="00EC3B84"/>
    <w:rsid w:val="00EC44F9"/>
    <w:rsid w:val="00EC4B0E"/>
    <w:rsid w:val="00EC4C95"/>
    <w:rsid w:val="00EC4ED5"/>
    <w:rsid w:val="00EC50FC"/>
    <w:rsid w:val="00EC5CFC"/>
    <w:rsid w:val="00EC6740"/>
    <w:rsid w:val="00EC6FD6"/>
    <w:rsid w:val="00EC7036"/>
    <w:rsid w:val="00EC7384"/>
    <w:rsid w:val="00EC7AED"/>
    <w:rsid w:val="00EC7F72"/>
    <w:rsid w:val="00EC7F78"/>
    <w:rsid w:val="00ED07B2"/>
    <w:rsid w:val="00ED08C3"/>
    <w:rsid w:val="00ED0A59"/>
    <w:rsid w:val="00ED0C38"/>
    <w:rsid w:val="00ED105D"/>
    <w:rsid w:val="00ED1C54"/>
    <w:rsid w:val="00ED1DBA"/>
    <w:rsid w:val="00ED2088"/>
    <w:rsid w:val="00ED2388"/>
    <w:rsid w:val="00ED25C7"/>
    <w:rsid w:val="00ED2FB5"/>
    <w:rsid w:val="00ED2FF2"/>
    <w:rsid w:val="00ED340B"/>
    <w:rsid w:val="00ED348B"/>
    <w:rsid w:val="00ED4147"/>
    <w:rsid w:val="00ED41F7"/>
    <w:rsid w:val="00ED5EA0"/>
    <w:rsid w:val="00ED5EC1"/>
    <w:rsid w:val="00ED68FB"/>
    <w:rsid w:val="00ED6CD4"/>
    <w:rsid w:val="00ED6DBC"/>
    <w:rsid w:val="00ED7723"/>
    <w:rsid w:val="00ED7C0B"/>
    <w:rsid w:val="00ED7D19"/>
    <w:rsid w:val="00EE00AC"/>
    <w:rsid w:val="00EE00B5"/>
    <w:rsid w:val="00EE08A4"/>
    <w:rsid w:val="00EE08AB"/>
    <w:rsid w:val="00EE275E"/>
    <w:rsid w:val="00EE33AC"/>
    <w:rsid w:val="00EE37C6"/>
    <w:rsid w:val="00EE3E7F"/>
    <w:rsid w:val="00EE5350"/>
    <w:rsid w:val="00EE5F12"/>
    <w:rsid w:val="00EE62F5"/>
    <w:rsid w:val="00EE6764"/>
    <w:rsid w:val="00EE6B63"/>
    <w:rsid w:val="00EE6DED"/>
    <w:rsid w:val="00EE75B9"/>
    <w:rsid w:val="00EE7950"/>
    <w:rsid w:val="00EE7AF5"/>
    <w:rsid w:val="00EE7DAA"/>
    <w:rsid w:val="00EF07B8"/>
    <w:rsid w:val="00EF1141"/>
    <w:rsid w:val="00EF2336"/>
    <w:rsid w:val="00EF2384"/>
    <w:rsid w:val="00EF264F"/>
    <w:rsid w:val="00EF2930"/>
    <w:rsid w:val="00EF2AA2"/>
    <w:rsid w:val="00EF2AFC"/>
    <w:rsid w:val="00EF3C45"/>
    <w:rsid w:val="00EF4C88"/>
    <w:rsid w:val="00EF5452"/>
    <w:rsid w:val="00EF55E3"/>
    <w:rsid w:val="00EF57B6"/>
    <w:rsid w:val="00EF5C5A"/>
    <w:rsid w:val="00EF602C"/>
    <w:rsid w:val="00EF6F7C"/>
    <w:rsid w:val="00EF70BF"/>
    <w:rsid w:val="00EF7A01"/>
    <w:rsid w:val="00F00053"/>
    <w:rsid w:val="00F002D3"/>
    <w:rsid w:val="00F005DA"/>
    <w:rsid w:val="00F00AA0"/>
    <w:rsid w:val="00F02843"/>
    <w:rsid w:val="00F02D4D"/>
    <w:rsid w:val="00F02E77"/>
    <w:rsid w:val="00F02FA7"/>
    <w:rsid w:val="00F035DC"/>
    <w:rsid w:val="00F036A8"/>
    <w:rsid w:val="00F038EF"/>
    <w:rsid w:val="00F03ADE"/>
    <w:rsid w:val="00F0448F"/>
    <w:rsid w:val="00F06247"/>
    <w:rsid w:val="00F07A3A"/>
    <w:rsid w:val="00F07DED"/>
    <w:rsid w:val="00F10587"/>
    <w:rsid w:val="00F10695"/>
    <w:rsid w:val="00F10987"/>
    <w:rsid w:val="00F10CDE"/>
    <w:rsid w:val="00F1293D"/>
    <w:rsid w:val="00F13F3B"/>
    <w:rsid w:val="00F14674"/>
    <w:rsid w:val="00F153BF"/>
    <w:rsid w:val="00F158F0"/>
    <w:rsid w:val="00F15AA2"/>
    <w:rsid w:val="00F15C52"/>
    <w:rsid w:val="00F15CDC"/>
    <w:rsid w:val="00F15D7B"/>
    <w:rsid w:val="00F167FA"/>
    <w:rsid w:val="00F168A5"/>
    <w:rsid w:val="00F169AE"/>
    <w:rsid w:val="00F16F27"/>
    <w:rsid w:val="00F170D0"/>
    <w:rsid w:val="00F17255"/>
    <w:rsid w:val="00F179D6"/>
    <w:rsid w:val="00F17CED"/>
    <w:rsid w:val="00F20477"/>
    <w:rsid w:val="00F20B52"/>
    <w:rsid w:val="00F20E91"/>
    <w:rsid w:val="00F21627"/>
    <w:rsid w:val="00F21A4F"/>
    <w:rsid w:val="00F21BE6"/>
    <w:rsid w:val="00F21C5F"/>
    <w:rsid w:val="00F22958"/>
    <w:rsid w:val="00F22DC3"/>
    <w:rsid w:val="00F2382F"/>
    <w:rsid w:val="00F23AF4"/>
    <w:rsid w:val="00F23D3A"/>
    <w:rsid w:val="00F24D4D"/>
    <w:rsid w:val="00F24D93"/>
    <w:rsid w:val="00F254A5"/>
    <w:rsid w:val="00F255A3"/>
    <w:rsid w:val="00F259E7"/>
    <w:rsid w:val="00F26107"/>
    <w:rsid w:val="00F26784"/>
    <w:rsid w:val="00F26F4F"/>
    <w:rsid w:val="00F27386"/>
    <w:rsid w:val="00F3026E"/>
    <w:rsid w:val="00F30375"/>
    <w:rsid w:val="00F310F4"/>
    <w:rsid w:val="00F319F9"/>
    <w:rsid w:val="00F31A2D"/>
    <w:rsid w:val="00F31CE7"/>
    <w:rsid w:val="00F31F89"/>
    <w:rsid w:val="00F32062"/>
    <w:rsid w:val="00F322EC"/>
    <w:rsid w:val="00F32DA7"/>
    <w:rsid w:val="00F33B48"/>
    <w:rsid w:val="00F3409F"/>
    <w:rsid w:val="00F340A5"/>
    <w:rsid w:val="00F348B2"/>
    <w:rsid w:val="00F3547D"/>
    <w:rsid w:val="00F35C1B"/>
    <w:rsid w:val="00F36723"/>
    <w:rsid w:val="00F36CFC"/>
    <w:rsid w:val="00F37001"/>
    <w:rsid w:val="00F3738A"/>
    <w:rsid w:val="00F377B4"/>
    <w:rsid w:val="00F37A17"/>
    <w:rsid w:val="00F37C51"/>
    <w:rsid w:val="00F40601"/>
    <w:rsid w:val="00F40D2B"/>
    <w:rsid w:val="00F40D47"/>
    <w:rsid w:val="00F412D6"/>
    <w:rsid w:val="00F41641"/>
    <w:rsid w:val="00F41C32"/>
    <w:rsid w:val="00F41DB9"/>
    <w:rsid w:val="00F42440"/>
    <w:rsid w:val="00F42643"/>
    <w:rsid w:val="00F42857"/>
    <w:rsid w:val="00F4337D"/>
    <w:rsid w:val="00F43566"/>
    <w:rsid w:val="00F43DFC"/>
    <w:rsid w:val="00F440EE"/>
    <w:rsid w:val="00F44B67"/>
    <w:rsid w:val="00F45F1A"/>
    <w:rsid w:val="00F46094"/>
    <w:rsid w:val="00F462EF"/>
    <w:rsid w:val="00F4640C"/>
    <w:rsid w:val="00F4682C"/>
    <w:rsid w:val="00F46834"/>
    <w:rsid w:val="00F46F85"/>
    <w:rsid w:val="00F47650"/>
    <w:rsid w:val="00F478D4"/>
    <w:rsid w:val="00F47B73"/>
    <w:rsid w:val="00F47CE8"/>
    <w:rsid w:val="00F50258"/>
    <w:rsid w:val="00F505D0"/>
    <w:rsid w:val="00F50AAC"/>
    <w:rsid w:val="00F51185"/>
    <w:rsid w:val="00F51A4B"/>
    <w:rsid w:val="00F52123"/>
    <w:rsid w:val="00F5287E"/>
    <w:rsid w:val="00F5371A"/>
    <w:rsid w:val="00F54D8B"/>
    <w:rsid w:val="00F56AA8"/>
    <w:rsid w:val="00F56EBF"/>
    <w:rsid w:val="00F57486"/>
    <w:rsid w:val="00F57C5C"/>
    <w:rsid w:val="00F57EE3"/>
    <w:rsid w:val="00F60572"/>
    <w:rsid w:val="00F607F4"/>
    <w:rsid w:val="00F60DDA"/>
    <w:rsid w:val="00F619B6"/>
    <w:rsid w:val="00F61C4D"/>
    <w:rsid w:val="00F626D6"/>
    <w:rsid w:val="00F62A21"/>
    <w:rsid w:val="00F6338E"/>
    <w:rsid w:val="00F634C9"/>
    <w:rsid w:val="00F63B16"/>
    <w:rsid w:val="00F63F35"/>
    <w:rsid w:val="00F64690"/>
    <w:rsid w:val="00F6481E"/>
    <w:rsid w:val="00F64AEA"/>
    <w:rsid w:val="00F6671B"/>
    <w:rsid w:val="00F7167F"/>
    <w:rsid w:val="00F718DB"/>
    <w:rsid w:val="00F7319E"/>
    <w:rsid w:val="00F733B6"/>
    <w:rsid w:val="00F735CE"/>
    <w:rsid w:val="00F73C35"/>
    <w:rsid w:val="00F73FB6"/>
    <w:rsid w:val="00F74EE0"/>
    <w:rsid w:val="00F7501A"/>
    <w:rsid w:val="00F7533B"/>
    <w:rsid w:val="00F75425"/>
    <w:rsid w:val="00F75770"/>
    <w:rsid w:val="00F757E2"/>
    <w:rsid w:val="00F75804"/>
    <w:rsid w:val="00F7616B"/>
    <w:rsid w:val="00F766C6"/>
    <w:rsid w:val="00F76AB1"/>
    <w:rsid w:val="00F76CCA"/>
    <w:rsid w:val="00F77505"/>
    <w:rsid w:val="00F77702"/>
    <w:rsid w:val="00F779E5"/>
    <w:rsid w:val="00F77DA9"/>
    <w:rsid w:val="00F80A6D"/>
    <w:rsid w:val="00F8105A"/>
    <w:rsid w:val="00F815DB"/>
    <w:rsid w:val="00F81ACC"/>
    <w:rsid w:val="00F81DEB"/>
    <w:rsid w:val="00F82021"/>
    <w:rsid w:val="00F83123"/>
    <w:rsid w:val="00F84166"/>
    <w:rsid w:val="00F842A4"/>
    <w:rsid w:val="00F855EC"/>
    <w:rsid w:val="00F85ACA"/>
    <w:rsid w:val="00F86030"/>
    <w:rsid w:val="00F86E10"/>
    <w:rsid w:val="00F86EC6"/>
    <w:rsid w:val="00F8723F"/>
    <w:rsid w:val="00F872E8"/>
    <w:rsid w:val="00F90264"/>
    <w:rsid w:val="00F90578"/>
    <w:rsid w:val="00F90897"/>
    <w:rsid w:val="00F90CA4"/>
    <w:rsid w:val="00F9125E"/>
    <w:rsid w:val="00F914DD"/>
    <w:rsid w:val="00F91AAC"/>
    <w:rsid w:val="00F91EBE"/>
    <w:rsid w:val="00F921D4"/>
    <w:rsid w:val="00F93279"/>
    <w:rsid w:val="00F9328C"/>
    <w:rsid w:val="00F93F97"/>
    <w:rsid w:val="00F953AF"/>
    <w:rsid w:val="00F95832"/>
    <w:rsid w:val="00F95960"/>
    <w:rsid w:val="00F95D45"/>
    <w:rsid w:val="00F95E92"/>
    <w:rsid w:val="00F96291"/>
    <w:rsid w:val="00F96DF4"/>
    <w:rsid w:val="00F97467"/>
    <w:rsid w:val="00FA0970"/>
    <w:rsid w:val="00FA0E4A"/>
    <w:rsid w:val="00FA146D"/>
    <w:rsid w:val="00FA1E3B"/>
    <w:rsid w:val="00FA1F4E"/>
    <w:rsid w:val="00FA21D6"/>
    <w:rsid w:val="00FA28BC"/>
    <w:rsid w:val="00FA2A14"/>
    <w:rsid w:val="00FA36E8"/>
    <w:rsid w:val="00FA42D2"/>
    <w:rsid w:val="00FA465E"/>
    <w:rsid w:val="00FA522A"/>
    <w:rsid w:val="00FA60EC"/>
    <w:rsid w:val="00FA6913"/>
    <w:rsid w:val="00FA6D4E"/>
    <w:rsid w:val="00FA7AE2"/>
    <w:rsid w:val="00FB0B3D"/>
    <w:rsid w:val="00FB0C2A"/>
    <w:rsid w:val="00FB0C73"/>
    <w:rsid w:val="00FB0CFD"/>
    <w:rsid w:val="00FB1DF8"/>
    <w:rsid w:val="00FB1E4E"/>
    <w:rsid w:val="00FB251F"/>
    <w:rsid w:val="00FB2832"/>
    <w:rsid w:val="00FB2D33"/>
    <w:rsid w:val="00FB3DB2"/>
    <w:rsid w:val="00FB431E"/>
    <w:rsid w:val="00FB44D7"/>
    <w:rsid w:val="00FB4975"/>
    <w:rsid w:val="00FB4B09"/>
    <w:rsid w:val="00FB4EEF"/>
    <w:rsid w:val="00FB5361"/>
    <w:rsid w:val="00FB680E"/>
    <w:rsid w:val="00FB6B39"/>
    <w:rsid w:val="00FB7585"/>
    <w:rsid w:val="00FB78AA"/>
    <w:rsid w:val="00FB7C42"/>
    <w:rsid w:val="00FB7D02"/>
    <w:rsid w:val="00FC02B1"/>
    <w:rsid w:val="00FC0D25"/>
    <w:rsid w:val="00FC0DE8"/>
    <w:rsid w:val="00FC10FD"/>
    <w:rsid w:val="00FC1CF1"/>
    <w:rsid w:val="00FC2074"/>
    <w:rsid w:val="00FC210C"/>
    <w:rsid w:val="00FC226E"/>
    <w:rsid w:val="00FC2379"/>
    <w:rsid w:val="00FC28B0"/>
    <w:rsid w:val="00FC292B"/>
    <w:rsid w:val="00FC32B1"/>
    <w:rsid w:val="00FC358A"/>
    <w:rsid w:val="00FC3967"/>
    <w:rsid w:val="00FC39C1"/>
    <w:rsid w:val="00FC3BB0"/>
    <w:rsid w:val="00FC473A"/>
    <w:rsid w:val="00FC495E"/>
    <w:rsid w:val="00FC4D53"/>
    <w:rsid w:val="00FC5516"/>
    <w:rsid w:val="00FC573B"/>
    <w:rsid w:val="00FC5B00"/>
    <w:rsid w:val="00FC609F"/>
    <w:rsid w:val="00FC6D6B"/>
    <w:rsid w:val="00FC7151"/>
    <w:rsid w:val="00FC770E"/>
    <w:rsid w:val="00FC7A1F"/>
    <w:rsid w:val="00FD0CAE"/>
    <w:rsid w:val="00FD1913"/>
    <w:rsid w:val="00FD1A32"/>
    <w:rsid w:val="00FD388E"/>
    <w:rsid w:val="00FD411C"/>
    <w:rsid w:val="00FD41A9"/>
    <w:rsid w:val="00FD4F89"/>
    <w:rsid w:val="00FD5032"/>
    <w:rsid w:val="00FD6E57"/>
    <w:rsid w:val="00FD768B"/>
    <w:rsid w:val="00FD78FB"/>
    <w:rsid w:val="00FD7A2F"/>
    <w:rsid w:val="00FE0291"/>
    <w:rsid w:val="00FE0541"/>
    <w:rsid w:val="00FE07E9"/>
    <w:rsid w:val="00FE1247"/>
    <w:rsid w:val="00FE1316"/>
    <w:rsid w:val="00FE1EE1"/>
    <w:rsid w:val="00FE24B1"/>
    <w:rsid w:val="00FE27BF"/>
    <w:rsid w:val="00FE29FE"/>
    <w:rsid w:val="00FE31C0"/>
    <w:rsid w:val="00FE3826"/>
    <w:rsid w:val="00FE39FB"/>
    <w:rsid w:val="00FE4829"/>
    <w:rsid w:val="00FE56DA"/>
    <w:rsid w:val="00FE58B5"/>
    <w:rsid w:val="00FE657C"/>
    <w:rsid w:val="00FE78E0"/>
    <w:rsid w:val="00FE7FDB"/>
    <w:rsid w:val="00FF0F2E"/>
    <w:rsid w:val="00FF12DA"/>
    <w:rsid w:val="00FF1703"/>
    <w:rsid w:val="00FF184A"/>
    <w:rsid w:val="00FF20F4"/>
    <w:rsid w:val="00FF23D8"/>
    <w:rsid w:val="00FF35B0"/>
    <w:rsid w:val="00FF504A"/>
    <w:rsid w:val="00FF5512"/>
    <w:rsid w:val="00FF5806"/>
    <w:rsid w:val="00FF5843"/>
    <w:rsid w:val="00FF6030"/>
    <w:rsid w:val="00FF6422"/>
    <w:rsid w:val="00FF7A0E"/>
    <w:rsid w:val="00FF7B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EF21D"/>
  <w15:docId w15:val="{52391F98-9A1C-4642-BABD-557C3DA6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BDD"/>
    <w:rPr>
      <w:rFonts w:ascii="Verdana" w:eastAsia="Times New Roman" w:hAnsi="Verdana" w:cs="Times New Roman"/>
      <w:sz w:val="24"/>
      <w:szCs w:val="24"/>
      <w:lang w:eastAsia="es-CR"/>
    </w:rPr>
  </w:style>
  <w:style w:type="paragraph" w:styleId="Ttulo1">
    <w:name w:val="heading 1"/>
    <w:aliases w:val="Título Verdana"/>
    <w:basedOn w:val="Normal"/>
    <w:next w:val="Normal"/>
    <w:link w:val="Ttulo1Car"/>
    <w:uiPriority w:val="9"/>
    <w:qFormat/>
    <w:rsid w:val="00085BDD"/>
    <w:pPr>
      <w:keepNext/>
      <w:keepLines/>
      <w:tabs>
        <w:tab w:val="left" w:pos="720"/>
      </w:tabs>
      <w:jc w:val="center"/>
      <w:outlineLvl w:val="0"/>
    </w:pPr>
    <w:rPr>
      <w:rFonts w:eastAsia="MS ????"/>
      <w:b/>
      <w:bCs/>
      <w:caps/>
      <w:snapToGrid w:val="0"/>
      <w:spacing w:val="-2"/>
      <w:sz w:val="20"/>
      <w:szCs w:val="20"/>
      <w:lang w:val="x-none" w:eastAsia="es-ES"/>
    </w:rPr>
  </w:style>
  <w:style w:type="paragraph" w:styleId="Ttulo2">
    <w:name w:val="heading 2"/>
    <w:basedOn w:val="Normal"/>
    <w:next w:val="Normal"/>
    <w:link w:val="Ttulo2Car"/>
    <w:autoRedefine/>
    <w:unhideWhenUsed/>
    <w:qFormat/>
    <w:rsid w:val="002726E0"/>
    <w:pPr>
      <w:keepNext/>
      <w:keepLines/>
      <w:numPr>
        <w:numId w:val="7"/>
      </w:numPr>
      <w:outlineLvl w:val="1"/>
    </w:pPr>
    <w:rPr>
      <w:rFonts w:eastAsia="MS Mincho"/>
      <w:b/>
      <w:i/>
      <w:sz w:val="20"/>
      <w:szCs w:val="26"/>
    </w:rPr>
  </w:style>
  <w:style w:type="paragraph" w:styleId="Ttulo3">
    <w:name w:val="heading 3"/>
    <w:basedOn w:val="Normal"/>
    <w:next w:val="Normal"/>
    <w:link w:val="Ttulo3Car"/>
    <w:uiPriority w:val="9"/>
    <w:qFormat/>
    <w:rsid w:val="003700C4"/>
    <w:pPr>
      <w:tabs>
        <w:tab w:val="left" w:pos="567"/>
      </w:tabs>
      <w:autoSpaceDE w:val="0"/>
      <w:autoSpaceDN w:val="0"/>
      <w:ind w:left="1416"/>
      <w:contextualSpacing/>
      <w:outlineLvl w:val="2"/>
    </w:pPr>
    <w:rPr>
      <w:rFonts w:eastAsia="Calibri"/>
      <w:i/>
      <w:spacing w:val="-2"/>
      <w:sz w:val="20"/>
      <w:szCs w:val="20"/>
      <w:lang w:val="es-ES" w:eastAsia="x-none"/>
    </w:rPr>
  </w:style>
  <w:style w:type="paragraph" w:styleId="Ttulo4">
    <w:name w:val="heading 4"/>
    <w:basedOn w:val="Normal"/>
    <w:next w:val="Normal"/>
    <w:link w:val="Ttulo4Car"/>
    <w:uiPriority w:val="9"/>
    <w:unhideWhenUsed/>
    <w:qFormat/>
    <w:rsid w:val="00EB31AC"/>
    <w:pPr>
      <w:keepNext/>
      <w:keepLines/>
      <w:spacing w:before="200"/>
      <w:outlineLvl w:val="3"/>
    </w:pPr>
    <w:rPr>
      <w:bCs/>
      <w:i/>
      <w:iCs/>
      <w:sz w:val="20"/>
    </w:rPr>
  </w:style>
  <w:style w:type="paragraph" w:styleId="Ttulo5">
    <w:name w:val="heading 5"/>
    <w:basedOn w:val="Normal"/>
    <w:next w:val="Normal"/>
    <w:link w:val="Ttulo5Car"/>
    <w:uiPriority w:val="9"/>
    <w:unhideWhenUsed/>
    <w:qFormat/>
    <w:rsid w:val="00E3447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Ttulo5"/>
    <w:next w:val="Normal"/>
    <w:link w:val="Ttulo6Car"/>
    <w:uiPriority w:val="9"/>
    <w:unhideWhenUsed/>
    <w:qFormat/>
    <w:rsid w:val="00E3447E"/>
    <w:pPr>
      <w:keepNext w:val="0"/>
      <w:keepLines w:val="0"/>
      <w:tabs>
        <w:tab w:val="num" w:pos="3600"/>
      </w:tabs>
      <w:spacing w:before="0"/>
      <w:ind w:left="3600" w:hanging="360"/>
      <w:outlineLvl w:val="5"/>
    </w:pPr>
    <w:rPr>
      <w:rFonts w:ascii="Verdana" w:eastAsia="Times New Roman" w:hAnsi="Verdana" w:cs="Times New Roman"/>
      <w:color w:val="auto"/>
      <w:spacing w:val="-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Verdana Car"/>
    <w:basedOn w:val="Fuentedeprrafopredeter"/>
    <w:link w:val="Ttulo1"/>
    <w:uiPriority w:val="9"/>
    <w:rsid w:val="00085BDD"/>
    <w:rPr>
      <w:rFonts w:ascii="Verdana" w:eastAsia="MS ????" w:hAnsi="Verdana" w:cs="Times New Roman"/>
      <w:b/>
      <w:bCs/>
      <w:caps/>
      <w:snapToGrid w:val="0"/>
      <w:spacing w:val="-2"/>
      <w:sz w:val="20"/>
      <w:szCs w:val="20"/>
      <w:lang w:val="x-none" w:eastAsia="es-ES"/>
    </w:rPr>
  </w:style>
  <w:style w:type="character" w:customStyle="1" w:styleId="Ttulo3Car">
    <w:name w:val="Título 3 Car"/>
    <w:basedOn w:val="Fuentedeprrafopredeter"/>
    <w:link w:val="Ttulo3"/>
    <w:uiPriority w:val="9"/>
    <w:rsid w:val="003700C4"/>
    <w:rPr>
      <w:rFonts w:ascii="Verdana" w:eastAsia="Calibri" w:hAnsi="Verdana" w:cs="Times New Roman"/>
      <w:i/>
      <w:spacing w:val="-2"/>
      <w:sz w:val="20"/>
      <w:szCs w:val="20"/>
      <w:lang w:val="es-ES" w:eastAsia="x-none"/>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Ref. de nota al,Ref. de nota al pi"/>
    <w:link w:val="4GChar"/>
    <w:uiPriority w:val="99"/>
    <w:qFormat/>
    <w:rsid w:val="00085BDD"/>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qFormat/>
    <w:rsid w:val="00085BDD"/>
    <w:rPr>
      <w:sz w:val="20"/>
      <w:szCs w:val="20"/>
      <w:lang w:val="es-ES_tradnl"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1"/>
    <w:basedOn w:val="Fuentedeprrafopredeter"/>
    <w:link w:val="Textonotapie"/>
    <w:qFormat/>
    <w:rsid w:val="00085BDD"/>
    <w:rPr>
      <w:rFonts w:ascii="Verdana" w:eastAsia="Times New Roman" w:hAnsi="Verdana" w:cs="Times New Roman"/>
      <w:sz w:val="20"/>
      <w:szCs w:val="20"/>
      <w:lang w:val="es-ES_tradnl" w:eastAsia="x-none"/>
    </w:rPr>
  </w:style>
  <w:style w:type="character" w:styleId="Textoennegrita">
    <w:name w:val="Strong"/>
    <w:uiPriority w:val="22"/>
    <w:qFormat/>
    <w:rsid w:val="00085BDD"/>
    <w:rPr>
      <w:b/>
      <w:bCs/>
    </w:rPr>
  </w:style>
  <w:style w:type="paragraph" w:styleId="Prrafodelista">
    <w:name w:val="List Paragraph"/>
    <w:aliases w:val="List Paragraph2,Lista vistosa - Énfasis 11,Párrafo de lista1,Footnote,List Paragraph1"/>
    <w:basedOn w:val="Normal"/>
    <w:link w:val="PrrafodelistaCar"/>
    <w:uiPriority w:val="34"/>
    <w:qFormat/>
    <w:rsid w:val="00085BDD"/>
    <w:pPr>
      <w:ind w:left="708"/>
    </w:pPr>
  </w:style>
  <w:style w:type="character" w:customStyle="1" w:styleId="MediumGrid1-Accent2Char">
    <w:name w:val="Medium Grid 1 - Accent 2 Char"/>
    <w:aliases w:val="Footnote Char,List Paragraph1 Char,Colorful List - Accent 11 Char,Párrafo de lista1 Char,List Paragraph Char,List Paragraph2 Char,Lista vistosa - Énfasis 11 Char,Colorful List - Accent 1 Char"/>
    <w:link w:val="Cuadrculamedia1-nfasis2"/>
    <w:uiPriority w:val="34"/>
    <w:locked/>
    <w:rsid w:val="00475387"/>
    <w:rPr>
      <w:rFonts w:ascii="Verdana" w:eastAsia="Batang" w:hAnsi="Verdana" w:cs="Times"/>
      <w:noProof/>
      <w:sz w:val="20"/>
      <w:szCs w:val="24"/>
      <w:lang w:val="es-ES_tradnl"/>
    </w:rPr>
  </w:style>
  <w:style w:type="paragraph" w:customStyle="1" w:styleId="PrrafodeSentencia">
    <w:name w:val="*. Párrafo de Sentencia"/>
    <w:basedOn w:val="Textonotapie"/>
    <w:link w:val="PrrafodeSentenciaChar"/>
    <w:autoRedefine/>
    <w:qFormat/>
    <w:rsid w:val="00475387"/>
    <w:pPr>
      <w:numPr>
        <w:numId w:val="1"/>
      </w:numPr>
      <w:tabs>
        <w:tab w:val="left" w:pos="720"/>
      </w:tabs>
      <w:spacing w:before="120" w:after="120"/>
    </w:pPr>
    <w:rPr>
      <w:bCs/>
      <w:noProof/>
      <w:lang w:eastAsia="es-ES"/>
    </w:rPr>
  </w:style>
  <w:style w:type="table" w:styleId="Cuadrculamedia1-nfasis2">
    <w:name w:val="Medium Grid 1 Accent 2"/>
    <w:basedOn w:val="Tablanormal"/>
    <w:link w:val="MediumGrid1-Accent2Char"/>
    <w:rsid w:val="00475387"/>
    <w:rPr>
      <w:rFonts w:ascii="Verdana" w:eastAsia="Batang" w:hAnsi="Verdana" w:cs="Times"/>
      <w:noProof/>
      <w:sz w:val="20"/>
      <w:szCs w:val="24"/>
      <w:lang w:val="es-ES_trad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NormalWeb">
    <w:name w:val="Normal (Web)"/>
    <w:aliases w:val="Normal (Web) Char1,Normal (Web) Char Char,Normal (Web) Char1 Char,Normal (Web) Char Char Char"/>
    <w:basedOn w:val="Normal"/>
    <w:uiPriority w:val="99"/>
    <w:unhideWhenUsed/>
    <w:rsid w:val="006C37C9"/>
    <w:pPr>
      <w:spacing w:after="200" w:line="276" w:lineRule="auto"/>
      <w:jc w:val="left"/>
    </w:pPr>
    <w:rPr>
      <w:rFonts w:ascii="Times New Roman" w:eastAsiaTheme="minorHAnsi" w:hAnsi="Times New Roman"/>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Fuentedeprrafopredeter"/>
    <w:rsid w:val="006C37C9"/>
    <w:rPr>
      <w:sz w:val="20"/>
      <w:szCs w:val="20"/>
      <w:lang w:val="en-US"/>
    </w:rPr>
  </w:style>
  <w:style w:type="paragraph" w:styleId="Encabezado">
    <w:name w:val="header"/>
    <w:basedOn w:val="Normal"/>
    <w:link w:val="EncabezadoCar"/>
    <w:uiPriority w:val="99"/>
    <w:unhideWhenUsed/>
    <w:rsid w:val="006C37C9"/>
    <w:pPr>
      <w:tabs>
        <w:tab w:val="center" w:pos="4252"/>
        <w:tab w:val="right" w:pos="8504"/>
      </w:tabs>
      <w:jc w:val="left"/>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6C37C9"/>
    <w:rPr>
      <w:lang w:val="en-US"/>
    </w:rPr>
  </w:style>
  <w:style w:type="paragraph" w:styleId="Piedepgina">
    <w:name w:val="footer"/>
    <w:basedOn w:val="Normal"/>
    <w:link w:val="PiedepginaCar"/>
    <w:uiPriority w:val="99"/>
    <w:unhideWhenUsed/>
    <w:rsid w:val="006C37C9"/>
    <w:pPr>
      <w:tabs>
        <w:tab w:val="center" w:pos="4252"/>
        <w:tab w:val="right" w:pos="8504"/>
      </w:tabs>
      <w:jc w:val="left"/>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6C37C9"/>
    <w:rPr>
      <w:lang w:val="en-US"/>
    </w:rPr>
  </w:style>
  <w:style w:type="paragraph" w:styleId="Textonotaalfinal">
    <w:name w:val="endnote text"/>
    <w:basedOn w:val="Normal"/>
    <w:link w:val="TextonotaalfinalCar"/>
    <w:unhideWhenUsed/>
    <w:rsid w:val="006C37C9"/>
    <w:pPr>
      <w:jc w:val="left"/>
    </w:pPr>
    <w:rPr>
      <w:rFonts w:asciiTheme="minorHAnsi" w:eastAsiaTheme="minorHAnsi" w:hAnsiTheme="minorHAnsi" w:cstheme="minorBidi"/>
      <w:sz w:val="20"/>
      <w:szCs w:val="20"/>
      <w:lang w:val="en-US" w:eastAsia="en-US"/>
    </w:rPr>
  </w:style>
  <w:style w:type="character" w:customStyle="1" w:styleId="TextonotaalfinalCar">
    <w:name w:val="Texto nota al final Car"/>
    <w:basedOn w:val="Fuentedeprrafopredeter"/>
    <w:link w:val="Textonotaalfinal"/>
    <w:rsid w:val="006C37C9"/>
    <w:rPr>
      <w:sz w:val="20"/>
      <w:szCs w:val="20"/>
      <w:lang w:val="en-US"/>
    </w:rPr>
  </w:style>
  <w:style w:type="character" w:styleId="Hipervnculo">
    <w:name w:val="Hyperlink"/>
    <w:aliases w:val="Heading 3 caso"/>
    <w:basedOn w:val="Fuentedeprrafopredeter"/>
    <w:uiPriority w:val="99"/>
    <w:unhideWhenUsed/>
    <w:rsid w:val="006C37C9"/>
    <w:rPr>
      <w:color w:val="0000FF" w:themeColor="hyperlink"/>
      <w:u w:val="single"/>
    </w:rPr>
  </w:style>
  <w:style w:type="character" w:styleId="Hipervnculovisitado">
    <w:name w:val="FollowedHyperlink"/>
    <w:basedOn w:val="Fuentedeprrafopredeter"/>
    <w:uiPriority w:val="99"/>
    <w:semiHidden/>
    <w:unhideWhenUsed/>
    <w:rsid w:val="006C37C9"/>
    <w:rPr>
      <w:color w:val="800080" w:themeColor="followedHyperlink"/>
      <w:u w:val="single"/>
    </w:rPr>
  </w:style>
  <w:style w:type="paragraph" w:styleId="Textodeglobo">
    <w:name w:val="Balloon Text"/>
    <w:basedOn w:val="Normal"/>
    <w:link w:val="TextodegloboCar"/>
    <w:uiPriority w:val="99"/>
    <w:semiHidden/>
    <w:unhideWhenUsed/>
    <w:rsid w:val="006C37C9"/>
    <w:pPr>
      <w:jc w:val="left"/>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6C37C9"/>
    <w:rPr>
      <w:rFonts w:ascii="Tahoma" w:hAnsi="Tahoma" w:cs="Tahoma"/>
      <w:sz w:val="16"/>
      <w:szCs w:val="16"/>
    </w:rPr>
  </w:style>
  <w:style w:type="paragraph" w:styleId="TtuloTDC">
    <w:name w:val="TOC Heading"/>
    <w:basedOn w:val="Ttulo1"/>
    <w:next w:val="Normal"/>
    <w:uiPriority w:val="39"/>
    <w:unhideWhenUsed/>
    <w:qFormat/>
    <w:rsid w:val="00E16176"/>
    <w:pPr>
      <w:tabs>
        <w:tab w:val="clear" w:pos="720"/>
      </w:tabs>
      <w:spacing w:before="480" w:line="276" w:lineRule="auto"/>
      <w:jc w:val="left"/>
      <w:outlineLvl w:val="9"/>
    </w:pPr>
    <w:rPr>
      <w:rFonts w:asciiTheme="majorHAnsi" w:eastAsiaTheme="majorEastAsia" w:hAnsiTheme="majorHAnsi" w:cstheme="majorBidi"/>
      <w:caps w:val="0"/>
      <w:snapToGrid/>
      <w:color w:val="365F91" w:themeColor="accent1" w:themeShade="BF"/>
      <w:spacing w:val="0"/>
      <w:sz w:val="28"/>
      <w:szCs w:val="28"/>
      <w:lang w:val="en-US" w:eastAsia="ja-JP"/>
    </w:rPr>
  </w:style>
  <w:style w:type="paragraph" w:styleId="TDC1">
    <w:name w:val="toc 1"/>
    <w:basedOn w:val="Ttulo"/>
    <w:next w:val="Normal"/>
    <w:autoRedefine/>
    <w:uiPriority w:val="39"/>
    <w:unhideWhenUsed/>
    <w:qFormat/>
    <w:rsid w:val="00650E38"/>
    <w:pPr>
      <w:tabs>
        <w:tab w:val="right" w:leader="dot" w:pos="9736"/>
      </w:tabs>
      <w:spacing w:before="120" w:after="120"/>
      <w:ind w:right="193"/>
      <w:contextualSpacing w:val="0"/>
      <w:jc w:val="both"/>
    </w:pPr>
    <w:rPr>
      <w:rFonts w:asciiTheme="minorHAnsi" w:eastAsia="Times New Roman" w:hAnsiTheme="minorHAnsi" w:cs="Times New Roman"/>
      <w:bCs/>
      <w:caps/>
      <w:snapToGrid/>
      <w:kern w:val="0"/>
      <w:szCs w:val="20"/>
    </w:rPr>
  </w:style>
  <w:style w:type="paragraph" w:styleId="TDC2">
    <w:name w:val="toc 2"/>
    <w:basedOn w:val="Normal"/>
    <w:next w:val="Normal"/>
    <w:autoRedefine/>
    <w:uiPriority w:val="39"/>
    <w:unhideWhenUsed/>
    <w:qFormat/>
    <w:rsid w:val="008A6487"/>
    <w:pPr>
      <w:ind w:left="240"/>
      <w:jc w:val="left"/>
    </w:pPr>
    <w:rPr>
      <w:rFonts w:asciiTheme="minorHAnsi" w:hAnsiTheme="minorHAnsi"/>
      <w:smallCaps/>
      <w:sz w:val="20"/>
      <w:szCs w:val="20"/>
    </w:rPr>
  </w:style>
  <w:style w:type="paragraph" w:styleId="TDC3">
    <w:name w:val="toc 3"/>
    <w:basedOn w:val="Normal"/>
    <w:next w:val="Normal"/>
    <w:autoRedefine/>
    <w:uiPriority w:val="39"/>
    <w:unhideWhenUsed/>
    <w:qFormat/>
    <w:rsid w:val="00BE23A5"/>
    <w:pPr>
      <w:tabs>
        <w:tab w:val="left" w:pos="960"/>
        <w:tab w:val="right" w:leader="dot" w:pos="9736"/>
      </w:tabs>
      <w:ind w:left="480"/>
    </w:pPr>
    <w:rPr>
      <w:iCs/>
      <w:noProof/>
      <w:sz w:val="20"/>
      <w:szCs w:val="20"/>
    </w:rPr>
  </w:style>
  <w:style w:type="character" w:styleId="Nmerodelnea">
    <w:name w:val="line number"/>
    <w:basedOn w:val="Fuentedeprrafopredeter"/>
    <w:uiPriority w:val="99"/>
    <w:unhideWhenUsed/>
    <w:rsid w:val="00D407D4"/>
  </w:style>
  <w:style w:type="character" w:styleId="Refdecomentario">
    <w:name w:val="annotation reference"/>
    <w:basedOn w:val="Fuentedeprrafopredeter"/>
    <w:uiPriority w:val="99"/>
    <w:unhideWhenUsed/>
    <w:rsid w:val="007A1A14"/>
    <w:rPr>
      <w:sz w:val="16"/>
      <w:szCs w:val="16"/>
    </w:rPr>
  </w:style>
  <w:style w:type="paragraph" w:styleId="Textocomentario">
    <w:name w:val="annotation text"/>
    <w:basedOn w:val="Normal"/>
    <w:link w:val="TextocomentarioCar"/>
    <w:uiPriority w:val="99"/>
    <w:unhideWhenUsed/>
    <w:rsid w:val="007A1A14"/>
    <w:pPr>
      <w:spacing w:after="200"/>
      <w:jc w:val="left"/>
    </w:pPr>
    <w:rPr>
      <w:rFonts w:asciiTheme="minorHAnsi" w:eastAsiaTheme="minorHAnsi" w:hAnsiTheme="minorHAnsi" w:cstheme="minorBidi"/>
      <w:sz w:val="20"/>
      <w:szCs w:val="20"/>
      <w:lang w:val="en-US" w:eastAsia="en-US"/>
    </w:rPr>
  </w:style>
  <w:style w:type="character" w:customStyle="1" w:styleId="TextocomentarioCar">
    <w:name w:val="Texto comentario Car"/>
    <w:basedOn w:val="Fuentedeprrafopredeter"/>
    <w:link w:val="Textocomentario"/>
    <w:uiPriority w:val="99"/>
    <w:rsid w:val="007A1A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7A1A14"/>
    <w:rPr>
      <w:b/>
      <w:bCs/>
    </w:rPr>
  </w:style>
  <w:style w:type="character" w:customStyle="1" w:styleId="AsuntodelcomentarioCar">
    <w:name w:val="Asunto del comentario Car"/>
    <w:basedOn w:val="TextocomentarioCar"/>
    <w:link w:val="Asuntodelcomentario"/>
    <w:uiPriority w:val="99"/>
    <w:semiHidden/>
    <w:rsid w:val="007A1A14"/>
    <w:rPr>
      <w:b/>
      <w:bCs/>
      <w:sz w:val="20"/>
      <w:szCs w:val="20"/>
      <w:lang w:val="en-US"/>
    </w:rPr>
  </w:style>
  <w:style w:type="paragraph" w:customStyle="1" w:styleId="Heading21">
    <w:name w:val="Heading 21"/>
    <w:basedOn w:val="Normal"/>
    <w:next w:val="Normal"/>
    <w:uiPriority w:val="9"/>
    <w:semiHidden/>
    <w:unhideWhenUsed/>
    <w:qFormat/>
    <w:rsid w:val="008920BF"/>
    <w:pPr>
      <w:keepNext/>
      <w:keepLines/>
      <w:spacing w:before="200"/>
      <w:outlineLvl w:val="1"/>
    </w:pPr>
    <w:rPr>
      <w:rFonts w:ascii="Cambria" w:hAnsi="Cambria"/>
      <w:b/>
      <w:bCs/>
      <w:color w:val="4F81BD"/>
      <w:sz w:val="26"/>
      <w:szCs w:val="26"/>
    </w:rPr>
  </w:style>
  <w:style w:type="paragraph" w:customStyle="1" w:styleId="Heading41">
    <w:name w:val="Heading 41"/>
    <w:basedOn w:val="Normal"/>
    <w:next w:val="Normal"/>
    <w:uiPriority w:val="9"/>
    <w:semiHidden/>
    <w:unhideWhenUsed/>
    <w:qFormat/>
    <w:rsid w:val="008920BF"/>
    <w:pPr>
      <w:keepNext/>
      <w:keepLines/>
      <w:spacing w:before="200"/>
      <w:outlineLvl w:val="3"/>
    </w:pPr>
    <w:rPr>
      <w:rFonts w:ascii="Cambria" w:hAnsi="Cambria"/>
      <w:b/>
      <w:bCs/>
      <w:i/>
      <w:iCs/>
      <w:color w:val="4F81BD"/>
    </w:rPr>
  </w:style>
  <w:style w:type="numbering" w:customStyle="1" w:styleId="NoList1">
    <w:name w:val="No List1"/>
    <w:next w:val="Sinlista"/>
    <w:uiPriority w:val="99"/>
    <w:semiHidden/>
    <w:unhideWhenUsed/>
    <w:rsid w:val="008920BF"/>
  </w:style>
  <w:style w:type="character" w:customStyle="1" w:styleId="Ttulo2Car">
    <w:name w:val="Título 2 Car"/>
    <w:basedOn w:val="Fuentedeprrafopredeter"/>
    <w:link w:val="Ttulo2"/>
    <w:rsid w:val="002726E0"/>
    <w:rPr>
      <w:rFonts w:ascii="Verdana" w:eastAsia="MS Mincho" w:hAnsi="Verdana" w:cs="Times New Roman"/>
      <w:b/>
      <w:i/>
      <w:sz w:val="20"/>
      <w:szCs w:val="26"/>
      <w:lang w:eastAsia="es-CR"/>
    </w:rPr>
  </w:style>
  <w:style w:type="character" w:customStyle="1" w:styleId="Ttulo4Car">
    <w:name w:val="Título 4 Car"/>
    <w:basedOn w:val="Fuentedeprrafopredeter"/>
    <w:link w:val="Ttulo4"/>
    <w:uiPriority w:val="9"/>
    <w:rsid w:val="00EB31AC"/>
    <w:rPr>
      <w:rFonts w:ascii="Verdana" w:eastAsia="Times New Roman" w:hAnsi="Verdana" w:cs="Times New Roman"/>
      <w:bCs/>
      <w:i/>
      <w:iCs/>
      <w:sz w:val="20"/>
      <w:szCs w:val="24"/>
      <w:lang w:eastAsia="es-CR"/>
    </w:rPr>
  </w:style>
  <w:style w:type="paragraph" w:customStyle="1" w:styleId="Prrafodelista2">
    <w:name w:val="Párrafo de lista2"/>
    <w:basedOn w:val="Normal"/>
    <w:uiPriority w:val="99"/>
    <w:rsid w:val="008920BF"/>
    <w:pPr>
      <w:ind w:left="720"/>
      <w:jc w:val="left"/>
    </w:pPr>
    <w:rPr>
      <w:rFonts w:eastAsia="MS Mincho"/>
      <w:sz w:val="20"/>
      <w:szCs w:val="20"/>
      <w:lang w:val="es-ES_tradnl" w:eastAsia="en-US" w:bidi="en-US"/>
    </w:rPr>
  </w:style>
  <w:style w:type="character" w:customStyle="1" w:styleId="apple-style-span">
    <w:name w:val="apple-style-span"/>
    <w:rsid w:val="008920BF"/>
    <w:rPr>
      <w:rFonts w:cs="Times New Roman"/>
    </w:rPr>
  </w:style>
  <w:style w:type="character" w:customStyle="1" w:styleId="Listavistosa-nfasis1Car1">
    <w:name w:val="Lista vistosa - Énfasis 1 Car1"/>
    <w:link w:val="Listavistosa-nfasis1"/>
    <w:uiPriority w:val="99"/>
    <w:locked/>
    <w:rsid w:val="008920BF"/>
    <w:rPr>
      <w:rFonts w:ascii="Verdana" w:eastAsia="Times New Roman" w:hAnsi="Verdana"/>
      <w:lang w:val="es-ES_tradnl" w:eastAsia="en-US"/>
    </w:rPr>
  </w:style>
  <w:style w:type="character" w:customStyle="1" w:styleId="column01">
    <w:name w:val="column01"/>
    <w:basedOn w:val="Fuentedeprrafopredeter"/>
    <w:rsid w:val="008920BF"/>
  </w:style>
  <w:style w:type="table" w:customStyle="1" w:styleId="ColorfulList-Accent11">
    <w:name w:val="Colorful List - Accent 11"/>
    <w:basedOn w:val="Tablanormal"/>
    <w:next w:val="Listavistosa-nfasis1"/>
    <w:uiPriority w:val="99"/>
    <w:rsid w:val="008920BF"/>
    <w:rPr>
      <w:rFonts w:ascii="Verdana" w:eastAsia="Times New Roman" w:hAnsi="Verdana"/>
      <w:lang w:val="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Sangradetextonormal">
    <w:name w:val="Body Text Indent"/>
    <w:basedOn w:val="Normal"/>
    <w:link w:val="SangradetextonormalCar"/>
    <w:uiPriority w:val="99"/>
    <w:rsid w:val="008920BF"/>
    <w:pPr>
      <w:spacing w:after="120"/>
      <w:ind w:left="360"/>
      <w:jc w:val="left"/>
    </w:pPr>
    <w:rPr>
      <w:rFonts w:ascii="Times New Roman" w:eastAsia="MS Mincho" w:hAnsi="Times New Roman"/>
      <w:lang w:val="es-AR" w:eastAsia="en-US"/>
    </w:rPr>
  </w:style>
  <w:style w:type="character" w:customStyle="1" w:styleId="SangradetextonormalCar">
    <w:name w:val="Sangría de texto normal Car"/>
    <w:basedOn w:val="Fuentedeprrafopredeter"/>
    <w:link w:val="Sangradetextonormal"/>
    <w:uiPriority w:val="99"/>
    <w:rsid w:val="008920BF"/>
    <w:rPr>
      <w:rFonts w:ascii="Times New Roman" w:eastAsia="MS Mincho" w:hAnsi="Times New Roman" w:cs="Times New Roman"/>
      <w:sz w:val="24"/>
      <w:szCs w:val="24"/>
      <w:lang w:val="es-AR"/>
    </w:rPr>
  </w:style>
  <w:style w:type="character" w:customStyle="1" w:styleId="apple-converted-space">
    <w:name w:val="apple-converted-space"/>
    <w:basedOn w:val="Fuentedeprrafopredeter"/>
    <w:rsid w:val="008920BF"/>
  </w:style>
  <w:style w:type="paragraph" w:customStyle="1" w:styleId="CM4">
    <w:name w:val="CM4"/>
    <w:basedOn w:val="Normal"/>
    <w:next w:val="Normal"/>
    <w:uiPriority w:val="99"/>
    <w:rsid w:val="008920BF"/>
    <w:pPr>
      <w:autoSpaceDE w:val="0"/>
      <w:autoSpaceDN w:val="0"/>
      <w:jc w:val="left"/>
    </w:pPr>
    <w:rPr>
      <w:rFonts w:ascii="EUAlbertina" w:eastAsia="Calibri" w:hAnsi="EUAlbertina"/>
      <w:lang w:eastAsia="en-US"/>
    </w:rPr>
  </w:style>
  <w:style w:type="paragraph" w:customStyle="1" w:styleId="Default">
    <w:name w:val="Default"/>
    <w:rsid w:val="008920BF"/>
    <w:pPr>
      <w:autoSpaceDE w:val="0"/>
      <w:autoSpaceDN w:val="0"/>
      <w:adjustRightInd w:val="0"/>
    </w:pPr>
    <w:rPr>
      <w:rFonts w:ascii="Times New Roman" w:eastAsia="Times New Roman" w:hAnsi="Times New Roman" w:cs="Times New Roman"/>
      <w:color w:val="000000"/>
      <w:sz w:val="24"/>
      <w:szCs w:val="24"/>
      <w:lang w:eastAsia="es-CR"/>
    </w:rPr>
  </w:style>
  <w:style w:type="paragraph" w:styleId="HTMLconformatoprevio">
    <w:name w:val="HTML Preformatted"/>
    <w:basedOn w:val="Normal"/>
    <w:link w:val="HTMLconformatoprevioCar"/>
    <w:uiPriority w:val="99"/>
    <w:unhideWhenUsed/>
    <w:rsid w:val="00892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8920BF"/>
    <w:rPr>
      <w:rFonts w:ascii="Courier New" w:eastAsia="Times New Roman" w:hAnsi="Courier New" w:cs="Courier New"/>
      <w:sz w:val="20"/>
      <w:szCs w:val="20"/>
      <w:lang w:val="en-US"/>
    </w:rPr>
  </w:style>
  <w:style w:type="character" w:customStyle="1" w:styleId="Heading2Char1">
    <w:name w:val="Heading 2 Char1"/>
    <w:basedOn w:val="Fuentedeprrafopredeter"/>
    <w:uiPriority w:val="9"/>
    <w:semiHidden/>
    <w:rsid w:val="008920BF"/>
    <w:rPr>
      <w:rFonts w:asciiTheme="majorHAnsi" w:eastAsiaTheme="majorEastAsia" w:hAnsiTheme="majorHAnsi" w:cstheme="majorBidi"/>
      <w:b/>
      <w:bCs/>
      <w:color w:val="4F81BD" w:themeColor="accent1"/>
      <w:sz w:val="26"/>
      <w:szCs w:val="26"/>
      <w:lang w:eastAsia="es-CR"/>
    </w:rPr>
  </w:style>
  <w:style w:type="character" w:customStyle="1" w:styleId="Heading4Char1">
    <w:name w:val="Heading 4 Char1"/>
    <w:basedOn w:val="Fuentedeprrafopredeter"/>
    <w:uiPriority w:val="9"/>
    <w:semiHidden/>
    <w:rsid w:val="008920BF"/>
    <w:rPr>
      <w:rFonts w:asciiTheme="majorHAnsi" w:eastAsiaTheme="majorEastAsia" w:hAnsiTheme="majorHAnsi" w:cstheme="majorBidi"/>
      <w:b/>
      <w:bCs/>
      <w:i/>
      <w:iCs/>
      <w:color w:val="4F81BD" w:themeColor="accent1"/>
      <w:sz w:val="24"/>
      <w:szCs w:val="24"/>
      <w:lang w:eastAsia="es-CR"/>
    </w:rPr>
  </w:style>
  <w:style w:type="table" w:styleId="Listavistosa-nfasis1">
    <w:name w:val="Colorful List Accent 1"/>
    <w:basedOn w:val="Tablanormal"/>
    <w:link w:val="Listavistosa-nfasis1Car1"/>
    <w:uiPriority w:val="99"/>
    <w:rsid w:val="008920BF"/>
    <w:rPr>
      <w:rFonts w:ascii="Verdana" w:eastAsia="Times New Roman" w:hAnsi="Verdana"/>
      <w:lang w:val="es-ES_tradnl"/>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b8d990e2">
    <w:name w:val="sb8d990e2"/>
    <w:basedOn w:val="Fuentedeprrafopredeter"/>
    <w:uiPriority w:val="99"/>
    <w:rsid w:val="00502B43"/>
  </w:style>
  <w:style w:type="character" w:customStyle="1" w:styleId="s6b621b36">
    <w:name w:val="s6b621b36"/>
    <w:basedOn w:val="Fuentedeprrafopredeter"/>
    <w:rsid w:val="00502B4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02B43"/>
    <w:rPr>
      <w:rFonts w:asciiTheme="minorHAnsi" w:eastAsiaTheme="minorHAnsi" w:hAnsiTheme="minorHAnsi" w:cstheme="minorBidi"/>
      <w:sz w:val="22"/>
      <w:szCs w:val="22"/>
      <w:vertAlign w:val="superscript"/>
      <w:lang w:eastAsia="en-US"/>
    </w:rPr>
  </w:style>
  <w:style w:type="paragraph" w:customStyle="1" w:styleId="s5891fd46">
    <w:name w:val="s5891fd46"/>
    <w:basedOn w:val="Normal"/>
    <w:rsid w:val="00502B43"/>
    <w:pPr>
      <w:spacing w:before="100" w:beforeAutospacing="1" w:after="100" w:afterAutospacing="1"/>
      <w:jc w:val="left"/>
    </w:pPr>
    <w:rPr>
      <w:rFonts w:ascii="Times New Roman" w:hAnsi="Times New Roman"/>
    </w:rPr>
  </w:style>
  <w:style w:type="character" w:styleId="nfasis">
    <w:name w:val="Emphasis"/>
    <w:uiPriority w:val="20"/>
    <w:qFormat/>
    <w:rsid w:val="00502B43"/>
    <w:rPr>
      <w:b/>
      <w:bCs/>
      <w:i/>
      <w:iCs/>
      <w:spacing w:val="10"/>
      <w:bdr w:val="none" w:sz="0" w:space="0" w:color="auto"/>
      <w:shd w:val="clear" w:color="auto" w:fill="auto"/>
    </w:rPr>
  </w:style>
  <w:style w:type="paragraph" w:styleId="TDC4">
    <w:name w:val="toc 4"/>
    <w:basedOn w:val="Normal"/>
    <w:next w:val="Normal"/>
    <w:autoRedefine/>
    <w:uiPriority w:val="39"/>
    <w:unhideWhenUsed/>
    <w:rsid w:val="00E35E14"/>
    <w:pPr>
      <w:ind w:left="720"/>
      <w:jc w:val="left"/>
    </w:pPr>
    <w:rPr>
      <w:rFonts w:asciiTheme="minorHAnsi" w:hAnsiTheme="minorHAnsi"/>
      <w:sz w:val="18"/>
      <w:szCs w:val="18"/>
    </w:rPr>
  </w:style>
  <w:style w:type="paragraph" w:styleId="TDC5">
    <w:name w:val="toc 5"/>
    <w:basedOn w:val="Normal"/>
    <w:next w:val="Normal"/>
    <w:autoRedefine/>
    <w:uiPriority w:val="39"/>
    <w:unhideWhenUsed/>
    <w:rsid w:val="00E35E14"/>
    <w:pPr>
      <w:ind w:left="960"/>
      <w:jc w:val="left"/>
    </w:pPr>
    <w:rPr>
      <w:rFonts w:asciiTheme="minorHAnsi" w:hAnsiTheme="minorHAnsi"/>
      <w:sz w:val="18"/>
      <w:szCs w:val="18"/>
    </w:rPr>
  </w:style>
  <w:style w:type="paragraph" w:styleId="TDC6">
    <w:name w:val="toc 6"/>
    <w:basedOn w:val="Normal"/>
    <w:next w:val="Normal"/>
    <w:autoRedefine/>
    <w:uiPriority w:val="39"/>
    <w:unhideWhenUsed/>
    <w:rsid w:val="00E35E14"/>
    <w:pPr>
      <w:ind w:left="1200"/>
      <w:jc w:val="left"/>
    </w:pPr>
    <w:rPr>
      <w:rFonts w:asciiTheme="minorHAnsi" w:hAnsiTheme="minorHAnsi"/>
      <w:sz w:val="18"/>
      <w:szCs w:val="18"/>
    </w:rPr>
  </w:style>
  <w:style w:type="paragraph" w:styleId="TDC7">
    <w:name w:val="toc 7"/>
    <w:basedOn w:val="Normal"/>
    <w:next w:val="Normal"/>
    <w:autoRedefine/>
    <w:uiPriority w:val="39"/>
    <w:unhideWhenUsed/>
    <w:rsid w:val="00E35E14"/>
    <w:pPr>
      <w:ind w:left="1440"/>
      <w:jc w:val="left"/>
    </w:pPr>
    <w:rPr>
      <w:rFonts w:asciiTheme="minorHAnsi" w:hAnsiTheme="minorHAnsi"/>
      <w:sz w:val="18"/>
      <w:szCs w:val="18"/>
    </w:rPr>
  </w:style>
  <w:style w:type="paragraph" w:styleId="TDC8">
    <w:name w:val="toc 8"/>
    <w:basedOn w:val="Normal"/>
    <w:next w:val="Normal"/>
    <w:autoRedefine/>
    <w:uiPriority w:val="39"/>
    <w:unhideWhenUsed/>
    <w:rsid w:val="00E35E14"/>
    <w:pPr>
      <w:ind w:left="1680"/>
      <w:jc w:val="left"/>
    </w:pPr>
    <w:rPr>
      <w:rFonts w:asciiTheme="minorHAnsi" w:hAnsiTheme="minorHAnsi"/>
      <w:sz w:val="18"/>
      <w:szCs w:val="18"/>
    </w:rPr>
  </w:style>
  <w:style w:type="paragraph" w:styleId="TDC9">
    <w:name w:val="toc 9"/>
    <w:basedOn w:val="Normal"/>
    <w:next w:val="Normal"/>
    <w:autoRedefine/>
    <w:uiPriority w:val="39"/>
    <w:unhideWhenUsed/>
    <w:rsid w:val="00E35E14"/>
    <w:pPr>
      <w:ind w:left="1920"/>
      <w:jc w:val="left"/>
    </w:pPr>
    <w:rPr>
      <w:rFonts w:asciiTheme="minorHAnsi" w:hAnsiTheme="minorHAnsi"/>
      <w:sz w:val="18"/>
      <w:szCs w:val="18"/>
    </w:rPr>
  </w:style>
  <w:style w:type="paragraph" w:customStyle="1" w:styleId="styletitle2">
    <w:name w:val="styletitle2"/>
    <w:basedOn w:val="Normal"/>
    <w:rsid w:val="00000131"/>
    <w:pPr>
      <w:spacing w:before="100" w:beforeAutospacing="1" w:after="100" w:afterAutospacing="1"/>
      <w:jc w:val="left"/>
    </w:pPr>
    <w:rPr>
      <w:rFonts w:ascii="Times New Roman" w:hAnsi="Times New Roman"/>
    </w:rPr>
  </w:style>
  <w:style w:type="character" w:customStyle="1" w:styleId="PrrafodelistaCar">
    <w:name w:val="Párrafo de lista Car"/>
    <w:aliases w:val="List Paragraph2 Car,Lista vistosa - Énfasis 11 Car,Párrafo de lista1 Car,Footnote Car,List Paragraph1 Car"/>
    <w:basedOn w:val="Fuentedeprrafopredeter"/>
    <w:link w:val="Prrafodelista"/>
    <w:rsid w:val="005624D3"/>
    <w:rPr>
      <w:rFonts w:ascii="Verdana" w:eastAsia="Times New Roman" w:hAnsi="Verdana" w:cs="Times New Roman"/>
      <w:sz w:val="24"/>
      <w:szCs w:val="24"/>
      <w:lang w:eastAsia="es-CR"/>
    </w:rPr>
  </w:style>
  <w:style w:type="character" w:customStyle="1" w:styleId="Hipervnculo1">
    <w:name w:val="Hipervínculo1"/>
    <w:basedOn w:val="Fuentedeprrafopredeter"/>
    <w:uiPriority w:val="99"/>
    <w:unhideWhenUsed/>
    <w:rsid w:val="00D534AF"/>
    <w:rPr>
      <w:color w:val="0000FF"/>
      <w:u w:val="single"/>
    </w:rPr>
  </w:style>
  <w:style w:type="character" w:customStyle="1" w:styleId="Ttulo6Car">
    <w:name w:val="Título 6 Car"/>
    <w:basedOn w:val="Fuentedeprrafopredeter"/>
    <w:link w:val="Ttulo6"/>
    <w:uiPriority w:val="9"/>
    <w:rsid w:val="00E3447E"/>
    <w:rPr>
      <w:rFonts w:ascii="Verdana" w:eastAsia="Times New Roman" w:hAnsi="Verdana" w:cs="Times New Roman"/>
      <w:spacing w:val="-2"/>
      <w:sz w:val="20"/>
      <w:szCs w:val="20"/>
      <w:lang w:val="es-ES_tradnl" w:eastAsia="es-CR"/>
    </w:rPr>
  </w:style>
  <w:style w:type="character" w:customStyle="1" w:styleId="Caracteresdenotafinal">
    <w:name w:val="Caracteres de nota final"/>
    <w:rsid w:val="00E3447E"/>
    <w:rPr>
      <w:vertAlign w:val="superscript"/>
    </w:rPr>
  </w:style>
  <w:style w:type="character" w:customStyle="1" w:styleId="Ttulo5Car">
    <w:name w:val="Título 5 Car"/>
    <w:basedOn w:val="Fuentedeprrafopredeter"/>
    <w:link w:val="Ttulo5"/>
    <w:uiPriority w:val="9"/>
    <w:rsid w:val="00E3447E"/>
    <w:rPr>
      <w:rFonts w:asciiTheme="majorHAnsi" w:eastAsiaTheme="majorEastAsia" w:hAnsiTheme="majorHAnsi" w:cstheme="majorBidi"/>
      <w:color w:val="243F60" w:themeColor="accent1" w:themeShade="7F"/>
      <w:sz w:val="24"/>
      <w:szCs w:val="24"/>
      <w:lang w:eastAsia="es-CR"/>
    </w:rPr>
  </w:style>
  <w:style w:type="character" w:styleId="Nmerodepgina">
    <w:name w:val="page number"/>
    <w:basedOn w:val="Fuentedeprrafopredeter"/>
    <w:uiPriority w:val="99"/>
    <w:semiHidden/>
    <w:unhideWhenUsed/>
    <w:rsid w:val="00011543"/>
  </w:style>
  <w:style w:type="paragraph" w:styleId="Ttulo">
    <w:name w:val="Title"/>
    <w:basedOn w:val="Normal"/>
    <w:next w:val="Normal"/>
    <w:link w:val="TtuloCar"/>
    <w:autoRedefine/>
    <w:uiPriority w:val="10"/>
    <w:qFormat/>
    <w:rsid w:val="00F322EC"/>
    <w:pPr>
      <w:contextualSpacing/>
      <w:jc w:val="center"/>
    </w:pPr>
    <w:rPr>
      <w:rFonts w:eastAsiaTheme="majorEastAsia" w:cstheme="majorBidi"/>
      <w:b/>
      <w:snapToGrid w:val="0"/>
      <w:kern w:val="28"/>
      <w:sz w:val="20"/>
      <w:szCs w:val="52"/>
      <w:lang w:val="en-US"/>
    </w:rPr>
  </w:style>
  <w:style w:type="character" w:customStyle="1" w:styleId="TtuloCar">
    <w:name w:val="Título Car"/>
    <w:basedOn w:val="Fuentedeprrafopredeter"/>
    <w:link w:val="Ttulo"/>
    <w:uiPriority w:val="10"/>
    <w:rsid w:val="00F322EC"/>
    <w:rPr>
      <w:rFonts w:ascii="Verdana" w:eastAsiaTheme="majorEastAsia" w:hAnsi="Verdana" w:cstheme="majorBidi"/>
      <w:b/>
      <w:snapToGrid w:val="0"/>
      <w:kern w:val="28"/>
      <w:sz w:val="20"/>
      <w:szCs w:val="52"/>
      <w:lang w:val="en-US" w:eastAsia="es-CR"/>
    </w:rPr>
  </w:style>
  <w:style w:type="paragraph" w:customStyle="1" w:styleId="Estilo1">
    <w:name w:val="Estilo1"/>
    <w:basedOn w:val="Normal"/>
    <w:link w:val="Estilo1Car"/>
    <w:qFormat/>
    <w:rsid w:val="004D7E7A"/>
    <w:pPr>
      <w:spacing w:after="120"/>
      <w:ind w:left="2018" w:right="6" w:hanging="180"/>
    </w:pPr>
    <w:rPr>
      <w:rFonts w:eastAsia="Batang" w:cs="Times"/>
      <w:i/>
      <w:sz w:val="20"/>
      <w:lang w:val="es-ES" w:eastAsia="en-US"/>
    </w:rPr>
  </w:style>
  <w:style w:type="character" w:customStyle="1" w:styleId="Estilo1Car">
    <w:name w:val="Estilo1 Car"/>
    <w:basedOn w:val="Fuentedeprrafopredeter"/>
    <w:link w:val="Estilo1"/>
    <w:rsid w:val="004D7E7A"/>
    <w:rPr>
      <w:rFonts w:ascii="Verdana" w:eastAsia="Batang" w:hAnsi="Verdana" w:cs="Times"/>
      <w:i/>
      <w:sz w:val="20"/>
      <w:szCs w:val="24"/>
      <w:lang w:val="es-ES"/>
    </w:rPr>
  </w:style>
  <w:style w:type="paragraph" w:styleId="Sinespaciado">
    <w:name w:val="No Spacing"/>
    <w:link w:val="SinespaciadoCar"/>
    <w:uiPriority w:val="1"/>
    <w:qFormat/>
    <w:rsid w:val="000214BA"/>
    <w:rPr>
      <w:rFonts w:eastAsiaTheme="minorEastAsia"/>
      <w:lang w:val="en-US" w:eastAsia="ja-JP"/>
    </w:rPr>
  </w:style>
  <w:style w:type="character" w:customStyle="1" w:styleId="SinespaciadoCar">
    <w:name w:val="Sin espaciado Car"/>
    <w:basedOn w:val="Fuentedeprrafopredeter"/>
    <w:link w:val="Sinespaciado"/>
    <w:uiPriority w:val="1"/>
    <w:rsid w:val="000214BA"/>
    <w:rPr>
      <w:rFonts w:eastAsiaTheme="minorEastAsia"/>
      <w:lang w:val="en-US" w:eastAsia="ja-JP"/>
    </w:rPr>
  </w:style>
  <w:style w:type="paragraph" w:styleId="Textoindependiente">
    <w:name w:val="Body Text"/>
    <w:basedOn w:val="Normal"/>
    <w:link w:val="TextoindependienteCar"/>
    <w:uiPriority w:val="99"/>
    <w:unhideWhenUsed/>
    <w:rsid w:val="000214BA"/>
    <w:pPr>
      <w:spacing w:after="120"/>
    </w:pPr>
  </w:style>
  <w:style w:type="character" w:customStyle="1" w:styleId="TextoindependienteCar">
    <w:name w:val="Texto independiente Car"/>
    <w:basedOn w:val="Fuentedeprrafopredeter"/>
    <w:link w:val="Textoindependiente"/>
    <w:uiPriority w:val="99"/>
    <w:rsid w:val="000214BA"/>
    <w:rPr>
      <w:rFonts w:ascii="Verdana" w:eastAsia="Times New Roman" w:hAnsi="Verdana" w:cs="Times New Roman"/>
      <w:sz w:val="24"/>
      <w:szCs w:val="24"/>
      <w:lang w:eastAsia="es-CR"/>
    </w:rPr>
  </w:style>
  <w:style w:type="character" w:customStyle="1" w:styleId="Smbolodenotaalpie">
    <w:name w:val="Símbolo de nota al pie"/>
    <w:rsid w:val="00E67349"/>
    <w:rPr>
      <w:rFonts w:ascii="Times New Roman" w:hAnsi="Times New Roman" w:cs="Times New Roman" w:hint="default"/>
      <w:szCs w:val="20"/>
      <w:vertAlign w:val="superscript"/>
    </w:rPr>
  </w:style>
  <w:style w:type="paragraph" w:customStyle="1" w:styleId="ju-005fpara">
    <w:name w:val="ju-005fpara"/>
    <w:basedOn w:val="Normal"/>
    <w:rsid w:val="00E67349"/>
    <w:pPr>
      <w:spacing w:before="100" w:beforeAutospacing="1" w:after="100" w:afterAutospacing="1"/>
      <w:jc w:val="left"/>
    </w:pPr>
    <w:rPr>
      <w:rFonts w:ascii="Times New Roman" w:hAnsi="Times New Roman"/>
      <w:lang w:val="es-ES" w:eastAsia="es-ES"/>
    </w:rPr>
  </w:style>
  <w:style w:type="character" w:customStyle="1" w:styleId="normal--char">
    <w:name w:val="normal--char"/>
    <w:basedOn w:val="Fuentedeprrafopredeter"/>
    <w:uiPriority w:val="99"/>
    <w:rsid w:val="00E67349"/>
  </w:style>
  <w:style w:type="character" w:customStyle="1" w:styleId="ju-005fpara--char">
    <w:name w:val="ju-005fpara--char"/>
    <w:basedOn w:val="Fuentedeprrafopredeter"/>
    <w:rsid w:val="00E67349"/>
  </w:style>
  <w:style w:type="numbering" w:customStyle="1" w:styleId="NoList2">
    <w:name w:val="No List2"/>
    <w:next w:val="Sinlista"/>
    <w:uiPriority w:val="99"/>
    <w:semiHidden/>
    <w:unhideWhenUsed/>
    <w:rsid w:val="006B2A4D"/>
  </w:style>
  <w:style w:type="paragraph" w:styleId="Revisin">
    <w:name w:val="Revision"/>
    <w:hidden/>
    <w:uiPriority w:val="99"/>
    <w:semiHidden/>
    <w:rsid w:val="006B2A4D"/>
    <w:rPr>
      <w:rFonts w:ascii="Verdana" w:eastAsia="Times New Roman" w:hAnsi="Verdana" w:cs="Times New Roman"/>
      <w:sz w:val="20"/>
      <w:szCs w:val="20"/>
      <w:lang w:val="es-ES"/>
    </w:rPr>
  </w:style>
  <w:style w:type="numbering" w:customStyle="1" w:styleId="NoList3">
    <w:name w:val="No List3"/>
    <w:next w:val="Sinlista"/>
    <w:uiPriority w:val="99"/>
    <w:semiHidden/>
    <w:unhideWhenUsed/>
    <w:rsid w:val="002570D1"/>
  </w:style>
  <w:style w:type="character" w:customStyle="1" w:styleId="CommentTextChar1">
    <w:name w:val="Comment Text Char1"/>
    <w:basedOn w:val="Fuentedeprrafopredeter"/>
    <w:uiPriority w:val="99"/>
    <w:semiHidden/>
    <w:rsid w:val="002570D1"/>
    <w:rPr>
      <w:rFonts w:ascii="Times New Roman" w:eastAsia="Calibri" w:hAnsi="Times New Roman" w:cs="Times New Roman"/>
      <w:sz w:val="20"/>
      <w:szCs w:val="20"/>
      <w:lang w:val="es-ES_tradnl"/>
    </w:rPr>
  </w:style>
  <w:style w:type="character" w:customStyle="1" w:styleId="BalloonTextChar1">
    <w:name w:val="Balloon Text Char1"/>
    <w:basedOn w:val="Fuentedeprrafopredeter"/>
    <w:uiPriority w:val="99"/>
    <w:semiHidden/>
    <w:rsid w:val="002570D1"/>
    <w:rPr>
      <w:rFonts w:ascii="Tahoma" w:eastAsia="Calibri" w:hAnsi="Tahoma" w:cs="Tahoma"/>
      <w:sz w:val="16"/>
      <w:szCs w:val="16"/>
      <w:lang w:val="es-ES_tradnl"/>
    </w:rPr>
  </w:style>
  <w:style w:type="paragraph" w:customStyle="1" w:styleId="Footnotes">
    <w:name w:val="**. Footnotes"/>
    <w:basedOn w:val="Textonotapie"/>
    <w:link w:val="FootnotesChar"/>
    <w:autoRedefine/>
    <w:qFormat/>
    <w:rsid w:val="002570D1"/>
    <w:pPr>
      <w:widowControl w:val="0"/>
      <w:tabs>
        <w:tab w:val="left" w:pos="567"/>
      </w:tabs>
      <w:spacing w:before="120" w:after="40"/>
    </w:pPr>
    <w:rPr>
      <w:rFonts w:eastAsia="Batang" w:cs="Palatino-Italic"/>
      <w:iCs/>
      <w:sz w:val="16"/>
      <w:szCs w:val="16"/>
      <w:lang w:val="en-US" w:eastAsia="en-US"/>
    </w:rPr>
  </w:style>
  <w:style w:type="character" w:customStyle="1" w:styleId="FootnotesChar">
    <w:name w:val="**. Footnotes Char"/>
    <w:basedOn w:val="Fuentedeprrafopredeter"/>
    <w:link w:val="Footnotes"/>
    <w:rsid w:val="002570D1"/>
    <w:rPr>
      <w:rFonts w:ascii="Verdana" w:eastAsia="Batang" w:hAnsi="Verdana" w:cs="Palatino-Italic"/>
      <w:iCs/>
      <w:sz w:val="16"/>
      <w:szCs w:val="16"/>
      <w:lang w:val="en-US"/>
    </w:rPr>
  </w:style>
  <w:style w:type="character" w:customStyle="1" w:styleId="Ttulo10">
    <w:name w:val="Título1"/>
    <w:basedOn w:val="Fuentedeprrafopredeter"/>
    <w:rsid w:val="002570D1"/>
  </w:style>
  <w:style w:type="character" w:customStyle="1" w:styleId="PrrafodeSentenciaChar">
    <w:name w:val="*. Párrafo de Sentencia Char"/>
    <w:link w:val="PrrafodeSentencia"/>
    <w:rsid w:val="002570D1"/>
    <w:rPr>
      <w:rFonts w:ascii="Verdana" w:eastAsia="Times New Roman" w:hAnsi="Verdana" w:cs="Times New Roman"/>
      <w:bCs/>
      <w:noProof/>
      <w:sz w:val="20"/>
      <w:szCs w:val="20"/>
      <w:lang w:val="es-ES_tradnl" w:eastAsia="es-ES"/>
    </w:rPr>
  </w:style>
  <w:style w:type="character" w:customStyle="1" w:styleId="hps">
    <w:name w:val="hps"/>
    <w:basedOn w:val="Fuentedeprrafopredeter"/>
    <w:rsid w:val="002570D1"/>
  </w:style>
  <w:style w:type="paragraph" w:customStyle="1" w:styleId="2Footnotes">
    <w:name w:val="2. Footnotes"/>
    <w:basedOn w:val="Textonotapie"/>
    <w:link w:val="2FootnotesChar"/>
    <w:autoRedefine/>
    <w:qFormat/>
    <w:rsid w:val="002570D1"/>
    <w:pPr>
      <w:widowControl w:val="0"/>
      <w:spacing w:before="120" w:after="40"/>
    </w:pPr>
    <w:rPr>
      <w:rFonts w:cs="Palatino-Italic"/>
      <w:iCs/>
      <w:noProof/>
      <w:sz w:val="16"/>
      <w:szCs w:val="18"/>
      <w:lang w:val="en-US" w:eastAsia="en-US"/>
    </w:rPr>
  </w:style>
  <w:style w:type="character" w:customStyle="1" w:styleId="2FootnotesChar">
    <w:name w:val="2. Footnotes Char"/>
    <w:link w:val="2Footnotes"/>
    <w:rsid w:val="002570D1"/>
    <w:rPr>
      <w:rFonts w:ascii="Verdana" w:eastAsia="Times New Roman" w:hAnsi="Verdana" w:cs="Palatino-Italic"/>
      <w:iCs/>
      <w:noProof/>
      <w:sz w:val="16"/>
      <w:szCs w:val="18"/>
      <w:lang w:val="en-US"/>
    </w:rPr>
  </w:style>
  <w:style w:type="paragraph" w:customStyle="1" w:styleId="xmsonormal">
    <w:name w:val="x_msonormal"/>
    <w:basedOn w:val="Normal"/>
    <w:rsid w:val="002570D1"/>
    <w:pPr>
      <w:spacing w:before="100" w:beforeAutospacing="1" w:after="100" w:afterAutospacing="1"/>
      <w:jc w:val="left"/>
    </w:pPr>
    <w:rPr>
      <w:rFonts w:ascii="Times New Roman" w:hAnsi="Times New Roman"/>
      <w:lang w:val="en-US" w:eastAsia="en-US"/>
    </w:rPr>
  </w:style>
  <w:style w:type="paragraph" w:customStyle="1" w:styleId="HChG">
    <w:name w:val="_ H _Ch_G"/>
    <w:basedOn w:val="Normal"/>
    <w:next w:val="Normal"/>
    <w:rsid w:val="002570D1"/>
    <w:pPr>
      <w:keepNext/>
      <w:keepLines/>
      <w:tabs>
        <w:tab w:val="right" w:pos="851"/>
      </w:tabs>
      <w:suppressAutoHyphens/>
      <w:spacing w:before="360" w:after="240" w:line="300" w:lineRule="exact"/>
      <w:ind w:left="1134" w:right="1134" w:hanging="1134"/>
      <w:jc w:val="left"/>
    </w:pPr>
    <w:rPr>
      <w:rFonts w:ascii="Times New Roman" w:hAnsi="Times New Roman"/>
      <w:b/>
      <w:sz w:val="28"/>
      <w:szCs w:val="20"/>
      <w:lang w:val="es-ES" w:eastAsia="es-ES"/>
    </w:rPr>
  </w:style>
  <w:style w:type="paragraph" w:customStyle="1" w:styleId="H1G">
    <w:name w:val="_ H_1_G"/>
    <w:basedOn w:val="Normal"/>
    <w:next w:val="Normal"/>
    <w:rsid w:val="002570D1"/>
    <w:pPr>
      <w:keepNext/>
      <w:keepLines/>
      <w:tabs>
        <w:tab w:val="right" w:pos="851"/>
      </w:tabs>
      <w:suppressAutoHyphens/>
      <w:spacing w:before="360" w:after="240" w:line="270" w:lineRule="exact"/>
      <w:ind w:left="1134" w:right="1134" w:hanging="1134"/>
      <w:jc w:val="left"/>
    </w:pPr>
    <w:rPr>
      <w:rFonts w:ascii="Times New Roman" w:hAnsi="Times New Roman"/>
      <w:b/>
      <w:szCs w:val="20"/>
      <w:lang w:val="es-ES"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ﬂnotentext Car1,Ca Car,C Car"/>
    <w:basedOn w:val="Fuentedeprrafopredeter"/>
    <w:uiPriority w:val="99"/>
    <w:qFormat/>
    <w:locked/>
    <w:rsid w:val="002570D1"/>
    <w:rPr>
      <w:rFonts w:ascii="Verdana" w:eastAsia="MS Mincho" w:hAnsi="Verdana" w:cs="Times"/>
      <w:sz w:val="16"/>
      <w:szCs w:val="24"/>
      <w:lang w:val="es-ES_tradnl"/>
    </w:rPr>
  </w:style>
  <w:style w:type="character" w:customStyle="1" w:styleId="BodyTextIndentChar1">
    <w:name w:val="Body Text Indent Char1"/>
    <w:basedOn w:val="Fuentedeprrafopredeter"/>
    <w:uiPriority w:val="99"/>
    <w:semiHidden/>
    <w:rsid w:val="002570D1"/>
    <w:rPr>
      <w:rFonts w:ascii="Times New Roman" w:eastAsia="Calibri" w:hAnsi="Times New Roman" w:cs="Times New Roman"/>
      <w:sz w:val="24"/>
      <w:szCs w:val="24"/>
      <w:lang w:val="es-ES_tradnl"/>
    </w:rPr>
  </w:style>
  <w:style w:type="character" w:customStyle="1" w:styleId="Estilo1Char">
    <w:name w:val="Estilo1 Char"/>
    <w:rsid w:val="002570D1"/>
    <w:rPr>
      <w:rFonts w:ascii="Verdana" w:eastAsia="Calibri" w:hAnsi="Verdana" w:cs="Times New Roman"/>
      <w:sz w:val="20"/>
      <w:szCs w:val="20"/>
      <w:lang w:val="es-ES"/>
    </w:rPr>
  </w:style>
  <w:style w:type="paragraph" w:customStyle="1" w:styleId="Estilo2">
    <w:name w:val="Estilo2"/>
    <w:basedOn w:val="Normal"/>
    <w:qFormat/>
    <w:rsid w:val="002570D1"/>
    <w:pPr>
      <w:tabs>
        <w:tab w:val="left" w:pos="567"/>
        <w:tab w:val="left" w:pos="1134"/>
        <w:tab w:val="num" w:pos="4767"/>
      </w:tabs>
      <w:spacing w:after="120"/>
      <w:ind w:left="4767" w:hanging="360"/>
    </w:pPr>
    <w:rPr>
      <w:rFonts w:eastAsia="Calibri"/>
      <w:sz w:val="20"/>
      <w:szCs w:val="20"/>
      <w:lang w:val="es-ES" w:eastAsia="en-US"/>
    </w:rPr>
  </w:style>
  <w:style w:type="paragraph" w:styleId="Sangra3detindependiente">
    <w:name w:val="Body Text Indent 3"/>
    <w:basedOn w:val="Normal"/>
    <w:link w:val="Sangra3detindependienteCar"/>
    <w:rsid w:val="002570D1"/>
    <w:pPr>
      <w:ind w:left="720"/>
    </w:pPr>
    <w:rPr>
      <w:rFonts w:eastAsia="Times"/>
      <w:b/>
      <w:sz w:val="22"/>
      <w:szCs w:val="20"/>
      <w:lang w:val="es-ES_tradnl" w:eastAsia="es-ES"/>
    </w:rPr>
  </w:style>
  <w:style w:type="character" w:customStyle="1" w:styleId="Sangra3detindependienteCar">
    <w:name w:val="Sangría 3 de t. independiente Car"/>
    <w:basedOn w:val="Fuentedeprrafopredeter"/>
    <w:link w:val="Sangra3detindependiente"/>
    <w:rsid w:val="002570D1"/>
    <w:rPr>
      <w:rFonts w:ascii="Verdana" w:eastAsia="Times" w:hAnsi="Verdana" w:cs="Times New Roman"/>
      <w:b/>
      <w:szCs w:val="20"/>
      <w:lang w:val="es-ES_tradnl" w:eastAsia="es-ES"/>
    </w:rPr>
  </w:style>
  <w:style w:type="paragraph" w:customStyle="1" w:styleId="Estilo7">
    <w:name w:val="Estilo7"/>
    <w:basedOn w:val="Normal"/>
    <w:qFormat/>
    <w:rsid w:val="002570D1"/>
    <w:pPr>
      <w:tabs>
        <w:tab w:val="left" w:pos="567"/>
        <w:tab w:val="left" w:pos="851"/>
        <w:tab w:val="num" w:pos="2160"/>
      </w:tabs>
      <w:spacing w:before="120" w:after="120"/>
      <w:ind w:left="2160" w:hanging="180"/>
    </w:pPr>
    <w:rPr>
      <w:rFonts w:eastAsia="Batang"/>
      <w:b/>
      <w:i/>
      <w:sz w:val="20"/>
      <w:szCs w:val="20"/>
      <w:lang w:val="es-ES_tradnl" w:eastAsia="es-MX"/>
    </w:rPr>
  </w:style>
  <w:style w:type="paragraph" w:customStyle="1" w:styleId="Sangradetindependiente">
    <w:name w:val="Sangr’a de t. independiente"/>
    <w:basedOn w:val="Normal"/>
    <w:rsid w:val="002570D1"/>
    <w:pPr>
      <w:overflowPunct w:val="0"/>
      <w:autoSpaceDE w:val="0"/>
      <w:autoSpaceDN w:val="0"/>
      <w:adjustRightInd w:val="0"/>
      <w:textAlignment w:val="baseline"/>
    </w:pPr>
    <w:rPr>
      <w:rFonts w:ascii="Times New Roman" w:hAnsi="Times New Roman"/>
      <w:szCs w:val="20"/>
      <w:lang w:val="es-ES_tradnl" w:eastAsia="es-ES"/>
    </w:rPr>
  </w:style>
  <w:style w:type="character" w:customStyle="1" w:styleId="normalchar1">
    <w:name w:val="normal__char1"/>
    <w:basedOn w:val="Fuentedeprrafopredeter"/>
    <w:rsid w:val="002570D1"/>
    <w:rPr>
      <w:rFonts w:ascii="Verdana" w:hAnsi="Verdana" w:hint="default"/>
      <w:sz w:val="20"/>
      <w:szCs w:val="20"/>
    </w:rPr>
  </w:style>
  <w:style w:type="character" w:customStyle="1" w:styleId="FootnoteTextCharCar">
    <w:name w:val="Footnote Text Char Car"/>
    <w:aliases w:val="FA Car,Note de bas de page Car Car Car"/>
    <w:basedOn w:val="Fuentedeprrafopredeter"/>
    <w:uiPriority w:val="99"/>
    <w:locked/>
    <w:rsid w:val="002570D1"/>
  </w:style>
  <w:style w:type="character" w:customStyle="1" w:styleId="st1">
    <w:name w:val="st1"/>
    <w:basedOn w:val="Fuentedeprrafopredeter"/>
    <w:rsid w:val="002570D1"/>
  </w:style>
  <w:style w:type="paragraph" w:customStyle="1" w:styleId="NormalNumbered">
    <w:name w:val="Normal Numbered"/>
    <w:basedOn w:val="Normal"/>
    <w:qFormat/>
    <w:rsid w:val="002570D1"/>
    <w:pPr>
      <w:numPr>
        <w:numId w:val="14"/>
      </w:numPr>
      <w:ind w:left="0" w:firstLine="0"/>
    </w:pPr>
    <w:rPr>
      <w:sz w:val="20"/>
      <w:szCs w:val="20"/>
      <w:lang w:val="x-none" w:eastAsia="x-none"/>
    </w:rPr>
  </w:style>
  <w:style w:type="numbering" w:customStyle="1" w:styleId="NoList11">
    <w:name w:val="No List11"/>
    <w:next w:val="Sinlista"/>
    <w:uiPriority w:val="99"/>
    <w:semiHidden/>
    <w:unhideWhenUsed/>
    <w:rsid w:val="002570D1"/>
  </w:style>
  <w:style w:type="paragraph" w:customStyle="1" w:styleId="ju-005fpara-002cleft-002cfirst-0020line-003a-0020-00200-0020cm">
    <w:name w:val="ju-005fpara-002cleft-002cfirst-0020line-003a-0020-00200-0020cm"/>
    <w:basedOn w:val="Normal"/>
    <w:rsid w:val="002570D1"/>
    <w:pPr>
      <w:spacing w:after="135"/>
      <w:jc w:val="left"/>
    </w:pPr>
    <w:rPr>
      <w:rFonts w:ascii="Times New Roman" w:hAnsi="Times New Roman"/>
      <w:lang w:val="es-MX" w:eastAsia="es-MX"/>
    </w:rPr>
  </w:style>
  <w:style w:type="character" w:customStyle="1" w:styleId="ju-005fpara-002cleft-002cfirst-0020line-003a-0020-00200-0020cm--char">
    <w:name w:val="ju-005fpara-002cleft-002cfirst-0020line-003a-0020-00200-0020cm--char"/>
    <w:rsid w:val="002570D1"/>
  </w:style>
  <w:style w:type="character" w:customStyle="1" w:styleId="PrrafodelistaCar1">
    <w:name w:val="Párrafo de lista Car1"/>
    <w:basedOn w:val="Fuentedeprrafopredeter"/>
    <w:uiPriority w:val="99"/>
    <w:locked/>
    <w:rsid w:val="002570D1"/>
    <w:rPr>
      <w:rFonts w:ascii="Verdana" w:hAnsi="Verdana" w:cs="Verdana"/>
      <w:lang w:eastAsia="en-US"/>
    </w:rPr>
  </w:style>
  <w:style w:type="character" w:customStyle="1" w:styleId="TextocomentarioCar1">
    <w:name w:val="Texto comentario Car1"/>
    <w:basedOn w:val="Fuentedeprrafopredeter"/>
    <w:uiPriority w:val="99"/>
    <w:semiHidden/>
    <w:rsid w:val="002570D1"/>
    <w:rPr>
      <w:sz w:val="20"/>
      <w:szCs w:val="20"/>
    </w:rPr>
  </w:style>
  <w:style w:type="paragraph" w:customStyle="1" w:styleId="Body1">
    <w:name w:val="Body 1"/>
    <w:link w:val="Body1Char"/>
    <w:rsid w:val="002570D1"/>
    <w:pPr>
      <w:spacing w:after="200" w:line="276" w:lineRule="auto"/>
      <w:jc w:val="left"/>
      <w:outlineLvl w:val="0"/>
    </w:pPr>
    <w:rPr>
      <w:rFonts w:ascii="Helvetica" w:eastAsia="ヒラギノ角ゴ Pro W3" w:hAnsi="Helvetica" w:cs="Times New Roman"/>
      <w:color w:val="000000"/>
      <w:szCs w:val="20"/>
      <w:lang w:val="en-US" w:eastAsia="es-CR"/>
    </w:rPr>
  </w:style>
  <w:style w:type="character" w:customStyle="1" w:styleId="Body1Char">
    <w:name w:val="Body 1 Char"/>
    <w:link w:val="Body1"/>
    <w:rsid w:val="002570D1"/>
    <w:rPr>
      <w:rFonts w:ascii="Helvetica" w:eastAsia="ヒラギノ角ゴ Pro W3" w:hAnsi="Helvetica" w:cs="Times New Roman"/>
      <w:color w:val="000000"/>
      <w:szCs w:val="20"/>
      <w:lang w:val="en-US" w:eastAsia="es-CR"/>
    </w:rPr>
  </w:style>
  <w:style w:type="paragraph" w:customStyle="1" w:styleId="style11">
    <w:name w:val="style11"/>
    <w:basedOn w:val="Normal"/>
    <w:rsid w:val="002570D1"/>
    <w:pPr>
      <w:spacing w:before="192" w:after="192"/>
      <w:ind w:left="120" w:right="144"/>
    </w:pPr>
    <w:rPr>
      <w:rFonts w:ascii="Times New Roman" w:hAnsi="Times New Roman"/>
      <w:lang w:val="es-MX" w:eastAsia="es-MX"/>
    </w:rPr>
  </w:style>
  <w:style w:type="paragraph" w:styleId="Subttulo">
    <w:name w:val="Subtitle"/>
    <w:basedOn w:val="Normal"/>
    <w:next w:val="Normal"/>
    <w:link w:val="SubttuloCar"/>
    <w:uiPriority w:val="11"/>
    <w:qFormat/>
    <w:rsid w:val="002570D1"/>
    <w:pPr>
      <w:numPr>
        <w:ilvl w:val="1"/>
      </w:numPr>
      <w:spacing w:after="160"/>
      <w:jc w:val="left"/>
    </w:pPr>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SubttuloCar">
    <w:name w:val="Subtítulo Car"/>
    <w:basedOn w:val="Fuentedeprrafopredeter"/>
    <w:link w:val="Subttulo"/>
    <w:uiPriority w:val="11"/>
    <w:rsid w:val="002570D1"/>
    <w:rPr>
      <w:rFonts w:eastAsiaTheme="minorEastAsia"/>
      <w:color w:val="5A5A5A" w:themeColor="text1" w:themeTint="A5"/>
      <w:spacing w:val="15"/>
      <w:lang w:val="es-ES_tradnl"/>
    </w:rPr>
  </w:style>
  <w:style w:type="character" w:styleId="Mencinsinresolver">
    <w:name w:val="Unresolved Mention"/>
    <w:basedOn w:val="Fuentedeprrafopredeter"/>
    <w:uiPriority w:val="99"/>
    <w:semiHidden/>
    <w:unhideWhenUsed/>
    <w:rsid w:val="00211D81"/>
    <w:rPr>
      <w:color w:val="605E5C"/>
      <w:shd w:val="clear" w:color="auto" w:fill="E1DFDD"/>
    </w:rPr>
  </w:style>
  <w:style w:type="character" w:customStyle="1" w:styleId="st">
    <w:name w:val="st"/>
    <w:basedOn w:val="Fuentedeprrafopredeter"/>
    <w:rsid w:val="00D17426"/>
  </w:style>
  <w:style w:type="character" w:customStyle="1" w:styleId="highlight">
    <w:name w:val="highlight"/>
    <w:basedOn w:val="Fuentedeprrafopredeter"/>
    <w:rsid w:val="00537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3350">
      <w:bodyDiv w:val="1"/>
      <w:marLeft w:val="0"/>
      <w:marRight w:val="0"/>
      <w:marTop w:val="0"/>
      <w:marBottom w:val="0"/>
      <w:divBdr>
        <w:top w:val="none" w:sz="0" w:space="0" w:color="auto"/>
        <w:left w:val="none" w:sz="0" w:space="0" w:color="auto"/>
        <w:bottom w:val="none" w:sz="0" w:space="0" w:color="auto"/>
        <w:right w:val="none" w:sz="0" w:space="0" w:color="auto"/>
      </w:divBdr>
    </w:div>
    <w:div w:id="70860996">
      <w:bodyDiv w:val="1"/>
      <w:marLeft w:val="0"/>
      <w:marRight w:val="0"/>
      <w:marTop w:val="0"/>
      <w:marBottom w:val="0"/>
      <w:divBdr>
        <w:top w:val="none" w:sz="0" w:space="0" w:color="auto"/>
        <w:left w:val="none" w:sz="0" w:space="0" w:color="auto"/>
        <w:bottom w:val="none" w:sz="0" w:space="0" w:color="auto"/>
        <w:right w:val="none" w:sz="0" w:space="0" w:color="auto"/>
      </w:divBdr>
    </w:div>
    <w:div w:id="123475629">
      <w:bodyDiv w:val="1"/>
      <w:marLeft w:val="0"/>
      <w:marRight w:val="0"/>
      <w:marTop w:val="0"/>
      <w:marBottom w:val="0"/>
      <w:divBdr>
        <w:top w:val="none" w:sz="0" w:space="0" w:color="auto"/>
        <w:left w:val="none" w:sz="0" w:space="0" w:color="auto"/>
        <w:bottom w:val="none" w:sz="0" w:space="0" w:color="auto"/>
        <w:right w:val="none" w:sz="0" w:space="0" w:color="auto"/>
      </w:divBdr>
    </w:div>
    <w:div w:id="183641365">
      <w:bodyDiv w:val="1"/>
      <w:marLeft w:val="0"/>
      <w:marRight w:val="0"/>
      <w:marTop w:val="0"/>
      <w:marBottom w:val="0"/>
      <w:divBdr>
        <w:top w:val="none" w:sz="0" w:space="0" w:color="auto"/>
        <w:left w:val="none" w:sz="0" w:space="0" w:color="auto"/>
        <w:bottom w:val="none" w:sz="0" w:space="0" w:color="auto"/>
        <w:right w:val="none" w:sz="0" w:space="0" w:color="auto"/>
      </w:divBdr>
    </w:div>
    <w:div w:id="210265953">
      <w:bodyDiv w:val="1"/>
      <w:marLeft w:val="0"/>
      <w:marRight w:val="0"/>
      <w:marTop w:val="0"/>
      <w:marBottom w:val="0"/>
      <w:divBdr>
        <w:top w:val="none" w:sz="0" w:space="0" w:color="auto"/>
        <w:left w:val="none" w:sz="0" w:space="0" w:color="auto"/>
        <w:bottom w:val="none" w:sz="0" w:space="0" w:color="auto"/>
        <w:right w:val="none" w:sz="0" w:space="0" w:color="auto"/>
      </w:divBdr>
    </w:div>
    <w:div w:id="228080537">
      <w:bodyDiv w:val="1"/>
      <w:marLeft w:val="0"/>
      <w:marRight w:val="0"/>
      <w:marTop w:val="0"/>
      <w:marBottom w:val="0"/>
      <w:divBdr>
        <w:top w:val="none" w:sz="0" w:space="0" w:color="auto"/>
        <w:left w:val="none" w:sz="0" w:space="0" w:color="auto"/>
        <w:bottom w:val="none" w:sz="0" w:space="0" w:color="auto"/>
        <w:right w:val="none" w:sz="0" w:space="0" w:color="auto"/>
      </w:divBdr>
    </w:div>
    <w:div w:id="265693091">
      <w:bodyDiv w:val="1"/>
      <w:marLeft w:val="0"/>
      <w:marRight w:val="0"/>
      <w:marTop w:val="0"/>
      <w:marBottom w:val="0"/>
      <w:divBdr>
        <w:top w:val="none" w:sz="0" w:space="0" w:color="auto"/>
        <w:left w:val="none" w:sz="0" w:space="0" w:color="auto"/>
        <w:bottom w:val="none" w:sz="0" w:space="0" w:color="auto"/>
        <w:right w:val="none" w:sz="0" w:space="0" w:color="auto"/>
      </w:divBdr>
    </w:div>
    <w:div w:id="346055597">
      <w:bodyDiv w:val="1"/>
      <w:marLeft w:val="0"/>
      <w:marRight w:val="0"/>
      <w:marTop w:val="0"/>
      <w:marBottom w:val="0"/>
      <w:divBdr>
        <w:top w:val="none" w:sz="0" w:space="0" w:color="auto"/>
        <w:left w:val="none" w:sz="0" w:space="0" w:color="auto"/>
        <w:bottom w:val="none" w:sz="0" w:space="0" w:color="auto"/>
        <w:right w:val="none" w:sz="0" w:space="0" w:color="auto"/>
      </w:divBdr>
      <w:divsChild>
        <w:div w:id="1780489099">
          <w:marLeft w:val="547"/>
          <w:marRight w:val="0"/>
          <w:marTop w:val="125"/>
          <w:marBottom w:val="0"/>
          <w:divBdr>
            <w:top w:val="none" w:sz="0" w:space="0" w:color="auto"/>
            <w:left w:val="none" w:sz="0" w:space="0" w:color="auto"/>
            <w:bottom w:val="none" w:sz="0" w:space="0" w:color="auto"/>
            <w:right w:val="none" w:sz="0" w:space="0" w:color="auto"/>
          </w:divBdr>
        </w:div>
        <w:div w:id="232393733">
          <w:marLeft w:val="547"/>
          <w:marRight w:val="0"/>
          <w:marTop w:val="125"/>
          <w:marBottom w:val="0"/>
          <w:divBdr>
            <w:top w:val="none" w:sz="0" w:space="0" w:color="auto"/>
            <w:left w:val="none" w:sz="0" w:space="0" w:color="auto"/>
            <w:bottom w:val="none" w:sz="0" w:space="0" w:color="auto"/>
            <w:right w:val="none" w:sz="0" w:space="0" w:color="auto"/>
          </w:divBdr>
        </w:div>
      </w:divsChild>
    </w:div>
    <w:div w:id="349140117">
      <w:bodyDiv w:val="1"/>
      <w:marLeft w:val="0"/>
      <w:marRight w:val="0"/>
      <w:marTop w:val="0"/>
      <w:marBottom w:val="0"/>
      <w:divBdr>
        <w:top w:val="none" w:sz="0" w:space="0" w:color="auto"/>
        <w:left w:val="none" w:sz="0" w:space="0" w:color="auto"/>
        <w:bottom w:val="none" w:sz="0" w:space="0" w:color="auto"/>
        <w:right w:val="none" w:sz="0" w:space="0" w:color="auto"/>
      </w:divBdr>
      <w:divsChild>
        <w:div w:id="1429081194">
          <w:marLeft w:val="0"/>
          <w:marRight w:val="0"/>
          <w:marTop w:val="0"/>
          <w:marBottom w:val="0"/>
          <w:divBdr>
            <w:top w:val="none" w:sz="0" w:space="0" w:color="auto"/>
            <w:left w:val="none" w:sz="0" w:space="0" w:color="auto"/>
            <w:bottom w:val="none" w:sz="0" w:space="0" w:color="auto"/>
            <w:right w:val="none" w:sz="0" w:space="0" w:color="auto"/>
          </w:divBdr>
          <w:divsChild>
            <w:div w:id="2021077975">
              <w:marLeft w:val="0"/>
              <w:marRight w:val="60"/>
              <w:marTop w:val="0"/>
              <w:marBottom w:val="0"/>
              <w:divBdr>
                <w:top w:val="none" w:sz="0" w:space="0" w:color="auto"/>
                <w:left w:val="none" w:sz="0" w:space="0" w:color="auto"/>
                <w:bottom w:val="none" w:sz="0" w:space="0" w:color="auto"/>
                <w:right w:val="none" w:sz="0" w:space="0" w:color="auto"/>
              </w:divBdr>
              <w:divsChild>
                <w:div w:id="1169172349">
                  <w:marLeft w:val="0"/>
                  <w:marRight w:val="0"/>
                  <w:marTop w:val="0"/>
                  <w:marBottom w:val="120"/>
                  <w:divBdr>
                    <w:top w:val="single" w:sz="6" w:space="0" w:color="C0C0C0"/>
                    <w:left w:val="single" w:sz="6" w:space="0" w:color="D9D9D9"/>
                    <w:bottom w:val="single" w:sz="6" w:space="0" w:color="D9D9D9"/>
                    <w:right w:val="single" w:sz="6" w:space="0" w:color="D9D9D9"/>
                  </w:divBdr>
                  <w:divsChild>
                    <w:div w:id="10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9240">
          <w:marLeft w:val="0"/>
          <w:marRight w:val="0"/>
          <w:marTop w:val="0"/>
          <w:marBottom w:val="0"/>
          <w:divBdr>
            <w:top w:val="none" w:sz="0" w:space="0" w:color="auto"/>
            <w:left w:val="none" w:sz="0" w:space="0" w:color="auto"/>
            <w:bottom w:val="none" w:sz="0" w:space="0" w:color="auto"/>
            <w:right w:val="none" w:sz="0" w:space="0" w:color="auto"/>
          </w:divBdr>
          <w:divsChild>
            <w:div w:id="9337766">
              <w:marLeft w:val="60"/>
              <w:marRight w:val="0"/>
              <w:marTop w:val="0"/>
              <w:marBottom w:val="0"/>
              <w:divBdr>
                <w:top w:val="none" w:sz="0" w:space="0" w:color="auto"/>
                <w:left w:val="none" w:sz="0" w:space="0" w:color="auto"/>
                <w:bottom w:val="none" w:sz="0" w:space="0" w:color="auto"/>
                <w:right w:val="none" w:sz="0" w:space="0" w:color="auto"/>
              </w:divBdr>
              <w:divsChild>
                <w:div w:id="896430872">
                  <w:marLeft w:val="0"/>
                  <w:marRight w:val="0"/>
                  <w:marTop w:val="0"/>
                  <w:marBottom w:val="0"/>
                  <w:divBdr>
                    <w:top w:val="none" w:sz="0" w:space="0" w:color="auto"/>
                    <w:left w:val="none" w:sz="0" w:space="0" w:color="auto"/>
                    <w:bottom w:val="none" w:sz="0" w:space="0" w:color="auto"/>
                    <w:right w:val="none" w:sz="0" w:space="0" w:color="auto"/>
                  </w:divBdr>
                  <w:divsChild>
                    <w:div w:id="1255674402">
                      <w:marLeft w:val="0"/>
                      <w:marRight w:val="0"/>
                      <w:marTop w:val="0"/>
                      <w:marBottom w:val="120"/>
                      <w:divBdr>
                        <w:top w:val="single" w:sz="6" w:space="0" w:color="F5F5F5"/>
                        <w:left w:val="single" w:sz="6" w:space="0" w:color="F5F5F5"/>
                        <w:bottom w:val="single" w:sz="6" w:space="0" w:color="F5F5F5"/>
                        <w:right w:val="single" w:sz="6" w:space="0" w:color="F5F5F5"/>
                      </w:divBdr>
                      <w:divsChild>
                        <w:div w:id="671491477">
                          <w:marLeft w:val="0"/>
                          <w:marRight w:val="0"/>
                          <w:marTop w:val="0"/>
                          <w:marBottom w:val="0"/>
                          <w:divBdr>
                            <w:top w:val="none" w:sz="0" w:space="0" w:color="auto"/>
                            <w:left w:val="none" w:sz="0" w:space="0" w:color="auto"/>
                            <w:bottom w:val="none" w:sz="0" w:space="0" w:color="auto"/>
                            <w:right w:val="none" w:sz="0" w:space="0" w:color="auto"/>
                          </w:divBdr>
                          <w:divsChild>
                            <w:div w:id="12238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69525">
      <w:bodyDiv w:val="1"/>
      <w:marLeft w:val="0"/>
      <w:marRight w:val="0"/>
      <w:marTop w:val="0"/>
      <w:marBottom w:val="0"/>
      <w:divBdr>
        <w:top w:val="none" w:sz="0" w:space="0" w:color="auto"/>
        <w:left w:val="none" w:sz="0" w:space="0" w:color="auto"/>
        <w:bottom w:val="none" w:sz="0" w:space="0" w:color="auto"/>
        <w:right w:val="none" w:sz="0" w:space="0" w:color="auto"/>
      </w:divBdr>
    </w:div>
    <w:div w:id="651444427">
      <w:bodyDiv w:val="1"/>
      <w:marLeft w:val="0"/>
      <w:marRight w:val="0"/>
      <w:marTop w:val="0"/>
      <w:marBottom w:val="0"/>
      <w:divBdr>
        <w:top w:val="none" w:sz="0" w:space="0" w:color="auto"/>
        <w:left w:val="none" w:sz="0" w:space="0" w:color="auto"/>
        <w:bottom w:val="none" w:sz="0" w:space="0" w:color="auto"/>
        <w:right w:val="none" w:sz="0" w:space="0" w:color="auto"/>
      </w:divBdr>
    </w:div>
    <w:div w:id="664433772">
      <w:bodyDiv w:val="1"/>
      <w:marLeft w:val="0"/>
      <w:marRight w:val="0"/>
      <w:marTop w:val="0"/>
      <w:marBottom w:val="0"/>
      <w:divBdr>
        <w:top w:val="none" w:sz="0" w:space="0" w:color="auto"/>
        <w:left w:val="none" w:sz="0" w:space="0" w:color="auto"/>
        <w:bottom w:val="none" w:sz="0" w:space="0" w:color="auto"/>
        <w:right w:val="none" w:sz="0" w:space="0" w:color="auto"/>
      </w:divBdr>
    </w:div>
    <w:div w:id="670913164">
      <w:bodyDiv w:val="1"/>
      <w:marLeft w:val="0"/>
      <w:marRight w:val="0"/>
      <w:marTop w:val="0"/>
      <w:marBottom w:val="0"/>
      <w:divBdr>
        <w:top w:val="none" w:sz="0" w:space="0" w:color="auto"/>
        <w:left w:val="none" w:sz="0" w:space="0" w:color="auto"/>
        <w:bottom w:val="none" w:sz="0" w:space="0" w:color="auto"/>
        <w:right w:val="none" w:sz="0" w:space="0" w:color="auto"/>
      </w:divBdr>
    </w:div>
    <w:div w:id="692223344">
      <w:bodyDiv w:val="1"/>
      <w:marLeft w:val="0"/>
      <w:marRight w:val="0"/>
      <w:marTop w:val="0"/>
      <w:marBottom w:val="0"/>
      <w:divBdr>
        <w:top w:val="none" w:sz="0" w:space="0" w:color="auto"/>
        <w:left w:val="none" w:sz="0" w:space="0" w:color="auto"/>
        <w:bottom w:val="none" w:sz="0" w:space="0" w:color="auto"/>
        <w:right w:val="none" w:sz="0" w:space="0" w:color="auto"/>
      </w:divBdr>
    </w:div>
    <w:div w:id="747845350">
      <w:bodyDiv w:val="1"/>
      <w:marLeft w:val="0"/>
      <w:marRight w:val="0"/>
      <w:marTop w:val="0"/>
      <w:marBottom w:val="0"/>
      <w:divBdr>
        <w:top w:val="none" w:sz="0" w:space="0" w:color="auto"/>
        <w:left w:val="none" w:sz="0" w:space="0" w:color="auto"/>
        <w:bottom w:val="none" w:sz="0" w:space="0" w:color="auto"/>
        <w:right w:val="none" w:sz="0" w:space="0" w:color="auto"/>
      </w:divBdr>
    </w:div>
    <w:div w:id="755058272">
      <w:bodyDiv w:val="1"/>
      <w:marLeft w:val="0"/>
      <w:marRight w:val="0"/>
      <w:marTop w:val="0"/>
      <w:marBottom w:val="0"/>
      <w:divBdr>
        <w:top w:val="none" w:sz="0" w:space="0" w:color="auto"/>
        <w:left w:val="none" w:sz="0" w:space="0" w:color="auto"/>
        <w:bottom w:val="none" w:sz="0" w:space="0" w:color="auto"/>
        <w:right w:val="none" w:sz="0" w:space="0" w:color="auto"/>
      </w:divBdr>
    </w:div>
    <w:div w:id="781265155">
      <w:bodyDiv w:val="1"/>
      <w:marLeft w:val="0"/>
      <w:marRight w:val="0"/>
      <w:marTop w:val="0"/>
      <w:marBottom w:val="0"/>
      <w:divBdr>
        <w:top w:val="none" w:sz="0" w:space="0" w:color="auto"/>
        <w:left w:val="none" w:sz="0" w:space="0" w:color="auto"/>
        <w:bottom w:val="none" w:sz="0" w:space="0" w:color="auto"/>
        <w:right w:val="none" w:sz="0" w:space="0" w:color="auto"/>
      </w:divBdr>
    </w:div>
    <w:div w:id="871185451">
      <w:bodyDiv w:val="1"/>
      <w:marLeft w:val="0"/>
      <w:marRight w:val="0"/>
      <w:marTop w:val="0"/>
      <w:marBottom w:val="0"/>
      <w:divBdr>
        <w:top w:val="none" w:sz="0" w:space="0" w:color="auto"/>
        <w:left w:val="none" w:sz="0" w:space="0" w:color="auto"/>
        <w:bottom w:val="none" w:sz="0" w:space="0" w:color="auto"/>
        <w:right w:val="none" w:sz="0" w:space="0" w:color="auto"/>
      </w:divBdr>
    </w:div>
    <w:div w:id="874392621">
      <w:bodyDiv w:val="1"/>
      <w:marLeft w:val="0"/>
      <w:marRight w:val="0"/>
      <w:marTop w:val="0"/>
      <w:marBottom w:val="0"/>
      <w:divBdr>
        <w:top w:val="none" w:sz="0" w:space="0" w:color="auto"/>
        <w:left w:val="none" w:sz="0" w:space="0" w:color="auto"/>
        <w:bottom w:val="none" w:sz="0" w:space="0" w:color="auto"/>
        <w:right w:val="none" w:sz="0" w:space="0" w:color="auto"/>
      </w:divBdr>
    </w:div>
    <w:div w:id="906308548">
      <w:bodyDiv w:val="1"/>
      <w:marLeft w:val="0"/>
      <w:marRight w:val="0"/>
      <w:marTop w:val="0"/>
      <w:marBottom w:val="0"/>
      <w:divBdr>
        <w:top w:val="none" w:sz="0" w:space="0" w:color="auto"/>
        <w:left w:val="none" w:sz="0" w:space="0" w:color="auto"/>
        <w:bottom w:val="none" w:sz="0" w:space="0" w:color="auto"/>
        <w:right w:val="none" w:sz="0" w:space="0" w:color="auto"/>
      </w:divBdr>
    </w:div>
    <w:div w:id="906917223">
      <w:bodyDiv w:val="1"/>
      <w:marLeft w:val="0"/>
      <w:marRight w:val="0"/>
      <w:marTop w:val="0"/>
      <w:marBottom w:val="0"/>
      <w:divBdr>
        <w:top w:val="none" w:sz="0" w:space="0" w:color="auto"/>
        <w:left w:val="none" w:sz="0" w:space="0" w:color="auto"/>
        <w:bottom w:val="none" w:sz="0" w:space="0" w:color="auto"/>
        <w:right w:val="none" w:sz="0" w:space="0" w:color="auto"/>
      </w:divBdr>
    </w:div>
    <w:div w:id="972826696">
      <w:bodyDiv w:val="1"/>
      <w:marLeft w:val="0"/>
      <w:marRight w:val="0"/>
      <w:marTop w:val="0"/>
      <w:marBottom w:val="0"/>
      <w:divBdr>
        <w:top w:val="none" w:sz="0" w:space="0" w:color="auto"/>
        <w:left w:val="none" w:sz="0" w:space="0" w:color="auto"/>
        <w:bottom w:val="none" w:sz="0" w:space="0" w:color="auto"/>
        <w:right w:val="none" w:sz="0" w:space="0" w:color="auto"/>
      </w:divBdr>
    </w:div>
    <w:div w:id="980227223">
      <w:bodyDiv w:val="1"/>
      <w:marLeft w:val="0"/>
      <w:marRight w:val="0"/>
      <w:marTop w:val="0"/>
      <w:marBottom w:val="0"/>
      <w:divBdr>
        <w:top w:val="none" w:sz="0" w:space="0" w:color="auto"/>
        <w:left w:val="none" w:sz="0" w:space="0" w:color="auto"/>
        <w:bottom w:val="none" w:sz="0" w:space="0" w:color="auto"/>
        <w:right w:val="none" w:sz="0" w:space="0" w:color="auto"/>
      </w:divBdr>
    </w:div>
    <w:div w:id="980354312">
      <w:bodyDiv w:val="1"/>
      <w:marLeft w:val="0"/>
      <w:marRight w:val="0"/>
      <w:marTop w:val="0"/>
      <w:marBottom w:val="0"/>
      <w:divBdr>
        <w:top w:val="none" w:sz="0" w:space="0" w:color="auto"/>
        <w:left w:val="none" w:sz="0" w:space="0" w:color="auto"/>
        <w:bottom w:val="none" w:sz="0" w:space="0" w:color="auto"/>
        <w:right w:val="none" w:sz="0" w:space="0" w:color="auto"/>
      </w:divBdr>
    </w:div>
    <w:div w:id="1075664695">
      <w:bodyDiv w:val="1"/>
      <w:marLeft w:val="0"/>
      <w:marRight w:val="0"/>
      <w:marTop w:val="0"/>
      <w:marBottom w:val="0"/>
      <w:divBdr>
        <w:top w:val="none" w:sz="0" w:space="0" w:color="auto"/>
        <w:left w:val="none" w:sz="0" w:space="0" w:color="auto"/>
        <w:bottom w:val="none" w:sz="0" w:space="0" w:color="auto"/>
        <w:right w:val="none" w:sz="0" w:space="0" w:color="auto"/>
      </w:divBdr>
    </w:div>
    <w:div w:id="1170753839">
      <w:bodyDiv w:val="1"/>
      <w:marLeft w:val="0"/>
      <w:marRight w:val="0"/>
      <w:marTop w:val="0"/>
      <w:marBottom w:val="0"/>
      <w:divBdr>
        <w:top w:val="none" w:sz="0" w:space="0" w:color="auto"/>
        <w:left w:val="none" w:sz="0" w:space="0" w:color="auto"/>
        <w:bottom w:val="none" w:sz="0" w:space="0" w:color="auto"/>
        <w:right w:val="none" w:sz="0" w:space="0" w:color="auto"/>
      </w:divBdr>
    </w:div>
    <w:div w:id="1187326676">
      <w:bodyDiv w:val="1"/>
      <w:marLeft w:val="0"/>
      <w:marRight w:val="0"/>
      <w:marTop w:val="0"/>
      <w:marBottom w:val="0"/>
      <w:divBdr>
        <w:top w:val="none" w:sz="0" w:space="0" w:color="auto"/>
        <w:left w:val="none" w:sz="0" w:space="0" w:color="auto"/>
        <w:bottom w:val="none" w:sz="0" w:space="0" w:color="auto"/>
        <w:right w:val="none" w:sz="0" w:space="0" w:color="auto"/>
      </w:divBdr>
    </w:div>
    <w:div w:id="1381856901">
      <w:bodyDiv w:val="1"/>
      <w:marLeft w:val="0"/>
      <w:marRight w:val="0"/>
      <w:marTop w:val="0"/>
      <w:marBottom w:val="0"/>
      <w:divBdr>
        <w:top w:val="none" w:sz="0" w:space="0" w:color="auto"/>
        <w:left w:val="none" w:sz="0" w:space="0" w:color="auto"/>
        <w:bottom w:val="none" w:sz="0" w:space="0" w:color="auto"/>
        <w:right w:val="none" w:sz="0" w:space="0" w:color="auto"/>
      </w:divBdr>
    </w:div>
    <w:div w:id="1410224755">
      <w:bodyDiv w:val="1"/>
      <w:marLeft w:val="0"/>
      <w:marRight w:val="0"/>
      <w:marTop w:val="0"/>
      <w:marBottom w:val="0"/>
      <w:divBdr>
        <w:top w:val="none" w:sz="0" w:space="0" w:color="auto"/>
        <w:left w:val="none" w:sz="0" w:space="0" w:color="auto"/>
        <w:bottom w:val="none" w:sz="0" w:space="0" w:color="auto"/>
        <w:right w:val="none" w:sz="0" w:space="0" w:color="auto"/>
      </w:divBdr>
    </w:div>
    <w:div w:id="1430202653">
      <w:bodyDiv w:val="1"/>
      <w:marLeft w:val="0"/>
      <w:marRight w:val="0"/>
      <w:marTop w:val="0"/>
      <w:marBottom w:val="0"/>
      <w:divBdr>
        <w:top w:val="none" w:sz="0" w:space="0" w:color="auto"/>
        <w:left w:val="none" w:sz="0" w:space="0" w:color="auto"/>
        <w:bottom w:val="none" w:sz="0" w:space="0" w:color="auto"/>
        <w:right w:val="none" w:sz="0" w:space="0" w:color="auto"/>
      </w:divBdr>
    </w:div>
    <w:div w:id="1495991012">
      <w:bodyDiv w:val="1"/>
      <w:marLeft w:val="0"/>
      <w:marRight w:val="0"/>
      <w:marTop w:val="0"/>
      <w:marBottom w:val="0"/>
      <w:divBdr>
        <w:top w:val="none" w:sz="0" w:space="0" w:color="auto"/>
        <w:left w:val="none" w:sz="0" w:space="0" w:color="auto"/>
        <w:bottom w:val="none" w:sz="0" w:space="0" w:color="auto"/>
        <w:right w:val="none" w:sz="0" w:space="0" w:color="auto"/>
      </w:divBdr>
    </w:div>
    <w:div w:id="1710035295">
      <w:bodyDiv w:val="1"/>
      <w:marLeft w:val="0"/>
      <w:marRight w:val="0"/>
      <w:marTop w:val="0"/>
      <w:marBottom w:val="0"/>
      <w:divBdr>
        <w:top w:val="none" w:sz="0" w:space="0" w:color="auto"/>
        <w:left w:val="none" w:sz="0" w:space="0" w:color="auto"/>
        <w:bottom w:val="none" w:sz="0" w:space="0" w:color="auto"/>
        <w:right w:val="none" w:sz="0" w:space="0" w:color="auto"/>
      </w:divBdr>
    </w:div>
    <w:div w:id="1719278655">
      <w:bodyDiv w:val="1"/>
      <w:marLeft w:val="0"/>
      <w:marRight w:val="0"/>
      <w:marTop w:val="0"/>
      <w:marBottom w:val="0"/>
      <w:divBdr>
        <w:top w:val="none" w:sz="0" w:space="0" w:color="auto"/>
        <w:left w:val="none" w:sz="0" w:space="0" w:color="auto"/>
        <w:bottom w:val="none" w:sz="0" w:space="0" w:color="auto"/>
        <w:right w:val="none" w:sz="0" w:space="0" w:color="auto"/>
      </w:divBdr>
    </w:div>
    <w:div w:id="1775586840">
      <w:bodyDiv w:val="1"/>
      <w:marLeft w:val="0"/>
      <w:marRight w:val="0"/>
      <w:marTop w:val="0"/>
      <w:marBottom w:val="0"/>
      <w:divBdr>
        <w:top w:val="none" w:sz="0" w:space="0" w:color="auto"/>
        <w:left w:val="none" w:sz="0" w:space="0" w:color="auto"/>
        <w:bottom w:val="none" w:sz="0" w:space="0" w:color="auto"/>
        <w:right w:val="none" w:sz="0" w:space="0" w:color="auto"/>
      </w:divBdr>
    </w:div>
    <w:div w:id="1778601068">
      <w:bodyDiv w:val="1"/>
      <w:marLeft w:val="0"/>
      <w:marRight w:val="0"/>
      <w:marTop w:val="0"/>
      <w:marBottom w:val="0"/>
      <w:divBdr>
        <w:top w:val="none" w:sz="0" w:space="0" w:color="auto"/>
        <w:left w:val="none" w:sz="0" w:space="0" w:color="auto"/>
        <w:bottom w:val="none" w:sz="0" w:space="0" w:color="auto"/>
        <w:right w:val="none" w:sz="0" w:space="0" w:color="auto"/>
      </w:divBdr>
    </w:div>
    <w:div w:id="1830098175">
      <w:bodyDiv w:val="1"/>
      <w:marLeft w:val="0"/>
      <w:marRight w:val="0"/>
      <w:marTop w:val="0"/>
      <w:marBottom w:val="0"/>
      <w:divBdr>
        <w:top w:val="none" w:sz="0" w:space="0" w:color="auto"/>
        <w:left w:val="none" w:sz="0" w:space="0" w:color="auto"/>
        <w:bottom w:val="none" w:sz="0" w:space="0" w:color="auto"/>
        <w:right w:val="none" w:sz="0" w:space="0" w:color="auto"/>
      </w:divBdr>
    </w:div>
    <w:div w:id="1864827254">
      <w:bodyDiv w:val="1"/>
      <w:marLeft w:val="0"/>
      <w:marRight w:val="0"/>
      <w:marTop w:val="0"/>
      <w:marBottom w:val="0"/>
      <w:divBdr>
        <w:top w:val="none" w:sz="0" w:space="0" w:color="auto"/>
        <w:left w:val="none" w:sz="0" w:space="0" w:color="auto"/>
        <w:bottom w:val="none" w:sz="0" w:space="0" w:color="auto"/>
        <w:right w:val="none" w:sz="0" w:space="0" w:color="auto"/>
      </w:divBdr>
    </w:div>
    <w:div w:id="1875384218">
      <w:bodyDiv w:val="1"/>
      <w:marLeft w:val="0"/>
      <w:marRight w:val="0"/>
      <w:marTop w:val="0"/>
      <w:marBottom w:val="0"/>
      <w:divBdr>
        <w:top w:val="none" w:sz="0" w:space="0" w:color="auto"/>
        <w:left w:val="none" w:sz="0" w:space="0" w:color="auto"/>
        <w:bottom w:val="none" w:sz="0" w:space="0" w:color="auto"/>
        <w:right w:val="none" w:sz="0" w:space="0" w:color="auto"/>
      </w:divBdr>
    </w:div>
    <w:div w:id="1879774946">
      <w:bodyDiv w:val="1"/>
      <w:marLeft w:val="0"/>
      <w:marRight w:val="0"/>
      <w:marTop w:val="0"/>
      <w:marBottom w:val="0"/>
      <w:divBdr>
        <w:top w:val="none" w:sz="0" w:space="0" w:color="auto"/>
        <w:left w:val="none" w:sz="0" w:space="0" w:color="auto"/>
        <w:bottom w:val="none" w:sz="0" w:space="0" w:color="auto"/>
        <w:right w:val="none" w:sz="0" w:space="0" w:color="auto"/>
      </w:divBdr>
    </w:div>
    <w:div w:id="1971666257">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2035957804">
      <w:bodyDiv w:val="1"/>
      <w:marLeft w:val="0"/>
      <w:marRight w:val="0"/>
      <w:marTop w:val="0"/>
      <w:marBottom w:val="0"/>
      <w:divBdr>
        <w:top w:val="none" w:sz="0" w:space="0" w:color="auto"/>
        <w:left w:val="none" w:sz="0" w:space="0" w:color="auto"/>
        <w:bottom w:val="none" w:sz="0" w:space="0" w:color="auto"/>
        <w:right w:val="none" w:sz="0" w:space="0" w:color="auto"/>
      </w:divBdr>
    </w:div>
    <w:div w:id="212495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hrlibrary.umn.edu/iachr/series_A_OC-18.html" TargetMode="External"/><Relationship Id="rId3" Type="http://schemas.openxmlformats.org/officeDocument/2006/relationships/hyperlink" Target="http://www.corteidh.or.cr/docs/asuntos/poblete_21_09_17.pdf" TargetMode="External"/><Relationship Id="rId7" Type="http://schemas.openxmlformats.org/officeDocument/2006/relationships/hyperlink" Target="http://hrlibrary.umn.edu/iachr/b_11_4j.htm" TargetMode="External"/><Relationship Id="rId2" Type="http://schemas.openxmlformats.org/officeDocument/2006/relationships/hyperlink" Target="http://www.corteidh.or.cr/docs/asuntos/poblete_21_09_17.pdf" TargetMode="External"/><Relationship Id="rId1" Type="http://schemas.openxmlformats.org/officeDocument/2006/relationships/hyperlink" Target="http://www.corteidh.or.cr/docs/asuntos/poblete_25_11_16.pdf" TargetMode="External"/><Relationship Id="rId6" Type="http://schemas.openxmlformats.org/officeDocument/2006/relationships/hyperlink" Target="http://hrlibrary.umn.edu/iachr/A/OC-16ingles-sinfirmas.html" TargetMode="External"/><Relationship Id="rId11" Type="http://schemas.openxmlformats.org/officeDocument/2006/relationships/hyperlink" Target="https://undocs.org/A/64/272" TargetMode="External"/><Relationship Id="rId5" Type="http://schemas.openxmlformats.org/officeDocument/2006/relationships/hyperlink" Target="http://www.oas.org/en/sla/dil/inter_american_treaties_A-41_charter_OAS.asp" TargetMode="External"/><Relationship Id="rId10" Type="http://schemas.openxmlformats.org/officeDocument/2006/relationships/hyperlink" Target="https://www.coe.int/en/web/conventions/full-list/-/conventions/%20treaty/%20164" TargetMode="External"/><Relationship Id="rId4" Type="http://schemas.openxmlformats.org/officeDocument/2006/relationships/hyperlink" Target="https://www.reclamos.cl/empresa/hospital_s_tero_del_r_o" TargetMode="External"/><Relationship Id="rId9" Type="http://schemas.openxmlformats.org/officeDocument/2006/relationships/hyperlink" Target="http://esa.un.org/unpd/w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5683C95-A841-4BE2-ADBA-55816544F322}">
  <ds:schemaRefs>
    <ds:schemaRef ds:uri="http://schemas.microsoft.com/sharepoint/v3/contenttype/forms"/>
  </ds:schemaRefs>
</ds:datastoreItem>
</file>

<file path=customXml/itemProps2.xml><?xml version="1.0" encoding="utf-8"?>
<ds:datastoreItem xmlns:ds="http://schemas.openxmlformats.org/officeDocument/2006/customXml" ds:itemID="{3336DF6D-2BAF-48AE-B23F-EF2A2E8A37AA}">
  <ds:schemaRefs>
    <ds:schemaRef ds:uri="http://schemas.openxmlformats.org/officeDocument/2006/bibliography"/>
  </ds:schemaRefs>
</ds:datastoreItem>
</file>

<file path=customXml/itemProps3.xml><?xml version="1.0" encoding="utf-8"?>
<ds:datastoreItem xmlns:ds="http://schemas.openxmlformats.org/officeDocument/2006/customXml" ds:itemID="{51AD2E36-E7C0-4B8D-8B38-606914D2C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A4BC590-28B5-4743-B898-205C07CDC59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35775</Words>
  <Characters>196763</Characters>
  <Application>Microsoft Office Word</Application>
  <DocSecurity>0</DocSecurity>
  <Lines>1639</Lines>
  <Paragraphs>464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Francella Hernandez</cp:lastModifiedBy>
  <cp:revision>10</cp:revision>
  <cp:lastPrinted>2020-08-10T23:25:00Z</cp:lastPrinted>
  <dcterms:created xsi:type="dcterms:W3CDTF">2020-08-09T17:08:00Z</dcterms:created>
  <dcterms:modified xsi:type="dcterms:W3CDTF">2020-08-10T23:46:00Z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y fmtid="{D5CDD505-2E9C-101B-9397-08002B2CF9AE}" pid="3" name="_DocHome">
    <vt:i4>683061634</vt:i4>
  </property>
</Properties>
</file>